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E284F" w14:textId="4888A7EB" w:rsidR="008D27AA" w:rsidRPr="00DE4306" w:rsidRDefault="008D27AA" w:rsidP="003601F1">
      <w:pPr>
        <w:jc w:val="center"/>
        <w:rPr>
          <w:b/>
          <w:bCs/>
        </w:rPr>
      </w:pPr>
      <w:r w:rsidRPr="00DE4306">
        <w:rPr>
          <w:b/>
          <w:bCs/>
        </w:rPr>
        <w:t>2024</w:t>
      </w:r>
    </w:p>
    <w:p w14:paraId="0E288F79" w14:textId="77777777" w:rsidR="008D27AA" w:rsidRPr="00DE4306" w:rsidRDefault="008D27AA" w:rsidP="003601F1">
      <w:pPr>
        <w:jc w:val="center"/>
        <w:rPr>
          <w:b/>
          <w:bCs/>
        </w:rPr>
      </w:pPr>
    </w:p>
    <w:p w14:paraId="4A3D31C7" w14:textId="1D6600C9" w:rsidR="008D27AA" w:rsidRPr="00DE4306" w:rsidRDefault="008D27AA" w:rsidP="003601F1">
      <w:pPr>
        <w:jc w:val="center"/>
        <w:rPr>
          <w:b/>
          <w:bCs/>
        </w:rPr>
      </w:pPr>
      <w:r w:rsidRPr="00DE4306">
        <w:rPr>
          <w:b/>
          <w:bCs/>
        </w:rPr>
        <w:t>LEGISTLATIVE ASSEMBLY FOR THE AUSTRALIAN CAPITAL TERRITORY</w:t>
      </w:r>
    </w:p>
    <w:p w14:paraId="01096EBA" w14:textId="77777777" w:rsidR="00C64C66" w:rsidRPr="00DE4306" w:rsidRDefault="00C64C66" w:rsidP="003601F1">
      <w:pPr>
        <w:jc w:val="center"/>
        <w:rPr>
          <w:b/>
          <w:bCs/>
        </w:rPr>
      </w:pPr>
    </w:p>
    <w:p w14:paraId="36473E8B" w14:textId="77777777" w:rsidR="00CC6257" w:rsidRPr="00DE4306" w:rsidRDefault="00CC6257" w:rsidP="003601F1">
      <w:pPr>
        <w:jc w:val="center"/>
        <w:rPr>
          <w:b/>
          <w:bCs/>
        </w:rPr>
      </w:pPr>
    </w:p>
    <w:p w14:paraId="4DD5DC07" w14:textId="77777777" w:rsidR="00BB5627" w:rsidRPr="00DE4306" w:rsidRDefault="00BB5627" w:rsidP="003601F1">
      <w:pPr>
        <w:jc w:val="center"/>
        <w:rPr>
          <w:b/>
          <w:bCs/>
        </w:rPr>
      </w:pPr>
    </w:p>
    <w:p w14:paraId="23E6C82C" w14:textId="77777777" w:rsidR="00BB5627" w:rsidRPr="00DE4306" w:rsidRDefault="00BB5627" w:rsidP="003601F1">
      <w:pPr>
        <w:jc w:val="center"/>
        <w:rPr>
          <w:b/>
          <w:bCs/>
        </w:rPr>
      </w:pPr>
    </w:p>
    <w:p w14:paraId="1A796C62" w14:textId="77777777" w:rsidR="00BB5627" w:rsidRPr="00DE4306" w:rsidRDefault="00BB5627" w:rsidP="003601F1">
      <w:pPr>
        <w:jc w:val="center"/>
        <w:rPr>
          <w:b/>
          <w:bCs/>
        </w:rPr>
      </w:pPr>
    </w:p>
    <w:p w14:paraId="088A1790" w14:textId="26B83CCA" w:rsidR="00A31984" w:rsidRPr="00DE4306" w:rsidRDefault="003601F1" w:rsidP="003601F1">
      <w:pPr>
        <w:jc w:val="center"/>
        <w:rPr>
          <w:b/>
          <w:bCs/>
        </w:rPr>
      </w:pPr>
      <w:r w:rsidRPr="00DE4306">
        <w:rPr>
          <w:b/>
          <w:bCs/>
        </w:rPr>
        <w:t>EXPLANATORY STATEMENT</w:t>
      </w:r>
      <w:r w:rsidR="00C64C66" w:rsidRPr="00DE4306">
        <w:rPr>
          <w:b/>
          <w:bCs/>
        </w:rPr>
        <w:t xml:space="preserve"> OF AMENDMENTS</w:t>
      </w:r>
    </w:p>
    <w:p w14:paraId="55D238EF" w14:textId="5796235F" w:rsidR="003601F1" w:rsidRPr="00DE4306" w:rsidRDefault="009B5EDA" w:rsidP="003601F1">
      <w:pPr>
        <w:jc w:val="center"/>
        <w:rPr>
          <w:b/>
          <w:bCs/>
        </w:rPr>
      </w:pPr>
      <w:r>
        <w:rPr>
          <w:b/>
          <w:bCs/>
        </w:rPr>
        <w:t>GAMING MACHINE</w:t>
      </w:r>
      <w:r w:rsidR="003601F1" w:rsidRPr="00DE4306">
        <w:rPr>
          <w:b/>
          <w:bCs/>
        </w:rPr>
        <w:t xml:space="preserve"> (</w:t>
      </w:r>
      <w:r>
        <w:rPr>
          <w:b/>
          <w:bCs/>
        </w:rPr>
        <w:t>COMPULSORY SURRENDER</w:t>
      </w:r>
      <w:r w:rsidR="003601F1" w:rsidRPr="00DE4306">
        <w:rPr>
          <w:b/>
          <w:bCs/>
        </w:rPr>
        <w:t xml:space="preserve">) AMENDMENT BILL </w:t>
      </w:r>
      <w:r w:rsidR="0012285C" w:rsidRPr="00DE4306">
        <w:rPr>
          <w:b/>
          <w:bCs/>
        </w:rPr>
        <w:t>202</w:t>
      </w:r>
      <w:r>
        <w:rPr>
          <w:b/>
          <w:bCs/>
        </w:rPr>
        <w:t>4</w:t>
      </w:r>
    </w:p>
    <w:p w14:paraId="73A20410" w14:textId="282A85BF" w:rsidR="0012285C" w:rsidRPr="00DE4306" w:rsidRDefault="0012285C" w:rsidP="003601F1">
      <w:pPr>
        <w:jc w:val="center"/>
        <w:rPr>
          <w:b/>
          <w:bCs/>
        </w:rPr>
      </w:pPr>
      <w:r w:rsidRPr="005B53EF">
        <w:rPr>
          <w:b/>
          <w:bCs/>
        </w:rPr>
        <w:t>AMENDMENTS TO BE MOVED BY ANDREW BRADDOCK</w:t>
      </w:r>
      <w:r w:rsidR="00DA1B7B" w:rsidRPr="005B53EF">
        <w:rPr>
          <w:b/>
          <w:bCs/>
        </w:rPr>
        <w:t xml:space="preserve"> </w:t>
      </w:r>
      <w:r w:rsidR="005B53EF" w:rsidRPr="005B53EF">
        <w:rPr>
          <w:b/>
          <w:bCs/>
        </w:rPr>
        <w:t>MLA</w:t>
      </w:r>
    </w:p>
    <w:p w14:paraId="230EAF2B" w14:textId="77777777" w:rsidR="0012285C" w:rsidRDefault="0012285C" w:rsidP="0012285C"/>
    <w:p w14:paraId="6FC2AEB2" w14:textId="77777777" w:rsidR="00CC6257" w:rsidRDefault="00CC6257" w:rsidP="0012285C"/>
    <w:p w14:paraId="093EF77D" w14:textId="77777777" w:rsidR="00BB5627" w:rsidRDefault="00BB5627" w:rsidP="0012285C"/>
    <w:p w14:paraId="29C3E39A" w14:textId="77777777" w:rsidR="00BB5627" w:rsidRDefault="00BB5627" w:rsidP="0012285C"/>
    <w:p w14:paraId="0F8E69F1" w14:textId="77777777" w:rsidR="00BB5627" w:rsidRDefault="00BB5627" w:rsidP="0012285C"/>
    <w:p w14:paraId="38B8D7AF" w14:textId="7EE4C6A7" w:rsidR="0012285C" w:rsidRDefault="008F7A42" w:rsidP="0012285C">
      <w:r>
        <w:t xml:space="preserve">This explanatory statement related to amendments </w:t>
      </w:r>
      <w:r w:rsidR="00F0075D">
        <w:t xml:space="preserve">(the Amendments) </w:t>
      </w:r>
      <w:r>
        <w:t xml:space="preserve">to the </w:t>
      </w:r>
      <w:r w:rsidR="00CC2CB4">
        <w:t>Gaming Machine</w:t>
      </w:r>
      <w:r>
        <w:t xml:space="preserve"> (</w:t>
      </w:r>
      <w:r w:rsidR="00BC71B3">
        <w:t>Compulsory Surrender</w:t>
      </w:r>
      <w:r>
        <w:t>) Amendment Bill 202</w:t>
      </w:r>
      <w:r w:rsidR="00BC71B3">
        <w:t>4</w:t>
      </w:r>
      <w:r w:rsidR="00B81254">
        <w:t xml:space="preserve"> (the Bill) presented to the Legislative Assembly for the Australian Capital Territory (ACT)</w:t>
      </w:r>
      <w:r w:rsidR="004F67CF">
        <w:t xml:space="preserve"> to amend the </w:t>
      </w:r>
      <w:r w:rsidR="00BC71B3">
        <w:t>Gaming Machine</w:t>
      </w:r>
      <w:r w:rsidR="004F67CF">
        <w:t xml:space="preserve"> Act 2004 (the Act)</w:t>
      </w:r>
      <w:r w:rsidR="00B81254">
        <w:t xml:space="preserve">.  It has been prepared in order to assist the reader of the </w:t>
      </w:r>
      <w:r w:rsidR="009B5EDA">
        <w:t>Amendments</w:t>
      </w:r>
      <w:r w:rsidR="00B81254">
        <w:t xml:space="preserve"> and to help inform debate on it</w:t>
      </w:r>
      <w:r w:rsidR="00CC6257">
        <w:t xml:space="preserve">.  It does not form a part of the bill </w:t>
      </w:r>
      <w:r w:rsidR="009B5EDA">
        <w:t xml:space="preserve">nor amendments </w:t>
      </w:r>
      <w:r w:rsidR="00CC6257">
        <w:t>and has not been endorsed by the assembly.</w:t>
      </w:r>
    </w:p>
    <w:p w14:paraId="4B4333F3" w14:textId="29161A73" w:rsidR="00BB5627" w:rsidRDefault="00BB5627" w:rsidP="0012285C"/>
    <w:p w14:paraId="60C8E31A" w14:textId="77777777" w:rsidR="000F560A" w:rsidRDefault="000F560A" w:rsidP="0012285C"/>
    <w:p w14:paraId="18EC2845" w14:textId="77777777" w:rsidR="000F560A" w:rsidRDefault="000F560A" w:rsidP="0012285C"/>
    <w:p w14:paraId="7B8AD680" w14:textId="77777777" w:rsidR="00BB5627" w:rsidRDefault="00BB5627" w:rsidP="0012285C"/>
    <w:p w14:paraId="106D49F8" w14:textId="77777777" w:rsidR="004A5F57" w:rsidRDefault="004A5F57" w:rsidP="00CC6257">
      <w:pPr>
        <w:jc w:val="right"/>
      </w:pPr>
    </w:p>
    <w:p w14:paraId="75CF342D" w14:textId="5D7B4F65" w:rsidR="004A5F57" w:rsidRDefault="00CC6257" w:rsidP="004A5F57">
      <w:pPr>
        <w:jc w:val="right"/>
      </w:pPr>
      <w:r>
        <w:t>Signed:</w:t>
      </w:r>
      <w:r w:rsidR="004A5F57">
        <w:t xml:space="preserve"> </w:t>
      </w:r>
      <w:r w:rsidR="00BB5627">
        <w:t>___________</w:t>
      </w:r>
      <w:r w:rsidR="004A5F57">
        <w:t>______________________</w:t>
      </w:r>
    </w:p>
    <w:p w14:paraId="5CAA10E0" w14:textId="0259B433" w:rsidR="004A5F57" w:rsidRDefault="004A5F57" w:rsidP="004A5F57">
      <w:pPr>
        <w:jc w:val="right"/>
      </w:pPr>
      <w:r w:rsidRPr="005B53EF">
        <w:t>Andrew Braddock MLA</w:t>
      </w:r>
    </w:p>
    <w:p w14:paraId="23C6D648" w14:textId="77777777" w:rsidR="004A5F57" w:rsidRDefault="004A5F57" w:rsidP="004A5F57">
      <w:pPr>
        <w:jc w:val="right"/>
      </w:pPr>
    </w:p>
    <w:p w14:paraId="018A6BA6" w14:textId="4EA05B85" w:rsidR="004A5F57" w:rsidRDefault="004A5F57" w:rsidP="004A5F57">
      <w:pPr>
        <w:jc w:val="right"/>
      </w:pPr>
      <w:r>
        <w:t xml:space="preserve">____ </w:t>
      </w:r>
      <w:r w:rsidR="00AB0966">
        <w:t>August</w:t>
      </w:r>
      <w:r>
        <w:t xml:space="preserve"> 2024</w:t>
      </w:r>
    </w:p>
    <w:p w14:paraId="7B78D315" w14:textId="1853EB5B" w:rsidR="00BB5627" w:rsidRDefault="00BB5627">
      <w:r>
        <w:br w:type="page"/>
      </w:r>
    </w:p>
    <w:p w14:paraId="6678C977" w14:textId="7A73588C" w:rsidR="004A5F57" w:rsidRDefault="00B307C3" w:rsidP="00BB5627">
      <w:pPr>
        <w:rPr>
          <w:b/>
          <w:bCs/>
        </w:rPr>
      </w:pPr>
      <w:r>
        <w:rPr>
          <w:b/>
          <w:bCs/>
        </w:rPr>
        <w:t>Overview of the Amendments</w:t>
      </w:r>
    </w:p>
    <w:p w14:paraId="608E9D65" w14:textId="2231C815" w:rsidR="00284528" w:rsidRDefault="00284528" w:rsidP="00BB5627">
      <w:r>
        <w:t xml:space="preserve">These amendments target the </w:t>
      </w:r>
      <w:r w:rsidR="00737270">
        <w:t>conflict of interest</w:t>
      </w:r>
      <w:r w:rsidR="00D42179">
        <w:t xml:space="preserve"> between </w:t>
      </w:r>
      <w:r w:rsidR="007F6422">
        <w:t xml:space="preserve">gambling </w:t>
      </w:r>
      <w:r w:rsidR="00D42179">
        <w:t>operators and political parties</w:t>
      </w:r>
      <w:r w:rsidR="008F6B50">
        <w:t xml:space="preserve"> </w:t>
      </w:r>
      <w:r w:rsidR="007F6422">
        <w:t xml:space="preserve"> by requiring that </w:t>
      </w:r>
      <w:r w:rsidR="009A29E0">
        <w:t>direct associations</w:t>
      </w:r>
      <w:r w:rsidR="007F6422">
        <w:t xml:space="preserve"> between political </w:t>
      </w:r>
      <w:r w:rsidR="00FD15DA">
        <w:t>parties and gambling licence-holders be severed.</w:t>
      </w:r>
    </w:p>
    <w:p w14:paraId="2DDAF978" w14:textId="07CA91E6" w:rsidR="00CF184E" w:rsidRDefault="00CF184E" w:rsidP="00BB5627">
      <w:r>
        <w:t>The amend</w:t>
      </w:r>
      <w:r w:rsidR="005D72B0">
        <w:t>m</w:t>
      </w:r>
      <w:r>
        <w:t>ents will</w:t>
      </w:r>
      <w:r w:rsidR="005D72B0">
        <w:t xml:space="preserve"> amend </w:t>
      </w:r>
      <w:r w:rsidR="0029479B">
        <w:t xml:space="preserve">what </w:t>
      </w:r>
      <w:r w:rsidR="005D72B0">
        <w:t xml:space="preserve">the eligible objects of a club </w:t>
      </w:r>
      <w:r w:rsidR="0029479B">
        <w:t xml:space="preserve">are </w:t>
      </w:r>
      <w:r w:rsidR="005D72B0">
        <w:t>and how these are considered in the assessment of whether a club is an eligible club to hold a license for electronic gaming machines</w:t>
      </w:r>
      <w:r w:rsidR="00AB357A">
        <w:t xml:space="preserve">.  A club which includes in its </w:t>
      </w:r>
      <w:r w:rsidR="00963729">
        <w:t xml:space="preserve">objectives the promotion of a particular </w:t>
      </w:r>
      <w:r w:rsidR="00CC2364" w:rsidRPr="00365D21">
        <w:t>party</w:t>
      </w:r>
      <w:r w:rsidR="00963729" w:rsidRPr="00365D21">
        <w:t xml:space="preserve"> </w:t>
      </w:r>
      <w:r w:rsidR="00CC2364" w:rsidRPr="00365D21">
        <w:t>grouping,</w:t>
      </w:r>
      <w:r w:rsidR="00CC2364">
        <w:t xml:space="preserve"> as per the definitions of the Electoral Act,</w:t>
      </w:r>
      <w:r w:rsidR="00963729">
        <w:t xml:space="preserve"> will no</w:t>
      </w:r>
      <w:r w:rsidR="006E4F01">
        <w:t xml:space="preserve">t meet the </w:t>
      </w:r>
      <w:r w:rsidR="00B85AE4">
        <w:t>re</w:t>
      </w:r>
      <w:r w:rsidR="00433F66">
        <w:t>quirements to</w:t>
      </w:r>
      <w:r w:rsidR="00963729">
        <w:t xml:space="preserve"> be an eligible club.  This </w:t>
      </w:r>
      <w:r w:rsidR="00DC5600">
        <w:t>i</w:t>
      </w:r>
      <w:r w:rsidR="00963729">
        <w:t xml:space="preserve">s distinct from </w:t>
      </w:r>
      <w:r w:rsidR="000A6277">
        <w:t xml:space="preserve">having objectives for </w:t>
      </w:r>
      <w:r w:rsidR="00963729">
        <w:t>political activity more generally</w:t>
      </w:r>
      <w:r w:rsidR="00DC5600">
        <w:t>, which remains an eligible objective consistent with the Australian Constitution’s implied freedom of political communication</w:t>
      </w:r>
      <w:r w:rsidR="00963729">
        <w:t>.</w:t>
      </w:r>
    </w:p>
    <w:p w14:paraId="4F722DC7" w14:textId="51551B75" w:rsidR="00527DD7" w:rsidRDefault="00284528" w:rsidP="00DD2902">
      <w:r>
        <w:t>The</w:t>
      </w:r>
      <w:r w:rsidR="00841F2F">
        <w:t xml:space="preserve"> </w:t>
      </w:r>
      <w:r>
        <w:t>amendments</w:t>
      </w:r>
      <w:r w:rsidR="00F27FA6">
        <w:t xml:space="preserve"> would </w:t>
      </w:r>
      <w:r>
        <w:t xml:space="preserve">effectively </w:t>
      </w:r>
      <w:r w:rsidR="00F27FA6">
        <w:t xml:space="preserve">require clubs </w:t>
      </w:r>
      <w:r w:rsidR="00433F66">
        <w:t xml:space="preserve">that wish to be an eligible club </w:t>
      </w:r>
      <w:r w:rsidR="00501A2C">
        <w:t xml:space="preserve">to hold a gaming licence to </w:t>
      </w:r>
      <w:r w:rsidR="00F27FA6">
        <w:t>reform their articles of incorporation</w:t>
      </w:r>
      <w:r w:rsidR="006B4888">
        <w:t xml:space="preserve">, </w:t>
      </w:r>
      <w:r w:rsidR="00F27FA6">
        <w:t>amend</w:t>
      </w:r>
      <w:r w:rsidR="006B4888">
        <w:t>ing</w:t>
      </w:r>
      <w:r w:rsidR="00F27FA6">
        <w:t xml:space="preserve"> their objectives to sever their ties to </w:t>
      </w:r>
      <w:r w:rsidR="006B4888">
        <w:t xml:space="preserve">a </w:t>
      </w:r>
      <w:r w:rsidR="00F27FA6">
        <w:t>party</w:t>
      </w:r>
      <w:r w:rsidR="006B4888">
        <w:t xml:space="preserve"> grouping</w:t>
      </w:r>
      <w:r w:rsidR="00501A2C">
        <w:t>.</w:t>
      </w:r>
    </w:p>
    <w:p w14:paraId="4B3EE5E6" w14:textId="66D89B39" w:rsidR="007B46FE" w:rsidRPr="00CB38E2" w:rsidRDefault="00F27FA6" w:rsidP="00527DD7">
      <w:r>
        <w:t>If an affected club does not take one of these actions</w:t>
      </w:r>
      <w:r w:rsidRPr="00524743">
        <w:t xml:space="preserve"> </w:t>
      </w:r>
      <w:r w:rsidR="002851CB">
        <w:t>before</w:t>
      </w:r>
      <w:r>
        <w:t xml:space="preserve"> </w:t>
      </w:r>
      <w:r w:rsidR="00577791">
        <w:t xml:space="preserve">date of commencement of </w:t>
      </w:r>
      <w:r>
        <w:t xml:space="preserve">these amendments, </w:t>
      </w:r>
      <w:r w:rsidR="002851CB">
        <w:t xml:space="preserve">scheduled for 12 months after the bill is notified, </w:t>
      </w:r>
      <w:r>
        <w:t xml:space="preserve">they </w:t>
      </w:r>
      <w:r w:rsidR="00577791">
        <w:t xml:space="preserve">may </w:t>
      </w:r>
      <w:r>
        <w:t>become subject to disciplinary action by the Gambling and Racing Commission under Part 4 of the Act.</w:t>
      </w:r>
    </w:p>
    <w:p w14:paraId="2D2A889A" w14:textId="595DB3B1" w:rsidR="00950635" w:rsidRPr="00B307C3" w:rsidRDefault="00143A71" w:rsidP="00BB5627">
      <w:pPr>
        <w:rPr>
          <w:b/>
          <w:bCs/>
        </w:rPr>
      </w:pPr>
      <w:r>
        <w:rPr>
          <w:b/>
          <w:bCs/>
        </w:rPr>
        <w:t>Additional b</w:t>
      </w:r>
      <w:r w:rsidR="00950635">
        <w:rPr>
          <w:b/>
          <w:bCs/>
        </w:rPr>
        <w:t>ackground</w:t>
      </w:r>
      <w:r w:rsidR="00CB38E2">
        <w:rPr>
          <w:b/>
          <w:bCs/>
        </w:rPr>
        <w:t xml:space="preserve"> context</w:t>
      </w:r>
    </w:p>
    <w:p w14:paraId="149DDC6B" w14:textId="5B0409B0" w:rsidR="00893B6E" w:rsidRDefault="009E1C78" w:rsidP="0065155C">
      <w:r>
        <w:t xml:space="preserve">Gambling policy is fraught </w:t>
      </w:r>
      <w:r w:rsidR="00EA00EC">
        <w:t xml:space="preserve">and </w:t>
      </w:r>
      <w:r w:rsidR="00515571">
        <w:t xml:space="preserve">long term challenging policy issue </w:t>
      </w:r>
      <w:r>
        <w:t xml:space="preserve">in the ACT, and it has been demonstrated that </w:t>
      </w:r>
      <w:r w:rsidR="00D35145">
        <w:t xml:space="preserve">the </w:t>
      </w:r>
      <w:r w:rsidR="00515571">
        <w:t xml:space="preserve">ACT Government </w:t>
      </w:r>
      <w:r w:rsidR="00665012">
        <w:t xml:space="preserve">struggles </w:t>
      </w:r>
      <w:r>
        <w:t>to reach consensus on a proper policy response to gambling harm-minimisation reforms.</w:t>
      </w:r>
      <w:r w:rsidR="00C007CB">
        <w:t xml:space="preserve"> </w:t>
      </w:r>
      <w:r>
        <w:t xml:space="preserve"> </w:t>
      </w:r>
      <w:r w:rsidR="003E41FB">
        <w:t xml:space="preserve">This </w:t>
      </w:r>
      <w:r w:rsidR="00665012">
        <w:t xml:space="preserve">paralysis </w:t>
      </w:r>
      <w:r w:rsidR="003E41FB">
        <w:t xml:space="preserve">is consistent with </w:t>
      </w:r>
      <w:r w:rsidR="007C040B">
        <w:t xml:space="preserve">the </w:t>
      </w:r>
      <w:r w:rsidR="00665012">
        <w:t xml:space="preserve">gambling industry’s </w:t>
      </w:r>
      <w:r w:rsidR="007C040B">
        <w:t xml:space="preserve">preferred outcome for no </w:t>
      </w:r>
      <w:r w:rsidR="00A72636">
        <w:t xml:space="preserve">meaningful </w:t>
      </w:r>
      <w:r w:rsidR="007C040B">
        <w:t xml:space="preserve">reforms to </w:t>
      </w:r>
      <w:r w:rsidR="00A72636">
        <w:t xml:space="preserve">laws or </w:t>
      </w:r>
      <w:r w:rsidR="007C040B">
        <w:t>regulation</w:t>
      </w:r>
      <w:r w:rsidR="00A72636">
        <w:t>s</w:t>
      </w:r>
      <w:r w:rsidR="007C040B">
        <w:t xml:space="preserve">.  </w:t>
      </w:r>
      <w:r w:rsidR="00C007CB">
        <w:t xml:space="preserve">The </w:t>
      </w:r>
      <w:r w:rsidR="00A50A1B">
        <w:t xml:space="preserve">fact of the Government’s inability </w:t>
      </w:r>
      <w:r w:rsidR="00B2359A">
        <w:t xml:space="preserve">to settle policy </w:t>
      </w:r>
      <w:r w:rsidR="00983D19">
        <w:t xml:space="preserve">is a demonstration of </w:t>
      </w:r>
      <w:r w:rsidR="00676363">
        <w:t xml:space="preserve">the </w:t>
      </w:r>
      <w:r w:rsidR="002C174E">
        <w:t>intractable conflict of interes</w:t>
      </w:r>
      <w:r w:rsidR="002D35EA">
        <w:t>t impacting on</w:t>
      </w:r>
      <w:r w:rsidR="00676363">
        <w:t xml:space="preserve"> </w:t>
      </w:r>
      <w:r w:rsidR="006E6B13">
        <w:t>political decision-making</w:t>
      </w:r>
      <w:r w:rsidR="007C040B">
        <w:t xml:space="preserve">, and a signal that this </w:t>
      </w:r>
      <w:r w:rsidR="002D35EA">
        <w:t>conflict of interest</w:t>
      </w:r>
      <w:r w:rsidR="007C040B">
        <w:t xml:space="preserve"> must be curtailed if </w:t>
      </w:r>
      <w:r w:rsidR="006E6B13">
        <w:t>evidence-based</w:t>
      </w:r>
      <w:r w:rsidR="007C040B">
        <w:t xml:space="preserve"> regulatory reform is to be achieved in the future</w:t>
      </w:r>
      <w:r w:rsidR="003E41FB">
        <w:t>.</w:t>
      </w:r>
      <w:r w:rsidR="0065155C" w:rsidDel="0065155C">
        <w:t xml:space="preserve"> </w:t>
      </w:r>
    </w:p>
    <w:p w14:paraId="5EDD89F7" w14:textId="77777777" w:rsidR="00025049" w:rsidRDefault="00FE6713" w:rsidP="009E19B9">
      <w:pPr>
        <w:rPr>
          <w:b/>
          <w:bCs/>
        </w:rPr>
      </w:pPr>
      <w:r>
        <w:rPr>
          <w:b/>
          <w:bCs/>
        </w:rPr>
        <w:t>Human Rights Compatibility</w:t>
      </w:r>
      <w:r w:rsidR="00605E3F">
        <w:rPr>
          <w:b/>
          <w:bCs/>
        </w:rPr>
        <w:t xml:space="preserve"> </w:t>
      </w:r>
    </w:p>
    <w:p w14:paraId="7A28D0A3" w14:textId="7E49D5CE" w:rsidR="00282622" w:rsidRDefault="00025049" w:rsidP="009E19B9">
      <w:r w:rsidRPr="00025049">
        <w:t>These amendments</w:t>
      </w:r>
      <w:r>
        <w:t xml:space="preserve"> do not have a direct bearing on human rights</w:t>
      </w:r>
      <w:r w:rsidR="00D972A4">
        <w:t>.</w:t>
      </w:r>
      <w:r w:rsidR="00ED4F58">
        <w:t xml:space="preserve">  </w:t>
      </w:r>
      <w:r w:rsidR="002D38E1">
        <w:t xml:space="preserve">Human rights apply to people, not organisations.  </w:t>
      </w:r>
      <w:r w:rsidR="00022866">
        <w:t xml:space="preserve">The </w:t>
      </w:r>
      <w:r w:rsidR="008E140D">
        <w:t xml:space="preserve">right to </w:t>
      </w:r>
      <w:r w:rsidR="00BA3AD5">
        <w:t>peaceful assembly and freedom of association (</w:t>
      </w:r>
      <w:r w:rsidR="00BA3AD5" w:rsidRPr="005F4393">
        <w:rPr>
          <w:i/>
          <w:iCs/>
        </w:rPr>
        <w:t>Human Rights Act 2004</w:t>
      </w:r>
      <w:r w:rsidR="00BA3AD5">
        <w:t xml:space="preserve">, section </w:t>
      </w:r>
      <w:r w:rsidR="005F4393">
        <w:t xml:space="preserve">15) </w:t>
      </w:r>
      <w:r w:rsidR="00BA3AD5">
        <w:t xml:space="preserve">is preserved as a person’s ability to choose to join a club </w:t>
      </w:r>
      <w:r w:rsidR="006222BD">
        <w:t xml:space="preserve">of any kind </w:t>
      </w:r>
      <w:r w:rsidR="00BA3AD5">
        <w:t>is not affected</w:t>
      </w:r>
      <w:r w:rsidR="005F4393">
        <w:t xml:space="preserve"> by these amendments</w:t>
      </w:r>
      <w:r w:rsidR="00BA3AD5">
        <w:t xml:space="preserve">.  The </w:t>
      </w:r>
      <w:r w:rsidR="008E140D">
        <w:t>freedom of expression</w:t>
      </w:r>
      <w:r w:rsidR="005F4393">
        <w:t xml:space="preserve"> (</w:t>
      </w:r>
      <w:r w:rsidR="005F4393" w:rsidRPr="005F4393">
        <w:rPr>
          <w:i/>
          <w:iCs/>
        </w:rPr>
        <w:t>Human Rights Act 2004</w:t>
      </w:r>
      <w:r w:rsidR="005F4393">
        <w:t>, section 16)</w:t>
      </w:r>
      <w:r w:rsidR="008E41C8">
        <w:t xml:space="preserve"> </w:t>
      </w:r>
      <w:r w:rsidR="006222BD">
        <w:t xml:space="preserve">is preserved </w:t>
      </w:r>
      <w:r w:rsidR="008E41C8">
        <w:t xml:space="preserve">as a person who is a member of a club is not restricted </w:t>
      </w:r>
      <w:r w:rsidR="00C311CC">
        <w:t xml:space="preserve">from </w:t>
      </w:r>
      <w:r w:rsidR="006222BD">
        <w:t>any form of political communication</w:t>
      </w:r>
      <w:r w:rsidR="0018245B">
        <w:t xml:space="preserve"> or activity</w:t>
      </w:r>
      <w:r w:rsidR="006222BD">
        <w:t>.</w:t>
      </w:r>
    </w:p>
    <w:p w14:paraId="24D5C4B2" w14:textId="59460E94" w:rsidR="00025049" w:rsidRPr="00025049" w:rsidRDefault="00F17A4F" w:rsidP="009E19B9">
      <w:r>
        <w:t xml:space="preserve">The freedom of expression in section 16 is supported by ensuring that </w:t>
      </w:r>
      <w:r w:rsidR="006A3901">
        <w:t>a broader diversity of views can be heard by decision makers</w:t>
      </w:r>
      <w:r w:rsidR="000C10E3">
        <w:t>,</w:t>
      </w:r>
      <w:r w:rsidR="006A3901">
        <w:t xml:space="preserve"> </w:t>
      </w:r>
      <w:r w:rsidR="000C10E3">
        <w:t>un</w:t>
      </w:r>
      <w:r w:rsidR="00855EAD">
        <w:t xml:space="preserve">constrained by a perceived or actual </w:t>
      </w:r>
      <w:r w:rsidR="006A3901">
        <w:t>conflicts of interest</w:t>
      </w:r>
      <w:r w:rsidR="00F53B8D">
        <w:t>.  The</w:t>
      </w:r>
      <w:r w:rsidR="000C10E3">
        <w:t>s</w:t>
      </w:r>
      <w:r w:rsidR="00F53B8D">
        <w:t>e are further outlined in the section on the implied freedom of political communication below.</w:t>
      </w:r>
    </w:p>
    <w:p w14:paraId="687DE008" w14:textId="37E7A0BB" w:rsidR="00FE6713" w:rsidRDefault="00605E3F" w:rsidP="009E19B9">
      <w:r>
        <w:rPr>
          <w:b/>
          <w:bCs/>
        </w:rPr>
        <w:t>Implied Freedom of Political Communication</w:t>
      </w:r>
    </w:p>
    <w:p w14:paraId="7BDE3200" w14:textId="55EAFA84" w:rsidR="003401A0" w:rsidRDefault="001F6C46">
      <w:r>
        <w:t xml:space="preserve">Any reforms which pertain to restriction or prohibitions concerning political activity are prudent to assess against the Australian Constitution’s implied freedom of political communication.  </w:t>
      </w:r>
    </w:p>
    <w:p w14:paraId="4B4F7447" w14:textId="1499932A" w:rsidR="00C22101" w:rsidRDefault="00C22101">
      <w:r w:rsidRPr="00CB4B24">
        <w:t xml:space="preserve">The majority judgement of </w:t>
      </w:r>
      <w:r w:rsidRPr="00CB4B24">
        <w:rPr>
          <w:i/>
          <w:iCs/>
        </w:rPr>
        <w:t xml:space="preserve">McCloy v New South Wales </w:t>
      </w:r>
      <w:r w:rsidRPr="00CB4B24">
        <w:t>[2015]</w:t>
      </w:r>
      <w:r w:rsidRPr="00CB4B24">
        <w:rPr>
          <w:rStyle w:val="FootnoteReference"/>
        </w:rPr>
        <w:footnoteReference w:id="2"/>
      </w:r>
      <w:r w:rsidRPr="00CB4B24">
        <w:t xml:space="preserve"> confirmed that the purpose of the implied freedom exists to ensure that the people of the Commonwealth may exercise a free and informed choice as electors in accordance with the judgement of </w:t>
      </w:r>
      <w:r w:rsidRPr="00CB4B24">
        <w:rPr>
          <w:i/>
          <w:iCs/>
        </w:rPr>
        <w:t>Lange vs Australian Broadcasting Corporation</w:t>
      </w:r>
      <w:r w:rsidRPr="00CB4B24">
        <w:t xml:space="preserve"> [1997], with relevant tests established in that case and modified in </w:t>
      </w:r>
      <w:r w:rsidRPr="00CB4B24">
        <w:rPr>
          <w:i/>
          <w:iCs/>
        </w:rPr>
        <w:t>Coleman v Power</w:t>
      </w:r>
      <w:r w:rsidRPr="00CB4B24">
        <w:t xml:space="preserve"> [2004].  </w:t>
      </w:r>
      <w:r w:rsidR="00D44DC3">
        <w:t>The 2015 judgement says that the implied freedom “</w:t>
      </w:r>
      <w:r w:rsidR="00D44DC3" w:rsidRPr="00D44DC3">
        <w:t>may be subject to legislative</w:t>
      </w:r>
      <w:r w:rsidR="002C2D1D">
        <w:t xml:space="preserve"> </w:t>
      </w:r>
      <w:r w:rsidR="00D44DC3" w:rsidRPr="00D44DC3">
        <w:t>restrictions serving a legitimate purpose compatible with the system of representative government for which the Constitution provides, where the extent of the burden can be justified as suitable, necessary and adequate, having regard to the purpose of those restrictions.</w:t>
      </w:r>
      <w:r w:rsidR="002C2D1D">
        <w:t>”</w:t>
      </w:r>
    </w:p>
    <w:p w14:paraId="6D874746" w14:textId="77777777" w:rsidR="00F808FD" w:rsidRDefault="004B36E1">
      <w:r>
        <w:t xml:space="preserve">Importantly, political capture </w:t>
      </w:r>
      <w:r w:rsidR="00796733">
        <w:t xml:space="preserve">is recognised as </w:t>
      </w:r>
      <w:r>
        <w:t>undermin</w:t>
      </w:r>
      <w:r w:rsidR="00796733">
        <w:t>ing</w:t>
      </w:r>
      <w:r>
        <w:t xml:space="preserve"> Australia’s system of representative democracy.</w:t>
      </w:r>
      <w:r w:rsidR="00796733">
        <w:t xml:space="preserve">  </w:t>
      </w:r>
      <w:r w:rsidR="004F29BD">
        <w:t xml:space="preserve">In </w:t>
      </w:r>
      <w:r w:rsidR="00497203" w:rsidRPr="00497203">
        <w:t>the</w:t>
      </w:r>
      <w:r w:rsidR="00497203">
        <w:rPr>
          <w:i/>
          <w:iCs/>
        </w:rPr>
        <w:t xml:space="preserve"> McCloy</w:t>
      </w:r>
      <w:r w:rsidR="00497203">
        <w:t xml:space="preserve"> judgement, the High court recognised </w:t>
      </w:r>
      <w:r w:rsidR="00F81B34">
        <w:t xml:space="preserve">the risks posed by </w:t>
      </w:r>
      <w:r w:rsidR="00D73081">
        <w:t xml:space="preserve">“quid-pro-quo”, </w:t>
      </w:r>
      <w:r w:rsidR="00F81B34">
        <w:t>“clientelism”</w:t>
      </w:r>
      <w:r w:rsidR="006D3E09">
        <w:t xml:space="preserve"> and “war-chest corruption”</w:t>
      </w:r>
      <w:r w:rsidR="00D50871">
        <w:rPr>
          <w:rStyle w:val="FootnoteReference"/>
        </w:rPr>
        <w:footnoteReference w:id="3"/>
      </w:r>
      <w:r w:rsidR="006C6B6C">
        <w:t xml:space="preserve">.  It </w:t>
      </w:r>
      <w:r w:rsidR="00235F0B">
        <w:t xml:space="preserve">is from this concern that a legitimate purpose to restrict the flow of finance of political parties </w:t>
      </w:r>
      <w:r w:rsidR="00CF08B6">
        <w:t xml:space="preserve">that was suitable and necessary </w:t>
      </w:r>
      <w:r w:rsidR="0018297E">
        <w:t>can be derived, and found that this was able to be evidenced in the context of political donations from property developers</w:t>
      </w:r>
      <w:r w:rsidR="00BF2B2E">
        <w:t xml:space="preserve"> which had a corrupting influence on Australia’s system of representative democracy</w:t>
      </w:r>
      <w:r w:rsidR="0018297E">
        <w:t>.</w:t>
      </w:r>
      <w:r w:rsidR="00F808FD">
        <w:t xml:space="preserve">  </w:t>
      </w:r>
    </w:p>
    <w:p w14:paraId="553B6D31" w14:textId="5E4D8D21" w:rsidR="004B36E1" w:rsidRPr="00497203" w:rsidRDefault="00F808FD">
      <w:r>
        <w:t xml:space="preserve">Drawing upon this </w:t>
      </w:r>
      <w:r w:rsidR="008A5912">
        <w:t>foundation of understanding</w:t>
      </w:r>
      <w:r>
        <w:t xml:space="preserve">, </w:t>
      </w:r>
      <w:r w:rsidR="000D648D">
        <w:t>it can be</w:t>
      </w:r>
      <w:r w:rsidR="008A5912">
        <w:t xml:space="preserve"> </w:t>
      </w:r>
      <w:r w:rsidR="005D2405">
        <w:t>demonstrate</w:t>
      </w:r>
      <w:r w:rsidR="000D648D">
        <w:t>d</w:t>
      </w:r>
      <w:r w:rsidR="005D2405">
        <w:t xml:space="preserve"> that restrict</w:t>
      </w:r>
      <w:r w:rsidR="008A5912">
        <w:t>ing</w:t>
      </w:r>
      <w:r w:rsidR="005D2405">
        <w:t xml:space="preserve"> the </w:t>
      </w:r>
      <w:r w:rsidR="006B00C4">
        <w:t xml:space="preserve">conflict of interest </w:t>
      </w:r>
      <w:r w:rsidR="00576C85">
        <w:t xml:space="preserve">of </w:t>
      </w:r>
      <w:r w:rsidR="005D2405">
        <w:t xml:space="preserve">gambling entities </w:t>
      </w:r>
      <w:r w:rsidR="00BB0459">
        <w:t>being directly associated with</w:t>
      </w:r>
      <w:r w:rsidR="005D2405">
        <w:t xml:space="preserve"> political parties is an equally suitable </w:t>
      </w:r>
      <w:r w:rsidR="00D55EA8">
        <w:t>objective, is necessary by virtue of not being possible to resolve through other means which would not impact the implied freedom, and adequate in its balance</w:t>
      </w:r>
      <w:r w:rsidR="001E1837">
        <w:t xml:space="preserve"> in that it </w:t>
      </w:r>
      <w:r w:rsidR="005678E7">
        <w:t>burdens the implied freedom no more than is necessary to achieve the legitimate objective.</w:t>
      </w:r>
    </w:p>
    <w:p w14:paraId="05DD2BAC" w14:textId="4D71EF5C" w:rsidR="00A57DDC" w:rsidRDefault="004E3199">
      <w:r w:rsidRPr="009820BD">
        <w:rPr>
          <w:u w:val="single"/>
        </w:rPr>
        <w:t>Suitability:</w:t>
      </w:r>
      <w:r w:rsidRPr="00EC42AF">
        <w:t xml:space="preserve">  </w:t>
      </w:r>
      <w:r w:rsidR="00EC42AF" w:rsidRPr="00EC42AF">
        <w:t xml:space="preserve">It is </w:t>
      </w:r>
      <w:r w:rsidR="00EC42AF">
        <w:t xml:space="preserve">widely recognised that </w:t>
      </w:r>
      <w:r w:rsidR="00B97A33">
        <w:t>regulating gambling activity is a wicked issue in Australian politics</w:t>
      </w:r>
      <w:r w:rsidR="00E65CF3">
        <w:t xml:space="preserve">, with action on the issue </w:t>
      </w:r>
      <w:r w:rsidR="005471D1">
        <w:t xml:space="preserve">made more difficult due to the capture of political parties </w:t>
      </w:r>
      <w:r w:rsidR="00E13199">
        <w:t>by gambling industry interests</w:t>
      </w:r>
      <w:r w:rsidR="00DE72F9">
        <w:t>, and specifically the operators of electronic gaming machines</w:t>
      </w:r>
      <w:r w:rsidR="00B97A33">
        <w:t>.</w:t>
      </w:r>
      <w:r w:rsidR="00407FBD">
        <w:t xml:space="preserve">  An article by the ABC</w:t>
      </w:r>
      <w:r w:rsidR="00DE72F9">
        <w:t xml:space="preserve"> from 2021</w:t>
      </w:r>
      <w:r w:rsidR="00407FBD">
        <w:t xml:space="preserve"> is representative in </w:t>
      </w:r>
      <w:r w:rsidR="00736E2F">
        <w:t>visualising</w:t>
      </w:r>
      <w:r w:rsidR="00407FBD">
        <w:t xml:space="preserve"> the scale of the problem.</w:t>
      </w:r>
      <w:r w:rsidR="00407FBD">
        <w:rPr>
          <w:rStyle w:val="FootnoteReference"/>
        </w:rPr>
        <w:footnoteReference w:id="4"/>
      </w:r>
      <w:r w:rsidR="00DE72F9">
        <w:t xml:space="preserve"> </w:t>
      </w:r>
      <w:r w:rsidR="00F75220">
        <w:t>In the ACT, the issue is particularly pronounced</w:t>
      </w:r>
      <w:r w:rsidR="004C6769">
        <w:t xml:space="preserve"> due to the </w:t>
      </w:r>
      <w:r w:rsidR="002D6330">
        <w:t xml:space="preserve">structural operation of the Canberra Labor Club, </w:t>
      </w:r>
      <w:r w:rsidR="00E00952">
        <w:t xml:space="preserve">where the profits from gambling operations have historically funded the </w:t>
      </w:r>
      <w:r w:rsidR="00135D7E">
        <w:t xml:space="preserve">operations of the Labor party, and more recently have </w:t>
      </w:r>
      <w:r w:rsidR="009C3EF3">
        <w:t>provided the</w:t>
      </w:r>
      <w:r w:rsidR="00135D7E">
        <w:t xml:space="preserve"> </w:t>
      </w:r>
      <w:r w:rsidR="009C3EF3">
        <w:t xml:space="preserve">funds to </w:t>
      </w:r>
      <w:r w:rsidR="008A534C">
        <w:t xml:space="preserve">establish </w:t>
      </w:r>
      <w:r w:rsidR="00A50A0E">
        <w:t xml:space="preserve">an investment vehicle (the 1973 Foundation) </w:t>
      </w:r>
      <w:r w:rsidR="008A534C">
        <w:t>that provide</w:t>
      </w:r>
      <w:r w:rsidR="00004162">
        <w:t>s</w:t>
      </w:r>
      <w:r w:rsidR="003814D8">
        <w:t xml:space="preserve"> </w:t>
      </w:r>
      <w:r w:rsidR="002D1D7A">
        <w:t>baseline funding for the Labor party into the future.</w:t>
      </w:r>
      <w:r w:rsidR="002D1D7A">
        <w:rPr>
          <w:rStyle w:val="FootnoteReference"/>
        </w:rPr>
        <w:footnoteReference w:id="5"/>
      </w:r>
      <w:r w:rsidR="00B63EFF">
        <w:t xml:space="preserve">  This makes it practically impossible for the Labor party to consider </w:t>
      </w:r>
      <w:r w:rsidR="001E6A9A">
        <w:t>reforms to gambling regulations without also considering the impact on their past and future income</w:t>
      </w:r>
      <w:r w:rsidR="008739FB">
        <w:t xml:space="preserve">, and similarly </w:t>
      </w:r>
      <w:r w:rsidR="00995D5C">
        <w:t xml:space="preserve">risks </w:t>
      </w:r>
      <w:r w:rsidR="004D37E3">
        <w:t xml:space="preserve">outcomes which provide </w:t>
      </w:r>
      <w:r w:rsidR="0065155C">
        <w:t xml:space="preserve">a direct or </w:t>
      </w:r>
      <w:r w:rsidR="004D37E3">
        <w:t>financial benefit for the gambling assets</w:t>
      </w:r>
      <w:r w:rsidR="0065155C">
        <w:t xml:space="preserve"> that support them</w:t>
      </w:r>
      <w:r w:rsidR="001E6A9A">
        <w:t>.</w:t>
      </w:r>
      <w:r w:rsidR="007B0B68">
        <w:t xml:space="preserve">  </w:t>
      </w:r>
      <w:r w:rsidR="008F5D4D">
        <w:t xml:space="preserve">The aforementioned ABC article quotes Monash University’s Charles Livingstone, who identifies that the Labor party is “impossibly compromised” by this when it comes to regulating gambling machines.  </w:t>
      </w:r>
      <w:r w:rsidR="007B0B68">
        <w:t xml:space="preserve">The </w:t>
      </w:r>
      <w:r w:rsidR="00303D84">
        <w:t>ability of the Labor party to run elections in a manner with which it is accustomed</w:t>
      </w:r>
      <w:r w:rsidR="004F7573">
        <w:t xml:space="preserve"> is </w:t>
      </w:r>
      <w:r w:rsidR="003A13AE">
        <w:t xml:space="preserve">effectively </w:t>
      </w:r>
      <w:r w:rsidR="004F7573">
        <w:t>entrenched with the fortunes of gambling license-holders</w:t>
      </w:r>
      <w:r w:rsidR="00BE5CED">
        <w:t xml:space="preserve">, and this has the practical effect of severely limiting the access </w:t>
      </w:r>
      <w:r w:rsidR="006B60C4">
        <w:t xml:space="preserve">and influence </w:t>
      </w:r>
      <w:r w:rsidR="00BE5CED">
        <w:t xml:space="preserve">of other stakeholders to political </w:t>
      </w:r>
      <w:r w:rsidR="00CD7343">
        <w:t xml:space="preserve">and government </w:t>
      </w:r>
      <w:r w:rsidR="00BE5CED">
        <w:t>decision-making</w:t>
      </w:r>
      <w:r w:rsidR="008A23DF">
        <w:t xml:space="preserve"> – a fundamental tenant of the implied freedom</w:t>
      </w:r>
      <w:r w:rsidR="004F7573">
        <w:t xml:space="preserve">.  </w:t>
      </w:r>
    </w:p>
    <w:p w14:paraId="4C70F0C7" w14:textId="3912C436" w:rsidR="00C34FA3" w:rsidRDefault="00C34FA3">
      <w:r>
        <w:t xml:space="preserve">Unlike </w:t>
      </w:r>
      <w:r w:rsidR="00781120">
        <w:t>in the case of property developers presenting a corrupting influence on representative democracy, the evidence lies not in the decisions taken, but in the inaction</w:t>
      </w:r>
      <w:r w:rsidR="00777C2C">
        <w:t xml:space="preserve"> </w:t>
      </w:r>
      <w:r w:rsidR="00C7522B">
        <w:t xml:space="preserve">and </w:t>
      </w:r>
      <w:r w:rsidR="006167A8">
        <w:t>resistance to</w:t>
      </w:r>
      <w:r w:rsidR="00C7522B">
        <w:t xml:space="preserve"> action </w:t>
      </w:r>
      <w:r w:rsidR="00777C2C">
        <w:t xml:space="preserve">over the </w:t>
      </w:r>
      <w:r w:rsidR="00EA1E53">
        <w:t>period since the formation of a</w:t>
      </w:r>
      <w:r w:rsidR="0000284F">
        <w:t>n ACT</w:t>
      </w:r>
      <w:r w:rsidR="00EA1E53">
        <w:t xml:space="preserve"> Labor Government in October 2000</w:t>
      </w:r>
      <w:r w:rsidR="00781120">
        <w:t>.</w:t>
      </w:r>
      <w:r w:rsidR="002F7994">
        <w:t xml:space="preserve">  The gambling industry benefits from the minimum possible regulation being in place</w:t>
      </w:r>
      <w:r w:rsidR="00996502">
        <w:t xml:space="preserve">, such that efforts to enhance </w:t>
      </w:r>
      <w:r w:rsidR="00024321">
        <w:t xml:space="preserve">regulations and </w:t>
      </w:r>
      <w:r w:rsidR="00996502">
        <w:t>restrictions</w:t>
      </w:r>
      <w:r w:rsidR="00024321">
        <w:t xml:space="preserve"> upon the industry are stymied, and such that what regulation remains in place is of such a nature as to </w:t>
      </w:r>
      <w:r w:rsidR="00515573">
        <w:t>not threaten the profitability of gambling operations</w:t>
      </w:r>
      <w:r w:rsidR="00024321">
        <w:t>.</w:t>
      </w:r>
    </w:p>
    <w:p w14:paraId="15A27023" w14:textId="460E0ECA" w:rsidR="00E32EEC" w:rsidRDefault="00E32EEC">
      <w:r>
        <w:t xml:space="preserve">The historic records </w:t>
      </w:r>
      <w:r w:rsidR="00B41FDD">
        <w:t>show</w:t>
      </w:r>
      <w:r>
        <w:t xml:space="preserve"> that, on at least </w:t>
      </w:r>
      <w:r w:rsidR="002A18CF">
        <w:t xml:space="preserve">four occasions since 1999, the public service and independent experts have presented the government with </w:t>
      </w:r>
      <w:r w:rsidR="00B41FDD">
        <w:t xml:space="preserve">compelling </w:t>
      </w:r>
      <w:r w:rsidR="002A18CF">
        <w:t xml:space="preserve">evidence that a centralised monitoring system (CMS) is necessary to ensure effective regulation </w:t>
      </w:r>
      <w:r w:rsidR="001B09AC">
        <w:t>of electronic gaming machines into the future.</w:t>
      </w:r>
      <w:r w:rsidR="00BF0110">
        <w:t xml:space="preserve">  </w:t>
      </w:r>
      <w:r w:rsidR="00E442D8">
        <w:t>The four identifiable instances are:</w:t>
      </w:r>
    </w:p>
    <w:p w14:paraId="3267CF25" w14:textId="73BD71F3" w:rsidR="00E442D8" w:rsidRDefault="00E442D8" w:rsidP="00E442D8">
      <w:pPr>
        <w:numPr>
          <w:ilvl w:val="0"/>
          <w:numId w:val="5"/>
        </w:numPr>
      </w:pPr>
      <w:r>
        <w:t>In 1999, before</w:t>
      </w:r>
      <w:r w:rsidR="00C346DE">
        <w:t xml:space="preserve"> an inquiry by the</w:t>
      </w:r>
      <w:r w:rsidR="003B0E10">
        <w:t xml:space="preserve"> Select Committee on Gambling of the 4</w:t>
      </w:r>
      <w:r w:rsidR="003B0E10" w:rsidRPr="003B0E10">
        <w:rPr>
          <w:vertAlign w:val="superscript"/>
        </w:rPr>
        <w:t>th</w:t>
      </w:r>
      <w:r w:rsidR="003B0E10">
        <w:t xml:space="preserve"> Assembly.</w:t>
      </w:r>
      <w:r w:rsidR="00E6145D">
        <w:rPr>
          <w:rStyle w:val="FootnoteReference"/>
        </w:rPr>
        <w:footnoteReference w:id="6"/>
      </w:r>
    </w:p>
    <w:p w14:paraId="772D01AB" w14:textId="52F6ADDB" w:rsidR="000E7CE8" w:rsidRDefault="000E7CE8" w:rsidP="00E442D8">
      <w:pPr>
        <w:numPr>
          <w:ilvl w:val="0"/>
          <w:numId w:val="5"/>
        </w:numPr>
      </w:pPr>
      <w:r>
        <w:t xml:space="preserve">In 2004, amidst the creation of CMS-approving regulatory powers </w:t>
      </w:r>
      <w:r w:rsidR="004D2F40">
        <w:t xml:space="preserve">in </w:t>
      </w:r>
      <w:r w:rsidR="00E37237">
        <w:t xml:space="preserve">Part 5 of the </w:t>
      </w:r>
      <w:r w:rsidR="00E37237" w:rsidRPr="00E37237">
        <w:rPr>
          <w:i/>
          <w:iCs/>
        </w:rPr>
        <w:t>Gaming Machine Act 2004</w:t>
      </w:r>
      <w:r w:rsidR="00E37237">
        <w:t xml:space="preserve"> </w:t>
      </w:r>
      <w:r>
        <w:t xml:space="preserve">that </w:t>
      </w:r>
      <w:r w:rsidR="00634DC4">
        <w:t>have</w:t>
      </w:r>
      <w:r>
        <w:t xml:space="preserve"> never enlivened</w:t>
      </w:r>
      <w:r w:rsidR="00634DC4">
        <w:t>, which is not the normal expectation</w:t>
      </w:r>
      <w:r>
        <w:t>.</w:t>
      </w:r>
      <w:r w:rsidR="00634DC4">
        <w:rPr>
          <w:rStyle w:val="FootnoteReference"/>
        </w:rPr>
        <w:footnoteReference w:id="7"/>
      </w:r>
    </w:p>
    <w:p w14:paraId="203AB987" w14:textId="4FB8C541" w:rsidR="00634DC4" w:rsidRDefault="00C346DE" w:rsidP="00E442D8">
      <w:pPr>
        <w:numPr>
          <w:ilvl w:val="0"/>
          <w:numId w:val="5"/>
        </w:numPr>
      </w:pPr>
      <w:r>
        <w:t>In 2015, before an inquiry by the Public Accounts Committee of the 8</w:t>
      </w:r>
      <w:r w:rsidRPr="00C346DE">
        <w:rPr>
          <w:vertAlign w:val="superscript"/>
        </w:rPr>
        <w:t>th</w:t>
      </w:r>
      <w:r>
        <w:t xml:space="preserve"> Assembly.</w:t>
      </w:r>
      <w:r>
        <w:rPr>
          <w:rStyle w:val="FootnoteReference"/>
        </w:rPr>
        <w:footnoteReference w:id="8"/>
      </w:r>
    </w:p>
    <w:p w14:paraId="4B0A18DA" w14:textId="169A27B6" w:rsidR="00C346DE" w:rsidRDefault="00440AB1" w:rsidP="00E442D8">
      <w:pPr>
        <w:numPr>
          <w:ilvl w:val="0"/>
          <w:numId w:val="5"/>
        </w:numPr>
      </w:pPr>
      <w:r>
        <w:t xml:space="preserve">In 2024, before </w:t>
      </w:r>
      <w:r w:rsidR="00E71E15">
        <w:t>an inquiry by the Justice and Community Safety Committee of the 10</w:t>
      </w:r>
      <w:r w:rsidR="00E71E15" w:rsidRPr="00E71E15">
        <w:rPr>
          <w:vertAlign w:val="superscript"/>
        </w:rPr>
        <w:t>th</w:t>
      </w:r>
      <w:r w:rsidR="00E71E15">
        <w:t xml:space="preserve"> Assembly.</w:t>
      </w:r>
      <w:r w:rsidR="00B41FDD">
        <w:rPr>
          <w:rStyle w:val="FootnoteReference"/>
        </w:rPr>
        <w:footnoteReference w:id="9"/>
      </w:r>
    </w:p>
    <w:p w14:paraId="0D9EBAFA" w14:textId="57C1AB02" w:rsidR="002D4BC8" w:rsidRDefault="00A12C82" w:rsidP="00120BB8">
      <w:r>
        <w:t xml:space="preserve">Despite an authorising environment for the public service to </w:t>
      </w:r>
      <w:r w:rsidR="00120BB8">
        <w:t>investigate or develop reforms for a centralised monitoring system, t</w:t>
      </w:r>
      <w:r w:rsidR="005C5C36">
        <w:t xml:space="preserve">he </w:t>
      </w:r>
      <w:r w:rsidR="00BA6582">
        <w:t xml:space="preserve">ACT </w:t>
      </w:r>
      <w:r w:rsidR="005C5C36">
        <w:t xml:space="preserve">government has repeatedly not acted on </w:t>
      </w:r>
      <w:r w:rsidR="00793FB7">
        <w:t xml:space="preserve">compelling </w:t>
      </w:r>
      <w:r w:rsidR="005C5C36">
        <w:t xml:space="preserve">evidence and </w:t>
      </w:r>
      <w:r w:rsidR="00793FB7">
        <w:t xml:space="preserve">quality </w:t>
      </w:r>
      <w:r w:rsidR="005C5C36">
        <w:t>advice</w:t>
      </w:r>
      <w:r w:rsidR="00120BB8">
        <w:t xml:space="preserve"> before it</w:t>
      </w:r>
      <w:r w:rsidR="003B6964">
        <w:t xml:space="preserve"> or on the recommendations from Assembly Committees</w:t>
      </w:r>
      <w:r w:rsidR="005C5C36">
        <w:t>.</w:t>
      </w:r>
    </w:p>
    <w:p w14:paraId="2666BD29" w14:textId="075F6EF7" w:rsidR="00CB5322" w:rsidRDefault="00971BB3" w:rsidP="00465193">
      <w:r>
        <w:t>In the m</w:t>
      </w:r>
      <w:r w:rsidR="00CB5322">
        <w:t>ost</w:t>
      </w:r>
      <w:r>
        <w:t xml:space="preserve"> </w:t>
      </w:r>
      <w:r w:rsidR="00CB5322">
        <w:t>recent</w:t>
      </w:r>
      <w:r>
        <w:t xml:space="preserve"> case</w:t>
      </w:r>
      <w:r w:rsidR="00CB5322">
        <w:t xml:space="preserve">, Minister Rattenbury as Minister for Gaming </w:t>
      </w:r>
      <w:r w:rsidR="00FD6564">
        <w:t xml:space="preserve">has sought to advance a proposal </w:t>
      </w:r>
      <w:r w:rsidR="00840D23">
        <w:t xml:space="preserve">for a CMS </w:t>
      </w:r>
      <w:r w:rsidR="00FD6564">
        <w:t>to cabinet</w:t>
      </w:r>
      <w:r w:rsidR="00840D23">
        <w:t xml:space="preserve">.  This proposal is predicated </w:t>
      </w:r>
      <w:r w:rsidR="00FD6564">
        <w:t xml:space="preserve">based on sound advice from his directorate </w:t>
      </w:r>
      <w:r w:rsidR="000E24A4">
        <w:t>that in the modern context</w:t>
      </w:r>
      <w:r w:rsidR="00840D23">
        <w:t xml:space="preserve"> of a data-</w:t>
      </w:r>
      <w:r w:rsidR="00D67A3F">
        <w:t>linked operational environment</w:t>
      </w:r>
      <w:r w:rsidR="00840D23">
        <w:t xml:space="preserve">, </w:t>
      </w:r>
      <w:r w:rsidR="00D67A3F">
        <w:t xml:space="preserve">a CMS is the essential backbone required to implement </w:t>
      </w:r>
      <w:r w:rsidR="00141431">
        <w:t xml:space="preserve">effective harm-minimisation in </w:t>
      </w:r>
      <w:r w:rsidR="001C5EC8">
        <w:t>gambling operations.  Minister Rattenbury has described fierce opposition from members of the parliamentary Labor party</w:t>
      </w:r>
      <w:r w:rsidR="00ED0B4A">
        <w:t>, including to describe his cabinet submissions as “being given the go-slow treatment”</w:t>
      </w:r>
      <w:r w:rsidR="00B55E8A">
        <w:t>.</w:t>
      </w:r>
      <w:r w:rsidR="003322E9">
        <w:rPr>
          <w:rStyle w:val="FootnoteReference"/>
        </w:rPr>
        <w:footnoteReference w:id="10"/>
      </w:r>
      <w:r w:rsidR="00B55E8A">
        <w:t xml:space="preserve">  </w:t>
      </w:r>
      <w:r w:rsidR="00FB4182">
        <w:t xml:space="preserve">This is evidence of </w:t>
      </w:r>
      <w:r w:rsidR="00B06450">
        <w:t>the obstruction of sound and evidence-based reforms.</w:t>
      </w:r>
    </w:p>
    <w:p w14:paraId="1E56638F" w14:textId="0FB61497" w:rsidR="003F63FF" w:rsidRDefault="003F63FF" w:rsidP="00465193">
      <w:r>
        <w:t xml:space="preserve">The parliamentary experience is that the parliamentary </w:t>
      </w:r>
      <w:r w:rsidR="00732822">
        <w:t xml:space="preserve">ACT </w:t>
      </w:r>
      <w:r w:rsidR="005A219A">
        <w:t xml:space="preserve">branch of the Australian </w:t>
      </w:r>
      <w:r>
        <w:t xml:space="preserve">Labor Party is, consistent with the description made by </w:t>
      </w:r>
      <w:r w:rsidR="005513D2">
        <w:t>Professor Livingstone, “impossibly compromised”</w:t>
      </w:r>
      <w:r w:rsidR="00DF0177">
        <w:t xml:space="preserve"> in the field of gambling reform through its association with gambling license-holders</w:t>
      </w:r>
      <w:r w:rsidR="005513D2">
        <w:t xml:space="preserve">.  </w:t>
      </w:r>
    </w:p>
    <w:p w14:paraId="56C3D1EE" w14:textId="2FD77FBA" w:rsidR="009A0E10" w:rsidRDefault="00EA423B">
      <w:r>
        <w:rPr>
          <w:u w:val="single"/>
        </w:rPr>
        <w:t>Necessary and A</w:t>
      </w:r>
      <w:r w:rsidR="00C03E05">
        <w:rPr>
          <w:u w:val="single"/>
        </w:rPr>
        <w:t>dequate</w:t>
      </w:r>
      <w:r w:rsidR="00051011">
        <w:rPr>
          <w:u w:val="single"/>
        </w:rPr>
        <w:t xml:space="preserve"> in Balance</w:t>
      </w:r>
      <w:r w:rsidR="00C03E05">
        <w:rPr>
          <w:u w:val="single"/>
        </w:rPr>
        <w:t>:</w:t>
      </w:r>
      <w:r w:rsidR="00C03E05" w:rsidRPr="00C03E05">
        <w:t xml:space="preserve"> </w:t>
      </w:r>
      <w:r>
        <w:t xml:space="preserve">It is clear </w:t>
      </w:r>
      <w:r w:rsidR="002775AE">
        <w:t xml:space="preserve">that as the problem is the </w:t>
      </w:r>
      <w:r w:rsidR="009A0E10">
        <w:t>conflict</w:t>
      </w:r>
      <w:r w:rsidR="002775AE">
        <w:t xml:space="preserve"> of interest between gambling license holders and political party groupings, only reforms which expressly target that relationship will be effective in achieving </w:t>
      </w:r>
      <w:r w:rsidR="009A0E10">
        <w:t xml:space="preserve">a rebalancing of access to the implied freedom.  This necessarily burdens the implied freedom in one way in order to make it more broadly </w:t>
      </w:r>
      <w:r w:rsidR="0037023C">
        <w:t>accessible.</w:t>
      </w:r>
    </w:p>
    <w:p w14:paraId="3E20B1C8" w14:textId="5C76142E" w:rsidR="00A2514C" w:rsidRDefault="00C03E05">
      <w:r>
        <w:t>Th</w:t>
      </w:r>
      <w:r w:rsidR="0037023C">
        <w:t>erefore, th</w:t>
      </w:r>
      <w:r>
        <w:t xml:space="preserve">e amendments very specifically target </w:t>
      </w:r>
      <w:r w:rsidR="009C5FA1">
        <w:t>a club’s ongoing association with a political party</w:t>
      </w:r>
      <w:r w:rsidR="000C2B7B">
        <w:t xml:space="preserve">, and only where the club also </w:t>
      </w:r>
      <w:r w:rsidR="006B3934">
        <w:t xml:space="preserve">wishes to </w:t>
      </w:r>
      <w:r w:rsidR="000C2B7B">
        <w:t>hold a license for the operation of electronic gaming machines</w:t>
      </w:r>
      <w:r w:rsidR="009C5FA1">
        <w:t>.</w:t>
      </w:r>
      <w:r w:rsidR="00451009">
        <w:t xml:space="preserve">  </w:t>
      </w:r>
      <w:r w:rsidR="006F13E6">
        <w:t xml:space="preserve">  </w:t>
      </w:r>
      <w:r w:rsidR="00451009">
        <w:t>The amendments do not restrict clubs from having political objectives more generally</w:t>
      </w:r>
      <w:r w:rsidR="00C077EB">
        <w:t xml:space="preserve"> under section </w:t>
      </w:r>
      <w:r w:rsidR="00C077EB" w:rsidRPr="00045102">
        <w:t>145(1)(a)(ii)</w:t>
      </w:r>
      <w:r w:rsidR="00C077EB">
        <w:t xml:space="preserve"> of the Act</w:t>
      </w:r>
      <w:r w:rsidR="00E6017F">
        <w:t xml:space="preserve">, and a club can maintain its links </w:t>
      </w:r>
      <w:r w:rsidR="00692E0E">
        <w:t xml:space="preserve">or establish new links </w:t>
      </w:r>
      <w:r w:rsidR="00E6017F">
        <w:t xml:space="preserve">to a specific political party if they divest themselves of </w:t>
      </w:r>
      <w:r w:rsidR="006F13E6">
        <w:t xml:space="preserve">their </w:t>
      </w:r>
      <w:r w:rsidR="00E6017F">
        <w:t xml:space="preserve">electronic gaming machine </w:t>
      </w:r>
      <w:r w:rsidR="006F13E6">
        <w:t>licenses</w:t>
      </w:r>
      <w:r w:rsidR="00E6017F">
        <w:t>.</w:t>
      </w:r>
      <w:r w:rsidR="006F13E6">
        <w:t xml:space="preserve">  </w:t>
      </w:r>
      <w:r w:rsidR="00A2514C">
        <w:t xml:space="preserve">A club can continue to publicly lobby and politically communicate, but they will be required to do </w:t>
      </w:r>
      <w:r w:rsidR="005E432B">
        <w:t xml:space="preserve">without </w:t>
      </w:r>
      <w:r w:rsidR="00A2514C">
        <w:t xml:space="preserve">the </w:t>
      </w:r>
      <w:r w:rsidR="002B1D32">
        <w:t xml:space="preserve">tools </w:t>
      </w:r>
      <w:r w:rsidR="005E432B">
        <w:t xml:space="preserve">for </w:t>
      </w:r>
      <w:r w:rsidR="00A2514C">
        <w:t>political capture</w:t>
      </w:r>
      <w:r w:rsidR="005E432B">
        <w:t xml:space="preserve"> which </w:t>
      </w:r>
      <w:r w:rsidR="00BE4CAF">
        <w:t>place a political party in a compromising conflict of interes</w:t>
      </w:r>
      <w:r w:rsidR="00262099">
        <w:t>t</w:t>
      </w:r>
      <w:r w:rsidR="00BE4CAF">
        <w:t>.</w:t>
      </w:r>
    </w:p>
    <w:p w14:paraId="3FF70EA4" w14:textId="48C56E9F" w:rsidR="00C077EB" w:rsidRDefault="00BC33BC">
      <w:r>
        <w:t>Individuals who are members of a club are in no way restricted from joining</w:t>
      </w:r>
      <w:r w:rsidR="008557CE">
        <w:t xml:space="preserve"> a political party </w:t>
      </w:r>
      <w:r w:rsidR="005A3AA6">
        <w:t>of their choice n</w:t>
      </w:r>
      <w:r w:rsidR="008557CE">
        <w:t xml:space="preserve">or restricted from engaging in political activities, be it through a club </w:t>
      </w:r>
      <w:r w:rsidR="00A35B83">
        <w:t>of which they are a member or otherwise.</w:t>
      </w:r>
    </w:p>
    <w:p w14:paraId="755AC8F4" w14:textId="606499C9" w:rsidR="00C03E05" w:rsidRDefault="006F13E6">
      <w:r>
        <w:t xml:space="preserve">Donations </w:t>
      </w:r>
      <w:r w:rsidR="00C94DFD">
        <w:t xml:space="preserve">made to political parties </w:t>
      </w:r>
      <w:r w:rsidR="00A303A2">
        <w:t xml:space="preserve">by gambling license-holders </w:t>
      </w:r>
      <w:r w:rsidR="00C94DFD">
        <w:t>are not in the scope of th</w:t>
      </w:r>
      <w:r w:rsidR="0039351D">
        <w:t>ese amendments</w:t>
      </w:r>
      <w:r w:rsidR="00351BFE">
        <w:t xml:space="preserve"> as they are not appropriate to legislate through this Act</w:t>
      </w:r>
      <w:r w:rsidR="00C94DFD">
        <w:t xml:space="preserve">, </w:t>
      </w:r>
      <w:r w:rsidR="00351BFE">
        <w:t>but they</w:t>
      </w:r>
      <w:r w:rsidR="00A303A2">
        <w:t xml:space="preserve"> may be a matter for</w:t>
      </w:r>
      <w:r w:rsidR="00C94DFD">
        <w:t xml:space="preserve"> future </w:t>
      </w:r>
      <w:r w:rsidR="00C077EB">
        <w:t>reviews of</w:t>
      </w:r>
      <w:r w:rsidR="00C94DFD">
        <w:t xml:space="preserve"> the </w:t>
      </w:r>
      <w:r w:rsidR="00C94DFD" w:rsidRPr="00C94DFD">
        <w:rPr>
          <w:i/>
          <w:iCs/>
        </w:rPr>
        <w:t>Electoral Act 1994</w:t>
      </w:r>
      <w:r w:rsidR="00C94DFD">
        <w:t>.</w:t>
      </w:r>
    </w:p>
    <w:p w14:paraId="7A3741B8" w14:textId="3C6A1901" w:rsidR="00B244CC" w:rsidRPr="00C03E05" w:rsidRDefault="00B244CC">
      <w:r>
        <w:t>In this manner, the restrictions on the implied freedom go no further than is necessary to achieve</w:t>
      </w:r>
      <w:r w:rsidR="00CD358B">
        <w:t xml:space="preserve"> an improvement in the health of the Australian democratic system.</w:t>
      </w:r>
    </w:p>
    <w:p w14:paraId="7F48FA1A" w14:textId="4107D364" w:rsidR="00B22E09" w:rsidRDefault="002457EA" w:rsidP="009E19B9">
      <w:pPr>
        <w:rPr>
          <w:b/>
          <w:bCs/>
        </w:rPr>
      </w:pPr>
      <w:r>
        <w:rPr>
          <w:b/>
          <w:bCs/>
        </w:rPr>
        <w:t>CLAUSE NOTES</w:t>
      </w:r>
    </w:p>
    <w:p w14:paraId="7E8E5B3C" w14:textId="6ADCC2CC" w:rsidR="00257ABA" w:rsidRDefault="00257ABA" w:rsidP="009E19B9">
      <w:pPr>
        <w:rPr>
          <w:b/>
          <w:bCs/>
        </w:rPr>
      </w:pPr>
      <w:r>
        <w:rPr>
          <w:b/>
          <w:bCs/>
        </w:rPr>
        <w:t>Clause 1 – Name of the Act</w:t>
      </w:r>
    </w:p>
    <w:p w14:paraId="0D3383EC" w14:textId="642A4B61" w:rsidR="00257ABA" w:rsidRPr="00257ABA" w:rsidRDefault="00B117E8" w:rsidP="009E19B9">
      <w:r w:rsidRPr="00B117E8">
        <w:t>The name of the Act is amended to the Gaming Machine Amendment Act 2024, reflecting the broader scope included in the bill once these amendments are passed.</w:t>
      </w:r>
    </w:p>
    <w:p w14:paraId="58256BF2" w14:textId="3F873D9F" w:rsidR="00B22E09" w:rsidRDefault="00FE465C" w:rsidP="009E19B9">
      <w:pPr>
        <w:rPr>
          <w:b/>
          <w:bCs/>
        </w:rPr>
      </w:pPr>
      <w:r>
        <w:rPr>
          <w:b/>
          <w:bCs/>
        </w:rPr>
        <w:t xml:space="preserve">Clause </w:t>
      </w:r>
      <w:r w:rsidR="005C7CFD">
        <w:rPr>
          <w:b/>
          <w:bCs/>
        </w:rPr>
        <w:t>2</w:t>
      </w:r>
      <w:r w:rsidR="002457EA">
        <w:rPr>
          <w:b/>
          <w:bCs/>
        </w:rPr>
        <w:t xml:space="preserve"> – </w:t>
      </w:r>
      <w:r w:rsidR="00F759D5">
        <w:rPr>
          <w:b/>
          <w:bCs/>
        </w:rPr>
        <w:t>Commencement provisions</w:t>
      </w:r>
    </w:p>
    <w:p w14:paraId="4E48E046" w14:textId="7CFEB0B2" w:rsidR="00867E2A" w:rsidRPr="00113E07" w:rsidRDefault="00F759D5" w:rsidP="009E19B9">
      <w:r>
        <w:t xml:space="preserve">This amends the commencement provisions, so that elements introduced in these amendments </w:t>
      </w:r>
      <w:r w:rsidR="000724F6">
        <w:t xml:space="preserve">will commence 12 months after the </w:t>
      </w:r>
      <w:r w:rsidR="008839E8">
        <w:t xml:space="preserve">bill’s notification </w:t>
      </w:r>
      <w:r w:rsidR="00C415AE">
        <w:t>day, but that the rest of the bill will remain as commencing on the day after the bill’s notification day.</w:t>
      </w:r>
    </w:p>
    <w:p w14:paraId="7F2F135D" w14:textId="2C5A9DAC" w:rsidR="00AC5091" w:rsidRDefault="00AC5091" w:rsidP="009E19B9">
      <w:pPr>
        <w:rPr>
          <w:b/>
          <w:bCs/>
        </w:rPr>
      </w:pPr>
      <w:r>
        <w:rPr>
          <w:b/>
          <w:bCs/>
        </w:rPr>
        <w:t xml:space="preserve">Clause </w:t>
      </w:r>
      <w:r w:rsidR="00D3463B">
        <w:rPr>
          <w:b/>
          <w:bCs/>
        </w:rPr>
        <w:t>3</w:t>
      </w:r>
      <w:r>
        <w:rPr>
          <w:b/>
          <w:bCs/>
        </w:rPr>
        <w:t xml:space="preserve"> </w:t>
      </w:r>
      <w:r w:rsidR="0095280E">
        <w:rPr>
          <w:b/>
          <w:bCs/>
        </w:rPr>
        <w:t>–</w:t>
      </w:r>
      <w:r>
        <w:rPr>
          <w:b/>
          <w:bCs/>
        </w:rPr>
        <w:t xml:space="preserve"> </w:t>
      </w:r>
      <w:r w:rsidR="00B56A3C">
        <w:rPr>
          <w:b/>
          <w:bCs/>
        </w:rPr>
        <w:t>Eligible Objects and Eligible Clubs</w:t>
      </w:r>
    </w:p>
    <w:p w14:paraId="1B576106" w14:textId="25DFE3C7" w:rsidR="00235868" w:rsidRDefault="00B7239F" w:rsidP="0096244A">
      <w:r>
        <w:t>This adds new clauses 7</w:t>
      </w:r>
      <w:r w:rsidR="00D3463B">
        <w:t>A</w:t>
      </w:r>
      <w:r>
        <w:t xml:space="preserve"> to 7</w:t>
      </w:r>
      <w:r w:rsidR="00AC13E1">
        <w:t>G</w:t>
      </w:r>
      <w:r w:rsidR="00817596">
        <w:t xml:space="preserve"> to the bill.</w:t>
      </w:r>
    </w:p>
    <w:p w14:paraId="335FDF4D" w14:textId="20A6A635" w:rsidR="00817596" w:rsidRPr="00A825F4" w:rsidRDefault="00817596" w:rsidP="0096244A">
      <w:r>
        <w:t>7</w:t>
      </w:r>
      <w:r w:rsidR="00DC2C20">
        <w:t>A</w:t>
      </w:r>
      <w:r>
        <w:t xml:space="preserve"> introduces a new section 145(1A) which clarifies that </w:t>
      </w:r>
      <w:r w:rsidR="005A3884">
        <w:t xml:space="preserve">an </w:t>
      </w:r>
      <w:r w:rsidR="00206F6B" w:rsidRPr="00206F6B">
        <w:rPr>
          <w:i/>
          <w:iCs/>
        </w:rPr>
        <w:t>e</w:t>
      </w:r>
      <w:r w:rsidR="005A3884" w:rsidRPr="00206F6B">
        <w:rPr>
          <w:i/>
          <w:iCs/>
        </w:rPr>
        <w:t xml:space="preserve">ligible </w:t>
      </w:r>
      <w:r w:rsidR="00206F6B" w:rsidRPr="00206F6B">
        <w:rPr>
          <w:i/>
          <w:iCs/>
        </w:rPr>
        <w:t>o</w:t>
      </w:r>
      <w:r w:rsidR="005A3884" w:rsidRPr="00206F6B">
        <w:rPr>
          <w:i/>
          <w:iCs/>
        </w:rPr>
        <w:t>bject</w:t>
      </w:r>
      <w:r w:rsidR="005A3884">
        <w:t xml:space="preserve"> of a club under the Act</w:t>
      </w:r>
      <w:r w:rsidR="006C7C23">
        <w:t xml:space="preserve"> precludes objects which further or promote on</w:t>
      </w:r>
      <w:r w:rsidR="006C7C23" w:rsidRPr="00A825F4">
        <w:t>ly 1 party</w:t>
      </w:r>
      <w:r w:rsidR="00C60D66" w:rsidRPr="00A825F4">
        <w:t xml:space="preserve"> </w:t>
      </w:r>
      <w:r w:rsidR="00786CCF" w:rsidRPr="00A825F4">
        <w:t>grouping</w:t>
      </w:r>
      <w:r w:rsidR="000E3EB0" w:rsidRPr="00A825F4">
        <w:t xml:space="preserve"> or associated entity</w:t>
      </w:r>
      <w:r w:rsidR="00786CCF" w:rsidRPr="00A825F4">
        <w:t xml:space="preserve">, </w:t>
      </w:r>
      <w:r w:rsidR="00C60D66" w:rsidRPr="00A825F4">
        <w:t>or which have substantially the same objective as this</w:t>
      </w:r>
      <w:r w:rsidR="006C7C23" w:rsidRPr="00A825F4">
        <w:t>.</w:t>
      </w:r>
      <w:r w:rsidR="00BB4645" w:rsidRPr="00A825F4">
        <w:t xml:space="preserve">  </w:t>
      </w:r>
    </w:p>
    <w:p w14:paraId="42C73D21" w14:textId="6A9D3295" w:rsidR="00392ED8" w:rsidRDefault="00392ED8" w:rsidP="0096244A">
      <w:r w:rsidRPr="00A825F4">
        <w:t>7</w:t>
      </w:r>
      <w:r w:rsidR="00A825F4" w:rsidRPr="00A825F4">
        <w:t>B</w:t>
      </w:r>
      <w:r w:rsidRPr="00A825F4">
        <w:t xml:space="preserve"> </w:t>
      </w:r>
      <w:r w:rsidR="00A07211" w:rsidRPr="00A825F4">
        <w:t>inserts at section 145(3) the definition of a party</w:t>
      </w:r>
      <w:r w:rsidR="00E416F7" w:rsidRPr="00A825F4">
        <w:t xml:space="preserve"> grouping</w:t>
      </w:r>
      <w:r w:rsidR="00A825F4" w:rsidRPr="00A825F4">
        <w:t xml:space="preserve"> and associ</w:t>
      </w:r>
      <w:r w:rsidR="00A825F4">
        <w:t>ated entity</w:t>
      </w:r>
      <w:r w:rsidR="00A07211">
        <w:t xml:space="preserve">, by reference to the </w:t>
      </w:r>
      <w:r w:rsidR="00A07211" w:rsidRPr="00A07211">
        <w:rPr>
          <w:i/>
          <w:iCs/>
        </w:rPr>
        <w:t>Electoral Act 1992</w:t>
      </w:r>
      <w:r w:rsidR="00A07211">
        <w:t>.</w:t>
      </w:r>
    </w:p>
    <w:p w14:paraId="7704E613" w14:textId="44BACBB3" w:rsidR="00C67A5B" w:rsidRDefault="00C67A5B" w:rsidP="0096244A">
      <w:r>
        <w:t>7</w:t>
      </w:r>
      <w:r w:rsidR="00A825F4">
        <w:t>C</w:t>
      </w:r>
      <w:r>
        <w:t xml:space="preserve"> </w:t>
      </w:r>
      <w:r w:rsidR="00490C90">
        <w:t>substitutes sections 146(b)(ii) and 146(c)</w:t>
      </w:r>
      <w:r w:rsidR="001F6269">
        <w:t xml:space="preserve"> to clarify </w:t>
      </w:r>
      <w:r w:rsidR="00DF6B89">
        <w:t>how the eligible objects of a club are assessed to discern if the club is an eligible club</w:t>
      </w:r>
      <w:r w:rsidR="00116CE9">
        <w:t xml:space="preserve">, such that the new ineligible object created </w:t>
      </w:r>
      <w:r w:rsidR="009C1AD8">
        <w:t>in section 145(1A) must not be within the club’s statement of objects</w:t>
      </w:r>
      <w:r w:rsidR="005D724D">
        <w:t xml:space="preserve"> at all, as distinct from </w:t>
      </w:r>
      <w:r w:rsidR="004B4D5C">
        <w:t xml:space="preserve">being precluded from only </w:t>
      </w:r>
      <w:r w:rsidR="005D724D">
        <w:t>their main objects.</w:t>
      </w:r>
    </w:p>
    <w:p w14:paraId="528808B0" w14:textId="75993658" w:rsidR="0071018A" w:rsidRDefault="00F627C2" w:rsidP="0096244A">
      <w:r>
        <w:t xml:space="preserve">7D </w:t>
      </w:r>
      <w:r w:rsidR="005E1C6B">
        <w:t xml:space="preserve">inserts </w:t>
      </w:r>
      <w:r w:rsidR="00996DF0">
        <w:t xml:space="preserve">a new section 146(2) containing </w:t>
      </w:r>
      <w:r w:rsidR="0014508C">
        <w:t xml:space="preserve">a </w:t>
      </w:r>
      <w:r w:rsidR="006E2BB0">
        <w:t>definition</w:t>
      </w:r>
      <w:r w:rsidR="00824ED5">
        <w:t xml:space="preserve"> of a party grouping and associated entity, with reference to section 145(3)</w:t>
      </w:r>
      <w:r w:rsidR="00645341">
        <w:t>, created at 7B above.</w:t>
      </w:r>
    </w:p>
    <w:p w14:paraId="31FD27F8" w14:textId="70BF1981" w:rsidR="00B34EB7" w:rsidRDefault="00517B69" w:rsidP="0096244A">
      <w:r>
        <w:t>7</w:t>
      </w:r>
      <w:r w:rsidR="00F4142F">
        <w:t>E</w:t>
      </w:r>
      <w:r>
        <w:t xml:space="preserve"> omits the words ‘or a registered party’ from section 147(2)(d)</w:t>
      </w:r>
      <w:r w:rsidR="00254BEF">
        <w:t>.</w:t>
      </w:r>
      <w:r w:rsidR="00E8559C">
        <w:t xml:space="preserve">  This </w:t>
      </w:r>
      <w:r w:rsidR="006E29DA">
        <w:t>is a technical amendmen</w:t>
      </w:r>
      <w:r w:rsidR="00F74A9E">
        <w:t xml:space="preserve">t, as </w:t>
      </w:r>
      <w:r w:rsidR="0014430D">
        <w:t xml:space="preserve">retaining this language would </w:t>
      </w:r>
      <w:r w:rsidR="008F190B">
        <w:t xml:space="preserve">otherwise </w:t>
      </w:r>
      <w:r w:rsidR="00F74A9E">
        <w:t xml:space="preserve">be </w:t>
      </w:r>
      <w:r w:rsidR="00FC1B13">
        <w:t>inconsistent</w:t>
      </w:r>
      <w:r w:rsidR="00F74A9E">
        <w:t xml:space="preserve"> </w:t>
      </w:r>
      <w:r w:rsidR="00462B81">
        <w:t xml:space="preserve">with the </w:t>
      </w:r>
      <w:r w:rsidR="0075130F">
        <w:t xml:space="preserve">amendments to the definition of an </w:t>
      </w:r>
      <w:r w:rsidR="0075130F">
        <w:rPr>
          <w:i/>
          <w:iCs/>
        </w:rPr>
        <w:t>eligible object</w:t>
      </w:r>
      <w:r w:rsidR="008F627D">
        <w:t>.</w:t>
      </w:r>
    </w:p>
    <w:p w14:paraId="105AACDD" w14:textId="6D928BA3" w:rsidR="00C67A5B" w:rsidRDefault="00781908" w:rsidP="0096244A">
      <w:r>
        <w:t>7</w:t>
      </w:r>
      <w:r w:rsidR="00087084">
        <w:t>F</w:t>
      </w:r>
      <w:r>
        <w:t xml:space="preserve"> </w:t>
      </w:r>
      <w:r w:rsidR="00E96520">
        <w:t xml:space="preserve">substitutes sections 147(2)(e)(ii) and </w:t>
      </w:r>
      <w:r w:rsidR="00AE208B">
        <w:t xml:space="preserve">147(2)(f) in a similar manner to </w:t>
      </w:r>
      <w:r w:rsidR="00800EB6">
        <w:t>7</w:t>
      </w:r>
      <w:r w:rsidR="003A20EA">
        <w:t>C</w:t>
      </w:r>
      <w:r w:rsidR="00AE208B">
        <w:t>, such that the same requirements apply when declaring that an entity is an associated organisation for a club.</w:t>
      </w:r>
      <w:r w:rsidR="00417A56">
        <w:t xml:space="preserve">  It can be noted that this will make it </w:t>
      </w:r>
      <w:r w:rsidR="0044641B">
        <w:t>impossible for a political party to be declared as an associated entity of a club, because all political parties include in their objects</w:t>
      </w:r>
      <w:r w:rsidR="002247C7">
        <w:t xml:space="preserve">, </w:t>
      </w:r>
      <w:r w:rsidR="008B1F4D">
        <w:t>directly or indirectly,</w:t>
      </w:r>
      <w:r w:rsidR="00E77BE9">
        <w:t xml:space="preserve"> the furthering or promotion of the</w:t>
      </w:r>
      <w:r w:rsidR="0099400E">
        <w:t>mselves</w:t>
      </w:r>
      <w:r w:rsidR="00E77BE9">
        <w:t>.</w:t>
      </w:r>
    </w:p>
    <w:p w14:paraId="6305A222" w14:textId="1D35A951" w:rsidR="00377CE2" w:rsidRPr="00515C90" w:rsidRDefault="00377CE2" w:rsidP="0096244A">
      <w:r>
        <w:t>7G inserts a new section 147(4) containing a definition of a party grouping and associated entity, with reference to section 145(3), created at 7B above.</w:t>
      </w:r>
    </w:p>
    <w:sectPr w:rsidR="00377CE2" w:rsidRPr="00515C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110A5" w14:textId="77777777" w:rsidR="00EE42E9" w:rsidRDefault="00EE42E9" w:rsidP="000C0253">
      <w:pPr>
        <w:spacing w:after="0" w:line="240" w:lineRule="auto"/>
      </w:pPr>
      <w:r>
        <w:separator/>
      </w:r>
    </w:p>
  </w:endnote>
  <w:endnote w:type="continuationSeparator" w:id="0">
    <w:p w14:paraId="15B3A53A" w14:textId="77777777" w:rsidR="00EE42E9" w:rsidRDefault="00EE42E9" w:rsidP="000C0253">
      <w:pPr>
        <w:spacing w:after="0" w:line="240" w:lineRule="auto"/>
      </w:pPr>
      <w:r>
        <w:continuationSeparator/>
      </w:r>
    </w:p>
  </w:endnote>
  <w:endnote w:type="continuationNotice" w:id="1">
    <w:p w14:paraId="66D5D3EC" w14:textId="77777777" w:rsidR="00EE42E9" w:rsidRDefault="00EE4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02B03" w14:textId="77777777" w:rsidR="00EE42E9" w:rsidRDefault="00EE42E9" w:rsidP="000C0253">
      <w:pPr>
        <w:spacing w:after="0" w:line="240" w:lineRule="auto"/>
      </w:pPr>
      <w:r>
        <w:separator/>
      </w:r>
    </w:p>
  </w:footnote>
  <w:footnote w:type="continuationSeparator" w:id="0">
    <w:p w14:paraId="6FECDE1F" w14:textId="77777777" w:rsidR="00EE42E9" w:rsidRDefault="00EE42E9" w:rsidP="000C0253">
      <w:pPr>
        <w:spacing w:after="0" w:line="240" w:lineRule="auto"/>
      </w:pPr>
      <w:r>
        <w:continuationSeparator/>
      </w:r>
    </w:p>
  </w:footnote>
  <w:footnote w:type="continuationNotice" w:id="1">
    <w:p w14:paraId="6FC97E4A" w14:textId="77777777" w:rsidR="00EE42E9" w:rsidRDefault="00EE42E9">
      <w:pPr>
        <w:spacing w:after="0" w:line="240" w:lineRule="auto"/>
      </w:pPr>
    </w:p>
  </w:footnote>
  <w:footnote w:id="2">
    <w:p w14:paraId="0D13D7B0" w14:textId="77777777" w:rsidR="00C22101" w:rsidRDefault="00C22101" w:rsidP="00C22101">
      <w:pPr>
        <w:pStyle w:val="FootnoteText"/>
      </w:pPr>
      <w:r>
        <w:rPr>
          <w:rStyle w:val="FootnoteReference"/>
        </w:rPr>
        <w:footnoteRef/>
      </w:r>
      <w:r>
        <w:t xml:space="preserve"> </w:t>
      </w:r>
      <w:hyperlink r:id="rId1" w:history="1">
        <w:r w:rsidRPr="00FF245F">
          <w:rPr>
            <w:rStyle w:val="Hyperlink"/>
          </w:rPr>
          <w:t>https://eresources.hcourt.gov.au/showCase/2015/HCA/34</w:t>
        </w:r>
      </w:hyperlink>
      <w:r>
        <w:t xml:space="preserve"> </w:t>
      </w:r>
    </w:p>
  </w:footnote>
  <w:footnote w:id="3">
    <w:p w14:paraId="5EA39BC8" w14:textId="1C164BBA" w:rsidR="00D50871" w:rsidRDefault="00D50871">
      <w:pPr>
        <w:pStyle w:val="FootnoteText"/>
      </w:pPr>
      <w:r>
        <w:rPr>
          <w:rStyle w:val="FootnoteReference"/>
        </w:rPr>
        <w:footnoteRef/>
      </w:r>
      <w:r>
        <w:t xml:space="preserve"> See paragraph </w:t>
      </w:r>
      <w:r w:rsidR="00ED0ADD">
        <w:t>36</w:t>
      </w:r>
      <w:r w:rsidR="00A50170">
        <w:t xml:space="preserve"> of </w:t>
      </w:r>
      <w:r w:rsidR="00A50170">
        <w:rPr>
          <w:i/>
          <w:iCs/>
        </w:rPr>
        <w:t>McCloy</w:t>
      </w:r>
      <w:r w:rsidR="00ED0ADD">
        <w:t>.</w:t>
      </w:r>
    </w:p>
  </w:footnote>
  <w:footnote w:id="4">
    <w:p w14:paraId="3BCE3135" w14:textId="59E2A825" w:rsidR="00407FBD" w:rsidRDefault="00407FBD">
      <w:pPr>
        <w:pStyle w:val="FootnoteText"/>
      </w:pPr>
      <w:r>
        <w:rPr>
          <w:rStyle w:val="FootnoteReference"/>
        </w:rPr>
        <w:footnoteRef/>
      </w:r>
      <w:r>
        <w:t xml:space="preserve"> </w:t>
      </w:r>
      <w:hyperlink r:id="rId2" w:history="1">
        <w:r w:rsidRPr="00D70734">
          <w:rPr>
            <w:rStyle w:val="Hyperlink"/>
          </w:rPr>
          <w:t>https://www.abc.net.au/news/2021-10-14/how-the-gambling-industry-cashed-in-on-political-donations/100509026</w:t>
        </w:r>
      </w:hyperlink>
      <w:r>
        <w:t xml:space="preserve"> </w:t>
      </w:r>
    </w:p>
  </w:footnote>
  <w:footnote w:id="5">
    <w:p w14:paraId="2DE95F3F" w14:textId="193EE98F" w:rsidR="002D1D7A" w:rsidRDefault="002D1D7A">
      <w:pPr>
        <w:pStyle w:val="FootnoteText"/>
      </w:pPr>
      <w:r>
        <w:rPr>
          <w:rStyle w:val="FootnoteReference"/>
        </w:rPr>
        <w:footnoteRef/>
      </w:r>
      <w:r>
        <w:t xml:space="preserve"> Evidence is available in the </w:t>
      </w:r>
      <w:r w:rsidR="002A21BE">
        <w:t>a</w:t>
      </w:r>
      <w:r>
        <w:t xml:space="preserve">nnual returns to </w:t>
      </w:r>
      <w:r w:rsidR="00BC7B73">
        <w:t xml:space="preserve">Elections ACT.  Capital transfers from the Canberra Labor Club to the 1973 Foundation are shown in the </w:t>
      </w:r>
      <w:r w:rsidR="00AB50A7">
        <w:t xml:space="preserve">returns for </w:t>
      </w:r>
      <w:r w:rsidR="00A85752">
        <w:t xml:space="preserve">2011-12 </w:t>
      </w:r>
      <w:r w:rsidR="0094195C">
        <w:t>($3.6m)</w:t>
      </w:r>
      <w:r w:rsidR="00D038B4">
        <w:t xml:space="preserve"> and 2013-14 (</w:t>
      </w:r>
      <w:r w:rsidR="003B182C">
        <w:t>$2.5m)</w:t>
      </w:r>
      <w:r w:rsidR="002A21BE">
        <w:t xml:space="preserve">. </w:t>
      </w:r>
      <w:hyperlink r:id="rId3" w:history="1">
        <w:r w:rsidR="002A21BE" w:rsidRPr="00D70734">
          <w:rPr>
            <w:rStyle w:val="Hyperlink"/>
          </w:rPr>
          <w:t>https://www.elections.act.gov.au/funding-disclosures-and-registers/annual-returns</w:t>
        </w:r>
      </w:hyperlink>
      <w:r w:rsidR="002A21BE">
        <w:t xml:space="preserve"> </w:t>
      </w:r>
    </w:p>
  </w:footnote>
  <w:footnote w:id="6">
    <w:p w14:paraId="46AD2B10" w14:textId="77777777" w:rsidR="00E6145D" w:rsidRDefault="00E6145D" w:rsidP="00E6145D">
      <w:pPr>
        <w:pStyle w:val="FootnoteText"/>
      </w:pPr>
      <w:r>
        <w:rPr>
          <w:rStyle w:val="FootnoteReference"/>
        </w:rPr>
        <w:footnoteRef/>
      </w:r>
      <w:r>
        <w:t xml:space="preserve"> </w:t>
      </w:r>
      <w:hyperlink r:id="rId4" w:history="1">
        <w:r w:rsidRPr="00D70734">
          <w:rPr>
            <w:rStyle w:val="Hyperlink"/>
          </w:rPr>
          <w:t>https://www.parliament.act.gov.au/parliamentary-business/in-committees/previous-assemblies/Select-Committees-Fourth-Assembly/Select-Committee-on-Gambling/The-Social-and-Economic-Impacts-of-Gambling-in-the-ACT-final-report</w:t>
        </w:r>
      </w:hyperlink>
      <w:r>
        <w:t xml:space="preserve"> </w:t>
      </w:r>
    </w:p>
  </w:footnote>
  <w:footnote w:id="7">
    <w:p w14:paraId="211FA161" w14:textId="77777777" w:rsidR="00634DC4" w:rsidRDefault="00634DC4" w:rsidP="00634DC4">
      <w:pPr>
        <w:pStyle w:val="FootnoteText"/>
      </w:pPr>
      <w:r>
        <w:rPr>
          <w:rStyle w:val="FootnoteReference"/>
        </w:rPr>
        <w:footnoteRef/>
      </w:r>
      <w:r>
        <w:t xml:space="preserve"> </w:t>
      </w:r>
      <w:hyperlink r:id="rId5" w:history="1">
        <w:r w:rsidRPr="00D70734">
          <w:rPr>
            <w:rStyle w:val="Hyperlink"/>
          </w:rPr>
          <w:t>https://www.legislation.act.gov.au/b/db_11166/</w:t>
        </w:r>
      </w:hyperlink>
      <w:r>
        <w:t xml:space="preserve"> </w:t>
      </w:r>
    </w:p>
  </w:footnote>
  <w:footnote w:id="8">
    <w:p w14:paraId="4DEA605F" w14:textId="77777777" w:rsidR="00C346DE" w:rsidRDefault="00C346DE" w:rsidP="00C346DE">
      <w:pPr>
        <w:pStyle w:val="FootnoteText"/>
      </w:pPr>
      <w:r>
        <w:rPr>
          <w:rStyle w:val="FootnoteReference"/>
        </w:rPr>
        <w:footnoteRef/>
      </w:r>
      <w:r>
        <w:t xml:space="preserve"> </w:t>
      </w:r>
      <w:hyperlink r:id="rId6" w:history="1">
        <w:r w:rsidRPr="00D70734">
          <w:rPr>
            <w:rStyle w:val="Hyperlink"/>
          </w:rPr>
          <w:t>https://www.parliament.act.gov.au/parliamentary-business/in-committees/previous-assemblies/standing-committees-eighth-assembly/Public-Accounts/inquiry-into-elements-impacting-on-the-future-of-the-act?inquiry=710257</w:t>
        </w:r>
      </w:hyperlink>
      <w:r>
        <w:t xml:space="preserve"> </w:t>
      </w:r>
    </w:p>
  </w:footnote>
  <w:footnote w:id="9">
    <w:p w14:paraId="32F240B1" w14:textId="3A920644" w:rsidR="00B41FDD" w:rsidRDefault="00B41FDD">
      <w:pPr>
        <w:pStyle w:val="FootnoteText"/>
      </w:pPr>
      <w:r>
        <w:rPr>
          <w:rStyle w:val="FootnoteReference"/>
        </w:rPr>
        <w:footnoteRef/>
      </w:r>
      <w:r>
        <w:t xml:space="preserve"> </w:t>
      </w:r>
      <w:hyperlink r:id="rId7" w:history="1">
        <w:r w:rsidRPr="00CC53D8">
          <w:rPr>
            <w:rStyle w:val="Hyperlink"/>
          </w:rPr>
          <w:t>https://www.parliament.act.gov.au/parliamentary-business/in-committees/committees/jcs/inquiry-into-cashless-gaming</w:t>
        </w:r>
      </w:hyperlink>
      <w:r>
        <w:t xml:space="preserve"> </w:t>
      </w:r>
    </w:p>
  </w:footnote>
  <w:footnote w:id="10">
    <w:p w14:paraId="3ADFD225" w14:textId="765201EE" w:rsidR="003322E9" w:rsidRDefault="003322E9">
      <w:pPr>
        <w:pStyle w:val="FootnoteText"/>
      </w:pPr>
      <w:r>
        <w:rPr>
          <w:rStyle w:val="FootnoteReference"/>
        </w:rPr>
        <w:footnoteRef/>
      </w:r>
      <w:r>
        <w:t xml:space="preserve"> </w:t>
      </w:r>
      <w:r w:rsidRPr="000037FC">
        <w:t xml:space="preserve">Committee Hansard </w:t>
      </w:r>
      <w:r w:rsidR="004C09CB" w:rsidRPr="000037FC">
        <w:t>for</w:t>
      </w:r>
      <w:r w:rsidRPr="000037FC">
        <w:t xml:space="preserve"> Budget Estimates</w:t>
      </w:r>
      <w:r w:rsidR="004C09CB" w:rsidRPr="000037FC">
        <w:t xml:space="preserve"> 2</w:t>
      </w:r>
      <w:r w:rsidR="004C09CB">
        <w:t>024</w:t>
      </w:r>
      <w:r w:rsidR="00092964">
        <w:t>-25</w:t>
      </w:r>
      <w:r w:rsidR="0081699C">
        <w:t>, p1128</w:t>
      </w:r>
      <w:r w:rsidR="00092964">
        <w:t xml:space="preserve"> </w:t>
      </w:r>
      <w:hyperlink r:id="rId8" w:history="1">
        <w:r w:rsidR="00092964" w:rsidRPr="00CC53D8">
          <w:rPr>
            <w:rStyle w:val="Hyperlink"/>
          </w:rPr>
          <w:t>https://www.hansard.act.gov.au/Hansard/10th-assembly/Committee-transcripts/est32.pdf</w:t>
        </w:r>
      </w:hyperlink>
      <w:r w:rsidR="0009296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85C0B"/>
    <w:multiLevelType w:val="hybridMultilevel"/>
    <w:tmpl w:val="C6B0D10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365A51B3"/>
    <w:multiLevelType w:val="hybridMultilevel"/>
    <w:tmpl w:val="7074B23C"/>
    <w:lvl w:ilvl="0" w:tplc="FFFFFFFF">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C2050A"/>
    <w:multiLevelType w:val="hybridMultilevel"/>
    <w:tmpl w:val="21CCFC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B221FA5"/>
    <w:multiLevelType w:val="hybridMultilevel"/>
    <w:tmpl w:val="856AA5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7E956BD6"/>
    <w:multiLevelType w:val="hybridMultilevel"/>
    <w:tmpl w:val="791A4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5380553">
    <w:abstractNumId w:val="2"/>
  </w:num>
  <w:num w:numId="2" w16cid:durableId="328485493">
    <w:abstractNumId w:val="0"/>
  </w:num>
  <w:num w:numId="3" w16cid:durableId="2065330351">
    <w:abstractNumId w:val="1"/>
  </w:num>
  <w:num w:numId="4" w16cid:durableId="1179855263">
    <w:abstractNumId w:val="3"/>
  </w:num>
  <w:num w:numId="5" w16cid:durableId="606280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6E"/>
    <w:rsid w:val="0000284F"/>
    <w:rsid w:val="000037FC"/>
    <w:rsid w:val="0000391A"/>
    <w:rsid w:val="00004162"/>
    <w:rsid w:val="00012995"/>
    <w:rsid w:val="00013F1A"/>
    <w:rsid w:val="0001438C"/>
    <w:rsid w:val="000143D5"/>
    <w:rsid w:val="000144C9"/>
    <w:rsid w:val="00017173"/>
    <w:rsid w:val="00022866"/>
    <w:rsid w:val="00024321"/>
    <w:rsid w:val="00025049"/>
    <w:rsid w:val="000255A9"/>
    <w:rsid w:val="00033726"/>
    <w:rsid w:val="00037507"/>
    <w:rsid w:val="000418AF"/>
    <w:rsid w:val="00045102"/>
    <w:rsid w:val="00051011"/>
    <w:rsid w:val="00053679"/>
    <w:rsid w:val="0005732A"/>
    <w:rsid w:val="0005780D"/>
    <w:rsid w:val="0006202F"/>
    <w:rsid w:val="00062078"/>
    <w:rsid w:val="000635AF"/>
    <w:rsid w:val="00070645"/>
    <w:rsid w:val="000724F6"/>
    <w:rsid w:val="00076562"/>
    <w:rsid w:val="00081045"/>
    <w:rsid w:val="0008370D"/>
    <w:rsid w:val="00087084"/>
    <w:rsid w:val="00090F2C"/>
    <w:rsid w:val="00092964"/>
    <w:rsid w:val="000935AC"/>
    <w:rsid w:val="000A22D1"/>
    <w:rsid w:val="000A328D"/>
    <w:rsid w:val="000A6277"/>
    <w:rsid w:val="000B1152"/>
    <w:rsid w:val="000B4AC3"/>
    <w:rsid w:val="000B7A4A"/>
    <w:rsid w:val="000C0253"/>
    <w:rsid w:val="000C10E3"/>
    <w:rsid w:val="000C2565"/>
    <w:rsid w:val="000C2B7B"/>
    <w:rsid w:val="000D07C7"/>
    <w:rsid w:val="000D29F7"/>
    <w:rsid w:val="000D45E8"/>
    <w:rsid w:val="000D4643"/>
    <w:rsid w:val="000D648D"/>
    <w:rsid w:val="000D766C"/>
    <w:rsid w:val="000E17A5"/>
    <w:rsid w:val="000E2061"/>
    <w:rsid w:val="000E22F7"/>
    <w:rsid w:val="000E24A4"/>
    <w:rsid w:val="000E3EB0"/>
    <w:rsid w:val="000E7CE8"/>
    <w:rsid w:val="000F560A"/>
    <w:rsid w:val="000F774D"/>
    <w:rsid w:val="00104CEA"/>
    <w:rsid w:val="00110EC9"/>
    <w:rsid w:val="00112360"/>
    <w:rsid w:val="001124BB"/>
    <w:rsid w:val="00112F21"/>
    <w:rsid w:val="00113E07"/>
    <w:rsid w:val="00115A42"/>
    <w:rsid w:val="00116CE9"/>
    <w:rsid w:val="00120BB8"/>
    <w:rsid w:val="00121C6E"/>
    <w:rsid w:val="0012285C"/>
    <w:rsid w:val="00122ACE"/>
    <w:rsid w:val="001233FB"/>
    <w:rsid w:val="001307B8"/>
    <w:rsid w:val="00130853"/>
    <w:rsid w:val="00134D16"/>
    <w:rsid w:val="00135D7E"/>
    <w:rsid w:val="00136D77"/>
    <w:rsid w:val="00141431"/>
    <w:rsid w:val="00143A71"/>
    <w:rsid w:val="00143CA3"/>
    <w:rsid w:val="0014430D"/>
    <w:rsid w:val="0014508C"/>
    <w:rsid w:val="00150089"/>
    <w:rsid w:val="001541E0"/>
    <w:rsid w:val="00154953"/>
    <w:rsid w:val="00157638"/>
    <w:rsid w:val="00160BEC"/>
    <w:rsid w:val="00161B15"/>
    <w:rsid w:val="00173E9A"/>
    <w:rsid w:val="0017652F"/>
    <w:rsid w:val="00181F0A"/>
    <w:rsid w:val="0018245B"/>
    <w:rsid w:val="0018297E"/>
    <w:rsid w:val="00191F72"/>
    <w:rsid w:val="001923C5"/>
    <w:rsid w:val="001969EE"/>
    <w:rsid w:val="001A026A"/>
    <w:rsid w:val="001B0904"/>
    <w:rsid w:val="001B09AC"/>
    <w:rsid w:val="001B202C"/>
    <w:rsid w:val="001B2888"/>
    <w:rsid w:val="001B5C49"/>
    <w:rsid w:val="001C338B"/>
    <w:rsid w:val="001C3989"/>
    <w:rsid w:val="001C5911"/>
    <w:rsid w:val="001C59D3"/>
    <w:rsid w:val="001C5EC8"/>
    <w:rsid w:val="001D0BBF"/>
    <w:rsid w:val="001E1837"/>
    <w:rsid w:val="001E3A79"/>
    <w:rsid w:val="001E3EE1"/>
    <w:rsid w:val="001E6A9A"/>
    <w:rsid w:val="001F06C8"/>
    <w:rsid w:val="001F6269"/>
    <w:rsid w:val="001F6C46"/>
    <w:rsid w:val="00206F6B"/>
    <w:rsid w:val="00210E8C"/>
    <w:rsid w:val="00211025"/>
    <w:rsid w:val="00211895"/>
    <w:rsid w:val="00211CCF"/>
    <w:rsid w:val="00212856"/>
    <w:rsid w:val="002247C7"/>
    <w:rsid w:val="002270B9"/>
    <w:rsid w:val="00227172"/>
    <w:rsid w:val="00227700"/>
    <w:rsid w:val="00235868"/>
    <w:rsid w:val="00235F0B"/>
    <w:rsid w:val="00241395"/>
    <w:rsid w:val="002457EA"/>
    <w:rsid w:val="002460D7"/>
    <w:rsid w:val="00247C7E"/>
    <w:rsid w:val="00254B22"/>
    <w:rsid w:val="00254BEF"/>
    <w:rsid w:val="00257ABA"/>
    <w:rsid w:val="002602B4"/>
    <w:rsid w:val="00261DD2"/>
    <w:rsid w:val="00262099"/>
    <w:rsid w:val="00274EEA"/>
    <w:rsid w:val="002765B7"/>
    <w:rsid w:val="002775AE"/>
    <w:rsid w:val="002807A9"/>
    <w:rsid w:val="00282622"/>
    <w:rsid w:val="00284528"/>
    <w:rsid w:val="002851CB"/>
    <w:rsid w:val="0029479B"/>
    <w:rsid w:val="002963B5"/>
    <w:rsid w:val="002A06AE"/>
    <w:rsid w:val="002A18CF"/>
    <w:rsid w:val="002A2142"/>
    <w:rsid w:val="002A21BE"/>
    <w:rsid w:val="002A3E7C"/>
    <w:rsid w:val="002A6717"/>
    <w:rsid w:val="002B1D32"/>
    <w:rsid w:val="002B21CD"/>
    <w:rsid w:val="002B31BE"/>
    <w:rsid w:val="002B7AA0"/>
    <w:rsid w:val="002C129B"/>
    <w:rsid w:val="002C174E"/>
    <w:rsid w:val="002C2D1D"/>
    <w:rsid w:val="002C4892"/>
    <w:rsid w:val="002D041F"/>
    <w:rsid w:val="002D1657"/>
    <w:rsid w:val="002D1D7A"/>
    <w:rsid w:val="002D1DE5"/>
    <w:rsid w:val="002D35EA"/>
    <w:rsid w:val="002D38E1"/>
    <w:rsid w:val="002D42F6"/>
    <w:rsid w:val="002D4BC8"/>
    <w:rsid w:val="002D6330"/>
    <w:rsid w:val="002F7019"/>
    <w:rsid w:val="002F7994"/>
    <w:rsid w:val="00302EF1"/>
    <w:rsid w:val="00303D84"/>
    <w:rsid w:val="00305BB7"/>
    <w:rsid w:val="0031289E"/>
    <w:rsid w:val="00323C72"/>
    <w:rsid w:val="003322E9"/>
    <w:rsid w:val="0033542C"/>
    <w:rsid w:val="00336F46"/>
    <w:rsid w:val="00337D1E"/>
    <w:rsid w:val="003401A0"/>
    <w:rsid w:val="003518CE"/>
    <w:rsid w:val="00351BFE"/>
    <w:rsid w:val="003601F1"/>
    <w:rsid w:val="00362081"/>
    <w:rsid w:val="00362128"/>
    <w:rsid w:val="0036300D"/>
    <w:rsid w:val="00363FAE"/>
    <w:rsid w:val="00365D21"/>
    <w:rsid w:val="0037023C"/>
    <w:rsid w:val="00372287"/>
    <w:rsid w:val="00372FC3"/>
    <w:rsid w:val="003756AF"/>
    <w:rsid w:val="00377CE2"/>
    <w:rsid w:val="003814D8"/>
    <w:rsid w:val="00381995"/>
    <w:rsid w:val="00387F30"/>
    <w:rsid w:val="00392ED8"/>
    <w:rsid w:val="0039351D"/>
    <w:rsid w:val="00395F2F"/>
    <w:rsid w:val="003A13AE"/>
    <w:rsid w:val="003A20EA"/>
    <w:rsid w:val="003A6C85"/>
    <w:rsid w:val="003B0E10"/>
    <w:rsid w:val="003B182C"/>
    <w:rsid w:val="003B6964"/>
    <w:rsid w:val="003C0D74"/>
    <w:rsid w:val="003C2703"/>
    <w:rsid w:val="003C6024"/>
    <w:rsid w:val="003D2282"/>
    <w:rsid w:val="003E41FB"/>
    <w:rsid w:val="003E766D"/>
    <w:rsid w:val="003F63FF"/>
    <w:rsid w:val="003F6EAD"/>
    <w:rsid w:val="0040093F"/>
    <w:rsid w:val="00404DE4"/>
    <w:rsid w:val="00404E2F"/>
    <w:rsid w:val="00407FBD"/>
    <w:rsid w:val="00411A05"/>
    <w:rsid w:val="0041449B"/>
    <w:rsid w:val="00417A56"/>
    <w:rsid w:val="004200A2"/>
    <w:rsid w:val="00433F66"/>
    <w:rsid w:val="0043451F"/>
    <w:rsid w:val="00440AB1"/>
    <w:rsid w:val="00443B6F"/>
    <w:rsid w:val="00444449"/>
    <w:rsid w:val="0044641B"/>
    <w:rsid w:val="00451009"/>
    <w:rsid w:val="004519AE"/>
    <w:rsid w:val="00453394"/>
    <w:rsid w:val="00455514"/>
    <w:rsid w:val="00461EFE"/>
    <w:rsid w:val="00462B81"/>
    <w:rsid w:val="00465193"/>
    <w:rsid w:val="00470018"/>
    <w:rsid w:val="00470B41"/>
    <w:rsid w:val="004710BC"/>
    <w:rsid w:val="004722EE"/>
    <w:rsid w:val="00481798"/>
    <w:rsid w:val="00490C90"/>
    <w:rsid w:val="0049164B"/>
    <w:rsid w:val="004921AA"/>
    <w:rsid w:val="00493680"/>
    <w:rsid w:val="00494F35"/>
    <w:rsid w:val="00497203"/>
    <w:rsid w:val="004A14AD"/>
    <w:rsid w:val="004A2304"/>
    <w:rsid w:val="004A2350"/>
    <w:rsid w:val="004A5F57"/>
    <w:rsid w:val="004B36E1"/>
    <w:rsid w:val="004B4D5C"/>
    <w:rsid w:val="004C09CB"/>
    <w:rsid w:val="004C0E73"/>
    <w:rsid w:val="004C1B3F"/>
    <w:rsid w:val="004C3091"/>
    <w:rsid w:val="004C3241"/>
    <w:rsid w:val="004C62FC"/>
    <w:rsid w:val="004C6769"/>
    <w:rsid w:val="004D16A8"/>
    <w:rsid w:val="004D2F40"/>
    <w:rsid w:val="004D37E3"/>
    <w:rsid w:val="004E0972"/>
    <w:rsid w:val="004E161A"/>
    <w:rsid w:val="004E3199"/>
    <w:rsid w:val="004F29BD"/>
    <w:rsid w:val="004F67CF"/>
    <w:rsid w:val="004F7573"/>
    <w:rsid w:val="00501274"/>
    <w:rsid w:val="005015A8"/>
    <w:rsid w:val="00501A2C"/>
    <w:rsid w:val="00514C87"/>
    <w:rsid w:val="00515571"/>
    <w:rsid w:val="00515573"/>
    <w:rsid w:val="00515C90"/>
    <w:rsid w:val="00516401"/>
    <w:rsid w:val="00517B69"/>
    <w:rsid w:val="00522140"/>
    <w:rsid w:val="005228A7"/>
    <w:rsid w:val="00524743"/>
    <w:rsid w:val="00527DD7"/>
    <w:rsid w:val="00531A09"/>
    <w:rsid w:val="00537DBA"/>
    <w:rsid w:val="00544FA3"/>
    <w:rsid w:val="00546884"/>
    <w:rsid w:val="005471D1"/>
    <w:rsid w:val="005472FA"/>
    <w:rsid w:val="00550690"/>
    <w:rsid w:val="00550A62"/>
    <w:rsid w:val="00551203"/>
    <w:rsid w:val="005513D2"/>
    <w:rsid w:val="00552197"/>
    <w:rsid w:val="00563C9F"/>
    <w:rsid w:val="005678E7"/>
    <w:rsid w:val="005728B4"/>
    <w:rsid w:val="0057338D"/>
    <w:rsid w:val="00575D35"/>
    <w:rsid w:val="00576C85"/>
    <w:rsid w:val="00577791"/>
    <w:rsid w:val="00580C4E"/>
    <w:rsid w:val="00582DC3"/>
    <w:rsid w:val="005908E6"/>
    <w:rsid w:val="00596CA0"/>
    <w:rsid w:val="005A09DB"/>
    <w:rsid w:val="005A219A"/>
    <w:rsid w:val="005A3884"/>
    <w:rsid w:val="005A3AA6"/>
    <w:rsid w:val="005B10C2"/>
    <w:rsid w:val="005B53EF"/>
    <w:rsid w:val="005B56FF"/>
    <w:rsid w:val="005B6346"/>
    <w:rsid w:val="005B6BE8"/>
    <w:rsid w:val="005C0278"/>
    <w:rsid w:val="005C1365"/>
    <w:rsid w:val="005C54D9"/>
    <w:rsid w:val="005C57AE"/>
    <w:rsid w:val="005C5C36"/>
    <w:rsid w:val="005C5C69"/>
    <w:rsid w:val="005C5D55"/>
    <w:rsid w:val="005C6123"/>
    <w:rsid w:val="005C7CFD"/>
    <w:rsid w:val="005D0AFB"/>
    <w:rsid w:val="005D2405"/>
    <w:rsid w:val="005D2817"/>
    <w:rsid w:val="005D28FA"/>
    <w:rsid w:val="005D724D"/>
    <w:rsid w:val="005D72B0"/>
    <w:rsid w:val="005E046A"/>
    <w:rsid w:val="005E18F5"/>
    <w:rsid w:val="005E1C6B"/>
    <w:rsid w:val="005E432B"/>
    <w:rsid w:val="005E4E2E"/>
    <w:rsid w:val="005E5BA0"/>
    <w:rsid w:val="005E6D8F"/>
    <w:rsid w:val="005F10DD"/>
    <w:rsid w:val="005F4393"/>
    <w:rsid w:val="005F5417"/>
    <w:rsid w:val="0060179E"/>
    <w:rsid w:val="006018CA"/>
    <w:rsid w:val="00603C13"/>
    <w:rsid w:val="00603C98"/>
    <w:rsid w:val="00605659"/>
    <w:rsid w:val="00605E3F"/>
    <w:rsid w:val="00606BD2"/>
    <w:rsid w:val="00613102"/>
    <w:rsid w:val="00613702"/>
    <w:rsid w:val="006167A8"/>
    <w:rsid w:val="006175BF"/>
    <w:rsid w:val="006222BD"/>
    <w:rsid w:val="00625E4B"/>
    <w:rsid w:val="00626F40"/>
    <w:rsid w:val="00627918"/>
    <w:rsid w:val="00627FA2"/>
    <w:rsid w:val="006336CD"/>
    <w:rsid w:val="00634DC4"/>
    <w:rsid w:val="006354C1"/>
    <w:rsid w:val="00637AED"/>
    <w:rsid w:val="00645341"/>
    <w:rsid w:val="00646C76"/>
    <w:rsid w:val="0065155C"/>
    <w:rsid w:val="00652A8D"/>
    <w:rsid w:val="00660810"/>
    <w:rsid w:val="00660FE9"/>
    <w:rsid w:val="006646A8"/>
    <w:rsid w:val="00665012"/>
    <w:rsid w:val="00667EE6"/>
    <w:rsid w:val="0067232A"/>
    <w:rsid w:val="00676363"/>
    <w:rsid w:val="006767C0"/>
    <w:rsid w:val="00690C29"/>
    <w:rsid w:val="006911CE"/>
    <w:rsid w:val="00692E0E"/>
    <w:rsid w:val="0069454F"/>
    <w:rsid w:val="006A3901"/>
    <w:rsid w:val="006B00C4"/>
    <w:rsid w:val="006B2B76"/>
    <w:rsid w:val="006B3934"/>
    <w:rsid w:val="006B4888"/>
    <w:rsid w:val="006B4925"/>
    <w:rsid w:val="006B5724"/>
    <w:rsid w:val="006B60C4"/>
    <w:rsid w:val="006C1171"/>
    <w:rsid w:val="006C2D0A"/>
    <w:rsid w:val="006C59F7"/>
    <w:rsid w:val="006C5B9A"/>
    <w:rsid w:val="006C6B6C"/>
    <w:rsid w:val="006C7C23"/>
    <w:rsid w:val="006D3507"/>
    <w:rsid w:val="006D3E09"/>
    <w:rsid w:val="006D6E67"/>
    <w:rsid w:val="006D7D72"/>
    <w:rsid w:val="006E29DA"/>
    <w:rsid w:val="006E2BB0"/>
    <w:rsid w:val="006E3053"/>
    <w:rsid w:val="006E3CE9"/>
    <w:rsid w:val="006E413A"/>
    <w:rsid w:val="006E4F01"/>
    <w:rsid w:val="006E6A85"/>
    <w:rsid w:val="006E6B13"/>
    <w:rsid w:val="006F0DFE"/>
    <w:rsid w:val="006F13E6"/>
    <w:rsid w:val="006F34F1"/>
    <w:rsid w:val="00700F7F"/>
    <w:rsid w:val="00702E8A"/>
    <w:rsid w:val="0070522D"/>
    <w:rsid w:val="007074F2"/>
    <w:rsid w:val="00707982"/>
    <w:rsid w:val="0071018A"/>
    <w:rsid w:val="007151C4"/>
    <w:rsid w:val="0071565E"/>
    <w:rsid w:val="0071574E"/>
    <w:rsid w:val="00716A7C"/>
    <w:rsid w:val="0072240C"/>
    <w:rsid w:val="00722781"/>
    <w:rsid w:val="00732822"/>
    <w:rsid w:val="00736BA5"/>
    <w:rsid w:val="00736E2F"/>
    <w:rsid w:val="00737270"/>
    <w:rsid w:val="00741883"/>
    <w:rsid w:val="0074350D"/>
    <w:rsid w:val="00744B1C"/>
    <w:rsid w:val="0075130F"/>
    <w:rsid w:val="0077221D"/>
    <w:rsid w:val="00772AD8"/>
    <w:rsid w:val="0077325F"/>
    <w:rsid w:val="00776205"/>
    <w:rsid w:val="00777C2C"/>
    <w:rsid w:val="00780FE5"/>
    <w:rsid w:val="00781120"/>
    <w:rsid w:val="00781908"/>
    <w:rsid w:val="00782E7D"/>
    <w:rsid w:val="007833AC"/>
    <w:rsid w:val="00786CCF"/>
    <w:rsid w:val="0079147D"/>
    <w:rsid w:val="00791E59"/>
    <w:rsid w:val="00793FB7"/>
    <w:rsid w:val="00795045"/>
    <w:rsid w:val="00796733"/>
    <w:rsid w:val="007A3D2E"/>
    <w:rsid w:val="007B08CB"/>
    <w:rsid w:val="007B0B68"/>
    <w:rsid w:val="007B287F"/>
    <w:rsid w:val="007B2B6C"/>
    <w:rsid w:val="007B46FE"/>
    <w:rsid w:val="007C040B"/>
    <w:rsid w:val="007C33E6"/>
    <w:rsid w:val="007C6C6C"/>
    <w:rsid w:val="007D7BB9"/>
    <w:rsid w:val="007E36AC"/>
    <w:rsid w:val="007F569E"/>
    <w:rsid w:val="007F6422"/>
    <w:rsid w:val="007F75F1"/>
    <w:rsid w:val="00800EB6"/>
    <w:rsid w:val="00801391"/>
    <w:rsid w:val="00807257"/>
    <w:rsid w:val="0081699C"/>
    <w:rsid w:val="00817596"/>
    <w:rsid w:val="00824ED5"/>
    <w:rsid w:val="00827A0F"/>
    <w:rsid w:val="008329BC"/>
    <w:rsid w:val="008344DB"/>
    <w:rsid w:val="00840D23"/>
    <w:rsid w:val="00841A3D"/>
    <w:rsid w:val="00841B29"/>
    <w:rsid w:val="00841F2F"/>
    <w:rsid w:val="008557CE"/>
    <w:rsid w:val="00855EAD"/>
    <w:rsid w:val="00861DDD"/>
    <w:rsid w:val="00863030"/>
    <w:rsid w:val="00867E2A"/>
    <w:rsid w:val="00870163"/>
    <w:rsid w:val="00870687"/>
    <w:rsid w:val="008739FB"/>
    <w:rsid w:val="00875E20"/>
    <w:rsid w:val="00880DA4"/>
    <w:rsid w:val="008821C3"/>
    <w:rsid w:val="008839E8"/>
    <w:rsid w:val="00883E3B"/>
    <w:rsid w:val="00893B6E"/>
    <w:rsid w:val="00893EF4"/>
    <w:rsid w:val="0089652B"/>
    <w:rsid w:val="00897B35"/>
    <w:rsid w:val="008A23DF"/>
    <w:rsid w:val="008A4DFF"/>
    <w:rsid w:val="008A534C"/>
    <w:rsid w:val="008A5912"/>
    <w:rsid w:val="008A725E"/>
    <w:rsid w:val="008B1F4D"/>
    <w:rsid w:val="008B55A1"/>
    <w:rsid w:val="008C1399"/>
    <w:rsid w:val="008C5F19"/>
    <w:rsid w:val="008C6417"/>
    <w:rsid w:val="008C6544"/>
    <w:rsid w:val="008D1C42"/>
    <w:rsid w:val="008D23C0"/>
    <w:rsid w:val="008D27AA"/>
    <w:rsid w:val="008D3AE5"/>
    <w:rsid w:val="008D535A"/>
    <w:rsid w:val="008E140D"/>
    <w:rsid w:val="008E236B"/>
    <w:rsid w:val="008E41C8"/>
    <w:rsid w:val="008E77A5"/>
    <w:rsid w:val="008F190B"/>
    <w:rsid w:val="008F1D5B"/>
    <w:rsid w:val="008F3D76"/>
    <w:rsid w:val="008F5D4D"/>
    <w:rsid w:val="008F627D"/>
    <w:rsid w:val="008F6B50"/>
    <w:rsid w:val="008F7A42"/>
    <w:rsid w:val="0090308B"/>
    <w:rsid w:val="00910AAA"/>
    <w:rsid w:val="009118A3"/>
    <w:rsid w:val="00915839"/>
    <w:rsid w:val="0092172E"/>
    <w:rsid w:val="00924276"/>
    <w:rsid w:val="0093440B"/>
    <w:rsid w:val="00935EEC"/>
    <w:rsid w:val="0093633F"/>
    <w:rsid w:val="00940435"/>
    <w:rsid w:val="0094195C"/>
    <w:rsid w:val="00941DEF"/>
    <w:rsid w:val="00941FB4"/>
    <w:rsid w:val="00950635"/>
    <w:rsid w:val="0095280E"/>
    <w:rsid w:val="00952FA1"/>
    <w:rsid w:val="009615DE"/>
    <w:rsid w:val="00961F9B"/>
    <w:rsid w:val="0096244A"/>
    <w:rsid w:val="00963729"/>
    <w:rsid w:val="0096636E"/>
    <w:rsid w:val="00971BB3"/>
    <w:rsid w:val="00972C82"/>
    <w:rsid w:val="00974E7D"/>
    <w:rsid w:val="0098144E"/>
    <w:rsid w:val="009820BD"/>
    <w:rsid w:val="00983D19"/>
    <w:rsid w:val="009910CB"/>
    <w:rsid w:val="00991B98"/>
    <w:rsid w:val="0099400E"/>
    <w:rsid w:val="00995D5C"/>
    <w:rsid w:val="009962DA"/>
    <w:rsid w:val="00996502"/>
    <w:rsid w:val="00996DF0"/>
    <w:rsid w:val="009A0E10"/>
    <w:rsid w:val="009A1D14"/>
    <w:rsid w:val="009A29E0"/>
    <w:rsid w:val="009B5EDA"/>
    <w:rsid w:val="009C1AD8"/>
    <w:rsid w:val="009C21B9"/>
    <w:rsid w:val="009C3752"/>
    <w:rsid w:val="009C3EF3"/>
    <w:rsid w:val="009C57A7"/>
    <w:rsid w:val="009C5FA1"/>
    <w:rsid w:val="009D13A3"/>
    <w:rsid w:val="009E036B"/>
    <w:rsid w:val="009E172F"/>
    <w:rsid w:val="009E19B9"/>
    <w:rsid w:val="009E1C78"/>
    <w:rsid w:val="009F16E0"/>
    <w:rsid w:val="009F17AA"/>
    <w:rsid w:val="009F55FA"/>
    <w:rsid w:val="00A01B6A"/>
    <w:rsid w:val="00A02357"/>
    <w:rsid w:val="00A03667"/>
    <w:rsid w:val="00A069AB"/>
    <w:rsid w:val="00A07211"/>
    <w:rsid w:val="00A1051A"/>
    <w:rsid w:val="00A11184"/>
    <w:rsid w:val="00A11F35"/>
    <w:rsid w:val="00A12C82"/>
    <w:rsid w:val="00A13E52"/>
    <w:rsid w:val="00A2514C"/>
    <w:rsid w:val="00A27A56"/>
    <w:rsid w:val="00A303A2"/>
    <w:rsid w:val="00A31984"/>
    <w:rsid w:val="00A32976"/>
    <w:rsid w:val="00A35B83"/>
    <w:rsid w:val="00A36373"/>
    <w:rsid w:val="00A45D1B"/>
    <w:rsid w:val="00A47161"/>
    <w:rsid w:val="00A50170"/>
    <w:rsid w:val="00A50A0E"/>
    <w:rsid w:val="00A50A1B"/>
    <w:rsid w:val="00A5130C"/>
    <w:rsid w:val="00A52243"/>
    <w:rsid w:val="00A53D44"/>
    <w:rsid w:val="00A53D61"/>
    <w:rsid w:val="00A55BC4"/>
    <w:rsid w:val="00A57DDC"/>
    <w:rsid w:val="00A663C1"/>
    <w:rsid w:val="00A7193F"/>
    <w:rsid w:val="00A72636"/>
    <w:rsid w:val="00A7338D"/>
    <w:rsid w:val="00A75AEE"/>
    <w:rsid w:val="00A81454"/>
    <w:rsid w:val="00A81B4A"/>
    <w:rsid w:val="00A825F4"/>
    <w:rsid w:val="00A835F8"/>
    <w:rsid w:val="00A83B53"/>
    <w:rsid w:val="00A85752"/>
    <w:rsid w:val="00AA0745"/>
    <w:rsid w:val="00AB0966"/>
    <w:rsid w:val="00AB357A"/>
    <w:rsid w:val="00AB4370"/>
    <w:rsid w:val="00AB50A7"/>
    <w:rsid w:val="00AB7154"/>
    <w:rsid w:val="00AC0B51"/>
    <w:rsid w:val="00AC13E1"/>
    <w:rsid w:val="00AC1474"/>
    <w:rsid w:val="00AC5091"/>
    <w:rsid w:val="00AC5F42"/>
    <w:rsid w:val="00AC6ECE"/>
    <w:rsid w:val="00AC7E98"/>
    <w:rsid w:val="00AD0ABE"/>
    <w:rsid w:val="00AD13DF"/>
    <w:rsid w:val="00AD1D7A"/>
    <w:rsid w:val="00AD4C5C"/>
    <w:rsid w:val="00AE208B"/>
    <w:rsid w:val="00AE3016"/>
    <w:rsid w:val="00AE73B9"/>
    <w:rsid w:val="00AF571C"/>
    <w:rsid w:val="00AF62BB"/>
    <w:rsid w:val="00AF64C1"/>
    <w:rsid w:val="00AF79F7"/>
    <w:rsid w:val="00B00DDA"/>
    <w:rsid w:val="00B06450"/>
    <w:rsid w:val="00B103D8"/>
    <w:rsid w:val="00B117E8"/>
    <w:rsid w:val="00B147E8"/>
    <w:rsid w:val="00B22E09"/>
    <w:rsid w:val="00B2359A"/>
    <w:rsid w:val="00B2420C"/>
    <w:rsid w:val="00B244CC"/>
    <w:rsid w:val="00B253AF"/>
    <w:rsid w:val="00B2713F"/>
    <w:rsid w:val="00B30001"/>
    <w:rsid w:val="00B305C0"/>
    <w:rsid w:val="00B30747"/>
    <w:rsid w:val="00B307C3"/>
    <w:rsid w:val="00B31399"/>
    <w:rsid w:val="00B316C9"/>
    <w:rsid w:val="00B3178C"/>
    <w:rsid w:val="00B34EB7"/>
    <w:rsid w:val="00B372B0"/>
    <w:rsid w:val="00B379A1"/>
    <w:rsid w:val="00B41D56"/>
    <w:rsid w:val="00B41FDD"/>
    <w:rsid w:val="00B47046"/>
    <w:rsid w:val="00B51233"/>
    <w:rsid w:val="00B54E90"/>
    <w:rsid w:val="00B55E8A"/>
    <w:rsid w:val="00B56A3C"/>
    <w:rsid w:val="00B61B5D"/>
    <w:rsid w:val="00B63291"/>
    <w:rsid w:val="00B63EFF"/>
    <w:rsid w:val="00B64A32"/>
    <w:rsid w:val="00B7239F"/>
    <w:rsid w:val="00B76179"/>
    <w:rsid w:val="00B81254"/>
    <w:rsid w:val="00B834B9"/>
    <w:rsid w:val="00B85AE4"/>
    <w:rsid w:val="00B907C0"/>
    <w:rsid w:val="00B91C12"/>
    <w:rsid w:val="00B92116"/>
    <w:rsid w:val="00B957FC"/>
    <w:rsid w:val="00B97A33"/>
    <w:rsid w:val="00BA23D4"/>
    <w:rsid w:val="00BA23E8"/>
    <w:rsid w:val="00BA2C20"/>
    <w:rsid w:val="00BA3AD5"/>
    <w:rsid w:val="00BA57AC"/>
    <w:rsid w:val="00BA6582"/>
    <w:rsid w:val="00BA7E62"/>
    <w:rsid w:val="00BB0459"/>
    <w:rsid w:val="00BB0D02"/>
    <w:rsid w:val="00BB4645"/>
    <w:rsid w:val="00BB52D5"/>
    <w:rsid w:val="00BB5627"/>
    <w:rsid w:val="00BB6579"/>
    <w:rsid w:val="00BC22D8"/>
    <w:rsid w:val="00BC33BC"/>
    <w:rsid w:val="00BC56B3"/>
    <w:rsid w:val="00BC71B3"/>
    <w:rsid w:val="00BC7B73"/>
    <w:rsid w:val="00BD4B12"/>
    <w:rsid w:val="00BE1F44"/>
    <w:rsid w:val="00BE2BAD"/>
    <w:rsid w:val="00BE340F"/>
    <w:rsid w:val="00BE4CAF"/>
    <w:rsid w:val="00BE5CED"/>
    <w:rsid w:val="00BE69F3"/>
    <w:rsid w:val="00BE7718"/>
    <w:rsid w:val="00BF0110"/>
    <w:rsid w:val="00BF02BE"/>
    <w:rsid w:val="00BF04B1"/>
    <w:rsid w:val="00BF201B"/>
    <w:rsid w:val="00BF28B5"/>
    <w:rsid w:val="00BF2B2E"/>
    <w:rsid w:val="00C007CB"/>
    <w:rsid w:val="00C00B3A"/>
    <w:rsid w:val="00C013DA"/>
    <w:rsid w:val="00C03A94"/>
    <w:rsid w:val="00C03E05"/>
    <w:rsid w:val="00C06DC2"/>
    <w:rsid w:val="00C077EB"/>
    <w:rsid w:val="00C10530"/>
    <w:rsid w:val="00C22101"/>
    <w:rsid w:val="00C22448"/>
    <w:rsid w:val="00C311CC"/>
    <w:rsid w:val="00C346DE"/>
    <w:rsid w:val="00C34FA3"/>
    <w:rsid w:val="00C35EAB"/>
    <w:rsid w:val="00C415AE"/>
    <w:rsid w:val="00C42D46"/>
    <w:rsid w:val="00C42ED2"/>
    <w:rsid w:val="00C533DA"/>
    <w:rsid w:val="00C544FC"/>
    <w:rsid w:val="00C5746A"/>
    <w:rsid w:val="00C57898"/>
    <w:rsid w:val="00C60D66"/>
    <w:rsid w:val="00C64AC8"/>
    <w:rsid w:val="00C64C66"/>
    <w:rsid w:val="00C6732D"/>
    <w:rsid w:val="00C67735"/>
    <w:rsid w:val="00C67A5B"/>
    <w:rsid w:val="00C7522B"/>
    <w:rsid w:val="00C82A2F"/>
    <w:rsid w:val="00C90528"/>
    <w:rsid w:val="00C94DFD"/>
    <w:rsid w:val="00C961E0"/>
    <w:rsid w:val="00C968B7"/>
    <w:rsid w:val="00C972F1"/>
    <w:rsid w:val="00CA0949"/>
    <w:rsid w:val="00CB38E2"/>
    <w:rsid w:val="00CB39AE"/>
    <w:rsid w:val="00CB5322"/>
    <w:rsid w:val="00CC061D"/>
    <w:rsid w:val="00CC07A0"/>
    <w:rsid w:val="00CC126E"/>
    <w:rsid w:val="00CC2364"/>
    <w:rsid w:val="00CC2ABA"/>
    <w:rsid w:val="00CC2CB4"/>
    <w:rsid w:val="00CC6257"/>
    <w:rsid w:val="00CD358B"/>
    <w:rsid w:val="00CD3762"/>
    <w:rsid w:val="00CD37DE"/>
    <w:rsid w:val="00CD57A6"/>
    <w:rsid w:val="00CD66CB"/>
    <w:rsid w:val="00CD6C24"/>
    <w:rsid w:val="00CD7343"/>
    <w:rsid w:val="00CD7708"/>
    <w:rsid w:val="00CF04FC"/>
    <w:rsid w:val="00CF08B6"/>
    <w:rsid w:val="00CF184E"/>
    <w:rsid w:val="00CF1FBA"/>
    <w:rsid w:val="00CF3E9D"/>
    <w:rsid w:val="00D024A0"/>
    <w:rsid w:val="00D038B4"/>
    <w:rsid w:val="00D04CF7"/>
    <w:rsid w:val="00D071A9"/>
    <w:rsid w:val="00D1275F"/>
    <w:rsid w:val="00D1484A"/>
    <w:rsid w:val="00D17E16"/>
    <w:rsid w:val="00D22EE4"/>
    <w:rsid w:val="00D241B2"/>
    <w:rsid w:val="00D3463B"/>
    <w:rsid w:val="00D34CE6"/>
    <w:rsid w:val="00D35145"/>
    <w:rsid w:val="00D3708F"/>
    <w:rsid w:val="00D37C3D"/>
    <w:rsid w:val="00D37F0D"/>
    <w:rsid w:val="00D42179"/>
    <w:rsid w:val="00D423D4"/>
    <w:rsid w:val="00D44DC3"/>
    <w:rsid w:val="00D46586"/>
    <w:rsid w:val="00D4744F"/>
    <w:rsid w:val="00D5010F"/>
    <w:rsid w:val="00D50871"/>
    <w:rsid w:val="00D519EC"/>
    <w:rsid w:val="00D53337"/>
    <w:rsid w:val="00D54C15"/>
    <w:rsid w:val="00D54C20"/>
    <w:rsid w:val="00D55EA8"/>
    <w:rsid w:val="00D57883"/>
    <w:rsid w:val="00D57B4C"/>
    <w:rsid w:val="00D60E29"/>
    <w:rsid w:val="00D64788"/>
    <w:rsid w:val="00D67A3F"/>
    <w:rsid w:val="00D73081"/>
    <w:rsid w:val="00D77AFA"/>
    <w:rsid w:val="00D815D1"/>
    <w:rsid w:val="00D81A55"/>
    <w:rsid w:val="00D84B4E"/>
    <w:rsid w:val="00D919FF"/>
    <w:rsid w:val="00D91DDE"/>
    <w:rsid w:val="00D95DC4"/>
    <w:rsid w:val="00D964A1"/>
    <w:rsid w:val="00D96E88"/>
    <w:rsid w:val="00D972A4"/>
    <w:rsid w:val="00DA1B7B"/>
    <w:rsid w:val="00DA1E4B"/>
    <w:rsid w:val="00DA5426"/>
    <w:rsid w:val="00DA62EA"/>
    <w:rsid w:val="00DB4639"/>
    <w:rsid w:val="00DB4BE5"/>
    <w:rsid w:val="00DB7758"/>
    <w:rsid w:val="00DC03E7"/>
    <w:rsid w:val="00DC2C20"/>
    <w:rsid w:val="00DC5600"/>
    <w:rsid w:val="00DD0FF8"/>
    <w:rsid w:val="00DD2902"/>
    <w:rsid w:val="00DD6ED1"/>
    <w:rsid w:val="00DE1F49"/>
    <w:rsid w:val="00DE4306"/>
    <w:rsid w:val="00DE4AAF"/>
    <w:rsid w:val="00DE72F9"/>
    <w:rsid w:val="00DF0177"/>
    <w:rsid w:val="00DF489E"/>
    <w:rsid w:val="00DF6B89"/>
    <w:rsid w:val="00E00952"/>
    <w:rsid w:val="00E04352"/>
    <w:rsid w:val="00E0504D"/>
    <w:rsid w:val="00E12AA3"/>
    <w:rsid w:val="00E13199"/>
    <w:rsid w:val="00E32EEC"/>
    <w:rsid w:val="00E37237"/>
    <w:rsid w:val="00E40610"/>
    <w:rsid w:val="00E416F7"/>
    <w:rsid w:val="00E41728"/>
    <w:rsid w:val="00E442D8"/>
    <w:rsid w:val="00E4780E"/>
    <w:rsid w:val="00E54CCA"/>
    <w:rsid w:val="00E56FE0"/>
    <w:rsid w:val="00E6017F"/>
    <w:rsid w:val="00E6145D"/>
    <w:rsid w:val="00E622C3"/>
    <w:rsid w:val="00E63552"/>
    <w:rsid w:val="00E65CF3"/>
    <w:rsid w:val="00E71E15"/>
    <w:rsid w:val="00E73CF1"/>
    <w:rsid w:val="00E76AF8"/>
    <w:rsid w:val="00E77BE9"/>
    <w:rsid w:val="00E81822"/>
    <w:rsid w:val="00E8559C"/>
    <w:rsid w:val="00E91956"/>
    <w:rsid w:val="00E96520"/>
    <w:rsid w:val="00E966DC"/>
    <w:rsid w:val="00EA00EC"/>
    <w:rsid w:val="00EA022C"/>
    <w:rsid w:val="00EA1E53"/>
    <w:rsid w:val="00EA423B"/>
    <w:rsid w:val="00EA476C"/>
    <w:rsid w:val="00EA5D26"/>
    <w:rsid w:val="00EA6ACE"/>
    <w:rsid w:val="00EB1955"/>
    <w:rsid w:val="00EB23FA"/>
    <w:rsid w:val="00EB305D"/>
    <w:rsid w:val="00EB569F"/>
    <w:rsid w:val="00EB7145"/>
    <w:rsid w:val="00EB7ED0"/>
    <w:rsid w:val="00EC42AF"/>
    <w:rsid w:val="00EC614A"/>
    <w:rsid w:val="00EC6293"/>
    <w:rsid w:val="00EC74A1"/>
    <w:rsid w:val="00ED0ADD"/>
    <w:rsid w:val="00ED0B4A"/>
    <w:rsid w:val="00ED4F58"/>
    <w:rsid w:val="00EE0873"/>
    <w:rsid w:val="00EE42E9"/>
    <w:rsid w:val="00EF0FC3"/>
    <w:rsid w:val="00EF5840"/>
    <w:rsid w:val="00F0075D"/>
    <w:rsid w:val="00F03562"/>
    <w:rsid w:val="00F07729"/>
    <w:rsid w:val="00F17A4F"/>
    <w:rsid w:val="00F17E88"/>
    <w:rsid w:val="00F238C9"/>
    <w:rsid w:val="00F2431E"/>
    <w:rsid w:val="00F2576C"/>
    <w:rsid w:val="00F27FA6"/>
    <w:rsid w:val="00F31665"/>
    <w:rsid w:val="00F36480"/>
    <w:rsid w:val="00F37D13"/>
    <w:rsid w:val="00F40953"/>
    <w:rsid w:val="00F4142F"/>
    <w:rsid w:val="00F45AA4"/>
    <w:rsid w:val="00F5080C"/>
    <w:rsid w:val="00F5398A"/>
    <w:rsid w:val="00F53B8D"/>
    <w:rsid w:val="00F54605"/>
    <w:rsid w:val="00F5550A"/>
    <w:rsid w:val="00F627C2"/>
    <w:rsid w:val="00F63226"/>
    <w:rsid w:val="00F642F8"/>
    <w:rsid w:val="00F66F5F"/>
    <w:rsid w:val="00F703C5"/>
    <w:rsid w:val="00F72591"/>
    <w:rsid w:val="00F74A9E"/>
    <w:rsid w:val="00F74B85"/>
    <w:rsid w:val="00F75220"/>
    <w:rsid w:val="00F759D5"/>
    <w:rsid w:val="00F7629A"/>
    <w:rsid w:val="00F808FD"/>
    <w:rsid w:val="00F81B34"/>
    <w:rsid w:val="00F9664E"/>
    <w:rsid w:val="00FA18B9"/>
    <w:rsid w:val="00FA6005"/>
    <w:rsid w:val="00FB3DE2"/>
    <w:rsid w:val="00FB4182"/>
    <w:rsid w:val="00FB7BF9"/>
    <w:rsid w:val="00FC1B13"/>
    <w:rsid w:val="00FC513E"/>
    <w:rsid w:val="00FC612B"/>
    <w:rsid w:val="00FC70CA"/>
    <w:rsid w:val="00FD15DA"/>
    <w:rsid w:val="00FD1B7F"/>
    <w:rsid w:val="00FD6564"/>
    <w:rsid w:val="00FD75CA"/>
    <w:rsid w:val="00FE18DA"/>
    <w:rsid w:val="00FE20B1"/>
    <w:rsid w:val="00FE465C"/>
    <w:rsid w:val="00FE6713"/>
    <w:rsid w:val="00FF0A7B"/>
    <w:rsid w:val="00FF337D"/>
    <w:rsid w:val="00FF6166"/>
    <w:rsid w:val="00FF6409"/>
    <w:rsid w:val="60912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C78E"/>
  <w15:chartTrackingRefBased/>
  <w15:docId w15:val="{EF036EFC-011F-42D0-9DD6-A48CD514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7C7"/>
    <w:rPr>
      <w:color w:val="0563C1" w:themeColor="hyperlink"/>
      <w:u w:val="single"/>
    </w:rPr>
  </w:style>
  <w:style w:type="character" w:styleId="UnresolvedMention">
    <w:name w:val="Unresolved Mention"/>
    <w:basedOn w:val="DefaultParagraphFont"/>
    <w:uiPriority w:val="99"/>
    <w:semiHidden/>
    <w:unhideWhenUsed/>
    <w:rsid w:val="000D07C7"/>
    <w:rPr>
      <w:color w:val="605E5C"/>
      <w:shd w:val="clear" w:color="auto" w:fill="E1DFDD"/>
    </w:rPr>
  </w:style>
  <w:style w:type="paragraph" w:styleId="FootnoteText">
    <w:name w:val="footnote text"/>
    <w:basedOn w:val="Normal"/>
    <w:link w:val="FootnoteTextChar"/>
    <w:uiPriority w:val="99"/>
    <w:semiHidden/>
    <w:unhideWhenUsed/>
    <w:rsid w:val="000C02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253"/>
    <w:rPr>
      <w:sz w:val="20"/>
      <w:szCs w:val="20"/>
    </w:rPr>
  </w:style>
  <w:style w:type="character" w:styleId="FootnoteReference">
    <w:name w:val="footnote reference"/>
    <w:basedOn w:val="DefaultParagraphFont"/>
    <w:uiPriority w:val="99"/>
    <w:semiHidden/>
    <w:unhideWhenUsed/>
    <w:rsid w:val="000C0253"/>
    <w:rPr>
      <w:vertAlign w:val="superscript"/>
    </w:rPr>
  </w:style>
  <w:style w:type="paragraph" w:styleId="Revision">
    <w:name w:val="Revision"/>
    <w:hidden/>
    <w:uiPriority w:val="99"/>
    <w:semiHidden/>
    <w:rsid w:val="003A6C85"/>
    <w:pPr>
      <w:spacing w:after="0" w:line="240" w:lineRule="auto"/>
    </w:pPr>
  </w:style>
  <w:style w:type="paragraph" w:styleId="Header">
    <w:name w:val="header"/>
    <w:basedOn w:val="Normal"/>
    <w:link w:val="HeaderChar"/>
    <w:uiPriority w:val="99"/>
    <w:semiHidden/>
    <w:unhideWhenUsed/>
    <w:rsid w:val="007B08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08CB"/>
  </w:style>
  <w:style w:type="paragraph" w:styleId="Footer">
    <w:name w:val="footer"/>
    <w:basedOn w:val="Normal"/>
    <w:link w:val="FooterChar"/>
    <w:uiPriority w:val="99"/>
    <w:semiHidden/>
    <w:unhideWhenUsed/>
    <w:rsid w:val="007B08C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08CB"/>
  </w:style>
  <w:style w:type="paragraph" w:styleId="ListParagraph">
    <w:name w:val="List Paragraph"/>
    <w:basedOn w:val="Normal"/>
    <w:uiPriority w:val="34"/>
    <w:qFormat/>
    <w:rsid w:val="00B92116"/>
    <w:pPr>
      <w:ind w:left="720"/>
      <w:contextualSpacing/>
    </w:pPr>
  </w:style>
  <w:style w:type="character" w:styleId="CommentReference">
    <w:name w:val="annotation reference"/>
    <w:basedOn w:val="DefaultParagraphFont"/>
    <w:uiPriority w:val="99"/>
    <w:semiHidden/>
    <w:unhideWhenUsed/>
    <w:rsid w:val="00EC614A"/>
    <w:rPr>
      <w:sz w:val="16"/>
      <w:szCs w:val="16"/>
    </w:rPr>
  </w:style>
  <w:style w:type="paragraph" w:styleId="CommentText">
    <w:name w:val="annotation text"/>
    <w:basedOn w:val="Normal"/>
    <w:link w:val="CommentTextChar"/>
    <w:uiPriority w:val="99"/>
    <w:unhideWhenUsed/>
    <w:rsid w:val="00EC614A"/>
    <w:pPr>
      <w:spacing w:line="240" w:lineRule="auto"/>
    </w:pPr>
    <w:rPr>
      <w:sz w:val="20"/>
      <w:szCs w:val="20"/>
    </w:rPr>
  </w:style>
  <w:style w:type="character" w:customStyle="1" w:styleId="CommentTextChar">
    <w:name w:val="Comment Text Char"/>
    <w:basedOn w:val="DefaultParagraphFont"/>
    <w:link w:val="CommentText"/>
    <w:uiPriority w:val="99"/>
    <w:rsid w:val="00EC614A"/>
    <w:rPr>
      <w:sz w:val="20"/>
      <w:szCs w:val="20"/>
    </w:rPr>
  </w:style>
  <w:style w:type="paragraph" w:styleId="CommentSubject">
    <w:name w:val="annotation subject"/>
    <w:basedOn w:val="CommentText"/>
    <w:next w:val="CommentText"/>
    <w:link w:val="CommentSubjectChar"/>
    <w:uiPriority w:val="99"/>
    <w:semiHidden/>
    <w:unhideWhenUsed/>
    <w:rsid w:val="00EC614A"/>
    <w:rPr>
      <w:b/>
      <w:bCs/>
    </w:rPr>
  </w:style>
  <w:style w:type="character" w:customStyle="1" w:styleId="CommentSubjectChar">
    <w:name w:val="Comment Subject Char"/>
    <w:basedOn w:val="CommentTextChar"/>
    <w:link w:val="CommentSubject"/>
    <w:uiPriority w:val="99"/>
    <w:semiHidden/>
    <w:rsid w:val="00EC614A"/>
    <w:rPr>
      <w:b/>
      <w:bCs/>
      <w:sz w:val="20"/>
      <w:szCs w:val="20"/>
    </w:rPr>
  </w:style>
  <w:style w:type="character" w:styleId="Mention">
    <w:name w:val="Mention"/>
    <w:basedOn w:val="DefaultParagraphFont"/>
    <w:uiPriority w:val="99"/>
    <w:unhideWhenUsed/>
    <w:rsid w:val="00D84B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hansard.act.gov.au/Hansard/10th-assembly/Committee-transcripts/est32.pdf" TargetMode="External"/><Relationship Id="rId3" Type="http://schemas.openxmlformats.org/officeDocument/2006/relationships/hyperlink" Target="https://www.elections.act.gov.au/funding-disclosures-and-registers/annual-returns" TargetMode="External"/><Relationship Id="rId7" Type="http://schemas.openxmlformats.org/officeDocument/2006/relationships/hyperlink" Target="https://www.parliament.act.gov.au/parliamentary-business/in-committees/committees/jcs/inquiry-into-cashless-gaming" TargetMode="External"/><Relationship Id="rId2" Type="http://schemas.openxmlformats.org/officeDocument/2006/relationships/hyperlink" Target="https://www.abc.net.au/news/2021-10-14/how-the-gambling-industry-cashed-in-on-political-donations/100509026" TargetMode="External"/><Relationship Id="rId1" Type="http://schemas.openxmlformats.org/officeDocument/2006/relationships/hyperlink" Target="https://eresources.hcourt.gov.au/showCase/2015/HCA/34" TargetMode="External"/><Relationship Id="rId6" Type="http://schemas.openxmlformats.org/officeDocument/2006/relationships/hyperlink" Target="https://www.parliament.act.gov.au/parliamentary-business/in-committees/previous-assemblies/standing-committees-eighth-assembly/Public-Accounts/inquiry-into-elements-impacting-on-the-future-of-the-act?inquiry=710257" TargetMode="External"/><Relationship Id="rId5" Type="http://schemas.openxmlformats.org/officeDocument/2006/relationships/hyperlink" Target="https://www.legislation.act.gov.au/b/db_11166/" TargetMode="External"/><Relationship Id="rId4" Type="http://schemas.openxmlformats.org/officeDocument/2006/relationships/hyperlink" Target="https://www.parliament.act.gov.au/parliamentary-business/in-committees/previous-assemblies/Select-Committees-Fourth-Assembly/Select-Committee-on-Gambling/The-Social-and-Economic-Impacts-of-Gambling-in-the-ACT-fin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50AB19D8A2541A827C2ACB192F326" ma:contentTypeVersion="18" ma:contentTypeDescription="Create a new document." ma:contentTypeScope="" ma:versionID="57a30c2f835ddf02382a4107e4550e65">
  <xsd:schema xmlns:xsd="http://www.w3.org/2001/XMLSchema" xmlns:xs="http://www.w3.org/2001/XMLSchema" xmlns:p="http://schemas.microsoft.com/office/2006/metadata/properties" xmlns:ns2="d477c74b-77b5-4c97-882d-eead2a707f23" xmlns:ns3="616ae013-c81a-4123-829f-3af5763c278b" targetNamespace="http://schemas.microsoft.com/office/2006/metadata/properties" ma:root="true" ma:fieldsID="ef28443cf7107644ecffd4b3e848f3b5" ns2:_="" ns3:_="">
    <xsd:import namespace="d477c74b-77b5-4c97-882d-eead2a707f23"/>
    <xsd:import namespace="616ae013-c81a-4123-829f-3af5763c2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7c74b-77b5-4c97-882d-eead2a7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e013-c81a-4123-829f-3af5763c2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cb1a5-55c0-4e5f-b536-3ecc419bdcde}" ma:internalName="TaxCatchAll" ma:showField="CatchAllData" ma:web="616ae013-c81a-4123-829f-3af5763c2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77c74b-77b5-4c97-882d-eead2a707f23">
      <Terms xmlns="http://schemas.microsoft.com/office/infopath/2007/PartnerControls"/>
    </lcf76f155ced4ddcb4097134ff3c332f>
    <TaxCatchAll xmlns="616ae013-c81a-4123-829f-3af5763c278b" xsi:nil="true"/>
  </documentManagement>
</p:properties>
</file>

<file path=customXml/itemProps1.xml><?xml version="1.0" encoding="utf-8"?>
<ds:datastoreItem xmlns:ds="http://schemas.openxmlformats.org/officeDocument/2006/customXml" ds:itemID="{9E3FB04B-3A33-4667-841F-16F4B3D6BC73}">
  <ds:schemaRefs>
    <ds:schemaRef ds:uri="http://schemas.microsoft.com/sharepoint/v3/contenttype/forms"/>
  </ds:schemaRefs>
</ds:datastoreItem>
</file>

<file path=customXml/itemProps2.xml><?xml version="1.0" encoding="utf-8"?>
<ds:datastoreItem xmlns:ds="http://schemas.openxmlformats.org/officeDocument/2006/customXml" ds:itemID="{1125CA65-442F-4E21-BB79-FC2D1ED1A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7c74b-77b5-4c97-882d-eead2a707f23"/>
    <ds:schemaRef ds:uri="616ae013-c81a-4123-829f-3af5763c2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8499D-F65F-4B4F-A31A-5CBE6347AF6B}">
  <ds:schemaRefs>
    <ds:schemaRef ds:uri="http://schemas.openxmlformats.org/officeDocument/2006/bibliography"/>
  </ds:schemaRefs>
</ds:datastoreItem>
</file>

<file path=customXml/itemProps4.xml><?xml version="1.0" encoding="utf-8"?>
<ds:datastoreItem xmlns:ds="http://schemas.openxmlformats.org/officeDocument/2006/customXml" ds:itemID="{287436C6-690A-482E-A365-96C80C375A78}">
  <ds:schemaRefs>
    <ds:schemaRef ds:uri="http://schemas.microsoft.com/office/2006/metadata/properties"/>
    <ds:schemaRef ds:uri="http://schemas.microsoft.com/office/infopath/2007/PartnerControls"/>
    <ds:schemaRef ds:uri="d477c74b-77b5-4c97-882d-eead2a707f23"/>
    <ds:schemaRef ds:uri="616ae013-c81a-4123-829f-3af5763c278b"/>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2046</Words>
  <Characters>11666</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Links>
    <vt:vector size="48" baseType="variant">
      <vt:variant>
        <vt:i4>5046363</vt:i4>
      </vt:variant>
      <vt:variant>
        <vt:i4>21</vt:i4>
      </vt:variant>
      <vt:variant>
        <vt:i4>0</vt:i4>
      </vt:variant>
      <vt:variant>
        <vt:i4>5</vt:i4>
      </vt:variant>
      <vt:variant>
        <vt:lpwstr>https://www.hansard.act.gov.au/Hansard/10th-assembly/Committee-transcripts/est32.pdf</vt:lpwstr>
      </vt:variant>
      <vt:variant>
        <vt:lpwstr/>
      </vt:variant>
      <vt:variant>
        <vt:i4>7208993</vt:i4>
      </vt:variant>
      <vt:variant>
        <vt:i4>18</vt:i4>
      </vt:variant>
      <vt:variant>
        <vt:i4>0</vt:i4>
      </vt:variant>
      <vt:variant>
        <vt:i4>5</vt:i4>
      </vt:variant>
      <vt:variant>
        <vt:lpwstr>https://www.parliament.act.gov.au/parliamentary-business/in-committees/committees/jcs/inquiry-into-cashless-gaming</vt:lpwstr>
      </vt:variant>
      <vt:variant>
        <vt:lpwstr/>
      </vt:variant>
      <vt:variant>
        <vt:i4>7602238</vt:i4>
      </vt:variant>
      <vt:variant>
        <vt:i4>15</vt:i4>
      </vt:variant>
      <vt:variant>
        <vt:i4>0</vt:i4>
      </vt:variant>
      <vt:variant>
        <vt:i4>5</vt:i4>
      </vt:variant>
      <vt:variant>
        <vt:lpwstr>https://www.parliament.act.gov.au/parliamentary-business/in-committees/previous-assemblies/standing-committees-eighth-assembly/Public-Accounts/inquiry-into-elements-impacting-on-the-future-of-the-act?inquiry=710257</vt:lpwstr>
      </vt:variant>
      <vt:variant>
        <vt:lpwstr/>
      </vt:variant>
      <vt:variant>
        <vt:i4>1376367</vt:i4>
      </vt:variant>
      <vt:variant>
        <vt:i4>12</vt:i4>
      </vt:variant>
      <vt:variant>
        <vt:i4>0</vt:i4>
      </vt:variant>
      <vt:variant>
        <vt:i4>5</vt:i4>
      </vt:variant>
      <vt:variant>
        <vt:lpwstr>https://www.legislation.act.gov.au/b/db_11166/</vt:lpwstr>
      </vt:variant>
      <vt:variant>
        <vt:lpwstr/>
      </vt:variant>
      <vt:variant>
        <vt:i4>655450</vt:i4>
      </vt:variant>
      <vt:variant>
        <vt:i4>9</vt:i4>
      </vt:variant>
      <vt:variant>
        <vt:i4>0</vt:i4>
      </vt:variant>
      <vt:variant>
        <vt:i4>5</vt:i4>
      </vt:variant>
      <vt:variant>
        <vt:lpwstr>https://www.parliament.act.gov.au/parliamentary-business/in-committees/previous-assemblies/Select-Committees-Fourth-Assembly/Select-Committee-on-Gambling/The-Social-and-Economic-Impacts-of-Gambling-in-the-ACT-final-report</vt:lpwstr>
      </vt:variant>
      <vt:variant>
        <vt:lpwstr/>
      </vt:variant>
      <vt:variant>
        <vt:i4>5242893</vt:i4>
      </vt:variant>
      <vt:variant>
        <vt:i4>6</vt:i4>
      </vt:variant>
      <vt:variant>
        <vt:i4>0</vt:i4>
      </vt:variant>
      <vt:variant>
        <vt:i4>5</vt:i4>
      </vt:variant>
      <vt:variant>
        <vt:lpwstr>https://www.elections.act.gov.au/funding-disclosures-and-registers/annual-returns</vt:lpwstr>
      </vt:variant>
      <vt:variant>
        <vt:lpwstr/>
      </vt:variant>
      <vt:variant>
        <vt:i4>6750315</vt:i4>
      </vt:variant>
      <vt:variant>
        <vt:i4>3</vt:i4>
      </vt:variant>
      <vt:variant>
        <vt:i4>0</vt:i4>
      </vt:variant>
      <vt:variant>
        <vt:i4>5</vt:i4>
      </vt:variant>
      <vt:variant>
        <vt:lpwstr>https://www.abc.net.au/news/2021-10-14/how-the-gambling-industry-cashed-in-on-political-donations/100509026</vt:lpwstr>
      </vt:variant>
      <vt:variant>
        <vt:lpwstr/>
      </vt:variant>
      <vt:variant>
        <vt:i4>393296</vt:i4>
      </vt:variant>
      <vt:variant>
        <vt:i4>0</vt:i4>
      </vt:variant>
      <vt:variant>
        <vt:i4>0</vt:i4>
      </vt:variant>
      <vt:variant>
        <vt:i4>5</vt:i4>
      </vt:variant>
      <vt:variant>
        <vt:lpwstr>https://eresources.hcourt.gov.au/showCase/2015/HCA/34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Liersch, Tim</dc:creator>
  <cp:keywords/>
  <dc:description/>
  <cp:lastModifiedBy>Liersch, Tim</cp:lastModifiedBy>
  <cp:revision>469</cp:revision>
  <cp:lastPrinted>2024-08-12T23:16:00Z</cp:lastPrinted>
  <dcterms:created xsi:type="dcterms:W3CDTF">2024-08-08T10:34:00Z</dcterms:created>
  <dcterms:modified xsi:type="dcterms:W3CDTF">2024-08-12T23:51:00Z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0x01010016F50AB19D8A2541A827C2ACB192F326</vt:lpwstr>
  </property>
  <property fmtid="{D5CDD505-2E9C-101B-9397-08002B2CF9AE}" pid="3" name="MediaServiceImageTags">
    <vt:lpwstr/>
  </property>
</Properties>
</file>