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3988" w14:textId="77777777" w:rsidR="00762C9A" w:rsidRDefault="00762C9A" w:rsidP="00762C9A">
      <w:pPr>
        <w:spacing w:before="120"/>
        <w:rPr>
          <w:rFonts w:ascii="Arial" w:hAnsi="Arial" w:cs="Arial"/>
        </w:rPr>
      </w:pPr>
      <w:bookmarkStart w:id="0" w:name="_Toc44738651"/>
      <w:r>
        <w:rPr>
          <w:rFonts w:ascii="Arial" w:hAnsi="Arial" w:cs="Arial"/>
        </w:rPr>
        <w:t>Australian Capital Territory</w:t>
      </w:r>
    </w:p>
    <w:p w14:paraId="28150BE5" w14:textId="32B6214E" w:rsidR="00762C9A" w:rsidRDefault="00762C9A" w:rsidP="00762C9A">
      <w:pPr>
        <w:pStyle w:val="Billname"/>
        <w:spacing w:before="700"/>
      </w:pPr>
      <w:r>
        <w:t>Magistrates Court (Building Infringement Notices) Amendment Regulation 2024 (No </w:t>
      </w:r>
      <w:r w:rsidR="00636F9D">
        <w:t>1</w:t>
      </w:r>
      <w:r>
        <w:t>)</w:t>
      </w:r>
    </w:p>
    <w:p w14:paraId="4A7622D6" w14:textId="77777777" w:rsidR="00762C9A" w:rsidRDefault="00762C9A" w:rsidP="00762C9A">
      <w:pPr>
        <w:spacing w:before="340"/>
        <w:rPr>
          <w:rFonts w:ascii="Arial" w:hAnsi="Arial" w:cs="Arial"/>
          <w:b/>
          <w:bCs/>
        </w:rPr>
      </w:pPr>
      <w:r>
        <w:rPr>
          <w:rFonts w:ascii="Arial" w:hAnsi="Arial" w:cs="Arial"/>
          <w:b/>
          <w:bCs/>
        </w:rPr>
        <w:t>Subordinate law SL2024–</w:t>
      </w:r>
    </w:p>
    <w:p w14:paraId="312352FF" w14:textId="77777777" w:rsidR="00762C9A" w:rsidRPr="0044787D" w:rsidRDefault="00762C9A" w:rsidP="00762C9A">
      <w:pPr>
        <w:pStyle w:val="madeunder"/>
        <w:spacing w:before="300" w:after="0"/>
      </w:pPr>
      <w:r w:rsidRPr="0044787D">
        <w:t xml:space="preserve">made under the  </w:t>
      </w:r>
    </w:p>
    <w:p w14:paraId="3333BFA7" w14:textId="77777777" w:rsidR="00762C9A" w:rsidRPr="0044787D" w:rsidRDefault="00762C9A" w:rsidP="00762C9A">
      <w:pPr>
        <w:pStyle w:val="CoverActName"/>
        <w:spacing w:before="320" w:after="0"/>
        <w:rPr>
          <w:rFonts w:cs="Arial"/>
          <w:sz w:val="20"/>
        </w:rPr>
      </w:pPr>
      <w:r w:rsidRPr="0044787D">
        <w:rPr>
          <w:rFonts w:cs="Arial"/>
          <w:sz w:val="20"/>
        </w:rPr>
        <w:t>Magistrates Court Act 1930</w:t>
      </w:r>
    </w:p>
    <w:p w14:paraId="634C3A4A" w14:textId="7266A6BD" w:rsidR="00762C9A" w:rsidRDefault="00906FA6" w:rsidP="00762C9A">
      <w:pPr>
        <w:spacing w:before="360"/>
        <w:ind w:right="565"/>
        <w:rPr>
          <w:rFonts w:ascii="Arial" w:hAnsi="Arial" w:cs="Arial"/>
          <w:b/>
          <w:bCs/>
          <w:sz w:val="28"/>
          <w:szCs w:val="28"/>
        </w:rPr>
      </w:pPr>
      <w:r>
        <w:rPr>
          <w:rFonts w:ascii="Arial" w:hAnsi="Arial" w:cs="Arial"/>
          <w:b/>
          <w:bCs/>
          <w:sz w:val="28"/>
          <w:szCs w:val="28"/>
        </w:rPr>
        <w:t xml:space="preserve">REVISED </w:t>
      </w:r>
      <w:r w:rsidR="00762C9A" w:rsidRPr="0044787D">
        <w:rPr>
          <w:rFonts w:ascii="Arial" w:hAnsi="Arial" w:cs="Arial"/>
          <w:b/>
          <w:bCs/>
          <w:sz w:val="28"/>
          <w:szCs w:val="28"/>
        </w:rPr>
        <w:t>EXPLANATORY STATEMENT</w:t>
      </w:r>
    </w:p>
    <w:p w14:paraId="7E6513CD" w14:textId="77777777" w:rsidR="00762C9A" w:rsidRDefault="00762C9A" w:rsidP="00762C9A">
      <w:pPr>
        <w:pStyle w:val="N-line3"/>
        <w:pBdr>
          <w:bottom w:val="none" w:sz="0" w:space="0" w:color="auto"/>
        </w:pBdr>
      </w:pPr>
    </w:p>
    <w:p w14:paraId="06B5A765" w14:textId="77777777" w:rsidR="00762C9A" w:rsidRDefault="00762C9A" w:rsidP="00762C9A">
      <w:pPr>
        <w:pStyle w:val="N-line3"/>
        <w:pBdr>
          <w:top w:val="single" w:sz="12" w:space="1" w:color="auto"/>
          <w:bottom w:val="none" w:sz="0" w:space="0" w:color="auto"/>
        </w:pBdr>
      </w:pPr>
    </w:p>
    <w:p w14:paraId="14D391A7" w14:textId="10287EB6" w:rsidR="00866474" w:rsidRDefault="00762C9A" w:rsidP="00762C9A">
      <w:pPr>
        <w:rPr>
          <w:rFonts w:ascii="Arial" w:hAnsi="Arial" w:cs="Arial"/>
          <w:iCs/>
          <w:szCs w:val="24"/>
        </w:rPr>
      </w:pPr>
      <w:r>
        <w:rPr>
          <w:rFonts w:ascii="Arial" w:hAnsi="Arial" w:cs="Arial"/>
          <w:color w:val="000000" w:themeColor="text1"/>
          <w:szCs w:val="24"/>
        </w:rPr>
        <w:t xml:space="preserve">This </w:t>
      </w:r>
      <w:r w:rsidR="00906FA6">
        <w:rPr>
          <w:rFonts w:ascii="Arial" w:hAnsi="Arial" w:cs="Arial"/>
          <w:color w:val="000000" w:themeColor="text1"/>
          <w:szCs w:val="24"/>
        </w:rPr>
        <w:t xml:space="preserve">revised </w:t>
      </w:r>
      <w:r>
        <w:rPr>
          <w:rFonts w:ascii="Arial" w:hAnsi="Arial" w:cs="Arial"/>
          <w:color w:val="000000" w:themeColor="text1"/>
          <w:szCs w:val="24"/>
        </w:rPr>
        <w:t xml:space="preserve">explanatory statement relates to the </w:t>
      </w:r>
      <w:r w:rsidRPr="00327337">
        <w:rPr>
          <w:rFonts w:ascii="Arial" w:hAnsi="Arial" w:cs="Arial"/>
          <w:i/>
          <w:szCs w:val="24"/>
        </w:rPr>
        <w:t xml:space="preserve">Magistrates Court (Building Infringement Notices) </w:t>
      </w:r>
      <w:r>
        <w:rPr>
          <w:rFonts w:ascii="Arial" w:hAnsi="Arial" w:cs="Arial"/>
          <w:i/>
          <w:szCs w:val="24"/>
        </w:rPr>
        <w:t xml:space="preserve">Amendment </w:t>
      </w:r>
      <w:r w:rsidRPr="00327337">
        <w:rPr>
          <w:rFonts w:ascii="Arial" w:hAnsi="Arial" w:cs="Arial"/>
          <w:i/>
          <w:szCs w:val="24"/>
        </w:rPr>
        <w:t xml:space="preserve">Regulation </w:t>
      </w:r>
      <w:r>
        <w:rPr>
          <w:rFonts w:ascii="Arial" w:hAnsi="Arial" w:cs="Arial"/>
          <w:i/>
          <w:szCs w:val="24"/>
        </w:rPr>
        <w:t xml:space="preserve">2024 (No </w:t>
      </w:r>
      <w:r w:rsidR="00636F9D">
        <w:rPr>
          <w:rFonts w:ascii="Arial" w:hAnsi="Arial" w:cs="Arial"/>
          <w:i/>
          <w:szCs w:val="24"/>
        </w:rPr>
        <w:t>1</w:t>
      </w:r>
      <w:r>
        <w:rPr>
          <w:rFonts w:ascii="Arial" w:hAnsi="Arial" w:cs="Arial"/>
          <w:i/>
          <w:szCs w:val="24"/>
        </w:rPr>
        <w:t>)</w:t>
      </w:r>
      <w:r>
        <w:rPr>
          <w:rFonts w:ascii="Arial" w:hAnsi="Arial" w:cs="Arial"/>
          <w:iCs/>
          <w:szCs w:val="24"/>
        </w:rPr>
        <w:t xml:space="preserve"> (the regulation) as made by the Executive.</w:t>
      </w:r>
      <w:r w:rsidR="00906FA6">
        <w:rPr>
          <w:rFonts w:ascii="Arial" w:hAnsi="Arial" w:cs="Arial"/>
          <w:iCs/>
          <w:szCs w:val="24"/>
        </w:rPr>
        <w:t xml:space="preserve"> </w:t>
      </w:r>
    </w:p>
    <w:p w14:paraId="4ECE8E1E" w14:textId="77777777" w:rsidR="00866474" w:rsidRDefault="00866474" w:rsidP="00762C9A">
      <w:pPr>
        <w:rPr>
          <w:rFonts w:ascii="Arial" w:hAnsi="Arial" w:cs="Arial"/>
          <w:iCs/>
          <w:szCs w:val="24"/>
        </w:rPr>
      </w:pPr>
    </w:p>
    <w:p w14:paraId="01E3945A" w14:textId="13877635" w:rsidR="00762C9A" w:rsidRDefault="00906FA6" w:rsidP="00762C9A">
      <w:pPr>
        <w:rPr>
          <w:rFonts w:ascii="Arial" w:hAnsi="Arial" w:cs="Arial"/>
          <w:iCs/>
          <w:szCs w:val="24"/>
        </w:rPr>
      </w:pPr>
      <w:r>
        <w:rPr>
          <w:rFonts w:ascii="Arial" w:hAnsi="Arial" w:cs="Arial"/>
          <w:iCs/>
          <w:szCs w:val="24"/>
        </w:rPr>
        <w:t xml:space="preserve">It has been prepared to address comments </w:t>
      </w:r>
      <w:bookmarkStart w:id="1" w:name="_Hlk115358909"/>
      <w:r>
        <w:rPr>
          <w:rFonts w:ascii="Arial" w:hAnsi="Arial" w:cs="Arial"/>
          <w:color w:val="000000"/>
          <w:shd w:val="clear" w:color="auto" w:fill="FFFFFF"/>
        </w:rPr>
        <w:t xml:space="preserve">made by the Standing Committee on Justice and Community Safety (Legislative Scrutiny Role) (the Committee) in its Scrutiny Report </w:t>
      </w:r>
      <w:bookmarkEnd w:id="1"/>
      <w:r>
        <w:rPr>
          <w:rFonts w:ascii="Arial" w:hAnsi="Arial" w:cs="Arial"/>
          <w:color w:val="000000"/>
          <w:shd w:val="clear" w:color="auto" w:fill="FFFFFF"/>
        </w:rPr>
        <w:t>41.</w:t>
      </w:r>
    </w:p>
    <w:p w14:paraId="12BEFF30" w14:textId="77777777" w:rsidR="00762C9A" w:rsidRDefault="00762C9A" w:rsidP="00762C9A">
      <w:pPr>
        <w:rPr>
          <w:rFonts w:ascii="Arial" w:hAnsi="Arial" w:cs="Arial"/>
          <w:iCs/>
          <w:szCs w:val="24"/>
        </w:rPr>
      </w:pPr>
    </w:p>
    <w:p w14:paraId="44509AA6" w14:textId="2C170FB3" w:rsidR="00762C9A" w:rsidRDefault="00762C9A" w:rsidP="00762C9A">
      <w:pPr>
        <w:rPr>
          <w:rFonts w:ascii="Arial" w:hAnsi="Arial" w:cs="Arial"/>
          <w:iCs/>
          <w:szCs w:val="24"/>
        </w:rPr>
      </w:pPr>
      <w:r>
        <w:rPr>
          <w:rFonts w:ascii="Arial" w:hAnsi="Arial" w:cs="Arial"/>
          <w:iCs/>
          <w:szCs w:val="24"/>
        </w:rPr>
        <w:t>It does not form part of the regulation and has not been endorsed by the Legislative Assembly.</w:t>
      </w:r>
    </w:p>
    <w:p w14:paraId="6349A459" w14:textId="77777777" w:rsidR="00762C9A" w:rsidRDefault="00762C9A" w:rsidP="00762C9A">
      <w:pPr>
        <w:rPr>
          <w:rFonts w:ascii="Arial" w:hAnsi="Arial" w:cs="Arial"/>
          <w:iCs/>
          <w:szCs w:val="24"/>
        </w:rPr>
      </w:pPr>
    </w:p>
    <w:p w14:paraId="1B32E691" w14:textId="77777777" w:rsidR="00762C9A" w:rsidRDefault="00762C9A" w:rsidP="00762C9A">
      <w:pPr>
        <w:rPr>
          <w:rFonts w:ascii="Arial" w:hAnsi="Arial" w:cs="Arial"/>
          <w:iCs/>
          <w:szCs w:val="24"/>
        </w:rPr>
      </w:pPr>
      <w:r>
        <w:rPr>
          <w:rFonts w:ascii="Arial" w:hAnsi="Arial" w:cs="Arial"/>
          <w:iCs/>
          <w:szCs w:val="24"/>
        </w:rPr>
        <w:t>This statement must be read in conjunction with the regulation. It is not, and is not meant to be, a comprehensive description of the regulation. What is said about a provision is not taken as an authoritative guide to the meaning of a provision, this being a task for the courts.</w:t>
      </w:r>
    </w:p>
    <w:p w14:paraId="0AC4024D" w14:textId="77777777" w:rsidR="00762C9A" w:rsidRPr="00247EF3" w:rsidRDefault="00762C9A" w:rsidP="00762C9A">
      <w:pPr>
        <w:rPr>
          <w:rFonts w:ascii="Arial" w:hAnsi="Arial" w:cs="Arial"/>
          <w:iCs/>
          <w:color w:val="000000" w:themeColor="text1"/>
          <w:szCs w:val="24"/>
        </w:rPr>
      </w:pPr>
    </w:p>
    <w:p w14:paraId="1C98EB3D" w14:textId="77777777" w:rsidR="00762C9A" w:rsidRPr="008A5FE4" w:rsidRDefault="00762C9A" w:rsidP="00762C9A">
      <w:pPr>
        <w:spacing w:after="240"/>
        <w:rPr>
          <w:rFonts w:ascii="Arial" w:hAnsi="Arial" w:cs="Arial"/>
          <w:b/>
          <w:bCs/>
          <w:color w:val="000000" w:themeColor="text1"/>
          <w:szCs w:val="24"/>
        </w:rPr>
      </w:pPr>
      <w:r w:rsidRPr="008A5FE4">
        <w:rPr>
          <w:rFonts w:ascii="Arial" w:hAnsi="Arial" w:cs="Arial"/>
          <w:b/>
          <w:bCs/>
          <w:color w:val="000000" w:themeColor="text1"/>
          <w:szCs w:val="24"/>
        </w:rPr>
        <w:t>OVERVIEW</w:t>
      </w:r>
    </w:p>
    <w:p w14:paraId="31853D88" w14:textId="77777777" w:rsidR="00762C9A" w:rsidRDefault="00762C9A" w:rsidP="00762C9A">
      <w:pPr>
        <w:ind w:right="-45"/>
        <w:rPr>
          <w:rFonts w:ascii="Arial" w:hAnsi="Arial" w:cs="Arial"/>
          <w:iCs/>
          <w:szCs w:val="24"/>
        </w:rPr>
      </w:pPr>
      <w:r w:rsidRPr="008A5FE4">
        <w:rPr>
          <w:rFonts w:ascii="Arial" w:hAnsi="Arial" w:cs="Arial"/>
          <w:iCs/>
          <w:szCs w:val="24"/>
        </w:rPr>
        <w:t xml:space="preserve">The </w:t>
      </w:r>
      <w:r>
        <w:rPr>
          <w:rFonts w:ascii="Arial" w:hAnsi="Arial" w:cs="Arial"/>
          <w:iCs/>
          <w:szCs w:val="24"/>
        </w:rPr>
        <w:t>r</w:t>
      </w:r>
      <w:r w:rsidRPr="008A5FE4">
        <w:rPr>
          <w:rFonts w:ascii="Arial" w:hAnsi="Arial" w:cs="Arial"/>
          <w:iCs/>
          <w:szCs w:val="24"/>
        </w:rPr>
        <w:t xml:space="preserve">egulation is being made in accordance with part 3.8 of the </w:t>
      </w:r>
      <w:r w:rsidRPr="008A5FE4">
        <w:rPr>
          <w:rFonts w:ascii="Arial" w:hAnsi="Arial" w:cs="Arial"/>
          <w:i/>
          <w:szCs w:val="24"/>
        </w:rPr>
        <w:t>Magistrates Court Act 1930</w:t>
      </w:r>
      <w:r w:rsidRPr="008A5FE4">
        <w:rPr>
          <w:rFonts w:ascii="Arial" w:hAnsi="Arial" w:cs="Arial"/>
          <w:iCs/>
          <w:szCs w:val="24"/>
        </w:rPr>
        <w:t xml:space="preserve"> and will enable infringement notices to be issued for certain offences against the </w:t>
      </w:r>
      <w:r w:rsidRPr="008A5FE4">
        <w:rPr>
          <w:rFonts w:ascii="Arial" w:hAnsi="Arial" w:cs="Arial"/>
          <w:i/>
          <w:szCs w:val="24"/>
        </w:rPr>
        <w:t>Building Act 2004</w:t>
      </w:r>
      <w:r>
        <w:rPr>
          <w:rFonts w:ascii="Arial" w:hAnsi="Arial" w:cs="Arial"/>
          <w:i/>
          <w:szCs w:val="24"/>
        </w:rPr>
        <w:t xml:space="preserve"> </w:t>
      </w:r>
      <w:r>
        <w:rPr>
          <w:rFonts w:ascii="Arial" w:hAnsi="Arial" w:cs="Arial"/>
          <w:iCs/>
          <w:szCs w:val="24"/>
        </w:rPr>
        <w:t>(the Building Act)</w:t>
      </w:r>
      <w:r w:rsidRPr="008A5FE4">
        <w:rPr>
          <w:rFonts w:ascii="Arial" w:hAnsi="Arial" w:cs="Arial"/>
          <w:iCs/>
          <w:szCs w:val="24"/>
        </w:rPr>
        <w:t>.</w:t>
      </w:r>
    </w:p>
    <w:p w14:paraId="5F9650FD" w14:textId="77777777" w:rsidR="00762C9A" w:rsidRDefault="00762C9A" w:rsidP="00762C9A">
      <w:pPr>
        <w:ind w:right="-45"/>
        <w:rPr>
          <w:rFonts w:ascii="Arial" w:hAnsi="Arial" w:cs="Arial"/>
          <w:iCs/>
          <w:szCs w:val="24"/>
        </w:rPr>
      </w:pPr>
    </w:p>
    <w:p w14:paraId="405DDC86" w14:textId="590DD39D" w:rsidR="00762C9A" w:rsidRDefault="00762C9A" w:rsidP="00762C9A">
      <w:pPr>
        <w:ind w:right="-45"/>
        <w:rPr>
          <w:rFonts w:ascii="Arial" w:hAnsi="Arial" w:cs="Arial"/>
          <w:iCs/>
          <w:szCs w:val="24"/>
        </w:rPr>
      </w:pPr>
      <w:r w:rsidRPr="008A5FE4">
        <w:rPr>
          <w:rFonts w:ascii="Arial" w:hAnsi="Arial" w:cs="Arial"/>
          <w:iCs/>
          <w:szCs w:val="24"/>
        </w:rPr>
        <w:t xml:space="preserve">There </w:t>
      </w:r>
      <w:r w:rsidRPr="00D058A2">
        <w:rPr>
          <w:rFonts w:ascii="Arial" w:hAnsi="Arial" w:cs="Arial"/>
          <w:iCs/>
          <w:szCs w:val="24"/>
        </w:rPr>
        <w:t xml:space="preserve">are currently only a small number of infringement notices for the Building Act set out in the </w:t>
      </w:r>
      <w:r w:rsidRPr="00247EF3">
        <w:rPr>
          <w:rFonts w:ascii="Arial" w:hAnsi="Arial" w:cs="Arial"/>
          <w:i/>
          <w:szCs w:val="24"/>
        </w:rPr>
        <w:t xml:space="preserve">Magistrates Court (Building Infringement Notices) </w:t>
      </w:r>
      <w:r w:rsidRPr="002D255B">
        <w:rPr>
          <w:rFonts w:ascii="Arial" w:hAnsi="Arial" w:cs="Arial"/>
          <w:i/>
          <w:szCs w:val="24"/>
        </w:rPr>
        <w:t>Regulation 2008.</w:t>
      </w:r>
      <w:r>
        <w:rPr>
          <w:rFonts w:ascii="Arial" w:hAnsi="Arial" w:cs="Arial"/>
          <w:iCs/>
          <w:szCs w:val="24"/>
        </w:rPr>
        <w:t xml:space="preserve"> This regulation includes a range of additional</w:t>
      </w:r>
      <w:r w:rsidR="0068663D">
        <w:rPr>
          <w:rFonts w:ascii="Arial" w:hAnsi="Arial" w:cs="Arial"/>
          <w:iCs/>
          <w:szCs w:val="24"/>
        </w:rPr>
        <w:t xml:space="preserve"> strict liability offences under the Building Act as also offences for which a</w:t>
      </w:r>
      <w:r>
        <w:rPr>
          <w:rFonts w:ascii="Arial" w:hAnsi="Arial" w:cs="Arial"/>
          <w:iCs/>
          <w:szCs w:val="24"/>
        </w:rPr>
        <w:t xml:space="preserve"> infringement notice</w:t>
      </w:r>
      <w:r w:rsidR="0068663D">
        <w:rPr>
          <w:rFonts w:ascii="Arial" w:hAnsi="Arial" w:cs="Arial"/>
          <w:iCs/>
          <w:szCs w:val="24"/>
        </w:rPr>
        <w:t xml:space="preserve"> penalty can be issued:</w:t>
      </w:r>
    </w:p>
    <w:p w14:paraId="42012135" w14:textId="77777777" w:rsidR="0068663D" w:rsidRDefault="0068663D" w:rsidP="00762C9A">
      <w:pPr>
        <w:ind w:right="-45"/>
        <w:rPr>
          <w:rFonts w:ascii="Arial" w:hAnsi="Arial" w:cs="Arial"/>
          <w:iCs/>
          <w:szCs w:val="24"/>
        </w:rPr>
      </w:pPr>
    </w:p>
    <w:p w14:paraId="27A33DEF" w14:textId="77777777" w:rsidR="0068663D" w:rsidRPr="00762C9A" w:rsidRDefault="0068663D" w:rsidP="0068663D">
      <w:pPr>
        <w:pStyle w:val="ListParagraph"/>
        <w:numPr>
          <w:ilvl w:val="0"/>
          <w:numId w:val="10"/>
        </w:numPr>
        <w:spacing w:before="120" w:line="240" w:lineRule="auto"/>
        <w:ind w:left="714" w:hanging="357"/>
        <w:contextualSpacing w:val="0"/>
        <w:rPr>
          <w:rFonts w:ascii="Times New Roman" w:hAnsi="Times New Roman" w:cs="Times New Roman"/>
          <w:color w:val="000000"/>
          <w:sz w:val="24"/>
          <w:szCs w:val="24"/>
        </w:rPr>
      </w:pPr>
      <w:r w:rsidRPr="00762C9A">
        <w:rPr>
          <w:rFonts w:ascii="Arial" w:hAnsi="Arial" w:cs="Arial"/>
          <w:color w:val="000000"/>
          <w:sz w:val="24"/>
          <w:szCs w:val="24"/>
        </w:rPr>
        <w:t>Doing building work beyond a certain stage (sections 43(3), 44(2A) and 44(2B), maximum penalty: 50 penalty units)</w:t>
      </w:r>
    </w:p>
    <w:p w14:paraId="3C8BB2C5" w14:textId="77777777" w:rsidR="0068663D" w:rsidRPr="00762C9A" w:rsidRDefault="0068663D" w:rsidP="0068663D">
      <w:pPr>
        <w:pStyle w:val="ListParagraph"/>
        <w:numPr>
          <w:ilvl w:val="0"/>
          <w:numId w:val="10"/>
        </w:numPr>
        <w:spacing w:before="120" w:line="240" w:lineRule="auto"/>
        <w:ind w:left="714" w:hanging="357"/>
        <w:contextualSpacing w:val="0"/>
        <w:rPr>
          <w:rFonts w:ascii="Times New Roman" w:hAnsi="Times New Roman" w:cs="Times New Roman"/>
          <w:color w:val="000000"/>
          <w:sz w:val="24"/>
          <w:szCs w:val="24"/>
        </w:rPr>
      </w:pPr>
      <w:r w:rsidRPr="00762C9A">
        <w:rPr>
          <w:rFonts w:ascii="Arial" w:hAnsi="Arial" w:cs="Arial"/>
          <w:color w:val="000000"/>
          <w:sz w:val="24"/>
          <w:szCs w:val="24"/>
        </w:rPr>
        <w:lastRenderedPageBreak/>
        <w:t>Carrying out building work in contravention of section 42 (section 51(1), maximum penalty: 50 penalty units)</w:t>
      </w:r>
    </w:p>
    <w:p w14:paraId="56560B34" w14:textId="77777777" w:rsidR="0068663D" w:rsidRPr="00762C9A" w:rsidRDefault="0068663D" w:rsidP="0068663D">
      <w:pPr>
        <w:pStyle w:val="ListParagraph"/>
        <w:numPr>
          <w:ilvl w:val="0"/>
          <w:numId w:val="10"/>
        </w:numPr>
        <w:spacing w:before="120" w:line="240" w:lineRule="auto"/>
        <w:ind w:left="714" w:hanging="357"/>
        <w:contextualSpacing w:val="0"/>
        <w:rPr>
          <w:rFonts w:ascii="Times New Roman" w:hAnsi="Times New Roman" w:cs="Times New Roman"/>
          <w:color w:val="000000"/>
          <w:sz w:val="24"/>
          <w:szCs w:val="24"/>
        </w:rPr>
      </w:pPr>
      <w:r w:rsidRPr="00762C9A">
        <w:rPr>
          <w:rFonts w:ascii="Arial" w:hAnsi="Arial" w:cs="Arial"/>
          <w:color w:val="000000"/>
          <w:sz w:val="24"/>
          <w:szCs w:val="24"/>
        </w:rPr>
        <w:t>Compliance with notices under part 4 (section 64(1) and 64(2), maximum penalty: 50 penalty units)</w:t>
      </w:r>
    </w:p>
    <w:p w14:paraId="3DF8A95A" w14:textId="77777777" w:rsidR="0068663D" w:rsidRPr="00762C9A" w:rsidRDefault="0068663D" w:rsidP="0068663D">
      <w:pPr>
        <w:pStyle w:val="ListParagraph"/>
        <w:numPr>
          <w:ilvl w:val="0"/>
          <w:numId w:val="10"/>
        </w:numPr>
        <w:spacing w:before="120" w:line="240" w:lineRule="auto"/>
        <w:ind w:left="714" w:hanging="357"/>
        <w:contextualSpacing w:val="0"/>
        <w:rPr>
          <w:rFonts w:ascii="Times New Roman" w:hAnsi="Times New Roman" w:cs="Times New Roman"/>
          <w:color w:val="000000"/>
          <w:sz w:val="24"/>
          <w:szCs w:val="24"/>
        </w:rPr>
      </w:pPr>
      <w:r w:rsidRPr="00762C9A">
        <w:rPr>
          <w:rFonts w:ascii="Arial" w:hAnsi="Arial" w:cs="Arial"/>
          <w:color w:val="000000"/>
          <w:sz w:val="24"/>
          <w:szCs w:val="24"/>
        </w:rPr>
        <w:t>Occupation and use of ex-government buildings (section 78(2), maximum penalty: 50 penalty units)</w:t>
      </w:r>
    </w:p>
    <w:p w14:paraId="0785A4E9" w14:textId="77777777" w:rsidR="0068663D" w:rsidRPr="00762C9A" w:rsidRDefault="0068663D" w:rsidP="0068663D">
      <w:pPr>
        <w:pStyle w:val="ListParagraph"/>
        <w:numPr>
          <w:ilvl w:val="0"/>
          <w:numId w:val="10"/>
        </w:numPr>
        <w:spacing w:before="120" w:line="240" w:lineRule="auto"/>
        <w:ind w:left="714" w:hanging="357"/>
        <w:contextualSpacing w:val="0"/>
        <w:rPr>
          <w:rFonts w:ascii="Times New Roman" w:hAnsi="Times New Roman" w:cs="Times New Roman"/>
          <w:color w:val="000000"/>
          <w:sz w:val="24"/>
          <w:szCs w:val="24"/>
        </w:rPr>
      </w:pPr>
      <w:r w:rsidRPr="00762C9A">
        <w:rPr>
          <w:rFonts w:ascii="Arial" w:hAnsi="Arial" w:cs="Arial"/>
          <w:color w:val="000000"/>
          <w:sz w:val="24"/>
          <w:szCs w:val="24"/>
        </w:rPr>
        <w:t>Action by registrar on unauthorised use of a building (section 79(5), maximum penalty: 50 penalty units)</w:t>
      </w:r>
    </w:p>
    <w:p w14:paraId="6BE1DA71" w14:textId="77777777" w:rsidR="00762C9A" w:rsidRDefault="00762C9A" w:rsidP="00762C9A">
      <w:pPr>
        <w:ind w:right="-45"/>
        <w:rPr>
          <w:rFonts w:ascii="Arial" w:hAnsi="Arial" w:cs="Arial"/>
          <w:iCs/>
          <w:szCs w:val="24"/>
        </w:rPr>
      </w:pPr>
    </w:p>
    <w:p w14:paraId="5286121E" w14:textId="77777777" w:rsidR="00762C9A" w:rsidRDefault="00762C9A" w:rsidP="00762C9A">
      <w:pPr>
        <w:ind w:right="-45"/>
        <w:rPr>
          <w:rFonts w:ascii="Arial" w:hAnsi="Arial" w:cs="Arial"/>
          <w:iCs/>
          <w:szCs w:val="24"/>
        </w:rPr>
      </w:pPr>
      <w:r w:rsidRPr="00885763">
        <w:rPr>
          <w:rFonts w:ascii="Arial" w:hAnsi="Arial" w:cs="Arial"/>
          <w:iCs/>
          <w:szCs w:val="24"/>
        </w:rPr>
        <w:t xml:space="preserve">A regulatory impact statement is not required for this </w:t>
      </w:r>
      <w:r>
        <w:rPr>
          <w:rFonts w:ascii="Arial" w:hAnsi="Arial" w:cs="Arial"/>
          <w:iCs/>
          <w:szCs w:val="24"/>
        </w:rPr>
        <w:t>r</w:t>
      </w:r>
      <w:r w:rsidRPr="00885763">
        <w:rPr>
          <w:rFonts w:ascii="Arial" w:hAnsi="Arial" w:cs="Arial"/>
          <w:iCs/>
          <w:szCs w:val="24"/>
        </w:rPr>
        <w:t xml:space="preserve">egulation as it </w:t>
      </w:r>
      <w:r>
        <w:rPr>
          <w:rFonts w:ascii="Arial" w:hAnsi="Arial" w:cs="Arial"/>
          <w:iCs/>
          <w:szCs w:val="24"/>
        </w:rPr>
        <w:t>is amending an existing regulation, not imposing new regulation on the community.</w:t>
      </w:r>
    </w:p>
    <w:p w14:paraId="26BA41EB" w14:textId="022CDD2D" w:rsidR="0068663D" w:rsidRDefault="0068663D">
      <w:pPr>
        <w:rPr>
          <w:rFonts w:ascii="Arial" w:eastAsiaTheme="majorEastAsia" w:hAnsi="Arial" w:cs="Arial"/>
          <w:b/>
          <w:bCs/>
          <w:color w:val="000000" w:themeColor="text1"/>
          <w:szCs w:val="24"/>
        </w:rPr>
      </w:pPr>
    </w:p>
    <w:p w14:paraId="7CEB3347" w14:textId="77777777" w:rsidR="008E6086" w:rsidRDefault="00906FA6" w:rsidP="0068663D">
      <w:pPr>
        <w:spacing w:before="40" w:after="120"/>
        <w:outlineLvl w:val="1"/>
        <w:rPr>
          <w:rFonts w:ascii="Arial" w:eastAsiaTheme="majorEastAsia" w:hAnsi="Arial" w:cs="Arial"/>
          <w:b/>
          <w:bCs/>
          <w:color w:val="000000" w:themeColor="text1"/>
          <w:szCs w:val="24"/>
        </w:rPr>
      </w:pPr>
      <w:r>
        <w:rPr>
          <w:rFonts w:ascii="Arial" w:eastAsiaTheme="majorEastAsia" w:hAnsi="Arial" w:cs="Arial"/>
          <w:b/>
          <w:bCs/>
          <w:color w:val="000000" w:themeColor="text1"/>
          <w:szCs w:val="24"/>
        </w:rPr>
        <w:t>SCRUTINY OF BILLS COMMITTEE PRINCIPLES</w:t>
      </w:r>
    </w:p>
    <w:p w14:paraId="3EF8AF32" w14:textId="77777777" w:rsidR="008E6086" w:rsidRPr="00906FA6" w:rsidRDefault="008E6086" w:rsidP="008E608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The Standing Committee on Justice and Community Safety (Legislative Scrutiny Role) (the Committee) in its Scrutiny Report 41 </w:t>
      </w:r>
      <w:r w:rsidRPr="00906FA6">
        <w:rPr>
          <w:rFonts w:ascii="Arial" w:hAnsi="Arial" w:cs="Arial"/>
          <w:color w:val="000000"/>
          <w:shd w:val="clear" w:color="auto" w:fill="FFFFFF"/>
        </w:rPr>
        <w:t xml:space="preserve">noted that the explanatory statement for the Amendment Regulation did not identify any human rights engaged by a subordinate </w:t>
      </w:r>
      <w:proofErr w:type="gramStart"/>
      <w:r w:rsidRPr="00906FA6">
        <w:rPr>
          <w:rFonts w:ascii="Arial" w:hAnsi="Arial" w:cs="Arial"/>
          <w:color w:val="000000"/>
          <w:shd w:val="clear" w:color="auto" w:fill="FFFFFF"/>
        </w:rPr>
        <w:t>law, and</w:t>
      </w:r>
      <w:proofErr w:type="gramEnd"/>
      <w:r w:rsidRPr="00906FA6">
        <w:rPr>
          <w:rFonts w:ascii="Arial" w:hAnsi="Arial" w:cs="Arial"/>
          <w:color w:val="000000"/>
          <w:shd w:val="clear" w:color="auto" w:fill="FFFFFF"/>
        </w:rPr>
        <w:t xml:space="preserve"> justify any derogation of those rights. The Committee further noted that the explanatory statement did not meet the technical or stylistic standards expected by the Committee.</w:t>
      </w:r>
    </w:p>
    <w:p w14:paraId="25F6D1C8" w14:textId="77777777" w:rsidR="00FA72FD" w:rsidRDefault="00FA72FD" w:rsidP="00FA72FD">
      <w:pPr>
        <w:pStyle w:val="bodytext"/>
        <w:shd w:val="clear" w:color="auto" w:fill="FFFFFF"/>
        <w:spacing w:before="200" w:beforeAutospacing="0" w:after="0" w:afterAutospacing="0" w:line="276" w:lineRule="atLeast"/>
        <w:rPr>
          <w:rFonts w:ascii="Arial" w:hAnsi="Arial" w:cs="Arial"/>
          <w:iCs/>
        </w:rPr>
      </w:pPr>
      <w:r>
        <w:rPr>
          <w:rFonts w:ascii="Arial" w:hAnsi="Arial" w:cs="Arial"/>
          <w:iCs/>
        </w:rPr>
        <w:t xml:space="preserve">Infringement notice schemes arguably engage section 22 of the </w:t>
      </w:r>
      <w:r w:rsidRPr="004D373F">
        <w:rPr>
          <w:rFonts w:ascii="Arial" w:hAnsi="Arial" w:cs="Arial"/>
          <w:i/>
        </w:rPr>
        <w:t>Human Rights Act 2004</w:t>
      </w:r>
      <w:r>
        <w:rPr>
          <w:rFonts w:ascii="Arial" w:hAnsi="Arial" w:cs="Arial"/>
          <w:iCs/>
        </w:rPr>
        <w:t xml:space="preserve"> and engage the Scrutiny Committee terms of reference by introducing liabilities.</w:t>
      </w:r>
    </w:p>
    <w:p w14:paraId="5658C127" w14:textId="77777777" w:rsidR="00FA72FD" w:rsidRPr="00906FA6" w:rsidRDefault="00FA72FD" w:rsidP="008E6086">
      <w:pPr>
        <w:shd w:val="clear" w:color="auto" w:fill="FFFFFF"/>
        <w:rPr>
          <w:rFonts w:ascii="Arial" w:hAnsi="Arial" w:cs="Arial"/>
          <w:color w:val="000000"/>
          <w:shd w:val="clear" w:color="auto" w:fill="FFFFFF"/>
        </w:rPr>
      </w:pPr>
    </w:p>
    <w:p w14:paraId="10856798" w14:textId="3A20D0CB" w:rsidR="008E6086" w:rsidRDefault="008E6086" w:rsidP="008E6086">
      <w:pPr>
        <w:shd w:val="clear" w:color="auto" w:fill="FFFFFF"/>
        <w:rPr>
          <w:rFonts w:ascii="Arial" w:hAnsi="Arial" w:cs="Arial"/>
          <w:color w:val="000000"/>
          <w:shd w:val="clear" w:color="auto" w:fill="FFFFFF"/>
        </w:rPr>
      </w:pPr>
      <w:r w:rsidRPr="00906FA6">
        <w:rPr>
          <w:rFonts w:ascii="Arial" w:hAnsi="Arial" w:cs="Arial"/>
          <w:color w:val="000000"/>
          <w:shd w:val="clear" w:color="auto" w:fill="FFFFFF"/>
        </w:rPr>
        <w:t>This revised Explanatory Statement addresses th</w:t>
      </w:r>
      <w:r w:rsidR="00FA72FD">
        <w:rPr>
          <w:rFonts w:ascii="Arial" w:hAnsi="Arial" w:cs="Arial"/>
          <w:color w:val="000000"/>
          <w:shd w:val="clear" w:color="auto" w:fill="FFFFFF"/>
        </w:rPr>
        <w:t>ese engagements</w:t>
      </w:r>
      <w:r w:rsidRPr="00906FA6">
        <w:rPr>
          <w:rFonts w:ascii="Arial" w:hAnsi="Arial" w:cs="Arial"/>
          <w:color w:val="000000"/>
          <w:shd w:val="clear" w:color="auto" w:fill="FFFFFF"/>
        </w:rPr>
        <w:t xml:space="preserve"> through the inclusion of the followin</w:t>
      </w:r>
      <w:r>
        <w:rPr>
          <w:rFonts w:ascii="Arial" w:hAnsi="Arial" w:cs="Arial"/>
          <w:color w:val="000000"/>
          <w:shd w:val="clear" w:color="auto" w:fill="FFFFFF"/>
        </w:rPr>
        <w:t>g human rights assessment.</w:t>
      </w:r>
    </w:p>
    <w:p w14:paraId="729DB679" w14:textId="77777777" w:rsidR="00FA72FD" w:rsidRDefault="00FA72FD" w:rsidP="0068663D">
      <w:pPr>
        <w:spacing w:before="40" w:after="120"/>
        <w:outlineLvl w:val="1"/>
        <w:rPr>
          <w:rFonts w:ascii="Arial" w:eastAsiaTheme="majorEastAsia" w:hAnsi="Arial" w:cs="Arial"/>
          <w:b/>
          <w:bCs/>
          <w:color w:val="000000" w:themeColor="text1"/>
          <w:szCs w:val="24"/>
        </w:rPr>
      </w:pPr>
    </w:p>
    <w:p w14:paraId="4DB8652C" w14:textId="27201475" w:rsidR="004B49DA" w:rsidRPr="007E67A5" w:rsidRDefault="008E6086" w:rsidP="0068663D">
      <w:pPr>
        <w:spacing w:before="40" w:after="120"/>
        <w:outlineLvl w:val="1"/>
        <w:rPr>
          <w:rFonts w:ascii="Arial" w:eastAsiaTheme="majorEastAsia" w:hAnsi="Arial" w:cs="Arial"/>
          <w:b/>
          <w:bCs/>
          <w:color w:val="000000" w:themeColor="text1"/>
          <w:szCs w:val="24"/>
        </w:rPr>
      </w:pPr>
      <w:r>
        <w:rPr>
          <w:rFonts w:ascii="Arial" w:eastAsiaTheme="majorEastAsia" w:hAnsi="Arial" w:cs="Arial"/>
          <w:b/>
          <w:bCs/>
          <w:color w:val="000000" w:themeColor="text1"/>
          <w:szCs w:val="24"/>
        </w:rPr>
        <w:t>CONSISTENCY</w:t>
      </w:r>
      <w:r w:rsidR="00636F9D">
        <w:rPr>
          <w:rFonts w:ascii="Arial" w:eastAsiaTheme="majorEastAsia" w:hAnsi="Arial" w:cs="Arial"/>
          <w:b/>
          <w:bCs/>
          <w:color w:val="000000" w:themeColor="text1"/>
          <w:szCs w:val="24"/>
        </w:rPr>
        <w:t xml:space="preserve"> WITH</w:t>
      </w:r>
      <w:r>
        <w:rPr>
          <w:rFonts w:ascii="Arial" w:eastAsiaTheme="majorEastAsia" w:hAnsi="Arial" w:cs="Arial"/>
          <w:b/>
          <w:bCs/>
          <w:color w:val="000000" w:themeColor="text1"/>
          <w:szCs w:val="24"/>
        </w:rPr>
        <w:t xml:space="preserve"> </w:t>
      </w:r>
      <w:r w:rsidR="00906FA6">
        <w:rPr>
          <w:rFonts w:ascii="Arial" w:eastAsiaTheme="majorEastAsia" w:hAnsi="Arial" w:cs="Arial"/>
          <w:b/>
          <w:bCs/>
          <w:color w:val="000000" w:themeColor="text1"/>
          <w:szCs w:val="24"/>
        </w:rPr>
        <w:t>HUMAN RIGHTS</w:t>
      </w:r>
    </w:p>
    <w:p w14:paraId="7CEBFC84" w14:textId="630248FF" w:rsidR="008E6086" w:rsidRDefault="008E6086" w:rsidP="008E6086">
      <w:pPr>
        <w:shd w:val="clear" w:color="auto" w:fill="FFFFFF"/>
        <w:rPr>
          <w:rFonts w:ascii="Arial" w:hAnsi="Arial" w:cs="Arial"/>
          <w:color w:val="000000" w:themeColor="text1"/>
          <w:szCs w:val="24"/>
        </w:rPr>
      </w:pPr>
      <w:r w:rsidRPr="007E67A5">
        <w:rPr>
          <w:rFonts w:ascii="Arial" w:hAnsi="Arial" w:cs="Arial"/>
          <w:color w:val="000000" w:themeColor="text1"/>
          <w:szCs w:val="24"/>
        </w:rPr>
        <w:t>During the development of t</w:t>
      </w:r>
      <w:r>
        <w:rPr>
          <w:rFonts w:ascii="Arial" w:hAnsi="Arial" w:cs="Arial"/>
          <w:color w:val="000000" w:themeColor="text1"/>
          <w:szCs w:val="24"/>
        </w:rPr>
        <w:t>his amendment regulation</w:t>
      </w:r>
      <w:r w:rsidRPr="007E67A5">
        <w:rPr>
          <w:rFonts w:ascii="Arial" w:hAnsi="Arial" w:cs="Arial"/>
          <w:color w:val="000000" w:themeColor="text1"/>
          <w:szCs w:val="24"/>
        </w:rPr>
        <w:t xml:space="preserve"> due regard was given to its compatibility with human rights as set out in the </w:t>
      </w:r>
      <w:r w:rsidRPr="00FB1751">
        <w:rPr>
          <w:rFonts w:ascii="Arial" w:hAnsi="Arial" w:cs="Arial"/>
          <w:i/>
          <w:iCs/>
          <w:color w:val="000000" w:themeColor="text1"/>
          <w:szCs w:val="24"/>
        </w:rPr>
        <w:t>Human Rights Act 2004</w:t>
      </w:r>
      <w:r>
        <w:rPr>
          <w:rFonts w:ascii="Arial" w:hAnsi="Arial" w:cs="Arial"/>
          <w:i/>
          <w:iCs/>
          <w:color w:val="000000" w:themeColor="text1"/>
          <w:szCs w:val="24"/>
        </w:rPr>
        <w:t xml:space="preserve"> </w:t>
      </w:r>
      <w:r>
        <w:rPr>
          <w:rFonts w:ascii="Arial" w:hAnsi="Arial" w:cs="Arial"/>
          <w:color w:val="000000" w:themeColor="text1"/>
          <w:szCs w:val="24"/>
        </w:rPr>
        <w:t>(the Human Rights Act)</w:t>
      </w:r>
      <w:r w:rsidRPr="007E67A5">
        <w:rPr>
          <w:rFonts w:ascii="Arial" w:hAnsi="Arial" w:cs="Arial"/>
          <w:color w:val="000000" w:themeColor="text1"/>
          <w:szCs w:val="24"/>
        </w:rPr>
        <w:t>.</w:t>
      </w:r>
    </w:p>
    <w:p w14:paraId="04434E17" w14:textId="77777777" w:rsidR="008E6086" w:rsidRPr="007E67A5" w:rsidRDefault="008E6086" w:rsidP="008E6086">
      <w:pPr>
        <w:shd w:val="clear" w:color="auto" w:fill="FFFFFF"/>
        <w:spacing w:before="240"/>
        <w:rPr>
          <w:rFonts w:ascii="Arial" w:hAnsi="Arial" w:cs="Arial"/>
          <w:color w:val="000000" w:themeColor="text1"/>
          <w:szCs w:val="24"/>
        </w:rPr>
      </w:pPr>
      <w:r>
        <w:rPr>
          <w:rFonts w:ascii="Arial" w:hAnsi="Arial" w:cs="Arial"/>
          <w:color w:val="000000"/>
          <w:shd w:val="clear" w:color="auto" w:fill="FFFFFF"/>
        </w:rPr>
        <w:t>An assessment of the Bill against section 28 of the Human Rights Act is provided below. Section 28 provides that human rights are subject only to reasonable limits set by laws that can be demonstrably justified in a free and democratic society.</w:t>
      </w:r>
    </w:p>
    <w:p w14:paraId="139C7BAE" w14:textId="77777777" w:rsidR="00906FA6" w:rsidRDefault="00906FA6" w:rsidP="00906FA6">
      <w:pPr>
        <w:shd w:val="clear" w:color="auto" w:fill="FFFFFF"/>
        <w:rPr>
          <w:rFonts w:ascii="Arial" w:hAnsi="Arial" w:cs="Arial"/>
          <w:color w:val="000000"/>
          <w:shd w:val="clear" w:color="auto" w:fill="FFFFFF"/>
        </w:rPr>
      </w:pPr>
    </w:p>
    <w:p w14:paraId="3649031F" w14:textId="6D3BAC2C" w:rsidR="008E6086" w:rsidRDefault="008E6086" w:rsidP="00906FA6">
      <w:pPr>
        <w:shd w:val="clear" w:color="auto" w:fill="FFFFFF"/>
        <w:rPr>
          <w:rFonts w:ascii="Arial" w:hAnsi="Arial" w:cs="Arial"/>
          <w:b/>
          <w:bCs/>
          <w:color w:val="000000"/>
          <w:shd w:val="clear" w:color="auto" w:fill="FFFFFF"/>
        </w:rPr>
      </w:pPr>
      <w:r w:rsidRPr="008E6086">
        <w:rPr>
          <w:rFonts w:ascii="Arial" w:hAnsi="Arial" w:cs="Arial"/>
          <w:b/>
          <w:bCs/>
          <w:color w:val="000000"/>
          <w:shd w:val="clear" w:color="auto" w:fill="FFFFFF"/>
        </w:rPr>
        <w:t>Rights Limited</w:t>
      </w:r>
    </w:p>
    <w:p w14:paraId="314E5577" w14:textId="77777777" w:rsidR="00FA72FD" w:rsidRDefault="00FA72FD" w:rsidP="00906FA6">
      <w:pPr>
        <w:shd w:val="clear" w:color="auto" w:fill="FFFFFF"/>
        <w:rPr>
          <w:rFonts w:ascii="Arial" w:hAnsi="Arial" w:cs="Arial"/>
          <w:color w:val="000000"/>
          <w:u w:val="single"/>
          <w:shd w:val="clear" w:color="auto" w:fill="FFFFFF"/>
        </w:rPr>
      </w:pPr>
    </w:p>
    <w:p w14:paraId="7F9325E2" w14:textId="4A080901" w:rsidR="008E6086" w:rsidRPr="00FA72FD" w:rsidRDefault="008E6086" w:rsidP="00906FA6">
      <w:pPr>
        <w:shd w:val="clear" w:color="auto" w:fill="FFFFFF"/>
        <w:rPr>
          <w:rFonts w:ascii="Arial" w:hAnsi="Arial" w:cs="Arial"/>
          <w:color w:val="000000"/>
          <w:u w:val="single"/>
          <w:shd w:val="clear" w:color="auto" w:fill="FFFFFF"/>
        </w:rPr>
      </w:pPr>
      <w:r w:rsidRPr="00FA72FD">
        <w:rPr>
          <w:rFonts w:ascii="Arial" w:hAnsi="Arial" w:cs="Arial"/>
          <w:color w:val="000000"/>
          <w:u w:val="single"/>
          <w:shd w:val="clear" w:color="auto" w:fill="FFFFFF"/>
        </w:rPr>
        <w:t>Rights in criminal proceedings</w:t>
      </w:r>
    </w:p>
    <w:p w14:paraId="6E8E89A4" w14:textId="276E3585" w:rsidR="00866474" w:rsidRDefault="00866474" w:rsidP="00866474">
      <w:pPr>
        <w:pStyle w:val="bodytext"/>
        <w:shd w:val="clear" w:color="auto" w:fill="FFFFFF"/>
        <w:spacing w:before="200" w:beforeAutospacing="0" w:after="0" w:afterAutospacing="0" w:line="276" w:lineRule="atLeast"/>
        <w:rPr>
          <w:rFonts w:ascii="Arial" w:hAnsi="Arial" w:cs="Arial"/>
          <w:iCs/>
        </w:rPr>
      </w:pPr>
      <w:r w:rsidRPr="00866474">
        <w:rPr>
          <w:rFonts w:ascii="Arial" w:hAnsi="Arial" w:cs="Arial"/>
          <w:iCs/>
        </w:rPr>
        <w:t>Section 22</w:t>
      </w:r>
      <w:r>
        <w:rPr>
          <w:rFonts w:ascii="Arial" w:hAnsi="Arial" w:cs="Arial"/>
          <w:iCs/>
        </w:rPr>
        <w:t xml:space="preserve"> </w:t>
      </w:r>
      <w:r w:rsidRPr="00866474">
        <w:rPr>
          <w:rFonts w:ascii="Arial" w:hAnsi="Arial" w:cs="Arial"/>
          <w:iCs/>
        </w:rPr>
        <w:t xml:space="preserve">(1) of the </w:t>
      </w:r>
      <w:r w:rsidRPr="00FA72FD">
        <w:rPr>
          <w:rFonts w:ascii="Arial" w:hAnsi="Arial" w:cs="Arial"/>
          <w:iCs/>
        </w:rPr>
        <w:t xml:space="preserve">Human Rights Act </w:t>
      </w:r>
      <w:r w:rsidRPr="00866474">
        <w:rPr>
          <w:rFonts w:ascii="Arial" w:hAnsi="Arial" w:cs="Arial"/>
          <w:iCs/>
        </w:rPr>
        <w:t>provides that everyone charged with a criminal offence has the right to be presumed innocent until prove</w:t>
      </w:r>
      <w:r>
        <w:rPr>
          <w:rFonts w:ascii="Arial" w:hAnsi="Arial" w:cs="Arial"/>
          <w:iCs/>
        </w:rPr>
        <w:t xml:space="preserve">n </w:t>
      </w:r>
      <w:r w:rsidRPr="00866474">
        <w:rPr>
          <w:rFonts w:ascii="Arial" w:hAnsi="Arial" w:cs="Arial"/>
          <w:iCs/>
        </w:rPr>
        <w:t xml:space="preserve">guilty according to law. </w:t>
      </w:r>
    </w:p>
    <w:p w14:paraId="74DC08F9" w14:textId="77777777" w:rsidR="00FA72FD" w:rsidRDefault="00FA72FD">
      <w:pPr>
        <w:rPr>
          <w:rFonts w:ascii="Arial" w:hAnsi="Arial" w:cs="Arial"/>
          <w:i/>
          <w:szCs w:val="24"/>
        </w:rPr>
      </w:pPr>
      <w:r>
        <w:rPr>
          <w:rFonts w:ascii="Arial" w:hAnsi="Arial" w:cs="Arial"/>
          <w:i/>
          <w:szCs w:val="24"/>
        </w:rPr>
        <w:br w:type="page"/>
      </w:r>
    </w:p>
    <w:p w14:paraId="5EE0946E" w14:textId="25317180" w:rsidR="008E6086" w:rsidRDefault="008E6086" w:rsidP="008E6086">
      <w:pPr>
        <w:spacing w:before="240"/>
        <w:rPr>
          <w:rFonts w:ascii="Arial" w:hAnsi="Arial" w:cs="Arial"/>
          <w:i/>
          <w:szCs w:val="24"/>
        </w:rPr>
      </w:pPr>
      <w:r w:rsidRPr="00747927">
        <w:rPr>
          <w:rFonts w:ascii="Arial" w:hAnsi="Arial" w:cs="Arial"/>
          <w:i/>
          <w:szCs w:val="24"/>
        </w:rPr>
        <w:lastRenderedPageBreak/>
        <w:t>Nature of the right and the limitation</w:t>
      </w:r>
      <w:r>
        <w:rPr>
          <w:rFonts w:ascii="Arial" w:hAnsi="Arial" w:cs="Arial"/>
          <w:i/>
          <w:szCs w:val="24"/>
        </w:rPr>
        <w:t xml:space="preserve"> (s28(a) and (c))</w:t>
      </w:r>
    </w:p>
    <w:p w14:paraId="28C8E017" w14:textId="5BD36292" w:rsidR="00531E79" w:rsidRDefault="00FA72FD" w:rsidP="00531E79">
      <w:pPr>
        <w:pStyle w:val="bodytext"/>
        <w:shd w:val="clear" w:color="auto" w:fill="FFFFFF"/>
        <w:spacing w:before="200" w:beforeAutospacing="0" w:after="0" w:afterAutospacing="0" w:line="276" w:lineRule="atLeast"/>
        <w:rPr>
          <w:rFonts w:ascii="Arial" w:hAnsi="Arial" w:cs="Arial"/>
          <w:iCs/>
        </w:rPr>
      </w:pPr>
      <w:r>
        <w:rPr>
          <w:rFonts w:ascii="Arial" w:hAnsi="Arial" w:cs="Arial"/>
          <w:color w:val="000000"/>
        </w:rPr>
        <w:t xml:space="preserve">This amendment regulation introduces new infringement notices for existing strict liability offences </w:t>
      </w:r>
      <w:r w:rsidRPr="00D058A2">
        <w:rPr>
          <w:rFonts w:ascii="Arial" w:hAnsi="Arial" w:cs="Arial"/>
          <w:color w:val="000000"/>
        </w:rPr>
        <w:t>under the Building Act, to support</w:t>
      </w:r>
      <w:r>
        <w:rPr>
          <w:rFonts w:ascii="Arial" w:hAnsi="Arial" w:cs="Arial"/>
          <w:color w:val="000000"/>
        </w:rPr>
        <w:t xml:space="preserve"> the effective operation of the Act. </w:t>
      </w:r>
      <w:r w:rsidR="00531E79" w:rsidRPr="00531E79">
        <w:rPr>
          <w:rFonts w:ascii="Arial" w:hAnsi="Arial" w:cs="Arial"/>
          <w:iCs/>
        </w:rPr>
        <w:t>Th</w:t>
      </w:r>
      <w:r>
        <w:rPr>
          <w:rFonts w:ascii="Arial" w:hAnsi="Arial" w:cs="Arial"/>
          <w:iCs/>
        </w:rPr>
        <w:t>is</w:t>
      </w:r>
      <w:r w:rsidR="00531E79" w:rsidRPr="00531E79">
        <w:rPr>
          <w:rFonts w:ascii="Arial" w:hAnsi="Arial" w:cs="Arial"/>
          <w:iCs/>
        </w:rPr>
        <w:t xml:space="preserve"> regulation does not create new strict liability offences.</w:t>
      </w:r>
      <w:r>
        <w:rPr>
          <w:rFonts w:ascii="Arial" w:hAnsi="Arial" w:cs="Arial"/>
          <w:iCs/>
        </w:rPr>
        <w:t xml:space="preserve"> </w:t>
      </w:r>
    </w:p>
    <w:p w14:paraId="64BB4FF4" w14:textId="04335000" w:rsidR="00FA72FD" w:rsidRDefault="00FA72FD" w:rsidP="00FA72FD">
      <w:pPr>
        <w:pStyle w:val="bodytext"/>
        <w:shd w:val="clear" w:color="auto" w:fill="FFFFFF"/>
        <w:spacing w:before="200" w:beforeAutospacing="0" w:after="0" w:afterAutospacing="0" w:line="276" w:lineRule="atLeast"/>
        <w:rPr>
          <w:rFonts w:ascii="Arial" w:hAnsi="Arial" w:cs="Arial"/>
          <w:iCs/>
        </w:rPr>
      </w:pPr>
      <w:r>
        <w:rPr>
          <w:rFonts w:ascii="Arial" w:hAnsi="Arial" w:cs="Arial"/>
          <w:iCs/>
        </w:rPr>
        <w:t>S</w:t>
      </w:r>
      <w:r w:rsidRPr="00866474">
        <w:rPr>
          <w:rFonts w:ascii="Arial" w:hAnsi="Arial" w:cs="Arial"/>
          <w:iCs/>
        </w:rPr>
        <w:t>trict liability offence</w:t>
      </w:r>
      <w:r>
        <w:rPr>
          <w:rFonts w:ascii="Arial" w:hAnsi="Arial" w:cs="Arial"/>
          <w:iCs/>
        </w:rPr>
        <w:t>s engage section 22 (1) of the Human Rights Act as</w:t>
      </w:r>
      <w:r w:rsidRPr="00866474">
        <w:rPr>
          <w:rFonts w:ascii="Arial" w:hAnsi="Arial" w:cs="Arial"/>
          <w:iCs/>
        </w:rPr>
        <w:t xml:space="preserve"> there is no requirement to establish a fault element, such as intention, recklessness, or negligence and the prosecution need only show that the defendant did the prohibited act.</w:t>
      </w:r>
    </w:p>
    <w:p w14:paraId="2E10A913" w14:textId="578FEF80" w:rsidR="008E6086" w:rsidRDefault="008E6086" w:rsidP="008E6086">
      <w:pPr>
        <w:tabs>
          <w:tab w:val="left" w:pos="3491"/>
        </w:tabs>
        <w:spacing w:before="240"/>
        <w:rPr>
          <w:rFonts w:ascii="Arial" w:hAnsi="Arial" w:cs="Arial"/>
          <w:i/>
          <w:szCs w:val="24"/>
        </w:rPr>
      </w:pPr>
      <w:r w:rsidRPr="004B2B28">
        <w:rPr>
          <w:rFonts w:ascii="Arial" w:hAnsi="Arial" w:cs="Arial"/>
          <w:i/>
          <w:szCs w:val="24"/>
        </w:rPr>
        <w:t>Legitimate purpose (s28 (b))</w:t>
      </w:r>
    </w:p>
    <w:p w14:paraId="48011C62" w14:textId="621E367A" w:rsidR="00FA72FD" w:rsidRDefault="008E6086" w:rsidP="008E6086">
      <w:pPr>
        <w:spacing w:before="120"/>
        <w:ind w:right="-45"/>
        <w:rPr>
          <w:rFonts w:ascii="Arial" w:hAnsi="Arial" w:cs="Arial"/>
          <w:iCs/>
          <w:szCs w:val="24"/>
        </w:rPr>
      </w:pPr>
      <w:r>
        <w:rPr>
          <w:rFonts w:ascii="Arial" w:hAnsi="Arial" w:cs="Arial"/>
          <w:color w:val="000000"/>
          <w:shd w:val="clear" w:color="auto" w:fill="FFFFFF"/>
        </w:rPr>
        <w:t xml:space="preserve">The infringement notice scheme created by this amendment regulation </w:t>
      </w:r>
      <w:r>
        <w:rPr>
          <w:rFonts w:ascii="Arial" w:hAnsi="Arial" w:cs="Arial"/>
          <w:iCs/>
          <w:szCs w:val="24"/>
        </w:rPr>
        <w:t>provides an</w:t>
      </w:r>
      <w:r w:rsidRPr="008A5FE4">
        <w:rPr>
          <w:rFonts w:ascii="Arial" w:hAnsi="Arial" w:cs="Arial"/>
          <w:iCs/>
          <w:szCs w:val="24"/>
        </w:rPr>
        <w:t xml:space="preserve"> additional compliance mechanism which allows the Construction Occupations Registrar to </w:t>
      </w:r>
      <w:r w:rsidRPr="00D058A2">
        <w:rPr>
          <w:rFonts w:ascii="Arial" w:hAnsi="Arial" w:cs="Arial"/>
          <w:iCs/>
          <w:szCs w:val="24"/>
        </w:rPr>
        <w:t>issue a</w:t>
      </w:r>
      <w:r>
        <w:rPr>
          <w:rFonts w:ascii="Arial" w:hAnsi="Arial" w:cs="Arial"/>
          <w:iCs/>
          <w:szCs w:val="24"/>
        </w:rPr>
        <w:t>n infringement</w:t>
      </w:r>
      <w:r w:rsidRPr="00D058A2">
        <w:rPr>
          <w:rFonts w:ascii="Arial" w:hAnsi="Arial" w:cs="Arial"/>
          <w:iCs/>
          <w:szCs w:val="24"/>
        </w:rPr>
        <w:t xml:space="preserve"> notice to a person who has committed</w:t>
      </w:r>
      <w:r>
        <w:rPr>
          <w:rFonts w:ascii="Arial" w:hAnsi="Arial" w:cs="Arial"/>
          <w:iCs/>
          <w:szCs w:val="24"/>
        </w:rPr>
        <w:t xml:space="preserve"> certain</w:t>
      </w:r>
      <w:r w:rsidRPr="00D058A2">
        <w:rPr>
          <w:rFonts w:ascii="Arial" w:hAnsi="Arial" w:cs="Arial"/>
          <w:iCs/>
          <w:szCs w:val="24"/>
        </w:rPr>
        <w:t xml:space="preserve"> strict liability offence</w:t>
      </w:r>
      <w:r>
        <w:rPr>
          <w:rFonts w:ascii="Arial" w:hAnsi="Arial" w:cs="Arial"/>
          <w:iCs/>
          <w:szCs w:val="24"/>
        </w:rPr>
        <w:t>(s)</w:t>
      </w:r>
      <w:r w:rsidRPr="00D058A2">
        <w:rPr>
          <w:rFonts w:ascii="Arial" w:hAnsi="Arial" w:cs="Arial"/>
          <w:iCs/>
          <w:szCs w:val="24"/>
        </w:rPr>
        <w:t xml:space="preserve"> under the Building Act.</w:t>
      </w:r>
      <w:r w:rsidR="00FA72FD">
        <w:rPr>
          <w:rFonts w:ascii="Arial" w:hAnsi="Arial" w:cs="Arial"/>
          <w:iCs/>
          <w:szCs w:val="24"/>
        </w:rPr>
        <w:t xml:space="preserve"> </w:t>
      </w:r>
      <w:r w:rsidR="00FA72FD">
        <w:rPr>
          <w:rFonts w:ascii="Arial" w:hAnsi="Arial" w:cs="Arial"/>
          <w:color w:val="000000"/>
        </w:rPr>
        <w:t xml:space="preserve">This </w:t>
      </w:r>
      <w:r w:rsidR="00FA72FD" w:rsidRPr="00D058A2">
        <w:rPr>
          <w:rFonts w:ascii="Arial" w:hAnsi="Arial" w:cs="Arial"/>
          <w:color w:val="000000"/>
        </w:rPr>
        <w:t>support</w:t>
      </w:r>
      <w:r w:rsidR="00FA72FD">
        <w:rPr>
          <w:rFonts w:ascii="Arial" w:hAnsi="Arial" w:cs="Arial"/>
          <w:color w:val="000000"/>
        </w:rPr>
        <w:t>s</w:t>
      </w:r>
      <w:r w:rsidR="00FA72FD" w:rsidRPr="00D058A2">
        <w:rPr>
          <w:rFonts w:ascii="Arial" w:hAnsi="Arial" w:cs="Arial"/>
          <w:color w:val="000000"/>
        </w:rPr>
        <w:t xml:space="preserve"> the objective of the Building Act, which</w:t>
      </w:r>
      <w:r w:rsidR="00FA72FD">
        <w:rPr>
          <w:rFonts w:ascii="Arial" w:hAnsi="Arial" w:cs="Arial"/>
          <w:color w:val="000000"/>
        </w:rPr>
        <w:t> is to regulate buildings and building work.</w:t>
      </w:r>
    </w:p>
    <w:p w14:paraId="61C575C0" w14:textId="00DDE926" w:rsidR="008E6086" w:rsidRPr="00531E79" w:rsidRDefault="008E6086" w:rsidP="00531E79">
      <w:pPr>
        <w:pStyle w:val="bodytext"/>
        <w:shd w:val="clear" w:color="auto" w:fill="FFFFFF"/>
        <w:spacing w:before="200" w:beforeAutospacing="0" w:after="0" w:afterAutospacing="0" w:line="276" w:lineRule="atLeast"/>
        <w:rPr>
          <w:rFonts w:ascii="Arial" w:hAnsi="Arial" w:cs="Arial"/>
          <w:iCs/>
        </w:rPr>
      </w:pPr>
      <w:r w:rsidRPr="004B2B28">
        <w:rPr>
          <w:rFonts w:ascii="Arial" w:hAnsi="Arial" w:cs="Arial"/>
          <w:i/>
        </w:rPr>
        <w:t>Rational connection between the limitation and the purpose (s28 (d))</w:t>
      </w:r>
    </w:p>
    <w:p w14:paraId="60907A01" w14:textId="179A696F" w:rsidR="008E6086" w:rsidRDefault="008E6086" w:rsidP="008E6086">
      <w:pPr>
        <w:pStyle w:val="NormalWeb"/>
        <w:shd w:val="clear" w:color="auto" w:fill="FFFFFF"/>
        <w:spacing w:before="120" w:beforeAutospacing="0" w:after="200" w:afterAutospacing="0" w:line="276" w:lineRule="atLeast"/>
        <w:rPr>
          <w:rFonts w:ascii="Arial" w:hAnsi="Arial" w:cs="Arial"/>
          <w:color w:val="000000"/>
        </w:rPr>
      </w:pPr>
      <w:r w:rsidRPr="00762C9A">
        <w:rPr>
          <w:rFonts w:ascii="Arial" w:hAnsi="Arial" w:cs="Arial"/>
          <w:color w:val="000000"/>
        </w:rPr>
        <w:t>Appropriate regulatory actions are essential to building community</w:t>
      </w:r>
      <w:r w:rsidR="00FA72FD">
        <w:rPr>
          <w:rFonts w:ascii="Arial" w:hAnsi="Arial" w:cs="Arial"/>
          <w:color w:val="000000"/>
        </w:rPr>
        <w:t xml:space="preserve"> in the ACT’s building and construction industry </w:t>
      </w:r>
      <w:r w:rsidRPr="00762C9A">
        <w:rPr>
          <w:rFonts w:ascii="Arial" w:hAnsi="Arial" w:cs="Arial"/>
          <w:color w:val="000000"/>
        </w:rPr>
        <w:t>and industry</w:t>
      </w:r>
      <w:r>
        <w:rPr>
          <w:rFonts w:ascii="Arial" w:hAnsi="Arial" w:cs="Arial"/>
          <w:color w:val="000000"/>
        </w:rPr>
        <w:t xml:space="preserve"> </w:t>
      </w:r>
      <w:r w:rsidRPr="00762C9A">
        <w:rPr>
          <w:rFonts w:ascii="Arial" w:hAnsi="Arial" w:cs="Arial"/>
          <w:color w:val="000000"/>
        </w:rPr>
        <w:t>confidence</w:t>
      </w:r>
      <w:r w:rsidR="00FA72FD">
        <w:rPr>
          <w:rFonts w:ascii="Arial" w:hAnsi="Arial" w:cs="Arial"/>
          <w:color w:val="000000"/>
        </w:rPr>
        <w:t xml:space="preserve"> in the regulatory oversight undertaken by Government</w:t>
      </w:r>
      <w:r w:rsidRPr="00762C9A">
        <w:rPr>
          <w:rFonts w:ascii="Arial" w:hAnsi="Arial" w:cs="Arial"/>
          <w:color w:val="000000"/>
        </w:rPr>
        <w:t>.</w:t>
      </w:r>
      <w:r>
        <w:rPr>
          <w:rFonts w:ascii="Arial" w:hAnsi="Arial" w:cs="Arial"/>
          <w:color w:val="000000"/>
        </w:rPr>
        <w:t xml:space="preserve"> </w:t>
      </w:r>
      <w:r w:rsidRPr="00762C9A">
        <w:rPr>
          <w:rFonts w:ascii="Arial" w:hAnsi="Arial" w:cs="Arial"/>
          <w:color w:val="000000"/>
        </w:rPr>
        <w:t>There is a high expectation that</w:t>
      </w:r>
      <w:r>
        <w:rPr>
          <w:rFonts w:ascii="Arial" w:hAnsi="Arial" w:cs="Arial"/>
          <w:color w:val="000000"/>
        </w:rPr>
        <w:t xml:space="preserve"> the building and construction sector</w:t>
      </w:r>
      <w:r w:rsidRPr="00762C9A">
        <w:rPr>
          <w:rFonts w:ascii="Arial" w:hAnsi="Arial" w:cs="Arial"/>
          <w:color w:val="000000"/>
        </w:rPr>
        <w:t xml:space="preserve"> will comply with the requirements of the Building Act, and</w:t>
      </w:r>
      <w:r>
        <w:rPr>
          <w:rFonts w:ascii="Arial" w:hAnsi="Arial" w:cs="Arial"/>
          <w:color w:val="000000"/>
        </w:rPr>
        <w:t xml:space="preserve"> </w:t>
      </w:r>
      <w:r w:rsidRPr="00762C9A">
        <w:rPr>
          <w:rFonts w:ascii="Arial" w:hAnsi="Arial" w:cs="Arial"/>
          <w:color w:val="000000"/>
        </w:rPr>
        <w:t>it is important that those requirements are</w:t>
      </w:r>
      <w:r>
        <w:rPr>
          <w:rFonts w:ascii="Arial" w:hAnsi="Arial" w:cs="Arial"/>
          <w:color w:val="000000"/>
        </w:rPr>
        <w:t xml:space="preserve"> </w:t>
      </w:r>
      <w:r w:rsidRPr="00762C9A">
        <w:rPr>
          <w:rFonts w:ascii="Arial" w:hAnsi="Arial" w:cs="Arial"/>
          <w:color w:val="000000"/>
        </w:rPr>
        <w:t>enforced through appropriate penalties to protect the community.</w:t>
      </w:r>
      <w:r>
        <w:rPr>
          <w:rFonts w:ascii="Arial" w:hAnsi="Arial" w:cs="Arial"/>
          <w:color w:val="000000"/>
        </w:rPr>
        <w:t xml:space="preserve"> Infringement notices are just one enforcement action that the Construction Occupations Registrar can take in relation to breaches of the Building Act. Other actions including the taking of disciplinary action against a construction occupation licensee under the </w:t>
      </w:r>
      <w:r w:rsidRPr="0068663D">
        <w:rPr>
          <w:rFonts w:ascii="Arial" w:hAnsi="Arial" w:cs="Arial"/>
          <w:i/>
          <w:iCs/>
          <w:color w:val="000000"/>
        </w:rPr>
        <w:t>Construction Occupations (Licensing) Act 2004</w:t>
      </w:r>
      <w:r>
        <w:rPr>
          <w:rFonts w:ascii="Arial" w:hAnsi="Arial" w:cs="Arial"/>
          <w:color w:val="000000"/>
        </w:rPr>
        <w:t>.</w:t>
      </w:r>
      <w:r w:rsidR="00C90023">
        <w:rPr>
          <w:rFonts w:ascii="Arial" w:hAnsi="Arial" w:cs="Arial"/>
          <w:color w:val="000000"/>
        </w:rPr>
        <w:t xml:space="preserve"> </w:t>
      </w:r>
    </w:p>
    <w:p w14:paraId="6EBB8AC0" w14:textId="77777777" w:rsidR="008E6086" w:rsidRPr="00B65C84" w:rsidRDefault="008E6086" w:rsidP="008E6086">
      <w:pPr>
        <w:spacing w:before="240"/>
        <w:rPr>
          <w:rFonts w:ascii="Arial" w:hAnsi="Arial" w:cs="Arial"/>
          <w:i/>
          <w:szCs w:val="24"/>
        </w:rPr>
      </w:pPr>
      <w:r w:rsidRPr="00B65C84">
        <w:rPr>
          <w:rFonts w:ascii="Arial" w:hAnsi="Arial" w:cs="Arial"/>
          <w:i/>
          <w:szCs w:val="24"/>
        </w:rPr>
        <w:t>Proportionality (s28 (e))</w:t>
      </w:r>
    </w:p>
    <w:p w14:paraId="39C95FA4" w14:textId="77777777" w:rsidR="008E6086" w:rsidRDefault="008E6086" w:rsidP="008E6086">
      <w:pPr>
        <w:pStyle w:val="NormalWeb"/>
        <w:shd w:val="clear" w:color="auto" w:fill="FFFFFF"/>
        <w:spacing w:before="120" w:beforeAutospacing="0" w:after="200" w:afterAutospacing="0" w:line="276" w:lineRule="atLeast"/>
        <w:rPr>
          <w:rFonts w:ascii="Arial" w:hAnsi="Arial" w:cs="Arial"/>
          <w:color w:val="000000"/>
        </w:rPr>
      </w:pPr>
      <w:r w:rsidRPr="0068663D">
        <w:rPr>
          <w:rFonts w:ascii="Arial" w:hAnsi="Arial" w:cs="Arial"/>
          <w:color w:val="000000"/>
        </w:rPr>
        <w:t xml:space="preserve">Infringement notices </w:t>
      </w:r>
      <w:r>
        <w:rPr>
          <w:rFonts w:ascii="Arial" w:hAnsi="Arial" w:cs="Arial"/>
          <w:color w:val="000000"/>
        </w:rPr>
        <w:t xml:space="preserve">are an important component of an effective regulatory framework by providing a deterrent to non-compliance and an alternative to prosecution. Effective infringement notice schemes minimise the cost of litigation for the Territory while offering people a choice concerning whether to accept a lesser penalty without admitting the offence or remaining liable to prosecution. </w:t>
      </w:r>
    </w:p>
    <w:p w14:paraId="39EC87AA" w14:textId="5AEBC5C6" w:rsidR="004D373F" w:rsidRDefault="00595A8B" w:rsidP="00531E79">
      <w:pPr>
        <w:pStyle w:val="NormalWeb"/>
        <w:shd w:val="clear" w:color="auto" w:fill="FFFFFF"/>
        <w:spacing w:before="120" w:beforeAutospacing="0" w:after="200" w:afterAutospacing="0" w:line="276" w:lineRule="atLeast"/>
        <w:rPr>
          <w:rFonts w:ascii="Arial" w:hAnsi="Arial" w:cs="Arial"/>
          <w:color w:val="000000"/>
        </w:rPr>
      </w:pPr>
      <w:r w:rsidRPr="00595A8B">
        <w:rPr>
          <w:rFonts w:ascii="Arial" w:hAnsi="Arial" w:cs="Arial"/>
          <w:color w:val="000000"/>
        </w:rPr>
        <w:t>Under the</w:t>
      </w:r>
      <w:r>
        <w:rPr>
          <w:rFonts w:ascii="Arial" w:hAnsi="Arial" w:cs="Arial"/>
          <w:color w:val="000000"/>
        </w:rPr>
        <w:t xml:space="preserve"> </w:t>
      </w:r>
      <w:r w:rsidRPr="00595A8B">
        <w:rPr>
          <w:rFonts w:ascii="Arial" w:hAnsi="Arial" w:cs="Arial"/>
          <w:i/>
          <w:iCs/>
          <w:color w:val="000000"/>
        </w:rPr>
        <w:t>Magistrates Court Act 1930</w:t>
      </w:r>
      <w:r>
        <w:rPr>
          <w:rFonts w:ascii="Arial" w:hAnsi="Arial" w:cs="Arial"/>
          <w:color w:val="000000"/>
        </w:rPr>
        <w:t xml:space="preserve"> </w:t>
      </w:r>
      <w:r w:rsidRPr="00595A8B">
        <w:rPr>
          <w:rFonts w:ascii="Arial" w:hAnsi="Arial" w:cs="Arial"/>
          <w:color w:val="000000"/>
        </w:rPr>
        <w:t xml:space="preserve">a person authorised to issue an infringement notice for an offence has discretion to decide </w:t>
      </w:r>
      <w:r w:rsidR="00866474" w:rsidRPr="00595A8B">
        <w:rPr>
          <w:rFonts w:ascii="Arial" w:hAnsi="Arial" w:cs="Arial"/>
          <w:color w:val="000000"/>
        </w:rPr>
        <w:t>whether</w:t>
      </w:r>
      <w:r w:rsidRPr="00595A8B">
        <w:rPr>
          <w:rFonts w:ascii="Arial" w:hAnsi="Arial" w:cs="Arial"/>
          <w:color w:val="000000"/>
        </w:rPr>
        <w:t xml:space="preserve"> to issue the notice</w:t>
      </w:r>
      <w:r w:rsidRPr="00866474">
        <w:rPr>
          <w:rFonts w:ascii="Arial" w:hAnsi="Arial" w:cs="Arial"/>
          <w:color w:val="000000"/>
        </w:rPr>
        <w:t xml:space="preserve">. Also, a </w:t>
      </w:r>
      <w:r w:rsidR="0068663D" w:rsidRPr="00866474">
        <w:rPr>
          <w:rFonts w:ascii="Arial" w:hAnsi="Arial" w:cs="Arial"/>
          <w:color w:val="000000"/>
        </w:rPr>
        <w:t>person issued with an infringement notice has the option to pay the notice</w:t>
      </w:r>
      <w:r w:rsidR="00866474" w:rsidRPr="00866474">
        <w:rPr>
          <w:rFonts w:ascii="Arial" w:hAnsi="Arial" w:cs="Arial"/>
          <w:color w:val="000000"/>
        </w:rPr>
        <w:t xml:space="preserve">, seek an extension of time to pay, </w:t>
      </w:r>
      <w:proofErr w:type="gramStart"/>
      <w:r w:rsidR="00866474" w:rsidRPr="00866474">
        <w:rPr>
          <w:rFonts w:ascii="Arial" w:hAnsi="Arial" w:cs="Arial"/>
          <w:color w:val="000000"/>
        </w:rPr>
        <w:t xml:space="preserve">enter </w:t>
      </w:r>
      <w:r w:rsidR="00866474">
        <w:rPr>
          <w:rFonts w:ascii="Arial" w:hAnsi="Arial" w:cs="Arial"/>
          <w:color w:val="000000"/>
        </w:rPr>
        <w:t>into</w:t>
      </w:r>
      <w:proofErr w:type="gramEnd"/>
      <w:r w:rsidR="00866474">
        <w:rPr>
          <w:rFonts w:ascii="Arial" w:hAnsi="Arial" w:cs="Arial"/>
          <w:color w:val="000000"/>
        </w:rPr>
        <w:t xml:space="preserve"> </w:t>
      </w:r>
      <w:r w:rsidR="00866474" w:rsidRPr="00866474">
        <w:rPr>
          <w:rFonts w:ascii="Arial" w:hAnsi="Arial" w:cs="Arial"/>
          <w:color w:val="000000"/>
        </w:rPr>
        <w:t>a</w:t>
      </w:r>
      <w:r w:rsidR="00866474">
        <w:rPr>
          <w:rFonts w:ascii="Arial" w:hAnsi="Arial" w:cs="Arial"/>
          <w:color w:val="000000"/>
        </w:rPr>
        <w:t>n</w:t>
      </w:r>
      <w:r w:rsidR="00866474" w:rsidRPr="00866474">
        <w:rPr>
          <w:rFonts w:ascii="Arial" w:hAnsi="Arial" w:cs="Arial"/>
          <w:color w:val="000000"/>
        </w:rPr>
        <w:t xml:space="preserve"> infringement notice management plan, apply to have the infringement notice waived or withdrawn or dispute the notice</w:t>
      </w:r>
      <w:r w:rsidR="0068663D" w:rsidRPr="00866474">
        <w:rPr>
          <w:rFonts w:ascii="Arial" w:hAnsi="Arial" w:cs="Arial"/>
          <w:color w:val="000000"/>
        </w:rPr>
        <w:t>.</w:t>
      </w:r>
    </w:p>
    <w:p w14:paraId="57467426" w14:textId="77777777" w:rsidR="00866474" w:rsidRPr="00866474" w:rsidRDefault="00866474" w:rsidP="00866474">
      <w:pPr>
        <w:pStyle w:val="NormalWeb"/>
        <w:shd w:val="clear" w:color="auto" w:fill="FFFFFF"/>
        <w:spacing w:before="120" w:beforeAutospacing="0" w:after="200" w:afterAutospacing="0" w:line="276" w:lineRule="atLeast"/>
        <w:rPr>
          <w:rFonts w:ascii="Arial" w:hAnsi="Arial" w:cs="Arial"/>
          <w:color w:val="000000"/>
        </w:rPr>
      </w:pPr>
      <w:r w:rsidRPr="008A5FE4">
        <w:rPr>
          <w:rFonts w:ascii="Arial" w:hAnsi="Arial" w:cs="Arial"/>
          <w:iCs/>
        </w:rPr>
        <w:t xml:space="preserve">It should be noted that paying an infringement notice is not an acceptance of guilt. If a person </w:t>
      </w:r>
      <w:r w:rsidRPr="00866474">
        <w:rPr>
          <w:rFonts w:ascii="Arial" w:hAnsi="Arial" w:cs="Arial"/>
          <w:color w:val="000000"/>
        </w:rPr>
        <w:t xml:space="preserve">declines to pay an infringement notice, the Construction </w:t>
      </w:r>
      <w:r w:rsidRPr="00866474">
        <w:rPr>
          <w:rFonts w:ascii="Arial" w:hAnsi="Arial" w:cs="Arial"/>
          <w:color w:val="000000"/>
        </w:rPr>
        <w:lastRenderedPageBreak/>
        <w:t>Occupations Registrar has the discretion to either proceed with a prosecution or cease action.</w:t>
      </w:r>
    </w:p>
    <w:p w14:paraId="4CC5C641" w14:textId="55872712" w:rsidR="00FA72FD" w:rsidRDefault="00531E79" w:rsidP="00FA72FD">
      <w:pPr>
        <w:pStyle w:val="NormalWeb"/>
        <w:shd w:val="clear" w:color="auto" w:fill="FFFFFF"/>
        <w:spacing w:before="120" w:beforeAutospacing="0" w:after="200" w:afterAutospacing="0" w:line="276" w:lineRule="atLeast"/>
        <w:rPr>
          <w:rFonts w:ascii="Arial" w:hAnsi="Arial" w:cs="Arial"/>
          <w:color w:val="000000"/>
        </w:rPr>
      </w:pPr>
      <w:r>
        <w:rPr>
          <w:rFonts w:ascii="Arial" w:hAnsi="Arial" w:cs="Arial"/>
          <w:color w:val="000000"/>
        </w:rPr>
        <w:t>Any breaches of the offence framework will be managed through an ‘engage, educate and enforce’ compliance process. This provides a safeguard to ensure the limitation on any rights is reasonable and proportionate. Should a breach occur, conduct that contravenes the legislative framework will be considered on a case-by-case basis and within its own context.</w:t>
      </w:r>
      <w:r w:rsidR="00FA72FD">
        <w:rPr>
          <w:rFonts w:ascii="Arial" w:hAnsi="Arial" w:cs="Arial"/>
          <w:color w:val="000000"/>
        </w:rPr>
        <w:t xml:space="preserve"> </w:t>
      </w:r>
    </w:p>
    <w:p w14:paraId="313AFC7A" w14:textId="5FBF48C4" w:rsidR="004B2B28" w:rsidRPr="00762C9A" w:rsidRDefault="00B65C84" w:rsidP="004B2B28">
      <w:pPr>
        <w:pStyle w:val="NormalWeb"/>
        <w:shd w:val="clear" w:color="auto" w:fill="FFFFFF"/>
        <w:spacing w:before="0" w:beforeAutospacing="0" w:after="200" w:afterAutospacing="0" w:line="276" w:lineRule="atLeast"/>
        <w:rPr>
          <w:rFonts w:ascii="Calibri" w:hAnsi="Calibri" w:cs="Calibri"/>
          <w:color w:val="000000"/>
        </w:rPr>
      </w:pPr>
      <w:bookmarkStart w:id="2" w:name="_Hlk145502929"/>
      <w:r w:rsidRPr="00762C9A">
        <w:rPr>
          <w:rFonts w:ascii="Arial" w:hAnsi="Arial" w:cs="Arial"/>
          <w:color w:val="000000"/>
        </w:rPr>
        <w:t xml:space="preserve">The Construction Occupations Registrar </w:t>
      </w:r>
      <w:r w:rsidR="004B2B28" w:rsidRPr="00762C9A">
        <w:rPr>
          <w:rFonts w:ascii="Arial" w:hAnsi="Arial" w:cs="Arial"/>
          <w:color w:val="000000"/>
        </w:rPr>
        <w:t>sits</w:t>
      </w:r>
      <w:r w:rsidR="009F41D6">
        <w:rPr>
          <w:rFonts w:ascii="Arial" w:hAnsi="Arial" w:cs="Arial"/>
          <w:color w:val="000000"/>
        </w:rPr>
        <w:t xml:space="preserve"> </w:t>
      </w:r>
      <w:r w:rsidR="004B2B28" w:rsidRPr="00762C9A">
        <w:rPr>
          <w:rFonts w:ascii="Arial" w:hAnsi="Arial" w:cs="Arial"/>
          <w:color w:val="000000"/>
        </w:rPr>
        <w:t>within Access Canberra</w:t>
      </w:r>
      <w:r w:rsidR="00531E79">
        <w:rPr>
          <w:rFonts w:ascii="Arial" w:hAnsi="Arial" w:cs="Arial"/>
          <w:color w:val="000000"/>
        </w:rPr>
        <w:t xml:space="preserve"> and</w:t>
      </w:r>
      <w:r w:rsidR="00D058A2" w:rsidRPr="00762C9A">
        <w:rPr>
          <w:rFonts w:ascii="Arial" w:hAnsi="Arial" w:cs="Arial"/>
          <w:color w:val="000000"/>
        </w:rPr>
        <w:t xml:space="preserve"> </w:t>
      </w:r>
      <w:r w:rsidR="004B2B28" w:rsidRPr="00762C9A">
        <w:rPr>
          <w:rFonts w:ascii="Arial" w:hAnsi="Arial" w:cs="Arial"/>
          <w:color w:val="000000"/>
        </w:rPr>
        <w:t>applies the Access Canberra</w:t>
      </w:r>
      <w:r w:rsidR="009F41D6">
        <w:rPr>
          <w:rFonts w:ascii="Arial" w:hAnsi="Arial" w:cs="Arial"/>
          <w:color w:val="000000"/>
        </w:rPr>
        <w:t xml:space="preserve"> </w:t>
      </w:r>
      <w:r w:rsidR="004B2B28" w:rsidRPr="00762C9A">
        <w:rPr>
          <w:rFonts w:ascii="Arial" w:hAnsi="Arial" w:cs="Arial"/>
          <w:color w:val="000000"/>
        </w:rPr>
        <w:t>Accountability</w:t>
      </w:r>
      <w:r w:rsidR="009F41D6">
        <w:rPr>
          <w:rFonts w:ascii="Arial" w:hAnsi="Arial" w:cs="Arial"/>
          <w:color w:val="000000"/>
        </w:rPr>
        <w:t xml:space="preserve"> </w:t>
      </w:r>
      <w:r w:rsidR="004B2B28" w:rsidRPr="00762C9A">
        <w:rPr>
          <w:rFonts w:ascii="Arial" w:hAnsi="Arial" w:cs="Arial"/>
          <w:color w:val="000000"/>
        </w:rPr>
        <w:t>Commitment</w:t>
      </w:r>
      <w:r w:rsidR="009F41D6">
        <w:rPr>
          <w:rFonts w:ascii="Arial" w:hAnsi="Arial" w:cs="Arial"/>
          <w:color w:val="000000"/>
        </w:rPr>
        <w:t xml:space="preserve"> </w:t>
      </w:r>
      <w:r w:rsidR="004B2B28" w:rsidRPr="00762C9A">
        <w:rPr>
          <w:rFonts w:ascii="Arial" w:hAnsi="Arial" w:cs="Arial"/>
          <w:color w:val="000000"/>
        </w:rPr>
        <w:t>and takes a</w:t>
      </w:r>
      <w:r w:rsidR="009F41D6">
        <w:rPr>
          <w:rFonts w:ascii="Arial" w:hAnsi="Arial" w:cs="Arial"/>
          <w:color w:val="000000"/>
        </w:rPr>
        <w:t xml:space="preserve"> </w:t>
      </w:r>
      <w:r w:rsidR="004B2B28" w:rsidRPr="00762C9A">
        <w:rPr>
          <w:rFonts w:ascii="Arial" w:hAnsi="Arial" w:cs="Arial"/>
          <w:color w:val="000000"/>
        </w:rPr>
        <w:t>risk-based</w:t>
      </w:r>
      <w:r w:rsidR="009F41D6">
        <w:rPr>
          <w:rFonts w:ascii="Arial" w:hAnsi="Arial" w:cs="Arial"/>
          <w:color w:val="000000"/>
        </w:rPr>
        <w:t xml:space="preserve"> </w:t>
      </w:r>
      <w:r w:rsidR="004B2B28" w:rsidRPr="00762C9A">
        <w:rPr>
          <w:rFonts w:ascii="Arial" w:hAnsi="Arial" w:cs="Arial"/>
          <w:color w:val="000000"/>
        </w:rPr>
        <w:t>approach to taking regulatory action. The Access Canberra Accountability Framework includes</w:t>
      </w:r>
      <w:r w:rsidR="009F41D6">
        <w:rPr>
          <w:rFonts w:ascii="Arial" w:hAnsi="Arial" w:cs="Arial"/>
          <w:color w:val="000000"/>
        </w:rPr>
        <w:t xml:space="preserve"> </w:t>
      </w:r>
      <w:r w:rsidR="004B2B28" w:rsidRPr="00762C9A">
        <w:rPr>
          <w:rFonts w:ascii="Arial" w:hAnsi="Arial" w:cs="Arial"/>
          <w:color w:val="000000"/>
        </w:rPr>
        <w:t>the</w:t>
      </w:r>
      <w:r w:rsidR="009F41D6">
        <w:rPr>
          <w:rFonts w:ascii="Arial" w:hAnsi="Arial" w:cs="Arial"/>
          <w:color w:val="000000"/>
        </w:rPr>
        <w:t xml:space="preserve"> </w:t>
      </w:r>
      <w:hyperlink r:id="rId8" w:history="1">
        <w:r w:rsidR="004B2B28" w:rsidRPr="00762C9A">
          <w:rPr>
            <w:rStyle w:val="Hyperlink1"/>
            <w:rFonts w:ascii="Arial" w:hAnsi="Arial" w:cs="Arial"/>
            <w:color w:val="0000FF"/>
            <w:u w:val="single"/>
          </w:rPr>
          <w:t>Building and construction services compliance framework</w:t>
        </w:r>
      </w:hyperlink>
      <w:r w:rsidR="009F41D6">
        <w:rPr>
          <w:rStyle w:val="Hyperlink1"/>
          <w:rFonts w:ascii="Arial" w:hAnsi="Arial" w:cs="Arial"/>
          <w:color w:val="0000FF"/>
          <w:u w:val="single"/>
        </w:rPr>
        <w:t xml:space="preserve"> </w:t>
      </w:r>
      <w:r w:rsidR="004B2B28" w:rsidRPr="00762C9A">
        <w:rPr>
          <w:rFonts w:ascii="Arial" w:hAnsi="Arial" w:cs="Arial"/>
          <w:color w:val="000000"/>
        </w:rPr>
        <w:t>which is publicly available.</w:t>
      </w:r>
    </w:p>
    <w:p w14:paraId="4A9F25CD" w14:textId="77777777" w:rsidR="00FA72FD" w:rsidRDefault="004B2B28" w:rsidP="00FA72FD">
      <w:pPr>
        <w:pStyle w:val="NormalWeb"/>
        <w:shd w:val="clear" w:color="auto" w:fill="FFFFFF"/>
        <w:spacing w:before="120" w:beforeAutospacing="0" w:after="200" w:afterAutospacing="0" w:line="276" w:lineRule="atLeast"/>
        <w:rPr>
          <w:rFonts w:ascii="Arial" w:hAnsi="Arial" w:cs="Arial"/>
          <w:color w:val="000000"/>
        </w:rPr>
      </w:pPr>
      <w:r w:rsidRPr="00762C9A">
        <w:rPr>
          <w:rFonts w:ascii="Arial" w:hAnsi="Arial" w:cs="Arial"/>
          <w:color w:val="000000"/>
        </w:rPr>
        <w:t>The strict liability offences</w:t>
      </w:r>
      <w:r w:rsidR="00B6067B" w:rsidRPr="00762C9A">
        <w:rPr>
          <w:rFonts w:ascii="Arial" w:hAnsi="Arial" w:cs="Arial"/>
          <w:color w:val="000000"/>
        </w:rPr>
        <w:t xml:space="preserve"> in the Building Act</w:t>
      </w:r>
      <w:r w:rsidRPr="00762C9A">
        <w:rPr>
          <w:rFonts w:ascii="Arial" w:hAnsi="Arial" w:cs="Arial"/>
          <w:color w:val="000000"/>
        </w:rPr>
        <w:t xml:space="preserve"> are framed with clear criteria as to whether the offence has occurred.</w:t>
      </w:r>
      <w:r w:rsidR="009F41D6">
        <w:rPr>
          <w:rFonts w:ascii="Arial" w:hAnsi="Arial" w:cs="Arial"/>
          <w:color w:val="000000"/>
        </w:rPr>
        <w:t xml:space="preserve"> </w:t>
      </w:r>
      <w:r w:rsidRPr="00762C9A">
        <w:rPr>
          <w:rFonts w:ascii="Arial" w:hAnsi="Arial" w:cs="Arial"/>
          <w:color w:val="000000"/>
        </w:rPr>
        <w:t>The clear framing of offences, as well as strong communication around the obligations of</w:t>
      </w:r>
      <w:r w:rsidR="009F41D6">
        <w:rPr>
          <w:rFonts w:ascii="Arial" w:hAnsi="Arial" w:cs="Arial"/>
          <w:color w:val="000000"/>
        </w:rPr>
        <w:t xml:space="preserve"> </w:t>
      </w:r>
      <w:r w:rsidR="00B6067B" w:rsidRPr="00762C9A">
        <w:rPr>
          <w:rFonts w:ascii="Arial" w:hAnsi="Arial" w:cs="Arial"/>
          <w:color w:val="000000"/>
        </w:rPr>
        <w:t>builders</w:t>
      </w:r>
      <w:r w:rsidRPr="00762C9A">
        <w:rPr>
          <w:rFonts w:ascii="Arial" w:hAnsi="Arial" w:cs="Arial"/>
          <w:color w:val="000000"/>
        </w:rPr>
        <w:t>,</w:t>
      </w:r>
      <w:r w:rsidR="00B6067B" w:rsidRPr="00762C9A">
        <w:rPr>
          <w:rFonts w:ascii="Arial" w:hAnsi="Arial" w:cs="Arial"/>
          <w:color w:val="000000"/>
        </w:rPr>
        <w:t xml:space="preserve"> </w:t>
      </w:r>
      <w:r w:rsidRPr="00762C9A">
        <w:rPr>
          <w:rFonts w:ascii="Arial" w:hAnsi="Arial" w:cs="Arial"/>
          <w:color w:val="000000"/>
        </w:rPr>
        <w:t xml:space="preserve">are important safeguards on individual rights and ensure the proportionality of introducing </w:t>
      </w:r>
      <w:r w:rsidR="00531E79">
        <w:rPr>
          <w:rFonts w:ascii="Arial" w:hAnsi="Arial" w:cs="Arial"/>
          <w:color w:val="000000"/>
        </w:rPr>
        <w:t>infringement notice penalties</w:t>
      </w:r>
      <w:r w:rsidRPr="00762C9A">
        <w:rPr>
          <w:rFonts w:ascii="Arial" w:hAnsi="Arial" w:cs="Arial"/>
          <w:color w:val="000000"/>
        </w:rPr>
        <w:t>.</w:t>
      </w:r>
      <w:r w:rsidR="00FA72FD">
        <w:rPr>
          <w:rFonts w:ascii="Arial" w:hAnsi="Arial" w:cs="Arial"/>
          <w:color w:val="000000"/>
        </w:rPr>
        <w:t xml:space="preserve"> In addition, </w:t>
      </w:r>
      <w:r w:rsidR="00FA72FD">
        <w:rPr>
          <w:rFonts w:ascii="Arial" w:hAnsi="Arial" w:cs="Arial"/>
          <w:iCs/>
        </w:rPr>
        <w:t xml:space="preserve">industry is already </w:t>
      </w:r>
      <w:r w:rsidR="00FA72FD" w:rsidRPr="00531E79">
        <w:rPr>
          <w:rFonts w:ascii="Arial" w:hAnsi="Arial" w:cs="Arial"/>
          <w:iCs/>
        </w:rPr>
        <w:t>aware of the obligations and offences set out in the Act</w:t>
      </w:r>
      <w:r w:rsidR="00FA72FD">
        <w:rPr>
          <w:rFonts w:ascii="Arial" w:hAnsi="Arial" w:cs="Arial"/>
          <w:iCs/>
        </w:rPr>
        <w:t xml:space="preserve"> as they are existing offences.</w:t>
      </w:r>
    </w:p>
    <w:bookmarkEnd w:id="2"/>
    <w:p w14:paraId="5C533E9A" w14:textId="21C2DF83" w:rsidR="00866474" w:rsidRDefault="00866474">
      <w:pPr>
        <w:rPr>
          <w:rFonts w:ascii="Arial" w:eastAsiaTheme="majorEastAsia" w:hAnsi="Arial" w:cs="Arial"/>
          <w:b/>
          <w:bCs/>
          <w:color w:val="000000" w:themeColor="text1"/>
          <w:szCs w:val="24"/>
        </w:rPr>
      </w:pPr>
    </w:p>
    <w:bookmarkEnd w:id="0"/>
    <w:p w14:paraId="0504F490" w14:textId="77777777" w:rsidR="00762C9A" w:rsidRPr="00154DEC" w:rsidRDefault="00762C9A" w:rsidP="00762C9A">
      <w:pPr>
        <w:spacing w:after="240"/>
        <w:rPr>
          <w:rFonts w:ascii="Arial" w:hAnsi="Arial" w:cs="Arial"/>
          <w:b/>
          <w:bCs/>
          <w:color w:val="000000" w:themeColor="text1"/>
          <w:szCs w:val="24"/>
        </w:rPr>
      </w:pPr>
      <w:r w:rsidRPr="00154DEC">
        <w:rPr>
          <w:rFonts w:ascii="Arial" w:hAnsi="Arial" w:cs="Arial"/>
          <w:b/>
          <w:bCs/>
          <w:color w:val="000000" w:themeColor="text1"/>
          <w:szCs w:val="24"/>
        </w:rPr>
        <w:t>SUMMARY OF CLAUSES</w:t>
      </w:r>
    </w:p>
    <w:p w14:paraId="2A26FE86" w14:textId="40B5B0CD" w:rsidR="00762C9A" w:rsidRPr="00154DEC" w:rsidRDefault="00762C9A" w:rsidP="00762C9A">
      <w:pPr>
        <w:spacing w:after="240"/>
        <w:rPr>
          <w:rFonts w:ascii="Arial" w:hAnsi="Arial" w:cs="Arial"/>
          <w:b/>
          <w:bCs/>
          <w:color w:val="000000" w:themeColor="text1"/>
          <w:szCs w:val="24"/>
        </w:rPr>
      </w:pPr>
      <w:r w:rsidRPr="00154DEC">
        <w:rPr>
          <w:rFonts w:ascii="Arial" w:hAnsi="Arial" w:cs="Arial"/>
          <w:b/>
          <w:bCs/>
          <w:color w:val="000000" w:themeColor="text1"/>
          <w:szCs w:val="24"/>
        </w:rPr>
        <w:t>Clause 1</w:t>
      </w:r>
      <w:r w:rsidRPr="00154DEC">
        <w:rPr>
          <w:rFonts w:ascii="Arial" w:hAnsi="Arial" w:cs="Arial"/>
          <w:b/>
          <w:bCs/>
          <w:color w:val="000000" w:themeColor="text1"/>
          <w:szCs w:val="24"/>
        </w:rPr>
        <w:tab/>
        <w:t>Name of regulation</w:t>
      </w:r>
    </w:p>
    <w:p w14:paraId="34FF15B9" w14:textId="14BDA0F3" w:rsidR="00762C9A" w:rsidRDefault="00762C9A" w:rsidP="00762C9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This clause</w:t>
      </w:r>
      <w:r w:rsidR="009F41D6">
        <w:rPr>
          <w:rFonts w:ascii="Arial" w:hAnsi="Arial" w:cs="Arial"/>
          <w:color w:val="000000"/>
        </w:rPr>
        <w:t xml:space="preserve"> </w:t>
      </w:r>
      <w:r>
        <w:rPr>
          <w:rFonts w:ascii="Arial" w:hAnsi="Arial" w:cs="Arial"/>
          <w:color w:val="000000"/>
        </w:rPr>
        <w:t>provides that the name of the regulation is</w:t>
      </w:r>
      <w:r w:rsidR="009F41D6">
        <w:rPr>
          <w:rFonts w:ascii="Arial" w:hAnsi="Arial" w:cs="Arial"/>
          <w:color w:val="000000"/>
        </w:rPr>
        <w:t xml:space="preserve"> </w:t>
      </w:r>
      <w:r>
        <w:rPr>
          <w:rFonts w:ascii="Arial" w:hAnsi="Arial" w:cs="Arial"/>
          <w:color w:val="000000"/>
        </w:rPr>
        <w:t>the</w:t>
      </w:r>
      <w:r w:rsidR="009F41D6">
        <w:rPr>
          <w:rFonts w:ascii="Arial" w:hAnsi="Arial" w:cs="Arial"/>
          <w:color w:val="000000"/>
        </w:rPr>
        <w:t xml:space="preserve"> </w:t>
      </w:r>
      <w:r w:rsidRPr="002B411F">
        <w:rPr>
          <w:rFonts w:ascii="Arial" w:hAnsi="Arial" w:cs="Arial"/>
          <w:i/>
          <w:iCs/>
          <w:color w:val="000000"/>
        </w:rPr>
        <w:t xml:space="preserve">Magistrates Court (Building Infringement Notices) Amendment Regulation 2024 (No </w:t>
      </w:r>
      <w:r w:rsidR="00636F9D">
        <w:rPr>
          <w:rFonts w:ascii="Arial" w:hAnsi="Arial" w:cs="Arial"/>
          <w:i/>
          <w:iCs/>
          <w:color w:val="000000"/>
        </w:rPr>
        <w:t>1</w:t>
      </w:r>
      <w:r w:rsidRPr="002B411F">
        <w:rPr>
          <w:rFonts w:ascii="Arial" w:hAnsi="Arial" w:cs="Arial"/>
          <w:i/>
          <w:iCs/>
          <w:color w:val="000000"/>
        </w:rPr>
        <w:t>)</w:t>
      </w:r>
      <w:r>
        <w:rPr>
          <w:rFonts w:ascii="Arial" w:hAnsi="Arial" w:cs="Arial"/>
          <w:color w:val="000000"/>
        </w:rPr>
        <w:t>.</w:t>
      </w:r>
    </w:p>
    <w:p w14:paraId="38F13924" w14:textId="77777777" w:rsidR="00762C9A" w:rsidRDefault="00762C9A" w:rsidP="00762C9A">
      <w:pPr>
        <w:pStyle w:val="NormalWeb"/>
        <w:shd w:val="clear" w:color="auto" w:fill="FFFFFF"/>
        <w:spacing w:before="0" w:beforeAutospacing="0" w:after="0" w:afterAutospacing="0"/>
        <w:rPr>
          <w:rFonts w:ascii="Calibri" w:hAnsi="Calibri" w:cs="Calibri"/>
          <w:color w:val="000000"/>
        </w:rPr>
      </w:pPr>
    </w:p>
    <w:p w14:paraId="1929F93D" w14:textId="2B7BFB51" w:rsidR="00762C9A" w:rsidRPr="00154DEC" w:rsidRDefault="00762C9A" w:rsidP="00762C9A">
      <w:pPr>
        <w:spacing w:after="240"/>
        <w:rPr>
          <w:rFonts w:ascii="Arial" w:hAnsi="Arial" w:cs="Arial"/>
          <w:b/>
          <w:bCs/>
          <w:color w:val="000000" w:themeColor="text1"/>
          <w:szCs w:val="24"/>
        </w:rPr>
      </w:pPr>
      <w:r w:rsidRPr="00154DEC">
        <w:rPr>
          <w:rFonts w:ascii="Arial" w:hAnsi="Arial" w:cs="Arial"/>
          <w:b/>
          <w:bCs/>
          <w:color w:val="000000" w:themeColor="text1"/>
          <w:szCs w:val="24"/>
        </w:rPr>
        <w:t>Clause 2</w:t>
      </w:r>
      <w:r w:rsidRPr="00154DEC">
        <w:rPr>
          <w:rFonts w:ascii="Arial" w:hAnsi="Arial" w:cs="Arial"/>
          <w:b/>
          <w:bCs/>
          <w:color w:val="000000" w:themeColor="text1"/>
          <w:szCs w:val="24"/>
        </w:rPr>
        <w:tab/>
        <w:t>Commencement</w:t>
      </w:r>
    </w:p>
    <w:p w14:paraId="7A4B66DC" w14:textId="17801F7C" w:rsidR="00762C9A" w:rsidRDefault="00762C9A" w:rsidP="00762C9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This clause provides for the commencement of the</w:t>
      </w:r>
      <w:r w:rsidR="009F41D6">
        <w:rPr>
          <w:rFonts w:ascii="Arial" w:hAnsi="Arial" w:cs="Arial"/>
          <w:color w:val="000000"/>
        </w:rPr>
        <w:t xml:space="preserve"> </w:t>
      </w:r>
      <w:r>
        <w:rPr>
          <w:rFonts w:ascii="Arial" w:hAnsi="Arial" w:cs="Arial"/>
          <w:color w:val="000000"/>
        </w:rPr>
        <w:t>regulation on 1 March 2024.</w:t>
      </w:r>
    </w:p>
    <w:p w14:paraId="39B5EDA0" w14:textId="77777777" w:rsidR="00762C9A" w:rsidRPr="00EA20AB" w:rsidRDefault="00762C9A" w:rsidP="00762C9A">
      <w:pPr>
        <w:pStyle w:val="NormalWeb"/>
        <w:shd w:val="clear" w:color="auto" w:fill="FFFFFF"/>
        <w:spacing w:before="0" w:beforeAutospacing="0" w:after="0" w:afterAutospacing="0"/>
        <w:rPr>
          <w:rFonts w:ascii="Calibri" w:hAnsi="Calibri" w:cs="Calibri"/>
          <w:i/>
          <w:iCs/>
          <w:color w:val="000000"/>
        </w:rPr>
      </w:pPr>
    </w:p>
    <w:p w14:paraId="1369D597" w14:textId="48780505" w:rsidR="00762C9A" w:rsidRPr="00154DEC" w:rsidRDefault="00762C9A" w:rsidP="00762C9A">
      <w:pPr>
        <w:spacing w:after="240"/>
        <w:rPr>
          <w:rFonts w:ascii="Arial" w:hAnsi="Arial" w:cs="Arial"/>
          <w:b/>
          <w:bCs/>
          <w:color w:val="000000" w:themeColor="text1"/>
          <w:szCs w:val="24"/>
        </w:rPr>
      </w:pPr>
      <w:r w:rsidRPr="00154DEC">
        <w:rPr>
          <w:rFonts w:ascii="Arial" w:hAnsi="Arial" w:cs="Arial"/>
          <w:b/>
          <w:bCs/>
          <w:color w:val="000000" w:themeColor="text1"/>
          <w:szCs w:val="24"/>
        </w:rPr>
        <w:t>Clause 3</w:t>
      </w:r>
      <w:r w:rsidR="009F41D6">
        <w:rPr>
          <w:rFonts w:ascii="Arial" w:hAnsi="Arial" w:cs="Arial"/>
          <w:b/>
          <w:bCs/>
          <w:color w:val="000000" w:themeColor="text1"/>
          <w:szCs w:val="24"/>
        </w:rPr>
        <w:t xml:space="preserve"> </w:t>
      </w:r>
      <w:r w:rsidRPr="00154DEC">
        <w:rPr>
          <w:rFonts w:ascii="Arial" w:hAnsi="Arial" w:cs="Arial"/>
          <w:b/>
          <w:bCs/>
          <w:color w:val="000000" w:themeColor="text1"/>
          <w:szCs w:val="24"/>
        </w:rPr>
        <w:tab/>
        <w:t xml:space="preserve">Legislation </w:t>
      </w:r>
      <w:proofErr w:type="gramStart"/>
      <w:r w:rsidRPr="00154DEC">
        <w:rPr>
          <w:rFonts w:ascii="Arial" w:hAnsi="Arial" w:cs="Arial"/>
          <w:b/>
          <w:bCs/>
          <w:color w:val="000000" w:themeColor="text1"/>
          <w:szCs w:val="24"/>
        </w:rPr>
        <w:t>amended</w:t>
      </w:r>
      <w:proofErr w:type="gramEnd"/>
    </w:p>
    <w:p w14:paraId="5E33B9C0" w14:textId="317CF7E9" w:rsidR="00762C9A" w:rsidRDefault="00762C9A" w:rsidP="00762C9A">
      <w:pPr>
        <w:pStyle w:val="NormalWeb"/>
        <w:shd w:val="clear" w:color="auto" w:fill="FFFFFF"/>
        <w:spacing w:before="0" w:beforeAutospacing="0" w:after="0" w:afterAutospacing="0"/>
        <w:rPr>
          <w:rFonts w:ascii="Arial" w:hAnsi="Arial" w:cs="Arial"/>
          <w:i/>
          <w:iCs/>
          <w:color w:val="000000"/>
        </w:rPr>
      </w:pPr>
      <w:r>
        <w:rPr>
          <w:rFonts w:ascii="Arial" w:hAnsi="Arial" w:cs="Arial"/>
          <w:color w:val="000000"/>
        </w:rPr>
        <w:t>This clause</w:t>
      </w:r>
      <w:r w:rsidR="009F41D6">
        <w:rPr>
          <w:rFonts w:ascii="Arial" w:hAnsi="Arial" w:cs="Arial"/>
          <w:color w:val="000000"/>
        </w:rPr>
        <w:t xml:space="preserve"> </w:t>
      </w:r>
      <w:r>
        <w:rPr>
          <w:rFonts w:ascii="Arial" w:hAnsi="Arial" w:cs="Arial"/>
          <w:color w:val="000000"/>
        </w:rPr>
        <w:t xml:space="preserve">provides that the regulation amends the </w:t>
      </w:r>
      <w:r>
        <w:rPr>
          <w:rFonts w:ascii="Arial" w:hAnsi="Arial" w:cs="Arial"/>
          <w:i/>
          <w:iCs/>
          <w:color w:val="000000"/>
        </w:rPr>
        <w:t>Magistrates Court (Building Infringement Notices) Regulation 2008.</w:t>
      </w:r>
    </w:p>
    <w:p w14:paraId="0169E7ED" w14:textId="77777777" w:rsidR="00762C9A" w:rsidRDefault="00762C9A" w:rsidP="00762C9A">
      <w:pPr>
        <w:pStyle w:val="NormalWeb"/>
        <w:shd w:val="clear" w:color="auto" w:fill="FFFFFF"/>
        <w:spacing w:before="0" w:beforeAutospacing="0" w:after="0" w:afterAutospacing="0"/>
        <w:rPr>
          <w:rFonts w:ascii="Calibri" w:hAnsi="Calibri" w:cs="Calibri"/>
          <w:color w:val="000000"/>
        </w:rPr>
      </w:pPr>
    </w:p>
    <w:p w14:paraId="56F31529" w14:textId="223F7359" w:rsidR="00762C9A" w:rsidRPr="00154DEC" w:rsidRDefault="00762C9A" w:rsidP="00762C9A">
      <w:pPr>
        <w:spacing w:after="240"/>
        <w:rPr>
          <w:rFonts w:ascii="Arial" w:hAnsi="Arial" w:cs="Arial"/>
          <w:b/>
          <w:bCs/>
          <w:color w:val="000000" w:themeColor="text1"/>
          <w:szCs w:val="24"/>
        </w:rPr>
      </w:pPr>
      <w:r w:rsidRPr="00154DEC">
        <w:rPr>
          <w:rFonts w:ascii="Arial" w:hAnsi="Arial" w:cs="Arial"/>
          <w:b/>
          <w:bCs/>
          <w:color w:val="000000" w:themeColor="text1"/>
          <w:szCs w:val="24"/>
        </w:rPr>
        <w:t>Clause 4</w:t>
      </w:r>
      <w:r w:rsidRPr="00154DEC">
        <w:rPr>
          <w:rFonts w:ascii="Arial" w:hAnsi="Arial" w:cs="Arial"/>
          <w:b/>
          <w:bCs/>
          <w:color w:val="000000" w:themeColor="text1"/>
          <w:szCs w:val="24"/>
        </w:rPr>
        <w:tab/>
        <w:t>Schedule 1, part 1.1</w:t>
      </w:r>
    </w:p>
    <w:p w14:paraId="467FAA3A" w14:textId="77777777" w:rsidR="00762C9A" w:rsidRDefault="00762C9A" w:rsidP="00762C9A">
      <w:pPr>
        <w:pStyle w:val="NormalWeb"/>
        <w:shd w:val="clear" w:color="auto" w:fill="FFFFFF"/>
        <w:spacing w:before="0" w:beforeAutospacing="0" w:after="0" w:afterAutospacing="0"/>
      </w:pPr>
      <w:r>
        <w:rPr>
          <w:rFonts w:ascii="Arial" w:hAnsi="Arial" w:cs="Arial"/>
          <w:color w:val="000000"/>
        </w:rPr>
        <w:t>This clause</w:t>
      </w:r>
      <w:r w:rsidRPr="00EA20AB">
        <w:rPr>
          <w:rFonts w:ascii="Arial" w:hAnsi="Arial" w:cs="Arial"/>
          <w:color w:val="000000"/>
        </w:rPr>
        <w:t xml:space="preserve"> provides </w:t>
      </w:r>
      <w:r>
        <w:rPr>
          <w:rFonts w:ascii="Arial" w:hAnsi="Arial" w:cs="Arial"/>
          <w:color w:val="000000"/>
        </w:rPr>
        <w:t xml:space="preserve">the schedule of offence provisions, offence penalties (penalty units) and infringement penalties, for offences under the </w:t>
      </w:r>
      <w:r>
        <w:rPr>
          <w:rFonts w:ascii="Arial" w:hAnsi="Arial" w:cs="Arial"/>
          <w:i/>
          <w:iCs/>
          <w:color w:val="000000"/>
        </w:rPr>
        <w:t>Building Act 2004.</w:t>
      </w:r>
    </w:p>
    <w:sectPr w:rsidR="00762C9A" w:rsidSect="004F7B0D">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CD5F" w14:textId="77777777" w:rsidR="004F7B0D" w:rsidRDefault="004F7B0D" w:rsidP="006815C9">
      <w:r>
        <w:separator/>
      </w:r>
    </w:p>
  </w:endnote>
  <w:endnote w:type="continuationSeparator" w:id="0">
    <w:p w14:paraId="4E68966E" w14:textId="77777777" w:rsidR="004F7B0D" w:rsidRDefault="004F7B0D"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AA81"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5B74" w14:textId="77777777" w:rsidR="00091D34" w:rsidRDefault="00091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32EE"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98467" w14:textId="77777777" w:rsidR="004F7B0D" w:rsidRDefault="004F7B0D" w:rsidP="006815C9">
      <w:r>
        <w:separator/>
      </w:r>
    </w:p>
  </w:footnote>
  <w:footnote w:type="continuationSeparator" w:id="0">
    <w:p w14:paraId="12F6ABF5" w14:textId="77777777" w:rsidR="004F7B0D" w:rsidRDefault="004F7B0D"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EE4A"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6B4C"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9E81"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D14DC1"/>
    <w:multiLevelType w:val="multilevel"/>
    <w:tmpl w:val="5A78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331F4"/>
    <w:multiLevelType w:val="hybridMultilevel"/>
    <w:tmpl w:val="4A921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B1062"/>
    <w:multiLevelType w:val="multilevel"/>
    <w:tmpl w:val="7ED64002"/>
    <w:lvl w:ilvl="0">
      <w:start w:val="1"/>
      <w:numFmt w:val="bullet"/>
      <w:lvlText w:val=""/>
      <w:lvlJc w:val="left"/>
      <w:pPr>
        <w:tabs>
          <w:tab w:val="num" w:pos="306"/>
        </w:tabs>
        <w:ind w:left="306" w:hanging="360"/>
      </w:pPr>
      <w:rPr>
        <w:rFonts w:ascii="Symbol" w:hAnsi="Symbol" w:hint="default"/>
        <w:sz w:val="20"/>
      </w:rPr>
    </w:lvl>
    <w:lvl w:ilvl="1" w:tentative="1">
      <w:start w:val="1"/>
      <w:numFmt w:val="bullet"/>
      <w:lvlText w:val=""/>
      <w:lvlJc w:val="left"/>
      <w:pPr>
        <w:tabs>
          <w:tab w:val="num" w:pos="1026"/>
        </w:tabs>
        <w:ind w:left="1026" w:hanging="360"/>
      </w:pPr>
      <w:rPr>
        <w:rFonts w:ascii="Symbol" w:hAnsi="Symbol" w:hint="default"/>
        <w:sz w:val="20"/>
      </w:rPr>
    </w:lvl>
    <w:lvl w:ilvl="2" w:tentative="1">
      <w:start w:val="1"/>
      <w:numFmt w:val="bullet"/>
      <w:lvlText w:val=""/>
      <w:lvlJc w:val="left"/>
      <w:pPr>
        <w:tabs>
          <w:tab w:val="num" w:pos="1746"/>
        </w:tabs>
        <w:ind w:left="1746" w:hanging="360"/>
      </w:pPr>
      <w:rPr>
        <w:rFonts w:ascii="Symbol" w:hAnsi="Symbol" w:hint="default"/>
        <w:sz w:val="20"/>
      </w:rPr>
    </w:lvl>
    <w:lvl w:ilvl="3" w:tentative="1">
      <w:start w:val="1"/>
      <w:numFmt w:val="bullet"/>
      <w:lvlText w:val=""/>
      <w:lvlJc w:val="left"/>
      <w:pPr>
        <w:tabs>
          <w:tab w:val="num" w:pos="2466"/>
        </w:tabs>
        <w:ind w:left="2466" w:hanging="360"/>
      </w:pPr>
      <w:rPr>
        <w:rFonts w:ascii="Symbol" w:hAnsi="Symbol" w:hint="default"/>
        <w:sz w:val="20"/>
      </w:rPr>
    </w:lvl>
    <w:lvl w:ilvl="4" w:tentative="1">
      <w:start w:val="1"/>
      <w:numFmt w:val="bullet"/>
      <w:lvlText w:val=""/>
      <w:lvlJc w:val="left"/>
      <w:pPr>
        <w:tabs>
          <w:tab w:val="num" w:pos="3186"/>
        </w:tabs>
        <w:ind w:left="3186" w:hanging="360"/>
      </w:pPr>
      <w:rPr>
        <w:rFonts w:ascii="Symbol" w:hAnsi="Symbol" w:hint="default"/>
        <w:sz w:val="20"/>
      </w:rPr>
    </w:lvl>
    <w:lvl w:ilvl="5" w:tentative="1">
      <w:start w:val="1"/>
      <w:numFmt w:val="bullet"/>
      <w:lvlText w:val=""/>
      <w:lvlJc w:val="left"/>
      <w:pPr>
        <w:tabs>
          <w:tab w:val="num" w:pos="3906"/>
        </w:tabs>
        <w:ind w:left="3906" w:hanging="360"/>
      </w:pPr>
      <w:rPr>
        <w:rFonts w:ascii="Symbol" w:hAnsi="Symbol" w:hint="default"/>
        <w:sz w:val="20"/>
      </w:rPr>
    </w:lvl>
    <w:lvl w:ilvl="6" w:tentative="1">
      <w:start w:val="1"/>
      <w:numFmt w:val="bullet"/>
      <w:lvlText w:val=""/>
      <w:lvlJc w:val="left"/>
      <w:pPr>
        <w:tabs>
          <w:tab w:val="num" w:pos="4626"/>
        </w:tabs>
        <w:ind w:left="4626" w:hanging="360"/>
      </w:pPr>
      <w:rPr>
        <w:rFonts w:ascii="Symbol" w:hAnsi="Symbol" w:hint="default"/>
        <w:sz w:val="20"/>
      </w:rPr>
    </w:lvl>
    <w:lvl w:ilvl="7" w:tentative="1">
      <w:start w:val="1"/>
      <w:numFmt w:val="bullet"/>
      <w:lvlText w:val=""/>
      <w:lvlJc w:val="left"/>
      <w:pPr>
        <w:tabs>
          <w:tab w:val="num" w:pos="5346"/>
        </w:tabs>
        <w:ind w:left="5346" w:hanging="360"/>
      </w:pPr>
      <w:rPr>
        <w:rFonts w:ascii="Symbol" w:hAnsi="Symbol" w:hint="default"/>
        <w:sz w:val="20"/>
      </w:rPr>
    </w:lvl>
    <w:lvl w:ilvl="8" w:tentative="1">
      <w:start w:val="1"/>
      <w:numFmt w:val="bullet"/>
      <w:lvlText w:val=""/>
      <w:lvlJc w:val="left"/>
      <w:pPr>
        <w:tabs>
          <w:tab w:val="num" w:pos="6066"/>
        </w:tabs>
        <w:ind w:left="6066" w:hanging="360"/>
      </w:pPr>
      <w:rPr>
        <w:rFonts w:ascii="Symbol" w:hAnsi="Symbol" w:hint="default"/>
        <w:sz w:val="20"/>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65A3E11"/>
    <w:multiLevelType w:val="hybridMultilevel"/>
    <w:tmpl w:val="88245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4A23CE"/>
    <w:multiLevelType w:val="multilevel"/>
    <w:tmpl w:val="A732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171CB"/>
    <w:multiLevelType w:val="multilevel"/>
    <w:tmpl w:val="9C24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C93AF7"/>
    <w:multiLevelType w:val="multilevel"/>
    <w:tmpl w:val="B988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5"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3011621">
    <w:abstractNumId w:val="2"/>
  </w:num>
  <w:num w:numId="2" w16cid:durableId="1635140523">
    <w:abstractNumId w:val="0"/>
  </w:num>
  <w:num w:numId="3" w16cid:durableId="1561599978">
    <w:abstractNumId w:val="3"/>
  </w:num>
  <w:num w:numId="4" w16cid:durableId="1119229056">
    <w:abstractNumId w:val="9"/>
  </w:num>
  <w:num w:numId="5" w16cid:durableId="277107479">
    <w:abstractNumId w:val="15"/>
  </w:num>
  <w:num w:numId="6" w16cid:durableId="1784033658">
    <w:abstractNumId w:val="1"/>
  </w:num>
  <w:num w:numId="7" w16cid:durableId="1574318800">
    <w:abstractNumId w:val="7"/>
  </w:num>
  <w:num w:numId="8" w16cid:durableId="1614634556">
    <w:abstractNumId w:val="8"/>
  </w:num>
  <w:num w:numId="9" w16cid:durableId="1676884462">
    <w:abstractNumId w:val="14"/>
  </w:num>
  <w:num w:numId="10" w16cid:durableId="1806772387">
    <w:abstractNumId w:val="10"/>
  </w:num>
  <w:num w:numId="11" w16cid:durableId="891574692">
    <w:abstractNumId w:val="5"/>
  </w:num>
  <w:num w:numId="12" w16cid:durableId="472987603">
    <w:abstractNumId w:val="6"/>
  </w:num>
  <w:num w:numId="13" w16cid:durableId="1728526623">
    <w:abstractNumId w:val="4"/>
  </w:num>
  <w:num w:numId="14" w16cid:durableId="1452435135">
    <w:abstractNumId w:val="11"/>
  </w:num>
  <w:num w:numId="15" w16cid:durableId="1893081968">
    <w:abstractNumId w:val="13"/>
  </w:num>
  <w:num w:numId="16" w16cid:durableId="1054081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22420"/>
    <w:rsid w:val="00040E22"/>
    <w:rsid w:val="00045340"/>
    <w:rsid w:val="00091D34"/>
    <w:rsid w:val="00196342"/>
    <w:rsid w:val="0023212C"/>
    <w:rsid w:val="0023380C"/>
    <w:rsid w:val="0026395F"/>
    <w:rsid w:val="002D4DBA"/>
    <w:rsid w:val="0037358C"/>
    <w:rsid w:val="003936F3"/>
    <w:rsid w:val="003A5D89"/>
    <w:rsid w:val="0044787D"/>
    <w:rsid w:val="00453A21"/>
    <w:rsid w:val="004A44D9"/>
    <w:rsid w:val="004B2B28"/>
    <w:rsid w:val="004B49DA"/>
    <w:rsid w:val="004D373F"/>
    <w:rsid w:val="004D5F1A"/>
    <w:rsid w:val="004F3D17"/>
    <w:rsid w:val="004F7B0D"/>
    <w:rsid w:val="00531E79"/>
    <w:rsid w:val="00595A8B"/>
    <w:rsid w:val="005F6376"/>
    <w:rsid w:val="00636F9D"/>
    <w:rsid w:val="006426EB"/>
    <w:rsid w:val="00665AC7"/>
    <w:rsid w:val="006815C9"/>
    <w:rsid w:val="0068663D"/>
    <w:rsid w:val="006E7046"/>
    <w:rsid w:val="00762C9A"/>
    <w:rsid w:val="00810B35"/>
    <w:rsid w:val="008511EC"/>
    <w:rsid w:val="00866474"/>
    <w:rsid w:val="00880449"/>
    <w:rsid w:val="00885763"/>
    <w:rsid w:val="008A5FE4"/>
    <w:rsid w:val="008E6086"/>
    <w:rsid w:val="008F1399"/>
    <w:rsid w:val="008F2C37"/>
    <w:rsid w:val="00906FA6"/>
    <w:rsid w:val="00942F43"/>
    <w:rsid w:val="00950776"/>
    <w:rsid w:val="009A0783"/>
    <w:rsid w:val="009E4D9F"/>
    <w:rsid w:val="009F41D6"/>
    <w:rsid w:val="00A20762"/>
    <w:rsid w:val="00AB3094"/>
    <w:rsid w:val="00B302E7"/>
    <w:rsid w:val="00B6067B"/>
    <w:rsid w:val="00B65C84"/>
    <w:rsid w:val="00BA41B1"/>
    <w:rsid w:val="00C1618B"/>
    <w:rsid w:val="00C24C93"/>
    <w:rsid w:val="00C90023"/>
    <w:rsid w:val="00CA6E77"/>
    <w:rsid w:val="00D058A2"/>
    <w:rsid w:val="00DD1038"/>
    <w:rsid w:val="00E13776"/>
    <w:rsid w:val="00EA74FC"/>
    <w:rsid w:val="00F01E98"/>
    <w:rsid w:val="00F127B9"/>
    <w:rsid w:val="00F2096C"/>
    <w:rsid w:val="00F5371D"/>
    <w:rsid w:val="00F97581"/>
    <w:rsid w:val="00FA72FD"/>
    <w:rsid w:val="00FD1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FA759"/>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NormalWeb">
    <w:name w:val="Normal (Web)"/>
    <w:basedOn w:val="Normal"/>
    <w:uiPriority w:val="99"/>
    <w:unhideWhenUsed/>
    <w:rsid w:val="004B49DA"/>
    <w:pPr>
      <w:spacing w:before="100" w:beforeAutospacing="1" w:after="100" w:afterAutospacing="1"/>
    </w:pPr>
    <w:rPr>
      <w:szCs w:val="24"/>
      <w:lang w:eastAsia="en-AU"/>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4B49DA"/>
    <w:pPr>
      <w:spacing w:after="160" w:line="259"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4B49DA"/>
    <w:rPr>
      <w:rFonts w:asciiTheme="minorHAnsi" w:eastAsiaTheme="minorEastAsia" w:hAnsiTheme="minorHAnsi" w:cstheme="minorBidi"/>
      <w:sz w:val="22"/>
      <w:szCs w:val="22"/>
      <w:lang w:eastAsia="en-US"/>
    </w:rPr>
  </w:style>
  <w:style w:type="paragraph" w:customStyle="1" w:styleId="listparagraph0">
    <w:name w:val="listparagraph"/>
    <w:basedOn w:val="Normal"/>
    <w:rsid w:val="006426EB"/>
    <w:pPr>
      <w:spacing w:before="100" w:beforeAutospacing="1" w:after="100" w:afterAutospacing="1"/>
    </w:pPr>
    <w:rPr>
      <w:szCs w:val="24"/>
      <w:lang w:eastAsia="en-AU"/>
    </w:rPr>
  </w:style>
  <w:style w:type="character" w:customStyle="1" w:styleId="Hyperlink1">
    <w:name w:val="Hyperlink1"/>
    <w:basedOn w:val="DefaultParagraphFont"/>
    <w:rsid w:val="004B2B28"/>
  </w:style>
  <w:style w:type="paragraph" w:styleId="Revision">
    <w:name w:val="Revision"/>
    <w:hidden/>
    <w:uiPriority w:val="99"/>
    <w:semiHidden/>
    <w:rsid w:val="00E13776"/>
    <w:rPr>
      <w:sz w:val="24"/>
      <w:lang w:eastAsia="en-US"/>
    </w:rPr>
  </w:style>
  <w:style w:type="character" w:styleId="CommentReference">
    <w:name w:val="annotation reference"/>
    <w:basedOn w:val="DefaultParagraphFont"/>
    <w:uiPriority w:val="99"/>
    <w:semiHidden/>
    <w:unhideWhenUsed/>
    <w:rsid w:val="00810B35"/>
    <w:rPr>
      <w:sz w:val="16"/>
      <w:szCs w:val="16"/>
    </w:rPr>
  </w:style>
  <w:style w:type="paragraph" w:styleId="CommentText">
    <w:name w:val="annotation text"/>
    <w:basedOn w:val="Normal"/>
    <w:link w:val="CommentTextChar"/>
    <w:uiPriority w:val="99"/>
    <w:unhideWhenUsed/>
    <w:rsid w:val="00810B35"/>
    <w:rPr>
      <w:sz w:val="20"/>
    </w:rPr>
  </w:style>
  <w:style w:type="character" w:customStyle="1" w:styleId="CommentTextChar">
    <w:name w:val="Comment Text Char"/>
    <w:basedOn w:val="DefaultParagraphFont"/>
    <w:link w:val="CommentText"/>
    <w:uiPriority w:val="99"/>
    <w:rsid w:val="00810B35"/>
    <w:rPr>
      <w:lang w:eastAsia="en-US"/>
    </w:rPr>
  </w:style>
  <w:style w:type="paragraph" w:styleId="CommentSubject">
    <w:name w:val="annotation subject"/>
    <w:basedOn w:val="CommentText"/>
    <w:next w:val="CommentText"/>
    <w:link w:val="CommentSubjectChar"/>
    <w:uiPriority w:val="99"/>
    <w:semiHidden/>
    <w:unhideWhenUsed/>
    <w:rsid w:val="00810B35"/>
    <w:rPr>
      <w:b/>
      <w:bCs/>
    </w:rPr>
  </w:style>
  <w:style w:type="character" w:customStyle="1" w:styleId="CommentSubjectChar">
    <w:name w:val="Comment Subject Char"/>
    <w:basedOn w:val="CommentTextChar"/>
    <w:link w:val="CommentSubject"/>
    <w:uiPriority w:val="99"/>
    <w:semiHidden/>
    <w:rsid w:val="00810B35"/>
    <w:rPr>
      <w:b/>
      <w:bCs/>
      <w:lang w:eastAsia="en-US"/>
    </w:rPr>
  </w:style>
  <w:style w:type="paragraph" w:customStyle="1" w:styleId="bodytext">
    <w:name w:val="bodytext"/>
    <w:basedOn w:val="Normal"/>
    <w:rsid w:val="004D373F"/>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5713">
      <w:bodyDiv w:val="1"/>
      <w:marLeft w:val="0"/>
      <w:marRight w:val="0"/>
      <w:marTop w:val="0"/>
      <w:marBottom w:val="0"/>
      <w:divBdr>
        <w:top w:val="none" w:sz="0" w:space="0" w:color="auto"/>
        <w:left w:val="none" w:sz="0" w:space="0" w:color="auto"/>
        <w:bottom w:val="none" w:sz="0" w:space="0" w:color="auto"/>
        <w:right w:val="none" w:sz="0" w:space="0" w:color="auto"/>
      </w:divBdr>
    </w:div>
    <w:div w:id="754475465">
      <w:bodyDiv w:val="1"/>
      <w:marLeft w:val="0"/>
      <w:marRight w:val="0"/>
      <w:marTop w:val="0"/>
      <w:marBottom w:val="0"/>
      <w:divBdr>
        <w:top w:val="none" w:sz="0" w:space="0" w:color="auto"/>
        <w:left w:val="none" w:sz="0" w:space="0" w:color="auto"/>
        <w:bottom w:val="none" w:sz="0" w:space="0" w:color="auto"/>
        <w:right w:val="none" w:sz="0" w:space="0" w:color="auto"/>
      </w:divBdr>
    </w:div>
    <w:div w:id="1049569781">
      <w:bodyDiv w:val="1"/>
      <w:marLeft w:val="0"/>
      <w:marRight w:val="0"/>
      <w:marTop w:val="0"/>
      <w:marBottom w:val="0"/>
      <w:divBdr>
        <w:top w:val="none" w:sz="0" w:space="0" w:color="auto"/>
        <w:left w:val="none" w:sz="0" w:space="0" w:color="auto"/>
        <w:bottom w:val="none" w:sz="0" w:space="0" w:color="auto"/>
        <w:right w:val="none" w:sz="0" w:space="0" w:color="auto"/>
      </w:divBdr>
    </w:div>
    <w:div w:id="1051730392">
      <w:bodyDiv w:val="1"/>
      <w:marLeft w:val="0"/>
      <w:marRight w:val="0"/>
      <w:marTop w:val="0"/>
      <w:marBottom w:val="0"/>
      <w:divBdr>
        <w:top w:val="none" w:sz="0" w:space="0" w:color="auto"/>
        <w:left w:val="none" w:sz="0" w:space="0" w:color="auto"/>
        <w:bottom w:val="none" w:sz="0" w:space="0" w:color="auto"/>
        <w:right w:val="none" w:sz="0" w:space="0" w:color="auto"/>
      </w:divBdr>
    </w:div>
    <w:div w:id="1372614460">
      <w:bodyDiv w:val="1"/>
      <w:marLeft w:val="0"/>
      <w:marRight w:val="0"/>
      <w:marTop w:val="0"/>
      <w:marBottom w:val="0"/>
      <w:divBdr>
        <w:top w:val="none" w:sz="0" w:space="0" w:color="auto"/>
        <w:left w:val="none" w:sz="0" w:space="0" w:color="auto"/>
        <w:bottom w:val="none" w:sz="0" w:space="0" w:color="auto"/>
        <w:right w:val="none" w:sz="0" w:space="0" w:color="auto"/>
      </w:divBdr>
    </w:div>
    <w:div w:id="1444114808">
      <w:bodyDiv w:val="1"/>
      <w:marLeft w:val="0"/>
      <w:marRight w:val="0"/>
      <w:marTop w:val="0"/>
      <w:marBottom w:val="0"/>
      <w:divBdr>
        <w:top w:val="none" w:sz="0" w:space="0" w:color="auto"/>
        <w:left w:val="none" w:sz="0" w:space="0" w:color="auto"/>
        <w:bottom w:val="none" w:sz="0" w:space="0" w:color="auto"/>
        <w:right w:val="none" w:sz="0" w:space="0" w:color="auto"/>
      </w:divBdr>
    </w:div>
    <w:div w:id="14671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accesscanberra.act.gov.au/legacy/3062/Building%20and%20construction%20services%20compliance%20framework.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A46593213</value>
    </field>
    <field name="Objective-Title">
      <value order="0">Attachment B - Revised Explanatory Statement - Magistrates Court (Building Infringement Notices) Amendment Regulation 2024</value>
    </field>
    <field name="Objective-Description">
      <value order="0"/>
    </field>
    <field name="Objective-CreationStamp">
      <value order="0">2024-05-14T03:47:44Z</value>
    </field>
    <field name="Objective-IsApproved">
      <value order="0">false</value>
    </field>
    <field name="Objective-IsPublished">
      <value order="0">true</value>
    </field>
    <field name="Objective-DatePublished">
      <value order="0">2024-05-21T00:50:17Z</value>
    </field>
    <field name="Objective-ModificationStamp">
      <value order="0">2024-05-21T00:50:17Z</value>
    </field>
    <field name="Objective-Owner">
      <value order="0">Amy Kingham</value>
    </field>
    <field name="Objective-Path">
      <value order="0">Whole of ACT Government:EPSDD - Environment Planning and Sustainable Development Directorate:07. Ministerial, Cabinet and Government Relations:06. Ministerials:z. 2013 - 2023 Ministerial and Chief Ministerial Correspondence:2023 - Ministerial and Chief Ministerial Briefs / Correspondence:Planning and Urban Policy:2023:23/114994 Ministerial - Information Brief - Rattenbury/Barr - Magistrates Court (Building Infringement Notices) Amendment Regulation 2024 (No ):Scrutiny Report 41</value>
    </field>
    <field name="Objective-Parent">
      <value order="0">Scrutiny Report 41</value>
    </field>
    <field name="Objective-State">
      <value order="0">Published</value>
    </field>
    <field name="Objective-VersionId">
      <value order="0">vA58613331</value>
    </field>
    <field name="Objective-Version">
      <value order="0">4.0</value>
    </field>
    <field name="Objective-VersionNumber">
      <value order="0">4</value>
    </field>
    <field name="Objective-VersionComment">
      <value order="0"/>
    </field>
    <field name="Objective-FileNumber">
      <value order="0">1-2023/114994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Grant, Rachel</cp:lastModifiedBy>
  <cp:revision>2</cp:revision>
  <cp:lastPrinted>2006-03-31T04:28:00Z</cp:lastPrinted>
  <dcterms:created xsi:type="dcterms:W3CDTF">2024-06-02T23:04:00Z</dcterms:created>
  <dcterms:modified xsi:type="dcterms:W3CDTF">2024-06-02T23:04:00Z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A46593213</vt:lpwstr>
  </property>
  <property fmtid="{D5CDD505-2E9C-101B-9397-08002B2CF9AE}" pid="4" name="Objective-Title">
    <vt:lpwstr>Attachment B - Revised Explanatory Statement - Magistrates Court (Building Infringement Notices) Amendment Regulation 2024</vt:lpwstr>
  </property>
  <property fmtid="{D5CDD505-2E9C-101B-9397-08002B2CF9AE}" pid="5" name="Objective-Description">
    <vt:lpwstr/>
  </property>
  <property fmtid="{D5CDD505-2E9C-101B-9397-08002B2CF9AE}" pid="6" name="Objective-CreationStamp">
    <vt:filetime>2024-05-14T03:47:44Z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2024-05-21T00:50:17Z</vt:filetime>
  </property>
  <property fmtid="{D5CDD505-2E9C-101B-9397-08002B2CF9AE}" pid="10" name="Objective-ModificationStamp">
    <vt:filetime>2024-05-21T00:50:17Z</vt:filetime>
  </property>
  <property fmtid="{D5CDD505-2E9C-101B-9397-08002B2CF9AE}" pid="11" name="Objective-Owner">
    <vt:lpwstr>Amy Kingham</vt:lpwstr>
  </property>
  <property fmtid="{D5CDD505-2E9C-101B-9397-08002B2CF9AE}" pid="12" name="Objective-Path">
    <vt:lpwstr>Whole of ACT Government:EPSDD - Environment Planning and Sustainable Development Directorate:07. Ministerial, Cabinet and Government Relations:06. Ministerials:z. 2013 - 2023 Ministerial and Chief Ministerial Correspondence:2023 - Ministerial and Chief Ministerial Briefs / Correspondence:Planning and Urban Policy:2023:23/114994 Ministerial - Information Brief - Rattenbury/Barr - Magistrates Court (Building Infringement Notices) Amendment Regulation 2024 (No ):Scrutiny Report 41:</vt:lpwstr>
  </property>
  <property fmtid="{D5CDD505-2E9C-101B-9397-08002B2CF9AE}" pid="13" name="Objective-Parent">
    <vt:lpwstr>Scrutiny Report 41</vt:lpwstr>
  </property>
  <property fmtid="{D5CDD505-2E9C-101B-9397-08002B2CF9AE}" pid="14" name="Objective-State">
    <vt:lpwstr>Published</vt:lpwstr>
  </property>
  <property fmtid="{D5CDD505-2E9C-101B-9397-08002B2CF9AE}" pid="15" name="Objective-VersionId">
    <vt:lpwstr>vA58613331</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1-2023/114994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2024-05-14T03:47:49Z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80a67876-6ecf-45fb-a228-d86719682ecb</vt:lpwstr>
  </property>
  <property fmtid="{D5CDD505-2E9C-101B-9397-08002B2CF9AE}" pid="40" name="MSIP_Label_69af8531-eb46-4968-8cb3-105d2f5ea87e_ContentBits">
    <vt:lpwstr>0</vt:lpwstr>
  </property>
</Properties>
</file>