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0B6D94" w:rsidRDefault="00C02510" w:rsidP="00FE46F2">
      <w:pPr>
        <w:pStyle w:val="Cover-Committeename"/>
        <w:ind w:left="1701" w:right="1106"/>
      </w:pPr>
      <w:bookmarkStart w:id="0" w:name="_Toc79133346"/>
      <w:r w:rsidRPr="000B6D94">
        <w:t>Standing Committee on</w:t>
      </w:r>
      <w:r w:rsidR="00FE46F2" w:rsidRPr="000B6D94">
        <w:t xml:space="preserve"> Justice and Community Safety (Legislative Scrutiny Role)</w:t>
      </w:r>
    </w:p>
    <w:p w14:paraId="6F1D36AD" w14:textId="49A27F21" w:rsidR="00A23A3E" w:rsidRPr="000B6D94" w:rsidRDefault="00FE46F2" w:rsidP="00C8358A">
      <w:pPr>
        <w:pStyle w:val="Title"/>
        <w:sectPr w:rsidR="00A23A3E" w:rsidRPr="000B6D94"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0B6D94">
        <w:t xml:space="preserve">Scrutiny Report </w:t>
      </w:r>
      <w:r w:rsidR="001C68F3" w:rsidRPr="000B6D94">
        <w:t>2</w:t>
      </w:r>
      <w:r w:rsidR="0078109B">
        <w:t>2</w:t>
      </w:r>
    </w:p>
    <w:p w14:paraId="348D1164" w14:textId="2A8AD5BC" w:rsidR="00A23A3E" w:rsidRPr="000B6D94" w:rsidRDefault="00123781" w:rsidP="009F5A83">
      <w:pPr>
        <w:pStyle w:val="Heading1nonumber"/>
      </w:pPr>
      <w:bookmarkStart w:id="1" w:name="_Toc116900141"/>
      <w:r w:rsidRPr="000B6D94">
        <w:lastRenderedPageBreak/>
        <w:t>About the</w:t>
      </w:r>
      <w:r w:rsidR="00A23A3E" w:rsidRPr="000B6D94">
        <w:t xml:space="preserve"> committee</w:t>
      </w:r>
      <w:bookmarkEnd w:id="1"/>
    </w:p>
    <w:p w14:paraId="5F0FD841" w14:textId="4E43C4A1" w:rsidR="00123781" w:rsidRPr="000B6D94" w:rsidRDefault="00D23E3A" w:rsidP="000A694C">
      <w:pPr>
        <w:pStyle w:val="Heading2"/>
      </w:pPr>
      <w:bookmarkStart w:id="2" w:name="_Toc116900142"/>
      <w:r w:rsidRPr="000B6D94">
        <w:t>Establishing resolution</w:t>
      </w:r>
      <w:bookmarkEnd w:id="2"/>
    </w:p>
    <w:p w14:paraId="12BE434B" w14:textId="6AE1D1BC" w:rsidR="00024F1A" w:rsidRPr="000B6D94" w:rsidRDefault="00123781" w:rsidP="00123781">
      <w:r w:rsidRPr="000B6D94">
        <w:t xml:space="preserve">The Assembly established </w:t>
      </w:r>
      <w:r w:rsidR="00024F1A" w:rsidRPr="000B6D94">
        <w:t>the</w:t>
      </w:r>
      <w:r w:rsidRPr="000B6D94">
        <w:t xml:space="preserve"> </w:t>
      </w:r>
      <w:fldSimple w:instr=" STYLEREF  &quot;Cover - Committee name&quot;  \* MERGEFORMAT ">
        <w:r w:rsidR="0007703D">
          <w:rPr>
            <w:noProof/>
          </w:rPr>
          <w:t>Standing Committee on Justice and Community Safety (Legislative Scrutiny Role)</w:t>
        </w:r>
      </w:fldSimple>
      <w:r w:rsidRPr="000B6D94">
        <w:t xml:space="preserve"> on 2 December 2020. </w:t>
      </w:r>
    </w:p>
    <w:p w14:paraId="64CBB1EF" w14:textId="06545F2A" w:rsidR="005D0971" w:rsidRPr="000B6D94" w:rsidRDefault="00024F1A" w:rsidP="005D0971">
      <w:pPr>
        <w:spacing w:after="120"/>
      </w:pPr>
      <w:r w:rsidRPr="000B6D94">
        <w:t>The Committee is responsible for the following areas</w:t>
      </w:r>
      <w:r w:rsidR="005D0971" w:rsidRPr="000B6D94">
        <w:t>:</w:t>
      </w:r>
    </w:p>
    <w:p w14:paraId="016248E4" w14:textId="77777777" w:rsidR="00FB72F9" w:rsidRPr="000B6D94" w:rsidRDefault="00FB72F9" w:rsidP="00FB72F9">
      <w:pPr>
        <w:keepNext/>
        <w:keepLines/>
        <w:tabs>
          <w:tab w:val="left" w:pos="567"/>
        </w:tabs>
        <w:spacing w:before="60" w:after="60"/>
        <w:ind w:left="1134" w:hanging="567"/>
        <w:rPr>
          <w:rFonts w:ascii="Calibri" w:hAnsi="Calibri"/>
        </w:rPr>
      </w:pPr>
      <w:r w:rsidRPr="000B6D94">
        <w:rPr>
          <w:rFonts w:ascii="Calibri" w:hAnsi="Calibri"/>
        </w:rPr>
        <w:t>(10)</w:t>
      </w:r>
      <w:r w:rsidRPr="000B6D94">
        <w:rPr>
          <w:rFonts w:ascii="Calibri" w:hAnsi="Calibri"/>
        </w:rPr>
        <w:tab/>
        <w:t>the Standing Committee on Justice and Community Safety is also to perform a legislative scrutiny role of bills and subordinate legislation by:</w:t>
      </w:r>
    </w:p>
    <w:p w14:paraId="3292F9CB" w14:textId="77777777" w:rsidR="00FB72F9" w:rsidRPr="000B6D94" w:rsidRDefault="00FB72F9" w:rsidP="00FB72F9">
      <w:pPr>
        <w:keepNext/>
        <w:keepLines/>
        <w:tabs>
          <w:tab w:val="left" w:pos="567"/>
        </w:tabs>
        <w:spacing w:before="60" w:after="60"/>
        <w:ind w:left="1701" w:hanging="567"/>
        <w:rPr>
          <w:rFonts w:ascii="Calibri" w:hAnsi="Calibri"/>
        </w:rPr>
      </w:pPr>
      <w:r w:rsidRPr="000B6D94">
        <w:rPr>
          <w:rFonts w:ascii="Calibri" w:hAnsi="Calibri"/>
        </w:rPr>
        <w:t>(a)</w:t>
      </w:r>
      <w:r w:rsidRPr="000B6D94">
        <w:rPr>
          <w:rFonts w:ascii="Calibri" w:hAnsi="Calibri"/>
        </w:rPr>
        <w:tab/>
        <w:t>considering whether the clauses of bills (and amendments proposed by the Government to its own bills) introduced into the Assembly:</w:t>
      </w:r>
    </w:p>
    <w:p w14:paraId="4B85A59B" w14:textId="77777777" w:rsidR="00FB72F9" w:rsidRPr="000B6D94" w:rsidRDefault="00FB72F9" w:rsidP="00FB72F9">
      <w:pPr>
        <w:keepNext/>
        <w:keepLines/>
        <w:spacing w:before="60" w:after="60"/>
        <w:ind w:left="2268" w:hanging="567"/>
        <w:rPr>
          <w:rFonts w:ascii="Calibri" w:hAnsi="Calibri"/>
        </w:rPr>
      </w:pPr>
      <w:r w:rsidRPr="000B6D94">
        <w:rPr>
          <w:rFonts w:ascii="Calibri" w:hAnsi="Calibri"/>
        </w:rPr>
        <w:t>(i)</w:t>
      </w:r>
      <w:r w:rsidRPr="000B6D94">
        <w:rPr>
          <w:rFonts w:ascii="Calibri" w:hAnsi="Calibri"/>
        </w:rPr>
        <w:tab/>
        <w:t>unduly trespass on personal rights and liberties;</w:t>
      </w:r>
    </w:p>
    <w:p w14:paraId="612F0DE0"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make rights, liberties and/or obligations unduly dependent upon insufficiently defined administrative powers;</w:t>
      </w:r>
    </w:p>
    <w:p w14:paraId="6534355F"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 rights, liberties and/or obligations unduly dependent upon non-reviewable decisions;</w:t>
      </w:r>
    </w:p>
    <w:p w14:paraId="1EF0660A"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inappropriately delegate legislative powers; or</w:t>
      </w:r>
    </w:p>
    <w:p w14:paraId="07875006" w14:textId="77777777" w:rsidR="00FB72F9" w:rsidRPr="000B6D94" w:rsidRDefault="00FB72F9" w:rsidP="00FB72F9">
      <w:pPr>
        <w:spacing w:before="60" w:after="60"/>
        <w:ind w:left="2268" w:hanging="567"/>
        <w:rPr>
          <w:rFonts w:ascii="Calibri" w:hAnsi="Calibri"/>
        </w:rPr>
      </w:pPr>
      <w:r w:rsidRPr="000B6D94">
        <w:rPr>
          <w:rFonts w:ascii="Calibri" w:hAnsi="Calibri"/>
        </w:rPr>
        <w:t>(v)</w:t>
      </w:r>
      <w:r w:rsidRPr="000B6D94">
        <w:rPr>
          <w:rFonts w:ascii="Calibri" w:hAnsi="Calibri"/>
        </w:rPr>
        <w:tab/>
        <w:t>insufficiently subject the exercise of legislative power to parliamentary scrutiny; and</w:t>
      </w:r>
    </w:p>
    <w:p w14:paraId="6D15A71B" w14:textId="77777777" w:rsidR="00FB72F9" w:rsidRPr="000B6D94" w:rsidRDefault="00FB72F9" w:rsidP="00FB72F9">
      <w:pPr>
        <w:spacing w:before="60" w:after="60"/>
        <w:ind w:left="2268" w:hanging="567"/>
        <w:rPr>
          <w:rFonts w:ascii="Calibri" w:hAnsi="Calibri"/>
        </w:rPr>
      </w:pPr>
      <w:r w:rsidRPr="000B6D94">
        <w:rPr>
          <w:rFonts w:ascii="Calibri" w:hAnsi="Calibri"/>
        </w:rPr>
        <w:t>(vi)</w:t>
      </w:r>
      <w:r w:rsidRPr="000B6D94">
        <w:rPr>
          <w:rFonts w:ascii="Calibri" w:hAnsi="Calibri"/>
        </w:rPr>
        <w:tab/>
        <w:t>consider whether any explanatory statement associated with legislation meets the technical or stylistic standards expected by the Assembly;</w:t>
      </w:r>
    </w:p>
    <w:p w14:paraId="72B8A819"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(b)</w:t>
      </w:r>
      <w:r w:rsidRPr="000B6D94">
        <w:rPr>
          <w:rFonts w:ascii="Calibri" w:hAnsi="Calibri"/>
        </w:rPr>
        <w:tab/>
        <w:t xml:space="preserve">reporting to the Legislative Assembly about human rights issues raised by bills presented to the Assembly pursuant to section 38 of the </w:t>
      </w:r>
      <w:r w:rsidRPr="000B6D94">
        <w:rPr>
          <w:rFonts w:ascii="Calibri" w:hAnsi="Calibri"/>
          <w:i/>
        </w:rPr>
        <w:t>Human Rights Act 2004</w:t>
      </w:r>
      <w:r w:rsidRPr="000B6D94">
        <w:rPr>
          <w:rFonts w:ascii="Calibri" w:hAnsi="Calibri"/>
        </w:rPr>
        <w:t xml:space="preserve">; </w:t>
      </w:r>
    </w:p>
    <w:p w14:paraId="3115B980"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(c)</w:t>
      </w:r>
      <w:r w:rsidRPr="000B6D94">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0B6D94" w:rsidRDefault="00FB72F9" w:rsidP="00FB72F9">
      <w:pPr>
        <w:spacing w:before="60" w:after="60"/>
        <w:ind w:left="2268" w:hanging="567"/>
        <w:rPr>
          <w:rFonts w:ascii="Calibri" w:hAnsi="Calibri"/>
        </w:rPr>
      </w:pPr>
      <w:r w:rsidRPr="000B6D94">
        <w:rPr>
          <w:rFonts w:ascii="Calibri" w:hAnsi="Calibri"/>
        </w:rPr>
        <w:t>(i)</w:t>
      </w:r>
      <w:r w:rsidRPr="000B6D94">
        <w:rPr>
          <w:rFonts w:ascii="Calibri" w:hAnsi="Calibri"/>
        </w:rPr>
        <w:tab/>
        <w:t>is in accord with the general objects of the Act under which it is made;</w:t>
      </w:r>
    </w:p>
    <w:p w14:paraId="4DECAE2E"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unduly trespasses on rights previously established by law;</w:t>
      </w:r>
    </w:p>
    <w:p w14:paraId="0BE2EC9C"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makes rights, liberties and/or obligations unduly dependent upon non-reviewable decisions; or</w:t>
      </w:r>
    </w:p>
    <w:p w14:paraId="1B9BE49B"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contains matter which in the opinion of the Committee should properly be dealt with in an Act of the Legislative Assembly; and</w:t>
      </w:r>
    </w:p>
    <w:p w14:paraId="469DD02C"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(d)</w:t>
      </w:r>
      <w:r w:rsidRPr="000B6D94">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6DAE11D" w:rsidR="007A7A8B" w:rsidRPr="000B6D94" w:rsidRDefault="007A7A8B" w:rsidP="007A7A8B">
      <w:pPr>
        <w:spacing w:before="120"/>
      </w:pPr>
      <w:r w:rsidRPr="000B6D94">
        <w:t xml:space="preserve">You can read the full establishing resolution </w:t>
      </w:r>
      <w:hyperlink r:id="rId14" w:history="1">
        <w:r w:rsidRPr="000B6D94">
          <w:rPr>
            <w:rStyle w:val="Hyperlink"/>
          </w:rPr>
          <w:t>on our website.</w:t>
        </w:r>
      </w:hyperlink>
    </w:p>
    <w:p w14:paraId="595A8310" w14:textId="686FEB4A" w:rsidR="00A23A3E" w:rsidRPr="000B6D94" w:rsidRDefault="00A23A3E" w:rsidP="000A694C">
      <w:pPr>
        <w:pStyle w:val="Heading2"/>
      </w:pPr>
      <w:bookmarkStart w:id="3" w:name="_Toc116900143"/>
      <w:r w:rsidRPr="000B6D94">
        <w:lastRenderedPageBreak/>
        <w:t>Committee members</w:t>
      </w:r>
      <w:bookmarkEnd w:id="3"/>
    </w:p>
    <w:p w14:paraId="260B7CE2" w14:textId="6A0F5F28" w:rsidR="00A23A3E" w:rsidRPr="000B6D94" w:rsidRDefault="00250DD6" w:rsidP="00AF7746">
      <w:pPr>
        <w:pStyle w:val="List"/>
        <w:keepNext/>
      </w:pPr>
      <w:r w:rsidRPr="000B6D94">
        <w:t>Peter Cain</w:t>
      </w:r>
      <w:r w:rsidR="00A23A3E" w:rsidRPr="000B6D94">
        <w:t xml:space="preserve"> MLA, Chair</w:t>
      </w:r>
    </w:p>
    <w:p w14:paraId="365287C2" w14:textId="710EEF31" w:rsidR="00A23A3E" w:rsidRPr="000B6D94" w:rsidRDefault="00AF7746" w:rsidP="00A23A3E">
      <w:pPr>
        <w:pStyle w:val="List"/>
      </w:pPr>
      <w:r w:rsidRPr="000B6D94">
        <w:t>Marisa Paterson</w:t>
      </w:r>
      <w:r w:rsidR="00A23A3E" w:rsidRPr="000B6D94">
        <w:t xml:space="preserve"> MLA, Deputy Chair</w:t>
      </w:r>
    </w:p>
    <w:p w14:paraId="0F3B365B" w14:textId="6FEDBA64" w:rsidR="00A23A3E" w:rsidRPr="000B6D94" w:rsidRDefault="00AF7746" w:rsidP="00A23A3E">
      <w:pPr>
        <w:pStyle w:val="List"/>
      </w:pPr>
      <w:r w:rsidRPr="000B6D94">
        <w:t xml:space="preserve">Andrew Braddock </w:t>
      </w:r>
      <w:r w:rsidR="00A23A3E" w:rsidRPr="000B6D94">
        <w:t>MLA</w:t>
      </w:r>
    </w:p>
    <w:p w14:paraId="4764FEB1" w14:textId="764355CB" w:rsidR="00A23A3E" w:rsidRPr="000B6D94" w:rsidRDefault="00A23A3E" w:rsidP="000A694C">
      <w:pPr>
        <w:pStyle w:val="Heading2"/>
      </w:pPr>
      <w:bookmarkStart w:id="4" w:name="_Toc116900144"/>
      <w:r w:rsidRPr="000B6D94">
        <w:t>Secretariat</w:t>
      </w:r>
      <w:bookmarkEnd w:id="4"/>
    </w:p>
    <w:p w14:paraId="60E943B6" w14:textId="78E480B3" w:rsidR="00A23A3E" w:rsidRPr="000B6D94" w:rsidRDefault="00250DD6" w:rsidP="00A23A3E">
      <w:pPr>
        <w:pStyle w:val="List"/>
      </w:pPr>
      <w:r w:rsidRPr="000B6D94">
        <w:t>Kathleen de Kleuver</w:t>
      </w:r>
      <w:r w:rsidR="00A23A3E" w:rsidRPr="000B6D94">
        <w:t xml:space="preserve">, </w:t>
      </w:r>
      <w:r w:rsidR="00AF7746" w:rsidRPr="000B6D94">
        <w:t>Committee Secretary</w:t>
      </w:r>
    </w:p>
    <w:p w14:paraId="7ACA1BA4" w14:textId="1EA4BF76" w:rsidR="006B0503" w:rsidRPr="000B6D94" w:rsidRDefault="001E1803" w:rsidP="00A23A3E">
      <w:pPr>
        <w:pStyle w:val="List"/>
      </w:pPr>
      <w:r w:rsidRPr="000B6D94">
        <w:t>Emma-Kate Weaver</w:t>
      </w:r>
      <w:r w:rsidR="006B0503" w:rsidRPr="000B6D94">
        <w:t xml:space="preserve">, </w:t>
      </w:r>
      <w:r w:rsidR="001C68F3" w:rsidRPr="000B6D94">
        <w:t xml:space="preserve">Administration Officer </w:t>
      </w:r>
    </w:p>
    <w:p w14:paraId="671A7017" w14:textId="76F070F6" w:rsidR="00A23A3E" w:rsidRPr="000B6D94" w:rsidRDefault="00AF7746" w:rsidP="00A23A3E">
      <w:pPr>
        <w:pStyle w:val="List"/>
      </w:pPr>
      <w:r w:rsidRPr="000B6D94">
        <w:t>Daniel Stewart, Legal Adviser (Bills)</w:t>
      </w:r>
    </w:p>
    <w:p w14:paraId="70D6AE7A" w14:textId="012A7AD7" w:rsidR="00AF7746" w:rsidRPr="000B6D94" w:rsidRDefault="00AF7746" w:rsidP="00A23A3E">
      <w:pPr>
        <w:pStyle w:val="List"/>
      </w:pPr>
      <w:r w:rsidRPr="000B6D94">
        <w:t>Stephen Argument, Legal Adviser (Subordinate Legislation)</w:t>
      </w:r>
    </w:p>
    <w:p w14:paraId="5BE4FC1F" w14:textId="77777777" w:rsidR="00A23A3E" w:rsidRPr="000B6D94" w:rsidRDefault="00A23A3E" w:rsidP="000A694C">
      <w:pPr>
        <w:pStyle w:val="Heading2"/>
      </w:pPr>
      <w:bookmarkStart w:id="5" w:name="_Toc116900145"/>
      <w:r w:rsidRPr="000B6D94">
        <w:t>Contact us</w:t>
      </w:r>
      <w:bookmarkEnd w:id="5"/>
    </w:p>
    <w:p w14:paraId="309C2876" w14:textId="24574D49" w:rsidR="001D22FC" w:rsidRPr="000B6D94" w:rsidRDefault="00A23A3E" w:rsidP="001D22FC">
      <w:pPr>
        <w:ind w:left="1134" w:hanging="1134"/>
      </w:pPr>
      <w:r w:rsidRPr="000B6D94">
        <w:rPr>
          <w:b/>
          <w:bCs/>
        </w:rPr>
        <w:t>Mail</w:t>
      </w:r>
      <w:r w:rsidRPr="000B6D94">
        <w:tab/>
      </w:r>
      <w:fldSimple w:instr=" STYLEREF  &quot;Cover - Committee name&quot;  \* MERGEFORMAT ">
        <w:r w:rsidR="0007703D">
          <w:rPr>
            <w:noProof/>
          </w:rPr>
          <w:t>Standing Committee on Justice and Community Safety (Legislative Scrutiny Role)</w:t>
        </w:r>
      </w:fldSimple>
      <w:r w:rsidR="001D22FC" w:rsidRPr="000B6D94">
        <w:br/>
        <w:t>Legislative Assembly for the Australian Capital Territory</w:t>
      </w:r>
      <w:r w:rsidR="001D22FC" w:rsidRPr="000B6D94">
        <w:br/>
        <w:t>GPO Box 1020</w:t>
      </w:r>
      <w:r w:rsidR="001D22FC" w:rsidRPr="000B6D94">
        <w:br/>
        <w:t>CANBERRA ACT 2601</w:t>
      </w:r>
    </w:p>
    <w:p w14:paraId="664A1C88" w14:textId="4F9A06D1" w:rsidR="001D22FC" w:rsidRPr="000B6D94" w:rsidRDefault="001D22FC" w:rsidP="001D22FC">
      <w:pPr>
        <w:ind w:left="1134" w:hanging="1134"/>
      </w:pPr>
      <w:r w:rsidRPr="000B6D94">
        <w:rPr>
          <w:b/>
          <w:bCs/>
        </w:rPr>
        <w:t>Phone</w:t>
      </w:r>
      <w:r w:rsidRPr="000B6D94">
        <w:rPr>
          <w:b/>
          <w:bCs/>
        </w:rPr>
        <w:tab/>
      </w:r>
      <w:r w:rsidRPr="000B6D94">
        <w:t>(02) 620</w:t>
      </w:r>
      <w:r w:rsidR="00AF7746" w:rsidRPr="000B6D94">
        <w:t>5 0171</w:t>
      </w:r>
    </w:p>
    <w:p w14:paraId="3A6B4157" w14:textId="31C83397" w:rsidR="001D22FC" w:rsidRPr="000B6D94" w:rsidRDefault="001D22FC" w:rsidP="001D22FC">
      <w:pPr>
        <w:ind w:left="1134" w:hanging="1134"/>
      </w:pPr>
      <w:r w:rsidRPr="000B6D94">
        <w:rPr>
          <w:b/>
          <w:bCs/>
        </w:rPr>
        <w:t>Email</w:t>
      </w:r>
      <w:r w:rsidRPr="000B6D94">
        <w:tab/>
      </w:r>
      <w:hyperlink r:id="rId15" w:history="1">
        <w:r w:rsidR="00AF7746" w:rsidRPr="000B6D94">
          <w:rPr>
            <w:rStyle w:val="Hyperlink"/>
          </w:rPr>
          <w:t>scrutiny@parliament.act.gov.au</w:t>
        </w:r>
      </w:hyperlink>
      <w:r w:rsidR="00AF7746" w:rsidRPr="000B6D94">
        <w:t xml:space="preserve"> </w:t>
      </w:r>
    </w:p>
    <w:p w14:paraId="27F322AD" w14:textId="14980520" w:rsidR="00ED3906" w:rsidRPr="000B6D94" w:rsidRDefault="001D22FC" w:rsidP="00123781">
      <w:pPr>
        <w:spacing w:line="259" w:lineRule="auto"/>
        <w:ind w:left="1134" w:hanging="1134"/>
      </w:pPr>
      <w:r w:rsidRPr="000B6D94">
        <w:rPr>
          <w:b/>
          <w:bCs/>
        </w:rPr>
        <w:t>Website</w:t>
      </w:r>
      <w:r w:rsidR="00123781" w:rsidRPr="000B6D94">
        <w:rPr>
          <w:b/>
          <w:bCs/>
        </w:rPr>
        <w:tab/>
      </w:r>
      <w:hyperlink r:id="rId16" w:history="1">
        <w:r w:rsidRPr="000B6D94">
          <w:rPr>
            <w:rStyle w:val="Hyperlink"/>
          </w:rPr>
          <w:t>parliament.act.gov.au/parliamentary-business/in-committees</w:t>
        </w:r>
      </w:hyperlink>
    </w:p>
    <w:p w14:paraId="34360D25" w14:textId="77777777" w:rsidR="00AF7746" w:rsidRPr="000B6D94" w:rsidRDefault="00AF7746" w:rsidP="000A694C">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16900146"/>
      <w:r w:rsidRPr="000B6D94">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0B6D94" w:rsidRDefault="00AF7746" w:rsidP="00AF7746">
      <w:r w:rsidRPr="000B6D94">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Pr="000B6D94" w:rsidRDefault="00ED3906">
      <w:pPr>
        <w:spacing w:line="259" w:lineRule="auto"/>
      </w:pPr>
      <w:r w:rsidRPr="000B6D94">
        <w:br w:type="page"/>
      </w:r>
    </w:p>
    <w:p w14:paraId="69B9A2DD" w14:textId="77777777" w:rsidR="00623507" w:rsidRPr="000B6D94" w:rsidRDefault="00623507">
      <w:pPr>
        <w:spacing w:line="259" w:lineRule="auto"/>
      </w:pPr>
      <w:r w:rsidRPr="000B6D94">
        <w:lastRenderedPageBreak/>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Pr="000B6D94" w:rsidRDefault="008A6130" w:rsidP="003C3CF9">
          <w:pPr>
            <w:pStyle w:val="TOCHeading"/>
          </w:pPr>
          <w:r w:rsidRPr="000B6D94">
            <w:t>Contents</w:t>
          </w:r>
        </w:p>
        <w:p w14:paraId="471B3F12" w14:textId="4B00EF39" w:rsidR="0007703D" w:rsidRDefault="008A6130">
          <w:pPr>
            <w:pStyle w:val="TOC1"/>
            <w:rPr>
              <w:rFonts w:asciiTheme="minorHAnsi" w:eastAsiaTheme="minorEastAsia" w:hAnsiTheme="minorHAnsi"/>
              <w:b w:val="0"/>
              <w:bCs w:val="0"/>
              <w:color w:val="auto"/>
              <w:w w:val="100"/>
              <w:sz w:val="22"/>
              <w:lang w:eastAsia="en-AU"/>
            </w:rPr>
          </w:pPr>
          <w:r w:rsidRPr="000B6D94">
            <w:fldChar w:fldCharType="begin"/>
          </w:r>
          <w:r w:rsidRPr="000B6D94">
            <w:instrText xml:space="preserve"> TOC \o "1-3" \h \z \u </w:instrText>
          </w:r>
          <w:r w:rsidRPr="000B6D94">
            <w:fldChar w:fldCharType="separate"/>
          </w:r>
          <w:hyperlink w:anchor="_Toc116900141" w:history="1">
            <w:r w:rsidR="0007703D" w:rsidRPr="0097591A">
              <w:rPr>
                <w:rStyle w:val="Hyperlink"/>
              </w:rPr>
              <w:t>About the committee</w:t>
            </w:r>
            <w:r w:rsidR="0007703D">
              <w:rPr>
                <w:webHidden/>
              </w:rPr>
              <w:tab/>
            </w:r>
            <w:r w:rsidR="0007703D">
              <w:rPr>
                <w:webHidden/>
              </w:rPr>
              <w:fldChar w:fldCharType="begin"/>
            </w:r>
            <w:r w:rsidR="0007703D">
              <w:rPr>
                <w:webHidden/>
              </w:rPr>
              <w:instrText xml:space="preserve"> PAGEREF _Toc116900141 \h </w:instrText>
            </w:r>
            <w:r w:rsidR="0007703D">
              <w:rPr>
                <w:webHidden/>
              </w:rPr>
            </w:r>
            <w:r w:rsidR="0007703D">
              <w:rPr>
                <w:webHidden/>
              </w:rPr>
              <w:fldChar w:fldCharType="separate"/>
            </w:r>
            <w:r w:rsidR="0007703D">
              <w:rPr>
                <w:webHidden/>
              </w:rPr>
              <w:t>i</w:t>
            </w:r>
            <w:r w:rsidR="0007703D">
              <w:rPr>
                <w:webHidden/>
              </w:rPr>
              <w:fldChar w:fldCharType="end"/>
            </w:r>
          </w:hyperlink>
        </w:p>
        <w:p w14:paraId="7B4F5DEB" w14:textId="0712A353" w:rsidR="0007703D" w:rsidRDefault="0007703D">
          <w:pPr>
            <w:pStyle w:val="TOC2"/>
            <w:rPr>
              <w:rFonts w:eastAsiaTheme="minorEastAsia"/>
              <w:lang w:eastAsia="en-AU"/>
            </w:rPr>
          </w:pPr>
          <w:hyperlink w:anchor="_Toc116900142" w:history="1">
            <w:r w:rsidRPr="0097591A">
              <w:rPr>
                <w:rStyle w:val="Hyperlink"/>
              </w:rPr>
              <w:t>Establishing resolution</w:t>
            </w:r>
            <w:r>
              <w:rPr>
                <w:webHidden/>
              </w:rPr>
              <w:tab/>
            </w:r>
            <w:r>
              <w:rPr>
                <w:webHidden/>
              </w:rPr>
              <w:fldChar w:fldCharType="begin"/>
            </w:r>
            <w:r>
              <w:rPr>
                <w:webHidden/>
              </w:rPr>
              <w:instrText xml:space="preserve"> PAGEREF _Toc116900142 \h </w:instrText>
            </w:r>
            <w:r>
              <w:rPr>
                <w:webHidden/>
              </w:rPr>
            </w:r>
            <w:r>
              <w:rPr>
                <w:webHidden/>
              </w:rPr>
              <w:fldChar w:fldCharType="separate"/>
            </w:r>
            <w:r>
              <w:rPr>
                <w:webHidden/>
              </w:rPr>
              <w:t>i</w:t>
            </w:r>
            <w:r>
              <w:rPr>
                <w:webHidden/>
              </w:rPr>
              <w:fldChar w:fldCharType="end"/>
            </w:r>
          </w:hyperlink>
        </w:p>
        <w:p w14:paraId="2ED2EC0B" w14:textId="1AF329DA" w:rsidR="0007703D" w:rsidRDefault="0007703D">
          <w:pPr>
            <w:pStyle w:val="TOC2"/>
            <w:rPr>
              <w:rFonts w:eastAsiaTheme="minorEastAsia"/>
              <w:lang w:eastAsia="en-AU"/>
            </w:rPr>
          </w:pPr>
          <w:hyperlink w:anchor="_Toc116900143" w:history="1">
            <w:r w:rsidRPr="0097591A">
              <w:rPr>
                <w:rStyle w:val="Hyperlink"/>
              </w:rPr>
              <w:t>Committee members</w:t>
            </w:r>
            <w:r>
              <w:rPr>
                <w:webHidden/>
              </w:rPr>
              <w:tab/>
            </w:r>
            <w:r>
              <w:rPr>
                <w:webHidden/>
              </w:rPr>
              <w:fldChar w:fldCharType="begin"/>
            </w:r>
            <w:r>
              <w:rPr>
                <w:webHidden/>
              </w:rPr>
              <w:instrText xml:space="preserve"> PAGEREF _Toc116900143 \h </w:instrText>
            </w:r>
            <w:r>
              <w:rPr>
                <w:webHidden/>
              </w:rPr>
            </w:r>
            <w:r>
              <w:rPr>
                <w:webHidden/>
              </w:rPr>
              <w:fldChar w:fldCharType="separate"/>
            </w:r>
            <w:r>
              <w:rPr>
                <w:webHidden/>
              </w:rPr>
              <w:t>ii</w:t>
            </w:r>
            <w:r>
              <w:rPr>
                <w:webHidden/>
              </w:rPr>
              <w:fldChar w:fldCharType="end"/>
            </w:r>
          </w:hyperlink>
        </w:p>
        <w:p w14:paraId="6CB63C95" w14:textId="7FE7BF90" w:rsidR="0007703D" w:rsidRDefault="0007703D">
          <w:pPr>
            <w:pStyle w:val="TOC2"/>
            <w:rPr>
              <w:rFonts w:eastAsiaTheme="minorEastAsia"/>
              <w:lang w:eastAsia="en-AU"/>
            </w:rPr>
          </w:pPr>
          <w:hyperlink w:anchor="_Toc116900144" w:history="1">
            <w:r w:rsidRPr="0097591A">
              <w:rPr>
                <w:rStyle w:val="Hyperlink"/>
              </w:rPr>
              <w:t>Secretariat</w:t>
            </w:r>
            <w:r>
              <w:rPr>
                <w:webHidden/>
              </w:rPr>
              <w:tab/>
            </w:r>
            <w:r>
              <w:rPr>
                <w:webHidden/>
              </w:rPr>
              <w:fldChar w:fldCharType="begin"/>
            </w:r>
            <w:r>
              <w:rPr>
                <w:webHidden/>
              </w:rPr>
              <w:instrText xml:space="preserve"> PAGEREF _Toc116900144 \h </w:instrText>
            </w:r>
            <w:r>
              <w:rPr>
                <w:webHidden/>
              </w:rPr>
            </w:r>
            <w:r>
              <w:rPr>
                <w:webHidden/>
              </w:rPr>
              <w:fldChar w:fldCharType="separate"/>
            </w:r>
            <w:r>
              <w:rPr>
                <w:webHidden/>
              </w:rPr>
              <w:t>ii</w:t>
            </w:r>
            <w:r>
              <w:rPr>
                <w:webHidden/>
              </w:rPr>
              <w:fldChar w:fldCharType="end"/>
            </w:r>
          </w:hyperlink>
        </w:p>
        <w:p w14:paraId="263F111F" w14:textId="1B86F865" w:rsidR="0007703D" w:rsidRDefault="0007703D">
          <w:pPr>
            <w:pStyle w:val="TOC2"/>
            <w:rPr>
              <w:rFonts w:eastAsiaTheme="minorEastAsia"/>
              <w:lang w:eastAsia="en-AU"/>
            </w:rPr>
          </w:pPr>
          <w:hyperlink w:anchor="_Toc116900145" w:history="1">
            <w:r w:rsidRPr="0097591A">
              <w:rPr>
                <w:rStyle w:val="Hyperlink"/>
              </w:rPr>
              <w:t>Contact us</w:t>
            </w:r>
            <w:r>
              <w:rPr>
                <w:webHidden/>
              </w:rPr>
              <w:tab/>
            </w:r>
            <w:r>
              <w:rPr>
                <w:webHidden/>
              </w:rPr>
              <w:fldChar w:fldCharType="begin"/>
            </w:r>
            <w:r>
              <w:rPr>
                <w:webHidden/>
              </w:rPr>
              <w:instrText xml:space="preserve"> PAGEREF _Toc116900145 \h </w:instrText>
            </w:r>
            <w:r>
              <w:rPr>
                <w:webHidden/>
              </w:rPr>
            </w:r>
            <w:r>
              <w:rPr>
                <w:webHidden/>
              </w:rPr>
              <w:fldChar w:fldCharType="separate"/>
            </w:r>
            <w:r>
              <w:rPr>
                <w:webHidden/>
              </w:rPr>
              <w:t>ii</w:t>
            </w:r>
            <w:r>
              <w:rPr>
                <w:webHidden/>
              </w:rPr>
              <w:fldChar w:fldCharType="end"/>
            </w:r>
          </w:hyperlink>
        </w:p>
        <w:p w14:paraId="5C80A8CD" w14:textId="64BC02F9" w:rsidR="0007703D" w:rsidRDefault="0007703D">
          <w:pPr>
            <w:pStyle w:val="TOC2"/>
            <w:rPr>
              <w:rFonts w:eastAsiaTheme="minorEastAsia"/>
              <w:lang w:eastAsia="en-AU"/>
            </w:rPr>
          </w:pPr>
          <w:hyperlink w:anchor="_Toc116900146" w:history="1">
            <w:r w:rsidRPr="0097591A">
              <w:rPr>
                <w:rStyle w:val="Hyperlink"/>
              </w:rPr>
              <w:t>Role of Committee</w:t>
            </w:r>
            <w:r>
              <w:rPr>
                <w:webHidden/>
              </w:rPr>
              <w:tab/>
            </w:r>
            <w:r>
              <w:rPr>
                <w:webHidden/>
              </w:rPr>
              <w:fldChar w:fldCharType="begin"/>
            </w:r>
            <w:r>
              <w:rPr>
                <w:webHidden/>
              </w:rPr>
              <w:instrText xml:space="preserve"> PAGEREF _Toc116900146 \h </w:instrText>
            </w:r>
            <w:r>
              <w:rPr>
                <w:webHidden/>
              </w:rPr>
            </w:r>
            <w:r>
              <w:rPr>
                <w:webHidden/>
              </w:rPr>
              <w:fldChar w:fldCharType="separate"/>
            </w:r>
            <w:r>
              <w:rPr>
                <w:webHidden/>
              </w:rPr>
              <w:t>ii</w:t>
            </w:r>
            <w:r>
              <w:rPr>
                <w:webHidden/>
              </w:rPr>
              <w:fldChar w:fldCharType="end"/>
            </w:r>
          </w:hyperlink>
        </w:p>
        <w:p w14:paraId="4ED8B8CF" w14:textId="56A70F9A" w:rsidR="0007703D" w:rsidRDefault="0007703D">
          <w:pPr>
            <w:pStyle w:val="TOC1"/>
            <w:rPr>
              <w:rFonts w:asciiTheme="minorHAnsi" w:eastAsiaTheme="minorEastAsia" w:hAnsiTheme="minorHAnsi"/>
              <w:b w:val="0"/>
              <w:bCs w:val="0"/>
              <w:color w:val="auto"/>
              <w:w w:val="100"/>
              <w:sz w:val="22"/>
              <w:lang w:eastAsia="en-AU"/>
            </w:rPr>
          </w:pPr>
          <w:hyperlink w:anchor="_Toc116900147" w:history="1">
            <w:r w:rsidRPr="0097591A">
              <w:rPr>
                <w:rStyle w:val="Hyperlink"/>
              </w:rPr>
              <w:t>1.</w:t>
            </w:r>
            <w:r>
              <w:rPr>
                <w:rFonts w:asciiTheme="minorHAnsi" w:eastAsiaTheme="minorEastAsia" w:hAnsiTheme="minorHAnsi"/>
                <w:b w:val="0"/>
                <w:bCs w:val="0"/>
                <w:color w:val="auto"/>
                <w:w w:val="100"/>
                <w:sz w:val="22"/>
                <w:lang w:eastAsia="en-AU"/>
              </w:rPr>
              <w:tab/>
            </w:r>
            <w:r w:rsidRPr="0097591A">
              <w:rPr>
                <w:rStyle w:val="Hyperlink"/>
              </w:rPr>
              <w:t>Bills—Proposed Amendments</w:t>
            </w:r>
            <w:r>
              <w:rPr>
                <w:webHidden/>
              </w:rPr>
              <w:tab/>
            </w:r>
            <w:r>
              <w:rPr>
                <w:webHidden/>
              </w:rPr>
              <w:fldChar w:fldCharType="begin"/>
            </w:r>
            <w:r>
              <w:rPr>
                <w:webHidden/>
              </w:rPr>
              <w:instrText xml:space="preserve"> PAGEREF _Toc116900147 \h </w:instrText>
            </w:r>
            <w:r>
              <w:rPr>
                <w:webHidden/>
              </w:rPr>
            </w:r>
            <w:r>
              <w:rPr>
                <w:webHidden/>
              </w:rPr>
              <w:fldChar w:fldCharType="separate"/>
            </w:r>
            <w:r>
              <w:rPr>
                <w:webHidden/>
              </w:rPr>
              <w:t>1</w:t>
            </w:r>
            <w:r>
              <w:rPr>
                <w:webHidden/>
              </w:rPr>
              <w:fldChar w:fldCharType="end"/>
            </w:r>
          </w:hyperlink>
        </w:p>
        <w:p w14:paraId="6B36AC19" w14:textId="5D16CB84" w:rsidR="0007703D" w:rsidRDefault="0007703D">
          <w:pPr>
            <w:pStyle w:val="TOC2"/>
            <w:rPr>
              <w:rFonts w:eastAsiaTheme="minorEastAsia"/>
              <w:lang w:eastAsia="en-AU"/>
            </w:rPr>
          </w:pPr>
          <w:hyperlink w:anchor="_Toc116900148" w:history="1">
            <w:r w:rsidRPr="0097591A">
              <w:rPr>
                <w:rStyle w:val="Hyperlink"/>
              </w:rPr>
              <w:t>Proposed Amendments – No Comment</w:t>
            </w:r>
            <w:r>
              <w:rPr>
                <w:webHidden/>
              </w:rPr>
              <w:tab/>
            </w:r>
            <w:r>
              <w:rPr>
                <w:webHidden/>
              </w:rPr>
              <w:fldChar w:fldCharType="begin"/>
            </w:r>
            <w:r>
              <w:rPr>
                <w:webHidden/>
              </w:rPr>
              <w:instrText xml:space="preserve"> PAGEREF _Toc116900148 \h </w:instrText>
            </w:r>
            <w:r>
              <w:rPr>
                <w:webHidden/>
              </w:rPr>
            </w:r>
            <w:r>
              <w:rPr>
                <w:webHidden/>
              </w:rPr>
              <w:fldChar w:fldCharType="separate"/>
            </w:r>
            <w:r>
              <w:rPr>
                <w:webHidden/>
              </w:rPr>
              <w:t>1</w:t>
            </w:r>
            <w:r>
              <w:rPr>
                <w:webHidden/>
              </w:rPr>
              <w:fldChar w:fldCharType="end"/>
            </w:r>
          </w:hyperlink>
        </w:p>
        <w:p w14:paraId="2B751F30" w14:textId="31A9AFA3" w:rsidR="0007703D" w:rsidRDefault="0007703D">
          <w:pPr>
            <w:pStyle w:val="TOC3"/>
            <w:rPr>
              <w:rFonts w:eastAsiaTheme="minorEastAsia"/>
              <w:lang w:eastAsia="en-AU"/>
            </w:rPr>
          </w:pPr>
          <w:hyperlink w:anchor="_Toc116900149" w:history="1">
            <w:r w:rsidRPr="0097591A">
              <w:rPr>
                <w:rStyle w:val="Hyperlink"/>
              </w:rPr>
              <w:t>Appropriation Bill 2022-2023</w:t>
            </w:r>
            <w:r>
              <w:rPr>
                <w:webHidden/>
              </w:rPr>
              <w:tab/>
            </w:r>
            <w:r>
              <w:rPr>
                <w:webHidden/>
              </w:rPr>
              <w:fldChar w:fldCharType="begin"/>
            </w:r>
            <w:r>
              <w:rPr>
                <w:webHidden/>
              </w:rPr>
              <w:instrText xml:space="preserve"> PAGEREF _Toc116900149 \h </w:instrText>
            </w:r>
            <w:r>
              <w:rPr>
                <w:webHidden/>
              </w:rPr>
            </w:r>
            <w:r>
              <w:rPr>
                <w:webHidden/>
              </w:rPr>
              <w:fldChar w:fldCharType="separate"/>
            </w:r>
            <w:r>
              <w:rPr>
                <w:webHidden/>
              </w:rPr>
              <w:t>1</w:t>
            </w:r>
            <w:r>
              <w:rPr>
                <w:webHidden/>
              </w:rPr>
              <w:fldChar w:fldCharType="end"/>
            </w:r>
          </w:hyperlink>
        </w:p>
        <w:p w14:paraId="473A41B0" w14:textId="55579F58" w:rsidR="0007703D" w:rsidRDefault="0007703D">
          <w:pPr>
            <w:pStyle w:val="TOC2"/>
            <w:rPr>
              <w:rFonts w:eastAsiaTheme="minorEastAsia"/>
              <w:lang w:eastAsia="en-AU"/>
            </w:rPr>
          </w:pPr>
          <w:hyperlink w:anchor="_Toc116900150" w:history="1">
            <w:r w:rsidRPr="0097591A">
              <w:rPr>
                <w:rStyle w:val="Hyperlink"/>
              </w:rPr>
              <w:t>Response – No Comment</w:t>
            </w:r>
            <w:r>
              <w:rPr>
                <w:webHidden/>
              </w:rPr>
              <w:tab/>
            </w:r>
            <w:r>
              <w:rPr>
                <w:webHidden/>
              </w:rPr>
              <w:fldChar w:fldCharType="begin"/>
            </w:r>
            <w:r>
              <w:rPr>
                <w:webHidden/>
              </w:rPr>
              <w:instrText xml:space="preserve"> PAGEREF _Toc116900150 \h </w:instrText>
            </w:r>
            <w:r>
              <w:rPr>
                <w:webHidden/>
              </w:rPr>
            </w:r>
            <w:r>
              <w:rPr>
                <w:webHidden/>
              </w:rPr>
              <w:fldChar w:fldCharType="separate"/>
            </w:r>
            <w:r>
              <w:rPr>
                <w:webHidden/>
              </w:rPr>
              <w:t>1</w:t>
            </w:r>
            <w:r>
              <w:rPr>
                <w:webHidden/>
              </w:rPr>
              <w:fldChar w:fldCharType="end"/>
            </w:r>
          </w:hyperlink>
        </w:p>
        <w:p w14:paraId="20F6E132" w14:textId="24EF29D2" w:rsidR="0007703D" w:rsidRDefault="0007703D">
          <w:pPr>
            <w:pStyle w:val="TOC1"/>
            <w:rPr>
              <w:rFonts w:asciiTheme="minorHAnsi" w:eastAsiaTheme="minorEastAsia" w:hAnsiTheme="minorHAnsi"/>
              <w:b w:val="0"/>
              <w:bCs w:val="0"/>
              <w:color w:val="auto"/>
              <w:w w:val="100"/>
              <w:sz w:val="22"/>
              <w:lang w:eastAsia="en-AU"/>
            </w:rPr>
          </w:pPr>
          <w:hyperlink w:anchor="_Toc116900151" w:history="1">
            <w:r w:rsidRPr="0097591A">
              <w:rPr>
                <w:rStyle w:val="Hyperlink"/>
              </w:rPr>
              <w:t>2.</w:t>
            </w:r>
            <w:r>
              <w:rPr>
                <w:rFonts w:asciiTheme="minorHAnsi" w:eastAsiaTheme="minorEastAsia" w:hAnsiTheme="minorHAnsi"/>
                <w:b w:val="0"/>
                <w:bCs w:val="0"/>
                <w:color w:val="auto"/>
                <w:w w:val="100"/>
                <w:sz w:val="22"/>
                <w:lang w:eastAsia="en-AU"/>
              </w:rPr>
              <w:tab/>
            </w:r>
            <w:r w:rsidRPr="0097591A">
              <w:rPr>
                <w:rStyle w:val="Hyperlink"/>
              </w:rPr>
              <w:t>Subordinate Legislation</w:t>
            </w:r>
            <w:r>
              <w:rPr>
                <w:webHidden/>
              </w:rPr>
              <w:tab/>
            </w:r>
            <w:r>
              <w:rPr>
                <w:webHidden/>
              </w:rPr>
              <w:fldChar w:fldCharType="begin"/>
            </w:r>
            <w:r>
              <w:rPr>
                <w:webHidden/>
              </w:rPr>
              <w:instrText xml:space="preserve"> PAGEREF _Toc116900151 \h </w:instrText>
            </w:r>
            <w:r>
              <w:rPr>
                <w:webHidden/>
              </w:rPr>
            </w:r>
            <w:r>
              <w:rPr>
                <w:webHidden/>
              </w:rPr>
              <w:fldChar w:fldCharType="separate"/>
            </w:r>
            <w:r>
              <w:rPr>
                <w:webHidden/>
              </w:rPr>
              <w:t>1</w:t>
            </w:r>
            <w:r>
              <w:rPr>
                <w:webHidden/>
              </w:rPr>
              <w:fldChar w:fldCharType="end"/>
            </w:r>
          </w:hyperlink>
        </w:p>
        <w:p w14:paraId="3A29EFFD" w14:textId="3355E1D6" w:rsidR="0007703D" w:rsidRDefault="0007703D">
          <w:pPr>
            <w:pStyle w:val="TOC2"/>
            <w:rPr>
              <w:rFonts w:eastAsiaTheme="minorEastAsia"/>
              <w:lang w:eastAsia="en-AU"/>
            </w:rPr>
          </w:pPr>
          <w:hyperlink w:anchor="_Toc116900152" w:history="1">
            <w:r w:rsidRPr="0097591A">
              <w:rPr>
                <w:rStyle w:val="Hyperlink"/>
              </w:rPr>
              <w:t>Disallowable Instruments – No comment</w:t>
            </w:r>
            <w:r>
              <w:rPr>
                <w:webHidden/>
              </w:rPr>
              <w:tab/>
            </w:r>
            <w:r>
              <w:rPr>
                <w:webHidden/>
              </w:rPr>
              <w:fldChar w:fldCharType="begin"/>
            </w:r>
            <w:r>
              <w:rPr>
                <w:webHidden/>
              </w:rPr>
              <w:instrText xml:space="preserve"> PAGEREF _Toc116900152 \h </w:instrText>
            </w:r>
            <w:r>
              <w:rPr>
                <w:webHidden/>
              </w:rPr>
            </w:r>
            <w:r>
              <w:rPr>
                <w:webHidden/>
              </w:rPr>
              <w:fldChar w:fldCharType="separate"/>
            </w:r>
            <w:r>
              <w:rPr>
                <w:webHidden/>
              </w:rPr>
              <w:t>1</w:t>
            </w:r>
            <w:r>
              <w:rPr>
                <w:webHidden/>
              </w:rPr>
              <w:fldChar w:fldCharType="end"/>
            </w:r>
          </w:hyperlink>
        </w:p>
        <w:p w14:paraId="75E898EB" w14:textId="3B11E018" w:rsidR="0007703D" w:rsidRDefault="0007703D">
          <w:pPr>
            <w:pStyle w:val="TOC2"/>
            <w:rPr>
              <w:rFonts w:eastAsiaTheme="minorEastAsia"/>
              <w:lang w:eastAsia="en-AU"/>
            </w:rPr>
          </w:pPr>
          <w:hyperlink w:anchor="_Toc116900153" w:history="1">
            <w:r w:rsidRPr="0097591A">
              <w:rPr>
                <w:rStyle w:val="Hyperlink"/>
              </w:rPr>
              <w:t>Disallowable Instruments – Comment</w:t>
            </w:r>
            <w:r>
              <w:rPr>
                <w:webHidden/>
              </w:rPr>
              <w:tab/>
            </w:r>
            <w:r>
              <w:rPr>
                <w:webHidden/>
              </w:rPr>
              <w:fldChar w:fldCharType="begin"/>
            </w:r>
            <w:r>
              <w:rPr>
                <w:webHidden/>
              </w:rPr>
              <w:instrText xml:space="preserve"> PAGEREF _Toc116900153 \h </w:instrText>
            </w:r>
            <w:r>
              <w:rPr>
                <w:webHidden/>
              </w:rPr>
            </w:r>
            <w:r>
              <w:rPr>
                <w:webHidden/>
              </w:rPr>
              <w:fldChar w:fldCharType="separate"/>
            </w:r>
            <w:r>
              <w:rPr>
                <w:webHidden/>
              </w:rPr>
              <w:t>2</w:t>
            </w:r>
            <w:r>
              <w:rPr>
                <w:webHidden/>
              </w:rPr>
              <w:fldChar w:fldCharType="end"/>
            </w:r>
          </w:hyperlink>
        </w:p>
        <w:p w14:paraId="773F71AB" w14:textId="12262F78" w:rsidR="0007703D" w:rsidRDefault="0007703D">
          <w:pPr>
            <w:pStyle w:val="TOC3"/>
            <w:rPr>
              <w:rFonts w:eastAsiaTheme="minorEastAsia"/>
              <w:lang w:eastAsia="en-AU"/>
            </w:rPr>
          </w:pPr>
          <w:hyperlink w:anchor="_Toc116900154" w:history="1">
            <w:r w:rsidRPr="0097591A">
              <w:rPr>
                <w:rStyle w:val="Hyperlink"/>
              </w:rPr>
              <w:t>Fees Determinations / Human Rights Issues</w:t>
            </w:r>
            <w:r>
              <w:rPr>
                <w:webHidden/>
              </w:rPr>
              <w:tab/>
            </w:r>
            <w:r>
              <w:rPr>
                <w:webHidden/>
              </w:rPr>
              <w:fldChar w:fldCharType="begin"/>
            </w:r>
            <w:r>
              <w:rPr>
                <w:webHidden/>
              </w:rPr>
              <w:instrText xml:space="preserve"> PAGEREF _Toc116900154 \h </w:instrText>
            </w:r>
            <w:r>
              <w:rPr>
                <w:webHidden/>
              </w:rPr>
            </w:r>
            <w:r>
              <w:rPr>
                <w:webHidden/>
              </w:rPr>
              <w:fldChar w:fldCharType="separate"/>
            </w:r>
            <w:r>
              <w:rPr>
                <w:webHidden/>
              </w:rPr>
              <w:t>2</w:t>
            </w:r>
            <w:r>
              <w:rPr>
                <w:webHidden/>
              </w:rPr>
              <w:fldChar w:fldCharType="end"/>
            </w:r>
          </w:hyperlink>
        </w:p>
        <w:p w14:paraId="57F8A887" w14:textId="08D9704E" w:rsidR="0007703D" w:rsidRDefault="0007703D">
          <w:pPr>
            <w:pStyle w:val="TOC3"/>
            <w:rPr>
              <w:rFonts w:eastAsiaTheme="minorEastAsia"/>
              <w:lang w:eastAsia="en-AU"/>
            </w:rPr>
          </w:pPr>
          <w:hyperlink w:anchor="_Toc116900155" w:history="1">
            <w:r w:rsidRPr="0097591A">
              <w:rPr>
                <w:rStyle w:val="Hyperlink"/>
              </w:rPr>
              <w:t>Strict Liability Offences / Human Rights Issues</w:t>
            </w:r>
            <w:r>
              <w:rPr>
                <w:webHidden/>
              </w:rPr>
              <w:tab/>
            </w:r>
            <w:r>
              <w:rPr>
                <w:webHidden/>
              </w:rPr>
              <w:fldChar w:fldCharType="begin"/>
            </w:r>
            <w:r>
              <w:rPr>
                <w:webHidden/>
              </w:rPr>
              <w:instrText xml:space="preserve"> PAGEREF _Toc116900155 \h </w:instrText>
            </w:r>
            <w:r>
              <w:rPr>
                <w:webHidden/>
              </w:rPr>
            </w:r>
            <w:r>
              <w:rPr>
                <w:webHidden/>
              </w:rPr>
              <w:fldChar w:fldCharType="separate"/>
            </w:r>
            <w:r>
              <w:rPr>
                <w:webHidden/>
              </w:rPr>
              <w:t>4</w:t>
            </w:r>
            <w:r>
              <w:rPr>
                <w:webHidden/>
              </w:rPr>
              <w:fldChar w:fldCharType="end"/>
            </w:r>
          </w:hyperlink>
        </w:p>
        <w:p w14:paraId="7966232C" w14:textId="1B4B4DF0" w:rsidR="0007703D" w:rsidRDefault="0007703D">
          <w:pPr>
            <w:pStyle w:val="TOC3"/>
            <w:rPr>
              <w:rFonts w:eastAsiaTheme="minorEastAsia"/>
              <w:lang w:eastAsia="en-AU"/>
            </w:rPr>
          </w:pPr>
          <w:hyperlink w:anchor="_Toc116900156" w:history="1">
            <w:r w:rsidRPr="0097591A">
              <w:rPr>
                <w:rStyle w:val="Hyperlink"/>
              </w:rPr>
              <w:t>Human Rights Issues</w:t>
            </w:r>
            <w:r>
              <w:rPr>
                <w:webHidden/>
              </w:rPr>
              <w:tab/>
            </w:r>
            <w:r>
              <w:rPr>
                <w:webHidden/>
              </w:rPr>
              <w:fldChar w:fldCharType="begin"/>
            </w:r>
            <w:r>
              <w:rPr>
                <w:webHidden/>
              </w:rPr>
              <w:instrText xml:space="preserve"> PAGEREF _Toc116900156 \h </w:instrText>
            </w:r>
            <w:r>
              <w:rPr>
                <w:webHidden/>
              </w:rPr>
            </w:r>
            <w:r>
              <w:rPr>
                <w:webHidden/>
              </w:rPr>
              <w:fldChar w:fldCharType="separate"/>
            </w:r>
            <w:r>
              <w:rPr>
                <w:webHidden/>
              </w:rPr>
              <w:t>6</w:t>
            </w:r>
            <w:r>
              <w:rPr>
                <w:webHidden/>
              </w:rPr>
              <w:fldChar w:fldCharType="end"/>
            </w:r>
          </w:hyperlink>
        </w:p>
        <w:p w14:paraId="5E6050E9" w14:textId="2E4A9F75" w:rsidR="0007703D" w:rsidRDefault="0007703D">
          <w:pPr>
            <w:pStyle w:val="TOC3"/>
            <w:rPr>
              <w:rFonts w:eastAsiaTheme="minorEastAsia"/>
              <w:lang w:eastAsia="en-AU"/>
            </w:rPr>
          </w:pPr>
          <w:hyperlink w:anchor="_Toc116900157" w:history="1">
            <w:r w:rsidRPr="0097591A">
              <w:rPr>
                <w:rStyle w:val="Hyperlink"/>
              </w:rPr>
              <w:t>Human Rights Issues</w:t>
            </w:r>
            <w:r>
              <w:rPr>
                <w:webHidden/>
              </w:rPr>
              <w:tab/>
            </w:r>
            <w:r>
              <w:rPr>
                <w:webHidden/>
              </w:rPr>
              <w:fldChar w:fldCharType="begin"/>
            </w:r>
            <w:r>
              <w:rPr>
                <w:webHidden/>
              </w:rPr>
              <w:instrText xml:space="preserve"> PAGEREF _Toc116900157 \h </w:instrText>
            </w:r>
            <w:r>
              <w:rPr>
                <w:webHidden/>
              </w:rPr>
            </w:r>
            <w:r>
              <w:rPr>
                <w:webHidden/>
              </w:rPr>
              <w:fldChar w:fldCharType="separate"/>
            </w:r>
            <w:r>
              <w:rPr>
                <w:webHidden/>
              </w:rPr>
              <w:t>7</w:t>
            </w:r>
            <w:r>
              <w:rPr>
                <w:webHidden/>
              </w:rPr>
              <w:fldChar w:fldCharType="end"/>
            </w:r>
          </w:hyperlink>
        </w:p>
        <w:p w14:paraId="300CD349" w14:textId="05E37297" w:rsidR="0007703D" w:rsidRDefault="0007703D">
          <w:pPr>
            <w:pStyle w:val="TOC2"/>
            <w:rPr>
              <w:rFonts w:eastAsiaTheme="minorEastAsia"/>
              <w:lang w:eastAsia="en-AU"/>
            </w:rPr>
          </w:pPr>
          <w:hyperlink w:anchor="_Toc116900158" w:history="1">
            <w:r w:rsidRPr="0097591A">
              <w:rPr>
                <w:rStyle w:val="Hyperlink"/>
              </w:rPr>
              <w:t>Regulatory Impact Statements – No comment</w:t>
            </w:r>
            <w:r>
              <w:rPr>
                <w:webHidden/>
              </w:rPr>
              <w:tab/>
            </w:r>
            <w:r>
              <w:rPr>
                <w:webHidden/>
              </w:rPr>
              <w:fldChar w:fldCharType="begin"/>
            </w:r>
            <w:r>
              <w:rPr>
                <w:webHidden/>
              </w:rPr>
              <w:instrText xml:space="preserve"> PAGEREF _Toc116900158 \h </w:instrText>
            </w:r>
            <w:r>
              <w:rPr>
                <w:webHidden/>
              </w:rPr>
            </w:r>
            <w:r>
              <w:rPr>
                <w:webHidden/>
              </w:rPr>
              <w:fldChar w:fldCharType="separate"/>
            </w:r>
            <w:r>
              <w:rPr>
                <w:webHidden/>
              </w:rPr>
              <w:t>7</w:t>
            </w:r>
            <w:r>
              <w:rPr>
                <w:webHidden/>
              </w:rPr>
              <w:fldChar w:fldCharType="end"/>
            </w:r>
          </w:hyperlink>
        </w:p>
        <w:p w14:paraId="77126CC9" w14:textId="4B68341B" w:rsidR="0007703D" w:rsidRDefault="0007703D">
          <w:pPr>
            <w:pStyle w:val="TOC2"/>
            <w:rPr>
              <w:rFonts w:eastAsiaTheme="minorEastAsia"/>
              <w:lang w:eastAsia="en-AU"/>
            </w:rPr>
          </w:pPr>
          <w:hyperlink w:anchor="_Toc116900159" w:history="1">
            <w:r w:rsidRPr="0097591A">
              <w:rPr>
                <w:rStyle w:val="Hyperlink"/>
              </w:rPr>
              <w:t>Response – no comment</w:t>
            </w:r>
            <w:r>
              <w:rPr>
                <w:webHidden/>
              </w:rPr>
              <w:tab/>
            </w:r>
            <w:r>
              <w:rPr>
                <w:webHidden/>
              </w:rPr>
              <w:fldChar w:fldCharType="begin"/>
            </w:r>
            <w:r>
              <w:rPr>
                <w:webHidden/>
              </w:rPr>
              <w:instrText xml:space="preserve"> PAGEREF _Toc116900159 \h </w:instrText>
            </w:r>
            <w:r>
              <w:rPr>
                <w:webHidden/>
              </w:rPr>
            </w:r>
            <w:r>
              <w:rPr>
                <w:webHidden/>
              </w:rPr>
              <w:fldChar w:fldCharType="separate"/>
            </w:r>
            <w:r>
              <w:rPr>
                <w:webHidden/>
              </w:rPr>
              <w:t>8</w:t>
            </w:r>
            <w:r>
              <w:rPr>
                <w:webHidden/>
              </w:rPr>
              <w:fldChar w:fldCharType="end"/>
            </w:r>
          </w:hyperlink>
        </w:p>
        <w:p w14:paraId="18E44FFC" w14:textId="62A100C9" w:rsidR="0007703D" w:rsidRDefault="0007703D">
          <w:pPr>
            <w:pStyle w:val="TOC1"/>
            <w:rPr>
              <w:rFonts w:asciiTheme="minorHAnsi" w:eastAsiaTheme="minorEastAsia" w:hAnsiTheme="minorHAnsi"/>
              <w:b w:val="0"/>
              <w:bCs w:val="0"/>
              <w:color w:val="auto"/>
              <w:w w:val="100"/>
              <w:sz w:val="22"/>
              <w:lang w:eastAsia="en-AU"/>
            </w:rPr>
          </w:pPr>
          <w:hyperlink w:anchor="_Toc116900160" w:history="1">
            <w:r w:rsidRPr="0097591A">
              <w:rPr>
                <w:rStyle w:val="Hyperlink"/>
              </w:rPr>
              <w:t>Outstanding responses</w:t>
            </w:r>
            <w:r>
              <w:rPr>
                <w:webHidden/>
              </w:rPr>
              <w:tab/>
            </w:r>
            <w:r>
              <w:rPr>
                <w:webHidden/>
              </w:rPr>
              <w:fldChar w:fldCharType="begin"/>
            </w:r>
            <w:r>
              <w:rPr>
                <w:webHidden/>
              </w:rPr>
              <w:instrText xml:space="preserve"> PAGEREF _Toc116900160 \h </w:instrText>
            </w:r>
            <w:r>
              <w:rPr>
                <w:webHidden/>
              </w:rPr>
            </w:r>
            <w:r>
              <w:rPr>
                <w:webHidden/>
              </w:rPr>
              <w:fldChar w:fldCharType="separate"/>
            </w:r>
            <w:r>
              <w:rPr>
                <w:webHidden/>
              </w:rPr>
              <w:t>9</w:t>
            </w:r>
            <w:r>
              <w:rPr>
                <w:webHidden/>
              </w:rPr>
              <w:fldChar w:fldCharType="end"/>
            </w:r>
          </w:hyperlink>
        </w:p>
        <w:p w14:paraId="09DD3EDB" w14:textId="2C97ACD5" w:rsidR="0007703D" w:rsidRDefault="0007703D">
          <w:pPr>
            <w:pStyle w:val="TOC2"/>
            <w:rPr>
              <w:rFonts w:eastAsiaTheme="minorEastAsia"/>
              <w:lang w:eastAsia="en-AU"/>
            </w:rPr>
          </w:pPr>
          <w:hyperlink w:anchor="_Toc116900161" w:history="1">
            <w:r w:rsidRPr="0097591A">
              <w:rPr>
                <w:rStyle w:val="Hyperlink"/>
              </w:rPr>
              <w:t>Bills/Subordinate Legislation</w:t>
            </w:r>
            <w:r>
              <w:rPr>
                <w:webHidden/>
              </w:rPr>
              <w:tab/>
            </w:r>
            <w:r>
              <w:rPr>
                <w:webHidden/>
              </w:rPr>
              <w:fldChar w:fldCharType="begin"/>
            </w:r>
            <w:r>
              <w:rPr>
                <w:webHidden/>
              </w:rPr>
              <w:instrText xml:space="preserve"> PAGEREF _Toc116900161 \h </w:instrText>
            </w:r>
            <w:r>
              <w:rPr>
                <w:webHidden/>
              </w:rPr>
            </w:r>
            <w:r>
              <w:rPr>
                <w:webHidden/>
              </w:rPr>
              <w:fldChar w:fldCharType="separate"/>
            </w:r>
            <w:r>
              <w:rPr>
                <w:webHidden/>
              </w:rPr>
              <w:t>9</w:t>
            </w:r>
            <w:r>
              <w:rPr>
                <w:webHidden/>
              </w:rPr>
              <w:fldChar w:fldCharType="end"/>
            </w:r>
          </w:hyperlink>
        </w:p>
        <w:p w14:paraId="07C115E7" w14:textId="6BD4CAA0" w:rsidR="0007703D" w:rsidRDefault="0007703D">
          <w:pPr>
            <w:pStyle w:val="TOC3"/>
            <w:rPr>
              <w:rFonts w:eastAsiaTheme="minorEastAsia"/>
              <w:lang w:eastAsia="en-AU"/>
            </w:rPr>
          </w:pPr>
          <w:hyperlink w:anchor="_Toc116900162" w:history="1">
            <w:r w:rsidRPr="0097591A">
              <w:rPr>
                <w:rStyle w:val="Hyperlink"/>
              </w:rPr>
              <w:t>Report 12, dated February 2022</w:t>
            </w:r>
            <w:r>
              <w:rPr>
                <w:webHidden/>
              </w:rPr>
              <w:tab/>
            </w:r>
            <w:r>
              <w:rPr>
                <w:webHidden/>
              </w:rPr>
              <w:fldChar w:fldCharType="begin"/>
            </w:r>
            <w:r>
              <w:rPr>
                <w:webHidden/>
              </w:rPr>
              <w:instrText xml:space="preserve"> PAGEREF _Toc116900162 \h </w:instrText>
            </w:r>
            <w:r>
              <w:rPr>
                <w:webHidden/>
              </w:rPr>
            </w:r>
            <w:r>
              <w:rPr>
                <w:webHidden/>
              </w:rPr>
              <w:fldChar w:fldCharType="separate"/>
            </w:r>
            <w:r>
              <w:rPr>
                <w:webHidden/>
              </w:rPr>
              <w:t>9</w:t>
            </w:r>
            <w:r>
              <w:rPr>
                <w:webHidden/>
              </w:rPr>
              <w:fldChar w:fldCharType="end"/>
            </w:r>
          </w:hyperlink>
        </w:p>
        <w:p w14:paraId="1571F731" w14:textId="69218A94" w:rsidR="0007703D" w:rsidRDefault="0007703D">
          <w:pPr>
            <w:pStyle w:val="TOC3"/>
            <w:rPr>
              <w:rFonts w:eastAsiaTheme="minorEastAsia"/>
              <w:lang w:eastAsia="en-AU"/>
            </w:rPr>
          </w:pPr>
          <w:hyperlink w:anchor="_Toc116900163" w:history="1">
            <w:r w:rsidRPr="0097591A">
              <w:rPr>
                <w:rStyle w:val="Hyperlink"/>
              </w:rPr>
              <w:t>Report 20, dated 13 September 2022</w:t>
            </w:r>
            <w:r>
              <w:rPr>
                <w:webHidden/>
              </w:rPr>
              <w:tab/>
            </w:r>
            <w:r>
              <w:rPr>
                <w:webHidden/>
              </w:rPr>
              <w:fldChar w:fldCharType="begin"/>
            </w:r>
            <w:r>
              <w:rPr>
                <w:webHidden/>
              </w:rPr>
              <w:instrText xml:space="preserve"> PAGEREF _Toc116900163 \h </w:instrText>
            </w:r>
            <w:r>
              <w:rPr>
                <w:webHidden/>
              </w:rPr>
            </w:r>
            <w:r>
              <w:rPr>
                <w:webHidden/>
              </w:rPr>
              <w:fldChar w:fldCharType="separate"/>
            </w:r>
            <w:r>
              <w:rPr>
                <w:webHidden/>
              </w:rPr>
              <w:t>9</w:t>
            </w:r>
            <w:r>
              <w:rPr>
                <w:webHidden/>
              </w:rPr>
              <w:fldChar w:fldCharType="end"/>
            </w:r>
          </w:hyperlink>
        </w:p>
        <w:p w14:paraId="5024D616" w14:textId="6FC57DF8" w:rsidR="0007703D" w:rsidRDefault="0007703D">
          <w:pPr>
            <w:pStyle w:val="TOC3"/>
            <w:rPr>
              <w:rFonts w:eastAsiaTheme="minorEastAsia"/>
              <w:lang w:eastAsia="en-AU"/>
            </w:rPr>
          </w:pPr>
          <w:hyperlink w:anchor="_Toc116900164" w:history="1">
            <w:r w:rsidRPr="0097591A">
              <w:rPr>
                <w:rStyle w:val="Hyperlink"/>
              </w:rPr>
              <w:t>Report 21, dated 4 October 2022</w:t>
            </w:r>
            <w:r>
              <w:rPr>
                <w:webHidden/>
              </w:rPr>
              <w:tab/>
            </w:r>
            <w:r>
              <w:rPr>
                <w:webHidden/>
              </w:rPr>
              <w:fldChar w:fldCharType="begin"/>
            </w:r>
            <w:r>
              <w:rPr>
                <w:webHidden/>
              </w:rPr>
              <w:instrText xml:space="preserve"> PAGEREF _Toc116900164 \h </w:instrText>
            </w:r>
            <w:r>
              <w:rPr>
                <w:webHidden/>
              </w:rPr>
            </w:r>
            <w:r>
              <w:rPr>
                <w:webHidden/>
              </w:rPr>
              <w:fldChar w:fldCharType="separate"/>
            </w:r>
            <w:r>
              <w:rPr>
                <w:webHidden/>
              </w:rPr>
              <w:t>9</w:t>
            </w:r>
            <w:r>
              <w:rPr>
                <w:webHidden/>
              </w:rPr>
              <w:fldChar w:fldCharType="end"/>
            </w:r>
          </w:hyperlink>
        </w:p>
        <w:p w14:paraId="1E1CDF38" w14:textId="3035E82E" w:rsidR="008A6130" w:rsidRPr="000B6D94" w:rsidRDefault="008A6130" w:rsidP="003C3CF9">
          <w:r w:rsidRPr="000B6D94">
            <w:rPr>
              <w:b/>
              <w:bCs/>
              <w:noProof/>
            </w:rPr>
            <w:fldChar w:fldCharType="end"/>
          </w:r>
        </w:p>
      </w:sdtContent>
    </w:sdt>
    <w:p w14:paraId="3D31C645" w14:textId="72766EAB" w:rsidR="009F5A83" w:rsidRPr="000B6D94"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rsidRPr="000B6D94">
        <w:br w:type="page"/>
      </w:r>
    </w:p>
    <w:p w14:paraId="344C4F63" w14:textId="5C49D60C" w:rsidR="00B7541C" w:rsidRPr="000B6D94" w:rsidRDefault="00B7541C" w:rsidP="00B7541C">
      <w:pPr>
        <w:sectPr w:rsidR="00B7541C" w:rsidRPr="000B6D94" w:rsidSect="009F5A83">
          <w:footerReference w:type="default" r:id="rId17"/>
          <w:pgSz w:w="11906" w:h="16838"/>
          <w:pgMar w:top="1440" w:right="1440" w:bottom="1440" w:left="1440" w:header="708" w:footer="708" w:gutter="0"/>
          <w:pgNumType w:fmt="lowerRoman" w:start="1"/>
          <w:cols w:space="708"/>
          <w:docGrid w:linePitch="360"/>
        </w:sectPr>
      </w:pPr>
    </w:p>
    <w:p w14:paraId="2B24C98F" w14:textId="77777777" w:rsidR="00BE2396" w:rsidRPr="000B6D94" w:rsidRDefault="00BE2396" w:rsidP="00BE2396">
      <w:pPr>
        <w:pStyle w:val="Heading1"/>
      </w:pPr>
      <w:bookmarkStart w:id="95" w:name="_Toc109294141"/>
      <w:bookmarkStart w:id="96" w:name="_Toc109294142"/>
      <w:bookmarkStart w:id="97" w:name="_Toc109294143"/>
      <w:bookmarkStart w:id="98" w:name="_Toc109294144"/>
      <w:bookmarkStart w:id="99" w:name="_Toc109294145"/>
      <w:bookmarkStart w:id="100" w:name="_Toc109294146"/>
      <w:bookmarkStart w:id="101" w:name="_Toc109294147"/>
      <w:bookmarkStart w:id="102" w:name="_Toc109294148"/>
      <w:bookmarkStart w:id="103" w:name="_Toc109294149"/>
      <w:bookmarkStart w:id="104" w:name="_Toc109294150"/>
      <w:bookmarkStart w:id="105" w:name="_Toc109294151"/>
      <w:bookmarkStart w:id="106" w:name="_Toc109294152"/>
      <w:bookmarkStart w:id="107" w:name="_Toc115773455"/>
      <w:bookmarkStart w:id="108" w:name="_Toc110859665"/>
      <w:bookmarkStart w:id="109" w:name="_Toc116900147"/>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0B6D94">
        <w:lastRenderedPageBreak/>
        <w:t>Bills—Proposed Amendments</w:t>
      </w:r>
      <w:bookmarkEnd w:id="107"/>
      <w:bookmarkEnd w:id="109"/>
    </w:p>
    <w:p w14:paraId="3D5545D2" w14:textId="1E4F0E8A" w:rsidR="00BE2396" w:rsidRDefault="00BE2396" w:rsidP="00BE2396">
      <w:pPr>
        <w:pStyle w:val="Heading2"/>
      </w:pPr>
      <w:bookmarkStart w:id="110" w:name="_Toc115773464"/>
      <w:bookmarkStart w:id="111" w:name="_Toc116900148"/>
      <w:r>
        <w:t xml:space="preserve">Proposed Amendments </w:t>
      </w:r>
      <w:r w:rsidR="00AA6C54">
        <w:t>–</w:t>
      </w:r>
      <w:r>
        <w:t xml:space="preserve"> </w:t>
      </w:r>
      <w:r w:rsidR="00AA6C54">
        <w:t xml:space="preserve">No </w:t>
      </w:r>
      <w:r>
        <w:t>Comment</w:t>
      </w:r>
      <w:bookmarkEnd w:id="110"/>
      <w:bookmarkEnd w:id="111"/>
    </w:p>
    <w:p w14:paraId="0B645F16" w14:textId="77777777" w:rsidR="00BE2396" w:rsidRPr="000B6D94" w:rsidRDefault="00BE2396" w:rsidP="00BE2396">
      <w:pPr>
        <w:pStyle w:val="Heading3"/>
      </w:pPr>
      <w:bookmarkStart w:id="112" w:name="_Toc116900149"/>
      <w:r>
        <w:t>Appropriation Bill 2022-2023</w:t>
      </w:r>
      <w:bookmarkEnd w:id="112"/>
      <w:r>
        <w:t xml:space="preserve"> </w:t>
      </w:r>
    </w:p>
    <w:p w14:paraId="24A081A5" w14:textId="77777777" w:rsidR="00BE2396" w:rsidRDefault="00BE2396" w:rsidP="00BE2396">
      <w:pPr>
        <w:pStyle w:val="ListNumber2"/>
      </w:pPr>
      <w:r w:rsidRPr="00BE2396">
        <w:t xml:space="preserve">The Committee received proposed amendments to the </w:t>
      </w:r>
      <w:r w:rsidRPr="00B120B5">
        <w:rPr>
          <w:i/>
          <w:iCs/>
        </w:rPr>
        <w:t>Appropriation Bill 2022-2023</w:t>
      </w:r>
      <w:r w:rsidRPr="00BE2396">
        <w:t xml:space="preserve"> from Ms Clay. These proposed amendments to the bill seek to reduce funding to the horseracing industry (by way of Memorandum of Understanding) from the Justice and Community Safety budget by 20 per cent each year, for five years, until the ACT Government is no longer subsidising that industry. </w:t>
      </w:r>
    </w:p>
    <w:p w14:paraId="3C9A68B0" w14:textId="77777777" w:rsidR="00BE2396" w:rsidRPr="00BE2396" w:rsidRDefault="00BE2396" w:rsidP="00BE2396">
      <w:pPr>
        <w:pStyle w:val="ListNumber2"/>
      </w:pPr>
      <w:r w:rsidRPr="00BE2396">
        <w:t xml:space="preserve">On 11 October 2022 the Committee made a 246A statement to the Assembly in relation to the Amendments to the </w:t>
      </w:r>
      <w:r w:rsidRPr="00B120B5">
        <w:rPr>
          <w:i/>
          <w:iCs/>
        </w:rPr>
        <w:t>Appropriation Bill 2022-2023</w:t>
      </w:r>
      <w:r w:rsidRPr="00BE2396">
        <w:t xml:space="preserve">. </w:t>
      </w:r>
    </w:p>
    <w:p w14:paraId="0AAF084D" w14:textId="6992F70E" w:rsidR="00BE2396" w:rsidRPr="00BE2396" w:rsidRDefault="00BE2396" w:rsidP="00BE2396">
      <w:pPr>
        <w:pStyle w:val="ListNumber2"/>
        <w:rPr>
          <w:b/>
          <w:bCs w:val="0"/>
        </w:rPr>
      </w:pPr>
      <w:r w:rsidRPr="00BE2396">
        <w:rPr>
          <w:b/>
          <w:bCs w:val="0"/>
        </w:rPr>
        <w:t>The Committee has no comments</w:t>
      </w:r>
      <w:r w:rsidR="00AA6C54">
        <w:rPr>
          <w:b/>
          <w:bCs w:val="0"/>
        </w:rPr>
        <w:t xml:space="preserve"> on the amendments</w:t>
      </w:r>
      <w:r w:rsidRPr="00BE2396">
        <w:rPr>
          <w:b/>
          <w:bCs w:val="0"/>
        </w:rPr>
        <w:t xml:space="preserve">. </w:t>
      </w:r>
    </w:p>
    <w:p w14:paraId="5D063A6E" w14:textId="48BF530D" w:rsidR="00BE2396" w:rsidRDefault="00BE2396" w:rsidP="008D5C6E">
      <w:pPr>
        <w:pStyle w:val="ListNumber2"/>
        <w:rPr>
          <w:b/>
          <w:bCs w:val="0"/>
        </w:rPr>
      </w:pPr>
      <w:r w:rsidRPr="00BE2396">
        <w:rPr>
          <w:b/>
          <w:bCs w:val="0"/>
        </w:rPr>
        <w:t>This comment does not require a response.</w:t>
      </w:r>
    </w:p>
    <w:p w14:paraId="0D637B3C" w14:textId="181925BE" w:rsidR="00C26E89" w:rsidRDefault="00C26E89" w:rsidP="00C26E89">
      <w:pPr>
        <w:pStyle w:val="Heading2"/>
      </w:pPr>
      <w:bookmarkStart w:id="113" w:name="_Toc116900150"/>
      <w:r>
        <w:t>Response – No Comment</w:t>
      </w:r>
      <w:bookmarkEnd w:id="113"/>
    </w:p>
    <w:p w14:paraId="17C9ACCA" w14:textId="1D1E48B7" w:rsidR="00C26E89" w:rsidRPr="00C26E89" w:rsidRDefault="00C26E89" w:rsidP="00C26E89">
      <w:pPr>
        <w:pStyle w:val="ListParagraph"/>
        <w:numPr>
          <w:ilvl w:val="0"/>
          <w:numId w:val="2"/>
        </w:numPr>
      </w:pPr>
      <w:r w:rsidRPr="00C26E89">
        <w:rPr>
          <w:i/>
          <w:iCs/>
        </w:rPr>
        <w:t>Drugs of Dependence (Personal Use) Amendment Bill 2022</w:t>
      </w:r>
      <w:r>
        <w:t xml:space="preserve"> Explanatory Statement from Mr Davis. </w:t>
      </w:r>
    </w:p>
    <w:p w14:paraId="0716A71F" w14:textId="68BD03A6" w:rsidR="00CB305A" w:rsidRPr="00783B5C" w:rsidRDefault="00CB305A" w:rsidP="00CB305A">
      <w:pPr>
        <w:pStyle w:val="Heading1"/>
      </w:pPr>
      <w:bookmarkStart w:id="114" w:name="_Toc116900151"/>
      <w:r>
        <w:t>Subordinate Legislation</w:t>
      </w:r>
      <w:bookmarkEnd w:id="114"/>
    </w:p>
    <w:p w14:paraId="0B1615CC" w14:textId="77777777" w:rsidR="00CB305A" w:rsidRDefault="00CB305A" w:rsidP="00CB305A">
      <w:pPr>
        <w:pStyle w:val="Heading2"/>
      </w:pPr>
      <w:bookmarkStart w:id="115" w:name="_Toc116900152"/>
      <w:r>
        <w:t>Disallowable Instruments – No comment</w:t>
      </w:r>
      <w:bookmarkEnd w:id="115"/>
    </w:p>
    <w:p w14:paraId="694EFC2A" w14:textId="77777777" w:rsidR="00CB305A" w:rsidRDefault="00CB305A" w:rsidP="00784D66">
      <w:pPr>
        <w:pStyle w:val="ListNumber2"/>
      </w:pPr>
      <w:r>
        <w:t>The Committee has examined the following disallowable instruments and has no comments on them:</w:t>
      </w:r>
    </w:p>
    <w:p w14:paraId="162CB4EC" w14:textId="66CF0B2A" w:rsidR="00CB305A" w:rsidRPr="008D5C6E" w:rsidRDefault="008D5C6E" w:rsidP="008D5C6E">
      <w:pPr>
        <w:pStyle w:val="ListParagraph"/>
        <w:numPr>
          <w:ilvl w:val="0"/>
          <w:numId w:val="3"/>
        </w:numPr>
        <w:ind w:left="1080"/>
        <w:rPr>
          <w:b/>
        </w:rPr>
      </w:pPr>
      <w:r>
        <w:rPr>
          <w:b/>
        </w:rPr>
        <w:t xml:space="preserve">Disallowable Instrument </w:t>
      </w:r>
      <w:r w:rsidR="00CB305A">
        <w:rPr>
          <w:b/>
        </w:rPr>
        <w:t>DI2022-196</w:t>
      </w:r>
      <w:r>
        <w:rPr>
          <w:b/>
        </w:rPr>
        <w:t xml:space="preserve"> </w:t>
      </w:r>
      <w:r w:rsidRPr="008D5C6E">
        <w:rPr>
          <w:bCs/>
        </w:rPr>
        <w:t>being the Government Procurement (Non-Public Employee Member) Appointment 2022 (No 1)</w:t>
      </w:r>
      <w:r>
        <w:rPr>
          <w:b/>
        </w:rPr>
        <w:t xml:space="preserve"> </w:t>
      </w:r>
      <w:r w:rsidRPr="008D5C6E">
        <w:rPr>
          <w:bCs/>
        </w:rPr>
        <w:t xml:space="preserve">made under section 12 of the </w:t>
      </w:r>
      <w:r w:rsidRPr="008D5C6E">
        <w:rPr>
          <w:bCs/>
          <w:i/>
          <w:iCs/>
        </w:rPr>
        <w:t>Government Procurement Act 2001</w:t>
      </w:r>
      <w:r>
        <w:rPr>
          <w:bCs/>
        </w:rPr>
        <w:t>.</w:t>
      </w:r>
      <w:r w:rsidRPr="008D5C6E">
        <w:rPr>
          <w:bCs/>
        </w:rPr>
        <w:t xml:space="preserve"> </w:t>
      </w:r>
    </w:p>
    <w:p w14:paraId="4C257728" w14:textId="598B769A" w:rsidR="00CB305A" w:rsidRDefault="008D5C6E" w:rsidP="00784D66">
      <w:pPr>
        <w:pStyle w:val="ListParagraph"/>
        <w:numPr>
          <w:ilvl w:val="0"/>
          <w:numId w:val="3"/>
        </w:numPr>
        <w:ind w:left="1080"/>
        <w:rPr>
          <w:b/>
        </w:rPr>
      </w:pPr>
      <w:r>
        <w:rPr>
          <w:b/>
        </w:rPr>
        <w:t xml:space="preserve">Disallowable Instrument </w:t>
      </w:r>
      <w:r w:rsidR="00CB305A">
        <w:rPr>
          <w:b/>
        </w:rPr>
        <w:t>DI2022-197</w:t>
      </w:r>
      <w:r>
        <w:rPr>
          <w:b/>
        </w:rPr>
        <w:t xml:space="preserve"> </w:t>
      </w:r>
      <w:r w:rsidRPr="008D5C6E">
        <w:rPr>
          <w:bCs/>
        </w:rPr>
        <w:t>being the Government Procurement (Non-Public Employee Member) Appointment 2022 (No 2) made under section 12 of the</w:t>
      </w:r>
      <w:r>
        <w:rPr>
          <w:b/>
        </w:rPr>
        <w:t xml:space="preserve"> </w:t>
      </w:r>
      <w:r>
        <w:rPr>
          <w:i/>
        </w:rPr>
        <w:t>Government Procurement Act 2001</w:t>
      </w:r>
      <w:r>
        <w:rPr>
          <w:b/>
        </w:rPr>
        <w:t>.</w:t>
      </w:r>
    </w:p>
    <w:p w14:paraId="545926ED" w14:textId="41977561" w:rsidR="00CB305A" w:rsidRDefault="008D5C6E" w:rsidP="00784D66">
      <w:pPr>
        <w:pStyle w:val="ListParagraph"/>
        <w:numPr>
          <w:ilvl w:val="0"/>
          <w:numId w:val="3"/>
        </w:numPr>
        <w:ind w:left="1080"/>
        <w:rPr>
          <w:b/>
        </w:rPr>
      </w:pPr>
      <w:r>
        <w:rPr>
          <w:b/>
        </w:rPr>
        <w:t xml:space="preserve">Disallowable Instrument </w:t>
      </w:r>
      <w:r w:rsidR="00CB305A">
        <w:rPr>
          <w:b/>
        </w:rPr>
        <w:t>DI2022-215</w:t>
      </w:r>
      <w:r w:rsidRPr="008D5C6E">
        <w:rPr>
          <w:b/>
        </w:rPr>
        <w:t xml:space="preserve"> </w:t>
      </w:r>
      <w:r w:rsidRPr="008D5C6E">
        <w:rPr>
          <w:bCs/>
        </w:rPr>
        <w:t xml:space="preserve">being the Terrorism (Extraordinary Temporary Powers) Public Interest Monitor Panel Appointment 2022 (No 1) made under section 62 of the </w:t>
      </w:r>
      <w:r w:rsidRPr="008D5C6E">
        <w:rPr>
          <w:bCs/>
          <w:i/>
        </w:rPr>
        <w:t>Terrorism</w:t>
      </w:r>
      <w:r>
        <w:rPr>
          <w:i/>
        </w:rPr>
        <w:t xml:space="preserve"> (Extraordinary Temporary Powers) Act 2006.</w:t>
      </w:r>
      <w:r w:rsidRPr="00236BDD">
        <w:rPr>
          <w:b/>
        </w:rPr>
        <w:t xml:space="preserve"> </w:t>
      </w:r>
      <w:r>
        <w:rPr>
          <w:b/>
        </w:rPr>
        <w:t xml:space="preserve"> </w:t>
      </w:r>
    </w:p>
    <w:p w14:paraId="7B37336D" w14:textId="26803D5E" w:rsidR="00CB305A" w:rsidRDefault="008D5C6E" w:rsidP="00784D66">
      <w:pPr>
        <w:pStyle w:val="ListParagraph"/>
        <w:numPr>
          <w:ilvl w:val="0"/>
          <w:numId w:val="3"/>
        </w:numPr>
        <w:ind w:left="1080"/>
        <w:rPr>
          <w:b/>
        </w:rPr>
      </w:pPr>
      <w:r>
        <w:rPr>
          <w:b/>
        </w:rPr>
        <w:t xml:space="preserve">Disallowable Instrument </w:t>
      </w:r>
      <w:r w:rsidR="00CB305A">
        <w:rPr>
          <w:b/>
        </w:rPr>
        <w:t>DI2022-216</w:t>
      </w:r>
      <w:r>
        <w:rPr>
          <w:b/>
        </w:rPr>
        <w:t xml:space="preserve"> </w:t>
      </w:r>
      <w:r w:rsidRPr="008D5C6E">
        <w:rPr>
          <w:bCs/>
        </w:rPr>
        <w:t xml:space="preserve">being the Terrorism (Extraordinary Temporary Powers) Public Interest Monitor Panel Appointment 2022 (No 2) made under section 62 of the </w:t>
      </w:r>
      <w:r w:rsidRPr="008D5C6E">
        <w:rPr>
          <w:bCs/>
          <w:i/>
        </w:rPr>
        <w:t>Terrorism (Extraordinary Temporary Powers</w:t>
      </w:r>
      <w:r>
        <w:rPr>
          <w:i/>
        </w:rPr>
        <w:t>) Act 2006.</w:t>
      </w:r>
      <w:r w:rsidRPr="00236BDD">
        <w:rPr>
          <w:b/>
        </w:rPr>
        <w:t xml:space="preserve"> </w:t>
      </w:r>
      <w:r>
        <w:rPr>
          <w:b/>
        </w:rPr>
        <w:t xml:space="preserve"> </w:t>
      </w:r>
    </w:p>
    <w:p w14:paraId="0FBCDAEE" w14:textId="35417E5C" w:rsidR="00CB305A" w:rsidRDefault="008D5C6E" w:rsidP="00784D66">
      <w:pPr>
        <w:pStyle w:val="ListParagraph"/>
        <w:numPr>
          <w:ilvl w:val="0"/>
          <w:numId w:val="3"/>
        </w:numPr>
        <w:ind w:left="1080"/>
        <w:rPr>
          <w:b/>
        </w:rPr>
      </w:pPr>
      <w:r>
        <w:rPr>
          <w:b/>
        </w:rPr>
        <w:t xml:space="preserve">Disallowable Instrument </w:t>
      </w:r>
      <w:r w:rsidR="00CB305A">
        <w:rPr>
          <w:b/>
        </w:rPr>
        <w:t>DI2022-217</w:t>
      </w:r>
      <w:r>
        <w:rPr>
          <w:b/>
        </w:rPr>
        <w:t xml:space="preserve"> </w:t>
      </w:r>
      <w:r w:rsidRPr="008D5C6E">
        <w:rPr>
          <w:bCs/>
        </w:rPr>
        <w:t xml:space="preserve">being the Terrorism (Extraordinary Temporary Powers) Public Interest Monitor Panel Appointment 2022 (No 3) made under section 62 of the </w:t>
      </w:r>
      <w:r w:rsidRPr="008D5C6E">
        <w:rPr>
          <w:bCs/>
          <w:i/>
        </w:rPr>
        <w:t>Terrorism (Extraordinary Temporary Powers) Act 2006.</w:t>
      </w:r>
      <w:r w:rsidRPr="00236BDD">
        <w:rPr>
          <w:b/>
        </w:rPr>
        <w:t xml:space="preserve"> </w:t>
      </w:r>
      <w:r>
        <w:rPr>
          <w:b/>
        </w:rPr>
        <w:t xml:space="preserve"> </w:t>
      </w:r>
    </w:p>
    <w:p w14:paraId="5B279987" w14:textId="4288E624" w:rsidR="00CB305A" w:rsidRDefault="008D5C6E" w:rsidP="00784D66">
      <w:pPr>
        <w:pStyle w:val="ListParagraph"/>
        <w:numPr>
          <w:ilvl w:val="0"/>
          <w:numId w:val="3"/>
        </w:numPr>
        <w:ind w:left="1080"/>
        <w:rPr>
          <w:b/>
        </w:rPr>
      </w:pPr>
      <w:r>
        <w:rPr>
          <w:b/>
        </w:rPr>
        <w:lastRenderedPageBreak/>
        <w:t xml:space="preserve">Disallowable Instrument </w:t>
      </w:r>
      <w:r w:rsidR="00CB305A">
        <w:rPr>
          <w:b/>
        </w:rPr>
        <w:t>DI2022-218</w:t>
      </w:r>
      <w:r w:rsidRPr="008D5C6E">
        <w:rPr>
          <w:b/>
        </w:rPr>
        <w:t xml:space="preserve"> </w:t>
      </w:r>
      <w:r w:rsidRPr="008D5C6E">
        <w:rPr>
          <w:bCs/>
        </w:rPr>
        <w:t xml:space="preserve">being the Taxation Administration (Amounts Payable—Land Tax) Determination 2022 made under section 139 of the </w:t>
      </w:r>
      <w:r w:rsidRPr="008D5C6E">
        <w:rPr>
          <w:bCs/>
          <w:i/>
        </w:rPr>
        <w:t>Taxation Administration Act 1999.</w:t>
      </w:r>
      <w:r w:rsidRPr="008D5C6E">
        <w:rPr>
          <w:bCs/>
        </w:rPr>
        <w:t xml:space="preserve">  </w:t>
      </w:r>
    </w:p>
    <w:p w14:paraId="1939AB4F" w14:textId="3C0D9281" w:rsidR="00CB305A" w:rsidRDefault="008D5C6E" w:rsidP="00784D66">
      <w:pPr>
        <w:pStyle w:val="ListParagraph"/>
        <w:numPr>
          <w:ilvl w:val="0"/>
          <w:numId w:val="3"/>
        </w:numPr>
        <w:ind w:left="1080"/>
        <w:rPr>
          <w:b/>
        </w:rPr>
      </w:pPr>
      <w:r>
        <w:rPr>
          <w:b/>
        </w:rPr>
        <w:t xml:space="preserve">Disallowable Instrument </w:t>
      </w:r>
      <w:r w:rsidR="00CB305A">
        <w:rPr>
          <w:b/>
        </w:rPr>
        <w:t>DI2022-219</w:t>
      </w:r>
      <w:r>
        <w:rPr>
          <w:b/>
        </w:rPr>
        <w:t xml:space="preserve"> </w:t>
      </w:r>
      <w:r w:rsidRPr="008D5C6E">
        <w:rPr>
          <w:bCs/>
        </w:rPr>
        <w:t xml:space="preserve">being the Motor Accident Injuries (Internal Review) Guidelines 2022 made under section 487 of the </w:t>
      </w:r>
      <w:r w:rsidRPr="008D5C6E">
        <w:rPr>
          <w:bCs/>
          <w:i/>
        </w:rPr>
        <w:t>Motor Accident Injuries Act 2019.</w:t>
      </w:r>
      <w:r w:rsidRPr="008D5C6E">
        <w:rPr>
          <w:bCs/>
        </w:rPr>
        <w:t xml:space="preserve">  </w:t>
      </w:r>
    </w:p>
    <w:p w14:paraId="0F5EA53F" w14:textId="77777777" w:rsidR="00CB305A" w:rsidRDefault="00CB305A" w:rsidP="00CB305A">
      <w:pPr>
        <w:pStyle w:val="Heading2"/>
      </w:pPr>
      <w:bookmarkStart w:id="116" w:name="_Toc116900153"/>
      <w:r>
        <w:t>Disallowable Instruments – Comment</w:t>
      </w:r>
      <w:bookmarkEnd w:id="116"/>
    </w:p>
    <w:p w14:paraId="3CF610DE" w14:textId="77777777" w:rsidR="00CB305A" w:rsidRDefault="00CB305A" w:rsidP="00CB305A">
      <w:pPr>
        <w:pStyle w:val="ListNumber2"/>
      </w:pPr>
      <w:r>
        <w:t>The Committee has examined the following disallowable instruments and offers these comments on them:</w:t>
      </w:r>
    </w:p>
    <w:p w14:paraId="46F1EA37" w14:textId="77777777" w:rsidR="00CB305A" w:rsidRDefault="00CB305A" w:rsidP="00094CC1">
      <w:pPr>
        <w:pStyle w:val="Heading3"/>
      </w:pPr>
      <w:bookmarkStart w:id="117" w:name="_Hlk83120010"/>
      <w:bookmarkStart w:id="118" w:name="_Toc116900154"/>
      <w:r>
        <w:t xml:space="preserve">Fees Determinations </w:t>
      </w:r>
      <w:bookmarkStart w:id="119" w:name="_Hlk116227296"/>
      <w:r>
        <w:t>/ Human Rights Issues</w:t>
      </w:r>
      <w:bookmarkEnd w:id="119"/>
      <w:bookmarkEnd w:id="118"/>
    </w:p>
    <w:p w14:paraId="49B32A74" w14:textId="11BA1534" w:rsidR="00CB305A" w:rsidRDefault="00CB305A" w:rsidP="00784D66">
      <w:pPr>
        <w:pStyle w:val="ListParagraph"/>
        <w:numPr>
          <w:ilvl w:val="0"/>
          <w:numId w:val="3"/>
        </w:numPr>
        <w:ind w:left="1080"/>
        <w:rPr>
          <w:b/>
        </w:rPr>
      </w:pPr>
      <w:bookmarkStart w:id="120" w:name="_Hlk116223722"/>
      <w:r>
        <w:rPr>
          <w:b/>
        </w:rPr>
        <w:t>Disallowable Instrument</w:t>
      </w:r>
      <w:r w:rsidRPr="00451C85">
        <w:rPr>
          <w:b/>
        </w:rPr>
        <w:t xml:space="preserve"> </w:t>
      </w:r>
      <w:r>
        <w:rPr>
          <w:b/>
        </w:rPr>
        <w:t xml:space="preserve">DI2022-194 </w:t>
      </w:r>
      <w:r w:rsidR="00960FCC" w:rsidRPr="00960FCC">
        <w:rPr>
          <w:bCs/>
        </w:rPr>
        <w:t xml:space="preserve">being the Water Resources (Fees) Determination 2022 (No 2) made under section 107 of the </w:t>
      </w:r>
      <w:r w:rsidR="00960FCC" w:rsidRPr="00960FCC">
        <w:rPr>
          <w:bCs/>
          <w:i/>
        </w:rPr>
        <w:t>Water Resources Act 2007.</w:t>
      </w:r>
      <w:r w:rsidR="00960FCC" w:rsidRPr="00236BDD">
        <w:rPr>
          <w:b/>
        </w:rPr>
        <w:t xml:space="preserve"> </w:t>
      </w:r>
      <w:r w:rsidR="00960FCC">
        <w:rPr>
          <w:b/>
        </w:rPr>
        <w:t xml:space="preserve"> </w:t>
      </w:r>
    </w:p>
    <w:bookmarkEnd w:id="120"/>
    <w:p w14:paraId="7970823F" w14:textId="52AE5A1E" w:rsidR="00CB305A" w:rsidRDefault="00CB305A" w:rsidP="00784D66">
      <w:pPr>
        <w:pStyle w:val="ListParagraph"/>
        <w:numPr>
          <w:ilvl w:val="0"/>
          <w:numId w:val="3"/>
        </w:numPr>
        <w:ind w:left="1080"/>
        <w:rPr>
          <w:b/>
        </w:rPr>
      </w:pPr>
      <w:r w:rsidRPr="00FA2F43">
        <w:rPr>
          <w:b/>
        </w:rPr>
        <w:t>Disallowable Instrument DI2022-19</w:t>
      </w:r>
      <w:r>
        <w:rPr>
          <w:b/>
        </w:rPr>
        <w:t xml:space="preserve">5 </w:t>
      </w:r>
      <w:r w:rsidR="00960FCC" w:rsidRPr="00960FCC">
        <w:rPr>
          <w:bCs/>
        </w:rPr>
        <w:t xml:space="preserve">being the Firearms (Fees) Determination 2022 (No 2) made under section 270 of the </w:t>
      </w:r>
      <w:r w:rsidR="00960FCC" w:rsidRPr="00960FCC">
        <w:rPr>
          <w:bCs/>
          <w:i/>
        </w:rPr>
        <w:t>Firearms Act 1996.</w:t>
      </w:r>
      <w:r w:rsidR="00960FCC" w:rsidRPr="00236BDD">
        <w:rPr>
          <w:b/>
        </w:rPr>
        <w:t xml:space="preserve"> </w:t>
      </w:r>
      <w:r w:rsidR="00960FCC">
        <w:rPr>
          <w:b/>
        </w:rPr>
        <w:t xml:space="preserve"> </w:t>
      </w:r>
    </w:p>
    <w:p w14:paraId="6C41B07B" w14:textId="1755375E" w:rsidR="00CB305A" w:rsidRDefault="00CB305A" w:rsidP="00784D66">
      <w:pPr>
        <w:pStyle w:val="ListParagraph"/>
        <w:numPr>
          <w:ilvl w:val="0"/>
          <w:numId w:val="3"/>
        </w:numPr>
        <w:ind w:left="1080"/>
        <w:rPr>
          <w:b/>
        </w:rPr>
      </w:pPr>
      <w:r w:rsidRPr="00FA2F43">
        <w:rPr>
          <w:b/>
        </w:rPr>
        <w:t>Disallowable Instrument DI2022-19</w:t>
      </w:r>
      <w:r>
        <w:rPr>
          <w:b/>
        </w:rPr>
        <w:t>9</w:t>
      </w:r>
      <w:r w:rsidR="00960FCC" w:rsidRPr="00960FCC">
        <w:rPr>
          <w:b/>
        </w:rPr>
        <w:t xml:space="preserve"> </w:t>
      </w:r>
      <w:r w:rsidR="00960FCC" w:rsidRPr="00960FCC">
        <w:rPr>
          <w:bCs/>
        </w:rPr>
        <w:t xml:space="preserve">being the Public Trustee and Guardian (Fees) Determination 2022 (No 2) made under section 75 of the </w:t>
      </w:r>
      <w:r w:rsidR="00960FCC" w:rsidRPr="00960FCC">
        <w:rPr>
          <w:bCs/>
          <w:i/>
        </w:rPr>
        <w:t>Public Trustee and Guardian Act 1985.</w:t>
      </w:r>
      <w:r w:rsidR="00960FCC" w:rsidRPr="00960FCC">
        <w:rPr>
          <w:bCs/>
        </w:rPr>
        <w:t xml:space="preserve">  </w:t>
      </w:r>
    </w:p>
    <w:p w14:paraId="2F1C59CB" w14:textId="6263EED5" w:rsidR="00CB305A" w:rsidRDefault="00CB305A" w:rsidP="00784D66">
      <w:pPr>
        <w:pStyle w:val="ListParagraph"/>
        <w:numPr>
          <w:ilvl w:val="0"/>
          <w:numId w:val="3"/>
        </w:numPr>
        <w:ind w:left="1080"/>
        <w:rPr>
          <w:b/>
        </w:rPr>
      </w:pPr>
      <w:r w:rsidRPr="00FA2F43">
        <w:rPr>
          <w:b/>
        </w:rPr>
        <w:t>Disallowable Instrument DI2022-</w:t>
      </w:r>
      <w:r>
        <w:rPr>
          <w:b/>
        </w:rPr>
        <w:t>200</w:t>
      </w:r>
      <w:r w:rsidR="00960FCC" w:rsidRPr="00960FCC">
        <w:rPr>
          <w:b/>
        </w:rPr>
        <w:t xml:space="preserve"> </w:t>
      </w:r>
      <w:r w:rsidR="00960FCC" w:rsidRPr="00960FCC">
        <w:rPr>
          <w:bCs/>
        </w:rPr>
        <w:t xml:space="preserve">being the Land Titles (Fees) Determination 2022 (No 2) made under section 139 of the </w:t>
      </w:r>
      <w:r w:rsidR="00960FCC" w:rsidRPr="00960FCC">
        <w:rPr>
          <w:bCs/>
          <w:i/>
        </w:rPr>
        <w:t>Land Titles Act 1925</w:t>
      </w:r>
      <w:r w:rsidR="00960FCC">
        <w:rPr>
          <w:b/>
        </w:rPr>
        <w:t>.</w:t>
      </w:r>
      <w:r w:rsidR="00960FCC" w:rsidRPr="00236BDD">
        <w:rPr>
          <w:b/>
        </w:rPr>
        <w:t xml:space="preserve"> </w:t>
      </w:r>
      <w:r w:rsidR="00960FCC">
        <w:rPr>
          <w:b/>
        </w:rPr>
        <w:t xml:space="preserve"> </w:t>
      </w:r>
    </w:p>
    <w:p w14:paraId="6DAD8501" w14:textId="08EB94CD" w:rsidR="00CB305A" w:rsidRDefault="00CB305A" w:rsidP="00784D66">
      <w:pPr>
        <w:pStyle w:val="ListParagraph"/>
        <w:numPr>
          <w:ilvl w:val="0"/>
          <w:numId w:val="3"/>
        </w:numPr>
        <w:ind w:left="1080"/>
        <w:rPr>
          <w:b/>
        </w:rPr>
      </w:pPr>
      <w:bookmarkStart w:id="121" w:name="_Hlk116224556"/>
      <w:r w:rsidRPr="00FA2F43">
        <w:rPr>
          <w:b/>
        </w:rPr>
        <w:t>Disallowable Instrument DI2022-</w:t>
      </w:r>
      <w:r>
        <w:rPr>
          <w:b/>
        </w:rPr>
        <w:t>201</w:t>
      </w:r>
      <w:r w:rsidR="00960FCC" w:rsidRPr="00960FCC">
        <w:rPr>
          <w:b/>
        </w:rPr>
        <w:t xml:space="preserve"> </w:t>
      </w:r>
      <w:r w:rsidR="00960FCC" w:rsidRPr="00960FCC">
        <w:rPr>
          <w:bCs/>
        </w:rPr>
        <w:t xml:space="preserve">being the Liquor (Fees) Determination 2022 (No 2) made under section 227 of the </w:t>
      </w:r>
      <w:r w:rsidR="00960FCC" w:rsidRPr="00960FCC">
        <w:rPr>
          <w:bCs/>
          <w:i/>
        </w:rPr>
        <w:t>Liquor Act 2010.</w:t>
      </w:r>
      <w:r w:rsidR="00960FCC" w:rsidRPr="00236BDD">
        <w:rPr>
          <w:b/>
        </w:rPr>
        <w:t xml:space="preserve"> </w:t>
      </w:r>
      <w:r w:rsidR="00960FCC">
        <w:rPr>
          <w:b/>
        </w:rPr>
        <w:t xml:space="preserve"> </w:t>
      </w:r>
    </w:p>
    <w:p w14:paraId="34D46369" w14:textId="7585A2FF" w:rsidR="00CB305A" w:rsidRDefault="00CB305A" w:rsidP="00784D66">
      <w:pPr>
        <w:pStyle w:val="ListParagraph"/>
        <w:numPr>
          <w:ilvl w:val="0"/>
          <w:numId w:val="3"/>
        </w:numPr>
        <w:ind w:left="1080"/>
        <w:rPr>
          <w:b/>
        </w:rPr>
      </w:pPr>
      <w:r w:rsidRPr="002F1B3B">
        <w:rPr>
          <w:b/>
        </w:rPr>
        <w:t>Disallowable Instrument DI2022-</w:t>
      </w:r>
      <w:r>
        <w:rPr>
          <w:b/>
        </w:rPr>
        <w:t>202</w:t>
      </w:r>
      <w:r w:rsidR="00960FCC" w:rsidRPr="00960FCC">
        <w:rPr>
          <w:b/>
        </w:rPr>
        <w:t xml:space="preserve"> </w:t>
      </w:r>
      <w:r w:rsidR="00960FCC" w:rsidRPr="00960FCC">
        <w:rPr>
          <w:bCs/>
        </w:rPr>
        <w:t xml:space="preserve">being the Security Industry (Fees) Determination 2022 (No 2) made under section 50 of the </w:t>
      </w:r>
      <w:r w:rsidR="00960FCC" w:rsidRPr="00960FCC">
        <w:rPr>
          <w:bCs/>
          <w:i/>
        </w:rPr>
        <w:t>Security Industry Act 2003.</w:t>
      </w:r>
      <w:r w:rsidR="00960FCC" w:rsidRPr="00236BDD">
        <w:rPr>
          <w:b/>
        </w:rPr>
        <w:t xml:space="preserve"> </w:t>
      </w:r>
      <w:r w:rsidR="00960FCC">
        <w:rPr>
          <w:b/>
        </w:rPr>
        <w:t xml:space="preserve"> </w:t>
      </w:r>
    </w:p>
    <w:p w14:paraId="52F68A49" w14:textId="159DD148" w:rsidR="00CB305A" w:rsidRPr="00784D66" w:rsidRDefault="00CB305A" w:rsidP="00784D66">
      <w:pPr>
        <w:pStyle w:val="ListParagraph"/>
        <w:numPr>
          <w:ilvl w:val="0"/>
          <w:numId w:val="3"/>
        </w:numPr>
        <w:ind w:left="1080"/>
        <w:rPr>
          <w:b/>
        </w:rPr>
      </w:pPr>
      <w:r w:rsidRPr="00784D66">
        <w:rPr>
          <w:b/>
        </w:rPr>
        <w:t>Disallowable Instrument DI2022-203</w:t>
      </w:r>
      <w:r w:rsidR="00960FCC">
        <w:rPr>
          <w:b/>
        </w:rPr>
        <w:t xml:space="preserve"> </w:t>
      </w:r>
      <w:r w:rsidR="00960FCC" w:rsidRPr="00960FCC">
        <w:rPr>
          <w:bCs/>
        </w:rPr>
        <w:t xml:space="preserve">being the Partnership (Fees) Determination 2022 (No 2) made under section 99 of the </w:t>
      </w:r>
      <w:r w:rsidR="00960FCC" w:rsidRPr="00960FCC">
        <w:rPr>
          <w:bCs/>
          <w:i/>
        </w:rPr>
        <w:t>Partnership Act 1963.</w:t>
      </w:r>
      <w:r w:rsidR="00960FCC" w:rsidRPr="00236BDD">
        <w:rPr>
          <w:b/>
        </w:rPr>
        <w:t xml:space="preserve"> </w:t>
      </w:r>
      <w:r w:rsidR="00960FCC">
        <w:rPr>
          <w:b/>
        </w:rPr>
        <w:t xml:space="preserve"> </w:t>
      </w:r>
    </w:p>
    <w:p w14:paraId="5723F5E0" w14:textId="1AEF8F34" w:rsidR="00CB305A" w:rsidRPr="00784D66" w:rsidRDefault="00CB305A" w:rsidP="00784D66">
      <w:pPr>
        <w:pStyle w:val="ListParagraph"/>
        <w:numPr>
          <w:ilvl w:val="0"/>
          <w:numId w:val="3"/>
        </w:numPr>
        <w:ind w:left="1080"/>
        <w:rPr>
          <w:b/>
        </w:rPr>
      </w:pPr>
      <w:bookmarkStart w:id="122" w:name="_Hlk116224483"/>
      <w:r w:rsidRPr="00784D66">
        <w:rPr>
          <w:b/>
        </w:rPr>
        <w:t>Disallowable Instrument DI2022-204</w:t>
      </w:r>
      <w:r w:rsidR="00960FCC" w:rsidRPr="00960FCC">
        <w:rPr>
          <w:b/>
        </w:rPr>
        <w:t xml:space="preserve"> </w:t>
      </w:r>
      <w:r w:rsidR="00960FCC" w:rsidRPr="00960FCC">
        <w:rPr>
          <w:bCs/>
        </w:rPr>
        <w:t xml:space="preserve">being the Associations Incorporation (Fees) Determination 2022 (No 2) made under section 125 of the </w:t>
      </w:r>
      <w:r w:rsidR="00960FCC" w:rsidRPr="00960FCC">
        <w:rPr>
          <w:bCs/>
          <w:i/>
        </w:rPr>
        <w:t>Associations Incorporation Act 1991.</w:t>
      </w:r>
      <w:r w:rsidR="00960FCC" w:rsidRPr="00236BDD">
        <w:rPr>
          <w:b/>
        </w:rPr>
        <w:t xml:space="preserve"> </w:t>
      </w:r>
      <w:r w:rsidR="00960FCC">
        <w:rPr>
          <w:b/>
        </w:rPr>
        <w:t xml:space="preserve"> </w:t>
      </w:r>
    </w:p>
    <w:p w14:paraId="199C66AC" w14:textId="582C97E2" w:rsidR="00CB305A" w:rsidRPr="00784D66" w:rsidRDefault="00CB305A" w:rsidP="00784D66">
      <w:pPr>
        <w:pStyle w:val="ListParagraph"/>
        <w:numPr>
          <w:ilvl w:val="0"/>
          <w:numId w:val="3"/>
        </w:numPr>
        <w:ind w:left="1080"/>
        <w:rPr>
          <w:b/>
        </w:rPr>
      </w:pPr>
      <w:r w:rsidRPr="00784D66">
        <w:rPr>
          <w:b/>
        </w:rPr>
        <w:t>Disallowable Instrument DI2022-205</w:t>
      </w:r>
      <w:r w:rsidR="00960FCC" w:rsidRPr="00960FCC">
        <w:rPr>
          <w:b/>
        </w:rPr>
        <w:t xml:space="preserve"> </w:t>
      </w:r>
      <w:r w:rsidR="00960FCC" w:rsidRPr="00960FCC">
        <w:rPr>
          <w:bCs/>
        </w:rPr>
        <w:t>being the Tobacco and Other Smoking Products (Fees) Determination 2022 (No 2) made under section 70 of the</w:t>
      </w:r>
      <w:r w:rsidR="00960FCC">
        <w:rPr>
          <w:b/>
        </w:rPr>
        <w:t xml:space="preserve"> </w:t>
      </w:r>
      <w:r w:rsidR="00960FCC">
        <w:rPr>
          <w:i/>
        </w:rPr>
        <w:t>Tobacco and Other Smoking Products Act 1927.</w:t>
      </w:r>
      <w:r w:rsidR="00960FCC" w:rsidRPr="00236BDD">
        <w:rPr>
          <w:b/>
        </w:rPr>
        <w:t xml:space="preserve"> </w:t>
      </w:r>
      <w:r w:rsidR="00960FCC">
        <w:rPr>
          <w:b/>
        </w:rPr>
        <w:t xml:space="preserve"> </w:t>
      </w:r>
    </w:p>
    <w:bookmarkEnd w:id="121"/>
    <w:p w14:paraId="201B953A" w14:textId="26CCFAB7" w:rsidR="00CB305A" w:rsidRPr="00784D66" w:rsidRDefault="00CB305A" w:rsidP="00784D66">
      <w:pPr>
        <w:pStyle w:val="ListParagraph"/>
        <w:numPr>
          <w:ilvl w:val="0"/>
          <w:numId w:val="3"/>
        </w:numPr>
        <w:ind w:left="1080"/>
        <w:rPr>
          <w:b/>
        </w:rPr>
      </w:pPr>
      <w:r w:rsidRPr="00784D66">
        <w:rPr>
          <w:b/>
        </w:rPr>
        <w:t>Disallowable Instrument DI2022-206</w:t>
      </w:r>
      <w:r w:rsidR="00960FCC" w:rsidRPr="00960FCC">
        <w:rPr>
          <w:b/>
        </w:rPr>
        <w:t xml:space="preserve"> </w:t>
      </w:r>
      <w:r w:rsidR="00960FCC" w:rsidRPr="00960FCC">
        <w:rPr>
          <w:bCs/>
        </w:rPr>
        <w:t xml:space="preserve">being the Architects (Fees) Determination 2022 (No 2) made under section 91 of the </w:t>
      </w:r>
      <w:r w:rsidR="00960FCC" w:rsidRPr="00960FCC">
        <w:rPr>
          <w:bCs/>
          <w:i/>
        </w:rPr>
        <w:t>Architects Act 2004.</w:t>
      </w:r>
      <w:r w:rsidR="00960FCC" w:rsidRPr="00236BDD">
        <w:rPr>
          <w:b/>
        </w:rPr>
        <w:t xml:space="preserve"> </w:t>
      </w:r>
      <w:r w:rsidR="00960FCC">
        <w:rPr>
          <w:b/>
        </w:rPr>
        <w:t xml:space="preserve"> </w:t>
      </w:r>
    </w:p>
    <w:p w14:paraId="5D388326" w14:textId="20215D9E" w:rsidR="00CB305A" w:rsidRPr="00784D66" w:rsidRDefault="00CB305A" w:rsidP="00784D66">
      <w:pPr>
        <w:pStyle w:val="ListParagraph"/>
        <w:numPr>
          <w:ilvl w:val="0"/>
          <w:numId w:val="3"/>
        </w:numPr>
        <w:ind w:left="1080"/>
        <w:rPr>
          <w:b/>
        </w:rPr>
      </w:pPr>
      <w:r w:rsidRPr="00784D66">
        <w:rPr>
          <w:b/>
        </w:rPr>
        <w:t>Disallowable Instrument DI2022-207</w:t>
      </w:r>
      <w:r w:rsidR="00960FCC" w:rsidRPr="00960FCC">
        <w:rPr>
          <w:b/>
        </w:rPr>
        <w:t xml:space="preserve"> </w:t>
      </w:r>
      <w:r w:rsidR="00960FCC" w:rsidRPr="00960FCC">
        <w:rPr>
          <w:bCs/>
        </w:rPr>
        <w:t xml:space="preserve">being the Electricity Safety (Fees) Determination 2022 (No 2) made under section 64 of the </w:t>
      </w:r>
      <w:r w:rsidR="00960FCC" w:rsidRPr="00960FCC">
        <w:rPr>
          <w:bCs/>
          <w:i/>
        </w:rPr>
        <w:t>Electricity Safety Act 1971.</w:t>
      </w:r>
      <w:r w:rsidR="00960FCC" w:rsidRPr="00236BDD">
        <w:rPr>
          <w:b/>
        </w:rPr>
        <w:t xml:space="preserve"> </w:t>
      </w:r>
      <w:r w:rsidR="00960FCC">
        <w:rPr>
          <w:b/>
        </w:rPr>
        <w:t xml:space="preserve"> </w:t>
      </w:r>
    </w:p>
    <w:p w14:paraId="5C0C21AB" w14:textId="05ED9743" w:rsidR="00CB305A" w:rsidRPr="00960FCC" w:rsidRDefault="00CB305A" w:rsidP="00784D66">
      <w:pPr>
        <w:pStyle w:val="ListParagraph"/>
        <w:numPr>
          <w:ilvl w:val="0"/>
          <w:numId w:val="3"/>
        </w:numPr>
        <w:ind w:left="1080"/>
        <w:rPr>
          <w:bCs/>
        </w:rPr>
      </w:pPr>
      <w:r w:rsidRPr="00784D66">
        <w:rPr>
          <w:b/>
        </w:rPr>
        <w:t>Disallowable Instrument DI2022-208</w:t>
      </w:r>
      <w:r w:rsidR="00960FCC" w:rsidRPr="00960FCC">
        <w:rPr>
          <w:b/>
        </w:rPr>
        <w:t xml:space="preserve"> </w:t>
      </w:r>
      <w:r w:rsidR="00960FCC" w:rsidRPr="00960FCC">
        <w:rPr>
          <w:bCs/>
        </w:rPr>
        <w:t xml:space="preserve">being the Environment Protection (Fees) Determination 2022 (No 2) made under section 165 of the </w:t>
      </w:r>
      <w:r w:rsidR="00960FCC" w:rsidRPr="00960FCC">
        <w:rPr>
          <w:bCs/>
          <w:i/>
        </w:rPr>
        <w:t>Environment Protection Act 1997.</w:t>
      </w:r>
      <w:r w:rsidR="00960FCC" w:rsidRPr="00960FCC">
        <w:rPr>
          <w:bCs/>
        </w:rPr>
        <w:t xml:space="preserve">  </w:t>
      </w:r>
    </w:p>
    <w:p w14:paraId="5874874B" w14:textId="64E685A1" w:rsidR="00CB305A" w:rsidRPr="00960FCC" w:rsidRDefault="00CB305A" w:rsidP="00784D66">
      <w:pPr>
        <w:pStyle w:val="ListParagraph"/>
        <w:numPr>
          <w:ilvl w:val="0"/>
          <w:numId w:val="3"/>
        </w:numPr>
        <w:ind w:left="1080"/>
        <w:rPr>
          <w:bCs/>
        </w:rPr>
      </w:pPr>
      <w:r w:rsidRPr="00784D66">
        <w:rPr>
          <w:b/>
        </w:rPr>
        <w:t>Disallowable Instrument DI2022-209</w:t>
      </w:r>
      <w:r w:rsidR="00960FCC" w:rsidRPr="00960FCC">
        <w:rPr>
          <w:b/>
        </w:rPr>
        <w:t xml:space="preserve"> </w:t>
      </w:r>
      <w:r w:rsidR="00960FCC" w:rsidRPr="00960FCC">
        <w:rPr>
          <w:bCs/>
        </w:rPr>
        <w:t xml:space="preserve">being the Gas Safety (Fees) Determination 2022 (No 2) made under section 67 of the </w:t>
      </w:r>
      <w:r w:rsidR="00960FCC" w:rsidRPr="00960FCC">
        <w:rPr>
          <w:bCs/>
          <w:i/>
        </w:rPr>
        <w:t>Gas Safety Act 2000.</w:t>
      </w:r>
      <w:r w:rsidR="00960FCC" w:rsidRPr="00960FCC">
        <w:rPr>
          <w:bCs/>
        </w:rPr>
        <w:t xml:space="preserve">  </w:t>
      </w:r>
    </w:p>
    <w:p w14:paraId="097730DA" w14:textId="525AA748" w:rsidR="00CB305A" w:rsidRPr="00784D66" w:rsidRDefault="00CB305A" w:rsidP="00784D66">
      <w:pPr>
        <w:pStyle w:val="ListParagraph"/>
        <w:numPr>
          <w:ilvl w:val="0"/>
          <w:numId w:val="3"/>
        </w:numPr>
        <w:ind w:left="1080"/>
        <w:rPr>
          <w:b/>
        </w:rPr>
      </w:pPr>
      <w:r w:rsidRPr="00784D66">
        <w:rPr>
          <w:b/>
        </w:rPr>
        <w:lastRenderedPageBreak/>
        <w:t>Disallowable Instrument DI2022-210</w:t>
      </w:r>
      <w:r w:rsidR="00960FCC" w:rsidRPr="00960FCC">
        <w:rPr>
          <w:b/>
        </w:rPr>
        <w:t xml:space="preserve"> </w:t>
      </w:r>
      <w:r w:rsidR="00960FCC" w:rsidRPr="00960FCC">
        <w:rPr>
          <w:bCs/>
        </w:rPr>
        <w:t xml:space="preserve">being the Water and Sewerage (Fees) Determination 2022 (No 2) made under section 45 of the </w:t>
      </w:r>
      <w:r w:rsidR="00960FCC" w:rsidRPr="00960FCC">
        <w:rPr>
          <w:bCs/>
          <w:i/>
        </w:rPr>
        <w:t>Water and Sewerage Act 2000.</w:t>
      </w:r>
      <w:r w:rsidR="00960FCC" w:rsidRPr="00236BDD">
        <w:rPr>
          <w:b/>
        </w:rPr>
        <w:t xml:space="preserve"> </w:t>
      </w:r>
      <w:r w:rsidR="00960FCC">
        <w:rPr>
          <w:b/>
        </w:rPr>
        <w:t xml:space="preserve"> </w:t>
      </w:r>
    </w:p>
    <w:p w14:paraId="3C99BE30" w14:textId="729B8B69" w:rsidR="00CB305A" w:rsidRPr="00D10BDA" w:rsidRDefault="00CB305A" w:rsidP="00D10BDA">
      <w:pPr>
        <w:pStyle w:val="ListNumber2"/>
      </w:pPr>
      <w:r w:rsidRPr="00D10BDA">
        <w:t xml:space="preserve">Each of the instruments mentioned above determine fees, for various Acts, for the 2022-23 financial year. All except </w:t>
      </w:r>
      <w:r w:rsidRPr="00227AEB">
        <w:t>DI2022-195 apply from 1 September 2022. DI2022-195</w:t>
      </w:r>
      <w:r w:rsidRPr="00D10BDA">
        <w:t xml:space="preserve"> applies from the day after notification</w:t>
      </w:r>
      <w:r w:rsidR="00DF0135">
        <w:t>.</w:t>
      </w:r>
      <w:r w:rsidRPr="00D10BDA">
        <w:t xml:space="preserve"> It was notified on the ACT Legislation Register on 5 September 2022. The Committee notes that each instrument mentioned above revokes and re-makes an instrument made earlier in 2022 (that has been previously considered by the Committee). </w:t>
      </w:r>
    </w:p>
    <w:p w14:paraId="71220A9B" w14:textId="729327AE" w:rsidR="00CB305A" w:rsidRPr="00D10BDA" w:rsidRDefault="00CB305A" w:rsidP="00D10BDA">
      <w:pPr>
        <w:pStyle w:val="ListNumber2"/>
      </w:pPr>
      <w:r w:rsidRPr="00D10BDA">
        <w:t>The Committee notes, with approval, that in each case, the instrument and/or the explanatory statement for the instrument sets out the information required by the Committee (see</w:t>
      </w:r>
      <w:r w:rsidRPr="00D10BDA">
        <w:rPr>
          <w:rFonts w:ascii="Calibri" w:eastAsia="Times New Roman" w:hAnsi="Calibri" w:cs="Calibri"/>
          <w:color w:val="000000"/>
          <w:lang w:eastAsia="en-AU"/>
        </w:rPr>
        <w:t xml:space="preserve"> </w:t>
      </w:r>
      <w:hyperlink r:id="rId18" w:history="1">
        <w:r w:rsidRPr="00D10BDA">
          <w:rPr>
            <w:rStyle w:val="Hyperlink"/>
            <w:rFonts w:ascii="Calibri" w:eastAsia="Calibri" w:hAnsi="Calibri" w:cs="Calibri"/>
            <w:i/>
          </w:rPr>
          <w:t>Subordinate legislation—Technical and stylistic standards—Tips/Traps</w:t>
        </w:r>
      </w:hyperlink>
      <w:r w:rsidRPr="0003767D">
        <w:rPr>
          <w:rFonts w:ascii="Calibri" w:eastAsia="Calibri" w:hAnsi="Calibri" w:cs="Calibri"/>
          <w:vertAlign w:val="superscript"/>
        </w:rPr>
        <w:footnoteReference w:id="1"/>
      </w:r>
      <w:r w:rsidRPr="00D10BDA">
        <w:rPr>
          <w:rFonts w:ascii="Calibri" w:eastAsia="Calibri" w:hAnsi="Calibri" w:cs="Calibri"/>
        </w:rPr>
        <w:t xml:space="preserve">) </w:t>
      </w:r>
      <w:r w:rsidRPr="00D10BDA">
        <w:rPr>
          <w:rFonts w:ascii="Calibri" w:eastAsia="Times New Roman" w:hAnsi="Calibri" w:cs="Calibri"/>
          <w:color w:val="000000"/>
          <w:lang w:eastAsia="en-AU"/>
        </w:rPr>
        <w:t>in relation to fees determinations, namely:</w:t>
      </w:r>
    </w:p>
    <w:p w14:paraId="41FDCDFA" w14:textId="47C75EFA" w:rsidR="00CB305A" w:rsidRPr="00784D66" w:rsidRDefault="00CB305A" w:rsidP="00784D66">
      <w:pPr>
        <w:pStyle w:val="ListNumber3"/>
        <w:numPr>
          <w:ilvl w:val="2"/>
          <w:numId w:val="6"/>
        </w:numPr>
      </w:pPr>
      <w:r w:rsidRPr="00784D66">
        <w:t>the “o</w:t>
      </w:r>
      <w:r w:rsidR="00784D66">
        <w:t>l</w:t>
      </w:r>
      <w:r w:rsidRPr="00784D66">
        <w:t>d” fee;</w:t>
      </w:r>
    </w:p>
    <w:p w14:paraId="40D3B86D" w14:textId="2C209179" w:rsidR="00CB305A" w:rsidRPr="00784D66" w:rsidRDefault="00CB305A" w:rsidP="00784D66">
      <w:pPr>
        <w:pStyle w:val="ListNumber3"/>
        <w:numPr>
          <w:ilvl w:val="2"/>
          <w:numId w:val="6"/>
        </w:numPr>
      </w:pPr>
      <w:r w:rsidRPr="00784D66">
        <w:t>the “new” fee;</w:t>
      </w:r>
    </w:p>
    <w:p w14:paraId="155707D0" w14:textId="772E66C1" w:rsidR="00CB305A" w:rsidRPr="00784D66" w:rsidRDefault="00CB305A" w:rsidP="00784D66">
      <w:pPr>
        <w:pStyle w:val="ListNumber3"/>
        <w:numPr>
          <w:ilvl w:val="2"/>
          <w:numId w:val="6"/>
        </w:numPr>
      </w:pPr>
      <w:r w:rsidRPr="00784D66">
        <w:t>the percentage of any increase in the fee; and</w:t>
      </w:r>
    </w:p>
    <w:p w14:paraId="60A9158E" w14:textId="06486C5D" w:rsidR="00784D66" w:rsidRPr="00784D66" w:rsidRDefault="00CB305A" w:rsidP="00CB305A">
      <w:pPr>
        <w:pStyle w:val="ListNumber3"/>
        <w:numPr>
          <w:ilvl w:val="2"/>
          <w:numId w:val="6"/>
        </w:numPr>
      </w:pPr>
      <w:r w:rsidRPr="00784D66">
        <w:t xml:space="preserve">the reasons for any increase. </w:t>
      </w:r>
    </w:p>
    <w:p w14:paraId="3B972544" w14:textId="728FE172" w:rsidR="00CB305A" w:rsidRPr="00187B83" w:rsidRDefault="00CB305A" w:rsidP="00187B83">
      <w:pPr>
        <w:pStyle w:val="ListNumber2"/>
      </w:pPr>
      <w:r w:rsidRPr="00187B83">
        <w:t>The Committee notes that the reasons for the fees increases are typified by this statement, in the explanatory statement for DI2022-195 (i</w:t>
      </w:r>
      <w:r w:rsidR="00784D66">
        <w:t>.</w:t>
      </w:r>
      <w:r w:rsidRPr="00187B83">
        <w:t>e</w:t>
      </w:r>
      <w:r w:rsidR="00784D66">
        <w:t>.,</w:t>
      </w:r>
      <w:r w:rsidRPr="00187B83">
        <w:t xml:space="preserve"> </w:t>
      </w:r>
      <w:r w:rsidRPr="00DD1617">
        <w:t>the Firearms (Fees) Determination 2022</w:t>
      </w:r>
      <w:r w:rsidRPr="00187B83">
        <w:t xml:space="preserve"> (No 2)):</w:t>
      </w:r>
    </w:p>
    <w:p w14:paraId="307D71CE" w14:textId="77777777" w:rsidR="00CB305A" w:rsidRPr="00784D66" w:rsidRDefault="00CB305A" w:rsidP="00CB305A">
      <w:pPr>
        <w:pStyle w:val="ListNumber2"/>
        <w:numPr>
          <w:ilvl w:val="0"/>
          <w:numId w:val="0"/>
        </w:numPr>
        <w:ind w:left="1440"/>
        <w:rPr>
          <w:b/>
          <w:bCs w:val="0"/>
          <w:color w:val="7F7F7F" w:themeColor="text1" w:themeTint="80"/>
        </w:rPr>
      </w:pPr>
      <w:r w:rsidRPr="00784D66">
        <w:rPr>
          <w:b/>
          <w:bCs w:val="0"/>
          <w:color w:val="7F7F7F" w:themeColor="text1" w:themeTint="80"/>
        </w:rPr>
        <w:t>Update to the instrument</w:t>
      </w:r>
    </w:p>
    <w:p w14:paraId="5783A5FB" w14:textId="4F7D53C1" w:rsidR="00CB305A" w:rsidRPr="00784D66" w:rsidRDefault="00CB305A" w:rsidP="00784D66">
      <w:pPr>
        <w:pStyle w:val="ListNumber2"/>
        <w:numPr>
          <w:ilvl w:val="0"/>
          <w:numId w:val="0"/>
        </w:numPr>
        <w:ind w:left="1440"/>
        <w:rPr>
          <w:color w:val="7F7F7F" w:themeColor="text1" w:themeTint="80"/>
        </w:rPr>
      </w:pPr>
      <w:r w:rsidRPr="00784D66">
        <w:rPr>
          <w:color w:val="7F7F7F" w:themeColor="text1" w:themeTint="80"/>
        </w:rPr>
        <w:t xml:space="preserve">This instrument provides an update to the Firearms (Fees) Determination. It does not seek to apply updates retrospectively. The instrument applies a 0.29% wage price index increase rounded down to the nearest dollar. The fee increases are in accordance with a 2022-23 budget initiative, Better Digital Services – increasing Access Canberra Staff. This instrument repeals the </w:t>
      </w:r>
      <w:r w:rsidRPr="00E64D05">
        <w:rPr>
          <w:color w:val="7F7F7F" w:themeColor="text1" w:themeTint="80"/>
        </w:rPr>
        <w:t>Firearms (Fees) Determination 2022</w:t>
      </w:r>
      <w:r w:rsidRPr="00784D66">
        <w:rPr>
          <w:color w:val="7F7F7F" w:themeColor="text1" w:themeTint="80"/>
        </w:rPr>
        <w:t xml:space="preserve"> DI2022-92. Explanatory notes in the determination list the fees previously determined to enable comparison.</w:t>
      </w:r>
    </w:p>
    <w:p w14:paraId="0BB265CD" w14:textId="77777777" w:rsidR="00784D66" w:rsidRPr="00784D66" w:rsidRDefault="00784D66" w:rsidP="00784D66">
      <w:pPr>
        <w:pStyle w:val="ListNumber2"/>
        <w:numPr>
          <w:ilvl w:val="0"/>
          <w:numId w:val="0"/>
        </w:numPr>
        <w:ind w:left="1440"/>
        <w:rPr>
          <w:bCs w:val="0"/>
          <w:color w:val="7F7F7F" w:themeColor="text1" w:themeTint="80"/>
        </w:rPr>
      </w:pPr>
      <w:r w:rsidRPr="00784D66">
        <w:rPr>
          <w:color w:val="7F7F7F" w:themeColor="text1" w:themeTint="80"/>
        </w:rPr>
        <w:t>This instrument does not of itself restrict a person’s freedom of movement within the Territory, however the operation of the event will close to members of the general public the parts of the forest in which the event will be conducted. This will restrict the free movement of people in that area of the Territory during the event. As parts of the road transport legislation are being disapplied for the event to operate as intended, vehicles will be travelling in parts of the forest in excess of the usual speed limits and in a manner not consistent with the road rules. As such, the restriction on the free movement of people in those parts of the forest at those times is considered reasonable and proportionate to ensure the safety of non-</w:t>
      </w:r>
      <w:r w:rsidRPr="00784D66">
        <w:rPr>
          <w:color w:val="7F7F7F" w:themeColor="text1" w:themeTint="80"/>
        </w:rPr>
        <w:lastRenderedPageBreak/>
        <w:t>participants and represents the least restrictive approach that enables the event to proceed.</w:t>
      </w:r>
    </w:p>
    <w:p w14:paraId="70836639" w14:textId="554BC5D3" w:rsidR="00CB305A" w:rsidRDefault="00CB305A" w:rsidP="00CB305A">
      <w:pPr>
        <w:pStyle w:val="ListNumber2"/>
        <w:rPr>
          <w:rFonts w:ascii="Calibri" w:eastAsia="Times New Roman" w:hAnsi="Calibri" w:cs="Calibri"/>
          <w:bCs w:val="0"/>
          <w:color w:val="000000"/>
          <w:lang w:eastAsia="en-AU"/>
        </w:rPr>
      </w:pPr>
      <w:r>
        <w:rPr>
          <w:rFonts w:ascii="Calibri" w:eastAsia="Times New Roman" w:hAnsi="Calibri" w:cs="Calibri"/>
          <w:bCs w:val="0"/>
          <w:color w:val="000000"/>
          <w:lang w:eastAsia="en-AU"/>
        </w:rPr>
        <w:t>The exception is DI2022-199 (</w:t>
      </w:r>
      <w:r w:rsidR="00227AEB">
        <w:rPr>
          <w:rFonts w:ascii="Calibri" w:eastAsia="Times New Roman" w:hAnsi="Calibri" w:cs="Calibri"/>
          <w:bCs w:val="0"/>
          <w:color w:val="000000"/>
          <w:lang w:eastAsia="en-AU"/>
        </w:rPr>
        <w:t>i.e.,</w:t>
      </w:r>
      <w:r>
        <w:rPr>
          <w:rFonts w:ascii="Calibri" w:eastAsia="Times New Roman" w:hAnsi="Calibri" w:cs="Calibri"/>
          <w:bCs w:val="0"/>
          <w:color w:val="000000"/>
          <w:lang w:eastAsia="en-AU"/>
        </w:rPr>
        <w:t xml:space="preserve"> the </w:t>
      </w:r>
      <w:r w:rsidRPr="00227AEB">
        <w:rPr>
          <w:rFonts w:ascii="Calibri" w:eastAsia="Times New Roman" w:hAnsi="Calibri" w:cs="Calibri"/>
          <w:bCs w:val="0"/>
          <w:color w:val="000000"/>
          <w:lang w:eastAsia="en-AU"/>
        </w:rPr>
        <w:t xml:space="preserve">Public Trustee and Guardian (Fees) Determination 2022 </w:t>
      </w:r>
      <w:r w:rsidRPr="002500DB">
        <w:rPr>
          <w:rFonts w:ascii="Calibri" w:eastAsia="Times New Roman" w:hAnsi="Calibri" w:cs="Calibri"/>
          <w:bCs w:val="0"/>
          <w:color w:val="000000"/>
          <w:lang w:eastAsia="en-AU"/>
        </w:rPr>
        <w:t>(No 2)</w:t>
      </w:r>
      <w:r>
        <w:rPr>
          <w:rFonts w:ascii="Calibri" w:eastAsia="Times New Roman" w:hAnsi="Calibri" w:cs="Calibri"/>
          <w:bCs w:val="0"/>
          <w:color w:val="000000"/>
          <w:lang w:eastAsia="en-AU"/>
        </w:rPr>
        <w:t>), the explanatory statement for which states:</w:t>
      </w:r>
    </w:p>
    <w:p w14:paraId="7BF582F4" w14:textId="2B89ABCE" w:rsidR="00CB305A" w:rsidRPr="00227AEB" w:rsidRDefault="00CB305A" w:rsidP="00227AEB">
      <w:pPr>
        <w:pStyle w:val="ListNumber2"/>
        <w:numPr>
          <w:ilvl w:val="0"/>
          <w:numId w:val="0"/>
        </w:numPr>
        <w:ind w:left="1440"/>
        <w:rPr>
          <w:color w:val="7F7F7F" w:themeColor="text1" w:themeTint="80"/>
        </w:rPr>
      </w:pPr>
      <w:r w:rsidRPr="00227AEB">
        <w:rPr>
          <w:color w:val="7F7F7F" w:themeColor="text1" w:themeTint="80"/>
        </w:rPr>
        <w:t>This determination provides four new fees to support the Public Trustee and Guardian’s proposed Will Register. These fees will enable full cost recovery of the provision of services associated with the Register as follows –</w:t>
      </w:r>
    </w:p>
    <w:p w14:paraId="14ADBA5D" w14:textId="6F613F53" w:rsidR="00CB305A" w:rsidRPr="00227AEB" w:rsidRDefault="00187B83" w:rsidP="00BD69EE">
      <w:pPr>
        <w:pStyle w:val="ListNumber2"/>
        <w:numPr>
          <w:ilvl w:val="0"/>
          <w:numId w:val="0"/>
        </w:numPr>
        <w:ind w:left="2880" w:hanging="720"/>
        <w:rPr>
          <w:color w:val="7F7F7F" w:themeColor="text1" w:themeTint="80"/>
        </w:rPr>
      </w:pPr>
      <w:r w:rsidRPr="00227AEB">
        <w:rPr>
          <w:color w:val="7F7F7F" w:themeColor="text1" w:themeTint="80"/>
        </w:rPr>
        <w:t>•</w:t>
      </w:r>
      <w:r w:rsidRPr="00227AEB">
        <w:rPr>
          <w:color w:val="7F7F7F" w:themeColor="text1" w:themeTint="80"/>
        </w:rPr>
        <w:tab/>
      </w:r>
      <w:r w:rsidR="00CB305A" w:rsidRPr="00227AEB">
        <w:rPr>
          <w:color w:val="7F7F7F" w:themeColor="text1" w:themeTint="80"/>
        </w:rPr>
        <w:t>For requesting deposit of a Will with PTG [</w:t>
      </w:r>
      <w:r w:rsidR="00227AEB" w:rsidRPr="00227AEB">
        <w:rPr>
          <w:color w:val="7F7F7F" w:themeColor="text1" w:themeTint="80"/>
        </w:rPr>
        <w:t>i.e.,</w:t>
      </w:r>
      <w:r w:rsidR="00CB305A" w:rsidRPr="00227AEB">
        <w:rPr>
          <w:color w:val="7F7F7F" w:themeColor="text1" w:themeTint="80"/>
        </w:rPr>
        <w:t xml:space="preserve"> the Public Trustee and Guardian] - $220</w:t>
      </w:r>
    </w:p>
    <w:p w14:paraId="67D32EAA" w14:textId="77777777" w:rsidR="00CB305A" w:rsidRPr="00227AEB" w:rsidRDefault="00CB305A" w:rsidP="00BD69EE">
      <w:pPr>
        <w:pStyle w:val="ListNumber2"/>
        <w:numPr>
          <w:ilvl w:val="0"/>
          <w:numId w:val="0"/>
        </w:numPr>
        <w:ind w:left="2160"/>
        <w:rPr>
          <w:color w:val="7F7F7F" w:themeColor="text1" w:themeTint="80"/>
        </w:rPr>
      </w:pPr>
      <w:r w:rsidRPr="00227AEB">
        <w:rPr>
          <w:color w:val="7F7F7F" w:themeColor="text1" w:themeTint="80"/>
        </w:rPr>
        <w:t>•</w:t>
      </w:r>
      <w:r w:rsidRPr="00227AEB">
        <w:rPr>
          <w:color w:val="7F7F7F" w:themeColor="text1" w:themeTint="80"/>
        </w:rPr>
        <w:tab/>
        <w:t>For requesting withdrawal of a Will held by PTG - $165</w:t>
      </w:r>
    </w:p>
    <w:p w14:paraId="2BB22865" w14:textId="77777777" w:rsidR="00CB305A" w:rsidRPr="00227AEB" w:rsidRDefault="00CB305A" w:rsidP="00BD69EE">
      <w:pPr>
        <w:pStyle w:val="ListNumber2"/>
        <w:numPr>
          <w:ilvl w:val="0"/>
          <w:numId w:val="0"/>
        </w:numPr>
        <w:ind w:left="2160"/>
        <w:rPr>
          <w:color w:val="7F7F7F" w:themeColor="text1" w:themeTint="80"/>
        </w:rPr>
      </w:pPr>
      <w:r w:rsidRPr="00227AEB">
        <w:rPr>
          <w:color w:val="7F7F7F" w:themeColor="text1" w:themeTint="80"/>
        </w:rPr>
        <w:t>•</w:t>
      </w:r>
      <w:r w:rsidRPr="00227AEB">
        <w:rPr>
          <w:color w:val="7F7F7F" w:themeColor="text1" w:themeTint="80"/>
        </w:rPr>
        <w:tab/>
        <w:t>To request a search for a Will held by PTG - $22</w:t>
      </w:r>
    </w:p>
    <w:p w14:paraId="6CC46F19" w14:textId="77777777" w:rsidR="00CB305A" w:rsidRPr="00227AEB" w:rsidRDefault="00CB305A" w:rsidP="00BD69EE">
      <w:pPr>
        <w:pStyle w:val="ListNumber2"/>
        <w:numPr>
          <w:ilvl w:val="0"/>
          <w:numId w:val="0"/>
        </w:numPr>
        <w:ind w:left="2160"/>
        <w:rPr>
          <w:color w:val="7F7F7F" w:themeColor="text1" w:themeTint="80"/>
        </w:rPr>
      </w:pPr>
      <w:r w:rsidRPr="00227AEB">
        <w:rPr>
          <w:color w:val="7F7F7F" w:themeColor="text1" w:themeTint="80"/>
        </w:rPr>
        <w:t>•</w:t>
      </w:r>
      <w:r w:rsidRPr="00227AEB">
        <w:rPr>
          <w:color w:val="7F7F7F" w:themeColor="text1" w:themeTint="80"/>
        </w:rPr>
        <w:tab/>
        <w:t>To request a certified copy of a will deposited with PTG - $44.</w:t>
      </w:r>
    </w:p>
    <w:p w14:paraId="46E70C11" w14:textId="77777777" w:rsidR="00CB305A" w:rsidRPr="00DF0135" w:rsidRDefault="00CB305A" w:rsidP="00187B83">
      <w:pPr>
        <w:pStyle w:val="ListNumber2"/>
        <w:numPr>
          <w:ilvl w:val="0"/>
          <w:numId w:val="0"/>
        </w:numPr>
        <w:spacing w:before="120"/>
        <w:ind w:left="1440"/>
        <w:rPr>
          <w:bCs w:val="0"/>
          <w:color w:val="7F7F7F" w:themeColor="text1" w:themeTint="80"/>
        </w:rPr>
      </w:pPr>
      <w:r w:rsidRPr="00DF0135">
        <w:rPr>
          <w:bCs w:val="0"/>
          <w:color w:val="7F7F7F" w:themeColor="text1" w:themeTint="80"/>
        </w:rPr>
        <w:t>These fees include GST.</w:t>
      </w:r>
    </w:p>
    <w:p w14:paraId="6A647843" w14:textId="2184CC0C" w:rsidR="00CB305A" w:rsidRPr="00DF0135" w:rsidRDefault="00CB305A" w:rsidP="00DF0135">
      <w:pPr>
        <w:pStyle w:val="ListNumber2"/>
        <w:numPr>
          <w:ilvl w:val="0"/>
          <w:numId w:val="0"/>
        </w:numPr>
        <w:spacing w:before="120"/>
        <w:ind w:left="1440"/>
        <w:rPr>
          <w:bCs w:val="0"/>
          <w:color w:val="7F7F7F" w:themeColor="text1" w:themeTint="80"/>
        </w:rPr>
      </w:pPr>
      <w:r w:rsidRPr="00DF0135">
        <w:rPr>
          <w:bCs w:val="0"/>
          <w:color w:val="7F7F7F" w:themeColor="text1" w:themeTint="80"/>
        </w:rPr>
        <w:t xml:space="preserve">The fees determined are maximum amounts. Lower amounts may be charged by the Public Trustee and Guardian under fee reductions and waivers provision in the </w:t>
      </w:r>
      <w:r w:rsidRPr="00DF0135">
        <w:rPr>
          <w:bCs w:val="0"/>
          <w:i/>
          <w:iCs/>
          <w:color w:val="7F7F7F" w:themeColor="text1" w:themeTint="80"/>
        </w:rPr>
        <w:t>Public Trustee and Guardian Act 1985</w:t>
      </w:r>
      <w:r w:rsidRPr="00DF0135">
        <w:rPr>
          <w:bCs w:val="0"/>
          <w:color w:val="7F7F7F" w:themeColor="text1" w:themeTint="80"/>
        </w:rPr>
        <w:t>.</w:t>
      </w:r>
    </w:p>
    <w:p w14:paraId="1097307A" w14:textId="1E105572" w:rsidR="00BD69EE" w:rsidRPr="00DF0135" w:rsidRDefault="00CB305A" w:rsidP="00187B83">
      <w:pPr>
        <w:pStyle w:val="ListNumber2"/>
        <w:numPr>
          <w:ilvl w:val="0"/>
          <w:numId w:val="0"/>
        </w:numPr>
        <w:spacing w:before="120"/>
        <w:ind w:left="1440"/>
        <w:rPr>
          <w:bCs w:val="0"/>
          <w:color w:val="7F7F7F" w:themeColor="text1" w:themeTint="80"/>
        </w:rPr>
      </w:pPr>
      <w:r w:rsidRPr="00DF0135">
        <w:rPr>
          <w:bCs w:val="0"/>
          <w:color w:val="7F7F7F" w:themeColor="text1" w:themeTint="80"/>
        </w:rPr>
        <w:t>Explanatory notes in the determination list the fees previously determined to enable comparison</w:t>
      </w:r>
      <w:r w:rsidR="00BD69EE">
        <w:rPr>
          <w:bCs w:val="0"/>
          <w:color w:val="7F7F7F" w:themeColor="text1" w:themeTint="80"/>
        </w:rPr>
        <w:t>.</w:t>
      </w:r>
    </w:p>
    <w:p w14:paraId="1ACFC7AC" w14:textId="77777777" w:rsidR="00CB305A" w:rsidRPr="00187B83" w:rsidRDefault="00CB305A" w:rsidP="00187B83">
      <w:pPr>
        <w:pStyle w:val="ListNumber2"/>
        <w:rPr>
          <w:rFonts w:ascii="Calibri" w:eastAsia="Times New Roman" w:hAnsi="Calibri" w:cs="Calibri"/>
          <w:b/>
          <w:bCs w:val="0"/>
          <w:color w:val="000000"/>
          <w:lang w:eastAsia="en-AU"/>
        </w:rPr>
      </w:pPr>
      <w:r w:rsidRPr="00187B83">
        <w:rPr>
          <w:b/>
          <w:bCs w:val="0"/>
        </w:rPr>
        <w:t>The comment immediately above does not require a response from relevant Ministers.</w:t>
      </w:r>
    </w:p>
    <w:p w14:paraId="302BCD5A" w14:textId="77777777" w:rsidR="00CB305A" w:rsidRPr="00187B83" w:rsidRDefault="00CB305A" w:rsidP="00187B83">
      <w:pPr>
        <w:pStyle w:val="ListNumber2"/>
      </w:pPr>
      <w:r w:rsidRPr="00187B83">
        <w:t xml:space="preserve">The Committee notes that the </w:t>
      </w:r>
      <w:bookmarkStart w:id="123" w:name="_Hlk116228223"/>
      <w:r w:rsidRPr="00187B83">
        <w:t xml:space="preserve">explanatory statements for </w:t>
      </w:r>
      <w:r w:rsidRPr="00187B83">
        <w:rPr>
          <w:b/>
          <w:bCs w:val="0"/>
        </w:rPr>
        <w:t>DI2022-195, DI2022-206, DI2022-207, DI2022-208, DI2022-209 and DI2022-210</w:t>
      </w:r>
      <w:r w:rsidRPr="00187B83">
        <w:t xml:space="preserve"> </w:t>
      </w:r>
      <w:bookmarkEnd w:id="123"/>
      <w:r w:rsidRPr="00187B83">
        <w:t>also address human rights implications for the instruments, stating “no human rights are impacted”.</w:t>
      </w:r>
    </w:p>
    <w:p w14:paraId="1B71D48F" w14:textId="77777777" w:rsidR="00CB305A" w:rsidRPr="00187B83" w:rsidRDefault="00CB305A" w:rsidP="00187B83">
      <w:pPr>
        <w:pStyle w:val="ListNumber2"/>
        <w:rPr>
          <w:b/>
          <w:bCs w:val="0"/>
        </w:rPr>
      </w:pPr>
      <w:bookmarkStart w:id="124" w:name="_Hlk116228164"/>
      <w:r w:rsidRPr="00187B83">
        <w:rPr>
          <w:b/>
          <w:bCs w:val="0"/>
        </w:rPr>
        <w:t>The Committee draws the attention of the Legislative Assembly to the discussion of human rights issues in the explanatory statements for DI2022-195, DI2022-206, DI2022-207, DI2022-208, DI2022-209 and DI2022-210.</w:t>
      </w:r>
    </w:p>
    <w:p w14:paraId="78F423C6" w14:textId="77777777" w:rsidR="00CB305A" w:rsidRPr="00187B83" w:rsidRDefault="00CB305A" w:rsidP="00187B83">
      <w:pPr>
        <w:pStyle w:val="ListNumber2"/>
        <w:rPr>
          <w:b/>
          <w:bCs w:val="0"/>
        </w:rPr>
      </w:pPr>
      <w:r w:rsidRPr="00187B83">
        <w:rPr>
          <w:b/>
          <w:bCs w:val="0"/>
        </w:rPr>
        <w:t>This comment does not require a response from the Minister.</w:t>
      </w:r>
    </w:p>
    <w:p w14:paraId="490D5B1D" w14:textId="77777777" w:rsidR="00CB305A" w:rsidRPr="00F92715" w:rsidRDefault="00CB305A" w:rsidP="00094CC1">
      <w:pPr>
        <w:pStyle w:val="Heading3"/>
      </w:pPr>
      <w:bookmarkStart w:id="125" w:name="_Toc116900155"/>
      <w:bookmarkEnd w:id="124"/>
      <w:r w:rsidRPr="00F92715">
        <w:t>Strict Liability Offences / Human Rights Issues</w:t>
      </w:r>
      <w:bookmarkEnd w:id="125"/>
    </w:p>
    <w:bookmarkEnd w:id="122"/>
    <w:p w14:paraId="206D4EDD" w14:textId="4427E415" w:rsidR="00CB305A" w:rsidRPr="00784D66" w:rsidRDefault="004E3C06" w:rsidP="00784D66">
      <w:pPr>
        <w:pStyle w:val="ListParagraph"/>
        <w:numPr>
          <w:ilvl w:val="0"/>
          <w:numId w:val="3"/>
        </w:numPr>
        <w:ind w:left="1080"/>
        <w:rPr>
          <w:b/>
        </w:rPr>
      </w:pPr>
      <w:r w:rsidRPr="00784D66">
        <w:rPr>
          <w:b/>
        </w:rPr>
        <w:t xml:space="preserve">Disallowable Instrument </w:t>
      </w:r>
      <w:r w:rsidR="00CB305A" w:rsidRPr="00784D66">
        <w:rPr>
          <w:b/>
        </w:rPr>
        <w:t>DI2022-198</w:t>
      </w:r>
      <w:r>
        <w:rPr>
          <w:b/>
        </w:rPr>
        <w:t xml:space="preserve"> </w:t>
      </w:r>
      <w:r w:rsidRPr="004E3C06">
        <w:rPr>
          <w:bCs/>
        </w:rPr>
        <w:t>being the Plastic Reduction (Public Event) Declaration 2022 (No 3) made under section 15 of the</w:t>
      </w:r>
      <w:r>
        <w:rPr>
          <w:b/>
        </w:rPr>
        <w:t xml:space="preserve"> </w:t>
      </w:r>
      <w:r>
        <w:rPr>
          <w:i/>
        </w:rPr>
        <w:t>Plastic Reduction Act 2021.</w:t>
      </w:r>
      <w:r w:rsidRPr="00236BDD">
        <w:rPr>
          <w:b/>
        </w:rPr>
        <w:t xml:space="preserve"> </w:t>
      </w:r>
      <w:r>
        <w:rPr>
          <w:b/>
        </w:rPr>
        <w:t xml:space="preserve"> </w:t>
      </w:r>
    </w:p>
    <w:p w14:paraId="1C773A45" w14:textId="443802DA" w:rsidR="00CB305A" w:rsidRPr="00784D66" w:rsidRDefault="00806D46" w:rsidP="00784D66">
      <w:pPr>
        <w:pStyle w:val="ListParagraph"/>
        <w:numPr>
          <w:ilvl w:val="0"/>
          <w:numId w:val="3"/>
        </w:numPr>
        <w:ind w:left="1080"/>
        <w:rPr>
          <w:b/>
        </w:rPr>
      </w:pPr>
      <w:r w:rsidRPr="00784D66">
        <w:rPr>
          <w:b/>
        </w:rPr>
        <w:t xml:space="preserve">Disallowable Instrument </w:t>
      </w:r>
      <w:r w:rsidR="00CB305A" w:rsidRPr="00784D66">
        <w:rPr>
          <w:b/>
        </w:rPr>
        <w:t>DI2022-223</w:t>
      </w:r>
      <w:r w:rsidR="004E3C06" w:rsidRPr="004E3C06">
        <w:rPr>
          <w:b/>
        </w:rPr>
        <w:t xml:space="preserve"> </w:t>
      </w:r>
      <w:r w:rsidR="004E3C06" w:rsidRPr="00806D46">
        <w:rPr>
          <w:bCs/>
        </w:rPr>
        <w:t xml:space="preserve">being the Plastic Reduction (Public Event) Declaration 2022 (No 4) made under section 15 of the </w:t>
      </w:r>
      <w:r w:rsidR="004E3C06" w:rsidRPr="00806D46">
        <w:rPr>
          <w:bCs/>
          <w:i/>
        </w:rPr>
        <w:t>Plastic Reduction Act 2021.</w:t>
      </w:r>
      <w:r w:rsidR="004E3C06" w:rsidRPr="00236BDD">
        <w:rPr>
          <w:b/>
        </w:rPr>
        <w:t xml:space="preserve"> </w:t>
      </w:r>
      <w:r w:rsidR="004E3C06">
        <w:rPr>
          <w:b/>
        </w:rPr>
        <w:t xml:space="preserve"> </w:t>
      </w:r>
    </w:p>
    <w:p w14:paraId="25033592" w14:textId="77777777" w:rsidR="00CB305A" w:rsidRPr="00187B83" w:rsidRDefault="00CB305A" w:rsidP="00187B83">
      <w:pPr>
        <w:pStyle w:val="ListNumber2"/>
        <w:rPr>
          <w:rFonts w:ascii="Calibri" w:eastAsia="Times New Roman" w:hAnsi="Calibri" w:cs="Calibri"/>
          <w:bCs w:val="0"/>
          <w:color w:val="000000"/>
          <w:lang w:eastAsia="en-AU"/>
        </w:rPr>
      </w:pPr>
      <w:r w:rsidRPr="00187B83">
        <w:rPr>
          <w:rFonts w:ascii="Calibri" w:eastAsia="Times New Roman" w:hAnsi="Calibri" w:cs="Calibri"/>
          <w:bCs w:val="0"/>
          <w:color w:val="000000"/>
          <w:lang w:eastAsia="en-AU"/>
        </w:rPr>
        <w:t xml:space="preserve">The instruments mentioned above are made under section 15 of the </w:t>
      </w:r>
      <w:r w:rsidRPr="00E64D05">
        <w:rPr>
          <w:rFonts w:ascii="Calibri" w:eastAsia="Times New Roman" w:hAnsi="Calibri" w:cs="Calibri"/>
          <w:bCs w:val="0"/>
          <w:i/>
          <w:iCs/>
          <w:color w:val="000000"/>
          <w:lang w:eastAsia="en-AU"/>
        </w:rPr>
        <w:t>Plastic Reduction Act 2021</w:t>
      </w:r>
      <w:r w:rsidRPr="00187B83">
        <w:rPr>
          <w:rFonts w:ascii="Calibri" w:eastAsia="Times New Roman" w:hAnsi="Calibri" w:cs="Calibri"/>
          <w:bCs w:val="0"/>
          <w:color w:val="000000"/>
          <w:lang w:eastAsia="en-AU"/>
        </w:rPr>
        <w:t>, which provides:</w:t>
      </w:r>
    </w:p>
    <w:p w14:paraId="072AE6FA" w14:textId="640A644A" w:rsidR="00CB305A" w:rsidRPr="00763BBB" w:rsidRDefault="00CB305A" w:rsidP="00187B83">
      <w:pPr>
        <w:keepNext/>
        <w:ind w:left="1541" w:hanging="101"/>
        <w:rPr>
          <w:rFonts w:cstheme="minorHAnsi"/>
          <w:b/>
          <w:bCs/>
          <w:color w:val="7F7F7F" w:themeColor="text1" w:themeTint="80"/>
          <w:szCs w:val="20"/>
        </w:rPr>
      </w:pPr>
      <w:r w:rsidRPr="00763BBB">
        <w:rPr>
          <w:rFonts w:cstheme="minorHAnsi"/>
          <w:b/>
          <w:bCs/>
          <w:color w:val="7F7F7F" w:themeColor="text1" w:themeTint="80"/>
          <w:szCs w:val="20"/>
        </w:rPr>
        <w:t>Declaration of public events</w:t>
      </w:r>
    </w:p>
    <w:p w14:paraId="13EBBC7F" w14:textId="77777777" w:rsidR="00CB305A" w:rsidRPr="00BD69EE" w:rsidRDefault="00CB305A" w:rsidP="00BD69EE">
      <w:pPr>
        <w:pStyle w:val="ListNumber2"/>
        <w:numPr>
          <w:ilvl w:val="0"/>
          <w:numId w:val="0"/>
        </w:numPr>
        <w:ind w:left="2880" w:hanging="720"/>
        <w:rPr>
          <w:color w:val="7F7F7F" w:themeColor="text1" w:themeTint="80"/>
        </w:rPr>
      </w:pPr>
      <w:r w:rsidRPr="00227AEB">
        <w:rPr>
          <w:bCs w:val="0"/>
          <w:color w:val="7F7F7F" w:themeColor="text1" w:themeTint="80"/>
        </w:rPr>
        <w:t>(1)</w:t>
      </w:r>
      <w:r w:rsidRPr="00227AEB">
        <w:rPr>
          <w:bCs w:val="0"/>
          <w:color w:val="7F7F7F" w:themeColor="text1" w:themeTint="80"/>
        </w:rPr>
        <w:tab/>
      </w:r>
      <w:r w:rsidRPr="00BD69EE">
        <w:rPr>
          <w:color w:val="7F7F7F" w:themeColor="text1" w:themeTint="80"/>
        </w:rPr>
        <w:t>The Minister may declare that—</w:t>
      </w:r>
    </w:p>
    <w:p w14:paraId="55AB060A" w14:textId="77777777" w:rsidR="00CB305A" w:rsidRPr="00227AEB" w:rsidRDefault="00CB305A" w:rsidP="00BD69EE">
      <w:pPr>
        <w:pStyle w:val="ListNumber2"/>
        <w:numPr>
          <w:ilvl w:val="0"/>
          <w:numId w:val="0"/>
        </w:numPr>
        <w:ind w:left="2880"/>
        <w:rPr>
          <w:color w:val="7F7F7F" w:themeColor="text1" w:themeTint="80"/>
        </w:rPr>
      </w:pPr>
      <w:r w:rsidRPr="00227AEB">
        <w:rPr>
          <w:color w:val="7F7F7F" w:themeColor="text1" w:themeTint="80"/>
        </w:rPr>
        <w:lastRenderedPageBreak/>
        <w:t>(a)</w:t>
      </w:r>
      <w:r w:rsidRPr="00227AEB">
        <w:rPr>
          <w:color w:val="7F7F7F" w:themeColor="text1" w:themeTint="80"/>
        </w:rPr>
        <w:tab/>
        <w:t>a public event is an event to which this part applies (a declared public event ); and</w:t>
      </w:r>
    </w:p>
    <w:p w14:paraId="1D13866D" w14:textId="77777777" w:rsidR="00CB305A" w:rsidRPr="00227AEB" w:rsidRDefault="00CB305A" w:rsidP="00BD69EE">
      <w:pPr>
        <w:pStyle w:val="ListNumber2"/>
        <w:numPr>
          <w:ilvl w:val="0"/>
          <w:numId w:val="0"/>
        </w:numPr>
        <w:ind w:left="2880"/>
        <w:rPr>
          <w:color w:val="7F7F7F" w:themeColor="text1" w:themeTint="80"/>
        </w:rPr>
      </w:pPr>
      <w:r w:rsidRPr="00227AEB">
        <w:rPr>
          <w:color w:val="7F7F7F" w:themeColor="text1" w:themeTint="80"/>
        </w:rPr>
        <w:t>(b)</w:t>
      </w:r>
      <w:r w:rsidRPr="00227AEB">
        <w:rPr>
          <w:color w:val="7F7F7F" w:themeColor="text1" w:themeTint="80"/>
        </w:rPr>
        <w:tab/>
        <w:t>a single-use plastic product other than a </w:t>
      </w:r>
      <w:hyperlink r:id="rId19" w:anchor="prohibited_plastic_product" w:history="1">
        <w:r w:rsidRPr="00227AEB">
          <w:rPr>
            <w:color w:val="7F7F7F" w:themeColor="text1" w:themeTint="80"/>
          </w:rPr>
          <w:t>prohibited plastic product</w:t>
        </w:r>
      </w:hyperlink>
      <w:r w:rsidRPr="00227AEB">
        <w:rPr>
          <w:color w:val="7F7F7F" w:themeColor="text1" w:themeTint="80"/>
        </w:rPr>
        <w:t> (a declared single-use plastic product ) must not be supplied at the event.</w:t>
      </w:r>
    </w:p>
    <w:p w14:paraId="1118C071" w14:textId="77777777" w:rsidR="00CB305A" w:rsidRPr="00227AEB" w:rsidRDefault="00CB305A" w:rsidP="00BD69EE">
      <w:pPr>
        <w:pStyle w:val="ListNumber2"/>
        <w:numPr>
          <w:ilvl w:val="0"/>
          <w:numId w:val="0"/>
        </w:numPr>
        <w:ind w:left="2880" w:hanging="720"/>
        <w:rPr>
          <w:color w:val="7F7F7F" w:themeColor="text1" w:themeTint="80"/>
        </w:rPr>
      </w:pPr>
      <w:r w:rsidRPr="00227AEB">
        <w:rPr>
          <w:color w:val="7F7F7F" w:themeColor="text1" w:themeTint="80"/>
        </w:rPr>
        <w:t>Note</w:t>
      </w:r>
      <w:r w:rsidRPr="00227AEB">
        <w:rPr>
          <w:color w:val="7F7F7F" w:themeColor="text1" w:themeTint="80"/>
        </w:rPr>
        <w:tab/>
        <w:t>Part 3 deals with the </w:t>
      </w:r>
      <w:hyperlink r:id="rId20" w:anchor="supply" w:history="1">
        <w:r w:rsidRPr="00227AEB">
          <w:rPr>
            <w:color w:val="7F7F7F" w:themeColor="text1" w:themeTint="80"/>
          </w:rPr>
          <w:t>supply</w:t>
        </w:r>
      </w:hyperlink>
      <w:r w:rsidRPr="00227AEB">
        <w:rPr>
          <w:color w:val="7F7F7F" w:themeColor="text1" w:themeTint="80"/>
        </w:rPr>
        <w:t> of </w:t>
      </w:r>
      <w:hyperlink r:id="rId21" w:anchor="prohibited_plastic_product" w:history="1">
        <w:r w:rsidRPr="00227AEB">
          <w:rPr>
            <w:color w:val="7F7F7F" w:themeColor="text1" w:themeTint="80"/>
          </w:rPr>
          <w:t>prohibited plastic</w:t>
        </w:r>
      </w:hyperlink>
      <w:r w:rsidRPr="00227AEB">
        <w:rPr>
          <w:color w:val="7F7F7F" w:themeColor="text1" w:themeTint="80"/>
        </w:rPr>
        <w:t> </w:t>
      </w:r>
      <w:hyperlink r:id="rId22" w:anchor="prohibited_plastic_product" w:history="1">
        <w:r w:rsidRPr="00227AEB">
          <w:rPr>
            <w:color w:val="7F7F7F" w:themeColor="text1" w:themeTint="80"/>
          </w:rPr>
          <w:t>products</w:t>
        </w:r>
      </w:hyperlink>
      <w:r w:rsidRPr="00227AEB">
        <w:rPr>
          <w:color w:val="7F7F7F" w:themeColor="text1" w:themeTint="80"/>
        </w:rPr>
        <w:t>.</w:t>
      </w:r>
    </w:p>
    <w:p w14:paraId="7D9B7568" w14:textId="77777777" w:rsidR="00CB305A" w:rsidRPr="00BD69EE" w:rsidRDefault="00CB305A" w:rsidP="00BD69EE">
      <w:pPr>
        <w:pStyle w:val="ListNumber2"/>
        <w:numPr>
          <w:ilvl w:val="0"/>
          <w:numId w:val="0"/>
        </w:numPr>
        <w:ind w:left="2880" w:hanging="720"/>
        <w:rPr>
          <w:color w:val="7F7F7F" w:themeColor="text1" w:themeTint="80"/>
        </w:rPr>
      </w:pPr>
      <w:r w:rsidRPr="00BD69EE">
        <w:rPr>
          <w:color w:val="7F7F7F" w:themeColor="text1" w:themeTint="80"/>
        </w:rPr>
        <w:t>(2)</w:t>
      </w:r>
      <w:r w:rsidRPr="00BD69EE">
        <w:rPr>
          <w:color w:val="7F7F7F" w:themeColor="text1" w:themeTint="80"/>
        </w:rPr>
        <w:tab/>
        <w:t>The Minister may only make a declaration under subsection (1) in relation to a public event that is not a </w:t>
      </w:r>
      <w:hyperlink r:id="rId23" w:anchor="government_event" w:history="1">
        <w:r w:rsidRPr="00BD69EE">
          <w:rPr>
            <w:color w:val="7F7F7F" w:themeColor="text1" w:themeTint="80"/>
          </w:rPr>
          <w:t>government event</w:t>
        </w:r>
      </w:hyperlink>
      <w:r w:rsidRPr="00BD69EE">
        <w:rPr>
          <w:color w:val="7F7F7F" w:themeColor="text1" w:themeTint="80"/>
        </w:rPr>
        <w:t> if—</w:t>
      </w:r>
    </w:p>
    <w:p w14:paraId="4FF40620" w14:textId="77777777" w:rsidR="00CB305A" w:rsidRPr="00227AEB" w:rsidRDefault="00CB305A" w:rsidP="00BD69EE">
      <w:pPr>
        <w:pStyle w:val="ListNumber2"/>
        <w:numPr>
          <w:ilvl w:val="0"/>
          <w:numId w:val="0"/>
        </w:numPr>
        <w:ind w:left="2880"/>
        <w:rPr>
          <w:color w:val="7F7F7F" w:themeColor="text1" w:themeTint="80"/>
        </w:rPr>
      </w:pPr>
      <w:r w:rsidRPr="00227AEB">
        <w:rPr>
          <w:color w:val="7F7F7F" w:themeColor="text1" w:themeTint="80"/>
        </w:rPr>
        <w:t>(a)</w:t>
      </w:r>
      <w:r w:rsidRPr="00227AEB">
        <w:rPr>
          <w:color w:val="7F7F7F" w:themeColor="text1" w:themeTint="80"/>
        </w:rPr>
        <w:tab/>
        <w:t>the declaration is made not less than 3 months before the day the event starts; and</w:t>
      </w:r>
    </w:p>
    <w:p w14:paraId="5F9BD077" w14:textId="77777777" w:rsidR="00CB305A" w:rsidRPr="00227AEB" w:rsidRDefault="00CB305A" w:rsidP="00BD69EE">
      <w:pPr>
        <w:pStyle w:val="ListNumber2"/>
        <w:numPr>
          <w:ilvl w:val="0"/>
          <w:numId w:val="0"/>
        </w:numPr>
        <w:ind w:left="2880"/>
        <w:rPr>
          <w:color w:val="7F7F7F" w:themeColor="text1" w:themeTint="80"/>
        </w:rPr>
      </w:pPr>
      <w:r w:rsidRPr="00227AEB">
        <w:rPr>
          <w:color w:val="7F7F7F" w:themeColor="text1" w:themeTint="80"/>
        </w:rPr>
        <w:t>(b)</w:t>
      </w:r>
      <w:r w:rsidRPr="00227AEB">
        <w:rPr>
          <w:color w:val="7F7F7F" w:themeColor="text1" w:themeTint="80"/>
        </w:rPr>
        <w:tab/>
        <w:t>the Minister is satisfied that—</w:t>
      </w:r>
    </w:p>
    <w:p w14:paraId="77995313" w14:textId="4E89FE9A" w:rsidR="00CB305A" w:rsidRPr="00227AEB" w:rsidRDefault="00CB305A" w:rsidP="00BD69EE">
      <w:pPr>
        <w:pStyle w:val="ListNumber2"/>
        <w:numPr>
          <w:ilvl w:val="0"/>
          <w:numId w:val="0"/>
        </w:numPr>
        <w:ind w:left="2880" w:hanging="720"/>
        <w:rPr>
          <w:color w:val="7F7F7F" w:themeColor="text1" w:themeTint="80"/>
        </w:rPr>
      </w:pPr>
      <w:r w:rsidRPr="00227AEB">
        <w:rPr>
          <w:color w:val="7F7F7F" w:themeColor="text1" w:themeTint="80"/>
        </w:rPr>
        <w:tab/>
      </w:r>
      <w:r w:rsidR="00BD69EE">
        <w:rPr>
          <w:color w:val="7F7F7F" w:themeColor="text1" w:themeTint="80"/>
        </w:rPr>
        <w:tab/>
      </w:r>
      <w:r w:rsidRPr="00227AEB">
        <w:rPr>
          <w:color w:val="7F7F7F" w:themeColor="text1" w:themeTint="80"/>
        </w:rPr>
        <w:t>(i)</w:t>
      </w:r>
      <w:r w:rsidRPr="00227AEB">
        <w:rPr>
          <w:color w:val="7F7F7F" w:themeColor="text1" w:themeTint="80"/>
        </w:rPr>
        <w:tab/>
        <w:t>there is an alternative product to the declared single-use plastic product reasonably available to the organisers of the declared public event; and</w:t>
      </w:r>
    </w:p>
    <w:p w14:paraId="5014E4AE" w14:textId="5723419E" w:rsidR="00CB305A" w:rsidRPr="00227AEB" w:rsidRDefault="00CB305A" w:rsidP="00BD69EE">
      <w:pPr>
        <w:pStyle w:val="ListNumber2"/>
        <w:numPr>
          <w:ilvl w:val="0"/>
          <w:numId w:val="0"/>
        </w:numPr>
        <w:ind w:left="2880" w:hanging="720"/>
        <w:rPr>
          <w:color w:val="7F7F7F" w:themeColor="text1" w:themeTint="80"/>
        </w:rPr>
      </w:pPr>
      <w:r w:rsidRPr="00227AEB">
        <w:rPr>
          <w:color w:val="7F7F7F" w:themeColor="text1" w:themeTint="80"/>
        </w:rPr>
        <w:tab/>
      </w:r>
      <w:r w:rsidR="00BD69EE">
        <w:rPr>
          <w:color w:val="7F7F7F" w:themeColor="text1" w:themeTint="80"/>
        </w:rPr>
        <w:tab/>
      </w:r>
      <w:r w:rsidRPr="00227AEB">
        <w:rPr>
          <w:color w:val="7F7F7F" w:themeColor="text1" w:themeTint="80"/>
        </w:rPr>
        <w:t>(ii)</w:t>
      </w:r>
      <w:r w:rsidRPr="00227AEB">
        <w:rPr>
          <w:color w:val="7F7F7F" w:themeColor="text1" w:themeTint="80"/>
        </w:rPr>
        <w:tab/>
        <w:t>the declaration will not have an unreasonable impact on the event.</w:t>
      </w:r>
    </w:p>
    <w:p w14:paraId="4C95CCE3" w14:textId="77777777" w:rsidR="00CB305A" w:rsidRPr="00BD69EE" w:rsidRDefault="00CB305A" w:rsidP="00BD69EE">
      <w:pPr>
        <w:pStyle w:val="ListNumber2"/>
        <w:numPr>
          <w:ilvl w:val="0"/>
          <w:numId w:val="0"/>
        </w:numPr>
        <w:ind w:left="3600" w:hanging="720"/>
        <w:rPr>
          <w:color w:val="7F7F7F" w:themeColor="text1" w:themeTint="80"/>
        </w:rPr>
      </w:pPr>
      <w:bookmarkStart w:id="126" w:name="arial"/>
      <w:bookmarkEnd w:id="126"/>
      <w:r w:rsidRPr="00BD69EE">
        <w:rPr>
          <w:color w:val="7F7F7F" w:themeColor="text1" w:themeTint="80"/>
        </w:rPr>
        <w:t>Examples—unreasonable impact</w:t>
      </w:r>
    </w:p>
    <w:p w14:paraId="29E20CF6" w14:textId="77777777" w:rsidR="00CB305A" w:rsidRPr="00227AEB" w:rsidRDefault="00CB305A" w:rsidP="00BD69EE">
      <w:pPr>
        <w:pStyle w:val="ListNumber2"/>
        <w:numPr>
          <w:ilvl w:val="0"/>
          <w:numId w:val="0"/>
        </w:numPr>
        <w:ind w:left="3600" w:hanging="720"/>
        <w:rPr>
          <w:color w:val="7F7F7F" w:themeColor="text1" w:themeTint="80"/>
        </w:rPr>
      </w:pPr>
      <w:r w:rsidRPr="00227AEB">
        <w:rPr>
          <w:color w:val="7F7F7F" w:themeColor="text1" w:themeTint="80"/>
        </w:rPr>
        <w:t>1</w:t>
      </w:r>
      <w:r w:rsidRPr="00227AEB">
        <w:rPr>
          <w:color w:val="7F7F7F" w:themeColor="text1" w:themeTint="80"/>
        </w:rPr>
        <w:tab/>
        <w:t>supplies of the declared single-use plastic product have already been purchased by food vendors in advance of the public event</w:t>
      </w:r>
    </w:p>
    <w:p w14:paraId="601813CE" w14:textId="77777777" w:rsidR="00CB305A" w:rsidRPr="00227AEB" w:rsidRDefault="00CB305A" w:rsidP="00BD69EE">
      <w:pPr>
        <w:pStyle w:val="ListNumber2"/>
        <w:numPr>
          <w:ilvl w:val="0"/>
          <w:numId w:val="0"/>
        </w:numPr>
        <w:ind w:left="3600" w:hanging="720"/>
        <w:rPr>
          <w:color w:val="7F7F7F" w:themeColor="text1" w:themeTint="80"/>
        </w:rPr>
      </w:pPr>
      <w:r w:rsidRPr="00227AEB">
        <w:rPr>
          <w:color w:val="7F7F7F" w:themeColor="text1" w:themeTint="80"/>
        </w:rPr>
        <w:t>2</w:t>
      </w:r>
      <w:r w:rsidRPr="00227AEB">
        <w:rPr>
          <w:color w:val="7F7F7F" w:themeColor="text1" w:themeTint="80"/>
        </w:rPr>
        <w:tab/>
        <w:t>not having the declared single-use plastic product available for use at the public event would be incompatible with food safety requirements</w:t>
      </w:r>
    </w:p>
    <w:p w14:paraId="16BCA8E5" w14:textId="77777777" w:rsidR="00CB305A" w:rsidRPr="00227AEB" w:rsidRDefault="00CB305A" w:rsidP="00BD69EE">
      <w:pPr>
        <w:pStyle w:val="ListNumber2"/>
        <w:numPr>
          <w:ilvl w:val="0"/>
          <w:numId w:val="0"/>
        </w:numPr>
        <w:ind w:left="3600" w:hanging="720"/>
        <w:rPr>
          <w:color w:val="7F7F7F" w:themeColor="text1" w:themeTint="80"/>
        </w:rPr>
      </w:pPr>
      <w:r w:rsidRPr="00227AEB">
        <w:rPr>
          <w:color w:val="7F7F7F" w:themeColor="text1" w:themeTint="80"/>
        </w:rPr>
        <w:t>3</w:t>
      </w:r>
      <w:r w:rsidRPr="00227AEB">
        <w:rPr>
          <w:color w:val="7F7F7F" w:themeColor="text1" w:themeTint="80"/>
        </w:rPr>
        <w:tab/>
        <w:t>the cost of the alternative product will make it unprofitable for food vendors to participate in the public event</w:t>
      </w:r>
    </w:p>
    <w:p w14:paraId="5EA8119C" w14:textId="77777777" w:rsidR="00CB305A" w:rsidRPr="00227AEB" w:rsidRDefault="00CB305A" w:rsidP="00BD69EE">
      <w:pPr>
        <w:pStyle w:val="ListNumber2"/>
        <w:numPr>
          <w:ilvl w:val="0"/>
          <w:numId w:val="0"/>
        </w:numPr>
        <w:ind w:left="3600" w:hanging="720"/>
        <w:rPr>
          <w:color w:val="7F7F7F" w:themeColor="text1" w:themeTint="80"/>
        </w:rPr>
      </w:pPr>
      <w:r w:rsidRPr="00227AEB">
        <w:rPr>
          <w:color w:val="7F7F7F" w:themeColor="text1" w:themeTint="80"/>
        </w:rPr>
        <w:t>(3)</w:t>
      </w:r>
      <w:r w:rsidRPr="00227AEB">
        <w:rPr>
          <w:color w:val="7F7F7F" w:themeColor="text1" w:themeTint="80"/>
        </w:rPr>
        <w:tab/>
        <w:t>A declaration is a disallowable instrument.</w:t>
      </w:r>
    </w:p>
    <w:p w14:paraId="70B88541" w14:textId="77777777" w:rsidR="00CB305A" w:rsidRPr="00227AEB" w:rsidRDefault="00CB305A" w:rsidP="00BD69EE">
      <w:pPr>
        <w:pStyle w:val="ListNumber2"/>
        <w:numPr>
          <w:ilvl w:val="0"/>
          <w:numId w:val="0"/>
        </w:numPr>
        <w:ind w:left="2880" w:hanging="720"/>
        <w:rPr>
          <w:color w:val="7F7F7F" w:themeColor="text1" w:themeTint="80"/>
        </w:rPr>
      </w:pPr>
      <w:r w:rsidRPr="00227AEB">
        <w:rPr>
          <w:color w:val="7F7F7F" w:themeColor="text1" w:themeTint="80"/>
        </w:rPr>
        <w:t>Note</w:t>
      </w:r>
      <w:r w:rsidRPr="00227AEB">
        <w:rPr>
          <w:color w:val="7F7F7F" w:themeColor="text1" w:themeTint="80"/>
        </w:rPr>
        <w:tab/>
        <w:t>A disallowable instrument must be notified, and presented to the Legislative Assembly, under the Legislation Act.</w:t>
      </w:r>
    </w:p>
    <w:p w14:paraId="71DD0AEB" w14:textId="77777777" w:rsidR="00CB305A" w:rsidRPr="00227AEB" w:rsidRDefault="00CB305A" w:rsidP="00BD69EE">
      <w:pPr>
        <w:pStyle w:val="ListNumber2"/>
        <w:numPr>
          <w:ilvl w:val="0"/>
          <w:numId w:val="0"/>
        </w:numPr>
        <w:ind w:left="2880" w:hanging="720"/>
        <w:rPr>
          <w:color w:val="7F7F7F" w:themeColor="text1" w:themeTint="80"/>
        </w:rPr>
      </w:pPr>
      <w:r w:rsidRPr="00227AEB">
        <w:rPr>
          <w:color w:val="7F7F7F" w:themeColor="text1" w:themeTint="80"/>
        </w:rPr>
        <w:t>(4)</w:t>
      </w:r>
      <w:r w:rsidRPr="00227AEB">
        <w:rPr>
          <w:color w:val="7F7F7F" w:themeColor="text1" w:themeTint="80"/>
        </w:rPr>
        <w:tab/>
        <w:t>In this section:</w:t>
      </w:r>
    </w:p>
    <w:p w14:paraId="47F8C066" w14:textId="77777777" w:rsidR="00CB305A" w:rsidRPr="00227AEB" w:rsidRDefault="00CB305A" w:rsidP="00BD69EE">
      <w:pPr>
        <w:pStyle w:val="ListNumber2"/>
        <w:numPr>
          <w:ilvl w:val="0"/>
          <w:numId w:val="0"/>
        </w:numPr>
        <w:ind w:left="2880"/>
        <w:rPr>
          <w:color w:val="7F7F7F" w:themeColor="text1" w:themeTint="80"/>
        </w:rPr>
      </w:pPr>
      <w:bookmarkStart w:id="127" w:name="government_event"/>
      <w:bookmarkEnd w:id="127"/>
      <w:r w:rsidRPr="00BD69EE">
        <w:rPr>
          <w:i/>
          <w:iCs/>
          <w:color w:val="7F7F7F" w:themeColor="text1" w:themeTint="80"/>
        </w:rPr>
        <w:t>government event</w:t>
      </w:r>
      <w:r w:rsidRPr="00227AEB">
        <w:rPr>
          <w:color w:val="7F7F7F" w:themeColor="text1" w:themeTint="80"/>
        </w:rPr>
        <w:t xml:space="preserve"> means an event </w:t>
      </w:r>
      <w:hyperlink r:id="rId24" w:anchor="conduct" w:history="1">
        <w:r w:rsidRPr="00227AEB">
          <w:rPr>
            <w:color w:val="7F7F7F" w:themeColor="text1" w:themeTint="80"/>
          </w:rPr>
          <w:t>conducted</w:t>
        </w:r>
      </w:hyperlink>
      <w:r w:rsidRPr="00227AEB">
        <w:rPr>
          <w:color w:val="7F7F7F" w:themeColor="text1" w:themeTint="80"/>
        </w:rPr>
        <w:t> by the Territory.</w:t>
      </w:r>
    </w:p>
    <w:p w14:paraId="2CF9D99B" w14:textId="5E9541BB" w:rsidR="00CB305A" w:rsidRPr="00187B83" w:rsidRDefault="00CB305A" w:rsidP="00187B83">
      <w:pPr>
        <w:pStyle w:val="ListNumber2"/>
        <w:rPr>
          <w:rFonts w:ascii="Calibri" w:eastAsia="Times New Roman" w:hAnsi="Calibri" w:cs="Calibri"/>
          <w:bCs w:val="0"/>
          <w:color w:val="000000"/>
          <w:lang w:eastAsia="en-AU"/>
        </w:rPr>
      </w:pPr>
      <w:r w:rsidRPr="00187B83">
        <w:rPr>
          <w:rFonts w:ascii="Calibri" w:eastAsia="Times New Roman" w:hAnsi="Calibri" w:cs="Calibri"/>
          <w:bCs w:val="0"/>
          <w:color w:val="000000"/>
          <w:lang w:eastAsia="en-AU"/>
        </w:rPr>
        <w:t>Section 3 of the first instrument mentioned above, in conjunction with column 1 of table 1 of the Schedule to the instrument, declares various events to be “public events”.  They include Spilt Milk 2022, the 2023 National Multicultural Festival, Australia Day in the Capital, Enlighten Festival, Lights! Canberra! Action!, Canberra Balloon Spectacular, Symphony in the Park, Canberra Day and Reconciliation Day events. The explanatory statement for the instrument states:</w:t>
      </w:r>
    </w:p>
    <w:p w14:paraId="081DCCE7" w14:textId="77777777" w:rsidR="00CB305A" w:rsidRPr="00227AEB" w:rsidRDefault="00CB305A" w:rsidP="00227AEB">
      <w:pPr>
        <w:pStyle w:val="ListNumber2"/>
        <w:numPr>
          <w:ilvl w:val="0"/>
          <w:numId w:val="0"/>
        </w:numPr>
        <w:spacing w:before="120"/>
        <w:ind w:left="1440"/>
        <w:rPr>
          <w:bCs w:val="0"/>
          <w:color w:val="7F7F7F" w:themeColor="text1" w:themeTint="80"/>
        </w:rPr>
      </w:pPr>
      <w:r w:rsidRPr="00227AEB">
        <w:rPr>
          <w:bCs w:val="0"/>
          <w:color w:val="7F7F7F" w:themeColor="text1" w:themeTint="80"/>
        </w:rPr>
        <w:lastRenderedPageBreak/>
        <w:t xml:space="preserve">Spilt Milk music festival is not a government event so the requirements in section 15(2) of the Act apply, including that this declaration has been made not less than 3 months before this event. </w:t>
      </w:r>
    </w:p>
    <w:p w14:paraId="7A4A793B" w14:textId="77777777" w:rsidR="00CB305A" w:rsidRPr="00187B83" w:rsidRDefault="00CB305A" w:rsidP="00187B83">
      <w:pPr>
        <w:pStyle w:val="ListNumber2"/>
        <w:rPr>
          <w:rFonts w:ascii="Calibri" w:eastAsia="Times New Roman" w:hAnsi="Calibri" w:cs="Calibri"/>
          <w:bCs w:val="0"/>
          <w:color w:val="000000"/>
          <w:lang w:eastAsia="en-AU"/>
        </w:rPr>
      </w:pPr>
      <w:r w:rsidRPr="00187B83">
        <w:rPr>
          <w:rFonts w:ascii="Calibri" w:eastAsia="Times New Roman" w:hAnsi="Calibri" w:cs="Calibri"/>
          <w:bCs w:val="0"/>
          <w:color w:val="000000"/>
          <w:lang w:eastAsia="en-AU"/>
        </w:rPr>
        <w:t>The explanatory statement states:</w:t>
      </w:r>
    </w:p>
    <w:p w14:paraId="1619B8EF" w14:textId="77777777" w:rsidR="00CB305A" w:rsidRPr="00227AEB" w:rsidRDefault="00CB305A" w:rsidP="00227AEB">
      <w:pPr>
        <w:pStyle w:val="ListNumber2"/>
        <w:numPr>
          <w:ilvl w:val="0"/>
          <w:numId w:val="0"/>
        </w:numPr>
        <w:spacing w:before="120"/>
        <w:ind w:left="1440"/>
        <w:rPr>
          <w:bCs w:val="0"/>
          <w:color w:val="7F7F7F" w:themeColor="text1" w:themeTint="80"/>
        </w:rPr>
      </w:pPr>
      <w:r w:rsidRPr="00227AEB">
        <w:rPr>
          <w:bCs w:val="0"/>
          <w:color w:val="7F7F7F" w:themeColor="text1" w:themeTint="80"/>
        </w:rPr>
        <w:t>Single-use plastic plates and bowls have been banned at all of the listed events, and single-use plastic takeaway containers have been banned at all listed events except the National Multicultural Festival. Prohibiting these plastic items from these events will reduce plastic waste. It will also provide a demonstration of the types of alternatives available to single-use plastics.</w:t>
      </w:r>
    </w:p>
    <w:p w14:paraId="73D85CE6" w14:textId="77777777" w:rsidR="00CB305A" w:rsidRPr="00187B83" w:rsidRDefault="00CB305A" w:rsidP="00187B83">
      <w:pPr>
        <w:pStyle w:val="ListNumber2"/>
        <w:rPr>
          <w:rFonts w:ascii="Calibri" w:eastAsia="Times New Roman" w:hAnsi="Calibri" w:cs="Calibri"/>
          <w:bCs w:val="0"/>
          <w:color w:val="000000"/>
          <w:lang w:eastAsia="en-AU"/>
        </w:rPr>
      </w:pPr>
      <w:r w:rsidRPr="00187B83">
        <w:rPr>
          <w:rFonts w:ascii="Calibri" w:eastAsia="Times New Roman" w:hAnsi="Calibri" w:cs="Calibri"/>
          <w:bCs w:val="0"/>
          <w:color w:val="000000"/>
          <w:lang w:eastAsia="en-AU"/>
        </w:rPr>
        <w:t>The explanatory statement goes on to discuss human rights issues:</w:t>
      </w:r>
    </w:p>
    <w:p w14:paraId="4E70C69C" w14:textId="77777777" w:rsidR="00CB305A" w:rsidRPr="00227AEB" w:rsidRDefault="00CB305A" w:rsidP="00227AEB">
      <w:pPr>
        <w:pStyle w:val="ListNumber2"/>
        <w:numPr>
          <w:ilvl w:val="0"/>
          <w:numId w:val="0"/>
        </w:numPr>
        <w:spacing w:before="120"/>
        <w:ind w:left="1440"/>
        <w:rPr>
          <w:b/>
          <w:color w:val="7F7F7F" w:themeColor="text1" w:themeTint="80"/>
        </w:rPr>
      </w:pPr>
      <w:r w:rsidRPr="00227AEB">
        <w:rPr>
          <w:b/>
          <w:color w:val="7F7F7F" w:themeColor="text1" w:themeTint="80"/>
        </w:rPr>
        <w:t xml:space="preserve">Human rights </w:t>
      </w:r>
    </w:p>
    <w:p w14:paraId="57802D9B" w14:textId="77777777" w:rsidR="00CB305A" w:rsidRPr="00227AEB" w:rsidRDefault="00CB305A" w:rsidP="00227AEB">
      <w:pPr>
        <w:pStyle w:val="ListNumber2"/>
        <w:numPr>
          <w:ilvl w:val="0"/>
          <w:numId w:val="0"/>
        </w:numPr>
        <w:spacing w:before="120"/>
        <w:ind w:left="1440"/>
        <w:rPr>
          <w:bCs w:val="0"/>
          <w:color w:val="7F7F7F" w:themeColor="text1" w:themeTint="80"/>
        </w:rPr>
      </w:pPr>
      <w:r w:rsidRPr="00227AEB">
        <w:rPr>
          <w:bCs w:val="0"/>
          <w:color w:val="7F7F7F" w:themeColor="text1" w:themeTint="80"/>
        </w:rPr>
        <w:t xml:space="preserve">As a result of this instrument, certain conduct is made an offence under section 16 of the Act. This is a strict liability offence, which may be seen to engage the presumption of innocence. The Explanatory Statement for the </w:t>
      </w:r>
      <w:r w:rsidRPr="00227AEB">
        <w:rPr>
          <w:bCs w:val="0"/>
          <w:i/>
          <w:iCs/>
          <w:color w:val="7F7F7F" w:themeColor="text1" w:themeTint="80"/>
        </w:rPr>
        <w:t>Plastic Reduction Bill 2020</w:t>
      </w:r>
      <w:r w:rsidRPr="00227AEB">
        <w:rPr>
          <w:bCs w:val="0"/>
          <w:color w:val="7F7F7F" w:themeColor="text1" w:themeTint="80"/>
        </w:rPr>
        <w:t xml:space="preserve"> addressed the human rights considerations related to the creation of the offence.  </w:t>
      </w:r>
    </w:p>
    <w:p w14:paraId="6B627277" w14:textId="77777777" w:rsidR="00CB305A" w:rsidRPr="00763BBB" w:rsidRDefault="00CB305A" w:rsidP="00187B83">
      <w:pPr>
        <w:pStyle w:val="ListNumber2"/>
        <w:rPr>
          <w:rFonts w:ascii="Calibri" w:eastAsia="Times New Roman" w:hAnsi="Calibri" w:cs="Calibri"/>
          <w:bCs w:val="0"/>
          <w:color w:val="000000"/>
          <w:lang w:eastAsia="en-AU"/>
        </w:rPr>
      </w:pPr>
      <w:r w:rsidRPr="00187B83">
        <w:rPr>
          <w:rFonts w:ascii="Calibri" w:eastAsia="Times New Roman" w:hAnsi="Calibri" w:cs="Calibri"/>
          <w:bCs w:val="0"/>
          <w:color w:val="000000"/>
          <w:lang w:eastAsia="en-AU"/>
        </w:rPr>
        <w:t xml:space="preserve">Similarly, section 3 of the second instrument mentioned above, in conjunction with column 1 of table 1 of the Schedule to the instrument, declares events including Summernats 2023, the Royal Canberra Show 2023 and the National Folk Festival 2023 to be “public events”.  The explanatory statement for the second instrument contains a similar human rights discussion to that contained in the explanatory statement for the first instrument. </w:t>
      </w:r>
    </w:p>
    <w:p w14:paraId="3ACE334C" w14:textId="77777777" w:rsidR="00CB305A" w:rsidRPr="00187B83" w:rsidRDefault="00CB305A" w:rsidP="00187B83">
      <w:pPr>
        <w:pStyle w:val="ListNumber2"/>
        <w:rPr>
          <w:b/>
          <w:bCs w:val="0"/>
        </w:rPr>
      </w:pPr>
      <w:r w:rsidRPr="00187B83">
        <w:rPr>
          <w:b/>
          <w:bCs w:val="0"/>
        </w:rPr>
        <w:t>The Committee draws the attention of the Legislative Assembly to the discussion of human rights issues in the explanatory statements for these instruments.</w:t>
      </w:r>
    </w:p>
    <w:p w14:paraId="1392AC06" w14:textId="77777777" w:rsidR="00CB305A" w:rsidRPr="00187B83" w:rsidRDefault="00CB305A" w:rsidP="00187B83">
      <w:pPr>
        <w:pStyle w:val="ListNumber2"/>
        <w:rPr>
          <w:b/>
          <w:bCs w:val="0"/>
        </w:rPr>
      </w:pPr>
      <w:r w:rsidRPr="00187B83">
        <w:rPr>
          <w:b/>
          <w:bCs w:val="0"/>
        </w:rPr>
        <w:t>This comment does not require a response from the Minister.</w:t>
      </w:r>
    </w:p>
    <w:p w14:paraId="7CDE2B9B" w14:textId="77777777" w:rsidR="00CB305A" w:rsidRPr="00094CC1" w:rsidRDefault="00CB305A" w:rsidP="00094CC1">
      <w:pPr>
        <w:pStyle w:val="Heading3"/>
      </w:pPr>
      <w:bookmarkStart w:id="128" w:name="_Toc116900156"/>
      <w:r w:rsidRPr="00094CC1">
        <w:t>Human Rights Issues</w:t>
      </w:r>
      <w:bookmarkEnd w:id="128"/>
    </w:p>
    <w:p w14:paraId="723BD9CF" w14:textId="3C6A6D3E" w:rsidR="00CB305A" w:rsidRPr="00227AEB" w:rsidRDefault="00806D46" w:rsidP="00227AEB">
      <w:pPr>
        <w:pStyle w:val="ListParagraph"/>
        <w:numPr>
          <w:ilvl w:val="0"/>
          <w:numId w:val="3"/>
        </w:numPr>
        <w:ind w:left="1080"/>
        <w:rPr>
          <w:b/>
        </w:rPr>
      </w:pPr>
      <w:r>
        <w:rPr>
          <w:b/>
        </w:rPr>
        <w:t xml:space="preserve">Disallowable Instrument </w:t>
      </w:r>
      <w:r w:rsidR="00CB305A" w:rsidRPr="00227AEB">
        <w:rPr>
          <w:b/>
        </w:rPr>
        <w:t>DI2022-220</w:t>
      </w:r>
      <w:r>
        <w:rPr>
          <w:b/>
        </w:rPr>
        <w:t xml:space="preserve"> </w:t>
      </w:r>
      <w:r w:rsidRPr="00806D46">
        <w:rPr>
          <w:bCs/>
        </w:rPr>
        <w:t xml:space="preserve">being the Public Place Names (Whitlam) Determination 2022 (No 2) made under section 3 of the </w:t>
      </w:r>
      <w:r w:rsidRPr="00806D46">
        <w:rPr>
          <w:bCs/>
          <w:i/>
        </w:rPr>
        <w:t>Public Place Names Act 1989.</w:t>
      </w:r>
      <w:r w:rsidRPr="00236BDD">
        <w:rPr>
          <w:b/>
        </w:rPr>
        <w:t xml:space="preserve"> </w:t>
      </w:r>
      <w:r>
        <w:rPr>
          <w:b/>
        </w:rPr>
        <w:t xml:space="preserve"> </w:t>
      </w:r>
    </w:p>
    <w:p w14:paraId="7D1FC7D1" w14:textId="7196C599" w:rsidR="00CB305A" w:rsidRPr="00187B83" w:rsidRDefault="00CB305A" w:rsidP="00187B83">
      <w:pPr>
        <w:pStyle w:val="ListNumber2"/>
        <w:rPr>
          <w:rFonts w:ascii="Calibri" w:eastAsia="Times New Roman" w:hAnsi="Calibri" w:cs="Calibri"/>
          <w:bCs w:val="0"/>
          <w:color w:val="000000"/>
          <w:lang w:eastAsia="en-AU"/>
        </w:rPr>
      </w:pPr>
      <w:r w:rsidRPr="00187B83">
        <w:rPr>
          <w:rFonts w:ascii="Calibri" w:eastAsia="Times New Roman" w:hAnsi="Calibri" w:cs="Calibri"/>
          <w:bCs w:val="0"/>
          <w:color w:val="000000"/>
          <w:lang w:eastAsia="en-AU"/>
        </w:rPr>
        <w:t xml:space="preserve">This instrument, made under section 3 of the </w:t>
      </w:r>
      <w:r w:rsidRPr="00A26A40">
        <w:rPr>
          <w:rFonts w:ascii="Calibri" w:eastAsia="Times New Roman" w:hAnsi="Calibri" w:cs="Calibri"/>
          <w:bCs w:val="0"/>
          <w:i/>
          <w:iCs/>
          <w:color w:val="000000"/>
          <w:lang w:eastAsia="en-AU"/>
        </w:rPr>
        <w:t>Public Place Names Act 1989</w:t>
      </w:r>
      <w:r w:rsidRPr="00187B83">
        <w:rPr>
          <w:rFonts w:ascii="Calibri" w:eastAsia="Times New Roman" w:hAnsi="Calibri" w:cs="Calibri"/>
          <w:bCs w:val="0"/>
          <w:color w:val="000000"/>
          <w:lang w:eastAsia="en-AU"/>
        </w:rPr>
        <w:t xml:space="preserve">, determines the names </w:t>
      </w:r>
      <w:r w:rsidR="00187B83" w:rsidRPr="00187B83">
        <w:rPr>
          <w:rFonts w:ascii="Calibri" w:eastAsia="Times New Roman" w:hAnsi="Calibri" w:cs="Calibri"/>
          <w:bCs w:val="0"/>
          <w:color w:val="000000"/>
          <w:lang w:eastAsia="en-AU"/>
        </w:rPr>
        <w:t xml:space="preserve">of </w:t>
      </w:r>
      <w:r w:rsidR="00AA6C54">
        <w:rPr>
          <w:rFonts w:ascii="Calibri" w:eastAsia="Times New Roman" w:hAnsi="Calibri" w:cs="Calibri"/>
          <w:bCs w:val="0"/>
          <w:color w:val="000000"/>
          <w:lang w:eastAsia="en-AU"/>
        </w:rPr>
        <w:t>seven</w:t>
      </w:r>
      <w:r w:rsidRPr="00187B83">
        <w:rPr>
          <w:rFonts w:ascii="Calibri" w:eastAsia="Times New Roman" w:hAnsi="Calibri" w:cs="Calibri"/>
          <w:bCs w:val="0"/>
          <w:color w:val="000000"/>
          <w:lang w:eastAsia="en-AU"/>
        </w:rPr>
        <w:t xml:space="preserve"> roads in the Division of Whitlam. The Committee notes that the explanatory statement for the instrument includes a discussion of human rights issues:</w:t>
      </w:r>
    </w:p>
    <w:p w14:paraId="4741933D" w14:textId="77777777" w:rsidR="00CB305A" w:rsidRPr="00227AEB" w:rsidRDefault="00CB305A" w:rsidP="00227AEB">
      <w:pPr>
        <w:pStyle w:val="ListNumber2"/>
        <w:numPr>
          <w:ilvl w:val="0"/>
          <w:numId w:val="0"/>
        </w:numPr>
        <w:spacing w:before="120"/>
        <w:ind w:left="1440"/>
        <w:rPr>
          <w:b/>
          <w:color w:val="7F7F7F" w:themeColor="text1" w:themeTint="80"/>
        </w:rPr>
      </w:pPr>
      <w:r w:rsidRPr="00980022">
        <w:rPr>
          <w:b/>
          <w:color w:val="7F7F7F" w:themeColor="text1" w:themeTint="80"/>
        </w:rPr>
        <w:t>Human Rights</w:t>
      </w:r>
    </w:p>
    <w:p w14:paraId="39BA5DCF" w14:textId="77777777" w:rsidR="00CB305A" w:rsidRPr="00227AEB" w:rsidRDefault="00CB305A" w:rsidP="00227AEB">
      <w:pPr>
        <w:pStyle w:val="ListNumber2"/>
        <w:numPr>
          <w:ilvl w:val="0"/>
          <w:numId w:val="0"/>
        </w:numPr>
        <w:spacing w:before="120"/>
        <w:ind w:left="1440"/>
        <w:rPr>
          <w:bCs w:val="0"/>
          <w:color w:val="7F7F7F" w:themeColor="text1" w:themeTint="80"/>
        </w:rPr>
      </w:pPr>
      <w:r w:rsidRPr="00227AEB">
        <w:rPr>
          <w:bCs w:val="0"/>
          <w:color w:val="7F7F7F" w:themeColor="text1" w:themeTint="80"/>
        </w:rPr>
        <w:t xml:space="preserve">Section 12 of the </w:t>
      </w:r>
      <w:r w:rsidRPr="00227AEB">
        <w:rPr>
          <w:bCs w:val="0"/>
          <w:i/>
          <w:iCs/>
          <w:color w:val="7F7F7F" w:themeColor="text1" w:themeTint="80"/>
        </w:rPr>
        <w:t>Human Rights Act 2004</w:t>
      </w:r>
      <w:r w:rsidRPr="00227AEB">
        <w:rPr>
          <w:bCs w:val="0"/>
          <w:color w:val="7F7F7F" w:themeColor="text1" w:themeTint="80"/>
        </w:rPr>
        <w:t xml:space="preserve"> creates a right to privacy and reputation. </w:t>
      </w:r>
    </w:p>
    <w:p w14:paraId="3DAD8F16" w14:textId="77777777" w:rsidR="00CB305A" w:rsidRPr="00227AEB" w:rsidRDefault="00CB305A" w:rsidP="00227AEB">
      <w:pPr>
        <w:pStyle w:val="ListNumber2"/>
        <w:numPr>
          <w:ilvl w:val="0"/>
          <w:numId w:val="0"/>
        </w:numPr>
        <w:spacing w:before="120"/>
        <w:ind w:left="1440"/>
        <w:rPr>
          <w:bCs w:val="0"/>
          <w:color w:val="7F7F7F" w:themeColor="text1" w:themeTint="80"/>
        </w:rPr>
      </w:pPr>
      <w:r w:rsidRPr="00227AEB">
        <w:rPr>
          <w:bCs w:val="0"/>
          <w:color w:val="7F7F7F" w:themeColor="text1" w:themeTint="80"/>
        </w:rPr>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4657245F" w14:textId="77777777" w:rsidR="00CB305A" w:rsidRPr="00187B83" w:rsidRDefault="00CB305A" w:rsidP="00187B83">
      <w:pPr>
        <w:pStyle w:val="ListNumber2"/>
        <w:rPr>
          <w:b/>
          <w:bCs w:val="0"/>
        </w:rPr>
      </w:pPr>
      <w:r w:rsidRPr="00187B83">
        <w:rPr>
          <w:b/>
          <w:bCs w:val="0"/>
        </w:rPr>
        <w:lastRenderedPageBreak/>
        <w:t>The Committee draws the attention of the Legislative Assembly to the discussion of human rights issues in the explanatory statement for this instrument.</w:t>
      </w:r>
    </w:p>
    <w:p w14:paraId="181B2123" w14:textId="77777777" w:rsidR="00CB305A" w:rsidRPr="00187B83" w:rsidRDefault="00CB305A" w:rsidP="00187B83">
      <w:pPr>
        <w:pStyle w:val="ListNumber2"/>
        <w:rPr>
          <w:b/>
          <w:bCs w:val="0"/>
        </w:rPr>
      </w:pPr>
      <w:r w:rsidRPr="00187B83">
        <w:rPr>
          <w:b/>
          <w:bCs w:val="0"/>
        </w:rPr>
        <w:t>This comment does not require a response from the Minister.</w:t>
      </w:r>
    </w:p>
    <w:p w14:paraId="63D30046" w14:textId="77777777" w:rsidR="00CB305A" w:rsidRPr="00094CC1" w:rsidRDefault="00CB305A" w:rsidP="00094CC1">
      <w:pPr>
        <w:pStyle w:val="Heading3"/>
      </w:pPr>
      <w:bookmarkStart w:id="129" w:name="_Toc116900157"/>
      <w:r w:rsidRPr="00094CC1">
        <w:t>Human Rights Issues</w:t>
      </w:r>
      <w:bookmarkEnd w:id="129"/>
    </w:p>
    <w:p w14:paraId="30BE5EFD" w14:textId="0643E58C" w:rsidR="00CB305A" w:rsidRPr="00227AEB" w:rsidRDefault="00806D46" w:rsidP="00227AEB">
      <w:pPr>
        <w:pStyle w:val="ListParagraph"/>
        <w:numPr>
          <w:ilvl w:val="0"/>
          <w:numId w:val="3"/>
        </w:numPr>
        <w:ind w:left="1080"/>
        <w:rPr>
          <w:b/>
        </w:rPr>
      </w:pPr>
      <w:r>
        <w:rPr>
          <w:b/>
        </w:rPr>
        <w:t xml:space="preserve">Disallowable Instrument </w:t>
      </w:r>
      <w:r w:rsidR="00CB305A" w:rsidRPr="00227AEB">
        <w:rPr>
          <w:b/>
        </w:rPr>
        <w:t>DI2022-214</w:t>
      </w:r>
      <w:r w:rsidRPr="00806D46">
        <w:rPr>
          <w:b/>
        </w:rPr>
        <w:t xml:space="preserve"> </w:t>
      </w:r>
      <w:r w:rsidRPr="00806D46">
        <w:rPr>
          <w:bCs/>
        </w:rPr>
        <w:t>being the Animal Diseases (Varroa Mite Import Restriction) Declaration 2022 (No 2) made under section 15 of the</w:t>
      </w:r>
      <w:r>
        <w:rPr>
          <w:b/>
        </w:rPr>
        <w:t xml:space="preserve"> </w:t>
      </w:r>
      <w:r>
        <w:rPr>
          <w:i/>
        </w:rPr>
        <w:t>Animal Diseases Act 2005.</w:t>
      </w:r>
      <w:r w:rsidRPr="00236BDD">
        <w:rPr>
          <w:b/>
        </w:rPr>
        <w:t xml:space="preserve"> </w:t>
      </w:r>
      <w:r>
        <w:rPr>
          <w:b/>
        </w:rPr>
        <w:t xml:space="preserve"> </w:t>
      </w:r>
    </w:p>
    <w:p w14:paraId="124ED66C" w14:textId="6EEB6542" w:rsidR="00CB305A" w:rsidRPr="00227AEB" w:rsidRDefault="00806D46" w:rsidP="00227AEB">
      <w:pPr>
        <w:pStyle w:val="ListParagraph"/>
        <w:numPr>
          <w:ilvl w:val="0"/>
          <w:numId w:val="3"/>
        </w:numPr>
        <w:ind w:left="1080"/>
        <w:rPr>
          <w:b/>
        </w:rPr>
      </w:pPr>
      <w:r>
        <w:rPr>
          <w:b/>
        </w:rPr>
        <w:t xml:space="preserve">Disallowable Instrument </w:t>
      </w:r>
      <w:r w:rsidR="00CB305A" w:rsidRPr="00227AEB">
        <w:rPr>
          <w:b/>
        </w:rPr>
        <w:t>DI2022-221</w:t>
      </w:r>
      <w:r w:rsidRPr="00806D46">
        <w:rPr>
          <w:bCs/>
        </w:rPr>
        <w:t xml:space="preserve"> being the Fisheries (Recreational Fishing) Declaration 2022, including a regulatory impact statement section 15 of the </w:t>
      </w:r>
      <w:r w:rsidRPr="00806D46">
        <w:rPr>
          <w:bCs/>
          <w:i/>
        </w:rPr>
        <w:t>Fisheries Act 2000.</w:t>
      </w:r>
      <w:r w:rsidRPr="00236BDD">
        <w:rPr>
          <w:b/>
        </w:rPr>
        <w:t xml:space="preserve"> </w:t>
      </w:r>
      <w:r>
        <w:rPr>
          <w:b/>
        </w:rPr>
        <w:t xml:space="preserve"> </w:t>
      </w:r>
    </w:p>
    <w:p w14:paraId="75849DC9" w14:textId="1373AE54" w:rsidR="00CB305A" w:rsidRPr="00227AEB" w:rsidRDefault="00806D46" w:rsidP="00227AEB">
      <w:pPr>
        <w:pStyle w:val="ListParagraph"/>
        <w:numPr>
          <w:ilvl w:val="0"/>
          <w:numId w:val="3"/>
        </w:numPr>
        <w:ind w:left="1080"/>
        <w:rPr>
          <w:b/>
        </w:rPr>
      </w:pPr>
      <w:r>
        <w:rPr>
          <w:b/>
        </w:rPr>
        <w:t xml:space="preserve">Disallowable Instrument </w:t>
      </w:r>
      <w:r w:rsidR="00CB305A" w:rsidRPr="00227AEB">
        <w:rPr>
          <w:b/>
        </w:rPr>
        <w:t>DI2022-222</w:t>
      </w:r>
      <w:r w:rsidRPr="00806D46">
        <w:rPr>
          <w:b/>
        </w:rPr>
        <w:t xml:space="preserve"> </w:t>
      </w:r>
      <w:r w:rsidRPr="00806D46">
        <w:rPr>
          <w:bCs/>
        </w:rPr>
        <w:t xml:space="preserve">being the Fisheries (Fishing Closures) Declaration 2022, including a regulatory impact statement section 13 of the </w:t>
      </w:r>
      <w:r>
        <w:rPr>
          <w:i/>
        </w:rPr>
        <w:t>Fisheries Act 2000.</w:t>
      </w:r>
      <w:r w:rsidRPr="00236BDD">
        <w:rPr>
          <w:b/>
        </w:rPr>
        <w:t xml:space="preserve"> </w:t>
      </w:r>
      <w:r>
        <w:rPr>
          <w:b/>
        </w:rPr>
        <w:t xml:space="preserve"> </w:t>
      </w:r>
    </w:p>
    <w:p w14:paraId="7BA61CD4" w14:textId="77777777" w:rsidR="00CB305A" w:rsidRPr="00187B83" w:rsidRDefault="00CB305A" w:rsidP="00187B83">
      <w:pPr>
        <w:pStyle w:val="ListNumber2"/>
        <w:rPr>
          <w:rFonts w:ascii="Calibri" w:eastAsia="Times New Roman" w:hAnsi="Calibri" w:cs="Calibri"/>
          <w:bCs w:val="0"/>
          <w:color w:val="000000"/>
          <w:lang w:eastAsia="en-AU"/>
        </w:rPr>
      </w:pPr>
      <w:r w:rsidRPr="00187B83">
        <w:rPr>
          <w:rFonts w:ascii="Calibri" w:eastAsia="Times New Roman" w:hAnsi="Calibri" w:cs="Calibri"/>
          <w:bCs w:val="0"/>
          <w:color w:val="000000"/>
          <w:lang w:eastAsia="en-AU"/>
        </w:rPr>
        <w:t>The Committee notes that the explanatory statements for each of the instruments mentioned above state that there are no human rights issues arising from the relevant instrument.</w:t>
      </w:r>
    </w:p>
    <w:p w14:paraId="2EACF81D" w14:textId="77777777" w:rsidR="00CB305A" w:rsidRPr="00215027" w:rsidRDefault="00CB305A" w:rsidP="00187B83">
      <w:pPr>
        <w:pStyle w:val="ListNumber2"/>
        <w:rPr>
          <w:b/>
          <w:bCs w:val="0"/>
        </w:rPr>
      </w:pPr>
      <w:r w:rsidRPr="00187B83">
        <w:rPr>
          <w:b/>
          <w:bCs w:val="0"/>
        </w:rPr>
        <w:t>The Committee draws the attention of the Legislative Assembly to the discussion of human rights issues in the explanatory statements for the instruments mentioned immediately above.</w:t>
      </w:r>
    </w:p>
    <w:p w14:paraId="3CB73731" w14:textId="77777777" w:rsidR="00CB305A" w:rsidRPr="00215027" w:rsidRDefault="00CB305A" w:rsidP="00187B83">
      <w:pPr>
        <w:pStyle w:val="ListNumber2"/>
        <w:rPr>
          <w:b/>
          <w:bCs w:val="0"/>
        </w:rPr>
      </w:pPr>
      <w:r w:rsidRPr="00187B83">
        <w:rPr>
          <w:b/>
          <w:bCs w:val="0"/>
        </w:rPr>
        <w:t>This comment does not require a response from the relevant Ministers.</w:t>
      </w:r>
    </w:p>
    <w:p w14:paraId="5BCD37A7" w14:textId="77777777" w:rsidR="00CB305A" w:rsidRDefault="00CB305A" w:rsidP="00CB305A">
      <w:pPr>
        <w:pStyle w:val="Heading2"/>
      </w:pPr>
      <w:bookmarkStart w:id="130" w:name="_Toc116900158"/>
      <w:r>
        <w:t>Regulatory Impact Statements – No comment</w:t>
      </w:r>
      <w:bookmarkEnd w:id="130"/>
    </w:p>
    <w:p w14:paraId="6ADCEE3D" w14:textId="77777777" w:rsidR="00CB305A" w:rsidRPr="00187B83" w:rsidRDefault="00CB305A" w:rsidP="00187B83">
      <w:pPr>
        <w:pStyle w:val="ListNumber2"/>
        <w:rPr>
          <w:rFonts w:ascii="Calibri" w:eastAsia="Times New Roman" w:hAnsi="Calibri" w:cs="Calibri"/>
          <w:bCs w:val="0"/>
          <w:color w:val="000000"/>
          <w:lang w:eastAsia="en-AU"/>
        </w:rPr>
      </w:pPr>
      <w:r w:rsidRPr="00187B83">
        <w:rPr>
          <w:rFonts w:ascii="Calibri" w:eastAsia="Times New Roman" w:hAnsi="Calibri" w:cs="Calibri"/>
          <w:bCs w:val="0"/>
          <w:color w:val="000000"/>
          <w:lang w:eastAsia="en-AU"/>
        </w:rPr>
        <w:t>The Committee has considered regulatory impact statements for the following disallowable instruments and offers no comments on them:</w:t>
      </w:r>
    </w:p>
    <w:p w14:paraId="38AC7B91" w14:textId="0C4F9C3E" w:rsidR="00CB305A" w:rsidRPr="00806D46" w:rsidRDefault="00806D46" w:rsidP="00806D46">
      <w:pPr>
        <w:pStyle w:val="ListParagraph"/>
        <w:numPr>
          <w:ilvl w:val="0"/>
          <w:numId w:val="3"/>
        </w:numPr>
        <w:ind w:left="1080"/>
        <w:rPr>
          <w:b/>
        </w:rPr>
      </w:pPr>
      <w:r>
        <w:rPr>
          <w:b/>
        </w:rPr>
        <w:t xml:space="preserve">Disallowable Instrument </w:t>
      </w:r>
      <w:r w:rsidR="00CB305A">
        <w:rPr>
          <w:b/>
        </w:rPr>
        <w:t>DI2022-221</w:t>
      </w:r>
      <w:r>
        <w:rPr>
          <w:b/>
        </w:rPr>
        <w:t xml:space="preserve"> </w:t>
      </w:r>
      <w:r w:rsidRPr="00806D46">
        <w:rPr>
          <w:bCs/>
        </w:rPr>
        <w:t xml:space="preserve">being the Fisheries (Recreational Fishing) Declaration 2022, including a regulatory impact statement section 15 of the </w:t>
      </w:r>
      <w:r w:rsidRPr="00806D46">
        <w:rPr>
          <w:bCs/>
          <w:i/>
          <w:iCs/>
        </w:rPr>
        <w:t>Fisheries Act 2000</w:t>
      </w:r>
      <w:r>
        <w:rPr>
          <w:bCs/>
          <w:i/>
          <w:iCs/>
        </w:rPr>
        <w:t>.</w:t>
      </w:r>
      <w:r w:rsidRPr="00236BDD">
        <w:rPr>
          <w:b/>
        </w:rPr>
        <w:t xml:space="preserve"> </w:t>
      </w:r>
      <w:r>
        <w:rPr>
          <w:b/>
        </w:rPr>
        <w:t xml:space="preserve"> </w:t>
      </w:r>
    </w:p>
    <w:bookmarkEnd w:id="117"/>
    <w:p w14:paraId="4AAD356B" w14:textId="77777777" w:rsidR="00806D46" w:rsidRPr="00227AEB" w:rsidRDefault="00806D46" w:rsidP="00806D46">
      <w:pPr>
        <w:pStyle w:val="ListParagraph"/>
        <w:numPr>
          <w:ilvl w:val="0"/>
          <w:numId w:val="3"/>
        </w:numPr>
        <w:ind w:left="1080"/>
        <w:rPr>
          <w:b/>
        </w:rPr>
      </w:pPr>
      <w:r>
        <w:rPr>
          <w:b/>
        </w:rPr>
        <w:t xml:space="preserve">Disallowable Instrument </w:t>
      </w:r>
      <w:r w:rsidRPr="00227AEB">
        <w:rPr>
          <w:b/>
        </w:rPr>
        <w:t>DI2022-222</w:t>
      </w:r>
      <w:r w:rsidRPr="00806D46">
        <w:rPr>
          <w:b/>
        </w:rPr>
        <w:t xml:space="preserve"> </w:t>
      </w:r>
      <w:r w:rsidRPr="00806D46">
        <w:rPr>
          <w:bCs/>
        </w:rPr>
        <w:t xml:space="preserve">being the Fisheries (Fishing Closures) Declaration 2022, including a regulatory impact statement section 13 of the </w:t>
      </w:r>
      <w:r>
        <w:rPr>
          <w:i/>
        </w:rPr>
        <w:t>Fisheries Act 2000.</w:t>
      </w:r>
      <w:r w:rsidRPr="00236BDD">
        <w:rPr>
          <w:b/>
        </w:rPr>
        <w:t xml:space="preserve"> </w:t>
      </w:r>
      <w:r>
        <w:rPr>
          <w:b/>
        </w:rPr>
        <w:t xml:space="preserve"> </w:t>
      </w:r>
    </w:p>
    <w:p w14:paraId="6C3DACB4" w14:textId="77777777" w:rsidR="0078109B" w:rsidRDefault="0078109B">
      <w:pPr>
        <w:spacing w:line="259" w:lineRule="auto"/>
        <w:rPr>
          <w:rFonts w:ascii="Montserrat" w:eastAsiaTheme="majorEastAsia" w:hAnsi="Montserrat" w:cstheme="majorBidi"/>
          <w:b/>
          <w:color w:val="2F5496"/>
          <w:w w:val="90"/>
          <w:kern w:val="2"/>
          <w:sz w:val="32"/>
          <w:szCs w:val="26"/>
        </w:rPr>
      </w:pPr>
      <w:r>
        <w:br w:type="page"/>
      </w:r>
    </w:p>
    <w:p w14:paraId="44FEA623" w14:textId="77777777" w:rsidR="00393F20" w:rsidRPr="00B45117" w:rsidRDefault="00393F20" w:rsidP="00B45117">
      <w:pPr>
        <w:pStyle w:val="ListNumber2"/>
        <w:numPr>
          <w:ilvl w:val="0"/>
          <w:numId w:val="0"/>
        </w:numPr>
        <w:ind w:left="851"/>
      </w:pPr>
    </w:p>
    <w:p w14:paraId="41B4C789" w14:textId="5559F07E" w:rsidR="00946611" w:rsidRPr="000B6D94" w:rsidRDefault="00C26E89" w:rsidP="00393F20">
      <w:pPr>
        <w:pStyle w:val="Heading2"/>
      </w:pPr>
      <w:bookmarkStart w:id="131" w:name="_Toc116900159"/>
      <w:bookmarkEnd w:id="108"/>
      <w:r>
        <w:t>Response</w:t>
      </w:r>
      <w:r w:rsidR="00636EC4">
        <w:t xml:space="preserve"> – no comment</w:t>
      </w:r>
      <w:bookmarkEnd w:id="131"/>
      <w:r w:rsidR="00636EC4">
        <w:t xml:space="preserve"> </w:t>
      </w:r>
    </w:p>
    <w:p w14:paraId="28838E79" w14:textId="77777777" w:rsidR="00E91794" w:rsidRPr="00E91794" w:rsidRDefault="00B46A5D" w:rsidP="00E91794">
      <w:pPr>
        <w:pStyle w:val="ListParagraph"/>
        <w:numPr>
          <w:ilvl w:val="0"/>
          <w:numId w:val="2"/>
        </w:numPr>
      </w:pPr>
      <w:r w:rsidRPr="00E91794">
        <w:t xml:space="preserve">Disallowable Instrument DI2022-67 being the Plastic Reduction (Single-use Plastic Products) Exemption 2022 </w:t>
      </w:r>
    </w:p>
    <w:p w14:paraId="03620DBB" w14:textId="77777777" w:rsidR="0076528B" w:rsidRDefault="0076528B" w:rsidP="0076528B">
      <w:pPr>
        <w:pStyle w:val="ListParagraph"/>
        <w:numPr>
          <w:ilvl w:val="0"/>
          <w:numId w:val="2"/>
        </w:numPr>
      </w:pPr>
      <w:r>
        <w:t xml:space="preserve">Disallowable Instrument </w:t>
      </w:r>
      <w:r w:rsidRPr="006C2BC1">
        <w:t>DI2022-70</w:t>
      </w:r>
      <w:r>
        <w:t xml:space="preserve"> being the</w:t>
      </w:r>
      <w:r w:rsidRPr="006C2BC1">
        <w:t xml:space="preserve"> Working with Vulnerable People Background Checking (Fees) Determination 2022 (No 1) </w:t>
      </w:r>
    </w:p>
    <w:p w14:paraId="311F4E47" w14:textId="53E52C3C" w:rsidR="00CC2066" w:rsidRDefault="00E91794" w:rsidP="00E91794">
      <w:pPr>
        <w:pStyle w:val="ListParagraph"/>
        <w:numPr>
          <w:ilvl w:val="0"/>
          <w:numId w:val="2"/>
        </w:numPr>
      </w:pPr>
      <w:r w:rsidRPr="00E91794">
        <w:t>Disallowable Instrument DI2022-71 being the Electoral (Fees) Determination 2022</w:t>
      </w:r>
    </w:p>
    <w:p w14:paraId="19DED49D" w14:textId="77777777" w:rsidR="0076528B" w:rsidRPr="00E91794" w:rsidRDefault="0076528B" w:rsidP="0076528B">
      <w:pPr>
        <w:pStyle w:val="ListParagraph"/>
      </w:pPr>
    </w:p>
    <w:p w14:paraId="67536789" w14:textId="3C36913C" w:rsidR="00186961" w:rsidRPr="000B6D94" w:rsidRDefault="00186961" w:rsidP="00186961">
      <w:r w:rsidRPr="000B6D94">
        <w:t>Th</w:t>
      </w:r>
      <w:r w:rsidR="00C10073" w:rsidRPr="000B6D94">
        <w:t>e</w:t>
      </w:r>
      <w:r w:rsidRPr="000B6D94">
        <w:t xml:space="preserve"> response</w:t>
      </w:r>
      <w:r w:rsidR="00C10073" w:rsidRPr="000B6D94">
        <w:t>s</w:t>
      </w:r>
      <w:r w:rsidRPr="000B6D94">
        <w:t xml:space="preserve"> can be viewed </w:t>
      </w:r>
      <w:hyperlink r:id="rId25" w:history="1">
        <w:r w:rsidRPr="000B6D94">
          <w:rPr>
            <w:rStyle w:val="Hyperlink"/>
          </w:rPr>
          <w:t>online</w:t>
        </w:r>
      </w:hyperlink>
      <w:r w:rsidRPr="000B6D94">
        <w:t xml:space="preserve">. </w:t>
      </w:r>
    </w:p>
    <w:p w14:paraId="0839D9E1" w14:textId="7B72AB85" w:rsidR="00186961" w:rsidRPr="000B6D94" w:rsidRDefault="00186961" w:rsidP="00186961">
      <w:r w:rsidRPr="000B6D94">
        <w:t xml:space="preserve">The Committee wishes to thank the </w:t>
      </w:r>
      <w:r w:rsidR="003C35AE" w:rsidRPr="000B6D94">
        <w:t>Minister</w:t>
      </w:r>
      <w:r w:rsidR="00946611" w:rsidRPr="000B6D94">
        <w:t>s</w:t>
      </w:r>
      <w:r w:rsidRPr="000B6D94">
        <w:t xml:space="preserve"> for the </w:t>
      </w:r>
      <w:r w:rsidRPr="00445183">
        <w:t>helpful response</w:t>
      </w:r>
      <w:r w:rsidR="007E7CEC" w:rsidRPr="00445183">
        <w:t>s</w:t>
      </w:r>
      <w:r w:rsidRPr="00445183">
        <w:t>.</w:t>
      </w:r>
      <w:r w:rsidRPr="000B6D94">
        <w:t xml:space="preserve"> </w:t>
      </w:r>
    </w:p>
    <w:p w14:paraId="58169480" w14:textId="17677389" w:rsidR="004E070F" w:rsidRPr="000B6D94" w:rsidRDefault="004E070F" w:rsidP="004E070F"/>
    <w:p w14:paraId="76C81A38" w14:textId="572D7F88" w:rsidR="004E070F" w:rsidRPr="000B6D94" w:rsidRDefault="004E070F" w:rsidP="004E070F"/>
    <w:p w14:paraId="078266DE" w14:textId="77777777" w:rsidR="004E070F" w:rsidRPr="000B6D94" w:rsidRDefault="004E070F" w:rsidP="004E070F"/>
    <w:p w14:paraId="61FC0541" w14:textId="77777777" w:rsidR="004E070F" w:rsidRPr="000B6D94" w:rsidRDefault="004E070F" w:rsidP="004E070F">
      <w:pPr>
        <w:spacing w:after="0" w:line="240" w:lineRule="auto"/>
      </w:pPr>
      <w:r w:rsidRPr="000B6D94">
        <w:t xml:space="preserve">Peter Cain MLA </w:t>
      </w:r>
    </w:p>
    <w:p w14:paraId="1C626F33" w14:textId="77777777" w:rsidR="004E070F" w:rsidRPr="000B6D94" w:rsidRDefault="004E070F" w:rsidP="004E070F">
      <w:pPr>
        <w:spacing w:after="0" w:line="240" w:lineRule="auto"/>
      </w:pPr>
      <w:r w:rsidRPr="000B6D94">
        <w:t xml:space="preserve">Chair </w:t>
      </w:r>
    </w:p>
    <w:p w14:paraId="0750B02D" w14:textId="6237230A" w:rsidR="004E070F" w:rsidRPr="005E6F2B" w:rsidRDefault="00227AEB" w:rsidP="004E070F">
      <w:r>
        <w:t xml:space="preserve">   October</w:t>
      </w:r>
      <w:r w:rsidR="004E070F" w:rsidRPr="005E6F2B">
        <w:t xml:space="preserve"> 2022</w:t>
      </w:r>
    </w:p>
    <w:p w14:paraId="1311514F" w14:textId="7FC1AA0F" w:rsidR="00EB3179" w:rsidRPr="000B6D94" w:rsidRDefault="00EB3179" w:rsidP="00186961">
      <w:pPr>
        <w:spacing w:after="0" w:line="240" w:lineRule="auto"/>
        <w:rPr>
          <w:rFonts w:cstheme="minorHAnsi"/>
          <w:bCs/>
          <w:color w:val="000000" w:themeColor="text1"/>
          <w:szCs w:val="20"/>
        </w:rPr>
      </w:pPr>
      <w:r w:rsidRPr="000B6D94">
        <w:br w:type="page"/>
      </w:r>
    </w:p>
    <w:p w14:paraId="3FBAE23D" w14:textId="77777777" w:rsidR="00946611" w:rsidRPr="000B6D94" w:rsidRDefault="00946611" w:rsidP="00946611">
      <w:pPr>
        <w:pStyle w:val="Heading1nonumber"/>
      </w:pPr>
      <w:bookmarkStart w:id="132" w:name="_Toc110859666"/>
      <w:bookmarkStart w:id="133" w:name="_Toc116900160"/>
      <w:r w:rsidRPr="000B6D94">
        <w:lastRenderedPageBreak/>
        <w:t>Outstanding responses</w:t>
      </w:r>
      <w:bookmarkEnd w:id="132"/>
      <w:bookmarkEnd w:id="133"/>
    </w:p>
    <w:p w14:paraId="7F860FC1" w14:textId="77777777" w:rsidR="00946611" w:rsidRPr="000B6D94" w:rsidRDefault="00946611" w:rsidP="00946611">
      <w:pPr>
        <w:pStyle w:val="Heading2"/>
      </w:pPr>
      <w:bookmarkStart w:id="134" w:name="_Toc505005688"/>
      <w:bookmarkStart w:id="135" w:name="_Toc505153779"/>
      <w:bookmarkStart w:id="136" w:name="_Toc508283444"/>
      <w:bookmarkStart w:id="137" w:name="_Toc510081804"/>
      <w:bookmarkStart w:id="138" w:name="_Toc511812230"/>
      <w:bookmarkStart w:id="139" w:name="_Toc512240173"/>
      <w:bookmarkStart w:id="140" w:name="_Toc513192173"/>
      <w:bookmarkStart w:id="141" w:name="_Toc514832434"/>
      <w:bookmarkStart w:id="142" w:name="_Toc514837980"/>
      <w:bookmarkStart w:id="143" w:name="_Toc514838144"/>
      <w:bookmarkStart w:id="144" w:name="_Toc514943619"/>
      <w:bookmarkStart w:id="145" w:name="_Toc515352064"/>
      <w:bookmarkStart w:id="146" w:name="_Toc518297261"/>
      <w:bookmarkStart w:id="147" w:name="_Toc519520755"/>
      <w:bookmarkStart w:id="148" w:name="_Toc520188735"/>
      <w:bookmarkStart w:id="149" w:name="_Toc521054338"/>
      <w:bookmarkStart w:id="150" w:name="_Toc521054410"/>
      <w:bookmarkStart w:id="151" w:name="_Toc523814181"/>
      <w:bookmarkStart w:id="152" w:name="_Toc523900477"/>
      <w:bookmarkStart w:id="153" w:name="_Toc526855826"/>
      <w:bookmarkStart w:id="154" w:name="_Toc528155854"/>
      <w:bookmarkStart w:id="155" w:name="_Toc528157213"/>
      <w:bookmarkStart w:id="156" w:name="_Toc528310867"/>
      <w:bookmarkStart w:id="157" w:name="_Toc529974547"/>
      <w:bookmarkStart w:id="158" w:name="_Toc530039442"/>
      <w:bookmarkStart w:id="159" w:name="_Toc536527689"/>
      <w:bookmarkStart w:id="160" w:name="_Toc536527863"/>
      <w:bookmarkStart w:id="161" w:name="_Toc536615405"/>
      <w:bookmarkStart w:id="162" w:name="_Toc172184"/>
      <w:bookmarkStart w:id="163" w:name="_Toc506087"/>
      <w:bookmarkStart w:id="164" w:name="_Toc965832"/>
      <w:bookmarkStart w:id="165" w:name="_Toc6211048"/>
      <w:bookmarkStart w:id="166" w:name="_Toc9500017"/>
      <w:bookmarkStart w:id="167" w:name="_Toc14334625"/>
      <w:bookmarkStart w:id="168" w:name="_Toc14775975"/>
      <w:bookmarkStart w:id="169" w:name="_Toc15285040"/>
      <w:bookmarkStart w:id="170" w:name="_Toc15630677"/>
      <w:bookmarkStart w:id="171" w:name="_Toc18415350"/>
      <w:bookmarkStart w:id="172" w:name="_Toc18487717"/>
      <w:bookmarkStart w:id="173" w:name="_Toc19708407"/>
      <w:bookmarkStart w:id="174" w:name="_Toc20131698"/>
      <w:bookmarkStart w:id="175" w:name="_Toc21595465"/>
      <w:bookmarkStart w:id="176" w:name="_Toc22025468"/>
      <w:bookmarkStart w:id="177" w:name="_Toc24463733"/>
      <w:bookmarkStart w:id="178" w:name="_Toc24617731"/>
      <w:bookmarkStart w:id="179" w:name="_Toc25050804"/>
      <w:bookmarkStart w:id="180" w:name="_Toc31202278"/>
      <w:bookmarkStart w:id="181" w:name="_Toc32390211"/>
      <w:bookmarkStart w:id="182" w:name="_Toc32566855"/>
      <w:bookmarkStart w:id="183" w:name="_Toc35437959"/>
      <w:bookmarkStart w:id="184" w:name="_Toc38270552"/>
      <w:bookmarkStart w:id="185" w:name="_Toc38362407"/>
      <w:bookmarkStart w:id="186" w:name="_Toc38442400"/>
      <w:bookmarkStart w:id="187" w:name="_Toc38976339"/>
      <w:bookmarkStart w:id="188" w:name="_Toc40693261"/>
      <w:bookmarkStart w:id="189" w:name="_Toc41570939"/>
      <w:bookmarkStart w:id="190" w:name="_Toc42875016"/>
      <w:bookmarkStart w:id="191" w:name="_Toc44074228"/>
      <w:bookmarkStart w:id="192" w:name="_Toc44323945"/>
      <w:bookmarkStart w:id="193" w:name="_Toc80613276"/>
      <w:bookmarkStart w:id="194" w:name="_Toc80701782"/>
      <w:bookmarkStart w:id="195" w:name="_Toc83302237"/>
      <w:bookmarkStart w:id="196" w:name="_Toc86229569"/>
      <w:bookmarkStart w:id="197" w:name="_Toc88029471"/>
      <w:bookmarkStart w:id="198" w:name="_Toc110859667"/>
      <w:bookmarkStart w:id="199" w:name="_Toc116900161"/>
      <w:r w:rsidRPr="000B6D94">
        <w:t>Bills/Subordinate Legislation</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551757E6" w14:textId="451D1241" w:rsidR="00946611" w:rsidRDefault="00946611" w:rsidP="00946611">
      <w:pPr>
        <w:pStyle w:val="Heading3"/>
      </w:pPr>
      <w:bookmarkStart w:id="200" w:name="_Toc110859668"/>
      <w:bookmarkStart w:id="201" w:name="_Toc116900162"/>
      <w:r w:rsidRPr="000B6D94">
        <w:t>Report 12, dated February 2022</w:t>
      </w:r>
      <w:bookmarkEnd w:id="200"/>
      <w:bookmarkEnd w:id="201"/>
    </w:p>
    <w:p w14:paraId="07521278" w14:textId="3606A44A" w:rsidR="005552E9" w:rsidRPr="005552E9" w:rsidRDefault="005552E9" w:rsidP="005552E9">
      <w:pPr>
        <w:pStyle w:val="Heading4"/>
      </w:pPr>
      <w:r>
        <w:t xml:space="preserve">Bills </w:t>
      </w:r>
    </w:p>
    <w:p w14:paraId="7B93E4E6" w14:textId="77777777" w:rsidR="00946611" w:rsidRPr="00217364" w:rsidRDefault="00946611" w:rsidP="00946611">
      <w:pPr>
        <w:pStyle w:val="ListBullet2"/>
        <w:numPr>
          <w:ilvl w:val="0"/>
          <w:numId w:val="2"/>
        </w:numPr>
      </w:pPr>
      <w:r w:rsidRPr="00217364">
        <w:t>Electoral Amendment Bill 2021</w:t>
      </w:r>
    </w:p>
    <w:p w14:paraId="73C13D4B" w14:textId="77777777" w:rsidR="00946611" w:rsidRPr="00217364" w:rsidRDefault="00946611" w:rsidP="00946611">
      <w:pPr>
        <w:pStyle w:val="ListBullet2"/>
        <w:numPr>
          <w:ilvl w:val="0"/>
          <w:numId w:val="2"/>
        </w:numPr>
      </w:pPr>
      <w:r w:rsidRPr="00217364">
        <w:t>Financial Management Amendment Bill 2021 (No 2)</w:t>
      </w:r>
    </w:p>
    <w:p w14:paraId="1C580272" w14:textId="1FC9D0F9" w:rsidR="00217364" w:rsidRDefault="00217364" w:rsidP="00217364">
      <w:pPr>
        <w:pStyle w:val="Heading3"/>
      </w:pPr>
      <w:bookmarkStart w:id="202" w:name="_Toc116900163"/>
      <w:r w:rsidRPr="00217364">
        <w:t xml:space="preserve">Report 20, dated </w:t>
      </w:r>
      <w:r w:rsidR="00480734">
        <w:t>13 September 2022</w:t>
      </w:r>
      <w:bookmarkEnd w:id="202"/>
    </w:p>
    <w:p w14:paraId="1C62931C" w14:textId="25581F6D" w:rsidR="000612B2" w:rsidRPr="000612B2" w:rsidRDefault="000612B2" w:rsidP="000612B2">
      <w:pPr>
        <w:pStyle w:val="Heading4"/>
      </w:pPr>
      <w:r>
        <w:t xml:space="preserve">Bills </w:t>
      </w:r>
    </w:p>
    <w:p w14:paraId="09163372" w14:textId="08642B90" w:rsidR="00217364" w:rsidRPr="00217364" w:rsidRDefault="00217364" w:rsidP="00946611">
      <w:pPr>
        <w:pStyle w:val="ListParagraph"/>
        <w:numPr>
          <w:ilvl w:val="0"/>
          <w:numId w:val="2"/>
        </w:numPr>
      </w:pPr>
      <w:r w:rsidRPr="00217364">
        <w:t>Climate Change and Greenhouse Gas Reduction (Natural Gas Transition) Amendment Bill 2022 [response required prior to the Bill being debated]</w:t>
      </w:r>
      <w:r w:rsidRPr="00217364">
        <w:softHyphen/>
      </w:r>
      <w:r w:rsidRPr="00217364">
        <w:softHyphen/>
      </w:r>
    </w:p>
    <w:p w14:paraId="05E7D64F" w14:textId="0CE56B41" w:rsidR="00217364" w:rsidRPr="00217364" w:rsidRDefault="00217364" w:rsidP="00946611">
      <w:pPr>
        <w:pStyle w:val="ListParagraph"/>
        <w:numPr>
          <w:ilvl w:val="0"/>
          <w:numId w:val="2"/>
        </w:numPr>
      </w:pPr>
      <w:r w:rsidRPr="00217364">
        <w:t>Period Products and Facilities (Access) Bill 2022 [response required prior to the Bill being debated]</w:t>
      </w:r>
      <w:r w:rsidRPr="00217364">
        <w:softHyphen/>
      </w:r>
      <w:r w:rsidRPr="00217364">
        <w:softHyphen/>
      </w:r>
    </w:p>
    <w:p w14:paraId="58505901" w14:textId="52A7D657" w:rsidR="00217364" w:rsidRPr="00217364" w:rsidRDefault="00217364" w:rsidP="00946611">
      <w:pPr>
        <w:pStyle w:val="ListParagraph"/>
        <w:numPr>
          <w:ilvl w:val="0"/>
          <w:numId w:val="2"/>
        </w:numPr>
      </w:pPr>
      <w:r w:rsidRPr="00217364">
        <w:t>Senior Practitioner Amendment Bill 2022 [response required prior to the Bill being debated]</w:t>
      </w:r>
      <w:r w:rsidRPr="00217364">
        <w:softHyphen/>
      </w:r>
      <w:r w:rsidRPr="00217364">
        <w:softHyphen/>
      </w:r>
    </w:p>
    <w:p w14:paraId="30D6914F" w14:textId="6C698388" w:rsidR="000612B2" w:rsidRDefault="00217364" w:rsidP="000612B2">
      <w:pPr>
        <w:pStyle w:val="ListParagraph"/>
        <w:numPr>
          <w:ilvl w:val="0"/>
          <w:numId w:val="2"/>
        </w:numPr>
      </w:pPr>
      <w:r w:rsidRPr="00217364">
        <w:t>Urban Forrest Bill 2022 [response required prior to the Bill being debated]</w:t>
      </w:r>
      <w:r w:rsidRPr="00217364">
        <w:softHyphen/>
      </w:r>
    </w:p>
    <w:p w14:paraId="1CBA83F4" w14:textId="206E9EF6" w:rsidR="00445183" w:rsidRPr="00445183" w:rsidRDefault="000612B2" w:rsidP="00445183">
      <w:pPr>
        <w:pStyle w:val="Heading4"/>
      </w:pPr>
      <w:r>
        <w:t xml:space="preserve">Subordinate </w:t>
      </w:r>
      <w:r w:rsidR="005552E9">
        <w:t>Legislation</w:t>
      </w:r>
      <w:r>
        <w:t xml:space="preserve"> </w:t>
      </w:r>
    </w:p>
    <w:p w14:paraId="4AD60C19" w14:textId="14953502" w:rsidR="006C2BC1" w:rsidRDefault="006C2BC1" w:rsidP="006C2BC1">
      <w:pPr>
        <w:pStyle w:val="ListParagraph"/>
        <w:numPr>
          <w:ilvl w:val="0"/>
          <w:numId w:val="2"/>
        </w:numPr>
      </w:pPr>
      <w:r>
        <w:t>Victims of Crime (Fees) Determination 2022 (No 1) [DI2022-101]</w:t>
      </w:r>
      <w:r w:rsidRPr="006C2BC1">
        <w:t xml:space="preserve"> [response required before Legislative Assembly’s capacity to move to disallow instrument expires]</w:t>
      </w:r>
    </w:p>
    <w:p w14:paraId="0CA10A5B" w14:textId="7499AE5A" w:rsidR="000C668B" w:rsidRDefault="006C2BC1" w:rsidP="000C668B">
      <w:pPr>
        <w:pStyle w:val="ListParagraph"/>
        <w:numPr>
          <w:ilvl w:val="0"/>
          <w:numId w:val="2"/>
        </w:numPr>
      </w:pPr>
      <w:r>
        <w:t xml:space="preserve">Juries (Payment) Determination 2022 [DI2022-107] </w:t>
      </w:r>
      <w:r w:rsidRPr="006C2BC1">
        <w:t>[response required before Legislative Assembly’s capacity to move to disallow instrument expires]</w:t>
      </w:r>
    </w:p>
    <w:p w14:paraId="3E55B532" w14:textId="4532E8D6" w:rsidR="0078109B" w:rsidRDefault="0078109B" w:rsidP="0078109B">
      <w:pPr>
        <w:pStyle w:val="Heading3"/>
      </w:pPr>
      <w:bookmarkStart w:id="203" w:name="_Toc116900164"/>
      <w:r w:rsidRPr="00217364">
        <w:t>Report 2</w:t>
      </w:r>
      <w:r>
        <w:t>1,</w:t>
      </w:r>
      <w:r w:rsidRPr="00217364">
        <w:t xml:space="preserve"> dated </w:t>
      </w:r>
      <w:r>
        <w:t>4 October 2022</w:t>
      </w:r>
      <w:bookmarkEnd w:id="203"/>
    </w:p>
    <w:p w14:paraId="449E99FC" w14:textId="6ACE35F3" w:rsidR="0078109B" w:rsidRDefault="0078109B" w:rsidP="0078109B">
      <w:pPr>
        <w:pStyle w:val="Heading4"/>
      </w:pPr>
      <w:r>
        <w:t>Bills</w:t>
      </w:r>
    </w:p>
    <w:p w14:paraId="6A740A37" w14:textId="6E2178DA" w:rsidR="0078109B" w:rsidRDefault="0078109B" w:rsidP="0078109B">
      <w:pPr>
        <w:pStyle w:val="ListParagraph"/>
        <w:numPr>
          <w:ilvl w:val="0"/>
          <w:numId w:val="2"/>
        </w:numPr>
      </w:pPr>
      <w:r>
        <w:t>Freedom of Information Amendment Bill 2022</w:t>
      </w:r>
      <w:r w:rsidR="00321342">
        <w:t xml:space="preserve"> </w:t>
      </w:r>
      <w:r w:rsidR="00321342" w:rsidRPr="00217364">
        <w:t>[response required prior to the Bill being debated]</w:t>
      </w:r>
      <w:r w:rsidR="00321342" w:rsidRPr="00217364">
        <w:softHyphen/>
      </w:r>
      <w:r w:rsidR="00321342" w:rsidRPr="00217364">
        <w:softHyphen/>
      </w:r>
    </w:p>
    <w:p w14:paraId="52E9D75B" w14:textId="051D5302" w:rsidR="0078109B" w:rsidRDefault="0078109B" w:rsidP="0078109B">
      <w:pPr>
        <w:pStyle w:val="ListParagraph"/>
        <w:numPr>
          <w:ilvl w:val="0"/>
          <w:numId w:val="2"/>
        </w:numPr>
      </w:pPr>
      <w:r>
        <w:t>Planning Bill 2022</w:t>
      </w:r>
      <w:r w:rsidR="00321342">
        <w:t xml:space="preserve"> </w:t>
      </w:r>
      <w:r w:rsidR="00321342" w:rsidRPr="00217364">
        <w:t>[response required prior to the Bill being debated]</w:t>
      </w:r>
      <w:r w:rsidR="00321342" w:rsidRPr="00217364">
        <w:softHyphen/>
      </w:r>
      <w:r w:rsidR="00321342" w:rsidRPr="00217364">
        <w:softHyphen/>
      </w:r>
    </w:p>
    <w:p w14:paraId="41C3F80E" w14:textId="5A8260E5" w:rsidR="00321342" w:rsidRPr="00217364" w:rsidRDefault="00321342" w:rsidP="0078109B">
      <w:pPr>
        <w:pStyle w:val="ListParagraph"/>
        <w:numPr>
          <w:ilvl w:val="0"/>
          <w:numId w:val="2"/>
        </w:numPr>
      </w:pPr>
      <w:r>
        <w:t xml:space="preserve">Workplace Legislation Amendment Bill 2022 </w:t>
      </w:r>
      <w:r w:rsidRPr="00217364">
        <w:t>[response required prior to the Bill being debated]</w:t>
      </w:r>
      <w:r w:rsidRPr="00217364">
        <w:softHyphen/>
      </w:r>
      <w:r w:rsidRPr="00217364">
        <w:softHyphen/>
      </w:r>
    </w:p>
    <w:p w14:paraId="17E7BE2E" w14:textId="77777777" w:rsidR="0078109B" w:rsidRPr="00445183" w:rsidRDefault="0078109B" w:rsidP="0078109B">
      <w:pPr>
        <w:pStyle w:val="Heading4"/>
      </w:pPr>
      <w:r>
        <w:t xml:space="preserve">Subordinate Legislation </w:t>
      </w:r>
    </w:p>
    <w:p w14:paraId="46C2A350" w14:textId="29742CD1" w:rsidR="0078109B" w:rsidRDefault="0078109B" w:rsidP="0078109B">
      <w:pPr>
        <w:pStyle w:val="ListParagraph"/>
        <w:numPr>
          <w:ilvl w:val="0"/>
          <w:numId w:val="2"/>
        </w:numPr>
      </w:pPr>
      <w:r>
        <w:t>Disallowable Instrument DI2022-178 being the Children and Young People (Work Experience) Standards 2022 (No 1)</w:t>
      </w:r>
      <w:r w:rsidR="00321342">
        <w:t xml:space="preserve"> </w:t>
      </w:r>
      <w:r w:rsidR="00321342" w:rsidRPr="006C2BC1">
        <w:t>[response required before Legislative Assembly’s capacity to move to disallow instrument expires]</w:t>
      </w:r>
    </w:p>
    <w:p w14:paraId="3B648D42" w14:textId="009006B4" w:rsidR="0078109B" w:rsidRDefault="0078109B" w:rsidP="0078109B">
      <w:pPr>
        <w:pStyle w:val="ListParagraph"/>
        <w:numPr>
          <w:ilvl w:val="0"/>
          <w:numId w:val="2"/>
        </w:numPr>
      </w:pPr>
      <w:r>
        <w:t xml:space="preserve">Disallowable Instrument DI2022-179 being the Taxation Administration (Amounts Payable—Motor Vehicle Duty) Determination 2022 </w:t>
      </w:r>
      <w:r w:rsidR="00321342" w:rsidRPr="006C2BC1">
        <w:t>[response required before Legislative Assembly’s capacity to move to disallow instrument expires]</w:t>
      </w:r>
    </w:p>
    <w:p w14:paraId="6F8EC3AB" w14:textId="090BDBDE" w:rsidR="0078109B" w:rsidRDefault="0078109B" w:rsidP="0078109B">
      <w:pPr>
        <w:pStyle w:val="ListParagraph"/>
        <w:numPr>
          <w:ilvl w:val="0"/>
          <w:numId w:val="2"/>
        </w:numPr>
      </w:pPr>
      <w:r>
        <w:lastRenderedPageBreak/>
        <w:t>Disallowable Instrument DI2022-181 being the Energy Efficiency (Cost of Living) Improvement (Eligible Activities) Determination 2022</w:t>
      </w:r>
      <w:r w:rsidR="00321342">
        <w:t xml:space="preserve"> </w:t>
      </w:r>
      <w:r w:rsidR="00321342" w:rsidRPr="006C2BC1">
        <w:t>[response required before Legislative Assembly’s capacity to move to disallow instrument expires]</w:t>
      </w:r>
    </w:p>
    <w:p w14:paraId="4733F10D" w14:textId="7E409B44" w:rsidR="0078109B" w:rsidRDefault="0078109B" w:rsidP="0078109B">
      <w:pPr>
        <w:pStyle w:val="ListParagraph"/>
        <w:numPr>
          <w:ilvl w:val="0"/>
          <w:numId w:val="2"/>
        </w:numPr>
      </w:pPr>
      <w:r>
        <w:t xml:space="preserve">Disallowable Instrument DI2022-185 being the Legal Aid (Commissioner—Specialist Assistance) Appointment 2022 </w:t>
      </w:r>
      <w:r w:rsidR="00321342" w:rsidRPr="006C2BC1">
        <w:t>[response required before Legislative Assembly’s capacity to move to disallow instrument expires]</w:t>
      </w:r>
    </w:p>
    <w:p w14:paraId="7F1572E8" w14:textId="045AC550" w:rsidR="0078109B" w:rsidRDefault="0078109B" w:rsidP="0078109B">
      <w:pPr>
        <w:pStyle w:val="ListParagraph"/>
        <w:numPr>
          <w:ilvl w:val="0"/>
          <w:numId w:val="2"/>
        </w:numPr>
      </w:pPr>
      <w:r>
        <w:t xml:space="preserve">Disallowable Instrument DI2022-187 being the Legal Aid (Commissioner—Financial Management) Appointment 2022 </w:t>
      </w:r>
      <w:r w:rsidR="00321342" w:rsidRPr="006C2BC1">
        <w:t>[response required before Legislative Assembly’s capacity to move to disallow instrument expires]</w:t>
      </w:r>
    </w:p>
    <w:p w14:paraId="5C580530" w14:textId="480DDCE6" w:rsidR="0078109B" w:rsidRPr="00EB3179" w:rsidRDefault="0078109B" w:rsidP="0078109B">
      <w:pPr>
        <w:pStyle w:val="ListParagraph"/>
        <w:numPr>
          <w:ilvl w:val="0"/>
          <w:numId w:val="2"/>
        </w:numPr>
      </w:pPr>
      <w:r>
        <w:t xml:space="preserve">Disallowable Instrument DI2022-188 being the Legal Aid (Commissioner—Bar Association Nominee) Appointment 2022 </w:t>
      </w:r>
      <w:r w:rsidR="00321342" w:rsidRPr="006C2BC1">
        <w:t>[response required before Legislative Assembly’s capacity to move to disallow instrument expires]</w:t>
      </w:r>
    </w:p>
    <w:sectPr w:rsidR="0078109B" w:rsidRPr="00EB3179" w:rsidSect="00FE4D1F">
      <w:footerReference w:type="even" r:id="rId26"/>
      <w:footerReference w:type="default" r:id="rId2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FC345" w14:textId="77777777" w:rsidR="00FA7D56" w:rsidRDefault="00FA7D56" w:rsidP="00D376C4">
      <w:pPr>
        <w:spacing w:after="0" w:line="240" w:lineRule="auto"/>
      </w:pPr>
      <w:r>
        <w:separator/>
      </w:r>
    </w:p>
  </w:endnote>
  <w:endnote w:type="continuationSeparator" w:id="0">
    <w:p w14:paraId="58965DFE" w14:textId="77777777" w:rsidR="00FA7D56" w:rsidRDefault="00FA7D56"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720FAD-038B-4423-B3FA-1EF613071852}"/>
    <w:embedBold r:id="rId2" w:fontKey="{7285F8E0-4844-46D0-BD02-D594CAEAE2A5}"/>
    <w:embedItalic r:id="rId3" w:fontKey="{2B8D83FE-A398-4238-8D79-00000710AB7B}"/>
    <w:embedBoldItalic r:id="rId4" w:fontKey="{6919F23E-584A-4EF5-A7F6-D02E6D87459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embedRegular r:id="rId5" w:fontKey="{621DDAB7-4277-4440-84AB-27A6AA16307D}"/>
    <w:embedBold r:id="rId6" w:fontKey="{EFBC2D7D-9049-42DE-A282-07DAA9FA7AF3}"/>
  </w:font>
  <w:font w:name="Montserrat SemiBold">
    <w:altName w:val="﷽﷽﷽﷽﷽﷽﷽﷽at SemiBold"/>
    <w:panose1 w:val="00000700000000000000"/>
    <w:charset w:val="00"/>
    <w:family w:val="auto"/>
    <w:pitch w:val="variable"/>
    <w:sig w:usb0="2000020F" w:usb1="00000003" w:usb2="00000000" w:usb3="00000000" w:csb0="00000197" w:csb1="00000000"/>
    <w:embedRegular r:id="rId7" w:fontKey="{C48C3674-8F3A-4A2F-9633-80C049A464D8}"/>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8" w:subsetted="1" w:fontKey="{1CCA5A4F-D08D-47DF-AA7A-A44143648BFA}"/>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1B1F9F3E"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07703D">
      <w:rPr>
        <w:rFonts w:ascii="Montserrat SemiBold" w:hAnsi="Montserrat SemiBold" w:cstheme="majorHAnsi"/>
        <w:noProof/>
        <w:color w:val="2F5496"/>
        <w:w w:val="90"/>
        <w:sz w:val="18"/>
        <w:szCs w:val="18"/>
      </w:rPr>
      <w:t>Scrutiny Report 22</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C39C00E"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7703D">
      <w:rPr>
        <w:rFonts w:ascii="Montserrat SemiBold" w:hAnsi="Montserrat SemiBold" w:cstheme="majorHAnsi"/>
        <w:noProof/>
        <w:color w:val="2F5496"/>
        <w:w w:val="90"/>
        <w:sz w:val="18"/>
        <w:szCs w:val="18"/>
      </w:rPr>
      <w:t>Scrutiny Report 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F005B5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7703D">
      <w:rPr>
        <w:rFonts w:cstheme="minorHAnsi"/>
        <w:noProof/>
        <w:color w:val="404040" w:themeColor="text1" w:themeTint="BF"/>
      </w:rPr>
      <w:t>Standing Committee on Justice and Community Safety (Legislative Scrutiny Role)</w:t>
    </w:r>
    <w:r w:rsidR="0007703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46F958D" w:rsidR="00836FFE" w:rsidRPr="00C8358A" w:rsidRDefault="00D2477F"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308F901"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07703D" w:rsidRPr="0007703D">
      <w:rPr>
        <w:rFonts w:cstheme="minorHAnsi"/>
        <w:noProof/>
      </w:rPr>
      <w:t>October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6F8A03F"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7703D">
      <w:rPr>
        <w:rFonts w:ascii="Montserrat SemiBold" w:hAnsi="Montserrat SemiBold" w:cstheme="majorHAnsi"/>
        <w:noProof/>
        <w:color w:val="2F5496"/>
        <w:w w:val="90"/>
        <w:sz w:val="18"/>
        <w:szCs w:val="18"/>
      </w:rPr>
      <w:t>Scrutiny Report 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7064928"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7703D">
      <w:rPr>
        <w:rFonts w:ascii="Montserrat SemiBold" w:hAnsi="Montserrat SemiBold" w:cstheme="majorHAnsi"/>
        <w:noProof/>
        <w:color w:val="2F5496"/>
        <w:w w:val="90"/>
        <w:sz w:val="18"/>
        <w:szCs w:val="18"/>
      </w:rPr>
      <w:t>Scrutiny Report 22</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B5AF742"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7703D">
      <w:rPr>
        <w:rFonts w:ascii="Montserrat SemiBold" w:hAnsi="Montserrat SemiBold" w:cstheme="majorHAnsi"/>
        <w:noProof/>
        <w:color w:val="2F5496"/>
        <w:w w:val="90"/>
        <w:sz w:val="18"/>
        <w:szCs w:val="18"/>
      </w:rPr>
      <w:t>Scrutiny Report 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825EF" w14:textId="77777777" w:rsidR="00FA7D56" w:rsidRDefault="00FA7D56" w:rsidP="00D376C4">
      <w:pPr>
        <w:spacing w:after="0" w:line="240" w:lineRule="auto"/>
      </w:pPr>
      <w:r>
        <w:separator/>
      </w:r>
    </w:p>
  </w:footnote>
  <w:footnote w:type="continuationSeparator" w:id="0">
    <w:p w14:paraId="16EDA655" w14:textId="77777777" w:rsidR="00FA7D56" w:rsidRDefault="00FA7D56" w:rsidP="00D376C4">
      <w:pPr>
        <w:spacing w:after="0" w:line="240" w:lineRule="auto"/>
      </w:pPr>
      <w:r>
        <w:continuationSeparator/>
      </w:r>
    </w:p>
  </w:footnote>
  <w:footnote w:id="1">
    <w:p w14:paraId="34A767D5" w14:textId="4525C775" w:rsidR="00CB305A" w:rsidRDefault="00CB305A" w:rsidP="00CB305A">
      <w:pPr>
        <w:pStyle w:val="FootnoteText"/>
        <w:spacing w:before="120"/>
      </w:pPr>
      <w:r>
        <w:rPr>
          <w:rStyle w:val="FootnoteReference"/>
        </w:rPr>
        <w:footnoteRef/>
      </w:r>
      <w:r>
        <w:t xml:space="preserve"> </w:t>
      </w:r>
      <w:hyperlink r:id="rId1" w:history="1">
        <w:r w:rsidR="00DF0135" w:rsidRPr="001403CC">
          <w:rPr>
            <w:rStyle w:val="Hyperlink"/>
            <w:szCs w:val="18"/>
          </w:rPr>
          <w:t>https://www.parliament.act.gov.au/__data/assets/pdf_file/0007/434347/Subordinate-Legislation-Technical-and-Stylistic-Standards.pdf</w:t>
        </w:r>
      </w:hyperlink>
      <w:r w:rsidR="00DF0135">
        <w:rPr>
          <w:color w:val="000000"/>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9E9B" w14:textId="77777777" w:rsidR="00094CC1" w:rsidRDefault="00094C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34D5" w14:textId="77777777" w:rsidR="00094CC1" w:rsidRDefault="00094C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 w15:restartNumberingAfterBreak="0">
    <w:nsid w:val="03905FCE"/>
    <w:multiLevelType w:val="multilevel"/>
    <w:tmpl w:val="BDE0E640"/>
    <w:lvl w:ilvl="0">
      <w:start w:val="1"/>
      <w:numFmt w:val="decimal"/>
      <w:pStyle w:val="Heading1"/>
      <w:lvlText w:val="%1."/>
      <w:lvlJc w:val="left"/>
      <w:pPr>
        <w:ind w:left="1135" w:hanging="851"/>
      </w:pPr>
      <w:rPr>
        <w:rFonts w:hint="default"/>
      </w:rPr>
    </w:lvl>
    <w:lvl w:ilvl="1">
      <w:start w:val="1"/>
      <w:numFmt w:val="decimal"/>
      <w:pStyle w:val="ListNumber2"/>
      <w:lvlText w:val="%1.%2."/>
      <w:lvlJc w:val="left"/>
      <w:pPr>
        <w:ind w:left="851" w:hanging="851"/>
      </w:pPr>
      <w:rPr>
        <w:rFonts w:asciiTheme="minorHAnsi" w:hAnsiTheme="minorHAnsi" w:hint="default"/>
        <w:b w:val="0"/>
        <w:bCs/>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C356EE3"/>
    <w:multiLevelType w:val="hybridMultilevel"/>
    <w:tmpl w:val="72E4F696"/>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E6A12D4"/>
    <w:multiLevelType w:val="multilevel"/>
    <w:tmpl w:val="F144754E"/>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b w:val="0"/>
        <w:bCs/>
        <w:i w:val="0"/>
        <w:iCs w:val="0"/>
        <w:sz w:val="22"/>
      </w:rPr>
    </w:lvl>
    <w:lvl w:ilvl="2">
      <w:start w:val="1"/>
      <w:numFmt w:val="decimal"/>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5" w15:restartNumberingAfterBreak="0">
    <w:nsid w:val="29F675F9"/>
    <w:multiLevelType w:val="hybridMultilevel"/>
    <w:tmpl w:val="17ECFAC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6C4F3F"/>
    <w:multiLevelType w:val="hybridMultilevel"/>
    <w:tmpl w:val="B5448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9C7EA1"/>
    <w:multiLevelType w:val="multilevel"/>
    <w:tmpl w:val="67325AF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b w:val="0"/>
        <w:bCs/>
        <w:i w:val="0"/>
        <w:iCs w:val="0"/>
        <w:sz w:val="22"/>
      </w:rPr>
    </w:lvl>
    <w:lvl w:ilvl="2">
      <w:start w:val="1"/>
      <w:numFmt w:val="bullet"/>
      <w:lvlText w:val=""/>
      <w:lvlJc w:val="left"/>
      <w:pPr>
        <w:ind w:left="1418" w:hanging="567"/>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8"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28517108">
    <w:abstractNumId w:val="1"/>
  </w:num>
  <w:num w:numId="2" w16cid:durableId="103775115">
    <w:abstractNumId w:val="5"/>
  </w:num>
  <w:num w:numId="3" w16cid:durableId="1580092580">
    <w:abstractNumId w:val="6"/>
  </w:num>
  <w:num w:numId="4" w16cid:durableId="123895110">
    <w:abstractNumId w:val="2"/>
  </w:num>
  <w:num w:numId="5" w16cid:durableId="844202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1412203">
    <w:abstractNumId w:val="7"/>
  </w:num>
  <w:num w:numId="7" w16cid:durableId="277838668">
    <w:abstractNumId w:val="4"/>
  </w:num>
  <w:num w:numId="8" w16cid:durableId="1867450976">
    <w:abstractNumId w:val="1"/>
  </w:num>
  <w:num w:numId="9" w16cid:durableId="1182432742">
    <w:abstractNumId w:val="1"/>
  </w:num>
  <w:num w:numId="10" w16cid:durableId="586621688">
    <w:abstractNumId w:val="0"/>
  </w:num>
  <w:num w:numId="11" w16cid:durableId="1327129735">
    <w:abstractNumId w:val="1"/>
  </w:num>
  <w:num w:numId="12" w16cid:durableId="1988627699">
    <w:abstractNumId w:val="1"/>
  </w:num>
  <w:num w:numId="13" w16cid:durableId="1842619063">
    <w:abstractNumId w:val="1"/>
  </w:num>
  <w:num w:numId="14" w16cid:durableId="939528240">
    <w:abstractNumId w:val="1"/>
  </w:num>
  <w:num w:numId="15" w16cid:durableId="1884438011">
    <w:abstractNumId w:val="1"/>
  </w:num>
  <w:num w:numId="16" w16cid:durableId="1125001875">
    <w:abstractNumId w:val="1"/>
  </w:num>
  <w:num w:numId="17" w16cid:durableId="1914119607">
    <w:abstractNumId w:val="1"/>
  </w:num>
  <w:num w:numId="18" w16cid:durableId="115879776">
    <w:abstractNumId w:val="1"/>
  </w:num>
  <w:num w:numId="19" w16cid:durableId="1077945270">
    <w:abstractNumId w:val="1"/>
  </w:num>
  <w:num w:numId="20" w16cid:durableId="466315716">
    <w:abstractNumId w:val="1"/>
  </w:num>
  <w:num w:numId="21" w16cid:durableId="1052116771">
    <w:abstractNumId w:val="1"/>
  </w:num>
  <w:num w:numId="22" w16cid:durableId="1409231025">
    <w:abstractNumId w:val="1"/>
  </w:num>
  <w:num w:numId="23" w16cid:durableId="8259078">
    <w:abstractNumId w:val="1"/>
  </w:num>
  <w:num w:numId="24" w16cid:durableId="680350759">
    <w:abstractNumId w:val="1"/>
  </w:num>
  <w:num w:numId="25" w16cid:durableId="899561884">
    <w:abstractNumId w:val="1"/>
  </w:num>
  <w:num w:numId="26" w16cid:durableId="829443401">
    <w:abstractNumId w:val="1"/>
  </w:num>
  <w:num w:numId="27" w16cid:durableId="1656450918">
    <w:abstractNumId w:val="1"/>
  </w:num>
  <w:num w:numId="28" w16cid:durableId="826633505">
    <w:abstractNumId w:val="1"/>
  </w:num>
  <w:num w:numId="29" w16cid:durableId="1999646028">
    <w:abstractNumId w:val="1"/>
  </w:num>
  <w:num w:numId="30" w16cid:durableId="1494711953">
    <w:abstractNumId w:val="1"/>
  </w:num>
  <w:num w:numId="31" w16cid:durableId="1462531784">
    <w:abstractNumId w:val="1"/>
  </w:num>
  <w:num w:numId="32" w16cid:durableId="19823744">
    <w:abstractNumId w:val="1"/>
  </w:num>
  <w:num w:numId="33" w16cid:durableId="1215121459">
    <w:abstractNumId w:val="1"/>
  </w:num>
  <w:num w:numId="34" w16cid:durableId="1853717666">
    <w:abstractNumId w:val="1"/>
  </w:num>
  <w:num w:numId="35" w16cid:durableId="1846438217">
    <w:abstractNumId w:val="1"/>
  </w:num>
  <w:num w:numId="36" w16cid:durableId="620577160">
    <w:abstractNumId w:val="1"/>
  </w:num>
  <w:num w:numId="37" w16cid:durableId="1798257669">
    <w:abstractNumId w:val="1"/>
  </w:num>
  <w:num w:numId="38" w16cid:durableId="68161986">
    <w:abstractNumId w:val="1"/>
  </w:num>
  <w:num w:numId="39" w16cid:durableId="487787970">
    <w:abstractNumId w:val="1"/>
  </w:num>
  <w:num w:numId="40" w16cid:durableId="1388605348">
    <w:abstractNumId w:val="1"/>
  </w:num>
  <w:num w:numId="41" w16cid:durableId="185888263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5829"/>
    <w:rsid w:val="00015E0D"/>
    <w:rsid w:val="00024F1A"/>
    <w:rsid w:val="00030FBC"/>
    <w:rsid w:val="00034056"/>
    <w:rsid w:val="0004775D"/>
    <w:rsid w:val="000477AD"/>
    <w:rsid w:val="00047DD3"/>
    <w:rsid w:val="00051B55"/>
    <w:rsid w:val="000554C6"/>
    <w:rsid w:val="000612B2"/>
    <w:rsid w:val="0006699A"/>
    <w:rsid w:val="0006752F"/>
    <w:rsid w:val="00070E76"/>
    <w:rsid w:val="000731EB"/>
    <w:rsid w:val="0007703D"/>
    <w:rsid w:val="00083101"/>
    <w:rsid w:val="00090DE4"/>
    <w:rsid w:val="00093506"/>
    <w:rsid w:val="00094CC1"/>
    <w:rsid w:val="000A3453"/>
    <w:rsid w:val="000A694C"/>
    <w:rsid w:val="000B6D94"/>
    <w:rsid w:val="000C59DB"/>
    <w:rsid w:val="000C668B"/>
    <w:rsid w:val="000F42DF"/>
    <w:rsid w:val="00123781"/>
    <w:rsid w:val="001303DD"/>
    <w:rsid w:val="001337D0"/>
    <w:rsid w:val="00134885"/>
    <w:rsid w:val="001349C9"/>
    <w:rsid w:val="00134EDF"/>
    <w:rsid w:val="001416F4"/>
    <w:rsid w:val="0014714E"/>
    <w:rsid w:val="00154A8E"/>
    <w:rsid w:val="00156E52"/>
    <w:rsid w:val="00163E36"/>
    <w:rsid w:val="001738A0"/>
    <w:rsid w:val="0018105F"/>
    <w:rsid w:val="001825E5"/>
    <w:rsid w:val="00186961"/>
    <w:rsid w:val="00187027"/>
    <w:rsid w:val="00187B83"/>
    <w:rsid w:val="0019545D"/>
    <w:rsid w:val="001A0C4B"/>
    <w:rsid w:val="001A2EDD"/>
    <w:rsid w:val="001B13A0"/>
    <w:rsid w:val="001B2622"/>
    <w:rsid w:val="001B3C02"/>
    <w:rsid w:val="001C32C0"/>
    <w:rsid w:val="001C68F3"/>
    <w:rsid w:val="001C7708"/>
    <w:rsid w:val="001D10CD"/>
    <w:rsid w:val="001D2063"/>
    <w:rsid w:val="001D22FC"/>
    <w:rsid w:val="001E1803"/>
    <w:rsid w:val="001E6873"/>
    <w:rsid w:val="001F30D0"/>
    <w:rsid w:val="001F3E4A"/>
    <w:rsid w:val="001F6972"/>
    <w:rsid w:val="001F7428"/>
    <w:rsid w:val="002016C3"/>
    <w:rsid w:val="00205761"/>
    <w:rsid w:val="0020680C"/>
    <w:rsid w:val="002101BE"/>
    <w:rsid w:val="002140B4"/>
    <w:rsid w:val="00214315"/>
    <w:rsid w:val="00216BB7"/>
    <w:rsid w:val="00217364"/>
    <w:rsid w:val="00227AEB"/>
    <w:rsid w:val="00240C8E"/>
    <w:rsid w:val="002428E8"/>
    <w:rsid w:val="00245C11"/>
    <w:rsid w:val="002505EC"/>
    <w:rsid w:val="002508C2"/>
    <w:rsid w:val="00250DD6"/>
    <w:rsid w:val="002627F3"/>
    <w:rsid w:val="00283365"/>
    <w:rsid w:val="002854DA"/>
    <w:rsid w:val="002A33D1"/>
    <w:rsid w:val="002A6C61"/>
    <w:rsid w:val="002B2498"/>
    <w:rsid w:val="002C023A"/>
    <w:rsid w:val="002C0BBA"/>
    <w:rsid w:val="002E2FB8"/>
    <w:rsid w:val="00321342"/>
    <w:rsid w:val="003270A1"/>
    <w:rsid w:val="00344DF6"/>
    <w:rsid w:val="003473C4"/>
    <w:rsid w:val="00362801"/>
    <w:rsid w:val="00366254"/>
    <w:rsid w:val="0036775A"/>
    <w:rsid w:val="00387938"/>
    <w:rsid w:val="00392ADA"/>
    <w:rsid w:val="00393F20"/>
    <w:rsid w:val="003C3080"/>
    <w:rsid w:val="003C35AE"/>
    <w:rsid w:val="003C3CF9"/>
    <w:rsid w:val="003E60F9"/>
    <w:rsid w:val="003E6942"/>
    <w:rsid w:val="00402758"/>
    <w:rsid w:val="00405438"/>
    <w:rsid w:val="00410479"/>
    <w:rsid w:val="00421C6D"/>
    <w:rsid w:val="0042604C"/>
    <w:rsid w:val="00445183"/>
    <w:rsid w:val="004508F1"/>
    <w:rsid w:val="00456DCF"/>
    <w:rsid w:val="0045759B"/>
    <w:rsid w:val="004608D6"/>
    <w:rsid w:val="0046189E"/>
    <w:rsid w:val="00471E8B"/>
    <w:rsid w:val="00480734"/>
    <w:rsid w:val="00483210"/>
    <w:rsid w:val="00486F10"/>
    <w:rsid w:val="004A4C1B"/>
    <w:rsid w:val="004B2EF1"/>
    <w:rsid w:val="004C4BE5"/>
    <w:rsid w:val="004E070F"/>
    <w:rsid w:val="004E21DA"/>
    <w:rsid w:val="004E362D"/>
    <w:rsid w:val="004E3C06"/>
    <w:rsid w:val="004E5149"/>
    <w:rsid w:val="004F121F"/>
    <w:rsid w:val="004F1ED1"/>
    <w:rsid w:val="004F2A63"/>
    <w:rsid w:val="00504664"/>
    <w:rsid w:val="00510D89"/>
    <w:rsid w:val="0051686C"/>
    <w:rsid w:val="00525ED8"/>
    <w:rsid w:val="0054458C"/>
    <w:rsid w:val="00545268"/>
    <w:rsid w:val="005516B8"/>
    <w:rsid w:val="005552E9"/>
    <w:rsid w:val="00556975"/>
    <w:rsid w:val="00572087"/>
    <w:rsid w:val="00587ABB"/>
    <w:rsid w:val="00587C37"/>
    <w:rsid w:val="0059094B"/>
    <w:rsid w:val="0059642E"/>
    <w:rsid w:val="005A3418"/>
    <w:rsid w:val="005B1146"/>
    <w:rsid w:val="005B28F9"/>
    <w:rsid w:val="005B2BA0"/>
    <w:rsid w:val="005D0971"/>
    <w:rsid w:val="005D1067"/>
    <w:rsid w:val="005E6F2B"/>
    <w:rsid w:val="005F34DC"/>
    <w:rsid w:val="00603039"/>
    <w:rsid w:val="00603367"/>
    <w:rsid w:val="006043AE"/>
    <w:rsid w:val="00623507"/>
    <w:rsid w:val="00624316"/>
    <w:rsid w:val="006323F8"/>
    <w:rsid w:val="00636EC4"/>
    <w:rsid w:val="00647E8B"/>
    <w:rsid w:val="006508A9"/>
    <w:rsid w:val="00657EA1"/>
    <w:rsid w:val="006718E3"/>
    <w:rsid w:val="0068014A"/>
    <w:rsid w:val="00683B89"/>
    <w:rsid w:val="0068431A"/>
    <w:rsid w:val="006A7A61"/>
    <w:rsid w:val="006B0503"/>
    <w:rsid w:val="006B0915"/>
    <w:rsid w:val="006B25ED"/>
    <w:rsid w:val="006B28A8"/>
    <w:rsid w:val="006C194B"/>
    <w:rsid w:val="006C2BC1"/>
    <w:rsid w:val="006D1243"/>
    <w:rsid w:val="006D385A"/>
    <w:rsid w:val="006E0CA0"/>
    <w:rsid w:val="006F04A2"/>
    <w:rsid w:val="00700A3A"/>
    <w:rsid w:val="00717FB5"/>
    <w:rsid w:val="00723099"/>
    <w:rsid w:val="00737808"/>
    <w:rsid w:val="0074595F"/>
    <w:rsid w:val="007469DE"/>
    <w:rsid w:val="00757C24"/>
    <w:rsid w:val="00764D5C"/>
    <w:rsid w:val="0076528B"/>
    <w:rsid w:val="00766B6E"/>
    <w:rsid w:val="00770C6C"/>
    <w:rsid w:val="00777CC8"/>
    <w:rsid w:val="00780275"/>
    <w:rsid w:val="00780B0C"/>
    <w:rsid w:val="0078109B"/>
    <w:rsid w:val="0078151A"/>
    <w:rsid w:val="00783B5C"/>
    <w:rsid w:val="00783B6B"/>
    <w:rsid w:val="00784D66"/>
    <w:rsid w:val="00792238"/>
    <w:rsid w:val="00792CC2"/>
    <w:rsid w:val="00795BC7"/>
    <w:rsid w:val="007A6EB9"/>
    <w:rsid w:val="007A7A8B"/>
    <w:rsid w:val="007B1725"/>
    <w:rsid w:val="007C1747"/>
    <w:rsid w:val="007C371D"/>
    <w:rsid w:val="007C3C85"/>
    <w:rsid w:val="007C3F24"/>
    <w:rsid w:val="007E7CEC"/>
    <w:rsid w:val="007F21C2"/>
    <w:rsid w:val="007F4C62"/>
    <w:rsid w:val="00801045"/>
    <w:rsid w:val="00804756"/>
    <w:rsid w:val="008051F8"/>
    <w:rsid w:val="00806D46"/>
    <w:rsid w:val="00836FFE"/>
    <w:rsid w:val="008379EB"/>
    <w:rsid w:val="008431FA"/>
    <w:rsid w:val="00861234"/>
    <w:rsid w:val="00861778"/>
    <w:rsid w:val="008634A0"/>
    <w:rsid w:val="00874FDD"/>
    <w:rsid w:val="00877A94"/>
    <w:rsid w:val="00882BAE"/>
    <w:rsid w:val="0088712A"/>
    <w:rsid w:val="00893F08"/>
    <w:rsid w:val="008A512B"/>
    <w:rsid w:val="008A6130"/>
    <w:rsid w:val="008B350E"/>
    <w:rsid w:val="008B43C3"/>
    <w:rsid w:val="008B6936"/>
    <w:rsid w:val="008D05D8"/>
    <w:rsid w:val="008D5C6E"/>
    <w:rsid w:val="008D72C9"/>
    <w:rsid w:val="008D7F39"/>
    <w:rsid w:val="008E486C"/>
    <w:rsid w:val="008E750D"/>
    <w:rsid w:val="008F0B16"/>
    <w:rsid w:val="00916B7F"/>
    <w:rsid w:val="00917B49"/>
    <w:rsid w:val="009276CD"/>
    <w:rsid w:val="00946611"/>
    <w:rsid w:val="00953BC0"/>
    <w:rsid w:val="00954EAA"/>
    <w:rsid w:val="00960FCC"/>
    <w:rsid w:val="00963F3D"/>
    <w:rsid w:val="009661FD"/>
    <w:rsid w:val="00976637"/>
    <w:rsid w:val="0097698E"/>
    <w:rsid w:val="00983E04"/>
    <w:rsid w:val="00984187"/>
    <w:rsid w:val="009A1FBF"/>
    <w:rsid w:val="009A2EDC"/>
    <w:rsid w:val="009B2C98"/>
    <w:rsid w:val="009B4EFF"/>
    <w:rsid w:val="009B52EF"/>
    <w:rsid w:val="009B5379"/>
    <w:rsid w:val="009C2830"/>
    <w:rsid w:val="009C60B8"/>
    <w:rsid w:val="009D62AE"/>
    <w:rsid w:val="009F40CC"/>
    <w:rsid w:val="009F5A83"/>
    <w:rsid w:val="00A06619"/>
    <w:rsid w:val="00A070D4"/>
    <w:rsid w:val="00A07883"/>
    <w:rsid w:val="00A146A0"/>
    <w:rsid w:val="00A23A3E"/>
    <w:rsid w:val="00A2421A"/>
    <w:rsid w:val="00A26A40"/>
    <w:rsid w:val="00A3562D"/>
    <w:rsid w:val="00A67677"/>
    <w:rsid w:val="00A71EFF"/>
    <w:rsid w:val="00A83E09"/>
    <w:rsid w:val="00A92CD6"/>
    <w:rsid w:val="00AA4484"/>
    <w:rsid w:val="00AA6C54"/>
    <w:rsid w:val="00AA719E"/>
    <w:rsid w:val="00AE1210"/>
    <w:rsid w:val="00AE6E38"/>
    <w:rsid w:val="00AF7746"/>
    <w:rsid w:val="00B053AB"/>
    <w:rsid w:val="00B05704"/>
    <w:rsid w:val="00B10FBB"/>
    <w:rsid w:val="00B120B5"/>
    <w:rsid w:val="00B21A37"/>
    <w:rsid w:val="00B43240"/>
    <w:rsid w:val="00B45117"/>
    <w:rsid w:val="00B46A5D"/>
    <w:rsid w:val="00B47BAF"/>
    <w:rsid w:val="00B7541C"/>
    <w:rsid w:val="00B760D1"/>
    <w:rsid w:val="00B949D1"/>
    <w:rsid w:val="00BA14EB"/>
    <w:rsid w:val="00BA32D0"/>
    <w:rsid w:val="00BB6274"/>
    <w:rsid w:val="00BC0651"/>
    <w:rsid w:val="00BC35B6"/>
    <w:rsid w:val="00BD113A"/>
    <w:rsid w:val="00BD40DF"/>
    <w:rsid w:val="00BD69EE"/>
    <w:rsid w:val="00BE0AB2"/>
    <w:rsid w:val="00BE2396"/>
    <w:rsid w:val="00BF3890"/>
    <w:rsid w:val="00C00889"/>
    <w:rsid w:val="00C02510"/>
    <w:rsid w:val="00C10073"/>
    <w:rsid w:val="00C13B07"/>
    <w:rsid w:val="00C16DCB"/>
    <w:rsid w:val="00C21E49"/>
    <w:rsid w:val="00C230F5"/>
    <w:rsid w:val="00C262EB"/>
    <w:rsid w:val="00C26E89"/>
    <w:rsid w:val="00C47411"/>
    <w:rsid w:val="00C53869"/>
    <w:rsid w:val="00C671AA"/>
    <w:rsid w:val="00C8358A"/>
    <w:rsid w:val="00C837A0"/>
    <w:rsid w:val="00C924CE"/>
    <w:rsid w:val="00CA5C1C"/>
    <w:rsid w:val="00CA6A6D"/>
    <w:rsid w:val="00CB305A"/>
    <w:rsid w:val="00CB6571"/>
    <w:rsid w:val="00CC2066"/>
    <w:rsid w:val="00CC2A57"/>
    <w:rsid w:val="00CC4BE7"/>
    <w:rsid w:val="00CD4E11"/>
    <w:rsid w:val="00CD63C4"/>
    <w:rsid w:val="00CD73BC"/>
    <w:rsid w:val="00D02749"/>
    <w:rsid w:val="00D10BDA"/>
    <w:rsid w:val="00D23E3A"/>
    <w:rsid w:val="00D24542"/>
    <w:rsid w:val="00D2477F"/>
    <w:rsid w:val="00D35A87"/>
    <w:rsid w:val="00D376C4"/>
    <w:rsid w:val="00D4501B"/>
    <w:rsid w:val="00D56113"/>
    <w:rsid w:val="00D644B6"/>
    <w:rsid w:val="00D65EEB"/>
    <w:rsid w:val="00D6781D"/>
    <w:rsid w:val="00D7159D"/>
    <w:rsid w:val="00D745EF"/>
    <w:rsid w:val="00D80994"/>
    <w:rsid w:val="00D83DF1"/>
    <w:rsid w:val="00D97152"/>
    <w:rsid w:val="00D97BDB"/>
    <w:rsid w:val="00DA7289"/>
    <w:rsid w:val="00DB0CA6"/>
    <w:rsid w:val="00DB51EE"/>
    <w:rsid w:val="00DD0188"/>
    <w:rsid w:val="00DD1617"/>
    <w:rsid w:val="00DD3141"/>
    <w:rsid w:val="00DD4895"/>
    <w:rsid w:val="00DE56A4"/>
    <w:rsid w:val="00DF0135"/>
    <w:rsid w:val="00DF4653"/>
    <w:rsid w:val="00DF570D"/>
    <w:rsid w:val="00DF73D1"/>
    <w:rsid w:val="00E0484D"/>
    <w:rsid w:val="00E12092"/>
    <w:rsid w:val="00E12E39"/>
    <w:rsid w:val="00E20929"/>
    <w:rsid w:val="00E26635"/>
    <w:rsid w:val="00E30B82"/>
    <w:rsid w:val="00E64D05"/>
    <w:rsid w:val="00E743CB"/>
    <w:rsid w:val="00E772A8"/>
    <w:rsid w:val="00E84638"/>
    <w:rsid w:val="00E879B9"/>
    <w:rsid w:val="00E91794"/>
    <w:rsid w:val="00E92888"/>
    <w:rsid w:val="00E93618"/>
    <w:rsid w:val="00E976C0"/>
    <w:rsid w:val="00EA3775"/>
    <w:rsid w:val="00EB00DE"/>
    <w:rsid w:val="00EB3179"/>
    <w:rsid w:val="00ED3906"/>
    <w:rsid w:val="00EE0E11"/>
    <w:rsid w:val="00EE5AEE"/>
    <w:rsid w:val="00EE5B62"/>
    <w:rsid w:val="00EF0C40"/>
    <w:rsid w:val="00EF4E5E"/>
    <w:rsid w:val="00EF64D1"/>
    <w:rsid w:val="00F101AB"/>
    <w:rsid w:val="00F267BD"/>
    <w:rsid w:val="00F41D51"/>
    <w:rsid w:val="00F45637"/>
    <w:rsid w:val="00F4685A"/>
    <w:rsid w:val="00F50057"/>
    <w:rsid w:val="00F5384C"/>
    <w:rsid w:val="00F5606F"/>
    <w:rsid w:val="00F6278B"/>
    <w:rsid w:val="00F64542"/>
    <w:rsid w:val="00F746ED"/>
    <w:rsid w:val="00F7656C"/>
    <w:rsid w:val="00F873F4"/>
    <w:rsid w:val="00F9084C"/>
    <w:rsid w:val="00F9280D"/>
    <w:rsid w:val="00FA7D56"/>
    <w:rsid w:val="00FB72F9"/>
    <w:rsid w:val="00FC50C6"/>
    <w:rsid w:val="00FD2503"/>
    <w:rsid w:val="00FD3DEB"/>
    <w:rsid w:val="00FE0230"/>
    <w:rsid w:val="00FE46F2"/>
    <w:rsid w:val="00FE4D1F"/>
    <w:rsid w:val="00FE5A9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0A694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1F3E4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0A694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1F3E4A"/>
    <w:pPr>
      <w:widowControl w:val="0"/>
      <w:tabs>
        <w:tab w:val="left" w:pos="1276"/>
      </w:tabs>
      <w:spacing w:before="240" w:after="240" w:line="300" w:lineRule="exact"/>
    </w:pPr>
    <w:rPr>
      <w:rFonts w:ascii="Calibri" w:eastAsia="Calibri" w:hAnsi="Calibri" w:cs="Calibri"/>
      <w:color w:val="000000"/>
      <w:szCs w:val="20"/>
      <w:lang w:eastAsia="en-AU"/>
    </w:rPr>
  </w:style>
  <w:style w:type="character" w:customStyle="1" w:styleId="Heading6Char">
    <w:name w:val="Heading 6 Char"/>
    <w:basedOn w:val="DefaultParagraphFont"/>
    <w:link w:val="Heading6"/>
    <w:uiPriority w:val="9"/>
    <w:semiHidden/>
    <w:rsid w:val="001F3E4A"/>
    <w:rPr>
      <w:rFonts w:asciiTheme="majorHAnsi" w:eastAsiaTheme="majorEastAsia" w:hAnsiTheme="majorHAnsi" w:cstheme="majorBidi"/>
      <w:color w:val="1F3763" w:themeColor="accent1" w:themeShade="7F"/>
    </w:rPr>
  </w:style>
  <w:style w:type="paragraph" w:styleId="Revision">
    <w:name w:val="Revision"/>
    <w:hidden/>
    <w:uiPriority w:val="99"/>
    <w:semiHidden/>
    <w:rsid w:val="000A694C"/>
    <w:pPr>
      <w:spacing w:after="0" w:line="240" w:lineRule="auto"/>
    </w:pPr>
  </w:style>
  <w:style w:type="paragraph" w:styleId="PlainText">
    <w:name w:val="Plain Text"/>
    <w:basedOn w:val="Normal"/>
    <w:link w:val="PlainTextChar"/>
    <w:uiPriority w:val="99"/>
    <w:unhideWhenUsed/>
    <w:rsid w:val="00764D5C"/>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64D5C"/>
    <w:rPr>
      <w:rFonts w:ascii="Consolas" w:hAnsi="Consolas" w:cs="Consolas"/>
      <w:sz w:val="21"/>
      <w:szCs w:val="21"/>
    </w:rPr>
  </w:style>
  <w:style w:type="paragraph" w:customStyle="1" w:styleId="Paper">
    <w:name w:val="Paper"/>
    <w:uiPriority w:val="99"/>
    <w:rsid w:val="00764D5C"/>
    <w:pPr>
      <w:spacing w:after="120" w:line="240" w:lineRule="auto"/>
    </w:pPr>
    <w:rPr>
      <w:rFonts w:ascii="Times New Roman" w:eastAsia="Times New Roman" w:hAnsi="Times New Roman" w:cs="Times New Roman"/>
      <w:sz w:val="24"/>
      <w:szCs w:val="20"/>
    </w:rPr>
  </w:style>
  <w:style w:type="paragraph" w:customStyle="1" w:styleId="LongTitle">
    <w:name w:val="LongTitle"/>
    <w:basedOn w:val="Normal"/>
    <w:rsid w:val="00764D5C"/>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764D5C"/>
    <w:rPr>
      <w:rFonts w:ascii="Calibri Light" w:eastAsiaTheme="majorEastAsia" w:hAnsi="Calibri Light" w:cs="Calibri Light"/>
      <w:szCs w:val="24"/>
    </w:rPr>
  </w:style>
  <w:style w:type="paragraph" w:customStyle="1" w:styleId="MSCBody">
    <w:name w:val="MSC Body"/>
    <w:link w:val="MSCBodyChar"/>
    <w:qFormat/>
    <w:rsid w:val="00764D5C"/>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
    <w:rsid w:val="00764D5C"/>
    <w:pPr>
      <w:spacing w:after="120" w:line="276" w:lineRule="auto"/>
      <w:ind w:right="-45"/>
    </w:pPr>
    <w:rPr>
      <w:sz w:val="24"/>
      <w:szCs w:val="24"/>
    </w:rPr>
  </w:style>
  <w:style w:type="paragraph" w:customStyle="1" w:styleId="Asubpara">
    <w:name w:val="A subpara"/>
    <w:basedOn w:val="Normal"/>
    <w:uiPriority w:val="99"/>
    <w:rsid w:val="00764D5C"/>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Heading4nonumber">
    <w:name w:val="Heading 4 no number"/>
    <w:next w:val="Normal"/>
    <w:uiPriority w:val="99"/>
    <w:rsid w:val="00CB305A"/>
    <w:pPr>
      <w:keepNext/>
      <w:widowControl w:val="0"/>
      <w:spacing w:after="0" w:line="240" w:lineRule="auto"/>
    </w:pPr>
    <w:rPr>
      <w:rFonts w:ascii="Arial Narrow" w:eastAsia="Calibri" w:hAnsi="Arial Narrow" w:cs="Arial Narrow"/>
      <w:small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6206">
      <w:bodyDiv w:val="1"/>
      <w:marLeft w:val="0"/>
      <w:marRight w:val="0"/>
      <w:marTop w:val="0"/>
      <w:marBottom w:val="0"/>
      <w:divBdr>
        <w:top w:val="none" w:sz="0" w:space="0" w:color="auto"/>
        <w:left w:val="none" w:sz="0" w:space="0" w:color="auto"/>
        <w:bottom w:val="none" w:sz="0" w:space="0" w:color="auto"/>
        <w:right w:val="none" w:sz="0" w:space="0" w:color="auto"/>
      </w:divBdr>
    </w:div>
    <w:div w:id="184025262">
      <w:bodyDiv w:val="1"/>
      <w:marLeft w:val="0"/>
      <w:marRight w:val="0"/>
      <w:marTop w:val="0"/>
      <w:marBottom w:val="0"/>
      <w:divBdr>
        <w:top w:val="none" w:sz="0" w:space="0" w:color="auto"/>
        <w:left w:val="none" w:sz="0" w:space="0" w:color="auto"/>
        <w:bottom w:val="none" w:sz="0" w:space="0" w:color="auto"/>
        <w:right w:val="none" w:sz="0" w:space="0" w:color="auto"/>
      </w:divBdr>
    </w:div>
    <w:div w:id="192883952">
      <w:bodyDiv w:val="1"/>
      <w:marLeft w:val="0"/>
      <w:marRight w:val="0"/>
      <w:marTop w:val="0"/>
      <w:marBottom w:val="0"/>
      <w:divBdr>
        <w:top w:val="none" w:sz="0" w:space="0" w:color="auto"/>
        <w:left w:val="none" w:sz="0" w:space="0" w:color="auto"/>
        <w:bottom w:val="none" w:sz="0" w:space="0" w:color="auto"/>
        <w:right w:val="none" w:sz="0" w:space="0" w:color="auto"/>
      </w:divBdr>
    </w:div>
    <w:div w:id="200214969">
      <w:bodyDiv w:val="1"/>
      <w:marLeft w:val="0"/>
      <w:marRight w:val="0"/>
      <w:marTop w:val="0"/>
      <w:marBottom w:val="0"/>
      <w:divBdr>
        <w:top w:val="none" w:sz="0" w:space="0" w:color="auto"/>
        <w:left w:val="none" w:sz="0" w:space="0" w:color="auto"/>
        <w:bottom w:val="none" w:sz="0" w:space="0" w:color="auto"/>
        <w:right w:val="none" w:sz="0" w:space="0" w:color="auto"/>
      </w:divBdr>
    </w:div>
    <w:div w:id="273250587">
      <w:bodyDiv w:val="1"/>
      <w:marLeft w:val="0"/>
      <w:marRight w:val="0"/>
      <w:marTop w:val="0"/>
      <w:marBottom w:val="0"/>
      <w:divBdr>
        <w:top w:val="none" w:sz="0" w:space="0" w:color="auto"/>
        <w:left w:val="none" w:sz="0" w:space="0" w:color="auto"/>
        <w:bottom w:val="none" w:sz="0" w:space="0" w:color="auto"/>
        <w:right w:val="none" w:sz="0" w:space="0" w:color="auto"/>
      </w:divBdr>
    </w:div>
    <w:div w:id="897132973">
      <w:bodyDiv w:val="1"/>
      <w:marLeft w:val="0"/>
      <w:marRight w:val="0"/>
      <w:marTop w:val="0"/>
      <w:marBottom w:val="0"/>
      <w:divBdr>
        <w:top w:val="none" w:sz="0" w:space="0" w:color="auto"/>
        <w:left w:val="none" w:sz="0" w:space="0" w:color="auto"/>
        <w:bottom w:val="none" w:sz="0" w:space="0" w:color="auto"/>
        <w:right w:val="none" w:sz="0" w:space="0" w:color="auto"/>
      </w:divBdr>
    </w:div>
    <w:div w:id="907570088">
      <w:bodyDiv w:val="1"/>
      <w:marLeft w:val="0"/>
      <w:marRight w:val="0"/>
      <w:marTop w:val="0"/>
      <w:marBottom w:val="0"/>
      <w:divBdr>
        <w:top w:val="none" w:sz="0" w:space="0" w:color="auto"/>
        <w:left w:val="none" w:sz="0" w:space="0" w:color="auto"/>
        <w:bottom w:val="none" w:sz="0" w:space="0" w:color="auto"/>
        <w:right w:val="none" w:sz="0" w:space="0" w:color="auto"/>
      </w:divBdr>
    </w:div>
    <w:div w:id="1147554231">
      <w:bodyDiv w:val="1"/>
      <w:marLeft w:val="0"/>
      <w:marRight w:val="0"/>
      <w:marTop w:val="0"/>
      <w:marBottom w:val="0"/>
      <w:divBdr>
        <w:top w:val="none" w:sz="0" w:space="0" w:color="auto"/>
        <w:left w:val="none" w:sz="0" w:space="0" w:color="auto"/>
        <w:bottom w:val="none" w:sz="0" w:space="0" w:color="auto"/>
        <w:right w:val="none" w:sz="0" w:space="0" w:color="auto"/>
      </w:divBdr>
    </w:div>
    <w:div w:id="1577935458">
      <w:bodyDiv w:val="1"/>
      <w:marLeft w:val="0"/>
      <w:marRight w:val="0"/>
      <w:marTop w:val="0"/>
      <w:marBottom w:val="0"/>
      <w:divBdr>
        <w:top w:val="none" w:sz="0" w:space="0" w:color="auto"/>
        <w:left w:val="none" w:sz="0" w:space="0" w:color="auto"/>
        <w:bottom w:val="none" w:sz="0" w:space="0" w:color="auto"/>
        <w:right w:val="none" w:sz="0" w:space="0" w:color="auto"/>
      </w:divBdr>
    </w:div>
    <w:div w:id="1599826614">
      <w:bodyDiv w:val="1"/>
      <w:marLeft w:val="0"/>
      <w:marRight w:val="0"/>
      <w:marTop w:val="0"/>
      <w:marBottom w:val="0"/>
      <w:divBdr>
        <w:top w:val="none" w:sz="0" w:space="0" w:color="auto"/>
        <w:left w:val="none" w:sz="0" w:space="0" w:color="auto"/>
        <w:bottom w:val="none" w:sz="0" w:space="0" w:color="auto"/>
        <w:right w:val="none" w:sz="0" w:space="0" w:color="auto"/>
      </w:divBdr>
    </w:div>
    <w:div w:id="1732774232">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31693098">
      <w:bodyDiv w:val="1"/>
      <w:marLeft w:val="0"/>
      <w:marRight w:val="0"/>
      <w:marTop w:val="0"/>
      <w:marBottom w:val="0"/>
      <w:divBdr>
        <w:top w:val="none" w:sz="0" w:space="0" w:color="auto"/>
        <w:left w:val="none" w:sz="0" w:space="0" w:color="auto"/>
        <w:bottom w:val="none" w:sz="0" w:space="0" w:color="auto"/>
        <w:right w:val="none" w:sz="0" w:space="0" w:color="auto"/>
      </w:divBdr>
    </w:div>
    <w:div w:id="209245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__data/assets/pdf_file/0007/434347/Subordinate-Legislation-Technical-and-Stylistic-Standards.pdf"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classic.austlii.edu.au/au/legis/act/consol_act/pra2021194/s7.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parliament.act.gov.au/parliamentary-business/in-committees/committees/JCS_Scrutiny/responses-to-comments-on-bills" TargetMode="Externa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classic.austlii.edu.au/au/legis/act/consol_act/pra2021194/s9.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classic.austlii.edu.au/au/legis/act/consol_act/pra2021194/s5.html" TargetMode="Externa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hyperlink" Target="http://classic.austlii.edu.au/au/legis/act/consol_act/pra2021194/s15.html"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classic.austlii.edu.au/au/legis/act/consol_act/pra2021194/s7.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hyperlink" Target="http://classic.austlii.edu.au/au/legis/act/consol_act/pra2021194/s7.html" TargetMode="External"/><Relationship Id="rId27" Type="http://schemas.openxmlformats.org/officeDocument/2006/relationships/footer" Target="foot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parliament.act.gov.au/__data/assets/pdf_file/0007/434347/Subordinate-Legislation-Technical-and-Stylistic-Standard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ontserrat SemiBold">
    <w:altName w:val="﷽﷽﷽﷽﷽﷽﷽﷽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E50EA"/>
    <w:rsid w:val="000E5982"/>
    <w:rsid w:val="000E653F"/>
    <w:rsid w:val="000F5B3B"/>
    <w:rsid w:val="0017025A"/>
    <w:rsid w:val="00170813"/>
    <w:rsid w:val="001A4E5A"/>
    <w:rsid w:val="0021212B"/>
    <w:rsid w:val="00375FD8"/>
    <w:rsid w:val="00465034"/>
    <w:rsid w:val="00576204"/>
    <w:rsid w:val="006C64BC"/>
    <w:rsid w:val="00801566"/>
    <w:rsid w:val="00802CA5"/>
    <w:rsid w:val="00970294"/>
    <w:rsid w:val="00C34A9A"/>
    <w:rsid w:val="00C935F2"/>
    <w:rsid w:val="00CB7F44"/>
    <w:rsid w:val="00CE53C8"/>
    <w:rsid w:val="00DD13A2"/>
    <w:rsid w:val="00F4175F"/>
    <w:rsid w:val="00F4440C"/>
    <w:rsid w:val="00F725C2"/>
    <w:rsid w:val="00FE0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15</Pages>
  <Words>3835</Words>
  <Characters>21860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25644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Weaver, Emma-Kate</cp:lastModifiedBy>
  <cp:revision>18</cp:revision>
  <cp:lastPrinted>2022-10-17T00:55:00Z</cp:lastPrinted>
  <dcterms:created xsi:type="dcterms:W3CDTF">2022-10-11T23:52:00Z</dcterms:created>
  <dcterms:modified xsi:type="dcterms:W3CDTF">2022-10-17T00:58:00Z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2022-09-02T07:20:13Z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0083b333-6edf-4b12-94f1-ad6f38d1ce03</vt:lpwstr>
  </property>
  <property fmtid="{D5CDD505-2E9C-101B-9397-08002B2CF9AE}" pid="8" name="MSIP_Label_69af8531-eb46-4968-8cb3-105d2f5ea87e_ContentBits">
    <vt:lpwstr>0</vt:lpwstr>
  </property>
</Properties>
</file>