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D719" w14:textId="6DC50691" w:rsidR="001A43FE" w:rsidRDefault="001A43FE" w:rsidP="001A43FE">
      <w:pPr>
        <w:jc w:val="center"/>
        <w:rPr>
          <w:rFonts w:cs="Arial"/>
          <w:b/>
          <w:spacing w:val="-4"/>
          <w:sz w:val="24"/>
          <w:szCs w:val="24"/>
        </w:rPr>
      </w:pPr>
      <w:r w:rsidRPr="00BF20F8">
        <w:rPr>
          <w:rFonts w:cs="Arial"/>
          <w:b/>
          <w:spacing w:val="-4"/>
          <w:sz w:val="24"/>
          <w:szCs w:val="24"/>
        </w:rPr>
        <w:t>STANDING COMMITTEES—ESTABLISHMENT</w:t>
      </w:r>
    </w:p>
    <w:p w14:paraId="79519482" w14:textId="7F108B70" w:rsidR="005642BB" w:rsidRPr="00261CBB" w:rsidRDefault="009301B2" w:rsidP="009301B2">
      <w:pPr>
        <w:jc w:val="center"/>
        <w:rPr>
          <w:rFonts w:cstheme="minorHAnsi"/>
          <w:b/>
          <w:bCs/>
          <w:sz w:val="28"/>
          <w:szCs w:val="28"/>
        </w:rPr>
      </w:pPr>
      <w:r w:rsidRPr="00261CBB">
        <w:rPr>
          <w:rFonts w:cstheme="minorHAnsi"/>
          <w:b/>
          <w:bCs/>
          <w:sz w:val="28"/>
          <w:szCs w:val="28"/>
        </w:rPr>
        <w:t>Resolution of Appointment</w:t>
      </w:r>
    </w:p>
    <w:p w14:paraId="4A872B87" w14:textId="1DC00A2E" w:rsidR="00FA4278" w:rsidRPr="00BF20F8" w:rsidRDefault="00FA4278" w:rsidP="00FA4278">
      <w:pPr>
        <w:spacing w:before="100" w:beforeAutospacing="1" w:after="100" w:afterAutospacing="1" w:line="240" w:lineRule="auto"/>
        <w:rPr>
          <w:rFonts w:eastAsia="Times New Roman" w:cstheme="minorHAnsi"/>
          <w:sz w:val="24"/>
          <w:szCs w:val="24"/>
        </w:rPr>
      </w:pPr>
      <w:r w:rsidRPr="00BF20F8">
        <w:rPr>
          <w:rFonts w:eastAsia="Times New Roman" w:cstheme="minorHAnsi"/>
          <w:b/>
          <w:bCs/>
          <w:sz w:val="24"/>
          <w:szCs w:val="24"/>
        </w:rPr>
        <w:t>At its meeting on Wednesday, 2 December 2020, the Assembly passed the following resolution</w:t>
      </w:r>
      <w:r w:rsidR="004D7BB9" w:rsidRPr="00BF20F8">
        <w:rPr>
          <w:rFonts w:eastAsia="Times New Roman" w:cstheme="minorHAnsi"/>
          <w:b/>
          <w:bCs/>
          <w:sz w:val="24"/>
          <w:szCs w:val="24"/>
        </w:rPr>
        <w:t xml:space="preserve"> </w:t>
      </w:r>
      <w:r w:rsidR="004D7BB9" w:rsidRPr="00BF20F8">
        <w:rPr>
          <w:rFonts w:eastAsia="Times New Roman" w:cstheme="minorHAnsi"/>
          <w:sz w:val="24"/>
          <w:szCs w:val="24"/>
        </w:rPr>
        <w:t>(</w:t>
      </w:r>
      <w:r w:rsidR="004D7BB9" w:rsidRPr="00BF20F8">
        <w:rPr>
          <w:rFonts w:ascii="Arial" w:hAnsi="Arial" w:cs="Arial"/>
          <w:i/>
          <w:iCs/>
          <w:sz w:val="21"/>
          <w:szCs w:val="21"/>
          <w:shd w:val="clear" w:color="auto" w:fill="FFFFFF"/>
        </w:rPr>
        <w:t>amended</w:t>
      </w:r>
      <w:r w:rsidR="00AF354E">
        <w:rPr>
          <w:rFonts w:ascii="Arial" w:hAnsi="Arial" w:cs="Arial"/>
          <w:i/>
          <w:iCs/>
          <w:sz w:val="21"/>
          <w:szCs w:val="21"/>
          <w:shd w:val="clear" w:color="auto" w:fill="FFFFFF"/>
        </w:rPr>
        <w:t xml:space="preserve"> </w:t>
      </w:r>
      <w:hyperlink r:id="rId6" w:history="1">
        <w:r w:rsidR="004D7BB9" w:rsidRPr="007457EA">
          <w:rPr>
            <w:rStyle w:val="Hyperlink"/>
            <w:rFonts w:ascii="Arial" w:hAnsi="Arial" w:cs="Arial"/>
            <w:i/>
            <w:iCs/>
            <w:sz w:val="21"/>
            <w:szCs w:val="21"/>
            <w:shd w:val="clear" w:color="auto" w:fill="FFFFFF"/>
          </w:rPr>
          <w:t>11 February</w:t>
        </w:r>
        <w:r w:rsidR="004C1FF6" w:rsidRPr="007457EA">
          <w:rPr>
            <w:rStyle w:val="Hyperlink"/>
            <w:rFonts w:ascii="Arial" w:hAnsi="Arial" w:cs="Arial"/>
            <w:i/>
            <w:iCs/>
            <w:sz w:val="21"/>
            <w:szCs w:val="21"/>
            <w:shd w:val="clear" w:color="auto" w:fill="FFFFFF"/>
          </w:rPr>
          <w:t xml:space="preserve"> 2021</w:t>
        </w:r>
      </w:hyperlink>
      <w:r w:rsidR="004D7BB9" w:rsidRPr="00BF20F8">
        <w:rPr>
          <w:rFonts w:ascii="Arial" w:hAnsi="Arial" w:cs="Arial"/>
          <w:i/>
          <w:iCs/>
          <w:sz w:val="21"/>
          <w:szCs w:val="21"/>
          <w:shd w:val="clear" w:color="auto" w:fill="FFFFFF"/>
        </w:rPr>
        <w:t xml:space="preserve">, </w:t>
      </w:r>
      <w:hyperlink r:id="rId7" w:history="1">
        <w:r w:rsidR="004D7BB9" w:rsidRPr="0031701A">
          <w:rPr>
            <w:rStyle w:val="Hyperlink"/>
            <w:rFonts w:ascii="Arial" w:hAnsi="Arial" w:cs="Arial"/>
            <w:i/>
            <w:iCs/>
            <w:sz w:val="21"/>
            <w:szCs w:val="21"/>
            <w:shd w:val="clear" w:color="auto" w:fill="FFFFFF"/>
          </w:rPr>
          <w:t>30 Mar</w:t>
        </w:r>
        <w:r w:rsidR="004D7BB9" w:rsidRPr="0031701A">
          <w:rPr>
            <w:rStyle w:val="Hyperlink"/>
            <w:rFonts w:ascii="Arial" w:hAnsi="Arial" w:cs="Arial"/>
            <w:i/>
            <w:iCs/>
            <w:sz w:val="21"/>
            <w:szCs w:val="21"/>
            <w:shd w:val="clear" w:color="auto" w:fill="FFFFFF"/>
          </w:rPr>
          <w:t>c</w:t>
        </w:r>
        <w:r w:rsidR="004D7BB9" w:rsidRPr="0031701A">
          <w:rPr>
            <w:rStyle w:val="Hyperlink"/>
            <w:rFonts w:ascii="Arial" w:hAnsi="Arial" w:cs="Arial"/>
            <w:i/>
            <w:iCs/>
            <w:sz w:val="21"/>
            <w:szCs w:val="21"/>
            <w:shd w:val="clear" w:color="auto" w:fill="FFFFFF"/>
          </w:rPr>
          <w:t>h</w:t>
        </w:r>
        <w:r w:rsidR="004C1FF6" w:rsidRPr="0031701A">
          <w:rPr>
            <w:rStyle w:val="Hyperlink"/>
            <w:rFonts w:ascii="Arial" w:hAnsi="Arial" w:cs="Arial"/>
            <w:i/>
            <w:iCs/>
            <w:sz w:val="21"/>
            <w:szCs w:val="21"/>
            <w:shd w:val="clear" w:color="auto" w:fill="FFFFFF"/>
          </w:rPr>
          <w:t xml:space="preserve"> 202</w:t>
        </w:r>
      </w:hyperlink>
      <w:r w:rsidR="004C1FF6">
        <w:rPr>
          <w:rStyle w:val="Hyperlink"/>
          <w:rFonts w:ascii="Arial" w:hAnsi="Arial" w:cs="Arial"/>
          <w:i/>
          <w:iCs/>
          <w:sz w:val="21"/>
          <w:szCs w:val="21"/>
          <w:shd w:val="clear" w:color="auto" w:fill="FFFFFF"/>
        </w:rPr>
        <w:t>1</w:t>
      </w:r>
      <w:r w:rsidR="004D7BB9" w:rsidRPr="00BF20F8">
        <w:rPr>
          <w:rFonts w:ascii="Arial" w:hAnsi="Arial" w:cs="Arial"/>
          <w:i/>
          <w:iCs/>
          <w:sz w:val="21"/>
          <w:szCs w:val="21"/>
          <w:shd w:val="clear" w:color="auto" w:fill="FFFFFF"/>
        </w:rPr>
        <w:t xml:space="preserve">, </w:t>
      </w:r>
      <w:hyperlink r:id="rId8" w:history="1">
        <w:r w:rsidR="004D7BB9" w:rsidRPr="009E2586">
          <w:rPr>
            <w:rStyle w:val="Hyperlink"/>
            <w:rFonts w:ascii="Arial" w:hAnsi="Arial" w:cs="Arial"/>
            <w:i/>
            <w:iCs/>
            <w:sz w:val="21"/>
            <w:szCs w:val="21"/>
            <w:shd w:val="clear" w:color="auto" w:fill="FFFFFF"/>
          </w:rPr>
          <w:t>22 Ap</w:t>
        </w:r>
        <w:r w:rsidR="004D7BB9" w:rsidRPr="009E2586">
          <w:rPr>
            <w:rStyle w:val="Hyperlink"/>
            <w:rFonts w:ascii="Arial" w:hAnsi="Arial" w:cs="Arial"/>
            <w:i/>
            <w:iCs/>
            <w:sz w:val="21"/>
            <w:szCs w:val="21"/>
            <w:shd w:val="clear" w:color="auto" w:fill="FFFFFF"/>
          </w:rPr>
          <w:t>r</w:t>
        </w:r>
        <w:r w:rsidR="004D7BB9" w:rsidRPr="009E2586">
          <w:rPr>
            <w:rStyle w:val="Hyperlink"/>
            <w:rFonts w:ascii="Arial" w:hAnsi="Arial" w:cs="Arial"/>
            <w:i/>
            <w:iCs/>
            <w:sz w:val="21"/>
            <w:szCs w:val="21"/>
            <w:shd w:val="clear" w:color="auto" w:fill="FFFFFF"/>
          </w:rPr>
          <w:t>i</w:t>
        </w:r>
        <w:r w:rsidR="004C1FF6">
          <w:rPr>
            <w:rStyle w:val="Hyperlink"/>
            <w:rFonts w:ascii="Arial" w:hAnsi="Arial" w:cs="Arial"/>
            <w:i/>
            <w:iCs/>
            <w:sz w:val="21"/>
            <w:szCs w:val="21"/>
            <w:shd w:val="clear" w:color="auto" w:fill="FFFFFF"/>
          </w:rPr>
          <w:t>l 2021</w:t>
        </w:r>
      </w:hyperlink>
      <w:r w:rsidR="004D7BB9" w:rsidRPr="00BF20F8">
        <w:rPr>
          <w:rFonts w:ascii="Arial" w:hAnsi="Arial" w:cs="Arial"/>
          <w:i/>
          <w:iCs/>
          <w:sz w:val="21"/>
          <w:szCs w:val="21"/>
          <w:shd w:val="clear" w:color="auto" w:fill="FFFFFF"/>
        </w:rPr>
        <w:t xml:space="preserve">, </w:t>
      </w:r>
      <w:hyperlink r:id="rId9" w:history="1">
        <w:r w:rsidR="004D7BB9" w:rsidRPr="007457EA">
          <w:rPr>
            <w:rStyle w:val="Hyperlink"/>
            <w:rFonts w:ascii="Arial" w:hAnsi="Arial" w:cs="Arial"/>
            <w:i/>
            <w:iCs/>
            <w:sz w:val="21"/>
            <w:szCs w:val="21"/>
            <w:shd w:val="clear" w:color="auto" w:fill="FFFFFF"/>
          </w:rPr>
          <w:t xml:space="preserve">16 </w:t>
        </w:r>
        <w:r w:rsidR="003359CE" w:rsidRPr="007457EA">
          <w:rPr>
            <w:rStyle w:val="Hyperlink"/>
            <w:rFonts w:ascii="Arial" w:hAnsi="Arial" w:cs="Arial"/>
            <w:i/>
            <w:iCs/>
            <w:sz w:val="21"/>
            <w:szCs w:val="21"/>
            <w:shd w:val="clear" w:color="auto" w:fill="FFFFFF"/>
          </w:rPr>
          <w:t>Septem</w:t>
        </w:r>
        <w:r w:rsidR="003359CE" w:rsidRPr="007457EA">
          <w:rPr>
            <w:rStyle w:val="Hyperlink"/>
            <w:rFonts w:ascii="Arial" w:hAnsi="Arial" w:cs="Arial"/>
            <w:i/>
            <w:iCs/>
            <w:sz w:val="21"/>
            <w:szCs w:val="21"/>
            <w:shd w:val="clear" w:color="auto" w:fill="FFFFFF"/>
          </w:rPr>
          <w:t>b</w:t>
        </w:r>
        <w:r w:rsidR="003359CE" w:rsidRPr="007457EA">
          <w:rPr>
            <w:rStyle w:val="Hyperlink"/>
            <w:rFonts w:ascii="Arial" w:hAnsi="Arial" w:cs="Arial"/>
            <w:i/>
            <w:iCs/>
            <w:sz w:val="21"/>
            <w:szCs w:val="21"/>
            <w:shd w:val="clear" w:color="auto" w:fill="FFFFFF"/>
          </w:rPr>
          <w:t>er</w:t>
        </w:r>
        <w:r w:rsidR="004C1FF6" w:rsidRPr="007457EA">
          <w:rPr>
            <w:rStyle w:val="Hyperlink"/>
            <w:rFonts w:ascii="Arial" w:hAnsi="Arial" w:cs="Arial"/>
            <w:i/>
            <w:iCs/>
            <w:sz w:val="21"/>
            <w:szCs w:val="21"/>
            <w:shd w:val="clear" w:color="auto" w:fill="FFFFFF"/>
          </w:rPr>
          <w:t xml:space="preserve"> 2021</w:t>
        </w:r>
      </w:hyperlink>
      <w:r w:rsidR="003359CE" w:rsidRPr="00BF20F8">
        <w:rPr>
          <w:rFonts w:ascii="Arial" w:hAnsi="Arial" w:cs="Arial"/>
          <w:i/>
          <w:iCs/>
          <w:sz w:val="21"/>
          <w:szCs w:val="21"/>
          <w:shd w:val="clear" w:color="auto" w:fill="FFFFFF"/>
        </w:rPr>
        <w:t>,</w:t>
      </w:r>
      <w:r w:rsidR="004D7BB9" w:rsidRPr="00BF20F8">
        <w:rPr>
          <w:rFonts w:ascii="Arial" w:hAnsi="Arial" w:cs="Arial"/>
          <w:i/>
          <w:iCs/>
          <w:sz w:val="21"/>
          <w:szCs w:val="21"/>
          <w:shd w:val="clear" w:color="auto" w:fill="FFFFFF"/>
        </w:rPr>
        <w:t xml:space="preserve"> </w:t>
      </w:r>
      <w:hyperlink r:id="rId10" w:history="1">
        <w:r w:rsidR="004D7BB9" w:rsidRPr="009E2586">
          <w:rPr>
            <w:rStyle w:val="Hyperlink"/>
            <w:rFonts w:ascii="Arial" w:hAnsi="Arial" w:cs="Arial"/>
            <w:i/>
            <w:iCs/>
            <w:sz w:val="21"/>
            <w:szCs w:val="21"/>
            <w:shd w:val="clear" w:color="auto" w:fill="FFFFFF"/>
          </w:rPr>
          <w:t>9</w:t>
        </w:r>
        <w:r w:rsidR="003359CE" w:rsidRPr="009E2586">
          <w:rPr>
            <w:rStyle w:val="Hyperlink"/>
            <w:rFonts w:ascii="Arial" w:hAnsi="Arial" w:cs="Arial"/>
            <w:i/>
            <w:iCs/>
            <w:sz w:val="21"/>
            <w:szCs w:val="21"/>
            <w:shd w:val="clear" w:color="auto" w:fill="FFFFFF"/>
          </w:rPr>
          <w:t> </w:t>
        </w:r>
        <w:r w:rsidR="004D7BB9" w:rsidRPr="009E2586">
          <w:rPr>
            <w:rStyle w:val="Hyperlink"/>
            <w:rFonts w:ascii="Arial" w:hAnsi="Arial" w:cs="Arial"/>
            <w:i/>
            <w:iCs/>
            <w:sz w:val="21"/>
            <w:szCs w:val="21"/>
            <w:shd w:val="clear" w:color="auto" w:fill="FFFFFF"/>
          </w:rPr>
          <w:t>November</w:t>
        </w:r>
        <w:r w:rsidR="003359CE" w:rsidRPr="009E2586">
          <w:rPr>
            <w:rStyle w:val="Hyperlink"/>
            <w:rFonts w:ascii="Arial" w:hAnsi="Arial" w:cs="Arial"/>
            <w:i/>
            <w:iCs/>
            <w:sz w:val="21"/>
            <w:szCs w:val="21"/>
            <w:shd w:val="clear" w:color="auto" w:fill="FFFFFF"/>
          </w:rPr>
          <w:t> </w:t>
        </w:r>
        <w:r w:rsidR="004D7BB9" w:rsidRPr="009E2586">
          <w:rPr>
            <w:rStyle w:val="Hyperlink"/>
            <w:rFonts w:ascii="Arial" w:hAnsi="Arial" w:cs="Arial"/>
            <w:i/>
            <w:iCs/>
            <w:sz w:val="21"/>
            <w:szCs w:val="21"/>
            <w:shd w:val="clear" w:color="auto" w:fill="FFFFFF"/>
          </w:rPr>
          <w:t>2021</w:t>
        </w:r>
      </w:hyperlink>
      <w:r w:rsidR="00FE26A6">
        <w:rPr>
          <w:rFonts w:ascii="Arial" w:hAnsi="Arial" w:cs="Arial"/>
          <w:sz w:val="21"/>
          <w:szCs w:val="21"/>
          <w:shd w:val="clear" w:color="auto" w:fill="FFFFFF"/>
        </w:rPr>
        <w:t xml:space="preserve">, </w:t>
      </w:r>
      <w:hyperlink r:id="rId11" w:history="1">
        <w:r w:rsidR="00FE26A6" w:rsidRPr="007457EA">
          <w:rPr>
            <w:rStyle w:val="Hyperlink"/>
            <w:rFonts w:ascii="Arial" w:hAnsi="Arial" w:cs="Arial"/>
            <w:i/>
            <w:iCs/>
            <w:sz w:val="21"/>
            <w:szCs w:val="21"/>
            <w:shd w:val="clear" w:color="auto" w:fill="FFFFFF"/>
          </w:rPr>
          <w:t>10</w:t>
        </w:r>
        <w:r w:rsidR="00CF4EDE" w:rsidRPr="007457EA">
          <w:rPr>
            <w:rStyle w:val="Hyperlink"/>
            <w:rFonts w:ascii="Arial" w:hAnsi="Arial" w:cs="Arial"/>
            <w:i/>
            <w:iCs/>
            <w:sz w:val="21"/>
            <w:szCs w:val="21"/>
            <w:shd w:val="clear" w:color="auto" w:fill="FFFFFF"/>
            <w:lang w:val="en-US"/>
          </w:rPr>
          <w:t> </w:t>
        </w:r>
        <w:r w:rsidR="00FE26A6" w:rsidRPr="007457EA">
          <w:rPr>
            <w:rStyle w:val="Hyperlink"/>
            <w:rFonts w:ascii="Arial" w:hAnsi="Arial" w:cs="Arial"/>
            <w:i/>
            <w:iCs/>
            <w:sz w:val="21"/>
            <w:szCs w:val="21"/>
            <w:shd w:val="clear" w:color="auto" w:fill="FFFFFF"/>
          </w:rPr>
          <w:t>Feb</w:t>
        </w:r>
        <w:r w:rsidR="00FE26A6" w:rsidRPr="007457EA">
          <w:rPr>
            <w:rStyle w:val="Hyperlink"/>
            <w:rFonts w:ascii="Arial" w:hAnsi="Arial" w:cs="Arial"/>
            <w:i/>
            <w:iCs/>
            <w:sz w:val="21"/>
            <w:szCs w:val="21"/>
            <w:shd w:val="clear" w:color="auto" w:fill="FFFFFF"/>
          </w:rPr>
          <w:t>r</w:t>
        </w:r>
        <w:r w:rsidR="00FE26A6" w:rsidRPr="007457EA">
          <w:rPr>
            <w:rStyle w:val="Hyperlink"/>
            <w:rFonts w:ascii="Arial" w:hAnsi="Arial" w:cs="Arial"/>
            <w:i/>
            <w:iCs/>
            <w:sz w:val="21"/>
            <w:szCs w:val="21"/>
            <w:shd w:val="clear" w:color="auto" w:fill="FFFFFF"/>
          </w:rPr>
          <w:t>u</w:t>
        </w:r>
        <w:r w:rsidR="00FE26A6" w:rsidRPr="007457EA">
          <w:rPr>
            <w:rStyle w:val="Hyperlink"/>
            <w:rFonts w:ascii="Arial" w:hAnsi="Arial" w:cs="Arial"/>
            <w:i/>
            <w:iCs/>
            <w:sz w:val="21"/>
            <w:szCs w:val="21"/>
            <w:shd w:val="clear" w:color="auto" w:fill="FFFFFF"/>
          </w:rPr>
          <w:t>a</w:t>
        </w:r>
        <w:r w:rsidR="00FE26A6" w:rsidRPr="007457EA">
          <w:rPr>
            <w:rStyle w:val="Hyperlink"/>
            <w:rFonts w:ascii="Arial" w:hAnsi="Arial" w:cs="Arial"/>
            <w:i/>
            <w:iCs/>
            <w:sz w:val="21"/>
            <w:szCs w:val="21"/>
            <w:shd w:val="clear" w:color="auto" w:fill="FFFFFF"/>
          </w:rPr>
          <w:t xml:space="preserve">ry </w:t>
        </w:r>
        <w:r w:rsidR="004C1FF6" w:rsidRPr="007457EA">
          <w:rPr>
            <w:rStyle w:val="Hyperlink"/>
            <w:rFonts w:ascii="Arial" w:hAnsi="Arial" w:cs="Arial"/>
            <w:i/>
            <w:iCs/>
            <w:sz w:val="21"/>
            <w:szCs w:val="21"/>
            <w:shd w:val="clear" w:color="auto" w:fill="FFFFFF"/>
          </w:rPr>
          <w:t>2022</w:t>
        </w:r>
      </w:hyperlink>
      <w:r w:rsidR="0012199C">
        <w:rPr>
          <w:rFonts w:ascii="Arial" w:hAnsi="Arial" w:cs="Arial"/>
          <w:sz w:val="21"/>
          <w:szCs w:val="21"/>
          <w:shd w:val="clear" w:color="auto" w:fill="FFFFFF"/>
        </w:rPr>
        <w:t xml:space="preserve">, </w:t>
      </w:r>
      <w:hyperlink r:id="rId12" w:history="1">
        <w:r w:rsidR="0012199C" w:rsidRPr="00AB3974">
          <w:rPr>
            <w:rStyle w:val="Hyperlink"/>
            <w:rFonts w:ascii="Arial" w:hAnsi="Arial" w:cs="Arial"/>
            <w:i/>
            <w:iCs/>
            <w:sz w:val="21"/>
            <w:szCs w:val="21"/>
            <w:shd w:val="clear" w:color="auto" w:fill="FFFFFF"/>
          </w:rPr>
          <w:t>5 Apr</w:t>
        </w:r>
        <w:r w:rsidR="0012199C" w:rsidRPr="00AB3974">
          <w:rPr>
            <w:rStyle w:val="Hyperlink"/>
            <w:rFonts w:ascii="Arial" w:hAnsi="Arial" w:cs="Arial"/>
            <w:i/>
            <w:iCs/>
            <w:sz w:val="21"/>
            <w:szCs w:val="21"/>
            <w:shd w:val="clear" w:color="auto" w:fill="FFFFFF"/>
          </w:rPr>
          <w:t>i</w:t>
        </w:r>
        <w:r w:rsidR="0012199C" w:rsidRPr="00AB3974">
          <w:rPr>
            <w:rStyle w:val="Hyperlink"/>
            <w:rFonts w:ascii="Arial" w:hAnsi="Arial" w:cs="Arial"/>
            <w:i/>
            <w:iCs/>
            <w:sz w:val="21"/>
            <w:szCs w:val="21"/>
            <w:shd w:val="clear" w:color="auto" w:fill="FFFFFF"/>
          </w:rPr>
          <w:t>l 2</w:t>
        </w:r>
        <w:r w:rsidR="0012199C" w:rsidRPr="00AB3974">
          <w:rPr>
            <w:rStyle w:val="Hyperlink"/>
            <w:rFonts w:ascii="Arial" w:hAnsi="Arial" w:cs="Arial"/>
            <w:i/>
            <w:iCs/>
            <w:sz w:val="21"/>
            <w:szCs w:val="21"/>
            <w:shd w:val="clear" w:color="auto" w:fill="FFFFFF"/>
          </w:rPr>
          <w:t>0</w:t>
        </w:r>
        <w:r w:rsidR="0012199C" w:rsidRPr="00AB3974">
          <w:rPr>
            <w:rStyle w:val="Hyperlink"/>
            <w:rFonts w:ascii="Arial" w:hAnsi="Arial" w:cs="Arial"/>
            <w:i/>
            <w:iCs/>
            <w:sz w:val="21"/>
            <w:szCs w:val="21"/>
            <w:shd w:val="clear" w:color="auto" w:fill="FFFFFF"/>
          </w:rPr>
          <w:t>22</w:t>
        </w:r>
      </w:hyperlink>
      <w:r w:rsidR="007C5CDE">
        <w:rPr>
          <w:rFonts w:ascii="Arial" w:hAnsi="Arial" w:cs="Arial"/>
          <w:sz w:val="21"/>
          <w:szCs w:val="21"/>
          <w:shd w:val="clear" w:color="auto" w:fill="FFFFFF"/>
        </w:rPr>
        <w:t xml:space="preserve">, </w:t>
      </w:r>
      <w:r w:rsidR="007C5CDE" w:rsidRPr="00710B5B">
        <w:rPr>
          <w:rFonts w:ascii="Arial" w:hAnsi="Arial" w:cs="Arial"/>
          <w:i/>
          <w:iCs/>
          <w:sz w:val="21"/>
          <w:szCs w:val="21"/>
          <w:shd w:val="clear" w:color="auto" w:fill="FFFFFF"/>
        </w:rPr>
        <w:t xml:space="preserve">and </w:t>
      </w:r>
      <w:hyperlink r:id="rId13" w:history="1">
        <w:r w:rsidR="007C5CDE" w:rsidRPr="00710B5B">
          <w:rPr>
            <w:rStyle w:val="Hyperlink"/>
            <w:rFonts w:ascii="Arial" w:hAnsi="Arial" w:cs="Arial"/>
            <w:i/>
            <w:iCs/>
            <w:sz w:val="21"/>
            <w:szCs w:val="21"/>
            <w:shd w:val="clear" w:color="auto" w:fill="FFFFFF"/>
          </w:rPr>
          <w:t>4 Augu</w:t>
        </w:r>
        <w:r w:rsidR="007C5CDE" w:rsidRPr="00710B5B">
          <w:rPr>
            <w:rStyle w:val="Hyperlink"/>
            <w:rFonts w:ascii="Arial" w:hAnsi="Arial" w:cs="Arial"/>
            <w:i/>
            <w:iCs/>
            <w:sz w:val="21"/>
            <w:szCs w:val="21"/>
            <w:shd w:val="clear" w:color="auto" w:fill="FFFFFF"/>
          </w:rPr>
          <w:t>s</w:t>
        </w:r>
        <w:r w:rsidR="007C5CDE" w:rsidRPr="00710B5B">
          <w:rPr>
            <w:rStyle w:val="Hyperlink"/>
            <w:rFonts w:ascii="Arial" w:hAnsi="Arial" w:cs="Arial"/>
            <w:i/>
            <w:iCs/>
            <w:sz w:val="21"/>
            <w:szCs w:val="21"/>
            <w:shd w:val="clear" w:color="auto" w:fill="FFFFFF"/>
          </w:rPr>
          <w:t>t 2022</w:t>
        </w:r>
      </w:hyperlink>
      <w:r w:rsidR="007C5CDE">
        <w:rPr>
          <w:rFonts w:ascii="Arial" w:hAnsi="Arial" w:cs="Arial"/>
          <w:sz w:val="21"/>
          <w:szCs w:val="21"/>
          <w:shd w:val="clear" w:color="auto" w:fill="FFFFFF"/>
        </w:rPr>
        <w:t>.</w:t>
      </w:r>
    </w:p>
    <w:p w14:paraId="3E9DA44C"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“That</w:t>
      </w:r>
    </w:p>
    <w:p w14:paraId="40B4D1AC" w14:textId="364B20AB"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the following general-purpose standing committees be established as set out in the table below. The purpose of such committees is to enhance the scrutiny of the Executive, to examine and suggest improvements to any bills referred to it, to enable the citizens of the Territory to engage and to participate in law-making and policy review, to enable financial scrutiny of the Executive’s budget proposals and to review annual reports of taxpayer funded </w:t>
      </w:r>
      <w:proofErr w:type="gramStart"/>
      <w:r w:rsidRPr="00D503FA">
        <w:rPr>
          <w:rFonts w:eastAsia="Times New Roman" w:cstheme="minorHAnsi"/>
          <w:sz w:val="24"/>
          <w:szCs w:val="24"/>
        </w:rPr>
        <w:t>agencies;</w:t>
      </w:r>
      <w:proofErr w:type="gramEnd"/>
    </w:p>
    <w:p w14:paraId="7B311AA2"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73DC9A0F" w14:textId="25D7A2E1"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the committees so established may inquire and report on matters referred to it by the Assembly or matters that are considered by the committee to be of concern to the community and within the nominated areas of </w:t>
      </w:r>
      <w:proofErr w:type="gramStart"/>
      <w:r w:rsidRPr="00D503FA">
        <w:rPr>
          <w:rFonts w:eastAsia="Times New Roman" w:cstheme="minorHAnsi"/>
          <w:sz w:val="24"/>
          <w:szCs w:val="24"/>
        </w:rPr>
        <w:t>responsibility;</w:t>
      </w:r>
      <w:proofErr w:type="gramEnd"/>
    </w:p>
    <w:p w14:paraId="25DE9F1A" w14:textId="77777777" w:rsidR="00A97F7D" w:rsidRPr="00D503FA" w:rsidRDefault="00A97F7D" w:rsidP="00A97F7D">
      <w:pPr>
        <w:pStyle w:val="ListParagraph"/>
        <w:rPr>
          <w:rFonts w:eastAsia="Times New Roman" w:cstheme="minorHAnsi"/>
          <w:sz w:val="24"/>
          <w:szCs w:val="24"/>
        </w:rPr>
      </w:pPr>
    </w:p>
    <w:p w14:paraId="710F24D6" w14:textId="522317A3"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calendar and financial year annual and financial reports stand referred to the relevant standing committee for inquiry and report by 9 April of the year after the presentation of the report to the Assembly pursuant to the Annual Reports (Government Agencies) Act 2004;</w:t>
      </w:r>
      <w:r w:rsidR="00171D49" w:rsidRPr="00D503FA">
        <w:rPr>
          <w:rFonts w:eastAsia="Times New Roman" w:cstheme="minorHAnsi"/>
          <w:sz w:val="24"/>
          <w:szCs w:val="24"/>
        </w:rPr>
        <w:t xml:space="preserve"> </w:t>
      </w:r>
      <w:r w:rsidR="00171D49" w:rsidRPr="00D503FA">
        <w:rPr>
          <w:rFonts w:eastAsia="Times New Roman" w:cstheme="minorHAnsi"/>
          <w:i/>
          <w:iCs/>
          <w:sz w:val="24"/>
          <w:szCs w:val="24"/>
        </w:rPr>
        <w:t>(amended 11 February 2021)</w:t>
      </w:r>
    </w:p>
    <w:p w14:paraId="29FB3F9F" w14:textId="6817C1FB" w:rsidR="00FA4278" w:rsidRPr="00D503FA" w:rsidRDefault="00FA4278" w:rsidP="0065308A">
      <w:pPr>
        <w:spacing w:before="100" w:beforeAutospacing="1" w:after="100" w:afterAutospacing="1" w:line="240" w:lineRule="auto"/>
        <w:ind w:left="993" w:hanging="993"/>
        <w:rPr>
          <w:rFonts w:eastAsia="Times New Roman" w:cstheme="minorHAnsi"/>
          <w:i/>
          <w:iCs/>
          <w:sz w:val="24"/>
          <w:szCs w:val="24"/>
        </w:rPr>
      </w:pPr>
      <w:r w:rsidRPr="00D503FA">
        <w:rPr>
          <w:rFonts w:eastAsia="Times New Roman" w:cstheme="minorHAnsi"/>
          <w:sz w:val="24"/>
          <w:szCs w:val="24"/>
        </w:rPr>
        <w:t>(3A)</w:t>
      </w:r>
      <w:r w:rsidR="00926DA9" w:rsidRPr="00D503FA">
        <w:rPr>
          <w:rFonts w:eastAsia="Times New Roman" w:cstheme="minorHAnsi"/>
          <w:sz w:val="24"/>
          <w:szCs w:val="24"/>
        </w:rPr>
        <w:tab/>
      </w:r>
      <w:r w:rsidRPr="00D503FA">
        <w:rPr>
          <w:rFonts w:eastAsia="Times New Roman" w:cstheme="minorHAnsi"/>
          <w:sz w:val="24"/>
          <w:szCs w:val="24"/>
        </w:rPr>
        <w:t>calendar and financial year annual and financial reports for 2020-2021 stand referred to the relevant standing committee for inquiry and report by 31 May 2022 of the year after the presentation of the report to the Assembly pursuant to the Annual Reports (Government Agencies) Act 2004;</w:t>
      </w:r>
      <w:r w:rsidR="00171D49" w:rsidRPr="00D503FA">
        <w:rPr>
          <w:rFonts w:eastAsia="Times New Roman" w:cstheme="minorHAnsi"/>
          <w:sz w:val="24"/>
          <w:szCs w:val="24"/>
        </w:rPr>
        <w:t xml:space="preserve"> </w:t>
      </w:r>
      <w:r w:rsidR="00171D49" w:rsidRPr="00D503FA">
        <w:rPr>
          <w:rFonts w:eastAsia="Times New Roman" w:cstheme="minorHAnsi"/>
          <w:i/>
          <w:iCs/>
          <w:sz w:val="24"/>
          <w:szCs w:val="24"/>
        </w:rPr>
        <w:t>(amended 16</w:t>
      </w:r>
      <w:r w:rsidR="00AF354E" w:rsidRPr="00D503FA">
        <w:rPr>
          <w:rFonts w:eastAsia="Times New Roman" w:cstheme="minorHAnsi"/>
          <w:i/>
          <w:iCs/>
          <w:sz w:val="24"/>
          <w:szCs w:val="24"/>
          <w:lang w:val="en-US"/>
        </w:rPr>
        <w:t> </w:t>
      </w:r>
      <w:r w:rsidR="00171D49" w:rsidRPr="00D503FA">
        <w:rPr>
          <w:rFonts w:eastAsia="Times New Roman" w:cstheme="minorHAnsi"/>
          <w:i/>
          <w:iCs/>
          <w:sz w:val="24"/>
          <w:szCs w:val="24"/>
        </w:rPr>
        <w:t>September</w:t>
      </w:r>
      <w:r w:rsidR="00AF354E" w:rsidRPr="00D503FA">
        <w:rPr>
          <w:rFonts w:eastAsia="Times New Roman" w:cstheme="minorHAnsi"/>
          <w:i/>
          <w:iCs/>
          <w:sz w:val="24"/>
          <w:szCs w:val="24"/>
          <w:lang w:val="en-US"/>
        </w:rPr>
        <w:t> </w:t>
      </w:r>
      <w:r w:rsidR="00171D49" w:rsidRPr="00D503FA">
        <w:rPr>
          <w:rFonts w:eastAsia="Times New Roman" w:cstheme="minorHAnsi"/>
          <w:i/>
          <w:iCs/>
          <w:sz w:val="24"/>
          <w:szCs w:val="24"/>
        </w:rPr>
        <w:t>2021)</w:t>
      </w:r>
    </w:p>
    <w:p w14:paraId="6D051B74" w14:textId="48DDE790"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notwithstanding standing order 229, only one standing committee may meet for the consideration of the inquiry into the calendar and financial year annual and financial reports at any given </w:t>
      </w:r>
      <w:proofErr w:type="gramStart"/>
      <w:r w:rsidRPr="00D503FA">
        <w:rPr>
          <w:rFonts w:eastAsia="Times New Roman" w:cstheme="minorHAnsi"/>
          <w:sz w:val="24"/>
          <w:szCs w:val="24"/>
        </w:rPr>
        <w:t>time;</w:t>
      </w:r>
      <w:proofErr w:type="gramEnd"/>
    </w:p>
    <w:p w14:paraId="040958A2" w14:textId="77777777" w:rsidR="00C37C43" w:rsidRPr="00D503FA" w:rsidRDefault="00C37C43" w:rsidP="00C37C43">
      <w:pPr>
        <w:pStyle w:val="ListParagraph"/>
        <w:spacing w:before="100" w:beforeAutospacing="1" w:after="100" w:afterAutospacing="1" w:line="240" w:lineRule="auto"/>
        <w:ind w:left="945"/>
        <w:rPr>
          <w:rFonts w:eastAsia="Times New Roman" w:cstheme="minorHAnsi"/>
          <w:sz w:val="24"/>
          <w:szCs w:val="24"/>
        </w:rPr>
      </w:pPr>
    </w:p>
    <w:p w14:paraId="74685D92" w14:textId="0C3B052F" w:rsidR="00AA0C35" w:rsidRPr="00D503FA" w:rsidRDefault="00AA0C35" w:rsidP="00AA0C35">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all bills presented to the Assembly stand referred to the relevant standing committee for</w:t>
      </w:r>
      <w:r w:rsidRPr="00D503FA">
        <w:rPr>
          <w:rFonts w:eastAsia="Times New Roman" w:cstheme="minorHAnsi"/>
          <w:sz w:val="24"/>
          <w:szCs w:val="24"/>
        </w:rPr>
        <w:t xml:space="preserve"> </w:t>
      </w:r>
      <w:r w:rsidRPr="00D503FA">
        <w:rPr>
          <w:rFonts w:eastAsia="Times New Roman" w:cstheme="minorHAnsi"/>
          <w:sz w:val="24"/>
          <w:szCs w:val="24"/>
        </w:rPr>
        <w:t>inquiry and report within two months from the presentation of the bill, except for those bills</w:t>
      </w:r>
      <w:r w:rsidRPr="00D503FA">
        <w:rPr>
          <w:rFonts w:eastAsia="Times New Roman" w:cstheme="minorHAnsi"/>
          <w:sz w:val="24"/>
          <w:szCs w:val="24"/>
        </w:rPr>
        <w:t xml:space="preserve"> </w:t>
      </w:r>
      <w:r w:rsidRPr="00D503FA">
        <w:rPr>
          <w:rFonts w:eastAsia="Times New Roman" w:cstheme="minorHAnsi"/>
          <w:sz w:val="24"/>
          <w:szCs w:val="24"/>
        </w:rPr>
        <w:t>introduced in the last sitting week of the calendar year where the committee shall report in three</w:t>
      </w:r>
      <w:r w:rsidRPr="00D503FA">
        <w:rPr>
          <w:rFonts w:eastAsia="Times New Roman" w:cstheme="minorHAnsi"/>
          <w:sz w:val="24"/>
          <w:szCs w:val="24"/>
        </w:rPr>
        <w:t xml:space="preserve"> </w:t>
      </w:r>
      <w:r w:rsidRPr="00D503FA">
        <w:rPr>
          <w:rFonts w:eastAsia="Times New Roman" w:cstheme="minorHAnsi"/>
          <w:sz w:val="24"/>
          <w:szCs w:val="24"/>
        </w:rPr>
        <w:t xml:space="preserve">months. Within </w:t>
      </w:r>
      <w:r w:rsidRPr="00D503FA">
        <w:rPr>
          <w:rFonts w:eastAsia="Times New Roman" w:cstheme="minorHAnsi"/>
          <w:sz w:val="24"/>
          <w:szCs w:val="24"/>
        </w:rPr>
        <w:t>21</w:t>
      </w:r>
      <w:r w:rsidRPr="00D503FA">
        <w:rPr>
          <w:rFonts w:eastAsia="Times New Roman" w:cstheme="minorHAnsi"/>
          <w:sz w:val="24"/>
          <w:szCs w:val="24"/>
        </w:rPr>
        <w:t xml:space="preserve"> days of the presentation of the bill in the Assembly, the committee must decide</w:t>
      </w:r>
    </w:p>
    <w:p w14:paraId="057D30A1" w14:textId="6628BE99" w:rsidR="00FA4278" w:rsidRPr="00D503FA" w:rsidRDefault="00AA0C35" w:rsidP="00AA0C35">
      <w:pPr>
        <w:pStyle w:val="ListParagraph"/>
        <w:spacing w:before="100" w:beforeAutospacing="1" w:after="100" w:afterAutospacing="1" w:line="240" w:lineRule="auto"/>
        <w:ind w:left="945"/>
        <w:rPr>
          <w:rFonts w:eastAsia="Times New Roman" w:cstheme="minorHAnsi"/>
          <w:sz w:val="24"/>
          <w:szCs w:val="24"/>
        </w:rPr>
      </w:pPr>
      <w:r w:rsidRPr="00D503FA">
        <w:rPr>
          <w:rFonts w:eastAsia="Times New Roman" w:cstheme="minorHAnsi"/>
          <w:sz w:val="24"/>
          <w:szCs w:val="24"/>
        </w:rPr>
        <w:t>whether or not to undertake an inquiry, and shall inform the Speaker of its decision, the Speaker</w:t>
      </w:r>
      <w:r w:rsidRPr="00D503FA">
        <w:rPr>
          <w:rFonts w:eastAsia="Times New Roman" w:cstheme="minorHAnsi"/>
          <w:sz w:val="24"/>
          <w:szCs w:val="24"/>
        </w:rPr>
        <w:t xml:space="preserve"> </w:t>
      </w:r>
      <w:r w:rsidRPr="00D503FA">
        <w:rPr>
          <w:rFonts w:eastAsia="Times New Roman" w:cstheme="minorHAnsi"/>
          <w:sz w:val="24"/>
          <w:szCs w:val="24"/>
        </w:rPr>
        <w:t xml:space="preserve">must then arrange for all members to be notified. </w:t>
      </w:r>
      <w:proofErr w:type="gramStart"/>
      <w:r w:rsidRPr="00D503FA">
        <w:rPr>
          <w:rFonts w:eastAsia="Times New Roman" w:cstheme="minorHAnsi"/>
          <w:sz w:val="24"/>
          <w:szCs w:val="24"/>
        </w:rPr>
        <w:t>In the event that</w:t>
      </w:r>
      <w:proofErr w:type="gramEnd"/>
      <w:r w:rsidRPr="00D503FA">
        <w:rPr>
          <w:rFonts w:eastAsia="Times New Roman" w:cstheme="minorHAnsi"/>
          <w:sz w:val="24"/>
          <w:szCs w:val="24"/>
        </w:rPr>
        <w:t xml:space="preserve"> the subject matter of the bill</w:t>
      </w:r>
      <w:r w:rsidRPr="00D503FA">
        <w:rPr>
          <w:rFonts w:eastAsia="Times New Roman" w:cstheme="minorHAnsi"/>
          <w:sz w:val="24"/>
          <w:szCs w:val="24"/>
        </w:rPr>
        <w:t xml:space="preserve"> </w:t>
      </w:r>
      <w:r w:rsidRPr="00D503FA">
        <w:rPr>
          <w:rFonts w:eastAsia="Times New Roman" w:cstheme="minorHAnsi"/>
          <w:sz w:val="24"/>
          <w:szCs w:val="24"/>
        </w:rPr>
        <w:t>makes it unclear which committee it should be referred to, the Speaker will determine the</w:t>
      </w:r>
      <w:r w:rsidRPr="00D503FA">
        <w:rPr>
          <w:rFonts w:eastAsia="Times New Roman" w:cstheme="minorHAnsi"/>
          <w:sz w:val="24"/>
          <w:szCs w:val="24"/>
        </w:rPr>
        <w:t xml:space="preserve"> </w:t>
      </w:r>
      <w:r w:rsidRPr="00D503FA">
        <w:rPr>
          <w:rFonts w:eastAsia="Times New Roman" w:cstheme="minorHAnsi"/>
          <w:sz w:val="24"/>
          <w:szCs w:val="24"/>
        </w:rPr>
        <w:t>appropriate committee;</w:t>
      </w:r>
      <w:r w:rsidR="00171D49" w:rsidRPr="00D503FA">
        <w:rPr>
          <w:rFonts w:eastAsia="Times New Roman" w:cstheme="minorHAnsi"/>
          <w:sz w:val="24"/>
          <w:szCs w:val="24"/>
        </w:rPr>
        <w:t xml:space="preserve"> </w:t>
      </w:r>
      <w:r w:rsidR="00171D49" w:rsidRPr="00D503FA">
        <w:rPr>
          <w:rFonts w:eastAsia="Times New Roman" w:cstheme="minorHAnsi"/>
          <w:i/>
          <w:iCs/>
          <w:sz w:val="24"/>
          <w:szCs w:val="24"/>
        </w:rPr>
        <w:t>(amended 30 March 2021</w:t>
      </w:r>
      <w:r w:rsidRPr="00D503FA">
        <w:rPr>
          <w:rFonts w:eastAsia="Times New Roman" w:cstheme="minorHAnsi"/>
          <w:i/>
          <w:iCs/>
          <w:sz w:val="24"/>
          <w:szCs w:val="24"/>
        </w:rPr>
        <w:t xml:space="preserve"> and 10 February 2022</w:t>
      </w:r>
      <w:r w:rsidR="00171D49" w:rsidRPr="00D503FA">
        <w:rPr>
          <w:rFonts w:eastAsia="Times New Roman" w:cstheme="minorHAnsi"/>
          <w:i/>
          <w:iCs/>
          <w:sz w:val="24"/>
          <w:szCs w:val="24"/>
        </w:rPr>
        <w:t>)</w:t>
      </w:r>
    </w:p>
    <w:p w14:paraId="70114017" w14:textId="77777777" w:rsidR="00C37C43" w:rsidRPr="00D503FA" w:rsidRDefault="00C37C43" w:rsidP="00C37C43">
      <w:pPr>
        <w:pStyle w:val="ListParagraph"/>
        <w:rPr>
          <w:rFonts w:eastAsia="Times New Roman" w:cstheme="minorHAnsi"/>
          <w:sz w:val="24"/>
          <w:szCs w:val="24"/>
        </w:rPr>
      </w:pPr>
    </w:p>
    <w:p w14:paraId="76F1F922" w14:textId="38938415"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all reports of the ACT Auditor-General tabled in the Assembly stand referred to the Standing Committee on Public Accounts for inquiry and </w:t>
      </w:r>
      <w:proofErr w:type="gramStart"/>
      <w:r w:rsidRPr="00D503FA">
        <w:rPr>
          <w:rFonts w:eastAsia="Times New Roman" w:cstheme="minorHAnsi"/>
          <w:sz w:val="24"/>
          <w:szCs w:val="24"/>
        </w:rPr>
        <w:t>report;</w:t>
      </w:r>
      <w:proofErr w:type="gramEnd"/>
    </w:p>
    <w:p w14:paraId="3BEF76C7" w14:textId="3B7EB6CA"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lastRenderedPageBreak/>
        <w:t xml:space="preserve">the committees so established are required to examine the expenditure proposals contained in the main appropriation bills for the Territory and any revenue estimates proposed by the Government in the annual budget and prepare a report to the Assembly within 60 days of the presentation of the budget </w:t>
      </w:r>
      <w:proofErr w:type="gramStart"/>
      <w:r w:rsidRPr="00D503FA">
        <w:rPr>
          <w:rFonts w:eastAsia="Times New Roman" w:cstheme="minorHAnsi"/>
          <w:sz w:val="24"/>
          <w:szCs w:val="24"/>
        </w:rPr>
        <w:t>bills;</w:t>
      </w:r>
      <w:proofErr w:type="gramEnd"/>
    </w:p>
    <w:p w14:paraId="5B7E40FD" w14:textId="57C6395F" w:rsidR="00FA4278" w:rsidRPr="00D503FA" w:rsidRDefault="00FA4278" w:rsidP="0065308A">
      <w:pPr>
        <w:spacing w:before="100" w:beforeAutospacing="1" w:after="100" w:afterAutospacing="1" w:line="240" w:lineRule="auto"/>
        <w:ind w:left="993" w:hanging="993"/>
        <w:rPr>
          <w:rFonts w:eastAsia="Times New Roman" w:cstheme="minorHAnsi"/>
          <w:sz w:val="24"/>
          <w:szCs w:val="24"/>
        </w:rPr>
      </w:pPr>
      <w:r w:rsidRPr="00D503FA">
        <w:rPr>
          <w:rFonts w:eastAsia="Times New Roman" w:cstheme="minorHAnsi"/>
          <w:sz w:val="24"/>
          <w:szCs w:val="24"/>
        </w:rPr>
        <w:t>(7A)</w:t>
      </w:r>
      <w:r w:rsidR="00926DA9" w:rsidRPr="00D503FA">
        <w:rPr>
          <w:rFonts w:eastAsia="Times New Roman" w:cstheme="minorHAnsi"/>
          <w:sz w:val="24"/>
          <w:szCs w:val="24"/>
        </w:rPr>
        <w:tab/>
      </w:r>
      <w:r w:rsidRPr="00D503FA">
        <w:rPr>
          <w:rFonts w:eastAsia="Times New Roman" w:cstheme="minorHAnsi"/>
          <w:sz w:val="24"/>
          <w:szCs w:val="24"/>
        </w:rPr>
        <w:t>notwithstanding the provisions of paragraph (7), expenditure proposals contained in the 2021-2022 appropriation bills for the Territory and any revenue estimates proposed by the Government in the 2021-2022 budget stand referred to the relevant standing committee for inquiry and report by 12 November 2021;</w:t>
      </w:r>
      <w:r w:rsidR="00171D49" w:rsidRPr="00D503FA">
        <w:rPr>
          <w:rFonts w:eastAsia="Times New Roman" w:cstheme="minorHAnsi"/>
          <w:sz w:val="24"/>
          <w:szCs w:val="24"/>
        </w:rPr>
        <w:t xml:space="preserve"> </w:t>
      </w:r>
      <w:r w:rsidR="00171D49" w:rsidRPr="00D503FA">
        <w:rPr>
          <w:rFonts w:eastAsia="Times New Roman" w:cstheme="minorHAnsi"/>
          <w:i/>
          <w:iCs/>
          <w:sz w:val="24"/>
          <w:szCs w:val="24"/>
        </w:rPr>
        <w:t>(amended 9 November 2021)</w:t>
      </w:r>
    </w:p>
    <w:p w14:paraId="6CAC79A5" w14:textId="6310995C"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funds be provided by the Assembly to permit the engagement of external expertise to work with the Standing Committee on Public Accounts to facilitate the analysis of the </w:t>
      </w:r>
      <w:proofErr w:type="gramStart"/>
      <w:r w:rsidRPr="00D503FA">
        <w:rPr>
          <w:rFonts w:eastAsia="Times New Roman" w:cstheme="minorHAnsi"/>
          <w:sz w:val="24"/>
          <w:szCs w:val="24"/>
        </w:rPr>
        <w:t>budget;</w:t>
      </w:r>
      <w:proofErr w:type="gramEnd"/>
    </w:p>
    <w:p w14:paraId="0ED85B55"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2FC3A87A" w14:textId="1FC1795A"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the Standing Committee on Justice and Community Safety shall:</w:t>
      </w:r>
    </w:p>
    <w:p w14:paraId="5C5925EB"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00231BC7" w14:textId="68D85222" w:rsidR="00FA4278" w:rsidRPr="00D503FA" w:rsidRDefault="00FA4278" w:rsidP="00A97F7D">
      <w:pPr>
        <w:pStyle w:val="ListParagraph"/>
        <w:numPr>
          <w:ilvl w:val="0"/>
          <w:numId w:val="1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examine matters related to corruption and integrity in public </w:t>
      </w:r>
      <w:proofErr w:type="gramStart"/>
      <w:r w:rsidRPr="00D503FA">
        <w:rPr>
          <w:rFonts w:eastAsia="Times New Roman" w:cstheme="minorHAnsi"/>
          <w:sz w:val="24"/>
          <w:szCs w:val="24"/>
        </w:rPr>
        <w:t>administration;</w:t>
      </w:r>
      <w:proofErr w:type="gramEnd"/>
    </w:p>
    <w:p w14:paraId="5DED5165" w14:textId="2F164724" w:rsidR="00FA4278" w:rsidRPr="00D503FA" w:rsidRDefault="00FA4278" w:rsidP="00A97F7D">
      <w:pPr>
        <w:pStyle w:val="ListParagraph"/>
        <w:numPr>
          <w:ilvl w:val="0"/>
          <w:numId w:val="1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inquire into and report on matters referred to it by the Assembly or matters that are considered by the Committee to be of concern to the </w:t>
      </w:r>
      <w:proofErr w:type="gramStart"/>
      <w:r w:rsidRPr="00D503FA">
        <w:rPr>
          <w:rFonts w:eastAsia="Times New Roman" w:cstheme="minorHAnsi"/>
          <w:sz w:val="24"/>
          <w:szCs w:val="24"/>
        </w:rPr>
        <w:t>community;</w:t>
      </w:r>
      <w:proofErr w:type="gramEnd"/>
    </w:p>
    <w:p w14:paraId="7458810E" w14:textId="7CA826F4" w:rsidR="00FA4278" w:rsidRPr="00D503FA" w:rsidRDefault="00FA4278" w:rsidP="00A97F7D">
      <w:pPr>
        <w:pStyle w:val="ListParagraph"/>
        <w:numPr>
          <w:ilvl w:val="0"/>
          <w:numId w:val="1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perform all functions required of it pursuant to the Integrity Commission Act 2018; and</w:t>
      </w:r>
    </w:p>
    <w:p w14:paraId="025BFDDC" w14:textId="1D34777D" w:rsidR="00FA4278" w:rsidRPr="00D503FA" w:rsidRDefault="00FA4278" w:rsidP="00A97F7D">
      <w:pPr>
        <w:pStyle w:val="ListParagraph"/>
        <w:numPr>
          <w:ilvl w:val="0"/>
          <w:numId w:val="1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monitor, review and report on the performance of the Integrity Commission and the Inspector of the Integrity Commission or the exercise of the powers and functions of the Integrity Commission and the Inspector of the Integrity Commission, including examining the annual reports of the Integrity Commission and the Inspector of the Integrity Commission and any other reports made by the Commission; nothing in this resolution authorises the Committee to investigate a matter relating to particular conduct or to reconsider a decision to investigate, not to investigate or to discontinue an investigation of a particular complaint made to the Commission, or to reconsider the findings, recommendations, determinations or other decisions of the Commission or the Inspector in relation to a particular investigation or complaint;</w:t>
      </w:r>
    </w:p>
    <w:p w14:paraId="00D8C550" w14:textId="77777777" w:rsidR="00A97F7D" w:rsidRPr="00D503FA" w:rsidRDefault="00A97F7D" w:rsidP="00A97F7D">
      <w:pPr>
        <w:pStyle w:val="ListParagraph"/>
        <w:spacing w:before="100" w:beforeAutospacing="1" w:after="100" w:afterAutospacing="1" w:line="240" w:lineRule="auto"/>
        <w:ind w:left="1305"/>
        <w:rPr>
          <w:rFonts w:eastAsia="Times New Roman" w:cstheme="minorHAnsi"/>
          <w:sz w:val="24"/>
          <w:szCs w:val="24"/>
        </w:rPr>
      </w:pPr>
    </w:p>
    <w:p w14:paraId="1E26997F" w14:textId="266F7E66"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the Standing Committee on Justice and Community Safety is also to perform a legislative scrutiny role of bills and subordinate legislation by:</w:t>
      </w:r>
    </w:p>
    <w:p w14:paraId="1E50E081"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49DB55EF" w14:textId="27FA4867" w:rsidR="00FA4278" w:rsidRPr="00D503FA" w:rsidRDefault="00FA4278" w:rsidP="00340D9E">
      <w:pPr>
        <w:pStyle w:val="ListParagraph"/>
        <w:numPr>
          <w:ilvl w:val="0"/>
          <w:numId w:val="1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considering whether the clauses of bills (and amendments proposed by the Government to its own bills) introduced into the Assembly:</w:t>
      </w:r>
    </w:p>
    <w:p w14:paraId="47B858D5" w14:textId="77777777" w:rsidR="003B25D0" w:rsidRPr="00D503FA" w:rsidRDefault="003B25D0" w:rsidP="003B25D0">
      <w:pPr>
        <w:pStyle w:val="ListParagraph"/>
        <w:spacing w:before="100" w:beforeAutospacing="1" w:after="100" w:afterAutospacing="1" w:line="240" w:lineRule="auto"/>
        <w:ind w:left="1305"/>
        <w:rPr>
          <w:rFonts w:eastAsia="Times New Roman" w:cstheme="minorHAnsi"/>
          <w:sz w:val="24"/>
          <w:szCs w:val="24"/>
        </w:rPr>
      </w:pPr>
    </w:p>
    <w:p w14:paraId="7E7C9686" w14:textId="7925408D"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unduly trespass on personal rights and </w:t>
      </w:r>
      <w:proofErr w:type="gramStart"/>
      <w:r w:rsidRPr="00D503FA">
        <w:rPr>
          <w:rFonts w:eastAsia="Times New Roman" w:cstheme="minorHAnsi"/>
          <w:sz w:val="24"/>
          <w:szCs w:val="24"/>
        </w:rPr>
        <w:t>liberties;</w:t>
      </w:r>
      <w:proofErr w:type="gramEnd"/>
    </w:p>
    <w:p w14:paraId="0CA797AE" w14:textId="00E2711A"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make rights, liberties and/or obligations unduly dependent upon insufficiently defined administrative </w:t>
      </w:r>
      <w:proofErr w:type="gramStart"/>
      <w:r w:rsidRPr="00D503FA">
        <w:rPr>
          <w:rFonts w:eastAsia="Times New Roman" w:cstheme="minorHAnsi"/>
          <w:sz w:val="24"/>
          <w:szCs w:val="24"/>
        </w:rPr>
        <w:t>powers;</w:t>
      </w:r>
      <w:proofErr w:type="gramEnd"/>
    </w:p>
    <w:p w14:paraId="1472B193" w14:textId="568BB6E1"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make rights, liberties and/or obligations unduly dependent upon non-reviewable </w:t>
      </w:r>
      <w:proofErr w:type="gramStart"/>
      <w:r w:rsidRPr="00D503FA">
        <w:rPr>
          <w:rFonts w:eastAsia="Times New Roman" w:cstheme="minorHAnsi"/>
          <w:sz w:val="24"/>
          <w:szCs w:val="24"/>
        </w:rPr>
        <w:t>decisions;</w:t>
      </w:r>
      <w:proofErr w:type="gramEnd"/>
    </w:p>
    <w:p w14:paraId="0F131332" w14:textId="0C58104C"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inappropriately delegate legislative powers; or</w:t>
      </w:r>
    </w:p>
    <w:p w14:paraId="69D420E1" w14:textId="7D190CA2"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lastRenderedPageBreak/>
        <w:t>insufficiently subject the exercise of legislative power to parliamentary scrutiny; and</w:t>
      </w:r>
    </w:p>
    <w:p w14:paraId="09FE4F07" w14:textId="0634ACD0" w:rsidR="00FA4278" w:rsidRPr="00D503FA" w:rsidRDefault="00FA4278" w:rsidP="00A97F7D">
      <w:pPr>
        <w:pStyle w:val="ListParagraph"/>
        <w:numPr>
          <w:ilvl w:val="0"/>
          <w:numId w:val="1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consider whether any explanatory statement associated with legislation meets the technical or stylistic standards expected by the </w:t>
      </w:r>
      <w:proofErr w:type="gramStart"/>
      <w:r w:rsidRPr="00D503FA">
        <w:rPr>
          <w:rFonts w:eastAsia="Times New Roman" w:cstheme="minorHAnsi"/>
          <w:sz w:val="24"/>
          <w:szCs w:val="24"/>
        </w:rPr>
        <w:t>Assembly;</w:t>
      </w:r>
      <w:proofErr w:type="gramEnd"/>
    </w:p>
    <w:p w14:paraId="2DD65B57" w14:textId="77777777" w:rsidR="003B25D0" w:rsidRPr="00D503FA" w:rsidRDefault="003B25D0" w:rsidP="003B25D0">
      <w:pPr>
        <w:pStyle w:val="ListParagraph"/>
        <w:spacing w:before="100" w:beforeAutospacing="1" w:after="100" w:afterAutospacing="1" w:line="240" w:lineRule="auto"/>
        <w:ind w:left="2160"/>
        <w:rPr>
          <w:rFonts w:eastAsia="Times New Roman" w:cstheme="minorHAnsi"/>
          <w:sz w:val="24"/>
          <w:szCs w:val="24"/>
        </w:rPr>
      </w:pPr>
    </w:p>
    <w:p w14:paraId="7C2A799C" w14:textId="57AF9EB1" w:rsidR="00FA4278" w:rsidRPr="00D503FA" w:rsidRDefault="00FA4278" w:rsidP="00340D9E">
      <w:pPr>
        <w:pStyle w:val="ListParagraph"/>
        <w:numPr>
          <w:ilvl w:val="0"/>
          <w:numId w:val="1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reporting to the Legislative Assembly about human rights issues raised by bills presented to the Assembly pursuant to section 38 of the Human Rights Act </w:t>
      </w:r>
      <w:proofErr w:type="gramStart"/>
      <w:r w:rsidRPr="00D503FA">
        <w:rPr>
          <w:rFonts w:eastAsia="Times New Roman" w:cstheme="minorHAnsi"/>
          <w:sz w:val="24"/>
          <w:szCs w:val="24"/>
        </w:rPr>
        <w:t>2004;</w:t>
      </w:r>
      <w:proofErr w:type="gramEnd"/>
    </w:p>
    <w:p w14:paraId="0767DB0C" w14:textId="77777777" w:rsidR="00A97F7D" w:rsidRPr="00D503FA" w:rsidRDefault="00A97F7D" w:rsidP="00A97F7D">
      <w:pPr>
        <w:pStyle w:val="ListParagraph"/>
        <w:spacing w:before="100" w:beforeAutospacing="1" w:after="100" w:afterAutospacing="1" w:line="240" w:lineRule="auto"/>
        <w:ind w:left="1305"/>
        <w:rPr>
          <w:rFonts w:eastAsia="Times New Roman" w:cstheme="minorHAnsi"/>
          <w:sz w:val="24"/>
          <w:szCs w:val="24"/>
        </w:rPr>
      </w:pPr>
    </w:p>
    <w:p w14:paraId="04884D1D" w14:textId="650BFB52" w:rsidR="00FA4278" w:rsidRPr="00D503FA" w:rsidRDefault="00FA4278" w:rsidP="00340D9E">
      <w:pPr>
        <w:pStyle w:val="ListParagraph"/>
        <w:numPr>
          <w:ilvl w:val="0"/>
          <w:numId w:val="1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considering whether any instrument of a legislative nature made under an Act which is subject to disallowance and/or disapproval by the Assembly (including a regulation, </w:t>
      </w:r>
      <w:proofErr w:type="gramStart"/>
      <w:r w:rsidRPr="00D503FA">
        <w:rPr>
          <w:rFonts w:eastAsia="Times New Roman" w:cstheme="minorHAnsi"/>
          <w:sz w:val="24"/>
          <w:szCs w:val="24"/>
        </w:rPr>
        <w:t>rule</w:t>
      </w:r>
      <w:proofErr w:type="gramEnd"/>
      <w:r w:rsidRPr="00D503FA">
        <w:rPr>
          <w:rFonts w:eastAsia="Times New Roman" w:cstheme="minorHAnsi"/>
          <w:sz w:val="24"/>
          <w:szCs w:val="24"/>
        </w:rPr>
        <w:t xml:space="preserve"> or by-law):</w:t>
      </w:r>
    </w:p>
    <w:p w14:paraId="278ADE79" w14:textId="77777777" w:rsidR="00A97F7D" w:rsidRPr="00D503FA" w:rsidRDefault="00A97F7D" w:rsidP="00A97F7D">
      <w:pPr>
        <w:pStyle w:val="ListParagraph"/>
        <w:rPr>
          <w:rFonts w:eastAsia="Times New Roman" w:cstheme="minorHAnsi"/>
          <w:sz w:val="24"/>
          <w:szCs w:val="24"/>
        </w:rPr>
      </w:pPr>
    </w:p>
    <w:p w14:paraId="7C02F353" w14:textId="1E95B02F" w:rsidR="00FA4278" w:rsidRPr="00D503FA" w:rsidRDefault="00FA4278" w:rsidP="00A97F7D">
      <w:pPr>
        <w:pStyle w:val="ListParagraph"/>
        <w:numPr>
          <w:ilvl w:val="0"/>
          <w:numId w:val="1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is in accord with the general objects of the Act under which it is </w:t>
      </w:r>
      <w:proofErr w:type="gramStart"/>
      <w:r w:rsidRPr="00D503FA">
        <w:rPr>
          <w:rFonts w:eastAsia="Times New Roman" w:cstheme="minorHAnsi"/>
          <w:sz w:val="24"/>
          <w:szCs w:val="24"/>
        </w:rPr>
        <w:t>made;</w:t>
      </w:r>
      <w:proofErr w:type="gramEnd"/>
    </w:p>
    <w:p w14:paraId="183DB449" w14:textId="4A9D0A9F" w:rsidR="00FA4278" w:rsidRPr="00D503FA" w:rsidRDefault="00FA4278" w:rsidP="00A97F7D">
      <w:pPr>
        <w:pStyle w:val="ListParagraph"/>
        <w:numPr>
          <w:ilvl w:val="0"/>
          <w:numId w:val="1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unduly trespasses on rights previously established by </w:t>
      </w:r>
      <w:proofErr w:type="gramStart"/>
      <w:r w:rsidRPr="00D503FA">
        <w:rPr>
          <w:rFonts w:eastAsia="Times New Roman" w:cstheme="minorHAnsi"/>
          <w:sz w:val="24"/>
          <w:szCs w:val="24"/>
        </w:rPr>
        <w:t>law;</w:t>
      </w:r>
      <w:proofErr w:type="gramEnd"/>
    </w:p>
    <w:p w14:paraId="123A1530" w14:textId="41E2E990" w:rsidR="00FA4278" w:rsidRPr="00D503FA" w:rsidRDefault="00FA4278" w:rsidP="00A97F7D">
      <w:pPr>
        <w:pStyle w:val="ListParagraph"/>
        <w:numPr>
          <w:ilvl w:val="0"/>
          <w:numId w:val="1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makes rights, liberties and/or obligations unduly dependent upon non-reviewable decisions; or</w:t>
      </w:r>
    </w:p>
    <w:p w14:paraId="594B7C8C" w14:textId="3604D7EF" w:rsidR="00FA4278" w:rsidRPr="00D503FA" w:rsidRDefault="00FA4278" w:rsidP="00A97F7D">
      <w:pPr>
        <w:pStyle w:val="ListParagraph"/>
        <w:numPr>
          <w:ilvl w:val="0"/>
          <w:numId w:val="1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contains matter which in the opinion of the Committee should properly be dealt with in an Act of the Legislative Assembly; and</w:t>
      </w:r>
    </w:p>
    <w:p w14:paraId="72DCC13D" w14:textId="77777777" w:rsidR="00A97F7D" w:rsidRPr="00D503FA" w:rsidRDefault="00A97F7D" w:rsidP="00A97F7D">
      <w:pPr>
        <w:pStyle w:val="ListParagraph"/>
        <w:spacing w:before="100" w:beforeAutospacing="1" w:after="100" w:afterAutospacing="1" w:line="240" w:lineRule="auto"/>
        <w:ind w:left="2160"/>
        <w:rPr>
          <w:rFonts w:eastAsia="Times New Roman" w:cstheme="minorHAnsi"/>
          <w:sz w:val="24"/>
          <w:szCs w:val="24"/>
        </w:rPr>
      </w:pPr>
    </w:p>
    <w:p w14:paraId="3FF5E3D9" w14:textId="73F7EA3B" w:rsidR="00FA4278" w:rsidRPr="00D503FA" w:rsidRDefault="00FA4278" w:rsidP="00340D9E">
      <w:pPr>
        <w:pStyle w:val="ListParagraph"/>
        <w:numPr>
          <w:ilvl w:val="0"/>
          <w:numId w:val="1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 xml:space="preserve">consider whether any explanatory statement or explanatory memorandum associated with legislation and any regulatory impact statement meets the technical or stylistic standards expected by the </w:t>
      </w:r>
      <w:proofErr w:type="gramStart"/>
      <w:r w:rsidRPr="00D503FA">
        <w:rPr>
          <w:rFonts w:eastAsia="Times New Roman" w:cstheme="minorHAnsi"/>
          <w:sz w:val="24"/>
          <w:szCs w:val="24"/>
        </w:rPr>
        <w:t>Assembly;</w:t>
      </w:r>
      <w:proofErr w:type="gramEnd"/>
    </w:p>
    <w:p w14:paraId="08E1C0D7" w14:textId="77777777" w:rsidR="00A97F7D" w:rsidRPr="00D503FA" w:rsidRDefault="00A97F7D" w:rsidP="00A97F7D">
      <w:pPr>
        <w:pStyle w:val="ListParagraph"/>
        <w:spacing w:before="100" w:beforeAutospacing="1" w:after="100" w:afterAutospacing="1" w:line="240" w:lineRule="auto"/>
        <w:ind w:left="1305"/>
        <w:rPr>
          <w:rFonts w:eastAsia="Times New Roman" w:cstheme="minorHAnsi"/>
          <w:sz w:val="24"/>
          <w:szCs w:val="24"/>
        </w:rPr>
      </w:pPr>
    </w:p>
    <w:p w14:paraId="5732BF44" w14:textId="1F02260A"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in addition, the membership of the Standing Committee on Administration and Procedure, established under standing order 16, be composed of the:</w:t>
      </w:r>
    </w:p>
    <w:p w14:paraId="307A157E"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50E07FD3" w14:textId="0B228777" w:rsidR="00FA4278" w:rsidRPr="00D503FA" w:rsidRDefault="00FA4278" w:rsidP="003B25D0">
      <w:pPr>
        <w:pStyle w:val="ListParagraph"/>
        <w:numPr>
          <w:ilvl w:val="0"/>
          <w:numId w:val="14"/>
        </w:numPr>
        <w:spacing w:before="120" w:after="240" w:line="240" w:lineRule="auto"/>
        <w:ind w:left="1304" w:hanging="357"/>
        <w:rPr>
          <w:rFonts w:eastAsia="Times New Roman" w:cstheme="minorHAnsi"/>
          <w:sz w:val="24"/>
          <w:szCs w:val="24"/>
        </w:rPr>
      </w:pPr>
      <w:r w:rsidRPr="00D503FA">
        <w:rPr>
          <w:rFonts w:eastAsia="Times New Roman" w:cstheme="minorHAnsi"/>
          <w:sz w:val="24"/>
          <w:szCs w:val="24"/>
        </w:rPr>
        <w:t xml:space="preserve">Speaker, as </w:t>
      </w:r>
      <w:proofErr w:type="gramStart"/>
      <w:r w:rsidRPr="00D503FA">
        <w:rPr>
          <w:rFonts w:eastAsia="Times New Roman" w:cstheme="minorHAnsi"/>
          <w:sz w:val="24"/>
          <w:szCs w:val="24"/>
        </w:rPr>
        <w:t>Chair;</w:t>
      </w:r>
      <w:proofErr w:type="gramEnd"/>
    </w:p>
    <w:p w14:paraId="4F949F9D" w14:textId="2116E2AA" w:rsidR="00FA4278" w:rsidRPr="00D503FA" w:rsidRDefault="00FA4278" w:rsidP="003B25D0">
      <w:pPr>
        <w:pStyle w:val="ListParagraph"/>
        <w:numPr>
          <w:ilvl w:val="0"/>
          <w:numId w:val="14"/>
        </w:numPr>
        <w:spacing w:before="120" w:after="240" w:line="240" w:lineRule="auto"/>
        <w:ind w:left="1304" w:hanging="357"/>
        <w:rPr>
          <w:rFonts w:eastAsia="Times New Roman" w:cstheme="minorHAnsi"/>
          <w:sz w:val="24"/>
          <w:szCs w:val="24"/>
        </w:rPr>
      </w:pPr>
      <w:r w:rsidRPr="00D503FA">
        <w:rPr>
          <w:rFonts w:eastAsia="Times New Roman" w:cstheme="minorHAnsi"/>
          <w:sz w:val="24"/>
          <w:szCs w:val="24"/>
        </w:rPr>
        <w:t xml:space="preserve">Government </w:t>
      </w:r>
      <w:proofErr w:type="gramStart"/>
      <w:r w:rsidRPr="00D503FA">
        <w:rPr>
          <w:rFonts w:eastAsia="Times New Roman" w:cstheme="minorHAnsi"/>
          <w:sz w:val="24"/>
          <w:szCs w:val="24"/>
        </w:rPr>
        <w:t>whip;</w:t>
      </w:r>
      <w:proofErr w:type="gramEnd"/>
    </w:p>
    <w:p w14:paraId="13BC1B56" w14:textId="306DA78A" w:rsidR="00FA4278" w:rsidRPr="00D503FA" w:rsidRDefault="00FA4278" w:rsidP="003B25D0">
      <w:pPr>
        <w:pStyle w:val="ListParagraph"/>
        <w:numPr>
          <w:ilvl w:val="0"/>
          <w:numId w:val="14"/>
        </w:numPr>
        <w:spacing w:before="120" w:after="240" w:line="240" w:lineRule="auto"/>
        <w:ind w:left="1304" w:hanging="357"/>
        <w:rPr>
          <w:rFonts w:eastAsia="Times New Roman" w:cstheme="minorHAnsi"/>
          <w:sz w:val="24"/>
          <w:szCs w:val="24"/>
        </w:rPr>
      </w:pPr>
      <w:r w:rsidRPr="00D503FA">
        <w:rPr>
          <w:rFonts w:eastAsia="Times New Roman" w:cstheme="minorHAnsi"/>
          <w:sz w:val="24"/>
          <w:szCs w:val="24"/>
        </w:rPr>
        <w:t>Opposition whip; and</w:t>
      </w:r>
    </w:p>
    <w:p w14:paraId="327168CB" w14:textId="2F83F26C" w:rsidR="00FA4278" w:rsidRPr="00D503FA" w:rsidRDefault="00FA4278" w:rsidP="003B25D0">
      <w:pPr>
        <w:pStyle w:val="ListParagraph"/>
        <w:numPr>
          <w:ilvl w:val="0"/>
          <w:numId w:val="14"/>
        </w:numPr>
        <w:spacing w:before="120" w:after="240" w:line="240" w:lineRule="auto"/>
        <w:ind w:left="1304" w:hanging="357"/>
        <w:rPr>
          <w:rFonts w:eastAsia="Times New Roman" w:cstheme="minorHAnsi"/>
          <w:sz w:val="24"/>
          <w:szCs w:val="24"/>
        </w:rPr>
      </w:pPr>
      <w:r w:rsidRPr="00D503FA">
        <w:rPr>
          <w:rFonts w:eastAsia="Times New Roman" w:cstheme="minorHAnsi"/>
          <w:sz w:val="24"/>
          <w:szCs w:val="24"/>
        </w:rPr>
        <w:t xml:space="preserve">ACT Greens </w:t>
      </w:r>
      <w:proofErr w:type="gramStart"/>
      <w:r w:rsidRPr="00D503FA">
        <w:rPr>
          <w:rFonts w:eastAsia="Times New Roman" w:cstheme="minorHAnsi"/>
          <w:sz w:val="24"/>
          <w:szCs w:val="24"/>
        </w:rPr>
        <w:t>whip;</w:t>
      </w:r>
      <w:proofErr w:type="gramEnd"/>
    </w:p>
    <w:p w14:paraId="4D66EB16" w14:textId="77777777" w:rsidR="00A97F7D" w:rsidRPr="00D503FA" w:rsidRDefault="00A97F7D" w:rsidP="00A97F7D">
      <w:pPr>
        <w:pStyle w:val="ListParagraph"/>
        <w:spacing w:before="100" w:beforeAutospacing="1" w:after="100" w:afterAutospacing="1" w:line="240" w:lineRule="auto"/>
        <w:ind w:left="1305"/>
        <w:rPr>
          <w:rFonts w:eastAsia="Times New Roman" w:cstheme="minorHAnsi"/>
          <w:sz w:val="24"/>
          <w:szCs w:val="24"/>
        </w:rPr>
      </w:pPr>
    </w:p>
    <w:p w14:paraId="43CDF037" w14:textId="19EE4410"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each committee shall have power to consider and make use of the evidence and records of the relevant standing committee appointed during the previous </w:t>
      </w:r>
      <w:proofErr w:type="gramStart"/>
      <w:r w:rsidRPr="00D503FA">
        <w:rPr>
          <w:rFonts w:eastAsia="Times New Roman" w:cstheme="minorHAnsi"/>
          <w:sz w:val="24"/>
          <w:szCs w:val="24"/>
        </w:rPr>
        <w:t>Assembly;</w:t>
      </w:r>
      <w:proofErr w:type="gramEnd"/>
    </w:p>
    <w:p w14:paraId="64B5D9E0" w14:textId="77777777" w:rsidR="00A97F7D" w:rsidRPr="00D503FA" w:rsidRDefault="00A97F7D" w:rsidP="00A97F7D">
      <w:pPr>
        <w:pStyle w:val="ListParagraph"/>
        <w:spacing w:before="100" w:beforeAutospacing="1" w:after="100" w:afterAutospacing="1" w:line="240" w:lineRule="auto"/>
        <w:ind w:left="945"/>
        <w:rPr>
          <w:rFonts w:eastAsia="Times New Roman" w:cstheme="minorHAnsi"/>
          <w:sz w:val="24"/>
          <w:szCs w:val="24"/>
        </w:rPr>
      </w:pPr>
    </w:p>
    <w:p w14:paraId="4E8537DC" w14:textId="2F744BD4"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 each committee be provided with necessary staff, facilities and </w:t>
      </w:r>
      <w:proofErr w:type="gramStart"/>
      <w:r w:rsidRPr="00D503FA">
        <w:rPr>
          <w:rFonts w:eastAsia="Times New Roman" w:cstheme="minorHAnsi"/>
          <w:sz w:val="24"/>
          <w:szCs w:val="24"/>
        </w:rPr>
        <w:t>resources;</w:t>
      </w:r>
      <w:proofErr w:type="gramEnd"/>
    </w:p>
    <w:p w14:paraId="2C2EB01D" w14:textId="77777777" w:rsidR="00A97F7D" w:rsidRPr="00D503FA" w:rsidRDefault="00A97F7D" w:rsidP="00A97F7D">
      <w:pPr>
        <w:pStyle w:val="ListParagraph"/>
        <w:rPr>
          <w:rFonts w:eastAsia="Times New Roman" w:cstheme="minorHAnsi"/>
          <w:sz w:val="24"/>
          <w:szCs w:val="24"/>
        </w:rPr>
      </w:pPr>
    </w:p>
    <w:p w14:paraId="67BCD081" w14:textId="06FA1B92"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the foregoing provisions of this resolution, so far as they are inconsistent with the standing orders, have effect notwithstanding anything contained in the standing </w:t>
      </w:r>
      <w:proofErr w:type="gramStart"/>
      <w:r w:rsidRPr="00D503FA">
        <w:rPr>
          <w:rFonts w:eastAsia="Times New Roman" w:cstheme="minorHAnsi"/>
          <w:sz w:val="24"/>
          <w:szCs w:val="24"/>
        </w:rPr>
        <w:t>orders;</w:t>
      </w:r>
      <w:proofErr w:type="gramEnd"/>
    </w:p>
    <w:p w14:paraId="60A87196" w14:textId="77777777" w:rsidR="00A97F7D" w:rsidRPr="00D503FA" w:rsidRDefault="00A97F7D" w:rsidP="00A97F7D">
      <w:pPr>
        <w:pStyle w:val="ListParagraph"/>
        <w:rPr>
          <w:rFonts w:eastAsia="Times New Roman" w:cstheme="minorHAnsi"/>
          <w:sz w:val="24"/>
          <w:szCs w:val="24"/>
        </w:rPr>
      </w:pPr>
    </w:p>
    <w:p w14:paraId="5197E00B" w14:textId="516030C7"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 xml:space="preserve">each general-purpose committee shall consist of three members, nominated by each of the three whips, with the chair of each such committee agreed by the members of that </w:t>
      </w:r>
      <w:proofErr w:type="gramStart"/>
      <w:r w:rsidRPr="00D503FA">
        <w:rPr>
          <w:rFonts w:eastAsia="Times New Roman" w:cstheme="minorHAnsi"/>
          <w:sz w:val="24"/>
          <w:szCs w:val="24"/>
        </w:rPr>
        <w:t>committee;</w:t>
      </w:r>
      <w:proofErr w:type="gramEnd"/>
      <w:r w:rsidRPr="00D503FA">
        <w:rPr>
          <w:rFonts w:eastAsia="Times New Roman" w:cstheme="minorHAnsi"/>
          <w:sz w:val="24"/>
          <w:szCs w:val="24"/>
        </w:rPr>
        <w:t xml:space="preserve"> and</w:t>
      </w:r>
    </w:p>
    <w:p w14:paraId="0920FE3B" w14:textId="77777777" w:rsidR="00A97F7D" w:rsidRPr="00D503FA" w:rsidRDefault="00A97F7D" w:rsidP="00A97F7D">
      <w:pPr>
        <w:pStyle w:val="ListParagraph"/>
        <w:rPr>
          <w:rFonts w:eastAsia="Times New Roman" w:cstheme="minorHAnsi"/>
          <w:sz w:val="24"/>
          <w:szCs w:val="24"/>
        </w:rPr>
      </w:pPr>
    </w:p>
    <w:p w14:paraId="4A7AF783" w14:textId="05636000" w:rsidR="00FA4278" w:rsidRPr="00D503FA" w:rsidRDefault="00FA4278" w:rsidP="009471F6">
      <w:pPr>
        <w:pStyle w:val="ListParagraph"/>
        <w:numPr>
          <w:ilvl w:val="0"/>
          <w:numId w:val="8"/>
        </w:numPr>
        <w:spacing w:before="100" w:beforeAutospacing="1" w:after="100" w:afterAutospacing="1" w:line="240" w:lineRule="auto"/>
        <w:ind w:hanging="945"/>
        <w:rPr>
          <w:rFonts w:eastAsia="Times New Roman" w:cstheme="minorHAnsi"/>
          <w:sz w:val="24"/>
          <w:szCs w:val="24"/>
        </w:rPr>
      </w:pPr>
      <w:r w:rsidRPr="00D503FA">
        <w:rPr>
          <w:rFonts w:eastAsia="Times New Roman" w:cstheme="minorHAnsi"/>
          <w:sz w:val="24"/>
          <w:szCs w:val="24"/>
        </w:rPr>
        <w:t>nominations for membership of these committees be notified in writing to the Speaker within two hours following conclusion of the debate on the matter.</w:t>
      </w:r>
      <w:r w:rsidR="00BD7558" w:rsidRPr="00D503FA">
        <w:rPr>
          <w:rFonts w:eastAsia="Times New Roman" w:cstheme="minorHAnsi"/>
          <w:sz w:val="24"/>
          <w:szCs w:val="24"/>
        </w:rPr>
        <w: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83"/>
        <w:gridCol w:w="2357"/>
        <w:gridCol w:w="4376"/>
      </w:tblGrid>
      <w:tr w:rsidR="00D503FA" w:rsidRPr="00D503FA" w14:paraId="02FDFF04" w14:textId="77777777" w:rsidTr="00B56931">
        <w:trPr>
          <w:tblHeader/>
          <w:tblCellSpacing w:w="15" w:type="dxa"/>
        </w:trPr>
        <w:tc>
          <w:tcPr>
            <w:tcW w:w="0" w:type="auto"/>
            <w:vAlign w:val="center"/>
            <w:hideMark/>
          </w:tcPr>
          <w:p w14:paraId="6A763D8B" w14:textId="77777777" w:rsidR="00FA4278" w:rsidRPr="00D503FA" w:rsidRDefault="00FA4278" w:rsidP="00FA4278">
            <w:pPr>
              <w:spacing w:before="100" w:beforeAutospacing="1" w:after="100" w:afterAutospacing="1" w:line="240" w:lineRule="auto"/>
              <w:jc w:val="center"/>
              <w:rPr>
                <w:rFonts w:eastAsia="Times New Roman" w:cstheme="minorHAnsi"/>
                <w:b/>
                <w:bCs/>
                <w:sz w:val="24"/>
                <w:szCs w:val="24"/>
              </w:rPr>
            </w:pPr>
            <w:r w:rsidRPr="00D503FA">
              <w:rPr>
                <w:rFonts w:eastAsia="Times New Roman" w:cstheme="minorHAnsi"/>
                <w:b/>
                <w:bCs/>
                <w:sz w:val="24"/>
                <w:szCs w:val="24"/>
              </w:rPr>
              <w:t>Committee</w:t>
            </w:r>
          </w:p>
        </w:tc>
        <w:tc>
          <w:tcPr>
            <w:tcW w:w="0" w:type="auto"/>
            <w:vAlign w:val="center"/>
            <w:hideMark/>
          </w:tcPr>
          <w:p w14:paraId="5523FF59" w14:textId="77777777" w:rsidR="00FA4278" w:rsidRPr="00D503FA" w:rsidRDefault="00FA4278" w:rsidP="00FA4278">
            <w:pPr>
              <w:spacing w:before="100" w:beforeAutospacing="1" w:after="100" w:afterAutospacing="1" w:line="240" w:lineRule="auto"/>
              <w:jc w:val="center"/>
              <w:rPr>
                <w:rFonts w:eastAsia="Times New Roman" w:cstheme="minorHAnsi"/>
                <w:b/>
                <w:bCs/>
                <w:sz w:val="24"/>
                <w:szCs w:val="24"/>
              </w:rPr>
            </w:pPr>
            <w:r w:rsidRPr="00D503FA">
              <w:rPr>
                <w:rFonts w:eastAsia="Times New Roman" w:cstheme="minorHAnsi"/>
                <w:b/>
                <w:bCs/>
                <w:sz w:val="24"/>
                <w:szCs w:val="24"/>
              </w:rPr>
              <w:t>Primary Wellbeing Indicator/s</w:t>
            </w:r>
          </w:p>
        </w:tc>
        <w:tc>
          <w:tcPr>
            <w:tcW w:w="0" w:type="auto"/>
            <w:vAlign w:val="center"/>
            <w:hideMark/>
          </w:tcPr>
          <w:p w14:paraId="6107CADA" w14:textId="77777777" w:rsidR="00FA4278" w:rsidRPr="00D503FA" w:rsidRDefault="00FA4278" w:rsidP="00FA4278">
            <w:pPr>
              <w:spacing w:before="100" w:beforeAutospacing="1" w:after="100" w:afterAutospacing="1" w:line="240" w:lineRule="auto"/>
              <w:jc w:val="center"/>
              <w:rPr>
                <w:rFonts w:eastAsia="Times New Roman" w:cstheme="minorHAnsi"/>
                <w:b/>
                <w:bCs/>
                <w:sz w:val="24"/>
                <w:szCs w:val="24"/>
              </w:rPr>
            </w:pPr>
            <w:r w:rsidRPr="00D503FA">
              <w:rPr>
                <w:rFonts w:eastAsia="Times New Roman" w:cstheme="minorHAnsi"/>
                <w:b/>
                <w:bCs/>
                <w:sz w:val="24"/>
                <w:szCs w:val="24"/>
              </w:rPr>
              <w:t>Areas of responsibility</w:t>
            </w:r>
          </w:p>
        </w:tc>
      </w:tr>
      <w:tr w:rsidR="00D503FA" w:rsidRPr="00D503FA" w14:paraId="43B23A6C" w14:textId="77777777" w:rsidTr="00B56931">
        <w:trPr>
          <w:tblCellSpacing w:w="15" w:type="dxa"/>
        </w:trPr>
        <w:tc>
          <w:tcPr>
            <w:tcW w:w="0" w:type="auto"/>
            <w:vAlign w:val="center"/>
            <w:hideMark/>
          </w:tcPr>
          <w:p w14:paraId="652CEC8E"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Administration and Procedure</w:t>
            </w:r>
          </w:p>
        </w:tc>
        <w:tc>
          <w:tcPr>
            <w:tcW w:w="0" w:type="auto"/>
            <w:vAlign w:val="center"/>
            <w:hideMark/>
          </w:tcPr>
          <w:p w14:paraId="077BF4F5"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Governance and institutions</w:t>
            </w:r>
          </w:p>
        </w:tc>
        <w:tc>
          <w:tcPr>
            <w:tcW w:w="0" w:type="auto"/>
            <w:vAlign w:val="center"/>
            <w:hideMark/>
          </w:tcPr>
          <w:p w14:paraId="39711EAA"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As outlined in standing order 16</w:t>
            </w:r>
          </w:p>
        </w:tc>
      </w:tr>
      <w:tr w:rsidR="00D503FA" w:rsidRPr="00D503FA" w14:paraId="561C15C3" w14:textId="77777777" w:rsidTr="00B56931">
        <w:trPr>
          <w:tblCellSpacing w:w="15" w:type="dxa"/>
        </w:trPr>
        <w:tc>
          <w:tcPr>
            <w:tcW w:w="0" w:type="auto"/>
            <w:vAlign w:val="center"/>
            <w:hideMark/>
          </w:tcPr>
          <w:p w14:paraId="277812D5"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1. Planning, Transport and City Services</w:t>
            </w:r>
          </w:p>
        </w:tc>
        <w:tc>
          <w:tcPr>
            <w:tcW w:w="0" w:type="auto"/>
            <w:vAlign w:val="center"/>
            <w:hideMark/>
          </w:tcPr>
          <w:p w14:paraId="447747CD"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Access and Connectivity, Housing and Home</w:t>
            </w:r>
          </w:p>
        </w:tc>
        <w:tc>
          <w:tcPr>
            <w:tcW w:w="0" w:type="auto"/>
            <w:vAlign w:val="center"/>
            <w:hideMark/>
          </w:tcPr>
          <w:p w14:paraId="2F0A55D2" w14:textId="77777777"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City Renewal Authority</w:t>
            </w:r>
          </w:p>
          <w:p w14:paraId="3A8B24AB" w14:textId="77777777"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Suburban Land Agency</w:t>
            </w:r>
          </w:p>
          <w:p w14:paraId="070A83A0" w14:textId="688B567F"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Planning and land management</w:t>
            </w:r>
            <w:r w:rsidR="007C5CDE" w:rsidRPr="00D503FA">
              <w:rPr>
                <w:rFonts w:eastAsia="Times New Roman" w:cstheme="minorHAnsi"/>
                <w:sz w:val="24"/>
                <w:szCs w:val="24"/>
              </w:rPr>
              <w:t xml:space="preserve"> (excluding parks and conservation)</w:t>
            </w:r>
          </w:p>
          <w:p w14:paraId="396839E3" w14:textId="77777777"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Transport and city services including waste and recycling</w:t>
            </w:r>
          </w:p>
          <w:p w14:paraId="6E818C1C" w14:textId="77777777"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Housing (excluding service provision)</w:t>
            </w:r>
          </w:p>
          <w:p w14:paraId="54FD06E8" w14:textId="77777777" w:rsidR="00FA4278" w:rsidRPr="00D503FA" w:rsidRDefault="00FA4278" w:rsidP="00FA4278">
            <w:pPr>
              <w:numPr>
                <w:ilvl w:val="0"/>
                <w:numId w:val="1"/>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Building and construction</w:t>
            </w:r>
          </w:p>
          <w:p w14:paraId="7AE8F56B" w14:textId="48418F83" w:rsidR="00AF354E" w:rsidRPr="00D503FA" w:rsidRDefault="00AF354E" w:rsidP="00AF354E">
            <w:pPr>
              <w:spacing w:before="100" w:beforeAutospacing="1" w:after="100" w:afterAutospacing="1" w:line="240" w:lineRule="auto"/>
              <w:ind w:left="360"/>
              <w:rPr>
                <w:rFonts w:eastAsia="Times New Roman" w:cstheme="minorHAnsi"/>
                <w:i/>
                <w:iCs/>
                <w:sz w:val="24"/>
                <w:szCs w:val="24"/>
              </w:rPr>
            </w:pPr>
            <w:r w:rsidRPr="00D503FA">
              <w:rPr>
                <w:rFonts w:eastAsia="Times New Roman" w:cstheme="minorHAnsi"/>
                <w:i/>
                <w:iCs/>
                <w:sz w:val="24"/>
                <w:szCs w:val="24"/>
              </w:rPr>
              <w:t>(</w:t>
            </w:r>
            <w:proofErr w:type="gramStart"/>
            <w:r w:rsidRPr="00D503FA">
              <w:rPr>
                <w:rFonts w:eastAsia="Times New Roman" w:cstheme="minorHAnsi"/>
                <w:i/>
                <w:iCs/>
                <w:sz w:val="24"/>
                <w:szCs w:val="24"/>
              </w:rPr>
              <w:t>amended</w:t>
            </w:r>
            <w:proofErr w:type="gramEnd"/>
            <w:r w:rsidRPr="00D503FA">
              <w:rPr>
                <w:rFonts w:eastAsia="Times New Roman" w:cstheme="minorHAnsi"/>
                <w:i/>
                <w:iCs/>
                <w:sz w:val="24"/>
                <w:szCs w:val="24"/>
              </w:rPr>
              <w:t xml:space="preserve"> 4 August 2022)</w:t>
            </w:r>
          </w:p>
        </w:tc>
      </w:tr>
      <w:tr w:rsidR="00D503FA" w:rsidRPr="00D503FA" w14:paraId="15A3AF9F" w14:textId="77777777" w:rsidTr="00B56931">
        <w:trPr>
          <w:tblCellSpacing w:w="15" w:type="dxa"/>
        </w:trPr>
        <w:tc>
          <w:tcPr>
            <w:tcW w:w="0" w:type="auto"/>
            <w:vAlign w:val="center"/>
            <w:hideMark/>
          </w:tcPr>
          <w:p w14:paraId="0E7BB87A"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2. Environment, Climate Change and Biodiversity</w:t>
            </w:r>
          </w:p>
        </w:tc>
        <w:tc>
          <w:tcPr>
            <w:tcW w:w="0" w:type="auto"/>
            <w:vAlign w:val="center"/>
            <w:hideMark/>
          </w:tcPr>
          <w:p w14:paraId="3B60E39B"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Environment and Climate Change</w:t>
            </w:r>
          </w:p>
        </w:tc>
        <w:tc>
          <w:tcPr>
            <w:tcW w:w="0" w:type="auto"/>
            <w:vAlign w:val="center"/>
            <w:hideMark/>
          </w:tcPr>
          <w:p w14:paraId="0F088F7F"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Climate Change</w:t>
            </w:r>
          </w:p>
          <w:p w14:paraId="5675BAF9"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Climate Action</w:t>
            </w:r>
          </w:p>
          <w:p w14:paraId="7D92D95D"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Environment</w:t>
            </w:r>
          </w:p>
          <w:p w14:paraId="05A9CF1B" w14:textId="624F074E"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Heritage</w:t>
            </w:r>
          </w:p>
          <w:p w14:paraId="5E7AFE45"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Water and energy policy and programs</w:t>
            </w:r>
          </w:p>
          <w:p w14:paraId="2F799780"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Emissions reductions</w:t>
            </w:r>
          </w:p>
          <w:p w14:paraId="66B5DBB2"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Environment and ecological sustainability</w:t>
            </w:r>
          </w:p>
          <w:p w14:paraId="69BA1F77"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Commissioner for the Environment</w:t>
            </w:r>
          </w:p>
          <w:p w14:paraId="4131CCEE" w14:textId="77777777" w:rsidR="00FA4278" w:rsidRPr="00D503FA" w:rsidRDefault="00FA4278"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Environment Protection Agency</w:t>
            </w:r>
          </w:p>
          <w:p w14:paraId="7239F4EC" w14:textId="77777777" w:rsidR="007C5CDE" w:rsidRPr="00D503FA" w:rsidRDefault="007C5CDE" w:rsidP="00FA4278">
            <w:pPr>
              <w:numPr>
                <w:ilvl w:val="0"/>
                <w:numId w:val="2"/>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Parks and Conservation</w:t>
            </w:r>
          </w:p>
          <w:p w14:paraId="24561656" w14:textId="34760935" w:rsidR="00AF354E" w:rsidRPr="00D503FA" w:rsidRDefault="00AF354E" w:rsidP="00AF354E">
            <w:pPr>
              <w:spacing w:before="100" w:beforeAutospacing="1" w:after="100" w:afterAutospacing="1" w:line="240" w:lineRule="auto"/>
              <w:ind w:left="360"/>
              <w:rPr>
                <w:rFonts w:eastAsia="Times New Roman" w:cstheme="minorHAnsi"/>
                <w:sz w:val="24"/>
                <w:szCs w:val="24"/>
              </w:rPr>
            </w:pPr>
            <w:r w:rsidRPr="00D503FA">
              <w:rPr>
                <w:rFonts w:eastAsia="Times New Roman" w:cstheme="minorHAnsi"/>
                <w:i/>
                <w:iCs/>
                <w:sz w:val="24"/>
                <w:szCs w:val="24"/>
              </w:rPr>
              <w:t>(</w:t>
            </w:r>
            <w:proofErr w:type="gramStart"/>
            <w:r w:rsidRPr="00D503FA">
              <w:rPr>
                <w:rFonts w:eastAsia="Times New Roman" w:cstheme="minorHAnsi"/>
                <w:i/>
                <w:iCs/>
                <w:sz w:val="24"/>
                <w:szCs w:val="24"/>
              </w:rPr>
              <w:t>amended</w:t>
            </w:r>
            <w:proofErr w:type="gramEnd"/>
            <w:r w:rsidRPr="00D503FA">
              <w:rPr>
                <w:rFonts w:eastAsia="Times New Roman" w:cstheme="minorHAnsi"/>
                <w:i/>
                <w:iCs/>
                <w:sz w:val="24"/>
                <w:szCs w:val="24"/>
              </w:rPr>
              <w:t xml:space="preserve"> 4 August 2022)</w:t>
            </w:r>
          </w:p>
        </w:tc>
      </w:tr>
      <w:tr w:rsidR="00D503FA" w:rsidRPr="00D503FA" w14:paraId="7D8442D7" w14:textId="77777777" w:rsidTr="00B56931">
        <w:trPr>
          <w:tblCellSpacing w:w="15" w:type="dxa"/>
        </w:trPr>
        <w:tc>
          <w:tcPr>
            <w:tcW w:w="0" w:type="auto"/>
            <w:vAlign w:val="center"/>
            <w:hideMark/>
          </w:tcPr>
          <w:p w14:paraId="43951A16"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3. Economy and Gender and Economic Equality</w:t>
            </w:r>
          </w:p>
        </w:tc>
        <w:tc>
          <w:tcPr>
            <w:tcW w:w="0" w:type="auto"/>
            <w:vAlign w:val="center"/>
            <w:hideMark/>
          </w:tcPr>
          <w:p w14:paraId="4A16A817"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Economy, Living Standards and Time</w:t>
            </w:r>
          </w:p>
        </w:tc>
        <w:tc>
          <w:tcPr>
            <w:tcW w:w="0" w:type="auto"/>
            <w:vAlign w:val="center"/>
            <w:hideMark/>
          </w:tcPr>
          <w:p w14:paraId="623B5BFC"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Chief Minister’s responsibilities</w:t>
            </w:r>
          </w:p>
          <w:p w14:paraId="1A44C663"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Economic development and diversification</w:t>
            </w:r>
          </w:p>
          <w:p w14:paraId="5B7B96C2"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Tourism</w:t>
            </w:r>
          </w:p>
          <w:p w14:paraId="2F5385AA"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Industrial relations and workplaces safety</w:t>
            </w:r>
          </w:p>
          <w:p w14:paraId="323BA7E5"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Social impacts and outcomes of economic polices including gender considerations (excluding Office for Women)</w:t>
            </w:r>
          </w:p>
          <w:p w14:paraId="35A4CD91"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Minister of State responsibilities (excluding Justice and Community Safety Directorate reporting areas)</w:t>
            </w:r>
          </w:p>
          <w:p w14:paraId="0E6EF132" w14:textId="77777777" w:rsidR="00FA4278" w:rsidRPr="00D503FA" w:rsidRDefault="00FA4278" w:rsidP="00FA4278">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Business and better regulation</w:t>
            </w:r>
          </w:p>
          <w:p w14:paraId="26B8AED3" w14:textId="77777777" w:rsidR="00AF354E" w:rsidRPr="00D503FA" w:rsidRDefault="00FA4278" w:rsidP="00AF354E">
            <w:pPr>
              <w:numPr>
                <w:ilvl w:val="0"/>
                <w:numId w:val="3"/>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Arts</w:t>
            </w:r>
          </w:p>
          <w:p w14:paraId="5127C382" w14:textId="4232822C" w:rsidR="00171D49" w:rsidRPr="00D503FA" w:rsidRDefault="00171D49" w:rsidP="00AF354E">
            <w:pPr>
              <w:spacing w:before="100" w:beforeAutospacing="1" w:after="100" w:afterAutospacing="1" w:line="240" w:lineRule="auto"/>
              <w:ind w:left="360"/>
              <w:rPr>
                <w:rFonts w:eastAsia="Times New Roman" w:cstheme="minorHAnsi"/>
                <w:sz w:val="24"/>
                <w:szCs w:val="24"/>
              </w:rPr>
            </w:pPr>
            <w:r w:rsidRPr="00D503FA">
              <w:rPr>
                <w:rFonts w:eastAsia="Times New Roman" w:cstheme="minorHAnsi"/>
                <w:i/>
                <w:iCs/>
                <w:sz w:val="24"/>
                <w:szCs w:val="24"/>
              </w:rPr>
              <w:t>(</w:t>
            </w:r>
            <w:proofErr w:type="gramStart"/>
            <w:r w:rsidRPr="00D503FA">
              <w:rPr>
                <w:rFonts w:eastAsia="Times New Roman" w:cstheme="minorHAnsi"/>
                <w:i/>
                <w:iCs/>
                <w:sz w:val="24"/>
                <w:szCs w:val="24"/>
              </w:rPr>
              <w:t>amended</w:t>
            </w:r>
            <w:proofErr w:type="gramEnd"/>
            <w:r w:rsidRPr="00D503FA">
              <w:rPr>
                <w:rFonts w:eastAsia="Times New Roman" w:cstheme="minorHAnsi"/>
                <w:i/>
                <w:iCs/>
                <w:sz w:val="24"/>
                <w:szCs w:val="24"/>
              </w:rPr>
              <w:t xml:space="preserve"> 22 April 2021)</w:t>
            </w:r>
          </w:p>
        </w:tc>
      </w:tr>
      <w:tr w:rsidR="00D503FA" w:rsidRPr="00D503FA" w14:paraId="2200B7C9" w14:textId="77777777" w:rsidTr="00B56931">
        <w:trPr>
          <w:tblCellSpacing w:w="15" w:type="dxa"/>
        </w:trPr>
        <w:tc>
          <w:tcPr>
            <w:tcW w:w="0" w:type="auto"/>
            <w:vAlign w:val="center"/>
            <w:hideMark/>
          </w:tcPr>
          <w:p w14:paraId="56053288"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4. Education and Community Inclusion</w:t>
            </w:r>
          </w:p>
        </w:tc>
        <w:tc>
          <w:tcPr>
            <w:tcW w:w="0" w:type="auto"/>
            <w:vAlign w:val="center"/>
            <w:hideMark/>
          </w:tcPr>
          <w:p w14:paraId="20707223"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Education and Lifelong Learning and Identity and Belonging</w:t>
            </w:r>
          </w:p>
        </w:tc>
        <w:tc>
          <w:tcPr>
            <w:tcW w:w="0" w:type="auto"/>
            <w:vAlign w:val="center"/>
            <w:hideMark/>
          </w:tcPr>
          <w:p w14:paraId="14D75D51"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Early childhood development</w:t>
            </w:r>
          </w:p>
          <w:p w14:paraId="2523B389"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Education</w:t>
            </w:r>
          </w:p>
          <w:p w14:paraId="65AB50B4"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Youth affairs</w:t>
            </w:r>
          </w:p>
          <w:p w14:paraId="78440398"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Skills</w:t>
            </w:r>
          </w:p>
          <w:p w14:paraId="644AE83C"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Aboriginal and Torres Strait Islander affairs</w:t>
            </w:r>
          </w:p>
          <w:p w14:paraId="28BC361E"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Multicultural affairs</w:t>
            </w:r>
          </w:p>
          <w:p w14:paraId="5774DB16"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Disability</w:t>
            </w:r>
          </w:p>
          <w:p w14:paraId="3905D20E"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Women (including the Office for Women)</w:t>
            </w:r>
          </w:p>
          <w:p w14:paraId="2F582E9D"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Seniors</w:t>
            </w:r>
          </w:p>
          <w:p w14:paraId="65011A78"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Veterans</w:t>
            </w:r>
          </w:p>
          <w:p w14:paraId="76615AD6"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LGBTIQ+</w:t>
            </w:r>
          </w:p>
          <w:p w14:paraId="0FE6BD81" w14:textId="77777777" w:rsidR="00FA4278" w:rsidRPr="00D503FA" w:rsidRDefault="00FA4278" w:rsidP="00FA4278">
            <w:pPr>
              <w:numPr>
                <w:ilvl w:val="0"/>
                <w:numId w:val="4"/>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Sport and recreation</w:t>
            </w:r>
          </w:p>
        </w:tc>
      </w:tr>
      <w:tr w:rsidR="00D503FA" w:rsidRPr="00D503FA" w14:paraId="680D3926" w14:textId="77777777" w:rsidTr="00B56931">
        <w:trPr>
          <w:tblCellSpacing w:w="15" w:type="dxa"/>
        </w:trPr>
        <w:tc>
          <w:tcPr>
            <w:tcW w:w="0" w:type="auto"/>
            <w:vAlign w:val="center"/>
            <w:hideMark/>
          </w:tcPr>
          <w:p w14:paraId="10975D29"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5. Justice and Community Safety</w:t>
            </w:r>
          </w:p>
        </w:tc>
        <w:tc>
          <w:tcPr>
            <w:tcW w:w="0" w:type="auto"/>
            <w:vAlign w:val="center"/>
            <w:hideMark/>
          </w:tcPr>
          <w:p w14:paraId="19DD97C8"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Safety and Governance and Institutions</w:t>
            </w:r>
          </w:p>
        </w:tc>
        <w:tc>
          <w:tcPr>
            <w:tcW w:w="0" w:type="auto"/>
            <w:vAlign w:val="center"/>
            <w:hideMark/>
          </w:tcPr>
          <w:p w14:paraId="65149BBC"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ACT Electoral Commission</w:t>
            </w:r>
          </w:p>
          <w:p w14:paraId="62A77175" w14:textId="198D1345"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ACT Integrity Commission</w:t>
            </w:r>
          </w:p>
          <w:p w14:paraId="45A9C66C" w14:textId="77777777" w:rsidR="0012199C" w:rsidRPr="00D503FA" w:rsidRDefault="0012199C"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ACT Ombudsman</w:t>
            </w:r>
          </w:p>
          <w:p w14:paraId="4CB88080"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Gaming</w:t>
            </w:r>
          </w:p>
          <w:p w14:paraId="5D269706"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Minister of State (Justice and Community Safety reporting areas)</w:t>
            </w:r>
          </w:p>
          <w:p w14:paraId="2C7CA9EE"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Emergency management and the Emergency Services Agency</w:t>
            </w:r>
          </w:p>
          <w:p w14:paraId="458FE6C1"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Policing and ACT Policing</w:t>
            </w:r>
          </w:p>
          <w:p w14:paraId="3C94450B"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Corrective services</w:t>
            </w:r>
          </w:p>
          <w:p w14:paraId="1F29830D"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Attorney-General</w:t>
            </w:r>
          </w:p>
          <w:p w14:paraId="16954B36"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Consumer affairs</w:t>
            </w:r>
          </w:p>
          <w:p w14:paraId="78732703"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Human rights</w:t>
            </w:r>
          </w:p>
          <w:p w14:paraId="74AC9A78"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Victims of crime</w:t>
            </w:r>
          </w:p>
          <w:p w14:paraId="1CAEDB84"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Access to justice and restorative practice</w:t>
            </w:r>
          </w:p>
          <w:p w14:paraId="7B281C69"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Public Trustee and Guardian</w:t>
            </w:r>
          </w:p>
          <w:p w14:paraId="5492E6C4" w14:textId="77777777" w:rsidR="00FA4278" w:rsidRPr="00D503FA" w:rsidRDefault="00FA4278" w:rsidP="0012199C">
            <w:pPr>
              <w:numPr>
                <w:ilvl w:val="0"/>
                <w:numId w:val="5"/>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Scrutiny of bills and subordinate legislation</w:t>
            </w:r>
          </w:p>
          <w:p w14:paraId="4CD6D098" w14:textId="2D044546" w:rsidR="00AA0C35" w:rsidRPr="00D503FA" w:rsidRDefault="00AA0C35" w:rsidP="00AA0C35">
            <w:pPr>
              <w:spacing w:before="100" w:beforeAutospacing="1" w:after="100" w:afterAutospacing="1" w:line="240" w:lineRule="auto"/>
              <w:ind w:left="360"/>
              <w:rPr>
                <w:rFonts w:eastAsia="Times New Roman" w:cstheme="minorHAnsi"/>
                <w:i/>
                <w:iCs/>
                <w:sz w:val="24"/>
                <w:szCs w:val="24"/>
              </w:rPr>
            </w:pPr>
            <w:r w:rsidRPr="00D503FA">
              <w:rPr>
                <w:rFonts w:eastAsia="Times New Roman" w:cstheme="minorHAnsi"/>
                <w:i/>
                <w:iCs/>
                <w:sz w:val="24"/>
                <w:szCs w:val="24"/>
              </w:rPr>
              <w:t>(</w:t>
            </w:r>
            <w:proofErr w:type="gramStart"/>
            <w:r w:rsidRPr="00D503FA">
              <w:rPr>
                <w:rFonts w:eastAsia="Times New Roman" w:cstheme="minorHAnsi"/>
                <w:i/>
                <w:iCs/>
                <w:sz w:val="24"/>
                <w:szCs w:val="24"/>
              </w:rPr>
              <w:t>amended</w:t>
            </w:r>
            <w:proofErr w:type="gramEnd"/>
            <w:r w:rsidRPr="00D503FA">
              <w:rPr>
                <w:rFonts w:eastAsia="Times New Roman" w:cstheme="minorHAnsi"/>
                <w:i/>
                <w:iCs/>
                <w:sz w:val="24"/>
                <w:szCs w:val="24"/>
              </w:rPr>
              <w:t xml:space="preserve"> 5 April 2022)</w:t>
            </w:r>
          </w:p>
        </w:tc>
      </w:tr>
      <w:tr w:rsidR="00D503FA" w:rsidRPr="00D503FA" w14:paraId="304F7458" w14:textId="77777777" w:rsidTr="00B56931">
        <w:trPr>
          <w:tblCellSpacing w:w="15" w:type="dxa"/>
        </w:trPr>
        <w:tc>
          <w:tcPr>
            <w:tcW w:w="0" w:type="auto"/>
            <w:vAlign w:val="center"/>
            <w:hideMark/>
          </w:tcPr>
          <w:p w14:paraId="5E565027"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6. Public Accounts</w:t>
            </w:r>
          </w:p>
        </w:tc>
        <w:tc>
          <w:tcPr>
            <w:tcW w:w="0" w:type="auto"/>
            <w:vAlign w:val="center"/>
            <w:hideMark/>
          </w:tcPr>
          <w:p w14:paraId="304DD0D8"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Governance and Institutions</w:t>
            </w:r>
          </w:p>
        </w:tc>
        <w:tc>
          <w:tcPr>
            <w:tcW w:w="0" w:type="auto"/>
            <w:vAlign w:val="center"/>
            <w:hideMark/>
          </w:tcPr>
          <w:p w14:paraId="3451BECB" w14:textId="77777777" w:rsidR="00FA4278" w:rsidRPr="00D503FA" w:rsidRDefault="00FA4278" w:rsidP="00FA4278">
            <w:pPr>
              <w:numPr>
                <w:ilvl w:val="0"/>
                <w:numId w:val="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ACT Auditor-General</w:t>
            </w:r>
          </w:p>
          <w:p w14:paraId="13EF9DCA" w14:textId="77777777" w:rsidR="00FA4278" w:rsidRPr="00D503FA" w:rsidRDefault="00FA4278" w:rsidP="00FA4278">
            <w:pPr>
              <w:numPr>
                <w:ilvl w:val="0"/>
                <w:numId w:val="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Office of the Legislative Assembly</w:t>
            </w:r>
          </w:p>
          <w:p w14:paraId="6A851364" w14:textId="77777777" w:rsidR="00FA4278" w:rsidRPr="00D503FA" w:rsidRDefault="00FA4278" w:rsidP="00FA4278">
            <w:pPr>
              <w:numPr>
                <w:ilvl w:val="0"/>
                <w:numId w:val="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Accounts of the receipts and expenditure of the ACT and its authorities</w:t>
            </w:r>
          </w:p>
          <w:p w14:paraId="0E45C856" w14:textId="77777777" w:rsidR="00FA4278" w:rsidRPr="00D503FA" w:rsidRDefault="00FA4278" w:rsidP="00FA4278">
            <w:pPr>
              <w:numPr>
                <w:ilvl w:val="0"/>
                <w:numId w:val="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All reports of the Auditor-General which have been presented to the Assembly</w:t>
            </w:r>
          </w:p>
          <w:p w14:paraId="52E0D2E6" w14:textId="77777777" w:rsidR="00AF354E" w:rsidRPr="00D503FA" w:rsidRDefault="00FA4278" w:rsidP="00FA4278">
            <w:pPr>
              <w:numPr>
                <w:ilvl w:val="0"/>
                <w:numId w:val="6"/>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Treasury including taxation and revenue</w:t>
            </w:r>
            <w:r w:rsidR="00171D49" w:rsidRPr="00D503FA">
              <w:rPr>
                <w:rFonts w:eastAsia="Times New Roman" w:cstheme="minorHAnsi"/>
                <w:sz w:val="24"/>
                <w:szCs w:val="24"/>
              </w:rPr>
              <w:t xml:space="preserve"> </w:t>
            </w:r>
          </w:p>
          <w:p w14:paraId="26233906" w14:textId="26C915F0" w:rsidR="00FA4278" w:rsidRPr="00D503FA" w:rsidRDefault="00171D49" w:rsidP="00AF354E">
            <w:pPr>
              <w:spacing w:before="100" w:beforeAutospacing="1" w:after="100" w:afterAutospacing="1" w:line="240" w:lineRule="auto"/>
              <w:ind w:left="360"/>
              <w:rPr>
                <w:rFonts w:eastAsia="Times New Roman" w:cstheme="minorHAnsi"/>
                <w:sz w:val="24"/>
                <w:szCs w:val="24"/>
              </w:rPr>
            </w:pPr>
            <w:r w:rsidRPr="00D503FA">
              <w:rPr>
                <w:rFonts w:eastAsia="Times New Roman" w:cstheme="minorHAnsi"/>
                <w:i/>
                <w:iCs/>
                <w:sz w:val="24"/>
                <w:szCs w:val="24"/>
              </w:rPr>
              <w:t>(</w:t>
            </w:r>
            <w:proofErr w:type="gramStart"/>
            <w:r w:rsidRPr="00D503FA">
              <w:rPr>
                <w:rFonts w:eastAsia="Times New Roman" w:cstheme="minorHAnsi"/>
                <w:i/>
                <w:iCs/>
                <w:sz w:val="24"/>
                <w:szCs w:val="24"/>
              </w:rPr>
              <w:t>amended</w:t>
            </w:r>
            <w:proofErr w:type="gramEnd"/>
            <w:r w:rsidRPr="00D503FA">
              <w:rPr>
                <w:rFonts w:eastAsia="Times New Roman" w:cstheme="minorHAnsi"/>
                <w:i/>
                <w:iCs/>
                <w:sz w:val="24"/>
                <w:szCs w:val="24"/>
              </w:rPr>
              <w:t xml:space="preserve"> 22 April 2021</w:t>
            </w:r>
            <w:r w:rsidR="00AF354E" w:rsidRPr="00D503FA">
              <w:rPr>
                <w:rFonts w:eastAsia="Times New Roman" w:cstheme="minorHAnsi"/>
                <w:i/>
                <w:iCs/>
                <w:sz w:val="24"/>
                <w:szCs w:val="24"/>
              </w:rPr>
              <w:t xml:space="preserve"> and 5</w:t>
            </w:r>
            <w:r w:rsidR="00AF354E" w:rsidRPr="00D503FA">
              <w:rPr>
                <w:rFonts w:eastAsia="Times New Roman" w:cstheme="minorHAnsi"/>
                <w:i/>
                <w:iCs/>
                <w:sz w:val="24"/>
                <w:szCs w:val="24"/>
                <w:lang w:val="en-US"/>
              </w:rPr>
              <w:t> </w:t>
            </w:r>
            <w:r w:rsidR="00AF354E" w:rsidRPr="00D503FA">
              <w:rPr>
                <w:rFonts w:eastAsia="Times New Roman" w:cstheme="minorHAnsi"/>
                <w:i/>
                <w:iCs/>
                <w:sz w:val="24"/>
                <w:szCs w:val="24"/>
              </w:rPr>
              <w:t>April</w:t>
            </w:r>
            <w:r w:rsidR="00AF354E" w:rsidRPr="00D503FA">
              <w:rPr>
                <w:rFonts w:eastAsia="Times New Roman" w:cstheme="minorHAnsi"/>
                <w:i/>
                <w:iCs/>
                <w:sz w:val="24"/>
                <w:szCs w:val="24"/>
                <w:lang w:val="en-US"/>
              </w:rPr>
              <w:t> </w:t>
            </w:r>
            <w:r w:rsidR="00AF354E" w:rsidRPr="00D503FA">
              <w:rPr>
                <w:rFonts w:eastAsia="Times New Roman" w:cstheme="minorHAnsi"/>
                <w:i/>
                <w:iCs/>
                <w:sz w:val="24"/>
                <w:szCs w:val="24"/>
              </w:rPr>
              <w:t>2022</w:t>
            </w:r>
            <w:r w:rsidRPr="00D503FA">
              <w:rPr>
                <w:rFonts w:eastAsia="Times New Roman" w:cstheme="minorHAnsi"/>
                <w:i/>
                <w:iCs/>
                <w:sz w:val="24"/>
                <w:szCs w:val="24"/>
              </w:rPr>
              <w:t>)</w:t>
            </w:r>
          </w:p>
        </w:tc>
      </w:tr>
      <w:tr w:rsidR="00FA4278" w:rsidRPr="00D503FA" w14:paraId="09F2EAE6" w14:textId="77777777" w:rsidTr="00B56931">
        <w:trPr>
          <w:tblCellSpacing w:w="15" w:type="dxa"/>
        </w:trPr>
        <w:tc>
          <w:tcPr>
            <w:tcW w:w="0" w:type="auto"/>
            <w:vAlign w:val="center"/>
            <w:hideMark/>
          </w:tcPr>
          <w:p w14:paraId="732F33A6"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7. Health and Community Wellbeing</w:t>
            </w:r>
          </w:p>
        </w:tc>
        <w:tc>
          <w:tcPr>
            <w:tcW w:w="0" w:type="auto"/>
            <w:vAlign w:val="center"/>
            <w:hideMark/>
          </w:tcPr>
          <w:p w14:paraId="74DD65C8" w14:textId="77777777" w:rsidR="00FA4278" w:rsidRPr="00D503FA" w:rsidRDefault="00FA4278" w:rsidP="00FA4278">
            <w:p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Health and Social Connection</w:t>
            </w:r>
          </w:p>
        </w:tc>
        <w:tc>
          <w:tcPr>
            <w:tcW w:w="0" w:type="auto"/>
            <w:vAlign w:val="center"/>
            <w:hideMark/>
          </w:tcPr>
          <w:p w14:paraId="6C969ADF"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Health and health system</w:t>
            </w:r>
          </w:p>
          <w:p w14:paraId="68C04888"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Justice health</w:t>
            </w:r>
          </w:p>
          <w:p w14:paraId="33AB7C6C"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Mental health</w:t>
            </w:r>
          </w:p>
          <w:p w14:paraId="54D10E1B"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Homelessness and housing services</w:t>
            </w:r>
          </w:p>
          <w:p w14:paraId="7316F799"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Prevention of domestic and family violence</w:t>
            </w:r>
          </w:p>
          <w:p w14:paraId="5325A7F6"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Families</w:t>
            </w:r>
          </w:p>
          <w:p w14:paraId="66A95A1D" w14:textId="77777777" w:rsidR="00FA4278" w:rsidRPr="00D503FA" w:rsidRDefault="00FA4278" w:rsidP="00FA4278">
            <w:pPr>
              <w:numPr>
                <w:ilvl w:val="0"/>
                <w:numId w:val="7"/>
              </w:numPr>
              <w:spacing w:before="100" w:beforeAutospacing="1" w:after="100" w:afterAutospacing="1" w:line="240" w:lineRule="auto"/>
              <w:rPr>
                <w:rFonts w:eastAsia="Times New Roman" w:cstheme="minorHAnsi"/>
                <w:sz w:val="24"/>
                <w:szCs w:val="24"/>
              </w:rPr>
            </w:pPr>
            <w:r w:rsidRPr="00D503FA">
              <w:rPr>
                <w:rFonts w:eastAsia="Times New Roman" w:cstheme="minorHAnsi"/>
                <w:sz w:val="24"/>
                <w:szCs w:val="24"/>
              </w:rPr>
              <w:t>Community services</w:t>
            </w:r>
          </w:p>
        </w:tc>
      </w:tr>
    </w:tbl>
    <w:p w14:paraId="52E85323" w14:textId="77777777" w:rsidR="00FA4278" w:rsidRPr="00D503FA" w:rsidRDefault="00FA4278">
      <w:pPr>
        <w:rPr>
          <w:rFonts w:cstheme="minorHAnsi"/>
          <w:sz w:val="24"/>
          <w:szCs w:val="24"/>
        </w:rPr>
      </w:pPr>
    </w:p>
    <w:sectPr w:rsidR="00FA4278" w:rsidRPr="00D50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32B3"/>
    <w:multiLevelType w:val="hybridMultilevel"/>
    <w:tmpl w:val="4A54CBA0"/>
    <w:lvl w:ilvl="0" w:tplc="B030C9C0">
      <w:start w:val="1"/>
      <w:numFmt w:val="lowerLetter"/>
      <w:lvlText w:val="(%1)"/>
      <w:lvlJc w:val="left"/>
      <w:pPr>
        <w:ind w:left="1305" w:hanging="360"/>
      </w:pPr>
      <w:rPr>
        <w:rFonts w:hint="default"/>
      </w:rPr>
    </w:lvl>
    <w:lvl w:ilvl="1" w:tplc="5A54D1B0">
      <w:start w:val="1"/>
      <w:numFmt w:val="lowerRoman"/>
      <w:lvlText w:val="(%2)"/>
      <w:lvlJc w:val="left"/>
      <w:pPr>
        <w:ind w:left="2385" w:hanging="720"/>
      </w:pPr>
      <w:rPr>
        <w:rFonts w:hint="default"/>
      </w:r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1" w15:restartNumberingAfterBreak="0">
    <w:nsid w:val="12DB0CDD"/>
    <w:multiLevelType w:val="hybridMultilevel"/>
    <w:tmpl w:val="372AA958"/>
    <w:lvl w:ilvl="0" w:tplc="6D1AE9F2">
      <w:start w:val="1"/>
      <w:numFmt w:val="lowerRoman"/>
      <w:lvlText w:val="(%1)"/>
      <w:lvlJc w:val="right"/>
      <w:pPr>
        <w:ind w:left="2160" w:hanging="360"/>
      </w:pPr>
      <w:rPr>
        <w:rFonts w:hint="default"/>
      </w:rPr>
    </w:lvl>
    <w:lvl w:ilvl="1" w:tplc="6D1AE9F2">
      <w:start w:val="1"/>
      <w:numFmt w:val="lowerRoman"/>
      <w:lvlText w:val="(%2)"/>
      <w:lvlJc w:val="righ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23441806"/>
    <w:multiLevelType w:val="hybridMultilevel"/>
    <w:tmpl w:val="372AA958"/>
    <w:lvl w:ilvl="0" w:tplc="6D1AE9F2">
      <w:start w:val="1"/>
      <w:numFmt w:val="lowerRoman"/>
      <w:lvlText w:val="(%1)"/>
      <w:lvlJc w:val="right"/>
      <w:pPr>
        <w:ind w:left="2160" w:hanging="360"/>
      </w:pPr>
      <w:rPr>
        <w:rFonts w:hint="default"/>
      </w:rPr>
    </w:lvl>
    <w:lvl w:ilvl="1" w:tplc="6D1AE9F2">
      <w:start w:val="1"/>
      <w:numFmt w:val="lowerRoman"/>
      <w:lvlText w:val="(%2)"/>
      <w:lvlJc w:val="right"/>
      <w:pPr>
        <w:ind w:left="2880" w:hanging="360"/>
      </w:pPr>
      <w:rPr>
        <w:rFonts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26C1627A"/>
    <w:multiLevelType w:val="hybridMultilevel"/>
    <w:tmpl w:val="C0BCA3C8"/>
    <w:lvl w:ilvl="0" w:tplc="D3D651AC">
      <w:start w:val="1"/>
      <w:numFmt w:val="decimal"/>
      <w:lvlText w:val="(%1)"/>
      <w:lvlJc w:val="left"/>
      <w:pPr>
        <w:ind w:left="815" w:hanging="590"/>
      </w:pPr>
      <w:rPr>
        <w:rFonts w:hint="default"/>
      </w:rPr>
    </w:lvl>
    <w:lvl w:ilvl="1" w:tplc="0C090019" w:tentative="1">
      <w:start w:val="1"/>
      <w:numFmt w:val="lowerLetter"/>
      <w:lvlText w:val="%2."/>
      <w:lvlJc w:val="left"/>
      <w:pPr>
        <w:ind w:left="1305" w:hanging="360"/>
      </w:pPr>
    </w:lvl>
    <w:lvl w:ilvl="2" w:tplc="0C09001B" w:tentative="1">
      <w:start w:val="1"/>
      <w:numFmt w:val="lowerRoman"/>
      <w:lvlText w:val="%3."/>
      <w:lvlJc w:val="right"/>
      <w:pPr>
        <w:ind w:left="2025" w:hanging="180"/>
      </w:pPr>
    </w:lvl>
    <w:lvl w:ilvl="3" w:tplc="0C09000F" w:tentative="1">
      <w:start w:val="1"/>
      <w:numFmt w:val="decimal"/>
      <w:lvlText w:val="%4."/>
      <w:lvlJc w:val="left"/>
      <w:pPr>
        <w:ind w:left="2745" w:hanging="360"/>
      </w:pPr>
    </w:lvl>
    <w:lvl w:ilvl="4" w:tplc="0C090019" w:tentative="1">
      <w:start w:val="1"/>
      <w:numFmt w:val="lowerLetter"/>
      <w:lvlText w:val="%5."/>
      <w:lvlJc w:val="left"/>
      <w:pPr>
        <w:ind w:left="3465" w:hanging="360"/>
      </w:pPr>
    </w:lvl>
    <w:lvl w:ilvl="5" w:tplc="0C09001B" w:tentative="1">
      <w:start w:val="1"/>
      <w:numFmt w:val="lowerRoman"/>
      <w:lvlText w:val="%6."/>
      <w:lvlJc w:val="right"/>
      <w:pPr>
        <w:ind w:left="4185" w:hanging="180"/>
      </w:pPr>
    </w:lvl>
    <w:lvl w:ilvl="6" w:tplc="0C09000F" w:tentative="1">
      <w:start w:val="1"/>
      <w:numFmt w:val="decimal"/>
      <w:lvlText w:val="%7."/>
      <w:lvlJc w:val="left"/>
      <w:pPr>
        <w:ind w:left="4905" w:hanging="360"/>
      </w:pPr>
    </w:lvl>
    <w:lvl w:ilvl="7" w:tplc="0C090019" w:tentative="1">
      <w:start w:val="1"/>
      <w:numFmt w:val="lowerLetter"/>
      <w:lvlText w:val="%8."/>
      <w:lvlJc w:val="left"/>
      <w:pPr>
        <w:ind w:left="5625" w:hanging="360"/>
      </w:pPr>
    </w:lvl>
    <w:lvl w:ilvl="8" w:tplc="0C09001B" w:tentative="1">
      <w:start w:val="1"/>
      <w:numFmt w:val="lowerRoman"/>
      <w:lvlText w:val="%9."/>
      <w:lvlJc w:val="right"/>
      <w:pPr>
        <w:ind w:left="6345" w:hanging="180"/>
      </w:pPr>
    </w:lvl>
  </w:abstractNum>
  <w:abstractNum w:abstractNumId="4" w15:restartNumberingAfterBreak="0">
    <w:nsid w:val="2B367AC0"/>
    <w:multiLevelType w:val="multilevel"/>
    <w:tmpl w:val="E44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319F"/>
    <w:multiLevelType w:val="hybridMultilevel"/>
    <w:tmpl w:val="D26C14BC"/>
    <w:lvl w:ilvl="0" w:tplc="B030C9C0">
      <w:start w:val="1"/>
      <w:numFmt w:val="lowerLetter"/>
      <w:lvlText w:val="(%1)"/>
      <w:lvlJc w:val="left"/>
      <w:pPr>
        <w:ind w:left="1620" w:hanging="360"/>
      </w:pPr>
      <w:rPr>
        <w:rFonts w:hint="default"/>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6" w15:restartNumberingAfterBreak="0">
    <w:nsid w:val="38C81682"/>
    <w:multiLevelType w:val="hybridMultilevel"/>
    <w:tmpl w:val="491412A0"/>
    <w:lvl w:ilvl="0" w:tplc="B030C9C0">
      <w:start w:val="1"/>
      <w:numFmt w:val="lowerLetter"/>
      <w:lvlText w:val="(%1)"/>
      <w:lvlJc w:val="left"/>
      <w:pPr>
        <w:ind w:left="1620" w:hanging="360"/>
      </w:pPr>
      <w:rPr>
        <w:rFonts w:hint="default"/>
      </w:rPr>
    </w:lvl>
    <w:lvl w:ilvl="1" w:tplc="0C090019">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abstractNum w:abstractNumId="7" w15:restartNumberingAfterBreak="0">
    <w:nsid w:val="3F880C80"/>
    <w:multiLevelType w:val="multilevel"/>
    <w:tmpl w:val="6212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87CC4"/>
    <w:multiLevelType w:val="multilevel"/>
    <w:tmpl w:val="8E2A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E61C9"/>
    <w:multiLevelType w:val="hybridMultilevel"/>
    <w:tmpl w:val="333E32D2"/>
    <w:lvl w:ilvl="0" w:tplc="6D1AE9F2">
      <w:start w:val="1"/>
      <w:numFmt w:val="lowerRoman"/>
      <w:lvlText w:val="(%1)"/>
      <w:lvlJc w:val="righ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53470E21"/>
    <w:multiLevelType w:val="multilevel"/>
    <w:tmpl w:val="760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432A1"/>
    <w:multiLevelType w:val="multilevel"/>
    <w:tmpl w:val="FDF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924C9"/>
    <w:multiLevelType w:val="hybridMultilevel"/>
    <w:tmpl w:val="FD88082E"/>
    <w:lvl w:ilvl="0" w:tplc="B030C9C0">
      <w:start w:val="1"/>
      <w:numFmt w:val="lowerLetter"/>
      <w:lvlText w:val="(%1)"/>
      <w:lvlJc w:val="left"/>
      <w:pPr>
        <w:ind w:left="1305" w:hanging="360"/>
      </w:pPr>
      <w:rPr>
        <w:rFonts w:hint="default"/>
      </w:rPr>
    </w:lvl>
    <w:lvl w:ilvl="1" w:tplc="B030C9C0">
      <w:start w:val="1"/>
      <w:numFmt w:val="lowerLetter"/>
      <w:lvlText w:val="(%2)"/>
      <w:lvlJc w:val="left"/>
      <w:pPr>
        <w:ind w:left="2025" w:hanging="360"/>
      </w:pPr>
      <w:rPr>
        <w:rFonts w:hint="default"/>
      </w:r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13" w15:restartNumberingAfterBreak="0">
    <w:nsid w:val="62C01D49"/>
    <w:multiLevelType w:val="multilevel"/>
    <w:tmpl w:val="7798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45DBE"/>
    <w:multiLevelType w:val="multilevel"/>
    <w:tmpl w:val="FCA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77F08"/>
    <w:multiLevelType w:val="hybridMultilevel"/>
    <w:tmpl w:val="9BA6A43E"/>
    <w:lvl w:ilvl="0" w:tplc="93967A98">
      <w:start w:val="1"/>
      <w:numFmt w:val="decimal"/>
      <w:lvlText w:val="(%1)"/>
      <w:lvlJc w:val="left"/>
      <w:pPr>
        <w:ind w:left="945" w:hanging="360"/>
      </w:pPr>
      <w:rPr>
        <w:rFonts w:hint="default"/>
      </w:rPr>
    </w:lvl>
    <w:lvl w:ilvl="1" w:tplc="8304C28C">
      <w:start w:val="1"/>
      <w:numFmt w:val="lowerLetter"/>
      <w:lvlText w:val="(%2)"/>
      <w:lvlJc w:val="left"/>
      <w:pPr>
        <w:ind w:left="1945" w:hanging="640"/>
      </w:pPr>
      <w:rPr>
        <w:rFonts w:hint="default"/>
      </w:rPr>
    </w:lvl>
    <w:lvl w:ilvl="2" w:tplc="0C09001B" w:tentative="1">
      <w:start w:val="1"/>
      <w:numFmt w:val="lowerRoman"/>
      <w:lvlText w:val="%3."/>
      <w:lvlJc w:val="right"/>
      <w:pPr>
        <w:ind w:left="2385" w:hanging="180"/>
      </w:pPr>
    </w:lvl>
    <w:lvl w:ilvl="3" w:tplc="0C09000F" w:tentative="1">
      <w:start w:val="1"/>
      <w:numFmt w:val="decimal"/>
      <w:lvlText w:val="%4."/>
      <w:lvlJc w:val="left"/>
      <w:pPr>
        <w:ind w:left="3105" w:hanging="360"/>
      </w:pPr>
    </w:lvl>
    <w:lvl w:ilvl="4" w:tplc="0C090019" w:tentative="1">
      <w:start w:val="1"/>
      <w:numFmt w:val="lowerLetter"/>
      <w:lvlText w:val="%5."/>
      <w:lvlJc w:val="left"/>
      <w:pPr>
        <w:ind w:left="3825" w:hanging="360"/>
      </w:pPr>
    </w:lvl>
    <w:lvl w:ilvl="5" w:tplc="0C09001B" w:tentative="1">
      <w:start w:val="1"/>
      <w:numFmt w:val="lowerRoman"/>
      <w:lvlText w:val="%6."/>
      <w:lvlJc w:val="right"/>
      <w:pPr>
        <w:ind w:left="4545" w:hanging="180"/>
      </w:pPr>
    </w:lvl>
    <w:lvl w:ilvl="6" w:tplc="0C09000F" w:tentative="1">
      <w:start w:val="1"/>
      <w:numFmt w:val="decimal"/>
      <w:lvlText w:val="%7."/>
      <w:lvlJc w:val="left"/>
      <w:pPr>
        <w:ind w:left="5265" w:hanging="360"/>
      </w:pPr>
    </w:lvl>
    <w:lvl w:ilvl="7" w:tplc="0C090019" w:tentative="1">
      <w:start w:val="1"/>
      <w:numFmt w:val="lowerLetter"/>
      <w:lvlText w:val="%8."/>
      <w:lvlJc w:val="left"/>
      <w:pPr>
        <w:ind w:left="5985" w:hanging="360"/>
      </w:pPr>
    </w:lvl>
    <w:lvl w:ilvl="8" w:tplc="0C09001B" w:tentative="1">
      <w:start w:val="1"/>
      <w:numFmt w:val="lowerRoman"/>
      <w:lvlText w:val="%9."/>
      <w:lvlJc w:val="right"/>
      <w:pPr>
        <w:ind w:left="6705" w:hanging="180"/>
      </w:pPr>
    </w:lvl>
  </w:abstractNum>
  <w:abstractNum w:abstractNumId="16" w15:restartNumberingAfterBreak="0">
    <w:nsid w:val="7F676CBB"/>
    <w:multiLevelType w:val="hybridMultilevel"/>
    <w:tmpl w:val="68423A06"/>
    <w:lvl w:ilvl="0" w:tplc="B030C9C0">
      <w:start w:val="1"/>
      <w:numFmt w:val="lowerLetter"/>
      <w:lvlText w:val="(%1)"/>
      <w:lvlJc w:val="left"/>
      <w:pPr>
        <w:ind w:left="2019" w:hanging="360"/>
      </w:pPr>
      <w:rPr>
        <w:rFonts w:hint="default"/>
      </w:rPr>
    </w:lvl>
    <w:lvl w:ilvl="1" w:tplc="0C090019" w:tentative="1">
      <w:start w:val="1"/>
      <w:numFmt w:val="lowerLetter"/>
      <w:lvlText w:val="%2."/>
      <w:lvlJc w:val="left"/>
      <w:pPr>
        <w:ind w:left="2739" w:hanging="360"/>
      </w:pPr>
    </w:lvl>
    <w:lvl w:ilvl="2" w:tplc="0C09001B" w:tentative="1">
      <w:start w:val="1"/>
      <w:numFmt w:val="lowerRoman"/>
      <w:lvlText w:val="%3."/>
      <w:lvlJc w:val="right"/>
      <w:pPr>
        <w:ind w:left="3459" w:hanging="180"/>
      </w:pPr>
    </w:lvl>
    <w:lvl w:ilvl="3" w:tplc="0C09000F" w:tentative="1">
      <w:start w:val="1"/>
      <w:numFmt w:val="decimal"/>
      <w:lvlText w:val="%4."/>
      <w:lvlJc w:val="left"/>
      <w:pPr>
        <w:ind w:left="4179" w:hanging="360"/>
      </w:pPr>
    </w:lvl>
    <w:lvl w:ilvl="4" w:tplc="0C090019" w:tentative="1">
      <w:start w:val="1"/>
      <w:numFmt w:val="lowerLetter"/>
      <w:lvlText w:val="%5."/>
      <w:lvlJc w:val="left"/>
      <w:pPr>
        <w:ind w:left="4899" w:hanging="360"/>
      </w:pPr>
    </w:lvl>
    <w:lvl w:ilvl="5" w:tplc="0C09001B" w:tentative="1">
      <w:start w:val="1"/>
      <w:numFmt w:val="lowerRoman"/>
      <w:lvlText w:val="%6."/>
      <w:lvlJc w:val="right"/>
      <w:pPr>
        <w:ind w:left="5619" w:hanging="180"/>
      </w:pPr>
    </w:lvl>
    <w:lvl w:ilvl="6" w:tplc="0C09000F" w:tentative="1">
      <w:start w:val="1"/>
      <w:numFmt w:val="decimal"/>
      <w:lvlText w:val="%7."/>
      <w:lvlJc w:val="left"/>
      <w:pPr>
        <w:ind w:left="6339" w:hanging="360"/>
      </w:pPr>
    </w:lvl>
    <w:lvl w:ilvl="7" w:tplc="0C090019" w:tentative="1">
      <w:start w:val="1"/>
      <w:numFmt w:val="lowerLetter"/>
      <w:lvlText w:val="%8."/>
      <w:lvlJc w:val="left"/>
      <w:pPr>
        <w:ind w:left="7059" w:hanging="360"/>
      </w:pPr>
    </w:lvl>
    <w:lvl w:ilvl="8" w:tplc="0C09001B" w:tentative="1">
      <w:start w:val="1"/>
      <w:numFmt w:val="lowerRoman"/>
      <w:lvlText w:val="%9."/>
      <w:lvlJc w:val="right"/>
      <w:pPr>
        <w:ind w:left="7779" w:hanging="180"/>
      </w:pPr>
    </w:lvl>
  </w:abstractNum>
  <w:num w:numId="1" w16cid:durableId="2023317722">
    <w:abstractNumId w:val="11"/>
  </w:num>
  <w:num w:numId="2" w16cid:durableId="196552471">
    <w:abstractNumId w:val="7"/>
  </w:num>
  <w:num w:numId="3" w16cid:durableId="197163733">
    <w:abstractNumId w:val="14"/>
  </w:num>
  <w:num w:numId="4" w16cid:durableId="923147186">
    <w:abstractNumId w:val="13"/>
  </w:num>
  <w:num w:numId="5" w16cid:durableId="867183315">
    <w:abstractNumId w:val="8"/>
  </w:num>
  <w:num w:numId="6" w16cid:durableId="1389648420">
    <w:abstractNumId w:val="4"/>
  </w:num>
  <w:num w:numId="7" w16cid:durableId="1515267038">
    <w:abstractNumId w:val="10"/>
  </w:num>
  <w:num w:numId="8" w16cid:durableId="926186341">
    <w:abstractNumId w:val="15"/>
  </w:num>
  <w:num w:numId="9" w16cid:durableId="493880234">
    <w:abstractNumId w:val="3"/>
  </w:num>
  <w:num w:numId="10" w16cid:durableId="1392001249">
    <w:abstractNumId w:val="5"/>
  </w:num>
  <w:num w:numId="11" w16cid:durableId="2133278587">
    <w:abstractNumId w:val="12"/>
  </w:num>
  <w:num w:numId="12" w16cid:durableId="1502427643">
    <w:abstractNumId w:val="6"/>
  </w:num>
  <w:num w:numId="13" w16cid:durableId="248195898">
    <w:abstractNumId w:val="0"/>
  </w:num>
  <w:num w:numId="14" w16cid:durableId="1096171648">
    <w:abstractNumId w:val="16"/>
  </w:num>
  <w:num w:numId="15" w16cid:durableId="109592300">
    <w:abstractNumId w:val="9"/>
  </w:num>
  <w:num w:numId="16" w16cid:durableId="730226923">
    <w:abstractNumId w:val="1"/>
  </w:num>
  <w:num w:numId="17" w16cid:durableId="115580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78"/>
    <w:rsid w:val="0012199C"/>
    <w:rsid w:val="00171D49"/>
    <w:rsid w:val="001A43FE"/>
    <w:rsid w:val="00261CBB"/>
    <w:rsid w:val="0031701A"/>
    <w:rsid w:val="003359CE"/>
    <w:rsid w:val="00340D9E"/>
    <w:rsid w:val="003B25D0"/>
    <w:rsid w:val="003B514E"/>
    <w:rsid w:val="004C1FF6"/>
    <w:rsid w:val="004D7BB9"/>
    <w:rsid w:val="00543956"/>
    <w:rsid w:val="005642BB"/>
    <w:rsid w:val="00576574"/>
    <w:rsid w:val="00614147"/>
    <w:rsid w:val="0065308A"/>
    <w:rsid w:val="00694622"/>
    <w:rsid w:val="006B1B93"/>
    <w:rsid w:val="00710B5B"/>
    <w:rsid w:val="007159F5"/>
    <w:rsid w:val="007457EA"/>
    <w:rsid w:val="007C5CDE"/>
    <w:rsid w:val="00926DA9"/>
    <w:rsid w:val="009301B2"/>
    <w:rsid w:val="009471F6"/>
    <w:rsid w:val="009A602F"/>
    <w:rsid w:val="009C4FCC"/>
    <w:rsid w:val="009E2586"/>
    <w:rsid w:val="00A97F7D"/>
    <w:rsid w:val="00AA0C35"/>
    <w:rsid w:val="00AB3974"/>
    <w:rsid w:val="00AF354E"/>
    <w:rsid w:val="00B21D9B"/>
    <w:rsid w:val="00B56931"/>
    <w:rsid w:val="00B71C38"/>
    <w:rsid w:val="00B73F79"/>
    <w:rsid w:val="00BD7558"/>
    <w:rsid w:val="00BF20F8"/>
    <w:rsid w:val="00C03303"/>
    <w:rsid w:val="00C37C43"/>
    <w:rsid w:val="00CF4EDE"/>
    <w:rsid w:val="00D503FA"/>
    <w:rsid w:val="00D8421E"/>
    <w:rsid w:val="00DE7C20"/>
    <w:rsid w:val="00E11885"/>
    <w:rsid w:val="00F937C8"/>
    <w:rsid w:val="00FA4278"/>
    <w:rsid w:val="00FE26A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7624"/>
  <w15:chartTrackingRefBased/>
  <w15:docId w15:val="{1121E2C3-B765-43D2-B51B-F1542078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278"/>
    <w:rPr>
      <w:b/>
      <w:bCs/>
    </w:rPr>
  </w:style>
  <w:style w:type="paragraph" w:styleId="ListParagraph">
    <w:name w:val="List Paragraph"/>
    <w:basedOn w:val="Normal"/>
    <w:uiPriority w:val="34"/>
    <w:qFormat/>
    <w:rsid w:val="00340D9E"/>
    <w:pPr>
      <w:ind w:left="720"/>
      <w:contextualSpacing/>
    </w:pPr>
  </w:style>
  <w:style w:type="character" w:styleId="Hyperlink">
    <w:name w:val="Hyperlink"/>
    <w:basedOn w:val="DefaultParagraphFont"/>
    <w:uiPriority w:val="99"/>
    <w:unhideWhenUsed/>
    <w:rsid w:val="009E2586"/>
    <w:rPr>
      <w:color w:val="0563C1" w:themeColor="hyperlink"/>
      <w:u w:val="single"/>
    </w:rPr>
  </w:style>
  <w:style w:type="character" w:styleId="UnresolvedMention">
    <w:name w:val="Unresolved Mention"/>
    <w:basedOn w:val="DefaultParagraphFont"/>
    <w:uiPriority w:val="99"/>
    <w:semiHidden/>
    <w:unhideWhenUsed/>
    <w:rsid w:val="009E2586"/>
    <w:rPr>
      <w:color w:val="605E5C"/>
      <w:shd w:val="clear" w:color="auto" w:fill="E1DFDD"/>
    </w:rPr>
  </w:style>
  <w:style w:type="character" w:styleId="FollowedHyperlink">
    <w:name w:val="FollowedHyperlink"/>
    <w:basedOn w:val="DefaultParagraphFont"/>
    <w:uiPriority w:val="99"/>
    <w:semiHidden/>
    <w:unhideWhenUsed/>
    <w:rsid w:val="00745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89712">
      <w:bodyDiv w:val="1"/>
      <w:marLeft w:val="0"/>
      <w:marRight w:val="0"/>
      <w:marTop w:val="0"/>
      <w:marBottom w:val="0"/>
      <w:divBdr>
        <w:top w:val="none" w:sz="0" w:space="0" w:color="auto"/>
        <w:left w:val="none" w:sz="0" w:space="0" w:color="auto"/>
        <w:bottom w:val="none" w:sz="0" w:space="0" w:color="auto"/>
        <w:right w:val="none" w:sz="0" w:space="0" w:color="auto"/>
      </w:divBdr>
      <w:divsChild>
        <w:div w:id="194276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act.gov.au/__data/assets/pdf_file/0005/1924205/Resolution-amendment-2021-04-22.pdf" TargetMode="External"/><Relationship Id="rId13" Type="http://schemas.openxmlformats.org/officeDocument/2006/relationships/hyperlink" Target="https://www.parliament.act.gov.au/__data/assets/pdf_file/0005/2055830/8.-Resolution-amendment-on-4-August-2022.pdf" TargetMode="External"/><Relationship Id="rId3" Type="http://schemas.openxmlformats.org/officeDocument/2006/relationships/styles" Target="styles.xml"/><Relationship Id="rId7" Type="http://schemas.openxmlformats.org/officeDocument/2006/relationships/hyperlink" Target="https://www.parliament.act.gov.au/__data/assets/pdf_file/0007/1924207/Resolution-amendment-2021-03-30.pdf" TargetMode="External"/><Relationship Id="rId12" Type="http://schemas.openxmlformats.org/officeDocument/2006/relationships/hyperlink" Target="https://www.parliament.act.gov.au/__data/assets/pdf_file/0004/1980841/7.-Resolution-amendment-on-5-April-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rliament.act.gov.au/__data/assets/pdf_file/0020/1924211/Resolution-amendment-2021-02-11.pdf" TargetMode="External"/><Relationship Id="rId11" Type="http://schemas.openxmlformats.org/officeDocument/2006/relationships/hyperlink" Target="https://www.parliament.act.gov.au/__data/assets/pdf_file/0010/1947790/6.-Resolution-amendment-on-10-February-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liament.act.gov.au/__data/assets/pdf_file/0007/1924198/Resolution-amendment-2021-11-09.pdf" TargetMode="External"/><Relationship Id="rId4" Type="http://schemas.openxmlformats.org/officeDocument/2006/relationships/settings" Target="settings.xml"/><Relationship Id="rId9" Type="http://schemas.openxmlformats.org/officeDocument/2006/relationships/hyperlink" Target="https://www.parliament.act.gov.au/__data/assets/pdf_file/0003/1924203/Resolution-amendment-2021-09-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02A9-086D-4B0A-B49A-3B90BE68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Lydia</dc:creator>
  <cp:keywords/>
  <dc:description/>
  <cp:lastModifiedBy>Chung, Lydia</cp:lastModifiedBy>
  <cp:revision>15</cp:revision>
  <dcterms:created xsi:type="dcterms:W3CDTF">2022-04-05T23:46:00Z</dcterms:created>
  <dcterms:modified xsi:type="dcterms:W3CDTF">2022-10-11T00:51:00Z</dcterms:modified>
</cp:coreProperties>
</file>