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3A71C5">
        <w:t>6</w:t>
      </w:r>
    </w:p>
    <w:p w:rsidR="00D4210F" w:rsidRPr="00104A8B" w:rsidRDefault="003A71C5" w:rsidP="003D000F">
      <w:pPr>
        <w:spacing w:before="1800" w:after="240"/>
        <w:jc w:val="right"/>
        <w:rPr>
          <w:sz w:val="24"/>
          <w:szCs w:val="24"/>
        </w:rPr>
      </w:pPr>
      <w:r>
        <w:rPr>
          <w:sz w:val="24"/>
          <w:szCs w:val="24"/>
        </w:rPr>
        <w:t>15 JUNE</w:t>
      </w:r>
      <w:r w:rsidR="00107EEA">
        <w:rPr>
          <w:sz w:val="24"/>
          <w:szCs w:val="24"/>
        </w:rPr>
        <w:t xml:space="preserve"> 2021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74301929"/>
      <w:bookmarkStart w:id="85" w:name="_Toc500938169"/>
      <w:bookmarkStart w:id="86" w:name="_Toc500947017"/>
      <w:bookmarkStart w:id="87" w:name="_Toc501547026"/>
      <w:bookmarkStart w:id="88" w:name="_Toc501547381"/>
      <w:bookmarkStart w:id="89" w:name="_Toc505005665"/>
      <w:bookmarkStart w:id="90" w:name="_Toc505153756"/>
      <w:bookmarkStart w:id="91" w:name="_Toc508283424"/>
      <w:bookmarkStart w:id="92" w:name="_Toc510081780"/>
      <w:bookmarkStart w:id="93" w:name="_Toc511812217"/>
      <w:bookmarkStart w:id="94" w:name="_Toc512240155"/>
      <w:bookmarkStart w:id="95" w:name="_Toc513192152"/>
      <w:bookmarkStart w:id="96"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B0846" w:rsidRPr="00104A8B" w:rsidRDefault="000B0846" w:rsidP="002A185D">
      <w:pPr>
        <w:pStyle w:val="Heading3"/>
        <w:rPr>
          <w:rFonts w:asciiTheme="minorHAnsi" w:hAnsiTheme="minorHAnsi"/>
        </w:rPr>
      </w:pPr>
      <w:bookmarkStart w:id="97" w:name="_Toc514837959"/>
      <w:bookmarkStart w:id="98" w:name="_Toc514943593"/>
      <w:bookmarkStart w:id="99" w:name="_Toc515352036"/>
      <w:bookmarkStart w:id="100" w:name="_Toc518297245"/>
      <w:bookmarkStart w:id="101" w:name="_Toc519069303"/>
      <w:bookmarkStart w:id="102" w:name="_Toc519069364"/>
      <w:bookmarkStart w:id="103" w:name="_Toc519520731"/>
      <w:bookmarkStart w:id="104" w:name="_Toc520188710"/>
      <w:bookmarkStart w:id="105" w:name="_Toc521054227"/>
      <w:bookmarkStart w:id="106" w:name="_Toc521054314"/>
      <w:bookmarkStart w:id="107" w:name="_Toc521054386"/>
      <w:bookmarkStart w:id="108" w:name="_Toc523753609"/>
      <w:bookmarkStart w:id="109" w:name="_Toc523814158"/>
      <w:bookmarkStart w:id="110" w:name="_Toc523900449"/>
      <w:bookmarkStart w:id="111" w:name="_Toc526855810"/>
      <w:bookmarkStart w:id="112" w:name="_Toc528155836"/>
      <w:bookmarkStart w:id="113" w:name="_Toc528157195"/>
      <w:bookmarkStart w:id="114" w:name="_Toc528310848"/>
      <w:bookmarkStart w:id="115" w:name="_Toc529974527"/>
      <w:bookmarkStart w:id="116" w:name="_Toc530039422"/>
      <w:bookmarkStart w:id="117" w:name="_Toc536527670"/>
      <w:bookmarkStart w:id="118" w:name="_Toc536527833"/>
      <w:bookmarkStart w:id="119" w:name="_Toc536615371"/>
      <w:bookmarkStart w:id="120" w:name="_Toc172149"/>
      <w:bookmarkStart w:id="121" w:name="_Toc506074"/>
      <w:bookmarkStart w:id="122" w:name="_Toc945918"/>
      <w:bookmarkStart w:id="123" w:name="_Toc965808"/>
      <w:bookmarkStart w:id="124" w:name="_Toc2839572"/>
      <w:bookmarkStart w:id="125" w:name="_Toc2850232"/>
      <w:bookmarkStart w:id="126" w:name="_Toc3271209"/>
      <w:bookmarkStart w:id="127" w:name="_Toc4588270"/>
      <w:bookmarkStart w:id="128" w:name="_Toc4652916"/>
      <w:bookmarkStart w:id="129" w:name="_Toc5003658"/>
      <w:bookmarkStart w:id="130" w:name="_Toc6211031"/>
      <w:bookmarkStart w:id="131" w:name="_Toc9499989"/>
      <w:bookmarkStart w:id="132" w:name="_Toc14266111"/>
      <w:bookmarkStart w:id="133" w:name="_Toc14334600"/>
      <w:bookmarkStart w:id="134" w:name="_Toc14775950"/>
      <w:bookmarkStart w:id="135" w:name="_Toc15285028"/>
      <w:bookmarkStart w:id="136" w:name="_Toc15630648"/>
      <w:bookmarkStart w:id="137" w:name="_Toc18415320"/>
      <w:bookmarkStart w:id="138" w:name="_Toc18487688"/>
      <w:bookmarkStart w:id="139" w:name="_Toc19708391"/>
      <w:bookmarkStart w:id="140" w:name="_Toc20131680"/>
      <w:bookmarkStart w:id="141" w:name="_Toc21595438"/>
      <w:bookmarkStart w:id="142" w:name="_Toc22025439"/>
      <w:bookmarkStart w:id="143" w:name="_Toc24463702"/>
      <w:bookmarkStart w:id="144" w:name="_Toc24617699"/>
      <w:bookmarkStart w:id="145" w:name="_Toc25050771"/>
      <w:bookmarkStart w:id="146" w:name="_Toc31202135"/>
      <w:bookmarkStart w:id="147" w:name="_Toc31202256"/>
      <w:bookmarkStart w:id="148" w:name="_Toc32390196"/>
      <w:bookmarkStart w:id="149" w:name="_Toc32566837"/>
      <w:bookmarkStart w:id="150" w:name="_Toc35437927"/>
      <w:bookmarkStart w:id="151" w:name="_Toc38270537"/>
      <w:bookmarkStart w:id="152" w:name="_Toc38362388"/>
      <w:bookmarkStart w:id="153" w:name="_Toc38441869"/>
      <w:bookmarkStart w:id="154" w:name="_Toc38442376"/>
      <w:bookmarkStart w:id="155" w:name="_Toc38976314"/>
      <w:bookmarkStart w:id="156" w:name="_Toc40693085"/>
      <w:bookmarkStart w:id="157" w:name="_Toc40693226"/>
      <w:bookmarkStart w:id="158" w:name="_Toc41570912"/>
      <w:bookmarkStart w:id="159" w:name="_Toc42874994"/>
      <w:bookmarkStart w:id="160" w:name="_Toc44074211"/>
      <w:bookmarkStart w:id="161" w:name="_Toc44317222"/>
      <w:bookmarkStart w:id="162" w:name="_Toc44323925"/>
      <w:bookmarkStart w:id="163" w:name="_Toc74301930"/>
      <w:r w:rsidRPr="00104A8B">
        <w:rPr>
          <w:rFonts w:asciiTheme="minorHAnsi" w:hAnsiTheme="minorHAnsi"/>
        </w:rPr>
        <w:t>C</w:t>
      </w:r>
      <w:r w:rsidR="00474136" w:rsidRPr="00104A8B">
        <w:rPr>
          <w:rFonts w:asciiTheme="minorHAnsi" w:hAnsiTheme="minorHAnsi"/>
        </w:rPr>
        <w:t>ommittee Membership</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4" w:name="_Toc500938170"/>
      <w:bookmarkStart w:id="165" w:name="_Toc500947018"/>
      <w:bookmarkStart w:id="166" w:name="_Toc501547027"/>
      <w:bookmarkStart w:id="167" w:name="_Toc501547382"/>
      <w:bookmarkStart w:id="168" w:name="_Toc505005666"/>
      <w:bookmarkStart w:id="169" w:name="_Toc505153757"/>
      <w:bookmarkStart w:id="170" w:name="_Toc508283425"/>
      <w:bookmarkStart w:id="171" w:name="_Toc510081781"/>
      <w:bookmarkStart w:id="172" w:name="_Toc511812218"/>
      <w:bookmarkStart w:id="173" w:name="_Toc512240156"/>
      <w:bookmarkStart w:id="174" w:name="_Toc513192153"/>
      <w:bookmarkStart w:id="175" w:name="_Toc514832415"/>
      <w:bookmarkStart w:id="176" w:name="_Toc514837960"/>
      <w:bookmarkStart w:id="177" w:name="_Toc514943594"/>
      <w:bookmarkStart w:id="178" w:name="_Toc515352037"/>
      <w:bookmarkStart w:id="179" w:name="_Toc518297246"/>
      <w:bookmarkStart w:id="180" w:name="_Toc519069304"/>
      <w:bookmarkStart w:id="181" w:name="_Toc519069365"/>
      <w:bookmarkStart w:id="182" w:name="_Toc519520732"/>
      <w:bookmarkStart w:id="183" w:name="_Toc520188711"/>
      <w:bookmarkStart w:id="184" w:name="_Toc521054228"/>
      <w:bookmarkStart w:id="185" w:name="_Toc521054315"/>
      <w:bookmarkStart w:id="186" w:name="_Toc521054387"/>
      <w:bookmarkStart w:id="187" w:name="_Toc523753610"/>
      <w:bookmarkStart w:id="188" w:name="_Toc523814159"/>
      <w:bookmarkStart w:id="189" w:name="_Toc523900450"/>
      <w:bookmarkStart w:id="190" w:name="_Toc526855811"/>
      <w:bookmarkStart w:id="191" w:name="_Toc528155837"/>
      <w:bookmarkStart w:id="192" w:name="_Toc528157196"/>
      <w:bookmarkStart w:id="193" w:name="_Toc528310849"/>
      <w:bookmarkStart w:id="194" w:name="_Toc529974528"/>
      <w:bookmarkStart w:id="195" w:name="_Toc530039423"/>
      <w:bookmarkStart w:id="196" w:name="_Toc536527671"/>
      <w:bookmarkStart w:id="197" w:name="_Toc536527834"/>
      <w:bookmarkStart w:id="198" w:name="_Toc536615372"/>
      <w:bookmarkStart w:id="199" w:name="_Toc172150"/>
      <w:bookmarkStart w:id="200" w:name="_Toc506075"/>
      <w:bookmarkStart w:id="201" w:name="_Toc945919"/>
      <w:bookmarkStart w:id="202" w:name="_Toc965809"/>
      <w:bookmarkStart w:id="203" w:name="_Toc2839573"/>
      <w:bookmarkStart w:id="204" w:name="_Toc2850233"/>
      <w:bookmarkStart w:id="205" w:name="_Toc3271210"/>
      <w:bookmarkStart w:id="206" w:name="_Toc4588271"/>
      <w:bookmarkStart w:id="207" w:name="_Toc4652917"/>
      <w:bookmarkStart w:id="208" w:name="_Toc5003659"/>
      <w:bookmarkStart w:id="209" w:name="_Toc6211032"/>
      <w:bookmarkStart w:id="210" w:name="_Toc9499990"/>
      <w:bookmarkStart w:id="211" w:name="_Toc14266112"/>
      <w:bookmarkStart w:id="212" w:name="_Toc14334601"/>
      <w:bookmarkStart w:id="213" w:name="_Toc14775951"/>
      <w:bookmarkStart w:id="214" w:name="_Toc15285029"/>
      <w:bookmarkStart w:id="215" w:name="_Toc15630649"/>
      <w:bookmarkStart w:id="216" w:name="_Toc18415321"/>
      <w:bookmarkStart w:id="217" w:name="_Toc18487689"/>
      <w:bookmarkStart w:id="218" w:name="_Toc19708392"/>
      <w:bookmarkStart w:id="219" w:name="_Toc20131681"/>
      <w:bookmarkStart w:id="220" w:name="_Toc21595439"/>
      <w:bookmarkStart w:id="221" w:name="_Toc22025440"/>
      <w:bookmarkStart w:id="222" w:name="_Toc24463703"/>
      <w:bookmarkStart w:id="223" w:name="_Toc24617700"/>
      <w:bookmarkStart w:id="224" w:name="_Toc25050772"/>
      <w:bookmarkStart w:id="225" w:name="_Toc31202136"/>
      <w:bookmarkStart w:id="226" w:name="_Toc31202257"/>
      <w:bookmarkStart w:id="227" w:name="_Toc32390197"/>
      <w:bookmarkStart w:id="228" w:name="_Toc32566838"/>
      <w:bookmarkStart w:id="229" w:name="_Toc35437928"/>
      <w:bookmarkStart w:id="230" w:name="_Toc38270538"/>
      <w:bookmarkStart w:id="231" w:name="_Toc38362389"/>
      <w:bookmarkStart w:id="232" w:name="_Toc38441870"/>
      <w:bookmarkStart w:id="233" w:name="_Toc38442377"/>
      <w:bookmarkStart w:id="234" w:name="_Toc38976315"/>
      <w:bookmarkStart w:id="235" w:name="_Toc40693086"/>
      <w:bookmarkStart w:id="236" w:name="_Toc40693227"/>
      <w:bookmarkStart w:id="237" w:name="_Toc41570913"/>
      <w:bookmarkStart w:id="238" w:name="_Toc42874995"/>
      <w:bookmarkStart w:id="239" w:name="_Toc44074212"/>
      <w:bookmarkStart w:id="240" w:name="_Toc44317223"/>
      <w:bookmarkStart w:id="241" w:name="_Toc44323926"/>
      <w:bookmarkStart w:id="242" w:name="_Toc74301931"/>
      <w:r w:rsidRPr="00104A8B">
        <w:rPr>
          <w:rFonts w:asciiTheme="minorHAnsi" w:hAnsiTheme="minorHAnsi"/>
        </w:rPr>
        <w:t>S</w:t>
      </w:r>
      <w:bookmarkEnd w:id="164"/>
      <w:r w:rsidR="00474136" w:rsidRPr="00104A8B">
        <w:rPr>
          <w:rFonts w:asciiTheme="minorHAnsi" w:hAnsiTheme="minorHAnsi"/>
        </w:rPr>
        <w:t>ecretariat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3" w:name="_Toc500938171"/>
      <w:bookmarkStart w:id="244" w:name="_Toc500947019"/>
      <w:bookmarkStart w:id="245" w:name="_Toc501547028"/>
      <w:bookmarkStart w:id="246" w:name="_Toc501547383"/>
      <w:bookmarkStart w:id="247" w:name="_Toc505005667"/>
      <w:bookmarkStart w:id="248" w:name="_Toc505153758"/>
      <w:bookmarkStart w:id="249" w:name="_Toc508283426"/>
      <w:bookmarkStart w:id="250" w:name="_Toc510081782"/>
      <w:bookmarkStart w:id="251" w:name="_Toc511812219"/>
      <w:bookmarkStart w:id="252" w:name="_Toc512240157"/>
      <w:bookmarkStart w:id="253" w:name="_Toc513192154"/>
      <w:bookmarkStart w:id="254" w:name="_Toc514832416"/>
      <w:bookmarkStart w:id="255" w:name="_Toc514837961"/>
      <w:bookmarkStart w:id="256" w:name="_Toc514943595"/>
      <w:bookmarkStart w:id="257" w:name="_Toc515352038"/>
      <w:bookmarkStart w:id="258" w:name="_Toc518297247"/>
      <w:bookmarkStart w:id="259" w:name="_Toc519069305"/>
      <w:bookmarkStart w:id="260" w:name="_Toc519069366"/>
      <w:bookmarkStart w:id="261" w:name="_Toc519520733"/>
      <w:bookmarkStart w:id="262" w:name="_Toc520188712"/>
      <w:bookmarkStart w:id="263" w:name="_Toc521054229"/>
      <w:bookmarkStart w:id="264" w:name="_Toc521054316"/>
      <w:bookmarkStart w:id="265" w:name="_Toc521054388"/>
      <w:bookmarkStart w:id="266" w:name="_Toc523753611"/>
      <w:bookmarkStart w:id="267" w:name="_Toc523814160"/>
      <w:bookmarkStart w:id="268" w:name="_Toc523900451"/>
      <w:bookmarkStart w:id="269" w:name="_Toc526855812"/>
      <w:bookmarkStart w:id="270" w:name="_Toc528155838"/>
      <w:bookmarkStart w:id="271" w:name="_Toc528157197"/>
      <w:bookmarkStart w:id="272" w:name="_Toc528310850"/>
      <w:bookmarkStart w:id="273" w:name="_Toc529974529"/>
      <w:bookmarkStart w:id="274" w:name="_Toc530039424"/>
      <w:bookmarkStart w:id="275" w:name="_Toc536527672"/>
      <w:bookmarkStart w:id="276" w:name="_Toc536527835"/>
      <w:bookmarkStart w:id="277" w:name="_Toc536615373"/>
      <w:bookmarkStart w:id="278" w:name="_Toc172151"/>
      <w:bookmarkStart w:id="279" w:name="_Toc506076"/>
      <w:bookmarkStart w:id="280" w:name="_Toc945920"/>
      <w:bookmarkStart w:id="281" w:name="_Toc965810"/>
      <w:bookmarkStart w:id="282" w:name="_Toc2839574"/>
      <w:bookmarkStart w:id="283" w:name="_Toc2850234"/>
      <w:bookmarkStart w:id="284" w:name="_Toc3271211"/>
      <w:bookmarkStart w:id="285" w:name="_Toc4588272"/>
      <w:bookmarkStart w:id="286" w:name="_Toc4652918"/>
      <w:bookmarkStart w:id="287" w:name="_Toc5003660"/>
      <w:bookmarkStart w:id="288" w:name="_Toc6211033"/>
      <w:bookmarkStart w:id="289" w:name="_Toc9499991"/>
      <w:bookmarkStart w:id="290" w:name="_Toc14266113"/>
      <w:bookmarkStart w:id="291" w:name="_Toc14334602"/>
      <w:bookmarkStart w:id="292" w:name="_Toc14775952"/>
      <w:bookmarkStart w:id="293" w:name="_Toc15285030"/>
      <w:bookmarkStart w:id="294" w:name="_Toc15630650"/>
      <w:bookmarkStart w:id="295" w:name="_Toc18415322"/>
      <w:bookmarkStart w:id="296" w:name="_Toc18487690"/>
      <w:bookmarkStart w:id="297" w:name="_Toc19708393"/>
      <w:bookmarkStart w:id="298" w:name="_Toc20131682"/>
      <w:bookmarkStart w:id="299" w:name="_Toc21595440"/>
      <w:bookmarkStart w:id="300" w:name="_Toc22025441"/>
      <w:bookmarkStart w:id="301" w:name="_Toc24463704"/>
      <w:bookmarkStart w:id="302" w:name="_Toc24617701"/>
      <w:bookmarkStart w:id="303" w:name="_Toc25050773"/>
      <w:bookmarkStart w:id="304" w:name="_Toc31202137"/>
      <w:bookmarkStart w:id="305" w:name="_Toc31202258"/>
      <w:bookmarkStart w:id="306" w:name="_Toc32390198"/>
      <w:bookmarkStart w:id="307" w:name="_Toc32566839"/>
      <w:bookmarkStart w:id="308" w:name="_Toc35437929"/>
      <w:bookmarkStart w:id="309" w:name="_Toc38270539"/>
      <w:bookmarkStart w:id="310" w:name="_Toc38362390"/>
      <w:bookmarkStart w:id="311" w:name="_Toc38441871"/>
      <w:bookmarkStart w:id="312" w:name="_Toc38442378"/>
      <w:bookmarkStart w:id="313" w:name="_Toc38976316"/>
      <w:bookmarkStart w:id="314" w:name="_Toc40693087"/>
      <w:bookmarkStart w:id="315" w:name="_Toc40693228"/>
      <w:bookmarkStart w:id="316" w:name="_Toc41570914"/>
      <w:bookmarkStart w:id="317" w:name="_Toc42874996"/>
      <w:bookmarkStart w:id="318" w:name="_Toc44074213"/>
      <w:bookmarkStart w:id="319" w:name="_Toc44317224"/>
      <w:bookmarkStart w:id="320" w:name="_Toc44323927"/>
      <w:bookmarkStart w:id="321" w:name="_Toc74301932"/>
      <w:r w:rsidRPr="00104A8B">
        <w:rPr>
          <w:rFonts w:asciiTheme="minorHAnsi" w:hAnsiTheme="minorHAnsi"/>
        </w:rPr>
        <w:t>C</w:t>
      </w:r>
      <w:r w:rsidR="00474136" w:rsidRPr="00104A8B">
        <w:rPr>
          <w:rFonts w:asciiTheme="minorHAnsi" w:hAnsiTheme="minorHAnsi"/>
        </w:rPr>
        <w:t>ontact Information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22" w:name="_Toc500938172"/>
      <w:bookmarkStart w:id="323" w:name="_Toc500947020"/>
      <w:bookmarkStart w:id="324" w:name="_Toc501547029"/>
      <w:bookmarkStart w:id="325" w:name="_Toc501547384"/>
      <w:bookmarkStart w:id="326" w:name="_Toc505005668"/>
      <w:bookmarkStart w:id="327" w:name="_Toc505153759"/>
      <w:bookmarkStart w:id="328" w:name="_Toc508283427"/>
      <w:bookmarkStart w:id="329" w:name="_Toc510081783"/>
      <w:bookmarkStart w:id="330" w:name="_Toc511812220"/>
      <w:bookmarkStart w:id="331" w:name="_Toc512240158"/>
      <w:bookmarkStart w:id="332" w:name="_Toc513192155"/>
      <w:bookmarkStart w:id="333" w:name="_Toc514832417"/>
      <w:bookmarkStart w:id="334" w:name="_Toc514837962"/>
      <w:bookmarkStart w:id="335" w:name="_Toc514943596"/>
      <w:bookmarkStart w:id="336" w:name="_Toc515352039"/>
      <w:bookmarkStart w:id="337" w:name="_Toc518297248"/>
      <w:bookmarkStart w:id="338" w:name="_Toc519069306"/>
      <w:bookmarkStart w:id="339" w:name="_Toc519069367"/>
      <w:bookmarkStart w:id="340" w:name="_Toc519520734"/>
      <w:bookmarkStart w:id="341" w:name="_Toc520188713"/>
      <w:bookmarkStart w:id="342" w:name="_Toc521054230"/>
      <w:bookmarkStart w:id="343" w:name="_Toc521054317"/>
      <w:bookmarkStart w:id="344" w:name="_Toc521054389"/>
      <w:bookmarkStart w:id="345" w:name="_Toc523753612"/>
      <w:bookmarkStart w:id="346" w:name="_Toc523814161"/>
      <w:bookmarkStart w:id="347" w:name="_Toc523900452"/>
      <w:bookmarkStart w:id="348" w:name="_Toc526855813"/>
      <w:bookmarkStart w:id="349" w:name="_Toc528155839"/>
      <w:bookmarkStart w:id="350" w:name="_Toc528157198"/>
      <w:bookmarkStart w:id="351" w:name="_Toc528310851"/>
      <w:bookmarkStart w:id="352" w:name="_Toc529974530"/>
      <w:bookmarkStart w:id="353" w:name="_Toc530039425"/>
      <w:bookmarkStart w:id="354" w:name="_Toc536527673"/>
      <w:bookmarkStart w:id="355" w:name="_Toc536527836"/>
      <w:bookmarkStart w:id="356" w:name="_Toc536615374"/>
      <w:bookmarkStart w:id="357" w:name="_Toc172152"/>
      <w:bookmarkStart w:id="358" w:name="_Toc506077"/>
      <w:bookmarkStart w:id="359" w:name="_Toc945921"/>
      <w:bookmarkStart w:id="360" w:name="_Toc965811"/>
      <w:bookmarkStart w:id="361" w:name="_Toc2839575"/>
      <w:bookmarkStart w:id="362" w:name="_Toc2850235"/>
      <w:bookmarkStart w:id="363" w:name="_Toc3271212"/>
      <w:bookmarkStart w:id="364" w:name="_Toc4588273"/>
      <w:bookmarkStart w:id="365" w:name="_Toc4652919"/>
      <w:bookmarkStart w:id="366" w:name="_Toc5003661"/>
      <w:bookmarkStart w:id="367" w:name="_Toc6211034"/>
      <w:bookmarkStart w:id="368" w:name="_Toc9499992"/>
      <w:bookmarkStart w:id="369" w:name="_Toc14266114"/>
      <w:bookmarkStart w:id="370" w:name="_Toc14334603"/>
      <w:bookmarkStart w:id="371" w:name="_Toc14775953"/>
      <w:bookmarkStart w:id="372" w:name="_Toc15285031"/>
      <w:bookmarkStart w:id="373" w:name="_Toc15630651"/>
      <w:bookmarkStart w:id="374" w:name="_Toc18415323"/>
      <w:bookmarkStart w:id="375" w:name="_Toc18487691"/>
      <w:bookmarkStart w:id="376" w:name="_Toc19708394"/>
      <w:bookmarkStart w:id="377" w:name="_Toc20131683"/>
      <w:bookmarkStart w:id="378" w:name="_Toc21595441"/>
      <w:bookmarkStart w:id="379" w:name="_Toc22025442"/>
      <w:bookmarkStart w:id="380" w:name="_Toc24463705"/>
      <w:bookmarkStart w:id="381" w:name="_Toc24617702"/>
      <w:bookmarkStart w:id="382" w:name="_Toc25050774"/>
      <w:bookmarkStart w:id="383" w:name="_Toc31202138"/>
      <w:bookmarkStart w:id="384" w:name="_Toc31202259"/>
      <w:bookmarkStart w:id="385" w:name="_Toc32390199"/>
      <w:bookmarkStart w:id="386" w:name="_Toc32566840"/>
      <w:bookmarkStart w:id="387" w:name="_Toc35437930"/>
      <w:bookmarkStart w:id="388" w:name="_Toc38270540"/>
      <w:bookmarkStart w:id="389" w:name="_Toc38362391"/>
      <w:bookmarkStart w:id="390" w:name="_Toc38441872"/>
      <w:bookmarkStart w:id="391" w:name="_Toc38442379"/>
      <w:bookmarkStart w:id="392" w:name="_Toc38976317"/>
      <w:bookmarkStart w:id="393" w:name="_Toc40693088"/>
      <w:bookmarkStart w:id="394" w:name="_Toc40693229"/>
      <w:bookmarkStart w:id="395" w:name="_Toc41570915"/>
      <w:bookmarkStart w:id="396" w:name="_Toc42874997"/>
      <w:bookmarkStart w:id="397" w:name="_Toc44074214"/>
      <w:bookmarkStart w:id="398" w:name="_Toc44317225"/>
      <w:bookmarkStart w:id="399" w:name="_Toc44323928"/>
      <w:bookmarkStart w:id="400" w:name="_Toc74301933"/>
      <w:r w:rsidRPr="00104A8B">
        <w:rPr>
          <w:rFonts w:asciiTheme="minorHAnsi" w:hAnsiTheme="minorHAnsi"/>
        </w:rPr>
        <w:t>R</w:t>
      </w:r>
      <w:r w:rsidR="00474136" w:rsidRPr="00104A8B">
        <w:rPr>
          <w:rFonts w:asciiTheme="minorHAnsi" w:hAnsiTheme="minorHAnsi"/>
        </w:rPr>
        <w:t>ole of Committee</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01" w:name="_Toc500938173"/>
      <w:bookmarkStart w:id="402" w:name="_Toc500947021"/>
      <w:bookmarkStart w:id="403" w:name="_Toc501547030"/>
      <w:bookmarkStart w:id="404" w:name="_Toc501547385"/>
      <w:bookmarkStart w:id="405" w:name="_Toc505005669"/>
      <w:bookmarkStart w:id="406" w:name="_Toc505153760"/>
      <w:bookmarkStart w:id="407" w:name="_Toc508283428"/>
      <w:bookmarkStart w:id="408" w:name="_Toc510081784"/>
      <w:bookmarkStart w:id="409" w:name="_Toc511812221"/>
      <w:bookmarkStart w:id="410" w:name="_Toc512240159"/>
      <w:bookmarkStart w:id="411" w:name="_Toc513192156"/>
      <w:bookmarkStart w:id="412" w:name="_Toc514832418"/>
      <w:bookmarkStart w:id="413" w:name="_Toc514837963"/>
      <w:bookmarkStart w:id="414" w:name="_Toc518297249"/>
      <w:bookmarkStart w:id="415" w:name="_Toc519069307"/>
      <w:bookmarkStart w:id="416" w:name="_Toc519069368"/>
      <w:bookmarkStart w:id="417" w:name="_Toc519520735"/>
      <w:bookmarkStart w:id="418" w:name="_Toc520188714"/>
      <w:bookmarkStart w:id="419" w:name="_Toc521054231"/>
      <w:bookmarkStart w:id="420" w:name="_Toc521054318"/>
      <w:bookmarkStart w:id="421" w:name="_Toc521054390"/>
      <w:bookmarkStart w:id="422" w:name="_Toc523753613"/>
      <w:bookmarkStart w:id="423" w:name="_Toc523814162"/>
      <w:bookmarkStart w:id="424" w:name="_Toc523900453"/>
      <w:bookmarkStart w:id="425" w:name="_Toc526855814"/>
      <w:bookmarkStart w:id="426" w:name="_Toc528155840"/>
      <w:bookmarkStart w:id="427" w:name="_Toc528157199"/>
      <w:bookmarkStart w:id="428" w:name="_Toc528310852"/>
      <w:bookmarkStart w:id="429" w:name="_Toc529974531"/>
      <w:bookmarkStart w:id="430" w:name="_Toc530039426"/>
      <w:bookmarkStart w:id="431" w:name="_Toc536527674"/>
      <w:bookmarkStart w:id="432" w:name="_Toc536527837"/>
      <w:bookmarkStart w:id="433" w:name="_Toc536615375"/>
      <w:bookmarkStart w:id="434" w:name="_Toc172153"/>
      <w:bookmarkStart w:id="435" w:name="_Toc506078"/>
      <w:bookmarkStart w:id="436" w:name="_Toc945922"/>
      <w:bookmarkStart w:id="437" w:name="_Toc965812"/>
      <w:bookmarkStart w:id="438" w:name="_Toc2839576"/>
      <w:bookmarkStart w:id="439" w:name="_Toc2850236"/>
      <w:bookmarkStart w:id="440" w:name="_Toc3271213"/>
      <w:bookmarkStart w:id="441" w:name="_Toc4588274"/>
      <w:bookmarkStart w:id="442" w:name="_Toc4652920"/>
      <w:bookmarkStart w:id="443" w:name="_Toc5003662"/>
      <w:bookmarkStart w:id="444" w:name="_Toc6211035"/>
      <w:bookmarkStart w:id="445" w:name="_Toc9499993"/>
      <w:bookmarkStart w:id="446" w:name="_Toc14266115"/>
      <w:bookmarkStart w:id="447" w:name="_Toc14334604"/>
      <w:bookmarkStart w:id="448" w:name="_Toc14775954"/>
      <w:bookmarkStart w:id="449" w:name="_Toc15285032"/>
      <w:bookmarkStart w:id="450" w:name="_Toc15630652"/>
      <w:bookmarkStart w:id="451" w:name="_Toc18415324"/>
      <w:bookmarkStart w:id="452" w:name="_Toc18487692"/>
      <w:bookmarkStart w:id="453" w:name="_Toc19708395"/>
      <w:bookmarkStart w:id="454" w:name="_Toc20131684"/>
      <w:bookmarkStart w:id="455" w:name="_Toc21595442"/>
      <w:bookmarkStart w:id="456" w:name="_Toc22025443"/>
      <w:bookmarkStart w:id="457" w:name="_Toc24463706"/>
      <w:bookmarkStart w:id="458" w:name="_Toc24617703"/>
      <w:bookmarkStart w:id="459" w:name="_Toc25050775"/>
      <w:bookmarkStart w:id="460" w:name="_Toc31202139"/>
      <w:bookmarkStart w:id="461" w:name="_Toc31202260"/>
      <w:bookmarkStart w:id="462" w:name="_Toc32390200"/>
      <w:bookmarkStart w:id="463" w:name="_Toc32566841"/>
      <w:bookmarkStart w:id="464" w:name="_Toc35437931"/>
      <w:bookmarkStart w:id="465" w:name="_Toc38270541"/>
      <w:bookmarkStart w:id="466" w:name="_Toc38362392"/>
      <w:bookmarkStart w:id="467" w:name="_Toc38441873"/>
      <w:bookmarkStart w:id="468" w:name="_Toc38442380"/>
      <w:bookmarkStart w:id="469" w:name="_Toc38976318"/>
      <w:bookmarkStart w:id="470" w:name="_Toc40693089"/>
      <w:bookmarkStart w:id="471" w:name="_Toc40693230"/>
      <w:bookmarkStart w:id="472" w:name="_Toc41570916"/>
      <w:bookmarkStart w:id="473" w:name="_Toc42874998"/>
      <w:bookmarkStart w:id="474" w:name="_Toc44074215"/>
      <w:bookmarkStart w:id="475" w:name="_Toc44317226"/>
      <w:bookmarkStart w:id="476" w:name="_Toc44323929"/>
      <w:bookmarkStart w:id="477" w:name="_Toc74301934"/>
      <w:r w:rsidR="00045F75" w:rsidRPr="00104A8B">
        <w:rPr>
          <w:rFonts w:asciiTheme="minorHAnsi" w:hAnsiTheme="minorHAnsi"/>
        </w:rPr>
        <w:t>Resolution of Appointment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 xml:space="preserve"> (10)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rsidR="00126D9A" w:rsidRPr="00104A8B" w:rsidRDefault="00126D9A">
      <w:r w:rsidRPr="00104A8B">
        <w:br w:type="page"/>
      </w:r>
    </w:p>
    <w:p w:rsidR="007B477E" w:rsidRDefault="00D447D3" w:rsidP="00FC46AA">
      <w:pPr>
        <w:pStyle w:val="TOCHeading"/>
        <w:keepNext w:val="0"/>
        <w:keepLines w:val="0"/>
        <w:spacing w:before="120" w:after="360" w:line="500" w:lineRule="exact"/>
        <w:outlineLvl w:val="1"/>
        <w:rPr>
          <w:noProof/>
        </w:rPr>
      </w:pPr>
      <w:bookmarkStart w:id="478" w:name="_Toc514837964"/>
      <w:r w:rsidRPr="00104A8B">
        <w:rPr>
          <w:rFonts w:asciiTheme="minorHAnsi" w:eastAsia="Times New Roman" w:hAnsiTheme="minorHAnsi" w:cs="Times New Roman"/>
          <w:smallCaps/>
          <w:spacing w:val="20"/>
          <w:kern w:val="42"/>
          <w:sz w:val="44"/>
          <w:szCs w:val="44"/>
        </w:rPr>
        <w:t>Table of Contents</w:t>
      </w:r>
      <w:bookmarkEnd w:id="478"/>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7B477E" w:rsidRDefault="007B477E">
      <w:pPr>
        <w:pStyle w:val="TOC1"/>
        <w:rPr>
          <w:rFonts w:asciiTheme="minorHAnsi" w:eastAsiaTheme="minorEastAsia" w:hAnsiTheme="minorHAnsi" w:cstheme="minorBidi"/>
          <w:bCs w:val="0"/>
          <w:smallCaps w:val="0"/>
          <w:spacing w:val="0"/>
          <w:sz w:val="22"/>
          <w:szCs w:val="22"/>
          <w:lang w:eastAsia="en-AU"/>
        </w:rPr>
      </w:pPr>
      <w:hyperlink w:anchor="_Toc74301935" w:history="1">
        <w:r w:rsidRPr="00EF24A8">
          <w:rPr>
            <w:rStyle w:val="Hyperlink"/>
            <w:rFonts w:eastAsia="Calibri"/>
            <w:lang w:eastAsia="en-AU"/>
          </w:rPr>
          <w:t>Bill</w:t>
        </w:r>
        <w:r>
          <w:rPr>
            <w:webHidden/>
          </w:rPr>
          <w:tab/>
        </w:r>
        <w:r>
          <w:rPr>
            <w:webHidden/>
          </w:rPr>
          <w:fldChar w:fldCharType="begin"/>
        </w:r>
        <w:r>
          <w:rPr>
            <w:webHidden/>
          </w:rPr>
          <w:instrText xml:space="preserve"> PAGEREF _Toc74301935 \h </w:instrText>
        </w:r>
        <w:r>
          <w:rPr>
            <w:webHidden/>
          </w:rPr>
        </w:r>
        <w:r>
          <w:rPr>
            <w:webHidden/>
          </w:rPr>
          <w:fldChar w:fldCharType="separate"/>
        </w:r>
        <w:r w:rsidR="005A137F">
          <w:rPr>
            <w:webHidden/>
          </w:rPr>
          <w:t>1</w:t>
        </w:r>
        <w:r>
          <w:rPr>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36" w:history="1">
        <w:r w:rsidR="007B477E" w:rsidRPr="00EF24A8">
          <w:rPr>
            <w:rStyle w:val="Hyperlink"/>
            <w:noProof/>
          </w:rPr>
          <w:t>Bill—No comment</w:t>
        </w:r>
        <w:r w:rsidR="007B477E">
          <w:rPr>
            <w:noProof/>
            <w:webHidden/>
          </w:rPr>
          <w:tab/>
        </w:r>
        <w:r w:rsidR="007B477E">
          <w:rPr>
            <w:noProof/>
            <w:webHidden/>
          </w:rPr>
          <w:fldChar w:fldCharType="begin"/>
        </w:r>
        <w:r w:rsidR="007B477E">
          <w:rPr>
            <w:noProof/>
            <w:webHidden/>
          </w:rPr>
          <w:instrText xml:space="preserve"> PAGEREF _Toc74301936 \h </w:instrText>
        </w:r>
        <w:r w:rsidR="007B477E">
          <w:rPr>
            <w:noProof/>
            <w:webHidden/>
          </w:rPr>
        </w:r>
        <w:r w:rsidR="007B477E">
          <w:rPr>
            <w:noProof/>
            <w:webHidden/>
          </w:rPr>
          <w:fldChar w:fldCharType="separate"/>
        </w:r>
        <w:r w:rsidR="005A137F">
          <w:rPr>
            <w:noProof/>
            <w:webHidden/>
          </w:rPr>
          <w:t>1</w:t>
        </w:r>
        <w:r w:rsidR="007B477E">
          <w:rPr>
            <w:noProof/>
            <w:webHidden/>
          </w:rPr>
          <w:fldChar w:fldCharType="end"/>
        </w:r>
      </w:hyperlink>
    </w:p>
    <w:p w:rsidR="007B477E" w:rsidRDefault="003235F6">
      <w:pPr>
        <w:pStyle w:val="TOC3"/>
        <w:rPr>
          <w:rFonts w:eastAsiaTheme="minorEastAsia"/>
          <w:b w:val="0"/>
          <w:smallCaps w:val="0"/>
          <w:lang w:eastAsia="en-AU"/>
        </w:rPr>
      </w:pPr>
      <w:hyperlink w:anchor="_Toc74301937" w:history="1">
        <w:r w:rsidR="007B477E" w:rsidRPr="00EF24A8">
          <w:rPr>
            <w:rStyle w:val="Hyperlink"/>
          </w:rPr>
          <w:t>Loose-fill Asbestos Legislation Amendment Bill 2021</w:t>
        </w:r>
        <w:r w:rsidR="007B477E">
          <w:rPr>
            <w:webHidden/>
          </w:rPr>
          <w:tab/>
        </w:r>
        <w:r w:rsidR="007B477E">
          <w:rPr>
            <w:webHidden/>
          </w:rPr>
          <w:fldChar w:fldCharType="begin"/>
        </w:r>
        <w:r w:rsidR="007B477E">
          <w:rPr>
            <w:webHidden/>
          </w:rPr>
          <w:instrText xml:space="preserve"> PAGEREF _Toc74301937 \h </w:instrText>
        </w:r>
        <w:r w:rsidR="007B477E">
          <w:rPr>
            <w:webHidden/>
          </w:rPr>
        </w:r>
        <w:r w:rsidR="007B477E">
          <w:rPr>
            <w:webHidden/>
          </w:rPr>
          <w:fldChar w:fldCharType="separate"/>
        </w:r>
        <w:r w:rsidR="005A137F">
          <w:rPr>
            <w:webHidden/>
          </w:rPr>
          <w:t>1</w:t>
        </w:r>
        <w:r w:rsidR="007B477E">
          <w:rPr>
            <w:webHidden/>
          </w:rPr>
          <w:fldChar w:fldCharType="end"/>
        </w:r>
      </w:hyperlink>
    </w:p>
    <w:p w:rsidR="007B477E" w:rsidRDefault="003235F6">
      <w:pPr>
        <w:pStyle w:val="TOC1"/>
        <w:rPr>
          <w:rFonts w:asciiTheme="minorHAnsi" w:eastAsiaTheme="minorEastAsia" w:hAnsiTheme="minorHAnsi" w:cstheme="minorBidi"/>
          <w:bCs w:val="0"/>
          <w:smallCaps w:val="0"/>
          <w:spacing w:val="0"/>
          <w:sz w:val="22"/>
          <w:szCs w:val="22"/>
          <w:lang w:eastAsia="en-AU"/>
        </w:rPr>
      </w:pPr>
      <w:hyperlink w:anchor="_Toc74301938" w:history="1">
        <w:r w:rsidR="007B477E" w:rsidRPr="00EF24A8">
          <w:rPr>
            <w:rStyle w:val="Hyperlink"/>
            <w:rFonts w:eastAsia="Calibri"/>
            <w:lang w:eastAsia="en-AU"/>
          </w:rPr>
          <w:t>Subordinate Legislation</w:t>
        </w:r>
        <w:r w:rsidR="007B477E">
          <w:rPr>
            <w:webHidden/>
          </w:rPr>
          <w:tab/>
        </w:r>
        <w:r w:rsidR="007B477E">
          <w:rPr>
            <w:webHidden/>
          </w:rPr>
          <w:fldChar w:fldCharType="begin"/>
        </w:r>
        <w:r w:rsidR="007B477E">
          <w:rPr>
            <w:webHidden/>
          </w:rPr>
          <w:instrText xml:space="preserve"> PAGEREF _Toc74301938 \h </w:instrText>
        </w:r>
        <w:r w:rsidR="007B477E">
          <w:rPr>
            <w:webHidden/>
          </w:rPr>
        </w:r>
        <w:r w:rsidR="007B477E">
          <w:rPr>
            <w:webHidden/>
          </w:rPr>
          <w:fldChar w:fldCharType="separate"/>
        </w:r>
        <w:r w:rsidR="005A137F">
          <w:rPr>
            <w:webHidden/>
          </w:rPr>
          <w:t>1</w:t>
        </w:r>
        <w:r w:rsidR="007B477E">
          <w:rPr>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39" w:history="1">
        <w:r w:rsidR="007B477E" w:rsidRPr="00EF24A8">
          <w:rPr>
            <w:rStyle w:val="Hyperlink"/>
            <w:noProof/>
          </w:rPr>
          <w:t>Disallowable Instruments—No comment</w:t>
        </w:r>
        <w:r w:rsidR="007B477E">
          <w:rPr>
            <w:noProof/>
            <w:webHidden/>
          </w:rPr>
          <w:tab/>
        </w:r>
        <w:r w:rsidR="007B477E">
          <w:rPr>
            <w:noProof/>
            <w:webHidden/>
          </w:rPr>
          <w:fldChar w:fldCharType="begin"/>
        </w:r>
        <w:r w:rsidR="007B477E">
          <w:rPr>
            <w:noProof/>
            <w:webHidden/>
          </w:rPr>
          <w:instrText xml:space="preserve"> PAGEREF _Toc74301939 \h </w:instrText>
        </w:r>
        <w:r w:rsidR="007B477E">
          <w:rPr>
            <w:noProof/>
            <w:webHidden/>
          </w:rPr>
        </w:r>
        <w:r w:rsidR="007B477E">
          <w:rPr>
            <w:noProof/>
            <w:webHidden/>
          </w:rPr>
          <w:fldChar w:fldCharType="separate"/>
        </w:r>
        <w:r w:rsidR="005A137F">
          <w:rPr>
            <w:noProof/>
            <w:webHidden/>
          </w:rPr>
          <w:t>1</w:t>
        </w:r>
        <w:r w:rsidR="007B477E">
          <w:rPr>
            <w:noProof/>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0" w:history="1">
        <w:r w:rsidR="007B477E" w:rsidRPr="00EF24A8">
          <w:rPr>
            <w:rStyle w:val="Hyperlink"/>
            <w:rFonts w:eastAsia="Calibri"/>
            <w:noProof/>
            <w:lang w:eastAsia="en-AU"/>
          </w:rPr>
          <w:t>Disallowable Instruments—Comment</w:t>
        </w:r>
        <w:r w:rsidR="007B477E">
          <w:rPr>
            <w:noProof/>
            <w:webHidden/>
          </w:rPr>
          <w:tab/>
        </w:r>
        <w:r w:rsidR="007B477E">
          <w:rPr>
            <w:noProof/>
            <w:webHidden/>
          </w:rPr>
          <w:fldChar w:fldCharType="begin"/>
        </w:r>
        <w:r w:rsidR="007B477E">
          <w:rPr>
            <w:noProof/>
            <w:webHidden/>
          </w:rPr>
          <w:instrText xml:space="preserve"> PAGEREF _Toc74301940 \h </w:instrText>
        </w:r>
        <w:r w:rsidR="007B477E">
          <w:rPr>
            <w:noProof/>
            <w:webHidden/>
          </w:rPr>
        </w:r>
        <w:r w:rsidR="007B477E">
          <w:rPr>
            <w:noProof/>
            <w:webHidden/>
          </w:rPr>
          <w:fldChar w:fldCharType="separate"/>
        </w:r>
        <w:r w:rsidR="005A137F">
          <w:rPr>
            <w:noProof/>
            <w:webHidden/>
          </w:rPr>
          <w:t>1</w:t>
        </w:r>
        <w:r w:rsidR="007B477E">
          <w:rPr>
            <w:noProof/>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1" w:history="1">
        <w:r w:rsidR="007B477E" w:rsidRPr="00EF24A8">
          <w:rPr>
            <w:rStyle w:val="Hyperlink"/>
            <w:rFonts w:cstheme="minorHAnsi"/>
            <w:noProof/>
          </w:rPr>
          <w:t>General Comment</w:t>
        </w:r>
        <w:r w:rsidR="007B477E">
          <w:rPr>
            <w:noProof/>
            <w:webHidden/>
          </w:rPr>
          <w:tab/>
        </w:r>
        <w:r w:rsidR="007B477E">
          <w:rPr>
            <w:noProof/>
            <w:webHidden/>
          </w:rPr>
          <w:fldChar w:fldCharType="begin"/>
        </w:r>
        <w:r w:rsidR="007B477E">
          <w:rPr>
            <w:noProof/>
            <w:webHidden/>
          </w:rPr>
          <w:instrText xml:space="preserve"> PAGEREF _Toc74301941 \h </w:instrText>
        </w:r>
        <w:r w:rsidR="007B477E">
          <w:rPr>
            <w:noProof/>
            <w:webHidden/>
          </w:rPr>
        </w:r>
        <w:r w:rsidR="007B477E">
          <w:rPr>
            <w:noProof/>
            <w:webHidden/>
          </w:rPr>
          <w:fldChar w:fldCharType="separate"/>
        </w:r>
        <w:r w:rsidR="005A137F">
          <w:rPr>
            <w:noProof/>
            <w:webHidden/>
          </w:rPr>
          <w:t>4</w:t>
        </w:r>
        <w:r w:rsidR="007B477E">
          <w:rPr>
            <w:noProof/>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2" w:history="1">
        <w:r w:rsidR="007B477E" w:rsidRPr="00EF24A8">
          <w:rPr>
            <w:rStyle w:val="Hyperlink"/>
            <w:rFonts w:cstheme="minorHAnsi"/>
            <w:noProof/>
          </w:rPr>
          <w:t>Consistency in explanations for fees increases</w:t>
        </w:r>
        <w:r w:rsidR="007B477E">
          <w:rPr>
            <w:noProof/>
            <w:webHidden/>
          </w:rPr>
          <w:tab/>
        </w:r>
        <w:r w:rsidR="007B477E">
          <w:rPr>
            <w:noProof/>
            <w:webHidden/>
          </w:rPr>
          <w:fldChar w:fldCharType="begin"/>
        </w:r>
        <w:r w:rsidR="007B477E">
          <w:rPr>
            <w:noProof/>
            <w:webHidden/>
          </w:rPr>
          <w:instrText xml:space="preserve"> PAGEREF _Toc74301942 \h </w:instrText>
        </w:r>
        <w:r w:rsidR="007B477E">
          <w:rPr>
            <w:noProof/>
            <w:webHidden/>
          </w:rPr>
        </w:r>
        <w:r w:rsidR="007B477E">
          <w:rPr>
            <w:noProof/>
            <w:webHidden/>
          </w:rPr>
          <w:fldChar w:fldCharType="separate"/>
        </w:r>
        <w:r w:rsidR="005A137F">
          <w:rPr>
            <w:noProof/>
            <w:webHidden/>
          </w:rPr>
          <w:t>4</w:t>
        </w:r>
        <w:r w:rsidR="007B477E">
          <w:rPr>
            <w:noProof/>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3" w:history="1">
        <w:r w:rsidR="007B477E" w:rsidRPr="00EF24A8">
          <w:rPr>
            <w:rStyle w:val="Hyperlink"/>
            <w:rFonts w:cstheme="minorHAnsi"/>
            <w:noProof/>
          </w:rPr>
          <w:t>Human Rights Issues</w:t>
        </w:r>
        <w:r w:rsidR="007B477E">
          <w:rPr>
            <w:noProof/>
            <w:webHidden/>
          </w:rPr>
          <w:tab/>
        </w:r>
        <w:r w:rsidR="007B477E">
          <w:rPr>
            <w:noProof/>
            <w:webHidden/>
          </w:rPr>
          <w:fldChar w:fldCharType="begin"/>
        </w:r>
        <w:r w:rsidR="007B477E">
          <w:rPr>
            <w:noProof/>
            <w:webHidden/>
          </w:rPr>
          <w:instrText xml:space="preserve"> PAGEREF _Toc74301943 \h </w:instrText>
        </w:r>
        <w:r w:rsidR="007B477E">
          <w:rPr>
            <w:noProof/>
            <w:webHidden/>
          </w:rPr>
        </w:r>
        <w:r w:rsidR="007B477E">
          <w:rPr>
            <w:noProof/>
            <w:webHidden/>
          </w:rPr>
          <w:fldChar w:fldCharType="separate"/>
        </w:r>
        <w:r w:rsidR="005A137F">
          <w:rPr>
            <w:noProof/>
            <w:webHidden/>
          </w:rPr>
          <w:t>7</w:t>
        </w:r>
        <w:r w:rsidR="007B477E">
          <w:rPr>
            <w:noProof/>
            <w:webHidden/>
          </w:rPr>
          <w:fldChar w:fldCharType="end"/>
        </w:r>
      </w:hyperlink>
    </w:p>
    <w:p w:rsidR="007B477E" w:rsidRDefault="003235F6">
      <w:pPr>
        <w:pStyle w:val="TOC1"/>
        <w:rPr>
          <w:rFonts w:asciiTheme="minorHAnsi" w:eastAsiaTheme="minorEastAsia" w:hAnsiTheme="minorHAnsi" w:cstheme="minorBidi"/>
          <w:bCs w:val="0"/>
          <w:smallCaps w:val="0"/>
          <w:spacing w:val="0"/>
          <w:sz w:val="22"/>
          <w:szCs w:val="22"/>
          <w:lang w:eastAsia="en-AU"/>
        </w:rPr>
      </w:pPr>
      <w:hyperlink w:anchor="_Toc74301944" w:history="1">
        <w:r w:rsidR="007B477E" w:rsidRPr="00EF24A8">
          <w:rPr>
            <w:rStyle w:val="Hyperlink"/>
            <w:rFonts w:eastAsia="Calibri"/>
            <w:lang w:eastAsia="en-AU"/>
          </w:rPr>
          <w:t>Responses</w:t>
        </w:r>
        <w:r w:rsidR="007B477E">
          <w:rPr>
            <w:webHidden/>
          </w:rPr>
          <w:tab/>
        </w:r>
        <w:r w:rsidR="007B477E">
          <w:rPr>
            <w:webHidden/>
          </w:rPr>
          <w:fldChar w:fldCharType="begin"/>
        </w:r>
        <w:r w:rsidR="007B477E">
          <w:rPr>
            <w:webHidden/>
          </w:rPr>
          <w:instrText xml:space="preserve"> PAGEREF _Toc74301944 \h </w:instrText>
        </w:r>
        <w:r w:rsidR="007B477E">
          <w:rPr>
            <w:webHidden/>
          </w:rPr>
        </w:r>
        <w:r w:rsidR="007B477E">
          <w:rPr>
            <w:webHidden/>
          </w:rPr>
          <w:fldChar w:fldCharType="separate"/>
        </w:r>
        <w:r w:rsidR="005A137F">
          <w:rPr>
            <w:webHidden/>
          </w:rPr>
          <w:t>13</w:t>
        </w:r>
        <w:r w:rsidR="007B477E">
          <w:rPr>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5" w:history="1">
        <w:r w:rsidR="007B477E" w:rsidRPr="00EF24A8">
          <w:rPr>
            <w:rStyle w:val="Hyperlink"/>
            <w:noProof/>
            <w:lang w:eastAsia="en-AU"/>
          </w:rPr>
          <w:t>Government response</w:t>
        </w:r>
        <w:r w:rsidR="007B477E">
          <w:rPr>
            <w:noProof/>
            <w:webHidden/>
          </w:rPr>
          <w:tab/>
        </w:r>
        <w:r w:rsidR="007B477E">
          <w:rPr>
            <w:noProof/>
            <w:webHidden/>
          </w:rPr>
          <w:fldChar w:fldCharType="begin"/>
        </w:r>
        <w:r w:rsidR="007B477E">
          <w:rPr>
            <w:noProof/>
            <w:webHidden/>
          </w:rPr>
          <w:instrText xml:space="preserve"> PAGEREF _Toc74301945 \h </w:instrText>
        </w:r>
        <w:r w:rsidR="007B477E">
          <w:rPr>
            <w:noProof/>
            <w:webHidden/>
          </w:rPr>
        </w:r>
        <w:r w:rsidR="007B477E">
          <w:rPr>
            <w:noProof/>
            <w:webHidden/>
          </w:rPr>
          <w:fldChar w:fldCharType="separate"/>
        </w:r>
        <w:r w:rsidR="005A137F">
          <w:rPr>
            <w:noProof/>
            <w:webHidden/>
          </w:rPr>
          <w:t>13</w:t>
        </w:r>
        <w:r w:rsidR="007B477E">
          <w:rPr>
            <w:noProof/>
            <w:webHidden/>
          </w:rPr>
          <w:fldChar w:fldCharType="end"/>
        </w:r>
      </w:hyperlink>
    </w:p>
    <w:p w:rsidR="007B477E" w:rsidRDefault="003235F6">
      <w:pPr>
        <w:pStyle w:val="TOC1"/>
        <w:rPr>
          <w:rFonts w:asciiTheme="minorHAnsi" w:eastAsiaTheme="minorEastAsia" w:hAnsiTheme="minorHAnsi" w:cstheme="minorBidi"/>
          <w:bCs w:val="0"/>
          <w:smallCaps w:val="0"/>
          <w:spacing w:val="0"/>
          <w:sz w:val="22"/>
          <w:szCs w:val="22"/>
          <w:lang w:eastAsia="en-AU"/>
        </w:rPr>
      </w:pPr>
      <w:hyperlink w:anchor="_Toc74301946" w:history="1">
        <w:r w:rsidR="007B477E" w:rsidRPr="00EF24A8">
          <w:rPr>
            <w:rStyle w:val="Hyperlink"/>
          </w:rPr>
          <w:t>Outstanding Responses</w:t>
        </w:r>
        <w:r w:rsidR="007B477E">
          <w:rPr>
            <w:webHidden/>
          </w:rPr>
          <w:tab/>
        </w:r>
        <w:r w:rsidR="007B477E">
          <w:rPr>
            <w:webHidden/>
          </w:rPr>
          <w:fldChar w:fldCharType="begin"/>
        </w:r>
        <w:r w:rsidR="007B477E">
          <w:rPr>
            <w:webHidden/>
          </w:rPr>
          <w:instrText xml:space="preserve"> PAGEREF _Toc74301946 \h </w:instrText>
        </w:r>
        <w:r w:rsidR="007B477E">
          <w:rPr>
            <w:webHidden/>
          </w:rPr>
        </w:r>
        <w:r w:rsidR="007B477E">
          <w:rPr>
            <w:webHidden/>
          </w:rPr>
          <w:fldChar w:fldCharType="separate"/>
        </w:r>
        <w:r w:rsidR="005A137F">
          <w:rPr>
            <w:webHidden/>
          </w:rPr>
          <w:t>14</w:t>
        </w:r>
        <w:r w:rsidR="007B477E">
          <w:rPr>
            <w:webHidden/>
          </w:rPr>
          <w:fldChar w:fldCharType="end"/>
        </w:r>
      </w:hyperlink>
    </w:p>
    <w:p w:rsidR="007B477E" w:rsidRDefault="003235F6">
      <w:pPr>
        <w:pStyle w:val="TOC2"/>
        <w:rPr>
          <w:rFonts w:asciiTheme="minorHAnsi" w:eastAsiaTheme="minorEastAsia" w:hAnsiTheme="minorHAnsi" w:cstheme="minorBidi"/>
          <w:b w:val="0"/>
          <w:noProof/>
          <w:sz w:val="22"/>
          <w:szCs w:val="22"/>
          <w:lang w:eastAsia="en-AU"/>
        </w:rPr>
      </w:pPr>
      <w:hyperlink w:anchor="_Toc74301947" w:history="1">
        <w:r w:rsidR="007B477E" w:rsidRPr="00EF24A8">
          <w:rPr>
            <w:rStyle w:val="Hyperlink"/>
            <w:noProof/>
          </w:rPr>
          <w:t>Bills/Subordinate Legislation</w:t>
        </w:r>
        <w:r w:rsidR="007B477E">
          <w:rPr>
            <w:noProof/>
            <w:webHidden/>
          </w:rPr>
          <w:tab/>
        </w:r>
        <w:r w:rsidR="007B477E">
          <w:rPr>
            <w:noProof/>
            <w:webHidden/>
          </w:rPr>
          <w:fldChar w:fldCharType="begin"/>
        </w:r>
        <w:r w:rsidR="007B477E">
          <w:rPr>
            <w:noProof/>
            <w:webHidden/>
          </w:rPr>
          <w:instrText xml:space="preserve"> PAGEREF _Toc74301947 \h </w:instrText>
        </w:r>
        <w:r w:rsidR="007B477E">
          <w:rPr>
            <w:noProof/>
            <w:webHidden/>
          </w:rPr>
        </w:r>
        <w:r w:rsidR="007B477E">
          <w:rPr>
            <w:noProof/>
            <w:webHidden/>
          </w:rPr>
          <w:fldChar w:fldCharType="separate"/>
        </w:r>
        <w:r w:rsidR="005A137F">
          <w:rPr>
            <w:noProof/>
            <w:webHidden/>
          </w:rPr>
          <w:t>14</w:t>
        </w:r>
        <w:r w:rsidR="007B477E">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D20076">
      <w:pPr>
        <w:pStyle w:val="Heading2"/>
        <w:rPr>
          <w:rFonts w:asciiTheme="minorHAnsi" w:eastAsia="Calibri" w:hAnsiTheme="minorHAnsi"/>
          <w:lang w:eastAsia="en-AU"/>
        </w:rPr>
      </w:pPr>
      <w:bookmarkStart w:id="479" w:name="_Toc74301935"/>
      <w:bookmarkStart w:id="480" w:name="_Toc501448810"/>
      <w:bookmarkStart w:id="481" w:name="_Toc514837969"/>
      <w:r>
        <w:rPr>
          <w:rFonts w:asciiTheme="minorHAnsi" w:eastAsia="Calibri" w:hAnsiTheme="minorHAnsi"/>
          <w:lang w:eastAsia="en-AU"/>
        </w:rPr>
        <w:t>Bill</w:t>
      </w:r>
      <w:bookmarkEnd w:id="479"/>
    </w:p>
    <w:p w:rsidR="00F9213C" w:rsidRDefault="00417022" w:rsidP="00F9213C">
      <w:pPr>
        <w:pStyle w:val="Heading3"/>
      </w:pPr>
      <w:bookmarkStart w:id="482" w:name="_Toc74301936"/>
      <w:bookmarkStart w:id="483" w:name="_Toc35437939"/>
      <w:r>
        <w:t>Bill</w:t>
      </w:r>
      <w:r w:rsidR="00F9213C" w:rsidRPr="00103E7B">
        <w:t>—</w:t>
      </w:r>
      <w:r w:rsidR="00F9213C">
        <w:t>No c</w:t>
      </w:r>
      <w:r w:rsidR="00F9213C" w:rsidRPr="00103E7B">
        <w:t>omment</w:t>
      </w:r>
      <w:bookmarkEnd w:id="482"/>
    </w:p>
    <w:p w:rsidR="00F9213C" w:rsidRDefault="00F9213C" w:rsidP="00F9213C">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417022">
        <w:rPr>
          <w:rFonts w:ascii="Calibri" w:hAnsi="Calibri" w:cs="Calibri"/>
          <w:color w:val="000000"/>
        </w:rPr>
        <w:t>following bill</w:t>
      </w:r>
      <w:r>
        <w:rPr>
          <w:rFonts w:ascii="Calibri" w:hAnsi="Calibri" w:cs="Calibri"/>
          <w:color w:val="000000"/>
        </w:rPr>
        <w:t xml:space="preserve"> and offers no comment on </w:t>
      </w:r>
      <w:r w:rsidR="000F30A0">
        <w:rPr>
          <w:rFonts w:ascii="Calibri" w:hAnsi="Calibri" w:cs="Calibri"/>
          <w:color w:val="000000"/>
        </w:rPr>
        <w:t>it</w:t>
      </w:r>
      <w:r w:rsidRPr="00987942">
        <w:rPr>
          <w:rFonts w:ascii="Calibri" w:hAnsi="Calibri" w:cs="Calibri"/>
          <w:color w:val="000000"/>
        </w:rPr>
        <w:t>:</w:t>
      </w:r>
    </w:p>
    <w:p w:rsidR="00BB158A" w:rsidRPr="00133AB1" w:rsidRDefault="00BB158A" w:rsidP="00BB158A">
      <w:pPr>
        <w:pStyle w:val="Heading4"/>
        <w:pBdr>
          <w:bottom w:val="single" w:sz="6" w:space="1" w:color="000000"/>
        </w:pBdr>
        <w:rPr>
          <w:rFonts w:eastAsia="Times New Roman"/>
        </w:rPr>
      </w:pPr>
      <w:bookmarkStart w:id="484" w:name="_Toc74301937"/>
      <w:r w:rsidRPr="00DE666A">
        <w:rPr>
          <w:rFonts w:eastAsia="Times New Roman"/>
        </w:rPr>
        <w:t>Loose-fill Asbestos Legislation Amendment Bill 2021</w:t>
      </w:r>
      <w:bookmarkEnd w:id="484"/>
    </w:p>
    <w:p w:rsidR="00BB158A" w:rsidRDefault="00BB158A" w:rsidP="00BB158A">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w:t>
      </w:r>
      <w:r w:rsidRPr="00DE666A">
        <w:rPr>
          <w:rFonts w:ascii="Calibri" w:eastAsia="Calibri" w:hAnsi="Calibri" w:cs="Calibri"/>
          <w:color w:val="000000"/>
          <w:szCs w:val="20"/>
          <w:lang w:eastAsia="en-AU"/>
        </w:rPr>
        <w:t xml:space="preserve">the definition of buyback scheme within the </w:t>
      </w:r>
      <w:r w:rsidRPr="00DE666A">
        <w:rPr>
          <w:rFonts w:ascii="Calibri" w:eastAsia="Calibri" w:hAnsi="Calibri" w:cs="Calibri"/>
          <w:i/>
          <w:iCs/>
          <w:color w:val="000000"/>
          <w:szCs w:val="20"/>
          <w:lang w:eastAsia="en-AU"/>
        </w:rPr>
        <w:t xml:space="preserve">Civil Law (Sales of Residential Property) Act 2003, Dangerous Substances Act 2004, Government Agencies (Land Acquisition Reporting) Regulation 2019 </w:t>
      </w:r>
      <w:r w:rsidRPr="00DE666A">
        <w:rPr>
          <w:rFonts w:ascii="Calibri" w:eastAsia="Calibri" w:hAnsi="Calibri" w:cs="Calibri"/>
          <w:color w:val="000000"/>
          <w:szCs w:val="20"/>
          <w:lang w:eastAsia="en-AU"/>
        </w:rPr>
        <w:t>and the definition of loose-fill asbestos insulation eradication buyback program (LAIE buyback program) in the</w:t>
      </w:r>
      <w:r w:rsidRPr="00DE666A">
        <w:rPr>
          <w:rFonts w:ascii="Calibri" w:eastAsia="Calibri" w:hAnsi="Calibri" w:cs="Calibri"/>
          <w:i/>
          <w:iCs/>
          <w:color w:val="000000"/>
          <w:szCs w:val="20"/>
          <w:lang w:eastAsia="en-AU"/>
        </w:rPr>
        <w:t xml:space="preserve"> Planning and Development Regulation 2008</w:t>
      </w:r>
      <w:r w:rsidRPr="00DE666A">
        <w:rPr>
          <w:rFonts w:ascii="Calibri" w:eastAsia="Calibri" w:hAnsi="Calibri" w:cs="Calibri"/>
          <w:color w:val="000000"/>
          <w:szCs w:val="20"/>
          <w:lang w:eastAsia="en-AU"/>
        </w:rPr>
        <w:t xml:space="preserve">, so that these definitions no longer refer to the </w:t>
      </w:r>
      <w:r w:rsidRPr="00DE666A">
        <w:rPr>
          <w:rFonts w:ascii="Calibri" w:eastAsia="Calibri" w:hAnsi="Calibri" w:cs="Calibri"/>
          <w:i/>
          <w:iCs/>
          <w:color w:val="000000"/>
          <w:szCs w:val="20"/>
          <w:lang w:eastAsia="en-AU"/>
        </w:rPr>
        <w:t>Appropriation (Loose-fill Asbestos Insulation Eradication) Act 2014-2015</w:t>
      </w:r>
      <w:r w:rsidRPr="00DE666A">
        <w:rPr>
          <w:rFonts w:ascii="Calibri" w:eastAsia="Calibri" w:hAnsi="Calibri" w:cs="Calibri"/>
          <w:color w:val="000000"/>
          <w:szCs w:val="20"/>
          <w:lang w:eastAsia="en-AU"/>
        </w:rPr>
        <w:t>.</w:t>
      </w:r>
      <w:r>
        <w:rPr>
          <w:rFonts w:ascii="Calibri" w:eastAsia="Calibri" w:hAnsi="Calibri" w:cs="Calibri"/>
          <w:color w:val="000000"/>
          <w:szCs w:val="20"/>
          <w:lang w:eastAsia="en-AU"/>
        </w:rPr>
        <w:t xml:space="preserve"> </w:t>
      </w:r>
      <w:r w:rsidRPr="00DE666A">
        <w:rPr>
          <w:rFonts w:ascii="Calibri" w:eastAsia="Calibri" w:hAnsi="Calibri" w:cs="Calibri"/>
          <w:color w:val="000000"/>
          <w:szCs w:val="20"/>
          <w:lang w:eastAsia="en-AU"/>
        </w:rPr>
        <w:t>From 18 August 2021, all financial and budget implications for any newly</w:t>
      </w:r>
      <w:r>
        <w:rPr>
          <w:rFonts w:ascii="Calibri" w:eastAsia="Calibri" w:hAnsi="Calibri" w:cs="Calibri"/>
          <w:color w:val="000000"/>
          <w:szCs w:val="20"/>
          <w:lang w:eastAsia="en-AU"/>
        </w:rPr>
        <w:t>-</w:t>
      </w:r>
      <w:r w:rsidRPr="00DE666A">
        <w:rPr>
          <w:rFonts w:ascii="Calibri" w:eastAsia="Calibri" w:hAnsi="Calibri" w:cs="Calibri"/>
          <w:color w:val="000000"/>
          <w:szCs w:val="20"/>
          <w:lang w:eastAsia="en-AU"/>
        </w:rPr>
        <w:t>identified properties that participate in the Scheme will be funded through existing budgetary mechanisms.</w:t>
      </w:r>
    </w:p>
    <w:p w:rsidR="00BB158A" w:rsidRDefault="00BB158A" w:rsidP="00BB158A">
      <w:pPr>
        <w:rPr>
          <w:rFonts w:ascii="Calibri" w:eastAsia="Calibri" w:hAnsi="Calibri" w:cs="Calibri"/>
          <w:color w:val="000000"/>
          <w:szCs w:val="20"/>
          <w:lang w:eastAsia="en-AU"/>
        </w:rPr>
      </w:pPr>
      <w:r>
        <w:rPr>
          <w:rFonts w:ascii="Calibri" w:eastAsia="Calibri" w:hAnsi="Calibri" w:cs="Calibri"/>
          <w:color w:val="000000"/>
          <w:szCs w:val="20"/>
          <w:lang w:eastAsia="en-AU"/>
        </w:rPr>
        <w:t>The Committee notes that this Bill is stated to commence on 18 August 2021. Passage of the Bill after that date will result in the Bill having retrospective effect. However, this will not have a prejudicial effect on any individual’s rights or liberties.</w:t>
      </w:r>
    </w:p>
    <w:p w:rsidR="008024FC" w:rsidRPr="00104A8B" w:rsidRDefault="008024FC" w:rsidP="0037018E">
      <w:pPr>
        <w:pStyle w:val="Heading2"/>
        <w:rPr>
          <w:rFonts w:asciiTheme="minorHAnsi" w:eastAsia="Calibri" w:hAnsiTheme="minorHAnsi"/>
          <w:lang w:eastAsia="en-AU"/>
        </w:rPr>
      </w:pPr>
      <w:bookmarkStart w:id="485" w:name="_Toc74301938"/>
      <w:bookmarkStart w:id="486" w:name="_Toc338841796"/>
      <w:bookmarkStart w:id="487" w:name="_Hlk496454859"/>
      <w:bookmarkStart w:id="488" w:name="_Toc514837978"/>
      <w:bookmarkStart w:id="489" w:name="_Toc526855824"/>
      <w:bookmarkStart w:id="490" w:name="_Toc338841795"/>
      <w:bookmarkStart w:id="491" w:name="_Hlk483295725"/>
      <w:bookmarkEnd w:id="483"/>
      <w:bookmarkEnd w:id="480"/>
      <w:bookmarkEnd w:id="481"/>
      <w:r>
        <w:rPr>
          <w:rFonts w:asciiTheme="minorHAnsi" w:eastAsia="Calibri" w:hAnsiTheme="minorHAnsi"/>
          <w:lang w:eastAsia="en-AU"/>
        </w:rPr>
        <w:t>Subordinate Legislation</w:t>
      </w:r>
      <w:bookmarkEnd w:id="485"/>
    </w:p>
    <w:p w:rsidR="003443EB" w:rsidRPr="00103E7B" w:rsidRDefault="003379D7" w:rsidP="00103E7B">
      <w:pPr>
        <w:pStyle w:val="Heading3"/>
      </w:pPr>
      <w:bookmarkStart w:id="492" w:name="_Toc74301939"/>
      <w:r w:rsidRPr="00103E7B">
        <w:t>Disallowable Instruments</w:t>
      </w:r>
      <w:r w:rsidR="003443EB" w:rsidRPr="00103E7B">
        <w:t>—No comment</w:t>
      </w:r>
      <w:bookmarkEnd w:id="492"/>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BB4592" w:rsidRPr="00BB4592" w:rsidRDefault="00BB4592" w:rsidP="00060D38">
      <w:pPr>
        <w:pStyle w:val="Bodycopy"/>
        <w:numPr>
          <w:ilvl w:val="0"/>
          <w:numId w:val="34"/>
        </w:numPr>
        <w:tabs>
          <w:tab w:val="clear" w:pos="1276"/>
          <w:tab w:val="left" w:pos="0"/>
        </w:tabs>
        <w:spacing w:before="160" w:after="160" w:line="280" w:lineRule="exact"/>
        <w:ind w:left="360"/>
        <w:rPr>
          <w:b/>
        </w:rPr>
      </w:pPr>
      <w:bookmarkStart w:id="493" w:name="_Hlk504463130"/>
      <w:bookmarkEnd w:id="486"/>
      <w:bookmarkEnd w:id="487"/>
      <w:r w:rsidRPr="00BB4592">
        <w:rPr>
          <w:b/>
        </w:rPr>
        <w:t xml:space="preserve">Disallowable Instrument DI2021-57 being the Integrity Commission (Commissioner) Appointment 2021 made under section 25 of the </w:t>
      </w:r>
      <w:r w:rsidRPr="00030DC6">
        <w:rPr>
          <w:i/>
        </w:rPr>
        <w:t>Integrity Commission Act 2018</w:t>
      </w:r>
      <w:r w:rsidRPr="00BB4592">
        <w:rPr>
          <w:b/>
        </w:rPr>
        <w:t xml:space="preserve"> appoints a specified person as the ACT Integrity Commissioner. </w:t>
      </w:r>
    </w:p>
    <w:p w:rsidR="00BB4592" w:rsidRPr="00BB4592" w:rsidRDefault="00BB4592" w:rsidP="00060D38">
      <w:pPr>
        <w:pStyle w:val="Bodycopy"/>
        <w:numPr>
          <w:ilvl w:val="0"/>
          <w:numId w:val="34"/>
        </w:numPr>
        <w:tabs>
          <w:tab w:val="clear" w:pos="1276"/>
          <w:tab w:val="left" w:pos="0"/>
        </w:tabs>
        <w:spacing w:before="160" w:after="160" w:line="280" w:lineRule="exact"/>
        <w:ind w:left="360"/>
        <w:rPr>
          <w:b/>
        </w:rPr>
      </w:pPr>
      <w:r w:rsidRPr="00BB4592">
        <w:rPr>
          <w:b/>
        </w:rPr>
        <w:t xml:space="preserve">Disallowable Instrument DI2021-58 being the Integrity Commission (Acting Commissioner) Appointment 2021 (No 3) made under section 25 of the </w:t>
      </w:r>
      <w:r w:rsidRPr="00030DC6">
        <w:rPr>
          <w:i/>
        </w:rPr>
        <w:t>Integrity Commission Act 2018</w:t>
      </w:r>
      <w:r w:rsidRPr="00BB4592">
        <w:rPr>
          <w:b/>
        </w:rPr>
        <w:t xml:space="preserve"> appoints a specified person as the acting ACT Integrity Commissioner. </w:t>
      </w:r>
    </w:p>
    <w:p w:rsidR="00BB4592" w:rsidRPr="00BB4592" w:rsidRDefault="00BB4592" w:rsidP="00060D38">
      <w:pPr>
        <w:pStyle w:val="Bodycopy"/>
        <w:numPr>
          <w:ilvl w:val="0"/>
          <w:numId w:val="34"/>
        </w:numPr>
        <w:tabs>
          <w:tab w:val="clear" w:pos="1276"/>
          <w:tab w:val="left" w:pos="0"/>
        </w:tabs>
        <w:spacing w:before="160" w:after="160" w:line="280" w:lineRule="exact"/>
        <w:ind w:left="360"/>
        <w:rPr>
          <w:b/>
        </w:rPr>
      </w:pPr>
      <w:r w:rsidRPr="00BB4592">
        <w:rPr>
          <w:b/>
        </w:rPr>
        <w:t xml:space="preserve">Disallowable Instrument DI2021-59 being the Long Service Leave (Portable Schemes) Governing Board Appointment 2021 (No 1) made under section 79E of the and section 78 of the </w:t>
      </w:r>
      <w:r w:rsidRPr="00030DC6">
        <w:rPr>
          <w:i/>
        </w:rPr>
        <w:t>Long Service Leave (Portable Schemes) Act 2009</w:t>
      </w:r>
      <w:r w:rsidRPr="00BB4592">
        <w:rPr>
          <w:b/>
        </w:rPr>
        <w:t xml:space="preserve"> and </w:t>
      </w:r>
      <w:r w:rsidRPr="00030DC6">
        <w:rPr>
          <w:i/>
        </w:rPr>
        <w:t>Financial Management Act 1996</w:t>
      </w:r>
      <w:r w:rsidRPr="00BB4592">
        <w:rPr>
          <w:b/>
        </w:rPr>
        <w:t xml:space="preserve"> appoints a specified person as a member of the Long Service Leave Governing Board, representing employer organisations. </w:t>
      </w:r>
    </w:p>
    <w:p w:rsidR="004F1179" w:rsidRPr="00842199" w:rsidRDefault="004F1179" w:rsidP="004F1179">
      <w:pPr>
        <w:pStyle w:val="Bodycopy"/>
        <w:numPr>
          <w:ilvl w:val="0"/>
          <w:numId w:val="34"/>
        </w:numPr>
        <w:tabs>
          <w:tab w:val="clear" w:pos="1276"/>
          <w:tab w:val="left" w:pos="0"/>
        </w:tabs>
        <w:spacing w:before="160" w:after="160" w:line="280" w:lineRule="exact"/>
        <w:ind w:left="360"/>
        <w:rPr>
          <w:b/>
        </w:rPr>
      </w:pPr>
      <w:bookmarkStart w:id="494" w:name="_Toc74301940"/>
      <w:r>
        <w:rPr>
          <w:b/>
        </w:rPr>
        <w:t>Disallowable Instrument</w:t>
      </w:r>
      <w:r w:rsidRPr="00451C85">
        <w:rPr>
          <w:b/>
        </w:rPr>
        <w:t xml:space="preserve"> </w:t>
      </w:r>
      <w:r>
        <w:rPr>
          <w:b/>
        </w:rPr>
        <w:t>DI2021-82</w:t>
      </w:r>
      <w:r w:rsidRPr="00451C85">
        <w:rPr>
          <w:b/>
        </w:rPr>
        <w:t xml:space="preserve"> being the </w:t>
      </w:r>
      <w:r>
        <w:rPr>
          <w:b/>
        </w:rPr>
        <w:t xml:space="preserve">Labour Hire Licensing (Exempt Workers) Determination 2021 (No 1) made under section 8(2) of the </w:t>
      </w:r>
      <w:r w:rsidRPr="00030DC6">
        <w:rPr>
          <w:i/>
        </w:rPr>
        <w:t>Labour Hire Licensing Act 2020</w:t>
      </w:r>
      <w:r w:rsidRPr="00236BDD">
        <w:rPr>
          <w:b/>
        </w:rPr>
        <w:t xml:space="preserve"> </w:t>
      </w:r>
      <w:r>
        <w:rPr>
          <w:b/>
        </w:rPr>
        <w:t xml:space="preserve">determines who is, or is not, a worker for the purposes of the Act. </w:t>
      </w:r>
    </w:p>
    <w:p w:rsidR="00052319" w:rsidRPr="00103E7B" w:rsidRDefault="003379D7" w:rsidP="00600F64">
      <w:pPr>
        <w:pStyle w:val="Heading3"/>
        <w:rPr>
          <w:rFonts w:eastAsia="Calibri"/>
          <w:lang w:eastAsia="en-AU"/>
        </w:rPr>
      </w:pPr>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494"/>
    </w:p>
    <w:p w:rsidR="00052319" w:rsidRDefault="00052319" w:rsidP="00600F64">
      <w:pPr>
        <w:keepNext/>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493"/>
    <w:p w:rsidR="00535407" w:rsidRDefault="00535407" w:rsidP="00535407">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Human rights issues</w:t>
      </w:r>
    </w:p>
    <w:p w:rsidR="00535407"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DI2021-52</w:t>
      </w:r>
      <w:r w:rsidRPr="00451C85">
        <w:rPr>
          <w:b/>
        </w:rPr>
        <w:t xml:space="preserve"> being the </w:t>
      </w:r>
      <w:r>
        <w:rPr>
          <w:b/>
        </w:rPr>
        <w:t xml:space="preserve">Road Transport (Safety and Traffic Management) Parking Authority Declaration 2021 (No 1) made under section 33 of the </w:t>
      </w:r>
      <w:r w:rsidRPr="00CF5C1B">
        <w:rPr>
          <w:b/>
        </w:rPr>
        <w:t>Road Transport (Safety and Traffic Management) Regulation 2017</w:t>
      </w:r>
      <w:r w:rsidRPr="00236BDD">
        <w:rPr>
          <w:b/>
        </w:rPr>
        <w:t xml:space="preserve"> </w:t>
      </w:r>
      <w:r>
        <w:rPr>
          <w:b/>
        </w:rPr>
        <w:t xml:space="preserve">declares Dickson Village (ACT) Pty Ltd to be a parking authority for the area of Block 21 of Section 30 in the division of Dickson. </w:t>
      </w:r>
    </w:p>
    <w:p w:rsidR="00535407" w:rsidRDefault="00535407" w:rsidP="00535407">
      <w:pPr>
        <w:pStyle w:val="Bodycopy"/>
        <w:spacing w:after="0" w:line="280" w:lineRule="exact"/>
        <w:rPr>
          <w:iCs/>
        </w:rPr>
      </w:pPr>
      <w:r>
        <w:rPr>
          <w:bCs/>
        </w:rPr>
        <w:t xml:space="preserve">This instrument determines a particular entity to be a “parking authority”, in relation to a stated area, for section 33 of the </w:t>
      </w:r>
      <w:r>
        <w:rPr>
          <w:i/>
        </w:rPr>
        <w:t>Road Transport (Safety and Traffic Management) Regulation 2017</w:t>
      </w:r>
      <w:r>
        <w:rPr>
          <w:iCs/>
        </w:rPr>
        <w:t>.  The effect of the determination is that any ticket parking scheme operated by the entity can be enforced, under the ACT’s road transport legislation.</w:t>
      </w:r>
    </w:p>
    <w:p w:rsidR="00535407" w:rsidRDefault="00535407" w:rsidP="00535407">
      <w:pPr>
        <w:pStyle w:val="Bodycopy"/>
        <w:spacing w:after="0" w:line="280" w:lineRule="exact"/>
        <w:rPr>
          <w:bCs/>
        </w:rPr>
      </w:pPr>
      <w:r w:rsidRPr="00DC0FAA">
        <w:rPr>
          <w:bCs/>
        </w:rPr>
        <w:t xml:space="preserve">The Committee notes that </w:t>
      </w:r>
      <w:r>
        <w:rPr>
          <w:bCs/>
        </w:rPr>
        <w:t xml:space="preserve">the explanatory statement for the instrument states that “[n]o rights contained in the </w:t>
      </w:r>
      <w:r>
        <w:rPr>
          <w:bCs/>
          <w:i/>
          <w:iCs/>
        </w:rPr>
        <w:t xml:space="preserve">Human Rights Act 2004 </w:t>
      </w:r>
      <w:r>
        <w:rPr>
          <w:bCs/>
        </w:rPr>
        <w:t>are impacted by this instrument”.</w:t>
      </w:r>
    </w:p>
    <w:p w:rsidR="00535407" w:rsidRDefault="00535407" w:rsidP="00535407">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w:t>
      </w:r>
      <w:r>
        <w:rPr>
          <w:rFonts w:ascii="Calibri" w:hAnsi="Calibri" w:cs="Calibri"/>
          <w:b/>
          <w:bCs/>
          <w:sz w:val="22"/>
          <w:szCs w:val="22"/>
          <w:lang w:eastAsia="en-AU"/>
        </w:rPr>
        <w:t>is</w:t>
      </w:r>
      <w:r w:rsidRPr="00E95E87">
        <w:rPr>
          <w:rFonts w:ascii="Calibri" w:hAnsi="Calibri" w:cs="Calibri"/>
          <w:b/>
          <w:bCs/>
          <w:sz w:val="22"/>
          <w:szCs w:val="22"/>
          <w:lang w:eastAsia="en-AU"/>
        </w:rPr>
        <w:t xml:space="preserve"> instrument.</w:t>
      </w:r>
    </w:p>
    <w:p w:rsidR="00535407" w:rsidRDefault="00535407" w:rsidP="00535407">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535407" w:rsidRPr="00DC0FAA" w:rsidRDefault="00535407" w:rsidP="00535407">
      <w:pPr>
        <w:pStyle w:val="Bodycopy"/>
        <w:spacing w:after="0" w:line="280" w:lineRule="exact"/>
        <w:rPr>
          <w:bCs/>
          <w:i/>
          <w:iCs/>
        </w:rPr>
      </w:pPr>
      <w:r w:rsidRPr="00DC0FAA">
        <w:rPr>
          <w:bCs/>
          <w:i/>
          <w:iCs/>
        </w:rPr>
        <w:t>Fee</w:t>
      </w:r>
      <w:r w:rsidR="006F13F7">
        <w:rPr>
          <w:bCs/>
          <w:i/>
          <w:iCs/>
        </w:rPr>
        <w:t>s</w:t>
      </w:r>
      <w:r w:rsidRPr="00DC0FAA">
        <w:rPr>
          <w:bCs/>
          <w:i/>
          <w:iCs/>
        </w:rPr>
        <w:t xml:space="preserve"> determinations / Human rights issues</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DI2021-53</w:t>
      </w:r>
      <w:r w:rsidRPr="00451C85">
        <w:rPr>
          <w:b/>
        </w:rPr>
        <w:t xml:space="preserve"> being </w:t>
      </w:r>
      <w:bookmarkStart w:id="495" w:name="_Hlk74133646"/>
      <w:r w:rsidRPr="00451C85">
        <w:rPr>
          <w:b/>
        </w:rPr>
        <w:t xml:space="preserve">the </w:t>
      </w:r>
      <w:r>
        <w:rPr>
          <w:b/>
        </w:rPr>
        <w:t>Veterinary Practice (Fees) Determination 2021 (No</w:t>
      </w:r>
      <w:r w:rsidR="00CF5C1B">
        <w:rPr>
          <w:b/>
        </w:rPr>
        <w:t> </w:t>
      </w:r>
      <w:r>
        <w:rPr>
          <w:b/>
        </w:rPr>
        <w:t xml:space="preserve">1) </w:t>
      </w:r>
      <w:bookmarkEnd w:id="495"/>
      <w:r>
        <w:rPr>
          <w:b/>
        </w:rPr>
        <w:t xml:space="preserve">made under section 144 of the </w:t>
      </w:r>
      <w:r w:rsidRPr="00030DC6">
        <w:rPr>
          <w:i/>
        </w:rPr>
        <w:t>Veterinary Practice Act 2018</w:t>
      </w:r>
      <w:r w:rsidRPr="00236BDD">
        <w:rPr>
          <w:b/>
        </w:rPr>
        <w:t xml:space="preserve"> </w:t>
      </w:r>
      <w:r>
        <w:rPr>
          <w:b/>
        </w:rPr>
        <w:t xml:space="preserve">determines fees payable for the purposes of the Act and revokes DI2020-93.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DI2021-60</w:t>
      </w:r>
      <w:r w:rsidRPr="00451C85">
        <w:rPr>
          <w:b/>
        </w:rPr>
        <w:t xml:space="preserve"> being the </w:t>
      </w:r>
      <w:r>
        <w:rPr>
          <w:b/>
        </w:rPr>
        <w:t xml:space="preserve">Road Transport (General) Fees for Publications Determination 2021 (No 1) made under section 96 of the </w:t>
      </w:r>
      <w:r w:rsidRPr="00030DC6">
        <w:rPr>
          <w:i/>
        </w:rPr>
        <w:t>Road Transport (General) Act 1999</w:t>
      </w:r>
      <w:r w:rsidRPr="00236BDD">
        <w:rPr>
          <w:b/>
        </w:rPr>
        <w:t xml:space="preserve"> </w:t>
      </w:r>
      <w:r>
        <w:rPr>
          <w:b/>
        </w:rPr>
        <w:t xml:space="preserve">revokes DI2020-211 and determines fees payable for various kinds of road transport publications.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DI2021-61</w:t>
      </w:r>
      <w:r w:rsidRPr="00451C85">
        <w:rPr>
          <w:b/>
        </w:rPr>
        <w:t xml:space="preserve"> being the </w:t>
      </w:r>
      <w:r>
        <w:rPr>
          <w:b/>
        </w:rPr>
        <w:t xml:space="preserve">Road Transport (General) Refund and Dishonoured Payments Fees Determination 2021 (No 1) made under section 96 of the </w:t>
      </w:r>
      <w:r w:rsidRPr="00030DC6">
        <w:rPr>
          <w:i/>
        </w:rPr>
        <w:t>Road Transport (General) Act 1999</w:t>
      </w:r>
      <w:r w:rsidRPr="00236BDD">
        <w:rPr>
          <w:b/>
        </w:rPr>
        <w:t xml:space="preserve"> </w:t>
      </w:r>
      <w:r>
        <w:rPr>
          <w:b/>
        </w:rPr>
        <w:t xml:space="preserve">revokes DI2020-212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DI2021-62</w:t>
      </w:r>
      <w:r w:rsidRPr="00451C85">
        <w:rPr>
          <w:b/>
        </w:rPr>
        <w:t xml:space="preserve"> being the </w:t>
      </w:r>
      <w:r>
        <w:rPr>
          <w:b/>
        </w:rPr>
        <w:t xml:space="preserve">Road Transport (General) Numberplate Fees Determination 2021 (No 1) made under section 96 of the </w:t>
      </w:r>
      <w:r w:rsidRPr="00030DC6">
        <w:rPr>
          <w:i/>
        </w:rPr>
        <w:t>Road Transport (General) Act 1999</w:t>
      </w:r>
      <w:r w:rsidRPr="00236BDD">
        <w:rPr>
          <w:b/>
        </w:rPr>
        <w:t xml:space="preserve"> </w:t>
      </w:r>
      <w:r>
        <w:rPr>
          <w:b/>
        </w:rPr>
        <w:t xml:space="preserve">revokes DI2020-213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DI2021-63</w:t>
      </w:r>
      <w:r w:rsidRPr="00451C85">
        <w:rPr>
          <w:b/>
        </w:rPr>
        <w:t xml:space="preserve"> being the </w:t>
      </w:r>
      <w:r>
        <w:rPr>
          <w:b/>
        </w:rPr>
        <w:t xml:space="preserve">Road Transport (General) Driver Licence and Related Fees Determination 2021 (No 1) made under section 96 of the </w:t>
      </w:r>
      <w:r w:rsidRPr="00030DC6">
        <w:rPr>
          <w:i/>
        </w:rPr>
        <w:t>Road Transport (General) Act 1999</w:t>
      </w:r>
      <w:r w:rsidRPr="00236BDD">
        <w:rPr>
          <w:b/>
        </w:rPr>
        <w:t xml:space="preserve"> </w:t>
      </w:r>
      <w:r>
        <w:rPr>
          <w:b/>
        </w:rPr>
        <w:t xml:space="preserve">revokes DI2020-214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DI2021-64</w:t>
      </w:r>
      <w:r w:rsidRPr="00451C85">
        <w:rPr>
          <w:b/>
        </w:rPr>
        <w:t xml:space="preserve"> being the </w:t>
      </w:r>
      <w:r>
        <w:rPr>
          <w:b/>
        </w:rPr>
        <w:t xml:space="preserve">Road Transport (General) Vehicle Registration and Related Fees Determination 2021 (No 1) made under section 96 of the </w:t>
      </w:r>
      <w:r w:rsidRPr="00030DC6">
        <w:rPr>
          <w:i/>
        </w:rPr>
        <w:t xml:space="preserve">Road Transport (General) Act 1999 </w:t>
      </w:r>
      <w:r>
        <w:rPr>
          <w:b/>
        </w:rPr>
        <w:t xml:space="preserve">revokes DI2020-215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bookmarkStart w:id="496" w:name="_Hlk74135183"/>
      <w:r>
        <w:rPr>
          <w:b/>
        </w:rPr>
        <w:t>DI2021-70</w:t>
      </w:r>
      <w:r w:rsidRPr="00451C85">
        <w:rPr>
          <w:b/>
        </w:rPr>
        <w:t xml:space="preserve"> being the </w:t>
      </w:r>
      <w:r>
        <w:rPr>
          <w:b/>
        </w:rPr>
        <w:t xml:space="preserve">Fisheries (Fees) Determination 2021 </w:t>
      </w:r>
      <w:bookmarkEnd w:id="496"/>
      <w:r>
        <w:rPr>
          <w:b/>
        </w:rPr>
        <w:t xml:space="preserve">made under section 114 of the </w:t>
      </w:r>
      <w:r w:rsidRPr="00030DC6">
        <w:rPr>
          <w:i/>
        </w:rPr>
        <w:t>Fisheries Act 2000</w:t>
      </w:r>
      <w:r w:rsidRPr="00236BDD">
        <w:rPr>
          <w:b/>
        </w:rPr>
        <w:t xml:space="preserve"> </w:t>
      </w:r>
      <w:r>
        <w:rPr>
          <w:b/>
        </w:rPr>
        <w:t xml:space="preserve">revokes DI2019-125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bookmarkStart w:id="497" w:name="_Hlk74135654"/>
      <w:r>
        <w:rPr>
          <w:b/>
        </w:rPr>
        <w:t>DI2021-71</w:t>
      </w:r>
      <w:r w:rsidRPr="00451C85">
        <w:rPr>
          <w:b/>
        </w:rPr>
        <w:t xml:space="preserve"> being the </w:t>
      </w:r>
      <w:r>
        <w:rPr>
          <w:b/>
        </w:rPr>
        <w:t xml:space="preserve">Water Resources (Fees) Determination 2021 </w:t>
      </w:r>
      <w:bookmarkEnd w:id="497"/>
      <w:r>
        <w:rPr>
          <w:b/>
        </w:rPr>
        <w:t xml:space="preserve">made under section 107 of the </w:t>
      </w:r>
      <w:r w:rsidRPr="00030DC6">
        <w:rPr>
          <w:i/>
        </w:rPr>
        <w:t>Water Resources Act 2007</w:t>
      </w:r>
      <w:r w:rsidRPr="00236BDD">
        <w:rPr>
          <w:b/>
        </w:rPr>
        <w:t xml:space="preserve"> </w:t>
      </w:r>
      <w:r>
        <w:rPr>
          <w:b/>
        </w:rPr>
        <w:t xml:space="preserve">revokes DI2020-200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DI2021-72</w:t>
      </w:r>
      <w:r w:rsidRPr="00451C85">
        <w:rPr>
          <w:b/>
        </w:rPr>
        <w:t xml:space="preserve"> being the </w:t>
      </w:r>
      <w:r>
        <w:rPr>
          <w:b/>
        </w:rPr>
        <w:t xml:space="preserve">Architects (Fees) Determination 2021 made under section 91 of the </w:t>
      </w:r>
      <w:r w:rsidRPr="00030DC6">
        <w:rPr>
          <w:i/>
        </w:rPr>
        <w:t>Architects Act 2004</w:t>
      </w:r>
      <w:r w:rsidRPr="00236BDD">
        <w:rPr>
          <w:b/>
        </w:rPr>
        <w:t xml:space="preserve"> </w:t>
      </w:r>
      <w:r>
        <w:rPr>
          <w:b/>
        </w:rPr>
        <w:t xml:space="preserve">revokes DI2020-181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DI2021-73</w:t>
      </w:r>
      <w:r w:rsidRPr="00451C85">
        <w:rPr>
          <w:b/>
        </w:rPr>
        <w:t xml:space="preserve"> being the </w:t>
      </w:r>
      <w:r>
        <w:rPr>
          <w:b/>
        </w:rPr>
        <w:t xml:space="preserve">Building (Fees) Determination 2021 made under section 150 of the </w:t>
      </w:r>
      <w:r w:rsidRPr="00030DC6">
        <w:rPr>
          <w:i/>
        </w:rPr>
        <w:t>Building Act 2004</w:t>
      </w:r>
      <w:r w:rsidRPr="00236BDD">
        <w:rPr>
          <w:b/>
        </w:rPr>
        <w:t xml:space="preserve"> </w:t>
      </w:r>
      <w:r>
        <w:rPr>
          <w:b/>
        </w:rPr>
        <w:t xml:space="preserve">revokes DI2019-112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DI2021-74</w:t>
      </w:r>
      <w:r w:rsidRPr="00451C85">
        <w:rPr>
          <w:b/>
        </w:rPr>
        <w:t xml:space="preserve"> being the </w:t>
      </w:r>
      <w:r>
        <w:rPr>
          <w:b/>
        </w:rPr>
        <w:t xml:space="preserve">Construction Occupations (Licensing) (Fees) Determination 2021 made under section 127 of the </w:t>
      </w:r>
      <w:r w:rsidRPr="00030DC6">
        <w:rPr>
          <w:i/>
        </w:rPr>
        <w:t xml:space="preserve">Construction Occupations (Licensing) Act 2004 </w:t>
      </w:r>
      <w:r>
        <w:rPr>
          <w:b/>
        </w:rPr>
        <w:t xml:space="preserve">revokes DI2019-113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 DI2021-75</w:t>
      </w:r>
      <w:r w:rsidRPr="00451C85">
        <w:rPr>
          <w:b/>
        </w:rPr>
        <w:t xml:space="preserve"> being the </w:t>
      </w:r>
      <w:r>
        <w:rPr>
          <w:b/>
        </w:rPr>
        <w:t xml:space="preserve">Electricity Safety (Fees) Determination 2021 made under section 64 of the </w:t>
      </w:r>
      <w:r w:rsidRPr="00297FEE">
        <w:rPr>
          <w:i/>
        </w:rPr>
        <w:t>Electricity Safety Act 1971</w:t>
      </w:r>
      <w:r w:rsidRPr="00236BDD">
        <w:rPr>
          <w:b/>
        </w:rPr>
        <w:t xml:space="preserve"> </w:t>
      </w:r>
      <w:r>
        <w:rPr>
          <w:b/>
        </w:rPr>
        <w:t xml:space="preserve">revokes DI2019-114 and determines fees payable under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DI2021-76</w:t>
      </w:r>
      <w:r w:rsidRPr="00451C85">
        <w:rPr>
          <w:b/>
        </w:rPr>
        <w:t xml:space="preserve"> being the </w:t>
      </w:r>
      <w:r>
        <w:rPr>
          <w:b/>
        </w:rPr>
        <w:t xml:space="preserve">Environment Protection (Fees) Determination 2021 made under section 165 of the </w:t>
      </w:r>
      <w:r w:rsidRPr="00297FEE">
        <w:rPr>
          <w:i/>
        </w:rPr>
        <w:t>Environment Protection Act 1997</w:t>
      </w:r>
      <w:r w:rsidRPr="00236BDD">
        <w:rPr>
          <w:b/>
        </w:rPr>
        <w:t xml:space="preserve"> </w:t>
      </w:r>
      <w:r>
        <w:rPr>
          <w:b/>
        </w:rPr>
        <w:t xml:space="preserve">revokes DI2020-197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DI2021-77</w:t>
      </w:r>
      <w:r w:rsidRPr="00451C85">
        <w:rPr>
          <w:b/>
        </w:rPr>
        <w:t xml:space="preserve"> being the </w:t>
      </w:r>
      <w:r>
        <w:rPr>
          <w:b/>
        </w:rPr>
        <w:t xml:space="preserve">Gas Safety (Fees) Determination 2021 made under section 67 of the </w:t>
      </w:r>
      <w:r w:rsidRPr="00297FEE">
        <w:rPr>
          <w:i/>
        </w:rPr>
        <w:t>Gas Safety Act 2000</w:t>
      </w:r>
      <w:r w:rsidRPr="00236BDD">
        <w:rPr>
          <w:b/>
        </w:rPr>
        <w:t xml:space="preserve"> </w:t>
      </w:r>
      <w:r>
        <w:rPr>
          <w:b/>
        </w:rPr>
        <w:t xml:space="preserve">revokes DI2021-77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DI2021-78</w:t>
      </w:r>
      <w:r w:rsidRPr="00451C85">
        <w:rPr>
          <w:b/>
        </w:rPr>
        <w:t xml:space="preserve"> being the </w:t>
      </w:r>
      <w:r>
        <w:rPr>
          <w:b/>
        </w:rPr>
        <w:t xml:space="preserve">Heritage (Fees) Determination 2020 made under section 120 of the </w:t>
      </w:r>
      <w:r w:rsidRPr="00297FEE">
        <w:rPr>
          <w:i/>
        </w:rPr>
        <w:t>Heritage Act 2004</w:t>
      </w:r>
      <w:r w:rsidRPr="00236BDD">
        <w:rPr>
          <w:b/>
        </w:rPr>
        <w:t xml:space="preserve"> </w:t>
      </w:r>
      <w:r>
        <w:rPr>
          <w:b/>
        </w:rPr>
        <w:t xml:space="preserve">revokes DI2020-198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DI2021-79</w:t>
      </w:r>
      <w:r w:rsidRPr="00451C85">
        <w:rPr>
          <w:b/>
        </w:rPr>
        <w:t xml:space="preserve"> being the </w:t>
      </w:r>
      <w:r>
        <w:rPr>
          <w:b/>
        </w:rPr>
        <w:t xml:space="preserve">Nature Conservation (Fees) Determination 2021 (No 2) made under section 368 of the </w:t>
      </w:r>
      <w:r w:rsidRPr="00297FEE">
        <w:rPr>
          <w:i/>
        </w:rPr>
        <w:t>Nature Conservation Act 2014</w:t>
      </w:r>
      <w:r w:rsidRPr="00236BDD">
        <w:rPr>
          <w:b/>
        </w:rPr>
        <w:t xml:space="preserve"> </w:t>
      </w:r>
      <w:r>
        <w:rPr>
          <w:b/>
        </w:rPr>
        <w:t xml:space="preserve">revokes DI2021-16 and determines fees payable for the purposes of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DI2021-80</w:t>
      </w:r>
      <w:r w:rsidRPr="00451C85">
        <w:rPr>
          <w:b/>
        </w:rPr>
        <w:t xml:space="preserve"> being the </w:t>
      </w:r>
      <w:r>
        <w:rPr>
          <w:b/>
        </w:rPr>
        <w:t xml:space="preserve">Water and Sewerage (Fees) Determination 2021 made under section 45 of the </w:t>
      </w:r>
      <w:r w:rsidRPr="00297FEE">
        <w:rPr>
          <w:i/>
        </w:rPr>
        <w:t>Water and Sewerage Act 2000</w:t>
      </w:r>
      <w:r w:rsidRPr="00236BDD">
        <w:rPr>
          <w:b/>
        </w:rPr>
        <w:t xml:space="preserve"> </w:t>
      </w:r>
      <w:r>
        <w:rPr>
          <w:b/>
        </w:rPr>
        <w:t xml:space="preserve">revokes DI2019-116 and determines fees payable for the purposes of the Act. </w:t>
      </w:r>
    </w:p>
    <w:p w:rsidR="00395E80" w:rsidRPr="00842199" w:rsidRDefault="00395E80" w:rsidP="00395E80">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DI2021-81</w:t>
      </w:r>
      <w:r w:rsidRPr="00451C85">
        <w:rPr>
          <w:b/>
        </w:rPr>
        <w:t xml:space="preserve"> being the </w:t>
      </w:r>
      <w:r>
        <w:rPr>
          <w:b/>
        </w:rPr>
        <w:t xml:space="preserve">Labour Hire Licensing (Fee) Determination 2021 (No 1) made under section 75 of the </w:t>
      </w:r>
      <w:r w:rsidRPr="00395E80">
        <w:rPr>
          <w:i/>
        </w:rPr>
        <w:t>Labour Hire Licensing Act 2020</w:t>
      </w:r>
      <w:r w:rsidRPr="00236BDD">
        <w:rPr>
          <w:b/>
        </w:rPr>
        <w:t xml:space="preserve"> </w:t>
      </w:r>
      <w:r>
        <w:rPr>
          <w:b/>
        </w:rPr>
        <w:t xml:space="preserve">determines fees payable under the Act. </w:t>
      </w:r>
    </w:p>
    <w:p w:rsidR="00535407" w:rsidRPr="00842199" w:rsidRDefault="00535407" w:rsidP="00CF5C1B">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bookmarkStart w:id="498" w:name="_Hlk74138124"/>
      <w:r>
        <w:rPr>
          <w:b/>
        </w:rPr>
        <w:t>DI2021-83</w:t>
      </w:r>
      <w:r w:rsidRPr="00451C85">
        <w:rPr>
          <w:b/>
        </w:rPr>
        <w:t xml:space="preserve"> being the </w:t>
      </w:r>
      <w:r>
        <w:rPr>
          <w:b/>
        </w:rPr>
        <w:t>Road Transport (General) Concession Determination 2021 (No 1)</w:t>
      </w:r>
      <w:bookmarkEnd w:id="498"/>
      <w:r>
        <w:rPr>
          <w:b/>
        </w:rPr>
        <w:t xml:space="preserve"> made under section 96 of the </w:t>
      </w:r>
      <w:r w:rsidRPr="0024153A">
        <w:rPr>
          <w:i/>
        </w:rPr>
        <w:t>Road Transport (General) Act 1999</w:t>
      </w:r>
      <w:r w:rsidRPr="00236BDD">
        <w:rPr>
          <w:b/>
        </w:rPr>
        <w:t xml:space="preserve"> </w:t>
      </w:r>
      <w:r>
        <w:rPr>
          <w:b/>
        </w:rPr>
        <w:t xml:space="preserve">revokes DI2018-245 and determines the concessional fees payable by eligible persons for </w:t>
      </w:r>
      <w:proofErr w:type="gramStart"/>
      <w:r>
        <w:rPr>
          <w:b/>
        </w:rPr>
        <w:t>vehicle</w:t>
      </w:r>
      <w:proofErr w:type="gramEnd"/>
      <w:r>
        <w:rPr>
          <w:b/>
        </w:rPr>
        <w:t xml:space="preserve"> registration and driver licensing. </w:t>
      </w:r>
    </w:p>
    <w:p w:rsidR="00535407" w:rsidRPr="00842199" w:rsidRDefault="00535407" w:rsidP="0024153A">
      <w:pPr>
        <w:pStyle w:val="Bodycopy"/>
        <w:keepLines/>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DI2021-84</w:t>
      </w:r>
      <w:r w:rsidRPr="00451C85">
        <w:rPr>
          <w:b/>
        </w:rPr>
        <w:t xml:space="preserve"> being the </w:t>
      </w:r>
      <w:r>
        <w:rPr>
          <w:b/>
        </w:rPr>
        <w:t xml:space="preserve">Unit Titles (Management) (Fees) Determination 2021 made under section 119 of the </w:t>
      </w:r>
      <w:r w:rsidRPr="0024153A">
        <w:rPr>
          <w:i/>
        </w:rPr>
        <w:t>Unit Titles (Management) Act 2011</w:t>
      </w:r>
      <w:r w:rsidRPr="00236BDD">
        <w:rPr>
          <w:b/>
        </w:rPr>
        <w:t xml:space="preserve"> </w:t>
      </w:r>
      <w:r>
        <w:rPr>
          <w:b/>
        </w:rPr>
        <w:t xml:space="preserve">revokes DI2020-155 and determines fees payable for the purposes of the Act. </w:t>
      </w:r>
    </w:p>
    <w:p w:rsidR="00535407" w:rsidRPr="00F04B4F" w:rsidRDefault="00535407" w:rsidP="00535407">
      <w:pPr>
        <w:pStyle w:val="Heading3"/>
        <w:spacing w:before="120" w:after="120"/>
        <w:rPr>
          <w:rFonts w:asciiTheme="minorHAnsi" w:hAnsiTheme="minorHAnsi" w:cstheme="minorHAnsi"/>
          <w:sz w:val="22"/>
          <w:szCs w:val="22"/>
        </w:rPr>
      </w:pPr>
      <w:bookmarkStart w:id="499" w:name="_Toc74301941"/>
      <w:r>
        <w:rPr>
          <w:rFonts w:asciiTheme="minorHAnsi" w:hAnsiTheme="minorHAnsi" w:cstheme="minorHAnsi"/>
          <w:sz w:val="22"/>
          <w:szCs w:val="22"/>
        </w:rPr>
        <w:t>General Comment</w:t>
      </w:r>
      <w:bookmarkEnd w:id="499"/>
      <w:r w:rsidRPr="00F04B4F">
        <w:rPr>
          <w:rFonts w:asciiTheme="minorHAnsi" w:hAnsiTheme="minorHAnsi" w:cstheme="minorHAnsi"/>
          <w:sz w:val="22"/>
          <w:szCs w:val="22"/>
        </w:rPr>
        <w:t xml:space="preserve"> </w:t>
      </w:r>
    </w:p>
    <w:p w:rsidR="00535407" w:rsidRDefault="00535407" w:rsidP="00535407">
      <w:pPr>
        <w:pStyle w:val="Bodycopy"/>
        <w:tabs>
          <w:tab w:val="clear" w:pos="1276"/>
          <w:tab w:val="left" w:pos="360"/>
        </w:tabs>
        <w:spacing w:before="160" w:after="160" w:line="280" w:lineRule="exact"/>
        <w:rPr>
          <w:bCs/>
        </w:rPr>
      </w:pPr>
      <w:r>
        <w:rPr>
          <w:bCs/>
        </w:rPr>
        <w:t>Each of the instruments mentioned above determines fee</w:t>
      </w:r>
      <w:r w:rsidR="00773399">
        <w:rPr>
          <w:bCs/>
        </w:rPr>
        <w:t xml:space="preserve">s payable, under various Acts. </w:t>
      </w:r>
      <w:r>
        <w:rPr>
          <w:bCs/>
        </w:rPr>
        <w:t>At this time of the year, the Committee expects to scrutinise approximately 100 such instruments, as the Executive Government determines fees for t</w:t>
      </w:r>
      <w:r w:rsidR="00202358">
        <w:rPr>
          <w:bCs/>
        </w:rPr>
        <w:t xml:space="preserve">he forthcoming financial year. </w:t>
      </w:r>
      <w:r>
        <w:rPr>
          <w:bCs/>
        </w:rPr>
        <w:t>The instruments mentioned above are evidently the first batch of such instruments, for the 2021-22 financial year.</w:t>
      </w:r>
    </w:p>
    <w:p w:rsidR="00535407" w:rsidRPr="000954CE" w:rsidRDefault="00535407" w:rsidP="00535407">
      <w:pPr>
        <w:keepLines/>
        <w:spacing w:before="120" w:after="120" w:line="260" w:lineRule="atLeast"/>
        <w:rPr>
          <w:rFonts w:eastAsia="Calibri" w:cstheme="minorHAnsi"/>
        </w:rPr>
      </w:pPr>
      <w:r w:rsidRPr="000954CE">
        <w:rPr>
          <w:rFonts w:eastAsia="Calibri" w:cstheme="minorHAnsi"/>
        </w:rPr>
        <w:t xml:space="preserve">The Committee’s expectations, in relation to fees determinations (and other matters), are set out in its document titled </w:t>
      </w:r>
      <w:hyperlink r:id="rId24" w:history="1">
        <w:r w:rsidRPr="000954CE">
          <w:rPr>
            <w:rFonts w:eastAsia="Calibri" w:cstheme="minorHAnsi"/>
            <w:i/>
            <w:color w:val="0000FF"/>
            <w:u w:val="single"/>
          </w:rPr>
          <w:t>Subordinate legislation—Technical and stylistic standards—Tips/Traps</w:t>
        </w:r>
      </w:hyperlink>
      <w:r w:rsidRPr="000954CE">
        <w:rPr>
          <w:rFonts w:eastAsia="Calibri" w:cstheme="minorHAnsi"/>
          <w:color w:val="000000"/>
        </w:rPr>
        <w:t>.</w:t>
      </w:r>
      <w:r w:rsidRPr="000954CE">
        <w:rPr>
          <w:rFonts w:eastAsia="Calibri" w:cstheme="minorHAnsi"/>
          <w:vertAlign w:val="superscript"/>
        </w:rPr>
        <w:footnoteReference w:id="1"/>
      </w:r>
      <w:r w:rsidR="00202358">
        <w:rPr>
          <w:rFonts w:eastAsia="Calibri" w:cstheme="minorHAnsi"/>
          <w:color w:val="000000"/>
        </w:rPr>
        <w:t xml:space="preserve"> </w:t>
      </w:r>
      <w:r w:rsidRPr="000954CE">
        <w:rPr>
          <w:rFonts w:eastAsia="Calibri" w:cstheme="minorHAnsi"/>
        </w:rPr>
        <w:t>In that document, the Committee states:</w:t>
      </w:r>
    </w:p>
    <w:p w:rsidR="00535407" w:rsidRPr="000954CE" w:rsidRDefault="00535407" w:rsidP="00535407">
      <w:pPr>
        <w:keepNext/>
        <w:spacing w:before="120" w:after="120" w:line="260" w:lineRule="atLeast"/>
        <w:ind w:left="360"/>
        <w:rPr>
          <w:rFonts w:cstheme="minorHAnsi"/>
          <w:b/>
        </w:rPr>
      </w:pPr>
      <w:r w:rsidRPr="000954CE">
        <w:rPr>
          <w:rFonts w:cstheme="minorHAnsi"/>
          <w:b/>
        </w:rPr>
        <w:t>FEES DETERMINATIONS</w:t>
      </w:r>
    </w:p>
    <w:p w:rsidR="00535407" w:rsidRPr="000954CE" w:rsidRDefault="00535407" w:rsidP="00535407">
      <w:pPr>
        <w:keepLines/>
        <w:spacing w:before="120" w:after="120" w:line="260" w:lineRule="atLeast"/>
        <w:ind w:left="360"/>
        <w:rPr>
          <w:rFonts w:eastAsia="Calibri" w:cstheme="minorHAnsi"/>
        </w:rPr>
      </w:pPr>
      <w:r w:rsidRPr="000954CE">
        <w:rPr>
          <w:rFonts w:eastAsia="Calibri" w:cstheme="minorHAnsi"/>
        </w:rPr>
        <w:t>The Committee prefers that instruments that determine fees indicate (either in the instrument itself or in the Explanatory Statement) the amount of the “old” fee, the amount of the new fee, any percentage increase and also the reason for any increase (</w:t>
      </w:r>
      <w:proofErr w:type="spellStart"/>
      <w:r w:rsidRPr="000954CE">
        <w:rPr>
          <w:rFonts w:eastAsia="Calibri" w:cstheme="minorHAnsi"/>
        </w:rPr>
        <w:t>eg</w:t>
      </w:r>
      <w:proofErr w:type="spellEnd"/>
      <w:r w:rsidRPr="000954CE">
        <w:rPr>
          <w:rFonts w:eastAsia="Calibri" w:cstheme="minorHAnsi"/>
        </w:rPr>
        <w:t xml:space="preserve"> an adjustment based on the CPI).  Given the importance of fees to the administration of the ACT, it assists the Committee (and the Legislative Assembly) if fees determinations expressly identify the magnitude of any fees increases.</w:t>
      </w:r>
    </w:p>
    <w:p w:rsidR="00535407" w:rsidRPr="000954CE" w:rsidRDefault="00535407" w:rsidP="00535407">
      <w:pPr>
        <w:keepLines/>
        <w:spacing w:before="120" w:after="120" w:line="260" w:lineRule="atLeast"/>
        <w:ind w:left="360"/>
        <w:rPr>
          <w:rFonts w:eastAsia="Calibri" w:cstheme="minorHAnsi"/>
        </w:rPr>
      </w:pPr>
      <w:r w:rsidRPr="000954CE">
        <w:rPr>
          <w:rFonts w:eastAsia="Calibri" w:cstheme="minorHAnsi"/>
        </w:rPr>
        <w:t xml:space="preserve">The Committee also prefers that fees determinations expressly address the mandatory requirements of subsection 56(5) of the </w:t>
      </w:r>
      <w:r w:rsidRPr="000954CE">
        <w:rPr>
          <w:rFonts w:eastAsia="Calibri" w:cstheme="minorHAnsi"/>
          <w:i/>
        </w:rPr>
        <w:t>Legislation Act 2001</w:t>
      </w:r>
      <w:r w:rsidRPr="000954CE">
        <w:rPr>
          <w:rFonts w:eastAsia="Calibri" w:cstheme="minorHAnsi"/>
        </w:rPr>
        <w:t>, which provides that a fees determination must provide:</w:t>
      </w:r>
    </w:p>
    <w:p w:rsidR="00535407" w:rsidRPr="000954CE" w:rsidRDefault="00535407" w:rsidP="00535407">
      <w:pPr>
        <w:keepLines/>
        <w:spacing w:before="120" w:after="120" w:line="260" w:lineRule="atLeast"/>
        <w:ind w:left="360"/>
        <w:rPr>
          <w:rFonts w:eastAsia="Calibri" w:cstheme="minorHAnsi"/>
        </w:rPr>
      </w:pPr>
      <w:r w:rsidRPr="000954CE">
        <w:rPr>
          <w:rFonts w:eastAsia="Calibri" w:cstheme="minorHAnsi"/>
        </w:rPr>
        <w:t>•</w:t>
      </w:r>
      <w:r w:rsidRPr="000954CE">
        <w:rPr>
          <w:rFonts w:eastAsia="Calibri" w:cstheme="minorHAnsi"/>
        </w:rPr>
        <w:tab/>
      </w:r>
      <w:proofErr w:type="gramStart"/>
      <w:r w:rsidRPr="000954CE">
        <w:rPr>
          <w:rFonts w:eastAsia="Calibri" w:cstheme="minorHAnsi"/>
        </w:rPr>
        <w:t>by</w:t>
      </w:r>
      <w:proofErr w:type="gramEnd"/>
      <w:r w:rsidRPr="000954CE">
        <w:rPr>
          <w:rFonts w:eastAsia="Calibri" w:cstheme="minorHAnsi"/>
        </w:rPr>
        <w:t xml:space="preserve"> whom the fee is payable; and</w:t>
      </w:r>
    </w:p>
    <w:p w:rsidR="00535407" w:rsidRPr="000954CE" w:rsidRDefault="00535407" w:rsidP="00535407">
      <w:pPr>
        <w:keepLines/>
        <w:spacing w:before="120" w:after="120" w:line="260" w:lineRule="atLeast"/>
        <w:ind w:left="360"/>
        <w:rPr>
          <w:rFonts w:eastAsia="Calibri" w:cstheme="minorHAnsi"/>
        </w:rPr>
      </w:pPr>
      <w:r w:rsidRPr="000954CE">
        <w:rPr>
          <w:rFonts w:eastAsia="Calibri" w:cstheme="minorHAnsi"/>
        </w:rPr>
        <w:t>•</w:t>
      </w:r>
      <w:r w:rsidRPr="000954CE">
        <w:rPr>
          <w:rFonts w:eastAsia="Calibri" w:cstheme="minorHAnsi"/>
        </w:rPr>
        <w:tab/>
      </w:r>
      <w:proofErr w:type="gramStart"/>
      <w:r w:rsidRPr="000954CE">
        <w:rPr>
          <w:rFonts w:eastAsia="Calibri" w:cstheme="minorHAnsi"/>
        </w:rPr>
        <w:t>to</w:t>
      </w:r>
      <w:proofErr w:type="gramEnd"/>
      <w:r w:rsidRPr="000954CE">
        <w:rPr>
          <w:rFonts w:eastAsia="Calibri" w:cstheme="minorHAnsi"/>
        </w:rPr>
        <w:t xml:space="preserve"> whom the fee is to be paid</w:t>
      </w:r>
    </w:p>
    <w:p w:rsidR="00535407" w:rsidRDefault="00535407" w:rsidP="00535407">
      <w:pPr>
        <w:keepLines/>
        <w:spacing w:before="120" w:after="120" w:line="260" w:lineRule="atLeast"/>
        <w:rPr>
          <w:rFonts w:eastAsia="Calibri" w:cstheme="minorHAnsi"/>
        </w:rPr>
      </w:pPr>
      <w:r w:rsidRPr="000954CE">
        <w:rPr>
          <w:rFonts w:eastAsia="Calibri" w:cstheme="minorHAnsi"/>
        </w:rPr>
        <w:t xml:space="preserve">In recent years, the Committee has been pleased to observe that the standard of fees determinations (and their explanatory statements) is much-improved (in terms of them meeting the Committee’s long-held views about fees determinations) from, say, 10 years ago. This improvement is, again, evident, in this batch of instruments. </w:t>
      </w:r>
      <w:r>
        <w:rPr>
          <w:rFonts w:eastAsia="Calibri" w:cstheme="minorHAnsi"/>
        </w:rPr>
        <w:t xml:space="preserve">The Committee notes that the requirement in relation to setting out the “old” and “new” fees has been consistently met. The Committee also notes that, in the batch of instruments mentioned above, there is a high degree of consistency </w:t>
      </w:r>
      <w:r w:rsidRPr="000954CE">
        <w:rPr>
          <w:rFonts w:eastAsia="Calibri" w:cstheme="minorHAnsi"/>
        </w:rPr>
        <w:t xml:space="preserve">in the explanations provided for the various fees increases. In addition, there are some instruments that provide </w:t>
      </w:r>
      <w:r>
        <w:rPr>
          <w:rFonts w:eastAsia="Calibri" w:cstheme="minorHAnsi"/>
        </w:rPr>
        <w:t xml:space="preserve">for </w:t>
      </w:r>
      <w:r w:rsidRPr="000954CE">
        <w:rPr>
          <w:rFonts w:eastAsia="Calibri" w:cstheme="minorHAnsi"/>
        </w:rPr>
        <w:t>different increases/explanations, in the circumstances of particular Acts. These issues are discussed below.</w:t>
      </w:r>
    </w:p>
    <w:p w:rsidR="00535407" w:rsidRPr="00F04B4F" w:rsidRDefault="00535407" w:rsidP="00535407">
      <w:pPr>
        <w:pStyle w:val="Heading3"/>
        <w:spacing w:before="120" w:after="120"/>
        <w:rPr>
          <w:rFonts w:asciiTheme="minorHAnsi" w:hAnsiTheme="minorHAnsi" w:cstheme="minorHAnsi"/>
          <w:sz w:val="22"/>
          <w:szCs w:val="22"/>
        </w:rPr>
      </w:pPr>
      <w:bookmarkStart w:id="500" w:name="_Toc74301942"/>
      <w:r w:rsidRPr="00F04B4F">
        <w:rPr>
          <w:rFonts w:asciiTheme="minorHAnsi" w:hAnsiTheme="minorHAnsi" w:cstheme="minorHAnsi"/>
          <w:sz w:val="22"/>
          <w:szCs w:val="22"/>
        </w:rPr>
        <w:t>Consistency in explanations for fees increases</w:t>
      </w:r>
      <w:bookmarkEnd w:id="500"/>
      <w:r w:rsidRPr="00F04B4F">
        <w:rPr>
          <w:rFonts w:asciiTheme="minorHAnsi" w:hAnsiTheme="minorHAnsi" w:cstheme="minorHAnsi"/>
          <w:sz w:val="22"/>
          <w:szCs w:val="22"/>
        </w:rPr>
        <w:t xml:space="preserve"> </w:t>
      </w:r>
    </w:p>
    <w:p w:rsidR="00535407" w:rsidRDefault="00535407" w:rsidP="00535407">
      <w:pPr>
        <w:keepLines/>
        <w:spacing w:before="120" w:after="120" w:line="260" w:lineRule="atLeast"/>
        <w:rPr>
          <w:rFonts w:eastAsia="Calibri" w:cstheme="minorHAnsi"/>
        </w:rPr>
      </w:pPr>
      <w:r>
        <w:rPr>
          <w:rFonts w:eastAsia="Calibri" w:cstheme="minorHAnsi"/>
        </w:rPr>
        <w:t>The first instrument mentioned above – Vet</w:t>
      </w:r>
      <w:r w:rsidRPr="00D0286C">
        <w:rPr>
          <w:rFonts w:eastAsia="Calibri" w:cstheme="minorHAnsi"/>
        </w:rPr>
        <w:t xml:space="preserve">erinary Practice (Fees) Determination 2021 (No 1) </w:t>
      </w:r>
      <w:r>
        <w:rPr>
          <w:rFonts w:eastAsia="Calibri" w:cstheme="minorHAnsi"/>
        </w:rPr>
        <w:t>[DI2021-53] – is a good example of the explanation that has been provided, for this year’s fees increases. The explanatory statement states:</w:t>
      </w:r>
    </w:p>
    <w:p w:rsidR="00535407" w:rsidRPr="00D0286C" w:rsidRDefault="00535407" w:rsidP="00535407">
      <w:pPr>
        <w:ind w:left="720"/>
        <w:rPr>
          <w:rFonts w:cstheme="minorHAnsi"/>
        </w:rPr>
      </w:pPr>
      <w:r w:rsidRPr="00D0286C">
        <w:rPr>
          <w:rFonts w:cstheme="minorHAnsi"/>
        </w:rPr>
        <w:t>The fee payable for the 2021-2022 financial year is included at column 5. Fees relating to initial registration fees for practitioners and specialists including the application fees have been increased by 2.5%. All other fees have been increased by 5%. The main reason for the increase is due to make up for the freeze to fees in 2020-21 which were maintained at 2019</w:t>
      </w:r>
      <w:r w:rsidR="00790512">
        <w:rPr>
          <w:rFonts w:cstheme="minorHAnsi"/>
        </w:rPr>
        <w:noBreakHyphen/>
      </w:r>
      <w:r w:rsidRPr="00D0286C">
        <w:rPr>
          <w:rFonts w:cstheme="minorHAnsi"/>
        </w:rPr>
        <w:t>20 levels due to the impact of COVID-19.</w:t>
      </w:r>
    </w:p>
    <w:p w:rsidR="00535407" w:rsidRDefault="00535407" w:rsidP="00535407">
      <w:pPr>
        <w:keepLines/>
        <w:spacing w:before="120" w:after="120" w:line="260" w:lineRule="atLeast"/>
        <w:rPr>
          <w:rFonts w:eastAsia="Calibri" w:cstheme="minorHAnsi"/>
        </w:rPr>
      </w:pPr>
      <w:r>
        <w:rPr>
          <w:rFonts w:eastAsia="Calibri" w:cstheme="minorHAnsi"/>
        </w:rPr>
        <w:t xml:space="preserve">The Committee notes that the reference to the previous freeze in fees is not repeated in relation to other instruments considered for this </w:t>
      </w:r>
      <w:r>
        <w:rPr>
          <w:rFonts w:eastAsia="Calibri" w:cstheme="minorHAnsi"/>
          <w:i/>
          <w:iCs/>
        </w:rPr>
        <w:t xml:space="preserve">Scrutiny </w:t>
      </w:r>
      <w:r w:rsidRPr="00D0286C">
        <w:rPr>
          <w:rFonts w:eastAsia="Calibri" w:cstheme="minorHAnsi"/>
        </w:rPr>
        <w:t>Report</w:t>
      </w:r>
      <w:r>
        <w:rPr>
          <w:rFonts w:eastAsia="Calibri" w:cstheme="minorHAnsi"/>
        </w:rPr>
        <w:t>.</w:t>
      </w:r>
    </w:p>
    <w:p w:rsidR="00535407" w:rsidRDefault="00535407" w:rsidP="00535407">
      <w:pPr>
        <w:keepLines/>
        <w:spacing w:before="120" w:after="120" w:line="260" w:lineRule="atLeast"/>
        <w:rPr>
          <w:rFonts w:eastAsia="Calibri" w:cstheme="minorHAnsi"/>
        </w:rPr>
      </w:pPr>
      <w:r>
        <w:rPr>
          <w:rFonts w:eastAsia="Calibri" w:cstheme="minorHAnsi"/>
        </w:rPr>
        <w:t xml:space="preserve">The explanatory statement for the second instrument mentioned above – Road </w:t>
      </w:r>
      <w:r w:rsidRPr="008B5653">
        <w:rPr>
          <w:rFonts w:eastAsia="Calibri" w:cstheme="minorHAnsi"/>
        </w:rPr>
        <w:t>Transport (General) Fees for Publications Determination 2021 (No 1</w:t>
      </w:r>
      <w:r>
        <w:rPr>
          <w:rFonts w:eastAsia="Calibri" w:cstheme="minorHAnsi"/>
        </w:rPr>
        <w:t>) [</w:t>
      </w:r>
      <w:r w:rsidRPr="008B5653">
        <w:rPr>
          <w:rFonts w:eastAsia="Calibri" w:cstheme="minorHAnsi"/>
        </w:rPr>
        <w:t>DI2021-60</w:t>
      </w:r>
      <w:r>
        <w:rPr>
          <w:rFonts w:eastAsia="Calibri" w:cstheme="minorHAnsi"/>
        </w:rPr>
        <w:t>] – mentions a different increase amount and explanation, together with a circumstances-specific fees increase explanation:</w:t>
      </w:r>
    </w:p>
    <w:p w:rsidR="00535407" w:rsidRPr="008B5653" w:rsidRDefault="00535407" w:rsidP="00535407">
      <w:pPr>
        <w:spacing w:before="120" w:after="120"/>
        <w:ind w:left="720"/>
        <w:rPr>
          <w:rFonts w:cstheme="minorHAnsi"/>
          <w:color w:val="000000"/>
        </w:rPr>
      </w:pPr>
      <w:r w:rsidRPr="008B5653">
        <w:rPr>
          <w:rFonts w:cstheme="minorHAnsi"/>
          <w:color w:val="000000"/>
        </w:rPr>
        <w:t>The fees for ACT publications have been increased by the wage price index of 1.75%</w:t>
      </w:r>
      <w:r w:rsidRPr="008B5653">
        <w:rPr>
          <w:rFonts w:cstheme="minorHAnsi"/>
        </w:rPr>
        <w:t xml:space="preserve"> in accordance with budget memo 2021/08,</w:t>
      </w:r>
      <w:r w:rsidRPr="008B5653">
        <w:rPr>
          <w:rFonts w:cstheme="minorHAnsi"/>
          <w:color w:val="000000"/>
        </w:rPr>
        <w:t xml:space="preserve"> rounded down to the nearest ten cents except for the </w:t>
      </w:r>
      <w:r w:rsidRPr="008B5653">
        <w:rPr>
          <w:rFonts w:cstheme="minorHAnsi"/>
        </w:rPr>
        <w:t>national driver work diary which remains at $25 in line with advice from the National Heavy Vehicle Regulator</w:t>
      </w:r>
      <w:r w:rsidRPr="008B5653">
        <w:rPr>
          <w:rFonts w:cstheme="minorHAnsi"/>
          <w:color w:val="000000"/>
        </w:rPr>
        <w:t>.</w:t>
      </w:r>
    </w:p>
    <w:p w:rsidR="00535407" w:rsidRDefault="00535407" w:rsidP="00535407">
      <w:pPr>
        <w:keepLines/>
        <w:spacing w:before="120" w:after="120" w:line="260" w:lineRule="atLeast"/>
        <w:rPr>
          <w:rFonts w:eastAsia="Calibri" w:cstheme="minorHAnsi"/>
        </w:rPr>
      </w:pPr>
      <w:r>
        <w:rPr>
          <w:rFonts w:eastAsia="Calibri" w:cstheme="minorHAnsi"/>
        </w:rPr>
        <w:t>A similar approach is taken in the explanatory statements for DI2021-61, DI2021-62, DI2021-63 and DI2021-64, made under the same Act. The explanatory statement for DI2021-64 is, again, more circumstances-specific, stating:</w:t>
      </w:r>
    </w:p>
    <w:p w:rsidR="00535407" w:rsidRPr="00D72C06" w:rsidRDefault="00535407" w:rsidP="00535407">
      <w:pPr>
        <w:keepLines/>
        <w:spacing w:before="120" w:after="120" w:line="260" w:lineRule="atLeast"/>
        <w:ind w:left="720"/>
        <w:rPr>
          <w:rFonts w:eastAsia="Calibri" w:cstheme="minorHAnsi"/>
        </w:rPr>
      </w:pPr>
      <w:r w:rsidRPr="00D72C06">
        <w:rPr>
          <w:rFonts w:eastAsia="Calibri" w:cstheme="minorHAnsi"/>
        </w:rPr>
        <w:t>Light vehicle registration and other registration related road transport fees and charges have been increased by the wage price index of 1.75% in accordance with budget memo 2021/08, rounded down to the nearest ten cents. The short-term pro-rata rate for the Road Rescue Fee has not increased and remains at $2.30 as this fee is one twelfth of the 12-month fee rounded down to the nearest 10 cents. The short-term registration surcharge (payable for registration periods of less than 12 months) has not been changed and remains at $10.</w:t>
      </w:r>
    </w:p>
    <w:p w:rsidR="00535407" w:rsidRDefault="00535407" w:rsidP="00535407">
      <w:pPr>
        <w:keepLines/>
        <w:spacing w:before="120" w:after="120" w:line="260" w:lineRule="atLeast"/>
        <w:ind w:left="720"/>
        <w:rPr>
          <w:rFonts w:eastAsia="Calibri" w:cstheme="minorHAnsi"/>
        </w:rPr>
      </w:pPr>
      <w:r w:rsidRPr="00D72C06">
        <w:rPr>
          <w:rFonts w:eastAsia="Calibri" w:cstheme="minorHAnsi"/>
        </w:rPr>
        <w:t>Heavy vehicle fees are agreed nationally by transport and infrastructure ministers as the Infrastructure and Transport Ministers Meeting (ITMM). ITMM agreed in March 2021 for heavy vehicle registration charges to increase by 2.5%. The Roads component of heavy vehicle registration charges have been increased in line with advice from the National Transport Commission. The Regulatory component of heavy vehicle registration charges have not been increased as these are set to align with the approved budget of the National Heavy Vehicle Regulator.</w:t>
      </w:r>
    </w:p>
    <w:p w:rsidR="00535407" w:rsidRDefault="00535407" w:rsidP="00535407">
      <w:pPr>
        <w:keepLines/>
        <w:spacing w:before="120" w:after="120" w:line="260" w:lineRule="atLeast"/>
        <w:rPr>
          <w:rFonts w:eastAsia="Calibri" w:cstheme="minorHAnsi"/>
        </w:rPr>
      </w:pPr>
      <w:r>
        <w:rPr>
          <w:rFonts w:eastAsia="Calibri" w:cstheme="minorHAnsi"/>
        </w:rPr>
        <w:t>The explanatory statement for the seventh instrument mentioned above –</w:t>
      </w:r>
      <w:r w:rsidRPr="00D72C06">
        <w:rPr>
          <w:rFonts w:eastAsia="Calibri" w:cstheme="minorHAnsi"/>
        </w:rPr>
        <w:t xml:space="preserve"> Fisheries (Fees) Determination 2021</w:t>
      </w:r>
      <w:r>
        <w:rPr>
          <w:rFonts w:eastAsia="Calibri" w:cstheme="minorHAnsi"/>
        </w:rPr>
        <w:t xml:space="preserve"> [</w:t>
      </w:r>
      <w:r w:rsidRPr="00D72C06">
        <w:rPr>
          <w:rFonts w:eastAsia="Calibri" w:cstheme="minorHAnsi"/>
        </w:rPr>
        <w:t>DI2021-70</w:t>
      </w:r>
      <w:r>
        <w:rPr>
          <w:rFonts w:eastAsia="Calibri" w:cstheme="minorHAnsi"/>
        </w:rPr>
        <w:t>] – offers the following explanation for the fees increases determined by the instrument:</w:t>
      </w:r>
    </w:p>
    <w:p w:rsidR="00535407" w:rsidRPr="00D72C06" w:rsidRDefault="00535407" w:rsidP="00535407">
      <w:pPr>
        <w:spacing w:before="120" w:after="120"/>
        <w:ind w:left="720"/>
        <w:rPr>
          <w:rFonts w:cstheme="minorHAnsi"/>
        </w:rPr>
      </w:pPr>
      <w:r w:rsidRPr="00D72C06">
        <w:rPr>
          <w:rFonts w:cstheme="minorHAnsi"/>
        </w:rPr>
        <w:t>The regulatory fees in the determination, which applied in the 2019-20 and 2020-21 financial years, have been increased by 1.75% for the 2021-22 financial year based on the wage price index as per government’s advice. Appropriate rounding has been made in relation to increases.</w:t>
      </w:r>
    </w:p>
    <w:p w:rsidR="00535407" w:rsidRDefault="00535407" w:rsidP="00535407">
      <w:pPr>
        <w:keepLines/>
        <w:spacing w:before="120" w:after="120" w:line="260" w:lineRule="atLeast"/>
        <w:rPr>
          <w:rFonts w:eastAsia="Calibri" w:cstheme="minorHAnsi"/>
        </w:rPr>
      </w:pPr>
      <w:r>
        <w:rPr>
          <w:rFonts w:eastAsia="Calibri" w:cstheme="minorHAnsi"/>
        </w:rPr>
        <w:t xml:space="preserve">The explanatory statement goes on to discuss </w:t>
      </w:r>
      <w:r w:rsidR="00274070">
        <w:rPr>
          <w:rFonts w:eastAsia="Calibri" w:cstheme="minorHAnsi"/>
        </w:rPr>
        <w:t>six</w:t>
      </w:r>
      <w:r>
        <w:rPr>
          <w:rFonts w:eastAsia="Calibri" w:cstheme="minorHAnsi"/>
        </w:rPr>
        <w:t xml:space="preserve"> new fees that are determined by the instrument.</w:t>
      </w:r>
    </w:p>
    <w:p w:rsidR="00535407" w:rsidRDefault="00535407" w:rsidP="00535407">
      <w:pPr>
        <w:keepLines/>
        <w:spacing w:before="120" w:after="120" w:line="260" w:lineRule="atLeast"/>
        <w:rPr>
          <w:rFonts w:eastAsia="Calibri" w:cstheme="minorHAnsi"/>
        </w:rPr>
      </w:pPr>
      <w:r>
        <w:rPr>
          <w:rFonts w:eastAsia="Calibri" w:cstheme="minorHAnsi"/>
        </w:rPr>
        <w:t xml:space="preserve">The explanatory statement for the eighth instrument mentioned above – </w:t>
      </w:r>
      <w:r w:rsidRPr="006B55C2">
        <w:rPr>
          <w:rFonts w:eastAsia="Calibri" w:cstheme="minorHAnsi"/>
        </w:rPr>
        <w:t>Water Resources (Fees) Determination 2021</w:t>
      </w:r>
      <w:r>
        <w:rPr>
          <w:rFonts w:eastAsia="Calibri" w:cstheme="minorHAnsi"/>
        </w:rPr>
        <w:t xml:space="preserve"> [</w:t>
      </w:r>
      <w:r w:rsidRPr="006B55C2">
        <w:rPr>
          <w:rFonts w:eastAsia="Calibri" w:cstheme="minorHAnsi"/>
        </w:rPr>
        <w:t>DI2021-71</w:t>
      </w:r>
      <w:r>
        <w:rPr>
          <w:rFonts w:eastAsia="Calibri" w:cstheme="minorHAnsi"/>
        </w:rPr>
        <w:t>] – offers the same increase figure but, again, a circumstances</w:t>
      </w:r>
      <w:r w:rsidR="006E6D66">
        <w:rPr>
          <w:rFonts w:eastAsia="Calibri" w:cstheme="minorHAnsi"/>
        </w:rPr>
        <w:noBreakHyphen/>
      </w:r>
      <w:r>
        <w:rPr>
          <w:rFonts w:eastAsia="Calibri" w:cstheme="minorHAnsi"/>
        </w:rPr>
        <w:t>specific explanation:</w:t>
      </w:r>
    </w:p>
    <w:p w:rsidR="00535407" w:rsidRPr="006B55C2" w:rsidRDefault="00535407" w:rsidP="00535407">
      <w:pPr>
        <w:keepLines/>
        <w:spacing w:before="120" w:after="120" w:line="260" w:lineRule="atLeast"/>
        <w:ind w:left="720"/>
        <w:rPr>
          <w:rFonts w:eastAsia="Calibri" w:cstheme="minorHAnsi"/>
        </w:rPr>
      </w:pPr>
      <w:r w:rsidRPr="006B55C2">
        <w:rPr>
          <w:rFonts w:eastAsia="Calibri" w:cstheme="minorHAnsi"/>
        </w:rPr>
        <w:t>The regulatory fees (excluding water abstraction charge) in the determination have been increased by 1.75% for the 2021-22 financial year based on the wage price index and then appropriate rounding has been applied in relation to increases. The Government will index the Water Abstraction Charge (WAC) by 3% as per the decision in the 2016-17 Budget.</w:t>
      </w:r>
    </w:p>
    <w:p w:rsidR="00535407" w:rsidRPr="006B55C2" w:rsidRDefault="00535407" w:rsidP="00535407">
      <w:pPr>
        <w:keepLines/>
        <w:spacing w:before="120" w:after="120" w:line="260" w:lineRule="atLeast"/>
        <w:ind w:left="720"/>
        <w:rPr>
          <w:rFonts w:eastAsia="Calibri" w:cstheme="minorHAnsi"/>
        </w:rPr>
      </w:pPr>
      <w:r w:rsidRPr="006B55C2">
        <w:rPr>
          <w:rFonts w:eastAsia="Calibri" w:cstheme="minorHAnsi"/>
        </w:rPr>
        <w:t>The instrument includes an exemption from the payment of the Grant of Water Access Entitlement (WAE) fee where the intended use of the water involves the Territory complying with commitments under the Basin Plan 2012 (</w:t>
      </w:r>
      <w:proofErr w:type="spellStart"/>
      <w:r w:rsidRPr="006B55C2">
        <w:rPr>
          <w:rFonts w:eastAsia="Calibri" w:cstheme="minorHAnsi"/>
        </w:rPr>
        <w:t>Cwlth</w:t>
      </w:r>
      <w:proofErr w:type="spellEnd"/>
      <w:r w:rsidRPr="006B55C2">
        <w:rPr>
          <w:rFonts w:eastAsia="Calibri" w:cstheme="minorHAnsi"/>
        </w:rPr>
        <w:t>).</w:t>
      </w:r>
    </w:p>
    <w:p w:rsidR="00535407" w:rsidRDefault="00535407" w:rsidP="00535407">
      <w:pPr>
        <w:keepLines/>
        <w:spacing w:before="120" w:after="120" w:line="260" w:lineRule="atLeast"/>
        <w:ind w:left="720"/>
        <w:rPr>
          <w:rFonts w:eastAsia="Calibri" w:cstheme="minorHAnsi"/>
        </w:rPr>
      </w:pPr>
      <w:r w:rsidRPr="006B55C2">
        <w:rPr>
          <w:rFonts w:eastAsia="Calibri" w:cstheme="minorHAnsi"/>
        </w:rPr>
        <w:t>This exemption relates to the Grant of WAE fee where the entitlement would be granted (a) to provide the shared reduction amount for the southern Basin Australian Capital Territory zone and/or (b) to facilitate the Territory’s participation in the Murray-Darling Basin Water Efficiency Program – ACT Led Efficiency Project.</w:t>
      </w:r>
    </w:p>
    <w:p w:rsidR="00535407" w:rsidRDefault="00535407" w:rsidP="00535407">
      <w:pPr>
        <w:keepLines/>
        <w:spacing w:before="120" w:after="120" w:line="260" w:lineRule="atLeast"/>
        <w:rPr>
          <w:rFonts w:eastAsia="Calibri" w:cstheme="minorHAnsi"/>
        </w:rPr>
      </w:pPr>
      <w:r>
        <w:rPr>
          <w:rFonts w:eastAsia="Calibri" w:cstheme="minorHAnsi"/>
        </w:rPr>
        <w:t xml:space="preserve">The explanatory statement for the ninth instrument mentioned above – Architects </w:t>
      </w:r>
      <w:r w:rsidRPr="006B55C2">
        <w:rPr>
          <w:rFonts w:eastAsia="Calibri" w:cstheme="minorHAnsi"/>
        </w:rPr>
        <w:t xml:space="preserve">(Fees) Determination 2021 </w:t>
      </w:r>
      <w:r>
        <w:rPr>
          <w:rFonts w:eastAsia="Calibri" w:cstheme="minorHAnsi"/>
        </w:rPr>
        <w:t>[</w:t>
      </w:r>
      <w:r w:rsidRPr="0005697B">
        <w:rPr>
          <w:rFonts w:eastAsia="Calibri" w:cstheme="minorHAnsi"/>
        </w:rPr>
        <w:t>DI2021-72</w:t>
      </w:r>
      <w:r>
        <w:rPr>
          <w:rFonts w:eastAsia="Calibri" w:cstheme="minorHAnsi"/>
        </w:rPr>
        <w:t>] – offers the same increase figure and a similar (but also slightly different) explanation:</w:t>
      </w:r>
    </w:p>
    <w:p w:rsidR="00535407" w:rsidRPr="0005697B" w:rsidRDefault="00535407" w:rsidP="00535407">
      <w:pPr>
        <w:pStyle w:val="LongTitle"/>
        <w:spacing w:before="0" w:after="0"/>
        <w:ind w:left="720"/>
        <w:jc w:val="left"/>
        <w:rPr>
          <w:rFonts w:asciiTheme="minorHAnsi" w:hAnsiTheme="minorHAnsi" w:cstheme="minorHAnsi"/>
          <w:sz w:val="22"/>
          <w:szCs w:val="22"/>
        </w:rPr>
      </w:pPr>
      <w:r w:rsidRPr="0005697B">
        <w:rPr>
          <w:rFonts w:asciiTheme="minorHAnsi" w:hAnsiTheme="minorHAnsi" w:cstheme="minorHAnsi"/>
          <w:sz w:val="22"/>
          <w:szCs w:val="22"/>
          <w:lang w:eastAsia="en-AU"/>
        </w:rPr>
        <w:t xml:space="preserve">The regulatory fees in the determination have been increased by 1.75% </w:t>
      </w:r>
      <w:r w:rsidRPr="0005697B">
        <w:rPr>
          <w:rFonts w:asciiTheme="minorHAnsi" w:hAnsiTheme="minorHAnsi" w:cstheme="minorHAnsi"/>
          <w:sz w:val="22"/>
          <w:szCs w:val="22"/>
        </w:rPr>
        <w:t>for the 2021</w:t>
      </w:r>
      <w:r w:rsidRPr="0005697B">
        <w:rPr>
          <w:rFonts w:asciiTheme="minorHAnsi" w:hAnsiTheme="minorHAnsi" w:cstheme="minorHAnsi"/>
          <w:sz w:val="22"/>
          <w:szCs w:val="22"/>
        </w:rPr>
        <w:noBreakHyphen/>
        <w:t>22 financial year</w:t>
      </w:r>
      <w:r w:rsidRPr="0005697B">
        <w:rPr>
          <w:rFonts w:asciiTheme="minorHAnsi" w:hAnsiTheme="minorHAnsi" w:cstheme="minorHAnsi"/>
          <w:sz w:val="22"/>
          <w:szCs w:val="22"/>
          <w:lang w:eastAsia="en-AU"/>
        </w:rPr>
        <w:t>, based on the wage price index as per government’s advice,</w:t>
      </w:r>
      <w:r w:rsidRPr="0005697B">
        <w:rPr>
          <w:rFonts w:asciiTheme="minorHAnsi" w:hAnsiTheme="minorHAnsi" w:cstheme="minorHAnsi"/>
          <w:sz w:val="22"/>
          <w:szCs w:val="22"/>
        </w:rPr>
        <w:t xml:space="preserve"> </w:t>
      </w:r>
      <w:r w:rsidRPr="0005697B">
        <w:rPr>
          <w:rFonts w:asciiTheme="minorHAnsi" w:hAnsiTheme="minorHAnsi" w:cstheme="minorHAnsi"/>
          <w:sz w:val="22"/>
          <w:szCs w:val="22"/>
          <w:lang w:eastAsia="en-AU"/>
        </w:rPr>
        <w:t>Administration fees relating to refunds are increased by 1.75% (the Wage Price Index), as per the government’s Fees and Charges Policy and Guidelines.</w:t>
      </w:r>
      <w:r w:rsidRPr="0005697B">
        <w:rPr>
          <w:rFonts w:asciiTheme="minorHAnsi" w:hAnsiTheme="minorHAnsi" w:cstheme="minorHAnsi"/>
          <w:sz w:val="22"/>
          <w:szCs w:val="22"/>
        </w:rPr>
        <w:t xml:space="preserve"> Appropriate rounding has been made in relation to increases.</w:t>
      </w:r>
    </w:p>
    <w:p w:rsidR="00535407" w:rsidRDefault="00535407" w:rsidP="00535407">
      <w:pPr>
        <w:keepLines/>
        <w:spacing w:before="120" w:after="120" w:line="260" w:lineRule="atLeast"/>
        <w:rPr>
          <w:rFonts w:eastAsia="Calibri" w:cstheme="minorHAnsi"/>
        </w:rPr>
      </w:pPr>
      <w:r>
        <w:rPr>
          <w:rFonts w:eastAsia="Calibri" w:cstheme="minorHAnsi"/>
        </w:rPr>
        <w:t>The same increase figure and a similar explanation appears in the explanatory statements for DI2021-73 and DI2021-80. The explanatory statements for DI2021-74, DI2021-75, DI2021-76, DI2021-77, DI2021-78 and DI2021-79 are also similar, but without the reference to “</w:t>
      </w:r>
      <w:r w:rsidRPr="001C343B">
        <w:rPr>
          <w:rFonts w:eastAsia="Calibri" w:cstheme="minorHAnsi"/>
        </w:rPr>
        <w:t>the government’s Fees and Charges Policy and Guidelines</w:t>
      </w:r>
      <w:r>
        <w:rPr>
          <w:rFonts w:eastAsia="Calibri" w:cstheme="minorHAnsi"/>
        </w:rPr>
        <w:t>”.</w:t>
      </w:r>
    </w:p>
    <w:p w:rsidR="00535407" w:rsidRPr="00506693" w:rsidRDefault="00535407" w:rsidP="00535407">
      <w:pPr>
        <w:pStyle w:val="Bodycopy"/>
        <w:spacing w:after="0" w:line="280" w:lineRule="exact"/>
        <w:rPr>
          <w:rFonts w:asciiTheme="minorHAnsi" w:hAnsiTheme="minorHAnsi" w:cstheme="minorHAnsi"/>
          <w:bCs/>
          <w:color w:val="auto"/>
          <w:szCs w:val="22"/>
        </w:rPr>
      </w:pPr>
      <w:r w:rsidRPr="00506693">
        <w:rPr>
          <w:rFonts w:asciiTheme="minorHAnsi" w:hAnsiTheme="minorHAnsi" w:cstheme="minorHAnsi"/>
          <w:bCs/>
          <w:color w:val="auto"/>
          <w:szCs w:val="22"/>
        </w:rPr>
        <w:t>The eighteenth instrument mentioned above – Labour Hire Licensing (Fee) Determination 2021 (No</w:t>
      </w:r>
      <w:r w:rsidR="00DA4101">
        <w:rPr>
          <w:rFonts w:asciiTheme="minorHAnsi" w:hAnsiTheme="minorHAnsi" w:cstheme="minorHAnsi"/>
          <w:bCs/>
          <w:color w:val="auto"/>
          <w:szCs w:val="22"/>
        </w:rPr>
        <w:t> </w:t>
      </w:r>
      <w:r w:rsidRPr="00506693">
        <w:rPr>
          <w:rFonts w:asciiTheme="minorHAnsi" w:hAnsiTheme="minorHAnsi" w:cstheme="minorHAnsi"/>
          <w:bCs/>
          <w:color w:val="auto"/>
          <w:szCs w:val="22"/>
        </w:rPr>
        <w:t xml:space="preserve">1) [DI2021-81] – determines new fees, for the </w:t>
      </w:r>
      <w:r w:rsidRPr="00506693">
        <w:rPr>
          <w:rFonts w:asciiTheme="minorHAnsi" w:hAnsiTheme="minorHAnsi" w:cstheme="minorHAnsi"/>
          <w:bCs/>
          <w:i/>
          <w:iCs/>
          <w:color w:val="auto"/>
          <w:szCs w:val="22"/>
        </w:rPr>
        <w:t>Labour Hire Licensing Act 2020</w:t>
      </w:r>
      <w:r w:rsidRPr="00506693">
        <w:rPr>
          <w:rFonts w:asciiTheme="minorHAnsi" w:hAnsiTheme="minorHAnsi" w:cstheme="minorHAnsi"/>
          <w:bCs/>
          <w:color w:val="auto"/>
          <w:szCs w:val="22"/>
        </w:rPr>
        <w:t>.</w:t>
      </w:r>
    </w:p>
    <w:p w:rsidR="00535407" w:rsidRPr="006C36AF" w:rsidRDefault="00535407" w:rsidP="00535407">
      <w:pPr>
        <w:pStyle w:val="Bodycopy"/>
        <w:spacing w:after="0" w:line="280" w:lineRule="exact"/>
        <w:rPr>
          <w:rFonts w:asciiTheme="minorHAnsi" w:hAnsiTheme="minorHAnsi" w:cstheme="minorHAnsi"/>
          <w:color w:val="000000" w:themeColor="text1"/>
          <w:szCs w:val="22"/>
        </w:rPr>
      </w:pPr>
      <w:r w:rsidRPr="006C36AF">
        <w:rPr>
          <w:rFonts w:asciiTheme="minorHAnsi" w:hAnsiTheme="minorHAnsi" w:cstheme="minorHAnsi"/>
          <w:color w:val="000000" w:themeColor="text1"/>
          <w:szCs w:val="22"/>
        </w:rPr>
        <w:t xml:space="preserve">The nineteenth instrument mentioned above – Road Transport (General) Concession Determination 2021 (No 1) [DI2021-83] – also determines new fees, for the </w:t>
      </w:r>
      <w:r w:rsidRPr="006C36AF">
        <w:rPr>
          <w:rFonts w:asciiTheme="minorHAnsi" w:hAnsiTheme="minorHAnsi" w:cstheme="minorHAnsi"/>
          <w:i/>
          <w:iCs/>
          <w:color w:val="000000" w:themeColor="text1"/>
          <w:szCs w:val="22"/>
        </w:rPr>
        <w:t>Road Transport (General) Act 1999</w:t>
      </w:r>
      <w:r w:rsidRPr="006C36AF">
        <w:rPr>
          <w:rFonts w:asciiTheme="minorHAnsi" w:hAnsiTheme="minorHAnsi" w:cstheme="minorHAnsi"/>
          <w:color w:val="000000" w:themeColor="text1"/>
          <w:szCs w:val="22"/>
        </w:rPr>
        <w:t>.  The explanatory statement for the instrument states:</w:t>
      </w:r>
    </w:p>
    <w:p w:rsidR="00535407" w:rsidRDefault="00535407" w:rsidP="00535407">
      <w:pPr>
        <w:pStyle w:val="Bodycopy"/>
        <w:spacing w:before="120" w:after="120" w:line="280" w:lineRule="exact"/>
        <w:ind w:left="720"/>
      </w:pPr>
      <w:r w:rsidRPr="0090107B">
        <w:t>The preference of the Standing Committee on Justice and Community Safety (Legislative Scrutiny Role) t</w:t>
      </w:r>
      <w:r>
        <w:t xml:space="preserve">is </w:t>
      </w:r>
      <w:r w:rsidRPr="0090107B">
        <w:t xml:space="preserve">hat </w:t>
      </w:r>
      <w:r>
        <w:t>[sic] I</w:t>
      </w:r>
      <w:r w:rsidRPr="0090107B">
        <w:t>nstruments or Explanatory Statements identify the amount of the old and new fee, any percentage increase and also the reason for any increase in the Instrument or the Explanatory Statement</w:t>
      </w:r>
      <w:r>
        <w:t>.</w:t>
      </w:r>
    </w:p>
    <w:p w:rsidR="00535407" w:rsidRDefault="00535407" w:rsidP="00535407">
      <w:pPr>
        <w:pStyle w:val="Bodycopy"/>
        <w:spacing w:after="0" w:line="280" w:lineRule="exact"/>
        <w:rPr>
          <w:rFonts w:asciiTheme="minorHAnsi" w:hAnsiTheme="minorHAnsi" w:cstheme="minorHAnsi"/>
          <w:szCs w:val="22"/>
        </w:rPr>
      </w:pPr>
      <w:r>
        <w:rPr>
          <w:rFonts w:asciiTheme="minorHAnsi" w:hAnsiTheme="minorHAnsi" w:cstheme="minorHAnsi"/>
          <w:szCs w:val="22"/>
        </w:rPr>
        <w:t xml:space="preserve">While neither the explanatory statement nor the instrument itself seems to actually address the Committee’s preferences (in terms of “old” and “new” fees, magnitude of increases, </w:t>
      </w:r>
      <w:proofErr w:type="spellStart"/>
      <w:r>
        <w:rPr>
          <w:rFonts w:asciiTheme="minorHAnsi" w:hAnsiTheme="minorHAnsi" w:cstheme="minorHAnsi"/>
          <w:szCs w:val="22"/>
        </w:rPr>
        <w:t>etc</w:t>
      </w:r>
      <w:proofErr w:type="spellEnd"/>
      <w:r>
        <w:rPr>
          <w:rFonts w:asciiTheme="minorHAnsi" w:hAnsiTheme="minorHAnsi" w:cstheme="minorHAnsi"/>
          <w:szCs w:val="22"/>
        </w:rPr>
        <w:t xml:space="preserve">), it is also not clear that the Committee’s preferences strictly or easily apply to the instrument, which determines percentages of fees payable in relation to driver licensing and vehicle registration by persons eligible for concessions.   </w:t>
      </w:r>
    </w:p>
    <w:p w:rsidR="00535407" w:rsidRDefault="00535407" w:rsidP="00535407">
      <w:pPr>
        <w:keepLines/>
        <w:spacing w:before="120" w:after="120" w:line="260" w:lineRule="atLeast"/>
        <w:rPr>
          <w:rFonts w:eastAsia="Calibri" w:cstheme="minorHAnsi"/>
        </w:rPr>
      </w:pPr>
      <w:r>
        <w:rPr>
          <w:rFonts w:eastAsia="Calibri" w:cstheme="minorHAnsi"/>
        </w:rPr>
        <w:t xml:space="preserve">Finally, the Committee notes that the explanatory statement for the twentieth instrument mentioned above – </w:t>
      </w:r>
      <w:r w:rsidRPr="006C36AF">
        <w:rPr>
          <w:rFonts w:eastAsia="Calibri" w:cstheme="minorHAnsi"/>
        </w:rPr>
        <w:t>Unit Titles (Management) (Fees) Determination 2021</w:t>
      </w:r>
      <w:r>
        <w:rPr>
          <w:rFonts w:eastAsia="Calibri" w:cstheme="minorHAnsi"/>
        </w:rPr>
        <w:t xml:space="preserve"> [</w:t>
      </w:r>
      <w:r w:rsidRPr="006C36AF">
        <w:rPr>
          <w:rFonts w:eastAsia="Calibri" w:cstheme="minorHAnsi"/>
        </w:rPr>
        <w:t>DI2021-84</w:t>
      </w:r>
      <w:r>
        <w:rPr>
          <w:rFonts w:eastAsia="Calibri" w:cstheme="minorHAnsi"/>
        </w:rPr>
        <w:t>]</w:t>
      </w:r>
      <w:r w:rsidRPr="006C36AF">
        <w:rPr>
          <w:rFonts w:eastAsia="Calibri" w:cstheme="minorHAnsi"/>
        </w:rPr>
        <w:t xml:space="preserve"> </w:t>
      </w:r>
      <w:r>
        <w:rPr>
          <w:rFonts w:eastAsia="Calibri" w:cstheme="minorHAnsi"/>
        </w:rPr>
        <w:t>– contains the following explanation, in relation to the fees provided for by the instrument:</w:t>
      </w:r>
    </w:p>
    <w:p w:rsidR="00535407" w:rsidRPr="005724A3" w:rsidRDefault="00535407" w:rsidP="00535407">
      <w:pPr>
        <w:pStyle w:val="PlainText"/>
        <w:spacing w:before="120" w:after="120"/>
        <w:ind w:left="720"/>
        <w:rPr>
          <w:rFonts w:asciiTheme="minorHAnsi" w:hAnsiTheme="minorHAnsi" w:cstheme="minorHAnsi"/>
          <w:sz w:val="22"/>
          <w:szCs w:val="22"/>
        </w:rPr>
      </w:pPr>
      <w:r w:rsidRPr="005724A3">
        <w:rPr>
          <w:rFonts w:asciiTheme="minorHAnsi" w:hAnsiTheme="minorHAnsi" w:cstheme="minorHAnsi"/>
          <w:sz w:val="22"/>
          <w:szCs w:val="22"/>
        </w:rPr>
        <w:t xml:space="preserve">This determination increases the fee in item 422 of the schedule in recognition of the commencement of the </w:t>
      </w:r>
      <w:r w:rsidRPr="005724A3">
        <w:rPr>
          <w:rFonts w:asciiTheme="minorHAnsi" w:hAnsiTheme="minorHAnsi" w:cstheme="minorHAnsi"/>
          <w:i/>
          <w:iCs/>
          <w:sz w:val="22"/>
          <w:szCs w:val="22"/>
        </w:rPr>
        <w:t xml:space="preserve">Unit Titles (Management) Certificate Determination 2020 </w:t>
      </w:r>
      <w:r w:rsidRPr="005724A3">
        <w:rPr>
          <w:rFonts w:asciiTheme="minorHAnsi" w:hAnsiTheme="minorHAnsi" w:cstheme="minorHAnsi"/>
          <w:sz w:val="22"/>
          <w:szCs w:val="22"/>
        </w:rPr>
        <w:t xml:space="preserve">(DI2020-285) on 1 November 2020 which prescribes an additional set of information that must now be provided in a unit title certificate under section 119 (1) (a) of the Act.  The fee increase is required as the Certificate must now include significantly more information than previously required, such as information on levies, insurance, warranties and service contracts.  </w:t>
      </w:r>
    </w:p>
    <w:p w:rsidR="00535407" w:rsidRPr="005724A3" w:rsidRDefault="00535407" w:rsidP="00535407">
      <w:pPr>
        <w:pStyle w:val="PlainText"/>
        <w:spacing w:before="120" w:after="120"/>
        <w:ind w:left="720"/>
        <w:rPr>
          <w:rFonts w:asciiTheme="minorHAnsi" w:hAnsiTheme="minorHAnsi" w:cstheme="minorHAnsi"/>
          <w:sz w:val="22"/>
          <w:szCs w:val="22"/>
        </w:rPr>
      </w:pPr>
      <w:r w:rsidRPr="005724A3">
        <w:rPr>
          <w:rFonts w:asciiTheme="minorHAnsi" w:hAnsiTheme="minorHAnsi" w:cstheme="minorHAnsi"/>
          <w:sz w:val="22"/>
          <w:szCs w:val="22"/>
        </w:rPr>
        <w:t xml:space="preserve">This determination also contains a new fee in item 425 of the schedule which is consequential to amendments introduced by section 104 of the </w:t>
      </w:r>
      <w:r w:rsidRPr="005724A3">
        <w:rPr>
          <w:rFonts w:asciiTheme="minorHAnsi" w:hAnsiTheme="minorHAnsi" w:cstheme="minorHAnsi"/>
          <w:i/>
          <w:iCs/>
          <w:sz w:val="22"/>
          <w:szCs w:val="22"/>
        </w:rPr>
        <w:t>Unit Titles Legislation Amendment Act 2020</w:t>
      </w:r>
      <w:r w:rsidRPr="005724A3">
        <w:rPr>
          <w:rFonts w:asciiTheme="minorHAnsi" w:hAnsiTheme="minorHAnsi" w:cstheme="minorHAnsi"/>
          <w:sz w:val="22"/>
          <w:szCs w:val="22"/>
        </w:rPr>
        <w:t>, and now required under section 119 (1) (b) of the Act.</w:t>
      </w:r>
    </w:p>
    <w:p w:rsidR="00535407" w:rsidRPr="006C36AF" w:rsidRDefault="00535407" w:rsidP="00535407">
      <w:pPr>
        <w:spacing w:before="120" w:after="120"/>
        <w:ind w:left="720"/>
        <w:rPr>
          <w:rFonts w:cstheme="minorHAnsi"/>
        </w:rPr>
      </w:pPr>
      <w:r w:rsidRPr="006C36AF">
        <w:rPr>
          <w:rFonts w:cstheme="minorHAnsi"/>
        </w:rPr>
        <w:t xml:space="preserve">As the fees in items 422 and 425 of the schedule are non-government fees payable to the </w:t>
      </w:r>
      <w:proofErr w:type="gramStart"/>
      <w:r w:rsidRPr="006C36AF">
        <w:rPr>
          <w:rFonts w:cstheme="minorHAnsi"/>
        </w:rPr>
        <w:t>owners</w:t>
      </w:r>
      <w:proofErr w:type="gramEnd"/>
      <w:r w:rsidRPr="006C36AF">
        <w:rPr>
          <w:rFonts w:cstheme="minorHAnsi"/>
        </w:rPr>
        <w:t xml:space="preserve"> corporation, the 2018 Treasury Guidelines for Fees and Charges does not apply to this determination.</w:t>
      </w:r>
    </w:p>
    <w:p w:rsidR="00535407" w:rsidRPr="005724A3" w:rsidRDefault="00535407" w:rsidP="00535407">
      <w:pPr>
        <w:pStyle w:val="PlainText"/>
        <w:spacing w:before="120" w:after="120"/>
        <w:ind w:left="720"/>
        <w:rPr>
          <w:rFonts w:asciiTheme="minorHAnsi" w:eastAsia="Calibri" w:hAnsiTheme="minorHAnsi" w:cstheme="minorHAnsi"/>
          <w:sz w:val="22"/>
          <w:szCs w:val="22"/>
        </w:rPr>
      </w:pPr>
      <w:r w:rsidRPr="005724A3">
        <w:rPr>
          <w:rFonts w:asciiTheme="minorHAnsi" w:hAnsiTheme="minorHAnsi" w:cstheme="minorHAnsi"/>
          <w:sz w:val="22"/>
          <w:szCs w:val="22"/>
        </w:rPr>
        <w:t xml:space="preserve">The other fees in this determination, items 423 and 424 of the schedule, are unchanged from the previous fee determination </w:t>
      </w:r>
      <w:r w:rsidRPr="005724A3">
        <w:rPr>
          <w:rFonts w:asciiTheme="minorHAnsi" w:hAnsiTheme="minorHAnsi" w:cstheme="minorHAnsi"/>
          <w:i/>
          <w:sz w:val="22"/>
          <w:szCs w:val="22"/>
          <w:lang w:eastAsia="en-AU"/>
        </w:rPr>
        <w:t xml:space="preserve">Unit Titles (Management) (Fees) Determination 2020 </w:t>
      </w:r>
      <w:r w:rsidRPr="005724A3">
        <w:rPr>
          <w:rFonts w:asciiTheme="minorHAnsi" w:hAnsiTheme="minorHAnsi" w:cstheme="minorHAnsi"/>
          <w:iCs/>
          <w:sz w:val="22"/>
          <w:szCs w:val="22"/>
          <w:lang w:eastAsia="en-AU"/>
        </w:rPr>
        <w:t>(DI2020-155)</w:t>
      </w:r>
      <w:r w:rsidRPr="005724A3">
        <w:rPr>
          <w:rFonts w:asciiTheme="minorHAnsi" w:hAnsiTheme="minorHAnsi" w:cstheme="minorHAnsi"/>
          <w:sz w:val="22"/>
          <w:szCs w:val="22"/>
          <w:lang w:eastAsia="en-AU"/>
        </w:rPr>
        <w:t>.</w:t>
      </w:r>
      <w:r w:rsidRPr="005724A3">
        <w:rPr>
          <w:rFonts w:asciiTheme="minorHAnsi" w:eastAsia="Calibri" w:hAnsiTheme="minorHAnsi" w:cstheme="minorHAnsi"/>
          <w:sz w:val="22"/>
          <w:szCs w:val="22"/>
        </w:rPr>
        <w:t xml:space="preserve"> </w:t>
      </w:r>
    </w:p>
    <w:p w:rsidR="00535407" w:rsidRDefault="00535407" w:rsidP="00535407">
      <w:pPr>
        <w:pStyle w:val="PlainText"/>
        <w:spacing w:before="120" w:after="120"/>
        <w:rPr>
          <w:rFonts w:asciiTheme="minorHAnsi" w:hAnsiTheme="minorHAnsi" w:cstheme="minorHAnsi"/>
          <w:szCs w:val="22"/>
        </w:rPr>
      </w:pPr>
      <w:r>
        <w:rPr>
          <w:rFonts w:asciiTheme="minorHAnsi" w:eastAsia="Calibri" w:hAnsiTheme="minorHAnsi" w:cstheme="minorHAnsi"/>
          <w:b/>
          <w:bCs/>
          <w:szCs w:val="22"/>
        </w:rPr>
        <w:t>The comments immediately above do not require a response from the relevant Ministers.</w:t>
      </w:r>
      <w:bookmarkStart w:id="501" w:name="_Toc46735473"/>
    </w:p>
    <w:p w:rsidR="00535407" w:rsidRPr="00F04B4F" w:rsidRDefault="00535407" w:rsidP="00535407">
      <w:pPr>
        <w:pStyle w:val="Heading3"/>
        <w:spacing w:before="120" w:after="120"/>
        <w:rPr>
          <w:rFonts w:asciiTheme="minorHAnsi" w:hAnsiTheme="minorHAnsi" w:cstheme="minorHAnsi"/>
          <w:sz w:val="22"/>
          <w:szCs w:val="22"/>
        </w:rPr>
      </w:pPr>
      <w:bookmarkStart w:id="502" w:name="_Toc74301943"/>
      <w:r>
        <w:rPr>
          <w:rFonts w:asciiTheme="minorHAnsi" w:hAnsiTheme="minorHAnsi" w:cstheme="minorHAnsi"/>
          <w:sz w:val="22"/>
          <w:szCs w:val="22"/>
        </w:rPr>
        <w:t>Human Rights Issues</w:t>
      </w:r>
      <w:bookmarkEnd w:id="502"/>
      <w:r>
        <w:rPr>
          <w:rFonts w:asciiTheme="minorHAnsi" w:hAnsiTheme="minorHAnsi" w:cstheme="minorHAnsi"/>
          <w:sz w:val="22"/>
          <w:szCs w:val="22"/>
        </w:rPr>
        <w:t xml:space="preserve"> </w:t>
      </w:r>
      <w:bookmarkEnd w:id="501"/>
    </w:p>
    <w:p w:rsidR="00535407" w:rsidRDefault="00535407" w:rsidP="00535407">
      <w:pPr>
        <w:spacing w:before="120" w:after="120" w:line="280" w:lineRule="atLeast"/>
        <w:rPr>
          <w:rFonts w:eastAsia="Calibri" w:cstheme="minorHAnsi"/>
        </w:rPr>
      </w:pPr>
      <w:r>
        <w:rPr>
          <w:rFonts w:eastAsia="Calibri" w:cstheme="minorHAnsi"/>
        </w:rPr>
        <w:t xml:space="preserve">The Committee notes that the explanatory statements for all the instruments mentioned above, </w:t>
      </w:r>
      <w:r>
        <w:rPr>
          <w:rFonts w:eastAsia="Calibri" w:cstheme="minorHAnsi"/>
          <w:u w:val="single"/>
        </w:rPr>
        <w:t>except</w:t>
      </w:r>
      <w:r>
        <w:rPr>
          <w:rFonts w:eastAsia="Calibri" w:cstheme="minorHAnsi"/>
        </w:rPr>
        <w:t xml:space="preserve"> DI2021-53 and DI2021-81, address potential human rights issues, by way of a statement that there are </w:t>
      </w:r>
      <w:r>
        <w:rPr>
          <w:rFonts w:eastAsia="Calibri" w:cstheme="minorHAnsi"/>
          <w:u w:val="single"/>
        </w:rPr>
        <w:t>no</w:t>
      </w:r>
      <w:r>
        <w:rPr>
          <w:rFonts w:eastAsia="Calibri" w:cstheme="minorHAnsi"/>
        </w:rPr>
        <w:t xml:space="preserve"> human rights issues arising from the relevant instrument.</w:t>
      </w:r>
    </w:p>
    <w:p w:rsidR="00535407" w:rsidRDefault="00535407" w:rsidP="00535407">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 mentioned above</w:t>
      </w:r>
      <w:r w:rsidRPr="00E95E87">
        <w:rPr>
          <w:rFonts w:ascii="Calibri" w:hAnsi="Calibri" w:cs="Calibri"/>
          <w:b/>
          <w:bCs/>
          <w:sz w:val="22"/>
          <w:szCs w:val="22"/>
          <w:lang w:eastAsia="en-AU"/>
        </w:rPr>
        <w:t>.</w:t>
      </w:r>
    </w:p>
    <w:p w:rsidR="00535407" w:rsidRDefault="00535407" w:rsidP="00535407">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 xml:space="preserve">This comment does not require a response from the </w:t>
      </w:r>
      <w:r>
        <w:rPr>
          <w:rFonts w:ascii="Calibri" w:hAnsi="Calibri" w:cs="Calibri"/>
          <w:b/>
          <w:bCs/>
          <w:sz w:val="22"/>
          <w:szCs w:val="22"/>
          <w:lang w:eastAsia="en-AU"/>
        </w:rPr>
        <w:t xml:space="preserve">relevant </w:t>
      </w:r>
      <w:r w:rsidRPr="00A66BED">
        <w:rPr>
          <w:rFonts w:ascii="Calibri" w:hAnsi="Calibri" w:cs="Calibri"/>
          <w:b/>
          <w:bCs/>
          <w:sz w:val="22"/>
          <w:szCs w:val="22"/>
          <w:lang w:eastAsia="en-AU"/>
        </w:rPr>
        <w:t>Minister</w:t>
      </w:r>
      <w:r>
        <w:rPr>
          <w:rFonts w:ascii="Calibri" w:hAnsi="Calibri" w:cs="Calibri"/>
          <w:b/>
          <w:bCs/>
          <w:sz w:val="22"/>
          <w:szCs w:val="22"/>
          <w:lang w:eastAsia="en-AU"/>
        </w:rPr>
        <w:t>s</w:t>
      </w:r>
      <w:r w:rsidRPr="00A66BED">
        <w:rPr>
          <w:rFonts w:ascii="Calibri" w:hAnsi="Calibri" w:cs="Calibri"/>
          <w:b/>
          <w:bCs/>
          <w:sz w:val="22"/>
          <w:szCs w:val="22"/>
          <w:lang w:eastAsia="en-AU"/>
        </w:rPr>
        <w:t>.</w:t>
      </w:r>
    </w:p>
    <w:p w:rsidR="00535407" w:rsidRDefault="00535407" w:rsidP="00535407">
      <w:pPr>
        <w:spacing w:before="120" w:after="120"/>
        <w:rPr>
          <w:rFonts w:ascii="Calibri" w:hAnsi="Calibri" w:cs="Calibri"/>
          <w:i/>
          <w:iCs/>
        </w:rPr>
      </w:pPr>
      <w:r>
        <w:rPr>
          <w:rFonts w:ascii="Calibri" w:hAnsi="Calibri" w:cs="Calibri"/>
          <w:i/>
          <w:iCs/>
        </w:rPr>
        <w:t>COVID-19-related instrument / Retrospectivity</w:t>
      </w:r>
    </w:p>
    <w:p w:rsidR="00535407" w:rsidRPr="00842199" w:rsidRDefault="00535407" w:rsidP="00DF2B7E">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DI2021-54</w:t>
      </w:r>
      <w:r w:rsidRPr="00451C85">
        <w:rPr>
          <w:b/>
        </w:rPr>
        <w:t xml:space="preserve"> being the </w:t>
      </w:r>
      <w:r>
        <w:rPr>
          <w:b/>
        </w:rPr>
        <w:t xml:space="preserve">Liquor (COVID-19 Emergency Response—Licence Fee Waiver and Reduction) Declaration 2021 (No 1) made under section 35 and 229 of the </w:t>
      </w:r>
      <w:r w:rsidRPr="00DF2B7E">
        <w:rPr>
          <w:b/>
        </w:rPr>
        <w:t>Liquor Regulation 2010</w:t>
      </w:r>
      <w:r w:rsidRPr="00236BDD">
        <w:rPr>
          <w:b/>
        </w:rPr>
        <w:t xml:space="preserve"> </w:t>
      </w:r>
      <w:r>
        <w:rPr>
          <w:b/>
        </w:rPr>
        <w:t xml:space="preserve">revokes DI2021-23 and waives or reduces fees payable for specified liquor licences due to the COVID-19 public health emergency. </w:t>
      </w:r>
    </w:p>
    <w:p w:rsidR="00535407" w:rsidRDefault="00535407" w:rsidP="00535407">
      <w:pPr>
        <w:spacing w:before="120" w:after="120"/>
        <w:rPr>
          <w:rFonts w:ascii="Calibri" w:hAnsi="Calibri" w:cs="Calibri"/>
        </w:rPr>
      </w:pPr>
      <w:r>
        <w:rPr>
          <w:rFonts w:ascii="Calibri" w:hAnsi="Calibri" w:cs="Calibri"/>
        </w:rPr>
        <w:t xml:space="preserve">This instrument, made under sections 35 and 229 of the </w:t>
      </w:r>
      <w:r>
        <w:rPr>
          <w:rFonts w:ascii="Calibri" w:hAnsi="Calibri" w:cs="Calibri"/>
          <w:i/>
          <w:iCs/>
        </w:rPr>
        <w:t>Liquor Regulation 2012</w:t>
      </w:r>
      <w:r>
        <w:rPr>
          <w:rFonts w:ascii="Calibri" w:hAnsi="Calibri" w:cs="Calibri"/>
        </w:rPr>
        <w:t xml:space="preserve">, waives or reduces certain fees payable under the </w:t>
      </w:r>
      <w:r>
        <w:rPr>
          <w:rFonts w:ascii="Calibri" w:hAnsi="Calibri" w:cs="Calibri"/>
          <w:i/>
          <w:iCs/>
        </w:rPr>
        <w:t>Liquor Act 2010</w:t>
      </w:r>
      <w:r w:rsidR="00CB62E4">
        <w:rPr>
          <w:rFonts w:ascii="Calibri" w:hAnsi="Calibri" w:cs="Calibri"/>
        </w:rPr>
        <w:t xml:space="preserve">. </w:t>
      </w:r>
      <w:r>
        <w:rPr>
          <w:rFonts w:ascii="Calibri" w:hAnsi="Calibri" w:cs="Calibri"/>
        </w:rPr>
        <w:t>The explanatory statement for the instrument indicates that the waivers and reductions are made in the context of “[supporting] Canberra’s economic recovery from the COVID-19 pandemic”.</w:t>
      </w:r>
    </w:p>
    <w:p w:rsidR="00535407" w:rsidRDefault="00535407" w:rsidP="00535407">
      <w:pPr>
        <w:spacing w:before="120" w:after="120"/>
        <w:rPr>
          <w:rFonts w:ascii="Calibri" w:hAnsi="Calibri" w:cs="Calibri"/>
        </w:rPr>
      </w:pPr>
      <w:r>
        <w:rPr>
          <w:rFonts w:ascii="Calibri" w:hAnsi="Calibri" w:cs="Calibri"/>
        </w:rPr>
        <w:t>Section 2 of the instrument provides that it is taken to have commenced on 1 April 2021.  Given that the instrument was notified on the ACT Legislation Register on 22 April 2021, this means that the instrument has a retrospective effect.</w:t>
      </w:r>
    </w:p>
    <w:p w:rsidR="00535407" w:rsidRDefault="00535407" w:rsidP="00535407">
      <w:pPr>
        <w:spacing w:before="120" w:after="120"/>
        <w:rPr>
          <w:rFonts w:ascii="Calibri" w:hAnsi="Calibri" w:cs="Calibri"/>
        </w:rPr>
      </w:pPr>
      <w:r>
        <w:rPr>
          <w:rFonts w:ascii="Calibri" w:hAnsi="Calibri" w:cs="Calibri"/>
        </w:rPr>
        <w:t>The Committee notes, with approval, that the explanatory statement for the instrument states:</w:t>
      </w:r>
    </w:p>
    <w:p w:rsidR="00535407" w:rsidRPr="00695DB0" w:rsidRDefault="00535407" w:rsidP="00535407">
      <w:pPr>
        <w:spacing w:before="120" w:after="120"/>
        <w:ind w:left="720"/>
        <w:rPr>
          <w:rFonts w:cstheme="minorHAnsi"/>
        </w:rPr>
      </w:pPr>
      <w:r w:rsidRPr="00695DB0">
        <w:rPr>
          <w:rFonts w:cstheme="minorHAnsi"/>
        </w:rPr>
        <w:t xml:space="preserve">Section 76 of the </w:t>
      </w:r>
      <w:r w:rsidRPr="00695DB0">
        <w:rPr>
          <w:rFonts w:cstheme="minorHAnsi"/>
          <w:i/>
          <w:iCs/>
        </w:rPr>
        <w:t>Legislation Act 2001</w:t>
      </w:r>
      <w:r w:rsidRPr="00695DB0">
        <w:rPr>
          <w:rFonts w:cstheme="minorHAnsi"/>
        </w:rPr>
        <w:t xml:space="preserve"> (the Legislation Act) provides that non-prejudicial provisions may commence retrospectively. Section 76 (4) of the Legislation Act notes that a provision is “prejudicial” if it operates adverse to the rights of individuals or if it imposes liabilities on individuals. Section 76 (4) further provides that retrospectivity that is prejudicial to the Territory or to a territory authority or instrumentality is permitted. </w:t>
      </w:r>
    </w:p>
    <w:p w:rsidR="00535407" w:rsidRPr="00695DB0" w:rsidRDefault="00535407" w:rsidP="00535407">
      <w:pPr>
        <w:spacing w:before="120" w:after="120"/>
        <w:ind w:left="720"/>
        <w:rPr>
          <w:rFonts w:cstheme="minorHAnsi"/>
        </w:rPr>
      </w:pPr>
      <w:r w:rsidRPr="00695DB0">
        <w:rPr>
          <w:rFonts w:cstheme="minorHAnsi"/>
        </w:rPr>
        <w:t xml:space="preserve">This instrument commences retrospectively pursuant to section 76 </w:t>
      </w:r>
      <w:bookmarkStart w:id="503" w:name="_Hlk67666502"/>
      <w:r w:rsidRPr="00695DB0">
        <w:rPr>
          <w:rFonts w:cstheme="minorHAnsi"/>
        </w:rPr>
        <w:t>of the Legislation Act</w:t>
      </w:r>
      <w:r w:rsidRPr="00695DB0">
        <w:rPr>
          <w:rFonts w:cstheme="minorHAnsi"/>
          <w:i/>
          <w:iCs/>
        </w:rPr>
        <w:t xml:space="preserve"> </w:t>
      </w:r>
      <w:bookmarkEnd w:id="503"/>
      <w:r w:rsidRPr="00695DB0">
        <w:rPr>
          <w:rFonts w:cstheme="minorHAnsi"/>
        </w:rPr>
        <w:t xml:space="preserve">to ensure that an economic tapering measure declared by this instrument comes into effect from 1 April 2021, immediately after the cessation of a COVID-19 economic survival measure on 31 March 2021, set out in the </w:t>
      </w:r>
      <w:r w:rsidRPr="00695DB0">
        <w:rPr>
          <w:rFonts w:cstheme="minorHAnsi"/>
          <w:i/>
          <w:iCs/>
        </w:rPr>
        <w:t>Liquor (COVID-19 Emergency Response—Licence Fee Waiver) Declaration 2021</w:t>
      </w:r>
      <w:r>
        <w:rPr>
          <w:rFonts w:cstheme="minorHAnsi"/>
          <w:i/>
          <w:iCs/>
        </w:rPr>
        <w:t xml:space="preserve"> </w:t>
      </w:r>
      <w:r w:rsidRPr="00695DB0">
        <w:rPr>
          <w:rFonts w:cstheme="minorHAnsi"/>
          <w:i/>
          <w:iCs/>
        </w:rPr>
        <w:t>(No 1)</w:t>
      </w:r>
      <w:r w:rsidRPr="00695DB0">
        <w:rPr>
          <w:rFonts w:cstheme="minorHAnsi"/>
        </w:rPr>
        <w:t xml:space="preserve"> DI2021–23 (repealed). This instrument allows eligible liquor licences to receive a 50% fee reduction from 1 April 2021 despite its later notification date. This declaration gives effect to fee waivers and reduction for eligible liquor </w:t>
      </w:r>
      <w:proofErr w:type="spellStart"/>
      <w:r w:rsidRPr="00695DB0">
        <w:rPr>
          <w:rFonts w:cstheme="minorHAnsi"/>
        </w:rPr>
        <w:t>licensee</w:t>
      </w:r>
      <w:proofErr w:type="spellEnd"/>
      <w:r w:rsidRPr="00695DB0">
        <w:rPr>
          <w:rFonts w:cstheme="minorHAnsi"/>
        </w:rPr>
        <w:t xml:space="preserve"> in aid of their business recovery and is justifiably non-prejudicial in accordance with section 76 of the Legislation Act. </w:t>
      </w:r>
    </w:p>
    <w:p w:rsidR="00535407" w:rsidRDefault="00535407" w:rsidP="00535407">
      <w:pPr>
        <w:spacing w:before="120" w:after="120"/>
        <w:rPr>
          <w:rFonts w:cstheme="minorHAnsi"/>
        </w:rPr>
      </w:pPr>
      <w:r>
        <w:rPr>
          <w:rFonts w:cstheme="minorHAnsi"/>
        </w:rPr>
        <w:t xml:space="preserve">The Committee also notes that the retrospective operation of this instrument  was foreshadowed in the explanatory material for </w:t>
      </w:r>
      <w:r w:rsidRPr="000B72BE">
        <w:rPr>
          <w:rFonts w:cstheme="minorHAnsi"/>
        </w:rPr>
        <w:t xml:space="preserve">the </w:t>
      </w:r>
      <w:r w:rsidRPr="000B72BE">
        <w:rPr>
          <w:rFonts w:cstheme="minorHAnsi"/>
          <w:i/>
          <w:iCs/>
        </w:rPr>
        <w:t>Liquor Amendment Regulation 2021 (No 1)</w:t>
      </w:r>
      <w:r w:rsidRPr="000B72BE">
        <w:t xml:space="preserve"> </w:t>
      </w:r>
      <w:r>
        <w:t>[</w:t>
      </w:r>
      <w:r w:rsidRPr="000B72BE">
        <w:rPr>
          <w:rFonts w:cstheme="minorHAnsi"/>
        </w:rPr>
        <w:t>SL2021-7</w:t>
      </w:r>
      <w:r>
        <w:rPr>
          <w:rFonts w:cstheme="minorHAnsi"/>
        </w:rPr>
        <w:t xml:space="preserve">], which the Committee considered in </w:t>
      </w:r>
      <w:r>
        <w:rPr>
          <w:rFonts w:cstheme="minorHAnsi"/>
          <w:i/>
          <w:iCs/>
        </w:rPr>
        <w:t xml:space="preserve">Scrutiny Report 5 </w:t>
      </w:r>
      <w:r>
        <w:rPr>
          <w:rFonts w:cstheme="minorHAnsi"/>
        </w:rPr>
        <w:t>of the 10</w:t>
      </w:r>
      <w:r w:rsidRPr="000B72BE">
        <w:rPr>
          <w:rFonts w:cstheme="minorHAnsi"/>
          <w:vertAlign w:val="superscript"/>
        </w:rPr>
        <w:t>th</w:t>
      </w:r>
      <w:r>
        <w:rPr>
          <w:rFonts w:cstheme="minorHAnsi"/>
        </w:rPr>
        <w:t xml:space="preserve"> Assembly (26 May 2021).</w:t>
      </w:r>
    </w:p>
    <w:p w:rsidR="00535407" w:rsidRDefault="00535407" w:rsidP="00535407">
      <w:pPr>
        <w:spacing w:before="120" w:after="120"/>
        <w:rPr>
          <w:rFonts w:cstheme="minorHAnsi"/>
          <w:b/>
          <w:bCs/>
        </w:rPr>
      </w:pPr>
      <w:r>
        <w:rPr>
          <w:rFonts w:cstheme="minorHAnsi"/>
          <w:b/>
          <w:bCs/>
        </w:rPr>
        <w:t>This comment does not require a response from the Minister.</w:t>
      </w:r>
    </w:p>
    <w:p w:rsidR="00535407" w:rsidRDefault="00535407" w:rsidP="00535407">
      <w:pPr>
        <w:spacing w:before="120" w:after="120"/>
        <w:rPr>
          <w:rFonts w:cstheme="minorHAnsi"/>
          <w:i/>
          <w:iCs/>
        </w:rPr>
      </w:pPr>
      <w:r>
        <w:rPr>
          <w:rFonts w:cstheme="minorHAnsi"/>
          <w:i/>
          <w:iCs/>
        </w:rPr>
        <w:t>Is this a disallowable instrument?</w:t>
      </w:r>
    </w:p>
    <w:p w:rsidR="00535407" w:rsidRPr="00842199" w:rsidRDefault="00535407" w:rsidP="00FF297C">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DI2021-56</w:t>
      </w:r>
      <w:r w:rsidRPr="00451C85">
        <w:rPr>
          <w:b/>
        </w:rPr>
        <w:t xml:space="preserve"> being the </w:t>
      </w:r>
      <w:r>
        <w:rPr>
          <w:b/>
        </w:rPr>
        <w:t>Public Trustee and Guardian (Investment Board) Appointment 2021 (No 1) made under paragraph 48(1</w:t>
      </w:r>
      <w:proofErr w:type="gramStart"/>
      <w:r>
        <w:rPr>
          <w:b/>
        </w:rPr>
        <w:t>)(</w:t>
      </w:r>
      <w:proofErr w:type="gramEnd"/>
      <w:r>
        <w:rPr>
          <w:b/>
        </w:rPr>
        <w:t xml:space="preserve">b) of the </w:t>
      </w:r>
      <w:r w:rsidRPr="00DB629B">
        <w:rPr>
          <w:i/>
        </w:rPr>
        <w:t>Public Trustee and Guardian Act 1985</w:t>
      </w:r>
      <w:r w:rsidRPr="00236BDD">
        <w:rPr>
          <w:b/>
        </w:rPr>
        <w:t xml:space="preserve"> </w:t>
      </w:r>
      <w:r>
        <w:rPr>
          <w:b/>
        </w:rPr>
        <w:t xml:space="preserve">appoints a specified person as a member of the Public Trustee and Guardian Investment Board. </w:t>
      </w:r>
    </w:p>
    <w:p w:rsidR="00535407" w:rsidRDefault="00535407" w:rsidP="00535407">
      <w:pPr>
        <w:spacing w:before="120" w:after="120"/>
        <w:rPr>
          <w:rFonts w:cstheme="minorHAnsi"/>
        </w:rPr>
      </w:pPr>
      <w:r>
        <w:rPr>
          <w:rFonts w:cstheme="minorHAnsi"/>
        </w:rPr>
        <w:t>This instrument appoints a specified person to the Public Trustee and Guardian Investment Board, under paragraph 48(1</w:t>
      </w:r>
      <w:proofErr w:type="gramStart"/>
      <w:r>
        <w:rPr>
          <w:rFonts w:cstheme="minorHAnsi"/>
        </w:rPr>
        <w:t>)(</w:t>
      </w:r>
      <w:proofErr w:type="gramEnd"/>
      <w:r>
        <w:rPr>
          <w:rFonts w:cstheme="minorHAnsi"/>
        </w:rPr>
        <w:t xml:space="preserve">b) of the </w:t>
      </w:r>
      <w:r w:rsidRPr="0013556B">
        <w:rPr>
          <w:rFonts w:cstheme="minorHAnsi"/>
          <w:i/>
          <w:iCs/>
        </w:rPr>
        <w:t>Public Trustee and Guardian Act 1985</w:t>
      </w:r>
      <w:r>
        <w:rPr>
          <w:rFonts w:cstheme="minorHAnsi"/>
        </w:rPr>
        <w:t>. The Committee notes that Note 2 to subsection 48(1) of the Public Trustee and Guardian Act states:</w:t>
      </w:r>
    </w:p>
    <w:p w:rsidR="00535407" w:rsidRPr="0013556B" w:rsidRDefault="00535407" w:rsidP="00535407">
      <w:pPr>
        <w:spacing w:before="120" w:after="120"/>
        <w:ind w:left="720"/>
        <w:rPr>
          <w:rFonts w:cstheme="minorHAnsi"/>
          <w:color w:val="000000" w:themeColor="text1"/>
        </w:rPr>
      </w:pPr>
      <w:r w:rsidRPr="0013556B">
        <w:rPr>
          <w:rFonts w:cstheme="minorHAnsi"/>
          <w:i/>
          <w:iCs/>
          <w:color w:val="000000" w:themeColor="text1"/>
        </w:rPr>
        <w:t>Note 3 </w:t>
      </w:r>
      <w:r w:rsidRPr="0013556B">
        <w:rPr>
          <w:rFonts w:cstheme="minorHAnsi"/>
          <w:color w:val="000000" w:themeColor="text1"/>
        </w:rPr>
        <w:t>    Certain Ministerial appointments require consultation with an Assembly committee and are disallowable (see</w:t>
      </w:r>
      <w:r w:rsidRPr="0013556B">
        <w:rPr>
          <w:rFonts w:cstheme="minorHAnsi"/>
          <w:i/>
          <w:iCs/>
          <w:color w:val="000000" w:themeColor="text1"/>
        </w:rPr>
        <w:t> </w:t>
      </w:r>
      <w:hyperlink r:id="rId25" w:history="1">
        <w:r w:rsidRPr="0013556B">
          <w:rPr>
            <w:rFonts w:cstheme="minorHAnsi"/>
            <w:i/>
            <w:iCs/>
            <w:color w:val="000000" w:themeColor="text1"/>
          </w:rPr>
          <w:t>Legislation Act 2001</w:t>
        </w:r>
      </w:hyperlink>
      <w:r w:rsidRPr="0013556B">
        <w:rPr>
          <w:rFonts w:cstheme="minorHAnsi"/>
          <w:color w:val="000000" w:themeColor="text1"/>
        </w:rPr>
        <w:t>, div 19.3.3).</w:t>
      </w:r>
    </w:p>
    <w:p w:rsidR="00535407" w:rsidRDefault="00535407" w:rsidP="00535407">
      <w:pPr>
        <w:spacing w:before="120" w:after="120"/>
        <w:rPr>
          <w:rFonts w:cstheme="minorHAnsi"/>
        </w:rPr>
      </w:pPr>
      <w:r>
        <w:rPr>
          <w:rFonts w:cstheme="minorHAnsi"/>
        </w:rPr>
        <w:t>This particular appointment is made by disallowable instrument, bringing it within the Committee’s legislative scrutiny jurisdiction.</w:t>
      </w:r>
    </w:p>
    <w:p w:rsidR="00535407" w:rsidRPr="0013556B" w:rsidRDefault="00535407" w:rsidP="00535407">
      <w:pPr>
        <w:keepLines/>
        <w:spacing w:before="120" w:after="120" w:line="259" w:lineRule="auto"/>
        <w:rPr>
          <w:rFonts w:ascii="Calibri" w:eastAsia="Calibri" w:hAnsi="Calibri" w:cs="Calibri"/>
          <w:lang w:val="en-US"/>
        </w:rPr>
      </w:pPr>
      <w:r w:rsidRPr="0013556B">
        <w:rPr>
          <w:rFonts w:ascii="Calibri" w:eastAsia="Calibri" w:hAnsi="Calibri" w:cs="Calibri"/>
          <w:lang w:val="en-US"/>
        </w:rPr>
        <w:t xml:space="preserve">The Committee notes that section 227 of the </w:t>
      </w:r>
      <w:r w:rsidRPr="0013556B">
        <w:rPr>
          <w:rFonts w:ascii="Calibri" w:eastAsia="Calibri" w:hAnsi="Calibri" w:cs="Calibri"/>
          <w:i/>
          <w:lang w:val="en-US"/>
        </w:rPr>
        <w:t>Legislation Act 2001</w:t>
      </w:r>
      <w:r w:rsidRPr="0013556B">
        <w:rPr>
          <w:rFonts w:ascii="Calibri" w:eastAsia="Calibri" w:hAnsi="Calibri" w:cs="Calibri"/>
          <w:lang w:val="en-US"/>
        </w:rPr>
        <w:t xml:space="preserve"> deals generally with the making of appointments to statutory positions by Ministers. It provides:</w:t>
      </w:r>
    </w:p>
    <w:p w:rsidR="00535407" w:rsidRPr="0013556B" w:rsidRDefault="00535407" w:rsidP="00535407">
      <w:pPr>
        <w:keepNext/>
        <w:keepLines/>
        <w:tabs>
          <w:tab w:val="left" w:pos="1350"/>
        </w:tabs>
        <w:spacing w:before="120" w:after="120" w:line="259" w:lineRule="auto"/>
        <w:ind w:left="1354" w:hanging="994"/>
        <w:rPr>
          <w:rFonts w:ascii="Calibri" w:eastAsia="Calibri" w:hAnsi="Calibri" w:cs="Calibri"/>
          <w:b/>
          <w:lang w:val="en-US"/>
        </w:rPr>
      </w:pPr>
      <w:r w:rsidRPr="0013556B">
        <w:rPr>
          <w:rFonts w:ascii="Calibri" w:eastAsia="Calibri" w:hAnsi="Calibri" w:cs="Calibri"/>
          <w:b/>
          <w:lang w:val="en-US"/>
        </w:rPr>
        <w:t>227</w:t>
      </w:r>
      <w:r w:rsidRPr="0013556B">
        <w:rPr>
          <w:rFonts w:ascii="Calibri" w:eastAsia="Calibri" w:hAnsi="Calibri" w:cs="Calibri"/>
          <w:b/>
          <w:lang w:val="en-US"/>
        </w:rPr>
        <w:tab/>
        <w:t>Application—div 19.3.3</w:t>
      </w:r>
    </w:p>
    <w:p w:rsidR="00535407" w:rsidRPr="0013556B" w:rsidRDefault="00535407" w:rsidP="00535407">
      <w:pPr>
        <w:keepLines/>
        <w:numPr>
          <w:ilvl w:val="0"/>
          <w:numId w:val="37"/>
        </w:numPr>
        <w:tabs>
          <w:tab w:val="left" w:pos="810"/>
          <w:tab w:val="left" w:pos="1350"/>
        </w:tabs>
        <w:spacing w:before="120" w:after="120" w:line="260" w:lineRule="exact"/>
        <w:ind w:hanging="547"/>
        <w:rPr>
          <w:rFonts w:ascii="Calibri" w:eastAsia="Calibri" w:hAnsi="Calibri" w:cs="Calibri"/>
        </w:rPr>
      </w:pPr>
      <w:r w:rsidRPr="0013556B">
        <w:rPr>
          <w:rFonts w:ascii="Calibri" w:eastAsia="Calibri" w:hAnsi="Calibri" w:cs="Calibri"/>
        </w:rPr>
        <w:t>This division applies if a Minister has the power under an Act to appoint a person to a statutory position.</w:t>
      </w:r>
    </w:p>
    <w:p w:rsidR="00535407" w:rsidRPr="0013556B" w:rsidRDefault="00535407" w:rsidP="00535407">
      <w:pPr>
        <w:keepLines/>
        <w:numPr>
          <w:ilvl w:val="0"/>
          <w:numId w:val="37"/>
        </w:numPr>
        <w:tabs>
          <w:tab w:val="left" w:pos="810"/>
          <w:tab w:val="left" w:pos="1350"/>
        </w:tabs>
        <w:spacing w:before="120" w:after="120" w:line="260" w:lineRule="exact"/>
        <w:ind w:hanging="547"/>
        <w:rPr>
          <w:rFonts w:ascii="Calibri" w:eastAsia="Calibri" w:hAnsi="Calibri" w:cs="Calibri"/>
        </w:rPr>
      </w:pPr>
      <w:r w:rsidRPr="0013556B">
        <w:rPr>
          <w:rFonts w:ascii="Calibri" w:eastAsia="Calibri" w:hAnsi="Calibri" w:cs="Calibri"/>
        </w:rPr>
        <w:t>However, this division does not apply to an appointment of—</w:t>
      </w:r>
    </w:p>
    <w:p w:rsidR="00535407" w:rsidRPr="0013556B" w:rsidRDefault="00535407" w:rsidP="00535407">
      <w:pPr>
        <w:numPr>
          <w:ilvl w:val="1"/>
          <w:numId w:val="37"/>
        </w:numPr>
        <w:tabs>
          <w:tab w:val="left" w:pos="0"/>
          <w:tab w:val="left" w:pos="1350"/>
        </w:tabs>
        <w:spacing w:before="120" w:after="120" w:line="260" w:lineRule="exact"/>
        <w:ind w:hanging="547"/>
        <w:rPr>
          <w:rFonts w:ascii="Calibri" w:hAnsi="Calibri" w:cs="Calibri"/>
        </w:rPr>
      </w:pPr>
      <w:r w:rsidRPr="0013556B">
        <w:rPr>
          <w:rFonts w:ascii="Calibri" w:hAnsi="Calibri" w:cs="Calibri"/>
        </w:rPr>
        <w:t>a public servant to a statutory position (whether or not the Act under which the appointment is made requires that the appointee be a public servant); or</w:t>
      </w:r>
    </w:p>
    <w:p w:rsidR="00535407" w:rsidRPr="0013556B" w:rsidRDefault="00535407" w:rsidP="00535407">
      <w:pPr>
        <w:numPr>
          <w:ilvl w:val="1"/>
          <w:numId w:val="37"/>
        </w:numPr>
        <w:tabs>
          <w:tab w:val="left" w:pos="0"/>
          <w:tab w:val="left" w:pos="1350"/>
        </w:tabs>
        <w:spacing w:before="120" w:after="120" w:line="260" w:lineRule="exact"/>
        <w:ind w:hanging="547"/>
        <w:rPr>
          <w:rFonts w:ascii="Calibri" w:hAnsi="Calibri" w:cs="Calibri"/>
        </w:rPr>
      </w:pPr>
      <w:r w:rsidRPr="0013556B">
        <w:rPr>
          <w:rFonts w:ascii="Calibri" w:hAnsi="Calibri" w:cs="Calibri"/>
        </w:rPr>
        <w:t>a person to, or to act in, a statutory position for not longer than 6 months, unless the appointment is of the person to, or to act in, the position for a 2nd or subsequent consecutive period; or</w:t>
      </w:r>
    </w:p>
    <w:p w:rsidR="00535407" w:rsidRPr="0013556B" w:rsidRDefault="00535407" w:rsidP="00535407">
      <w:pPr>
        <w:numPr>
          <w:ilvl w:val="1"/>
          <w:numId w:val="37"/>
        </w:numPr>
        <w:tabs>
          <w:tab w:val="left" w:pos="0"/>
          <w:tab w:val="left" w:pos="1350"/>
        </w:tabs>
        <w:spacing w:before="120" w:after="120" w:line="260" w:lineRule="exact"/>
        <w:ind w:hanging="547"/>
        <w:rPr>
          <w:rFonts w:ascii="Calibri" w:hAnsi="Calibri" w:cs="Calibri"/>
        </w:rPr>
      </w:pPr>
      <w:proofErr w:type="gramStart"/>
      <w:r w:rsidRPr="0013556B">
        <w:rPr>
          <w:rFonts w:ascii="Calibri" w:hAnsi="Calibri" w:cs="Calibri"/>
        </w:rPr>
        <w:t>a</w:t>
      </w:r>
      <w:proofErr w:type="gramEnd"/>
      <w:r w:rsidRPr="0013556B">
        <w:rPr>
          <w:rFonts w:ascii="Calibri" w:hAnsi="Calibri" w:cs="Calibri"/>
        </w:rPr>
        <w:t xml:space="preserve"> person to a statutory position if the only function of the position is to advise the Minister.</w:t>
      </w:r>
    </w:p>
    <w:p w:rsidR="00535407" w:rsidRPr="0013556B" w:rsidRDefault="00535407" w:rsidP="00535407">
      <w:pPr>
        <w:keepLines/>
        <w:spacing w:before="120" w:after="120" w:line="259" w:lineRule="auto"/>
        <w:rPr>
          <w:rFonts w:ascii="Calibri" w:eastAsia="Calibri" w:hAnsi="Calibri" w:cs="Calibri"/>
          <w:lang w:val="en-US"/>
        </w:rPr>
      </w:pPr>
      <w:r w:rsidRPr="0013556B">
        <w:rPr>
          <w:rFonts w:ascii="Calibri" w:eastAsia="Calibri" w:hAnsi="Calibri" w:cs="Calibri"/>
          <w:lang w:val="en-US"/>
        </w:rPr>
        <w:t xml:space="preserve">In the light of paragraph 227(2)(a) of the </w:t>
      </w:r>
      <w:r w:rsidRPr="0013556B">
        <w:rPr>
          <w:rFonts w:ascii="Calibri" w:eastAsia="Calibri" w:hAnsi="Calibri" w:cs="Calibri"/>
          <w:i/>
          <w:lang w:val="en-US"/>
        </w:rPr>
        <w:t>Legislation Act</w:t>
      </w:r>
      <w:r w:rsidRPr="0013556B">
        <w:rPr>
          <w:rFonts w:ascii="Calibri" w:eastAsia="Calibri" w:hAnsi="Calibri" w:cs="Calibri"/>
          <w:lang w:val="en-US"/>
        </w:rPr>
        <w:t xml:space="preserve">, the Committee has consistently maintained that instruments of appointment should clearly state that the appointee is </w:t>
      </w:r>
      <w:r w:rsidRPr="0013556B">
        <w:rPr>
          <w:rFonts w:ascii="Calibri" w:eastAsia="Calibri" w:hAnsi="Calibri" w:cs="Calibri"/>
          <w:u w:val="single"/>
          <w:lang w:val="en-US"/>
        </w:rPr>
        <w:t>not</w:t>
      </w:r>
      <w:r w:rsidRPr="0013556B">
        <w:rPr>
          <w:rFonts w:ascii="Calibri" w:eastAsia="Calibri" w:hAnsi="Calibri" w:cs="Calibri"/>
          <w:lang w:val="en-US"/>
        </w:rPr>
        <w:t xml:space="preserve"> a public servant, in order to make clear that, in fact, the appointment should be made by way of disallowable instrument. In its document titled </w:t>
      </w:r>
      <w:hyperlink r:id="rId26" w:history="1">
        <w:r w:rsidRPr="0013556B">
          <w:rPr>
            <w:rFonts w:ascii="Calibri" w:eastAsia="Calibri" w:hAnsi="Calibri" w:cs="Calibri"/>
            <w:i/>
            <w:color w:val="0000FF"/>
            <w:lang w:val="en-US"/>
          </w:rPr>
          <w:t>Subordinate legislation—Technical and stylistic standards—Tips/Traps</w:t>
        </w:r>
      </w:hyperlink>
      <w:r w:rsidRPr="0013556B">
        <w:rPr>
          <w:rFonts w:ascii="Calibri" w:eastAsia="Calibri" w:hAnsi="Calibri" w:cs="Calibri"/>
          <w:color w:val="000000"/>
          <w:lang w:val="en-US"/>
        </w:rPr>
        <w:t>,</w:t>
      </w:r>
      <w:r w:rsidRPr="0013556B">
        <w:rPr>
          <w:rFonts w:ascii="Calibri" w:eastAsia="Calibri" w:hAnsi="Calibri" w:cs="Calibri"/>
          <w:vertAlign w:val="superscript"/>
          <w:lang w:val="en-US"/>
        </w:rPr>
        <w:footnoteReference w:id="2"/>
      </w:r>
      <w:r w:rsidRPr="0013556B">
        <w:rPr>
          <w:rFonts w:ascii="Calibri" w:eastAsia="Calibri" w:hAnsi="Calibri" w:cs="Calibri"/>
          <w:lang w:val="en-US"/>
        </w:rPr>
        <w:t xml:space="preserve"> the Committee stated:</w:t>
      </w:r>
    </w:p>
    <w:p w:rsidR="00535407" w:rsidRPr="0013556B" w:rsidRDefault="00535407" w:rsidP="00535407">
      <w:pPr>
        <w:keepLines/>
        <w:spacing w:before="120" w:after="120" w:line="259" w:lineRule="auto"/>
        <w:ind w:left="360"/>
        <w:rPr>
          <w:rFonts w:ascii="Calibri" w:eastAsia="Calibri" w:hAnsi="Calibri" w:cs="Calibri"/>
          <w:lang w:val="en-US"/>
        </w:rPr>
      </w:pPr>
      <w:r w:rsidRPr="0013556B">
        <w:rPr>
          <w:rFonts w:ascii="Calibri" w:eastAsia="Calibri" w:hAnsi="Calibri" w:cs="Calibri"/>
          <w:lang w:val="en-US"/>
        </w:rPr>
        <w:t>Under paragraph 227(2</w:t>
      </w:r>
      <w:proofErr w:type="gramStart"/>
      <w:r w:rsidRPr="0013556B">
        <w:rPr>
          <w:rFonts w:ascii="Calibri" w:eastAsia="Calibri" w:hAnsi="Calibri" w:cs="Calibri"/>
          <w:lang w:val="en-US"/>
        </w:rPr>
        <w:t>)(</w:t>
      </w:r>
      <w:proofErr w:type="gramEnd"/>
      <w:r w:rsidRPr="0013556B">
        <w:rPr>
          <w:rFonts w:ascii="Calibri" w:eastAsia="Calibri" w:hAnsi="Calibri" w:cs="Calibri"/>
          <w:lang w:val="en-US"/>
        </w:rPr>
        <w:t xml:space="preserve">a) of the </w:t>
      </w:r>
      <w:r w:rsidRPr="0013556B">
        <w:rPr>
          <w:rFonts w:ascii="Calibri" w:eastAsia="Calibri" w:hAnsi="Calibri" w:cs="Calibri"/>
          <w:i/>
          <w:lang w:val="en-US"/>
        </w:rPr>
        <w:t>Legislation Act 2001</w:t>
      </w:r>
      <w:r w:rsidRPr="0013556B">
        <w:rPr>
          <w:rFonts w:ascii="Calibri" w:eastAsia="Calibri" w:hAnsi="Calibri" w:cs="Calibri"/>
          <w:lang w:val="en-US"/>
        </w:rPr>
        <w:t>, an instrument of appointment is not disallowable if it appoints a public servant. As a result, it assists the Committee (and the Legislative Assembly), if the explanatory statement for an instrument of appointment contains a statement to the effect that “the person appointed is not a public servant”.</w:t>
      </w:r>
    </w:p>
    <w:p w:rsidR="00535407" w:rsidRPr="0013556B" w:rsidRDefault="00535407" w:rsidP="00535407">
      <w:pPr>
        <w:keepLines/>
        <w:spacing w:before="120" w:after="120" w:line="259" w:lineRule="auto"/>
        <w:rPr>
          <w:rFonts w:ascii="Calibri" w:eastAsia="Calibri" w:hAnsi="Calibri" w:cs="Calibri"/>
          <w:lang w:val="en-US"/>
        </w:rPr>
      </w:pPr>
      <w:r w:rsidRPr="0013556B">
        <w:rPr>
          <w:rFonts w:ascii="Calibri" w:eastAsia="Calibri" w:hAnsi="Calibri" w:cs="Calibri"/>
          <w:lang w:val="en-US"/>
        </w:rPr>
        <w:t>The Committee notes that the explanatory statement for the instrument mentioned above contains no such statement.</w:t>
      </w:r>
      <w:r w:rsidR="00A45257">
        <w:rPr>
          <w:rFonts w:ascii="Calibri" w:eastAsia="Calibri" w:hAnsi="Calibri" w:cs="Calibri"/>
          <w:lang w:val="en-US"/>
        </w:rPr>
        <w:t xml:space="preserve"> </w:t>
      </w:r>
      <w:r>
        <w:rPr>
          <w:rFonts w:ascii="Calibri" w:eastAsia="Calibri" w:hAnsi="Calibri" w:cs="Calibri"/>
          <w:lang w:val="en-US"/>
        </w:rPr>
        <w:t xml:space="preserve">In making this comment, the Committee acknowledges that the explanatory statement refers to the specified person’s current and previous employment, which is apparently in the private sector. </w:t>
      </w:r>
      <w:r w:rsidRPr="0013556B">
        <w:rPr>
          <w:rFonts w:ascii="Calibri" w:eastAsia="Calibri" w:hAnsi="Calibri" w:cs="Calibri"/>
          <w:lang w:val="en-US"/>
        </w:rPr>
        <w:t xml:space="preserve">In the circumstances, it might be reasonably be assumed that the specified person is </w:t>
      </w:r>
      <w:r w:rsidRPr="0013556B">
        <w:rPr>
          <w:rFonts w:ascii="Calibri" w:eastAsia="Calibri" w:hAnsi="Calibri" w:cs="Calibri"/>
          <w:u w:val="single"/>
          <w:lang w:val="en-US"/>
        </w:rPr>
        <w:t>not</w:t>
      </w:r>
      <w:r w:rsidRPr="0013556B">
        <w:rPr>
          <w:rFonts w:ascii="Calibri" w:eastAsia="Calibri" w:hAnsi="Calibri" w:cs="Calibri"/>
          <w:lang w:val="en-US"/>
        </w:rPr>
        <w:t xml:space="preserve"> a public servant. However, the Committee considers that it is always preferable that this issue be addressed, explicitly, in the explanatory statement for an instrument of appointment.</w:t>
      </w:r>
    </w:p>
    <w:p w:rsidR="00535407" w:rsidRPr="0013556B" w:rsidRDefault="00535407" w:rsidP="00535407">
      <w:pPr>
        <w:keepLines/>
        <w:spacing w:before="120" w:after="120" w:line="259" w:lineRule="auto"/>
        <w:rPr>
          <w:rFonts w:ascii="Calibri" w:eastAsia="Calibri" w:hAnsi="Calibri" w:cs="Calibri"/>
          <w:b/>
          <w:lang w:val="en-US"/>
        </w:rPr>
      </w:pPr>
      <w:bookmarkStart w:id="504" w:name="_Hlk15381749"/>
      <w:r w:rsidRPr="0013556B">
        <w:rPr>
          <w:rFonts w:ascii="Calibri" w:eastAsia="Calibri" w:hAnsi="Calibri" w:cs="Calibri"/>
          <w:b/>
          <w:lang w:val="en-US"/>
        </w:rPr>
        <w:t>The Committee draws the attention of the Legislative Assembly to the instrument mentioned above, under principle (10</w:t>
      </w:r>
      <w:proofErr w:type="gramStart"/>
      <w:r w:rsidRPr="0013556B">
        <w:rPr>
          <w:rFonts w:ascii="Calibri" w:eastAsia="Calibri" w:hAnsi="Calibri" w:cs="Calibri"/>
          <w:b/>
          <w:lang w:val="en-US"/>
        </w:rPr>
        <w:t>)(</w:t>
      </w:r>
      <w:proofErr w:type="gramEnd"/>
      <w:r w:rsidRPr="0013556B">
        <w:rPr>
          <w:rFonts w:ascii="Calibri" w:eastAsia="Calibri" w:hAnsi="Calibri" w:cs="Calibri"/>
          <w:b/>
          <w:lang w:val="en-US"/>
        </w:rPr>
        <w:t>d) of the Committee’s terms of reference, on the basis that the explanatory statement for the instrument does not meet the technical or stylistic standards expected by the Committee.</w:t>
      </w:r>
    </w:p>
    <w:bookmarkEnd w:id="504"/>
    <w:p w:rsidR="00535407" w:rsidRPr="0013556B" w:rsidRDefault="00535407" w:rsidP="00535407">
      <w:pPr>
        <w:widowControl w:val="0"/>
        <w:tabs>
          <w:tab w:val="left" w:pos="1276"/>
        </w:tabs>
        <w:spacing w:before="120" w:after="120" w:line="300" w:lineRule="exact"/>
        <w:rPr>
          <w:rFonts w:ascii="Calibri" w:hAnsi="Calibri" w:cs="Calibri"/>
          <w:b/>
          <w:bCs/>
          <w:color w:val="000000"/>
          <w:lang w:val="en-US"/>
        </w:rPr>
      </w:pPr>
      <w:r w:rsidRPr="0013556B">
        <w:rPr>
          <w:rFonts w:ascii="Calibri" w:hAnsi="Calibri" w:cs="Calibri"/>
          <w:b/>
          <w:bCs/>
          <w:color w:val="000000"/>
          <w:lang w:val="en-US"/>
        </w:rPr>
        <w:t xml:space="preserve">The Committee seeks the Minister’s confirmation that the person appointed by the instrument mentioned above is </w:t>
      </w:r>
      <w:r w:rsidRPr="0013556B">
        <w:rPr>
          <w:rFonts w:ascii="Calibri" w:hAnsi="Calibri" w:cs="Calibri"/>
          <w:b/>
          <w:bCs/>
          <w:color w:val="000000"/>
          <w:u w:val="single"/>
          <w:lang w:val="en-US"/>
        </w:rPr>
        <w:t>not</w:t>
      </w:r>
      <w:r w:rsidRPr="0013556B">
        <w:rPr>
          <w:rFonts w:ascii="Calibri" w:hAnsi="Calibri" w:cs="Calibri"/>
          <w:b/>
          <w:bCs/>
          <w:color w:val="000000"/>
          <w:lang w:val="en-US"/>
        </w:rPr>
        <w:t xml:space="preserve"> a public servant.</w:t>
      </w:r>
    </w:p>
    <w:p w:rsidR="004B6619" w:rsidRDefault="005E796A" w:rsidP="00535407">
      <w:pPr>
        <w:pStyle w:val="Bodycopy"/>
        <w:spacing w:after="0" w:line="280" w:lineRule="exact"/>
        <w:rPr>
          <w:rFonts w:eastAsiaTheme="minorHAnsi"/>
          <w:b/>
          <w:bCs/>
          <w:szCs w:val="22"/>
          <w:lang w:val="en-US" w:eastAsia="en-US"/>
        </w:rPr>
      </w:pPr>
      <w:r>
        <w:rPr>
          <w:rFonts w:eastAsiaTheme="minorHAnsi"/>
          <w:b/>
          <w:bCs/>
          <w:szCs w:val="22"/>
          <w:lang w:val="en-US" w:eastAsia="en-US"/>
        </w:rPr>
        <w:t>This comment requir</w:t>
      </w:r>
      <w:r w:rsidR="00DC64BB">
        <w:rPr>
          <w:rFonts w:eastAsiaTheme="minorHAnsi"/>
          <w:b/>
          <w:bCs/>
          <w:szCs w:val="22"/>
          <w:lang w:val="en-US" w:eastAsia="en-US"/>
        </w:rPr>
        <w:t>es a response from the Minister before 4 August 2021, before the time for disallowance of the instrument has expired.</w:t>
      </w:r>
    </w:p>
    <w:p w:rsidR="00535407" w:rsidRPr="0010280E" w:rsidRDefault="00535407" w:rsidP="00535407">
      <w:pPr>
        <w:pStyle w:val="Bodycopy"/>
        <w:spacing w:after="0" w:line="280" w:lineRule="exact"/>
        <w:rPr>
          <w:bCs/>
          <w:i/>
          <w:iCs/>
        </w:rPr>
      </w:pPr>
      <w:r>
        <w:rPr>
          <w:bCs/>
          <w:i/>
          <w:iCs/>
        </w:rPr>
        <w:t>Minor drafting issue</w:t>
      </w:r>
    </w:p>
    <w:p w:rsidR="00535407" w:rsidRPr="00842199" w:rsidRDefault="00535407" w:rsidP="000737ED">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DI2021-65</w:t>
      </w:r>
      <w:r w:rsidRPr="00451C85">
        <w:rPr>
          <w:b/>
        </w:rPr>
        <w:t xml:space="preserve"> being the </w:t>
      </w:r>
      <w:r>
        <w:rPr>
          <w:b/>
        </w:rPr>
        <w:t xml:space="preserve">Gene Technology (GM Crop Moratorium) Advisory Council Appointment 2021 (No 1) made under section 11 of the </w:t>
      </w:r>
      <w:r w:rsidRPr="00FF120D">
        <w:rPr>
          <w:i/>
        </w:rPr>
        <w:t xml:space="preserve">Gene Technology (GM Crop Moratorium) Act 2004 </w:t>
      </w:r>
      <w:r>
        <w:rPr>
          <w:b/>
        </w:rPr>
        <w:t xml:space="preserve">appoints a specified person as a part time member of the ACT Gene Technology Advisory Council. </w:t>
      </w:r>
    </w:p>
    <w:p w:rsidR="00535407" w:rsidRPr="00842199" w:rsidRDefault="00535407" w:rsidP="000737ED">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DI2021-66</w:t>
      </w:r>
      <w:r w:rsidRPr="00451C85">
        <w:rPr>
          <w:b/>
        </w:rPr>
        <w:t xml:space="preserve"> being the </w:t>
      </w:r>
      <w:r>
        <w:rPr>
          <w:b/>
        </w:rPr>
        <w:t xml:space="preserve">Gene Technology (GM Crop Moratorium) Advisory Council Appointment 2021 (No 2) made under section 11 of the </w:t>
      </w:r>
      <w:r w:rsidRPr="00FF120D">
        <w:rPr>
          <w:i/>
        </w:rPr>
        <w:t xml:space="preserve">Gene Technology (GM Crop Moratorium) Act 2004 </w:t>
      </w:r>
      <w:r>
        <w:rPr>
          <w:b/>
        </w:rPr>
        <w:t xml:space="preserve">appoints a specified person as a part time member of the ACT Gene Technology Advisory Council. </w:t>
      </w:r>
    </w:p>
    <w:p w:rsidR="00535407" w:rsidRPr="00842199" w:rsidRDefault="00535407" w:rsidP="000737ED">
      <w:pPr>
        <w:pStyle w:val="Bodycopy"/>
        <w:numPr>
          <w:ilvl w:val="0"/>
          <w:numId w:val="34"/>
        </w:numPr>
        <w:tabs>
          <w:tab w:val="clear" w:pos="1276"/>
          <w:tab w:val="left" w:pos="0"/>
        </w:tabs>
        <w:spacing w:before="160" w:after="160" w:line="280" w:lineRule="exact"/>
        <w:ind w:left="360"/>
        <w:rPr>
          <w:b/>
        </w:rPr>
      </w:pPr>
      <w:r>
        <w:rPr>
          <w:b/>
        </w:rPr>
        <w:t>Disallowable Instrument</w:t>
      </w:r>
      <w:r w:rsidRPr="00451C85">
        <w:rPr>
          <w:b/>
        </w:rPr>
        <w:t xml:space="preserve"> </w:t>
      </w:r>
      <w:r>
        <w:rPr>
          <w:b/>
        </w:rPr>
        <w:t>DI2021-67</w:t>
      </w:r>
      <w:r w:rsidRPr="00451C85">
        <w:rPr>
          <w:b/>
        </w:rPr>
        <w:t xml:space="preserve"> being the </w:t>
      </w:r>
      <w:r>
        <w:rPr>
          <w:b/>
        </w:rPr>
        <w:t xml:space="preserve">Gene Technology (GM Crop Moratorium) Advisory Council Appointment 2021 (No 3) made under section 11 of the </w:t>
      </w:r>
      <w:r w:rsidRPr="00FF120D">
        <w:rPr>
          <w:i/>
        </w:rPr>
        <w:t>Gene Technology (GM Crop Moratorium) Act 2004</w:t>
      </w:r>
      <w:r w:rsidRPr="00236BDD">
        <w:rPr>
          <w:b/>
        </w:rPr>
        <w:t xml:space="preserve"> </w:t>
      </w:r>
      <w:r>
        <w:rPr>
          <w:b/>
        </w:rPr>
        <w:t xml:space="preserve">appoints a specified person as a part time member of the ACT Gene Technology Advisory Council. </w:t>
      </w:r>
    </w:p>
    <w:p w:rsidR="00535407" w:rsidRPr="00842199" w:rsidRDefault="00535407" w:rsidP="002B0CED">
      <w:pPr>
        <w:pStyle w:val="Bodycopy"/>
        <w:numPr>
          <w:ilvl w:val="0"/>
          <w:numId w:val="34"/>
        </w:numPr>
        <w:tabs>
          <w:tab w:val="clear" w:pos="1276"/>
          <w:tab w:val="left" w:pos="0"/>
        </w:tabs>
        <w:spacing w:before="160" w:after="160" w:line="240" w:lineRule="auto"/>
        <w:ind w:left="360"/>
        <w:rPr>
          <w:b/>
        </w:rPr>
      </w:pPr>
      <w:r>
        <w:rPr>
          <w:b/>
        </w:rPr>
        <w:t>Disallowable Instrument</w:t>
      </w:r>
      <w:r w:rsidRPr="00451C85">
        <w:rPr>
          <w:b/>
        </w:rPr>
        <w:t xml:space="preserve"> </w:t>
      </w:r>
      <w:r>
        <w:rPr>
          <w:b/>
        </w:rPr>
        <w:t>DI2021-68</w:t>
      </w:r>
      <w:r w:rsidRPr="00451C85">
        <w:rPr>
          <w:b/>
        </w:rPr>
        <w:t xml:space="preserve"> being the </w:t>
      </w:r>
      <w:r>
        <w:rPr>
          <w:b/>
        </w:rPr>
        <w:t xml:space="preserve">Gene Technology (GM Crop Moratorium) Advisory Council Appointment 2021 (No 4) made under section 11 of the </w:t>
      </w:r>
      <w:r w:rsidRPr="00FF120D">
        <w:rPr>
          <w:i/>
        </w:rPr>
        <w:t xml:space="preserve">Gene Technology (GM Crop Moratorium) Act 2004 </w:t>
      </w:r>
      <w:r>
        <w:rPr>
          <w:b/>
        </w:rPr>
        <w:t xml:space="preserve">appoints a specified person as a </w:t>
      </w:r>
      <w:bookmarkStart w:id="505" w:name="_Hlk74143080"/>
      <w:r>
        <w:rPr>
          <w:b/>
        </w:rPr>
        <w:t xml:space="preserve">part time member of the ACT Gene Technology Advisory Council. </w:t>
      </w:r>
    </w:p>
    <w:bookmarkEnd w:id="505"/>
    <w:p w:rsidR="00535407" w:rsidRPr="0010280E" w:rsidRDefault="00535407" w:rsidP="002B0CED">
      <w:pPr>
        <w:spacing w:before="120" w:after="120" w:line="240" w:lineRule="auto"/>
        <w:rPr>
          <w:rFonts w:cstheme="minorHAnsi"/>
        </w:rPr>
      </w:pPr>
      <w:r>
        <w:rPr>
          <w:rFonts w:cstheme="minorHAnsi"/>
        </w:rPr>
        <w:t>The Committee notes that each of the instruments mentioned above appoints a specified person as a “</w:t>
      </w:r>
      <w:r w:rsidRPr="0010280E">
        <w:rPr>
          <w:rFonts w:cstheme="minorHAnsi"/>
        </w:rPr>
        <w:t>part time member</w:t>
      </w:r>
      <w:r>
        <w:rPr>
          <w:rFonts w:cstheme="minorHAnsi"/>
        </w:rPr>
        <w:t>”</w:t>
      </w:r>
      <w:r w:rsidRPr="0010280E">
        <w:rPr>
          <w:rFonts w:cstheme="minorHAnsi"/>
        </w:rPr>
        <w:t xml:space="preserve"> of the ACT Gene Technology Advisory Council.</w:t>
      </w:r>
      <w:r>
        <w:rPr>
          <w:rFonts w:cstheme="minorHAnsi"/>
        </w:rPr>
        <w:t xml:space="preserve"> In each case, section 4 of the relevant instrument formally appoints the relevant person as a “part time member”. The appointments are made under section 11 of the </w:t>
      </w:r>
      <w:r w:rsidRPr="0010280E">
        <w:rPr>
          <w:rFonts w:cstheme="minorHAnsi"/>
          <w:i/>
          <w:iCs/>
        </w:rPr>
        <w:t>Gene Technology (GM Crop Moratorium) Act 2004</w:t>
      </w:r>
      <w:r>
        <w:rPr>
          <w:rFonts w:cstheme="minorHAnsi"/>
        </w:rPr>
        <w:t>, which provides (in part):</w:t>
      </w:r>
    </w:p>
    <w:p w:rsidR="00535407" w:rsidRPr="0010280E" w:rsidRDefault="00535407" w:rsidP="002B0CED">
      <w:pPr>
        <w:spacing w:before="120" w:after="120" w:line="240" w:lineRule="auto"/>
        <w:ind w:left="720"/>
        <w:rPr>
          <w:rFonts w:cstheme="minorHAnsi"/>
        </w:rPr>
      </w:pPr>
      <w:r w:rsidRPr="0010280E">
        <w:rPr>
          <w:rFonts w:cstheme="minorHAnsi"/>
          <w:b/>
          <w:bCs/>
          <w:color w:val="000000"/>
        </w:rPr>
        <w:t>11</w:t>
      </w:r>
      <w:r w:rsidRPr="0010280E">
        <w:rPr>
          <w:rFonts w:cstheme="minorHAnsi"/>
          <w:b/>
          <w:bCs/>
          <w:color w:val="000000"/>
        </w:rPr>
        <w:tab/>
        <w:t>Advisory council</w:t>
      </w:r>
    </w:p>
    <w:p w:rsidR="00535407" w:rsidRPr="0010280E" w:rsidRDefault="00535407" w:rsidP="002B0CED">
      <w:pPr>
        <w:pStyle w:val="NormalWeb"/>
        <w:spacing w:before="120" w:after="120" w:line="240" w:lineRule="auto"/>
        <w:ind w:left="720"/>
        <w:rPr>
          <w:rFonts w:asciiTheme="minorHAnsi" w:hAnsiTheme="minorHAnsi" w:cstheme="minorHAnsi"/>
          <w:color w:val="000000"/>
          <w:sz w:val="22"/>
          <w:szCs w:val="22"/>
        </w:rPr>
      </w:pPr>
      <w:r w:rsidRPr="0010280E">
        <w:rPr>
          <w:rFonts w:asciiTheme="minorHAnsi" w:hAnsiTheme="minorHAnsi" w:cstheme="minorHAnsi"/>
          <w:color w:val="000000"/>
          <w:sz w:val="22"/>
          <w:szCs w:val="22"/>
        </w:rPr>
        <w:t> (1)     The ACT Advisory Council on Gene Technology is established.</w:t>
      </w:r>
    </w:p>
    <w:p w:rsidR="00535407" w:rsidRPr="0010280E" w:rsidRDefault="00535407" w:rsidP="002B0CED">
      <w:pPr>
        <w:pStyle w:val="NormalWeb"/>
        <w:spacing w:before="120" w:after="120" w:line="240" w:lineRule="auto"/>
        <w:ind w:left="720"/>
        <w:rPr>
          <w:rFonts w:asciiTheme="minorHAnsi" w:hAnsiTheme="minorHAnsi" w:cstheme="minorHAnsi"/>
          <w:color w:val="000000"/>
          <w:sz w:val="22"/>
          <w:szCs w:val="22"/>
        </w:rPr>
      </w:pPr>
      <w:r w:rsidRPr="0010280E">
        <w:rPr>
          <w:rFonts w:asciiTheme="minorHAnsi" w:hAnsiTheme="minorHAnsi" w:cstheme="minorHAnsi"/>
          <w:color w:val="000000"/>
          <w:sz w:val="22"/>
          <w:szCs w:val="22"/>
        </w:rPr>
        <w:t> (2)     The advisory council consists of 8 members appointed by the Minister.</w:t>
      </w:r>
    </w:p>
    <w:p w:rsidR="00535407" w:rsidRDefault="00535407" w:rsidP="002B0CED">
      <w:pPr>
        <w:spacing w:before="120" w:after="120" w:line="240" w:lineRule="auto"/>
        <w:rPr>
          <w:rFonts w:cstheme="minorHAnsi"/>
        </w:rPr>
      </w:pPr>
      <w:r>
        <w:rPr>
          <w:rFonts w:cstheme="minorHAnsi"/>
        </w:rPr>
        <w:t xml:space="preserve">The Committee can identify no provision of the relevant Act that allows for the appointment of “part time members” – only </w:t>
      </w:r>
      <w:r w:rsidRPr="008374CD">
        <w:rPr>
          <w:rFonts w:cstheme="minorHAnsi"/>
          <w:i/>
          <w:iCs/>
        </w:rPr>
        <w:t>members</w:t>
      </w:r>
      <w:r>
        <w:rPr>
          <w:rFonts w:cstheme="minorHAnsi"/>
        </w:rPr>
        <w:t>.</w:t>
      </w:r>
    </w:p>
    <w:p w:rsidR="00535407" w:rsidRDefault="00535407" w:rsidP="002B0CED">
      <w:pPr>
        <w:keepNext/>
        <w:spacing w:before="120" w:after="120" w:line="240" w:lineRule="auto"/>
        <w:rPr>
          <w:rFonts w:cstheme="minorHAnsi"/>
        </w:rPr>
      </w:pPr>
      <w:r>
        <w:rPr>
          <w:rFonts w:cstheme="minorHAnsi"/>
        </w:rPr>
        <w:t>The Committee notes that, in each case, the explanatory statement for the instrument contains the following statement:</w:t>
      </w:r>
    </w:p>
    <w:p w:rsidR="00535407" w:rsidRDefault="00535407" w:rsidP="002B0CED">
      <w:pPr>
        <w:spacing w:before="120" w:after="120" w:line="240" w:lineRule="auto"/>
        <w:ind w:left="720"/>
        <w:rPr>
          <w:rFonts w:cstheme="minorHAnsi"/>
        </w:rPr>
      </w:pPr>
      <w:r w:rsidRPr="008374CD">
        <w:rPr>
          <w:rFonts w:cstheme="minorHAnsi"/>
        </w:rPr>
        <w:t>All members of the ACT Gene Technology Council are part time.</w:t>
      </w:r>
    </w:p>
    <w:p w:rsidR="00535407" w:rsidRDefault="00535407" w:rsidP="002B0CED">
      <w:pPr>
        <w:spacing w:before="120" w:after="120" w:line="240" w:lineRule="auto"/>
        <w:rPr>
          <w:rFonts w:cstheme="minorHAnsi"/>
        </w:rPr>
      </w:pPr>
      <w:r>
        <w:rPr>
          <w:rFonts w:cstheme="minorHAnsi"/>
        </w:rPr>
        <w:t>While this may be the case, the fact remains that the relevant Act does not provide for the appointment of “part time members”. The Committee considers that it would be preferable, for reasons of clarity and to avoid any possibility of legal uncertainty, if the wording of these instruments of appointment reflected the formal terminology of the provisions under which they are made.</w:t>
      </w:r>
    </w:p>
    <w:p w:rsidR="00535407" w:rsidRDefault="00535407" w:rsidP="002B0CED">
      <w:pPr>
        <w:spacing w:before="120" w:after="120" w:line="240" w:lineRule="auto"/>
        <w:rPr>
          <w:rFonts w:cstheme="minorHAnsi"/>
          <w:b/>
          <w:bCs/>
        </w:rPr>
      </w:pPr>
      <w:r>
        <w:rPr>
          <w:rFonts w:cstheme="minorHAnsi"/>
          <w:b/>
          <w:bCs/>
        </w:rPr>
        <w:t>This comment does not require a response from the Minister.</w:t>
      </w:r>
    </w:p>
    <w:p w:rsidR="00535407" w:rsidRDefault="00535407" w:rsidP="002B0CED">
      <w:pPr>
        <w:spacing w:before="120" w:after="120" w:line="240" w:lineRule="auto"/>
        <w:rPr>
          <w:rFonts w:cstheme="minorHAnsi"/>
          <w:i/>
          <w:iCs/>
        </w:rPr>
      </w:pPr>
      <w:r w:rsidRPr="008374CD">
        <w:rPr>
          <w:rFonts w:cstheme="minorHAnsi"/>
          <w:i/>
          <w:iCs/>
        </w:rPr>
        <w:t>Human rights issues</w:t>
      </w:r>
    </w:p>
    <w:p w:rsidR="00535407" w:rsidRDefault="00535407" w:rsidP="002B0CED">
      <w:pPr>
        <w:pStyle w:val="Bodycopy"/>
        <w:numPr>
          <w:ilvl w:val="0"/>
          <w:numId w:val="34"/>
        </w:numPr>
        <w:tabs>
          <w:tab w:val="clear" w:pos="1276"/>
          <w:tab w:val="left" w:pos="0"/>
        </w:tabs>
        <w:spacing w:before="160" w:after="160" w:line="240" w:lineRule="auto"/>
        <w:ind w:left="360"/>
        <w:rPr>
          <w:b/>
        </w:rPr>
      </w:pPr>
      <w:bookmarkStart w:id="506" w:name="_Hlk74147536"/>
      <w:r>
        <w:rPr>
          <w:b/>
        </w:rPr>
        <w:t>Disallowable Instrument</w:t>
      </w:r>
      <w:r w:rsidRPr="00451C85">
        <w:rPr>
          <w:b/>
        </w:rPr>
        <w:t xml:space="preserve"> </w:t>
      </w:r>
      <w:r>
        <w:rPr>
          <w:b/>
        </w:rPr>
        <w:t>DI2021-69</w:t>
      </w:r>
      <w:r w:rsidRPr="00451C85">
        <w:rPr>
          <w:b/>
        </w:rPr>
        <w:t xml:space="preserve"> being the </w:t>
      </w:r>
      <w:r>
        <w:rPr>
          <w:b/>
        </w:rPr>
        <w:t xml:space="preserve">Children and Young People (Drug Testing) Standards 2021 (No 1) made under section 887 of the </w:t>
      </w:r>
      <w:r w:rsidRPr="00FF120D">
        <w:rPr>
          <w:i/>
        </w:rPr>
        <w:t xml:space="preserve">Children and Young People Act 2008 </w:t>
      </w:r>
      <w:r>
        <w:rPr>
          <w:b/>
        </w:rPr>
        <w:t xml:space="preserve">revokes DI2000-277 and determines the standards to address the conduct of drug testing under a drug use provision in a care and protection order. </w:t>
      </w:r>
    </w:p>
    <w:bookmarkEnd w:id="506"/>
    <w:p w:rsidR="00535407" w:rsidRDefault="00535407" w:rsidP="002B0CED">
      <w:pPr>
        <w:spacing w:before="120" w:after="120" w:line="240" w:lineRule="auto"/>
        <w:rPr>
          <w:rFonts w:cstheme="minorHAnsi"/>
        </w:rPr>
      </w:pPr>
      <w:r>
        <w:rPr>
          <w:rFonts w:cstheme="minorHAnsi"/>
        </w:rPr>
        <w:t xml:space="preserve">This instrument makes “drug testing standards”, under section 887 of the </w:t>
      </w:r>
      <w:r>
        <w:rPr>
          <w:rFonts w:cstheme="minorHAnsi"/>
          <w:i/>
          <w:iCs/>
        </w:rPr>
        <w:t>Children and Young People Act 2008</w:t>
      </w:r>
      <w:r>
        <w:rPr>
          <w:rFonts w:cstheme="minorHAnsi"/>
        </w:rPr>
        <w:t>. The instrument is specifically made under paragraph 887(2</w:t>
      </w:r>
      <w:proofErr w:type="gramStart"/>
      <w:r>
        <w:rPr>
          <w:rFonts w:cstheme="minorHAnsi"/>
        </w:rPr>
        <w:t>)(</w:t>
      </w:r>
      <w:proofErr w:type="gramEnd"/>
      <w:r>
        <w:rPr>
          <w:rFonts w:cstheme="minorHAnsi"/>
        </w:rPr>
        <w:t>c) of the Children and Young People Act, which allows for standards to be made in relation to:</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color w:val="000000" w:themeColor="text1"/>
        </w:rPr>
        <w:t xml:space="preserve">(c)     </w:t>
      </w:r>
      <w:proofErr w:type="gramStart"/>
      <w:r w:rsidRPr="00790451">
        <w:rPr>
          <w:rFonts w:cstheme="minorHAnsi"/>
          <w:color w:val="000000" w:themeColor="text1"/>
        </w:rPr>
        <w:t>the</w:t>
      </w:r>
      <w:proofErr w:type="gramEnd"/>
      <w:r w:rsidRPr="00790451">
        <w:rPr>
          <w:rFonts w:cstheme="minorHAnsi"/>
          <w:color w:val="000000" w:themeColor="text1"/>
        </w:rPr>
        <w:t xml:space="preserve"> conduct of drug testing under a drug use provision in a care and </w:t>
      </w:r>
      <w:hyperlink r:id="rId27" w:anchor="protection_order" w:history="1">
        <w:r w:rsidRPr="00790451">
          <w:rPr>
            <w:rFonts w:cstheme="minorHAnsi"/>
            <w:color w:val="000000" w:themeColor="text1"/>
          </w:rPr>
          <w:t>protection order</w:t>
        </w:r>
      </w:hyperlink>
      <w:r w:rsidRPr="00790451">
        <w:rPr>
          <w:rFonts w:cstheme="minorHAnsi"/>
          <w:color w:val="000000" w:themeColor="text1"/>
        </w:rPr>
        <w:t> (</w:t>
      </w:r>
      <w:r w:rsidRPr="00790451">
        <w:rPr>
          <w:rFonts w:cstheme="minorHAnsi"/>
          <w:b/>
          <w:bCs/>
          <w:i/>
          <w:iCs/>
          <w:color w:val="000000" w:themeColor="text1"/>
        </w:rPr>
        <w:t>drug testing standards</w:t>
      </w:r>
      <w:r w:rsidRPr="00790451">
        <w:rPr>
          <w:rFonts w:cstheme="minorHAnsi"/>
          <w:color w:val="000000" w:themeColor="text1"/>
        </w:rPr>
        <w:t>);</w:t>
      </w:r>
    </w:p>
    <w:p w:rsidR="00535407" w:rsidRDefault="00535407" w:rsidP="002B0CED">
      <w:pPr>
        <w:spacing w:before="120" w:after="120" w:line="240" w:lineRule="auto"/>
        <w:rPr>
          <w:rFonts w:cstheme="minorHAnsi"/>
        </w:rPr>
      </w:pPr>
      <w:r>
        <w:rPr>
          <w:rFonts w:cstheme="minorHAnsi"/>
        </w:rPr>
        <w:t>The explanatory statement for the instrument states:</w:t>
      </w:r>
    </w:p>
    <w:p w:rsidR="00535407" w:rsidRPr="00790451" w:rsidRDefault="00535407" w:rsidP="002B0CED">
      <w:pPr>
        <w:spacing w:before="120" w:after="120" w:line="240" w:lineRule="auto"/>
        <w:ind w:left="720"/>
        <w:rPr>
          <w:rFonts w:cstheme="minorHAnsi"/>
        </w:rPr>
      </w:pPr>
      <w:r w:rsidRPr="00790451">
        <w:rPr>
          <w:rFonts w:cstheme="minorHAnsi"/>
        </w:rPr>
        <w:t xml:space="preserve">These standards outline the conduct of drug testing under a drug use provision in a care and protection order. The use of a drug use provision in a care and protection order is addressed by </w:t>
      </w:r>
      <w:r w:rsidRPr="00790451">
        <w:rPr>
          <w:rFonts w:cstheme="minorHAnsi"/>
          <w:u w:val="single"/>
        </w:rPr>
        <w:t xml:space="preserve">section 488: What us </w:t>
      </w:r>
      <w:r>
        <w:rPr>
          <w:rFonts w:cstheme="minorHAnsi"/>
          <w:u w:val="single"/>
        </w:rPr>
        <w:t xml:space="preserve">[sic] </w:t>
      </w:r>
      <w:r w:rsidRPr="00790451">
        <w:rPr>
          <w:rFonts w:cstheme="minorHAnsi"/>
          <w:u w:val="single"/>
        </w:rPr>
        <w:t>a drug use provision?</w:t>
      </w:r>
      <w:r w:rsidRPr="00790451">
        <w:rPr>
          <w:rFonts w:cstheme="minorHAnsi"/>
        </w:rPr>
        <w:t xml:space="preserve"> </w:t>
      </w:r>
      <w:proofErr w:type="gramStart"/>
      <w:r w:rsidRPr="00790451">
        <w:rPr>
          <w:rFonts w:cstheme="minorHAnsi"/>
        </w:rPr>
        <w:t>of</w:t>
      </w:r>
      <w:proofErr w:type="gramEnd"/>
      <w:r w:rsidRPr="00790451">
        <w:rPr>
          <w:rFonts w:cstheme="minorHAnsi"/>
        </w:rPr>
        <w:t xml:space="preserve"> the </w:t>
      </w:r>
      <w:r w:rsidRPr="00790451">
        <w:rPr>
          <w:rFonts w:cstheme="minorHAnsi"/>
          <w:i/>
          <w:iCs/>
        </w:rPr>
        <w:t>Children and Young People Act 2008</w:t>
      </w:r>
      <w:r w:rsidRPr="00790451">
        <w:rPr>
          <w:rFonts w:cstheme="minorHAnsi"/>
        </w:rPr>
        <w:t xml:space="preserve">. </w:t>
      </w:r>
    </w:p>
    <w:p w:rsidR="00535407" w:rsidRDefault="00535407" w:rsidP="002B0CED">
      <w:pPr>
        <w:spacing w:before="120" w:after="120" w:line="240" w:lineRule="auto"/>
        <w:rPr>
          <w:rFonts w:cstheme="minorHAnsi"/>
        </w:rPr>
      </w:pPr>
      <w:r>
        <w:rPr>
          <w:rFonts w:cstheme="minorHAnsi"/>
        </w:rPr>
        <w:t>Section 488 of the Children and Young People Act provides:</w:t>
      </w:r>
    </w:p>
    <w:p w:rsidR="00535407" w:rsidRPr="00790451" w:rsidRDefault="00535407" w:rsidP="002B0CED">
      <w:pPr>
        <w:spacing w:before="120" w:after="120" w:line="240" w:lineRule="auto"/>
        <w:ind w:left="720"/>
        <w:rPr>
          <w:rFonts w:cstheme="minorHAnsi"/>
          <w:color w:val="000000" w:themeColor="text1"/>
        </w:rPr>
      </w:pPr>
      <w:proofErr w:type="gramStart"/>
      <w:r w:rsidRPr="00790451">
        <w:rPr>
          <w:rFonts w:cstheme="minorHAnsi"/>
          <w:b/>
          <w:bCs/>
          <w:color w:val="000000" w:themeColor="text1"/>
        </w:rPr>
        <w:t>488  What</w:t>
      </w:r>
      <w:proofErr w:type="gramEnd"/>
      <w:r w:rsidRPr="00790451">
        <w:rPr>
          <w:rFonts w:cstheme="minorHAnsi"/>
          <w:b/>
          <w:bCs/>
          <w:color w:val="000000" w:themeColor="text1"/>
        </w:rPr>
        <w:t xml:space="preserve"> is a drug use provision?</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color w:val="000000" w:themeColor="text1"/>
        </w:rPr>
        <w:t>In the care and protection chapters:</w:t>
      </w:r>
    </w:p>
    <w:p w:rsidR="00535407" w:rsidRPr="00790451" w:rsidRDefault="00535407" w:rsidP="002B0CED">
      <w:pPr>
        <w:spacing w:before="120" w:after="120" w:line="240" w:lineRule="auto"/>
        <w:ind w:left="720"/>
        <w:rPr>
          <w:rFonts w:cstheme="minorHAnsi"/>
          <w:color w:val="000000" w:themeColor="text1"/>
        </w:rPr>
      </w:pPr>
      <w:bookmarkStart w:id="507" w:name="drug_use_provision"/>
      <w:bookmarkEnd w:id="507"/>
      <w:r w:rsidRPr="00790451">
        <w:rPr>
          <w:rFonts w:cstheme="minorHAnsi"/>
          <w:color w:val="000000" w:themeColor="text1"/>
        </w:rPr>
        <w:t>"drug use provision", for a </w:t>
      </w:r>
      <w:hyperlink r:id="rId28" w:anchor="state" w:history="1">
        <w:r w:rsidRPr="00790451">
          <w:rPr>
            <w:rFonts w:cstheme="minorHAnsi"/>
            <w:color w:val="000000" w:themeColor="text1"/>
          </w:rPr>
          <w:t>stated</w:t>
        </w:r>
      </w:hyperlink>
      <w:r w:rsidRPr="00790451">
        <w:rPr>
          <w:rFonts w:cstheme="minorHAnsi"/>
          <w:color w:val="000000" w:themeColor="text1"/>
        </w:rPr>
        <w:t> person, in a care and </w:t>
      </w:r>
      <w:hyperlink r:id="rId29" w:anchor="protection_order" w:history="1">
        <w:r w:rsidRPr="00790451">
          <w:rPr>
            <w:rFonts w:cstheme="minorHAnsi"/>
            <w:color w:val="000000" w:themeColor="text1"/>
          </w:rPr>
          <w:t>protection order</w:t>
        </w:r>
      </w:hyperlink>
      <w:r w:rsidRPr="00790451">
        <w:rPr>
          <w:rFonts w:cstheme="minorHAnsi"/>
          <w:color w:val="000000" w:themeColor="text1"/>
        </w:rPr>
        <w:t>, or an interim care and </w:t>
      </w:r>
      <w:hyperlink r:id="rId30" w:anchor="protection_order" w:history="1">
        <w:r w:rsidRPr="00790451">
          <w:rPr>
            <w:rFonts w:cstheme="minorHAnsi"/>
            <w:color w:val="000000" w:themeColor="text1"/>
          </w:rPr>
          <w:t>protection order</w:t>
        </w:r>
      </w:hyperlink>
      <w:r w:rsidRPr="00790451">
        <w:rPr>
          <w:rFonts w:cstheme="minorHAnsi"/>
          <w:color w:val="000000" w:themeColor="text1"/>
        </w:rPr>
        <w:t>, for a </w:t>
      </w:r>
      <w:hyperlink r:id="rId31" w:anchor="child" w:history="1">
        <w:r w:rsidRPr="00790451">
          <w:rPr>
            <w:rFonts w:cstheme="minorHAnsi"/>
            <w:color w:val="000000" w:themeColor="text1"/>
          </w:rPr>
          <w:t>child</w:t>
        </w:r>
      </w:hyperlink>
      <w:r w:rsidRPr="00790451">
        <w:rPr>
          <w:rFonts w:cstheme="minorHAnsi"/>
          <w:color w:val="000000" w:themeColor="text1"/>
        </w:rPr>
        <w:t> or </w:t>
      </w:r>
      <w:hyperlink r:id="rId32" w:anchor="young_person" w:history="1">
        <w:r w:rsidRPr="00790451">
          <w:rPr>
            <w:rFonts w:cstheme="minorHAnsi"/>
            <w:color w:val="000000" w:themeColor="text1"/>
          </w:rPr>
          <w:t>young</w:t>
        </w:r>
      </w:hyperlink>
      <w:r w:rsidRPr="00790451">
        <w:rPr>
          <w:rFonts w:cstheme="minorHAnsi"/>
          <w:color w:val="000000" w:themeColor="text1"/>
        </w:rPr>
        <w:t> </w:t>
      </w:r>
      <w:hyperlink r:id="rId33" w:anchor="young_person" w:history="1">
        <w:r w:rsidRPr="00790451">
          <w:rPr>
            <w:rFonts w:cstheme="minorHAnsi"/>
            <w:color w:val="000000" w:themeColor="text1"/>
          </w:rPr>
          <w:t>person</w:t>
        </w:r>
      </w:hyperlink>
      <w:r w:rsidRPr="00790451">
        <w:rPr>
          <w:rFonts w:cstheme="minorHAnsi"/>
          <w:color w:val="000000" w:themeColor="text1"/>
        </w:rPr>
        <w:t> means a provision about usage of drugs by the </w:t>
      </w:r>
      <w:hyperlink r:id="rId34" w:anchor="state" w:history="1">
        <w:r w:rsidRPr="00790451">
          <w:rPr>
            <w:rFonts w:cstheme="minorHAnsi"/>
            <w:color w:val="000000" w:themeColor="text1"/>
          </w:rPr>
          <w:t>stated</w:t>
        </w:r>
      </w:hyperlink>
      <w:r w:rsidRPr="00790451">
        <w:rPr>
          <w:rFonts w:cstheme="minorHAnsi"/>
          <w:color w:val="000000" w:themeColor="text1"/>
        </w:rPr>
        <w:t> person that includes 1 or more of the following directions:</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color w:val="000000" w:themeColor="text1"/>
        </w:rPr>
        <w:t xml:space="preserve">(a)     </w:t>
      </w:r>
      <w:proofErr w:type="gramStart"/>
      <w:r w:rsidRPr="00790451">
        <w:rPr>
          <w:rFonts w:cstheme="minorHAnsi"/>
          <w:color w:val="000000" w:themeColor="text1"/>
        </w:rPr>
        <w:t>that</w:t>
      </w:r>
      <w:proofErr w:type="gramEnd"/>
      <w:r w:rsidRPr="00790451">
        <w:rPr>
          <w:rFonts w:cstheme="minorHAnsi"/>
          <w:color w:val="000000" w:themeColor="text1"/>
        </w:rPr>
        <w:t xml:space="preserve"> the </w:t>
      </w:r>
      <w:hyperlink r:id="rId35" w:anchor="state" w:history="1">
        <w:r w:rsidRPr="00790451">
          <w:rPr>
            <w:rFonts w:cstheme="minorHAnsi"/>
            <w:color w:val="000000" w:themeColor="text1"/>
          </w:rPr>
          <w:t>stated</w:t>
        </w:r>
      </w:hyperlink>
      <w:r w:rsidRPr="00790451">
        <w:rPr>
          <w:rFonts w:cstheme="minorHAnsi"/>
          <w:color w:val="000000" w:themeColor="text1"/>
        </w:rPr>
        <w:t> person must not use a </w:t>
      </w:r>
      <w:hyperlink r:id="rId36" w:anchor="state" w:history="1">
        <w:r w:rsidRPr="00790451">
          <w:rPr>
            <w:rFonts w:cstheme="minorHAnsi"/>
            <w:color w:val="000000" w:themeColor="text1"/>
          </w:rPr>
          <w:t>stated</w:t>
        </w:r>
      </w:hyperlink>
      <w:r w:rsidRPr="00790451">
        <w:rPr>
          <w:rFonts w:cstheme="minorHAnsi"/>
          <w:color w:val="000000" w:themeColor="text1"/>
        </w:rPr>
        <w:t> drug;</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color w:val="000000" w:themeColor="text1"/>
        </w:rPr>
        <w:t xml:space="preserve">(b)     </w:t>
      </w:r>
      <w:proofErr w:type="gramStart"/>
      <w:r w:rsidRPr="00790451">
        <w:rPr>
          <w:rFonts w:cstheme="minorHAnsi"/>
          <w:color w:val="000000" w:themeColor="text1"/>
        </w:rPr>
        <w:t>that</w:t>
      </w:r>
      <w:proofErr w:type="gramEnd"/>
      <w:r w:rsidRPr="00790451">
        <w:rPr>
          <w:rFonts w:cstheme="minorHAnsi"/>
          <w:color w:val="000000" w:themeColor="text1"/>
        </w:rPr>
        <w:t xml:space="preserve"> the </w:t>
      </w:r>
      <w:hyperlink r:id="rId37" w:anchor="state" w:history="1">
        <w:r w:rsidRPr="00790451">
          <w:rPr>
            <w:rFonts w:cstheme="minorHAnsi"/>
            <w:color w:val="000000" w:themeColor="text1"/>
          </w:rPr>
          <w:t>stated</w:t>
        </w:r>
      </w:hyperlink>
      <w:r w:rsidRPr="00790451">
        <w:rPr>
          <w:rFonts w:cstheme="minorHAnsi"/>
          <w:color w:val="000000" w:themeColor="text1"/>
        </w:rPr>
        <w:t> person may use a </w:t>
      </w:r>
      <w:hyperlink r:id="rId38" w:anchor="state" w:history="1">
        <w:r w:rsidRPr="00790451">
          <w:rPr>
            <w:rFonts w:cstheme="minorHAnsi"/>
            <w:color w:val="000000" w:themeColor="text1"/>
          </w:rPr>
          <w:t>stated</w:t>
        </w:r>
      </w:hyperlink>
      <w:r w:rsidRPr="00790451">
        <w:rPr>
          <w:rFonts w:cstheme="minorHAnsi"/>
          <w:color w:val="000000" w:themeColor="text1"/>
        </w:rPr>
        <w:t> drug only in accordance with the conditions in the provision;</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color w:val="000000" w:themeColor="text1"/>
        </w:rPr>
        <w:t xml:space="preserve">(c)     </w:t>
      </w:r>
      <w:proofErr w:type="gramStart"/>
      <w:r w:rsidRPr="00790451">
        <w:rPr>
          <w:rFonts w:cstheme="minorHAnsi"/>
          <w:color w:val="000000" w:themeColor="text1"/>
        </w:rPr>
        <w:t>that</w:t>
      </w:r>
      <w:proofErr w:type="gramEnd"/>
      <w:r w:rsidRPr="00790451">
        <w:rPr>
          <w:rFonts w:cstheme="minorHAnsi"/>
          <w:color w:val="000000" w:themeColor="text1"/>
        </w:rPr>
        <w:t xml:space="preserve"> the </w:t>
      </w:r>
      <w:hyperlink r:id="rId39" w:anchor="state" w:history="1">
        <w:r w:rsidRPr="00790451">
          <w:rPr>
            <w:rFonts w:cstheme="minorHAnsi"/>
            <w:color w:val="000000" w:themeColor="text1"/>
          </w:rPr>
          <w:t>stated</w:t>
        </w:r>
      </w:hyperlink>
      <w:r w:rsidRPr="00790451">
        <w:rPr>
          <w:rFonts w:cstheme="minorHAnsi"/>
          <w:color w:val="000000" w:themeColor="text1"/>
        </w:rPr>
        <w:t> person undergo drug testing as directed by the director-general in accordance with the drug testing standards.</w:t>
      </w:r>
    </w:p>
    <w:p w:rsidR="00535407" w:rsidRPr="00790451" w:rsidRDefault="00535407" w:rsidP="002B0CED">
      <w:pPr>
        <w:spacing w:before="120" w:after="120" w:line="240" w:lineRule="auto"/>
        <w:ind w:left="720"/>
        <w:rPr>
          <w:rFonts w:cstheme="minorHAnsi"/>
          <w:color w:val="000000" w:themeColor="text1"/>
        </w:rPr>
      </w:pPr>
      <w:r w:rsidRPr="00790451">
        <w:rPr>
          <w:rFonts w:cstheme="minorHAnsi"/>
          <w:i/>
          <w:iCs/>
          <w:color w:val="000000" w:themeColor="text1"/>
        </w:rPr>
        <w:t>Note </w:t>
      </w:r>
      <w:r w:rsidRPr="00790451">
        <w:rPr>
          <w:rFonts w:cstheme="minorHAnsi"/>
          <w:color w:val="000000" w:themeColor="text1"/>
        </w:rPr>
        <w:t>    The Minister may make drug testing standards under </w:t>
      </w:r>
      <w:hyperlink r:id="rId40" w:history="1">
        <w:r w:rsidRPr="00790451">
          <w:rPr>
            <w:rFonts w:cstheme="minorHAnsi"/>
            <w:color w:val="000000" w:themeColor="text1"/>
          </w:rPr>
          <w:t>s 887.</w:t>
        </w:r>
      </w:hyperlink>
    </w:p>
    <w:p w:rsidR="00535407" w:rsidRDefault="00535407" w:rsidP="002B0CED">
      <w:pPr>
        <w:spacing w:before="120" w:after="120" w:line="240" w:lineRule="auto"/>
        <w:rPr>
          <w:rFonts w:cstheme="minorHAnsi"/>
        </w:rPr>
      </w:pPr>
      <w:r>
        <w:rPr>
          <w:rFonts w:cstheme="minorHAnsi"/>
        </w:rPr>
        <w:t>The explanatory statement for the instrument states:</w:t>
      </w:r>
    </w:p>
    <w:p w:rsidR="00535407" w:rsidRPr="00790451" w:rsidRDefault="00535407" w:rsidP="002B0CED">
      <w:pPr>
        <w:spacing w:before="120" w:after="120" w:line="240" w:lineRule="auto"/>
        <w:ind w:left="360"/>
        <w:rPr>
          <w:rFonts w:cstheme="minorHAnsi"/>
        </w:rPr>
      </w:pPr>
      <w:r w:rsidRPr="00790451">
        <w:rPr>
          <w:rFonts w:cstheme="minorHAnsi"/>
        </w:rPr>
        <w:t>Under a drug use provision, a stated person may be required to comply with one or more of the following directions:</w:t>
      </w:r>
    </w:p>
    <w:p w:rsidR="00535407" w:rsidRPr="00790451" w:rsidRDefault="00535407" w:rsidP="002B0CED">
      <w:pPr>
        <w:pStyle w:val="ListParagraph"/>
        <w:numPr>
          <w:ilvl w:val="0"/>
          <w:numId w:val="38"/>
        </w:numPr>
        <w:spacing w:before="120" w:after="120" w:line="240" w:lineRule="auto"/>
        <w:ind w:left="1080"/>
        <w:contextualSpacing w:val="0"/>
        <w:rPr>
          <w:rFonts w:cstheme="minorHAnsi"/>
        </w:rPr>
      </w:pPr>
      <w:r w:rsidRPr="00790451">
        <w:rPr>
          <w:rFonts w:cstheme="minorHAnsi"/>
        </w:rPr>
        <w:t>not use a stated drug</w:t>
      </w:r>
      <w:r w:rsidRPr="00790451">
        <w:rPr>
          <w:rFonts w:cstheme="minorHAnsi"/>
        </w:rPr>
        <w:br/>
      </w:r>
    </w:p>
    <w:p w:rsidR="00535407" w:rsidRPr="00790451" w:rsidRDefault="00535407" w:rsidP="002B0CED">
      <w:pPr>
        <w:pStyle w:val="ListParagraph"/>
        <w:numPr>
          <w:ilvl w:val="0"/>
          <w:numId w:val="38"/>
        </w:numPr>
        <w:spacing w:before="120" w:after="120" w:line="240" w:lineRule="auto"/>
        <w:ind w:left="1080"/>
        <w:contextualSpacing w:val="0"/>
        <w:rPr>
          <w:rFonts w:cstheme="minorHAnsi"/>
        </w:rPr>
      </w:pPr>
      <w:r w:rsidRPr="00790451">
        <w:rPr>
          <w:rFonts w:cstheme="minorHAnsi"/>
        </w:rPr>
        <w:t>use a stated drug only in accordance with the conditions of the drug use provision</w:t>
      </w:r>
      <w:r w:rsidRPr="00790451">
        <w:rPr>
          <w:rFonts w:cstheme="minorHAnsi"/>
        </w:rPr>
        <w:br/>
      </w:r>
    </w:p>
    <w:p w:rsidR="00535407" w:rsidRPr="00790451" w:rsidRDefault="00535407" w:rsidP="002B0CED">
      <w:pPr>
        <w:pStyle w:val="ListParagraph"/>
        <w:numPr>
          <w:ilvl w:val="0"/>
          <w:numId w:val="38"/>
        </w:numPr>
        <w:spacing w:before="120" w:after="120" w:line="240" w:lineRule="auto"/>
        <w:ind w:left="1080"/>
        <w:contextualSpacing w:val="0"/>
        <w:rPr>
          <w:rFonts w:cstheme="minorHAnsi"/>
        </w:rPr>
      </w:pPr>
      <w:proofErr w:type="gramStart"/>
      <w:r w:rsidRPr="00790451">
        <w:rPr>
          <w:rFonts w:cstheme="minorHAnsi"/>
        </w:rPr>
        <w:t>undergo</w:t>
      </w:r>
      <w:proofErr w:type="gramEnd"/>
      <w:r w:rsidRPr="00790451">
        <w:rPr>
          <w:rFonts w:cstheme="minorHAnsi"/>
        </w:rPr>
        <w:t xml:space="preserve"> drug testing as directed by the Director-General in accordance with the Drug Testing Standards. </w:t>
      </w:r>
    </w:p>
    <w:p w:rsidR="00535407" w:rsidRDefault="00535407" w:rsidP="002B0CED">
      <w:pPr>
        <w:spacing w:before="120" w:after="120" w:line="240" w:lineRule="auto"/>
        <w:rPr>
          <w:rFonts w:cstheme="minorHAnsi"/>
        </w:rPr>
      </w:pPr>
      <w:r>
        <w:rPr>
          <w:rFonts w:cstheme="minorHAnsi"/>
        </w:rPr>
        <w:t>Turning to the substance of the instrument, it deals with issues such as:</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m</w:t>
      </w:r>
      <w:r w:rsidR="003235F6">
        <w:rPr>
          <w:rFonts w:cstheme="minorHAnsi"/>
        </w:rPr>
        <w:t>ethods of drug testing</w:t>
      </w:r>
      <w:bookmarkStart w:id="508" w:name="_GoBack"/>
      <w:bookmarkEnd w:id="508"/>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w</w:t>
      </w:r>
      <w:r w:rsidRPr="005C45BC">
        <w:rPr>
          <w:rFonts w:cstheme="minorHAnsi"/>
        </w:rPr>
        <w:t>hen to request drug testing</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he proposition that Child and Youth Protection Services only requests drug testing when it is clearly linked to the best interests of children</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h</w:t>
      </w:r>
      <w:r w:rsidRPr="005C45BC">
        <w:rPr>
          <w:rFonts w:cstheme="minorHAnsi"/>
        </w:rPr>
        <w:t>ow to request drug testing</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he proposition that Child and Youth Protection Services seeks to engage individuals in drug testing through voluntary processes</w:t>
      </w:r>
      <w:r>
        <w:rPr>
          <w:rFonts w:cstheme="minorHAnsi"/>
        </w:rPr>
        <w:t>,</w:t>
      </w:r>
      <w:r w:rsidRPr="005C45BC">
        <w:rPr>
          <w:rFonts w:cstheme="minorHAnsi"/>
        </w:rPr>
        <w:t xml:space="preserve"> where possible</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he collection of samples</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 xml:space="preserve">he enforcement of  compliance with drug testing (including through the </w:t>
      </w:r>
      <w:proofErr w:type="spellStart"/>
      <w:r w:rsidRPr="005C45BC">
        <w:rPr>
          <w:rFonts w:cstheme="minorHAnsi"/>
        </w:rPr>
        <w:t>Childrens</w:t>
      </w:r>
      <w:proofErr w:type="spellEnd"/>
      <w:r w:rsidRPr="005C45BC">
        <w:rPr>
          <w:rFonts w:cstheme="minorHAnsi"/>
        </w:rPr>
        <w:t xml:space="preserve"> Court, where appropriate)</w:t>
      </w:r>
      <w:r>
        <w:rPr>
          <w:rFonts w:cstheme="minorHAnsi"/>
        </w:rPr>
        <w:t>;</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he recording and provision of results</w:t>
      </w:r>
      <w:r>
        <w:rPr>
          <w:rFonts w:cstheme="minorHAnsi"/>
        </w:rPr>
        <w:t>;</w:t>
      </w:r>
      <w:r w:rsidRPr="005C45BC">
        <w:rPr>
          <w:rFonts w:cstheme="minorHAnsi"/>
        </w:rPr>
        <w:t xml:space="preserve"> </w:t>
      </w:r>
    </w:p>
    <w:p w:rsidR="00535407" w:rsidRPr="005C45BC" w:rsidRDefault="00535407" w:rsidP="002B0CED">
      <w:pPr>
        <w:pStyle w:val="ListParagraph"/>
        <w:numPr>
          <w:ilvl w:val="0"/>
          <w:numId w:val="39"/>
        </w:numPr>
        <w:spacing w:before="120" w:after="120" w:line="240" w:lineRule="auto"/>
        <w:rPr>
          <w:rFonts w:cstheme="minorHAnsi"/>
        </w:rPr>
      </w:pPr>
      <w:r>
        <w:rPr>
          <w:rFonts w:cstheme="minorHAnsi"/>
        </w:rPr>
        <w:t>t</w:t>
      </w:r>
      <w:r w:rsidRPr="005C45BC">
        <w:rPr>
          <w:rFonts w:cstheme="minorHAnsi"/>
        </w:rPr>
        <w:t xml:space="preserve">he use of results (including as evidence, in the </w:t>
      </w:r>
      <w:proofErr w:type="spellStart"/>
      <w:r w:rsidRPr="005C45BC">
        <w:rPr>
          <w:rFonts w:cstheme="minorHAnsi"/>
        </w:rPr>
        <w:t>Childrens</w:t>
      </w:r>
      <w:proofErr w:type="spellEnd"/>
      <w:r w:rsidRPr="005C45BC">
        <w:rPr>
          <w:rFonts w:cstheme="minorHAnsi"/>
        </w:rPr>
        <w:t xml:space="preserve"> Court)</w:t>
      </w:r>
      <w:r>
        <w:rPr>
          <w:rFonts w:cstheme="minorHAnsi"/>
        </w:rPr>
        <w:t>; and</w:t>
      </w:r>
    </w:p>
    <w:p w:rsidR="00535407" w:rsidRPr="005C45BC" w:rsidRDefault="00535407" w:rsidP="002B0CED">
      <w:pPr>
        <w:pStyle w:val="ListParagraph"/>
        <w:numPr>
          <w:ilvl w:val="0"/>
          <w:numId w:val="39"/>
        </w:numPr>
        <w:spacing w:before="120" w:after="120" w:line="240" w:lineRule="auto"/>
        <w:rPr>
          <w:rFonts w:cstheme="minorHAnsi"/>
        </w:rPr>
      </w:pPr>
      <w:proofErr w:type="gramStart"/>
      <w:r>
        <w:rPr>
          <w:rFonts w:cstheme="minorHAnsi"/>
        </w:rPr>
        <w:t>d</w:t>
      </w:r>
      <w:r w:rsidRPr="005C45BC">
        <w:rPr>
          <w:rFonts w:cstheme="minorHAnsi"/>
        </w:rPr>
        <w:t>isputing</w:t>
      </w:r>
      <w:proofErr w:type="gramEnd"/>
      <w:r w:rsidRPr="005C45BC">
        <w:rPr>
          <w:rFonts w:cstheme="minorHAnsi"/>
        </w:rPr>
        <w:t xml:space="preserve"> and challenging results</w:t>
      </w:r>
      <w:r>
        <w:rPr>
          <w:rFonts w:cstheme="minorHAnsi"/>
        </w:rPr>
        <w:t>.</w:t>
      </w:r>
    </w:p>
    <w:p w:rsidR="00535407" w:rsidRDefault="00535407" w:rsidP="002B0CED">
      <w:pPr>
        <w:spacing w:before="120" w:after="120" w:line="240" w:lineRule="auto"/>
        <w:rPr>
          <w:rFonts w:cstheme="minorHAnsi"/>
        </w:rPr>
      </w:pPr>
      <w:r>
        <w:rPr>
          <w:rFonts w:cstheme="minorHAnsi"/>
        </w:rPr>
        <w:t xml:space="preserve">It seems fairly obvious that the actions and activities encompassed by what is indicated, above, have at least the potential to engage human rights protected by the </w:t>
      </w:r>
      <w:r>
        <w:rPr>
          <w:rFonts w:cstheme="minorHAnsi"/>
          <w:i/>
          <w:iCs/>
        </w:rPr>
        <w:t>Human Rights Act 2004</w:t>
      </w:r>
      <w:r w:rsidR="00024311">
        <w:rPr>
          <w:rFonts w:cstheme="minorHAnsi"/>
        </w:rPr>
        <w:t xml:space="preserve">. </w:t>
      </w:r>
      <w:r>
        <w:rPr>
          <w:rFonts w:cstheme="minorHAnsi"/>
        </w:rPr>
        <w:t>For example, the rights to r</w:t>
      </w:r>
      <w:r w:rsidRPr="00E07EF3">
        <w:rPr>
          <w:rFonts w:cstheme="minorHAnsi"/>
        </w:rPr>
        <w:t>ecognition and equality before the law</w:t>
      </w:r>
      <w:r>
        <w:rPr>
          <w:rFonts w:cstheme="minorHAnsi"/>
        </w:rPr>
        <w:t xml:space="preserve"> (section 8), p</w:t>
      </w:r>
      <w:r w:rsidRPr="00E07EF3">
        <w:rPr>
          <w:rFonts w:cstheme="minorHAnsi"/>
        </w:rPr>
        <w:t>rotection of the family and children</w:t>
      </w:r>
      <w:r>
        <w:rPr>
          <w:rFonts w:cstheme="minorHAnsi"/>
        </w:rPr>
        <w:t xml:space="preserve"> (section 11), privacy </w:t>
      </w:r>
      <w:r w:rsidRPr="00E07EF3">
        <w:rPr>
          <w:rFonts w:cstheme="minorHAnsi"/>
        </w:rPr>
        <w:t>and reputation</w:t>
      </w:r>
      <w:r>
        <w:rPr>
          <w:rFonts w:cstheme="minorHAnsi"/>
        </w:rPr>
        <w:t xml:space="preserve"> (section 12), f</w:t>
      </w:r>
      <w:r w:rsidRPr="00E07EF3">
        <w:rPr>
          <w:rFonts w:cstheme="minorHAnsi"/>
        </w:rPr>
        <w:t>reedom of movement</w:t>
      </w:r>
      <w:r>
        <w:rPr>
          <w:rFonts w:cstheme="minorHAnsi"/>
        </w:rPr>
        <w:t xml:space="preserve"> (section 13), take </w:t>
      </w:r>
      <w:r w:rsidRPr="00E07EF3">
        <w:rPr>
          <w:rFonts w:cstheme="minorHAnsi"/>
        </w:rPr>
        <w:t xml:space="preserve">part in public life </w:t>
      </w:r>
      <w:r>
        <w:rPr>
          <w:rFonts w:cstheme="minorHAnsi"/>
        </w:rPr>
        <w:t>(section 17), l</w:t>
      </w:r>
      <w:r w:rsidRPr="00E07EF3">
        <w:rPr>
          <w:rFonts w:cstheme="minorHAnsi"/>
        </w:rPr>
        <w:t>iberty and security of person</w:t>
      </w:r>
      <w:r>
        <w:rPr>
          <w:rFonts w:cstheme="minorHAnsi"/>
        </w:rPr>
        <w:t xml:space="preserve"> (section 18), h</w:t>
      </w:r>
      <w:r w:rsidRPr="00E07EF3">
        <w:rPr>
          <w:rFonts w:cstheme="minorHAnsi"/>
        </w:rPr>
        <w:t>umane treatment when deprived of liberty</w:t>
      </w:r>
      <w:r>
        <w:rPr>
          <w:rFonts w:cstheme="minorHAnsi"/>
        </w:rPr>
        <w:t xml:space="preserve"> (section 19) might, conceivably, be engaged, as well as the rights of c</w:t>
      </w:r>
      <w:r w:rsidRPr="00E07EF3">
        <w:rPr>
          <w:rFonts w:cstheme="minorHAnsi"/>
        </w:rPr>
        <w:t>hildren in the criminal process</w:t>
      </w:r>
      <w:r>
        <w:rPr>
          <w:rFonts w:cstheme="minorHAnsi"/>
        </w:rPr>
        <w:t xml:space="preserve"> (section 20), the right to a fair trial (section 21) and rights in crimina</w:t>
      </w:r>
      <w:r w:rsidR="00024311">
        <w:rPr>
          <w:rFonts w:cstheme="minorHAnsi"/>
        </w:rPr>
        <w:t>l proceedings (section 22).</w:t>
      </w:r>
      <w:r>
        <w:rPr>
          <w:rFonts w:cstheme="minorHAnsi"/>
        </w:rPr>
        <w:t xml:space="preserve"> </w:t>
      </w:r>
      <w:r w:rsidRPr="00E07EF3">
        <w:rPr>
          <w:rFonts w:cstheme="minorHAnsi"/>
        </w:rPr>
        <w:t xml:space="preserve">Cultural and other rights of Aboriginal and Torres Strait Islander peoples and other </w:t>
      </w:r>
      <w:r>
        <w:rPr>
          <w:rFonts w:cstheme="minorHAnsi"/>
        </w:rPr>
        <w:t>minorities (section 27) might also be engaged, for particular persons.</w:t>
      </w:r>
    </w:p>
    <w:p w:rsidR="00535407" w:rsidRDefault="00535407" w:rsidP="002B0CED">
      <w:pPr>
        <w:spacing w:before="120" w:after="120" w:line="240" w:lineRule="auto"/>
        <w:rPr>
          <w:rFonts w:cstheme="minorHAnsi"/>
        </w:rPr>
      </w:pPr>
      <w:r>
        <w:rPr>
          <w:rFonts w:cstheme="minorHAnsi"/>
        </w:rPr>
        <w:t>The Committee notes that, despite this apparent potential for various human rights to be engaged, the explanatory statement for the instrument contains no mention of human r</w:t>
      </w:r>
      <w:r w:rsidR="00024311">
        <w:rPr>
          <w:rFonts w:cstheme="minorHAnsi"/>
        </w:rPr>
        <w:t xml:space="preserve">ights or the Human Rights Act. </w:t>
      </w:r>
      <w:r>
        <w:rPr>
          <w:rFonts w:cstheme="minorHAnsi"/>
        </w:rPr>
        <w:t>The Committee is surprised by this.</w:t>
      </w:r>
    </w:p>
    <w:p w:rsidR="00535407" w:rsidRPr="007C406A" w:rsidRDefault="00535407" w:rsidP="002B0CED">
      <w:pPr>
        <w:widowControl w:val="0"/>
        <w:tabs>
          <w:tab w:val="left" w:pos="1276"/>
        </w:tabs>
        <w:spacing w:before="240" w:line="240" w:lineRule="auto"/>
        <w:rPr>
          <w:rFonts w:ascii="Calibri" w:eastAsia="Calibri" w:hAnsi="Calibri" w:cs="Calibri"/>
          <w:bCs/>
          <w:color w:val="000000"/>
          <w:szCs w:val="20"/>
        </w:rPr>
      </w:pPr>
      <w:r>
        <w:rPr>
          <w:rFonts w:ascii="Calibri" w:eastAsia="Calibri" w:hAnsi="Calibri" w:cs="Calibri"/>
          <w:bCs/>
          <w:color w:val="000000"/>
          <w:szCs w:val="20"/>
        </w:rPr>
        <w:t>In making this observation, the Committee acknowledges that</w:t>
      </w:r>
      <w:r w:rsidRPr="007C406A">
        <w:rPr>
          <w:rFonts w:ascii="Calibri" w:eastAsia="Calibri" w:hAnsi="Calibri" w:cs="Calibri"/>
          <w:bCs/>
          <w:color w:val="000000"/>
          <w:szCs w:val="20"/>
        </w:rPr>
        <w:t xml:space="preserve">, under section 38 of the </w:t>
      </w:r>
      <w:r w:rsidRPr="007C406A">
        <w:rPr>
          <w:rFonts w:ascii="Calibri" w:eastAsia="Calibri" w:hAnsi="Calibri" w:cs="Calibri"/>
          <w:bCs/>
          <w:i/>
          <w:iCs/>
          <w:color w:val="000000"/>
          <w:szCs w:val="20"/>
        </w:rPr>
        <w:t>Human Rights Act 2004</w:t>
      </w:r>
      <w:r w:rsidRPr="007C406A">
        <w:rPr>
          <w:rFonts w:ascii="Calibri" w:eastAsia="Calibri" w:hAnsi="Calibri" w:cs="Calibri"/>
          <w:bCs/>
          <w:color w:val="000000"/>
          <w:szCs w:val="20"/>
        </w:rPr>
        <w:t>, the Committee only has a formal</w:t>
      </w:r>
      <w:r>
        <w:rPr>
          <w:rFonts w:ascii="Calibri" w:eastAsia="Calibri" w:hAnsi="Calibri" w:cs="Calibri"/>
          <w:bCs/>
          <w:color w:val="000000"/>
          <w:szCs w:val="20"/>
        </w:rPr>
        <w:t>,</w:t>
      </w:r>
      <w:r w:rsidRPr="007C406A">
        <w:rPr>
          <w:rFonts w:ascii="Calibri" w:eastAsia="Calibri" w:hAnsi="Calibri" w:cs="Calibri"/>
          <w:bCs/>
          <w:color w:val="000000"/>
          <w:szCs w:val="20"/>
        </w:rPr>
        <w:t xml:space="preserve"> statutory role in relation to “human rights issues raised by bil</w:t>
      </w:r>
      <w:r w:rsidR="00024311">
        <w:rPr>
          <w:rFonts w:ascii="Calibri" w:eastAsia="Calibri" w:hAnsi="Calibri" w:cs="Calibri"/>
          <w:bCs/>
          <w:color w:val="000000"/>
          <w:szCs w:val="20"/>
        </w:rPr>
        <w:t xml:space="preserve">ls presented to the Assembly”. </w:t>
      </w:r>
      <w:r w:rsidRPr="007C406A">
        <w:rPr>
          <w:rFonts w:ascii="Calibri" w:eastAsia="Calibri" w:hAnsi="Calibri" w:cs="Calibri"/>
          <w:bCs/>
          <w:color w:val="000000"/>
          <w:szCs w:val="20"/>
        </w:rPr>
        <w:t>The Committee acknowledges that it has no formal, statutory role in relation to human rights issues raised by</w:t>
      </w:r>
      <w:r w:rsidRPr="007C406A">
        <w:rPr>
          <w:rFonts w:ascii="Calibri" w:eastAsia="Calibri" w:hAnsi="Calibri" w:cs="Calibri"/>
          <w:bCs/>
          <w:i/>
          <w:iCs/>
          <w:color w:val="000000"/>
          <w:szCs w:val="20"/>
        </w:rPr>
        <w:t xml:space="preserve"> subordinate legislation</w:t>
      </w:r>
      <w:r w:rsidRPr="007C406A">
        <w:rPr>
          <w:rFonts w:ascii="Calibri" w:eastAsia="Calibri" w:hAnsi="Calibri" w:cs="Calibri"/>
          <w:bCs/>
          <w:color w:val="000000"/>
          <w:szCs w:val="20"/>
        </w:rPr>
        <w:t xml:space="preserve"> presented to the Assembly.</w:t>
      </w:r>
    </w:p>
    <w:p w:rsidR="00535407" w:rsidRPr="007C406A" w:rsidRDefault="00535407" w:rsidP="002B0CED">
      <w:pPr>
        <w:widowControl w:val="0"/>
        <w:tabs>
          <w:tab w:val="left" w:pos="1276"/>
        </w:tabs>
        <w:spacing w:before="240" w:line="240" w:lineRule="auto"/>
        <w:rPr>
          <w:rFonts w:ascii="Calibri" w:eastAsia="Calibri" w:hAnsi="Calibri" w:cs="Calibri"/>
          <w:bCs/>
          <w:color w:val="000000"/>
          <w:szCs w:val="20"/>
        </w:rPr>
      </w:pPr>
      <w:r w:rsidRPr="007C406A">
        <w:rPr>
          <w:rFonts w:ascii="Calibri" w:eastAsia="Calibri" w:hAnsi="Calibri" w:cs="Calibri"/>
          <w:bCs/>
          <w:color w:val="000000"/>
          <w:szCs w:val="20"/>
        </w:rPr>
        <w:t>Nevertheless</w:t>
      </w:r>
      <w:r>
        <w:rPr>
          <w:rFonts w:ascii="Calibri" w:eastAsia="Calibri" w:hAnsi="Calibri" w:cs="Calibri"/>
          <w:bCs/>
          <w:color w:val="000000"/>
          <w:szCs w:val="20"/>
        </w:rPr>
        <w:t xml:space="preserve"> – as the Committee has recently observed</w:t>
      </w:r>
      <w:r w:rsidRPr="007C406A">
        <w:rPr>
          <w:rFonts w:ascii="Calibri" w:eastAsia="Calibri" w:hAnsi="Calibri" w:cs="Calibri"/>
          <w:bCs/>
          <w:color w:val="000000"/>
          <w:szCs w:val="20"/>
        </w:rPr>
        <w:t>,</w:t>
      </w:r>
      <w:r w:rsidRPr="007C406A">
        <w:t xml:space="preserve"> </w:t>
      </w:r>
      <w:r w:rsidRPr="007C406A">
        <w:rPr>
          <w:rFonts w:cstheme="minorHAnsi"/>
        </w:rPr>
        <w:t xml:space="preserve">in </w:t>
      </w:r>
      <w:r w:rsidRPr="007C406A">
        <w:rPr>
          <w:rFonts w:ascii="Calibri" w:eastAsia="Calibri" w:hAnsi="Calibri" w:cs="Calibri"/>
          <w:bCs/>
          <w:i/>
          <w:iCs/>
          <w:color w:val="000000"/>
          <w:szCs w:val="20"/>
        </w:rPr>
        <w:t>Scrutiny Report 2</w:t>
      </w:r>
      <w:r w:rsidRPr="007C406A">
        <w:rPr>
          <w:rFonts w:ascii="Calibri" w:eastAsia="Calibri" w:hAnsi="Calibri" w:cs="Calibri"/>
          <w:bCs/>
          <w:color w:val="000000"/>
          <w:szCs w:val="20"/>
        </w:rPr>
        <w:t xml:space="preserve"> of the </w:t>
      </w:r>
      <w:r>
        <w:rPr>
          <w:rFonts w:ascii="Calibri" w:eastAsia="Calibri" w:hAnsi="Calibri" w:cs="Calibri"/>
          <w:bCs/>
          <w:color w:val="000000"/>
          <w:szCs w:val="20"/>
        </w:rPr>
        <w:t>10</w:t>
      </w:r>
      <w:r w:rsidRPr="001C24B2">
        <w:rPr>
          <w:rFonts w:ascii="Calibri" w:eastAsia="Calibri" w:hAnsi="Calibri" w:cs="Calibri"/>
          <w:bCs/>
          <w:color w:val="000000"/>
          <w:szCs w:val="20"/>
          <w:vertAlign w:val="superscript"/>
        </w:rPr>
        <w:t>th</w:t>
      </w:r>
      <w:r>
        <w:rPr>
          <w:rFonts w:ascii="Calibri" w:eastAsia="Calibri" w:hAnsi="Calibri" w:cs="Calibri"/>
          <w:bCs/>
          <w:color w:val="000000"/>
          <w:szCs w:val="20"/>
        </w:rPr>
        <w:t xml:space="preserve"> </w:t>
      </w:r>
      <w:r w:rsidRPr="007C406A">
        <w:rPr>
          <w:rFonts w:ascii="Calibri" w:eastAsia="Calibri" w:hAnsi="Calibri" w:cs="Calibri"/>
          <w:bCs/>
          <w:color w:val="000000"/>
          <w:szCs w:val="20"/>
        </w:rPr>
        <w:t>Assembly (24 March 2021)</w:t>
      </w:r>
      <w:r>
        <w:rPr>
          <w:rFonts w:ascii="Calibri" w:eastAsia="Calibri" w:hAnsi="Calibri" w:cs="Calibri"/>
          <w:bCs/>
          <w:color w:val="000000"/>
          <w:szCs w:val="20"/>
        </w:rPr>
        <w:t xml:space="preserve"> and in </w:t>
      </w:r>
      <w:r>
        <w:rPr>
          <w:rFonts w:ascii="Calibri" w:eastAsia="Calibri" w:hAnsi="Calibri" w:cs="Calibri"/>
          <w:bCs/>
          <w:i/>
          <w:iCs/>
          <w:color w:val="000000"/>
          <w:szCs w:val="20"/>
        </w:rPr>
        <w:t xml:space="preserve">Scrutiny Report 3 </w:t>
      </w:r>
      <w:r>
        <w:rPr>
          <w:rFonts w:ascii="Calibri" w:eastAsia="Calibri" w:hAnsi="Calibri" w:cs="Calibri"/>
          <w:bCs/>
          <w:color w:val="000000"/>
          <w:szCs w:val="20"/>
        </w:rPr>
        <w:t>of the 10</w:t>
      </w:r>
      <w:r w:rsidRPr="007C406A">
        <w:rPr>
          <w:rFonts w:ascii="Calibri" w:eastAsia="Calibri" w:hAnsi="Calibri" w:cs="Calibri"/>
          <w:bCs/>
          <w:color w:val="000000"/>
          <w:szCs w:val="20"/>
          <w:vertAlign w:val="superscript"/>
        </w:rPr>
        <w:t>th</w:t>
      </w:r>
      <w:r>
        <w:rPr>
          <w:rFonts w:ascii="Calibri" w:eastAsia="Calibri" w:hAnsi="Calibri" w:cs="Calibri"/>
          <w:bCs/>
          <w:color w:val="000000"/>
          <w:szCs w:val="20"/>
        </w:rPr>
        <w:t xml:space="preserve"> Assembly (14 April 2021) – </w:t>
      </w:r>
      <w:r w:rsidRPr="007C406A">
        <w:rPr>
          <w:rFonts w:ascii="Calibri" w:eastAsia="Calibri" w:hAnsi="Calibri" w:cs="Calibri"/>
          <w:bCs/>
          <w:color w:val="000000"/>
          <w:szCs w:val="20"/>
        </w:rPr>
        <w:t>the Committee has, in recent years, been pleased to note that, increasingly, explanatory statements for subordinate legislation considered by the Committee has included a discussion of human rights issues, despite the absence of any formal, statutory requirement to address such issues, for subordinate legislation, unlike the requirement imposed by section 37 of the</w:t>
      </w:r>
      <w:r>
        <w:rPr>
          <w:rFonts w:ascii="Calibri" w:eastAsia="Calibri" w:hAnsi="Calibri" w:cs="Calibri"/>
          <w:bCs/>
          <w:color w:val="000000"/>
          <w:szCs w:val="20"/>
        </w:rPr>
        <w:t xml:space="preserve"> Human Rights Act</w:t>
      </w:r>
      <w:r w:rsidRPr="007C406A">
        <w:rPr>
          <w:rFonts w:ascii="Calibri" w:eastAsia="Calibri" w:hAnsi="Calibri" w:cs="Calibri"/>
          <w:bCs/>
          <w:color w:val="000000"/>
          <w:szCs w:val="20"/>
        </w:rPr>
        <w:t>, to provide a “compatibility statement” in relation to the consisten</w:t>
      </w:r>
      <w:r w:rsidR="00AF356E">
        <w:rPr>
          <w:rFonts w:ascii="Calibri" w:eastAsia="Calibri" w:hAnsi="Calibri" w:cs="Calibri"/>
          <w:bCs/>
          <w:color w:val="000000"/>
          <w:szCs w:val="20"/>
        </w:rPr>
        <w:t xml:space="preserve">cy of bills with human rights. </w:t>
      </w:r>
      <w:r w:rsidRPr="007C406A">
        <w:rPr>
          <w:rFonts w:ascii="Calibri" w:eastAsia="Calibri" w:hAnsi="Calibri" w:cs="Calibri"/>
          <w:bCs/>
          <w:color w:val="000000"/>
          <w:szCs w:val="20"/>
        </w:rPr>
        <w:t xml:space="preserve">The Committee has </w:t>
      </w:r>
      <w:r>
        <w:rPr>
          <w:rFonts w:ascii="Calibri" w:eastAsia="Calibri" w:hAnsi="Calibri" w:cs="Calibri"/>
          <w:bCs/>
          <w:color w:val="000000"/>
          <w:szCs w:val="20"/>
        </w:rPr>
        <w:t xml:space="preserve">recently </w:t>
      </w:r>
      <w:r w:rsidRPr="007C406A">
        <w:rPr>
          <w:rFonts w:ascii="Calibri" w:eastAsia="Calibri" w:hAnsi="Calibri" w:cs="Calibri"/>
          <w:bCs/>
          <w:color w:val="000000"/>
          <w:szCs w:val="20"/>
        </w:rPr>
        <w:t xml:space="preserve">noted </w:t>
      </w:r>
      <w:r>
        <w:rPr>
          <w:rFonts w:ascii="Calibri" w:eastAsia="Calibri" w:hAnsi="Calibri" w:cs="Calibri"/>
          <w:bCs/>
          <w:color w:val="000000"/>
          <w:szCs w:val="20"/>
        </w:rPr>
        <w:t xml:space="preserve">(in those </w:t>
      </w:r>
      <w:r>
        <w:rPr>
          <w:rFonts w:ascii="Calibri" w:eastAsia="Calibri" w:hAnsi="Calibri" w:cs="Calibri"/>
          <w:bCs/>
          <w:i/>
          <w:iCs/>
          <w:color w:val="000000"/>
          <w:szCs w:val="20"/>
        </w:rPr>
        <w:t xml:space="preserve">Scrutiny </w:t>
      </w:r>
      <w:r w:rsidRPr="001C24B2">
        <w:rPr>
          <w:rFonts w:ascii="Calibri" w:eastAsia="Calibri" w:hAnsi="Calibri" w:cs="Calibri"/>
          <w:bCs/>
          <w:i/>
          <w:iCs/>
          <w:color w:val="000000"/>
          <w:szCs w:val="20"/>
        </w:rPr>
        <w:t>Reports</w:t>
      </w:r>
      <w:r>
        <w:rPr>
          <w:rFonts w:ascii="Calibri" w:eastAsia="Calibri" w:hAnsi="Calibri" w:cs="Calibri"/>
          <w:bCs/>
          <w:color w:val="000000"/>
          <w:szCs w:val="20"/>
        </w:rPr>
        <w:t xml:space="preserve">) </w:t>
      </w:r>
      <w:r w:rsidRPr="007C406A">
        <w:rPr>
          <w:rFonts w:ascii="Calibri" w:eastAsia="Calibri" w:hAnsi="Calibri" w:cs="Calibri"/>
          <w:bCs/>
          <w:color w:val="000000"/>
          <w:szCs w:val="20"/>
        </w:rPr>
        <w:t>that, among other things, the provision of human rights analysis assists the Committee in its role under principle (10)(c)(ii) of the Committee’s terms of reference, which requires the Committee to consider whether subordinate legislation may unduly trespass on rights previously established by law.</w:t>
      </w:r>
    </w:p>
    <w:p w:rsidR="00535407" w:rsidRDefault="00535407" w:rsidP="002B0CED">
      <w:pPr>
        <w:keepLines/>
        <w:widowControl w:val="0"/>
        <w:tabs>
          <w:tab w:val="left" w:pos="1276"/>
        </w:tabs>
        <w:spacing w:before="240" w:line="240" w:lineRule="auto"/>
        <w:rPr>
          <w:rFonts w:cstheme="minorHAnsi"/>
          <w:bCs/>
        </w:rPr>
      </w:pPr>
      <w:r w:rsidRPr="007C406A">
        <w:rPr>
          <w:rFonts w:eastAsia="Calibri" w:cstheme="minorHAnsi"/>
          <w:bCs/>
          <w:color w:val="000000"/>
        </w:rPr>
        <w:t>I</w:t>
      </w:r>
      <w:r w:rsidRPr="007C406A">
        <w:rPr>
          <w:rFonts w:cstheme="minorHAnsi"/>
          <w:bCs/>
        </w:rPr>
        <w:t xml:space="preserve">n </w:t>
      </w:r>
      <w:r w:rsidRPr="007C406A">
        <w:rPr>
          <w:rFonts w:cstheme="minorHAnsi"/>
          <w:bCs/>
          <w:i/>
          <w:iCs/>
        </w:rPr>
        <w:t>Scrutiny Report 3</w:t>
      </w:r>
      <w:r w:rsidRPr="007C406A">
        <w:rPr>
          <w:rFonts w:cstheme="minorHAnsi"/>
          <w:bCs/>
        </w:rPr>
        <w:t>, explicitly recognising the limitations on the Committee’s formal, statutory jurisdiction, the Committee raised human rights concerns in relation to the Working with Vulnerable People (Background Checking) Risk Assessment Guidelines 2021 (No 1) [DI2021-4]. The Committee sought a response from the relevant Minister. I</w:t>
      </w:r>
      <w:r>
        <w:rPr>
          <w:rFonts w:cstheme="minorHAnsi"/>
          <w:bCs/>
        </w:rPr>
        <w:t>n her response, Minister Cheyne</w:t>
      </w:r>
      <w:r w:rsidRPr="007C406A">
        <w:rPr>
          <w:rFonts w:cstheme="minorHAnsi"/>
          <w:bCs/>
        </w:rPr>
        <w:t>, in a letter dated 11</w:t>
      </w:r>
      <w:r w:rsidR="005A137F">
        <w:rPr>
          <w:rFonts w:cstheme="minorHAnsi"/>
          <w:bCs/>
        </w:rPr>
        <w:t> </w:t>
      </w:r>
      <w:r w:rsidRPr="007C406A">
        <w:rPr>
          <w:rFonts w:cstheme="minorHAnsi"/>
          <w:bCs/>
        </w:rPr>
        <w:t>May 2021</w:t>
      </w:r>
      <w:r>
        <w:rPr>
          <w:rFonts w:cstheme="minorHAnsi"/>
          <w:bCs/>
        </w:rPr>
        <w:t xml:space="preserve">, both acknowledged the Committee’s comments and the premises on which they were put </w:t>
      </w:r>
      <w:r>
        <w:rPr>
          <w:rFonts w:cstheme="minorHAnsi"/>
          <w:bCs/>
          <w:u w:val="single"/>
        </w:rPr>
        <w:t>and</w:t>
      </w:r>
      <w:r>
        <w:rPr>
          <w:rFonts w:cstheme="minorHAnsi"/>
          <w:bCs/>
        </w:rPr>
        <w:t xml:space="preserve"> (in the light of the Committee’s comments) undertook to </w:t>
      </w:r>
      <w:r w:rsidRPr="001C24B2">
        <w:rPr>
          <w:rFonts w:cstheme="minorHAnsi"/>
          <w:bCs/>
        </w:rPr>
        <w:t xml:space="preserve">ensure that explanatory statements for future instruments for which </w:t>
      </w:r>
      <w:r>
        <w:rPr>
          <w:rFonts w:cstheme="minorHAnsi"/>
          <w:bCs/>
        </w:rPr>
        <w:t xml:space="preserve">Minister Cheyne has </w:t>
      </w:r>
      <w:r w:rsidRPr="001C24B2">
        <w:rPr>
          <w:rFonts w:cstheme="minorHAnsi"/>
          <w:bCs/>
        </w:rPr>
        <w:t>responsibility more clearly address human rights issues.</w:t>
      </w:r>
    </w:p>
    <w:p w:rsidR="00535407" w:rsidRDefault="00535407" w:rsidP="002B0CED">
      <w:pPr>
        <w:widowControl w:val="0"/>
        <w:tabs>
          <w:tab w:val="left" w:pos="1276"/>
        </w:tabs>
        <w:spacing w:before="240" w:line="240" w:lineRule="auto"/>
        <w:rPr>
          <w:rFonts w:cstheme="minorHAnsi"/>
          <w:bCs/>
        </w:rPr>
      </w:pPr>
      <w:r>
        <w:rPr>
          <w:rFonts w:cstheme="minorHAnsi"/>
          <w:bCs/>
        </w:rPr>
        <w:t>The Committee has welcomed Minister Cheyne’s very helpful response to its comments</w:t>
      </w:r>
      <w:r w:rsidRPr="007C406A">
        <w:rPr>
          <w:rFonts w:cstheme="minorHAnsi"/>
          <w:bCs/>
        </w:rPr>
        <w:t>.</w:t>
      </w:r>
    </w:p>
    <w:p w:rsidR="00535407" w:rsidRDefault="00535407" w:rsidP="002B0CED">
      <w:pPr>
        <w:widowControl w:val="0"/>
        <w:tabs>
          <w:tab w:val="left" w:pos="1276"/>
        </w:tabs>
        <w:spacing w:before="240" w:line="240" w:lineRule="auto"/>
        <w:rPr>
          <w:rFonts w:cstheme="minorHAnsi"/>
          <w:bCs/>
        </w:rPr>
      </w:pPr>
      <w:r>
        <w:rPr>
          <w:rFonts w:cstheme="minorHAnsi"/>
          <w:bCs/>
        </w:rPr>
        <w:t>The comment</w:t>
      </w:r>
      <w:r w:rsidRPr="007C406A">
        <w:rPr>
          <w:rFonts w:cstheme="minorHAnsi"/>
          <w:bCs/>
        </w:rPr>
        <w:t xml:space="preserve"> </w:t>
      </w:r>
      <w:r>
        <w:rPr>
          <w:rFonts w:cstheme="minorHAnsi"/>
          <w:bCs/>
        </w:rPr>
        <w:t>on this instrument is made in the spirit of that co-operative response from Minister Cheyne.  The Committee would be grateful for the Minister’s views.</w:t>
      </w:r>
    </w:p>
    <w:p w:rsidR="00535407" w:rsidRPr="0057345D" w:rsidRDefault="00535407" w:rsidP="002B0CED">
      <w:pPr>
        <w:widowControl w:val="0"/>
        <w:tabs>
          <w:tab w:val="left" w:pos="1276"/>
        </w:tabs>
        <w:spacing w:before="120" w:after="120" w:line="240" w:lineRule="auto"/>
        <w:rPr>
          <w:rFonts w:ascii="Calibri" w:eastAsia="Calibri" w:hAnsi="Calibri" w:cs="Calibri"/>
          <w:lang w:val="en-US"/>
        </w:rPr>
      </w:pPr>
      <w:r w:rsidRPr="0057345D">
        <w:rPr>
          <w:rFonts w:ascii="Calibri" w:hAnsi="Calibri" w:cs="Calibri"/>
          <w:b/>
          <w:bCs/>
          <w:lang w:val="en-US"/>
        </w:rPr>
        <w:t>The Committee draws the attention of the Legislative Assembly to this instrument, under principle (10</w:t>
      </w:r>
      <w:proofErr w:type="gramStart"/>
      <w:r w:rsidRPr="0057345D">
        <w:rPr>
          <w:rFonts w:ascii="Calibri" w:hAnsi="Calibri" w:cs="Calibri"/>
          <w:b/>
          <w:bCs/>
          <w:lang w:val="en-US"/>
        </w:rPr>
        <w:t>)(</w:t>
      </w:r>
      <w:proofErr w:type="gramEnd"/>
      <w:r w:rsidRPr="0057345D">
        <w:rPr>
          <w:rFonts w:ascii="Calibri" w:hAnsi="Calibri" w:cs="Calibri"/>
          <w:b/>
          <w:bCs/>
          <w:lang w:val="en-US"/>
        </w:rPr>
        <w:t xml:space="preserve">c)(ii) of the Committee’s terms of reference, on the basis that the instrument may </w:t>
      </w:r>
      <w:r w:rsidRPr="0057345D">
        <w:rPr>
          <w:rFonts w:ascii="Calibri" w:eastAsia="Calibri" w:hAnsi="Calibri" w:cs="Calibri"/>
          <w:b/>
          <w:bCs/>
          <w:lang w:val="en-US"/>
        </w:rPr>
        <w:t>unduly trespass on rights previously established by law</w:t>
      </w:r>
      <w:r w:rsidRPr="0057345D">
        <w:rPr>
          <w:rFonts w:ascii="Calibri" w:eastAsia="Calibri" w:hAnsi="Calibri" w:cs="Calibri"/>
          <w:lang w:val="en-US"/>
        </w:rPr>
        <w:t>.</w:t>
      </w:r>
    </w:p>
    <w:p w:rsidR="00535407" w:rsidRPr="0057345D" w:rsidRDefault="00535407" w:rsidP="002B0CED">
      <w:pPr>
        <w:widowControl w:val="0"/>
        <w:tabs>
          <w:tab w:val="left" w:pos="1276"/>
        </w:tabs>
        <w:spacing w:before="120" w:after="120" w:line="240" w:lineRule="auto"/>
        <w:rPr>
          <w:rFonts w:ascii="Calibri" w:hAnsi="Calibri" w:cs="Calibri"/>
          <w:b/>
          <w:bCs/>
          <w:lang w:val="en-US"/>
        </w:rPr>
      </w:pPr>
      <w:r w:rsidRPr="0057345D">
        <w:rPr>
          <w:rFonts w:ascii="Calibri" w:eastAsia="Calibri" w:hAnsi="Calibri" w:cs="Calibri"/>
          <w:b/>
          <w:bCs/>
          <w:lang w:val="en-US"/>
        </w:rPr>
        <w:t>The Committee also draws the attention of the Legislative Assembly to this instrument, under principle (10</w:t>
      </w:r>
      <w:proofErr w:type="gramStart"/>
      <w:r w:rsidRPr="0057345D">
        <w:rPr>
          <w:rFonts w:ascii="Calibri" w:eastAsia="Calibri" w:hAnsi="Calibri" w:cs="Calibri"/>
          <w:b/>
          <w:bCs/>
          <w:lang w:val="en-US"/>
        </w:rPr>
        <w:t>)(</w:t>
      </w:r>
      <w:proofErr w:type="gramEnd"/>
      <w:r w:rsidRPr="0057345D">
        <w:rPr>
          <w:rFonts w:ascii="Calibri" w:eastAsia="Calibri" w:hAnsi="Calibri" w:cs="Calibri"/>
          <w:b/>
          <w:bCs/>
          <w:lang w:val="en-US"/>
        </w:rPr>
        <w:t>d) of the Committee’s terms of reference</w:t>
      </w:r>
      <w:r w:rsidRPr="0057345D">
        <w:rPr>
          <w:rFonts w:ascii="Calibri" w:hAnsi="Calibri" w:cs="Calibri"/>
          <w:b/>
          <w:bCs/>
          <w:lang w:val="en-US"/>
        </w:rPr>
        <w:t>, on the basis that the explanatory statement for the instrument does not meet the technical or stylistic standards expected by the Committee.</w:t>
      </w:r>
    </w:p>
    <w:p w:rsidR="00305BF6" w:rsidRDefault="00305BF6" w:rsidP="00305BF6">
      <w:pPr>
        <w:pStyle w:val="Bodycopy"/>
        <w:spacing w:after="0" w:line="280" w:lineRule="exact"/>
        <w:rPr>
          <w:rFonts w:eastAsiaTheme="minorHAnsi"/>
          <w:b/>
          <w:bCs/>
          <w:szCs w:val="22"/>
          <w:lang w:val="en-US" w:eastAsia="en-US"/>
        </w:rPr>
      </w:pPr>
      <w:bookmarkStart w:id="509" w:name="_Toc338841798"/>
      <w:r>
        <w:rPr>
          <w:rFonts w:eastAsiaTheme="minorHAnsi"/>
          <w:b/>
          <w:bCs/>
          <w:szCs w:val="22"/>
          <w:lang w:val="en-US" w:eastAsia="en-US"/>
        </w:rPr>
        <w:t>This comment requires a response from the Minister before 4 August 2021, before the time for disallowance of the instrument has expired.</w:t>
      </w:r>
    </w:p>
    <w:p w:rsidR="00535407" w:rsidRPr="004D0138" w:rsidRDefault="00535407" w:rsidP="002B0CED">
      <w:pPr>
        <w:pStyle w:val="Paper"/>
        <w:widowControl w:val="0"/>
        <w:tabs>
          <w:tab w:val="left" w:pos="1276"/>
        </w:tabs>
        <w:spacing w:before="180"/>
        <w:rPr>
          <w:rFonts w:ascii="Arial Narrow" w:hAnsi="Arial Narrow" w:cs="Arial Narrow"/>
          <w:smallCaps/>
          <w:sz w:val="30"/>
          <w:szCs w:val="30"/>
        </w:rPr>
      </w:pPr>
      <w:r w:rsidRPr="00405446">
        <w:rPr>
          <w:b/>
          <w:color w:val="FF0000"/>
        </w:rPr>
        <w:br/>
      </w:r>
      <w:bookmarkStart w:id="510" w:name="_Hlk489262200"/>
      <w:bookmarkStart w:id="511" w:name="_Hlk20217519"/>
      <w:r w:rsidRPr="004D0138">
        <w:rPr>
          <w:rFonts w:ascii="Arial Narrow" w:hAnsi="Arial Narrow" w:cs="Arial Narrow"/>
          <w:smallCaps/>
          <w:sz w:val="30"/>
          <w:szCs w:val="30"/>
        </w:rPr>
        <w:t>Subordinate Laws</w:t>
      </w:r>
      <w:bookmarkStart w:id="512" w:name="_Hlk20475358"/>
      <w:r w:rsidRPr="004D0138">
        <w:rPr>
          <w:rFonts w:ascii="Arial Narrow" w:hAnsi="Arial Narrow" w:cs="Arial Narrow"/>
          <w:smallCaps/>
          <w:sz w:val="30"/>
          <w:szCs w:val="30"/>
        </w:rPr>
        <w:t>—Comment</w:t>
      </w:r>
      <w:bookmarkEnd w:id="509"/>
      <w:bookmarkEnd w:id="510"/>
      <w:bookmarkEnd w:id="512"/>
    </w:p>
    <w:p w:rsidR="00535407" w:rsidRDefault="00535407" w:rsidP="002B0CED">
      <w:pPr>
        <w:widowControl w:val="0"/>
        <w:tabs>
          <w:tab w:val="left" w:pos="1276"/>
        </w:tabs>
        <w:spacing w:before="120" w:after="120" w:line="240" w:lineRule="auto"/>
        <w:rPr>
          <w:rFonts w:ascii="Calibri" w:hAnsi="Calibri" w:cs="Calibri"/>
          <w:color w:val="000000"/>
        </w:rPr>
      </w:pPr>
      <w:bookmarkStart w:id="513" w:name="_Hlk494963165"/>
      <w:bookmarkEnd w:id="511"/>
      <w:r w:rsidRPr="00987942">
        <w:rPr>
          <w:rFonts w:ascii="Calibri" w:hAnsi="Calibri" w:cs="Calibri"/>
          <w:color w:val="000000"/>
        </w:rPr>
        <w:t xml:space="preserve">The Committee </w:t>
      </w:r>
      <w:bookmarkEnd w:id="513"/>
      <w:r w:rsidRPr="00987942">
        <w:rPr>
          <w:rFonts w:ascii="Calibri" w:hAnsi="Calibri" w:cs="Calibri"/>
          <w:color w:val="000000"/>
        </w:rPr>
        <w:t>has examined the following subordinate law</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p>
    <w:p w:rsidR="00535407" w:rsidRPr="00D7174F" w:rsidRDefault="00535407" w:rsidP="002B0CED">
      <w:pPr>
        <w:pStyle w:val="Bodycopy"/>
        <w:spacing w:after="0" w:line="240" w:lineRule="auto"/>
        <w:rPr>
          <w:bCs/>
          <w:i/>
          <w:iCs/>
        </w:rPr>
      </w:pPr>
      <w:r>
        <w:rPr>
          <w:bCs/>
          <w:i/>
          <w:iCs/>
        </w:rPr>
        <w:t>Human rights issues</w:t>
      </w:r>
    </w:p>
    <w:p w:rsidR="00535407" w:rsidRDefault="00535407" w:rsidP="002B0CED">
      <w:pPr>
        <w:pStyle w:val="Bodycopy"/>
        <w:numPr>
          <w:ilvl w:val="0"/>
          <w:numId w:val="34"/>
        </w:numPr>
        <w:tabs>
          <w:tab w:val="clear" w:pos="1276"/>
          <w:tab w:val="left" w:pos="0"/>
        </w:tabs>
        <w:spacing w:before="160" w:after="160" w:line="240" w:lineRule="auto"/>
        <w:ind w:left="360"/>
        <w:rPr>
          <w:b/>
        </w:rPr>
      </w:pPr>
      <w:r>
        <w:rPr>
          <w:b/>
        </w:rPr>
        <w:t>Subordinate Law</w:t>
      </w:r>
      <w:r w:rsidRPr="00451C85">
        <w:rPr>
          <w:b/>
        </w:rPr>
        <w:t xml:space="preserve"> </w:t>
      </w:r>
      <w:r>
        <w:rPr>
          <w:b/>
        </w:rPr>
        <w:t>SI2021-8</w:t>
      </w:r>
      <w:r w:rsidRPr="00451C85">
        <w:rPr>
          <w:b/>
        </w:rPr>
        <w:t xml:space="preserve"> being the </w:t>
      </w:r>
      <w:r>
        <w:rPr>
          <w:b/>
        </w:rPr>
        <w:t xml:space="preserve">Nature Conservation Amendment Regulation 2021 (No 1) made under the </w:t>
      </w:r>
      <w:r w:rsidRPr="00F24D96">
        <w:rPr>
          <w:i/>
        </w:rPr>
        <w:t>Nature Conservation Act 2014</w:t>
      </w:r>
      <w:r w:rsidRPr="00236BDD">
        <w:rPr>
          <w:b/>
        </w:rPr>
        <w:t xml:space="preserve"> </w:t>
      </w:r>
      <w:r>
        <w:rPr>
          <w:b/>
        </w:rPr>
        <w:t xml:space="preserve">identifies further areas to be added to the Molonglo River Reserve. </w:t>
      </w:r>
    </w:p>
    <w:p w:rsidR="00535407" w:rsidRDefault="00535407" w:rsidP="002B0CED">
      <w:pPr>
        <w:pStyle w:val="Paper"/>
        <w:spacing w:before="160" w:after="160"/>
        <w:rPr>
          <w:rFonts w:ascii="Calibri" w:hAnsi="Calibri" w:cs="Calibri"/>
          <w:sz w:val="22"/>
          <w:szCs w:val="22"/>
          <w:lang w:eastAsia="en-AU"/>
        </w:rPr>
      </w:pPr>
      <w:r>
        <w:rPr>
          <w:rFonts w:ascii="Calibri" w:hAnsi="Calibri" w:cs="Calibri"/>
          <w:sz w:val="22"/>
          <w:szCs w:val="22"/>
          <w:lang w:eastAsia="en-AU"/>
        </w:rPr>
        <w:t xml:space="preserve">This subordinate law amends Schedule 1 of the </w:t>
      </w:r>
      <w:r>
        <w:rPr>
          <w:rFonts w:ascii="Calibri" w:hAnsi="Calibri" w:cs="Calibri"/>
          <w:i/>
          <w:iCs/>
          <w:sz w:val="22"/>
          <w:szCs w:val="22"/>
          <w:lang w:eastAsia="en-AU"/>
        </w:rPr>
        <w:t>Nature Conservation Regulation 2015</w:t>
      </w:r>
      <w:r>
        <w:rPr>
          <w:rFonts w:ascii="Calibri" w:hAnsi="Calibri" w:cs="Calibri"/>
          <w:sz w:val="22"/>
          <w:szCs w:val="22"/>
          <w:lang w:eastAsia="en-AU"/>
        </w:rPr>
        <w:t>, to prescribe 2 “Special Purpose Reserves”, in the Molonglo Valley.</w:t>
      </w:r>
    </w:p>
    <w:p w:rsidR="00535407" w:rsidRDefault="00535407" w:rsidP="002B0CED">
      <w:pPr>
        <w:pStyle w:val="Paper"/>
        <w:spacing w:before="160" w:after="160"/>
        <w:rPr>
          <w:rFonts w:ascii="Calibri" w:hAnsi="Calibri" w:cs="Calibri"/>
          <w:sz w:val="22"/>
          <w:szCs w:val="22"/>
          <w:lang w:eastAsia="en-AU"/>
        </w:rPr>
      </w:pPr>
      <w:r>
        <w:rPr>
          <w:rFonts w:ascii="Calibri" w:hAnsi="Calibri" w:cs="Calibri"/>
          <w:sz w:val="22"/>
          <w:szCs w:val="22"/>
          <w:lang w:eastAsia="en-AU"/>
        </w:rPr>
        <w:t>The explanatory statement for the subordinate law includes a statement that “[the subordinate law] does not affect any human rights”.</w:t>
      </w:r>
    </w:p>
    <w:p w:rsidR="00535407" w:rsidRDefault="00535407" w:rsidP="002B0CED">
      <w:pPr>
        <w:pStyle w:val="Paper"/>
        <w:spacing w:before="160" w:after="160"/>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p w:rsidR="00535407" w:rsidRDefault="00535407" w:rsidP="002B0CED">
      <w:pPr>
        <w:pStyle w:val="Bodycopy"/>
        <w:spacing w:after="0" w:line="240" w:lineRule="auto"/>
        <w:rPr>
          <w:b/>
        </w:rPr>
      </w:pPr>
      <w:r>
        <w:rPr>
          <w:b/>
        </w:rPr>
        <w:t>This comment does not require a response from the Minister.</w:t>
      </w:r>
    </w:p>
    <w:p w:rsidR="00535407" w:rsidRPr="00AE349A" w:rsidRDefault="00535407" w:rsidP="002B0CED">
      <w:pPr>
        <w:pStyle w:val="Bodycopy"/>
        <w:spacing w:after="0" w:line="240" w:lineRule="auto"/>
        <w:rPr>
          <w:bCs/>
          <w:i/>
          <w:iCs/>
        </w:rPr>
      </w:pPr>
      <w:r w:rsidRPr="00AE349A">
        <w:rPr>
          <w:bCs/>
          <w:i/>
          <w:iCs/>
        </w:rPr>
        <w:t>Human rights issues</w:t>
      </w:r>
    </w:p>
    <w:p w:rsidR="00535407" w:rsidRDefault="00535407" w:rsidP="002B0CED">
      <w:pPr>
        <w:pStyle w:val="Bodycopy"/>
        <w:numPr>
          <w:ilvl w:val="0"/>
          <w:numId w:val="34"/>
        </w:numPr>
        <w:tabs>
          <w:tab w:val="clear" w:pos="1276"/>
          <w:tab w:val="left" w:pos="0"/>
        </w:tabs>
        <w:spacing w:before="160" w:after="160" w:line="240" w:lineRule="auto"/>
        <w:ind w:left="360"/>
        <w:rPr>
          <w:b/>
        </w:rPr>
      </w:pPr>
      <w:r>
        <w:rPr>
          <w:b/>
        </w:rPr>
        <w:t>Subordinate Law</w:t>
      </w:r>
      <w:r w:rsidRPr="00451C85">
        <w:rPr>
          <w:b/>
        </w:rPr>
        <w:t xml:space="preserve"> </w:t>
      </w:r>
      <w:r>
        <w:rPr>
          <w:b/>
        </w:rPr>
        <w:t>SL2021-9</w:t>
      </w:r>
      <w:r w:rsidRPr="00451C85">
        <w:rPr>
          <w:b/>
        </w:rPr>
        <w:t xml:space="preserve"> being the </w:t>
      </w:r>
      <w:r>
        <w:rPr>
          <w:b/>
        </w:rPr>
        <w:t xml:space="preserve">Labour Hire Licensing Regulation 2021 made under the </w:t>
      </w:r>
      <w:r w:rsidRPr="00F24D96">
        <w:rPr>
          <w:i/>
        </w:rPr>
        <w:t>Labour Hire Licensing Act 2020</w:t>
      </w:r>
      <w:r w:rsidRPr="00236BDD">
        <w:rPr>
          <w:b/>
        </w:rPr>
        <w:t xml:space="preserve"> </w:t>
      </w:r>
      <w:r>
        <w:rPr>
          <w:b/>
        </w:rPr>
        <w:t xml:space="preserve">establishes a licensing scheme to regulate the provision of labour hire services in the ACT. </w:t>
      </w:r>
    </w:p>
    <w:p w:rsidR="00535407" w:rsidRPr="00E5687F" w:rsidRDefault="00535407" w:rsidP="0047083F">
      <w:pPr>
        <w:pStyle w:val="Bodycopy"/>
        <w:keepLines/>
        <w:spacing w:line="235" w:lineRule="auto"/>
        <w:rPr>
          <w:bCs/>
        </w:rPr>
      </w:pPr>
      <w:r>
        <w:rPr>
          <w:bCs/>
        </w:rPr>
        <w:t xml:space="preserve">According to the explanatory statement, this subordinate law supports the objects of the </w:t>
      </w:r>
      <w:r w:rsidRPr="00E5687F">
        <w:rPr>
          <w:bCs/>
          <w:i/>
          <w:iCs/>
        </w:rPr>
        <w:t>Labour Hire Licensing Act 2020</w:t>
      </w:r>
      <w:r>
        <w:rPr>
          <w:bCs/>
        </w:rPr>
        <w:t>, to establish “</w:t>
      </w:r>
      <w:r w:rsidRPr="00E5687F">
        <w:rPr>
          <w:bCs/>
        </w:rPr>
        <w:t>a licensing scheme to regulate the provision of labour hire services in the ACT</w:t>
      </w:r>
      <w:r>
        <w:rPr>
          <w:bCs/>
        </w:rPr>
        <w:t>”, by seeking to</w:t>
      </w:r>
      <w:r w:rsidRPr="00E5687F">
        <w:rPr>
          <w:bCs/>
        </w:rPr>
        <w:t>:</w:t>
      </w:r>
    </w:p>
    <w:p w:rsidR="00535407" w:rsidRPr="00E5687F" w:rsidRDefault="00535407" w:rsidP="0047083F">
      <w:pPr>
        <w:pStyle w:val="Bodycopy"/>
        <w:spacing w:line="235" w:lineRule="auto"/>
        <w:ind w:left="720"/>
        <w:rPr>
          <w:bCs/>
        </w:rPr>
      </w:pPr>
      <w:r w:rsidRPr="00E5687F">
        <w:rPr>
          <w:bCs/>
        </w:rPr>
        <w:t>a)</w:t>
      </w:r>
      <w:r w:rsidRPr="00E5687F">
        <w:rPr>
          <w:bCs/>
        </w:rPr>
        <w:tab/>
      </w:r>
      <w:proofErr w:type="gramStart"/>
      <w:r>
        <w:rPr>
          <w:bCs/>
        </w:rPr>
        <w:t>p</w:t>
      </w:r>
      <w:r w:rsidRPr="00E5687F">
        <w:rPr>
          <w:bCs/>
        </w:rPr>
        <w:t>rotect</w:t>
      </w:r>
      <w:proofErr w:type="gramEnd"/>
      <w:r w:rsidRPr="00E5687F">
        <w:rPr>
          <w:bCs/>
        </w:rPr>
        <w:t xml:space="preserve"> workers from exploitation by providers of labour hire services; and</w:t>
      </w:r>
    </w:p>
    <w:p w:rsidR="00535407" w:rsidRPr="00E5687F" w:rsidRDefault="00535407" w:rsidP="0047083F">
      <w:pPr>
        <w:pStyle w:val="Bodycopy"/>
        <w:spacing w:line="235" w:lineRule="auto"/>
        <w:ind w:left="720"/>
        <w:rPr>
          <w:bCs/>
        </w:rPr>
      </w:pPr>
      <w:r w:rsidRPr="00E5687F">
        <w:rPr>
          <w:bCs/>
        </w:rPr>
        <w:t>b)</w:t>
      </w:r>
      <w:r w:rsidRPr="00E5687F">
        <w:rPr>
          <w:bCs/>
        </w:rPr>
        <w:tab/>
      </w:r>
      <w:proofErr w:type="gramStart"/>
      <w:r>
        <w:rPr>
          <w:bCs/>
        </w:rPr>
        <w:t>e</w:t>
      </w:r>
      <w:r w:rsidRPr="00E5687F">
        <w:rPr>
          <w:bCs/>
        </w:rPr>
        <w:t>nsure</w:t>
      </w:r>
      <w:proofErr w:type="gramEnd"/>
      <w:r w:rsidRPr="00E5687F">
        <w:rPr>
          <w:bCs/>
        </w:rPr>
        <w:t xml:space="preserve"> labour hire service providers meet their workplace obligations and responsibilities to the workers they supply; and</w:t>
      </w:r>
    </w:p>
    <w:p w:rsidR="00535407" w:rsidRPr="00E5687F" w:rsidRDefault="00535407" w:rsidP="0047083F">
      <w:pPr>
        <w:pStyle w:val="Bodycopy"/>
        <w:spacing w:line="235" w:lineRule="auto"/>
        <w:ind w:left="720"/>
        <w:rPr>
          <w:bCs/>
        </w:rPr>
      </w:pPr>
      <w:r w:rsidRPr="00E5687F">
        <w:rPr>
          <w:bCs/>
        </w:rPr>
        <w:t>c)</w:t>
      </w:r>
      <w:r w:rsidRPr="00E5687F">
        <w:rPr>
          <w:bCs/>
        </w:rPr>
        <w:tab/>
      </w:r>
      <w:proofErr w:type="gramStart"/>
      <w:r>
        <w:rPr>
          <w:bCs/>
        </w:rPr>
        <w:t>p</w:t>
      </w:r>
      <w:r w:rsidRPr="00E5687F">
        <w:rPr>
          <w:bCs/>
        </w:rPr>
        <w:t>romote</w:t>
      </w:r>
      <w:proofErr w:type="gramEnd"/>
      <w:r w:rsidRPr="00E5687F">
        <w:rPr>
          <w:bCs/>
        </w:rPr>
        <w:t xml:space="preserve"> the integrity of the labour hire service industry; and</w:t>
      </w:r>
    </w:p>
    <w:p w:rsidR="00535407" w:rsidRPr="00E5687F" w:rsidRDefault="00535407" w:rsidP="0047083F">
      <w:pPr>
        <w:pStyle w:val="Bodycopy"/>
        <w:spacing w:line="235" w:lineRule="auto"/>
        <w:ind w:left="720"/>
        <w:rPr>
          <w:bCs/>
        </w:rPr>
      </w:pPr>
      <w:r w:rsidRPr="00E5687F">
        <w:rPr>
          <w:bCs/>
        </w:rPr>
        <w:t>d)</w:t>
      </w:r>
      <w:r w:rsidRPr="00E5687F">
        <w:rPr>
          <w:bCs/>
        </w:rPr>
        <w:tab/>
      </w:r>
      <w:proofErr w:type="gramStart"/>
      <w:r>
        <w:rPr>
          <w:bCs/>
        </w:rPr>
        <w:t>p</w:t>
      </w:r>
      <w:r w:rsidRPr="00E5687F">
        <w:rPr>
          <w:bCs/>
        </w:rPr>
        <w:t>romote</w:t>
      </w:r>
      <w:proofErr w:type="gramEnd"/>
      <w:r w:rsidRPr="00E5687F">
        <w:rPr>
          <w:bCs/>
        </w:rPr>
        <w:t xml:space="preserve"> responsible practices in the labour hire services industry.</w:t>
      </w:r>
    </w:p>
    <w:p w:rsidR="00535407" w:rsidRDefault="00535407" w:rsidP="0047083F">
      <w:pPr>
        <w:pStyle w:val="Bodycopy"/>
        <w:spacing w:line="235" w:lineRule="auto"/>
        <w:rPr>
          <w:bCs/>
        </w:rPr>
      </w:pPr>
      <w:r>
        <w:rPr>
          <w:bCs/>
        </w:rPr>
        <w:t>The explanatory statement discusses human rights issues:</w:t>
      </w:r>
    </w:p>
    <w:p w:rsidR="00535407" w:rsidRPr="00E5687F" w:rsidRDefault="00535407" w:rsidP="0047083F">
      <w:pPr>
        <w:spacing w:before="120" w:after="120" w:line="235" w:lineRule="auto"/>
        <w:ind w:left="720"/>
        <w:rPr>
          <w:rFonts w:cstheme="minorHAnsi"/>
          <w:b/>
          <w:bCs/>
        </w:rPr>
      </w:pPr>
      <w:r w:rsidRPr="00E5687F">
        <w:rPr>
          <w:rFonts w:cstheme="minorHAnsi"/>
          <w:b/>
          <w:bCs/>
        </w:rPr>
        <w:t>Human Rights</w:t>
      </w:r>
    </w:p>
    <w:p w:rsidR="00535407" w:rsidRPr="00E5687F" w:rsidRDefault="00535407" w:rsidP="0047083F">
      <w:pPr>
        <w:spacing w:before="120" w:after="120" w:line="235" w:lineRule="auto"/>
        <w:ind w:left="720"/>
        <w:rPr>
          <w:rFonts w:cstheme="minorHAnsi"/>
        </w:rPr>
      </w:pPr>
      <w:r w:rsidRPr="00E5687F">
        <w:rPr>
          <w:rFonts w:cstheme="minorHAnsi"/>
        </w:rPr>
        <w:t xml:space="preserve">The information requirements for a labour hire licence application may engage the right to privacy under section 12 of the </w:t>
      </w:r>
      <w:r w:rsidRPr="00E5687F">
        <w:rPr>
          <w:rFonts w:cstheme="minorHAnsi"/>
          <w:i/>
          <w:iCs/>
        </w:rPr>
        <w:t>Human Rights Act 2004</w:t>
      </w:r>
      <w:r w:rsidRPr="00E5687F">
        <w:rPr>
          <w:rFonts w:cstheme="minorHAnsi"/>
        </w:rPr>
        <w:t xml:space="preserve"> (HR Act). This has been considered and addressed as part of the Explanatory Statement for the Labour Hire Licensing Bill 2020. As the Explanatory Statement for the Bill demonstrates, the information requirements are appropriate and justified in order to determine the suitability of applicants based on a number of factors going to the applicant’s character, integrity, professionalism, history of compliance with workplace laws and standards and past regulatory actions or convictions for the purposes of the new scheme. </w:t>
      </w:r>
    </w:p>
    <w:p w:rsidR="00535407" w:rsidRDefault="00535407" w:rsidP="0047083F">
      <w:pPr>
        <w:pStyle w:val="Paper"/>
        <w:spacing w:before="160" w:after="160" w:line="235" w:lineRule="auto"/>
        <w:rPr>
          <w:rFonts w:ascii="Calibri" w:hAnsi="Calibri" w:cs="Calibri"/>
          <w:b/>
          <w:bCs/>
          <w:sz w:val="22"/>
          <w:szCs w:val="22"/>
          <w:lang w:eastAsia="en-AU"/>
        </w:rPr>
      </w:pPr>
      <w:bookmarkStart w:id="514" w:name="_Hlk74147686"/>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bookmarkEnd w:id="514"/>
    <w:p w:rsidR="00535407" w:rsidRDefault="00535407" w:rsidP="0047083F">
      <w:pPr>
        <w:pStyle w:val="Paper"/>
        <w:spacing w:before="160" w:after="160" w:line="235" w:lineRule="auto"/>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F753CA" w:rsidRDefault="00F753CA" w:rsidP="0047083F">
      <w:pPr>
        <w:pStyle w:val="Heading2"/>
        <w:keepNext w:val="0"/>
        <w:spacing w:line="235" w:lineRule="auto"/>
        <w:rPr>
          <w:rFonts w:eastAsia="Calibri"/>
          <w:lang w:eastAsia="en-AU"/>
        </w:rPr>
      </w:pPr>
      <w:bookmarkStart w:id="515" w:name="_Toc74301944"/>
      <w:r>
        <w:rPr>
          <w:rFonts w:eastAsia="Calibri"/>
          <w:lang w:eastAsia="en-AU"/>
        </w:rPr>
        <w:t>Responses</w:t>
      </w:r>
      <w:bookmarkEnd w:id="515"/>
    </w:p>
    <w:p w:rsidR="00D9488E" w:rsidRPr="00D9488E" w:rsidRDefault="00D9488E" w:rsidP="0047083F">
      <w:pPr>
        <w:pStyle w:val="Heading3"/>
        <w:spacing w:line="235" w:lineRule="auto"/>
        <w:rPr>
          <w:lang w:eastAsia="en-AU"/>
        </w:rPr>
      </w:pPr>
      <w:bookmarkStart w:id="516" w:name="_Toc44074226"/>
      <w:bookmarkStart w:id="517" w:name="_Toc44323943"/>
      <w:bookmarkStart w:id="518" w:name="_Toc74301945"/>
      <w:r>
        <w:rPr>
          <w:lang w:eastAsia="en-AU"/>
        </w:rPr>
        <w:t>Government response</w:t>
      </w:r>
      <w:bookmarkEnd w:id="516"/>
      <w:bookmarkEnd w:id="517"/>
      <w:bookmarkEnd w:id="518"/>
    </w:p>
    <w:bookmarkEnd w:id="488"/>
    <w:bookmarkEnd w:id="489"/>
    <w:p w:rsidR="00F65983" w:rsidRPr="00F65983" w:rsidRDefault="00F65983" w:rsidP="0047083F">
      <w:pPr>
        <w:spacing w:line="235" w:lineRule="auto"/>
        <w:rPr>
          <w:rFonts w:ascii="Calibri" w:eastAsia="Calibri" w:hAnsi="Calibri" w:cs="Times New Roman"/>
        </w:rPr>
      </w:pPr>
      <w:r w:rsidRPr="00F65983">
        <w:rPr>
          <w:rFonts w:ascii="Calibri" w:eastAsia="Calibri" w:hAnsi="Calibri" w:cs="Times New Roman"/>
        </w:rPr>
        <w:t xml:space="preserve">The Committee has received </w:t>
      </w:r>
      <w:r w:rsidR="00D82DA3">
        <w:rPr>
          <w:rFonts w:ascii="Calibri" w:eastAsia="Calibri" w:hAnsi="Calibri" w:cs="Times New Roman"/>
        </w:rPr>
        <w:t xml:space="preserve">a </w:t>
      </w:r>
      <w:r w:rsidR="003379D7">
        <w:rPr>
          <w:rFonts w:ascii="Calibri" w:eastAsia="Calibri" w:hAnsi="Calibri" w:cs="Times New Roman"/>
        </w:rPr>
        <w:t>response</w:t>
      </w:r>
      <w:r w:rsidRPr="00F65983">
        <w:rPr>
          <w:rFonts w:ascii="Calibri" w:eastAsia="Calibri" w:hAnsi="Calibri" w:cs="Times New Roman"/>
        </w:rPr>
        <w:t xml:space="preserve"> from:</w:t>
      </w:r>
    </w:p>
    <w:p w:rsidR="00461B48" w:rsidRDefault="007E14F6" w:rsidP="0047083F">
      <w:pPr>
        <w:keepLines/>
        <w:widowControl w:val="0"/>
        <w:numPr>
          <w:ilvl w:val="0"/>
          <w:numId w:val="13"/>
        </w:numPr>
        <w:spacing w:line="235" w:lineRule="auto"/>
      </w:pPr>
      <w:r>
        <w:t xml:space="preserve">The </w:t>
      </w:r>
      <w:r w:rsidR="00D82DA3">
        <w:t>Attorney-General</w:t>
      </w:r>
      <w:r w:rsidR="00461B48" w:rsidRPr="00AE47FB">
        <w:t xml:space="preserve">, dated </w:t>
      </w:r>
      <w:r w:rsidR="00D82DA3">
        <w:t>27 May 2021</w:t>
      </w:r>
      <w:r w:rsidR="00461B48" w:rsidRPr="00AE47FB">
        <w:t xml:space="preserve">, in relation to </w:t>
      </w:r>
      <w:r>
        <w:t>comments</w:t>
      </w:r>
      <w:r w:rsidR="006F388D">
        <w:t xml:space="preserve"> made in Scrutiny Report </w:t>
      </w:r>
      <w:r w:rsidR="00461B48" w:rsidRPr="00AE47FB">
        <w:t xml:space="preserve">4 </w:t>
      </w:r>
      <w:r w:rsidR="006F388D">
        <w:t xml:space="preserve">concerning </w:t>
      </w:r>
      <w:r w:rsidR="00461B48" w:rsidRPr="00AE47FB">
        <w:t xml:space="preserve">the </w:t>
      </w:r>
      <w:r w:rsidR="00F8654F">
        <w:t>Courts and Other Justice Legislation Amendment Bill 2021</w:t>
      </w:r>
      <w:r w:rsidR="00461B48" w:rsidRPr="00AE47FB">
        <w:t>.</w:t>
      </w:r>
    </w:p>
    <w:p w:rsidR="006A6C77" w:rsidRDefault="003235F6" w:rsidP="0047083F">
      <w:pPr>
        <w:widowControl w:val="0"/>
        <w:spacing w:before="200" w:after="0" w:line="235" w:lineRule="auto"/>
        <w:ind w:left="360"/>
        <w:rPr>
          <w:rFonts w:ascii="Calibri" w:eastAsia="Calibri" w:hAnsi="Calibri" w:cs="Times New Roman"/>
          <w:b/>
          <w:lang w:eastAsia="en-AU"/>
        </w:rPr>
      </w:pPr>
      <w:hyperlink r:id="rId41" w:history="1">
        <w:r w:rsidR="00D82DA3">
          <w:rPr>
            <w:rStyle w:val="Hyperlink"/>
            <w:rFonts w:ascii="Calibri" w:eastAsia="Calibri" w:hAnsi="Calibri" w:cs="Times New Roman"/>
            <w:b/>
            <w:lang w:eastAsia="en-AU"/>
          </w:rPr>
          <w:t>This</w:t>
        </w:r>
        <w:r w:rsidR="006A6C77" w:rsidRPr="006971C2">
          <w:rPr>
            <w:rStyle w:val="Hyperlink"/>
            <w:rFonts w:ascii="Calibri" w:eastAsia="Calibri" w:hAnsi="Calibri" w:cs="Times New Roman"/>
            <w:b/>
            <w:lang w:eastAsia="en-AU"/>
          </w:rPr>
          <w:t xml:space="preserve"> response</w:t>
        </w:r>
      </w:hyperlink>
      <w:r w:rsidR="006A6C77">
        <w:rPr>
          <w:rFonts w:ascii="Calibri" w:eastAsia="Calibri" w:hAnsi="Calibri" w:cs="Times New Roman"/>
          <w:b/>
          <w:i/>
          <w:vertAlign w:val="superscript"/>
          <w:lang w:eastAsia="en-AU"/>
        </w:rPr>
        <w:footnoteReference w:id="3"/>
      </w:r>
      <w:r w:rsidR="006A6C77">
        <w:rPr>
          <w:rFonts w:ascii="Calibri" w:eastAsia="Calibri" w:hAnsi="Calibri" w:cs="Times New Roman"/>
          <w:b/>
          <w:i/>
          <w:lang w:eastAsia="en-AU"/>
        </w:rPr>
        <w:t xml:space="preserve"> </w:t>
      </w:r>
      <w:r w:rsidR="006A6C77">
        <w:rPr>
          <w:rFonts w:ascii="Calibri" w:eastAsia="Calibri" w:hAnsi="Calibri" w:cs="Times New Roman"/>
          <w:b/>
          <w:lang w:eastAsia="en-AU"/>
        </w:rPr>
        <w:t>can be viewed online.</w:t>
      </w:r>
    </w:p>
    <w:bookmarkEnd w:id="490"/>
    <w:bookmarkEnd w:id="491"/>
    <w:p w:rsidR="00C13B2C" w:rsidRDefault="00C13B2C" w:rsidP="0047083F">
      <w:pPr>
        <w:pStyle w:val="Paper"/>
        <w:keepLines/>
        <w:spacing w:before="220" w:after="220" w:line="235" w:lineRule="auto"/>
        <w:rPr>
          <w:rFonts w:ascii="Calibri" w:hAnsi="Calibri"/>
          <w:bCs/>
          <w:sz w:val="22"/>
          <w:szCs w:val="22"/>
        </w:rPr>
      </w:pPr>
      <w:r>
        <w:rPr>
          <w:rFonts w:ascii="Calibri" w:hAnsi="Calibri"/>
          <w:bCs/>
          <w:sz w:val="22"/>
          <w:szCs w:val="22"/>
        </w:rPr>
        <w:t>The Committee wishes to thank the</w:t>
      </w:r>
      <w:r w:rsidR="00F8654F">
        <w:rPr>
          <w:rFonts w:ascii="Calibri" w:hAnsi="Calibri"/>
          <w:bCs/>
          <w:sz w:val="22"/>
          <w:szCs w:val="22"/>
        </w:rPr>
        <w:t xml:space="preserve"> Attorney-General</w:t>
      </w:r>
      <w:r w:rsidR="00280D11">
        <w:rPr>
          <w:rFonts w:ascii="Calibri" w:hAnsi="Calibri"/>
          <w:bCs/>
          <w:sz w:val="22"/>
          <w:szCs w:val="22"/>
        </w:rPr>
        <w:t xml:space="preserve"> their</w:t>
      </w:r>
      <w:r>
        <w:rPr>
          <w:rFonts w:ascii="Calibri" w:hAnsi="Calibri"/>
          <w:bCs/>
          <w:sz w:val="22"/>
          <w:szCs w:val="22"/>
        </w:rPr>
        <w:t xml:space="preserve"> helpful responses.</w:t>
      </w:r>
    </w:p>
    <w:p w:rsidR="004F019A" w:rsidRPr="00104A8B" w:rsidRDefault="00A34509" w:rsidP="0047083F">
      <w:pPr>
        <w:spacing w:before="720" w:after="0" w:line="235" w:lineRule="auto"/>
      </w:pPr>
      <w:r>
        <w:t>Jeremy Hanson</w:t>
      </w:r>
      <w:r w:rsidR="004F019A" w:rsidRPr="00104A8B">
        <w:t xml:space="preserve"> MLA</w:t>
      </w:r>
    </w:p>
    <w:p w:rsidR="00393D9F" w:rsidRDefault="004F019A" w:rsidP="0047083F">
      <w:pPr>
        <w:spacing w:before="0" w:line="235" w:lineRule="auto"/>
      </w:pPr>
      <w:r w:rsidRPr="00104A8B">
        <w:t>Chair</w:t>
      </w:r>
    </w:p>
    <w:p w:rsidR="003F186C" w:rsidRPr="00FF2947" w:rsidRDefault="009D168B" w:rsidP="0047083F">
      <w:pPr>
        <w:spacing w:before="0" w:line="235" w:lineRule="auto"/>
        <w:sectPr w:rsidR="003F186C" w:rsidRPr="00FF2947" w:rsidSect="00685D6D">
          <w:headerReference w:type="even" r:id="rId42"/>
          <w:headerReference w:type="default" r:id="rId43"/>
          <w:footerReference w:type="even" r:id="rId44"/>
          <w:footerReference w:type="default" r:id="rId45"/>
          <w:headerReference w:type="first" r:id="rId46"/>
          <w:pgSz w:w="11906" w:h="16838"/>
          <w:pgMar w:top="1710" w:right="1440" w:bottom="1170" w:left="1440" w:header="708" w:footer="543" w:gutter="0"/>
          <w:pgNumType w:start="1"/>
          <w:cols w:space="708"/>
          <w:docGrid w:linePitch="360"/>
        </w:sectPr>
      </w:pPr>
      <w:r>
        <w:t>15 June</w:t>
      </w:r>
      <w:r w:rsidR="006F388D">
        <w:t xml:space="preserve"> </w:t>
      </w:r>
      <w:r w:rsidR="00053DC1" w:rsidRPr="00FF2947">
        <w:t>2020</w:t>
      </w:r>
    </w:p>
    <w:p w:rsidR="003F186C" w:rsidRPr="00104A8B" w:rsidRDefault="003F186C" w:rsidP="00AC094E">
      <w:pPr>
        <w:pStyle w:val="Heading2"/>
        <w:rPr>
          <w:rFonts w:asciiTheme="minorHAnsi" w:hAnsiTheme="minorHAnsi"/>
        </w:rPr>
      </w:pPr>
      <w:bookmarkStart w:id="519" w:name="_Toc514837979"/>
      <w:bookmarkStart w:id="520" w:name="_Toc74301946"/>
      <w:r w:rsidRPr="00104A8B">
        <w:rPr>
          <w:rFonts w:asciiTheme="minorHAnsi" w:hAnsiTheme="minorHAnsi"/>
        </w:rPr>
        <w:t>Outstanding Responses</w:t>
      </w:r>
      <w:bookmarkEnd w:id="519"/>
      <w:bookmarkEnd w:id="520"/>
    </w:p>
    <w:p w:rsidR="003F186C" w:rsidRPr="00104A8B" w:rsidRDefault="003F186C" w:rsidP="003F186C">
      <w:pPr>
        <w:pStyle w:val="Heading3"/>
        <w:rPr>
          <w:rFonts w:asciiTheme="minorHAnsi" w:hAnsiTheme="minorHAnsi"/>
        </w:rPr>
      </w:pPr>
      <w:bookmarkStart w:id="521" w:name="_Toc505005688"/>
      <w:bookmarkStart w:id="522" w:name="_Toc505153779"/>
      <w:bookmarkStart w:id="523" w:name="_Toc508283444"/>
      <w:bookmarkStart w:id="524" w:name="_Toc510081804"/>
      <w:bookmarkStart w:id="525" w:name="_Toc511812230"/>
      <w:bookmarkStart w:id="526" w:name="_Toc512240173"/>
      <w:bookmarkStart w:id="527" w:name="_Toc513192173"/>
      <w:bookmarkStart w:id="528" w:name="_Toc514832434"/>
      <w:bookmarkStart w:id="529" w:name="_Toc514837980"/>
      <w:bookmarkStart w:id="530" w:name="_Toc514838144"/>
      <w:bookmarkStart w:id="531" w:name="_Toc514943619"/>
      <w:bookmarkStart w:id="532" w:name="_Toc515352064"/>
      <w:bookmarkStart w:id="533" w:name="_Toc518297261"/>
      <w:bookmarkStart w:id="534" w:name="_Toc519520755"/>
      <w:bookmarkStart w:id="535" w:name="_Toc520188735"/>
      <w:bookmarkStart w:id="536" w:name="_Toc521054338"/>
      <w:bookmarkStart w:id="537" w:name="_Toc521054410"/>
      <w:bookmarkStart w:id="538" w:name="_Toc523814181"/>
      <w:bookmarkStart w:id="539" w:name="_Toc523900477"/>
      <w:bookmarkStart w:id="540" w:name="_Toc526855826"/>
      <w:bookmarkStart w:id="541" w:name="_Toc528155854"/>
      <w:bookmarkStart w:id="542" w:name="_Toc528157213"/>
      <w:bookmarkStart w:id="543" w:name="_Toc528310867"/>
      <w:bookmarkStart w:id="544" w:name="_Toc529974547"/>
      <w:bookmarkStart w:id="545" w:name="_Toc530039442"/>
      <w:bookmarkStart w:id="546" w:name="_Toc536527689"/>
      <w:bookmarkStart w:id="547" w:name="_Toc536527863"/>
      <w:bookmarkStart w:id="548" w:name="_Toc536615405"/>
      <w:bookmarkStart w:id="549" w:name="_Toc172184"/>
      <w:bookmarkStart w:id="550" w:name="_Toc506087"/>
      <w:bookmarkStart w:id="551" w:name="_Toc965832"/>
      <w:bookmarkStart w:id="552" w:name="_Toc6211048"/>
      <w:bookmarkStart w:id="553" w:name="_Toc9500017"/>
      <w:bookmarkStart w:id="554" w:name="_Toc14334625"/>
      <w:bookmarkStart w:id="555" w:name="_Toc14775975"/>
      <w:bookmarkStart w:id="556" w:name="_Toc15285040"/>
      <w:bookmarkStart w:id="557" w:name="_Toc15630677"/>
      <w:bookmarkStart w:id="558" w:name="_Toc18415350"/>
      <w:bookmarkStart w:id="559" w:name="_Toc18487717"/>
      <w:bookmarkStart w:id="560" w:name="_Toc19708407"/>
      <w:bookmarkStart w:id="561" w:name="_Toc20131698"/>
      <w:bookmarkStart w:id="562" w:name="_Toc21595465"/>
      <w:bookmarkStart w:id="563" w:name="_Toc22025468"/>
      <w:bookmarkStart w:id="564" w:name="_Toc24463733"/>
      <w:bookmarkStart w:id="565" w:name="_Toc24617731"/>
      <w:bookmarkStart w:id="566" w:name="_Toc25050804"/>
      <w:bookmarkStart w:id="567" w:name="_Toc31202278"/>
      <w:bookmarkStart w:id="568" w:name="_Toc32390211"/>
      <w:bookmarkStart w:id="569" w:name="_Toc32566855"/>
      <w:bookmarkStart w:id="570" w:name="_Toc35437959"/>
      <w:bookmarkStart w:id="571" w:name="_Toc38270552"/>
      <w:bookmarkStart w:id="572" w:name="_Toc38362407"/>
      <w:bookmarkStart w:id="573" w:name="_Toc38442400"/>
      <w:bookmarkStart w:id="574" w:name="_Toc38976339"/>
      <w:bookmarkStart w:id="575" w:name="_Toc40693261"/>
      <w:bookmarkStart w:id="576" w:name="_Toc41570939"/>
      <w:bookmarkStart w:id="577" w:name="_Toc42875016"/>
      <w:bookmarkStart w:id="578" w:name="_Toc44074228"/>
      <w:bookmarkStart w:id="579" w:name="_Toc44323945"/>
      <w:bookmarkStart w:id="580" w:name="_Toc74301947"/>
      <w:r w:rsidRPr="00104A8B">
        <w:rPr>
          <w:rFonts w:asciiTheme="minorHAnsi" w:hAnsiTheme="minorHAnsi"/>
        </w:rPr>
        <w:t>Bills/Subordinate Legislation</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9140F1" w:rsidRPr="00DA162C" w:rsidRDefault="009140F1" w:rsidP="009140F1">
      <w:pPr>
        <w:pStyle w:val="ListParagraph"/>
        <w:numPr>
          <w:ilvl w:val="0"/>
          <w:numId w:val="12"/>
        </w:numPr>
        <w:spacing w:before="240" w:after="0"/>
        <w:ind w:left="357" w:hanging="357"/>
        <w:contextualSpacing w:val="0"/>
        <w:rPr>
          <w:b/>
        </w:rPr>
      </w:pPr>
      <w:r>
        <w:rPr>
          <w:b/>
        </w:rPr>
        <w:t>Report 2, dated 24 March 2021</w:t>
      </w:r>
    </w:p>
    <w:p w:rsidR="009140F1" w:rsidRPr="00595CC0" w:rsidRDefault="009140F1" w:rsidP="009140F1">
      <w:pPr>
        <w:pStyle w:val="ListParagraph"/>
        <w:numPr>
          <w:ilvl w:val="0"/>
          <w:numId w:val="40"/>
        </w:numPr>
        <w:spacing w:before="120" w:after="0"/>
        <w:ind w:left="720"/>
        <w:contextualSpacing w:val="0"/>
      </w:pPr>
      <w:r w:rsidRPr="00595CC0">
        <w:t>Drugs of Dependence (Personal Use) Amendment Bill 2021</w:t>
      </w:r>
    </w:p>
    <w:p w:rsidR="009140F1" w:rsidRPr="00595CC0" w:rsidRDefault="009140F1" w:rsidP="009140F1">
      <w:pPr>
        <w:pStyle w:val="ListParagraph"/>
        <w:numPr>
          <w:ilvl w:val="0"/>
          <w:numId w:val="40"/>
        </w:numPr>
        <w:spacing w:before="120" w:after="0"/>
        <w:ind w:left="720"/>
        <w:contextualSpacing w:val="0"/>
      </w:pPr>
      <w:r w:rsidRPr="00595CC0">
        <w:t>Disallowable Instrument DI2020-287 Litter (Amenity Impact) Code of Practice 2020 (No 1)</w:t>
      </w:r>
    </w:p>
    <w:p w:rsidR="009140F1" w:rsidRPr="00DA162C" w:rsidRDefault="009140F1" w:rsidP="009140F1">
      <w:pPr>
        <w:pStyle w:val="ListParagraph"/>
        <w:numPr>
          <w:ilvl w:val="0"/>
          <w:numId w:val="12"/>
        </w:numPr>
        <w:spacing w:before="240" w:after="0"/>
        <w:ind w:left="357" w:hanging="357"/>
        <w:contextualSpacing w:val="0"/>
        <w:rPr>
          <w:b/>
        </w:rPr>
      </w:pPr>
      <w:r>
        <w:rPr>
          <w:b/>
        </w:rPr>
        <w:t>Report 4, dated 4 May 2021</w:t>
      </w:r>
    </w:p>
    <w:p w:rsidR="009140F1" w:rsidRPr="00595CC0" w:rsidRDefault="009140F1" w:rsidP="009140F1">
      <w:pPr>
        <w:pStyle w:val="ListParagraph"/>
        <w:numPr>
          <w:ilvl w:val="0"/>
          <w:numId w:val="40"/>
        </w:numPr>
        <w:spacing w:before="120" w:after="0"/>
        <w:ind w:left="720"/>
        <w:contextualSpacing w:val="0"/>
      </w:pPr>
      <w:r>
        <w:t>Crimes (Stealthing) Amendment Bill 2021</w:t>
      </w:r>
    </w:p>
    <w:sectPr w:rsidR="009140F1" w:rsidRPr="00595CC0"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F" w:rsidRDefault="0099751F" w:rsidP="000B0846">
      <w:pPr>
        <w:spacing w:after="0" w:line="240" w:lineRule="auto"/>
      </w:pPr>
      <w:r>
        <w:separator/>
      </w:r>
    </w:p>
  </w:endnote>
  <w:endnote w:type="continuationSeparator" w:id="0">
    <w:p w:rsidR="0099751F" w:rsidRDefault="0099751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p w:rsidR="0099751F" w:rsidRDefault="00997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99751F" w:rsidRDefault="0099751F">
        <w:pPr>
          <w:pStyle w:val="Footer"/>
        </w:pPr>
        <w:r>
          <w:rPr>
            <w:noProof/>
          </w:rPr>
          <w:fldChar w:fldCharType="begin"/>
        </w:r>
        <w:r>
          <w:rPr>
            <w:noProof/>
          </w:rPr>
          <w:instrText xml:space="preserve"> PAGE   \* MERGEFORMAT </w:instrText>
        </w:r>
        <w:r>
          <w:rPr>
            <w:noProof/>
          </w:rPr>
          <w:fldChar w:fldCharType="separate"/>
        </w:r>
        <w:r w:rsidR="005A137F">
          <w:rPr>
            <w:noProof/>
          </w:rPr>
          <w:t>ii</w:t>
        </w:r>
        <w:r>
          <w:rPr>
            <w:noProof/>
          </w:rPr>
          <w:fldChar w:fldCharType="end"/>
        </w:r>
      </w:p>
    </w:sdtContent>
  </w:sdt>
  <w:p w:rsidR="0099751F" w:rsidRDefault="009975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9751F" w:rsidRDefault="0099751F">
        <w:pPr>
          <w:pStyle w:val="Footer"/>
          <w:jc w:val="right"/>
        </w:pPr>
        <w:r>
          <w:rPr>
            <w:noProof/>
          </w:rPr>
          <w:fldChar w:fldCharType="begin"/>
        </w:r>
        <w:r>
          <w:rPr>
            <w:noProof/>
          </w:rPr>
          <w:instrText xml:space="preserve"> PAGE   \* MERGEFORMAT </w:instrText>
        </w:r>
        <w:r>
          <w:rPr>
            <w:noProof/>
          </w:rPr>
          <w:fldChar w:fldCharType="separate"/>
        </w:r>
        <w:r w:rsidR="003235F6">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EE534B" w:rsidRDefault="0099751F">
    <w:pPr>
      <w:pStyle w:val="Footer"/>
      <w:rPr>
        <w:sz w:val="18"/>
        <w:szCs w:val="18"/>
      </w:rPr>
    </w:pPr>
    <w:r>
      <w:rPr>
        <w:noProof/>
      </w:rPr>
      <w:fldChar w:fldCharType="begin"/>
    </w:r>
    <w:r>
      <w:rPr>
        <w:noProof/>
      </w:rPr>
      <w:instrText xml:space="preserve"> PAGE   \* MERGEFORMAT </w:instrText>
    </w:r>
    <w:r>
      <w:rPr>
        <w:noProof/>
      </w:rPr>
      <w:fldChar w:fldCharType="separate"/>
    </w:r>
    <w:r w:rsidR="003235F6">
      <w:rPr>
        <w:noProof/>
      </w:rPr>
      <w:t>14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99751F" w:rsidRPr="00EE534B" w:rsidRDefault="0099751F">
        <w:pPr>
          <w:pStyle w:val="Footer"/>
          <w:jc w:val="right"/>
          <w:rPr>
            <w:sz w:val="18"/>
            <w:szCs w:val="18"/>
          </w:rPr>
        </w:pPr>
        <w:r>
          <w:rPr>
            <w:noProof/>
          </w:rPr>
          <w:fldChar w:fldCharType="begin"/>
        </w:r>
        <w:r>
          <w:rPr>
            <w:noProof/>
          </w:rPr>
          <w:instrText xml:space="preserve"> PAGE   \* MERGEFORMAT </w:instrText>
        </w:r>
        <w:r>
          <w:rPr>
            <w:noProof/>
          </w:rPr>
          <w:fldChar w:fldCharType="separate"/>
        </w:r>
        <w:r w:rsidR="003235F6">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F" w:rsidRDefault="0099751F" w:rsidP="00685D6D">
      <w:pPr>
        <w:spacing w:before="80" w:after="0" w:line="240" w:lineRule="auto"/>
      </w:pPr>
      <w:r>
        <w:separator/>
      </w:r>
    </w:p>
  </w:footnote>
  <w:footnote w:type="continuationSeparator" w:id="0">
    <w:p w:rsidR="0099751F" w:rsidRDefault="0099751F" w:rsidP="000B0846">
      <w:pPr>
        <w:spacing w:after="0" w:line="240" w:lineRule="auto"/>
      </w:pPr>
      <w:r>
        <w:continuationSeparator/>
      </w:r>
    </w:p>
  </w:footnote>
  <w:footnote w:id="1">
    <w:p w:rsidR="00535407" w:rsidRDefault="00535407" w:rsidP="00535407">
      <w:pPr>
        <w:pStyle w:val="FootnoteText"/>
        <w:spacing w:before="120"/>
        <w:rPr>
          <w:color w:val="000000"/>
          <w:szCs w:val="18"/>
        </w:rPr>
      </w:pPr>
      <w:r>
        <w:rPr>
          <w:rStyle w:val="FootnoteReference"/>
        </w:rPr>
        <w:footnoteRef/>
      </w:r>
      <w:r>
        <w:rPr>
          <w:color w:val="000000"/>
          <w:szCs w:val="18"/>
        </w:rPr>
        <w:t xml:space="preserve"> </w:t>
      </w:r>
      <w:hyperlink r:id="rId1" w:history="1">
        <w:r w:rsidRPr="00F432BD">
          <w:rPr>
            <w:rStyle w:val="Hyperlink"/>
            <w:szCs w:val="18"/>
          </w:rPr>
          <w:t>https://www.parliament.act.gov.au/__data/assets/pdf_file/0007/434347/Subordinate-Legislation-Technical-and-Stylistic-Standards.pdf</w:t>
        </w:r>
      </w:hyperlink>
      <w:r>
        <w:rPr>
          <w:color w:val="000000"/>
          <w:szCs w:val="18"/>
        </w:rPr>
        <w:t>.</w:t>
      </w:r>
    </w:p>
    <w:p w:rsidR="00535407" w:rsidRDefault="00535407" w:rsidP="00535407">
      <w:pPr>
        <w:pStyle w:val="FootnoteText"/>
        <w:spacing w:before="120"/>
      </w:pPr>
    </w:p>
  </w:footnote>
  <w:footnote w:id="2">
    <w:p w:rsidR="00535407" w:rsidRDefault="00535407" w:rsidP="00535407">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3">
    <w:p w:rsidR="0099751F" w:rsidRDefault="0099751F" w:rsidP="006A6C77">
      <w:pPr>
        <w:pStyle w:val="FootnoteText"/>
        <w:spacing w:before="0"/>
        <w:rPr>
          <w:sz w:val="19"/>
          <w:szCs w:val="19"/>
        </w:rPr>
      </w:pPr>
      <w:r>
        <w:rPr>
          <w:rStyle w:val="FootnoteReference"/>
          <w:sz w:val="19"/>
          <w:szCs w:val="19"/>
        </w:rPr>
        <w:footnoteRef/>
      </w:r>
      <w:r>
        <w:rPr>
          <w:sz w:val="19"/>
          <w:szCs w:val="19"/>
        </w:rPr>
        <w:t xml:space="preserve"> </w:t>
      </w:r>
      <w:r>
        <w:rPr>
          <w:sz w:val="19"/>
          <w:szCs w:val="19"/>
          <w:lang w:eastAsia="en-AU"/>
        </w:rPr>
        <w:t>https://www.parliament.act.gov.au/in-committees/standing-committees-current-assembly/standing-committee-on-justice-and-community-safety-legislative-scrutiny-role/responses-to-comments-on-bills.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3235F6">
      <w:rPr>
        <w:smallCaps/>
        <w:noProof/>
      </w:rPr>
      <w:t>Scrutiny Report 6</w:t>
    </w:r>
    <w:r>
      <w:rPr>
        <w:smallCaps/>
        <w:noProof/>
      </w:rPr>
      <w:fldChar w:fldCharType="end"/>
    </w:r>
  </w:p>
  <w:p w:rsidR="0099751F" w:rsidRDefault="009975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9D788E" w:rsidRDefault="0099751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3235F6">
      <w:rPr>
        <w:smallCaps/>
        <w:noProof/>
      </w:rPr>
      <w:t>Scrutiny Report 6</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5A137F">
      <w:rPr>
        <w:smallCaps/>
        <w:noProof/>
      </w:rPr>
      <w:t>Scrutiny Report 6</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3056D"/>
    <w:multiLevelType w:val="hybridMultilevel"/>
    <w:tmpl w:val="BCF82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B955C9"/>
    <w:multiLevelType w:val="hybridMultilevel"/>
    <w:tmpl w:val="7FE2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F400A1"/>
    <w:multiLevelType w:val="hybridMultilevel"/>
    <w:tmpl w:val="E4F084DE"/>
    <w:lvl w:ilvl="0" w:tplc="BC7A0D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2" w15:restartNumberingAfterBreak="0">
    <w:nsid w:val="32BC066E"/>
    <w:multiLevelType w:val="hybridMultilevel"/>
    <w:tmpl w:val="A78AC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30034"/>
    <w:multiLevelType w:val="hybridMultilevel"/>
    <w:tmpl w:val="F5869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10560"/>
    <w:multiLevelType w:val="hybridMultilevel"/>
    <w:tmpl w:val="D386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6009D0"/>
    <w:multiLevelType w:val="hybridMultilevel"/>
    <w:tmpl w:val="B5146A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C5E80"/>
    <w:multiLevelType w:val="hybridMultilevel"/>
    <w:tmpl w:val="412C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947158"/>
    <w:multiLevelType w:val="hybridMultilevel"/>
    <w:tmpl w:val="6EF64A6C"/>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2D615F3"/>
    <w:multiLevelType w:val="multilevel"/>
    <w:tmpl w:val="487C0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0B2F25"/>
    <w:multiLevelType w:val="hybridMultilevel"/>
    <w:tmpl w:val="D52C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1" w15:restartNumberingAfterBreak="0">
    <w:nsid w:val="628A24AB"/>
    <w:multiLevelType w:val="hybridMultilevel"/>
    <w:tmpl w:val="DD22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AD1277B"/>
    <w:multiLevelType w:val="hybridMultilevel"/>
    <w:tmpl w:val="CA941E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B3358B1"/>
    <w:multiLevelType w:val="hybridMultilevel"/>
    <w:tmpl w:val="62AE1070"/>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6"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7BFB1FD3"/>
    <w:multiLevelType w:val="hybridMultilevel"/>
    <w:tmpl w:val="3FAAE19A"/>
    <w:lvl w:ilvl="0" w:tplc="0C090001">
      <w:start w:val="1"/>
      <w:numFmt w:val="bullet"/>
      <w:lvlText w:val=""/>
      <w:lvlJc w:val="left"/>
      <w:pPr>
        <w:ind w:left="495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9"/>
  </w:num>
  <w:num w:numId="13">
    <w:abstractNumId w:val="13"/>
  </w:num>
  <w:num w:numId="14">
    <w:abstractNumId w:val="27"/>
  </w:num>
  <w:num w:numId="15">
    <w:abstractNumId w:val="38"/>
  </w:num>
  <w:num w:numId="16">
    <w:abstractNumId w:val="21"/>
  </w:num>
  <w:num w:numId="17">
    <w:abstractNumId w:val="12"/>
  </w:num>
  <w:num w:numId="18">
    <w:abstractNumId w:val="15"/>
  </w:num>
  <w:num w:numId="19">
    <w:abstractNumId w:val="36"/>
  </w:num>
  <w:num w:numId="20">
    <w:abstractNumId w:val="33"/>
  </w:num>
  <w:num w:numId="21">
    <w:abstractNumId w:val="17"/>
  </w:num>
  <w:num w:numId="22">
    <w:abstractNumId w:val="18"/>
  </w:num>
  <w:num w:numId="23">
    <w:abstractNumId w:val="11"/>
  </w:num>
  <w:num w:numId="24">
    <w:abstractNumId w:val="16"/>
  </w:num>
  <w:num w:numId="25">
    <w:abstractNumId w:val="39"/>
  </w:num>
  <w:num w:numId="26">
    <w:abstractNumId w:val="14"/>
  </w:num>
  <w:num w:numId="27">
    <w:abstractNumId w:val="25"/>
  </w:num>
  <w:num w:numId="28">
    <w:abstractNumId w:val="34"/>
  </w:num>
  <w:num w:numId="29">
    <w:abstractNumId w:val="24"/>
  </w:num>
  <w:num w:numId="30">
    <w:abstractNumId w:val="31"/>
  </w:num>
  <w:num w:numId="31">
    <w:abstractNumId w:val="26"/>
  </w:num>
  <w:num w:numId="32">
    <w:abstractNumId w:val="29"/>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7"/>
  </w:num>
  <w:num w:numId="36">
    <w:abstractNumId w:val="23"/>
  </w:num>
  <w:num w:numId="37">
    <w:abstractNumId w:val="35"/>
  </w:num>
  <w:num w:numId="38">
    <w:abstractNumId w:val="10"/>
  </w:num>
  <w:num w:numId="39">
    <w:abstractNumId w:val="22"/>
  </w:num>
  <w:num w:numId="40">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2092"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223B2"/>
    <w:rsid w:val="00022A35"/>
    <w:rsid w:val="000233EA"/>
    <w:rsid w:val="000238D1"/>
    <w:rsid w:val="00024311"/>
    <w:rsid w:val="00024BDA"/>
    <w:rsid w:val="00025A33"/>
    <w:rsid w:val="00026D92"/>
    <w:rsid w:val="00030285"/>
    <w:rsid w:val="0003048A"/>
    <w:rsid w:val="00030DC6"/>
    <w:rsid w:val="00031176"/>
    <w:rsid w:val="00031636"/>
    <w:rsid w:val="00032058"/>
    <w:rsid w:val="00034823"/>
    <w:rsid w:val="00034ADC"/>
    <w:rsid w:val="00034CCA"/>
    <w:rsid w:val="00036A58"/>
    <w:rsid w:val="00037980"/>
    <w:rsid w:val="00037B25"/>
    <w:rsid w:val="00040028"/>
    <w:rsid w:val="000421E6"/>
    <w:rsid w:val="00042C45"/>
    <w:rsid w:val="00044012"/>
    <w:rsid w:val="00044194"/>
    <w:rsid w:val="0004551E"/>
    <w:rsid w:val="00045F75"/>
    <w:rsid w:val="00046DE2"/>
    <w:rsid w:val="0005204D"/>
    <w:rsid w:val="00052319"/>
    <w:rsid w:val="00052A23"/>
    <w:rsid w:val="00052F85"/>
    <w:rsid w:val="00053A61"/>
    <w:rsid w:val="00053DC1"/>
    <w:rsid w:val="00055077"/>
    <w:rsid w:val="00056859"/>
    <w:rsid w:val="00060D38"/>
    <w:rsid w:val="00060E04"/>
    <w:rsid w:val="000618AD"/>
    <w:rsid w:val="00061AB9"/>
    <w:rsid w:val="00061B6D"/>
    <w:rsid w:val="00061D08"/>
    <w:rsid w:val="00062087"/>
    <w:rsid w:val="00064F19"/>
    <w:rsid w:val="00067FAE"/>
    <w:rsid w:val="0007009F"/>
    <w:rsid w:val="0007136A"/>
    <w:rsid w:val="00073340"/>
    <w:rsid w:val="000737ED"/>
    <w:rsid w:val="0007461D"/>
    <w:rsid w:val="0007556D"/>
    <w:rsid w:val="0007683A"/>
    <w:rsid w:val="00077835"/>
    <w:rsid w:val="0008186E"/>
    <w:rsid w:val="000823F3"/>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8B"/>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4BFC"/>
    <w:rsid w:val="000B504D"/>
    <w:rsid w:val="000B510A"/>
    <w:rsid w:val="000B61F4"/>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916"/>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7745"/>
    <w:rsid w:val="001409BD"/>
    <w:rsid w:val="001415F9"/>
    <w:rsid w:val="00144967"/>
    <w:rsid w:val="0014536B"/>
    <w:rsid w:val="001454C8"/>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358"/>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53A"/>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4070"/>
    <w:rsid w:val="00275330"/>
    <w:rsid w:val="002753EE"/>
    <w:rsid w:val="002805F4"/>
    <w:rsid w:val="002806E8"/>
    <w:rsid w:val="00280D11"/>
    <w:rsid w:val="00283F5C"/>
    <w:rsid w:val="00285ABC"/>
    <w:rsid w:val="00286673"/>
    <w:rsid w:val="00287FC6"/>
    <w:rsid w:val="00291D83"/>
    <w:rsid w:val="002973FA"/>
    <w:rsid w:val="00297673"/>
    <w:rsid w:val="00297FEE"/>
    <w:rsid w:val="002A0027"/>
    <w:rsid w:val="002A185D"/>
    <w:rsid w:val="002A24D0"/>
    <w:rsid w:val="002A257A"/>
    <w:rsid w:val="002A5344"/>
    <w:rsid w:val="002B0CED"/>
    <w:rsid w:val="002B1AC8"/>
    <w:rsid w:val="002B23FF"/>
    <w:rsid w:val="002B388D"/>
    <w:rsid w:val="002B4A3A"/>
    <w:rsid w:val="002B660A"/>
    <w:rsid w:val="002B7D81"/>
    <w:rsid w:val="002C1AB1"/>
    <w:rsid w:val="002C3AC7"/>
    <w:rsid w:val="002C3C37"/>
    <w:rsid w:val="002C3CF7"/>
    <w:rsid w:val="002C548A"/>
    <w:rsid w:val="002C5D93"/>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5BF6"/>
    <w:rsid w:val="00306B22"/>
    <w:rsid w:val="00307591"/>
    <w:rsid w:val="0031203B"/>
    <w:rsid w:val="003127FB"/>
    <w:rsid w:val="00314CF6"/>
    <w:rsid w:val="003155F0"/>
    <w:rsid w:val="0031570D"/>
    <w:rsid w:val="00316B2D"/>
    <w:rsid w:val="00317346"/>
    <w:rsid w:val="00317393"/>
    <w:rsid w:val="0031748B"/>
    <w:rsid w:val="00317E73"/>
    <w:rsid w:val="0032291C"/>
    <w:rsid w:val="003235F6"/>
    <w:rsid w:val="00326327"/>
    <w:rsid w:val="00330E92"/>
    <w:rsid w:val="00331026"/>
    <w:rsid w:val="00332D86"/>
    <w:rsid w:val="0033431C"/>
    <w:rsid w:val="003345DA"/>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5970"/>
    <w:rsid w:val="003660F9"/>
    <w:rsid w:val="00367A7B"/>
    <w:rsid w:val="00367B9B"/>
    <w:rsid w:val="0037018E"/>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5E80"/>
    <w:rsid w:val="003A1F37"/>
    <w:rsid w:val="003A23E6"/>
    <w:rsid w:val="003A4294"/>
    <w:rsid w:val="003A5E73"/>
    <w:rsid w:val="003A71C5"/>
    <w:rsid w:val="003A7F93"/>
    <w:rsid w:val="003B3549"/>
    <w:rsid w:val="003B6A7E"/>
    <w:rsid w:val="003B6ED7"/>
    <w:rsid w:val="003C1078"/>
    <w:rsid w:val="003C1C5D"/>
    <w:rsid w:val="003C4A44"/>
    <w:rsid w:val="003C5A05"/>
    <w:rsid w:val="003C60E7"/>
    <w:rsid w:val="003C71A8"/>
    <w:rsid w:val="003C73B2"/>
    <w:rsid w:val="003D000F"/>
    <w:rsid w:val="003D0731"/>
    <w:rsid w:val="003D1F10"/>
    <w:rsid w:val="003D2825"/>
    <w:rsid w:val="003D3A4E"/>
    <w:rsid w:val="003D495F"/>
    <w:rsid w:val="003D4E3B"/>
    <w:rsid w:val="003D5EAE"/>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4FBC"/>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83F"/>
    <w:rsid w:val="00470CB9"/>
    <w:rsid w:val="00471620"/>
    <w:rsid w:val="00473CCE"/>
    <w:rsid w:val="00473E22"/>
    <w:rsid w:val="00474136"/>
    <w:rsid w:val="00474EC6"/>
    <w:rsid w:val="004750FD"/>
    <w:rsid w:val="00475385"/>
    <w:rsid w:val="004758C1"/>
    <w:rsid w:val="00475A42"/>
    <w:rsid w:val="00475B8B"/>
    <w:rsid w:val="00477B48"/>
    <w:rsid w:val="00480BFB"/>
    <w:rsid w:val="00480E59"/>
    <w:rsid w:val="00481446"/>
    <w:rsid w:val="00481F91"/>
    <w:rsid w:val="00484A97"/>
    <w:rsid w:val="00486F69"/>
    <w:rsid w:val="00487421"/>
    <w:rsid w:val="00487FDA"/>
    <w:rsid w:val="004909C8"/>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587A"/>
    <w:rsid w:val="004B6287"/>
    <w:rsid w:val="004B6619"/>
    <w:rsid w:val="004B6AD2"/>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1179"/>
    <w:rsid w:val="004F4BD9"/>
    <w:rsid w:val="004F5121"/>
    <w:rsid w:val="004F67F8"/>
    <w:rsid w:val="004F6AC2"/>
    <w:rsid w:val="004F6D09"/>
    <w:rsid w:val="00500866"/>
    <w:rsid w:val="00500C4A"/>
    <w:rsid w:val="00501A3F"/>
    <w:rsid w:val="00501CD0"/>
    <w:rsid w:val="005024AF"/>
    <w:rsid w:val="005030F9"/>
    <w:rsid w:val="00503304"/>
    <w:rsid w:val="0050636F"/>
    <w:rsid w:val="00506693"/>
    <w:rsid w:val="005074A4"/>
    <w:rsid w:val="00510424"/>
    <w:rsid w:val="00511278"/>
    <w:rsid w:val="005114F8"/>
    <w:rsid w:val="0051400D"/>
    <w:rsid w:val="00516733"/>
    <w:rsid w:val="00517EFF"/>
    <w:rsid w:val="00520380"/>
    <w:rsid w:val="00520708"/>
    <w:rsid w:val="00521512"/>
    <w:rsid w:val="00521536"/>
    <w:rsid w:val="005228F6"/>
    <w:rsid w:val="00523335"/>
    <w:rsid w:val="00525A82"/>
    <w:rsid w:val="0052687F"/>
    <w:rsid w:val="005270C2"/>
    <w:rsid w:val="00527137"/>
    <w:rsid w:val="00527991"/>
    <w:rsid w:val="00530B7A"/>
    <w:rsid w:val="00534514"/>
    <w:rsid w:val="00535407"/>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60B7B"/>
    <w:rsid w:val="00562622"/>
    <w:rsid w:val="00562E8A"/>
    <w:rsid w:val="005646D0"/>
    <w:rsid w:val="00570AD2"/>
    <w:rsid w:val="005724A3"/>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A0384"/>
    <w:rsid w:val="005A086A"/>
    <w:rsid w:val="005A0F1D"/>
    <w:rsid w:val="005A137F"/>
    <w:rsid w:val="005A1831"/>
    <w:rsid w:val="005A1C9B"/>
    <w:rsid w:val="005A4E01"/>
    <w:rsid w:val="005A7435"/>
    <w:rsid w:val="005A7BB6"/>
    <w:rsid w:val="005B1D8F"/>
    <w:rsid w:val="005B35FB"/>
    <w:rsid w:val="005B3763"/>
    <w:rsid w:val="005B41CA"/>
    <w:rsid w:val="005B5F65"/>
    <w:rsid w:val="005B68B5"/>
    <w:rsid w:val="005C01C0"/>
    <w:rsid w:val="005C0B5F"/>
    <w:rsid w:val="005C0F24"/>
    <w:rsid w:val="005C176D"/>
    <w:rsid w:val="005C1B23"/>
    <w:rsid w:val="005C505E"/>
    <w:rsid w:val="005C603D"/>
    <w:rsid w:val="005C7610"/>
    <w:rsid w:val="005D0355"/>
    <w:rsid w:val="005D1BC8"/>
    <w:rsid w:val="005D2B7B"/>
    <w:rsid w:val="005D7839"/>
    <w:rsid w:val="005D79AF"/>
    <w:rsid w:val="005D7B3C"/>
    <w:rsid w:val="005E13B6"/>
    <w:rsid w:val="005E21F5"/>
    <w:rsid w:val="005E4A19"/>
    <w:rsid w:val="005E4CD6"/>
    <w:rsid w:val="005E56E4"/>
    <w:rsid w:val="005E7298"/>
    <w:rsid w:val="005E796A"/>
    <w:rsid w:val="005F072C"/>
    <w:rsid w:val="005F1A7E"/>
    <w:rsid w:val="005F4FDA"/>
    <w:rsid w:val="005F5419"/>
    <w:rsid w:val="005F7540"/>
    <w:rsid w:val="00600252"/>
    <w:rsid w:val="00600A32"/>
    <w:rsid w:val="00600F64"/>
    <w:rsid w:val="006013DE"/>
    <w:rsid w:val="0060428D"/>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6D66"/>
    <w:rsid w:val="006E7853"/>
    <w:rsid w:val="006F0DB1"/>
    <w:rsid w:val="006F13F7"/>
    <w:rsid w:val="006F1544"/>
    <w:rsid w:val="006F2384"/>
    <w:rsid w:val="006F388D"/>
    <w:rsid w:val="006F4484"/>
    <w:rsid w:val="006F4CFB"/>
    <w:rsid w:val="006F5358"/>
    <w:rsid w:val="006F53A8"/>
    <w:rsid w:val="007000AB"/>
    <w:rsid w:val="00701E54"/>
    <w:rsid w:val="007047E4"/>
    <w:rsid w:val="00704C1C"/>
    <w:rsid w:val="00706014"/>
    <w:rsid w:val="007072D3"/>
    <w:rsid w:val="00710222"/>
    <w:rsid w:val="007122EB"/>
    <w:rsid w:val="0071342C"/>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4264"/>
    <w:rsid w:val="0076535F"/>
    <w:rsid w:val="00766734"/>
    <w:rsid w:val="00767D36"/>
    <w:rsid w:val="00770D34"/>
    <w:rsid w:val="007711B3"/>
    <w:rsid w:val="00771C62"/>
    <w:rsid w:val="00772529"/>
    <w:rsid w:val="00773399"/>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0512"/>
    <w:rsid w:val="00794D83"/>
    <w:rsid w:val="00797A2A"/>
    <w:rsid w:val="00797BE5"/>
    <w:rsid w:val="00797F2E"/>
    <w:rsid w:val="007A1799"/>
    <w:rsid w:val="007A1BB2"/>
    <w:rsid w:val="007A4E51"/>
    <w:rsid w:val="007A4ED0"/>
    <w:rsid w:val="007A5009"/>
    <w:rsid w:val="007A6452"/>
    <w:rsid w:val="007A77AC"/>
    <w:rsid w:val="007A7E95"/>
    <w:rsid w:val="007B01C8"/>
    <w:rsid w:val="007B077A"/>
    <w:rsid w:val="007B0AE0"/>
    <w:rsid w:val="007B2889"/>
    <w:rsid w:val="007B2ACE"/>
    <w:rsid w:val="007B3429"/>
    <w:rsid w:val="007B477E"/>
    <w:rsid w:val="007B54AC"/>
    <w:rsid w:val="007B6724"/>
    <w:rsid w:val="007C03E5"/>
    <w:rsid w:val="007C2849"/>
    <w:rsid w:val="007C3449"/>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801"/>
    <w:rsid w:val="007E09DF"/>
    <w:rsid w:val="007E14F6"/>
    <w:rsid w:val="007E211A"/>
    <w:rsid w:val="007E2C3D"/>
    <w:rsid w:val="007E3057"/>
    <w:rsid w:val="007E46DC"/>
    <w:rsid w:val="007E6141"/>
    <w:rsid w:val="007E6667"/>
    <w:rsid w:val="007E6AE3"/>
    <w:rsid w:val="007E6BA0"/>
    <w:rsid w:val="007F09EE"/>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607D"/>
    <w:rsid w:val="00846E5E"/>
    <w:rsid w:val="00847247"/>
    <w:rsid w:val="00852612"/>
    <w:rsid w:val="008527F3"/>
    <w:rsid w:val="008571E3"/>
    <w:rsid w:val="008572C2"/>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7D1"/>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0F1"/>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257E"/>
    <w:rsid w:val="0093399E"/>
    <w:rsid w:val="00935094"/>
    <w:rsid w:val="00935DBB"/>
    <w:rsid w:val="009361BB"/>
    <w:rsid w:val="009368E8"/>
    <w:rsid w:val="00936A8B"/>
    <w:rsid w:val="00936EC9"/>
    <w:rsid w:val="0094082D"/>
    <w:rsid w:val="009411C8"/>
    <w:rsid w:val="00941D2C"/>
    <w:rsid w:val="00945159"/>
    <w:rsid w:val="00946037"/>
    <w:rsid w:val="00946C51"/>
    <w:rsid w:val="00950535"/>
    <w:rsid w:val="009517FB"/>
    <w:rsid w:val="009517FE"/>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68B"/>
    <w:rsid w:val="009D187A"/>
    <w:rsid w:val="009D1961"/>
    <w:rsid w:val="009D208C"/>
    <w:rsid w:val="009D2815"/>
    <w:rsid w:val="009D47DF"/>
    <w:rsid w:val="009D4A4D"/>
    <w:rsid w:val="009D5133"/>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54F"/>
    <w:rsid w:val="009F46A2"/>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06D05"/>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348BF"/>
    <w:rsid w:val="00A419B4"/>
    <w:rsid w:val="00A436B4"/>
    <w:rsid w:val="00A44D7A"/>
    <w:rsid w:val="00A45257"/>
    <w:rsid w:val="00A469B6"/>
    <w:rsid w:val="00A474EC"/>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003"/>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1C2E"/>
    <w:rsid w:val="00AF2B41"/>
    <w:rsid w:val="00AF356E"/>
    <w:rsid w:val="00AF3AA1"/>
    <w:rsid w:val="00AF6181"/>
    <w:rsid w:val="00AF6CB6"/>
    <w:rsid w:val="00AF70DA"/>
    <w:rsid w:val="00AF7645"/>
    <w:rsid w:val="00B006AA"/>
    <w:rsid w:val="00B013C5"/>
    <w:rsid w:val="00B03427"/>
    <w:rsid w:val="00B04475"/>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33D8"/>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D0A"/>
    <w:rsid w:val="00B45EDA"/>
    <w:rsid w:val="00B47606"/>
    <w:rsid w:val="00B50558"/>
    <w:rsid w:val="00B533E0"/>
    <w:rsid w:val="00B54D6F"/>
    <w:rsid w:val="00B55615"/>
    <w:rsid w:val="00B55B9E"/>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5E6"/>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158A"/>
    <w:rsid w:val="00BB391A"/>
    <w:rsid w:val="00BB4592"/>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5363"/>
    <w:rsid w:val="00C057A8"/>
    <w:rsid w:val="00C06197"/>
    <w:rsid w:val="00C0765A"/>
    <w:rsid w:val="00C10D21"/>
    <w:rsid w:val="00C11A22"/>
    <w:rsid w:val="00C11AAF"/>
    <w:rsid w:val="00C12B23"/>
    <w:rsid w:val="00C13B2C"/>
    <w:rsid w:val="00C13B3E"/>
    <w:rsid w:val="00C144C6"/>
    <w:rsid w:val="00C14596"/>
    <w:rsid w:val="00C14637"/>
    <w:rsid w:val="00C1554E"/>
    <w:rsid w:val="00C20882"/>
    <w:rsid w:val="00C21368"/>
    <w:rsid w:val="00C22F31"/>
    <w:rsid w:val="00C23680"/>
    <w:rsid w:val="00C23AA2"/>
    <w:rsid w:val="00C24E1B"/>
    <w:rsid w:val="00C26D19"/>
    <w:rsid w:val="00C271F5"/>
    <w:rsid w:val="00C279C0"/>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BB9"/>
    <w:rsid w:val="00C95FEF"/>
    <w:rsid w:val="00C9619A"/>
    <w:rsid w:val="00C97D9A"/>
    <w:rsid w:val="00CA08ED"/>
    <w:rsid w:val="00CA1E99"/>
    <w:rsid w:val="00CA32D5"/>
    <w:rsid w:val="00CA440B"/>
    <w:rsid w:val="00CA4DF7"/>
    <w:rsid w:val="00CA58C5"/>
    <w:rsid w:val="00CA6C3E"/>
    <w:rsid w:val="00CA751D"/>
    <w:rsid w:val="00CB1860"/>
    <w:rsid w:val="00CB2AE5"/>
    <w:rsid w:val="00CB402F"/>
    <w:rsid w:val="00CB4546"/>
    <w:rsid w:val="00CB6294"/>
    <w:rsid w:val="00CB62E4"/>
    <w:rsid w:val="00CB7A34"/>
    <w:rsid w:val="00CB7D01"/>
    <w:rsid w:val="00CB7F46"/>
    <w:rsid w:val="00CC0684"/>
    <w:rsid w:val="00CC2E7B"/>
    <w:rsid w:val="00CC53BF"/>
    <w:rsid w:val="00CC597E"/>
    <w:rsid w:val="00CC61CF"/>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BE"/>
    <w:rsid w:val="00CF3231"/>
    <w:rsid w:val="00CF37B2"/>
    <w:rsid w:val="00CF4857"/>
    <w:rsid w:val="00CF5C1B"/>
    <w:rsid w:val="00CF7B50"/>
    <w:rsid w:val="00CF7DEB"/>
    <w:rsid w:val="00D00142"/>
    <w:rsid w:val="00D009DD"/>
    <w:rsid w:val="00D016D1"/>
    <w:rsid w:val="00D0288E"/>
    <w:rsid w:val="00D04046"/>
    <w:rsid w:val="00D04D26"/>
    <w:rsid w:val="00D04F3D"/>
    <w:rsid w:val="00D05BBA"/>
    <w:rsid w:val="00D06817"/>
    <w:rsid w:val="00D076A8"/>
    <w:rsid w:val="00D1084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27F6"/>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6B8E"/>
    <w:rsid w:val="00D76E48"/>
    <w:rsid w:val="00D77442"/>
    <w:rsid w:val="00D80857"/>
    <w:rsid w:val="00D81239"/>
    <w:rsid w:val="00D817F1"/>
    <w:rsid w:val="00D81B3B"/>
    <w:rsid w:val="00D81C0D"/>
    <w:rsid w:val="00D82DA3"/>
    <w:rsid w:val="00D8489D"/>
    <w:rsid w:val="00D85697"/>
    <w:rsid w:val="00D862A9"/>
    <w:rsid w:val="00D86F68"/>
    <w:rsid w:val="00D90865"/>
    <w:rsid w:val="00D94356"/>
    <w:rsid w:val="00D9488E"/>
    <w:rsid w:val="00D94ABA"/>
    <w:rsid w:val="00D95483"/>
    <w:rsid w:val="00D95927"/>
    <w:rsid w:val="00D95A5D"/>
    <w:rsid w:val="00D97CF1"/>
    <w:rsid w:val="00D97DF4"/>
    <w:rsid w:val="00DA162C"/>
    <w:rsid w:val="00DA202E"/>
    <w:rsid w:val="00DA2505"/>
    <w:rsid w:val="00DA3B8A"/>
    <w:rsid w:val="00DA4101"/>
    <w:rsid w:val="00DA6061"/>
    <w:rsid w:val="00DA61E5"/>
    <w:rsid w:val="00DB2A3A"/>
    <w:rsid w:val="00DB2EB9"/>
    <w:rsid w:val="00DB3F35"/>
    <w:rsid w:val="00DB45B6"/>
    <w:rsid w:val="00DB629B"/>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64BB"/>
    <w:rsid w:val="00DC71B1"/>
    <w:rsid w:val="00DD245B"/>
    <w:rsid w:val="00DD4D13"/>
    <w:rsid w:val="00DD7049"/>
    <w:rsid w:val="00DE229C"/>
    <w:rsid w:val="00DE23D8"/>
    <w:rsid w:val="00DE2B8B"/>
    <w:rsid w:val="00DE62A9"/>
    <w:rsid w:val="00DE78FD"/>
    <w:rsid w:val="00DE7F72"/>
    <w:rsid w:val="00DF0499"/>
    <w:rsid w:val="00DF23C5"/>
    <w:rsid w:val="00DF26E7"/>
    <w:rsid w:val="00DF2B7E"/>
    <w:rsid w:val="00DF2CC5"/>
    <w:rsid w:val="00DF3D7B"/>
    <w:rsid w:val="00DF4A03"/>
    <w:rsid w:val="00DF4BF9"/>
    <w:rsid w:val="00DF57DD"/>
    <w:rsid w:val="00DF5A23"/>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71E"/>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1A45"/>
    <w:rsid w:val="00E31AA8"/>
    <w:rsid w:val="00E31EFA"/>
    <w:rsid w:val="00E32319"/>
    <w:rsid w:val="00E3264B"/>
    <w:rsid w:val="00E32696"/>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220B"/>
    <w:rsid w:val="00EC432A"/>
    <w:rsid w:val="00EC60BA"/>
    <w:rsid w:val="00EC6979"/>
    <w:rsid w:val="00EC76A1"/>
    <w:rsid w:val="00EC7DB6"/>
    <w:rsid w:val="00ED0AAB"/>
    <w:rsid w:val="00ED0CC7"/>
    <w:rsid w:val="00ED1A75"/>
    <w:rsid w:val="00ED2B9C"/>
    <w:rsid w:val="00ED3041"/>
    <w:rsid w:val="00ED3594"/>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2CC"/>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633"/>
    <w:rsid w:val="00F13A5D"/>
    <w:rsid w:val="00F13A7E"/>
    <w:rsid w:val="00F143DA"/>
    <w:rsid w:val="00F1456D"/>
    <w:rsid w:val="00F17589"/>
    <w:rsid w:val="00F179F9"/>
    <w:rsid w:val="00F204EB"/>
    <w:rsid w:val="00F20C70"/>
    <w:rsid w:val="00F21791"/>
    <w:rsid w:val="00F229B4"/>
    <w:rsid w:val="00F23CCD"/>
    <w:rsid w:val="00F24079"/>
    <w:rsid w:val="00F24646"/>
    <w:rsid w:val="00F24D9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7C6F"/>
    <w:rsid w:val="00F817BF"/>
    <w:rsid w:val="00F81836"/>
    <w:rsid w:val="00F81B4A"/>
    <w:rsid w:val="00F82011"/>
    <w:rsid w:val="00F825FE"/>
    <w:rsid w:val="00F8329E"/>
    <w:rsid w:val="00F83FAF"/>
    <w:rsid w:val="00F84A9D"/>
    <w:rsid w:val="00F8654F"/>
    <w:rsid w:val="00F8674A"/>
    <w:rsid w:val="00F9013F"/>
    <w:rsid w:val="00F90469"/>
    <w:rsid w:val="00F9213C"/>
    <w:rsid w:val="00F92426"/>
    <w:rsid w:val="00F92AA0"/>
    <w:rsid w:val="00F95A50"/>
    <w:rsid w:val="00F971E0"/>
    <w:rsid w:val="00F9772E"/>
    <w:rsid w:val="00FA0437"/>
    <w:rsid w:val="00FA17AC"/>
    <w:rsid w:val="00FA1A74"/>
    <w:rsid w:val="00FA1D3B"/>
    <w:rsid w:val="00FA3229"/>
    <w:rsid w:val="00FA35ED"/>
    <w:rsid w:val="00FA3D87"/>
    <w:rsid w:val="00FA542A"/>
    <w:rsid w:val="00FA56B6"/>
    <w:rsid w:val="00FA6395"/>
    <w:rsid w:val="00FA755A"/>
    <w:rsid w:val="00FA7F57"/>
    <w:rsid w:val="00FB1646"/>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E06"/>
    <w:rsid w:val="00FD7B60"/>
    <w:rsid w:val="00FE0607"/>
    <w:rsid w:val="00FE0925"/>
    <w:rsid w:val="00FE0C4A"/>
    <w:rsid w:val="00FE104C"/>
    <w:rsid w:val="00FE1933"/>
    <w:rsid w:val="00FE1AD6"/>
    <w:rsid w:val="00FE271B"/>
    <w:rsid w:val="00FE4BCB"/>
    <w:rsid w:val="00FE61EA"/>
    <w:rsid w:val="00FF120D"/>
    <w:rsid w:val="00FF1811"/>
    <w:rsid w:val="00FF28F8"/>
    <w:rsid w:val="00FF2947"/>
    <w:rsid w:val="00FF297C"/>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92"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6"/>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5"/>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1"/>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3"/>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8"/>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6"/>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20"/>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7"/>
      </w:numPr>
    </w:pPr>
  </w:style>
  <w:style w:type="numbering" w:customStyle="1" w:styleId="Style3">
    <w:name w:val="Style3"/>
    <w:rsid w:val="00DF23C5"/>
    <w:pPr>
      <w:numPr>
        <w:numId w:val="22"/>
      </w:numPr>
    </w:pPr>
  </w:style>
  <w:style w:type="numbering" w:customStyle="1" w:styleId="Style2">
    <w:name w:val="Style2"/>
    <w:rsid w:val="00DF23C5"/>
    <w:pPr>
      <w:numPr>
        <w:numId w:val="19"/>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4"/>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5"/>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53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parliament.act.gov.au/__data/assets/pdf_file/0007/434347/Subordinate-Legislation-Technical-and-Stylistic-Standards.pdf" TargetMode="External"/><Relationship Id="rId39" Type="http://schemas.openxmlformats.org/officeDocument/2006/relationships/hyperlink" Target="http://classic.austlii.edu.au/au/legis/act/consol_act/caypa2008242/s842.html" TargetMode="Externa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yperlink" Target="http://classic.austlii.edu.au/au/legis/act/consol_act/caypa2008242/s842.html" TargetMode="External"/><Relationship Id="rId42" Type="http://schemas.openxmlformats.org/officeDocument/2006/relationships/header" Target="header10.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austlii.edu.au/au/legis/act/consol_act/la2001133/" TargetMode="External"/><Relationship Id="rId33" Type="http://schemas.openxmlformats.org/officeDocument/2006/relationships/hyperlink" Target="http://classic.austlii.edu.au/au/legis/act/consol_act/caypa2008242/s12.html" TargetMode="External"/><Relationship Id="rId38" Type="http://schemas.openxmlformats.org/officeDocument/2006/relationships/hyperlink" Target="http://classic.austlii.edu.au/au/legis/act/consol_act/caypa2008242/s842.html" TargetMode="Externa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classic.austlii.edu.au/au/legis/act/consol_act/caypa2008242/s458.html" TargetMode="External"/><Relationship Id="rId41" Type="http://schemas.openxmlformats.org/officeDocument/2006/relationships/hyperlink" Target="https://www.parliament.act.gov.au/parliamentary-business/in-committees/committees/JCS_Scrutiny/responses-to-comments-on-bil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__data/assets/pdf_file/0007/434347/Subordinate-Legislation-Technical-and-Stylistic-Standards.pdf" TargetMode="External"/><Relationship Id="rId32" Type="http://schemas.openxmlformats.org/officeDocument/2006/relationships/hyperlink" Target="http://classic.austlii.edu.au/au/legis/act/consol_act/caypa2008242/s12.html" TargetMode="External"/><Relationship Id="rId37" Type="http://schemas.openxmlformats.org/officeDocument/2006/relationships/hyperlink" Target="http://classic.austlii.edu.au/au/legis/act/consol_act/caypa2008242/s842.html" TargetMode="External"/><Relationship Id="rId40" Type="http://schemas.openxmlformats.org/officeDocument/2006/relationships/hyperlink" Target="http://www.austlii.edu.au/au/legis/act/consol_act/caypa2008242/s887.html" TargetMode="Externa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classic.austlii.edu.au/au/legis/act/consol_act/caypa2008242/s842.html" TargetMode="External"/><Relationship Id="rId36" Type="http://schemas.openxmlformats.org/officeDocument/2006/relationships/hyperlink" Target="http://classic.austlii.edu.au/au/legis/act/consol_act/caypa2008242/s842.html"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classic.austlii.edu.au/au/legis/act/consol_act/caypa2008242/s11.html" TargetMode="External"/><Relationship Id="rId44"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classic.austlii.edu.au/au/legis/act/consol_act/caypa2008242/s458.html" TargetMode="External"/><Relationship Id="rId30" Type="http://schemas.openxmlformats.org/officeDocument/2006/relationships/hyperlink" Target="http://classic.austlii.edu.au/au/legis/act/consol_act/caypa2008242/s458.html" TargetMode="External"/><Relationship Id="rId35" Type="http://schemas.openxmlformats.org/officeDocument/2006/relationships/hyperlink" Target="http://classic.austlii.edu.au/au/legis/act/consol_act/caypa2008242/s842.html" TargetMode="External"/><Relationship Id="rId43" Type="http://schemas.openxmlformats.org/officeDocument/2006/relationships/header" Target="header1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act.gov.au/__data/assets/pdf_file/0007/434347/Subordinate-Legislation-Technical-and-Stylistic-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ABEAAD0-69DF-4289-A1B6-8F0970FC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20</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Scrutiny Report 6—15 June 2021</vt:lpstr>
    </vt:vector>
  </TitlesOfParts>
  <Company/>
  <LinksUpToDate>false</LinksUpToDate>
  <CharactersWithSpaces>44215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6—15 June 2021</dc:title>
  <dc:creator>Anne Shannon</dc:creator>
  <cp:lastModifiedBy>Milne, Sophie</cp:lastModifiedBy>
  <cp:revision>79</cp:revision>
  <cp:lastPrinted>2021-06-15T01:53:00Z</cp:lastPrinted>
  <dcterms:created xsi:type="dcterms:W3CDTF">2021-06-09T05:25:00Z</dcterms:created>
  <dcterms:modified xsi:type="dcterms:W3CDTF">2021-06-15T01:57:00Z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