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74A91" w14:textId="77777777" w:rsidR="00AD7D31" w:rsidRPr="00A91B3B" w:rsidRDefault="00AD7D31" w:rsidP="00A91B3B">
      <w:pPr>
        <w:pStyle w:val="Header"/>
        <w:tabs>
          <w:tab w:val="clear" w:pos="9026"/>
          <w:tab w:val="left" w:pos="7245"/>
        </w:tabs>
        <w:rPr>
          <w:rFonts w:cstheme="minorHAnsi"/>
          <w:sz w:val="24"/>
          <w:szCs w:val="24"/>
          <w:lang w:val="en-US"/>
        </w:rPr>
      </w:pPr>
      <w:bookmarkStart w:id="0" w:name="_GoBack"/>
      <w:bookmarkEnd w:id="0"/>
      <w:r w:rsidRPr="00A91B3B">
        <w:rPr>
          <w:rFonts w:cstheme="minorHAnsi"/>
          <w:sz w:val="24"/>
          <w:szCs w:val="24"/>
          <w:lang w:val="en-US"/>
        </w:rPr>
        <w:tab/>
      </w:r>
      <w:r w:rsidR="001450DC" w:rsidRPr="00A91B3B">
        <w:rPr>
          <w:rFonts w:cstheme="minorHAnsi"/>
          <w:sz w:val="24"/>
          <w:szCs w:val="24"/>
          <w:lang w:val="en-US"/>
        </w:rPr>
        <w:tab/>
      </w:r>
    </w:p>
    <w:p w14:paraId="323468BB" w14:textId="77777777" w:rsidR="00AD7D31" w:rsidRPr="00A91B3B" w:rsidRDefault="00AD7D31" w:rsidP="00A91B3B">
      <w:pPr>
        <w:pStyle w:val="Header"/>
        <w:tabs>
          <w:tab w:val="left" w:pos="6930"/>
        </w:tabs>
        <w:rPr>
          <w:rFonts w:cstheme="minorHAnsi"/>
          <w:sz w:val="24"/>
          <w:szCs w:val="24"/>
          <w:lang w:val="en-US"/>
        </w:rPr>
      </w:pPr>
      <w:r w:rsidRPr="00A91B3B">
        <w:rPr>
          <w:rFonts w:cstheme="minorHAnsi"/>
          <w:sz w:val="24"/>
          <w:szCs w:val="24"/>
          <w:lang w:val="en-US"/>
        </w:rPr>
        <w:tab/>
      </w:r>
    </w:p>
    <w:p w14:paraId="1A858C9A" w14:textId="77777777" w:rsidR="003D671E" w:rsidRPr="00A91B3B" w:rsidRDefault="003D671E" w:rsidP="00A91B3B">
      <w:pPr>
        <w:spacing w:after="0" w:line="240" w:lineRule="auto"/>
        <w:rPr>
          <w:rFonts w:cstheme="minorHAnsi"/>
          <w:sz w:val="24"/>
          <w:szCs w:val="24"/>
        </w:rPr>
      </w:pPr>
      <w:r w:rsidRPr="00A91B3B">
        <w:rPr>
          <w:rFonts w:cstheme="minorHAnsi"/>
          <w:sz w:val="24"/>
          <w:szCs w:val="24"/>
        </w:rPr>
        <w:t>Mrs Giulia Jones MLA</w:t>
      </w:r>
    </w:p>
    <w:p w14:paraId="106FA0BA" w14:textId="77777777" w:rsidR="003D671E" w:rsidRPr="00A91B3B" w:rsidRDefault="003D671E" w:rsidP="00A91B3B">
      <w:pPr>
        <w:spacing w:after="0" w:line="240" w:lineRule="auto"/>
        <w:rPr>
          <w:rFonts w:cstheme="minorHAnsi"/>
          <w:sz w:val="24"/>
          <w:szCs w:val="24"/>
        </w:rPr>
      </w:pPr>
      <w:r w:rsidRPr="00A91B3B">
        <w:rPr>
          <w:rFonts w:cstheme="minorHAnsi"/>
          <w:sz w:val="24"/>
          <w:szCs w:val="24"/>
        </w:rPr>
        <w:t>Chair</w:t>
      </w:r>
    </w:p>
    <w:p w14:paraId="2575BC90" w14:textId="77777777" w:rsidR="003D671E" w:rsidRPr="00A91B3B" w:rsidRDefault="003D671E" w:rsidP="00A91B3B">
      <w:pPr>
        <w:spacing w:after="0" w:line="240" w:lineRule="auto"/>
        <w:rPr>
          <w:rFonts w:cstheme="minorHAnsi"/>
          <w:sz w:val="24"/>
          <w:szCs w:val="24"/>
        </w:rPr>
      </w:pPr>
      <w:r w:rsidRPr="00A91B3B">
        <w:rPr>
          <w:rFonts w:cstheme="minorHAnsi"/>
          <w:sz w:val="24"/>
          <w:szCs w:val="24"/>
        </w:rPr>
        <w:t>Standing Committee on Justice and Community Safety (Legislative Scrutiny Role)</w:t>
      </w:r>
    </w:p>
    <w:p w14:paraId="30CFB49C" w14:textId="77777777" w:rsidR="003D671E" w:rsidRPr="00A91B3B" w:rsidRDefault="003D671E" w:rsidP="00A91B3B">
      <w:pPr>
        <w:spacing w:after="0" w:line="240" w:lineRule="auto"/>
        <w:rPr>
          <w:rFonts w:cstheme="minorHAnsi"/>
          <w:sz w:val="24"/>
          <w:szCs w:val="24"/>
        </w:rPr>
      </w:pPr>
      <w:r w:rsidRPr="00A91B3B">
        <w:rPr>
          <w:rFonts w:cstheme="minorHAnsi"/>
          <w:sz w:val="24"/>
          <w:szCs w:val="24"/>
        </w:rPr>
        <w:t>ACT Legislative Assembly</w:t>
      </w:r>
    </w:p>
    <w:p w14:paraId="2B508569" w14:textId="77777777" w:rsidR="003D671E" w:rsidRPr="00A91B3B" w:rsidRDefault="003D671E" w:rsidP="00A91B3B">
      <w:pPr>
        <w:spacing w:after="0" w:line="240" w:lineRule="auto"/>
        <w:rPr>
          <w:rFonts w:cstheme="minorHAnsi"/>
          <w:sz w:val="24"/>
          <w:szCs w:val="24"/>
        </w:rPr>
      </w:pPr>
      <w:r w:rsidRPr="00A91B3B">
        <w:rPr>
          <w:rFonts w:cstheme="minorHAnsi"/>
          <w:sz w:val="24"/>
          <w:szCs w:val="24"/>
        </w:rPr>
        <w:t>GPO Box 1020</w:t>
      </w:r>
    </w:p>
    <w:p w14:paraId="4B1AE496" w14:textId="77777777" w:rsidR="003D671E" w:rsidRPr="00A91B3B" w:rsidRDefault="003D671E" w:rsidP="00A91B3B">
      <w:pPr>
        <w:spacing w:after="0" w:line="240" w:lineRule="auto"/>
        <w:rPr>
          <w:rFonts w:cstheme="minorHAnsi"/>
          <w:sz w:val="24"/>
          <w:szCs w:val="24"/>
        </w:rPr>
      </w:pPr>
      <w:r w:rsidRPr="00A91B3B">
        <w:rPr>
          <w:rFonts w:cstheme="minorHAnsi"/>
          <w:sz w:val="24"/>
          <w:szCs w:val="24"/>
        </w:rPr>
        <w:t>CANBERRA ACT 2601</w:t>
      </w:r>
    </w:p>
    <w:p w14:paraId="61C0275B" w14:textId="77777777" w:rsidR="003D671E" w:rsidRPr="00A91B3B" w:rsidRDefault="003D671E" w:rsidP="00A91B3B">
      <w:pPr>
        <w:spacing w:after="0" w:line="240" w:lineRule="auto"/>
        <w:rPr>
          <w:rFonts w:cstheme="minorHAnsi"/>
          <w:sz w:val="24"/>
          <w:szCs w:val="24"/>
        </w:rPr>
      </w:pPr>
    </w:p>
    <w:p w14:paraId="23B2B83C" w14:textId="77777777" w:rsidR="003D671E" w:rsidRPr="00A91B3B" w:rsidRDefault="003D671E" w:rsidP="00A91B3B">
      <w:pPr>
        <w:spacing w:after="0" w:line="240" w:lineRule="auto"/>
        <w:rPr>
          <w:rFonts w:cstheme="minorHAnsi"/>
          <w:sz w:val="24"/>
          <w:szCs w:val="24"/>
        </w:rPr>
      </w:pPr>
    </w:p>
    <w:p w14:paraId="1A529809" w14:textId="288D2014" w:rsidR="003D671E" w:rsidRPr="00A91B3B" w:rsidRDefault="003D671E" w:rsidP="00A91B3B">
      <w:pPr>
        <w:spacing w:after="0" w:line="240" w:lineRule="auto"/>
        <w:rPr>
          <w:rFonts w:cstheme="minorHAnsi"/>
          <w:sz w:val="24"/>
          <w:szCs w:val="24"/>
        </w:rPr>
      </w:pPr>
      <w:r w:rsidRPr="00A91B3B">
        <w:rPr>
          <w:rFonts w:cstheme="minorHAnsi"/>
          <w:sz w:val="24"/>
          <w:szCs w:val="24"/>
          <w:lang w:val="en-US"/>
        </w:rPr>
        <w:t>Dear Mrs Jones</w:t>
      </w:r>
    </w:p>
    <w:p w14:paraId="6D9F5A9F" w14:textId="77777777" w:rsidR="003D671E" w:rsidRPr="00A91B3B" w:rsidRDefault="003D671E" w:rsidP="00A91B3B">
      <w:pPr>
        <w:pStyle w:val="Header"/>
        <w:tabs>
          <w:tab w:val="left" w:pos="720"/>
        </w:tabs>
        <w:rPr>
          <w:rFonts w:cstheme="minorHAnsi"/>
          <w:sz w:val="24"/>
          <w:szCs w:val="24"/>
        </w:rPr>
      </w:pPr>
    </w:p>
    <w:p w14:paraId="15647F4C" w14:textId="64C89380" w:rsidR="003D671E" w:rsidRPr="00A91B3B" w:rsidRDefault="00743508" w:rsidP="00A91B3B">
      <w:pPr>
        <w:spacing w:after="0" w:line="240" w:lineRule="auto"/>
        <w:rPr>
          <w:rFonts w:cstheme="minorHAnsi"/>
          <w:sz w:val="24"/>
          <w:szCs w:val="24"/>
        </w:rPr>
      </w:pPr>
      <w:r w:rsidRPr="00A91B3B">
        <w:rPr>
          <w:rFonts w:cstheme="minorHAnsi"/>
          <w:sz w:val="24"/>
          <w:szCs w:val="24"/>
        </w:rPr>
        <w:t>I write in response to</w:t>
      </w:r>
      <w:r w:rsidR="003D671E" w:rsidRPr="00A91B3B">
        <w:rPr>
          <w:rFonts w:cstheme="minorHAnsi"/>
          <w:sz w:val="24"/>
          <w:szCs w:val="24"/>
        </w:rPr>
        <w:t xml:space="preserve"> the Committee’s </w:t>
      </w:r>
      <w:r w:rsidRPr="00A91B3B">
        <w:rPr>
          <w:rFonts w:cstheme="minorHAnsi"/>
          <w:sz w:val="24"/>
          <w:szCs w:val="24"/>
        </w:rPr>
        <w:t>comments</w:t>
      </w:r>
      <w:r w:rsidR="003D671E" w:rsidRPr="00A91B3B">
        <w:rPr>
          <w:rFonts w:cstheme="minorHAnsi"/>
          <w:sz w:val="24"/>
          <w:szCs w:val="24"/>
        </w:rPr>
        <w:t xml:space="preserve"> </w:t>
      </w:r>
      <w:r w:rsidRPr="00A91B3B">
        <w:rPr>
          <w:rFonts w:cstheme="minorHAnsi"/>
          <w:sz w:val="24"/>
          <w:szCs w:val="24"/>
        </w:rPr>
        <w:t>in its Scrutiny Report</w:t>
      </w:r>
      <w:r w:rsidR="00AA5BE5" w:rsidRPr="00A91B3B">
        <w:rPr>
          <w:rFonts w:cstheme="minorHAnsi"/>
          <w:sz w:val="24"/>
          <w:szCs w:val="24"/>
        </w:rPr>
        <w:t>s</w:t>
      </w:r>
      <w:r w:rsidRPr="00A91B3B">
        <w:rPr>
          <w:rFonts w:cstheme="minorHAnsi"/>
          <w:sz w:val="24"/>
          <w:szCs w:val="24"/>
        </w:rPr>
        <w:t xml:space="preserve"> 46</w:t>
      </w:r>
      <w:r w:rsidR="00AA5BE5" w:rsidRPr="00A91B3B">
        <w:rPr>
          <w:rFonts w:cstheme="minorHAnsi"/>
          <w:sz w:val="24"/>
          <w:szCs w:val="24"/>
        </w:rPr>
        <w:t xml:space="preserve"> (</w:t>
      </w:r>
      <w:r w:rsidR="00995E97" w:rsidRPr="00A91B3B">
        <w:rPr>
          <w:rFonts w:cstheme="minorHAnsi"/>
          <w:sz w:val="24"/>
          <w:szCs w:val="24"/>
        </w:rPr>
        <w:t xml:space="preserve">dated </w:t>
      </w:r>
      <w:r w:rsidR="00AA5BE5" w:rsidRPr="00A91B3B">
        <w:rPr>
          <w:rFonts w:cstheme="minorHAnsi"/>
          <w:sz w:val="24"/>
          <w:szCs w:val="24"/>
        </w:rPr>
        <w:t>21 July 2020) and 47 (</w:t>
      </w:r>
      <w:r w:rsidR="00995E97" w:rsidRPr="00A91B3B">
        <w:rPr>
          <w:rFonts w:cstheme="minorHAnsi"/>
          <w:sz w:val="24"/>
          <w:szCs w:val="24"/>
        </w:rPr>
        <w:t xml:space="preserve">dated </w:t>
      </w:r>
      <w:r w:rsidR="00AA5BE5" w:rsidRPr="00A91B3B">
        <w:rPr>
          <w:rFonts w:cstheme="minorHAnsi"/>
          <w:sz w:val="24"/>
          <w:szCs w:val="24"/>
        </w:rPr>
        <w:t>2</w:t>
      </w:r>
      <w:r w:rsidR="00813D81" w:rsidRPr="00A91B3B">
        <w:rPr>
          <w:rFonts w:cstheme="minorHAnsi"/>
          <w:sz w:val="24"/>
          <w:szCs w:val="24"/>
        </w:rPr>
        <w:t>8</w:t>
      </w:r>
      <w:r w:rsidR="00AA5BE5" w:rsidRPr="00A91B3B">
        <w:rPr>
          <w:rFonts w:cstheme="minorHAnsi"/>
          <w:sz w:val="24"/>
          <w:szCs w:val="24"/>
        </w:rPr>
        <w:t xml:space="preserve"> July 2020)</w:t>
      </w:r>
      <w:r w:rsidRPr="00A91B3B">
        <w:rPr>
          <w:rFonts w:cstheme="minorHAnsi"/>
          <w:sz w:val="24"/>
          <w:szCs w:val="24"/>
        </w:rPr>
        <w:t xml:space="preserve"> in relation to</w:t>
      </w:r>
      <w:r w:rsidR="003D671E" w:rsidRPr="00A91B3B">
        <w:rPr>
          <w:rFonts w:cstheme="minorHAnsi"/>
          <w:sz w:val="24"/>
          <w:szCs w:val="24"/>
        </w:rPr>
        <w:t xml:space="preserve"> </w:t>
      </w:r>
      <w:r w:rsidRPr="00A91B3B">
        <w:rPr>
          <w:rFonts w:cstheme="minorHAnsi"/>
          <w:sz w:val="24"/>
          <w:szCs w:val="24"/>
        </w:rPr>
        <w:t xml:space="preserve">the following </w:t>
      </w:r>
      <w:r w:rsidR="003D671E" w:rsidRPr="00A91B3B">
        <w:rPr>
          <w:rFonts w:cstheme="minorHAnsi"/>
          <w:sz w:val="24"/>
          <w:szCs w:val="24"/>
        </w:rPr>
        <w:t>Disallowable Instruments</w:t>
      </w:r>
      <w:r w:rsidRPr="00A91B3B">
        <w:rPr>
          <w:rFonts w:cstheme="minorHAnsi"/>
          <w:sz w:val="24"/>
          <w:szCs w:val="24"/>
        </w:rPr>
        <w:t xml:space="preserve"> and Subordinate Law:</w:t>
      </w:r>
      <w:r w:rsidR="003D671E" w:rsidRPr="00A91B3B">
        <w:rPr>
          <w:rFonts w:cstheme="minorHAnsi"/>
          <w:sz w:val="24"/>
          <w:szCs w:val="24"/>
        </w:rPr>
        <w:t xml:space="preserve"> </w:t>
      </w:r>
    </w:p>
    <w:p w14:paraId="4B745210" w14:textId="77777777" w:rsidR="003D671E" w:rsidRPr="00A91B3B" w:rsidRDefault="003D671E" w:rsidP="00A91B3B">
      <w:pPr>
        <w:spacing w:after="0" w:line="240" w:lineRule="auto"/>
        <w:rPr>
          <w:rFonts w:cstheme="minorHAnsi"/>
          <w:sz w:val="24"/>
          <w:szCs w:val="24"/>
        </w:rPr>
      </w:pPr>
    </w:p>
    <w:p w14:paraId="7F66C328" w14:textId="6B020D0A" w:rsidR="003D671E" w:rsidRPr="00A91B3B" w:rsidRDefault="003D671E" w:rsidP="00A91B3B">
      <w:pPr>
        <w:pStyle w:val="ListParagraph"/>
        <w:numPr>
          <w:ilvl w:val="0"/>
          <w:numId w:val="1"/>
        </w:numPr>
        <w:spacing w:after="0" w:line="240" w:lineRule="auto"/>
        <w:contextualSpacing w:val="0"/>
        <w:rPr>
          <w:rFonts w:cstheme="minorHAnsi"/>
          <w:sz w:val="24"/>
          <w:szCs w:val="24"/>
        </w:rPr>
      </w:pPr>
      <w:r w:rsidRPr="00A91B3B">
        <w:rPr>
          <w:rFonts w:cstheme="minorHAnsi"/>
          <w:sz w:val="24"/>
          <w:szCs w:val="24"/>
        </w:rPr>
        <w:t>Disallowable Instrument DI2020-1</w:t>
      </w:r>
      <w:r w:rsidR="00743508" w:rsidRPr="00A91B3B">
        <w:rPr>
          <w:rFonts w:cstheme="minorHAnsi"/>
          <w:sz w:val="24"/>
          <w:szCs w:val="24"/>
        </w:rPr>
        <w:t>30</w:t>
      </w:r>
      <w:r w:rsidRPr="00A91B3B">
        <w:rPr>
          <w:rFonts w:cstheme="minorHAnsi"/>
          <w:sz w:val="24"/>
          <w:szCs w:val="24"/>
        </w:rPr>
        <w:t xml:space="preserve"> – the </w:t>
      </w:r>
      <w:r w:rsidR="00743508" w:rsidRPr="00A91B3B">
        <w:rPr>
          <w:rFonts w:cstheme="minorHAnsi"/>
          <w:i/>
          <w:iCs/>
          <w:sz w:val="24"/>
          <w:szCs w:val="24"/>
        </w:rPr>
        <w:t>Gambling and Racing Control (Governing Board) Appointment 2020 (No 2)</w:t>
      </w:r>
      <w:r w:rsidRPr="00A91B3B">
        <w:rPr>
          <w:rFonts w:cstheme="minorHAnsi"/>
          <w:sz w:val="24"/>
          <w:szCs w:val="24"/>
        </w:rPr>
        <w:t>;</w:t>
      </w:r>
    </w:p>
    <w:p w14:paraId="2459CEEB" w14:textId="2B1CE7A7" w:rsidR="003D671E" w:rsidRPr="00A91B3B" w:rsidRDefault="003D671E" w:rsidP="00A91B3B">
      <w:pPr>
        <w:pStyle w:val="ListParagraph"/>
        <w:numPr>
          <w:ilvl w:val="0"/>
          <w:numId w:val="1"/>
        </w:numPr>
        <w:spacing w:after="0" w:line="240" w:lineRule="auto"/>
        <w:contextualSpacing w:val="0"/>
        <w:rPr>
          <w:rFonts w:cstheme="minorHAnsi"/>
          <w:sz w:val="24"/>
          <w:szCs w:val="24"/>
        </w:rPr>
      </w:pPr>
      <w:r w:rsidRPr="00A91B3B">
        <w:rPr>
          <w:rFonts w:cstheme="minorHAnsi"/>
          <w:sz w:val="24"/>
          <w:szCs w:val="24"/>
        </w:rPr>
        <w:t>Disallowable Instrument DI2020-1</w:t>
      </w:r>
      <w:r w:rsidR="00743508" w:rsidRPr="00A91B3B">
        <w:rPr>
          <w:rFonts w:cstheme="minorHAnsi"/>
          <w:sz w:val="24"/>
          <w:szCs w:val="24"/>
        </w:rPr>
        <w:t>31</w:t>
      </w:r>
      <w:r w:rsidRPr="00A91B3B">
        <w:rPr>
          <w:rFonts w:cstheme="minorHAnsi"/>
          <w:sz w:val="24"/>
          <w:szCs w:val="24"/>
        </w:rPr>
        <w:t xml:space="preserve"> – the </w:t>
      </w:r>
      <w:r w:rsidR="00743508" w:rsidRPr="00A91B3B">
        <w:rPr>
          <w:rFonts w:cstheme="minorHAnsi"/>
          <w:i/>
          <w:iCs/>
          <w:sz w:val="24"/>
          <w:szCs w:val="24"/>
        </w:rPr>
        <w:t>Gambling and Racing Control (Governing Board) Appointment 2020 (No 1)</w:t>
      </w:r>
      <w:r w:rsidRPr="00A91B3B">
        <w:rPr>
          <w:rFonts w:cstheme="minorHAnsi"/>
          <w:sz w:val="24"/>
          <w:szCs w:val="24"/>
        </w:rPr>
        <w:t xml:space="preserve">; </w:t>
      </w:r>
    </w:p>
    <w:p w14:paraId="2463CABD" w14:textId="717F0B15" w:rsidR="003D671E" w:rsidRPr="00A91B3B" w:rsidRDefault="003D671E" w:rsidP="00A91B3B">
      <w:pPr>
        <w:pStyle w:val="ListParagraph"/>
        <w:numPr>
          <w:ilvl w:val="0"/>
          <w:numId w:val="1"/>
        </w:numPr>
        <w:spacing w:after="0" w:line="240" w:lineRule="auto"/>
        <w:contextualSpacing w:val="0"/>
        <w:rPr>
          <w:rFonts w:cstheme="minorHAnsi"/>
          <w:sz w:val="24"/>
          <w:szCs w:val="24"/>
        </w:rPr>
      </w:pPr>
      <w:r w:rsidRPr="00A91B3B">
        <w:rPr>
          <w:rFonts w:cstheme="minorHAnsi"/>
          <w:sz w:val="24"/>
          <w:szCs w:val="24"/>
        </w:rPr>
        <w:t>Disallowable Instrument DI2020-1</w:t>
      </w:r>
      <w:r w:rsidR="00743508" w:rsidRPr="00A91B3B">
        <w:rPr>
          <w:rFonts w:cstheme="minorHAnsi"/>
          <w:sz w:val="24"/>
          <w:szCs w:val="24"/>
        </w:rPr>
        <w:t>32</w:t>
      </w:r>
      <w:r w:rsidRPr="00A91B3B">
        <w:rPr>
          <w:rFonts w:cstheme="minorHAnsi"/>
          <w:sz w:val="24"/>
          <w:szCs w:val="24"/>
        </w:rPr>
        <w:t xml:space="preserve"> – the </w:t>
      </w:r>
      <w:r w:rsidR="00743508" w:rsidRPr="00A91B3B">
        <w:rPr>
          <w:rFonts w:cstheme="minorHAnsi"/>
          <w:i/>
          <w:iCs/>
          <w:sz w:val="24"/>
          <w:szCs w:val="24"/>
        </w:rPr>
        <w:t>Lotteries (Fees) Determination 2020 (No 1)</w:t>
      </w:r>
      <w:r w:rsidR="00743508" w:rsidRPr="00A91B3B">
        <w:rPr>
          <w:rFonts w:cstheme="minorHAnsi"/>
          <w:sz w:val="24"/>
          <w:szCs w:val="24"/>
        </w:rPr>
        <w:t>;</w:t>
      </w:r>
    </w:p>
    <w:p w14:paraId="31D905AA" w14:textId="6D928392" w:rsidR="001553AD" w:rsidRPr="00A91B3B" w:rsidRDefault="001553AD" w:rsidP="00A91B3B">
      <w:pPr>
        <w:pStyle w:val="ListParagraph"/>
        <w:numPr>
          <w:ilvl w:val="0"/>
          <w:numId w:val="1"/>
        </w:numPr>
        <w:spacing w:after="0" w:line="240" w:lineRule="auto"/>
        <w:contextualSpacing w:val="0"/>
        <w:rPr>
          <w:rFonts w:cstheme="minorHAnsi"/>
          <w:sz w:val="24"/>
          <w:szCs w:val="24"/>
        </w:rPr>
      </w:pPr>
      <w:r w:rsidRPr="00A91B3B">
        <w:rPr>
          <w:rFonts w:cstheme="minorHAnsi"/>
          <w:sz w:val="24"/>
          <w:szCs w:val="24"/>
        </w:rPr>
        <w:t xml:space="preserve">Disallowable Instrument DI2020-171 – the </w:t>
      </w:r>
      <w:r w:rsidRPr="00A91B3B">
        <w:rPr>
          <w:rFonts w:cstheme="minorHAnsi"/>
          <w:i/>
          <w:iCs/>
          <w:sz w:val="24"/>
          <w:szCs w:val="24"/>
        </w:rPr>
        <w:t>Lotteries (Fees) Determination 2020 (No 2)</w:t>
      </w:r>
      <w:r w:rsidRPr="00A91B3B">
        <w:rPr>
          <w:rFonts w:cstheme="minorHAnsi"/>
          <w:sz w:val="24"/>
          <w:szCs w:val="24"/>
        </w:rPr>
        <w:t>; and</w:t>
      </w:r>
    </w:p>
    <w:p w14:paraId="7B90E13F" w14:textId="59E2F082" w:rsidR="00743508" w:rsidRPr="00A91B3B" w:rsidRDefault="00743508" w:rsidP="00A91B3B">
      <w:pPr>
        <w:pStyle w:val="ListParagraph"/>
        <w:numPr>
          <w:ilvl w:val="0"/>
          <w:numId w:val="1"/>
        </w:numPr>
        <w:spacing w:after="0" w:line="240" w:lineRule="auto"/>
        <w:contextualSpacing w:val="0"/>
        <w:rPr>
          <w:rFonts w:cstheme="minorHAnsi"/>
          <w:sz w:val="24"/>
          <w:szCs w:val="24"/>
        </w:rPr>
      </w:pPr>
      <w:r w:rsidRPr="00A91B3B">
        <w:rPr>
          <w:rFonts w:cstheme="minorHAnsi"/>
          <w:sz w:val="24"/>
          <w:szCs w:val="24"/>
        </w:rPr>
        <w:t xml:space="preserve">Subordinate Law SL2020-20 – the </w:t>
      </w:r>
      <w:r w:rsidRPr="00A91B3B">
        <w:rPr>
          <w:rFonts w:cstheme="minorHAnsi"/>
          <w:i/>
          <w:iCs/>
          <w:sz w:val="24"/>
          <w:szCs w:val="24"/>
        </w:rPr>
        <w:t>Court Procedures Amendment Rules 2020 (No 3)</w:t>
      </w:r>
      <w:r w:rsidRPr="00A91B3B">
        <w:rPr>
          <w:rFonts w:cstheme="minorHAnsi"/>
          <w:sz w:val="24"/>
          <w:szCs w:val="24"/>
        </w:rPr>
        <w:t>.</w:t>
      </w:r>
    </w:p>
    <w:p w14:paraId="61C06843" w14:textId="77777777" w:rsidR="000A48E3" w:rsidRPr="00A91B3B" w:rsidRDefault="000A48E3" w:rsidP="00A91B3B">
      <w:pPr>
        <w:spacing w:after="0" w:line="240" w:lineRule="auto"/>
        <w:rPr>
          <w:rFonts w:cstheme="minorHAnsi"/>
          <w:sz w:val="24"/>
          <w:szCs w:val="24"/>
        </w:rPr>
      </w:pPr>
    </w:p>
    <w:p w14:paraId="73880F4A" w14:textId="6A847C94" w:rsidR="00743508" w:rsidRPr="00A91B3B" w:rsidRDefault="009242B5" w:rsidP="00A91B3B">
      <w:pPr>
        <w:spacing w:after="120" w:line="240" w:lineRule="auto"/>
        <w:rPr>
          <w:rFonts w:cstheme="minorHAnsi"/>
          <w:sz w:val="24"/>
          <w:szCs w:val="24"/>
          <w:u w:val="single"/>
        </w:rPr>
      </w:pPr>
      <w:r w:rsidRPr="00A91B3B">
        <w:rPr>
          <w:rFonts w:cstheme="minorHAnsi"/>
          <w:sz w:val="24"/>
          <w:szCs w:val="24"/>
          <w:u w:val="single"/>
        </w:rPr>
        <w:t xml:space="preserve">ACT </w:t>
      </w:r>
      <w:r w:rsidR="00743508" w:rsidRPr="00A91B3B">
        <w:rPr>
          <w:rFonts w:cstheme="minorHAnsi"/>
          <w:sz w:val="24"/>
          <w:szCs w:val="24"/>
          <w:u w:val="single"/>
        </w:rPr>
        <w:t xml:space="preserve">Gambling and Racing </w:t>
      </w:r>
      <w:r w:rsidRPr="00A91B3B">
        <w:rPr>
          <w:rFonts w:cstheme="minorHAnsi"/>
          <w:sz w:val="24"/>
          <w:szCs w:val="24"/>
          <w:u w:val="single"/>
        </w:rPr>
        <w:t>Commission</w:t>
      </w:r>
      <w:r w:rsidR="00743508" w:rsidRPr="00A91B3B">
        <w:rPr>
          <w:rFonts w:cstheme="minorHAnsi"/>
          <w:sz w:val="24"/>
          <w:szCs w:val="24"/>
          <w:u w:val="single"/>
        </w:rPr>
        <w:t xml:space="preserve"> Governing Board appointments</w:t>
      </w:r>
    </w:p>
    <w:p w14:paraId="409FA365" w14:textId="2B21E818" w:rsidR="00A0527F" w:rsidRPr="00A91B3B" w:rsidRDefault="00A0527F" w:rsidP="00A91B3B">
      <w:pPr>
        <w:spacing w:after="120" w:line="240" w:lineRule="auto"/>
        <w:rPr>
          <w:rFonts w:cstheme="minorHAnsi"/>
          <w:sz w:val="24"/>
          <w:szCs w:val="24"/>
        </w:rPr>
      </w:pPr>
      <w:r w:rsidRPr="00A91B3B">
        <w:rPr>
          <w:rFonts w:cstheme="minorHAnsi"/>
          <w:sz w:val="24"/>
          <w:szCs w:val="24"/>
        </w:rPr>
        <w:t xml:space="preserve">As the Committee has noted in Scrutiny Report 46, the </w:t>
      </w:r>
      <w:r w:rsidRPr="00A91B3B">
        <w:rPr>
          <w:rFonts w:cstheme="minorHAnsi"/>
          <w:i/>
          <w:iCs/>
          <w:sz w:val="24"/>
          <w:szCs w:val="24"/>
        </w:rPr>
        <w:t>Gambling and Racing Control (Governing Board) Appointment 2020 (No 2)</w:t>
      </w:r>
      <w:r w:rsidRPr="00A91B3B">
        <w:rPr>
          <w:rFonts w:cstheme="minorHAnsi"/>
          <w:sz w:val="24"/>
          <w:szCs w:val="24"/>
        </w:rPr>
        <w:t xml:space="preserve"> [DI2020-130] and the </w:t>
      </w:r>
      <w:r w:rsidRPr="00A91B3B">
        <w:rPr>
          <w:rFonts w:cstheme="minorHAnsi"/>
          <w:i/>
          <w:iCs/>
          <w:sz w:val="24"/>
          <w:szCs w:val="24"/>
        </w:rPr>
        <w:t>Gambling and Racing Control (Governing Board) Appointment 2020 (No 1)</w:t>
      </w:r>
      <w:r w:rsidRPr="00A91B3B">
        <w:rPr>
          <w:rFonts w:cstheme="minorHAnsi"/>
          <w:sz w:val="24"/>
          <w:szCs w:val="24"/>
        </w:rPr>
        <w:t xml:space="preserve"> [DI2020-131]</w:t>
      </w:r>
      <w:r w:rsidR="000A48E3" w:rsidRPr="00A91B3B">
        <w:rPr>
          <w:rFonts w:cstheme="minorHAnsi"/>
          <w:sz w:val="24"/>
          <w:szCs w:val="24"/>
        </w:rPr>
        <w:t xml:space="preserve"> </w:t>
      </w:r>
      <w:r w:rsidRPr="00A91B3B">
        <w:rPr>
          <w:rFonts w:cstheme="minorHAnsi"/>
          <w:sz w:val="24"/>
          <w:szCs w:val="24"/>
        </w:rPr>
        <w:t>appoint two specified persons as member and chair and as a member, respectively, of the ACT Gambling and Racing Commission Governing Board (the Board).</w:t>
      </w:r>
    </w:p>
    <w:p w14:paraId="1B0F82D0" w14:textId="77777777" w:rsidR="00A91B3B" w:rsidRPr="00A91B3B" w:rsidRDefault="00A0527F" w:rsidP="00A91B3B">
      <w:pPr>
        <w:spacing w:after="120" w:line="240" w:lineRule="auto"/>
        <w:rPr>
          <w:rFonts w:cstheme="minorHAnsi"/>
          <w:sz w:val="24"/>
          <w:szCs w:val="24"/>
        </w:rPr>
      </w:pPr>
      <w:r w:rsidRPr="00A91B3B">
        <w:rPr>
          <w:rFonts w:cstheme="minorHAnsi"/>
          <w:sz w:val="24"/>
          <w:szCs w:val="24"/>
        </w:rPr>
        <w:t>The Committee has expressed the view that the Explanatory Statements for DI2020-130 and DI2020</w:t>
      </w:r>
      <w:r w:rsidR="00F107CE" w:rsidRPr="00A91B3B">
        <w:rPr>
          <w:rFonts w:cstheme="minorHAnsi"/>
          <w:sz w:val="24"/>
          <w:szCs w:val="24"/>
        </w:rPr>
        <w:noBreakHyphen/>
      </w:r>
      <w:r w:rsidRPr="00A91B3B">
        <w:rPr>
          <w:rFonts w:cstheme="minorHAnsi"/>
          <w:sz w:val="24"/>
          <w:szCs w:val="24"/>
        </w:rPr>
        <w:t xml:space="preserve">131 do not meet the technical or stylistic standards expected by the Committee. The Committee has noted that the explanatory statements for the two instruments do not address the limitations on eligibility for appointment to the Board </w:t>
      </w:r>
      <w:r w:rsidR="00F107CE" w:rsidRPr="00A91B3B">
        <w:rPr>
          <w:rFonts w:cstheme="minorHAnsi"/>
          <w:sz w:val="24"/>
          <w:szCs w:val="24"/>
        </w:rPr>
        <w:t>as</w:t>
      </w:r>
      <w:r w:rsidRPr="00A91B3B">
        <w:rPr>
          <w:rFonts w:cstheme="minorHAnsi"/>
          <w:sz w:val="24"/>
          <w:szCs w:val="24"/>
        </w:rPr>
        <w:t xml:space="preserve"> set out in subsection 12(2) of the GRC Act. </w:t>
      </w:r>
    </w:p>
    <w:p w14:paraId="2DD4DF95" w14:textId="77777777" w:rsidR="00A91B3B" w:rsidRPr="00A91B3B" w:rsidRDefault="00A91B3B" w:rsidP="00A91B3B">
      <w:pPr>
        <w:spacing w:after="120" w:line="240" w:lineRule="auto"/>
        <w:rPr>
          <w:rFonts w:cstheme="minorHAnsi"/>
          <w:sz w:val="24"/>
          <w:szCs w:val="24"/>
        </w:rPr>
      </w:pPr>
      <w:r w:rsidRPr="00A91B3B">
        <w:rPr>
          <w:rFonts w:cstheme="minorHAnsi"/>
          <w:sz w:val="24"/>
          <w:szCs w:val="24"/>
        </w:rPr>
        <w:br w:type="page"/>
      </w:r>
    </w:p>
    <w:p w14:paraId="474C1F3A" w14:textId="3D1A1CEF" w:rsidR="00A0527F" w:rsidRPr="00A91B3B" w:rsidRDefault="00A0527F" w:rsidP="00A91B3B">
      <w:pPr>
        <w:spacing w:after="120" w:line="240" w:lineRule="auto"/>
        <w:rPr>
          <w:rFonts w:cstheme="minorHAnsi"/>
          <w:sz w:val="24"/>
          <w:szCs w:val="24"/>
        </w:rPr>
      </w:pPr>
      <w:r w:rsidRPr="00A91B3B">
        <w:rPr>
          <w:rFonts w:cstheme="minorHAnsi"/>
          <w:sz w:val="24"/>
          <w:szCs w:val="24"/>
        </w:rPr>
        <w:lastRenderedPageBreak/>
        <w:t>The Committee has observed that</w:t>
      </w:r>
      <w:r w:rsidR="00F107CE" w:rsidRPr="00A91B3B">
        <w:rPr>
          <w:rFonts w:cstheme="minorHAnsi"/>
          <w:sz w:val="24"/>
          <w:szCs w:val="24"/>
        </w:rPr>
        <w:t>:</w:t>
      </w:r>
      <w:r w:rsidRPr="00A91B3B">
        <w:rPr>
          <w:rFonts w:cstheme="minorHAnsi"/>
          <w:sz w:val="24"/>
          <w:szCs w:val="24"/>
        </w:rPr>
        <w:t xml:space="preserve"> </w:t>
      </w:r>
    </w:p>
    <w:p w14:paraId="4E56BD20" w14:textId="77777777" w:rsidR="00A0527F" w:rsidRPr="00A91B3B" w:rsidRDefault="00A0527F" w:rsidP="00A91B3B">
      <w:pPr>
        <w:spacing w:after="120" w:line="240" w:lineRule="auto"/>
        <w:ind w:left="720"/>
        <w:jc w:val="both"/>
        <w:rPr>
          <w:rFonts w:cstheme="minorHAnsi"/>
          <w:i/>
          <w:iCs/>
          <w:sz w:val="24"/>
          <w:szCs w:val="24"/>
        </w:rPr>
      </w:pPr>
      <w:bookmarkStart w:id="1" w:name="_Hlk48570647"/>
      <w:r w:rsidRPr="00A91B3B">
        <w:rPr>
          <w:rFonts w:cstheme="minorHAnsi"/>
          <w:i/>
          <w:iCs/>
          <w:sz w:val="24"/>
          <w:szCs w:val="24"/>
        </w:rPr>
        <w:t>‘While it might be assumed that the Minister would not have made the relevant appointments if any of the various limitations on eligibility applied—and while it might also be assumed that this Committee, which was consulted on the appointments, in its non-legislative scrutiny role, would also have considered these matters—the Committee considers that it is always preferable that explanatory statements for appointments address such limitations on eligibility for appointment.’</w:t>
      </w:r>
    </w:p>
    <w:bookmarkEnd w:id="1"/>
    <w:p w14:paraId="70A25248" w14:textId="5D7D2EE1" w:rsidR="00A0527F" w:rsidRPr="00A91B3B" w:rsidRDefault="00A0527F" w:rsidP="00A91B3B">
      <w:pPr>
        <w:spacing w:after="120" w:line="240" w:lineRule="auto"/>
        <w:rPr>
          <w:rFonts w:cstheme="minorHAnsi"/>
          <w:sz w:val="24"/>
          <w:szCs w:val="24"/>
        </w:rPr>
      </w:pPr>
      <w:r w:rsidRPr="00A91B3B">
        <w:rPr>
          <w:rFonts w:cstheme="minorHAnsi"/>
          <w:sz w:val="24"/>
          <w:szCs w:val="24"/>
        </w:rPr>
        <w:t>The Committee has also noted that the formal parts of both Disallowable Instruments refer</w:t>
      </w:r>
      <w:r w:rsidR="00F107CE" w:rsidRPr="00A91B3B">
        <w:rPr>
          <w:rFonts w:cstheme="minorHAnsi"/>
          <w:sz w:val="24"/>
          <w:szCs w:val="24"/>
        </w:rPr>
        <w:t xml:space="preserve"> to</w:t>
      </w:r>
      <w:r w:rsidRPr="00A91B3B">
        <w:rPr>
          <w:rFonts w:cstheme="minorHAnsi"/>
          <w:sz w:val="24"/>
          <w:szCs w:val="24"/>
        </w:rPr>
        <w:t xml:space="preserve"> sections 78 and 79 of the </w:t>
      </w:r>
      <w:r w:rsidRPr="00A91B3B">
        <w:rPr>
          <w:rFonts w:cstheme="minorHAnsi"/>
          <w:i/>
          <w:iCs/>
          <w:sz w:val="24"/>
          <w:szCs w:val="24"/>
        </w:rPr>
        <w:t xml:space="preserve">Financial Management Act 1996. </w:t>
      </w:r>
      <w:r w:rsidRPr="00A91B3B">
        <w:rPr>
          <w:rFonts w:cstheme="minorHAnsi"/>
          <w:sz w:val="24"/>
          <w:szCs w:val="24"/>
        </w:rPr>
        <w:t>The Committee has observed that</w:t>
      </w:r>
      <w:r w:rsidR="00F107CE" w:rsidRPr="00A91B3B">
        <w:rPr>
          <w:rFonts w:cstheme="minorHAnsi"/>
          <w:sz w:val="24"/>
          <w:szCs w:val="24"/>
        </w:rPr>
        <w:t>:</w:t>
      </w:r>
    </w:p>
    <w:p w14:paraId="1E3B964F" w14:textId="77777777" w:rsidR="00A0527F" w:rsidRPr="00A91B3B" w:rsidRDefault="00A0527F" w:rsidP="00A91B3B">
      <w:pPr>
        <w:spacing w:after="120" w:line="240" w:lineRule="auto"/>
        <w:ind w:left="720"/>
        <w:jc w:val="both"/>
        <w:rPr>
          <w:rFonts w:cstheme="minorHAnsi"/>
          <w:i/>
          <w:iCs/>
          <w:sz w:val="24"/>
          <w:szCs w:val="24"/>
        </w:rPr>
      </w:pPr>
      <w:r w:rsidRPr="00A91B3B">
        <w:rPr>
          <w:rFonts w:cstheme="minorHAnsi"/>
          <w:i/>
          <w:iCs/>
          <w:sz w:val="24"/>
          <w:szCs w:val="24"/>
        </w:rPr>
        <w:t>‘Section 78 of the Financial Management Act applies, generally, to the appointment of the members of the governing board of a territory authority, other than the CEO… Section 79 of the Financial Management Act deals, generally, with the appointment of chairs and deputy chairs of governing boards of territory authorities… The Committee cannot identify a reason why section 79 is relied upon, in relation to [DI2020-131] (i.e. because it relates only to the appointment of the specified person as a member of the relevant board).’</w:t>
      </w:r>
    </w:p>
    <w:p w14:paraId="52390C78" w14:textId="77777777" w:rsidR="009C16AC" w:rsidRPr="00A91B3B" w:rsidRDefault="00A0527F" w:rsidP="00A91B3B">
      <w:pPr>
        <w:spacing w:after="0" w:line="240" w:lineRule="auto"/>
        <w:rPr>
          <w:rFonts w:cstheme="minorHAnsi"/>
          <w:sz w:val="24"/>
          <w:szCs w:val="24"/>
        </w:rPr>
      </w:pPr>
      <w:r w:rsidRPr="00A91B3B">
        <w:rPr>
          <w:rFonts w:cstheme="minorHAnsi"/>
          <w:sz w:val="24"/>
          <w:szCs w:val="24"/>
        </w:rPr>
        <w:t xml:space="preserve">The Committee has </w:t>
      </w:r>
      <w:r w:rsidR="009C16AC" w:rsidRPr="00A91B3B">
        <w:rPr>
          <w:rFonts w:cstheme="minorHAnsi"/>
          <w:sz w:val="24"/>
          <w:szCs w:val="24"/>
        </w:rPr>
        <w:t>asked</w:t>
      </w:r>
      <w:r w:rsidRPr="00A91B3B">
        <w:rPr>
          <w:rFonts w:cstheme="minorHAnsi"/>
          <w:sz w:val="24"/>
          <w:szCs w:val="24"/>
        </w:rPr>
        <w:t xml:space="preserve"> that I respond to these comments. </w:t>
      </w:r>
    </w:p>
    <w:p w14:paraId="28CC210E" w14:textId="77777777" w:rsidR="009C16AC" w:rsidRPr="00A91B3B" w:rsidRDefault="009C16AC" w:rsidP="00A91B3B">
      <w:pPr>
        <w:spacing w:after="0" w:line="240" w:lineRule="auto"/>
        <w:rPr>
          <w:rFonts w:cstheme="minorHAnsi"/>
          <w:sz w:val="24"/>
          <w:szCs w:val="24"/>
        </w:rPr>
      </w:pPr>
    </w:p>
    <w:p w14:paraId="6F021BCE" w14:textId="3A1CD40D" w:rsidR="00A0527F" w:rsidRPr="00A91B3B" w:rsidRDefault="00A0527F" w:rsidP="00A91B3B">
      <w:pPr>
        <w:spacing w:after="0" w:line="240" w:lineRule="auto"/>
        <w:rPr>
          <w:rFonts w:cstheme="minorHAnsi"/>
          <w:sz w:val="24"/>
          <w:szCs w:val="24"/>
        </w:rPr>
      </w:pPr>
      <w:r w:rsidRPr="00A91B3B">
        <w:rPr>
          <w:rFonts w:cstheme="minorHAnsi"/>
          <w:sz w:val="24"/>
          <w:szCs w:val="24"/>
        </w:rPr>
        <w:t>I acknowledge the Committee’s comments and offer the following response.</w:t>
      </w:r>
    </w:p>
    <w:p w14:paraId="7EFFD8E0" w14:textId="77777777" w:rsidR="009C16AC" w:rsidRPr="00A91B3B" w:rsidRDefault="009C16AC" w:rsidP="00A91B3B">
      <w:pPr>
        <w:spacing w:after="0" w:line="240" w:lineRule="auto"/>
        <w:rPr>
          <w:rFonts w:cstheme="minorHAnsi"/>
          <w:sz w:val="24"/>
          <w:szCs w:val="24"/>
        </w:rPr>
      </w:pPr>
    </w:p>
    <w:p w14:paraId="4CFDE29A" w14:textId="2B4F627A" w:rsidR="003D671E" w:rsidRPr="00A91B3B" w:rsidRDefault="000A6C81" w:rsidP="00A91B3B">
      <w:pPr>
        <w:spacing w:after="0" w:line="240" w:lineRule="auto"/>
        <w:rPr>
          <w:rFonts w:cstheme="minorHAnsi"/>
          <w:sz w:val="24"/>
          <w:szCs w:val="24"/>
        </w:rPr>
      </w:pPr>
      <w:r>
        <w:rPr>
          <w:rFonts w:cstheme="minorHAnsi"/>
          <w:sz w:val="24"/>
          <w:szCs w:val="24"/>
        </w:rPr>
        <w:t>Mr Baxter and Ms Franklin have declared that n</w:t>
      </w:r>
      <w:r w:rsidR="009C16AC" w:rsidRPr="00A91B3B">
        <w:rPr>
          <w:rFonts w:cstheme="minorHAnsi"/>
          <w:sz w:val="24"/>
          <w:szCs w:val="24"/>
        </w:rPr>
        <w:t>one of</w:t>
      </w:r>
      <w:r w:rsidR="00650080" w:rsidRPr="00A91B3B">
        <w:rPr>
          <w:rFonts w:cstheme="minorHAnsi"/>
          <w:sz w:val="24"/>
          <w:szCs w:val="24"/>
        </w:rPr>
        <w:t xml:space="preserve"> the disqualifying factors identified in subsection 1</w:t>
      </w:r>
      <w:r w:rsidR="00303CA5" w:rsidRPr="00A91B3B">
        <w:rPr>
          <w:rFonts w:cstheme="minorHAnsi"/>
          <w:sz w:val="24"/>
          <w:szCs w:val="24"/>
        </w:rPr>
        <w:t>2</w:t>
      </w:r>
      <w:r w:rsidR="00650080" w:rsidRPr="00A91B3B">
        <w:rPr>
          <w:rFonts w:cstheme="minorHAnsi"/>
          <w:sz w:val="24"/>
          <w:szCs w:val="24"/>
        </w:rPr>
        <w:t xml:space="preserve">(2) of the </w:t>
      </w:r>
      <w:r w:rsidR="009C16AC" w:rsidRPr="00A91B3B">
        <w:rPr>
          <w:rFonts w:cstheme="minorHAnsi"/>
          <w:sz w:val="24"/>
          <w:szCs w:val="24"/>
        </w:rPr>
        <w:t>GRC Act</w:t>
      </w:r>
      <w:r w:rsidR="003E666D" w:rsidRPr="00A91B3B">
        <w:rPr>
          <w:rFonts w:cstheme="minorHAnsi"/>
          <w:sz w:val="24"/>
          <w:szCs w:val="24"/>
        </w:rPr>
        <w:t xml:space="preserve"> </w:t>
      </w:r>
      <w:r w:rsidR="00650080" w:rsidRPr="00A91B3B">
        <w:rPr>
          <w:rFonts w:cstheme="minorHAnsi"/>
          <w:sz w:val="24"/>
          <w:szCs w:val="24"/>
        </w:rPr>
        <w:t>apply to the appointments made by DI2020-130 and DI2020-131.</w:t>
      </w:r>
      <w:r w:rsidR="003E666D" w:rsidRPr="00A91B3B">
        <w:rPr>
          <w:rFonts w:cstheme="minorHAnsi"/>
          <w:sz w:val="24"/>
          <w:szCs w:val="24"/>
        </w:rPr>
        <w:t xml:space="preserve"> </w:t>
      </w:r>
      <w:r w:rsidR="009C16AC" w:rsidRPr="00A91B3B">
        <w:rPr>
          <w:rFonts w:cstheme="minorHAnsi"/>
          <w:sz w:val="24"/>
          <w:szCs w:val="24"/>
        </w:rPr>
        <w:t>B</w:t>
      </w:r>
      <w:r w:rsidR="003E666D" w:rsidRPr="00A91B3B">
        <w:rPr>
          <w:rFonts w:cstheme="minorHAnsi"/>
          <w:sz w:val="24"/>
          <w:szCs w:val="24"/>
        </w:rPr>
        <w:t xml:space="preserve">oth appointees are eligible </w:t>
      </w:r>
      <w:r w:rsidR="009C16AC" w:rsidRPr="00A91B3B">
        <w:rPr>
          <w:rFonts w:cstheme="minorHAnsi"/>
          <w:sz w:val="24"/>
          <w:szCs w:val="24"/>
        </w:rPr>
        <w:t>to be members</w:t>
      </w:r>
      <w:r w:rsidR="003E666D" w:rsidRPr="00A91B3B">
        <w:rPr>
          <w:rFonts w:cstheme="minorHAnsi"/>
          <w:sz w:val="24"/>
          <w:szCs w:val="24"/>
        </w:rPr>
        <w:t xml:space="preserve"> of the </w:t>
      </w:r>
      <w:r w:rsidR="00AA5BE5" w:rsidRPr="00A91B3B">
        <w:rPr>
          <w:rFonts w:cstheme="minorHAnsi"/>
          <w:sz w:val="24"/>
          <w:szCs w:val="24"/>
        </w:rPr>
        <w:t>Board</w:t>
      </w:r>
      <w:r w:rsidR="003E666D" w:rsidRPr="00A91B3B">
        <w:rPr>
          <w:rFonts w:cstheme="minorHAnsi"/>
          <w:sz w:val="24"/>
          <w:szCs w:val="24"/>
        </w:rPr>
        <w:t>.</w:t>
      </w:r>
    </w:p>
    <w:p w14:paraId="44160FD4" w14:textId="77777777" w:rsidR="006B7655" w:rsidRPr="00A91B3B" w:rsidRDefault="006B7655" w:rsidP="00A91B3B">
      <w:pPr>
        <w:spacing w:after="0" w:line="240" w:lineRule="auto"/>
        <w:rPr>
          <w:rFonts w:cstheme="minorHAnsi"/>
          <w:sz w:val="24"/>
          <w:szCs w:val="24"/>
        </w:rPr>
      </w:pPr>
    </w:p>
    <w:p w14:paraId="4FD6277D" w14:textId="25896B1A" w:rsidR="003E666D" w:rsidRPr="00A91B3B" w:rsidRDefault="00F922B6" w:rsidP="00A91B3B">
      <w:pPr>
        <w:spacing w:after="0" w:line="240" w:lineRule="auto"/>
        <w:rPr>
          <w:rFonts w:cstheme="minorHAnsi"/>
          <w:sz w:val="24"/>
          <w:szCs w:val="24"/>
        </w:rPr>
      </w:pPr>
      <w:r w:rsidRPr="00A91B3B">
        <w:rPr>
          <w:rFonts w:cstheme="minorHAnsi"/>
          <w:sz w:val="24"/>
          <w:szCs w:val="24"/>
        </w:rPr>
        <w:t xml:space="preserve">I </w:t>
      </w:r>
      <w:r w:rsidR="000A6C81">
        <w:rPr>
          <w:rFonts w:cstheme="minorHAnsi"/>
          <w:sz w:val="24"/>
          <w:szCs w:val="24"/>
        </w:rPr>
        <w:t xml:space="preserve">have asked the Justice and Community </w:t>
      </w:r>
      <w:r w:rsidR="004D12C4">
        <w:rPr>
          <w:rFonts w:cstheme="minorHAnsi"/>
          <w:sz w:val="24"/>
          <w:szCs w:val="24"/>
        </w:rPr>
        <w:t>S</w:t>
      </w:r>
      <w:r w:rsidR="000A6C81">
        <w:rPr>
          <w:rFonts w:cstheme="minorHAnsi"/>
          <w:sz w:val="24"/>
          <w:szCs w:val="24"/>
        </w:rPr>
        <w:t xml:space="preserve">afety Directorate to </w:t>
      </w:r>
      <w:r w:rsidR="004E62B8">
        <w:rPr>
          <w:rFonts w:cstheme="minorHAnsi"/>
          <w:sz w:val="24"/>
          <w:szCs w:val="24"/>
        </w:rPr>
        <w:t>ensure that</w:t>
      </w:r>
      <w:r w:rsidR="004D12C4">
        <w:rPr>
          <w:rFonts w:cstheme="minorHAnsi"/>
          <w:sz w:val="24"/>
          <w:szCs w:val="24"/>
        </w:rPr>
        <w:t xml:space="preserve"> future</w:t>
      </w:r>
      <w:r w:rsidR="004E62B8">
        <w:rPr>
          <w:rFonts w:cstheme="minorHAnsi"/>
          <w:sz w:val="24"/>
          <w:szCs w:val="24"/>
        </w:rPr>
        <w:t xml:space="preserve"> Explanatory Statements for</w:t>
      </w:r>
      <w:r w:rsidR="009C16AC" w:rsidRPr="00A91B3B">
        <w:rPr>
          <w:rFonts w:cstheme="minorHAnsi"/>
          <w:sz w:val="24"/>
          <w:szCs w:val="24"/>
        </w:rPr>
        <w:t xml:space="preserve"> </w:t>
      </w:r>
      <w:r w:rsidR="000A6C81">
        <w:rPr>
          <w:rFonts w:cstheme="minorHAnsi"/>
          <w:sz w:val="24"/>
          <w:szCs w:val="24"/>
        </w:rPr>
        <w:t>appointment</w:t>
      </w:r>
      <w:r w:rsidR="004E62B8">
        <w:rPr>
          <w:rFonts w:cstheme="minorHAnsi"/>
          <w:sz w:val="24"/>
          <w:szCs w:val="24"/>
        </w:rPr>
        <w:t>s to</w:t>
      </w:r>
      <w:r w:rsidR="000A6C81">
        <w:rPr>
          <w:rFonts w:cstheme="minorHAnsi"/>
          <w:sz w:val="24"/>
          <w:szCs w:val="24"/>
        </w:rPr>
        <w:t xml:space="preserve"> the </w:t>
      </w:r>
      <w:r w:rsidR="000A6C81" w:rsidRPr="00A91B3B">
        <w:rPr>
          <w:rFonts w:cstheme="minorHAnsi"/>
          <w:sz w:val="24"/>
          <w:szCs w:val="24"/>
        </w:rPr>
        <w:t xml:space="preserve">ACT Gambling and Racing Commission Governing Board </w:t>
      </w:r>
      <w:r w:rsidR="004E62B8">
        <w:rPr>
          <w:rFonts w:cstheme="minorHAnsi"/>
          <w:sz w:val="24"/>
          <w:szCs w:val="24"/>
        </w:rPr>
        <w:t xml:space="preserve">address </w:t>
      </w:r>
      <w:r w:rsidR="004D12C4">
        <w:rPr>
          <w:rFonts w:cstheme="minorHAnsi"/>
          <w:sz w:val="24"/>
          <w:szCs w:val="24"/>
        </w:rPr>
        <w:t>eligibility of the appointees under subsection 12(2) of the Act</w:t>
      </w:r>
      <w:r w:rsidR="004E62B8">
        <w:rPr>
          <w:rFonts w:cstheme="minorHAnsi"/>
          <w:sz w:val="24"/>
          <w:szCs w:val="24"/>
        </w:rPr>
        <w:t>.</w:t>
      </w:r>
      <w:r w:rsidR="009C16AC" w:rsidRPr="00A91B3B">
        <w:rPr>
          <w:rFonts w:cstheme="minorHAnsi"/>
          <w:sz w:val="24"/>
          <w:szCs w:val="24"/>
        </w:rPr>
        <w:t xml:space="preserve"> </w:t>
      </w:r>
    </w:p>
    <w:p w14:paraId="074FB7ED" w14:textId="77777777" w:rsidR="003E666D" w:rsidRPr="00A91B3B" w:rsidRDefault="003E666D" w:rsidP="00A91B3B">
      <w:pPr>
        <w:spacing w:after="0" w:line="240" w:lineRule="auto"/>
        <w:rPr>
          <w:rFonts w:cstheme="minorHAnsi"/>
          <w:sz w:val="24"/>
          <w:szCs w:val="24"/>
        </w:rPr>
      </w:pPr>
    </w:p>
    <w:p w14:paraId="6E73F6B4" w14:textId="31198290" w:rsidR="006B7655" w:rsidRPr="00A91B3B" w:rsidRDefault="00D457BC" w:rsidP="00A91B3B">
      <w:pPr>
        <w:spacing w:after="0" w:line="240" w:lineRule="auto"/>
        <w:rPr>
          <w:rFonts w:cstheme="minorHAnsi"/>
          <w:sz w:val="24"/>
          <w:szCs w:val="24"/>
        </w:rPr>
      </w:pPr>
      <w:r w:rsidRPr="00A91B3B">
        <w:rPr>
          <w:rFonts w:cstheme="minorHAnsi"/>
          <w:sz w:val="24"/>
          <w:szCs w:val="24"/>
        </w:rPr>
        <w:t xml:space="preserve">I </w:t>
      </w:r>
      <w:r w:rsidR="00AA5BE5" w:rsidRPr="00A91B3B">
        <w:rPr>
          <w:rFonts w:cstheme="minorHAnsi"/>
          <w:sz w:val="24"/>
          <w:szCs w:val="24"/>
        </w:rPr>
        <w:t xml:space="preserve">acknowledge </w:t>
      </w:r>
      <w:r w:rsidRPr="00A91B3B">
        <w:rPr>
          <w:rFonts w:cstheme="minorHAnsi"/>
          <w:sz w:val="24"/>
          <w:szCs w:val="24"/>
        </w:rPr>
        <w:t xml:space="preserve">that Disallowable Instrument DI2020-131 contains an </w:t>
      </w:r>
      <w:r w:rsidR="006A58CE" w:rsidRPr="00A91B3B">
        <w:rPr>
          <w:rFonts w:cstheme="minorHAnsi"/>
          <w:sz w:val="24"/>
          <w:szCs w:val="24"/>
        </w:rPr>
        <w:t xml:space="preserve">inadvertent </w:t>
      </w:r>
      <w:r w:rsidR="00F107CE" w:rsidRPr="00A91B3B">
        <w:rPr>
          <w:rFonts w:cstheme="minorHAnsi"/>
          <w:sz w:val="24"/>
          <w:szCs w:val="24"/>
        </w:rPr>
        <w:t xml:space="preserve">and </w:t>
      </w:r>
      <w:r w:rsidRPr="00A91B3B">
        <w:rPr>
          <w:rFonts w:cstheme="minorHAnsi"/>
          <w:sz w:val="24"/>
          <w:szCs w:val="24"/>
        </w:rPr>
        <w:t xml:space="preserve">unnecessary reference to section 79 of the </w:t>
      </w:r>
      <w:r w:rsidRPr="00A91B3B">
        <w:rPr>
          <w:rFonts w:cstheme="minorHAnsi"/>
          <w:i/>
          <w:iCs/>
          <w:sz w:val="24"/>
          <w:szCs w:val="24"/>
        </w:rPr>
        <w:t>Financial Management Act 1996</w:t>
      </w:r>
      <w:r w:rsidR="00AA5BE5" w:rsidRPr="00A91B3B">
        <w:rPr>
          <w:rFonts w:cstheme="minorHAnsi"/>
          <w:sz w:val="24"/>
          <w:szCs w:val="24"/>
        </w:rPr>
        <w:t>, which relates to the appointment of chairs and deputy chairs of governing boards of territory authorities</w:t>
      </w:r>
      <w:r w:rsidR="006B7655" w:rsidRPr="00A91B3B">
        <w:rPr>
          <w:rFonts w:cstheme="minorHAnsi"/>
          <w:sz w:val="24"/>
          <w:szCs w:val="24"/>
        </w:rPr>
        <w:t xml:space="preserve">. </w:t>
      </w:r>
      <w:r w:rsidR="00AA5BE5" w:rsidRPr="00A91B3B">
        <w:rPr>
          <w:rFonts w:cstheme="minorHAnsi"/>
          <w:sz w:val="24"/>
          <w:szCs w:val="24"/>
        </w:rPr>
        <w:t>I note that DI2020-131 relates only to the appointment of the specified person as a member of the Board</w:t>
      </w:r>
      <w:r w:rsidR="00F107CE" w:rsidRPr="00A91B3B">
        <w:rPr>
          <w:rFonts w:cstheme="minorHAnsi"/>
          <w:sz w:val="24"/>
          <w:szCs w:val="24"/>
        </w:rPr>
        <w:t xml:space="preserve"> and thank the Committee for its identification of this </w:t>
      </w:r>
      <w:r w:rsidR="005E4360" w:rsidRPr="00A91B3B">
        <w:rPr>
          <w:rFonts w:cstheme="minorHAnsi"/>
          <w:sz w:val="24"/>
          <w:szCs w:val="24"/>
        </w:rPr>
        <w:t>superfluous reference</w:t>
      </w:r>
      <w:r w:rsidR="00F107CE" w:rsidRPr="00A91B3B">
        <w:rPr>
          <w:rFonts w:cstheme="minorHAnsi"/>
          <w:sz w:val="24"/>
          <w:szCs w:val="24"/>
        </w:rPr>
        <w:t>.</w:t>
      </w:r>
    </w:p>
    <w:p w14:paraId="4117C7BF" w14:textId="0749B250" w:rsidR="00743508" w:rsidRPr="00A91B3B" w:rsidRDefault="00743508" w:rsidP="00A91B3B">
      <w:pPr>
        <w:spacing w:after="0" w:line="240" w:lineRule="auto"/>
        <w:rPr>
          <w:rFonts w:cstheme="minorHAnsi"/>
          <w:sz w:val="24"/>
          <w:szCs w:val="24"/>
        </w:rPr>
      </w:pPr>
    </w:p>
    <w:p w14:paraId="2E35380C" w14:textId="3EFD62D1" w:rsidR="00743508" w:rsidRPr="00A91B3B" w:rsidRDefault="00743508" w:rsidP="00A91B3B">
      <w:pPr>
        <w:spacing w:after="120" w:line="240" w:lineRule="auto"/>
        <w:rPr>
          <w:rFonts w:cstheme="minorHAnsi"/>
          <w:sz w:val="24"/>
          <w:szCs w:val="24"/>
          <w:u w:val="single"/>
        </w:rPr>
      </w:pPr>
      <w:r w:rsidRPr="00A91B3B">
        <w:rPr>
          <w:rFonts w:cstheme="minorHAnsi"/>
          <w:sz w:val="24"/>
          <w:szCs w:val="24"/>
          <w:u w:val="single"/>
        </w:rPr>
        <w:t>Lotteries (Fees) Determination</w:t>
      </w:r>
      <w:r w:rsidR="001553AD" w:rsidRPr="00A91B3B">
        <w:rPr>
          <w:rFonts w:cstheme="minorHAnsi"/>
          <w:sz w:val="24"/>
          <w:szCs w:val="24"/>
          <w:u w:val="single"/>
        </w:rPr>
        <w:t>s</w:t>
      </w:r>
    </w:p>
    <w:p w14:paraId="059F8F64" w14:textId="5BB68B8E" w:rsidR="00553C84" w:rsidRPr="00A91B3B" w:rsidRDefault="003663F7" w:rsidP="00A91B3B">
      <w:pPr>
        <w:spacing w:after="0" w:line="240" w:lineRule="auto"/>
        <w:rPr>
          <w:rFonts w:cstheme="minorHAnsi"/>
          <w:sz w:val="24"/>
          <w:szCs w:val="24"/>
        </w:rPr>
      </w:pPr>
      <w:r w:rsidRPr="00A91B3B">
        <w:rPr>
          <w:rFonts w:cstheme="minorHAnsi"/>
          <w:sz w:val="24"/>
          <w:szCs w:val="24"/>
        </w:rPr>
        <w:t xml:space="preserve">In Scrutiny Report 46, the Committee has provided comments in relation to the </w:t>
      </w:r>
      <w:r w:rsidR="00F107CE" w:rsidRPr="00A91B3B">
        <w:rPr>
          <w:rFonts w:cstheme="minorHAnsi"/>
          <w:sz w:val="24"/>
          <w:szCs w:val="24"/>
        </w:rPr>
        <w:t>E</w:t>
      </w:r>
      <w:r w:rsidRPr="00A91B3B">
        <w:rPr>
          <w:rFonts w:cstheme="minorHAnsi"/>
          <w:sz w:val="24"/>
          <w:szCs w:val="24"/>
        </w:rPr>
        <w:t xml:space="preserve">xplanatory </w:t>
      </w:r>
      <w:r w:rsidR="00F107CE" w:rsidRPr="00A91B3B">
        <w:rPr>
          <w:rFonts w:cstheme="minorHAnsi"/>
          <w:sz w:val="24"/>
          <w:szCs w:val="24"/>
        </w:rPr>
        <w:t>S</w:t>
      </w:r>
      <w:r w:rsidRPr="00A91B3B">
        <w:rPr>
          <w:rFonts w:cstheme="minorHAnsi"/>
          <w:sz w:val="24"/>
          <w:szCs w:val="24"/>
        </w:rPr>
        <w:t xml:space="preserve">tatement to the </w:t>
      </w:r>
      <w:r w:rsidRPr="00A91B3B">
        <w:rPr>
          <w:rFonts w:cstheme="minorHAnsi"/>
          <w:i/>
          <w:iCs/>
          <w:sz w:val="24"/>
          <w:szCs w:val="24"/>
        </w:rPr>
        <w:t xml:space="preserve">Lotteries (Fees) Determination 2020 (No 1) </w:t>
      </w:r>
      <w:r w:rsidRPr="00A91B3B">
        <w:rPr>
          <w:rFonts w:cstheme="minorHAnsi"/>
          <w:sz w:val="24"/>
          <w:szCs w:val="24"/>
        </w:rPr>
        <w:t xml:space="preserve">[DI2020-132]. </w:t>
      </w:r>
      <w:r w:rsidR="00553C84" w:rsidRPr="00A91B3B">
        <w:rPr>
          <w:rFonts w:cstheme="minorHAnsi"/>
          <w:sz w:val="24"/>
          <w:szCs w:val="24"/>
        </w:rPr>
        <w:t>T</w:t>
      </w:r>
      <w:r w:rsidRPr="00A91B3B">
        <w:rPr>
          <w:rFonts w:cstheme="minorHAnsi"/>
          <w:sz w:val="24"/>
          <w:szCs w:val="24"/>
        </w:rPr>
        <w:t xml:space="preserve">he Committee </w:t>
      </w:r>
      <w:r w:rsidR="00553C84" w:rsidRPr="00A91B3B">
        <w:rPr>
          <w:rFonts w:cstheme="minorHAnsi"/>
          <w:sz w:val="24"/>
          <w:szCs w:val="24"/>
        </w:rPr>
        <w:t xml:space="preserve">has expressed the view that the </w:t>
      </w:r>
      <w:r w:rsidR="00F107CE" w:rsidRPr="00A91B3B">
        <w:rPr>
          <w:rFonts w:cstheme="minorHAnsi"/>
          <w:sz w:val="24"/>
          <w:szCs w:val="24"/>
        </w:rPr>
        <w:t>E</w:t>
      </w:r>
      <w:r w:rsidR="00553C84" w:rsidRPr="00A91B3B">
        <w:rPr>
          <w:rFonts w:cstheme="minorHAnsi"/>
          <w:sz w:val="24"/>
          <w:szCs w:val="24"/>
        </w:rPr>
        <w:t xml:space="preserve">xplanatory </w:t>
      </w:r>
      <w:r w:rsidR="00F107CE" w:rsidRPr="00A91B3B">
        <w:rPr>
          <w:rFonts w:cstheme="minorHAnsi"/>
          <w:sz w:val="24"/>
          <w:szCs w:val="24"/>
        </w:rPr>
        <w:t>S</w:t>
      </w:r>
      <w:r w:rsidR="00553C84" w:rsidRPr="00A91B3B">
        <w:rPr>
          <w:rFonts w:cstheme="minorHAnsi"/>
          <w:sz w:val="24"/>
          <w:szCs w:val="24"/>
        </w:rPr>
        <w:t xml:space="preserve">tatement does not meet the technical or stylistic standards expected by the Committee. The Committee has commented on the brevity of the </w:t>
      </w:r>
      <w:r w:rsidR="00F107CE" w:rsidRPr="00A91B3B">
        <w:rPr>
          <w:rFonts w:cstheme="minorHAnsi"/>
          <w:sz w:val="24"/>
          <w:szCs w:val="24"/>
        </w:rPr>
        <w:t>E</w:t>
      </w:r>
      <w:r w:rsidR="00553C84" w:rsidRPr="00A91B3B">
        <w:rPr>
          <w:rFonts w:cstheme="minorHAnsi"/>
          <w:sz w:val="24"/>
          <w:szCs w:val="24"/>
        </w:rPr>
        <w:t xml:space="preserve">xplanatory </w:t>
      </w:r>
      <w:r w:rsidR="00F107CE" w:rsidRPr="00A91B3B">
        <w:rPr>
          <w:rFonts w:cstheme="minorHAnsi"/>
          <w:sz w:val="24"/>
          <w:szCs w:val="24"/>
        </w:rPr>
        <w:t>S</w:t>
      </w:r>
      <w:r w:rsidR="00553C84" w:rsidRPr="00A91B3B">
        <w:rPr>
          <w:rFonts w:cstheme="minorHAnsi"/>
          <w:sz w:val="24"/>
          <w:szCs w:val="24"/>
        </w:rPr>
        <w:t xml:space="preserve">tatement and noted specifically that the fees in the new Fees Determination </w:t>
      </w:r>
      <w:r w:rsidR="00D60B29" w:rsidRPr="00A91B3B">
        <w:rPr>
          <w:rFonts w:cstheme="minorHAnsi"/>
          <w:sz w:val="24"/>
          <w:szCs w:val="24"/>
        </w:rPr>
        <w:t>[</w:t>
      </w:r>
      <w:r w:rsidR="00553C84" w:rsidRPr="00A91B3B">
        <w:rPr>
          <w:rFonts w:cstheme="minorHAnsi"/>
          <w:sz w:val="24"/>
          <w:szCs w:val="24"/>
        </w:rPr>
        <w:t xml:space="preserve">DI2020-132] appear to be the same as the “old” fees in the </w:t>
      </w:r>
      <w:r w:rsidR="00553C84" w:rsidRPr="00A91B3B">
        <w:rPr>
          <w:rFonts w:cstheme="minorHAnsi"/>
          <w:i/>
          <w:iCs/>
          <w:sz w:val="24"/>
          <w:szCs w:val="24"/>
        </w:rPr>
        <w:t xml:space="preserve">Lotteries (Fees) </w:t>
      </w:r>
      <w:r w:rsidR="00D60B29" w:rsidRPr="00A91B3B">
        <w:rPr>
          <w:rFonts w:cstheme="minorHAnsi"/>
          <w:i/>
          <w:iCs/>
          <w:sz w:val="24"/>
          <w:szCs w:val="24"/>
        </w:rPr>
        <w:t>D</w:t>
      </w:r>
      <w:r w:rsidR="00553C84" w:rsidRPr="00A91B3B">
        <w:rPr>
          <w:rFonts w:cstheme="minorHAnsi"/>
          <w:i/>
          <w:iCs/>
          <w:sz w:val="24"/>
          <w:szCs w:val="24"/>
        </w:rPr>
        <w:t>etermination 2019 (No 1)</w:t>
      </w:r>
      <w:r w:rsidR="00553C84" w:rsidRPr="00A91B3B">
        <w:rPr>
          <w:rFonts w:cstheme="minorHAnsi"/>
          <w:sz w:val="24"/>
          <w:szCs w:val="24"/>
        </w:rPr>
        <w:t xml:space="preserve"> </w:t>
      </w:r>
      <w:r w:rsidR="00D60B29" w:rsidRPr="00A91B3B">
        <w:rPr>
          <w:rFonts w:cstheme="minorHAnsi"/>
          <w:sz w:val="24"/>
          <w:szCs w:val="24"/>
        </w:rPr>
        <w:t>[</w:t>
      </w:r>
      <w:r w:rsidR="00553C84" w:rsidRPr="00A91B3B">
        <w:rPr>
          <w:rFonts w:cstheme="minorHAnsi"/>
          <w:sz w:val="24"/>
          <w:szCs w:val="24"/>
        </w:rPr>
        <w:t>DI2019-100</w:t>
      </w:r>
      <w:r w:rsidR="00D60B29" w:rsidRPr="00A91B3B">
        <w:rPr>
          <w:rFonts w:cstheme="minorHAnsi"/>
          <w:sz w:val="24"/>
          <w:szCs w:val="24"/>
        </w:rPr>
        <w:t>]</w:t>
      </w:r>
      <w:r w:rsidR="00553C84" w:rsidRPr="00A91B3B">
        <w:rPr>
          <w:rFonts w:cstheme="minorHAnsi"/>
          <w:sz w:val="24"/>
          <w:szCs w:val="24"/>
        </w:rPr>
        <w:t>.</w:t>
      </w:r>
    </w:p>
    <w:p w14:paraId="6D271059" w14:textId="0EAB196D" w:rsidR="00D60B29" w:rsidRPr="00A91B3B" w:rsidRDefault="00D60B29" w:rsidP="00A91B3B">
      <w:pPr>
        <w:spacing w:after="0" w:line="240" w:lineRule="auto"/>
        <w:rPr>
          <w:rFonts w:cstheme="minorHAnsi"/>
          <w:sz w:val="24"/>
          <w:szCs w:val="24"/>
        </w:rPr>
      </w:pPr>
    </w:p>
    <w:p w14:paraId="54FB1E13" w14:textId="1AE847E1" w:rsidR="00D60B29" w:rsidRPr="00A91B3B" w:rsidRDefault="00D60B29" w:rsidP="00A91B3B">
      <w:pPr>
        <w:spacing w:after="0" w:line="240" w:lineRule="auto"/>
        <w:rPr>
          <w:rFonts w:cstheme="minorHAnsi"/>
          <w:sz w:val="24"/>
          <w:szCs w:val="24"/>
        </w:rPr>
      </w:pPr>
      <w:r w:rsidRPr="00A91B3B">
        <w:rPr>
          <w:rFonts w:cstheme="minorHAnsi"/>
          <w:sz w:val="24"/>
          <w:szCs w:val="24"/>
        </w:rPr>
        <w:t>In relation to the explanatory statement to DI2020-132, I offer the following response.</w:t>
      </w:r>
    </w:p>
    <w:p w14:paraId="7824DEBF" w14:textId="5C1A4546" w:rsidR="003663F7" w:rsidRPr="00A91B3B" w:rsidRDefault="003663F7" w:rsidP="00A91B3B">
      <w:pPr>
        <w:spacing w:after="0" w:line="240" w:lineRule="auto"/>
        <w:rPr>
          <w:rFonts w:cstheme="minorHAnsi"/>
          <w:sz w:val="24"/>
          <w:szCs w:val="24"/>
        </w:rPr>
      </w:pPr>
    </w:p>
    <w:p w14:paraId="38A324AA" w14:textId="2FA7DA60" w:rsidR="009F2455" w:rsidRPr="00A91B3B" w:rsidRDefault="009F2455" w:rsidP="00A91B3B">
      <w:pPr>
        <w:spacing w:after="0" w:line="240" w:lineRule="auto"/>
        <w:rPr>
          <w:rFonts w:cstheme="minorHAnsi"/>
          <w:sz w:val="24"/>
          <w:szCs w:val="24"/>
        </w:rPr>
      </w:pPr>
      <w:r w:rsidRPr="00A91B3B">
        <w:rPr>
          <w:rFonts w:cstheme="minorHAnsi"/>
          <w:sz w:val="24"/>
          <w:szCs w:val="24"/>
        </w:rPr>
        <w:t xml:space="preserve">As </w:t>
      </w:r>
      <w:r w:rsidR="00F107CE" w:rsidRPr="00A91B3B">
        <w:rPr>
          <w:rFonts w:cstheme="minorHAnsi"/>
          <w:sz w:val="24"/>
          <w:szCs w:val="24"/>
        </w:rPr>
        <w:t>identified in</w:t>
      </w:r>
      <w:r w:rsidRPr="00A91B3B">
        <w:rPr>
          <w:rFonts w:cstheme="minorHAnsi"/>
          <w:sz w:val="24"/>
          <w:szCs w:val="24"/>
        </w:rPr>
        <w:t xml:space="preserve"> the </w:t>
      </w:r>
      <w:r w:rsidR="00F107CE" w:rsidRPr="00A91B3B">
        <w:rPr>
          <w:rFonts w:cstheme="minorHAnsi"/>
          <w:sz w:val="24"/>
          <w:szCs w:val="24"/>
        </w:rPr>
        <w:t>E</w:t>
      </w:r>
      <w:r w:rsidRPr="00A91B3B">
        <w:rPr>
          <w:rFonts w:cstheme="minorHAnsi"/>
          <w:sz w:val="24"/>
          <w:szCs w:val="24"/>
        </w:rPr>
        <w:t xml:space="preserve">xplanatory </w:t>
      </w:r>
      <w:r w:rsidR="00F107CE" w:rsidRPr="00A91B3B">
        <w:rPr>
          <w:rFonts w:cstheme="minorHAnsi"/>
          <w:sz w:val="24"/>
          <w:szCs w:val="24"/>
        </w:rPr>
        <w:t>S</w:t>
      </w:r>
      <w:r w:rsidRPr="00A91B3B">
        <w:rPr>
          <w:rFonts w:cstheme="minorHAnsi"/>
          <w:sz w:val="24"/>
          <w:szCs w:val="24"/>
        </w:rPr>
        <w:t>tatement</w:t>
      </w:r>
      <w:r w:rsidR="00CC3312" w:rsidRPr="00A91B3B">
        <w:rPr>
          <w:rFonts w:cstheme="minorHAnsi"/>
          <w:sz w:val="24"/>
          <w:szCs w:val="24"/>
        </w:rPr>
        <w:t xml:space="preserve"> to DI2020-132</w:t>
      </w:r>
      <w:r w:rsidRPr="00A91B3B">
        <w:rPr>
          <w:rFonts w:cstheme="minorHAnsi"/>
          <w:sz w:val="24"/>
          <w:szCs w:val="24"/>
        </w:rPr>
        <w:t xml:space="preserve">, the purpose of </w:t>
      </w:r>
      <w:r w:rsidR="00CC3312" w:rsidRPr="00A91B3B">
        <w:rPr>
          <w:rFonts w:cstheme="minorHAnsi"/>
          <w:sz w:val="24"/>
          <w:szCs w:val="24"/>
        </w:rPr>
        <w:t>this Disallowable Instrument was</w:t>
      </w:r>
      <w:r w:rsidRPr="00A91B3B">
        <w:rPr>
          <w:rFonts w:cstheme="minorHAnsi"/>
          <w:sz w:val="24"/>
          <w:szCs w:val="24"/>
        </w:rPr>
        <w:t xml:space="preserve"> to seek an authorising provision for the ACT Gambling and Racing Commission (the Commission) to waive, refund or remit fees under the </w:t>
      </w:r>
      <w:r w:rsidRPr="00A91B3B">
        <w:rPr>
          <w:rFonts w:cstheme="minorHAnsi"/>
          <w:i/>
          <w:iCs/>
          <w:sz w:val="24"/>
          <w:szCs w:val="24"/>
        </w:rPr>
        <w:t xml:space="preserve">Lotteries Act 1964 </w:t>
      </w:r>
      <w:r w:rsidRPr="00A91B3B">
        <w:rPr>
          <w:rFonts w:cstheme="minorHAnsi"/>
          <w:sz w:val="24"/>
          <w:szCs w:val="24"/>
        </w:rPr>
        <w:t xml:space="preserve">where the conduct of the associated lottery had been impacted due to the COVID-19 pandemic or other unforeseen event. </w:t>
      </w:r>
      <w:r w:rsidRPr="00A91B3B">
        <w:rPr>
          <w:rFonts w:cstheme="minorHAnsi"/>
          <w:sz w:val="24"/>
          <w:szCs w:val="24"/>
        </w:rPr>
        <w:lastRenderedPageBreak/>
        <w:t>This instrument was not intended to address annual fee increase</w:t>
      </w:r>
      <w:r w:rsidR="006A58CE" w:rsidRPr="00A91B3B">
        <w:rPr>
          <w:rFonts w:cstheme="minorHAnsi"/>
          <w:sz w:val="24"/>
          <w:szCs w:val="24"/>
        </w:rPr>
        <w:t xml:space="preserve">s. It </w:t>
      </w:r>
      <w:r w:rsidRPr="00A91B3B">
        <w:rPr>
          <w:rFonts w:cstheme="minorHAnsi"/>
          <w:sz w:val="24"/>
          <w:szCs w:val="24"/>
        </w:rPr>
        <w:t xml:space="preserve">was a special purpose </w:t>
      </w:r>
      <w:r w:rsidR="00EA4DC1" w:rsidRPr="00A91B3B">
        <w:rPr>
          <w:rFonts w:cstheme="minorHAnsi"/>
          <w:sz w:val="24"/>
          <w:szCs w:val="24"/>
        </w:rPr>
        <w:t>f</w:t>
      </w:r>
      <w:r w:rsidRPr="00A91B3B">
        <w:rPr>
          <w:rFonts w:cstheme="minorHAnsi"/>
          <w:sz w:val="24"/>
          <w:szCs w:val="24"/>
        </w:rPr>
        <w:t xml:space="preserve">ees </w:t>
      </w:r>
      <w:r w:rsidR="00EA4DC1" w:rsidRPr="00A91B3B">
        <w:rPr>
          <w:rFonts w:cstheme="minorHAnsi"/>
          <w:sz w:val="24"/>
          <w:szCs w:val="24"/>
        </w:rPr>
        <w:t>d</w:t>
      </w:r>
      <w:r w:rsidRPr="00A91B3B">
        <w:rPr>
          <w:rFonts w:cstheme="minorHAnsi"/>
          <w:sz w:val="24"/>
          <w:szCs w:val="24"/>
        </w:rPr>
        <w:t>etermination to allow for requests to be processed, considering the difficult financial circumstances that COVID-19 has placed on businesses and individuals.</w:t>
      </w:r>
    </w:p>
    <w:p w14:paraId="6C5A3354" w14:textId="77777777" w:rsidR="009F2455" w:rsidRPr="00A91B3B" w:rsidRDefault="009F2455" w:rsidP="00A91B3B">
      <w:pPr>
        <w:spacing w:after="0" w:line="240" w:lineRule="auto"/>
        <w:rPr>
          <w:rFonts w:cstheme="minorHAnsi"/>
          <w:sz w:val="24"/>
          <w:szCs w:val="24"/>
        </w:rPr>
      </w:pPr>
    </w:p>
    <w:p w14:paraId="18E2FE0A" w14:textId="0F1B6AC1" w:rsidR="00CC3312" w:rsidRPr="00A91B3B" w:rsidRDefault="00D60B29" w:rsidP="00A91B3B">
      <w:pPr>
        <w:spacing w:after="0" w:line="240" w:lineRule="auto"/>
        <w:rPr>
          <w:rFonts w:cstheme="minorHAnsi"/>
          <w:sz w:val="24"/>
          <w:szCs w:val="24"/>
        </w:rPr>
      </w:pPr>
      <w:r w:rsidRPr="00A91B3B">
        <w:rPr>
          <w:rFonts w:cstheme="minorHAnsi"/>
          <w:sz w:val="24"/>
          <w:szCs w:val="24"/>
        </w:rPr>
        <w:t xml:space="preserve">I note also the Committee’s comments </w:t>
      </w:r>
      <w:r w:rsidR="00A85789" w:rsidRPr="00A91B3B">
        <w:rPr>
          <w:rFonts w:cstheme="minorHAnsi"/>
          <w:sz w:val="24"/>
          <w:szCs w:val="24"/>
        </w:rPr>
        <w:t xml:space="preserve">in Scrutiny report 47 </w:t>
      </w:r>
      <w:r w:rsidRPr="00A91B3B">
        <w:rPr>
          <w:rFonts w:cstheme="minorHAnsi"/>
          <w:sz w:val="24"/>
          <w:szCs w:val="24"/>
        </w:rPr>
        <w:t xml:space="preserve">on </w:t>
      </w:r>
      <w:r w:rsidR="00A85789" w:rsidRPr="00A91B3B">
        <w:rPr>
          <w:rFonts w:cstheme="minorHAnsi"/>
          <w:sz w:val="24"/>
          <w:szCs w:val="24"/>
        </w:rPr>
        <w:t xml:space="preserve">the revocation of DI2020-132 for the new Fees Determination, the </w:t>
      </w:r>
      <w:r w:rsidR="00A85789" w:rsidRPr="00A91B3B">
        <w:rPr>
          <w:rFonts w:cstheme="minorHAnsi"/>
          <w:i/>
          <w:iCs/>
          <w:sz w:val="24"/>
          <w:szCs w:val="24"/>
        </w:rPr>
        <w:t>Lotteries (Fees) Determination</w:t>
      </w:r>
      <w:r w:rsidR="00A85789" w:rsidRPr="00A91B3B">
        <w:rPr>
          <w:rFonts w:cstheme="minorHAnsi"/>
          <w:sz w:val="24"/>
          <w:szCs w:val="24"/>
        </w:rPr>
        <w:t xml:space="preserve"> 2020 (No 2) [DI2020-171]. T</w:t>
      </w:r>
      <w:r w:rsidR="00CC3312" w:rsidRPr="00A91B3B">
        <w:rPr>
          <w:rFonts w:cstheme="minorHAnsi"/>
          <w:sz w:val="24"/>
          <w:szCs w:val="24"/>
        </w:rPr>
        <w:t>he</w:t>
      </w:r>
      <w:r w:rsidR="00A91B3B">
        <w:rPr>
          <w:rFonts w:cstheme="minorHAnsi"/>
          <w:sz w:val="24"/>
          <w:szCs w:val="24"/>
        </w:rPr>
        <w:t xml:space="preserve"> </w:t>
      </w:r>
      <w:r w:rsidR="00CC3312" w:rsidRPr="00A91B3B">
        <w:rPr>
          <w:rFonts w:cstheme="minorHAnsi"/>
          <w:sz w:val="24"/>
          <w:szCs w:val="24"/>
        </w:rPr>
        <w:t xml:space="preserve">Committee </w:t>
      </w:r>
      <w:r w:rsidR="00A85789" w:rsidRPr="00A91B3B">
        <w:rPr>
          <w:rFonts w:cstheme="minorHAnsi"/>
          <w:sz w:val="24"/>
          <w:szCs w:val="24"/>
        </w:rPr>
        <w:t>has sought</w:t>
      </w:r>
      <w:r w:rsidR="00CC3312" w:rsidRPr="00A91B3B">
        <w:rPr>
          <w:rFonts w:cstheme="minorHAnsi"/>
          <w:sz w:val="24"/>
          <w:szCs w:val="24"/>
        </w:rPr>
        <w:t xml:space="preserve"> my advice as to why it was necessary for DI2020-171</w:t>
      </w:r>
      <w:r w:rsidR="005C71F8" w:rsidRPr="00A91B3B">
        <w:rPr>
          <w:rFonts w:cstheme="minorHAnsi"/>
          <w:sz w:val="24"/>
          <w:szCs w:val="24"/>
        </w:rPr>
        <w:t xml:space="preserve"> (made on 16 June 2020)</w:t>
      </w:r>
      <w:r w:rsidR="00CC3312" w:rsidRPr="00A91B3B">
        <w:rPr>
          <w:rFonts w:cstheme="minorHAnsi"/>
          <w:sz w:val="24"/>
          <w:szCs w:val="24"/>
        </w:rPr>
        <w:t xml:space="preserve"> to revoke and re-make the previous instrument, DI2020-132</w:t>
      </w:r>
      <w:r w:rsidR="005C71F8" w:rsidRPr="00A91B3B">
        <w:rPr>
          <w:rFonts w:cstheme="minorHAnsi"/>
          <w:sz w:val="24"/>
          <w:szCs w:val="24"/>
        </w:rPr>
        <w:t xml:space="preserve"> (made on 26 May 2020)</w:t>
      </w:r>
      <w:r w:rsidR="00CC3312" w:rsidRPr="00A91B3B">
        <w:rPr>
          <w:rFonts w:cstheme="minorHAnsi"/>
          <w:sz w:val="24"/>
          <w:szCs w:val="24"/>
        </w:rPr>
        <w:t xml:space="preserve">, so soon after it was made. </w:t>
      </w:r>
    </w:p>
    <w:p w14:paraId="7537AFD9" w14:textId="746215C9" w:rsidR="005C71F8" w:rsidRPr="00A91B3B" w:rsidRDefault="005C71F8" w:rsidP="00A91B3B">
      <w:pPr>
        <w:spacing w:after="0" w:line="240" w:lineRule="auto"/>
        <w:rPr>
          <w:rFonts w:cstheme="minorHAnsi"/>
          <w:sz w:val="24"/>
          <w:szCs w:val="24"/>
        </w:rPr>
      </w:pPr>
    </w:p>
    <w:p w14:paraId="532B7F35" w14:textId="6F0E4221" w:rsidR="00EA4DC1" w:rsidRPr="00A91B3B" w:rsidRDefault="005C71F8" w:rsidP="00A91B3B">
      <w:pPr>
        <w:spacing w:after="0" w:line="240" w:lineRule="auto"/>
        <w:rPr>
          <w:rFonts w:cstheme="minorHAnsi"/>
          <w:sz w:val="24"/>
          <w:szCs w:val="24"/>
        </w:rPr>
      </w:pPr>
      <w:r w:rsidRPr="00A91B3B">
        <w:rPr>
          <w:rFonts w:cstheme="minorHAnsi"/>
          <w:sz w:val="24"/>
          <w:szCs w:val="24"/>
        </w:rPr>
        <w:t xml:space="preserve">As </w:t>
      </w:r>
      <w:r w:rsidR="00E90D5D" w:rsidRPr="00A91B3B">
        <w:rPr>
          <w:rFonts w:cstheme="minorHAnsi"/>
          <w:sz w:val="24"/>
          <w:szCs w:val="24"/>
        </w:rPr>
        <w:t xml:space="preserve">I have explained </w:t>
      </w:r>
      <w:r w:rsidRPr="00A91B3B">
        <w:rPr>
          <w:rFonts w:cstheme="minorHAnsi"/>
          <w:sz w:val="24"/>
          <w:szCs w:val="24"/>
        </w:rPr>
        <w:t xml:space="preserve">above, DI2020-132 was </w:t>
      </w:r>
      <w:r w:rsidR="00E90D5D" w:rsidRPr="00A91B3B">
        <w:rPr>
          <w:rFonts w:cstheme="minorHAnsi"/>
          <w:sz w:val="24"/>
          <w:szCs w:val="24"/>
        </w:rPr>
        <w:t>made</w:t>
      </w:r>
      <w:r w:rsidRPr="00A91B3B">
        <w:rPr>
          <w:rFonts w:cstheme="minorHAnsi"/>
          <w:sz w:val="24"/>
          <w:szCs w:val="24"/>
        </w:rPr>
        <w:t xml:space="preserve"> to </w:t>
      </w:r>
      <w:r w:rsidR="00FD66B6" w:rsidRPr="00A91B3B">
        <w:rPr>
          <w:rFonts w:cstheme="minorHAnsi"/>
          <w:sz w:val="24"/>
          <w:szCs w:val="24"/>
        </w:rPr>
        <w:t>provide for</w:t>
      </w:r>
      <w:r w:rsidR="00E90D5D" w:rsidRPr="00A91B3B">
        <w:rPr>
          <w:rFonts w:cstheme="minorHAnsi"/>
          <w:sz w:val="24"/>
          <w:szCs w:val="24"/>
        </w:rPr>
        <w:t xml:space="preserve"> </w:t>
      </w:r>
      <w:r w:rsidRPr="00A91B3B">
        <w:rPr>
          <w:rFonts w:cstheme="minorHAnsi"/>
          <w:sz w:val="24"/>
          <w:szCs w:val="24"/>
        </w:rPr>
        <w:t>the Commission</w:t>
      </w:r>
      <w:r w:rsidR="00E90D5D" w:rsidRPr="00A91B3B">
        <w:rPr>
          <w:rFonts w:cstheme="minorHAnsi"/>
          <w:sz w:val="24"/>
          <w:szCs w:val="24"/>
        </w:rPr>
        <w:t xml:space="preserve">’s authority </w:t>
      </w:r>
      <w:r w:rsidRPr="00A91B3B">
        <w:rPr>
          <w:rFonts w:cstheme="minorHAnsi"/>
          <w:sz w:val="24"/>
          <w:szCs w:val="24"/>
        </w:rPr>
        <w:t xml:space="preserve">to consider requests from affected businesses seeking </w:t>
      </w:r>
      <w:r w:rsidR="00E90D5D" w:rsidRPr="00A91B3B">
        <w:rPr>
          <w:rFonts w:cstheme="minorHAnsi"/>
          <w:sz w:val="24"/>
          <w:szCs w:val="24"/>
        </w:rPr>
        <w:t>a</w:t>
      </w:r>
      <w:r w:rsidRPr="00A91B3B">
        <w:rPr>
          <w:rFonts w:cstheme="minorHAnsi"/>
          <w:sz w:val="24"/>
          <w:szCs w:val="24"/>
        </w:rPr>
        <w:t xml:space="preserve"> refund or waiver because of </w:t>
      </w:r>
      <w:r w:rsidR="00E90D5D" w:rsidRPr="00A91B3B">
        <w:rPr>
          <w:rFonts w:cstheme="minorHAnsi"/>
          <w:sz w:val="24"/>
          <w:szCs w:val="24"/>
        </w:rPr>
        <w:t xml:space="preserve">the impact of </w:t>
      </w:r>
      <w:r w:rsidRPr="00A91B3B">
        <w:rPr>
          <w:rFonts w:cstheme="minorHAnsi"/>
          <w:sz w:val="24"/>
          <w:szCs w:val="24"/>
        </w:rPr>
        <w:t xml:space="preserve">COVID-19 </w:t>
      </w:r>
      <w:r w:rsidR="00E90D5D" w:rsidRPr="00A91B3B">
        <w:rPr>
          <w:rFonts w:cstheme="minorHAnsi"/>
          <w:sz w:val="24"/>
          <w:szCs w:val="24"/>
        </w:rPr>
        <w:t xml:space="preserve">on </w:t>
      </w:r>
      <w:r w:rsidRPr="00A91B3B">
        <w:rPr>
          <w:rFonts w:cstheme="minorHAnsi"/>
          <w:sz w:val="24"/>
          <w:szCs w:val="24"/>
        </w:rPr>
        <w:t xml:space="preserve">the prize </w:t>
      </w:r>
      <w:r w:rsidR="00E90D5D" w:rsidRPr="00A91B3B">
        <w:rPr>
          <w:rFonts w:cstheme="minorHAnsi"/>
          <w:sz w:val="24"/>
          <w:szCs w:val="24"/>
        </w:rPr>
        <w:t>offered</w:t>
      </w:r>
      <w:r w:rsidRPr="00A91B3B">
        <w:rPr>
          <w:rFonts w:cstheme="minorHAnsi"/>
          <w:sz w:val="24"/>
          <w:szCs w:val="24"/>
        </w:rPr>
        <w:t xml:space="preserve">. </w:t>
      </w:r>
      <w:r w:rsidR="00E90D5D" w:rsidRPr="00A91B3B">
        <w:rPr>
          <w:rFonts w:cstheme="minorHAnsi"/>
          <w:sz w:val="24"/>
          <w:szCs w:val="24"/>
        </w:rPr>
        <w:t xml:space="preserve">The Committee has noted that the fees in DI2020-132 were the same as the ‘old’ fees in the previous instrument [DI2019-100]. </w:t>
      </w:r>
      <w:r w:rsidRPr="00A91B3B">
        <w:rPr>
          <w:rFonts w:cstheme="minorHAnsi"/>
          <w:sz w:val="24"/>
          <w:szCs w:val="24"/>
        </w:rPr>
        <w:t>The re-made Fees Determination, DI2020</w:t>
      </w:r>
      <w:r w:rsidR="00A91B3B">
        <w:rPr>
          <w:rFonts w:cstheme="minorHAnsi"/>
          <w:sz w:val="24"/>
          <w:szCs w:val="24"/>
        </w:rPr>
        <w:noBreakHyphen/>
      </w:r>
      <w:r w:rsidRPr="00A91B3B">
        <w:rPr>
          <w:rFonts w:cstheme="minorHAnsi"/>
          <w:sz w:val="24"/>
          <w:szCs w:val="24"/>
        </w:rPr>
        <w:t xml:space="preserve">171, </w:t>
      </w:r>
      <w:r w:rsidR="00BA6C94" w:rsidRPr="00A91B3B">
        <w:rPr>
          <w:rFonts w:cstheme="minorHAnsi"/>
          <w:sz w:val="24"/>
          <w:szCs w:val="24"/>
        </w:rPr>
        <w:t>provides</w:t>
      </w:r>
      <w:r w:rsidRPr="00A91B3B">
        <w:rPr>
          <w:rFonts w:cstheme="minorHAnsi"/>
          <w:sz w:val="24"/>
          <w:szCs w:val="24"/>
        </w:rPr>
        <w:t xml:space="preserve"> for annual increase</w:t>
      </w:r>
      <w:r w:rsidR="00BA6C94" w:rsidRPr="00A91B3B">
        <w:rPr>
          <w:rFonts w:cstheme="minorHAnsi"/>
          <w:sz w:val="24"/>
          <w:szCs w:val="24"/>
        </w:rPr>
        <w:t>s</w:t>
      </w:r>
      <w:r w:rsidRPr="00A91B3B">
        <w:rPr>
          <w:rFonts w:cstheme="minorHAnsi"/>
          <w:sz w:val="24"/>
          <w:szCs w:val="24"/>
        </w:rPr>
        <w:t xml:space="preserve"> to the relevant fees. As the Committee would be aware, these are typically notified towards the end of June, allowing for relevant fees to become effective on 1 July to cover the new financial year.</w:t>
      </w:r>
      <w:r w:rsidR="00EA4DC1" w:rsidRPr="00A91B3B">
        <w:rPr>
          <w:rFonts w:cstheme="minorHAnsi"/>
          <w:sz w:val="24"/>
          <w:szCs w:val="24"/>
        </w:rPr>
        <w:t xml:space="preserve"> DI2020-132 was made prior to the annual fees increase as i</w:t>
      </w:r>
      <w:r w:rsidRPr="00A91B3B">
        <w:rPr>
          <w:rFonts w:cstheme="minorHAnsi"/>
          <w:sz w:val="24"/>
          <w:szCs w:val="24"/>
        </w:rPr>
        <w:t xml:space="preserve">t was deemed unsuitable to ask businesses to wait for refunds in order for the waiver/refund amendments to be rolled into the annual fee increase amendment. </w:t>
      </w:r>
    </w:p>
    <w:p w14:paraId="33B8143C" w14:textId="77777777" w:rsidR="00EA4DC1" w:rsidRPr="00A91B3B" w:rsidRDefault="00EA4DC1" w:rsidP="00A91B3B">
      <w:pPr>
        <w:spacing w:after="0" w:line="240" w:lineRule="auto"/>
        <w:rPr>
          <w:rFonts w:cstheme="minorHAnsi"/>
          <w:sz w:val="24"/>
          <w:szCs w:val="24"/>
        </w:rPr>
      </w:pPr>
    </w:p>
    <w:p w14:paraId="71EAA6E5" w14:textId="46BBF523" w:rsidR="005C71F8" w:rsidRPr="00A91B3B" w:rsidRDefault="00EA4DC1" w:rsidP="00A91B3B">
      <w:pPr>
        <w:spacing w:after="0" w:line="240" w:lineRule="auto"/>
        <w:rPr>
          <w:rFonts w:cstheme="minorHAnsi"/>
          <w:sz w:val="24"/>
          <w:szCs w:val="24"/>
        </w:rPr>
      </w:pPr>
      <w:r w:rsidRPr="00A91B3B">
        <w:rPr>
          <w:rFonts w:cstheme="minorHAnsi"/>
          <w:sz w:val="24"/>
          <w:szCs w:val="24"/>
        </w:rPr>
        <w:t>I trust that this clarification is of assistance.</w:t>
      </w:r>
    </w:p>
    <w:p w14:paraId="659EFC1A" w14:textId="77777777" w:rsidR="00743508" w:rsidRPr="00A91B3B" w:rsidRDefault="00743508" w:rsidP="00A91B3B">
      <w:pPr>
        <w:spacing w:after="0" w:line="240" w:lineRule="auto"/>
        <w:rPr>
          <w:rFonts w:cstheme="minorHAnsi"/>
          <w:sz w:val="24"/>
          <w:szCs w:val="24"/>
        </w:rPr>
      </w:pPr>
    </w:p>
    <w:p w14:paraId="6EB37C9F" w14:textId="61543CB7" w:rsidR="00743508" w:rsidRPr="00A91B3B" w:rsidRDefault="00743508" w:rsidP="00A91B3B">
      <w:pPr>
        <w:spacing w:after="120" w:line="240" w:lineRule="auto"/>
        <w:rPr>
          <w:rFonts w:cstheme="minorHAnsi"/>
          <w:sz w:val="24"/>
          <w:szCs w:val="24"/>
          <w:u w:val="single"/>
        </w:rPr>
      </w:pPr>
      <w:r w:rsidRPr="00A91B3B">
        <w:rPr>
          <w:rFonts w:cstheme="minorHAnsi"/>
          <w:sz w:val="24"/>
          <w:szCs w:val="24"/>
          <w:u w:val="single"/>
        </w:rPr>
        <w:t>Court Procedures Amendment Rules 2020 (No 3)</w:t>
      </w:r>
    </w:p>
    <w:p w14:paraId="6BA178CE" w14:textId="77E5C644" w:rsidR="00946738" w:rsidRPr="00A91B3B" w:rsidRDefault="00946738" w:rsidP="00A91B3B">
      <w:pPr>
        <w:spacing w:after="120" w:line="240" w:lineRule="auto"/>
        <w:rPr>
          <w:rFonts w:cstheme="minorHAnsi"/>
          <w:sz w:val="24"/>
          <w:szCs w:val="24"/>
        </w:rPr>
      </w:pPr>
      <w:r w:rsidRPr="00A91B3B">
        <w:rPr>
          <w:rFonts w:cstheme="minorHAnsi"/>
          <w:sz w:val="24"/>
          <w:szCs w:val="24"/>
        </w:rPr>
        <w:t>A</w:t>
      </w:r>
      <w:r w:rsidR="00753CE8" w:rsidRPr="00A91B3B">
        <w:rPr>
          <w:rFonts w:cstheme="minorHAnsi"/>
          <w:sz w:val="24"/>
          <w:szCs w:val="24"/>
        </w:rPr>
        <w:t>s</w:t>
      </w:r>
      <w:r w:rsidRPr="00A91B3B">
        <w:rPr>
          <w:rFonts w:cstheme="minorHAnsi"/>
          <w:sz w:val="24"/>
          <w:szCs w:val="24"/>
        </w:rPr>
        <w:t xml:space="preserve"> the Committee has noted in Scrutiny Report </w:t>
      </w:r>
      <w:r w:rsidR="008F4B3C" w:rsidRPr="00A91B3B">
        <w:rPr>
          <w:rFonts w:cstheme="minorHAnsi"/>
          <w:sz w:val="24"/>
          <w:szCs w:val="24"/>
        </w:rPr>
        <w:t>46</w:t>
      </w:r>
      <w:r w:rsidRPr="00A91B3B">
        <w:rPr>
          <w:rFonts w:cstheme="minorHAnsi"/>
          <w:sz w:val="24"/>
          <w:szCs w:val="24"/>
        </w:rPr>
        <w:t xml:space="preserve">, the </w:t>
      </w:r>
      <w:r w:rsidRPr="00A91B3B">
        <w:rPr>
          <w:rFonts w:cstheme="minorHAnsi"/>
          <w:i/>
          <w:iCs/>
          <w:sz w:val="24"/>
          <w:szCs w:val="24"/>
        </w:rPr>
        <w:t>Court Procedures Amendment Rules 2020 (No</w:t>
      </w:r>
      <w:r w:rsidR="00F3580B" w:rsidRPr="00A91B3B">
        <w:rPr>
          <w:rFonts w:cstheme="minorHAnsi"/>
          <w:i/>
          <w:iCs/>
          <w:sz w:val="24"/>
          <w:szCs w:val="24"/>
        </w:rPr>
        <w:t> </w:t>
      </w:r>
      <w:r w:rsidRPr="00A91B3B">
        <w:rPr>
          <w:rFonts w:cstheme="minorHAnsi"/>
          <w:i/>
          <w:iCs/>
          <w:sz w:val="24"/>
          <w:szCs w:val="24"/>
        </w:rPr>
        <w:t>3)</w:t>
      </w:r>
      <w:r w:rsidRPr="00A91B3B">
        <w:rPr>
          <w:rFonts w:cstheme="minorHAnsi"/>
          <w:sz w:val="24"/>
          <w:szCs w:val="24"/>
        </w:rPr>
        <w:t xml:space="preserve"> [SL2020-20] (repealed) amends the </w:t>
      </w:r>
      <w:r w:rsidRPr="00A91B3B">
        <w:rPr>
          <w:rFonts w:cstheme="minorHAnsi"/>
          <w:i/>
          <w:iCs/>
          <w:sz w:val="24"/>
          <w:szCs w:val="24"/>
        </w:rPr>
        <w:t xml:space="preserve">Court Procedures Rules </w:t>
      </w:r>
      <w:r w:rsidR="00753CE8" w:rsidRPr="00A91B3B">
        <w:rPr>
          <w:rFonts w:cstheme="minorHAnsi"/>
          <w:i/>
          <w:iCs/>
          <w:sz w:val="24"/>
          <w:szCs w:val="24"/>
        </w:rPr>
        <w:t>2006</w:t>
      </w:r>
      <w:r w:rsidR="00753CE8" w:rsidRPr="00A91B3B">
        <w:rPr>
          <w:rFonts w:cstheme="minorHAnsi"/>
          <w:sz w:val="24"/>
          <w:szCs w:val="24"/>
        </w:rPr>
        <w:t xml:space="preserve"> </w:t>
      </w:r>
      <w:r w:rsidRPr="00A91B3B">
        <w:rPr>
          <w:rFonts w:cstheme="minorHAnsi"/>
          <w:sz w:val="24"/>
          <w:szCs w:val="24"/>
        </w:rPr>
        <w:t xml:space="preserve">to insert notes regarding Australia's obligations under the Hague Convention on the Service Abroad of Judicial and Extrajudicial Documents in the Civil and Commercial matters, and </w:t>
      </w:r>
      <w:r w:rsidR="00753CE8" w:rsidRPr="00A91B3B">
        <w:rPr>
          <w:rFonts w:cstheme="minorHAnsi"/>
          <w:sz w:val="24"/>
          <w:szCs w:val="24"/>
        </w:rPr>
        <w:t>to amend</w:t>
      </w:r>
      <w:r w:rsidRPr="00A91B3B">
        <w:rPr>
          <w:rFonts w:cstheme="minorHAnsi"/>
          <w:sz w:val="24"/>
          <w:szCs w:val="24"/>
        </w:rPr>
        <w:t xml:space="preserve"> Schedule 4 in relation to transitional costs for work performed by a solicitor or clerk.</w:t>
      </w:r>
    </w:p>
    <w:p w14:paraId="513B871A" w14:textId="366B761B" w:rsidR="00D746F1" w:rsidRPr="00A91B3B" w:rsidRDefault="00753CE8" w:rsidP="00A91B3B">
      <w:pPr>
        <w:spacing w:after="120" w:line="240" w:lineRule="auto"/>
        <w:rPr>
          <w:rFonts w:cstheme="minorHAnsi"/>
          <w:sz w:val="24"/>
          <w:szCs w:val="24"/>
        </w:rPr>
      </w:pPr>
      <w:r w:rsidRPr="00A91B3B">
        <w:rPr>
          <w:rFonts w:cstheme="minorHAnsi"/>
          <w:sz w:val="24"/>
          <w:szCs w:val="24"/>
        </w:rPr>
        <w:t xml:space="preserve">The Committee has noted the Explanatory Statement for SL2020-20, noting in particular that the amendment made by section 6 replaces a series of items in the table in Part 4.2 of Schedule 4, that deal with what can be charged in relation to </w:t>
      </w:r>
      <w:r w:rsidR="008064D1" w:rsidRPr="00A91B3B">
        <w:rPr>
          <w:rFonts w:cstheme="minorHAnsi"/>
          <w:sz w:val="24"/>
          <w:szCs w:val="24"/>
        </w:rPr>
        <w:t>‘</w:t>
      </w:r>
      <w:r w:rsidRPr="00A91B3B">
        <w:rPr>
          <w:rFonts w:cstheme="minorHAnsi"/>
          <w:sz w:val="24"/>
          <w:szCs w:val="24"/>
        </w:rPr>
        <w:t>attendances</w:t>
      </w:r>
      <w:r w:rsidR="008064D1" w:rsidRPr="00A91B3B">
        <w:rPr>
          <w:rFonts w:cstheme="minorHAnsi"/>
          <w:sz w:val="24"/>
          <w:szCs w:val="24"/>
        </w:rPr>
        <w:t>’</w:t>
      </w:r>
      <w:r w:rsidRPr="00A91B3B">
        <w:rPr>
          <w:rFonts w:cstheme="minorHAnsi"/>
          <w:sz w:val="24"/>
          <w:szCs w:val="24"/>
        </w:rPr>
        <w:t xml:space="preserve"> by a solicitor or clerk, with a simplified version of those provisions. The Committee has observed that </w:t>
      </w:r>
    </w:p>
    <w:p w14:paraId="42637301" w14:textId="066EF87D" w:rsidR="00D746F1" w:rsidRPr="00A91B3B" w:rsidRDefault="00D746F1" w:rsidP="00A91B3B">
      <w:pPr>
        <w:spacing w:after="120" w:line="240" w:lineRule="auto"/>
        <w:ind w:left="720"/>
        <w:jc w:val="both"/>
        <w:rPr>
          <w:rFonts w:cstheme="minorHAnsi"/>
          <w:i/>
          <w:iCs/>
          <w:sz w:val="24"/>
          <w:szCs w:val="24"/>
        </w:rPr>
      </w:pPr>
      <w:r w:rsidRPr="00A91B3B">
        <w:rPr>
          <w:rFonts w:cstheme="minorHAnsi"/>
          <w:i/>
          <w:iCs/>
          <w:sz w:val="24"/>
          <w:szCs w:val="24"/>
        </w:rPr>
        <w:t>‘The basic charge rates appears to be unchanged from the earlier version of the provisions.  However, there is no reference to this in the (very brief) explanatory statement for the subordinate law.’</w:t>
      </w:r>
    </w:p>
    <w:p w14:paraId="42C002DD" w14:textId="7993A77B" w:rsidR="00946738" w:rsidRPr="00A91B3B" w:rsidRDefault="00D746F1" w:rsidP="00A91B3B">
      <w:pPr>
        <w:spacing w:after="0" w:line="240" w:lineRule="auto"/>
        <w:rPr>
          <w:rFonts w:cstheme="minorHAnsi"/>
          <w:sz w:val="24"/>
          <w:szCs w:val="24"/>
        </w:rPr>
      </w:pPr>
      <w:r w:rsidRPr="00A91B3B">
        <w:rPr>
          <w:rFonts w:cstheme="minorHAnsi"/>
          <w:sz w:val="24"/>
          <w:szCs w:val="24"/>
        </w:rPr>
        <w:t xml:space="preserve">The Committee has expressed its particular interest in relation to subordinate legislation that imposes fees and charges and its expectation that fees should be properly explained. The Committee has noted that </w:t>
      </w:r>
    </w:p>
    <w:p w14:paraId="2D43F43C" w14:textId="22FD7F16" w:rsidR="00D746F1" w:rsidRPr="00A91B3B" w:rsidRDefault="00D746F1" w:rsidP="00A91B3B">
      <w:pPr>
        <w:spacing w:after="0" w:line="240" w:lineRule="auto"/>
        <w:rPr>
          <w:rFonts w:cstheme="minorHAnsi"/>
          <w:sz w:val="24"/>
          <w:szCs w:val="24"/>
        </w:rPr>
      </w:pPr>
    </w:p>
    <w:p w14:paraId="720127EF" w14:textId="238E2174" w:rsidR="00D746F1" w:rsidRPr="00A91B3B" w:rsidRDefault="00D746F1" w:rsidP="00A91B3B">
      <w:pPr>
        <w:spacing w:after="120" w:line="240" w:lineRule="auto"/>
        <w:ind w:left="720"/>
        <w:jc w:val="both"/>
        <w:rPr>
          <w:rFonts w:cstheme="minorHAnsi"/>
          <w:i/>
          <w:iCs/>
          <w:sz w:val="24"/>
          <w:szCs w:val="24"/>
        </w:rPr>
      </w:pPr>
      <w:r w:rsidRPr="00A91B3B">
        <w:rPr>
          <w:rFonts w:cstheme="minorHAnsi"/>
          <w:i/>
          <w:iCs/>
          <w:sz w:val="24"/>
          <w:szCs w:val="24"/>
        </w:rPr>
        <w:t>‘there appears to be no increase in charges involved in the amendments made by this subordinate law. However, it would have been preferable if this had been made clear, in the explanatory statement for the subordinate law.’</w:t>
      </w:r>
    </w:p>
    <w:p w14:paraId="30C76730" w14:textId="1160A2BB" w:rsidR="00D746F1" w:rsidRPr="00A91B3B" w:rsidRDefault="00F7665E" w:rsidP="00A91B3B">
      <w:pPr>
        <w:spacing w:after="0" w:line="240" w:lineRule="auto"/>
        <w:rPr>
          <w:rFonts w:cstheme="minorHAnsi"/>
          <w:sz w:val="24"/>
          <w:szCs w:val="24"/>
        </w:rPr>
      </w:pPr>
      <w:r w:rsidRPr="00A91B3B">
        <w:rPr>
          <w:rFonts w:cstheme="minorHAnsi"/>
          <w:sz w:val="24"/>
          <w:szCs w:val="24"/>
        </w:rPr>
        <w:t>The Committee has expressed its expectation that I respond to these comments. I acknowledge the Committee’s comments and offer the following response.</w:t>
      </w:r>
    </w:p>
    <w:p w14:paraId="1D2C757D" w14:textId="752CB043" w:rsidR="00F7665E" w:rsidRDefault="00F7665E" w:rsidP="00A91B3B">
      <w:pPr>
        <w:spacing w:after="0" w:line="240" w:lineRule="auto"/>
        <w:rPr>
          <w:rFonts w:cstheme="minorHAnsi"/>
          <w:sz w:val="24"/>
          <w:szCs w:val="24"/>
        </w:rPr>
      </w:pPr>
    </w:p>
    <w:p w14:paraId="4E72E377" w14:textId="77777777" w:rsidR="003D176C" w:rsidRPr="00A91B3B" w:rsidRDefault="003D176C" w:rsidP="00A91B3B">
      <w:pPr>
        <w:spacing w:after="0" w:line="240" w:lineRule="auto"/>
        <w:rPr>
          <w:rFonts w:cstheme="minorHAnsi"/>
          <w:sz w:val="24"/>
          <w:szCs w:val="24"/>
        </w:rPr>
      </w:pPr>
    </w:p>
    <w:p w14:paraId="07B5EAAE" w14:textId="211398B1" w:rsidR="00375B1E" w:rsidRPr="00A91B3B" w:rsidRDefault="00375B1E" w:rsidP="00A91B3B">
      <w:pPr>
        <w:spacing w:after="0" w:line="240" w:lineRule="auto"/>
        <w:rPr>
          <w:rFonts w:cstheme="minorHAnsi"/>
          <w:sz w:val="24"/>
          <w:szCs w:val="24"/>
        </w:rPr>
      </w:pPr>
      <w:r w:rsidRPr="00A91B3B">
        <w:rPr>
          <w:rFonts w:cstheme="minorHAnsi"/>
          <w:sz w:val="24"/>
          <w:szCs w:val="24"/>
        </w:rPr>
        <w:lastRenderedPageBreak/>
        <w:t>The Rule-Making Committee (currently comprising the Chief Justice, Justice Elkaim, Acting Chief Magistrate and Magistrate Morrison) makes rules in relation to the practice and procedure of ACT</w:t>
      </w:r>
      <w:r w:rsidR="001D59C1">
        <w:rPr>
          <w:rFonts w:cstheme="minorHAnsi"/>
          <w:sz w:val="24"/>
          <w:szCs w:val="24"/>
        </w:rPr>
        <w:t> </w:t>
      </w:r>
      <w:r w:rsidRPr="00A91B3B">
        <w:rPr>
          <w:rFonts w:cstheme="minorHAnsi"/>
          <w:sz w:val="24"/>
          <w:szCs w:val="24"/>
        </w:rPr>
        <w:t xml:space="preserve">Courts and their registries, pursuant to section 7 of the </w:t>
      </w:r>
      <w:r w:rsidRPr="00A91B3B">
        <w:rPr>
          <w:rFonts w:cstheme="minorHAnsi"/>
          <w:i/>
          <w:iCs/>
          <w:sz w:val="24"/>
          <w:szCs w:val="24"/>
        </w:rPr>
        <w:t>Court Procedures Act 2004</w:t>
      </w:r>
      <w:r w:rsidRPr="00A91B3B">
        <w:rPr>
          <w:rFonts w:cstheme="minorHAnsi"/>
          <w:sz w:val="24"/>
          <w:szCs w:val="24"/>
        </w:rPr>
        <w:t xml:space="preserve">. The Courts and the Joint Rules Advisory Committee continuously conduct a consultative review of the rules, which may result in amendments to the </w:t>
      </w:r>
      <w:r w:rsidRPr="00A91B3B">
        <w:rPr>
          <w:rFonts w:cstheme="minorHAnsi"/>
          <w:i/>
          <w:iCs/>
          <w:sz w:val="24"/>
          <w:szCs w:val="24"/>
        </w:rPr>
        <w:t>Court Procedures Rules 2006</w:t>
      </w:r>
      <w:r w:rsidRPr="00A91B3B">
        <w:rPr>
          <w:rFonts w:cstheme="minorHAnsi"/>
          <w:sz w:val="24"/>
          <w:szCs w:val="24"/>
        </w:rPr>
        <w:t xml:space="preserve"> (the Rules). The Rules are made by the Judiciary and not by the Executive.</w:t>
      </w:r>
    </w:p>
    <w:p w14:paraId="69E60793" w14:textId="77777777" w:rsidR="00375B1E" w:rsidRPr="00A91B3B" w:rsidRDefault="00375B1E" w:rsidP="00A91B3B">
      <w:pPr>
        <w:spacing w:after="0" w:line="240" w:lineRule="auto"/>
        <w:rPr>
          <w:rFonts w:cstheme="minorHAnsi"/>
          <w:sz w:val="24"/>
          <w:szCs w:val="24"/>
        </w:rPr>
      </w:pPr>
    </w:p>
    <w:p w14:paraId="5B4AB0AC" w14:textId="65D6AFE3" w:rsidR="00375B1E" w:rsidRPr="00A91B3B" w:rsidRDefault="00375B1E" w:rsidP="00A91B3B">
      <w:pPr>
        <w:spacing w:after="0" w:line="240" w:lineRule="auto"/>
        <w:rPr>
          <w:rFonts w:cstheme="minorHAnsi"/>
          <w:sz w:val="24"/>
          <w:szCs w:val="24"/>
        </w:rPr>
      </w:pPr>
      <w:r w:rsidRPr="00A91B3B">
        <w:rPr>
          <w:rFonts w:cstheme="minorHAnsi"/>
          <w:sz w:val="24"/>
          <w:szCs w:val="24"/>
        </w:rPr>
        <w:t xml:space="preserve">Schedule 4 of the Rules sets out the scale of costs allowed to be charged for tasks upon the taxation of a legal matter. </w:t>
      </w:r>
      <w:r w:rsidR="004767E1" w:rsidRPr="00A91B3B">
        <w:rPr>
          <w:rFonts w:cstheme="minorHAnsi"/>
          <w:sz w:val="24"/>
          <w:szCs w:val="24"/>
        </w:rPr>
        <w:t xml:space="preserve">SL2020-20 amends Schedule 4, Part 4.2, Division 4.2.6 of the Rules by </w:t>
      </w:r>
      <w:r w:rsidRPr="00A91B3B">
        <w:rPr>
          <w:rFonts w:cstheme="minorHAnsi"/>
          <w:sz w:val="24"/>
          <w:szCs w:val="24"/>
        </w:rPr>
        <w:t>collaps</w:t>
      </w:r>
      <w:r w:rsidR="004767E1" w:rsidRPr="00A91B3B">
        <w:rPr>
          <w:rFonts w:cstheme="minorHAnsi"/>
          <w:sz w:val="24"/>
          <w:szCs w:val="24"/>
        </w:rPr>
        <w:t>ing</w:t>
      </w:r>
      <w:r w:rsidRPr="00A91B3B">
        <w:rPr>
          <w:rFonts w:cstheme="minorHAnsi"/>
          <w:sz w:val="24"/>
          <w:szCs w:val="24"/>
        </w:rPr>
        <w:t xml:space="preserve"> </w:t>
      </w:r>
      <w:r w:rsidR="004767E1" w:rsidRPr="00A91B3B">
        <w:rPr>
          <w:rFonts w:cstheme="minorHAnsi"/>
          <w:sz w:val="24"/>
          <w:szCs w:val="24"/>
        </w:rPr>
        <w:t>several</w:t>
      </w:r>
      <w:r w:rsidRPr="00A91B3B">
        <w:rPr>
          <w:rFonts w:cstheme="minorHAnsi"/>
          <w:sz w:val="24"/>
          <w:szCs w:val="24"/>
        </w:rPr>
        <w:t xml:space="preserve"> chargeable items undertaken by a solicitor into one item</w:t>
      </w:r>
      <w:r w:rsidR="004767E1" w:rsidRPr="00A91B3B">
        <w:rPr>
          <w:rFonts w:cstheme="minorHAnsi"/>
          <w:sz w:val="24"/>
          <w:szCs w:val="24"/>
        </w:rPr>
        <w:t xml:space="preserve">, </w:t>
      </w:r>
      <w:r w:rsidRPr="00A91B3B">
        <w:rPr>
          <w:rFonts w:cstheme="minorHAnsi"/>
          <w:sz w:val="24"/>
          <w:szCs w:val="24"/>
        </w:rPr>
        <w:t>allow</w:t>
      </w:r>
      <w:r w:rsidR="004767E1" w:rsidRPr="00A91B3B">
        <w:rPr>
          <w:rFonts w:cstheme="minorHAnsi"/>
          <w:sz w:val="24"/>
          <w:szCs w:val="24"/>
        </w:rPr>
        <w:t>ing</w:t>
      </w:r>
      <w:r w:rsidRPr="00A91B3B">
        <w:rPr>
          <w:rFonts w:cstheme="minorHAnsi"/>
          <w:sz w:val="24"/>
          <w:szCs w:val="24"/>
        </w:rPr>
        <w:t xml:space="preserve"> for a streamlined process in assessing allowable costs.</w:t>
      </w:r>
    </w:p>
    <w:p w14:paraId="593E51B4" w14:textId="77777777" w:rsidR="00375B1E" w:rsidRPr="00A91B3B" w:rsidRDefault="00375B1E" w:rsidP="00A91B3B">
      <w:pPr>
        <w:spacing w:after="0" w:line="240" w:lineRule="auto"/>
        <w:rPr>
          <w:rFonts w:cstheme="minorHAnsi"/>
          <w:sz w:val="24"/>
          <w:szCs w:val="24"/>
        </w:rPr>
      </w:pPr>
    </w:p>
    <w:p w14:paraId="3378CBFD" w14:textId="63556ED7" w:rsidR="00F7665E" w:rsidRPr="00A91B3B" w:rsidRDefault="00F7665E" w:rsidP="00A91B3B">
      <w:pPr>
        <w:spacing w:after="0" w:line="240" w:lineRule="auto"/>
        <w:rPr>
          <w:rFonts w:cstheme="minorHAnsi"/>
          <w:sz w:val="24"/>
          <w:szCs w:val="24"/>
        </w:rPr>
      </w:pPr>
      <w:r w:rsidRPr="00A91B3B">
        <w:rPr>
          <w:rFonts w:cstheme="minorHAnsi"/>
          <w:sz w:val="24"/>
          <w:szCs w:val="24"/>
        </w:rPr>
        <w:t>I note that this explanation is largely reflected in the Explanatory Statement issued with the authority of the Rule-Making Committee</w:t>
      </w:r>
      <w:r w:rsidR="00BC7065" w:rsidRPr="00A91B3B">
        <w:rPr>
          <w:rFonts w:cstheme="minorHAnsi"/>
          <w:sz w:val="24"/>
          <w:szCs w:val="24"/>
        </w:rPr>
        <w:t>.</w:t>
      </w:r>
    </w:p>
    <w:p w14:paraId="10E70113" w14:textId="77777777" w:rsidR="00F7665E" w:rsidRPr="00A91B3B" w:rsidRDefault="00F7665E" w:rsidP="00A91B3B">
      <w:pPr>
        <w:spacing w:after="0" w:line="240" w:lineRule="auto"/>
        <w:rPr>
          <w:rFonts w:cstheme="minorHAnsi"/>
          <w:sz w:val="24"/>
          <w:szCs w:val="24"/>
        </w:rPr>
      </w:pPr>
    </w:p>
    <w:p w14:paraId="4FED5209" w14:textId="4A8D7A1B" w:rsidR="003D671E" w:rsidRPr="00A91B3B" w:rsidRDefault="00F3580B" w:rsidP="00A91B3B">
      <w:pPr>
        <w:spacing w:after="0" w:line="240" w:lineRule="auto"/>
        <w:rPr>
          <w:rFonts w:cstheme="minorHAnsi"/>
          <w:sz w:val="24"/>
          <w:szCs w:val="24"/>
        </w:rPr>
      </w:pPr>
      <w:r w:rsidRPr="00A91B3B">
        <w:rPr>
          <w:rFonts w:cstheme="minorHAnsi"/>
          <w:sz w:val="24"/>
          <w:szCs w:val="24"/>
        </w:rPr>
        <w:t xml:space="preserve">I trust this clarification is of assistance. </w:t>
      </w:r>
      <w:r w:rsidR="003D671E" w:rsidRPr="00A91B3B">
        <w:rPr>
          <w:rFonts w:cstheme="minorHAnsi"/>
          <w:sz w:val="24"/>
          <w:szCs w:val="24"/>
        </w:rPr>
        <w:t xml:space="preserve">I thank the Committee for its comments </w:t>
      </w:r>
      <w:r w:rsidR="00F7665E" w:rsidRPr="00A91B3B">
        <w:rPr>
          <w:rFonts w:cstheme="minorHAnsi"/>
          <w:sz w:val="24"/>
          <w:szCs w:val="24"/>
        </w:rPr>
        <w:t xml:space="preserve">in relation to each of these instruments </w:t>
      </w:r>
      <w:r w:rsidR="003D671E" w:rsidRPr="00A91B3B">
        <w:rPr>
          <w:rFonts w:cstheme="minorHAnsi"/>
          <w:sz w:val="24"/>
          <w:szCs w:val="24"/>
        </w:rPr>
        <w:t>and for its ongoing work in the role of legislative scrutiny.</w:t>
      </w:r>
    </w:p>
    <w:p w14:paraId="5E7112C3" w14:textId="77777777" w:rsidR="003D671E" w:rsidRPr="00A91B3B" w:rsidRDefault="003D671E" w:rsidP="00A91B3B">
      <w:pPr>
        <w:spacing w:after="0" w:line="240" w:lineRule="auto"/>
        <w:rPr>
          <w:rFonts w:cstheme="minorHAnsi"/>
          <w:sz w:val="24"/>
          <w:szCs w:val="24"/>
        </w:rPr>
      </w:pPr>
    </w:p>
    <w:p w14:paraId="32E9A778" w14:textId="77777777" w:rsidR="003D671E" w:rsidRPr="00A91B3B" w:rsidRDefault="003D671E" w:rsidP="00A91B3B">
      <w:pPr>
        <w:spacing w:after="0" w:line="240" w:lineRule="auto"/>
        <w:rPr>
          <w:rFonts w:cstheme="minorHAnsi"/>
          <w:sz w:val="24"/>
          <w:szCs w:val="24"/>
        </w:rPr>
      </w:pPr>
      <w:r w:rsidRPr="00A91B3B">
        <w:rPr>
          <w:rFonts w:cstheme="minorHAnsi"/>
          <w:sz w:val="24"/>
          <w:szCs w:val="24"/>
        </w:rPr>
        <w:t>Yours sincerely</w:t>
      </w:r>
    </w:p>
    <w:p w14:paraId="48CA7E42" w14:textId="77777777" w:rsidR="003D671E" w:rsidRPr="00A91B3B" w:rsidRDefault="003D671E" w:rsidP="00A91B3B">
      <w:pPr>
        <w:spacing w:after="0" w:line="240" w:lineRule="auto"/>
        <w:rPr>
          <w:rFonts w:cstheme="minorHAnsi"/>
          <w:sz w:val="24"/>
          <w:szCs w:val="24"/>
        </w:rPr>
      </w:pPr>
    </w:p>
    <w:p w14:paraId="1B5A97C0" w14:textId="77777777" w:rsidR="003D671E" w:rsidRPr="00A91B3B" w:rsidRDefault="003D671E" w:rsidP="00A91B3B">
      <w:pPr>
        <w:spacing w:after="0" w:line="240" w:lineRule="auto"/>
        <w:rPr>
          <w:rFonts w:cstheme="minorHAnsi"/>
          <w:sz w:val="24"/>
          <w:szCs w:val="24"/>
        </w:rPr>
      </w:pPr>
    </w:p>
    <w:p w14:paraId="7D7C5832" w14:textId="77777777" w:rsidR="003D671E" w:rsidRPr="00A91B3B" w:rsidRDefault="003D671E" w:rsidP="00A91B3B">
      <w:pPr>
        <w:spacing w:after="0" w:line="240" w:lineRule="auto"/>
        <w:rPr>
          <w:rFonts w:cstheme="minorHAnsi"/>
          <w:sz w:val="24"/>
          <w:szCs w:val="24"/>
        </w:rPr>
      </w:pPr>
    </w:p>
    <w:p w14:paraId="0D7FF2DF" w14:textId="77777777" w:rsidR="00A91B3B" w:rsidRDefault="003D671E" w:rsidP="00A91B3B">
      <w:pPr>
        <w:spacing w:after="0" w:line="240" w:lineRule="auto"/>
        <w:rPr>
          <w:rFonts w:cstheme="minorHAnsi"/>
          <w:sz w:val="24"/>
          <w:szCs w:val="24"/>
        </w:rPr>
      </w:pPr>
      <w:r w:rsidRPr="00A91B3B">
        <w:rPr>
          <w:rFonts w:cstheme="minorHAnsi"/>
          <w:sz w:val="24"/>
          <w:szCs w:val="24"/>
        </w:rPr>
        <w:t>Gordon Ramsay MLA</w:t>
      </w:r>
    </w:p>
    <w:p w14:paraId="689331D9" w14:textId="3E1A8CE8" w:rsidR="0055749D" w:rsidRPr="00A91B3B" w:rsidRDefault="0061634E" w:rsidP="00A91B3B">
      <w:pPr>
        <w:spacing w:after="0" w:line="240" w:lineRule="auto"/>
        <w:rPr>
          <w:rFonts w:cstheme="minorHAnsi"/>
          <w:sz w:val="24"/>
          <w:szCs w:val="24"/>
        </w:rPr>
      </w:pPr>
      <w:r w:rsidRPr="00A91B3B">
        <w:rPr>
          <w:rFonts w:cstheme="minorHAnsi"/>
          <w:noProof/>
          <w:sz w:val="24"/>
          <w:szCs w:val="24"/>
          <w:lang w:eastAsia="en-AU"/>
        </w:rPr>
        <mc:AlternateContent>
          <mc:Choice Requires="wps">
            <w:drawing>
              <wp:anchor distT="0" distB="0" distL="114300" distR="114300" simplePos="0" relativeHeight="251666432" behindDoc="1" locked="0" layoutInCell="1" allowOverlap="1" wp14:anchorId="71EC3137" wp14:editId="0D28ED97">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31ABB"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1EC3137"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" filled="f" stroked="f">
                <v:textbox inset="0,0,0,0">
                  <w:txbxContent>
                    <w:p w14:paraId="4D231ABB"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v:textbox>
                <w10:wrap anchorx="page" anchory="page"/>
              </v:shape>
            </w:pict>
          </mc:Fallback>
        </mc:AlternateContent>
      </w:r>
      <w:r w:rsidR="00A91B3B">
        <w:rPr>
          <w:rFonts w:cstheme="minorHAnsi"/>
          <w:sz w:val="24"/>
          <w:szCs w:val="24"/>
        </w:rPr>
        <w:t>Attorney General</w:t>
      </w:r>
    </w:p>
    <w:sectPr w:rsidR="0055749D" w:rsidRPr="00A91B3B" w:rsidSect="00F50739">
      <w:headerReference w:type="default" r:id="rId11"/>
      <w:headerReference w:type="first" r:id="rId12"/>
      <w:footerReference w:type="first" r:id="rId13"/>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53ACE" w14:textId="77777777" w:rsidR="004B4BF9" w:rsidRDefault="004B4BF9" w:rsidP="00AD7D31">
      <w:pPr>
        <w:spacing w:after="0" w:line="240" w:lineRule="auto"/>
      </w:pPr>
      <w:r>
        <w:separator/>
      </w:r>
    </w:p>
  </w:endnote>
  <w:endnote w:type="continuationSeparator" w:id="0">
    <w:p w14:paraId="1634F503" w14:textId="77777777" w:rsidR="004B4BF9" w:rsidRDefault="004B4BF9"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AC485"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28133C22" wp14:editId="04F6B19B">
          <wp:simplePos x="0" y="0"/>
          <wp:positionH relativeFrom="page">
            <wp:align>left</wp:align>
          </wp:positionH>
          <wp:positionV relativeFrom="paragraph">
            <wp:posOffset>112218</wp:posOffset>
          </wp:positionV>
          <wp:extent cx="7559675" cy="1327785"/>
          <wp:effectExtent l="0" t="0" r="3175" b="5715"/>
          <wp:wrapNone/>
          <wp:docPr id="2" name="Picture 2"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3881E6CD" w14:textId="77777777"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07084534" wp14:editId="635390B7">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28DA8ED"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14:paraId="6A80210F" w14:textId="77777777"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17E3987F" wp14:editId="115DF5B7">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B9480"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7E3987F" id="_x0000_t202" coordsize="21600,21600" o:spt="202" path="m,l,21600r21600,l21600,xe">
              <v:stroke joinstyle="miter"/>
              <v:path gradientshapeok="t" o:connecttype="rect"/>
            </v:shapetype>
            <v:shape id="Text Box 10" o:spid="_x0000_s1027"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" filled="f" stroked="f">
              <v:textbox inset="0,0,0,0">
                <w:txbxContent>
                  <w:p w14:paraId="7E6B9480"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5CA81C16" wp14:editId="384A5115">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2D959"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CA81C16" id="Text Box 11" o:spid="_x0000_s1028"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" filled="f" stroked="f">
              <v:textbox inset="0,0,0,0">
                <w:txbxContent>
                  <w:p w14:paraId="5442D959"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16156B59" wp14:editId="4EC3EB34">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DFF40FB"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D829E" w14:textId="77777777" w:rsidR="004B4BF9" w:rsidRDefault="004B4BF9" w:rsidP="00AD7D31">
      <w:pPr>
        <w:spacing w:after="0" w:line="240" w:lineRule="auto"/>
      </w:pPr>
      <w:r>
        <w:separator/>
      </w:r>
    </w:p>
  </w:footnote>
  <w:footnote w:type="continuationSeparator" w:id="0">
    <w:p w14:paraId="21587230" w14:textId="77777777" w:rsidR="004B4BF9" w:rsidRDefault="004B4BF9"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3AC86" w14:textId="5858E033" w:rsidR="00AD7D31" w:rsidRDefault="00AD7D31">
    <w:pPr>
      <w:pStyle w:val="Header"/>
    </w:pPr>
  </w:p>
  <w:p w14:paraId="649DDE70" w14:textId="176B6DB2" w:rsidR="00A91B3B" w:rsidRDefault="00A91B3B">
    <w:pPr>
      <w:pStyle w:val="Header"/>
    </w:pPr>
  </w:p>
  <w:p w14:paraId="0F5BF493" w14:textId="77777777" w:rsidR="00A91B3B" w:rsidRDefault="00A91B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3FF79" w14:textId="77777777"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06D77F32" wp14:editId="143749B4">
          <wp:simplePos x="0" y="0"/>
          <wp:positionH relativeFrom="margin">
            <wp:posOffset>-648625</wp:posOffset>
          </wp:positionH>
          <wp:positionV relativeFrom="page">
            <wp:posOffset>-170</wp:posOffset>
          </wp:positionV>
          <wp:extent cx="7551365" cy="1191600"/>
          <wp:effectExtent l="0" t="0" r="0" b="8890"/>
          <wp:wrapNone/>
          <wp:docPr id="1" name="Picture 1"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0735E">
      <w:t>Attorney-General</w:t>
    </w:r>
    <w:r w:rsidR="00D0735E">
      <w:br/>
      <w:t>Minister for the Arts</w:t>
    </w:r>
    <w:r w:rsidR="00611D96">
      <w:t>, Creative Industries</w:t>
    </w:r>
    <w:r w:rsidR="00D0735E">
      <w:t xml:space="preserve"> and</w:t>
    </w:r>
    <w:r w:rsidR="00611D96">
      <w:br/>
      <w:t xml:space="preserve"> </w:t>
    </w:r>
    <w:r w:rsidR="00D0735E">
      <w:t xml:space="preserve"> Cultural Events</w:t>
    </w:r>
    <w:r w:rsidR="00D0735E">
      <w:br/>
      <w:t>Minister for Building Quality Improvement</w:t>
    </w:r>
    <w:r w:rsidR="00D0735E">
      <w:br/>
      <w:t>Minister for Business and Regulatory Services</w:t>
    </w:r>
    <w:r w:rsidR="00611D96">
      <w:t xml:space="preserve"> </w:t>
    </w:r>
    <w:r w:rsidR="00D0735E">
      <w:br/>
      <w:t>Minister for Seniors and Veterans</w:t>
    </w:r>
  </w:p>
  <w:p w14:paraId="7CACB113"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F47925">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5433F"/>
    <w:multiLevelType w:val="hybridMultilevel"/>
    <w:tmpl w:val="F238E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96"/>
    <w:rsid w:val="000A48E3"/>
    <w:rsid w:val="000A6C81"/>
    <w:rsid w:val="001450DC"/>
    <w:rsid w:val="001553AD"/>
    <w:rsid w:val="0017441C"/>
    <w:rsid w:val="001804F3"/>
    <w:rsid w:val="001851B2"/>
    <w:rsid w:val="001D59C1"/>
    <w:rsid w:val="001D7389"/>
    <w:rsid w:val="0027642F"/>
    <w:rsid w:val="00303CA5"/>
    <w:rsid w:val="00312E78"/>
    <w:rsid w:val="00313E4A"/>
    <w:rsid w:val="00326904"/>
    <w:rsid w:val="003456C5"/>
    <w:rsid w:val="003663F7"/>
    <w:rsid w:val="00375B1E"/>
    <w:rsid w:val="00392A8E"/>
    <w:rsid w:val="003D176C"/>
    <w:rsid w:val="003D671E"/>
    <w:rsid w:val="003E666D"/>
    <w:rsid w:val="0041104E"/>
    <w:rsid w:val="00454F9B"/>
    <w:rsid w:val="004767E1"/>
    <w:rsid w:val="004A569A"/>
    <w:rsid w:val="004B4BF9"/>
    <w:rsid w:val="004D12C4"/>
    <w:rsid w:val="004E62B8"/>
    <w:rsid w:val="004E7556"/>
    <w:rsid w:val="00511382"/>
    <w:rsid w:val="005351C5"/>
    <w:rsid w:val="00535DE9"/>
    <w:rsid w:val="00553C84"/>
    <w:rsid w:val="0055749D"/>
    <w:rsid w:val="005C4787"/>
    <w:rsid w:val="005C71F8"/>
    <w:rsid w:val="005E4360"/>
    <w:rsid w:val="005E7DE1"/>
    <w:rsid w:val="006046E4"/>
    <w:rsid w:val="00611D96"/>
    <w:rsid w:val="0061634E"/>
    <w:rsid w:val="0064748B"/>
    <w:rsid w:val="00650080"/>
    <w:rsid w:val="00655CD8"/>
    <w:rsid w:val="006A1B70"/>
    <w:rsid w:val="006A58CE"/>
    <w:rsid w:val="006B7655"/>
    <w:rsid w:val="006D66D5"/>
    <w:rsid w:val="00710405"/>
    <w:rsid w:val="00712BA7"/>
    <w:rsid w:val="0072431D"/>
    <w:rsid w:val="00740BAE"/>
    <w:rsid w:val="00743508"/>
    <w:rsid w:val="00744D05"/>
    <w:rsid w:val="00753CE8"/>
    <w:rsid w:val="007B5B63"/>
    <w:rsid w:val="007D7FAC"/>
    <w:rsid w:val="008064D1"/>
    <w:rsid w:val="00806ACB"/>
    <w:rsid w:val="0081015D"/>
    <w:rsid w:val="00813D81"/>
    <w:rsid w:val="008208DA"/>
    <w:rsid w:val="008346DD"/>
    <w:rsid w:val="00834846"/>
    <w:rsid w:val="00855531"/>
    <w:rsid w:val="00861E2A"/>
    <w:rsid w:val="008724C4"/>
    <w:rsid w:val="008D15E5"/>
    <w:rsid w:val="008F4B3C"/>
    <w:rsid w:val="009242B5"/>
    <w:rsid w:val="00927316"/>
    <w:rsid w:val="00946738"/>
    <w:rsid w:val="00995E97"/>
    <w:rsid w:val="009C16AC"/>
    <w:rsid w:val="009C2877"/>
    <w:rsid w:val="009F2455"/>
    <w:rsid w:val="00A031A0"/>
    <w:rsid w:val="00A0527F"/>
    <w:rsid w:val="00A254F7"/>
    <w:rsid w:val="00A85789"/>
    <w:rsid w:val="00A91B3B"/>
    <w:rsid w:val="00AA5BE5"/>
    <w:rsid w:val="00AA791F"/>
    <w:rsid w:val="00AD3B8C"/>
    <w:rsid w:val="00AD7D31"/>
    <w:rsid w:val="00AE10B6"/>
    <w:rsid w:val="00AF6C0D"/>
    <w:rsid w:val="00B1407B"/>
    <w:rsid w:val="00B85096"/>
    <w:rsid w:val="00BA6C94"/>
    <w:rsid w:val="00BB40CF"/>
    <w:rsid w:val="00BC7065"/>
    <w:rsid w:val="00BE7AD6"/>
    <w:rsid w:val="00C075B0"/>
    <w:rsid w:val="00C65695"/>
    <w:rsid w:val="00CC3312"/>
    <w:rsid w:val="00CD0F3B"/>
    <w:rsid w:val="00D0735E"/>
    <w:rsid w:val="00D457BC"/>
    <w:rsid w:val="00D53F26"/>
    <w:rsid w:val="00D57F18"/>
    <w:rsid w:val="00D60B29"/>
    <w:rsid w:val="00D746F1"/>
    <w:rsid w:val="00D8062C"/>
    <w:rsid w:val="00DD766A"/>
    <w:rsid w:val="00E827BB"/>
    <w:rsid w:val="00E90D5D"/>
    <w:rsid w:val="00EA4DC1"/>
    <w:rsid w:val="00ED5634"/>
    <w:rsid w:val="00F107CE"/>
    <w:rsid w:val="00F3580B"/>
    <w:rsid w:val="00F37298"/>
    <w:rsid w:val="00F47925"/>
    <w:rsid w:val="00F50739"/>
    <w:rsid w:val="00F7665E"/>
    <w:rsid w:val="00F922B6"/>
    <w:rsid w:val="00FA47E3"/>
    <w:rsid w:val="00FA4D5B"/>
    <w:rsid w:val="00FB6C11"/>
    <w:rsid w:val="00FD66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23EA38"/>
  <w15:chartTrackingRefBased/>
  <w15:docId w15:val="{CCE5A8EA-F840-4BFA-953D-231D09C30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ListParagraph">
    <w:name w:val="List Paragraph"/>
    <w:basedOn w:val="Normal"/>
    <w:uiPriority w:val="34"/>
    <w:qFormat/>
    <w:rsid w:val="003D671E"/>
    <w:pPr>
      <w:ind w:left="720"/>
      <w:contextualSpacing/>
    </w:pPr>
  </w:style>
  <w:style w:type="paragraph" w:styleId="FootnoteText">
    <w:name w:val="footnote text"/>
    <w:basedOn w:val="Normal"/>
    <w:link w:val="FootnoteTextChar"/>
    <w:uiPriority w:val="99"/>
    <w:semiHidden/>
    <w:unhideWhenUsed/>
    <w:rsid w:val="003D67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671E"/>
    <w:rPr>
      <w:sz w:val="20"/>
      <w:szCs w:val="20"/>
    </w:rPr>
  </w:style>
  <w:style w:type="character" w:styleId="FootnoteReference">
    <w:name w:val="footnote reference"/>
    <w:basedOn w:val="DefaultParagraphFont"/>
    <w:uiPriority w:val="99"/>
    <w:semiHidden/>
    <w:unhideWhenUsed/>
    <w:rsid w:val="003D671E"/>
    <w:rPr>
      <w:vertAlign w:val="superscript"/>
    </w:rPr>
  </w:style>
  <w:style w:type="character" w:styleId="CommentReference">
    <w:name w:val="annotation reference"/>
    <w:basedOn w:val="DefaultParagraphFont"/>
    <w:uiPriority w:val="99"/>
    <w:semiHidden/>
    <w:unhideWhenUsed/>
    <w:rsid w:val="004767E1"/>
    <w:rPr>
      <w:sz w:val="16"/>
      <w:szCs w:val="16"/>
    </w:rPr>
  </w:style>
  <w:style w:type="paragraph" w:styleId="CommentText">
    <w:name w:val="annotation text"/>
    <w:basedOn w:val="Normal"/>
    <w:link w:val="CommentTextChar"/>
    <w:uiPriority w:val="99"/>
    <w:semiHidden/>
    <w:unhideWhenUsed/>
    <w:rsid w:val="004767E1"/>
    <w:pPr>
      <w:spacing w:line="240" w:lineRule="auto"/>
    </w:pPr>
    <w:rPr>
      <w:sz w:val="20"/>
      <w:szCs w:val="20"/>
    </w:rPr>
  </w:style>
  <w:style w:type="character" w:customStyle="1" w:styleId="CommentTextChar">
    <w:name w:val="Comment Text Char"/>
    <w:basedOn w:val="DefaultParagraphFont"/>
    <w:link w:val="CommentText"/>
    <w:uiPriority w:val="99"/>
    <w:semiHidden/>
    <w:rsid w:val="004767E1"/>
    <w:rPr>
      <w:sz w:val="20"/>
      <w:szCs w:val="20"/>
    </w:rPr>
  </w:style>
  <w:style w:type="paragraph" w:styleId="CommentSubject">
    <w:name w:val="annotation subject"/>
    <w:basedOn w:val="CommentText"/>
    <w:next w:val="CommentText"/>
    <w:link w:val="CommentSubjectChar"/>
    <w:uiPriority w:val="99"/>
    <w:semiHidden/>
    <w:unhideWhenUsed/>
    <w:rsid w:val="004767E1"/>
    <w:rPr>
      <w:b/>
      <w:bCs/>
    </w:rPr>
  </w:style>
  <w:style w:type="character" w:customStyle="1" w:styleId="CommentSubjectChar">
    <w:name w:val="Comment Subject Char"/>
    <w:basedOn w:val="CommentTextChar"/>
    <w:link w:val="CommentSubject"/>
    <w:uiPriority w:val="99"/>
    <w:semiHidden/>
    <w:rsid w:val="004767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223BF-FF7B-4A96-92F0-837A9E9A52E9}">
  <ds:schemaRefs>
    <ds:schemaRef ds:uri="http://purl.org/dc/term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f6c841be-bb08-4901-87b0-0033aa80d2c6"/>
  </ds:schemaRefs>
</ds:datastoreItem>
</file>

<file path=customXml/itemProps3.xml><?xml version="1.0" encoding="utf-8"?>
<ds:datastoreItem xmlns:ds="http://schemas.openxmlformats.org/officeDocument/2006/customXml" ds:itemID="{00333491-15B4-4686-8C2F-91EF03535C1F}">
  <ds:schemaRefs>
    <ds:schemaRef ds:uri="http://schemas.microsoft.com/sharepoint/v3/contenttype/forms"/>
  </ds:schemaRefs>
</ds:datastoreItem>
</file>

<file path=customXml/itemProps4.xml><?xml version="1.0" encoding="utf-8"?>
<ds:datastoreItem xmlns:ds="http://schemas.openxmlformats.org/officeDocument/2006/customXml" ds:itemID="{86DC6416-9519-4EA0-B55A-BF13D7AC0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1471</Words>
  <Characters>7993</Characters>
  <Application>Microsoft Office Word</Application>
  <DocSecurity>0</DocSecurity>
  <Lines>153</Lines>
  <Paragraphs>54</Paragraphs>
  <ScaleCrop>false</ScaleCrop>
  <HeadingPairs>
    <vt:vector size="2" baseType="variant">
      <vt:variant>
        <vt:lpstr>Title</vt:lpstr>
      </vt:variant>
      <vt:variant>
        <vt:i4>1</vt:i4>
      </vt:variant>
    </vt:vector>
  </HeadingPairs>
  <TitlesOfParts>
    <vt:vector size="1" baseType="lpstr">
      <vt:lpstr>Response - DI2020-130, DI2020-131, DI2020-132, DI2020-171, SL2020-20</vt:lpstr>
    </vt:vector>
  </TitlesOfParts>
  <Company/>
  <LinksUpToDate>false</LinksUpToDate>
  <CharactersWithSpaces>9410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DI2020-130, DI2020-131, DI2020-132, DI2020-171, SL2020-20</dc:title>
  <dc:subject/>
  <dc:creator/>
  <cp:keywords/>
  <dc:description/>
  <cp:lastModifiedBy>Shannon, Anne</cp:lastModifiedBy>
  <cp:revision>3</cp:revision>
  <cp:lastPrinted>2018-08-24T07:17:00Z</cp:lastPrinted>
  <dcterms:created xsi:type="dcterms:W3CDTF">2020-09-01T06:07:00Z</dcterms:created>
  <dcterms:modified xsi:type="dcterms:W3CDTF">2020-09-01T22:07:00Z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