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D225C" w:rsidRPr="00ED225C" w:rsidRDefault="00AF0AA5" w:rsidP="00CD7F25">
      <w:pPr>
        <w:pStyle w:val="Heading1"/>
      </w:pPr>
      <w:r>
        <w:t xml:space="preserve">Interim </w:t>
      </w:r>
      <w:r w:rsidR="00175F3C">
        <w:t xml:space="preserve">Report on </w:t>
      </w:r>
      <w:r w:rsidR="00D51176">
        <w:t xml:space="preserve">Inquiry into </w:t>
      </w:r>
      <w:r w:rsidR="00175F3C">
        <w:t xml:space="preserve">ACT </w:t>
      </w:r>
      <w:r w:rsidR="00D51176">
        <w:t>Fuel Pricing</w:t>
      </w:r>
    </w:p>
    <w:p w:rsidR="00ED225C" w:rsidRPr="004001FB" w:rsidRDefault="00D51176" w:rsidP="00D01952">
      <w:pPr>
        <w:pStyle w:val="CommitteeName"/>
      </w:pPr>
      <w:r>
        <w:t>Select Committee on Fuel Pricing</w:t>
      </w:r>
    </w:p>
    <w:p w:rsidR="00ED225C" w:rsidRPr="001B4B71" w:rsidRDefault="00AF0AA5" w:rsidP="001B4B71">
      <w:pPr>
        <w:pStyle w:val="Date"/>
      </w:pPr>
      <w:r>
        <w:t>May</w:t>
      </w:r>
      <w:r w:rsidR="00175F3C">
        <w:t xml:space="preserve"> 2019</w:t>
      </w:r>
    </w:p>
    <w:p w:rsidR="0020656E" w:rsidRDefault="0020656E" w:rsidP="0096033A">
      <w:pPr>
        <w:spacing w:before="480"/>
      </w:pPr>
    </w:p>
    <w:p w:rsidR="00970AC4" w:rsidRDefault="00970AC4" w:rsidP="0096033A"/>
    <w:p w:rsidR="00970AC4" w:rsidRDefault="00970AC4" w:rsidP="0096033A"/>
    <w:p w:rsidR="004001FB" w:rsidRDefault="004001FB" w:rsidP="004001FB">
      <w:pPr>
        <w:sectPr w:rsidR="004001FB" w:rsidSect="00E629E2">
          <w:headerReference w:type="even" r:id="rId9"/>
          <w:headerReference w:type="default" r:id="rId10"/>
          <w:footerReference w:type="even" r:id="rId11"/>
          <w:footerReference w:type="default" r:id="rId12"/>
          <w:headerReference w:type="first" r:id="rId13"/>
          <w:footerReference w:type="first" r:id="rId14"/>
          <w:type w:val="oddPage"/>
          <w:pgSz w:w="11907" w:h="16840" w:code="9"/>
          <w:pgMar w:top="1588" w:right="1418" w:bottom="1418" w:left="1418" w:header="720" w:footer="851" w:gutter="0"/>
          <w:cols w:space="720"/>
          <w:docGrid w:linePitch="360"/>
        </w:sectPr>
      </w:pPr>
    </w:p>
    <w:p w:rsidR="005B60C2" w:rsidRDefault="004001FB" w:rsidP="007104A7">
      <w:pPr>
        <w:pStyle w:val="Heading2"/>
        <w:numPr>
          <w:ilvl w:val="0"/>
          <w:numId w:val="0"/>
        </w:numPr>
        <w:ind w:left="567" w:hanging="567"/>
      </w:pPr>
      <w:bookmarkStart w:id="0" w:name="_Toc502671580"/>
      <w:bookmarkStart w:id="1" w:name="_Toc502671759"/>
      <w:bookmarkStart w:id="2" w:name="_Toc502671864"/>
      <w:bookmarkStart w:id="3" w:name="_Toc502672797"/>
      <w:bookmarkStart w:id="4" w:name="_Toc10119158"/>
      <w:r>
        <w:lastRenderedPageBreak/>
        <w:t>The Committee</w:t>
      </w:r>
      <w:bookmarkEnd w:id="0"/>
      <w:bookmarkEnd w:id="1"/>
      <w:bookmarkEnd w:id="2"/>
      <w:bookmarkEnd w:id="3"/>
      <w:bookmarkEnd w:id="4"/>
    </w:p>
    <w:p w:rsidR="004001FB" w:rsidRDefault="00D532AE" w:rsidP="001C75D2">
      <w:pPr>
        <w:pStyle w:val="Heading3"/>
        <w:ind w:hanging="567"/>
      </w:pPr>
      <w:bookmarkStart w:id="5" w:name="_Toc502671581"/>
      <w:bookmarkStart w:id="6" w:name="_Toc502671760"/>
      <w:bookmarkStart w:id="7" w:name="_Toc502671865"/>
      <w:bookmarkStart w:id="8" w:name="_Toc502672798"/>
      <w:bookmarkStart w:id="9" w:name="_Toc10119159"/>
      <w:r>
        <w:t>C</w:t>
      </w:r>
      <w:r w:rsidR="004001FB">
        <w:t>ommittee Membership</w:t>
      </w:r>
      <w:bookmarkEnd w:id="5"/>
      <w:bookmarkEnd w:id="6"/>
      <w:bookmarkEnd w:id="7"/>
      <w:bookmarkEnd w:id="8"/>
      <w:bookmarkEnd w:id="9"/>
    </w:p>
    <w:p w:rsidR="008462CA" w:rsidRDefault="008462CA" w:rsidP="00DA0694">
      <w:pPr>
        <w:pStyle w:val="Bodytextnonumbering"/>
        <w:keepNext w:val="0"/>
        <w:numPr>
          <w:ilvl w:val="0"/>
          <w:numId w:val="5"/>
        </w:numPr>
      </w:pPr>
      <w:r>
        <w:t xml:space="preserve">Ms Tara Cheyne MLA </w:t>
      </w:r>
      <w:r w:rsidR="005A1703">
        <w:tab/>
      </w:r>
      <w:r w:rsidR="005A1703">
        <w:tab/>
        <w:t>Chair</w:t>
      </w:r>
    </w:p>
    <w:p w:rsidR="008462CA" w:rsidRDefault="008462CA" w:rsidP="00DA0694">
      <w:pPr>
        <w:pStyle w:val="Bodytextnonumbering"/>
        <w:keepNext w:val="0"/>
        <w:numPr>
          <w:ilvl w:val="0"/>
          <w:numId w:val="5"/>
        </w:numPr>
      </w:pPr>
      <w:r w:rsidRPr="008462CA">
        <w:t xml:space="preserve">Mr </w:t>
      </w:r>
      <w:r>
        <w:t>Mark Parton MLA</w:t>
      </w:r>
      <w:r w:rsidR="005A1703">
        <w:tab/>
      </w:r>
      <w:r w:rsidR="005A1703">
        <w:tab/>
        <w:t>Deputy Chair</w:t>
      </w:r>
    </w:p>
    <w:p w:rsidR="004001FB" w:rsidRDefault="008462CA" w:rsidP="00DA0694">
      <w:pPr>
        <w:pStyle w:val="Bodytextnonumbering"/>
        <w:keepNext w:val="0"/>
        <w:numPr>
          <w:ilvl w:val="0"/>
          <w:numId w:val="5"/>
        </w:numPr>
      </w:pPr>
      <w:r w:rsidRPr="008462CA">
        <w:t>Mr Andrew Wall MLA</w:t>
      </w:r>
      <w:r w:rsidR="005A1703">
        <w:tab/>
      </w:r>
      <w:r w:rsidR="005A1703">
        <w:tab/>
        <w:t>Member</w:t>
      </w:r>
    </w:p>
    <w:p w:rsidR="005A1703" w:rsidRDefault="005A1703" w:rsidP="00DA0694">
      <w:pPr>
        <w:pStyle w:val="Bodytextnonumbering"/>
        <w:keepNext w:val="0"/>
        <w:numPr>
          <w:ilvl w:val="0"/>
          <w:numId w:val="5"/>
        </w:numPr>
      </w:pPr>
    </w:p>
    <w:p w:rsidR="004001FB" w:rsidRDefault="004001FB" w:rsidP="001C75D2">
      <w:pPr>
        <w:pStyle w:val="Heading3"/>
        <w:ind w:hanging="567"/>
      </w:pPr>
      <w:bookmarkStart w:id="10" w:name="_Toc502671582"/>
      <w:bookmarkStart w:id="11" w:name="_Toc502671761"/>
      <w:bookmarkStart w:id="12" w:name="_Toc502671866"/>
      <w:bookmarkStart w:id="13" w:name="_Toc502672799"/>
      <w:bookmarkStart w:id="14" w:name="_Toc10119160"/>
      <w:r>
        <w:t>Secretariat</w:t>
      </w:r>
      <w:bookmarkEnd w:id="10"/>
      <w:bookmarkEnd w:id="11"/>
      <w:bookmarkEnd w:id="12"/>
      <w:bookmarkEnd w:id="13"/>
      <w:bookmarkEnd w:id="14"/>
    </w:p>
    <w:p w:rsidR="004A5322" w:rsidRDefault="008462CA" w:rsidP="00DA0694">
      <w:pPr>
        <w:pStyle w:val="Bodytextnonumbering"/>
        <w:keepNext w:val="0"/>
        <w:numPr>
          <w:ilvl w:val="0"/>
          <w:numId w:val="5"/>
        </w:numPr>
      </w:pPr>
      <w:r>
        <w:t>Mr Andrew Snedden</w:t>
      </w:r>
      <w:r>
        <w:tab/>
      </w:r>
      <w:r w:rsidR="005A1703">
        <w:tab/>
      </w:r>
      <w:r>
        <w:t>Secretary</w:t>
      </w:r>
    </w:p>
    <w:p w:rsidR="008462CA" w:rsidRDefault="00AA6B8F" w:rsidP="00DA0694">
      <w:pPr>
        <w:pStyle w:val="Bodytextnonumbering"/>
        <w:keepNext w:val="0"/>
        <w:numPr>
          <w:ilvl w:val="0"/>
          <w:numId w:val="5"/>
        </w:numPr>
      </w:pPr>
      <w:r>
        <w:t xml:space="preserve">Ms </w:t>
      </w:r>
      <w:r w:rsidR="000F6BB4">
        <w:t>L</w:t>
      </w:r>
      <w:r>
        <w:t xml:space="preserve">ydia </w:t>
      </w:r>
      <w:r w:rsidR="000F6BB4">
        <w:t>Chung</w:t>
      </w:r>
      <w:r w:rsidR="00AF0AA5">
        <w:tab/>
      </w:r>
      <w:r w:rsidR="00AF0AA5">
        <w:tab/>
      </w:r>
      <w:r w:rsidR="00AF0AA5">
        <w:tab/>
      </w:r>
      <w:r w:rsidR="008462CA">
        <w:t>Administration Officer</w:t>
      </w:r>
    </w:p>
    <w:p w:rsidR="008462CA" w:rsidRPr="00E87CDB" w:rsidRDefault="008462CA" w:rsidP="00843B7D">
      <w:pPr>
        <w:pStyle w:val="ListNoBullet"/>
      </w:pPr>
    </w:p>
    <w:p w:rsidR="004001FB" w:rsidRDefault="004001FB" w:rsidP="001C75D2">
      <w:pPr>
        <w:pStyle w:val="Heading3"/>
        <w:ind w:hanging="567"/>
      </w:pPr>
      <w:bookmarkStart w:id="15" w:name="_Toc502671583"/>
      <w:bookmarkStart w:id="16" w:name="_Toc502671762"/>
      <w:bookmarkStart w:id="17" w:name="_Toc502671867"/>
      <w:bookmarkStart w:id="18" w:name="_Toc502672800"/>
      <w:bookmarkStart w:id="19" w:name="_Toc10119161"/>
      <w:r>
        <w:t>Contact Information</w:t>
      </w:r>
      <w:bookmarkEnd w:id="15"/>
      <w:bookmarkEnd w:id="16"/>
      <w:bookmarkEnd w:id="17"/>
      <w:bookmarkEnd w:id="18"/>
      <w:bookmarkEnd w:id="19"/>
    </w:p>
    <w:p w:rsidR="004001FB" w:rsidRDefault="008462CA" w:rsidP="00A708EB">
      <w:pPr>
        <w:spacing w:before="40" w:after="60"/>
      </w:pPr>
      <w:r>
        <w:t>Telephone</w:t>
      </w:r>
      <w:r>
        <w:tab/>
        <w:t>02 6205 0199</w:t>
      </w:r>
    </w:p>
    <w:p w:rsidR="004001FB" w:rsidRDefault="004001FB" w:rsidP="00A708EB">
      <w:pPr>
        <w:tabs>
          <w:tab w:val="left" w:pos="1418"/>
        </w:tabs>
        <w:spacing w:before="40" w:after="60"/>
      </w:pPr>
      <w:r>
        <w:t>Post</w:t>
      </w:r>
      <w:r>
        <w:tab/>
        <w:t>GPO Box 1020, CANBERRA ACT 2601</w:t>
      </w:r>
    </w:p>
    <w:p w:rsidR="00D940F4" w:rsidRDefault="00D940F4" w:rsidP="00D940F4">
      <w:pPr>
        <w:pStyle w:val="Bodytextnonumbering"/>
        <w:keepNext w:val="0"/>
        <w:spacing w:line="240" w:lineRule="auto"/>
        <w:rPr>
          <w:lang w:val="en-US" w:eastAsia="en-AU"/>
        </w:rPr>
      </w:pPr>
      <w:bookmarkStart w:id="20" w:name="_Toc341433419"/>
      <w:bookmarkStart w:id="21" w:name="_Toc341687862"/>
      <w:r w:rsidRPr="007A3507">
        <w:t>Email</w:t>
      </w:r>
      <w:r w:rsidRPr="007A3507">
        <w:tab/>
      </w:r>
      <w:r w:rsidRPr="007A3507">
        <w:tab/>
      </w:r>
      <w:hyperlink r:id="rId15" w:history="1">
        <w:r w:rsidRPr="004F0CC1">
          <w:rPr>
            <w:rStyle w:val="Hyperlink"/>
            <w:lang w:val="en-US" w:eastAsia="en-AU"/>
          </w:rPr>
          <w:t>LACommitteeFP@parliament.act.gov.au</w:t>
        </w:r>
      </w:hyperlink>
    </w:p>
    <w:p w:rsidR="00D940F4" w:rsidRPr="00C304FF" w:rsidRDefault="006D5D66" w:rsidP="00D940F4">
      <w:pPr>
        <w:pStyle w:val="Bodytextnonumbering"/>
        <w:keepNext w:val="0"/>
        <w:spacing w:line="240" w:lineRule="auto"/>
        <w:ind w:left="720" w:firstLine="720"/>
        <w:rPr>
          <w:rStyle w:val="Hyperlink"/>
          <w:lang w:val="en-US" w:eastAsia="en-AU"/>
        </w:rPr>
      </w:pPr>
      <w:hyperlink r:id="rId16" w:history="1">
        <w:r w:rsidR="00D940F4" w:rsidRPr="00C304FF">
          <w:rPr>
            <w:rStyle w:val="Hyperlink"/>
            <w:lang w:val="en-US" w:eastAsia="en-AU"/>
          </w:rPr>
          <w:t>committees@parliament.act.gov.au</w:t>
        </w:r>
        <w:bookmarkEnd w:id="20"/>
        <w:bookmarkEnd w:id="21"/>
      </w:hyperlink>
    </w:p>
    <w:p w:rsidR="00D940F4" w:rsidRPr="007A3507" w:rsidRDefault="00D940F4" w:rsidP="00D940F4">
      <w:pPr>
        <w:pStyle w:val="Bodytextnonumbering"/>
        <w:keepNext w:val="0"/>
      </w:pPr>
      <w:bookmarkStart w:id="22" w:name="_Toc341433420"/>
      <w:bookmarkStart w:id="23" w:name="_Toc341687863"/>
      <w:r>
        <w:t>Website</w:t>
      </w:r>
      <w:r>
        <w:tab/>
      </w:r>
      <w:hyperlink r:id="rId17" w:history="1">
        <w:r w:rsidRPr="00C304FF">
          <w:rPr>
            <w:rStyle w:val="Hyperlink"/>
            <w:lang w:val="en-US" w:eastAsia="en-AU"/>
          </w:rPr>
          <w:t>www.parliament.act.gov.au</w:t>
        </w:r>
        <w:bookmarkEnd w:id="22"/>
        <w:bookmarkEnd w:id="23"/>
      </w:hyperlink>
      <w:r w:rsidRPr="00C304FF">
        <w:rPr>
          <w:rStyle w:val="Hyperlink"/>
          <w:lang w:val="en-US" w:eastAsia="en-AU"/>
        </w:rPr>
        <w:t xml:space="preserve"> </w:t>
      </w:r>
    </w:p>
    <w:p w:rsidR="004001FB" w:rsidRDefault="00D532AE" w:rsidP="001C75D2">
      <w:pPr>
        <w:pStyle w:val="Heading3"/>
        <w:ind w:hanging="567"/>
      </w:pPr>
      <w:bookmarkStart w:id="24" w:name="_Toc502671584"/>
      <w:bookmarkStart w:id="25" w:name="_Toc502671763"/>
      <w:bookmarkStart w:id="26" w:name="_Toc502671868"/>
      <w:bookmarkStart w:id="27" w:name="_Toc502672801"/>
      <w:r>
        <w:br w:type="page"/>
      </w:r>
      <w:bookmarkStart w:id="28" w:name="_Toc10119162"/>
      <w:r w:rsidR="004001FB">
        <w:lastRenderedPageBreak/>
        <w:t>Resolution of appointment</w:t>
      </w:r>
      <w:bookmarkEnd w:id="24"/>
      <w:bookmarkEnd w:id="25"/>
      <w:bookmarkEnd w:id="26"/>
      <w:bookmarkEnd w:id="27"/>
      <w:r w:rsidR="0032606E">
        <w:t xml:space="preserve"> and Terms of Reference</w:t>
      </w:r>
      <w:bookmarkEnd w:id="28"/>
    </w:p>
    <w:p w:rsidR="002B203E" w:rsidRDefault="002B203E" w:rsidP="00104875">
      <w:pPr>
        <w:pStyle w:val="BodyText"/>
        <w:numPr>
          <w:ilvl w:val="0"/>
          <w:numId w:val="0"/>
        </w:numPr>
      </w:pPr>
      <w:bookmarkStart w:id="29" w:name="_Toc502671585"/>
      <w:bookmarkStart w:id="30" w:name="_Toc502671764"/>
      <w:bookmarkStart w:id="31" w:name="_Toc502671869"/>
      <w:bookmarkStart w:id="32" w:name="_Toc502672802"/>
      <w:r>
        <w:t xml:space="preserve">Fuel prices continue to be of great concern to Canberrans given a significant proportion of income is spent on fuel as a commodity.  </w:t>
      </w:r>
    </w:p>
    <w:p w:rsidR="0032606E" w:rsidRDefault="0032606E" w:rsidP="0032606E">
      <w:r>
        <w:t>The Resolution appointing the Select Committee was passed by the Legislative Assembly on 14 February 2019.</w:t>
      </w:r>
      <w:r>
        <w:rPr>
          <w:rStyle w:val="FootnoteReference"/>
        </w:rPr>
        <w:footnoteReference w:id="1"/>
      </w:r>
    </w:p>
    <w:p w:rsidR="0032606E" w:rsidRDefault="0032606E" w:rsidP="0032606E">
      <w:r>
        <w:t>The Committee’s Terms of Reference are:</w:t>
      </w:r>
    </w:p>
    <w:p w:rsidR="0032606E" w:rsidRPr="00A329D7" w:rsidRDefault="0032606E" w:rsidP="0032606E">
      <w:r w:rsidRPr="00A329D7">
        <w:t>That:</w:t>
      </w:r>
    </w:p>
    <w:p w:rsidR="0032606E" w:rsidRPr="00A329D7" w:rsidRDefault="0032606E" w:rsidP="00DA0694">
      <w:pPr>
        <w:pStyle w:val="ListParagraph"/>
        <w:numPr>
          <w:ilvl w:val="0"/>
          <w:numId w:val="12"/>
        </w:numPr>
      </w:pPr>
      <w:r w:rsidRPr="00A329D7">
        <w:t>a select committee be established to inquire into, and report on, fuel prices in the ACT, including:</w:t>
      </w:r>
    </w:p>
    <w:p w:rsidR="0032606E" w:rsidRPr="00A329D7" w:rsidRDefault="0032606E" w:rsidP="00DA0694">
      <w:pPr>
        <w:pStyle w:val="ListParagraph"/>
        <w:numPr>
          <w:ilvl w:val="0"/>
          <w:numId w:val="10"/>
        </w:numPr>
      </w:pPr>
      <w:r w:rsidRPr="00A329D7">
        <w:t>fuel price methodology and key determinants;</w:t>
      </w:r>
    </w:p>
    <w:p w:rsidR="0032606E" w:rsidRPr="00A329D7" w:rsidRDefault="0032606E" w:rsidP="00DA0694">
      <w:pPr>
        <w:pStyle w:val="ListParagraph"/>
        <w:numPr>
          <w:ilvl w:val="0"/>
          <w:numId w:val="10"/>
        </w:numPr>
      </w:pPr>
      <w:r w:rsidRPr="00A329D7">
        <w:t>characteristics of the ACT fuel market, including historical changes;</w:t>
      </w:r>
    </w:p>
    <w:p w:rsidR="0032606E" w:rsidRPr="00A329D7" w:rsidRDefault="0032606E" w:rsidP="00DA0694">
      <w:pPr>
        <w:pStyle w:val="ListParagraph"/>
        <w:numPr>
          <w:ilvl w:val="0"/>
          <w:numId w:val="10"/>
        </w:numPr>
      </w:pPr>
      <w:r w:rsidRPr="00A329D7">
        <w:t>the impact of fuel prices on the ACT community;</w:t>
      </w:r>
    </w:p>
    <w:p w:rsidR="0032606E" w:rsidRPr="00A329D7" w:rsidRDefault="0032606E" w:rsidP="00DA0694">
      <w:pPr>
        <w:pStyle w:val="ListParagraph"/>
        <w:numPr>
          <w:ilvl w:val="0"/>
          <w:numId w:val="10"/>
        </w:numPr>
      </w:pPr>
      <w:r w:rsidRPr="00A329D7">
        <w:t>reasons for significant pricing discrepancies within the ACT and when compared to other Australian communities and capital cities;</w:t>
      </w:r>
    </w:p>
    <w:p w:rsidR="0032606E" w:rsidRPr="00A329D7" w:rsidRDefault="0032606E" w:rsidP="00DA0694">
      <w:pPr>
        <w:pStyle w:val="ListParagraph"/>
        <w:numPr>
          <w:ilvl w:val="0"/>
          <w:numId w:val="10"/>
        </w:numPr>
      </w:pPr>
      <w:r w:rsidRPr="00A329D7">
        <w:t>consideration of best practice approaches and initiatives in other jurisdictions which have a meaningful impact on reducing fuel prices; and</w:t>
      </w:r>
    </w:p>
    <w:p w:rsidR="0032606E" w:rsidRPr="00A329D7" w:rsidRDefault="0032606E" w:rsidP="00DA0694">
      <w:pPr>
        <w:pStyle w:val="ListParagraph"/>
        <w:numPr>
          <w:ilvl w:val="0"/>
          <w:numId w:val="10"/>
        </w:numPr>
      </w:pPr>
      <w:r w:rsidRPr="00A329D7">
        <w:t>regulatory and legislative solutions and barriers, particularly around competition and retail margin</w:t>
      </w:r>
      <w:r w:rsidR="008A759C">
        <w:t>s</w:t>
      </w:r>
      <w:r w:rsidRPr="00A329D7">
        <w:t>;</w:t>
      </w:r>
    </w:p>
    <w:p w:rsidR="0032606E" w:rsidRPr="00A329D7" w:rsidRDefault="0032606E" w:rsidP="00DA0694">
      <w:pPr>
        <w:pStyle w:val="ListParagraph"/>
        <w:numPr>
          <w:ilvl w:val="0"/>
          <w:numId w:val="12"/>
        </w:numPr>
      </w:pPr>
      <w:r w:rsidRPr="00A329D7">
        <w:t>the select committee shall consist of the following:</w:t>
      </w:r>
    </w:p>
    <w:p w:rsidR="0032606E" w:rsidRPr="00A329D7" w:rsidRDefault="0032606E" w:rsidP="00DA0694">
      <w:pPr>
        <w:pStyle w:val="ListParagraph"/>
        <w:numPr>
          <w:ilvl w:val="0"/>
          <w:numId w:val="11"/>
        </w:numPr>
      </w:pPr>
      <w:r w:rsidRPr="00A329D7">
        <w:t>one Member to be nominated by the Government;</w:t>
      </w:r>
    </w:p>
    <w:p w:rsidR="0032606E" w:rsidRPr="00A329D7" w:rsidRDefault="0032606E" w:rsidP="00DA0694">
      <w:pPr>
        <w:pStyle w:val="ListParagraph"/>
        <w:numPr>
          <w:ilvl w:val="0"/>
          <w:numId w:val="11"/>
        </w:numPr>
      </w:pPr>
      <w:r w:rsidRPr="00A329D7">
        <w:t>two Members to be nominated by the Opposition; and</w:t>
      </w:r>
    </w:p>
    <w:p w:rsidR="0032606E" w:rsidRPr="00A329D7" w:rsidRDefault="0032606E" w:rsidP="00DA0694">
      <w:pPr>
        <w:pStyle w:val="ListParagraph"/>
        <w:numPr>
          <w:ilvl w:val="0"/>
          <w:numId w:val="11"/>
        </w:numPr>
      </w:pPr>
      <w:r w:rsidRPr="00A329D7">
        <w:t>the Chair shall be the Government Member;</w:t>
      </w:r>
    </w:p>
    <w:p w:rsidR="0032606E" w:rsidRPr="00A329D7" w:rsidRDefault="0032606E" w:rsidP="00DA0694">
      <w:pPr>
        <w:pStyle w:val="ListParagraph"/>
        <w:numPr>
          <w:ilvl w:val="0"/>
          <w:numId w:val="12"/>
        </w:numPr>
      </w:pPr>
      <w:r w:rsidRPr="00A329D7">
        <w:t>the select committee is to report by the last sitting day in June 2019;</w:t>
      </w:r>
    </w:p>
    <w:p w:rsidR="0032606E" w:rsidRDefault="0032606E" w:rsidP="00DA0694">
      <w:pPr>
        <w:pStyle w:val="ListParagraph"/>
        <w:numPr>
          <w:ilvl w:val="0"/>
          <w:numId w:val="12"/>
        </w:numPr>
      </w:pPr>
      <w:r w:rsidRPr="00A329D7">
        <w:t>the foregoing provisions of this resolution, so far as they are inconsistent with the standing orders, have effect notwithstanding anything contained in the</w:t>
      </w:r>
      <w:r>
        <w:t xml:space="preserve"> </w:t>
      </w:r>
      <w:r w:rsidRPr="00A329D7">
        <w:t>standing orders</w:t>
      </w:r>
      <w:r w:rsidR="00DB7739">
        <w:t>.</w:t>
      </w:r>
    </w:p>
    <w:p w:rsidR="00EB51D7" w:rsidRPr="00B337AD" w:rsidRDefault="00DB7739" w:rsidP="00EB51D7">
      <w:pPr>
        <w:pStyle w:val="BodyText"/>
        <w:numPr>
          <w:ilvl w:val="0"/>
          <w:numId w:val="0"/>
        </w:numPr>
      </w:pPr>
      <w:r>
        <w:t xml:space="preserve">On 16 May 2019, the Assembly moved that </w:t>
      </w:r>
      <w:r w:rsidR="00EB51D7">
        <w:t>t</w:t>
      </w:r>
      <w:r w:rsidR="00EB51D7" w:rsidRPr="008460DE">
        <w:t xml:space="preserve">hat the </w:t>
      </w:r>
      <w:r w:rsidR="00EB51D7">
        <w:t>date the select committee is to present its report be extended from the last sitting day</w:t>
      </w:r>
      <w:r w:rsidR="00EB51D7" w:rsidRPr="008460DE">
        <w:t xml:space="preserve"> in June 2019 </w:t>
      </w:r>
      <w:r w:rsidR="00EB51D7">
        <w:t xml:space="preserve">to </w:t>
      </w:r>
      <w:r w:rsidR="00EB51D7" w:rsidRPr="008460DE">
        <w:t>17 September 2019.</w:t>
      </w:r>
      <w:r w:rsidR="00EB51D7">
        <w:rPr>
          <w:rStyle w:val="FootnoteReference"/>
        </w:rPr>
        <w:footnoteReference w:id="2"/>
      </w:r>
    </w:p>
    <w:p w:rsidR="00DB7739" w:rsidRPr="00A329D7" w:rsidRDefault="00DB7739" w:rsidP="00EB51D7">
      <w:pPr>
        <w:pStyle w:val="BodyText"/>
        <w:numPr>
          <w:ilvl w:val="0"/>
          <w:numId w:val="0"/>
        </w:numPr>
        <w:ind w:left="567"/>
      </w:pPr>
    </w:p>
    <w:p w:rsidR="004001FB" w:rsidRDefault="00A86276" w:rsidP="007104A7">
      <w:pPr>
        <w:pStyle w:val="Heading2"/>
        <w:numPr>
          <w:ilvl w:val="0"/>
          <w:numId w:val="0"/>
        </w:numPr>
      </w:pPr>
      <w:bookmarkStart w:id="33" w:name="_Toc10119163"/>
      <w:bookmarkEnd w:id="29"/>
      <w:bookmarkEnd w:id="30"/>
      <w:bookmarkEnd w:id="31"/>
      <w:bookmarkEnd w:id="32"/>
      <w:r>
        <w:lastRenderedPageBreak/>
        <w:t>A</w:t>
      </w:r>
      <w:r w:rsidR="00D37A0C">
        <w:t>cronyms</w:t>
      </w:r>
      <w:r w:rsidR="00C219EC">
        <w:t xml:space="preserve"> and Abbreviations</w:t>
      </w:r>
      <w:bookmarkEnd w:id="33"/>
    </w:p>
    <w:tbl>
      <w:tblPr>
        <w:tblStyle w:val="CommitteeTable"/>
        <w:tblW w:w="9072" w:type="dxa"/>
        <w:tblInd w:w="-5" w:type="dxa"/>
        <w:tblLook w:val="04A0" w:firstRow="1" w:lastRow="0" w:firstColumn="1" w:lastColumn="0" w:noHBand="0" w:noVBand="1"/>
      </w:tblPr>
      <w:tblGrid>
        <w:gridCol w:w="2098"/>
        <w:gridCol w:w="6974"/>
      </w:tblGrid>
      <w:tr w:rsidR="002A2442" w:rsidTr="002F2404">
        <w:trPr>
          <w:cnfStyle w:val="100000000000" w:firstRow="1" w:lastRow="0" w:firstColumn="0" w:lastColumn="0" w:oddVBand="0" w:evenVBand="0" w:oddHBand="0" w:evenHBand="0" w:firstRowFirstColumn="0" w:firstRowLastColumn="0" w:lastRowFirstColumn="0" w:lastRowLastColumn="0"/>
        </w:trPr>
        <w:tc>
          <w:tcPr>
            <w:tcW w:w="2098" w:type="dxa"/>
          </w:tcPr>
          <w:p w:rsidR="002A2442" w:rsidRPr="002A2442" w:rsidRDefault="002A2442" w:rsidP="0056020D">
            <w:pPr>
              <w:pStyle w:val="TableText"/>
              <w:rPr>
                <w:b w:val="0"/>
              </w:rPr>
            </w:pPr>
            <w:r w:rsidRPr="002A2442">
              <w:rPr>
                <w:b w:val="0"/>
              </w:rPr>
              <w:t>ACCC</w:t>
            </w:r>
          </w:p>
        </w:tc>
        <w:tc>
          <w:tcPr>
            <w:tcW w:w="6974" w:type="dxa"/>
          </w:tcPr>
          <w:p w:rsidR="002A2442" w:rsidRDefault="002A2442" w:rsidP="002A2442">
            <w:pPr>
              <w:pStyle w:val="TableText"/>
              <w:rPr>
                <w:b w:val="0"/>
              </w:rPr>
            </w:pPr>
            <w:r>
              <w:rPr>
                <w:b w:val="0"/>
              </w:rPr>
              <w:t>Australian Competition and Consumer Commission (Commonwealth)</w:t>
            </w:r>
          </w:p>
        </w:tc>
      </w:tr>
      <w:tr w:rsidR="002A2442" w:rsidTr="002F2404">
        <w:trPr>
          <w:cnfStyle w:val="000000100000" w:firstRow="0" w:lastRow="0" w:firstColumn="0" w:lastColumn="0" w:oddVBand="0" w:evenVBand="0" w:oddHBand="1" w:evenHBand="0" w:firstRowFirstColumn="0" w:firstRowLastColumn="0" w:lastRowFirstColumn="0" w:lastRowLastColumn="0"/>
        </w:trPr>
        <w:tc>
          <w:tcPr>
            <w:tcW w:w="2098" w:type="dxa"/>
          </w:tcPr>
          <w:p w:rsidR="002A2442" w:rsidRPr="0056020D" w:rsidRDefault="002A2442" w:rsidP="0056020D">
            <w:pPr>
              <w:pStyle w:val="TableText"/>
              <w:rPr>
                <w:b/>
              </w:rPr>
            </w:pPr>
            <w:r>
              <w:t>ICRC</w:t>
            </w:r>
          </w:p>
        </w:tc>
        <w:tc>
          <w:tcPr>
            <w:tcW w:w="6974" w:type="dxa"/>
          </w:tcPr>
          <w:p w:rsidR="002A2442" w:rsidRPr="0056020D" w:rsidRDefault="002A2442" w:rsidP="0056020D">
            <w:pPr>
              <w:pStyle w:val="TableText"/>
              <w:rPr>
                <w:b/>
              </w:rPr>
            </w:pPr>
            <w:r w:rsidRPr="002A2442">
              <w:t>ACT</w:t>
            </w:r>
            <w:r>
              <w:rPr>
                <w:b/>
              </w:rPr>
              <w:t xml:space="preserve"> </w:t>
            </w:r>
            <w:r>
              <w:t>Independent Competition and Regulatory Commission</w:t>
            </w:r>
          </w:p>
        </w:tc>
      </w:tr>
      <w:tr w:rsidR="002A2442" w:rsidTr="002F2404">
        <w:tc>
          <w:tcPr>
            <w:tcW w:w="2098" w:type="dxa"/>
          </w:tcPr>
          <w:p w:rsidR="002A2442" w:rsidRPr="0056020D" w:rsidRDefault="002A2442" w:rsidP="0056020D">
            <w:pPr>
              <w:pStyle w:val="TableText"/>
            </w:pPr>
            <w:bookmarkStart w:id="34" w:name="RowTitle_Acronyms"/>
            <w:bookmarkEnd w:id="34"/>
            <w:r>
              <w:t>AIP</w:t>
            </w:r>
          </w:p>
        </w:tc>
        <w:tc>
          <w:tcPr>
            <w:tcW w:w="6974" w:type="dxa"/>
          </w:tcPr>
          <w:p w:rsidR="002A2442" w:rsidRPr="0056020D" w:rsidRDefault="002A2442" w:rsidP="0056020D">
            <w:pPr>
              <w:pStyle w:val="TableText"/>
            </w:pPr>
            <w:r>
              <w:t>Australian Institute of Petroleum</w:t>
            </w:r>
          </w:p>
        </w:tc>
      </w:tr>
      <w:tr w:rsidR="002A2442" w:rsidTr="002F2404">
        <w:trPr>
          <w:cnfStyle w:val="000000100000" w:firstRow="0" w:lastRow="0" w:firstColumn="0" w:lastColumn="0" w:oddVBand="0" w:evenVBand="0" w:oddHBand="1" w:evenHBand="0" w:firstRowFirstColumn="0" w:firstRowLastColumn="0" w:lastRowFirstColumn="0" w:lastRowLastColumn="0"/>
        </w:trPr>
        <w:tc>
          <w:tcPr>
            <w:tcW w:w="2098" w:type="dxa"/>
          </w:tcPr>
          <w:p w:rsidR="002A2442" w:rsidRPr="0056020D" w:rsidRDefault="002A2442" w:rsidP="0056020D">
            <w:pPr>
              <w:pStyle w:val="TableText"/>
            </w:pPr>
            <w:r>
              <w:t>APACMA</w:t>
            </w:r>
          </w:p>
        </w:tc>
        <w:tc>
          <w:tcPr>
            <w:tcW w:w="6974" w:type="dxa"/>
          </w:tcPr>
          <w:p w:rsidR="002A2442" w:rsidRPr="0056020D" w:rsidRDefault="002A2442" w:rsidP="0056020D">
            <w:pPr>
              <w:pStyle w:val="TableText"/>
            </w:pPr>
            <w:r>
              <w:t>Australasian Convenience and Petroleum Marketers Association</w:t>
            </w:r>
          </w:p>
        </w:tc>
      </w:tr>
      <w:tr w:rsidR="002A2442" w:rsidTr="002F2404">
        <w:tc>
          <w:tcPr>
            <w:tcW w:w="2098" w:type="dxa"/>
          </w:tcPr>
          <w:p w:rsidR="002A2442" w:rsidRPr="0056020D" w:rsidRDefault="002A2442" w:rsidP="0056020D">
            <w:pPr>
              <w:pStyle w:val="TableText"/>
            </w:pPr>
            <w:r>
              <w:t>Fuel Check</w:t>
            </w:r>
          </w:p>
        </w:tc>
        <w:tc>
          <w:tcPr>
            <w:tcW w:w="6974" w:type="dxa"/>
          </w:tcPr>
          <w:p w:rsidR="002A2442" w:rsidRPr="0056020D" w:rsidRDefault="002A2442" w:rsidP="0056020D">
            <w:pPr>
              <w:pStyle w:val="TableText"/>
            </w:pPr>
            <w:r>
              <w:t>An</w:t>
            </w:r>
            <w:r w:rsidRPr="00104875">
              <w:t xml:space="preserve"> online tool designed to provide consumers with real-time information about fuel prices at every service station across NSW</w:t>
            </w:r>
            <w:r>
              <w:t>, established by the NSW Government in 2</w:t>
            </w:r>
            <w:r w:rsidRPr="001632A9">
              <w:t>016.</w:t>
            </w:r>
          </w:p>
        </w:tc>
      </w:tr>
      <w:tr w:rsidR="002A2442" w:rsidTr="002F2404">
        <w:trPr>
          <w:cnfStyle w:val="000000100000" w:firstRow="0" w:lastRow="0" w:firstColumn="0" w:lastColumn="0" w:oddVBand="0" w:evenVBand="0" w:oddHBand="1" w:evenHBand="0" w:firstRowFirstColumn="0" w:firstRowLastColumn="0" w:lastRowFirstColumn="0" w:lastRowLastColumn="0"/>
        </w:trPr>
        <w:tc>
          <w:tcPr>
            <w:tcW w:w="2098" w:type="dxa"/>
          </w:tcPr>
          <w:p w:rsidR="002A2442" w:rsidRPr="0056020D" w:rsidRDefault="002A2442" w:rsidP="0056020D">
            <w:pPr>
              <w:pStyle w:val="TableText"/>
            </w:pPr>
            <w:proofErr w:type="spellStart"/>
            <w:r>
              <w:t>FuelWatch</w:t>
            </w:r>
            <w:proofErr w:type="spellEnd"/>
          </w:p>
        </w:tc>
        <w:tc>
          <w:tcPr>
            <w:tcW w:w="6974" w:type="dxa"/>
          </w:tcPr>
          <w:p w:rsidR="002A2442" w:rsidRPr="0056020D" w:rsidRDefault="002A2442" w:rsidP="0056020D">
            <w:pPr>
              <w:pStyle w:val="TableText"/>
            </w:pPr>
            <w:r>
              <w:t xml:space="preserve">A scheme where fuel retailers are required to notify their next day’s retail price for each fuel they sell by 2pm and stay at the notified price from 6am for 24 hours, established by the WA Government in 2002. </w:t>
            </w:r>
            <w:proofErr w:type="spellStart"/>
            <w:r>
              <w:t>FuelWatch</w:t>
            </w:r>
            <w:proofErr w:type="spellEnd"/>
            <w:r>
              <w:t xml:space="preserve"> aims are to provide certainty and transparency. </w:t>
            </w:r>
          </w:p>
        </w:tc>
      </w:tr>
      <w:tr w:rsidR="002A2442" w:rsidTr="002F2404">
        <w:tc>
          <w:tcPr>
            <w:tcW w:w="2098" w:type="dxa"/>
          </w:tcPr>
          <w:p w:rsidR="002A2442" w:rsidRPr="0056020D" w:rsidRDefault="002A2442" w:rsidP="0056020D">
            <w:pPr>
              <w:pStyle w:val="TableText"/>
            </w:pPr>
            <w:r>
              <w:t>Informed Sources</w:t>
            </w:r>
          </w:p>
        </w:tc>
        <w:tc>
          <w:tcPr>
            <w:tcW w:w="6974" w:type="dxa"/>
          </w:tcPr>
          <w:p w:rsidR="002A2442" w:rsidRPr="00BC37AF" w:rsidRDefault="002A2442" w:rsidP="0056020D">
            <w:pPr>
              <w:pStyle w:val="TableText"/>
            </w:pPr>
            <w:r>
              <w:t xml:space="preserve">A company which provides services to petroleum retailers including price management, network awareness, custom surveys and community intelligence. Informed Sources also runs </w:t>
            </w:r>
            <w:r>
              <w:rPr>
                <w:i/>
              </w:rPr>
              <w:t>Motor Mouth</w:t>
            </w:r>
            <w:r>
              <w:t xml:space="preserve">, an online tool and app which provides consumer awareness of fuel prices. </w:t>
            </w:r>
          </w:p>
        </w:tc>
      </w:tr>
      <w:tr w:rsidR="002A2442" w:rsidTr="002F2404">
        <w:trPr>
          <w:cnfStyle w:val="000000100000" w:firstRow="0" w:lastRow="0" w:firstColumn="0" w:lastColumn="0" w:oddVBand="0" w:evenVBand="0" w:oddHBand="1" w:evenHBand="0" w:firstRowFirstColumn="0" w:firstRowLastColumn="0" w:lastRowFirstColumn="0" w:lastRowLastColumn="0"/>
        </w:trPr>
        <w:tc>
          <w:tcPr>
            <w:tcW w:w="2098" w:type="dxa"/>
          </w:tcPr>
          <w:p w:rsidR="002A2442" w:rsidRPr="0056020D" w:rsidRDefault="002A2442" w:rsidP="0056020D">
            <w:pPr>
              <w:pStyle w:val="TableText"/>
            </w:pPr>
            <w:r>
              <w:t>MTA</w:t>
            </w:r>
          </w:p>
        </w:tc>
        <w:tc>
          <w:tcPr>
            <w:tcW w:w="6974" w:type="dxa"/>
          </w:tcPr>
          <w:p w:rsidR="002A2442" w:rsidRPr="0056020D" w:rsidRDefault="002A2442" w:rsidP="0056020D">
            <w:pPr>
              <w:pStyle w:val="TableText"/>
            </w:pPr>
            <w:r>
              <w:t xml:space="preserve">Motor Trades Association </w:t>
            </w:r>
          </w:p>
        </w:tc>
      </w:tr>
      <w:tr w:rsidR="002A2442" w:rsidTr="002F2404">
        <w:tc>
          <w:tcPr>
            <w:tcW w:w="2098" w:type="dxa"/>
          </w:tcPr>
          <w:p w:rsidR="002A2442" w:rsidRDefault="002A2442" w:rsidP="0056020D">
            <w:pPr>
              <w:pStyle w:val="TableText"/>
            </w:pPr>
            <w:r>
              <w:t>MTA ACT</w:t>
            </w:r>
          </w:p>
        </w:tc>
        <w:tc>
          <w:tcPr>
            <w:tcW w:w="6974" w:type="dxa"/>
          </w:tcPr>
          <w:p w:rsidR="002A2442" w:rsidRDefault="002A2442" w:rsidP="0056020D">
            <w:pPr>
              <w:pStyle w:val="TableText"/>
            </w:pPr>
            <w:r>
              <w:t>The Motor Trades’ Association of the ACT.</w:t>
            </w:r>
          </w:p>
        </w:tc>
      </w:tr>
      <w:tr w:rsidR="002A2442" w:rsidTr="002F2404">
        <w:trPr>
          <w:cnfStyle w:val="000000100000" w:firstRow="0" w:lastRow="0" w:firstColumn="0" w:lastColumn="0" w:oddVBand="0" w:evenVBand="0" w:oddHBand="1" w:evenHBand="0" w:firstRowFirstColumn="0" w:firstRowLastColumn="0" w:lastRowFirstColumn="0" w:lastRowLastColumn="0"/>
        </w:trPr>
        <w:tc>
          <w:tcPr>
            <w:tcW w:w="2098" w:type="dxa"/>
          </w:tcPr>
          <w:p w:rsidR="002A2442" w:rsidRDefault="002A2442" w:rsidP="0056020D">
            <w:pPr>
              <w:pStyle w:val="TableText"/>
            </w:pPr>
            <w:r>
              <w:t>NRMA</w:t>
            </w:r>
          </w:p>
        </w:tc>
        <w:tc>
          <w:tcPr>
            <w:tcW w:w="6974" w:type="dxa"/>
          </w:tcPr>
          <w:p w:rsidR="002A2442" w:rsidRDefault="002A2442" w:rsidP="0056020D">
            <w:pPr>
              <w:pStyle w:val="TableText"/>
            </w:pPr>
            <w:r>
              <w:t>National Roads and Motorists’ Association – the NSW motorists’ organisation.</w:t>
            </w:r>
          </w:p>
        </w:tc>
      </w:tr>
      <w:tr w:rsidR="002A2442" w:rsidTr="002F2404">
        <w:tc>
          <w:tcPr>
            <w:tcW w:w="2098" w:type="dxa"/>
          </w:tcPr>
          <w:p w:rsidR="002A2442" w:rsidRDefault="002A2442" w:rsidP="0056020D">
            <w:pPr>
              <w:pStyle w:val="TableText"/>
            </w:pPr>
            <w:r>
              <w:t>RAC WA</w:t>
            </w:r>
          </w:p>
        </w:tc>
        <w:tc>
          <w:tcPr>
            <w:tcW w:w="6974" w:type="dxa"/>
          </w:tcPr>
          <w:p w:rsidR="002A2442" w:rsidRDefault="002A2442" w:rsidP="0056020D">
            <w:pPr>
              <w:pStyle w:val="TableText"/>
            </w:pPr>
            <w:r>
              <w:t xml:space="preserve">Royal Automobile Club of Western Australia – the WA motorists’ association </w:t>
            </w:r>
          </w:p>
        </w:tc>
      </w:tr>
      <w:tr w:rsidR="002A2442" w:rsidTr="002F2404">
        <w:trPr>
          <w:cnfStyle w:val="000000100000" w:firstRow="0" w:lastRow="0" w:firstColumn="0" w:lastColumn="0" w:oddVBand="0" w:evenVBand="0" w:oddHBand="1" w:evenHBand="0" w:firstRowFirstColumn="0" w:firstRowLastColumn="0" w:lastRowFirstColumn="0" w:lastRowLastColumn="0"/>
        </w:trPr>
        <w:tc>
          <w:tcPr>
            <w:tcW w:w="2098" w:type="dxa"/>
          </w:tcPr>
          <w:p w:rsidR="002A2442" w:rsidRPr="0056020D" w:rsidRDefault="002A2442" w:rsidP="0056020D">
            <w:pPr>
              <w:pStyle w:val="TableText"/>
            </w:pPr>
            <w:r>
              <w:t>Viva</w:t>
            </w:r>
          </w:p>
        </w:tc>
        <w:tc>
          <w:tcPr>
            <w:tcW w:w="6974" w:type="dxa"/>
          </w:tcPr>
          <w:p w:rsidR="002A2442" w:rsidRPr="0056020D" w:rsidRDefault="002A2442" w:rsidP="0056020D">
            <w:pPr>
              <w:pStyle w:val="TableText"/>
            </w:pPr>
            <w:r>
              <w:t xml:space="preserve">One of Australia’s largest energy companies and the exclusive licensee of the Shell brand and its products in Australia. </w:t>
            </w:r>
          </w:p>
        </w:tc>
      </w:tr>
    </w:tbl>
    <w:p w:rsidR="00AF5B68" w:rsidRDefault="00AF5B68" w:rsidP="0064133C">
      <w:pPr>
        <w:pStyle w:val="TOCHeading"/>
      </w:pPr>
    </w:p>
    <w:p w:rsidR="00AF5B68" w:rsidRDefault="00AF5B68">
      <w:pPr>
        <w:spacing w:before="0" w:after="0" w:line="240" w:lineRule="auto"/>
        <w:rPr>
          <w:rFonts w:ascii="Arial Narrow" w:hAnsi="Arial Narrow"/>
          <w:smallCaps/>
          <w:spacing w:val="20"/>
          <w:kern w:val="42"/>
          <w:sz w:val="44"/>
          <w:szCs w:val="44"/>
        </w:rPr>
      </w:pPr>
      <w:r>
        <w:br w:type="page"/>
      </w:r>
    </w:p>
    <w:p w:rsidR="005973EA" w:rsidRPr="0064133C" w:rsidRDefault="00566B91" w:rsidP="0064133C">
      <w:pPr>
        <w:pStyle w:val="TOCHeading"/>
      </w:pPr>
      <w:r w:rsidRPr="0064133C">
        <w:lastRenderedPageBreak/>
        <w:t>Table of Contents</w:t>
      </w:r>
    </w:p>
    <w:p w:rsidR="008B166A" w:rsidRDefault="00171CA7">
      <w:pPr>
        <w:pStyle w:val="TOC1"/>
        <w:rPr>
          <w:rFonts w:asciiTheme="minorHAnsi" w:eastAsiaTheme="minorEastAsia" w:hAnsiTheme="minorHAnsi" w:cstheme="minorBidi"/>
          <w:b w:val="0"/>
          <w:bCs w:val="0"/>
          <w:smallCaps w:val="0"/>
          <w:noProof/>
          <w:spacing w:val="0"/>
          <w:sz w:val="22"/>
          <w:szCs w:val="22"/>
          <w:lang w:eastAsia="en-AU"/>
        </w:rPr>
      </w:pPr>
      <w:r>
        <w:fldChar w:fldCharType="begin"/>
      </w:r>
      <w:r w:rsidR="00383DFC">
        <w:instrText xml:space="preserve"> TOC \h \z \t "Heading 2,1,Heading 3,2" </w:instrText>
      </w:r>
      <w:r>
        <w:fldChar w:fldCharType="separate"/>
      </w:r>
      <w:hyperlink w:anchor="_Toc10119158" w:history="1">
        <w:r w:rsidR="008B166A" w:rsidRPr="00DD0BF2">
          <w:rPr>
            <w:rStyle w:val="Hyperlink"/>
            <w:noProof/>
          </w:rPr>
          <w:t>The Committee</w:t>
        </w:r>
        <w:r w:rsidR="008B166A">
          <w:rPr>
            <w:noProof/>
            <w:webHidden/>
          </w:rPr>
          <w:tab/>
        </w:r>
        <w:r w:rsidR="008B166A">
          <w:rPr>
            <w:noProof/>
            <w:webHidden/>
          </w:rPr>
          <w:fldChar w:fldCharType="begin"/>
        </w:r>
        <w:r w:rsidR="008B166A">
          <w:rPr>
            <w:noProof/>
            <w:webHidden/>
          </w:rPr>
          <w:instrText xml:space="preserve"> PAGEREF _Toc10119158 \h </w:instrText>
        </w:r>
        <w:r w:rsidR="008B166A">
          <w:rPr>
            <w:noProof/>
            <w:webHidden/>
          </w:rPr>
        </w:r>
        <w:r w:rsidR="008B166A">
          <w:rPr>
            <w:noProof/>
            <w:webHidden/>
          </w:rPr>
          <w:fldChar w:fldCharType="separate"/>
        </w:r>
        <w:r w:rsidR="008B166A">
          <w:rPr>
            <w:noProof/>
            <w:webHidden/>
          </w:rPr>
          <w:t>i</w:t>
        </w:r>
        <w:r w:rsidR="008B166A">
          <w:rPr>
            <w:noProof/>
            <w:webHidden/>
          </w:rPr>
          <w:fldChar w:fldCharType="end"/>
        </w:r>
      </w:hyperlink>
    </w:p>
    <w:p w:rsidR="008B166A" w:rsidRDefault="006D5D66">
      <w:pPr>
        <w:pStyle w:val="TOC2"/>
        <w:rPr>
          <w:rFonts w:asciiTheme="minorHAnsi" w:eastAsiaTheme="minorEastAsia" w:hAnsiTheme="minorHAnsi" w:cstheme="minorBidi"/>
          <w:b w:val="0"/>
          <w:noProof/>
          <w:sz w:val="22"/>
          <w:szCs w:val="22"/>
          <w:lang w:eastAsia="en-AU"/>
        </w:rPr>
      </w:pPr>
      <w:hyperlink w:anchor="_Toc10119159" w:history="1">
        <w:r w:rsidR="008B166A" w:rsidRPr="00DD0BF2">
          <w:rPr>
            <w:rStyle w:val="Hyperlink"/>
            <w:noProof/>
          </w:rPr>
          <w:t>Committee Membership</w:t>
        </w:r>
        <w:r w:rsidR="008B166A">
          <w:rPr>
            <w:noProof/>
            <w:webHidden/>
          </w:rPr>
          <w:tab/>
        </w:r>
        <w:r w:rsidR="008B166A">
          <w:rPr>
            <w:noProof/>
            <w:webHidden/>
          </w:rPr>
          <w:fldChar w:fldCharType="begin"/>
        </w:r>
        <w:r w:rsidR="008B166A">
          <w:rPr>
            <w:noProof/>
            <w:webHidden/>
          </w:rPr>
          <w:instrText xml:space="preserve"> PAGEREF _Toc10119159 \h </w:instrText>
        </w:r>
        <w:r w:rsidR="008B166A">
          <w:rPr>
            <w:noProof/>
            <w:webHidden/>
          </w:rPr>
        </w:r>
        <w:r w:rsidR="008B166A">
          <w:rPr>
            <w:noProof/>
            <w:webHidden/>
          </w:rPr>
          <w:fldChar w:fldCharType="separate"/>
        </w:r>
        <w:r w:rsidR="008B166A">
          <w:rPr>
            <w:noProof/>
            <w:webHidden/>
          </w:rPr>
          <w:t>i</w:t>
        </w:r>
        <w:r w:rsidR="008B166A">
          <w:rPr>
            <w:noProof/>
            <w:webHidden/>
          </w:rPr>
          <w:fldChar w:fldCharType="end"/>
        </w:r>
      </w:hyperlink>
    </w:p>
    <w:p w:rsidR="008B166A" w:rsidRDefault="006D5D66">
      <w:pPr>
        <w:pStyle w:val="TOC2"/>
        <w:rPr>
          <w:rFonts w:asciiTheme="minorHAnsi" w:eastAsiaTheme="minorEastAsia" w:hAnsiTheme="minorHAnsi" w:cstheme="minorBidi"/>
          <w:b w:val="0"/>
          <w:noProof/>
          <w:sz w:val="22"/>
          <w:szCs w:val="22"/>
          <w:lang w:eastAsia="en-AU"/>
        </w:rPr>
      </w:pPr>
      <w:hyperlink w:anchor="_Toc10119160" w:history="1">
        <w:r w:rsidR="008B166A" w:rsidRPr="00DD0BF2">
          <w:rPr>
            <w:rStyle w:val="Hyperlink"/>
            <w:noProof/>
          </w:rPr>
          <w:t>Secretariat</w:t>
        </w:r>
        <w:r w:rsidR="008B166A">
          <w:rPr>
            <w:noProof/>
            <w:webHidden/>
          </w:rPr>
          <w:tab/>
        </w:r>
        <w:r w:rsidR="008B166A">
          <w:rPr>
            <w:noProof/>
            <w:webHidden/>
          </w:rPr>
          <w:fldChar w:fldCharType="begin"/>
        </w:r>
        <w:r w:rsidR="008B166A">
          <w:rPr>
            <w:noProof/>
            <w:webHidden/>
          </w:rPr>
          <w:instrText xml:space="preserve"> PAGEREF _Toc10119160 \h </w:instrText>
        </w:r>
        <w:r w:rsidR="008B166A">
          <w:rPr>
            <w:noProof/>
            <w:webHidden/>
          </w:rPr>
        </w:r>
        <w:r w:rsidR="008B166A">
          <w:rPr>
            <w:noProof/>
            <w:webHidden/>
          </w:rPr>
          <w:fldChar w:fldCharType="separate"/>
        </w:r>
        <w:r w:rsidR="008B166A">
          <w:rPr>
            <w:noProof/>
            <w:webHidden/>
          </w:rPr>
          <w:t>i</w:t>
        </w:r>
        <w:r w:rsidR="008B166A">
          <w:rPr>
            <w:noProof/>
            <w:webHidden/>
          </w:rPr>
          <w:fldChar w:fldCharType="end"/>
        </w:r>
      </w:hyperlink>
    </w:p>
    <w:p w:rsidR="008B166A" w:rsidRDefault="006D5D66">
      <w:pPr>
        <w:pStyle w:val="TOC2"/>
        <w:rPr>
          <w:rFonts w:asciiTheme="minorHAnsi" w:eastAsiaTheme="minorEastAsia" w:hAnsiTheme="minorHAnsi" w:cstheme="minorBidi"/>
          <w:b w:val="0"/>
          <w:noProof/>
          <w:sz w:val="22"/>
          <w:szCs w:val="22"/>
          <w:lang w:eastAsia="en-AU"/>
        </w:rPr>
      </w:pPr>
      <w:hyperlink w:anchor="_Toc10119161" w:history="1">
        <w:r w:rsidR="008B166A" w:rsidRPr="00DD0BF2">
          <w:rPr>
            <w:rStyle w:val="Hyperlink"/>
            <w:noProof/>
          </w:rPr>
          <w:t>Contact Information</w:t>
        </w:r>
        <w:r w:rsidR="008B166A">
          <w:rPr>
            <w:noProof/>
            <w:webHidden/>
          </w:rPr>
          <w:tab/>
        </w:r>
        <w:r w:rsidR="008B166A">
          <w:rPr>
            <w:noProof/>
            <w:webHidden/>
          </w:rPr>
          <w:fldChar w:fldCharType="begin"/>
        </w:r>
        <w:r w:rsidR="008B166A">
          <w:rPr>
            <w:noProof/>
            <w:webHidden/>
          </w:rPr>
          <w:instrText xml:space="preserve"> PAGEREF _Toc10119161 \h </w:instrText>
        </w:r>
        <w:r w:rsidR="008B166A">
          <w:rPr>
            <w:noProof/>
            <w:webHidden/>
          </w:rPr>
        </w:r>
        <w:r w:rsidR="008B166A">
          <w:rPr>
            <w:noProof/>
            <w:webHidden/>
          </w:rPr>
          <w:fldChar w:fldCharType="separate"/>
        </w:r>
        <w:r w:rsidR="008B166A">
          <w:rPr>
            <w:noProof/>
            <w:webHidden/>
          </w:rPr>
          <w:t>i</w:t>
        </w:r>
        <w:r w:rsidR="008B166A">
          <w:rPr>
            <w:noProof/>
            <w:webHidden/>
          </w:rPr>
          <w:fldChar w:fldCharType="end"/>
        </w:r>
      </w:hyperlink>
    </w:p>
    <w:p w:rsidR="008B166A" w:rsidRDefault="006D5D66">
      <w:pPr>
        <w:pStyle w:val="TOC2"/>
        <w:rPr>
          <w:rFonts w:asciiTheme="minorHAnsi" w:eastAsiaTheme="minorEastAsia" w:hAnsiTheme="minorHAnsi" w:cstheme="minorBidi"/>
          <w:b w:val="0"/>
          <w:noProof/>
          <w:sz w:val="22"/>
          <w:szCs w:val="22"/>
          <w:lang w:eastAsia="en-AU"/>
        </w:rPr>
      </w:pPr>
      <w:hyperlink w:anchor="_Toc10119162" w:history="1">
        <w:r w:rsidR="008B166A" w:rsidRPr="00DD0BF2">
          <w:rPr>
            <w:rStyle w:val="Hyperlink"/>
            <w:noProof/>
          </w:rPr>
          <w:t>Resolution of appointment and Terms of Reference</w:t>
        </w:r>
        <w:r w:rsidR="008B166A">
          <w:rPr>
            <w:noProof/>
            <w:webHidden/>
          </w:rPr>
          <w:tab/>
        </w:r>
        <w:r w:rsidR="008B166A">
          <w:rPr>
            <w:noProof/>
            <w:webHidden/>
          </w:rPr>
          <w:fldChar w:fldCharType="begin"/>
        </w:r>
        <w:r w:rsidR="008B166A">
          <w:rPr>
            <w:noProof/>
            <w:webHidden/>
          </w:rPr>
          <w:instrText xml:space="preserve"> PAGEREF _Toc10119162 \h </w:instrText>
        </w:r>
        <w:r w:rsidR="008B166A">
          <w:rPr>
            <w:noProof/>
            <w:webHidden/>
          </w:rPr>
        </w:r>
        <w:r w:rsidR="008B166A">
          <w:rPr>
            <w:noProof/>
            <w:webHidden/>
          </w:rPr>
          <w:fldChar w:fldCharType="separate"/>
        </w:r>
        <w:r w:rsidR="008B166A">
          <w:rPr>
            <w:noProof/>
            <w:webHidden/>
          </w:rPr>
          <w:t>ii</w:t>
        </w:r>
        <w:r w:rsidR="008B166A">
          <w:rPr>
            <w:noProof/>
            <w:webHidden/>
          </w:rPr>
          <w:fldChar w:fldCharType="end"/>
        </w:r>
      </w:hyperlink>
    </w:p>
    <w:p w:rsidR="008B166A" w:rsidRDefault="006D5D66">
      <w:pPr>
        <w:pStyle w:val="TOC1"/>
        <w:rPr>
          <w:rFonts w:asciiTheme="minorHAnsi" w:eastAsiaTheme="minorEastAsia" w:hAnsiTheme="minorHAnsi" w:cstheme="minorBidi"/>
          <w:b w:val="0"/>
          <w:bCs w:val="0"/>
          <w:smallCaps w:val="0"/>
          <w:noProof/>
          <w:spacing w:val="0"/>
          <w:sz w:val="22"/>
          <w:szCs w:val="22"/>
          <w:lang w:eastAsia="en-AU"/>
        </w:rPr>
      </w:pPr>
      <w:hyperlink w:anchor="_Toc10119163" w:history="1">
        <w:r w:rsidR="008B166A" w:rsidRPr="00DD0BF2">
          <w:rPr>
            <w:rStyle w:val="Hyperlink"/>
            <w:noProof/>
          </w:rPr>
          <w:t>Acronyms and Abbreviations</w:t>
        </w:r>
        <w:r w:rsidR="008B166A">
          <w:rPr>
            <w:noProof/>
            <w:webHidden/>
          </w:rPr>
          <w:tab/>
        </w:r>
        <w:r w:rsidR="008B166A">
          <w:rPr>
            <w:noProof/>
            <w:webHidden/>
          </w:rPr>
          <w:fldChar w:fldCharType="begin"/>
        </w:r>
        <w:r w:rsidR="008B166A">
          <w:rPr>
            <w:noProof/>
            <w:webHidden/>
          </w:rPr>
          <w:instrText xml:space="preserve"> PAGEREF _Toc10119163 \h </w:instrText>
        </w:r>
        <w:r w:rsidR="008B166A">
          <w:rPr>
            <w:noProof/>
            <w:webHidden/>
          </w:rPr>
        </w:r>
        <w:r w:rsidR="008B166A">
          <w:rPr>
            <w:noProof/>
            <w:webHidden/>
          </w:rPr>
          <w:fldChar w:fldCharType="separate"/>
        </w:r>
        <w:r w:rsidR="008B166A">
          <w:rPr>
            <w:noProof/>
            <w:webHidden/>
          </w:rPr>
          <w:t>iii</w:t>
        </w:r>
        <w:r w:rsidR="008B166A">
          <w:rPr>
            <w:noProof/>
            <w:webHidden/>
          </w:rPr>
          <w:fldChar w:fldCharType="end"/>
        </w:r>
      </w:hyperlink>
    </w:p>
    <w:p w:rsidR="008B166A" w:rsidRDefault="006D5D66">
      <w:pPr>
        <w:pStyle w:val="TOC1"/>
        <w:rPr>
          <w:rFonts w:asciiTheme="minorHAnsi" w:eastAsiaTheme="minorEastAsia" w:hAnsiTheme="minorHAnsi" w:cstheme="minorBidi"/>
          <w:b w:val="0"/>
          <w:bCs w:val="0"/>
          <w:smallCaps w:val="0"/>
          <w:noProof/>
          <w:spacing w:val="0"/>
          <w:sz w:val="22"/>
          <w:szCs w:val="22"/>
          <w:lang w:eastAsia="en-AU"/>
        </w:rPr>
      </w:pPr>
      <w:hyperlink w:anchor="_Toc10119164" w:history="1">
        <w:r w:rsidR="008B166A" w:rsidRPr="00DD0BF2">
          <w:rPr>
            <w:rStyle w:val="Hyperlink"/>
            <w:noProof/>
          </w:rPr>
          <w:t>1</w:t>
        </w:r>
        <w:r w:rsidR="008B166A">
          <w:rPr>
            <w:rFonts w:asciiTheme="minorHAnsi" w:eastAsiaTheme="minorEastAsia" w:hAnsiTheme="minorHAnsi" w:cstheme="minorBidi"/>
            <w:b w:val="0"/>
            <w:bCs w:val="0"/>
            <w:smallCaps w:val="0"/>
            <w:noProof/>
            <w:spacing w:val="0"/>
            <w:sz w:val="22"/>
            <w:szCs w:val="22"/>
            <w:lang w:eastAsia="en-AU"/>
          </w:rPr>
          <w:tab/>
        </w:r>
        <w:r w:rsidR="008B166A" w:rsidRPr="00DD0BF2">
          <w:rPr>
            <w:rStyle w:val="Hyperlink"/>
            <w:noProof/>
          </w:rPr>
          <w:t>Conduct of Inquiry to Date</w:t>
        </w:r>
        <w:r w:rsidR="008B166A">
          <w:rPr>
            <w:noProof/>
            <w:webHidden/>
          </w:rPr>
          <w:tab/>
        </w:r>
        <w:r w:rsidR="008B166A">
          <w:rPr>
            <w:noProof/>
            <w:webHidden/>
          </w:rPr>
          <w:fldChar w:fldCharType="begin"/>
        </w:r>
        <w:r w:rsidR="008B166A">
          <w:rPr>
            <w:noProof/>
            <w:webHidden/>
          </w:rPr>
          <w:instrText xml:space="preserve"> PAGEREF _Toc10119164 \h </w:instrText>
        </w:r>
        <w:r w:rsidR="008B166A">
          <w:rPr>
            <w:noProof/>
            <w:webHidden/>
          </w:rPr>
        </w:r>
        <w:r w:rsidR="008B166A">
          <w:rPr>
            <w:noProof/>
            <w:webHidden/>
          </w:rPr>
          <w:fldChar w:fldCharType="separate"/>
        </w:r>
        <w:r w:rsidR="008B166A">
          <w:rPr>
            <w:noProof/>
            <w:webHidden/>
          </w:rPr>
          <w:t>1</w:t>
        </w:r>
        <w:r w:rsidR="008B166A">
          <w:rPr>
            <w:noProof/>
            <w:webHidden/>
          </w:rPr>
          <w:fldChar w:fldCharType="end"/>
        </w:r>
      </w:hyperlink>
    </w:p>
    <w:p w:rsidR="008B166A" w:rsidRDefault="006D5D66">
      <w:pPr>
        <w:pStyle w:val="TOC2"/>
        <w:rPr>
          <w:rFonts w:asciiTheme="minorHAnsi" w:eastAsiaTheme="minorEastAsia" w:hAnsiTheme="minorHAnsi" w:cstheme="minorBidi"/>
          <w:b w:val="0"/>
          <w:noProof/>
          <w:sz w:val="22"/>
          <w:szCs w:val="22"/>
          <w:lang w:eastAsia="en-AU"/>
        </w:rPr>
      </w:pPr>
      <w:hyperlink w:anchor="_Toc10119165" w:history="1">
        <w:r w:rsidR="008B166A" w:rsidRPr="00DD0BF2">
          <w:rPr>
            <w:rStyle w:val="Hyperlink"/>
            <w:noProof/>
          </w:rPr>
          <w:t>Submissions</w:t>
        </w:r>
        <w:r w:rsidR="008B166A">
          <w:rPr>
            <w:noProof/>
            <w:webHidden/>
          </w:rPr>
          <w:tab/>
        </w:r>
        <w:r w:rsidR="008B166A">
          <w:rPr>
            <w:noProof/>
            <w:webHidden/>
          </w:rPr>
          <w:fldChar w:fldCharType="begin"/>
        </w:r>
        <w:r w:rsidR="008B166A">
          <w:rPr>
            <w:noProof/>
            <w:webHidden/>
          </w:rPr>
          <w:instrText xml:space="preserve"> PAGEREF _Toc10119165 \h </w:instrText>
        </w:r>
        <w:r w:rsidR="008B166A">
          <w:rPr>
            <w:noProof/>
            <w:webHidden/>
          </w:rPr>
        </w:r>
        <w:r w:rsidR="008B166A">
          <w:rPr>
            <w:noProof/>
            <w:webHidden/>
          </w:rPr>
          <w:fldChar w:fldCharType="separate"/>
        </w:r>
        <w:r w:rsidR="008B166A">
          <w:rPr>
            <w:noProof/>
            <w:webHidden/>
          </w:rPr>
          <w:t>1</w:t>
        </w:r>
        <w:r w:rsidR="008B166A">
          <w:rPr>
            <w:noProof/>
            <w:webHidden/>
          </w:rPr>
          <w:fldChar w:fldCharType="end"/>
        </w:r>
      </w:hyperlink>
    </w:p>
    <w:p w:rsidR="008B166A" w:rsidRDefault="006D5D66">
      <w:pPr>
        <w:pStyle w:val="TOC2"/>
        <w:rPr>
          <w:rFonts w:asciiTheme="minorHAnsi" w:eastAsiaTheme="minorEastAsia" w:hAnsiTheme="minorHAnsi" w:cstheme="minorBidi"/>
          <w:b w:val="0"/>
          <w:noProof/>
          <w:sz w:val="22"/>
          <w:szCs w:val="22"/>
          <w:lang w:eastAsia="en-AU"/>
        </w:rPr>
      </w:pPr>
      <w:hyperlink w:anchor="_Toc10119166" w:history="1">
        <w:r w:rsidR="008B166A" w:rsidRPr="00DD0BF2">
          <w:rPr>
            <w:rStyle w:val="Hyperlink"/>
            <w:noProof/>
          </w:rPr>
          <w:t>Survey of Community Attitudes to Fuel Pricing</w:t>
        </w:r>
        <w:r w:rsidR="008B166A">
          <w:rPr>
            <w:noProof/>
            <w:webHidden/>
          </w:rPr>
          <w:tab/>
        </w:r>
        <w:r w:rsidR="008B166A">
          <w:rPr>
            <w:noProof/>
            <w:webHidden/>
          </w:rPr>
          <w:fldChar w:fldCharType="begin"/>
        </w:r>
        <w:r w:rsidR="008B166A">
          <w:rPr>
            <w:noProof/>
            <w:webHidden/>
          </w:rPr>
          <w:instrText xml:space="preserve"> PAGEREF _Toc10119166 \h </w:instrText>
        </w:r>
        <w:r w:rsidR="008B166A">
          <w:rPr>
            <w:noProof/>
            <w:webHidden/>
          </w:rPr>
        </w:r>
        <w:r w:rsidR="008B166A">
          <w:rPr>
            <w:noProof/>
            <w:webHidden/>
          </w:rPr>
          <w:fldChar w:fldCharType="separate"/>
        </w:r>
        <w:r w:rsidR="008B166A">
          <w:rPr>
            <w:noProof/>
            <w:webHidden/>
          </w:rPr>
          <w:t>1</w:t>
        </w:r>
        <w:r w:rsidR="008B166A">
          <w:rPr>
            <w:noProof/>
            <w:webHidden/>
          </w:rPr>
          <w:fldChar w:fldCharType="end"/>
        </w:r>
      </w:hyperlink>
    </w:p>
    <w:p w:rsidR="008B166A" w:rsidRDefault="006D5D66">
      <w:pPr>
        <w:pStyle w:val="TOC2"/>
        <w:rPr>
          <w:rFonts w:asciiTheme="minorHAnsi" w:eastAsiaTheme="minorEastAsia" w:hAnsiTheme="minorHAnsi" w:cstheme="minorBidi"/>
          <w:b w:val="0"/>
          <w:noProof/>
          <w:sz w:val="22"/>
          <w:szCs w:val="22"/>
          <w:lang w:eastAsia="en-AU"/>
        </w:rPr>
      </w:pPr>
      <w:hyperlink w:anchor="_Toc10119167" w:history="1">
        <w:r w:rsidR="008B166A" w:rsidRPr="00DD0BF2">
          <w:rPr>
            <w:rStyle w:val="Hyperlink"/>
            <w:noProof/>
          </w:rPr>
          <w:t>Hearings</w:t>
        </w:r>
        <w:r w:rsidR="008B166A">
          <w:rPr>
            <w:noProof/>
            <w:webHidden/>
          </w:rPr>
          <w:tab/>
        </w:r>
        <w:r w:rsidR="008B166A">
          <w:rPr>
            <w:noProof/>
            <w:webHidden/>
          </w:rPr>
          <w:fldChar w:fldCharType="begin"/>
        </w:r>
        <w:r w:rsidR="008B166A">
          <w:rPr>
            <w:noProof/>
            <w:webHidden/>
          </w:rPr>
          <w:instrText xml:space="preserve"> PAGEREF _Toc10119167 \h </w:instrText>
        </w:r>
        <w:r w:rsidR="008B166A">
          <w:rPr>
            <w:noProof/>
            <w:webHidden/>
          </w:rPr>
        </w:r>
        <w:r w:rsidR="008B166A">
          <w:rPr>
            <w:noProof/>
            <w:webHidden/>
          </w:rPr>
          <w:fldChar w:fldCharType="separate"/>
        </w:r>
        <w:r w:rsidR="008B166A">
          <w:rPr>
            <w:noProof/>
            <w:webHidden/>
          </w:rPr>
          <w:t>1</w:t>
        </w:r>
        <w:r w:rsidR="008B166A">
          <w:rPr>
            <w:noProof/>
            <w:webHidden/>
          </w:rPr>
          <w:fldChar w:fldCharType="end"/>
        </w:r>
      </w:hyperlink>
    </w:p>
    <w:p w:rsidR="008B166A" w:rsidRDefault="006D5D66">
      <w:pPr>
        <w:pStyle w:val="TOC2"/>
        <w:rPr>
          <w:rFonts w:asciiTheme="minorHAnsi" w:eastAsiaTheme="minorEastAsia" w:hAnsiTheme="minorHAnsi" w:cstheme="minorBidi"/>
          <w:b w:val="0"/>
          <w:noProof/>
          <w:sz w:val="22"/>
          <w:szCs w:val="22"/>
          <w:lang w:eastAsia="en-AU"/>
        </w:rPr>
      </w:pPr>
      <w:hyperlink w:anchor="_Toc10119168" w:history="1">
        <w:r w:rsidR="008B166A" w:rsidRPr="00DD0BF2">
          <w:rPr>
            <w:rStyle w:val="Hyperlink"/>
            <w:noProof/>
          </w:rPr>
          <w:t>Interstate visit – Victoria and Western Australia</w:t>
        </w:r>
        <w:r w:rsidR="008B166A">
          <w:rPr>
            <w:noProof/>
            <w:webHidden/>
          </w:rPr>
          <w:tab/>
        </w:r>
        <w:r w:rsidR="008B166A">
          <w:rPr>
            <w:noProof/>
            <w:webHidden/>
          </w:rPr>
          <w:fldChar w:fldCharType="begin"/>
        </w:r>
        <w:r w:rsidR="008B166A">
          <w:rPr>
            <w:noProof/>
            <w:webHidden/>
          </w:rPr>
          <w:instrText xml:space="preserve"> PAGEREF _Toc10119168 \h </w:instrText>
        </w:r>
        <w:r w:rsidR="008B166A">
          <w:rPr>
            <w:noProof/>
            <w:webHidden/>
          </w:rPr>
        </w:r>
        <w:r w:rsidR="008B166A">
          <w:rPr>
            <w:noProof/>
            <w:webHidden/>
          </w:rPr>
          <w:fldChar w:fldCharType="separate"/>
        </w:r>
        <w:r w:rsidR="008B166A">
          <w:rPr>
            <w:noProof/>
            <w:webHidden/>
          </w:rPr>
          <w:t>2</w:t>
        </w:r>
        <w:r w:rsidR="008B166A">
          <w:rPr>
            <w:noProof/>
            <w:webHidden/>
          </w:rPr>
          <w:fldChar w:fldCharType="end"/>
        </w:r>
      </w:hyperlink>
    </w:p>
    <w:p w:rsidR="008B166A" w:rsidRDefault="006D5D66">
      <w:pPr>
        <w:pStyle w:val="TOC2"/>
        <w:rPr>
          <w:rFonts w:asciiTheme="minorHAnsi" w:eastAsiaTheme="minorEastAsia" w:hAnsiTheme="minorHAnsi" w:cstheme="minorBidi"/>
          <w:b w:val="0"/>
          <w:noProof/>
          <w:sz w:val="22"/>
          <w:szCs w:val="22"/>
          <w:lang w:eastAsia="en-AU"/>
        </w:rPr>
      </w:pPr>
      <w:hyperlink w:anchor="_Toc10119169" w:history="1">
        <w:r w:rsidR="008B166A" w:rsidRPr="00DD0BF2">
          <w:rPr>
            <w:rStyle w:val="Hyperlink"/>
            <w:noProof/>
          </w:rPr>
          <w:t>Questions arising from hearings</w:t>
        </w:r>
        <w:r w:rsidR="008B166A">
          <w:rPr>
            <w:noProof/>
            <w:webHidden/>
          </w:rPr>
          <w:tab/>
        </w:r>
        <w:r w:rsidR="008B166A">
          <w:rPr>
            <w:noProof/>
            <w:webHidden/>
          </w:rPr>
          <w:fldChar w:fldCharType="begin"/>
        </w:r>
        <w:r w:rsidR="008B166A">
          <w:rPr>
            <w:noProof/>
            <w:webHidden/>
          </w:rPr>
          <w:instrText xml:space="preserve"> PAGEREF _Toc10119169 \h </w:instrText>
        </w:r>
        <w:r w:rsidR="008B166A">
          <w:rPr>
            <w:noProof/>
            <w:webHidden/>
          </w:rPr>
        </w:r>
        <w:r w:rsidR="008B166A">
          <w:rPr>
            <w:noProof/>
            <w:webHidden/>
          </w:rPr>
          <w:fldChar w:fldCharType="separate"/>
        </w:r>
        <w:r w:rsidR="008B166A">
          <w:rPr>
            <w:noProof/>
            <w:webHidden/>
          </w:rPr>
          <w:t>2</w:t>
        </w:r>
        <w:r w:rsidR="008B166A">
          <w:rPr>
            <w:noProof/>
            <w:webHidden/>
          </w:rPr>
          <w:fldChar w:fldCharType="end"/>
        </w:r>
      </w:hyperlink>
    </w:p>
    <w:p w:rsidR="008B166A" w:rsidRDefault="006D5D66">
      <w:pPr>
        <w:pStyle w:val="TOC2"/>
        <w:rPr>
          <w:rFonts w:asciiTheme="minorHAnsi" w:eastAsiaTheme="minorEastAsia" w:hAnsiTheme="minorHAnsi" w:cstheme="minorBidi"/>
          <w:b w:val="0"/>
          <w:noProof/>
          <w:sz w:val="22"/>
          <w:szCs w:val="22"/>
          <w:lang w:eastAsia="en-AU"/>
        </w:rPr>
      </w:pPr>
      <w:hyperlink w:anchor="_Toc10119170" w:history="1">
        <w:r w:rsidR="008B166A" w:rsidRPr="00DD0BF2">
          <w:rPr>
            <w:rStyle w:val="Hyperlink"/>
            <w:noProof/>
          </w:rPr>
          <w:t>Purpose of this Interim Report</w:t>
        </w:r>
        <w:r w:rsidR="008B166A">
          <w:rPr>
            <w:noProof/>
            <w:webHidden/>
          </w:rPr>
          <w:tab/>
        </w:r>
        <w:r w:rsidR="008B166A">
          <w:rPr>
            <w:noProof/>
            <w:webHidden/>
          </w:rPr>
          <w:fldChar w:fldCharType="begin"/>
        </w:r>
        <w:r w:rsidR="008B166A">
          <w:rPr>
            <w:noProof/>
            <w:webHidden/>
          </w:rPr>
          <w:instrText xml:space="preserve"> PAGEREF _Toc10119170 \h </w:instrText>
        </w:r>
        <w:r w:rsidR="008B166A">
          <w:rPr>
            <w:noProof/>
            <w:webHidden/>
          </w:rPr>
        </w:r>
        <w:r w:rsidR="008B166A">
          <w:rPr>
            <w:noProof/>
            <w:webHidden/>
          </w:rPr>
          <w:fldChar w:fldCharType="separate"/>
        </w:r>
        <w:r w:rsidR="008B166A">
          <w:rPr>
            <w:noProof/>
            <w:webHidden/>
          </w:rPr>
          <w:t>2</w:t>
        </w:r>
        <w:r w:rsidR="008B166A">
          <w:rPr>
            <w:noProof/>
            <w:webHidden/>
          </w:rPr>
          <w:fldChar w:fldCharType="end"/>
        </w:r>
      </w:hyperlink>
    </w:p>
    <w:p w:rsidR="008B166A" w:rsidRDefault="006D5D66">
      <w:pPr>
        <w:pStyle w:val="TOC2"/>
        <w:rPr>
          <w:rFonts w:asciiTheme="minorHAnsi" w:eastAsiaTheme="minorEastAsia" w:hAnsiTheme="minorHAnsi" w:cstheme="minorBidi"/>
          <w:b w:val="0"/>
          <w:noProof/>
          <w:sz w:val="22"/>
          <w:szCs w:val="22"/>
          <w:lang w:eastAsia="en-AU"/>
        </w:rPr>
      </w:pPr>
      <w:hyperlink w:anchor="_Toc10119171" w:history="1">
        <w:r w:rsidR="008B166A" w:rsidRPr="00DD0BF2">
          <w:rPr>
            <w:rStyle w:val="Hyperlink"/>
            <w:noProof/>
          </w:rPr>
          <w:t>Further Hearings</w:t>
        </w:r>
        <w:r w:rsidR="008B166A">
          <w:rPr>
            <w:noProof/>
            <w:webHidden/>
          </w:rPr>
          <w:tab/>
        </w:r>
        <w:r w:rsidR="008B166A">
          <w:rPr>
            <w:noProof/>
            <w:webHidden/>
          </w:rPr>
          <w:fldChar w:fldCharType="begin"/>
        </w:r>
        <w:r w:rsidR="008B166A">
          <w:rPr>
            <w:noProof/>
            <w:webHidden/>
          </w:rPr>
          <w:instrText xml:space="preserve"> PAGEREF _Toc10119171 \h </w:instrText>
        </w:r>
        <w:r w:rsidR="008B166A">
          <w:rPr>
            <w:noProof/>
            <w:webHidden/>
          </w:rPr>
        </w:r>
        <w:r w:rsidR="008B166A">
          <w:rPr>
            <w:noProof/>
            <w:webHidden/>
          </w:rPr>
          <w:fldChar w:fldCharType="separate"/>
        </w:r>
        <w:r w:rsidR="008B166A">
          <w:rPr>
            <w:noProof/>
            <w:webHidden/>
          </w:rPr>
          <w:t>3</w:t>
        </w:r>
        <w:r w:rsidR="008B166A">
          <w:rPr>
            <w:noProof/>
            <w:webHidden/>
          </w:rPr>
          <w:fldChar w:fldCharType="end"/>
        </w:r>
      </w:hyperlink>
    </w:p>
    <w:p w:rsidR="008B166A" w:rsidRDefault="006D5D66">
      <w:pPr>
        <w:pStyle w:val="TOC1"/>
        <w:rPr>
          <w:rFonts w:asciiTheme="minorHAnsi" w:eastAsiaTheme="minorEastAsia" w:hAnsiTheme="minorHAnsi" w:cstheme="minorBidi"/>
          <w:b w:val="0"/>
          <w:bCs w:val="0"/>
          <w:smallCaps w:val="0"/>
          <w:noProof/>
          <w:spacing w:val="0"/>
          <w:sz w:val="22"/>
          <w:szCs w:val="22"/>
          <w:lang w:eastAsia="en-AU"/>
        </w:rPr>
      </w:pPr>
      <w:hyperlink w:anchor="_Toc10119172" w:history="1">
        <w:r w:rsidR="008B166A" w:rsidRPr="00DD0BF2">
          <w:rPr>
            <w:rStyle w:val="Hyperlink"/>
            <w:noProof/>
          </w:rPr>
          <w:t>2</w:t>
        </w:r>
        <w:r w:rsidR="008B166A">
          <w:rPr>
            <w:rFonts w:asciiTheme="minorHAnsi" w:eastAsiaTheme="minorEastAsia" w:hAnsiTheme="minorHAnsi" w:cstheme="minorBidi"/>
            <w:b w:val="0"/>
            <w:bCs w:val="0"/>
            <w:smallCaps w:val="0"/>
            <w:noProof/>
            <w:spacing w:val="0"/>
            <w:sz w:val="22"/>
            <w:szCs w:val="22"/>
            <w:lang w:eastAsia="en-AU"/>
          </w:rPr>
          <w:tab/>
        </w:r>
        <w:r w:rsidR="008B166A" w:rsidRPr="00DD0BF2">
          <w:rPr>
            <w:rStyle w:val="Hyperlink"/>
            <w:noProof/>
          </w:rPr>
          <w:t>Overview of Evidence</w:t>
        </w:r>
        <w:r w:rsidR="008B166A">
          <w:rPr>
            <w:noProof/>
            <w:webHidden/>
          </w:rPr>
          <w:tab/>
        </w:r>
        <w:r w:rsidR="008B166A">
          <w:rPr>
            <w:noProof/>
            <w:webHidden/>
          </w:rPr>
          <w:fldChar w:fldCharType="begin"/>
        </w:r>
        <w:r w:rsidR="008B166A">
          <w:rPr>
            <w:noProof/>
            <w:webHidden/>
          </w:rPr>
          <w:instrText xml:space="preserve"> PAGEREF _Toc10119172 \h </w:instrText>
        </w:r>
        <w:r w:rsidR="008B166A">
          <w:rPr>
            <w:noProof/>
            <w:webHidden/>
          </w:rPr>
        </w:r>
        <w:r w:rsidR="008B166A">
          <w:rPr>
            <w:noProof/>
            <w:webHidden/>
          </w:rPr>
          <w:fldChar w:fldCharType="separate"/>
        </w:r>
        <w:r w:rsidR="008B166A">
          <w:rPr>
            <w:noProof/>
            <w:webHidden/>
          </w:rPr>
          <w:t>4</w:t>
        </w:r>
        <w:r w:rsidR="008B166A">
          <w:rPr>
            <w:noProof/>
            <w:webHidden/>
          </w:rPr>
          <w:fldChar w:fldCharType="end"/>
        </w:r>
      </w:hyperlink>
    </w:p>
    <w:p w:rsidR="008B166A" w:rsidRDefault="006D5D66">
      <w:pPr>
        <w:pStyle w:val="TOC2"/>
        <w:rPr>
          <w:rFonts w:asciiTheme="minorHAnsi" w:eastAsiaTheme="minorEastAsia" w:hAnsiTheme="minorHAnsi" w:cstheme="minorBidi"/>
          <w:b w:val="0"/>
          <w:noProof/>
          <w:sz w:val="22"/>
          <w:szCs w:val="22"/>
          <w:lang w:eastAsia="en-AU"/>
        </w:rPr>
      </w:pPr>
      <w:hyperlink w:anchor="_Toc10119173" w:history="1">
        <w:r w:rsidR="008B166A" w:rsidRPr="00DD0BF2">
          <w:rPr>
            <w:rStyle w:val="Hyperlink"/>
            <w:noProof/>
          </w:rPr>
          <w:t>Fuel prices are largely dependent on external factors</w:t>
        </w:r>
        <w:r w:rsidR="008B166A">
          <w:rPr>
            <w:noProof/>
            <w:webHidden/>
          </w:rPr>
          <w:tab/>
        </w:r>
        <w:r w:rsidR="008B166A">
          <w:rPr>
            <w:noProof/>
            <w:webHidden/>
          </w:rPr>
          <w:fldChar w:fldCharType="begin"/>
        </w:r>
        <w:r w:rsidR="008B166A">
          <w:rPr>
            <w:noProof/>
            <w:webHidden/>
          </w:rPr>
          <w:instrText xml:space="preserve"> PAGEREF _Toc10119173 \h </w:instrText>
        </w:r>
        <w:r w:rsidR="008B166A">
          <w:rPr>
            <w:noProof/>
            <w:webHidden/>
          </w:rPr>
        </w:r>
        <w:r w:rsidR="008B166A">
          <w:rPr>
            <w:noProof/>
            <w:webHidden/>
          </w:rPr>
          <w:fldChar w:fldCharType="separate"/>
        </w:r>
        <w:r w:rsidR="008B166A">
          <w:rPr>
            <w:noProof/>
            <w:webHidden/>
          </w:rPr>
          <w:t>4</w:t>
        </w:r>
        <w:r w:rsidR="008B166A">
          <w:rPr>
            <w:noProof/>
            <w:webHidden/>
          </w:rPr>
          <w:fldChar w:fldCharType="end"/>
        </w:r>
      </w:hyperlink>
    </w:p>
    <w:p w:rsidR="008B166A" w:rsidRDefault="006D5D66">
      <w:pPr>
        <w:pStyle w:val="TOC2"/>
        <w:rPr>
          <w:rFonts w:asciiTheme="minorHAnsi" w:eastAsiaTheme="minorEastAsia" w:hAnsiTheme="minorHAnsi" w:cstheme="minorBidi"/>
          <w:b w:val="0"/>
          <w:noProof/>
          <w:sz w:val="22"/>
          <w:szCs w:val="22"/>
          <w:lang w:eastAsia="en-AU"/>
        </w:rPr>
      </w:pPr>
      <w:hyperlink w:anchor="_Toc10119174" w:history="1">
        <w:r w:rsidR="008B166A" w:rsidRPr="00DD0BF2">
          <w:rPr>
            <w:rStyle w:val="Hyperlink"/>
            <w:noProof/>
          </w:rPr>
          <w:t>Setting fuel prices</w:t>
        </w:r>
        <w:r w:rsidR="008B166A">
          <w:rPr>
            <w:noProof/>
            <w:webHidden/>
          </w:rPr>
          <w:tab/>
        </w:r>
        <w:r w:rsidR="008B166A">
          <w:rPr>
            <w:noProof/>
            <w:webHidden/>
          </w:rPr>
          <w:fldChar w:fldCharType="begin"/>
        </w:r>
        <w:r w:rsidR="008B166A">
          <w:rPr>
            <w:noProof/>
            <w:webHidden/>
          </w:rPr>
          <w:instrText xml:space="preserve"> PAGEREF _Toc10119174 \h </w:instrText>
        </w:r>
        <w:r w:rsidR="008B166A">
          <w:rPr>
            <w:noProof/>
            <w:webHidden/>
          </w:rPr>
        </w:r>
        <w:r w:rsidR="008B166A">
          <w:rPr>
            <w:noProof/>
            <w:webHidden/>
          </w:rPr>
          <w:fldChar w:fldCharType="separate"/>
        </w:r>
        <w:r w:rsidR="008B166A">
          <w:rPr>
            <w:noProof/>
            <w:webHidden/>
          </w:rPr>
          <w:t>4</w:t>
        </w:r>
        <w:r w:rsidR="008B166A">
          <w:rPr>
            <w:noProof/>
            <w:webHidden/>
          </w:rPr>
          <w:fldChar w:fldCharType="end"/>
        </w:r>
      </w:hyperlink>
    </w:p>
    <w:p w:rsidR="008B166A" w:rsidRDefault="006D5D66">
      <w:pPr>
        <w:pStyle w:val="TOC2"/>
        <w:rPr>
          <w:rFonts w:asciiTheme="minorHAnsi" w:eastAsiaTheme="minorEastAsia" w:hAnsiTheme="minorHAnsi" w:cstheme="minorBidi"/>
          <w:b w:val="0"/>
          <w:noProof/>
          <w:sz w:val="22"/>
          <w:szCs w:val="22"/>
          <w:lang w:eastAsia="en-AU"/>
        </w:rPr>
      </w:pPr>
      <w:hyperlink w:anchor="_Toc10119175" w:history="1">
        <w:r w:rsidR="008B166A" w:rsidRPr="00DD0BF2">
          <w:rPr>
            <w:rStyle w:val="Hyperlink"/>
            <w:noProof/>
          </w:rPr>
          <w:t>Characteristics of the Canberra market</w:t>
        </w:r>
        <w:r w:rsidR="008B166A">
          <w:rPr>
            <w:noProof/>
            <w:webHidden/>
          </w:rPr>
          <w:tab/>
        </w:r>
        <w:r w:rsidR="008B166A">
          <w:rPr>
            <w:noProof/>
            <w:webHidden/>
          </w:rPr>
          <w:fldChar w:fldCharType="begin"/>
        </w:r>
        <w:r w:rsidR="008B166A">
          <w:rPr>
            <w:noProof/>
            <w:webHidden/>
          </w:rPr>
          <w:instrText xml:space="preserve"> PAGEREF _Toc10119175 \h </w:instrText>
        </w:r>
        <w:r w:rsidR="008B166A">
          <w:rPr>
            <w:noProof/>
            <w:webHidden/>
          </w:rPr>
        </w:r>
        <w:r w:rsidR="008B166A">
          <w:rPr>
            <w:noProof/>
            <w:webHidden/>
          </w:rPr>
          <w:fldChar w:fldCharType="separate"/>
        </w:r>
        <w:r w:rsidR="008B166A">
          <w:rPr>
            <w:noProof/>
            <w:webHidden/>
          </w:rPr>
          <w:t>5</w:t>
        </w:r>
        <w:r w:rsidR="008B166A">
          <w:rPr>
            <w:noProof/>
            <w:webHidden/>
          </w:rPr>
          <w:fldChar w:fldCharType="end"/>
        </w:r>
      </w:hyperlink>
    </w:p>
    <w:p w:rsidR="008B166A" w:rsidRDefault="006D5D66">
      <w:pPr>
        <w:pStyle w:val="TOC2"/>
        <w:rPr>
          <w:rFonts w:asciiTheme="minorHAnsi" w:eastAsiaTheme="minorEastAsia" w:hAnsiTheme="minorHAnsi" w:cstheme="minorBidi"/>
          <w:b w:val="0"/>
          <w:noProof/>
          <w:sz w:val="22"/>
          <w:szCs w:val="22"/>
          <w:lang w:eastAsia="en-AU"/>
        </w:rPr>
      </w:pPr>
      <w:hyperlink w:anchor="_Toc10119176" w:history="1">
        <w:r w:rsidR="008B166A" w:rsidRPr="00DD0BF2">
          <w:rPr>
            <w:rStyle w:val="Hyperlink"/>
            <w:noProof/>
          </w:rPr>
          <w:t>Impact on Canberra community</w:t>
        </w:r>
        <w:r w:rsidR="008B166A">
          <w:rPr>
            <w:noProof/>
            <w:webHidden/>
          </w:rPr>
          <w:tab/>
        </w:r>
        <w:r w:rsidR="008B166A">
          <w:rPr>
            <w:noProof/>
            <w:webHidden/>
          </w:rPr>
          <w:fldChar w:fldCharType="begin"/>
        </w:r>
        <w:r w:rsidR="008B166A">
          <w:rPr>
            <w:noProof/>
            <w:webHidden/>
          </w:rPr>
          <w:instrText xml:space="preserve"> PAGEREF _Toc10119176 \h </w:instrText>
        </w:r>
        <w:r w:rsidR="008B166A">
          <w:rPr>
            <w:noProof/>
            <w:webHidden/>
          </w:rPr>
        </w:r>
        <w:r w:rsidR="008B166A">
          <w:rPr>
            <w:noProof/>
            <w:webHidden/>
          </w:rPr>
          <w:fldChar w:fldCharType="separate"/>
        </w:r>
        <w:r w:rsidR="008B166A">
          <w:rPr>
            <w:noProof/>
            <w:webHidden/>
          </w:rPr>
          <w:t>10</w:t>
        </w:r>
        <w:r w:rsidR="008B166A">
          <w:rPr>
            <w:noProof/>
            <w:webHidden/>
          </w:rPr>
          <w:fldChar w:fldCharType="end"/>
        </w:r>
      </w:hyperlink>
    </w:p>
    <w:p w:rsidR="008B166A" w:rsidRDefault="006D5D66">
      <w:pPr>
        <w:pStyle w:val="TOC2"/>
        <w:rPr>
          <w:rFonts w:asciiTheme="minorHAnsi" w:eastAsiaTheme="minorEastAsia" w:hAnsiTheme="minorHAnsi" w:cstheme="minorBidi"/>
          <w:b w:val="0"/>
          <w:noProof/>
          <w:sz w:val="22"/>
          <w:szCs w:val="22"/>
          <w:lang w:eastAsia="en-AU"/>
        </w:rPr>
      </w:pPr>
      <w:hyperlink w:anchor="_Toc10119177" w:history="1">
        <w:r w:rsidR="008B166A" w:rsidRPr="00DD0BF2">
          <w:rPr>
            <w:rStyle w:val="Hyperlink"/>
            <w:noProof/>
          </w:rPr>
          <w:t>Role of the ACCC</w:t>
        </w:r>
        <w:r w:rsidR="008B166A">
          <w:rPr>
            <w:noProof/>
            <w:webHidden/>
          </w:rPr>
          <w:tab/>
        </w:r>
        <w:r w:rsidR="008B166A">
          <w:rPr>
            <w:noProof/>
            <w:webHidden/>
          </w:rPr>
          <w:fldChar w:fldCharType="begin"/>
        </w:r>
        <w:r w:rsidR="008B166A">
          <w:rPr>
            <w:noProof/>
            <w:webHidden/>
          </w:rPr>
          <w:instrText xml:space="preserve"> PAGEREF _Toc10119177 \h </w:instrText>
        </w:r>
        <w:r w:rsidR="008B166A">
          <w:rPr>
            <w:noProof/>
            <w:webHidden/>
          </w:rPr>
        </w:r>
        <w:r w:rsidR="008B166A">
          <w:rPr>
            <w:noProof/>
            <w:webHidden/>
          </w:rPr>
          <w:fldChar w:fldCharType="separate"/>
        </w:r>
        <w:r w:rsidR="008B166A">
          <w:rPr>
            <w:noProof/>
            <w:webHidden/>
          </w:rPr>
          <w:t>12</w:t>
        </w:r>
        <w:r w:rsidR="008B166A">
          <w:rPr>
            <w:noProof/>
            <w:webHidden/>
          </w:rPr>
          <w:fldChar w:fldCharType="end"/>
        </w:r>
      </w:hyperlink>
    </w:p>
    <w:p w:rsidR="008B166A" w:rsidRDefault="006D5D66">
      <w:pPr>
        <w:pStyle w:val="TOC1"/>
        <w:rPr>
          <w:rFonts w:asciiTheme="minorHAnsi" w:eastAsiaTheme="minorEastAsia" w:hAnsiTheme="minorHAnsi" w:cstheme="minorBidi"/>
          <w:b w:val="0"/>
          <w:bCs w:val="0"/>
          <w:smallCaps w:val="0"/>
          <w:noProof/>
          <w:spacing w:val="0"/>
          <w:sz w:val="22"/>
          <w:szCs w:val="22"/>
          <w:lang w:eastAsia="en-AU"/>
        </w:rPr>
      </w:pPr>
      <w:hyperlink w:anchor="_Toc10119178" w:history="1">
        <w:r w:rsidR="008B166A" w:rsidRPr="00DD0BF2">
          <w:rPr>
            <w:rStyle w:val="Hyperlink"/>
            <w:noProof/>
          </w:rPr>
          <w:t>3</w:t>
        </w:r>
        <w:r w:rsidR="008B166A">
          <w:rPr>
            <w:rFonts w:asciiTheme="minorHAnsi" w:eastAsiaTheme="minorEastAsia" w:hAnsiTheme="minorHAnsi" w:cstheme="minorBidi"/>
            <w:b w:val="0"/>
            <w:bCs w:val="0"/>
            <w:smallCaps w:val="0"/>
            <w:noProof/>
            <w:spacing w:val="0"/>
            <w:sz w:val="22"/>
            <w:szCs w:val="22"/>
            <w:lang w:eastAsia="en-AU"/>
          </w:rPr>
          <w:tab/>
        </w:r>
        <w:r w:rsidR="008B166A" w:rsidRPr="00DD0BF2">
          <w:rPr>
            <w:rStyle w:val="Hyperlink"/>
            <w:noProof/>
          </w:rPr>
          <w:t>Possible Recommendations</w:t>
        </w:r>
        <w:r w:rsidR="008B166A">
          <w:rPr>
            <w:noProof/>
            <w:webHidden/>
          </w:rPr>
          <w:tab/>
        </w:r>
        <w:r w:rsidR="008B166A">
          <w:rPr>
            <w:noProof/>
            <w:webHidden/>
          </w:rPr>
          <w:fldChar w:fldCharType="begin"/>
        </w:r>
        <w:r w:rsidR="008B166A">
          <w:rPr>
            <w:noProof/>
            <w:webHidden/>
          </w:rPr>
          <w:instrText xml:space="preserve"> PAGEREF _Toc10119178 \h </w:instrText>
        </w:r>
        <w:r w:rsidR="008B166A">
          <w:rPr>
            <w:noProof/>
            <w:webHidden/>
          </w:rPr>
        </w:r>
        <w:r w:rsidR="008B166A">
          <w:rPr>
            <w:noProof/>
            <w:webHidden/>
          </w:rPr>
          <w:fldChar w:fldCharType="separate"/>
        </w:r>
        <w:r w:rsidR="008B166A">
          <w:rPr>
            <w:noProof/>
            <w:webHidden/>
          </w:rPr>
          <w:t>13</w:t>
        </w:r>
        <w:r w:rsidR="008B166A">
          <w:rPr>
            <w:noProof/>
            <w:webHidden/>
          </w:rPr>
          <w:fldChar w:fldCharType="end"/>
        </w:r>
      </w:hyperlink>
    </w:p>
    <w:p w:rsidR="008B166A" w:rsidRDefault="006D5D66">
      <w:pPr>
        <w:pStyle w:val="TOC2"/>
        <w:rPr>
          <w:rFonts w:asciiTheme="minorHAnsi" w:eastAsiaTheme="minorEastAsia" w:hAnsiTheme="minorHAnsi" w:cstheme="minorBidi"/>
          <w:b w:val="0"/>
          <w:noProof/>
          <w:sz w:val="22"/>
          <w:szCs w:val="22"/>
          <w:lang w:eastAsia="en-AU"/>
        </w:rPr>
      </w:pPr>
      <w:hyperlink w:anchor="_Toc10119179" w:history="1">
        <w:r w:rsidR="008B166A" w:rsidRPr="00DD0BF2">
          <w:rPr>
            <w:rStyle w:val="Hyperlink"/>
            <w:noProof/>
          </w:rPr>
          <w:t>Possible recommendation 1: Do nothing</w:t>
        </w:r>
        <w:r w:rsidR="008B166A">
          <w:rPr>
            <w:noProof/>
            <w:webHidden/>
          </w:rPr>
          <w:tab/>
        </w:r>
        <w:r w:rsidR="008B166A">
          <w:rPr>
            <w:noProof/>
            <w:webHidden/>
          </w:rPr>
          <w:fldChar w:fldCharType="begin"/>
        </w:r>
        <w:r w:rsidR="008B166A">
          <w:rPr>
            <w:noProof/>
            <w:webHidden/>
          </w:rPr>
          <w:instrText xml:space="preserve"> PAGEREF _Toc10119179 \h </w:instrText>
        </w:r>
        <w:r w:rsidR="008B166A">
          <w:rPr>
            <w:noProof/>
            <w:webHidden/>
          </w:rPr>
        </w:r>
        <w:r w:rsidR="008B166A">
          <w:rPr>
            <w:noProof/>
            <w:webHidden/>
          </w:rPr>
          <w:fldChar w:fldCharType="separate"/>
        </w:r>
        <w:r w:rsidR="008B166A">
          <w:rPr>
            <w:noProof/>
            <w:webHidden/>
          </w:rPr>
          <w:t>13</w:t>
        </w:r>
        <w:r w:rsidR="008B166A">
          <w:rPr>
            <w:noProof/>
            <w:webHidden/>
          </w:rPr>
          <w:fldChar w:fldCharType="end"/>
        </w:r>
      </w:hyperlink>
    </w:p>
    <w:p w:rsidR="008B166A" w:rsidRDefault="006D5D66">
      <w:pPr>
        <w:pStyle w:val="TOC2"/>
        <w:rPr>
          <w:rFonts w:asciiTheme="minorHAnsi" w:eastAsiaTheme="minorEastAsia" w:hAnsiTheme="minorHAnsi" w:cstheme="minorBidi"/>
          <w:b w:val="0"/>
          <w:noProof/>
          <w:sz w:val="22"/>
          <w:szCs w:val="22"/>
          <w:lang w:eastAsia="en-AU"/>
        </w:rPr>
      </w:pPr>
      <w:hyperlink w:anchor="_Toc10119180" w:history="1">
        <w:r w:rsidR="008B166A" w:rsidRPr="00DD0BF2">
          <w:rPr>
            <w:rStyle w:val="Hyperlink"/>
            <w:noProof/>
          </w:rPr>
          <w:t>Possible recommendation 2: Better education</w:t>
        </w:r>
        <w:r w:rsidR="008B166A">
          <w:rPr>
            <w:noProof/>
            <w:webHidden/>
          </w:rPr>
          <w:tab/>
        </w:r>
        <w:r w:rsidR="008B166A">
          <w:rPr>
            <w:noProof/>
            <w:webHidden/>
          </w:rPr>
          <w:fldChar w:fldCharType="begin"/>
        </w:r>
        <w:r w:rsidR="008B166A">
          <w:rPr>
            <w:noProof/>
            <w:webHidden/>
          </w:rPr>
          <w:instrText xml:space="preserve"> PAGEREF _Toc10119180 \h </w:instrText>
        </w:r>
        <w:r w:rsidR="008B166A">
          <w:rPr>
            <w:noProof/>
            <w:webHidden/>
          </w:rPr>
        </w:r>
        <w:r w:rsidR="008B166A">
          <w:rPr>
            <w:noProof/>
            <w:webHidden/>
          </w:rPr>
          <w:fldChar w:fldCharType="separate"/>
        </w:r>
        <w:r w:rsidR="008B166A">
          <w:rPr>
            <w:noProof/>
            <w:webHidden/>
          </w:rPr>
          <w:t>14</w:t>
        </w:r>
        <w:r w:rsidR="008B166A">
          <w:rPr>
            <w:noProof/>
            <w:webHidden/>
          </w:rPr>
          <w:fldChar w:fldCharType="end"/>
        </w:r>
      </w:hyperlink>
    </w:p>
    <w:p w:rsidR="008B166A" w:rsidRDefault="006D5D66">
      <w:pPr>
        <w:pStyle w:val="TOC2"/>
        <w:rPr>
          <w:rFonts w:asciiTheme="minorHAnsi" w:eastAsiaTheme="minorEastAsia" w:hAnsiTheme="minorHAnsi" w:cstheme="minorBidi"/>
          <w:b w:val="0"/>
          <w:noProof/>
          <w:sz w:val="22"/>
          <w:szCs w:val="22"/>
          <w:lang w:eastAsia="en-AU"/>
        </w:rPr>
      </w:pPr>
      <w:hyperlink w:anchor="_Toc10119181" w:history="1">
        <w:r w:rsidR="008B166A" w:rsidRPr="00DD0BF2">
          <w:rPr>
            <w:rStyle w:val="Hyperlink"/>
            <w:noProof/>
          </w:rPr>
          <w:t>Possible recommendation 3: Create a fuel prices oversight position or body</w:t>
        </w:r>
        <w:r w:rsidR="008B166A">
          <w:rPr>
            <w:noProof/>
            <w:webHidden/>
          </w:rPr>
          <w:tab/>
        </w:r>
        <w:r w:rsidR="008B166A">
          <w:rPr>
            <w:noProof/>
            <w:webHidden/>
          </w:rPr>
          <w:fldChar w:fldCharType="begin"/>
        </w:r>
        <w:r w:rsidR="008B166A">
          <w:rPr>
            <w:noProof/>
            <w:webHidden/>
          </w:rPr>
          <w:instrText xml:space="preserve"> PAGEREF _Toc10119181 \h </w:instrText>
        </w:r>
        <w:r w:rsidR="008B166A">
          <w:rPr>
            <w:noProof/>
            <w:webHidden/>
          </w:rPr>
        </w:r>
        <w:r w:rsidR="008B166A">
          <w:rPr>
            <w:noProof/>
            <w:webHidden/>
          </w:rPr>
          <w:fldChar w:fldCharType="separate"/>
        </w:r>
        <w:r w:rsidR="008B166A">
          <w:rPr>
            <w:noProof/>
            <w:webHidden/>
          </w:rPr>
          <w:t>14</w:t>
        </w:r>
        <w:r w:rsidR="008B166A">
          <w:rPr>
            <w:noProof/>
            <w:webHidden/>
          </w:rPr>
          <w:fldChar w:fldCharType="end"/>
        </w:r>
      </w:hyperlink>
    </w:p>
    <w:p w:rsidR="008B166A" w:rsidRDefault="006D5D66">
      <w:pPr>
        <w:pStyle w:val="TOC2"/>
        <w:rPr>
          <w:rFonts w:asciiTheme="minorHAnsi" w:eastAsiaTheme="minorEastAsia" w:hAnsiTheme="minorHAnsi" w:cstheme="minorBidi"/>
          <w:b w:val="0"/>
          <w:noProof/>
          <w:sz w:val="22"/>
          <w:szCs w:val="22"/>
          <w:lang w:eastAsia="en-AU"/>
        </w:rPr>
      </w:pPr>
      <w:hyperlink w:anchor="_Toc10119182" w:history="1">
        <w:r w:rsidR="008B166A" w:rsidRPr="00DD0BF2">
          <w:rPr>
            <w:rStyle w:val="Hyperlink"/>
            <w:noProof/>
          </w:rPr>
          <w:t>Possible recommendation 4: Introduce a Government-run real-time price monitoring scheme</w:t>
        </w:r>
        <w:r w:rsidR="008B166A">
          <w:rPr>
            <w:noProof/>
            <w:webHidden/>
          </w:rPr>
          <w:tab/>
        </w:r>
        <w:r w:rsidR="008B166A">
          <w:rPr>
            <w:noProof/>
            <w:webHidden/>
          </w:rPr>
          <w:fldChar w:fldCharType="begin"/>
        </w:r>
        <w:r w:rsidR="008B166A">
          <w:rPr>
            <w:noProof/>
            <w:webHidden/>
          </w:rPr>
          <w:instrText xml:space="preserve"> PAGEREF _Toc10119182 \h </w:instrText>
        </w:r>
        <w:r w:rsidR="008B166A">
          <w:rPr>
            <w:noProof/>
            <w:webHidden/>
          </w:rPr>
        </w:r>
        <w:r w:rsidR="008B166A">
          <w:rPr>
            <w:noProof/>
            <w:webHidden/>
          </w:rPr>
          <w:fldChar w:fldCharType="separate"/>
        </w:r>
        <w:r w:rsidR="008B166A">
          <w:rPr>
            <w:noProof/>
            <w:webHidden/>
          </w:rPr>
          <w:t>15</w:t>
        </w:r>
        <w:r w:rsidR="008B166A">
          <w:rPr>
            <w:noProof/>
            <w:webHidden/>
          </w:rPr>
          <w:fldChar w:fldCharType="end"/>
        </w:r>
      </w:hyperlink>
    </w:p>
    <w:p w:rsidR="008B166A" w:rsidRDefault="006D5D66">
      <w:pPr>
        <w:pStyle w:val="TOC2"/>
        <w:rPr>
          <w:rFonts w:asciiTheme="minorHAnsi" w:eastAsiaTheme="minorEastAsia" w:hAnsiTheme="minorHAnsi" w:cstheme="minorBidi"/>
          <w:b w:val="0"/>
          <w:noProof/>
          <w:sz w:val="22"/>
          <w:szCs w:val="22"/>
          <w:lang w:eastAsia="en-AU"/>
        </w:rPr>
      </w:pPr>
      <w:hyperlink w:anchor="_Toc10119183" w:history="1">
        <w:r w:rsidR="008B166A" w:rsidRPr="00DD0BF2">
          <w:rPr>
            <w:rStyle w:val="Hyperlink"/>
            <w:noProof/>
          </w:rPr>
          <w:t>Possible recommendation 5: Petrol companies required to lock in fuel prices for 24 hours, with mandatory reporting</w:t>
        </w:r>
        <w:r w:rsidR="008B166A">
          <w:rPr>
            <w:noProof/>
            <w:webHidden/>
          </w:rPr>
          <w:tab/>
        </w:r>
        <w:r w:rsidR="008B166A">
          <w:rPr>
            <w:noProof/>
            <w:webHidden/>
          </w:rPr>
          <w:fldChar w:fldCharType="begin"/>
        </w:r>
        <w:r w:rsidR="008B166A">
          <w:rPr>
            <w:noProof/>
            <w:webHidden/>
          </w:rPr>
          <w:instrText xml:space="preserve"> PAGEREF _Toc10119183 \h </w:instrText>
        </w:r>
        <w:r w:rsidR="008B166A">
          <w:rPr>
            <w:noProof/>
            <w:webHidden/>
          </w:rPr>
        </w:r>
        <w:r w:rsidR="008B166A">
          <w:rPr>
            <w:noProof/>
            <w:webHidden/>
          </w:rPr>
          <w:fldChar w:fldCharType="separate"/>
        </w:r>
        <w:r w:rsidR="008B166A">
          <w:rPr>
            <w:noProof/>
            <w:webHidden/>
          </w:rPr>
          <w:t>16</w:t>
        </w:r>
        <w:r w:rsidR="008B166A">
          <w:rPr>
            <w:noProof/>
            <w:webHidden/>
          </w:rPr>
          <w:fldChar w:fldCharType="end"/>
        </w:r>
      </w:hyperlink>
    </w:p>
    <w:p w:rsidR="008B166A" w:rsidRDefault="006D5D66">
      <w:pPr>
        <w:pStyle w:val="TOC2"/>
        <w:rPr>
          <w:rFonts w:asciiTheme="minorHAnsi" w:eastAsiaTheme="minorEastAsia" w:hAnsiTheme="minorHAnsi" w:cstheme="minorBidi"/>
          <w:b w:val="0"/>
          <w:noProof/>
          <w:sz w:val="22"/>
          <w:szCs w:val="22"/>
          <w:lang w:eastAsia="en-AU"/>
        </w:rPr>
      </w:pPr>
      <w:hyperlink w:anchor="_Toc10119184" w:history="1">
        <w:r w:rsidR="008B166A" w:rsidRPr="00DD0BF2">
          <w:rPr>
            <w:rStyle w:val="Hyperlink"/>
            <w:noProof/>
          </w:rPr>
          <w:t>Possible recommendation 6: Set maximum retail margin for fuel companies</w:t>
        </w:r>
        <w:r w:rsidR="008B166A">
          <w:rPr>
            <w:noProof/>
            <w:webHidden/>
          </w:rPr>
          <w:tab/>
        </w:r>
        <w:r w:rsidR="008B166A">
          <w:rPr>
            <w:noProof/>
            <w:webHidden/>
          </w:rPr>
          <w:fldChar w:fldCharType="begin"/>
        </w:r>
        <w:r w:rsidR="008B166A">
          <w:rPr>
            <w:noProof/>
            <w:webHidden/>
          </w:rPr>
          <w:instrText xml:space="preserve"> PAGEREF _Toc10119184 \h </w:instrText>
        </w:r>
        <w:r w:rsidR="008B166A">
          <w:rPr>
            <w:noProof/>
            <w:webHidden/>
          </w:rPr>
        </w:r>
        <w:r w:rsidR="008B166A">
          <w:rPr>
            <w:noProof/>
            <w:webHidden/>
          </w:rPr>
          <w:fldChar w:fldCharType="separate"/>
        </w:r>
        <w:r w:rsidR="008B166A">
          <w:rPr>
            <w:noProof/>
            <w:webHidden/>
          </w:rPr>
          <w:t>18</w:t>
        </w:r>
        <w:r w:rsidR="008B166A">
          <w:rPr>
            <w:noProof/>
            <w:webHidden/>
          </w:rPr>
          <w:fldChar w:fldCharType="end"/>
        </w:r>
      </w:hyperlink>
    </w:p>
    <w:p w:rsidR="008B166A" w:rsidRDefault="006D5D66">
      <w:pPr>
        <w:pStyle w:val="TOC2"/>
        <w:rPr>
          <w:rFonts w:asciiTheme="minorHAnsi" w:eastAsiaTheme="minorEastAsia" w:hAnsiTheme="minorHAnsi" w:cstheme="minorBidi"/>
          <w:b w:val="0"/>
          <w:noProof/>
          <w:sz w:val="22"/>
          <w:szCs w:val="22"/>
          <w:lang w:eastAsia="en-AU"/>
        </w:rPr>
      </w:pPr>
      <w:hyperlink w:anchor="_Toc10119185" w:history="1">
        <w:r w:rsidR="008B166A" w:rsidRPr="00DD0BF2">
          <w:rPr>
            <w:rStyle w:val="Hyperlink"/>
            <w:noProof/>
          </w:rPr>
          <w:t>Possible recommendation 7: Set aside highly visible land in the ACT for numerous service stations</w:t>
        </w:r>
        <w:r w:rsidR="008B166A">
          <w:rPr>
            <w:noProof/>
            <w:webHidden/>
          </w:rPr>
          <w:tab/>
        </w:r>
        <w:r w:rsidR="008B166A">
          <w:rPr>
            <w:noProof/>
            <w:webHidden/>
          </w:rPr>
          <w:fldChar w:fldCharType="begin"/>
        </w:r>
        <w:r w:rsidR="008B166A">
          <w:rPr>
            <w:noProof/>
            <w:webHidden/>
          </w:rPr>
          <w:instrText xml:space="preserve"> PAGEREF _Toc10119185 \h </w:instrText>
        </w:r>
        <w:r w:rsidR="008B166A">
          <w:rPr>
            <w:noProof/>
            <w:webHidden/>
          </w:rPr>
        </w:r>
        <w:r w:rsidR="008B166A">
          <w:rPr>
            <w:noProof/>
            <w:webHidden/>
          </w:rPr>
          <w:fldChar w:fldCharType="separate"/>
        </w:r>
        <w:r w:rsidR="008B166A">
          <w:rPr>
            <w:noProof/>
            <w:webHidden/>
          </w:rPr>
          <w:t>19</w:t>
        </w:r>
        <w:r w:rsidR="008B166A">
          <w:rPr>
            <w:noProof/>
            <w:webHidden/>
          </w:rPr>
          <w:fldChar w:fldCharType="end"/>
        </w:r>
      </w:hyperlink>
    </w:p>
    <w:p w:rsidR="008B166A" w:rsidRDefault="006D5D66">
      <w:pPr>
        <w:pStyle w:val="TOC2"/>
        <w:rPr>
          <w:rFonts w:asciiTheme="minorHAnsi" w:eastAsiaTheme="minorEastAsia" w:hAnsiTheme="minorHAnsi" w:cstheme="minorBidi"/>
          <w:b w:val="0"/>
          <w:noProof/>
          <w:sz w:val="22"/>
          <w:szCs w:val="22"/>
          <w:lang w:eastAsia="en-AU"/>
        </w:rPr>
      </w:pPr>
      <w:hyperlink w:anchor="_Toc10119186" w:history="1">
        <w:r w:rsidR="008B166A" w:rsidRPr="00DD0BF2">
          <w:rPr>
            <w:rStyle w:val="Hyperlink"/>
            <w:noProof/>
          </w:rPr>
          <w:t>Possible recommendation 8: Review the Government rates and taxes charges to service station operators</w:t>
        </w:r>
        <w:r w:rsidR="008B166A">
          <w:rPr>
            <w:noProof/>
            <w:webHidden/>
          </w:rPr>
          <w:tab/>
        </w:r>
        <w:r w:rsidR="008B166A">
          <w:rPr>
            <w:noProof/>
            <w:webHidden/>
          </w:rPr>
          <w:fldChar w:fldCharType="begin"/>
        </w:r>
        <w:r w:rsidR="008B166A">
          <w:rPr>
            <w:noProof/>
            <w:webHidden/>
          </w:rPr>
          <w:instrText xml:space="preserve"> PAGEREF _Toc10119186 \h </w:instrText>
        </w:r>
        <w:r w:rsidR="008B166A">
          <w:rPr>
            <w:noProof/>
            <w:webHidden/>
          </w:rPr>
        </w:r>
        <w:r w:rsidR="008B166A">
          <w:rPr>
            <w:noProof/>
            <w:webHidden/>
          </w:rPr>
          <w:fldChar w:fldCharType="separate"/>
        </w:r>
        <w:r w:rsidR="008B166A">
          <w:rPr>
            <w:noProof/>
            <w:webHidden/>
          </w:rPr>
          <w:t>20</w:t>
        </w:r>
        <w:r w:rsidR="008B166A">
          <w:rPr>
            <w:noProof/>
            <w:webHidden/>
          </w:rPr>
          <w:fldChar w:fldCharType="end"/>
        </w:r>
      </w:hyperlink>
    </w:p>
    <w:p w:rsidR="008B166A" w:rsidRDefault="006D5D66">
      <w:pPr>
        <w:pStyle w:val="TOC2"/>
        <w:rPr>
          <w:rFonts w:asciiTheme="minorHAnsi" w:eastAsiaTheme="minorEastAsia" w:hAnsiTheme="minorHAnsi" w:cstheme="minorBidi"/>
          <w:b w:val="0"/>
          <w:noProof/>
          <w:sz w:val="22"/>
          <w:szCs w:val="22"/>
          <w:lang w:eastAsia="en-AU"/>
        </w:rPr>
      </w:pPr>
      <w:hyperlink w:anchor="_Toc10119187" w:history="1">
        <w:r w:rsidR="008B166A" w:rsidRPr="00DD0BF2">
          <w:rPr>
            <w:rStyle w:val="Hyperlink"/>
            <w:noProof/>
          </w:rPr>
          <w:t>Possible recommendation 9: Subsidies for low-income families</w:t>
        </w:r>
        <w:r w:rsidR="008B166A">
          <w:rPr>
            <w:noProof/>
            <w:webHidden/>
          </w:rPr>
          <w:tab/>
        </w:r>
        <w:r w:rsidR="008B166A">
          <w:rPr>
            <w:noProof/>
            <w:webHidden/>
          </w:rPr>
          <w:fldChar w:fldCharType="begin"/>
        </w:r>
        <w:r w:rsidR="008B166A">
          <w:rPr>
            <w:noProof/>
            <w:webHidden/>
          </w:rPr>
          <w:instrText xml:space="preserve"> PAGEREF _Toc10119187 \h </w:instrText>
        </w:r>
        <w:r w:rsidR="008B166A">
          <w:rPr>
            <w:noProof/>
            <w:webHidden/>
          </w:rPr>
        </w:r>
        <w:r w:rsidR="008B166A">
          <w:rPr>
            <w:noProof/>
            <w:webHidden/>
          </w:rPr>
          <w:fldChar w:fldCharType="separate"/>
        </w:r>
        <w:r w:rsidR="008B166A">
          <w:rPr>
            <w:noProof/>
            <w:webHidden/>
          </w:rPr>
          <w:t>20</w:t>
        </w:r>
        <w:r w:rsidR="008B166A">
          <w:rPr>
            <w:noProof/>
            <w:webHidden/>
          </w:rPr>
          <w:fldChar w:fldCharType="end"/>
        </w:r>
      </w:hyperlink>
    </w:p>
    <w:p w:rsidR="008B166A" w:rsidRDefault="006D5D66">
      <w:pPr>
        <w:pStyle w:val="TOC1"/>
        <w:rPr>
          <w:rFonts w:asciiTheme="minorHAnsi" w:eastAsiaTheme="minorEastAsia" w:hAnsiTheme="minorHAnsi" w:cstheme="minorBidi"/>
          <w:b w:val="0"/>
          <w:bCs w:val="0"/>
          <w:smallCaps w:val="0"/>
          <w:noProof/>
          <w:spacing w:val="0"/>
          <w:sz w:val="22"/>
          <w:szCs w:val="22"/>
          <w:lang w:eastAsia="en-AU"/>
        </w:rPr>
      </w:pPr>
      <w:hyperlink w:anchor="_Toc10119188" w:history="1">
        <w:r w:rsidR="008B166A" w:rsidRPr="00DD0BF2">
          <w:rPr>
            <w:rStyle w:val="Hyperlink"/>
            <w:noProof/>
          </w:rPr>
          <w:t>4</w:t>
        </w:r>
        <w:r w:rsidR="008B166A">
          <w:rPr>
            <w:rFonts w:asciiTheme="minorHAnsi" w:eastAsiaTheme="minorEastAsia" w:hAnsiTheme="minorHAnsi" w:cstheme="minorBidi"/>
            <w:b w:val="0"/>
            <w:bCs w:val="0"/>
            <w:smallCaps w:val="0"/>
            <w:noProof/>
            <w:spacing w:val="0"/>
            <w:sz w:val="22"/>
            <w:szCs w:val="22"/>
            <w:lang w:eastAsia="en-AU"/>
          </w:rPr>
          <w:tab/>
        </w:r>
        <w:r w:rsidR="008B166A" w:rsidRPr="00DD0BF2">
          <w:rPr>
            <w:rStyle w:val="Hyperlink"/>
            <w:noProof/>
          </w:rPr>
          <w:t>Committee invitation for further comment</w:t>
        </w:r>
        <w:r w:rsidR="008B166A">
          <w:rPr>
            <w:noProof/>
            <w:webHidden/>
          </w:rPr>
          <w:tab/>
        </w:r>
        <w:r w:rsidR="008B166A">
          <w:rPr>
            <w:noProof/>
            <w:webHidden/>
          </w:rPr>
          <w:fldChar w:fldCharType="begin"/>
        </w:r>
        <w:r w:rsidR="008B166A">
          <w:rPr>
            <w:noProof/>
            <w:webHidden/>
          </w:rPr>
          <w:instrText xml:space="preserve"> PAGEREF _Toc10119188 \h </w:instrText>
        </w:r>
        <w:r w:rsidR="008B166A">
          <w:rPr>
            <w:noProof/>
            <w:webHidden/>
          </w:rPr>
        </w:r>
        <w:r w:rsidR="008B166A">
          <w:rPr>
            <w:noProof/>
            <w:webHidden/>
          </w:rPr>
          <w:fldChar w:fldCharType="separate"/>
        </w:r>
        <w:r w:rsidR="008B166A">
          <w:rPr>
            <w:noProof/>
            <w:webHidden/>
          </w:rPr>
          <w:t>22</w:t>
        </w:r>
        <w:r w:rsidR="008B166A">
          <w:rPr>
            <w:noProof/>
            <w:webHidden/>
          </w:rPr>
          <w:fldChar w:fldCharType="end"/>
        </w:r>
      </w:hyperlink>
    </w:p>
    <w:p w:rsidR="008B166A" w:rsidRDefault="006D5D66">
      <w:pPr>
        <w:pStyle w:val="TOC1"/>
        <w:rPr>
          <w:rFonts w:asciiTheme="minorHAnsi" w:eastAsiaTheme="minorEastAsia" w:hAnsiTheme="minorHAnsi" w:cstheme="minorBidi"/>
          <w:b w:val="0"/>
          <w:bCs w:val="0"/>
          <w:smallCaps w:val="0"/>
          <w:noProof/>
          <w:spacing w:val="0"/>
          <w:sz w:val="22"/>
          <w:szCs w:val="22"/>
          <w:lang w:eastAsia="en-AU"/>
        </w:rPr>
      </w:pPr>
      <w:hyperlink w:anchor="_Toc10119189" w:history="1">
        <w:r w:rsidR="008B166A" w:rsidRPr="00DD0BF2">
          <w:rPr>
            <w:rStyle w:val="Hyperlink"/>
            <w:noProof/>
          </w:rPr>
          <w:t>Appendix A – Submissions</w:t>
        </w:r>
        <w:r w:rsidR="008B166A">
          <w:rPr>
            <w:noProof/>
            <w:webHidden/>
          </w:rPr>
          <w:tab/>
        </w:r>
        <w:r w:rsidR="008B166A">
          <w:rPr>
            <w:noProof/>
            <w:webHidden/>
          </w:rPr>
          <w:fldChar w:fldCharType="begin"/>
        </w:r>
        <w:r w:rsidR="008B166A">
          <w:rPr>
            <w:noProof/>
            <w:webHidden/>
          </w:rPr>
          <w:instrText xml:space="preserve"> PAGEREF _Toc10119189 \h </w:instrText>
        </w:r>
        <w:r w:rsidR="008B166A">
          <w:rPr>
            <w:noProof/>
            <w:webHidden/>
          </w:rPr>
        </w:r>
        <w:r w:rsidR="008B166A">
          <w:rPr>
            <w:noProof/>
            <w:webHidden/>
          </w:rPr>
          <w:fldChar w:fldCharType="separate"/>
        </w:r>
        <w:r w:rsidR="008B166A">
          <w:rPr>
            <w:noProof/>
            <w:webHidden/>
          </w:rPr>
          <w:t>23</w:t>
        </w:r>
        <w:r w:rsidR="008B166A">
          <w:rPr>
            <w:noProof/>
            <w:webHidden/>
          </w:rPr>
          <w:fldChar w:fldCharType="end"/>
        </w:r>
      </w:hyperlink>
    </w:p>
    <w:p w:rsidR="008B166A" w:rsidRDefault="006D5D66">
      <w:pPr>
        <w:pStyle w:val="TOC1"/>
        <w:rPr>
          <w:rFonts w:asciiTheme="minorHAnsi" w:eastAsiaTheme="minorEastAsia" w:hAnsiTheme="minorHAnsi" w:cstheme="minorBidi"/>
          <w:b w:val="0"/>
          <w:bCs w:val="0"/>
          <w:smallCaps w:val="0"/>
          <w:noProof/>
          <w:spacing w:val="0"/>
          <w:sz w:val="22"/>
          <w:szCs w:val="22"/>
          <w:lang w:eastAsia="en-AU"/>
        </w:rPr>
      </w:pPr>
      <w:hyperlink w:anchor="_Toc10119190" w:history="1">
        <w:r w:rsidR="008B166A" w:rsidRPr="00DD0BF2">
          <w:rPr>
            <w:rStyle w:val="Hyperlink"/>
            <w:noProof/>
          </w:rPr>
          <w:t>Appendix B - Witnesses</w:t>
        </w:r>
        <w:r w:rsidR="008B166A">
          <w:rPr>
            <w:noProof/>
            <w:webHidden/>
          </w:rPr>
          <w:tab/>
        </w:r>
        <w:r w:rsidR="008B166A">
          <w:rPr>
            <w:noProof/>
            <w:webHidden/>
          </w:rPr>
          <w:fldChar w:fldCharType="begin"/>
        </w:r>
        <w:r w:rsidR="008B166A">
          <w:rPr>
            <w:noProof/>
            <w:webHidden/>
          </w:rPr>
          <w:instrText xml:space="preserve"> PAGEREF _Toc10119190 \h </w:instrText>
        </w:r>
        <w:r w:rsidR="008B166A">
          <w:rPr>
            <w:noProof/>
            <w:webHidden/>
          </w:rPr>
        </w:r>
        <w:r w:rsidR="008B166A">
          <w:rPr>
            <w:noProof/>
            <w:webHidden/>
          </w:rPr>
          <w:fldChar w:fldCharType="separate"/>
        </w:r>
        <w:r w:rsidR="008B166A">
          <w:rPr>
            <w:noProof/>
            <w:webHidden/>
          </w:rPr>
          <w:t>25</w:t>
        </w:r>
        <w:r w:rsidR="008B166A">
          <w:rPr>
            <w:noProof/>
            <w:webHidden/>
          </w:rPr>
          <w:fldChar w:fldCharType="end"/>
        </w:r>
      </w:hyperlink>
    </w:p>
    <w:p w:rsidR="008B166A" w:rsidRDefault="006D5D66">
      <w:pPr>
        <w:pStyle w:val="TOC2"/>
        <w:rPr>
          <w:rFonts w:asciiTheme="minorHAnsi" w:eastAsiaTheme="minorEastAsia" w:hAnsiTheme="minorHAnsi" w:cstheme="minorBidi"/>
          <w:b w:val="0"/>
          <w:noProof/>
          <w:sz w:val="22"/>
          <w:szCs w:val="22"/>
          <w:lang w:eastAsia="en-AU"/>
        </w:rPr>
      </w:pPr>
      <w:hyperlink w:anchor="_Toc10119191" w:history="1">
        <w:r w:rsidR="008B166A" w:rsidRPr="00DD0BF2">
          <w:rPr>
            <w:rStyle w:val="Hyperlink"/>
            <w:noProof/>
          </w:rPr>
          <w:t>Thursday, 14 March 2019</w:t>
        </w:r>
        <w:r w:rsidR="008B166A">
          <w:rPr>
            <w:noProof/>
            <w:webHidden/>
          </w:rPr>
          <w:tab/>
        </w:r>
        <w:r w:rsidR="008B166A">
          <w:rPr>
            <w:noProof/>
            <w:webHidden/>
          </w:rPr>
          <w:fldChar w:fldCharType="begin"/>
        </w:r>
        <w:r w:rsidR="008B166A">
          <w:rPr>
            <w:noProof/>
            <w:webHidden/>
          </w:rPr>
          <w:instrText xml:space="preserve"> PAGEREF _Toc10119191 \h </w:instrText>
        </w:r>
        <w:r w:rsidR="008B166A">
          <w:rPr>
            <w:noProof/>
            <w:webHidden/>
          </w:rPr>
        </w:r>
        <w:r w:rsidR="008B166A">
          <w:rPr>
            <w:noProof/>
            <w:webHidden/>
          </w:rPr>
          <w:fldChar w:fldCharType="separate"/>
        </w:r>
        <w:r w:rsidR="008B166A">
          <w:rPr>
            <w:noProof/>
            <w:webHidden/>
          </w:rPr>
          <w:t>25</w:t>
        </w:r>
        <w:r w:rsidR="008B166A">
          <w:rPr>
            <w:noProof/>
            <w:webHidden/>
          </w:rPr>
          <w:fldChar w:fldCharType="end"/>
        </w:r>
      </w:hyperlink>
    </w:p>
    <w:p w:rsidR="008B166A" w:rsidRDefault="006D5D66">
      <w:pPr>
        <w:pStyle w:val="TOC2"/>
        <w:rPr>
          <w:rFonts w:asciiTheme="minorHAnsi" w:eastAsiaTheme="minorEastAsia" w:hAnsiTheme="minorHAnsi" w:cstheme="minorBidi"/>
          <w:b w:val="0"/>
          <w:noProof/>
          <w:sz w:val="22"/>
          <w:szCs w:val="22"/>
          <w:lang w:eastAsia="en-AU"/>
        </w:rPr>
      </w:pPr>
      <w:hyperlink w:anchor="_Toc10119192" w:history="1">
        <w:r w:rsidR="008B166A" w:rsidRPr="00DD0BF2">
          <w:rPr>
            <w:rStyle w:val="Hyperlink"/>
            <w:noProof/>
          </w:rPr>
          <w:t>Monday, 18 March 2019</w:t>
        </w:r>
        <w:r w:rsidR="008B166A">
          <w:rPr>
            <w:noProof/>
            <w:webHidden/>
          </w:rPr>
          <w:tab/>
        </w:r>
        <w:r w:rsidR="008B166A">
          <w:rPr>
            <w:noProof/>
            <w:webHidden/>
          </w:rPr>
          <w:fldChar w:fldCharType="begin"/>
        </w:r>
        <w:r w:rsidR="008B166A">
          <w:rPr>
            <w:noProof/>
            <w:webHidden/>
          </w:rPr>
          <w:instrText xml:space="preserve"> PAGEREF _Toc10119192 \h </w:instrText>
        </w:r>
        <w:r w:rsidR="008B166A">
          <w:rPr>
            <w:noProof/>
            <w:webHidden/>
          </w:rPr>
        </w:r>
        <w:r w:rsidR="008B166A">
          <w:rPr>
            <w:noProof/>
            <w:webHidden/>
          </w:rPr>
          <w:fldChar w:fldCharType="separate"/>
        </w:r>
        <w:r w:rsidR="008B166A">
          <w:rPr>
            <w:noProof/>
            <w:webHidden/>
          </w:rPr>
          <w:t>25</w:t>
        </w:r>
        <w:r w:rsidR="008B166A">
          <w:rPr>
            <w:noProof/>
            <w:webHidden/>
          </w:rPr>
          <w:fldChar w:fldCharType="end"/>
        </w:r>
      </w:hyperlink>
    </w:p>
    <w:p w:rsidR="008B166A" w:rsidRDefault="006D5D66">
      <w:pPr>
        <w:pStyle w:val="TOC2"/>
        <w:rPr>
          <w:rFonts w:asciiTheme="minorHAnsi" w:eastAsiaTheme="minorEastAsia" w:hAnsiTheme="minorHAnsi" w:cstheme="minorBidi"/>
          <w:b w:val="0"/>
          <w:noProof/>
          <w:sz w:val="22"/>
          <w:szCs w:val="22"/>
          <w:lang w:eastAsia="en-AU"/>
        </w:rPr>
      </w:pPr>
      <w:hyperlink w:anchor="_Toc10119193" w:history="1">
        <w:r w:rsidR="008B166A" w:rsidRPr="00DD0BF2">
          <w:rPr>
            <w:rStyle w:val="Hyperlink"/>
            <w:noProof/>
          </w:rPr>
          <w:t>Thursday, 28 March 2019</w:t>
        </w:r>
        <w:r w:rsidR="008B166A">
          <w:rPr>
            <w:noProof/>
            <w:webHidden/>
          </w:rPr>
          <w:tab/>
        </w:r>
        <w:r w:rsidR="008B166A">
          <w:rPr>
            <w:noProof/>
            <w:webHidden/>
          </w:rPr>
          <w:fldChar w:fldCharType="begin"/>
        </w:r>
        <w:r w:rsidR="008B166A">
          <w:rPr>
            <w:noProof/>
            <w:webHidden/>
          </w:rPr>
          <w:instrText xml:space="preserve"> PAGEREF _Toc10119193 \h </w:instrText>
        </w:r>
        <w:r w:rsidR="008B166A">
          <w:rPr>
            <w:noProof/>
            <w:webHidden/>
          </w:rPr>
        </w:r>
        <w:r w:rsidR="008B166A">
          <w:rPr>
            <w:noProof/>
            <w:webHidden/>
          </w:rPr>
          <w:fldChar w:fldCharType="separate"/>
        </w:r>
        <w:r w:rsidR="008B166A">
          <w:rPr>
            <w:noProof/>
            <w:webHidden/>
          </w:rPr>
          <w:t>25</w:t>
        </w:r>
        <w:r w:rsidR="008B166A">
          <w:rPr>
            <w:noProof/>
            <w:webHidden/>
          </w:rPr>
          <w:fldChar w:fldCharType="end"/>
        </w:r>
      </w:hyperlink>
    </w:p>
    <w:p w:rsidR="008B166A" w:rsidRDefault="006D5D66">
      <w:pPr>
        <w:pStyle w:val="TOC2"/>
        <w:rPr>
          <w:rFonts w:asciiTheme="minorHAnsi" w:eastAsiaTheme="minorEastAsia" w:hAnsiTheme="minorHAnsi" w:cstheme="minorBidi"/>
          <w:b w:val="0"/>
          <w:noProof/>
          <w:sz w:val="22"/>
          <w:szCs w:val="22"/>
          <w:lang w:eastAsia="en-AU"/>
        </w:rPr>
      </w:pPr>
      <w:hyperlink w:anchor="_Toc10119194" w:history="1">
        <w:r w:rsidR="008B166A" w:rsidRPr="00DD0BF2">
          <w:rPr>
            <w:rStyle w:val="Hyperlink"/>
            <w:noProof/>
          </w:rPr>
          <w:t>Wednesday, 10 April 2019</w:t>
        </w:r>
        <w:r w:rsidR="008B166A">
          <w:rPr>
            <w:noProof/>
            <w:webHidden/>
          </w:rPr>
          <w:tab/>
        </w:r>
        <w:r w:rsidR="008B166A">
          <w:rPr>
            <w:noProof/>
            <w:webHidden/>
          </w:rPr>
          <w:fldChar w:fldCharType="begin"/>
        </w:r>
        <w:r w:rsidR="008B166A">
          <w:rPr>
            <w:noProof/>
            <w:webHidden/>
          </w:rPr>
          <w:instrText xml:space="preserve"> PAGEREF _Toc10119194 \h </w:instrText>
        </w:r>
        <w:r w:rsidR="008B166A">
          <w:rPr>
            <w:noProof/>
            <w:webHidden/>
          </w:rPr>
        </w:r>
        <w:r w:rsidR="008B166A">
          <w:rPr>
            <w:noProof/>
            <w:webHidden/>
          </w:rPr>
          <w:fldChar w:fldCharType="separate"/>
        </w:r>
        <w:r w:rsidR="008B166A">
          <w:rPr>
            <w:noProof/>
            <w:webHidden/>
          </w:rPr>
          <w:t>25</w:t>
        </w:r>
        <w:r w:rsidR="008B166A">
          <w:rPr>
            <w:noProof/>
            <w:webHidden/>
          </w:rPr>
          <w:fldChar w:fldCharType="end"/>
        </w:r>
      </w:hyperlink>
    </w:p>
    <w:p w:rsidR="008B166A" w:rsidRDefault="006D5D66">
      <w:pPr>
        <w:pStyle w:val="TOC2"/>
        <w:rPr>
          <w:rFonts w:asciiTheme="minorHAnsi" w:eastAsiaTheme="minorEastAsia" w:hAnsiTheme="minorHAnsi" w:cstheme="minorBidi"/>
          <w:b w:val="0"/>
          <w:noProof/>
          <w:sz w:val="22"/>
          <w:szCs w:val="22"/>
          <w:lang w:eastAsia="en-AU"/>
        </w:rPr>
      </w:pPr>
      <w:hyperlink w:anchor="_Toc10119195" w:history="1">
        <w:r w:rsidR="008B166A" w:rsidRPr="00DD0BF2">
          <w:rPr>
            <w:rStyle w:val="Hyperlink"/>
            <w:noProof/>
          </w:rPr>
          <w:t>Tuesday, 30 April 2019</w:t>
        </w:r>
        <w:r w:rsidR="008B166A">
          <w:rPr>
            <w:noProof/>
            <w:webHidden/>
          </w:rPr>
          <w:tab/>
        </w:r>
        <w:r w:rsidR="008B166A">
          <w:rPr>
            <w:noProof/>
            <w:webHidden/>
          </w:rPr>
          <w:fldChar w:fldCharType="begin"/>
        </w:r>
        <w:r w:rsidR="008B166A">
          <w:rPr>
            <w:noProof/>
            <w:webHidden/>
          </w:rPr>
          <w:instrText xml:space="preserve"> PAGEREF _Toc10119195 \h </w:instrText>
        </w:r>
        <w:r w:rsidR="008B166A">
          <w:rPr>
            <w:noProof/>
            <w:webHidden/>
          </w:rPr>
        </w:r>
        <w:r w:rsidR="008B166A">
          <w:rPr>
            <w:noProof/>
            <w:webHidden/>
          </w:rPr>
          <w:fldChar w:fldCharType="separate"/>
        </w:r>
        <w:r w:rsidR="008B166A">
          <w:rPr>
            <w:noProof/>
            <w:webHidden/>
          </w:rPr>
          <w:t>25</w:t>
        </w:r>
        <w:r w:rsidR="008B166A">
          <w:rPr>
            <w:noProof/>
            <w:webHidden/>
          </w:rPr>
          <w:fldChar w:fldCharType="end"/>
        </w:r>
      </w:hyperlink>
    </w:p>
    <w:p w:rsidR="008B166A" w:rsidRDefault="006D5D66">
      <w:pPr>
        <w:pStyle w:val="TOC2"/>
        <w:rPr>
          <w:rFonts w:asciiTheme="minorHAnsi" w:eastAsiaTheme="minorEastAsia" w:hAnsiTheme="minorHAnsi" w:cstheme="minorBidi"/>
          <w:b w:val="0"/>
          <w:noProof/>
          <w:sz w:val="22"/>
          <w:szCs w:val="22"/>
          <w:lang w:eastAsia="en-AU"/>
        </w:rPr>
      </w:pPr>
      <w:hyperlink w:anchor="_Toc10119196" w:history="1">
        <w:r w:rsidR="008B166A" w:rsidRPr="00DD0BF2">
          <w:rPr>
            <w:rStyle w:val="Hyperlink"/>
            <w:noProof/>
          </w:rPr>
          <w:t>Wednesday, 8 May 2019</w:t>
        </w:r>
        <w:r w:rsidR="008B166A">
          <w:rPr>
            <w:noProof/>
            <w:webHidden/>
          </w:rPr>
          <w:tab/>
        </w:r>
        <w:r w:rsidR="008B166A">
          <w:rPr>
            <w:noProof/>
            <w:webHidden/>
          </w:rPr>
          <w:fldChar w:fldCharType="begin"/>
        </w:r>
        <w:r w:rsidR="008B166A">
          <w:rPr>
            <w:noProof/>
            <w:webHidden/>
          </w:rPr>
          <w:instrText xml:space="preserve"> PAGEREF _Toc10119196 \h </w:instrText>
        </w:r>
        <w:r w:rsidR="008B166A">
          <w:rPr>
            <w:noProof/>
            <w:webHidden/>
          </w:rPr>
        </w:r>
        <w:r w:rsidR="008B166A">
          <w:rPr>
            <w:noProof/>
            <w:webHidden/>
          </w:rPr>
          <w:fldChar w:fldCharType="separate"/>
        </w:r>
        <w:r w:rsidR="008B166A">
          <w:rPr>
            <w:noProof/>
            <w:webHidden/>
          </w:rPr>
          <w:t>26</w:t>
        </w:r>
        <w:r w:rsidR="008B166A">
          <w:rPr>
            <w:noProof/>
            <w:webHidden/>
          </w:rPr>
          <w:fldChar w:fldCharType="end"/>
        </w:r>
      </w:hyperlink>
    </w:p>
    <w:p w:rsidR="008B166A" w:rsidRDefault="006D5D66">
      <w:pPr>
        <w:pStyle w:val="TOC2"/>
        <w:rPr>
          <w:rFonts w:asciiTheme="minorHAnsi" w:eastAsiaTheme="minorEastAsia" w:hAnsiTheme="minorHAnsi" w:cstheme="minorBidi"/>
          <w:b w:val="0"/>
          <w:noProof/>
          <w:sz w:val="22"/>
          <w:szCs w:val="22"/>
          <w:lang w:eastAsia="en-AU"/>
        </w:rPr>
      </w:pPr>
      <w:hyperlink w:anchor="_Toc10119197" w:history="1">
        <w:r w:rsidR="008B166A" w:rsidRPr="00DD0BF2">
          <w:rPr>
            <w:rStyle w:val="Hyperlink"/>
            <w:noProof/>
          </w:rPr>
          <w:t>Thursday, 9 May 2019</w:t>
        </w:r>
        <w:r w:rsidR="008B166A">
          <w:rPr>
            <w:noProof/>
            <w:webHidden/>
          </w:rPr>
          <w:tab/>
        </w:r>
        <w:r w:rsidR="008B166A">
          <w:rPr>
            <w:noProof/>
            <w:webHidden/>
          </w:rPr>
          <w:fldChar w:fldCharType="begin"/>
        </w:r>
        <w:r w:rsidR="008B166A">
          <w:rPr>
            <w:noProof/>
            <w:webHidden/>
          </w:rPr>
          <w:instrText xml:space="preserve"> PAGEREF _Toc10119197 \h </w:instrText>
        </w:r>
        <w:r w:rsidR="008B166A">
          <w:rPr>
            <w:noProof/>
            <w:webHidden/>
          </w:rPr>
        </w:r>
        <w:r w:rsidR="008B166A">
          <w:rPr>
            <w:noProof/>
            <w:webHidden/>
          </w:rPr>
          <w:fldChar w:fldCharType="separate"/>
        </w:r>
        <w:r w:rsidR="008B166A">
          <w:rPr>
            <w:noProof/>
            <w:webHidden/>
          </w:rPr>
          <w:t>26</w:t>
        </w:r>
        <w:r w:rsidR="008B166A">
          <w:rPr>
            <w:noProof/>
            <w:webHidden/>
          </w:rPr>
          <w:fldChar w:fldCharType="end"/>
        </w:r>
      </w:hyperlink>
    </w:p>
    <w:p w:rsidR="005973EA" w:rsidRDefault="00171CA7" w:rsidP="00C342F7">
      <w:pPr>
        <w:pStyle w:val="TOC1"/>
      </w:pPr>
      <w:r>
        <w:fldChar w:fldCharType="end"/>
      </w:r>
    </w:p>
    <w:p w:rsidR="006F1579" w:rsidRDefault="006F1579" w:rsidP="005973EA">
      <w:pPr>
        <w:sectPr w:rsidR="006F1579" w:rsidSect="001C2D1C">
          <w:headerReference w:type="even" r:id="rId18"/>
          <w:headerReference w:type="default" r:id="rId19"/>
          <w:footerReference w:type="even" r:id="rId20"/>
          <w:footerReference w:type="default" r:id="rId21"/>
          <w:headerReference w:type="first" r:id="rId22"/>
          <w:type w:val="oddPage"/>
          <w:pgSz w:w="11907" w:h="16840" w:code="9"/>
          <w:pgMar w:top="1588" w:right="1418" w:bottom="1418" w:left="1418" w:header="720" w:footer="851" w:gutter="0"/>
          <w:pgNumType w:fmt="lowerRoman" w:start="1"/>
          <w:cols w:space="720"/>
          <w:docGrid w:linePitch="360"/>
        </w:sectPr>
      </w:pPr>
    </w:p>
    <w:p w:rsidR="000F6BB4" w:rsidRDefault="000F6BB4" w:rsidP="009B20B9">
      <w:pPr>
        <w:pStyle w:val="Heading2"/>
      </w:pPr>
      <w:bookmarkStart w:id="35" w:name="_Toc10119164"/>
      <w:r>
        <w:lastRenderedPageBreak/>
        <w:t>Co</w:t>
      </w:r>
      <w:r w:rsidR="006B0642">
        <w:t>nduct of Inquiry to Date</w:t>
      </w:r>
      <w:bookmarkEnd w:id="35"/>
    </w:p>
    <w:p w:rsidR="009B20B9" w:rsidRDefault="009B20B9" w:rsidP="009B20B9">
      <w:pPr>
        <w:pStyle w:val="Heading3"/>
      </w:pPr>
      <w:bookmarkStart w:id="36" w:name="_Toc3988745"/>
      <w:bookmarkStart w:id="37" w:name="_Toc10119165"/>
      <w:r>
        <w:t>Submissions</w:t>
      </w:r>
      <w:bookmarkEnd w:id="36"/>
      <w:bookmarkEnd w:id="37"/>
    </w:p>
    <w:p w:rsidR="009B20B9" w:rsidRDefault="009B20B9" w:rsidP="009B20B9">
      <w:pPr>
        <w:pStyle w:val="BodyText"/>
        <w:ind w:left="1135"/>
      </w:pPr>
      <w:r>
        <w:t>The Committee invited s</w:t>
      </w:r>
      <w:r w:rsidR="006B0642">
        <w:t xml:space="preserve">ubmissions to the </w:t>
      </w:r>
      <w:r>
        <w:t>inquiry on 18 February 2019 by advertisement on the Committee website, on social media sites and by media release to all ACT and a range of interstate media outlets.  The Committee directly invited a number and range of organisations and individuals with an interest in the matters before the Committee to provide written submissions.</w:t>
      </w:r>
    </w:p>
    <w:p w:rsidR="009B20B9" w:rsidRDefault="009B20B9" w:rsidP="009B20B9">
      <w:pPr>
        <w:pStyle w:val="BodyText"/>
        <w:ind w:left="1135"/>
      </w:pPr>
      <w:r>
        <w:t>Th</w:t>
      </w:r>
      <w:r w:rsidR="003378A4">
        <w:t xml:space="preserve">e Committee set 11 March </w:t>
      </w:r>
      <w:r>
        <w:t>2019</w:t>
      </w:r>
      <w:r w:rsidR="003378A4">
        <w:t xml:space="preserve"> for receipt of submissions</w:t>
      </w:r>
      <w:r w:rsidR="002B203E">
        <w:t xml:space="preserve"> and continues to accept submissions as more people become engaged</w:t>
      </w:r>
      <w:r w:rsidR="003378A4">
        <w:t>.</w:t>
      </w:r>
    </w:p>
    <w:p w:rsidR="009B20B9" w:rsidRDefault="002B203E" w:rsidP="00A50165">
      <w:pPr>
        <w:pStyle w:val="BodyText"/>
        <w:ind w:left="1135"/>
      </w:pPr>
      <w:r>
        <w:t xml:space="preserve">To date, the </w:t>
      </w:r>
      <w:r w:rsidR="009B20B9">
        <w:t>Committee</w:t>
      </w:r>
      <w:r>
        <w:t xml:space="preserve"> has</w:t>
      </w:r>
      <w:r w:rsidR="009B20B9">
        <w:t xml:space="preserve"> received 23 written submissions. All submissions received and published are listed in </w:t>
      </w:r>
      <w:r w:rsidR="009B20B9" w:rsidRPr="009B20B9">
        <w:rPr>
          <w:b/>
        </w:rPr>
        <w:t>Appendix A</w:t>
      </w:r>
      <w:r w:rsidR="009B20B9">
        <w:t xml:space="preserve"> and can be downloaded from the Committee website.</w:t>
      </w:r>
    </w:p>
    <w:p w:rsidR="00C24204" w:rsidRDefault="00C24204" w:rsidP="00C24204">
      <w:pPr>
        <w:pStyle w:val="Heading3"/>
      </w:pPr>
      <w:bookmarkStart w:id="38" w:name="_Toc10119166"/>
      <w:r>
        <w:t>Survey of Community Attitudes to Fuel Pricing</w:t>
      </w:r>
      <w:bookmarkEnd w:id="38"/>
    </w:p>
    <w:p w:rsidR="00C24204" w:rsidRPr="00104875" w:rsidRDefault="00C24204" w:rsidP="00104875">
      <w:pPr>
        <w:pStyle w:val="BodyText"/>
        <w:ind w:left="1135"/>
      </w:pPr>
      <w:r>
        <w:t xml:space="preserve">In </w:t>
      </w:r>
      <w:r w:rsidR="006B1626">
        <w:t>addition</w:t>
      </w:r>
      <w:r>
        <w:t xml:space="preserve"> to receiving submissions to the inquiry, the Committee </w:t>
      </w:r>
      <w:r w:rsidR="002B203E">
        <w:t xml:space="preserve">created </w:t>
      </w:r>
      <w:r>
        <w:t>a</w:t>
      </w:r>
      <w:r w:rsidR="002B203E">
        <w:t>n online</w:t>
      </w:r>
      <w:r>
        <w:t xml:space="preserve"> community </w:t>
      </w:r>
      <w:r w:rsidR="006B1626">
        <w:t>survey</w:t>
      </w:r>
      <w:r>
        <w:t xml:space="preserve">.  This survey </w:t>
      </w:r>
      <w:r w:rsidR="00DE07A0">
        <w:t>re</w:t>
      </w:r>
      <w:r w:rsidR="006B1626">
        <w:t>corded 358 submissions (to date)</w:t>
      </w:r>
      <w:r w:rsidR="00DE07A0">
        <w:t xml:space="preserve"> whi</w:t>
      </w:r>
      <w:r w:rsidR="006B1626">
        <w:t>ch</w:t>
      </w:r>
      <w:r w:rsidR="00DE07A0">
        <w:t xml:space="preserve"> are on the Committee’s </w:t>
      </w:r>
      <w:r w:rsidR="006B1626">
        <w:t>website</w:t>
      </w:r>
      <w:r w:rsidR="00DE07A0">
        <w:t xml:space="preserve"> at</w:t>
      </w:r>
      <w:r w:rsidR="0060740E">
        <w:t xml:space="preserve">: </w:t>
      </w:r>
      <w:hyperlink r:id="rId23" w:anchor="tab-1319674-6" w:history="1">
        <w:r w:rsidR="0060740E" w:rsidRPr="00104875">
          <w:t>https://www.parliament.act.gov.au/in-committees/select_committees/fuel-prices/inquiry-into-fuel-pricing#tab-1319674-6</w:t>
        </w:r>
      </w:hyperlink>
      <w:r w:rsidR="0060740E">
        <w:t>. They survey remains open at:</w:t>
      </w:r>
      <w:r w:rsidR="00DE07A0">
        <w:t xml:space="preserve"> </w:t>
      </w:r>
      <w:hyperlink r:id="rId24" w:history="1">
        <w:r w:rsidR="00DE07A0" w:rsidRPr="00104875">
          <w:t>https://www.surveymonkey.com/r/FuelPricing</w:t>
        </w:r>
      </w:hyperlink>
    </w:p>
    <w:p w:rsidR="009B20B9" w:rsidRDefault="009B20B9" w:rsidP="009B20B9">
      <w:pPr>
        <w:pStyle w:val="Heading3"/>
      </w:pPr>
      <w:bookmarkStart w:id="39" w:name="_Toc3988746"/>
      <w:bookmarkStart w:id="40" w:name="_Toc10119167"/>
      <w:r>
        <w:t>Hearings</w:t>
      </w:r>
      <w:bookmarkEnd w:id="39"/>
      <w:bookmarkEnd w:id="40"/>
    </w:p>
    <w:p w:rsidR="009B20B9" w:rsidRDefault="009B20B9" w:rsidP="009B20B9">
      <w:pPr>
        <w:pStyle w:val="BodyText"/>
        <w:ind w:left="1135"/>
      </w:pPr>
      <w:r>
        <w:t xml:space="preserve">The Committee </w:t>
      </w:r>
      <w:r w:rsidR="008A759C">
        <w:t xml:space="preserve">has held </w:t>
      </w:r>
      <w:r w:rsidR="00C24204">
        <w:t>seven</w:t>
      </w:r>
      <w:r w:rsidR="0049113B">
        <w:t xml:space="preserve"> </w:t>
      </w:r>
      <w:r>
        <w:t xml:space="preserve">public hearings on this reference.  The hearings were held on </w:t>
      </w:r>
      <w:r w:rsidR="0049113B">
        <w:t>14, 18 a</w:t>
      </w:r>
      <w:r w:rsidR="008A759C">
        <w:t>nd 28 March</w:t>
      </w:r>
      <w:r w:rsidR="0049113B">
        <w:t>; 10 and 30 April and 8 and 9 May 2019</w:t>
      </w:r>
      <w:r>
        <w:t>.</w:t>
      </w:r>
    </w:p>
    <w:p w:rsidR="009B20B9" w:rsidRDefault="009B20B9" w:rsidP="009B20B9">
      <w:pPr>
        <w:pStyle w:val="BodyText"/>
        <w:ind w:left="1135"/>
      </w:pPr>
      <w:r>
        <w:t xml:space="preserve">A list of witnesses who appeared before the Committee is at </w:t>
      </w:r>
      <w:r w:rsidRPr="008403DF">
        <w:rPr>
          <w:b/>
        </w:rPr>
        <w:t>Appendix</w:t>
      </w:r>
      <w:r w:rsidRPr="002064F8">
        <w:rPr>
          <w:b/>
        </w:rPr>
        <w:t xml:space="preserve"> B</w:t>
      </w:r>
      <w:r>
        <w:t>.  The transcripts of these public hearings are available on the Legislative Assembly Website.</w:t>
      </w:r>
      <w:r>
        <w:rPr>
          <w:rStyle w:val="FootnoteReference"/>
        </w:rPr>
        <w:footnoteReference w:id="3"/>
      </w:r>
    </w:p>
    <w:p w:rsidR="009B20B9" w:rsidRDefault="009B20B9" w:rsidP="0072481B">
      <w:pPr>
        <w:pStyle w:val="Heading3"/>
      </w:pPr>
      <w:bookmarkStart w:id="41" w:name="_Toc10119168"/>
      <w:r>
        <w:lastRenderedPageBreak/>
        <w:t>Interstate visit – Victoria</w:t>
      </w:r>
      <w:r w:rsidR="008A759C">
        <w:t xml:space="preserve"> and Western Australia</w:t>
      </w:r>
      <w:bookmarkEnd w:id="41"/>
    </w:p>
    <w:p w:rsidR="008A759C" w:rsidRDefault="009B20B9" w:rsidP="009B20B9">
      <w:pPr>
        <w:pStyle w:val="BodyText"/>
        <w:ind w:left="1135"/>
      </w:pPr>
      <w:r>
        <w:t xml:space="preserve">The inquiry </w:t>
      </w:r>
      <w:proofErr w:type="spellStart"/>
      <w:r>
        <w:t>ToR</w:t>
      </w:r>
      <w:proofErr w:type="spellEnd"/>
      <w:r>
        <w:t xml:space="preserve"> required the Committee to – </w:t>
      </w:r>
      <w:r w:rsidRPr="002654AB">
        <w:rPr>
          <w:i/>
        </w:rPr>
        <w:t>inter alia</w:t>
      </w:r>
      <w:r>
        <w:t xml:space="preserve"> – consider</w:t>
      </w:r>
      <w:r w:rsidR="008A759C">
        <w:t xml:space="preserve"> schemes related to fuel pri</w:t>
      </w:r>
      <w:r w:rsidR="00DE07A0">
        <w:t>ce</w:t>
      </w:r>
      <w:r w:rsidR="008A759C">
        <w:t xml:space="preserve"> </w:t>
      </w:r>
      <w:r w:rsidR="00DE07A0">
        <w:t>monitoring</w:t>
      </w:r>
      <w:r w:rsidR="008A759C">
        <w:t xml:space="preserve"> an</w:t>
      </w:r>
      <w:r w:rsidR="00DE07A0">
        <w:t>d</w:t>
      </w:r>
      <w:r w:rsidR="008A759C">
        <w:t xml:space="preserve"> related matters in other jurisdictions.</w:t>
      </w:r>
    </w:p>
    <w:p w:rsidR="003378A4" w:rsidRDefault="008A759C" w:rsidP="009B20B9">
      <w:pPr>
        <w:pStyle w:val="BodyText"/>
        <w:ind w:left="1135"/>
      </w:pPr>
      <w:r>
        <w:t xml:space="preserve">The Committee </w:t>
      </w:r>
      <w:r w:rsidR="003378A4">
        <w:t xml:space="preserve">held </w:t>
      </w:r>
      <w:r w:rsidR="00DE07A0">
        <w:t>discussions</w:t>
      </w:r>
      <w:r w:rsidR="003378A4">
        <w:t xml:space="preserve"> with </w:t>
      </w:r>
      <w:r w:rsidR="00DE07A0">
        <w:t>Victorian</w:t>
      </w:r>
      <w:r w:rsidR="003378A4">
        <w:t xml:space="preserve"> Government </w:t>
      </w:r>
      <w:r w:rsidR="0060740E">
        <w:t xml:space="preserve">officials </w:t>
      </w:r>
      <w:r w:rsidR="003378A4">
        <w:t>in Melbourne on 11</w:t>
      </w:r>
      <w:r w:rsidR="0060740E">
        <w:t> </w:t>
      </w:r>
      <w:r w:rsidR="003378A4">
        <w:t>April</w:t>
      </w:r>
      <w:r w:rsidR="0060740E">
        <w:t> </w:t>
      </w:r>
      <w:r w:rsidR="003378A4">
        <w:t>2019.</w:t>
      </w:r>
    </w:p>
    <w:p w:rsidR="009B20B9" w:rsidRDefault="003378A4">
      <w:pPr>
        <w:pStyle w:val="BodyText"/>
        <w:ind w:left="1135"/>
      </w:pPr>
      <w:r>
        <w:t xml:space="preserve">The Committee was </w:t>
      </w:r>
      <w:r w:rsidR="00DE07A0">
        <w:t>particularly</w:t>
      </w:r>
      <w:r>
        <w:t xml:space="preserve"> </w:t>
      </w:r>
      <w:r w:rsidR="00DE07A0">
        <w:t>interested t</w:t>
      </w:r>
      <w:r>
        <w:t>o asse</w:t>
      </w:r>
      <w:r w:rsidR="00DE07A0">
        <w:t>s</w:t>
      </w:r>
      <w:r>
        <w:t xml:space="preserve">s and </w:t>
      </w:r>
      <w:r w:rsidR="00DE07A0">
        <w:t>discuss</w:t>
      </w:r>
      <w:r>
        <w:t xml:space="preserve"> the work and information </w:t>
      </w:r>
      <w:r w:rsidR="00DE07A0">
        <w:t>published</w:t>
      </w:r>
      <w:r>
        <w:t xml:space="preserve"> by Fuel Watch WA which </w:t>
      </w:r>
      <w:r w:rsidR="00DE07A0">
        <w:t>has been in operation s</w:t>
      </w:r>
      <w:r>
        <w:t>ince 2002.</w:t>
      </w:r>
      <w:r w:rsidR="002B203E">
        <w:t xml:space="preserve"> The Committee visited</w:t>
      </w:r>
      <w:r>
        <w:t xml:space="preserve"> Perth on 12 April 2019 and held discussions with Fuel Watch WA </w:t>
      </w:r>
      <w:r w:rsidR="00DE07A0">
        <w:t>officials, with the Motor T</w:t>
      </w:r>
      <w:r>
        <w:t xml:space="preserve">rades </w:t>
      </w:r>
      <w:r w:rsidR="00DE07A0">
        <w:t>Association</w:t>
      </w:r>
      <w:r>
        <w:t xml:space="preserve"> of WA and the </w:t>
      </w:r>
      <w:r w:rsidR="0060740E">
        <w:t xml:space="preserve">Royal Automobile Club </w:t>
      </w:r>
      <w:r>
        <w:t>of WA</w:t>
      </w:r>
      <w:r w:rsidR="002B203E">
        <w:t xml:space="preserve">. </w:t>
      </w:r>
    </w:p>
    <w:p w:rsidR="009B20B9" w:rsidRDefault="009B20B9" w:rsidP="009B20B9">
      <w:pPr>
        <w:pStyle w:val="BodyText"/>
        <w:ind w:left="1135"/>
      </w:pPr>
      <w:r>
        <w:t xml:space="preserve">A detailed summary of the Committee’s schedule for this visit is at </w:t>
      </w:r>
      <w:r w:rsidRPr="008403DF">
        <w:rPr>
          <w:b/>
        </w:rPr>
        <w:t>Appendix C</w:t>
      </w:r>
      <w:r>
        <w:t>.</w:t>
      </w:r>
    </w:p>
    <w:p w:rsidR="009B20B9" w:rsidRDefault="009B20B9" w:rsidP="009B20B9">
      <w:pPr>
        <w:pStyle w:val="BodyText"/>
        <w:ind w:left="1135"/>
      </w:pPr>
      <w:r>
        <w:t>The Committee thanks the individuals and organisations who gave the Committee the benefit of their experience and practical knowledge during this visit, and for their frank and informative opinions</w:t>
      </w:r>
      <w:r w:rsidR="003378A4">
        <w:t>.</w:t>
      </w:r>
    </w:p>
    <w:p w:rsidR="009B20B9" w:rsidRDefault="009B20B9" w:rsidP="0072481B">
      <w:pPr>
        <w:pStyle w:val="Heading3"/>
      </w:pPr>
      <w:bookmarkStart w:id="42" w:name="_Toc10119169"/>
      <w:r>
        <w:t>Questions arising from hearings</w:t>
      </w:r>
      <w:bookmarkEnd w:id="42"/>
    </w:p>
    <w:p w:rsidR="00C24204" w:rsidRDefault="009B20B9" w:rsidP="00104875">
      <w:pPr>
        <w:pStyle w:val="BodyText"/>
        <w:ind w:left="1135"/>
      </w:pPr>
      <w:r>
        <w:t xml:space="preserve">During the Committee’s hearings, witnesses took </w:t>
      </w:r>
      <w:proofErr w:type="gramStart"/>
      <w:r>
        <w:t>a number of</w:t>
      </w:r>
      <w:proofErr w:type="gramEnd"/>
      <w:r>
        <w:t xml:space="preserve"> questions on notice from the Committee.  </w:t>
      </w:r>
      <w:r w:rsidR="003378A4">
        <w:t>The</w:t>
      </w:r>
      <w:r>
        <w:t xml:space="preserve"> answers to these questions are reproduced on the Committee inquiry website.</w:t>
      </w:r>
      <w:r>
        <w:rPr>
          <w:rStyle w:val="FootnoteReference"/>
        </w:rPr>
        <w:footnoteReference w:id="4"/>
      </w:r>
    </w:p>
    <w:p w:rsidR="009B20B9" w:rsidRDefault="002B203E" w:rsidP="009B20B9">
      <w:pPr>
        <w:pStyle w:val="Heading3"/>
      </w:pPr>
      <w:bookmarkStart w:id="43" w:name="_Toc3988747"/>
      <w:bookmarkStart w:id="44" w:name="_Toc10119170"/>
      <w:r>
        <w:t xml:space="preserve">Purpose of this </w:t>
      </w:r>
      <w:r w:rsidR="003378A4">
        <w:t xml:space="preserve">Interim </w:t>
      </w:r>
      <w:r w:rsidR="009B20B9">
        <w:t>Report</w:t>
      </w:r>
      <w:bookmarkEnd w:id="43"/>
      <w:bookmarkEnd w:id="44"/>
    </w:p>
    <w:p w:rsidR="002B203E" w:rsidRDefault="002B203E" w:rsidP="00104875">
      <w:pPr>
        <w:pStyle w:val="BodyText"/>
        <w:ind w:left="1135"/>
      </w:pPr>
      <w:r w:rsidRPr="002B203E">
        <w:t xml:space="preserve"> </w:t>
      </w:r>
      <w:r>
        <w:t>It is apparent that the ACT fuel market is not meeting consumer expectations.</w:t>
      </w:r>
      <w:r w:rsidRPr="00B50D3D">
        <w:t xml:space="preserve"> </w:t>
      </w:r>
      <w:r>
        <w:t>Equally, the committee’s view is that any serious consideration of interference in the market</w:t>
      </w:r>
      <w:proofErr w:type="gramStart"/>
      <w:r w:rsidR="008B166A">
        <w:t>, in particular,</w:t>
      </w:r>
      <w:r>
        <w:t xml:space="preserve"> must</w:t>
      </w:r>
      <w:proofErr w:type="gramEnd"/>
      <w:r>
        <w:t xml:space="preserve"> be done with utmost care and analysis</w:t>
      </w:r>
      <w:r w:rsidR="008B166A">
        <w:t xml:space="preserve"> and as a last resort</w:t>
      </w:r>
      <w:r>
        <w:t xml:space="preserve">. </w:t>
      </w:r>
    </w:p>
    <w:p w:rsidR="002B203E" w:rsidRDefault="002B203E" w:rsidP="00104875">
      <w:pPr>
        <w:pStyle w:val="BodyText"/>
        <w:ind w:left="1135"/>
      </w:pPr>
      <w:r>
        <w:t xml:space="preserve">A range of different measures have been proposed to the committee. The committee notes that this is an inquiry where there is a significant degree of vested interest, particularly from industry. On occasions, evidence provided by one source has been contradicted by another. </w:t>
      </w:r>
    </w:p>
    <w:p w:rsidR="002B203E" w:rsidRDefault="002B203E" w:rsidP="00104875">
      <w:pPr>
        <w:pStyle w:val="BodyText"/>
        <w:ind w:left="1135"/>
      </w:pPr>
      <w:r>
        <w:t xml:space="preserve">The committee is wary of employing measures which may result in unintended negative consequences. Of concern to the committee is that it is difficult to forecast the impact of </w:t>
      </w:r>
      <w:r>
        <w:lastRenderedPageBreak/>
        <w:t xml:space="preserve">each of the different measures on fuel prices. However, different measures will guarantee other potential benefits the committee believes </w:t>
      </w:r>
      <w:r w:rsidR="00DE69B5">
        <w:t>c</w:t>
      </w:r>
      <w:r>
        <w:t>ould be of</w:t>
      </w:r>
      <w:r w:rsidR="0060740E">
        <w:t xml:space="preserve"> genuine</w:t>
      </w:r>
      <w:r>
        <w:t xml:space="preserve"> benefit to the community, such as transparency, visibility, certainty and fairness.</w:t>
      </w:r>
    </w:p>
    <w:p w:rsidR="00332F37" w:rsidRDefault="002B203E" w:rsidP="002B203E">
      <w:pPr>
        <w:pStyle w:val="BodyText"/>
        <w:ind w:left="1135"/>
      </w:pPr>
      <w:r>
        <w:t>This report now provides a summary of what the committee has learned as well as the options under consideration by the committee. The committee invites views on these options.</w:t>
      </w:r>
    </w:p>
    <w:p w:rsidR="00332F37" w:rsidRDefault="00332F37" w:rsidP="00332F37">
      <w:pPr>
        <w:pStyle w:val="Heading3"/>
      </w:pPr>
      <w:bookmarkStart w:id="45" w:name="_Toc10119171"/>
      <w:r>
        <w:t>Further Hearings</w:t>
      </w:r>
      <w:bookmarkEnd w:id="45"/>
    </w:p>
    <w:p w:rsidR="00332F37" w:rsidRDefault="00332F37" w:rsidP="00104875">
      <w:pPr>
        <w:pStyle w:val="BodyText"/>
        <w:ind w:left="1135"/>
      </w:pPr>
      <w:bookmarkStart w:id="46" w:name="_Hlk10104788"/>
      <w:r>
        <w:t xml:space="preserve">The </w:t>
      </w:r>
      <w:r w:rsidR="001632A9">
        <w:t>c</w:t>
      </w:r>
      <w:r>
        <w:t xml:space="preserve">ommittee has </w:t>
      </w:r>
      <w:proofErr w:type="gramStart"/>
      <w:r>
        <w:t>a number of</w:t>
      </w:r>
      <w:proofErr w:type="gramEnd"/>
      <w:r>
        <w:t xml:space="preserve"> organisations and individuals from which it still wants to hear, including major fuel retailers. The </w:t>
      </w:r>
      <w:r w:rsidR="001632A9">
        <w:t>c</w:t>
      </w:r>
      <w:r>
        <w:t xml:space="preserve">ommittee intends to continue these hearings while receiving feedback on the options presented in this report. </w:t>
      </w:r>
    </w:p>
    <w:p w:rsidR="006B0642" w:rsidRDefault="00332F37" w:rsidP="00332F37">
      <w:pPr>
        <w:pStyle w:val="BodyText"/>
        <w:ind w:left="1135"/>
      </w:pPr>
      <w:r>
        <w:t xml:space="preserve">Depending on the feedback received, the Committee may wish to recall witnesses who have already appeared. </w:t>
      </w:r>
      <w:r w:rsidR="002B203E">
        <w:t xml:space="preserve"> </w:t>
      </w:r>
    </w:p>
    <w:p w:rsidR="006F1579" w:rsidRDefault="00142F44" w:rsidP="00CD7F25">
      <w:pPr>
        <w:pStyle w:val="Heading2"/>
      </w:pPr>
      <w:bookmarkStart w:id="47" w:name="_Toc10119172"/>
      <w:bookmarkEnd w:id="46"/>
      <w:r>
        <w:lastRenderedPageBreak/>
        <w:t>Overview of Evidence</w:t>
      </w:r>
      <w:bookmarkEnd w:id="47"/>
    </w:p>
    <w:p w:rsidR="006B1626" w:rsidRPr="00104875" w:rsidRDefault="006B1626" w:rsidP="0072481B">
      <w:pPr>
        <w:pStyle w:val="Heading3"/>
        <w:rPr>
          <w:b/>
        </w:rPr>
      </w:pPr>
      <w:bookmarkStart w:id="48" w:name="_Toc10119173"/>
      <w:r w:rsidRPr="00104875">
        <w:rPr>
          <w:b/>
        </w:rPr>
        <w:t>Fuel prices are largely dependent on external factors</w:t>
      </w:r>
      <w:bookmarkEnd w:id="48"/>
    </w:p>
    <w:p w:rsidR="00480042" w:rsidRDefault="00AC38FC" w:rsidP="00104875">
      <w:pPr>
        <w:pStyle w:val="BodyText"/>
        <w:ind w:left="1135"/>
      </w:pPr>
      <w:r>
        <w:t xml:space="preserve">Throughout the course of this inquiry, the committee has repeatedly heard commentary that the ACT Government charges a fuel tax and that this contributes to higher fuel prices. The ACT Government does not charge a fuel </w:t>
      </w:r>
      <w:r w:rsidRPr="00580337">
        <w:t>tax</w:t>
      </w:r>
      <w:r>
        <w:t>.</w:t>
      </w:r>
      <w:r w:rsidRPr="00580337">
        <w:rPr>
          <w:vertAlign w:val="superscript"/>
        </w:rPr>
        <w:footnoteReference w:id="5"/>
      </w:r>
      <w:r>
        <w:t xml:space="preserve"> Instead, f</w:t>
      </w:r>
      <w:r w:rsidR="006B1626">
        <w:t>uel prices largely depend on factors which are outside the ACT Government’s control: namely the price of crude oil and macroeconomic conditions</w:t>
      </w:r>
      <w:r w:rsidR="00580337">
        <w:t xml:space="preserve">, which are largely outside of even the Australian </w:t>
      </w:r>
      <w:r w:rsidR="005D624E">
        <w:t>G</w:t>
      </w:r>
      <w:r w:rsidR="00580337">
        <w:t>overnment’s control</w:t>
      </w:r>
      <w:r w:rsidR="006B1626">
        <w:t>.</w:t>
      </w:r>
      <w:r w:rsidR="00B07FAC" w:rsidRPr="00580337">
        <w:rPr>
          <w:vertAlign w:val="superscript"/>
        </w:rPr>
        <w:footnoteReference w:id="6"/>
      </w:r>
      <w:r w:rsidR="006B1626">
        <w:t xml:space="preserve"> </w:t>
      </w:r>
      <w:r w:rsidR="00580337" w:rsidRPr="00580337">
        <w:t xml:space="preserve">The wholesale </w:t>
      </w:r>
      <w:r w:rsidR="00580337">
        <w:t xml:space="preserve">price </w:t>
      </w:r>
      <w:r w:rsidR="00580337" w:rsidRPr="00580337">
        <w:t>or “terminal gate price” typically accounts for 85-90 per cent of the retail price.</w:t>
      </w:r>
      <w:r w:rsidR="00580337" w:rsidRPr="00580337">
        <w:rPr>
          <w:rStyle w:val="FootnoteReference"/>
        </w:rPr>
        <w:footnoteReference w:id="7"/>
      </w:r>
    </w:p>
    <w:p w:rsidR="006B1626" w:rsidRPr="00104875" w:rsidRDefault="006B1626" w:rsidP="0072481B">
      <w:pPr>
        <w:pStyle w:val="Heading3"/>
        <w:rPr>
          <w:b/>
        </w:rPr>
      </w:pPr>
      <w:r w:rsidRPr="00104875">
        <w:rPr>
          <w:b/>
        </w:rPr>
        <w:tab/>
      </w:r>
      <w:bookmarkStart w:id="49" w:name="_Toc10119174"/>
      <w:r w:rsidRPr="00104875">
        <w:rPr>
          <w:b/>
        </w:rPr>
        <w:t>Setting fuel prices</w:t>
      </w:r>
      <w:bookmarkEnd w:id="49"/>
    </w:p>
    <w:p w:rsidR="006B1626" w:rsidRDefault="006B1626" w:rsidP="00104875">
      <w:pPr>
        <w:pStyle w:val="BodyText"/>
        <w:ind w:left="1135"/>
      </w:pPr>
      <w:r>
        <w:t>Some retailers have fuel prices set by the company headquarters; for others, the pricing decision is left to the retailer.</w:t>
      </w:r>
      <w:r w:rsidR="00812046" w:rsidRPr="00580337">
        <w:rPr>
          <w:vertAlign w:val="superscript"/>
        </w:rPr>
        <w:footnoteReference w:id="8"/>
      </w:r>
      <w:r w:rsidRPr="00580337">
        <w:rPr>
          <w:vertAlign w:val="superscript"/>
        </w:rPr>
        <w:t xml:space="preserve"> </w:t>
      </w:r>
    </w:p>
    <w:p w:rsidR="00FE4F7B" w:rsidRPr="00FE4F7B" w:rsidRDefault="006B1626" w:rsidP="00104875">
      <w:pPr>
        <w:pStyle w:val="BodyText"/>
        <w:ind w:left="1135"/>
      </w:pPr>
      <w:r w:rsidRPr="00EF7558">
        <w:t>The committee notes that, for retailers, there is little risk in initiating a price increase; if others do not follow suit, the retailer is usually aware, and then simply lowers the price.</w:t>
      </w:r>
      <w:r w:rsidR="00A7353B" w:rsidRPr="00580337">
        <w:rPr>
          <w:vertAlign w:val="superscript"/>
        </w:rPr>
        <w:footnoteReference w:id="9"/>
      </w:r>
      <w:r w:rsidRPr="00580337">
        <w:rPr>
          <w:vertAlign w:val="superscript"/>
        </w:rPr>
        <w:t xml:space="preserve"> </w:t>
      </w:r>
    </w:p>
    <w:p w:rsidR="006B1626" w:rsidRPr="009B6339" w:rsidRDefault="00FE4F7B" w:rsidP="00104875">
      <w:pPr>
        <w:pStyle w:val="BodyText"/>
        <w:ind w:left="1135"/>
      </w:pPr>
      <w:r>
        <w:t>The ACCC confirmed that it is not anti-competitive conduct, but rather the market is setting the price.</w:t>
      </w:r>
      <w:r>
        <w:rPr>
          <w:rStyle w:val="FootnoteReference"/>
        </w:rPr>
        <w:footnoteReference w:id="10"/>
      </w:r>
      <w:r>
        <w:t xml:space="preserve"> </w:t>
      </w:r>
      <w:r w:rsidR="00104875">
        <w:t xml:space="preserve">Hay (2005) in the OECD’s report </w:t>
      </w:r>
      <w:r w:rsidR="00104875">
        <w:rPr>
          <w:i/>
        </w:rPr>
        <w:t xml:space="preserve">Competition in Road Fuel </w:t>
      </w:r>
      <w:r w:rsidR="00104875">
        <w:t>(2013) explains this well: while there is no overt collusion, the fuel market is an interdependent oligopoly.</w:t>
      </w:r>
      <w:r w:rsidR="00104875">
        <w:rPr>
          <w:rStyle w:val="FootnoteReference"/>
        </w:rPr>
        <w:footnoteReference w:id="11"/>
      </w:r>
      <w:r w:rsidR="00104875">
        <w:t xml:space="preserve"> </w:t>
      </w:r>
    </w:p>
    <w:p w:rsidR="006B1626" w:rsidRPr="00104875" w:rsidRDefault="006B1626" w:rsidP="0072481B">
      <w:pPr>
        <w:pStyle w:val="Heading3"/>
        <w:rPr>
          <w:b/>
        </w:rPr>
      </w:pPr>
      <w:bookmarkStart w:id="50" w:name="_Toc10119175"/>
      <w:r w:rsidRPr="00104875">
        <w:rPr>
          <w:b/>
        </w:rPr>
        <w:lastRenderedPageBreak/>
        <w:t>Characteristics of the Canberra market</w:t>
      </w:r>
      <w:bookmarkEnd w:id="50"/>
      <w:r w:rsidRPr="00104875">
        <w:rPr>
          <w:b/>
        </w:rPr>
        <w:t xml:space="preserve"> </w:t>
      </w:r>
    </w:p>
    <w:p w:rsidR="006B1626" w:rsidRPr="00900E2F" w:rsidRDefault="006B1626" w:rsidP="001632A9">
      <w:pPr>
        <w:pStyle w:val="Heading4"/>
      </w:pPr>
      <w:r w:rsidRPr="00900E2F">
        <w:t>Higher prices</w:t>
      </w:r>
    </w:p>
    <w:p w:rsidR="00D3552C" w:rsidRDefault="00D3552C" w:rsidP="00104875">
      <w:pPr>
        <w:pStyle w:val="BodyText"/>
        <w:ind w:left="1135"/>
      </w:pPr>
      <w:r w:rsidRPr="00104875">
        <w:t>Annual average petrol prices in Canberra were between 5.2 and 7.1 cents per litre higher than prices in the five largest cities over the last three financial years, according to the Australian Competition and Consumer Commission.</w:t>
      </w:r>
      <w:r w:rsidRPr="00C72260">
        <w:rPr>
          <w:vertAlign w:val="superscript"/>
        </w:rPr>
        <w:footnoteReference w:id="12"/>
      </w:r>
    </w:p>
    <w:p w:rsidR="006B1626" w:rsidRPr="009B6339" w:rsidRDefault="00D3552C" w:rsidP="00104875">
      <w:pPr>
        <w:pStyle w:val="BodyText"/>
        <w:ind w:left="1135"/>
      </w:pPr>
      <w:r w:rsidRPr="00104875">
        <w:t xml:space="preserve">Canberra petrol prices were also consistently higher than those in Sydney between 2012-13 and 2018-19, with an average difference of 8.9cpl based on data to March 2019, according to the </w:t>
      </w:r>
      <w:r w:rsidRPr="008E6F23">
        <w:rPr>
          <w:i/>
        </w:rPr>
        <w:t>Independent Competition and Regulatory Commission’s Draft report: Investigation into motor vehicle petrol prices in the ACT</w:t>
      </w:r>
      <w:r w:rsidRPr="00104875">
        <w:t>. This price difference has increased in each of the past three years to 15.6cpl in 2018-2019. The commission’s draft report also found ACT petrol prices were on average 2.3cpl higher than in other surrounding towns between 2012-2013 and 2018-2019. However, there were some variations in price differences depending on the town.</w:t>
      </w:r>
      <w:r w:rsidRPr="00C72260">
        <w:rPr>
          <w:vertAlign w:val="superscript"/>
        </w:rPr>
        <w:footnoteReference w:id="13"/>
      </w:r>
    </w:p>
    <w:p w:rsidR="008E6F23" w:rsidRDefault="008E6F23" w:rsidP="008E6F23">
      <w:pPr>
        <w:pStyle w:val="BodyText"/>
        <w:ind w:left="1135"/>
      </w:pPr>
      <w:r>
        <w:t>It is well established that when the price of crude oil increases, this is quickly reflected in the retail price; when the price of crude oil decreases, this is reflected much more slowly in the retail pric</w:t>
      </w:r>
      <w:r w:rsidR="00CF0B00">
        <w:t xml:space="preserve">e. It </w:t>
      </w:r>
      <w:r>
        <w:t xml:space="preserve">takes even longer to be reflected in ACT retail prices than in other cities. </w:t>
      </w:r>
      <w:r w:rsidR="00CF0B00">
        <w:t>Evidence given to the committee is that it is generally two or three weeks.</w:t>
      </w:r>
      <w:r w:rsidR="00CF0B00">
        <w:rPr>
          <w:rStyle w:val="FootnoteReference"/>
        </w:rPr>
        <w:footnoteReference w:id="14"/>
      </w:r>
      <w:r w:rsidR="00CF0B00">
        <w:t xml:space="preserve"> </w:t>
      </w:r>
      <w:r>
        <w:t xml:space="preserve">Of </w:t>
      </w:r>
      <w:proofErr w:type="gramStart"/>
      <w:r>
        <w:t>particular note</w:t>
      </w:r>
      <w:proofErr w:type="gramEnd"/>
      <w:r>
        <w:t xml:space="preserve"> is October 2018 when a dramatic fall in the wholesale price of fuel failed to influence a sharp downturn in retail prices in the ACT, despite Sydney retail prices falling sharply after a short lag. Instead, ACT prices slowly decreased at a much lower rate.</w:t>
      </w:r>
      <w:r w:rsidRPr="00C72260">
        <w:rPr>
          <w:vertAlign w:val="superscript"/>
        </w:rPr>
        <w:footnoteReference w:id="15"/>
      </w:r>
      <w:r>
        <w:t xml:space="preserve"> See </w:t>
      </w:r>
      <w:r w:rsidRPr="008E6F23">
        <w:rPr>
          <w:b/>
        </w:rPr>
        <w:t>Figure 1</w:t>
      </w:r>
      <w:r w:rsidRPr="00982E2A">
        <w:t xml:space="preserve"> </w:t>
      </w:r>
      <w:r>
        <w:t>below.</w:t>
      </w:r>
    </w:p>
    <w:p w:rsidR="008E6F23" w:rsidRPr="00104875" w:rsidRDefault="008E6F23" w:rsidP="008E6F23">
      <w:pPr>
        <w:pStyle w:val="BodyText"/>
        <w:numPr>
          <w:ilvl w:val="0"/>
          <w:numId w:val="0"/>
        </w:numPr>
        <w:ind w:left="568"/>
        <w:rPr>
          <w:highlight w:val="yellow"/>
        </w:rPr>
      </w:pPr>
      <w:r>
        <w:rPr>
          <w:noProof/>
          <w:lang w:eastAsia="en-AU"/>
        </w:rPr>
        <w:lastRenderedPageBreak/>
        <w:drawing>
          <wp:anchor distT="0" distB="0" distL="114300" distR="114300" simplePos="0" relativeHeight="251659264" behindDoc="0" locked="0" layoutInCell="1" allowOverlap="1" wp14:anchorId="5E4244A8" wp14:editId="5BE4E34B">
            <wp:simplePos x="0" y="0"/>
            <wp:positionH relativeFrom="margin">
              <wp:align>left</wp:align>
            </wp:positionH>
            <wp:positionV relativeFrom="paragraph">
              <wp:posOffset>364</wp:posOffset>
            </wp:positionV>
            <wp:extent cx="5557962" cy="7192447"/>
            <wp:effectExtent l="0" t="0" r="5080" b="889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CT Data_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557962" cy="7192447"/>
                    </a:xfrm>
                    <a:prstGeom prst="rect">
                      <a:avLst/>
                    </a:prstGeom>
                  </pic:spPr>
                </pic:pic>
              </a:graphicData>
            </a:graphic>
            <wp14:sizeRelH relativeFrom="page">
              <wp14:pctWidth>0</wp14:pctWidth>
            </wp14:sizeRelH>
            <wp14:sizeRelV relativeFrom="page">
              <wp14:pctHeight>0</wp14:pctHeight>
            </wp14:sizeRelV>
          </wp:anchor>
        </w:drawing>
      </w:r>
    </w:p>
    <w:p w:rsidR="006B1626" w:rsidRPr="00900E2F" w:rsidRDefault="008E6F23" w:rsidP="001632A9">
      <w:pPr>
        <w:pStyle w:val="Heading4"/>
      </w:pPr>
      <w:r>
        <w:t>Lack of p</w:t>
      </w:r>
      <w:r w:rsidR="006B1626" w:rsidRPr="00900E2F">
        <w:t>rice cycle</w:t>
      </w:r>
    </w:p>
    <w:p w:rsidR="006B1626" w:rsidRDefault="006B1626" w:rsidP="008E6F23">
      <w:pPr>
        <w:pStyle w:val="BodyText"/>
        <w:ind w:left="1135"/>
      </w:pPr>
      <w:r>
        <w:t xml:space="preserve">The committee has consistently received evidence that Canberra does not have a price cycle; that is, there is no period where prices are very high or very low. </w:t>
      </w:r>
      <w:r w:rsidRPr="00084A16">
        <w:t>Perth</w:t>
      </w:r>
      <w:r>
        <w:t xml:space="preserve"> has a </w:t>
      </w:r>
      <w:r>
        <w:lastRenderedPageBreak/>
        <w:t>weekly price cycle; the other four major capital cities have cycles which range in length</w:t>
      </w:r>
      <w:r w:rsidR="00CF0B00">
        <w:t xml:space="preserve"> and amplitude</w:t>
      </w:r>
      <w:r>
        <w:t>.</w:t>
      </w:r>
      <w:r w:rsidR="00162024">
        <w:rPr>
          <w:rStyle w:val="FootnoteReference"/>
        </w:rPr>
        <w:footnoteReference w:id="16"/>
      </w:r>
      <w:r w:rsidR="00CF0B00">
        <w:t>,</w:t>
      </w:r>
      <w:r w:rsidR="00CF0B00" w:rsidRPr="004B4A16">
        <w:rPr>
          <w:rStyle w:val="FootnoteReference"/>
        </w:rPr>
        <w:footnoteReference w:id="17"/>
      </w:r>
      <w:r>
        <w:t xml:space="preserve"> </w:t>
      </w:r>
    </w:p>
    <w:p w:rsidR="006B1626" w:rsidRDefault="006B1626" w:rsidP="008E6F23">
      <w:pPr>
        <w:pStyle w:val="BodyText"/>
        <w:ind w:left="1135"/>
      </w:pPr>
      <w:r>
        <w:t xml:space="preserve">There are benefits and disadvantages of having a price cycle. While motorists can benefit at the lower end of the price cycle, they can also be hurt at the higher end of the price cycle. The committee notes that during the inquiry there have been times where the Canberra price has been lower than that of other capital cities due to </w:t>
      </w:r>
      <w:r w:rsidR="00CF0B00">
        <w:t>those cities</w:t>
      </w:r>
      <w:r>
        <w:t xml:space="preserve"> being at the price spike; at other times, locations such as Queanbeyan have been significantly cheaper.</w:t>
      </w:r>
      <w:r w:rsidR="00676F05">
        <w:rPr>
          <w:rStyle w:val="FootnoteReference"/>
        </w:rPr>
        <w:footnoteReference w:id="18"/>
      </w:r>
      <w:r>
        <w:t xml:space="preserve"> </w:t>
      </w:r>
    </w:p>
    <w:p w:rsidR="006B1626" w:rsidRPr="00900E2F" w:rsidRDefault="006B1626" w:rsidP="001632A9">
      <w:pPr>
        <w:pStyle w:val="Heading4"/>
      </w:pPr>
      <w:r w:rsidRPr="00900E2F">
        <w:t xml:space="preserve">Transparency of fuel prices </w:t>
      </w:r>
    </w:p>
    <w:p w:rsidR="006B1626" w:rsidRDefault="006B1626" w:rsidP="008E6F23">
      <w:pPr>
        <w:pStyle w:val="BodyText"/>
        <w:ind w:left="1135"/>
      </w:pPr>
      <w:r>
        <w:t xml:space="preserve">The committee has consistently heard evidence that one of the reasons fuel prices are higher in the ACT is because it is more difficult to physically see prices. Historically, a single service station was connected to the local shopping centre. This means that Canberrans are not driving past several service stations </w:t>
      </w:r>
      <w:r w:rsidR="00CF0B00">
        <w:t>on their daily commute</w:t>
      </w:r>
      <w:r>
        <w:t>. Indeed, they may have to go a little out of their way to purchase fuel and it is only on arriving at the service station that they become aware of the price.</w:t>
      </w:r>
      <w:r w:rsidR="000D5131">
        <w:rPr>
          <w:rStyle w:val="FootnoteReference"/>
        </w:rPr>
        <w:footnoteReference w:id="19"/>
      </w:r>
      <w:r w:rsidR="00580337">
        <w:t xml:space="preserve"> Not being on major thoroughfares does not give service stations incentives to discount or compete on price.</w:t>
      </w:r>
      <w:r w:rsidR="00580337">
        <w:rPr>
          <w:rStyle w:val="FootnoteReference"/>
        </w:rPr>
        <w:footnoteReference w:id="20"/>
      </w:r>
    </w:p>
    <w:p w:rsidR="006B1626" w:rsidRDefault="006B1626" w:rsidP="008E6F23">
      <w:pPr>
        <w:pStyle w:val="BodyText"/>
        <w:ind w:left="1135"/>
      </w:pPr>
      <w:r>
        <w:t xml:space="preserve">While some submitters and witnesses have contended that the ACT is well serviced by existing private fuel monitoring applications and websites, such as Motormouth, Gas Buddy and Petrol Spy, the committee </w:t>
      </w:r>
      <w:r w:rsidR="00580337">
        <w:t>has also been advised</w:t>
      </w:r>
      <w:r>
        <w:t xml:space="preserve"> that not one of these accurately and completely service</w:t>
      </w:r>
      <w:r w:rsidR="00580337">
        <w:t>s</w:t>
      </w:r>
      <w:r>
        <w:t xml:space="preserve"> the entire market—in the ACT and elsewhere. There are gaps in the information available. In addition, the take up rates of these applications and websites remains very low.</w:t>
      </w:r>
      <w:r w:rsidR="0035599B">
        <w:rPr>
          <w:rStyle w:val="FootnoteReference"/>
        </w:rPr>
        <w:footnoteReference w:id="21"/>
      </w:r>
      <w:r>
        <w:t xml:space="preserve"> </w:t>
      </w:r>
    </w:p>
    <w:p w:rsidR="006B1626" w:rsidRPr="00900E2F" w:rsidRDefault="006B1626" w:rsidP="001632A9">
      <w:pPr>
        <w:pStyle w:val="Heading4"/>
      </w:pPr>
      <w:r w:rsidRPr="00900E2F">
        <w:t>Intra-day trading</w:t>
      </w:r>
    </w:p>
    <w:p w:rsidR="006B1626" w:rsidRDefault="006B1626" w:rsidP="008E6F23">
      <w:pPr>
        <w:pStyle w:val="BodyText"/>
        <w:ind w:left="1135"/>
      </w:pPr>
      <w:r>
        <w:t xml:space="preserve">Like most other jurisdictions, Canberra is a market where intra-day trading can occur. The committee has variously heard of the benefits of this (being the possibility of lower </w:t>
      </w:r>
      <w:r>
        <w:lastRenderedPageBreak/>
        <w:t>prices; notwithstanding that higher prices can occur, too) and the disadvantages (lack of certainty).</w:t>
      </w:r>
      <w:r w:rsidR="000A01A0">
        <w:rPr>
          <w:rStyle w:val="FootnoteReference"/>
        </w:rPr>
        <w:footnoteReference w:id="22"/>
      </w:r>
      <w:r>
        <w:t xml:space="preserve"> </w:t>
      </w:r>
    </w:p>
    <w:p w:rsidR="001632A9" w:rsidRPr="00610774" w:rsidRDefault="001632A9" w:rsidP="008E6F23">
      <w:pPr>
        <w:pStyle w:val="BodyText"/>
        <w:ind w:left="1135"/>
      </w:pPr>
      <w:r>
        <w:t>Based on the committee’s own observations, aggressive intra-day trading is not a characteristic of the ACT market.</w:t>
      </w:r>
    </w:p>
    <w:p w:rsidR="006B1626" w:rsidRPr="00900E2F" w:rsidRDefault="006B1626" w:rsidP="001632A9">
      <w:pPr>
        <w:pStyle w:val="Heading4"/>
      </w:pPr>
      <w:r w:rsidRPr="00900E2F">
        <w:t>Lack of independents</w:t>
      </w:r>
    </w:p>
    <w:p w:rsidR="00CF0B00" w:rsidRDefault="006B1626" w:rsidP="008E6F23">
      <w:pPr>
        <w:pStyle w:val="BodyText"/>
        <w:ind w:left="1135"/>
      </w:pPr>
      <w:r>
        <w:t xml:space="preserve">It is evident that Canberra lacks genuine independent retailers. </w:t>
      </w:r>
      <w:r w:rsidR="00305D3E">
        <w:t xml:space="preserve">Representatives of Informed Sources </w:t>
      </w:r>
      <w:r w:rsidR="00CF0B00">
        <w:t>advised</w:t>
      </w:r>
      <w:r w:rsidR="00305D3E">
        <w:t xml:space="preserve"> the committee that nine per cent of Canberra service stations are independent or minor</w:t>
      </w:r>
      <w:r w:rsidR="00D33F44">
        <w:t>-</w:t>
      </w:r>
      <w:r w:rsidR="00305D3E">
        <w:t>branded sites</w:t>
      </w:r>
      <w:r w:rsidR="00F75CE6">
        <w:t xml:space="preserve"> – </w:t>
      </w:r>
      <w:r w:rsidR="002742C1">
        <w:t xml:space="preserve">a much smaller portion </w:t>
      </w:r>
      <w:r w:rsidR="00DC3A0D">
        <w:t>compared to most</w:t>
      </w:r>
      <w:r w:rsidR="00CF44AA">
        <w:t xml:space="preserve"> other locations.</w:t>
      </w:r>
      <w:r w:rsidR="00D33F44">
        <w:t xml:space="preserve"> Representatives of the ACCC also </w:t>
      </w:r>
      <w:r w:rsidR="005235EA">
        <w:t>highlighted the dominance of major brands, with C</w:t>
      </w:r>
      <w:r w:rsidR="00D33F44">
        <w:t xml:space="preserve">oles-branded sites </w:t>
      </w:r>
      <w:r w:rsidR="005235EA">
        <w:t xml:space="preserve">making </w:t>
      </w:r>
      <w:r w:rsidR="00D33F44">
        <w:t xml:space="preserve">up 26 per cent of the </w:t>
      </w:r>
      <w:r w:rsidR="0021079C">
        <w:t xml:space="preserve">ACT </w:t>
      </w:r>
      <w:r w:rsidR="00D33F44">
        <w:t xml:space="preserve">market. </w:t>
      </w:r>
    </w:p>
    <w:p w:rsidR="006B1626" w:rsidRDefault="006B1626" w:rsidP="008E6F23">
      <w:pPr>
        <w:pStyle w:val="BodyText"/>
        <w:ind w:left="1135"/>
      </w:pPr>
      <w:r>
        <w:t xml:space="preserve">The committee has consistently heard </w:t>
      </w:r>
      <w:r w:rsidR="00CF0B00">
        <w:t xml:space="preserve">the lack of independents </w:t>
      </w:r>
      <w:r>
        <w:t xml:space="preserve">has </w:t>
      </w:r>
      <w:proofErr w:type="gramStart"/>
      <w:r>
        <w:t>had an effect on</w:t>
      </w:r>
      <w:proofErr w:type="gramEnd"/>
      <w:r>
        <w:t xml:space="preserve"> competition and, consequently, prices.</w:t>
      </w:r>
      <w:r w:rsidR="000A01A0">
        <w:rPr>
          <w:rStyle w:val="FootnoteReference"/>
        </w:rPr>
        <w:footnoteReference w:id="23"/>
      </w:r>
      <w:r w:rsidR="00D33F44">
        <w:t xml:space="preserve"> </w:t>
      </w:r>
      <w:r w:rsidR="00DC3A0D">
        <w:t>The Australasian Convenience and Petroleum Marketers Association</w:t>
      </w:r>
      <w:r w:rsidR="00D33F44">
        <w:t xml:space="preserve"> </w:t>
      </w:r>
      <w:r w:rsidR="00CF0B00">
        <w:t>advised</w:t>
      </w:r>
      <w:r w:rsidR="00D33F44">
        <w:t xml:space="preserve"> the committee that the ACT fuel market lacks a “tension” that exists in other markets due to the prominence of major brands</w:t>
      </w:r>
      <w:r w:rsidR="00DC3A0D">
        <w:t>.</w:t>
      </w:r>
      <w:r w:rsidR="00580337">
        <w:rPr>
          <w:rStyle w:val="FootnoteReference"/>
        </w:rPr>
        <w:footnoteReference w:id="24"/>
      </w:r>
      <w:r w:rsidR="00DC3A0D">
        <w:t xml:space="preserve"> This lack of tension is the key factor influencing higher retail fuel prices</w:t>
      </w:r>
      <w:r w:rsidR="00D33F44">
        <w:t xml:space="preserve">. </w:t>
      </w:r>
      <w:r w:rsidR="005235EA">
        <w:t xml:space="preserve">Representatives of the NRMA </w:t>
      </w:r>
      <w:r w:rsidR="0021079C">
        <w:t>have also linked higher prices to a lack of competition</w:t>
      </w:r>
      <w:r w:rsidR="005235EA">
        <w:t xml:space="preserve">. </w:t>
      </w:r>
    </w:p>
    <w:p w:rsidR="00FE4F7B" w:rsidRDefault="00FE4F7B" w:rsidP="00FE4F7B">
      <w:pPr>
        <w:pStyle w:val="BodyText"/>
        <w:ind w:left="1135"/>
      </w:pPr>
      <w:r>
        <w:t>Previous Territory governments have made ACT land available for independent retailers however, these measures have not provided long-term solutions to Canberra’s concentration of major fuel retailers. Chief Minister Andrew Barr advised the committee that the Follett and Carnell governments effectively sold land directly to independent retail operators to diversify the ACT fuel market and enhance competition. These operators eventually sold their businesses or were bought out by major retailers.</w:t>
      </w:r>
      <w:r w:rsidRPr="00FE4F7B">
        <w:rPr>
          <w:vertAlign w:val="superscript"/>
        </w:rPr>
        <w:footnoteReference w:id="25"/>
      </w:r>
    </w:p>
    <w:p w:rsidR="006B1626" w:rsidRPr="00900E2F" w:rsidRDefault="006B1626" w:rsidP="001632A9">
      <w:pPr>
        <w:pStyle w:val="Heading4"/>
      </w:pPr>
      <w:r w:rsidRPr="00900E2F">
        <w:t>Transport costs</w:t>
      </w:r>
    </w:p>
    <w:p w:rsidR="00CF0B00" w:rsidRDefault="006B1626" w:rsidP="008E6F23">
      <w:pPr>
        <w:pStyle w:val="BodyText"/>
        <w:ind w:left="1135"/>
      </w:pPr>
      <w:r>
        <w:t>The committee has heard evidence from retailers that the costs of transporting fuel to the ACT is higher than transporting it within metropolitan regions</w:t>
      </w:r>
      <w:r w:rsidR="00580337">
        <w:t>, particularly when those metropolitan regions are near the terminal gate</w:t>
      </w:r>
      <w:r>
        <w:t xml:space="preserve">. </w:t>
      </w:r>
    </w:p>
    <w:p w:rsidR="006B1626" w:rsidRDefault="006B1626" w:rsidP="008E6F23">
      <w:pPr>
        <w:pStyle w:val="BodyText"/>
        <w:ind w:left="1135"/>
      </w:pPr>
      <w:r>
        <w:t>While the committee</w:t>
      </w:r>
      <w:r w:rsidR="00B65B9D">
        <w:t>s</w:t>
      </w:r>
      <w:r>
        <w:t xml:space="preserve"> </w:t>
      </w:r>
      <w:r w:rsidR="00B65B9D">
        <w:t>note</w:t>
      </w:r>
      <w:r>
        <w:t xml:space="preserve"> this evidence, it has been difficult </w:t>
      </w:r>
      <w:r w:rsidR="00B65B9D">
        <w:t xml:space="preserve">for the committee to accept that this is a main contributor to higher fuel prices in the ACT when </w:t>
      </w:r>
      <w:r>
        <w:t xml:space="preserve">towns a </w:t>
      </w:r>
      <w:r>
        <w:lastRenderedPageBreak/>
        <w:t>similar distance from the terminal gate like Queanbeyan, Goulburn and Albury each typically have very different fuel prices to the ACT at any one time</w:t>
      </w:r>
      <w:r w:rsidR="00B65B9D">
        <w:t>, with usually lower prices</w:t>
      </w:r>
      <w:r>
        <w:t>.</w:t>
      </w:r>
      <w:r w:rsidR="00501FBA">
        <w:rPr>
          <w:rStyle w:val="FootnoteReference"/>
        </w:rPr>
        <w:footnoteReference w:id="26"/>
      </w:r>
      <w:r>
        <w:t xml:space="preserve"> </w:t>
      </w:r>
    </w:p>
    <w:p w:rsidR="006B1626" w:rsidRPr="00900E2F" w:rsidRDefault="006B1626" w:rsidP="001632A9">
      <w:pPr>
        <w:pStyle w:val="Heading4"/>
      </w:pPr>
      <w:r w:rsidRPr="00900E2F">
        <w:t>Costs of doing business in the ACT</w:t>
      </w:r>
    </w:p>
    <w:p w:rsidR="00E92570" w:rsidRPr="00104875" w:rsidRDefault="00E92570" w:rsidP="008E6F23">
      <w:pPr>
        <w:pStyle w:val="BodyText"/>
        <w:ind w:left="1135"/>
      </w:pPr>
      <w:r w:rsidRPr="00104875">
        <w:t xml:space="preserve">The committee has heard evidence of the higher cost of securing and operating service stations in the ACT compared to Sydney and towns in regional NSW, including higher leasing costs. Two witnesses described ACT leasing costs as about 12 per cent higher than in regional NSW. </w:t>
      </w:r>
      <w:r w:rsidR="00694EBB" w:rsidRPr="00104875">
        <w:t>It</w:t>
      </w:r>
      <w:r w:rsidRPr="00104875">
        <w:t xml:space="preserve"> was not clear exactly what</w:t>
      </w:r>
      <w:r w:rsidR="00694EBB" w:rsidRPr="00104875">
        <w:t xml:space="preserve"> factors might</w:t>
      </w:r>
      <w:r w:rsidRPr="00104875">
        <w:t xml:space="preserve"> contribute to higher leasing costs</w:t>
      </w:r>
      <w:r w:rsidR="00B65B9D">
        <w:t xml:space="preserve">; </w:t>
      </w:r>
      <w:r w:rsidR="00694EBB" w:rsidRPr="00104875">
        <w:t xml:space="preserve">however, they could be linked to development </w:t>
      </w:r>
      <w:r w:rsidR="00896635" w:rsidRPr="00104875">
        <w:t xml:space="preserve">and land </w:t>
      </w:r>
      <w:r w:rsidR="00694EBB" w:rsidRPr="00104875">
        <w:t>costs</w:t>
      </w:r>
      <w:r w:rsidR="00896635" w:rsidRPr="00104875">
        <w:t xml:space="preserve"> and</w:t>
      </w:r>
      <w:r w:rsidR="00694EBB" w:rsidRPr="00104875">
        <w:t xml:space="preserve"> the size and location of </w:t>
      </w:r>
      <w:r w:rsidR="00896635" w:rsidRPr="00104875">
        <w:t>individual</w:t>
      </w:r>
      <w:r w:rsidR="00694EBB" w:rsidRPr="00104875">
        <w:t xml:space="preserve"> site</w:t>
      </w:r>
      <w:r w:rsidR="00896635" w:rsidRPr="00104875">
        <w:t>s</w:t>
      </w:r>
      <w:r w:rsidR="00354C85" w:rsidRPr="00104875">
        <w:t xml:space="preserve">. </w:t>
      </w:r>
      <w:r w:rsidR="005178E0" w:rsidRPr="00104875">
        <w:t xml:space="preserve">Representatives of Viva Energy </w:t>
      </w:r>
      <w:r w:rsidR="00B65B9D">
        <w:t>advised</w:t>
      </w:r>
      <w:r w:rsidR="005178E0" w:rsidRPr="00104875">
        <w:t xml:space="preserve"> the committee that within their company’s portfolio, rental costs in Canberra were on average seven per cent more expensive than comparable sites in Sydney, Wollongong and Newcastle</w:t>
      </w:r>
      <w:r w:rsidR="00694EBB" w:rsidRPr="00104875">
        <w:t>.</w:t>
      </w:r>
      <w:r w:rsidR="0091551A" w:rsidRPr="00104875">
        <w:rPr>
          <w:rStyle w:val="FootnoteReference"/>
        </w:rPr>
        <w:footnoteReference w:id="27"/>
      </w:r>
    </w:p>
    <w:p w:rsidR="00F80178" w:rsidRDefault="00694EBB" w:rsidP="008E6F23">
      <w:pPr>
        <w:pStyle w:val="BodyText"/>
        <w:ind w:left="1135"/>
      </w:pPr>
      <w:r w:rsidRPr="00104875">
        <w:t>The committee also heard evidence of the</w:t>
      </w:r>
      <w:r w:rsidR="00E92570" w:rsidRPr="00104875">
        <w:t xml:space="preserve"> scarcity of available sites for the development of new service stations</w:t>
      </w:r>
      <w:r w:rsidRPr="00104875">
        <w:t xml:space="preserve">. This has </w:t>
      </w:r>
      <w:r w:rsidR="00AB0F3F" w:rsidRPr="00104875">
        <w:t>led</w:t>
      </w:r>
      <w:r w:rsidR="00E92570" w:rsidRPr="00104875">
        <w:t xml:space="preserve"> to higher competition among prospective retailers and potentially higher rents. </w:t>
      </w:r>
      <w:r w:rsidR="0087366E" w:rsidRPr="00104875">
        <w:t xml:space="preserve">Competition can also create barriers for independent service stations considering entering the ACT market, as independent operators generally cannot compete with major retailers for new sites. </w:t>
      </w:r>
      <w:r w:rsidRPr="00104875">
        <w:t>Although the committee heard some evidence of</w:t>
      </w:r>
      <w:r w:rsidR="00E92570" w:rsidRPr="00104875">
        <w:t xml:space="preserve"> retailers finding the ACT planning process restrictive or slow, this issue was not limited to the ACT.</w:t>
      </w:r>
      <w:r w:rsidR="0091551A" w:rsidRPr="00104875">
        <w:rPr>
          <w:rStyle w:val="FootnoteReference"/>
        </w:rPr>
        <w:footnoteReference w:id="28"/>
      </w:r>
    </w:p>
    <w:p w:rsidR="00FE4F7B" w:rsidRDefault="00142F44" w:rsidP="001632A9">
      <w:pPr>
        <w:pStyle w:val="Heading4"/>
      </w:pPr>
      <w:r>
        <w:t>Consumer Behaviour</w:t>
      </w:r>
    </w:p>
    <w:p w:rsidR="00142F44" w:rsidRPr="00142F44" w:rsidRDefault="00142F44" w:rsidP="00142F44">
      <w:pPr>
        <w:pStyle w:val="BodyText"/>
        <w:ind w:left="1135"/>
      </w:pPr>
      <w:r>
        <w:t xml:space="preserve">The committee has heard evidence that many Canberra motorists will avoid shopping around for more competitively-priced fuel due to convenience and the location of cheaper fuel outlets on the edge of the city.  This could be influenced by the ACT’s higher average income. Representatives of Informed Sources advised the committee that it is not economical to drive to a service station offering cheaper fuel if the price differential is minimal, as the small saving would be outweighed by the cost of travel and vehicle maintenance. However, Nic </w:t>
      </w:r>
      <w:proofErr w:type="spellStart"/>
      <w:r>
        <w:t>Moulis</w:t>
      </w:r>
      <w:proofErr w:type="spellEnd"/>
      <w:r>
        <w:t xml:space="preserve"> advised the committee that Canberra motorists tend to fill up when retail fuel prices are lower. Regardless of behavioural patterns, low-income households continue to be burdened by the cost of fuel.</w:t>
      </w:r>
      <w:r w:rsidRPr="00142F44">
        <w:rPr>
          <w:vertAlign w:val="superscript"/>
        </w:rPr>
        <w:footnoteReference w:id="29"/>
      </w:r>
      <w:r w:rsidRPr="00142F44">
        <w:rPr>
          <w:vertAlign w:val="superscript"/>
        </w:rPr>
        <w:t xml:space="preserve"> </w:t>
      </w:r>
    </w:p>
    <w:p w:rsidR="00142F44" w:rsidRPr="00142F44" w:rsidRDefault="00142F44" w:rsidP="001632A9">
      <w:pPr>
        <w:pStyle w:val="Heading4"/>
      </w:pPr>
      <w:r w:rsidRPr="00142F44">
        <w:lastRenderedPageBreak/>
        <w:t xml:space="preserve">Diversification of retail offerings </w:t>
      </w:r>
    </w:p>
    <w:p w:rsidR="00142F44" w:rsidRDefault="00142F44" w:rsidP="00142F44">
      <w:pPr>
        <w:pStyle w:val="BodyText"/>
        <w:ind w:left="1135"/>
      </w:pPr>
      <w:r>
        <w:t>Service stations are fast-becoming the modern-day version of a corner store. The committee has heard evidence of major brands diversifying their retail offerings to supplement existing income and meet these changing consumer habits. Diversification could become more significant with the uptake of electric vehicles.</w:t>
      </w:r>
      <w:r w:rsidRPr="00142F44">
        <w:rPr>
          <w:vertAlign w:val="superscript"/>
        </w:rPr>
        <w:footnoteReference w:id="30"/>
      </w:r>
    </w:p>
    <w:p w:rsidR="00142F44" w:rsidRDefault="00142F44" w:rsidP="00142F44">
      <w:pPr>
        <w:pStyle w:val="BodyText"/>
        <w:ind w:left="1135"/>
      </w:pPr>
      <w:r>
        <w:t xml:space="preserve">Representatives from Caltex advised the committee that the company’s convenience store strategy was a core component of its broader offering, with some Caltex-branded service stations providing more diverse convenience options than others. The committee heard Caltex’s business strategy is to bring a number of franchise sites </w:t>
      </w:r>
      <w:proofErr w:type="gramStart"/>
      <w:r>
        <w:t>in-house</w:t>
      </w:r>
      <w:proofErr w:type="gramEnd"/>
      <w:r>
        <w:t xml:space="preserve"> so the company can consider further innovation in this space (and roll out any new convenience models more efficiently).</w:t>
      </w:r>
      <w:r w:rsidRPr="00142F44">
        <w:rPr>
          <w:vertAlign w:val="superscript"/>
        </w:rPr>
        <w:footnoteReference w:id="31"/>
      </w:r>
    </w:p>
    <w:p w:rsidR="00142F44" w:rsidRPr="008E6F23" w:rsidRDefault="00142F44" w:rsidP="00142F44">
      <w:pPr>
        <w:pStyle w:val="BodyText"/>
        <w:ind w:left="1135"/>
      </w:pPr>
      <w:r>
        <w:t xml:space="preserve">Throughout the inquiry, the committee has consistently raised concerns that even if motorists are shopping around for a better fuel price, any benefit may not be realised if they are purchasing an in-store offering which has a significant mark-up.  </w:t>
      </w:r>
    </w:p>
    <w:p w:rsidR="006B1626" w:rsidRPr="00104875" w:rsidRDefault="006B1626" w:rsidP="0072481B">
      <w:pPr>
        <w:pStyle w:val="Heading3"/>
        <w:rPr>
          <w:b/>
        </w:rPr>
      </w:pPr>
      <w:bookmarkStart w:id="51" w:name="_Toc10119176"/>
      <w:r w:rsidRPr="00104875">
        <w:rPr>
          <w:b/>
        </w:rPr>
        <w:t>Impact on Canberra community</w:t>
      </w:r>
      <w:bookmarkEnd w:id="51"/>
      <w:r w:rsidRPr="00104875">
        <w:rPr>
          <w:b/>
        </w:rPr>
        <w:t xml:space="preserve"> </w:t>
      </w:r>
    </w:p>
    <w:p w:rsidR="00DD5B7A" w:rsidRDefault="00B65B9D" w:rsidP="008E6F23">
      <w:pPr>
        <w:pStyle w:val="BodyText"/>
        <w:ind w:left="1135"/>
      </w:pPr>
      <w:r>
        <w:t>It is apparent that the ACT fuel market is not meeting consumer expectations.</w:t>
      </w:r>
      <w:r w:rsidRPr="00B50D3D">
        <w:t xml:space="preserve"> </w:t>
      </w:r>
      <w:r>
        <w:t xml:space="preserve">This </w:t>
      </w:r>
      <w:r w:rsidR="00DD5B7A">
        <w:t xml:space="preserve">concern is enhanced by fuel prices </w:t>
      </w:r>
      <w:r>
        <w:t>being</w:t>
      </w:r>
      <w:r w:rsidR="00DD5B7A">
        <w:t xml:space="preserve"> substantially higher in Canberra compared to neighbouring NSW towns like Queanbeyan with no clear explanation as to why. Many Canberra motorists also compare ACT fuel prices with those in Sydney. This comparison can be complicated by the existence of price cycles in Sydney</w:t>
      </w:r>
      <w:r>
        <w:t xml:space="preserve"> and at what stage of the cycle the Sydney market is observed. H</w:t>
      </w:r>
      <w:r w:rsidR="00DD5B7A">
        <w:t xml:space="preserve">owever, the </w:t>
      </w:r>
      <w:r>
        <w:t xml:space="preserve">fact remains that the </w:t>
      </w:r>
      <w:r w:rsidR="00DD5B7A">
        <w:t>average price of fuel in Canberra is higher</w:t>
      </w:r>
      <w:r>
        <w:t xml:space="preserve"> than Sydney</w:t>
      </w:r>
      <w:r w:rsidR="00DD5B7A">
        <w:t>.</w:t>
      </w:r>
      <w:r w:rsidR="00DD5B7A">
        <w:rPr>
          <w:rStyle w:val="FootnoteReference"/>
        </w:rPr>
        <w:footnoteReference w:id="32"/>
      </w:r>
    </w:p>
    <w:p w:rsidR="00DD5B7A" w:rsidRDefault="00DD5B7A" w:rsidP="008E6F23">
      <w:pPr>
        <w:pStyle w:val="BodyText"/>
        <w:ind w:left="1135"/>
      </w:pPr>
      <w:r>
        <w:t xml:space="preserve">The committee has received a great deal of feedback from ACT motorists including </w:t>
      </w:r>
      <w:r w:rsidR="00B65B9D" w:rsidRPr="00B65B9D">
        <w:t>several</w:t>
      </w:r>
      <w:r w:rsidRPr="00B65B9D">
        <w:t xml:space="preserve"> </w:t>
      </w:r>
      <w:r>
        <w:t>formal submissions from individuals and 286 responses to its online survey.</w:t>
      </w:r>
      <w:r>
        <w:rPr>
          <w:rStyle w:val="FootnoteReference"/>
        </w:rPr>
        <w:footnoteReference w:id="33"/>
      </w:r>
    </w:p>
    <w:p w:rsidR="00DD5B7A" w:rsidRDefault="00B65B9D" w:rsidP="008E6F23">
      <w:pPr>
        <w:pStyle w:val="BodyText"/>
        <w:ind w:left="1135"/>
      </w:pPr>
      <w:r>
        <w:t xml:space="preserve">Ms </w:t>
      </w:r>
      <w:r w:rsidR="00DD5B7A">
        <w:t xml:space="preserve">Rowena Carpenter appeared before the committee on 10 April 2019 and described the cost of fuel in Canberra as “price gouging”, a sentiment reflected in other submissions and surveys. Ms Carpenter is an ACT motorist and operates an owner-driver </w:t>
      </w:r>
      <w:r w:rsidR="00DD5B7A">
        <w:lastRenderedPageBreak/>
        <w:t>freight transport company with her husband</w:t>
      </w:r>
      <w:r>
        <w:t xml:space="preserve">, giving them high visibility of other markets: </w:t>
      </w:r>
      <w:r w:rsidR="00DD5B7A">
        <w:t>“We run a single prime mover between Canberra, Melbourne, Sydney and many regional towns in between. Travelling between cities and towns so much highlights the massive differences in fuel pricing between capital cities, regional townships and Canberra. One thing stands out very clearly: we are paying too much for fuel in Canberra.”</w:t>
      </w:r>
      <w:r w:rsidR="00DD5B7A">
        <w:rPr>
          <w:rStyle w:val="FootnoteReference"/>
        </w:rPr>
        <w:footnoteReference w:id="34"/>
      </w:r>
      <w:r w:rsidR="00DD5B7A">
        <w:t xml:space="preserve"> </w:t>
      </w:r>
    </w:p>
    <w:p w:rsidR="00DD5B7A" w:rsidRDefault="00DD5B7A" w:rsidP="00B65B9D">
      <w:pPr>
        <w:pStyle w:val="BodyText"/>
        <w:ind w:left="1135"/>
      </w:pPr>
      <w:r>
        <w:t xml:space="preserve">This sentiment was echoed in </w:t>
      </w:r>
      <w:r w:rsidR="00B65B9D">
        <w:t xml:space="preserve">Mr </w:t>
      </w:r>
      <w:r>
        <w:t xml:space="preserve">Geoff Ross’s submission to the inquiry: </w:t>
      </w:r>
      <w:r w:rsidRPr="00580C12">
        <w:t>“When we constantly see photos of places like Mogo, a tiny town on the south coast of NSW paying 30 cents per litre less than we are paying in Canberra, it's just infuriating.”</w:t>
      </w:r>
      <w:r w:rsidRPr="00B65B9D">
        <w:rPr>
          <w:vertAlign w:val="superscript"/>
        </w:rPr>
        <w:footnoteReference w:id="35"/>
      </w:r>
      <w:r w:rsidRPr="00B65B9D">
        <w:rPr>
          <w:vertAlign w:val="superscript"/>
        </w:rPr>
        <w:t xml:space="preserve"> </w:t>
      </w:r>
      <w:r w:rsidR="00B65B9D">
        <w:t xml:space="preserve"> </w:t>
      </w:r>
      <w:r>
        <w:t xml:space="preserve">Similarly, </w:t>
      </w:r>
      <w:r w:rsidR="00B65B9D">
        <w:t xml:space="preserve">Mr </w:t>
      </w:r>
      <w:r w:rsidRPr="00580C12">
        <w:t xml:space="preserve">Jim McDonald’s submission highlights a tendency </w:t>
      </w:r>
      <w:r>
        <w:t>to compare</w:t>
      </w:r>
      <w:r w:rsidRPr="00580C12">
        <w:t xml:space="preserve"> Canberra</w:t>
      </w:r>
      <w:r>
        <w:t xml:space="preserve"> fuel prices</w:t>
      </w:r>
      <w:r w:rsidRPr="00580C12">
        <w:t xml:space="preserve"> to </w:t>
      </w:r>
      <w:r>
        <w:t>those in</w:t>
      </w:r>
      <w:r w:rsidRPr="00580C12">
        <w:t xml:space="preserve"> Sydney: “I have been on trips to Sydney to see a difference of up to 30c per litre cheaper than Canberra.”</w:t>
      </w:r>
      <w:r w:rsidRPr="00B65B9D">
        <w:rPr>
          <w:vertAlign w:val="superscript"/>
        </w:rPr>
        <w:footnoteReference w:id="36"/>
      </w:r>
    </w:p>
    <w:p w:rsidR="00DD5B7A" w:rsidRPr="00580C12" w:rsidRDefault="00DD5B7A" w:rsidP="00B65B9D">
      <w:pPr>
        <w:pStyle w:val="BodyText"/>
        <w:ind w:left="1135"/>
      </w:pPr>
      <w:r>
        <w:t>Ms Carpenter’s hearing also highlighted a common belief that the ACT fuel market is not competitive and a perception that some retailers are charging more than required to maximise profit. “I have learnt a lot from my reading. I know that there is more I can learn. But I still feel that it is due to a lack of competition, that there are service stations out there that are charging more than they really need to, to cover their costs, because they can.”</w:t>
      </w:r>
      <w:r w:rsidRPr="00B65B9D">
        <w:rPr>
          <w:vertAlign w:val="superscript"/>
        </w:rPr>
        <w:footnoteReference w:id="37"/>
      </w:r>
      <w:r w:rsidRPr="00B65B9D">
        <w:rPr>
          <w:vertAlign w:val="superscript"/>
        </w:rPr>
        <w:t xml:space="preserve"> </w:t>
      </w:r>
      <w:r w:rsidR="00B65B9D">
        <w:t xml:space="preserve">Mr </w:t>
      </w:r>
      <w:r w:rsidRPr="00580C12">
        <w:t xml:space="preserve">Richard </w:t>
      </w:r>
      <w:proofErr w:type="spellStart"/>
      <w:r w:rsidRPr="00580C12">
        <w:t>Tuffin</w:t>
      </w:r>
      <w:proofErr w:type="spellEnd"/>
      <w:r w:rsidRPr="00580C12">
        <w:t xml:space="preserve"> echoed a similar sentiment in his submission to the inquiry: “It’s obvious that petrol companies are taking advantage of the higher average wages available here in Canberra and are using that knowledge as a justification to gouge Canberrans through increased petrol prices based on these salaries.”</w:t>
      </w:r>
      <w:r w:rsidRPr="00B65B9D">
        <w:rPr>
          <w:vertAlign w:val="superscript"/>
        </w:rPr>
        <w:footnoteReference w:id="38"/>
      </w:r>
    </w:p>
    <w:p w:rsidR="00DD5B7A" w:rsidRPr="00E223ED" w:rsidRDefault="00DD5B7A" w:rsidP="008E6F23">
      <w:pPr>
        <w:pStyle w:val="BodyText"/>
        <w:ind w:left="1135"/>
      </w:pPr>
      <w:r>
        <w:t xml:space="preserve">Ms Carpenter </w:t>
      </w:r>
      <w:r w:rsidR="00B65B9D">
        <w:t>advised</w:t>
      </w:r>
      <w:r>
        <w:t xml:space="preserve"> she tried to take advantage of cheaper fuel and used the Petrol Spy app to monitor and compare prices across the ACT. While some Canberra motorists shop around for fuel, others do not, citing a lack of time or substantial cost saving. In his submission, </w:t>
      </w:r>
      <w:r w:rsidR="00B65B9D">
        <w:t xml:space="preserve">Mr </w:t>
      </w:r>
      <w:r w:rsidRPr="00580C12">
        <w:t>Jason Tankard</w:t>
      </w:r>
      <w:r>
        <w:t xml:space="preserve"> wrote that the cost of fuel was tough on his family. “</w:t>
      </w:r>
      <w:r w:rsidRPr="00580C12">
        <w:t>We don't have a Costco membership, and I can’t spare the time to travel from Gungahlin out there to save the few extra cents per litre.”</w:t>
      </w:r>
      <w:r>
        <w:t xml:space="preserve"> However, some Canberra motorists are taking advantage of Costco’s cheaper fuel as part of an annual membership. In her submission </w:t>
      </w:r>
      <w:r w:rsidR="00B65B9D">
        <w:t xml:space="preserve">Ms </w:t>
      </w:r>
      <w:r>
        <w:t xml:space="preserve">Paulette </w:t>
      </w:r>
      <w:proofErr w:type="spellStart"/>
      <w:r>
        <w:t>Neilsen</w:t>
      </w:r>
      <w:proofErr w:type="spellEnd"/>
      <w:r>
        <w:t xml:space="preserve"> wrote that Costco’s entry into the ACT fuel </w:t>
      </w:r>
      <w:r w:rsidRPr="00E223ED">
        <w:t>market “has been welcomed by those of us who can afford to access their improved fuel prices</w:t>
      </w:r>
      <w:r>
        <w:t xml:space="preserve">”. Ms </w:t>
      </w:r>
      <w:proofErr w:type="spellStart"/>
      <w:r>
        <w:t>Neilsen</w:t>
      </w:r>
      <w:proofErr w:type="spellEnd"/>
      <w:r>
        <w:t xml:space="preserve"> surmised that Costco’s impact on the broader fuel market was limited by its location on Canberra’s eastern fringe.</w:t>
      </w:r>
      <w:r w:rsidRPr="00FE4F7B">
        <w:rPr>
          <w:vertAlign w:val="superscript"/>
        </w:rPr>
        <w:footnoteReference w:id="39"/>
      </w:r>
    </w:p>
    <w:p w:rsidR="00DD5B7A" w:rsidRDefault="00DD5B7A" w:rsidP="008E6F23">
      <w:pPr>
        <w:pStyle w:val="BodyText"/>
        <w:ind w:left="1135"/>
      </w:pPr>
      <w:r>
        <w:lastRenderedPageBreak/>
        <w:t>While some Canberra motorists fill up based on convenience rather than cost, many households and small businesses are much more price-sensitive and, at times, struggling to bear the brunt of higher prices. As Lisa Brown wrote in her submission to the inquiry:</w:t>
      </w:r>
      <w:r w:rsidRPr="00E223ED">
        <w:t xml:space="preserve"> “I am a single mother and sole trader doing delivery driving for a living. My current fuel costs for a month alone is approximately $650 a month taking away 20</w:t>
      </w:r>
      <w:r>
        <w:t xml:space="preserve"> per cent</w:t>
      </w:r>
      <w:r w:rsidRPr="00E223ED">
        <w:t xml:space="preserve"> of my total business income</w:t>
      </w:r>
      <w:r>
        <w:t xml:space="preserve"> …</w:t>
      </w:r>
      <w:r w:rsidRPr="000622C3">
        <w:t xml:space="preserve"> </w:t>
      </w:r>
      <w:r>
        <w:t xml:space="preserve">Why should consumers struggle solely because they live in </w:t>
      </w:r>
      <w:proofErr w:type="gramStart"/>
      <w:r>
        <w:t>Canberra.</w:t>
      </w:r>
      <w:proofErr w:type="gramEnd"/>
      <w:r>
        <w:t xml:space="preserve"> It is </w:t>
      </w:r>
      <w:proofErr w:type="gramStart"/>
      <w:r>
        <w:t>unfair</w:t>
      </w:r>
      <w:proofErr w:type="gramEnd"/>
      <w:r>
        <w:t xml:space="preserve"> and something must be done to change it.</w:t>
      </w:r>
      <w:r w:rsidRPr="00E223ED">
        <w:t>”</w:t>
      </w:r>
      <w:r w:rsidRPr="00FE4F7B">
        <w:rPr>
          <w:vertAlign w:val="superscript"/>
        </w:rPr>
        <w:footnoteReference w:id="40"/>
      </w:r>
    </w:p>
    <w:p w:rsidR="006B1626" w:rsidRPr="00104875" w:rsidRDefault="006B1626" w:rsidP="0072481B">
      <w:pPr>
        <w:pStyle w:val="Heading3"/>
        <w:rPr>
          <w:b/>
        </w:rPr>
      </w:pPr>
      <w:bookmarkStart w:id="52" w:name="_Toc10119177"/>
      <w:r w:rsidRPr="00104875">
        <w:rPr>
          <w:b/>
        </w:rPr>
        <w:t>Role of the ACCC</w:t>
      </w:r>
      <w:bookmarkEnd w:id="52"/>
    </w:p>
    <w:p w:rsidR="006B1626" w:rsidRPr="00B0758E" w:rsidRDefault="006B1626" w:rsidP="008E6F23">
      <w:pPr>
        <w:pStyle w:val="BodyText"/>
        <w:ind w:left="1135"/>
      </w:pPr>
      <w:r>
        <w:t>The committee has heard considerable concern from the community that the ACCC is not performing its role. The ACCC has clarified its position to the committee, being that it</w:t>
      </w:r>
      <w:r w:rsidR="000D1AEE">
        <w:t xml:space="preserve"> </w:t>
      </w:r>
      <w:r w:rsidR="00895C1D" w:rsidRPr="008E6F23">
        <w:t>monitors</w:t>
      </w:r>
      <w:r w:rsidR="007257F7" w:rsidRPr="008E6F23">
        <w:t xml:space="preserve"> and report</w:t>
      </w:r>
      <w:r w:rsidR="00895C1D" w:rsidRPr="008E6F23">
        <w:t>s</w:t>
      </w:r>
      <w:r w:rsidR="007257F7" w:rsidRPr="008E6F23">
        <w:t xml:space="preserve"> on Australian fuel markets and target</w:t>
      </w:r>
      <w:r w:rsidR="00895C1D" w:rsidRPr="008E6F23">
        <w:t>s</w:t>
      </w:r>
      <w:r w:rsidR="000D1AEE" w:rsidRPr="008E6F23">
        <w:t xml:space="preserve"> illegal anti-competitive behaviour</w:t>
      </w:r>
      <w:r w:rsidRPr="008E6F23">
        <w:t>.</w:t>
      </w:r>
      <w:r w:rsidR="00AA2BC7" w:rsidRPr="008E6F23">
        <w:t xml:space="preserve"> </w:t>
      </w:r>
      <w:r w:rsidR="007257F7" w:rsidRPr="008E6F23">
        <w:t>The ACCC</w:t>
      </w:r>
      <w:r w:rsidR="00895C1D" w:rsidRPr="008E6F23">
        <w:t>’s role</w:t>
      </w:r>
      <w:r w:rsidR="007257F7" w:rsidRPr="008E6F23">
        <w:t xml:space="preserve"> does not </w:t>
      </w:r>
      <w:r w:rsidR="00895C1D" w:rsidRPr="008E6F23">
        <w:t>involve</w:t>
      </w:r>
      <w:r w:rsidR="007257F7" w:rsidRPr="008E6F23">
        <w:t xml:space="preserve"> actively contributing to higher levels of competition</w:t>
      </w:r>
      <w:r w:rsidR="00967B62" w:rsidRPr="008E6F23">
        <w:t xml:space="preserve"> in the marketplace</w:t>
      </w:r>
      <w:r w:rsidR="007257F7" w:rsidRPr="008E6F23">
        <w:t>.</w:t>
      </w:r>
      <w:r w:rsidR="007257F7" w:rsidRPr="00FE4F7B">
        <w:rPr>
          <w:vertAlign w:val="superscript"/>
        </w:rPr>
        <w:footnoteReference w:id="41"/>
      </w:r>
      <w:r w:rsidR="00E45A7C" w:rsidRPr="00FE4F7B">
        <w:rPr>
          <w:vertAlign w:val="superscript"/>
        </w:rPr>
        <w:t xml:space="preserve"> </w:t>
      </w:r>
    </w:p>
    <w:p w:rsidR="001A7C16" w:rsidRDefault="00BB425C" w:rsidP="00990EEC">
      <w:pPr>
        <w:pStyle w:val="Heading2"/>
      </w:pPr>
      <w:bookmarkStart w:id="53" w:name="_Toc10119178"/>
      <w:r>
        <w:lastRenderedPageBreak/>
        <w:t>Possible Recommendations</w:t>
      </w:r>
      <w:bookmarkEnd w:id="53"/>
      <w:r>
        <w:t xml:space="preserve"> </w:t>
      </w:r>
    </w:p>
    <w:p w:rsidR="00CE7AC7" w:rsidRDefault="00CE7AC7" w:rsidP="00CE7AC7">
      <w:pPr>
        <w:pStyle w:val="BodyText"/>
      </w:pPr>
      <w:r>
        <w:t xml:space="preserve">The following possible recommendations </w:t>
      </w:r>
      <w:r w:rsidR="00332F37">
        <w:t xml:space="preserve">are </w:t>
      </w:r>
      <w:r>
        <w:t xml:space="preserve">live options </w:t>
      </w:r>
      <w:r w:rsidR="00332F37">
        <w:t xml:space="preserve">being considered by </w:t>
      </w:r>
      <w:r>
        <w:t xml:space="preserve">the committee. The committee notes that while some recommendations are mutually exclusive, </w:t>
      </w:r>
      <w:proofErr w:type="gramStart"/>
      <w:r>
        <w:t>a number of</w:t>
      </w:r>
      <w:proofErr w:type="gramEnd"/>
      <w:r>
        <w:t xml:space="preserve"> recommendations could be employed together. Alternatively, the committee may suggest a hierarchy or timeline of approaches to employ: that is, if one does not work after some time, employ a more significant approach. </w:t>
      </w:r>
    </w:p>
    <w:p w:rsidR="003F6161" w:rsidRDefault="00CE7AC7" w:rsidP="00CE7AC7">
      <w:pPr>
        <w:pStyle w:val="BodyText"/>
      </w:pPr>
      <w:r>
        <w:t xml:space="preserve">The committee is seeking feedback on: </w:t>
      </w:r>
    </w:p>
    <w:p w:rsidR="003F6161" w:rsidRDefault="00CE7AC7" w:rsidP="003F6161">
      <w:pPr>
        <w:pStyle w:val="Quote"/>
      </w:pPr>
      <w:r>
        <w:t>a) what option/s the ACT community considers most valuable</w:t>
      </w:r>
      <w:r w:rsidR="001632A9">
        <w:t>;</w:t>
      </w:r>
      <w:r>
        <w:t xml:space="preserve"> </w:t>
      </w:r>
    </w:p>
    <w:p w:rsidR="00CE7AC7" w:rsidRDefault="00CE7AC7" w:rsidP="003F6161">
      <w:pPr>
        <w:pStyle w:val="Quote"/>
      </w:pPr>
      <w:r>
        <w:t>b) what impact and/or unintended consequences these options may have from industry, community and Government viewpoints</w:t>
      </w:r>
      <w:r w:rsidR="001632A9">
        <w:t>; and</w:t>
      </w:r>
    </w:p>
    <w:p w:rsidR="001632A9" w:rsidRDefault="001632A9" w:rsidP="003F6161">
      <w:pPr>
        <w:pStyle w:val="Quote"/>
      </w:pPr>
      <w:r>
        <w:t>c) any option/s to which the committee may not have yet turned its mind.</w:t>
      </w:r>
    </w:p>
    <w:p w:rsidR="00CE7AC7" w:rsidRDefault="00CE7AC7" w:rsidP="0072481B">
      <w:pPr>
        <w:pStyle w:val="Heading3"/>
      </w:pPr>
      <w:bookmarkStart w:id="54" w:name="_Toc10119179"/>
      <w:r>
        <w:t>Possible recommendation 1: Do nothing</w:t>
      </w:r>
      <w:bookmarkEnd w:id="54"/>
    </w:p>
    <w:p w:rsidR="00CE7AC7" w:rsidRPr="00467B86" w:rsidRDefault="00CE7AC7" w:rsidP="003F6161">
      <w:pPr>
        <w:pStyle w:val="BodyText"/>
      </w:pPr>
      <w:r w:rsidRPr="00467B86">
        <w:t>The committee has received considerable support for this option, particularly from industry. There is a view that the market is operating as it should; that the ACT is well serviced by applications and websites which provide the transparency needed; and that it is the responsibility of Canberrans to change their behaviours, including searching for cheaper fuel prices and not relying on convenience.</w:t>
      </w:r>
      <w:r w:rsidR="00576B28">
        <w:rPr>
          <w:rStyle w:val="FootnoteReference"/>
        </w:rPr>
        <w:footnoteReference w:id="42"/>
      </w:r>
      <w:r w:rsidRPr="00467B86">
        <w:t xml:space="preserve"> </w:t>
      </w:r>
    </w:p>
    <w:p w:rsidR="00CE7AC7" w:rsidRDefault="00CE7AC7" w:rsidP="003F6161">
      <w:pPr>
        <w:pStyle w:val="ListBullet"/>
      </w:pPr>
      <w:r>
        <w:t xml:space="preserve">Pros: </w:t>
      </w:r>
    </w:p>
    <w:p w:rsidR="00CE7AC7" w:rsidRDefault="00CE7AC7" w:rsidP="00081700">
      <w:pPr>
        <w:pStyle w:val="ListBullet2"/>
      </w:pPr>
      <w:r>
        <w:t>No cost to Government or industry</w:t>
      </w:r>
    </w:p>
    <w:p w:rsidR="00CE7AC7" w:rsidRDefault="00CE7AC7" w:rsidP="003F6161">
      <w:pPr>
        <w:pStyle w:val="ListBullet"/>
      </w:pPr>
      <w:r>
        <w:t xml:space="preserve">Cons: </w:t>
      </w:r>
    </w:p>
    <w:p w:rsidR="00CE7AC7" w:rsidRDefault="00CE7AC7" w:rsidP="00081700">
      <w:pPr>
        <w:pStyle w:val="ListBullet2"/>
      </w:pPr>
      <w:r>
        <w:t>Likely no resulting lowering of fuel prices</w:t>
      </w:r>
    </w:p>
    <w:p w:rsidR="00CE7AC7" w:rsidRDefault="00CE7AC7" w:rsidP="003F6161">
      <w:pPr>
        <w:pStyle w:val="ListBullet"/>
      </w:pPr>
      <w:r>
        <w:t>Considerations:</w:t>
      </w:r>
    </w:p>
    <w:p w:rsidR="00CE7AC7" w:rsidRDefault="00CE7AC7" w:rsidP="00081700">
      <w:pPr>
        <w:pStyle w:val="ListBullet2"/>
      </w:pPr>
      <w:r>
        <w:t>The committee has heard changes to ownership, such as Viva Energy acquiring Coles sites, may result in greater competition as pricing models and strategies change</w:t>
      </w:r>
      <w:r w:rsidR="00142F44">
        <w:t>.</w:t>
      </w:r>
      <w:r w:rsidR="00BB3A63">
        <w:rPr>
          <w:rStyle w:val="FootnoteReference"/>
        </w:rPr>
        <w:footnoteReference w:id="43"/>
      </w:r>
    </w:p>
    <w:p w:rsidR="00CE7AC7" w:rsidRPr="00E97059" w:rsidRDefault="00CE7AC7" w:rsidP="00081700">
      <w:pPr>
        <w:pStyle w:val="ListBullet2"/>
      </w:pPr>
      <w:r>
        <w:t xml:space="preserve">The committee notes that Viva Energy acquired Coles sites in early March and no change has yet been observed. </w:t>
      </w:r>
    </w:p>
    <w:p w:rsidR="00CE7AC7" w:rsidRDefault="00CE7AC7" w:rsidP="0072481B">
      <w:pPr>
        <w:pStyle w:val="Heading3"/>
      </w:pPr>
      <w:bookmarkStart w:id="55" w:name="_Toc10119180"/>
      <w:r>
        <w:lastRenderedPageBreak/>
        <w:t>Possible recommendation 2: Better education</w:t>
      </w:r>
      <w:bookmarkEnd w:id="55"/>
    </w:p>
    <w:p w:rsidR="00CE7AC7" w:rsidRDefault="00CE7AC7" w:rsidP="00820961">
      <w:pPr>
        <w:pStyle w:val="BodyText"/>
      </w:pPr>
      <w:r>
        <w:t>The committee has consistently heard evidence that there is poor community understanding of the fuel industry and market. A better understanding of what drives fuel prices may result in at a minimum, less community anxiety and, potentially, a change in some consumer behaviour.</w:t>
      </w:r>
      <w:r w:rsidR="00BD0D2D">
        <w:rPr>
          <w:rStyle w:val="FootnoteReference"/>
        </w:rPr>
        <w:footnoteReference w:id="44"/>
      </w:r>
      <w:r>
        <w:t xml:space="preserve"> </w:t>
      </w:r>
    </w:p>
    <w:p w:rsidR="00CE7AC7" w:rsidRDefault="00CE7AC7" w:rsidP="00820961">
      <w:pPr>
        <w:pStyle w:val="ListBullet"/>
      </w:pPr>
      <w:r>
        <w:t xml:space="preserve">Pros: </w:t>
      </w:r>
    </w:p>
    <w:p w:rsidR="00CE7AC7" w:rsidRDefault="00CE7AC7" w:rsidP="00081700">
      <w:pPr>
        <w:pStyle w:val="ListBullet2"/>
      </w:pPr>
      <w:r>
        <w:t xml:space="preserve">Low cost to Government or industry </w:t>
      </w:r>
    </w:p>
    <w:p w:rsidR="00CE7AC7" w:rsidRDefault="00CE7AC7" w:rsidP="00081700">
      <w:pPr>
        <w:pStyle w:val="ListBullet2"/>
      </w:pPr>
      <w:r>
        <w:t xml:space="preserve">The more informed the community, the greater agency they may have in making purchasing decisions </w:t>
      </w:r>
    </w:p>
    <w:p w:rsidR="00CE7AC7" w:rsidRDefault="00CE7AC7" w:rsidP="00820961">
      <w:pPr>
        <w:pStyle w:val="ListBullet"/>
      </w:pPr>
      <w:r>
        <w:t xml:space="preserve">Cons: </w:t>
      </w:r>
    </w:p>
    <w:p w:rsidR="00CE7AC7" w:rsidRDefault="00CE7AC7" w:rsidP="00081700">
      <w:pPr>
        <w:pStyle w:val="ListBullet2"/>
      </w:pPr>
      <w:r>
        <w:t xml:space="preserve">Potentially no resulting lowering of fuel prices  </w:t>
      </w:r>
    </w:p>
    <w:p w:rsidR="008B166A" w:rsidRDefault="008B166A" w:rsidP="00081700">
      <w:pPr>
        <w:pStyle w:val="ListBullet2"/>
      </w:pPr>
      <w:r>
        <w:t xml:space="preserve">Price change only likely to occur if consumer-led </w:t>
      </w:r>
    </w:p>
    <w:p w:rsidR="00CE7AC7" w:rsidRDefault="00CE7AC7" w:rsidP="00820961">
      <w:pPr>
        <w:pStyle w:val="ListBullet"/>
      </w:pPr>
      <w:r>
        <w:t>Considerations:</w:t>
      </w:r>
    </w:p>
    <w:p w:rsidR="00CE7AC7" w:rsidRDefault="00CE7AC7" w:rsidP="00081700">
      <w:pPr>
        <w:pStyle w:val="ListBullet2"/>
      </w:pPr>
      <w:r>
        <w:t>Information already exists on the Access Canberra website explaining the drivers of fuel prices.</w:t>
      </w:r>
      <w:r w:rsidR="00142F44">
        <w:rPr>
          <w:rStyle w:val="FootnoteReference"/>
        </w:rPr>
        <w:footnoteReference w:id="45"/>
      </w:r>
      <w:r>
        <w:t xml:space="preserve"> Any new education package would need to provide either new information or present it more usefully. </w:t>
      </w:r>
    </w:p>
    <w:p w:rsidR="00CE7AC7" w:rsidRDefault="00CE7AC7" w:rsidP="0072481B">
      <w:pPr>
        <w:pStyle w:val="Heading3"/>
      </w:pPr>
      <w:bookmarkStart w:id="56" w:name="_Toc10119181"/>
      <w:r>
        <w:t>Possible recommendation 3: Create a fuel prices oversight position or body</w:t>
      </w:r>
      <w:bookmarkEnd w:id="56"/>
    </w:p>
    <w:p w:rsidR="00CE7AC7" w:rsidRDefault="00CE7AC7" w:rsidP="00820961">
      <w:pPr>
        <w:pStyle w:val="BodyText"/>
      </w:pPr>
      <w:r>
        <w:t>The committee has been encouraged by a range of witnesses to recommend creating a fuel prices oversight position or body. In Western Australia, a fuel prices commissioner exists whose role is to report daily on fuel prices and explain market trends. On the basis that, since the establishment of the select committee into fuel prices, prices have generally been lower in the ACT, the Chief Minister has suggested that the establishment of a standing committee tasked with monitoring and reporting on fuel prices may be a consideration.</w:t>
      </w:r>
      <w:r w:rsidR="00196582">
        <w:rPr>
          <w:rStyle w:val="FootnoteReference"/>
        </w:rPr>
        <w:footnoteReference w:id="46"/>
      </w:r>
      <w:r>
        <w:t xml:space="preserve"> </w:t>
      </w:r>
    </w:p>
    <w:p w:rsidR="00CE7AC7" w:rsidRDefault="00CE7AC7" w:rsidP="00820961">
      <w:pPr>
        <w:pStyle w:val="ListBullet"/>
      </w:pPr>
      <w:r>
        <w:t>Pros:</w:t>
      </w:r>
    </w:p>
    <w:p w:rsidR="00CE7AC7" w:rsidRDefault="00CE7AC7" w:rsidP="00081700">
      <w:pPr>
        <w:pStyle w:val="ListBullet2"/>
      </w:pPr>
      <w:r>
        <w:t>Would assist with aiding transparency of fuel prices and be an ongoing education model</w:t>
      </w:r>
    </w:p>
    <w:p w:rsidR="00CE7AC7" w:rsidRPr="0062739C" w:rsidRDefault="00CE7AC7" w:rsidP="00081700">
      <w:pPr>
        <w:pStyle w:val="ListBullet2"/>
      </w:pPr>
      <w:r>
        <w:t xml:space="preserve">Depending on the model, likely low cost to Government or industry </w:t>
      </w:r>
    </w:p>
    <w:p w:rsidR="00CE7AC7" w:rsidRDefault="00CE7AC7" w:rsidP="00820961">
      <w:pPr>
        <w:pStyle w:val="ListBullet"/>
      </w:pPr>
      <w:r>
        <w:t xml:space="preserve">Cons: </w:t>
      </w:r>
    </w:p>
    <w:p w:rsidR="00CE7AC7" w:rsidRDefault="00CE7AC7" w:rsidP="00081700">
      <w:pPr>
        <w:pStyle w:val="ListBullet2"/>
      </w:pPr>
      <w:r>
        <w:t xml:space="preserve">Potentially no resulting lowering of fuel prices </w:t>
      </w:r>
    </w:p>
    <w:p w:rsidR="00CE7AC7" w:rsidRDefault="00CE7AC7" w:rsidP="00820961">
      <w:pPr>
        <w:pStyle w:val="ListBullet"/>
      </w:pPr>
      <w:r>
        <w:lastRenderedPageBreak/>
        <w:t>Considerations:</w:t>
      </w:r>
    </w:p>
    <w:p w:rsidR="00CE7AC7" w:rsidRDefault="00CE7AC7" w:rsidP="00081700">
      <w:pPr>
        <w:pStyle w:val="ListBullet2"/>
      </w:pPr>
      <w:r>
        <w:t xml:space="preserve">The effectiveness of the role or body on lowering fuel prices may depend on how bold it is in calling out issues or trends. </w:t>
      </w:r>
    </w:p>
    <w:p w:rsidR="00CE7AC7" w:rsidRDefault="00CE7AC7" w:rsidP="0072481B">
      <w:pPr>
        <w:pStyle w:val="Heading3"/>
      </w:pPr>
      <w:bookmarkStart w:id="57" w:name="_Toc10119182"/>
      <w:r>
        <w:t>Possible recommendation 4: Introduce a Government-run real-time price monitoring scheme</w:t>
      </w:r>
      <w:bookmarkEnd w:id="57"/>
    </w:p>
    <w:p w:rsidR="00CE7AC7" w:rsidRDefault="00CE7AC7" w:rsidP="00820961">
      <w:pPr>
        <w:pStyle w:val="BodyText"/>
      </w:pPr>
      <w:r>
        <w:t xml:space="preserve">While some submitters and witnesses have insisted that the ACT is well-serviced by applications and websites which detail fuel prices, the committee has heard other evidence that no existing model provides perfect coverage of the ACT market, nor necessarily accurate prices. In the absence of any one product providing the clearest, most comprehensive and most accurate picture of the ACT market, there is potential for a cost to the consumer in searching for the best price. A Government-run scheme, along the lines of </w:t>
      </w:r>
      <w:proofErr w:type="spellStart"/>
      <w:r>
        <w:t>FuelCheck</w:t>
      </w:r>
      <w:proofErr w:type="spellEnd"/>
      <w:r>
        <w:t xml:space="preserve"> in NSW</w:t>
      </w:r>
      <w:r w:rsidR="00FD2494">
        <w:t xml:space="preserve"> or the fuel price reporting trial in Queensland</w:t>
      </w:r>
      <w:r>
        <w:t>, could be considered.</w:t>
      </w:r>
      <w:r w:rsidR="00790DF5">
        <w:rPr>
          <w:rStyle w:val="FootnoteReference"/>
        </w:rPr>
        <w:footnoteReference w:id="47"/>
      </w:r>
    </w:p>
    <w:p w:rsidR="00CE7AC7" w:rsidRDefault="00CE7AC7" w:rsidP="00820961">
      <w:pPr>
        <w:pStyle w:val="BodyText"/>
      </w:pPr>
      <w:r>
        <w:t>Th</w:t>
      </w:r>
      <w:r w:rsidR="007321A7">
        <w:t>ese</w:t>
      </w:r>
      <w:r>
        <w:t xml:space="preserve"> model</w:t>
      </w:r>
      <w:r w:rsidR="007321A7">
        <w:t>s</w:t>
      </w:r>
      <w:r>
        <w:t xml:space="preserve"> would allow retailers to continue to change prices throughout the day. Being able to change prices during the day</w:t>
      </w:r>
      <w:r w:rsidR="00081700">
        <w:t>, whether higher or lower,</w:t>
      </w:r>
      <w:r>
        <w:t xml:space="preserve"> </w:t>
      </w:r>
      <w:r w:rsidR="00142F44">
        <w:t>can have</w:t>
      </w:r>
      <w:r>
        <w:t xml:space="preserve"> either the actual or perceived result that there may be high volatility, making it difficult for ACT residents to know whether they are getting a fair deal – whether within the ACT or as compared to different cities and regions. </w:t>
      </w:r>
    </w:p>
    <w:p w:rsidR="00CE7AC7" w:rsidRDefault="00CE7AC7" w:rsidP="00820961">
      <w:pPr>
        <w:pStyle w:val="ListBullet"/>
      </w:pPr>
      <w:r>
        <w:t xml:space="preserve">Pros: </w:t>
      </w:r>
    </w:p>
    <w:p w:rsidR="00081700" w:rsidRDefault="00081700" w:rsidP="00081700">
      <w:pPr>
        <w:pStyle w:val="ListBullet2"/>
      </w:pPr>
      <w:r>
        <w:t>Provides a full picture of the ACT market to the community</w:t>
      </w:r>
    </w:p>
    <w:p w:rsidR="00CE7AC7" w:rsidRDefault="00CE7AC7" w:rsidP="00081700">
      <w:pPr>
        <w:pStyle w:val="ListBullet2"/>
      </w:pPr>
      <w:r>
        <w:t>Provides certainty to the ACT community that fuel prices reported are accurate and complete</w:t>
      </w:r>
      <w:r w:rsidR="00C56594">
        <w:rPr>
          <w:rStyle w:val="FootnoteReference"/>
        </w:rPr>
        <w:footnoteReference w:id="48"/>
      </w:r>
      <w:r>
        <w:t xml:space="preserve"> </w:t>
      </w:r>
    </w:p>
    <w:p w:rsidR="00CE7AC7" w:rsidRDefault="00CE7AC7" w:rsidP="00081700">
      <w:pPr>
        <w:pStyle w:val="ListBullet2"/>
      </w:pPr>
      <w:r>
        <w:t>Would assist with aiding transparency of fuel prices and be an ongoing education model</w:t>
      </w:r>
      <w:r w:rsidR="00C56594">
        <w:rPr>
          <w:rStyle w:val="FootnoteReference"/>
        </w:rPr>
        <w:footnoteReference w:id="49"/>
      </w:r>
    </w:p>
    <w:p w:rsidR="00CE7AC7" w:rsidRDefault="00CE7AC7" w:rsidP="00081700">
      <w:pPr>
        <w:pStyle w:val="ListBullet2"/>
      </w:pPr>
      <w:r>
        <w:t xml:space="preserve">The more informed consumers are, the more aware they are of competition, and the more they may feel they can or are empowered to shop around </w:t>
      </w:r>
    </w:p>
    <w:p w:rsidR="00CE7AC7" w:rsidRPr="00402433" w:rsidRDefault="00CE7AC7" w:rsidP="00081700">
      <w:pPr>
        <w:pStyle w:val="ListBullet2"/>
      </w:pPr>
      <w:r>
        <w:t>Provides short- and long-term reliable data to identify trends, including</w:t>
      </w:r>
      <w:r w:rsidR="00081700">
        <w:t xml:space="preserve"> potential</w:t>
      </w:r>
      <w:r>
        <w:t xml:space="preserve"> collusive behaviour</w:t>
      </w:r>
      <w:r w:rsidR="00081700">
        <w:t xml:space="preserve"> or retailers which are consistently providing higher or lower prices than the rest of the market </w:t>
      </w:r>
    </w:p>
    <w:p w:rsidR="00CE7AC7" w:rsidRDefault="00CE7AC7" w:rsidP="00820961">
      <w:pPr>
        <w:pStyle w:val="ListBullet"/>
      </w:pPr>
      <w:r>
        <w:t>Cons:</w:t>
      </w:r>
    </w:p>
    <w:p w:rsidR="00CE7AC7" w:rsidRDefault="00CE7AC7" w:rsidP="00081700">
      <w:pPr>
        <w:pStyle w:val="ListBullet2"/>
      </w:pPr>
      <w:r>
        <w:lastRenderedPageBreak/>
        <w:t>Potentially duplicating existing mechanisms at a significant cost to Government</w:t>
      </w:r>
      <w:r w:rsidR="009B6339">
        <w:t xml:space="preserve"> (although a model </w:t>
      </w:r>
      <w:proofErr w:type="gramStart"/>
      <w:r w:rsidR="009B6339">
        <w:t>similar to</w:t>
      </w:r>
      <w:proofErr w:type="gramEnd"/>
      <w:r w:rsidR="009B6339">
        <w:t xml:space="preserve"> the Queensland trial would require less resources as it leverages existing price monitoring apps and websites)</w:t>
      </w:r>
      <w:r w:rsidR="00884966">
        <w:rPr>
          <w:rStyle w:val="FootnoteReference"/>
        </w:rPr>
        <w:footnoteReference w:id="50"/>
      </w:r>
      <w:r>
        <w:t xml:space="preserve"> </w:t>
      </w:r>
    </w:p>
    <w:p w:rsidR="00CE7AC7" w:rsidRPr="008608AB" w:rsidRDefault="00CE7AC7" w:rsidP="00081700">
      <w:pPr>
        <w:pStyle w:val="ListBullet2"/>
      </w:pPr>
      <w:r w:rsidRPr="008608AB">
        <w:t>The cost to retailers of implementing this scheme may be passed on to consumers</w:t>
      </w:r>
      <w:r w:rsidR="004565DF" w:rsidRPr="00366CA6">
        <w:rPr>
          <w:rStyle w:val="FootnoteReference"/>
        </w:rPr>
        <w:footnoteReference w:id="51"/>
      </w:r>
      <w:r w:rsidRPr="008608AB">
        <w:t xml:space="preserve"> </w:t>
      </w:r>
    </w:p>
    <w:p w:rsidR="00CE7AC7" w:rsidRDefault="00CE7AC7" w:rsidP="00081700">
      <w:pPr>
        <w:pStyle w:val="ListBullet2"/>
      </w:pPr>
      <w:r>
        <w:t xml:space="preserve">Potentially no resulting lowering of fuel prices </w:t>
      </w:r>
    </w:p>
    <w:p w:rsidR="00CE7AC7" w:rsidRPr="00081700" w:rsidRDefault="00CE7AC7" w:rsidP="00081700">
      <w:pPr>
        <w:pStyle w:val="ListBullet2"/>
      </w:pPr>
      <w:r w:rsidRPr="00081700">
        <w:rPr>
          <w:rStyle w:val="Hyperlink"/>
          <w:color w:val="auto"/>
          <w:u w:val="none"/>
        </w:rPr>
        <w:t xml:space="preserve">Because prices can change in an instant, the price a consumer sees on an application </w:t>
      </w:r>
      <w:r w:rsidR="00081700">
        <w:rPr>
          <w:rStyle w:val="Hyperlink"/>
          <w:color w:val="auto"/>
          <w:u w:val="none"/>
        </w:rPr>
        <w:t xml:space="preserve">or website </w:t>
      </w:r>
      <w:r w:rsidRPr="00081700">
        <w:rPr>
          <w:rStyle w:val="Hyperlink"/>
          <w:color w:val="auto"/>
          <w:u w:val="none"/>
        </w:rPr>
        <w:t xml:space="preserve">may not be the price they </w:t>
      </w:r>
      <w:r w:rsidR="008B166A">
        <w:rPr>
          <w:rStyle w:val="Hyperlink"/>
          <w:color w:val="auto"/>
          <w:u w:val="none"/>
        </w:rPr>
        <w:t>encounter</w:t>
      </w:r>
      <w:r w:rsidRPr="00081700">
        <w:rPr>
          <w:rStyle w:val="Hyperlink"/>
          <w:color w:val="auto"/>
          <w:u w:val="none"/>
        </w:rPr>
        <w:t xml:space="preserve"> when they arrive at the pump</w:t>
      </w:r>
      <w:r w:rsidR="00081700" w:rsidRPr="00081700">
        <w:rPr>
          <w:rStyle w:val="FootnoteReference"/>
        </w:rPr>
        <w:footnoteReference w:id="52"/>
      </w:r>
    </w:p>
    <w:p w:rsidR="00CE7AC7" w:rsidRDefault="00CE7AC7" w:rsidP="00820961">
      <w:pPr>
        <w:pStyle w:val="ListBullet"/>
      </w:pPr>
      <w:r>
        <w:t>Considerations:</w:t>
      </w:r>
    </w:p>
    <w:p w:rsidR="00CE7AC7" w:rsidRDefault="00CE7AC7" w:rsidP="00081700">
      <w:pPr>
        <w:pStyle w:val="ListBullet2"/>
      </w:pPr>
      <w:r>
        <w:t>The ACT Government may be able to leverage off or partner with the NSW scheme to reduce costs</w:t>
      </w:r>
      <w:r w:rsidR="00081700">
        <w:t xml:space="preserve">. The committee has made inquiries to NSW about this. </w:t>
      </w:r>
    </w:p>
    <w:p w:rsidR="00CE7AC7" w:rsidRPr="006D1813" w:rsidRDefault="00CE7AC7" w:rsidP="00081700">
      <w:pPr>
        <w:pStyle w:val="ListBullet2"/>
      </w:pPr>
      <w:r w:rsidRPr="006D1813">
        <w:t xml:space="preserve">The committee is concerned that the requirement to report a price change may reduce the level of intra-day price changes, potentially resulting in companies choosing not to lower their prices as often as they may otherwise have done </w:t>
      </w:r>
    </w:p>
    <w:p w:rsidR="00CE7AC7" w:rsidRDefault="00CE7AC7" w:rsidP="00081700">
      <w:pPr>
        <w:pStyle w:val="ListBullet2"/>
      </w:pPr>
      <w:r>
        <w:t xml:space="preserve">Note: the committee </w:t>
      </w:r>
      <w:r w:rsidR="00081700">
        <w:t xml:space="preserve">has seen </w:t>
      </w:r>
      <w:r>
        <w:t xml:space="preserve">little evidence that supports that intra-day price changes occurs often in the ACT </w:t>
      </w:r>
      <w:proofErr w:type="gramStart"/>
      <w:r>
        <w:t>at the moment</w:t>
      </w:r>
      <w:proofErr w:type="gramEnd"/>
      <w:r>
        <w:t xml:space="preserve">. </w:t>
      </w:r>
    </w:p>
    <w:p w:rsidR="00CE7AC7" w:rsidRDefault="00CE7AC7" w:rsidP="00081700">
      <w:pPr>
        <w:pStyle w:val="ListBullet2"/>
      </w:pPr>
      <w:r>
        <w:t xml:space="preserve">The committee </w:t>
      </w:r>
      <w:r w:rsidR="008C2456">
        <w:t>was also advised in private meetings</w:t>
      </w:r>
      <w:r>
        <w:t xml:space="preserve"> that applications and websites are on the way out and that communicating via messaging is increasingly common.</w:t>
      </w:r>
    </w:p>
    <w:p w:rsidR="00CE7AC7" w:rsidRDefault="00CE7AC7" w:rsidP="0072481B">
      <w:pPr>
        <w:pStyle w:val="Heading3"/>
      </w:pPr>
      <w:bookmarkStart w:id="58" w:name="_Toc10119183"/>
      <w:r>
        <w:t>Possible recommendation 5: Petrol companies required to lock in fuel prices for 24 hours, with mandatory reporting</w:t>
      </w:r>
      <w:bookmarkEnd w:id="58"/>
      <w:r>
        <w:t xml:space="preserve"> </w:t>
      </w:r>
    </w:p>
    <w:p w:rsidR="001F4974" w:rsidRDefault="00CE7AC7" w:rsidP="001F4974">
      <w:pPr>
        <w:pStyle w:val="BodyText"/>
      </w:pPr>
      <w:r w:rsidRPr="001F4974">
        <w:t>Western Australia introduced this scheme in the early 2000s as a world-first. It has remained highly popular</w:t>
      </w:r>
      <w:r w:rsidR="00081700">
        <w:t xml:space="preserve"> within that state</w:t>
      </w:r>
      <w:r w:rsidRPr="001F4974">
        <w:t xml:space="preserve">. Fuel companies are required to submit their fuel prices to Government at </w:t>
      </w:r>
      <w:r w:rsidR="00081700">
        <w:t>2pm</w:t>
      </w:r>
      <w:r w:rsidRPr="001F4974">
        <w:t xml:space="preserve"> each day, and then employ this price from </w:t>
      </w:r>
      <w:r w:rsidR="00081700">
        <w:t xml:space="preserve">6am the following day </w:t>
      </w:r>
      <w:r w:rsidRPr="001F4974">
        <w:t xml:space="preserve">for 24 hours. It creates a mini reverse-auction each day. While over time it is apparent that fuel prices in WA have kept pace with other metropolitan jurisdictions, </w:t>
      </w:r>
      <w:r w:rsidR="00081700">
        <w:t>there is contention that this is due to factors influencing the entire market. The committee was advised there</w:t>
      </w:r>
      <w:r w:rsidRPr="001F4974">
        <w:t xml:space="preserve"> have been </w:t>
      </w:r>
      <w:proofErr w:type="gramStart"/>
      <w:r w:rsidRPr="001F4974">
        <w:t>a number of</w:t>
      </w:r>
      <w:proofErr w:type="gramEnd"/>
      <w:r w:rsidRPr="001F4974">
        <w:t xml:space="preserve"> benefits in introducing the scheme.</w:t>
      </w:r>
      <w:r w:rsidR="00A438C4">
        <w:rPr>
          <w:rStyle w:val="FootnoteReference"/>
        </w:rPr>
        <w:footnoteReference w:id="53"/>
      </w:r>
      <w:r w:rsidRPr="001F4974">
        <w:t xml:space="preserve"> </w:t>
      </w:r>
    </w:p>
    <w:p w:rsidR="00CE7AC7" w:rsidRPr="001F4974" w:rsidRDefault="00CE7AC7" w:rsidP="001F4974">
      <w:pPr>
        <w:pStyle w:val="BodyText"/>
      </w:pPr>
      <w:r w:rsidRPr="001F4974">
        <w:t xml:space="preserve">There is an artificial price cycle, where there is one day a week where all companies lower their prices. </w:t>
      </w:r>
      <w:r w:rsidR="00081700">
        <w:t xml:space="preserve">Consumers can receive daily reports of where the cheaper fuel is, through media, the </w:t>
      </w:r>
      <w:r w:rsidR="00081700">
        <w:lastRenderedPageBreak/>
        <w:t xml:space="preserve">app or website, or e-mail subscription. </w:t>
      </w:r>
      <w:r w:rsidRPr="001F4974">
        <w:t>It is apparent that the scheme has also resulted in the introduction of more independents into the market; they benefit from the ‘free advertising’ they get from the</w:t>
      </w:r>
      <w:r w:rsidR="00081700">
        <w:t>se</w:t>
      </w:r>
      <w:r w:rsidRPr="001F4974">
        <w:t xml:space="preserve"> daily reports. There is certainty provided to consumers which aids their planning.</w:t>
      </w:r>
      <w:r w:rsidR="006E61D3">
        <w:rPr>
          <w:rStyle w:val="FootnoteReference"/>
        </w:rPr>
        <w:footnoteReference w:id="54"/>
      </w:r>
      <w:r w:rsidRPr="001F4974">
        <w:t xml:space="preserve"> </w:t>
      </w:r>
    </w:p>
    <w:p w:rsidR="00CE7AC7" w:rsidRDefault="00CE7AC7" w:rsidP="001F4974">
      <w:pPr>
        <w:pStyle w:val="ListBullet"/>
      </w:pPr>
      <w:r>
        <w:t>Pros:</w:t>
      </w:r>
    </w:p>
    <w:p w:rsidR="00CE7AC7" w:rsidRDefault="00CE7AC7" w:rsidP="00081700">
      <w:pPr>
        <w:pStyle w:val="ListBullet2"/>
      </w:pPr>
      <w:r>
        <w:t xml:space="preserve">This model provides both transparency and certainty by reducing price volatility; having a price locked in for </w:t>
      </w:r>
      <w:proofErr w:type="gramStart"/>
      <w:r>
        <w:t>a period of time</w:t>
      </w:r>
      <w:proofErr w:type="gramEnd"/>
      <w:r>
        <w:t xml:space="preserve"> allows consumers to plan</w:t>
      </w:r>
      <w:r w:rsidR="00054074">
        <w:rPr>
          <w:rStyle w:val="FootnoteReference"/>
        </w:rPr>
        <w:footnoteReference w:id="55"/>
      </w:r>
    </w:p>
    <w:p w:rsidR="00CE7AC7" w:rsidRDefault="00CE7AC7" w:rsidP="00081700">
      <w:pPr>
        <w:pStyle w:val="ListBullet2"/>
      </w:pPr>
      <w:r>
        <w:t xml:space="preserve">Monitoring prices can assist smaller players who may not have the resources to monitor prices themselves </w:t>
      </w:r>
    </w:p>
    <w:p w:rsidR="00CE7AC7" w:rsidRDefault="00CE7AC7" w:rsidP="00081700">
      <w:pPr>
        <w:pStyle w:val="ListBullet2"/>
      </w:pPr>
      <w:r>
        <w:t xml:space="preserve">May encourage more independent retailers into the market who benefit from the free advertising and, at times, </w:t>
      </w:r>
      <w:r w:rsidR="00081700">
        <w:t>will have</w:t>
      </w:r>
      <w:r>
        <w:t xml:space="preserve"> a competitive advantage for a full 24 hours</w:t>
      </w:r>
    </w:p>
    <w:p w:rsidR="00081700" w:rsidRDefault="00CE7AC7" w:rsidP="00081700">
      <w:pPr>
        <w:pStyle w:val="ListBullet2"/>
      </w:pPr>
      <w:r>
        <w:t>Provides short- and long-term reliable data to identify trends, including collusive behaviour</w:t>
      </w:r>
      <w:r w:rsidR="00081700">
        <w:t xml:space="preserve"> or retailers which are consistently providing higher or lower prices than the rest of the market </w:t>
      </w:r>
    </w:p>
    <w:p w:rsidR="004B1864" w:rsidRDefault="004B1864" w:rsidP="00081700">
      <w:pPr>
        <w:pStyle w:val="ListBullet2"/>
      </w:pPr>
      <w:r>
        <w:t xml:space="preserve">This </w:t>
      </w:r>
      <w:r>
        <w:rPr>
          <w:b/>
        </w:rPr>
        <w:t>may</w:t>
      </w:r>
      <w:r>
        <w:t xml:space="preserve"> result in lowering of fuel prices by creating an artificial price cycle.</w:t>
      </w:r>
    </w:p>
    <w:p w:rsidR="00CE7AC7" w:rsidRDefault="00CE7AC7" w:rsidP="001F4974">
      <w:pPr>
        <w:pStyle w:val="ListBullet"/>
      </w:pPr>
      <w:r>
        <w:t>Cons:</w:t>
      </w:r>
    </w:p>
    <w:p w:rsidR="00CE7AC7" w:rsidRDefault="00CE7AC7" w:rsidP="00081700">
      <w:pPr>
        <w:pStyle w:val="ListBullet2"/>
      </w:pPr>
      <w:r>
        <w:t xml:space="preserve">Potentially no resulting lowering of fuel prices </w:t>
      </w:r>
    </w:p>
    <w:p w:rsidR="00CE7AC7" w:rsidRPr="00472A29" w:rsidRDefault="00CE7AC7" w:rsidP="00081700">
      <w:pPr>
        <w:pStyle w:val="ListBullet2"/>
      </w:pPr>
      <w:r w:rsidRPr="00472A29">
        <w:t>By requiring companies to set a price it is reasonable to assume that there is a likelihood that, depending on the business model, companies will seek to maximise profit</w:t>
      </w:r>
      <w:r w:rsidR="00081700">
        <w:t>s</w:t>
      </w:r>
      <w:r w:rsidRPr="00472A29">
        <w:t xml:space="preserve"> </w:t>
      </w:r>
    </w:p>
    <w:p w:rsidR="00CE7AC7" w:rsidRPr="00472A29" w:rsidRDefault="00CE7AC7" w:rsidP="00081700">
      <w:pPr>
        <w:pStyle w:val="ListBullet2"/>
      </w:pPr>
      <w:r w:rsidRPr="00472A29">
        <w:t>Restricts the ability for different retailers to respond to others’ pricing decisions, potentially harming a retailer</w:t>
      </w:r>
      <w:r w:rsidR="00E17DB4">
        <w:rPr>
          <w:rStyle w:val="FootnoteReference"/>
        </w:rPr>
        <w:footnoteReference w:id="56"/>
      </w:r>
    </w:p>
    <w:p w:rsidR="00CE7AC7" w:rsidRDefault="00CE7AC7" w:rsidP="00081700">
      <w:pPr>
        <w:pStyle w:val="ListBullet2"/>
      </w:pPr>
      <w:r>
        <w:t xml:space="preserve">This would only be for a short, set amount of time </w:t>
      </w:r>
    </w:p>
    <w:p w:rsidR="00CE7AC7" w:rsidRDefault="00CE7AC7" w:rsidP="00081700">
      <w:pPr>
        <w:pStyle w:val="ListBullet2"/>
      </w:pPr>
      <w:r>
        <w:t xml:space="preserve">Retailers with the lowest prices may be a considerable distance away for some Canberrans </w:t>
      </w:r>
    </w:p>
    <w:p w:rsidR="00CE7AC7" w:rsidRDefault="00CE7AC7" w:rsidP="001F4974">
      <w:pPr>
        <w:pStyle w:val="ListBullet"/>
      </w:pPr>
      <w:r>
        <w:t>Considerations:</w:t>
      </w:r>
    </w:p>
    <w:p w:rsidR="00CE7AC7" w:rsidRDefault="00CE7AC7" w:rsidP="00081700">
      <w:pPr>
        <w:pStyle w:val="ListBullet2"/>
      </w:pPr>
      <w:r>
        <w:t xml:space="preserve">Austria introduced a similar scheme where companies set a maximum price for the day and </w:t>
      </w:r>
      <w:r w:rsidR="00081700">
        <w:t xml:space="preserve">but </w:t>
      </w:r>
      <w:proofErr w:type="gramStart"/>
      <w:r w:rsidR="00081700">
        <w:t xml:space="preserve">are able </w:t>
      </w:r>
      <w:r>
        <w:t>to</w:t>
      </w:r>
      <w:proofErr w:type="gramEnd"/>
      <w:r>
        <w:t xml:space="preserve"> lower it throughout the day</w:t>
      </w:r>
    </w:p>
    <w:p w:rsidR="00CE7AC7" w:rsidRDefault="00CE7AC7" w:rsidP="00DA0694">
      <w:pPr>
        <w:pStyle w:val="ListBullet2"/>
        <w:numPr>
          <w:ilvl w:val="4"/>
          <w:numId w:val="7"/>
        </w:numPr>
      </w:pPr>
      <w:r>
        <w:t>The more price changes there are within a day, the less transparent the market may be</w:t>
      </w:r>
    </w:p>
    <w:p w:rsidR="00CE7AC7" w:rsidRDefault="00CE7AC7" w:rsidP="00DA0694">
      <w:pPr>
        <w:pStyle w:val="ListBullet2"/>
        <w:numPr>
          <w:ilvl w:val="4"/>
          <w:numId w:val="7"/>
        </w:numPr>
      </w:pPr>
      <w:r>
        <w:t>Th</w:t>
      </w:r>
      <w:r w:rsidR="004B1864">
        <w:t>e committee has identified studies which provide conflicting evidence about whether this model has resulted in lower fuel prices.</w:t>
      </w:r>
      <w:r w:rsidR="004B1864">
        <w:rPr>
          <w:rStyle w:val="FootnoteReference"/>
        </w:rPr>
        <w:footnoteReference w:id="57"/>
      </w:r>
      <w:r w:rsidR="004B1864">
        <w:t xml:space="preserve"> </w:t>
      </w:r>
      <w:r>
        <w:t xml:space="preserve"> </w:t>
      </w:r>
    </w:p>
    <w:p w:rsidR="00CE7AC7" w:rsidRDefault="00CE7AC7" w:rsidP="00081700">
      <w:pPr>
        <w:pStyle w:val="ListBullet2"/>
      </w:pPr>
      <w:r>
        <w:lastRenderedPageBreak/>
        <w:t xml:space="preserve">It has been suggested </w:t>
      </w:r>
      <w:r w:rsidR="00081700">
        <w:t xml:space="preserve">to the </w:t>
      </w:r>
      <w:r>
        <w:t xml:space="preserve">committee that the same brand of company should be required to set the same price of fuel at </w:t>
      </w:r>
      <w:proofErr w:type="gramStart"/>
      <w:r>
        <w:t>all of</w:t>
      </w:r>
      <w:proofErr w:type="gramEnd"/>
      <w:r>
        <w:t xml:space="preserve"> its service stations each day. </w:t>
      </w:r>
    </w:p>
    <w:p w:rsidR="00CE7AC7" w:rsidRDefault="00CE7AC7" w:rsidP="00DA0694">
      <w:pPr>
        <w:pStyle w:val="ListBullet2"/>
        <w:numPr>
          <w:ilvl w:val="4"/>
          <w:numId w:val="7"/>
        </w:numPr>
      </w:pPr>
      <w:r>
        <w:t xml:space="preserve">This would potentially reduce the distance that consumers had to travel and provide equity within regions </w:t>
      </w:r>
    </w:p>
    <w:p w:rsidR="00CE7AC7" w:rsidRDefault="00CE7AC7" w:rsidP="00DA0694">
      <w:pPr>
        <w:pStyle w:val="ListBullet2"/>
        <w:numPr>
          <w:ilvl w:val="4"/>
          <w:numId w:val="7"/>
        </w:numPr>
      </w:pPr>
      <w:r>
        <w:t xml:space="preserve">This would likely reduce congestion at some service stations </w:t>
      </w:r>
    </w:p>
    <w:p w:rsidR="00CE7AC7" w:rsidRDefault="00CE7AC7" w:rsidP="00DA0694">
      <w:pPr>
        <w:pStyle w:val="ListBullet2"/>
        <w:numPr>
          <w:ilvl w:val="4"/>
          <w:numId w:val="7"/>
        </w:numPr>
      </w:pPr>
      <w:r>
        <w:t xml:space="preserve">This would reduce the ability for a </w:t>
      </w:r>
      <w:proofErr w:type="gramStart"/>
      <w:r>
        <w:t>particular company</w:t>
      </w:r>
      <w:proofErr w:type="gramEnd"/>
      <w:r>
        <w:t xml:space="preserve"> to be a price leader in one region </w:t>
      </w:r>
      <w:r w:rsidR="00081700">
        <w:t>by</w:t>
      </w:r>
      <w:r>
        <w:t xml:space="preserve"> having significantly higher prices in others, which would be distorting their reputation as a ‘cheaper provider’</w:t>
      </w:r>
    </w:p>
    <w:p w:rsidR="004B1864" w:rsidRDefault="004B1864" w:rsidP="00DA0694">
      <w:pPr>
        <w:pStyle w:val="ListBullet2"/>
        <w:numPr>
          <w:ilvl w:val="4"/>
          <w:numId w:val="7"/>
        </w:numPr>
      </w:pPr>
      <w:r>
        <w:t>This would likely cause complications for individual retailers who operate within a brand but currently set the price themselves.</w:t>
      </w:r>
    </w:p>
    <w:p w:rsidR="00054074" w:rsidRPr="00A04A58" w:rsidRDefault="00054074" w:rsidP="00081700">
      <w:pPr>
        <w:pStyle w:val="ListBullet2"/>
      </w:pPr>
      <w:r>
        <w:t xml:space="preserve">Some witnesses </w:t>
      </w:r>
      <w:r w:rsidR="00DF1DFD">
        <w:t>advised</w:t>
      </w:r>
      <w:r>
        <w:t xml:space="preserve"> the committee that the introduction of this model would not affect future investment decisions in the ACT fuel market, regardless of their views of such a scheme.</w:t>
      </w:r>
      <w:r>
        <w:rPr>
          <w:rStyle w:val="FootnoteReference"/>
        </w:rPr>
        <w:footnoteReference w:id="58"/>
      </w:r>
    </w:p>
    <w:p w:rsidR="00CE7AC7" w:rsidRDefault="00CE7AC7" w:rsidP="0072481B">
      <w:pPr>
        <w:pStyle w:val="Heading3"/>
      </w:pPr>
      <w:bookmarkStart w:id="59" w:name="_Toc10119184"/>
      <w:r>
        <w:t>Possible recommendation 6: Set maximum retail margin for fuel companies</w:t>
      </w:r>
      <w:bookmarkEnd w:id="59"/>
    </w:p>
    <w:p w:rsidR="00CE7AC7" w:rsidRDefault="00CE7AC7" w:rsidP="001F4974">
      <w:pPr>
        <w:pStyle w:val="BodyText"/>
      </w:pPr>
      <w:r>
        <w:t xml:space="preserve">Countries such as Luxembourg and some Canadian provinces set a maximum price for oil products sold to the end-user. The committee has been urged to consider whether introducing a model where retailers are required to charge a price which </w:t>
      </w:r>
      <w:r w:rsidR="004B1864">
        <w:t xml:space="preserve">so no more than a certain </w:t>
      </w:r>
      <w:r>
        <w:t>level above which they paid for the fuel.</w:t>
      </w:r>
      <w:r w:rsidR="00DC2CD0">
        <w:rPr>
          <w:rStyle w:val="FootnoteReference"/>
        </w:rPr>
        <w:footnoteReference w:id="59"/>
      </w:r>
      <w:r>
        <w:t xml:space="preserve"> </w:t>
      </w:r>
    </w:p>
    <w:p w:rsidR="00CE7AC7" w:rsidRDefault="00CE7AC7" w:rsidP="001F4974">
      <w:pPr>
        <w:pStyle w:val="ListBullet"/>
      </w:pPr>
      <w:r>
        <w:t>Pros:</w:t>
      </w:r>
    </w:p>
    <w:p w:rsidR="00CE7AC7" w:rsidRDefault="00CE7AC7" w:rsidP="00081700">
      <w:pPr>
        <w:pStyle w:val="ListBullet2"/>
      </w:pPr>
      <w:r>
        <w:t>This could result in lower fuel prices</w:t>
      </w:r>
    </w:p>
    <w:p w:rsidR="00CE7AC7" w:rsidRDefault="00CE7AC7" w:rsidP="00081700">
      <w:pPr>
        <w:pStyle w:val="ListBullet2"/>
      </w:pPr>
      <w:r>
        <w:t>It would provide some degree of certainty and perception of fairness to the consumer</w:t>
      </w:r>
    </w:p>
    <w:p w:rsidR="00CE7AC7" w:rsidRDefault="00CE7AC7" w:rsidP="001F4974">
      <w:pPr>
        <w:pStyle w:val="ListBullet"/>
      </w:pPr>
      <w:r>
        <w:t>Cons:</w:t>
      </w:r>
    </w:p>
    <w:p w:rsidR="00CE7AC7" w:rsidRDefault="00CE7AC7" w:rsidP="00081700">
      <w:pPr>
        <w:pStyle w:val="ListBullet2"/>
      </w:pPr>
      <w:r>
        <w:t>Considerable inter</w:t>
      </w:r>
      <w:r w:rsidR="004B1864">
        <w:t xml:space="preserve">vention </w:t>
      </w:r>
      <w:r>
        <w:t>in the market may result in market distortion</w:t>
      </w:r>
    </w:p>
    <w:p w:rsidR="00CE7AC7" w:rsidRDefault="00CE7AC7" w:rsidP="00081700">
      <w:pPr>
        <w:pStyle w:val="ListBullet2"/>
      </w:pPr>
      <w:r>
        <w:t>The committee notes that some retailers, like Viva Energy, are also suppliers of fuel. This may encourage them to increase their supply costs, resulting in no net gain for the consumer.</w:t>
      </w:r>
    </w:p>
    <w:p w:rsidR="00CE7AC7" w:rsidRDefault="00CE7AC7" w:rsidP="00081700">
      <w:pPr>
        <w:pStyle w:val="ListBullet2"/>
      </w:pPr>
      <w:r>
        <w:t>Could discourage</w:t>
      </w:r>
      <w:r w:rsidR="008B166A">
        <w:t xml:space="preserve"> or prohibit</w:t>
      </w:r>
      <w:r>
        <w:t xml:space="preserve"> smaller or independent operators from entering the market</w:t>
      </w:r>
    </w:p>
    <w:p w:rsidR="00CE7AC7" w:rsidRDefault="00CE7AC7" w:rsidP="00081700">
      <w:pPr>
        <w:pStyle w:val="ListBullet2"/>
      </w:pPr>
      <w:r>
        <w:t>Could impact existing retailers</w:t>
      </w:r>
    </w:p>
    <w:p w:rsidR="00CE7AC7" w:rsidRDefault="00CE7AC7" w:rsidP="00081700">
      <w:pPr>
        <w:pStyle w:val="ListBullet2"/>
      </w:pPr>
      <w:r>
        <w:lastRenderedPageBreak/>
        <w:t xml:space="preserve">Could result in higher prices in the in-store offering, reducing overall gain for the consumer </w:t>
      </w:r>
    </w:p>
    <w:p w:rsidR="00CE7AC7" w:rsidRDefault="00CE7AC7" w:rsidP="001F4974">
      <w:pPr>
        <w:pStyle w:val="ListBullet"/>
      </w:pPr>
      <w:r>
        <w:t>Considerations:</w:t>
      </w:r>
    </w:p>
    <w:p w:rsidR="00CE7AC7" w:rsidRDefault="00CE7AC7" w:rsidP="00081700">
      <w:pPr>
        <w:pStyle w:val="ListBullet2"/>
      </w:pPr>
      <w:r>
        <w:t xml:space="preserve">It </w:t>
      </w:r>
      <w:r w:rsidR="004B1864">
        <w:t xml:space="preserve">could be difficult </w:t>
      </w:r>
      <w:r>
        <w:t xml:space="preserve">to determine what is a reasonable </w:t>
      </w:r>
      <w:r w:rsidR="004B1864">
        <w:t>maximum which would benefit consumers and not unfairly harm retailers</w:t>
      </w:r>
      <w:r>
        <w:t xml:space="preserve"> </w:t>
      </w:r>
    </w:p>
    <w:p w:rsidR="00CE7AC7" w:rsidRDefault="00CE7AC7" w:rsidP="00081700">
      <w:pPr>
        <w:pStyle w:val="ListBullet2"/>
      </w:pPr>
      <w:r>
        <w:t>It is likely that, due to the interdependent oligopolistic nature of the market, most retailers would seek to operate near or at that maximum margin</w:t>
      </w:r>
    </w:p>
    <w:p w:rsidR="004B1864" w:rsidRDefault="004B1864" w:rsidP="00081700">
      <w:pPr>
        <w:pStyle w:val="ListBullet2"/>
      </w:pPr>
      <w:r>
        <w:t>One study claims that the introduction of this has resulted in higher prices in Luxembourg</w:t>
      </w:r>
      <w:r>
        <w:rPr>
          <w:rStyle w:val="FootnoteReference"/>
        </w:rPr>
        <w:footnoteReference w:id="60"/>
      </w:r>
    </w:p>
    <w:p w:rsidR="00CE7AC7" w:rsidRPr="00074D2C" w:rsidRDefault="00CE7AC7" w:rsidP="0072481B">
      <w:pPr>
        <w:pStyle w:val="Heading3"/>
      </w:pPr>
      <w:bookmarkStart w:id="60" w:name="_Toc10119185"/>
      <w:r>
        <w:t>Possible recommendation 7: Set aside highly visible land in the ACT for numerous service stations</w:t>
      </w:r>
      <w:bookmarkEnd w:id="60"/>
    </w:p>
    <w:p w:rsidR="00CE7AC7" w:rsidRDefault="00CE7AC7" w:rsidP="00104875">
      <w:pPr>
        <w:pStyle w:val="BodyText"/>
      </w:pPr>
      <w:r>
        <w:t>The committee has consistently heard evidence that the historical planning rules in the ACT has lowered the degree of visibility and, thus, transparency in the market. Due to service stations being somewhat out of the way for most consumers, there is no ‘eyeballing’ numerous prices in quick succession for consumers to make their own assessment of where cheaper prices are. The ACT Government may wish to set aside highly visible land in the ACT where numerous service stations can be established to address this issue, or to ensure any new service stations are only on highly visible land.</w:t>
      </w:r>
      <w:r w:rsidR="00596B8F">
        <w:rPr>
          <w:rStyle w:val="FootnoteReference"/>
        </w:rPr>
        <w:footnoteReference w:id="61"/>
      </w:r>
    </w:p>
    <w:p w:rsidR="00CE7AC7" w:rsidRDefault="00CE7AC7" w:rsidP="00CE7AC7">
      <w:pPr>
        <w:pStyle w:val="NoSpacing"/>
      </w:pPr>
    </w:p>
    <w:p w:rsidR="00CE7AC7" w:rsidRDefault="00CE7AC7" w:rsidP="001F4974">
      <w:pPr>
        <w:pStyle w:val="ListBullet"/>
      </w:pPr>
      <w:r>
        <w:t>Pros:</w:t>
      </w:r>
    </w:p>
    <w:p w:rsidR="00CE7AC7" w:rsidRDefault="00CE7AC7" w:rsidP="00081700">
      <w:pPr>
        <w:pStyle w:val="ListBullet2"/>
      </w:pPr>
      <w:r>
        <w:t xml:space="preserve">Provides greater visibility and transparency </w:t>
      </w:r>
    </w:p>
    <w:p w:rsidR="00CE7AC7" w:rsidRDefault="00CE7AC7" w:rsidP="001F4974">
      <w:pPr>
        <w:pStyle w:val="ListBullet"/>
      </w:pPr>
      <w:r>
        <w:t>Cons:</w:t>
      </w:r>
    </w:p>
    <w:p w:rsidR="00CE7AC7" w:rsidRDefault="00CE7AC7" w:rsidP="00081700">
      <w:pPr>
        <w:pStyle w:val="ListBullet2"/>
      </w:pPr>
      <w:r>
        <w:t xml:space="preserve">It is not guaranteed that this would result in lower fuel prices </w:t>
      </w:r>
    </w:p>
    <w:p w:rsidR="00CE7AC7" w:rsidRDefault="001A72A8" w:rsidP="00081700">
      <w:pPr>
        <w:pStyle w:val="ListBullet2"/>
      </w:pPr>
      <w:r>
        <w:t>Much of the</w:t>
      </w:r>
      <w:r w:rsidR="00CE7AC7">
        <w:t xml:space="preserve"> highly visible land in the ACT is </w:t>
      </w:r>
      <w:r w:rsidR="00CA3E62">
        <w:t xml:space="preserve">typically </w:t>
      </w:r>
      <w:r w:rsidR="00CE7AC7">
        <w:t>on or near nature reserves</w:t>
      </w:r>
    </w:p>
    <w:p w:rsidR="008B166A" w:rsidRDefault="008B166A" w:rsidP="00081700">
      <w:pPr>
        <w:pStyle w:val="ListBullet2"/>
      </w:pPr>
      <w:r>
        <w:t>Additional sites may cause reduced volume</w:t>
      </w:r>
      <w:r w:rsidR="001A72A8">
        <w:t xml:space="preserve"> of sales</w:t>
      </w:r>
      <w:r>
        <w:t xml:space="preserve"> for surrounding service stations, resulting in higher prices being charged for them to remain viable </w:t>
      </w:r>
    </w:p>
    <w:p w:rsidR="00CE7AC7" w:rsidRDefault="00CE7AC7" w:rsidP="001F4974">
      <w:pPr>
        <w:pStyle w:val="ListBullet"/>
      </w:pPr>
      <w:r>
        <w:t>Considerations:</w:t>
      </w:r>
    </w:p>
    <w:p w:rsidR="00CE7AC7" w:rsidRDefault="004B1864" w:rsidP="00081700">
      <w:pPr>
        <w:pStyle w:val="ListBullet2"/>
      </w:pPr>
      <w:r>
        <w:t>There remains a question of how to effectively attract service stations to the market</w:t>
      </w:r>
    </w:p>
    <w:p w:rsidR="00CE7AC7" w:rsidRDefault="00CE7AC7" w:rsidP="00081700">
      <w:pPr>
        <w:pStyle w:val="ListBullet2"/>
      </w:pPr>
      <w:r>
        <w:lastRenderedPageBreak/>
        <w:t>The committee is not convinced that Canberrans want service stations</w:t>
      </w:r>
      <w:r w:rsidR="008B166A">
        <w:t xml:space="preserve"> and their prices advertised</w:t>
      </w:r>
      <w:r>
        <w:t xml:space="preserve"> in highly visible locations</w:t>
      </w:r>
      <w:r w:rsidR="004B1864">
        <w:t>, particularly noting evidence heard in the inquiry related to billboards in the ACT</w:t>
      </w:r>
      <w:r w:rsidR="004B1864">
        <w:rPr>
          <w:rStyle w:val="FootnoteReference"/>
        </w:rPr>
        <w:footnoteReference w:id="62"/>
      </w:r>
    </w:p>
    <w:p w:rsidR="006B61F0" w:rsidRDefault="006B61F0" w:rsidP="00081700">
      <w:pPr>
        <w:pStyle w:val="ListBullet2"/>
      </w:pPr>
      <w:r>
        <w:t>Many arterial roads are within the National Capital Authority’s jurisdiction</w:t>
      </w:r>
      <w:r w:rsidR="00210594">
        <w:t xml:space="preserve"> and</w:t>
      </w:r>
      <w:r>
        <w:t xml:space="preserve"> any changes </w:t>
      </w:r>
      <w:r w:rsidR="00210594">
        <w:t xml:space="preserve">to these thoroughfares would </w:t>
      </w:r>
      <w:r>
        <w:t>requir</w:t>
      </w:r>
      <w:r w:rsidR="00210594">
        <w:t>e</w:t>
      </w:r>
      <w:r>
        <w:t xml:space="preserve"> the authority’s approval</w:t>
      </w:r>
    </w:p>
    <w:p w:rsidR="00CE7AC7" w:rsidRDefault="00CE7AC7" w:rsidP="0072481B">
      <w:pPr>
        <w:pStyle w:val="Heading3"/>
      </w:pPr>
      <w:bookmarkStart w:id="61" w:name="_Toc10119186"/>
      <w:r>
        <w:t>Possible recommendation 8: Review the Government rates and taxes charges to service station operators</w:t>
      </w:r>
      <w:bookmarkEnd w:id="61"/>
      <w:r>
        <w:t xml:space="preserve"> </w:t>
      </w:r>
    </w:p>
    <w:p w:rsidR="00CE7AC7" w:rsidRPr="00661D4A" w:rsidRDefault="00CE7AC7" w:rsidP="001F4974">
      <w:pPr>
        <w:pStyle w:val="BodyText"/>
      </w:pPr>
      <w:r>
        <w:t xml:space="preserve">The committee has heard evidence that it can be more expensive to ‘do business in the ACT’. It may be timely to review these costs within the ACT and as compared to similar jurisdictions to determine if there is a fairness issue </w:t>
      </w:r>
      <w:r w:rsidR="004B1864">
        <w:t>influencing retail</w:t>
      </w:r>
      <w:r>
        <w:t xml:space="preserve"> prices.</w:t>
      </w:r>
      <w:r w:rsidR="000F5503">
        <w:rPr>
          <w:rStyle w:val="FootnoteReference"/>
        </w:rPr>
        <w:footnoteReference w:id="63"/>
      </w:r>
      <w:r>
        <w:t xml:space="preserve"> </w:t>
      </w:r>
    </w:p>
    <w:p w:rsidR="00CE7AC7" w:rsidRDefault="00CE7AC7" w:rsidP="001F4974">
      <w:pPr>
        <w:pStyle w:val="ListBullet"/>
      </w:pPr>
      <w:r>
        <w:t>Pros:</w:t>
      </w:r>
    </w:p>
    <w:p w:rsidR="00CE7AC7" w:rsidRDefault="00CE7AC7" w:rsidP="00081700">
      <w:pPr>
        <w:pStyle w:val="ListBullet2"/>
      </w:pPr>
      <w:r>
        <w:t>Low cost to Government</w:t>
      </w:r>
    </w:p>
    <w:p w:rsidR="00CE7AC7" w:rsidRDefault="00CE7AC7" w:rsidP="00081700">
      <w:pPr>
        <w:pStyle w:val="ListBullet2"/>
      </w:pPr>
      <w:r>
        <w:t>Would help reveal whether these claims are correct</w:t>
      </w:r>
    </w:p>
    <w:p w:rsidR="00CE7AC7" w:rsidRDefault="00CE7AC7" w:rsidP="001F4974">
      <w:pPr>
        <w:pStyle w:val="ListBullet"/>
      </w:pPr>
      <w:r>
        <w:t>Cons:</w:t>
      </w:r>
    </w:p>
    <w:p w:rsidR="00CE7AC7" w:rsidRDefault="00CE7AC7" w:rsidP="00081700">
      <w:pPr>
        <w:pStyle w:val="ListBullet2"/>
      </w:pPr>
      <w:r>
        <w:t xml:space="preserve">No guarantee any </w:t>
      </w:r>
      <w:r w:rsidR="00DA0694">
        <w:t xml:space="preserve">potential </w:t>
      </w:r>
      <w:r>
        <w:t>change</w:t>
      </w:r>
      <w:r w:rsidR="00DA0694">
        <w:t xml:space="preserve"> in costs of doing business in the ACT</w:t>
      </w:r>
      <w:r>
        <w:t xml:space="preserve"> would result in lower fuel prices </w:t>
      </w:r>
    </w:p>
    <w:p w:rsidR="00CE7AC7" w:rsidRPr="00900E2F" w:rsidRDefault="00CE7AC7" w:rsidP="0072481B">
      <w:pPr>
        <w:pStyle w:val="Heading3"/>
      </w:pPr>
      <w:bookmarkStart w:id="62" w:name="_Toc10119187"/>
      <w:r>
        <w:t>Possible recommendation 9: Subsidies for low-income families</w:t>
      </w:r>
      <w:bookmarkEnd w:id="62"/>
    </w:p>
    <w:p w:rsidR="000F5503" w:rsidRDefault="00CE7AC7" w:rsidP="00843416">
      <w:pPr>
        <w:pStyle w:val="BodyText"/>
      </w:pPr>
      <w:r>
        <w:t>The committee has heard that the impact of fuel prices is greatest for individuals and families with low</w:t>
      </w:r>
      <w:r w:rsidR="000F5503">
        <w:t xml:space="preserve"> </w:t>
      </w:r>
      <w:r w:rsidRPr="00104875">
        <w:t>income</w:t>
      </w:r>
      <w:r w:rsidR="000F5503" w:rsidRPr="00104875">
        <w:t>s</w:t>
      </w:r>
      <w:r w:rsidRPr="00104875">
        <w:t xml:space="preserve">, where what is spent on fuel is a significant proportion of the overall income. The committee has been encouraged to consider whether the ACT Government providing fuel subsidies to low-income </w:t>
      </w:r>
      <w:r w:rsidR="00EA0258" w:rsidRPr="00104875">
        <w:t>motorists would help ease this cost burden</w:t>
      </w:r>
      <w:r w:rsidR="000C6B28" w:rsidRPr="00104875">
        <w:t>. The committee heard evidence that petrol is the third-biggest expense for low-income households in Canberra after housing and food.</w:t>
      </w:r>
      <w:r w:rsidR="000F5503" w:rsidRPr="00104875">
        <w:rPr>
          <w:rStyle w:val="FootnoteReference"/>
        </w:rPr>
        <w:footnoteReference w:id="64"/>
      </w:r>
      <w:r w:rsidR="000F5503" w:rsidRPr="00104875">
        <w:t xml:space="preserve"> </w:t>
      </w:r>
    </w:p>
    <w:p w:rsidR="00CE7AC7" w:rsidRDefault="00CE7AC7" w:rsidP="001F4974">
      <w:pPr>
        <w:pStyle w:val="ListBullet"/>
      </w:pPr>
      <w:r>
        <w:t>Pros:</w:t>
      </w:r>
    </w:p>
    <w:p w:rsidR="00DA0694" w:rsidRDefault="00DA0694" w:rsidP="00DA0694">
      <w:pPr>
        <w:pStyle w:val="ListBullet2"/>
      </w:pPr>
      <w:r>
        <w:t>Reduces the cost of fuel for some families, easing their burden</w:t>
      </w:r>
    </w:p>
    <w:p w:rsidR="00CE7AC7" w:rsidRDefault="00CE7AC7" w:rsidP="001F4974">
      <w:pPr>
        <w:pStyle w:val="ListBullet"/>
      </w:pPr>
      <w:r>
        <w:lastRenderedPageBreak/>
        <w:t>Cons:</w:t>
      </w:r>
    </w:p>
    <w:p w:rsidR="00DA0694" w:rsidRDefault="00DA0694" w:rsidP="00DA0694">
      <w:pPr>
        <w:pStyle w:val="ListBullet2"/>
      </w:pPr>
      <w:r>
        <w:t xml:space="preserve">Cost to the ACT Government </w:t>
      </w:r>
    </w:p>
    <w:p w:rsidR="00DA0694" w:rsidRDefault="00DA0694" w:rsidP="00DA0694">
      <w:pPr>
        <w:pStyle w:val="ListBullet2"/>
      </w:pPr>
      <w:r>
        <w:t>No change in fuel prices for the whole market; provides no incentive for companies to lower their fuel prices</w:t>
      </w:r>
    </w:p>
    <w:p w:rsidR="00CE7AC7" w:rsidRDefault="00CE7AC7" w:rsidP="00DA0694">
      <w:pPr>
        <w:pStyle w:val="ListBullet2"/>
        <w:numPr>
          <w:ilvl w:val="4"/>
          <w:numId w:val="7"/>
        </w:numPr>
      </w:pPr>
      <w:r>
        <w:t xml:space="preserve">May distort the market further </w:t>
      </w:r>
    </w:p>
    <w:p w:rsidR="00CE7AC7" w:rsidRDefault="00CE7AC7" w:rsidP="00081700">
      <w:pPr>
        <w:pStyle w:val="ListBullet2"/>
      </w:pPr>
      <w:r>
        <w:t>Difficult to administer</w:t>
      </w:r>
    </w:p>
    <w:p w:rsidR="001A7C16" w:rsidRDefault="001F4974" w:rsidP="001F4974">
      <w:pPr>
        <w:pStyle w:val="Heading2"/>
      </w:pPr>
      <w:bookmarkStart w:id="63" w:name="_Toc10119188"/>
      <w:r>
        <w:lastRenderedPageBreak/>
        <w:t xml:space="preserve">Committee invitation for </w:t>
      </w:r>
      <w:r w:rsidR="00DD5B7A">
        <w:t>f</w:t>
      </w:r>
      <w:r w:rsidR="005C60CD">
        <w:t xml:space="preserve">urther </w:t>
      </w:r>
      <w:r>
        <w:t>comment</w:t>
      </w:r>
      <w:bookmarkEnd w:id="63"/>
    </w:p>
    <w:p w:rsidR="001F4974" w:rsidRDefault="001F4974" w:rsidP="001F4974">
      <w:pPr>
        <w:pStyle w:val="BodyText"/>
      </w:pPr>
      <w:r>
        <w:t xml:space="preserve">The committee is seeking </w:t>
      </w:r>
      <w:r w:rsidR="00DD5B7A">
        <w:t>the views of community, industry and government</w:t>
      </w:r>
      <w:r>
        <w:t xml:space="preserve"> on the approaches it is considering. It</w:t>
      </w:r>
      <w:r w:rsidR="00DD5B7A">
        <w:t xml:space="preserve"> also</w:t>
      </w:r>
      <w:r>
        <w:t xml:space="preserve"> invites any views or approaches </w:t>
      </w:r>
      <w:r w:rsidR="00DD5B7A">
        <w:t xml:space="preserve">to which </w:t>
      </w:r>
      <w:r>
        <w:t xml:space="preserve">it may not yet have turned its mind. </w:t>
      </w:r>
    </w:p>
    <w:p w:rsidR="00104875" w:rsidRDefault="001F4974" w:rsidP="00BE4FEF">
      <w:pPr>
        <w:pStyle w:val="BodyText"/>
        <w:spacing w:before="0" w:after="0" w:line="240" w:lineRule="auto"/>
      </w:pPr>
      <w:r>
        <w:t>Please provide comment via e-mail to</w:t>
      </w:r>
      <w:r w:rsidR="00DD5B7A">
        <w:t xml:space="preserve">: </w:t>
      </w:r>
      <w:bookmarkStart w:id="64" w:name="_Hlk10105261"/>
      <w:r w:rsidR="00DD5B7A" w:rsidRPr="00DF1DFD">
        <w:rPr>
          <w:b/>
        </w:rPr>
        <w:fldChar w:fldCharType="begin"/>
      </w:r>
      <w:r w:rsidR="00DD5B7A" w:rsidRPr="00DF1DFD">
        <w:rPr>
          <w:b/>
        </w:rPr>
        <w:instrText xml:space="preserve"> HYPERLINK "mailto:LACommitteeFP@parliament.act.gov.au" </w:instrText>
      </w:r>
      <w:r w:rsidR="00DD5B7A" w:rsidRPr="00DF1DFD">
        <w:rPr>
          <w:b/>
        </w:rPr>
        <w:fldChar w:fldCharType="separate"/>
      </w:r>
      <w:r w:rsidRPr="00DF1DFD">
        <w:rPr>
          <w:b/>
        </w:rPr>
        <w:t>LACommitteeFP@parliament.act.gov.au</w:t>
      </w:r>
      <w:r w:rsidR="00DD5B7A" w:rsidRPr="00DF1DFD">
        <w:rPr>
          <w:b/>
        </w:rPr>
        <w:fldChar w:fldCharType="end"/>
      </w:r>
      <w:bookmarkEnd w:id="64"/>
      <w:r w:rsidR="00DD5B7A">
        <w:t xml:space="preserve"> by 30 July 2019.</w:t>
      </w:r>
    </w:p>
    <w:p w:rsidR="00323BBA" w:rsidRDefault="00323BBA" w:rsidP="00323BBA">
      <w:pPr>
        <w:pStyle w:val="BodyText"/>
        <w:numPr>
          <w:ilvl w:val="0"/>
          <w:numId w:val="0"/>
        </w:numPr>
        <w:spacing w:before="0" w:after="0" w:line="240" w:lineRule="auto"/>
      </w:pPr>
    </w:p>
    <w:p w:rsidR="006D5D66" w:rsidRDefault="006D5D66">
      <w:pPr>
        <w:spacing w:before="0" w:after="0" w:line="240" w:lineRule="auto"/>
      </w:pPr>
    </w:p>
    <w:p w:rsidR="006D5D66" w:rsidRDefault="006D5D66">
      <w:pPr>
        <w:spacing w:before="0" w:after="0" w:line="240" w:lineRule="auto"/>
      </w:pPr>
    </w:p>
    <w:p w:rsidR="006D5D66" w:rsidRDefault="006D5D66">
      <w:pPr>
        <w:spacing w:before="0" w:after="0" w:line="240" w:lineRule="auto"/>
      </w:pPr>
      <w:bookmarkStart w:id="65" w:name="_GoBack"/>
      <w:bookmarkEnd w:id="65"/>
    </w:p>
    <w:p w:rsidR="006D5D66" w:rsidRDefault="006D5D66">
      <w:pPr>
        <w:spacing w:before="0" w:after="0" w:line="240" w:lineRule="auto"/>
      </w:pPr>
    </w:p>
    <w:p w:rsidR="006D5D66" w:rsidRDefault="006D5D66">
      <w:pPr>
        <w:spacing w:before="0" w:after="0" w:line="240" w:lineRule="auto"/>
      </w:pPr>
    </w:p>
    <w:p w:rsidR="006D5D66" w:rsidRDefault="006D5D66">
      <w:pPr>
        <w:spacing w:before="0" w:after="0" w:line="240" w:lineRule="auto"/>
      </w:pPr>
      <w:r>
        <w:t>Tara Cheyne MLA</w:t>
      </w:r>
    </w:p>
    <w:p w:rsidR="006D5D66" w:rsidRDefault="006D5D66">
      <w:pPr>
        <w:spacing w:before="0" w:after="0" w:line="240" w:lineRule="auto"/>
      </w:pPr>
      <w:r>
        <w:t>Chair</w:t>
      </w:r>
    </w:p>
    <w:p w:rsidR="006D5D66" w:rsidRDefault="006D5D66">
      <w:pPr>
        <w:spacing w:before="0" w:after="0" w:line="240" w:lineRule="auto"/>
      </w:pPr>
      <w:r>
        <w:t>30 May 2019</w:t>
      </w:r>
    </w:p>
    <w:p w:rsidR="00323BBA" w:rsidRDefault="00323BBA">
      <w:pPr>
        <w:spacing w:before="0" w:after="0" w:line="240" w:lineRule="auto"/>
      </w:pPr>
      <w:r>
        <w:br w:type="page"/>
      </w:r>
    </w:p>
    <w:p w:rsidR="00323BBA" w:rsidRDefault="00323BBA" w:rsidP="00323BBA">
      <w:pPr>
        <w:pStyle w:val="Heading2"/>
        <w:numPr>
          <w:ilvl w:val="0"/>
          <w:numId w:val="0"/>
        </w:numPr>
        <w:ind w:left="567" w:hanging="567"/>
      </w:pPr>
      <w:bookmarkStart w:id="66" w:name="_Toc514768057"/>
      <w:bookmarkStart w:id="67" w:name="_Toc10119189"/>
      <w:r>
        <w:lastRenderedPageBreak/>
        <w:t>Appendix A – Submissions</w:t>
      </w:r>
      <w:bookmarkEnd w:id="66"/>
      <w:bookmarkEnd w:id="67"/>
    </w:p>
    <w:p w:rsidR="00706127" w:rsidRPr="00706127" w:rsidRDefault="00706127" w:rsidP="00706127">
      <w:pPr>
        <w:pStyle w:val="BodyText"/>
        <w:numPr>
          <w:ilvl w:val="0"/>
          <w:numId w:val="0"/>
        </w:numPr>
        <w:ind w:left="567" w:hanging="567"/>
      </w:pPr>
    </w:p>
    <w:tbl>
      <w:tblPr>
        <w:tblStyle w:val="CommitteeTable"/>
        <w:tblW w:w="9072" w:type="dxa"/>
        <w:tblInd w:w="-5" w:type="dxa"/>
        <w:tblLook w:val="04A0" w:firstRow="1" w:lastRow="0" w:firstColumn="1" w:lastColumn="0" w:noHBand="0" w:noVBand="1"/>
      </w:tblPr>
      <w:tblGrid>
        <w:gridCol w:w="1701"/>
        <w:gridCol w:w="7371"/>
      </w:tblGrid>
      <w:tr w:rsidR="00323BBA" w:rsidRPr="00B92315" w:rsidTr="00BE4FEF">
        <w:trPr>
          <w:cnfStyle w:val="100000000000" w:firstRow="1" w:lastRow="0" w:firstColumn="0" w:lastColumn="0" w:oddVBand="0" w:evenVBand="0" w:oddHBand="0" w:evenHBand="0" w:firstRowFirstColumn="0" w:firstRowLastColumn="0" w:lastRowFirstColumn="0" w:lastRowLastColumn="0"/>
        </w:trPr>
        <w:tc>
          <w:tcPr>
            <w:tcW w:w="1701" w:type="dxa"/>
          </w:tcPr>
          <w:p w:rsidR="00323BBA" w:rsidRPr="00B92315" w:rsidRDefault="00323BBA" w:rsidP="00BE4FEF">
            <w:pPr>
              <w:pStyle w:val="TableHeading"/>
              <w:jc w:val="center"/>
              <w:rPr>
                <w:b/>
                <w:szCs w:val="22"/>
              </w:rPr>
            </w:pPr>
            <w:r w:rsidRPr="00B92315">
              <w:rPr>
                <w:b/>
              </w:rPr>
              <w:t>Submission Number</w:t>
            </w:r>
          </w:p>
        </w:tc>
        <w:tc>
          <w:tcPr>
            <w:tcW w:w="7371" w:type="dxa"/>
          </w:tcPr>
          <w:p w:rsidR="00323BBA" w:rsidRPr="00B92315" w:rsidRDefault="00323BBA" w:rsidP="00BE4FEF">
            <w:pPr>
              <w:pStyle w:val="TableHeading"/>
              <w:jc w:val="center"/>
              <w:rPr>
                <w:b/>
              </w:rPr>
            </w:pPr>
            <w:r w:rsidRPr="00B92315">
              <w:rPr>
                <w:b/>
              </w:rPr>
              <w:t>Submitter</w:t>
            </w:r>
            <w:bookmarkStart w:id="68" w:name="ColumnTitle_Submissions"/>
            <w:bookmarkEnd w:id="68"/>
          </w:p>
        </w:tc>
      </w:tr>
      <w:tr w:rsidR="00323BBA" w:rsidTr="00BE4FEF">
        <w:trPr>
          <w:cnfStyle w:val="000000100000" w:firstRow="0" w:lastRow="0" w:firstColumn="0" w:lastColumn="0" w:oddVBand="0" w:evenVBand="0" w:oddHBand="1" w:evenHBand="0" w:firstRowFirstColumn="0" w:firstRowLastColumn="0" w:lastRowFirstColumn="0" w:lastRowLastColumn="0"/>
        </w:trPr>
        <w:tc>
          <w:tcPr>
            <w:tcW w:w="1701" w:type="dxa"/>
          </w:tcPr>
          <w:p w:rsidR="00323BBA" w:rsidRPr="0061344F" w:rsidRDefault="00323BBA" w:rsidP="00BE4FEF">
            <w:pPr>
              <w:pStyle w:val="TableText"/>
              <w:jc w:val="center"/>
            </w:pPr>
            <w:r>
              <w:t>1</w:t>
            </w:r>
          </w:p>
        </w:tc>
        <w:tc>
          <w:tcPr>
            <w:tcW w:w="7371" w:type="dxa"/>
            <w:vAlign w:val="top"/>
          </w:tcPr>
          <w:p w:rsidR="00323BBA" w:rsidRPr="00546534" w:rsidRDefault="00323BBA" w:rsidP="00BE4FEF">
            <w:r w:rsidRPr="00546534">
              <w:t>J Tankard</w:t>
            </w:r>
          </w:p>
        </w:tc>
      </w:tr>
      <w:tr w:rsidR="00323BBA" w:rsidTr="00BE4FEF">
        <w:tc>
          <w:tcPr>
            <w:tcW w:w="1701" w:type="dxa"/>
          </w:tcPr>
          <w:p w:rsidR="00323BBA" w:rsidRPr="0061344F" w:rsidRDefault="00323BBA" w:rsidP="00BE4FEF">
            <w:pPr>
              <w:pStyle w:val="TableText"/>
              <w:jc w:val="center"/>
            </w:pPr>
            <w:r>
              <w:t>2</w:t>
            </w:r>
          </w:p>
        </w:tc>
        <w:tc>
          <w:tcPr>
            <w:tcW w:w="7371" w:type="dxa"/>
            <w:vAlign w:val="top"/>
          </w:tcPr>
          <w:p w:rsidR="00323BBA" w:rsidRPr="00546534" w:rsidRDefault="00323BBA" w:rsidP="00BE4FEF">
            <w:r w:rsidRPr="00546534">
              <w:t xml:space="preserve">P </w:t>
            </w:r>
            <w:proofErr w:type="spellStart"/>
            <w:r w:rsidRPr="00546534">
              <w:t>Neilsen</w:t>
            </w:r>
            <w:proofErr w:type="spellEnd"/>
          </w:p>
        </w:tc>
      </w:tr>
      <w:tr w:rsidR="00323BBA" w:rsidTr="00BE4FEF">
        <w:trPr>
          <w:cnfStyle w:val="000000100000" w:firstRow="0" w:lastRow="0" w:firstColumn="0" w:lastColumn="0" w:oddVBand="0" w:evenVBand="0" w:oddHBand="1" w:evenHBand="0" w:firstRowFirstColumn="0" w:firstRowLastColumn="0" w:lastRowFirstColumn="0" w:lastRowLastColumn="0"/>
        </w:trPr>
        <w:tc>
          <w:tcPr>
            <w:tcW w:w="1701" w:type="dxa"/>
          </w:tcPr>
          <w:p w:rsidR="00323BBA" w:rsidRPr="0061344F" w:rsidRDefault="00323BBA" w:rsidP="00BE4FEF">
            <w:pPr>
              <w:pStyle w:val="TableText"/>
              <w:jc w:val="center"/>
            </w:pPr>
            <w:r>
              <w:t>3</w:t>
            </w:r>
          </w:p>
        </w:tc>
        <w:tc>
          <w:tcPr>
            <w:tcW w:w="7371" w:type="dxa"/>
            <w:vAlign w:val="top"/>
          </w:tcPr>
          <w:p w:rsidR="00323BBA" w:rsidRPr="00546534" w:rsidRDefault="00323BBA" w:rsidP="00BE4FEF">
            <w:r w:rsidRPr="00546534">
              <w:t>G Ross</w:t>
            </w:r>
          </w:p>
        </w:tc>
      </w:tr>
      <w:tr w:rsidR="00323BBA" w:rsidTr="00BE4FEF">
        <w:tc>
          <w:tcPr>
            <w:tcW w:w="1701" w:type="dxa"/>
          </w:tcPr>
          <w:p w:rsidR="00323BBA" w:rsidRPr="0061344F" w:rsidRDefault="00323BBA" w:rsidP="00BE4FEF">
            <w:pPr>
              <w:pStyle w:val="TableText"/>
              <w:jc w:val="center"/>
            </w:pPr>
            <w:r>
              <w:t>4</w:t>
            </w:r>
          </w:p>
        </w:tc>
        <w:tc>
          <w:tcPr>
            <w:tcW w:w="7371" w:type="dxa"/>
            <w:vAlign w:val="top"/>
          </w:tcPr>
          <w:p w:rsidR="00323BBA" w:rsidRPr="00546534" w:rsidRDefault="00323BBA" w:rsidP="00BE4FEF">
            <w:r>
              <w:t>L</w:t>
            </w:r>
            <w:r w:rsidRPr="00546534">
              <w:t xml:space="preserve"> Brown</w:t>
            </w:r>
          </w:p>
        </w:tc>
      </w:tr>
      <w:tr w:rsidR="00323BBA" w:rsidTr="00BE4FEF">
        <w:trPr>
          <w:cnfStyle w:val="000000100000" w:firstRow="0" w:lastRow="0" w:firstColumn="0" w:lastColumn="0" w:oddVBand="0" w:evenVBand="0" w:oddHBand="1" w:evenHBand="0" w:firstRowFirstColumn="0" w:firstRowLastColumn="0" w:lastRowFirstColumn="0" w:lastRowLastColumn="0"/>
        </w:trPr>
        <w:tc>
          <w:tcPr>
            <w:tcW w:w="1701" w:type="dxa"/>
          </w:tcPr>
          <w:p w:rsidR="00323BBA" w:rsidRPr="0061344F" w:rsidRDefault="00323BBA" w:rsidP="00BE4FEF">
            <w:pPr>
              <w:pStyle w:val="TableText"/>
              <w:jc w:val="center"/>
            </w:pPr>
            <w:r>
              <w:t>5</w:t>
            </w:r>
          </w:p>
        </w:tc>
        <w:tc>
          <w:tcPr>
            <w:tcW w:w="7371" w:type="dxa"/>
            <w:vAlign w:val="top"/>
          </w:tcPr>
          <w:p w:rsidR="00323BBA" w:rsidRPr="00546534" w:rsidRDefault="00323BBA" w:rsidP="00BE4FEF">
            <w:r>
              <w:t>J</w:t>
            </w:r>
            <w:r w:rsidRPr="00546534">
              <w:t xml:space="preserve"> Mitchell</w:t>
            </w:r>
          </w:p>
        </w:tc>
      </w:tr>
      <w:tr w:rsidR="00323BBA" w:rsidTr="00BE4FEF">
        <w:tc>
          <w:tcPr>
            <w:tcW w:w="1701" w:type="dxa"/>
          </w:tcPr>
          <w:p w:rsidR="00323BBA" w:rsidRPr="0061344F" w:rsidRDefault="00323BBA" w:rsidP="00BE4FEF">
            <w:pPr>
              <w:pStyle w:val="TableText"/>
              <w:jc w:val="center"/>
            </w:pPr>
            <w:r>
              <w:t>6</w:t>
            </w:r>
          </w:p>
        </w:tc>
        <w:tc>
          <w:tcPr>
            <w:tcW w:w="7371" w:type="dxa"/>
            <w:vAlign w:val="top"/>
          </w:tcPr>
          <w:p w:rsidR="00323BBA" w:rsidRPr="00546534" w:rsidRDefault="00323BBA" w:rsidP="00BE4FEF">
            <w:r w:rsidRPr="00546534">
              <w:t>P Gately</w:t>
            </w:r>
          </w:p>
        </w:tc>
      </w:tr>
      <w:tr w:rsidR="00323BBA" w:rsidTr="00BE4FEF">
        <w:trPr>
          <w:cnfStyle w:val="000000100000" w:firstRow="0" w:lastRow="0" w:firstColumn="0" w:lastColumn="0" w:oddVBand="0" w:evenVBand="0" w:oddHBand="1" w:evenHBand="0" w:firstRowFirstColumn="0" w:firstRowLastColumn="0" w:lastRowFirstColumn="0" w:lastRowLastColumn="0"/>
        </w:trPr>
        <w:tc>
          <w:tcPr>
            <w:tcW w:w="1701" w:type="dxa"/>
          </w:tcPr>
          <w:p w:rsidR="00323BBA" w:rsidRPr="0061344F" w:rsidRDefault="00323BBA" w:rsidP="00BE4FEF">
            <w:pPr>
              <w:pStyle w:val="TableText"/>
              <w:jc w:val="center"/>
            </w:pPr>
            <w:r>
              <w:t>7</w:t>
            </w:r>
          </w:p>
        </w:tc>
        <w:tc>
          <w:tcPr>
            <w:tcW w:w="7371" w:type="dxa"/>
            <w:vAlign w:val="top"/>
          </w:tcPr>
          <w:p w:rsidR="00323BBA" w:rsidRPr="00546534" w:rsidRDefault="00323BBA" w:rsidP="00BE4FEF">
            <w:r>
              <w:t>J</w:t>
            </w:r>
            <w:r w:rsidRPr="00546534">
              <w:t xml:space="preserve"> McDonald</w:t>
            </w:r>
          </w:p>
        </w:tc>
      </w:tr>
      <w:tr w:rsidR="00323BBA" w:rsidTr="00BE4FEF">
        <w:tc>
          <w:tcPr>
            <w:tcW w:w="1701" w:type="dxa"/>
          </w:tcPr>
          <w:p w:rsidR="00323BBA" w:rsidRPr="0061344F" w:rsidRDefault="00323BBA" w:rsidP="00BE4FEF">
            <w:pPr>
              <w:pStyle w:val="TableText"/>
              <w:jc w:val="center"/>
            </w:pPr>
            <w:r>
              <w:t>8</w:t>
            </w:r>
          </w:p>
        </w:tc>
        <w:tc>
          <w:tcPr>
            <w:tcW w:w="7371" w:type="dxa"/>
            <w:vAlign w:val="top"/>
          </w:tcPr>
          <w:p w:rsidR="00323BBA" w:rsidRPr="00546534" w:rsidRDefault="00323BBA" w:rsidP="00BE4FEF">
            <w:r w:rsidRPr="00546534">
              <w:t>A Stewart</w:t>
            </w:r>
          </w:p>
        </w:tc>
      </w:tr>
      <w:tr w:rsidR="00323BBA" w:rsidTr="00BE4FEF">
        <w:trPr>
          <w:cnfStyle w:val="000000100000" w:firstRow="0" w:lastRow="0" w:firstColumn="0" w:lastColumn="0" w:oddVBand="0" w:evenVBand="0" w:oddHBand="1" w:evenHBand="0" w:firstRowFirstColumn="0" w:firstRowLastColumn="0" w:lastRowFirstColumn="0" w:lastRowLastColumn="0"/>
        </w:trPr>
        <w:tc>
          <w:tcPr>
            <w:tcW w:w="1701" w:type="dxa"/>
          </w:tcPr>
          <w:p w:rsidR="00323BBA" w:rsidRPr="004B4A16" w:rsidRDefault="00323BBA" w:rsidP="00BE4FEF">
            <w:pPr>
              <w:pStyle w:val="TableText"/>
              <w:jc w:val="center"/>
            </w:pPr>
            <w:r w:rsidRPr="004B4A16">
              <w:t>9</w:t>
            </w:r>
          </w:p>
        </w:tc>
        <w:tc>
          <w:tcPr>
            <w:tcW w:w="7371" w:type="dxa"/>
            <w:vAlign w:val="top"/>
          </w:tcPr>
          <w:p w:rsidR="00323BBA" w:rsidRPr="00546534" w:rsidRDefault="004B4A16" w:rsidP="00BE4FEF">
            <w:r>
              <w:t>(</w:t>
            </w:r>
            <w:r w:rsidRPr="004B4A16">
              <w:t>Submission withdraw</w:t>
            </w:r>
            <w:r>
              <w:t>)</w:t>
            </w:r>
          </w:p>
        </w:tc>
      </w:tr>
      <w:tr w:rsidR="00323BBA" w:rsidTr="00BE4FEF">
        <w:tc>
          <w:tcPr>
            <w:tcW w:w="1701" w:type="dxa"/>
          </w:tcPr>
          <w:p w:rsidR="00323BBA" w:rsidRPr="0061344F" w:rsidRDefault="00323BBA" w:rsidP="00BE4FEF">
            <w:pPr>
              <w:pStyle w:val="TableText"/>
              <w:jc w:val="center"/>
            </w:pPr>
            <w:r>
              <w:t>10</w:t>
            </w:r>
          </w:p>
        </w:tc>
        <w:tc>
          <w:tcPr>
            <w:tcW w:w="7371" w:type="dxa"/>
            <w:vAlign w:val="top"/>
          </w:tcPr>
          <w:p w:rsidR="00323BBA" w:rsidRPr="00546534" w:rsidRDefault="00323BBA" w:rsidP="00BE4FEF">
            <w:r w:rsidRPr="00546534">
              <w:t xml:space="preserve">R </w:t>
            </w:r>
            <w:proofErr w:type="spellStart"/>
            <w:r w:rsidRPr="00546534">
              <w:t>Goyne</w:t>
            </w:r>
            <w:proofErr w:type="spellEnd"/>
          </w:p>
        </w:tc>
      </w:tr>
      <w:tr w:rsidR="00323BBA" w:rsidTr="00BE4FEF">
        <w:trPr>
          <w:cnfStyle w:val="000000100000" w:firstRow="0" w:lastRow="0" w:firstColumn="0" w:lastColumn="0" w:oddVBand="0" w:evenVBand="0" w:oddHBand="1" w:evenHBand="0" w:firstRowFirstColumn="0" w:firstRowLastColumn="0" w:lastRowFirstColumn="0" w:lastRowLastColumn="0"/>
        </w:trPr>
        <w:tc>
          <w:tcPr>
            <w:tcW w:w="1701" w:type="dxa"/>
          </w:tcPr>
          <w:p w:rsidR="00323BBA" w:rsidRPr="004B4A16" w:rsidRDefault="00323BBA" w:rsidP="00BE4FEF">
            <w:pPr>
              <w:pStyle w:val="TableText"/>
              <w:jc w:val="center"/>
            </w:pPr>
            <w:r w:rsidRPr="004B4A16">
              <w:t>11</w:t>
            </w:r>
          </w:p>
        </w:tc>
        <w:tc>
          <w:tcPr>
            <w:tcW w:w="7371" w:type="dxa"/>
            <w:vAlign w:val="top"/>
          </w:tcPr>
          <w:p w:rsidR="00323BBA" w:rsidRPr="004B4A16" w:rsidRDefault="004B4A16" w:rsidP="00BE4FEF">
            <w:r>
              <w:t>(</w:t>
            </w:r>
            <w:r w:rsidR="00323BBA" w:rsidRPr="004B4A16">
              <w:t>Not published to date</w:t>
            </w:r>
            <w:r>
              <w:t>)</w:t>
            </w:r>
          </w:p>
        </w:tc>
      </w:tr>
      <w:tr w:rsidR="00323BBA" w:rsidTr="00BE4FEF">
        <w:tc>
          <w:tcPr>
            <w:tcW w:w="1701" w:type="dxa"/>
          </w:tcPr>
          <w:p w:rsidR="00323BBA" w:rsidRPr="0061344F" w:rsidRDefault="00323BBA" w:rsidP="00BE4FEF">
            <w:pPr>
              <w:pStyle w:val="TableText"/>
              <w:jc w:val="center"/>
            </w:pPr>
            <w:r>
              <w:t>12</w:t>
            </w:r>
          </w:p>
        </w:tc>
        <w:tc>
          <w:tcPr>
            <w:tcW w:w="7371" w:type="dxa"/>
            <w:vAlign w:val="top"/>
          </w:tcPr>
          <w:p w:rsidR="00323BBA" w:rsidRPr="00546534" w:rsidRDefault="00323BBA" w:rsidP="00BE4FEF">
            <w:r w:rsidRPr="00546534">
              <w:t>Australian Competition &amp; Consumer Commission</w:t>
            </w:r>
          </w:p>
        </w:tc>
      </w:tr>
      <w:tr w:rsidR="00323BBA" w:rsidTr="00BE4FEF">
        <w:trPr>
          <w:cnfStyle w:val="000000100000" w:firstRow="0" w:lastRow="0" w:firstColumn="0" w:lastColumn="0" w:oddVBand="0" w:evenVBand="0" w:oddHBand="1" w:evenHBand="0" w:firstRowFirstColumn="0" w:firstRowLastColumn="0" w:lastRowFirstColumn="0" w:lastRowLastColumn="0"/>
        </w:trPr>
        <w:tc>
          <w:tcPr>
            <w:tcW w:w="1701" w:type="dxa"/>
          </w:tcPr>
          <w:p w:rsidR="00323BBA" w:rsidRPr="0061344F" w:rsidRDefault="00323BBA" w:rsidP="00BE4FEF">
            <w:pPr>
              <w:pStyle w:val="TableText"/>
              <w:jc w:val="center"/>
            </w:pPr>
            <w:r>
              <w:t>13</w:t>
            </w:r>
          </w:p>
        </w:tc>
        <w:tc>
          <w:tcPr>
            <w:tcW w:w="7371" w:type="dxa"/>
            <w:vAlign w:val="top"/>
          </w:tcPr>
          <w:p w:rsidR="00323BBA" w:rsidRPr="00546534" w:rsidRDefault="00323BBA" w:rsidP="00BE4FEF">
            <w:r w:rsidRPr="00546534">
              <w:t>7-Eleven</w:t>
            </w:r>
          </w:p>
        </w:tc>
      </w:tr>
      <w:tr w:rsidR="00323BBA" w:rsidTr="00BE4FEF">
        <w:tc>
          <w:tcPr>
            <w:tcW w:w="1701" w:type="dxa"/>
          </w:tcPr>
          <w:p w:rsidR="00323BBA" w:rsidRPr="0061344F" w:rsidRDefault="00323BBA" w:rsidP="00BE4FEF">
            <w:pPr>
              <w:pStyle w:val="TableText"/>
              <w:jc w:val="center"/>
            </w:pPr>
            <w:r>
              <w:t>14</w:t>
            </w:r>
          </w:p>
        </w:tc>
        <w:tc>
          <w:tcPr>
            <w:tcW w:w="7371" w:type="dxa"/>
            <w:vAlign w:val="top"/>
          </w:tcPr>
          <w:p w:rsidR="00323BBA" w:rsidRPr="00546534" w:rsidRDefault="00323BBA" w:rsidP="00BE4FEF">
            <w:r w:rsidRPr="00546534">
              <w:t>Informed Sources</w:t>
            </w:r>
          </w:p>
        </w:tc>
      </w:tr>
      <w:tr w:rsidR="00323BBA" w:rsidTr="00BE4FEF">
        <w:trPr>
          <w:cnfStyle w:val="000000100000" w:firstRow="0" w:lastRow="0" w:firstColumn="0" w:lastColumn="0" w:oddVBand="0" w:evenVBand="0" w:oddHBand="1" w:evenHBand="0" w:firstRowFirstColumn="0" w:firstRowLastColumn="0" w:lastRowFirstColumn="0" w:lastRowLastColumn="0"/>
        </w:trPr>
        <w:tc>
          <w:tcPr>
            <w:tcW w:w="1701" w:type="dxa"/>
          </w:tcPr>
          <w:p w:rsidR="00323BBA" w:rsidRPr="0061344F" w:rsidRDefault="00323BBA" w:rsidP="00BE4FEF">
            <w:pPr>
              <w:pStyle w:val="TableText"/>
              <w:jc w:val="center"/>
            </w:pPr>
            <w:r>
              <w:t>15</w:t>
            </w:r>
          </w:p>
        </w:tc>
        <w:tc>
          <w:tcPr>
            <w:tcW w:w="7371" w:type="dxa"/>
            <w:vAlign w:val="top"/>
          </w:tcPr>
          <w:p w:rsidR="00323BBA" w:rsidRPr="00546534" w:rsidRDefault="00323BBA" w:rsidP="00BE4FEF">
            <w:r w:rsidRPr="00546534">
              <w:t xml:space="preserve">R </w:t>
            </w:r>
            <w:proofErr w:type="spellStart"/>
            <w:r w:rsidRPr="00546534">
              <w:t>Tuffin</w:t>
            </w:r>
            <w:proofErr w:type="spellEnd"/>
          </w:p>
        </w:tc>
      </w:tr>
      <w:tr w:rsidR="00323BBA" w:rsidTr="00BE4FEF">
        <w:tc>
          <w:tcPr>
            <w:tcW w:w="1701" w:type="dxa"/>
          </w:tcPr>
          <w:p w:rsidR="00323BBA" w:rsidRPr="0061344F" w:rsidRDefault="00323BBA" w:rsidP="00BE4FEF">
            <w:pPr>
              <w:pStyle w:val="TableText"/>
              <w:jc w:val="center"/>
            </w:pPr>
            <w:r>
              <w:t>16</w:t>
            </w:r>
          </w:p>
        </w:tc>
        <w:tc>
          <w:tcPr>
            <w:tcW w:w="7371" w:type="dxa"/>
            <w:vAlign w:val="top"/>
          </w:tcPr>
          <w:p w:rsidR="00323BBA" w:rsidRPr="00546534" w:rsidRDefault="00323BBA" w:rsidP="00BE4FEF">
            <w:r w:rsidRPr="00546534">
              <w:t>Department of Mines, Industry Regulation and Safety</w:t>
            </w:r>
          </w:p>
        </w:tc>
      </w:tr>
      <w:tr w:rsidR="00323BBA" w:rsidTr="00BE4FEF">
        <w:trPr>
          <w:cnfStyle w:val="000000100000" w:firstRow="0" w:lastRow="0" w:firstColumn="0" w:lastColumn="0" w:oddVBand="0" w:evenVBand="0" w:oddHBand="1" w:evenHBand="0" w:firstRowFirstColumn="0" w:firstRowLastColumn="0" w:lastRowFirstColumn="0" w:lastRowLastColumn="0"/>
        </w:trPr>
        <w:tc>
          <w:tcPr>
            <w:tcW w:w="1701" w:type="dxa"/>
          </w:tcPr>
          <w:p w:rsidR="00323BBA" w:rsidRPr="0061344F" w:rsidRDefault="00323BBA" w:rsidP="00BE4FEF">
            <w:pPr>
              <w:pStyle w:val="TableText"/>
              <w:jc w:val="center"/>
            </w:pPr>
            <w:r>
              <w:lastRenderedPageBreak/>
              <w:t>17</w:t>
            </w:r>
          </w:p>
        </w:tc>
        <w:tc>
          <w:tcPr>
            <w:tcW w:w="7371" w:type="dxa"/>
            <w:vAlign w:val="top"/>
          </w:tcPr>
          <w:p w:rsidR="00323BBA" w:rsidRPr="00546534" w:rsidRDefault="00323BBA" w:rsidP="00BE4FEF">
            <w:r w:rsidRPr="00546534">
              <w:t>Australasian Convenience and Petroleum Marketers Association</w:t>
            </w:r>
          </w:p>
        </w:tc>
      </w:tr>
      <w:tr w:rsidR="00323BBA" w:rsidTr="00BE4FEF">
        <w:tc>
          <w:tcPr>
            <w:tcW w:w="1701" w:type="dxa"/>
          </w:tcPr>
          <w:p w:rsidR="00323BBA" w:rsidRPr="0061344F" w:rsidRDefault="00323BBA" w:rsidP="00BE4FEF">
            <w:pPr>
              <w:pStyle w:val="TableText"/>
              <w:jc w:val="center"/>
            </w:pPr>
            <w:r>
              <w:t>18</w:t>
            </w:r>
          </w:p>
        </w:tc>
        <w:tc>
          <w:tcPr>
            <w:tcW w:w="7371" w:type="dxa"/>
            <w:vAlign w:val="top"/>
          </w:tcPr>
          <w:p w:rsidR="00323BBA" w:rsidRPr="00546534" w:rsidRDefault="00706127" w:rsidP="00BE4FEF">
            <w:r w:rsidRPr="00706127">
              <w:t>ACT Council of Social Service</w:t>
            </w:r>
            <w:r w:rsidRPr="00546534">
              <w:t xml:space="preserve"> </w:t>
            </w:r>
            <w:r>
              <w:t>(</w:t>
            </w:r>
            <w:r w:rsidR="00323BBA" w:rsidRPr="00546534">
              <w:t>ACTCOSS</w:t>
            </w:r>
            <w:r>
              <w:t>)</w:t>
            </w:r>
          </w:p>
        </w:tc>
      </w:tr>
      <w:tr w:rsidR="00323BBA" w:rsidTr="00BE4FEF">
        <w:trPr>
          <w:cnfStyle w:val="000000100000" w:firstRow="0" w:lastRow="0" w:firstColumn="0" w:lastColumn="0" w:oddVBand="0" w:evenVBand="0" w:oddHBand="1" w:evenHBand="0" w:firstRowFirstColumn="0" w:firstRowLastColumn="0" w:lastRowFirstColumn="0" w:lastRowLastColumn="0"/>
        </w:trPr>
        <w:tc>
          <w:tcPr>
            <w:tcW w:w="1701" w:type="dxa"/>
          </w:tcPr>
          <w:p w:rsidR="00323BBA" w:rsidRPr="0061344F" w:rsidRDefault="00323BBA" w:rsidP="00BE4FEF">
            <w:pPr>
              <w:pStyle w:val="TableText"/>
              <w:jc w:val="center"/>
            </w:pPr>
            <w:r>
              <w:t>19</w:t>
            </w:r>
          </w:p>
        </w:tc>
        <w:tc>
          <w:tcPr>
            <w:tcW w:w="7371" w:type="dxa"/>
            <w:vAlign w:val="top"/>
          </w:tcPr>
          <w:p w:rsidR="00323BBA" w:rsidRPr="00546534" w:rsidRDefault="00323BBA" w:rsidP="00BE4FEF">
            <w:r w:rsidRPr="00546534">
              <w:t>Caltex ACT</w:t>
            </w:r>
          </w:p>
        </w:tc>
      </w:tr>
      <w:tr w:rsidR="00323BBA" w:rsidTr="00BE4FEF">
        <w:tc>
          <w:tcPr>
            <w:tcW w:w="1701" w:type="dxa"/>
          </w:tcPr>
          <w:p w:rsidR="00323BBA" w:rsidRPr="0061344F" w:rsidRDefault="00323BBA" w:rsidP="00BE4FEF">
            <w:pPr>
              <w:pStyle w:val="TableText"/>
              <w:jc w:val="center"/>
            </w:pPr>
            <w:r>
              <w:t>20</w:t>
            </w:r>
          </w:p>
        </w:tc>
        <w:tc>
          <w:tcPr>
            <w:tcW w:w="7371" w:type="dxa"/>
            <w:vAlign w:val="top"/>
          </w:tcPr>
          <w:p w:rsidR="00323BBA" w:rsidRPr="00546534" w:rsidRDefault="00323BBA" w:rsidP="00BE4FEF">
            <w:r w:rsidRPr="00546534">
              <w:t>Viva Energy Australia</w:t>
            </w:r>
          </w:p>
        </w:tc>
      </w:tr>
      <w:tr w:rsidR="00323BBA" w:rsidTr="00BE4FEF">
        <w:trPr>
          <w:cnfStyle w:val="000000100000" w:firstRow="0" w:lastRow="0" w:firstColumn="0" w:lastColumn="0" w:oddVBand="0" w:evenVBand="0" w:oddHBand="1" w:evenHBand="0" w:firstRowFirstColumn="0" w:firstRowLastColumn="0" w:lastRowFirstColumn="0" w:lastRowLastColumn="0"/>
        </w:trPr>
        <w:tc>
          <w:tcPr>
            <w:tcW w:w="1701" w:type="dxa"/>
          </w:tcPr>
          <w:p w:rsidR="00323BBA" w:rsidRPr="0061344F" w:rsidRDefault="00323BBA" w:rsidP="00BE4FEF">
            <w:pPr>
              <w:pStyle w:val="TableText"/>
              <w:jc w:val="center"/>
            </w:pPr>
            <w:r>
              <w:t>21</w:t>
            </w:r>
          </w:p>
        </w:tc>
        <w:tc>
          <w:tcPr>
            <w:tcW w:w="7371" w:type="dxa"/>
            <w:vAlign w:val="top"/>
          </w:tcPr>
          <w:p w:rsidR="00323BBA" w:rsidRPr="00546534" w:rsidRDefault="00323BBA" w:rsidP="00BE4FEF">
            <w:r w:rsidRPr="00546534">
              <w:t>Australian Institute of Petroleum (AIP)</w:t>
            </w:r>
          </w:p>
        </w:tc>
      </w:tr>
      <w:tr w:rsidR="00323BBA" w:rsidTr="00BE4FEF">
        <w:tc>
          <w:tcPr>
            <w:tcW w:w="1701" w:type="dxa"/>
          </w:tcPr>
          <w:p w:rsidR="00323BBA" w:rsidRPr="0061344F" w:rsidRDefault="00323BBA" w:rsidP="00BE4FEF">
            <w:pPr>
              <w:pStyle w:val="TableText"/>
              <w:jc w:val="center"/>
            </w:pPr>
            <w:r>
              <w:t>22</w:t>
            </w:r>
          </w:p>
        </w:tc>
        <w:tc>
          <w:tcPr>
            <w:tcW w:w="7371" w:type="dxa"/>
            <w:vAlign w:val="top"/>
          </w:tcPr>
          <w:p w:rsidR="00323BBA" w:rsidRPr="00546534" w:rsidRDefault="00323BBA" w:rsidP="00BE4FEF">
            <w:r w:rsidRPr="00546534">
              <w:t>NRMA</w:t>
            </w:r>
          </w:p>
        </w:tc>
      </w:tr>
      <w:tr w:rsidR="00323BBA" w:rsidTr="00BE4FEF">
        <w:trPr>
          <w:cnfStyle w:val="000000100000" w:firstRow="0" w:lastRow="0" w:firstColumn="0" w:lastColumn="0" w:oddVBand="0" w:evenVBand="0" w:oddHBand="1" w:evenHBand="0" w:firstRowFirstColumn="0" w:firstRowLastColumn="0" w:lastRowFirstColumn="0" w:lastRowLastColumn="0"/>
        </w:trPr>
        <w:tc>
          <w:tcPr>
            <w:tcW w:w="1701" w:type="dxa"/>
          </w:tcPr>
          <w:p w:rsidR="00323BBA" w:rsidRPr="0061344F" w:rsidRDefault="00323BBA" w:rsidP="00BE4FEF">
            <w:pPr>
              <w:pStyle w:val="TableText"/>
              <w:jc w:val="center"/>
            </w:pPr>
            <w:r>
              <w:t>23</w:t>
            </w:r>
          </w:p>
        </w:tc>
        <w:tc>
          <w:tcPr>
            <w:tcW w:w="7371" w:type="dxa"/>
            <w:vAlign w:val="top"/>
          </w:tcPr>
          <w:p w:rsidR="00323BBA" w:rsidRPr="00546534" w:rsidRDefault="00323BBA" w:rsidP="00BE4FEF">
            <w:r w:rsidRPr="00546534">
              <w:t>ACT Government, Chief Minister - Mr Barr</w:t>
            </w:r>
          </w:p>
        </w:tc>
      </w:tr>
      <w:tr w:rsidR="000A0975" w:rsidTr="00BE4FEF">
        <w:tc>
          <w:tcPr>
            <w:tcW w:w="1701" w:type="dxa"/>
          </w:tcPr>
          <w:p w:rsidR="000A0975" w:rsidRDefault="000A0975" w:rsidP="00BE4FEF">
            <w:pPr>
              <w:pStyle w:val="TableText"/>
              <w:jc w:val="center"/>
            </w:pPr>
            <w:r>
              <w:t>24</w:t>
            </w:r>
          </w:p>
        </w:tc>
        <w:tc>
          <w:tcPr>
            <w:tcW w:w="7371" w:type="dxa"/>
            <w:vAlign w:val="top"/>
          </w:tcPr>
          <w:p w:rsidR="000A0975" w:rsidRPr="00546534" w:rsidRDefault="000A0975" w:rsidP="00BE4FEF">
            <w:r w:rsidRPr="000A0975">
              <w:t>J Bamberger</w:t>
            </w:r>
          </w:p>
        </w:tc>
      </w:tr>
      <w:tr w:rsidR="000A0975" w:rsidTr="00BE4FEF">
        <w:trPr>
          <w:cnfStyle w:val="000000100000" w:firstRow="0" w:lastRow="0" w:firstColumn="0" w:lastColumn="0" w:oddVBand="0" w:evenVBand="0" w:oddHBand="1" w:evenHBand="0" w:firstRowFirstColumn="0" w:firstRowLastColumn="0" w:lastRowFirstColumn="0" w:lastRowLastColumn="0"/>
        </w:trPr>
        <w:tc>
          <w:tcPr>
            <w:tcW w:w="1701" w:type="dxa"/>
          </w:tcPr>
          <w:p w:rsidR="000A0975" w:rsidRPr="004B4A16" w:rsidRDefault="000A0975" w:rsidP="00BE4FEF">
            <w:pPr>
              <w:pStyle w:val="TableText"/>
              <w:jc w:val="center"/>
            </w:pPr>
            <w:r w:rsidRPr="004B4A16">
              <w:t>25</w:t>
            </w:r>
          </w:p>
        </w:tc>
        <w:tc>
          <w:tcPr>
            <w:tcW w:w="7371" w:type="dxa"/>
            <w:vAlign w:val="top"/>
          </w:tcPr>
          <w:p w:rsidR="000A0975" w:rsidRPr="004B4A16" w:rsidRDefault="000A0975" w:rsidP="00BE4FEF">
            <w:r w:rsidRPr="004B4A16">
              <w:t xml:space="preserve">EG Group </w:t>
            </w:r>
            <w:r w:rsidR="004B4A16">
              <w:t>(</w:t>
            </w:r>
            <w:r w:rsidRPr="004B4A16">
              <w:t>Euro Garages Australia</w:t>
            </w:r>
            <w:r w:rsidR="004B4A16">
              <w:t>)</w:t>
            </w:r>
          </w:p>
        </w:tc>
      </w:tr>
    </w:tbl>
    <w:p w:rsidR="00323BBA" w:rsidRDefault="00323BBA" w:rsidP="00323BBA">
      <w:pPr>
        <w:pStyle w:val="BodyText"/>
        <w:numPr>
          <w:ilvl w:val="0"/>
          <w:numId w:val="0"/>
        </w:numPr>
        <w:spacing w:before="0" w:after="0" w:line="240" w:lineRule="auto"/>
      </w:pPr>
    </w:p>
    <w:p w:rsidR="00323BBA" w:rsidRDefault="00323BBA">
      <w:pPr>
        <w:spacing w:before="0" w:after="0" w:line="240" w:lineRule="auto"/>
      </w:pPr>
      <w:r>
        <w:br w:type="page"/>
      </w:r>
    </w:p>
    <w:p w:rsidR="00323BBA" w:rsidRDefault="00323BBA" w:rsidP="00323BBA">
      <w:pPr>
        <w:pStyle w:val="Heading2"/>
        <w:numPr>
          <w:ilvl w:val="0"/>
          <w:numId w:val="0"/>
        </w:numPr>
        <w:ind w:left="567" w:hanging="567"/>
      </w:pPr>
      <w:bookmarkStart w:id="69" w:name="_Toc502671596"/>
      <w:bookmarkStart w:id="70" w:name="_Toc502671774"/>
      <w:bookmarkStart w:id="71" w:name="_Toc502671880"/>
      <w:bookmarkStart w:id="72" w:name="_Toc502672812"/>
      <w:bookmarkStart w:id="73" w:name="_Toc514768053"/>
      <w:bookmarkStart w:id="74" w:name="_Toc10119190"/>
      <w:r>
        <w:lastRenderedPageBreak/>
        <w:t xml:space="preserve">Appendix </w:t>
      </w:r>
      <w:bookmarkEnd w:id="69"/>
      <w:bookmarkEnd w:id="70"/>
      <w:bookmarkEnd w:id="71"/>
      <w:bookmarkEnd w:id="72"/>
      <w:r>
        <w:t>B - Witnesses</w:t>
      </w:r>
      <w:bookmarkEnd w:id="73"/>
      <w:bookmarkEnd w:id="74"/>
    </w:p>
    <w:p w:rsidR="00323BBA" w:rsidRPr="00050DED" w:rsidRDefault="008B166A" w:rsidP="00323BBA">
      <w:pPr>
        <w:pStyle w:val="Heading3"/>
        <w:ind w:hanging="567"/>
      </w:pPr>
      <w:bookmarkStart w:id="75" w:name="_Toc10119191"/>
      <w:r>
        <w:t>Thursday</w:t>
      </w:r>
      <w:r w:rsidR="00323BBA" w:rsidRPr="00050DED">
        <w:t xml:space="preserve">, 14 </w:t>
      </w:r>
      <w:r>
        <w:t>March</w:t>
      </w:r>
      <w:r w:rsidR="00323BBA" w:rsidRPr="00050DED">
        <w:t xml:space="preserve"> 2019</w:t>
      </w:r>
      <w:bookmarkEnd w:id="75"/>
    </w:p>
    <w:p w:rsidR="00323BBA" w:rsidRPr="00050DED" w:rsidRDefault="00323BBA" w:rsidP="00323BBA">
      <w:pPr>
        <w:pStyle w:val="ListWitnesses"/>
      </w:pPr>
      <w:r w:rsidRPr="00050DED">
        <w:t>Mr Nick Ferris, Commercial Manager, Asia Pacific, Informed Sources</w:t>
      </w:r>
    </w:p>
    <w:p w:rsidR="00323BBA" w:rsidRPr="00050DED" w:rsidRDefault="00323BBA" w:rsidP="00323BBA">
      <w:pPr>
        <w:pStyle w:val="ListWitnesses"/>
      </w:pPr>
      <w:r>
        <w:t xml:space="preserve">Mr Chris </w:t>
      </w:r>
      <w:proofErr w:type="spellStart"/>
      <w:r w:rsidRPr="00050DED">
        <w:t>Huth</w:t>
      </w:r>
      <w:proofErr w:type="spellEnd"/>
      <w:r w:rsidRPr="00050DED">
        <w:t>, Regional Manager, Asia Pacific, Informed Sources</w:t>
      </w:r>
    </w:p>
    <w:p w:rsidR="00323BBA" w:rsidRPr="00050DED" w:rsidRDefault="00323BBA" w:rsidP="00323BBA">
      <w:pPr>
        <w:pStyle w:val="Heading3"/>
        <w:ind w:hanging="567"/>
      </w:pPr>
      <w:bookmarkStart w:id="76" w:name="_Toc10119192"/>
      <w:r w:rsidRPr="00050DED">
        <w:t>Monday, 18 March 2019</w:t>
      </w:r>
      <w:bookmarkEnd w:id="76"/>
    </w:p>
    <w:p w:rsidR="00323BBA" w:rsidRPr="00050DED" w:rsidRDefault="00323BBA" w:rsidP="00323BBA">
      <w:pPr>
        <w:pStyle w:val="ListWitnesses"/>
      </w:pPr>
      <w:r w:rsidRPr="00050DED">
        <w:t>Mr Geoff Buchanan, Policy Officer, Research and Data, ACT Council</w:t>
      </w:r>
      <w:r>
        <w:t xml:space="preserve"> </w:t>
      </w:r>
      <w:r w:rsidRPr="00050DED">
        <w:t>of Social Service</w:t>
      </w:r>
    </w:p>
    <w:p w:rsidR="00323BBA" w:rsidRPr="00050DED" w:rsidRDefault="00323BBA" w:rsidP="00323BBA">
      <w:pPr>
        <w:pStyle w:val="ListWitnesses"/>
      </w:pPr>
      <w:r>
        <w:t xml:space="preserve">Ms Susan </w:t>
      </w:r>
      <w:r w:rsidRPr="00050DED">
        <w:t>Helyar, Director, ACT Council of Social Service</w:t>
      </w:r>
    </w:p>
    <w:p w:rsidR="00323BBA" w:rsidRPr="00050DED" w:rsidRDefault="00323BBA" w:rsidP="00323BBA">
      <w:pPr>
        <w:pStyle w:val="ListWitnesses"/>
      </w:pPr>
      <w:r>
        <w:t xml:space="preserve">Mr Mark </w:t>
      </w:r>
      <w:proofErr w:type="spellStart"/>
      <w:r w:rsidRPr="00050DED">
        <w:t>Mckenzie</w:t>
      </w:r>
      <w:proofErr w:type="spellEnd"/>
      <w:r w:rsidRPr="00050DED">
        <w:t>, Chief Executive Officer, Australasian Convenience</w:t>
      </w:r>
      <w:r>
        <w:t xml:space="preserve"> </w:t>
      </w:r>
      <w:r w:rsidRPr="00050DED">
        <w:t>and Petroleum Marketers Association</w:t>
      </w:r>
    </w:p>
    <w:p w:rsidR="00323BBA" w:rsidRPr="00050DED" w:rsidRDefault="00323BBA" w:rsidP="00323BBA">
      <w:pPr>
        <w:pStyle w:val="Heading3"/>
        <w:ind w:hanging="567"/>
      </w:pPr>
      <w:bookmarkStart w:id="77" w:name="_Toc10119193"/>
      <w:r w:rsidRPr="00050DED">
        <w:t>Thursday, 28 March 2019</w:t>
      </w:r>
      <w:bookmarkEnd w:id="77"/>
    </w:p>
    <w:p w:rsidR="00323BBA" w:rsidRPr="00050DED" w:rsidRDefault="00323BBA" w:rsidP="00323BBA">
      <w:pPr>
        <w:pStyle w:val="ListWitnesses"/>
      </w:pPr>
      <w:r>
        <w:t xml:space="preserve">Mr Gary </w:t>
      </w:r>
      <w:r w:rsidRPr="00050DED">
        <w:t>Dobinson, Director, Fuel Prices and Market Analysis,</w:t>
      </w:r>
      <w:r>
        <w:t xml:space="preserve"> </w:t>
      </w:r>
      <w:r w:rsidRPr="00050DED">
        <w:t>Australian Competition and Consumer Commission</w:t>
      </w:r>
    </w:p>
    <w:p w:rsidR="00323BBA" w:rsidRPr="00050DED" w:rsidRDefault="00323BBA" w:rsidP="00323BBA">
      <w:pPr>
        <w:pStyle w:val="ListWitnesses"/>
      </w:pPr>
      <w:r w:rsidRPr="009938E1">
        <w:t>Mr Matthew Schroder, General Manager, Infrastructure and</w:t>
      </w:r>
      <w:r>
        <w:t xml:space="preserve"> </w:t>
      </w:r>
      <w:r w:rsidRPr="009938E1">
        <w:t>Transport, Access and Pricing, Australian Competition and Consumer</w:t>
      </w:r>
      <w:r>
        <w:t xml:space="preserve"> </w:t>
      </w:r>
      <w:r w:rsidRPr="00050DED">
        <w:t>Commission</w:t>
      </w:r>
    </w:p>
    <w:p w:rsidR="00323BBA" w:rsidRPr="00050DED" w:rsidRDefault="00323BBA" w:rsidP="00323BBA">
      <w:pPr>
        <w:pStyle w:val="Heading3"/>
        <w:ind w:hanging="567"/>
      </w:pPr>
      <w:bookmarkStart w:id="78" w:name="_Toc10119194"/>
      <w:r w:rsidRPr="00050DED">
        <w:t>Wednesday, 10 April 2019</w:t>
      </w:r>
      <w:bookmarkEnd w:id="78"/>
    </w:p>
    <w:p w:rsidR="00323BBA" w:rsidRPr="00050DED" w:rsidRDefault="00323BBA" w:rsidP="00323BBA">
      <w:pPr>
        <w:pStyle w:val="ListWitnesses"/>
      </w:pPr>
      <w:r w:rsidRPr="00050DED">
        <w:t>Ms Rowena Robyn Carpenter, Director, RCIC Transport Pty Ltd</w:t>
      </w:r>
    </w:p>
    <w:p w:rsidR="00323BBA" w:rsidRPr="00050DED" w:rsidRDefault="00323BBA" w:rsidP="00323BBA">
      <w:pPr>
        <w:pStyle w:val="ListWitnesses"/>
      </w:pPr>
      <w:r w:rsidRPr="00050DED">
        <w:t xml:space="preserve">Mr Prasad </w:t>
      </w:r>
      <w:proofErr w:type="spellStart"/>
      <w:r w:rsidRPr="00050DED">
        <w:t>Kholkute</w:t>
      </w:r>
      <w:proofErr w:type="spellEnd"/>
      <w:r w:rsidRPr="00050DED">
        <w:t>, General Manager, Retail Fuel, Caltex Australia</w:t>
      </w:r>
      <w:r>
        <w:t xml:space="preserve"> </w:t>
      </w:r>
      <w:r w:rsidRPr="00050DED">
        <w:t>Petroleum Pty Ltd</w:t>
      </w:r>
    </w:p>
    <w:p w:rsidR="00323BBA" w:rsidRPr="00050DED" w:rsidRDefault="00323BBA" w:rsidP="00323BBA">
      <w:pPr>
        <w:pStyle w:val="ListWitnesses"/>
      </w:pPr>
      <w:r w:rsidRPr="00050DED">
        <w:t xml:space="preserve">Mr Todd </w:t>
      </w:r>
      <w:proofErr w:type="spellStart"/>
      <w:r w:rsidRPr="00050DED">
        <w:t>Loydell</w:t>
      </w:r>
      <w:proofErr w:type="spellEnd"/>
      <w:r w:rsidRPr="00050DED">
        <w:t>, Head of Government Affairs, Caltex Australia</w:t>
      </w:r>
      <w:r>
        <w:t xml:space="preserve"> </w:t>
      </w:r>
      <w:r w:rsidRPr="00050DED">
        <w:t>Petroleum Pty Ltd</w:t>
      </w:r>
    </w:p>
    <w:p w:rsidR="00323BBA" w:rsidRPr="00050DED" w:rsidRDefault="00323BBA" w:rsidP="00323BBA">
      <w:pPr>
        <w:pStyle w:val="ListWitnesses"/>
      </w:pPr>
      <w:r w:rsidRPr="00050DED">
        <w:t xml:space="preserve">Mr Patrick John </w:t>
      </w:r>
      <w:proofErr w:type="spellStart"/>
      <w:r w:rsidRPr="00050DED">
        <w:t>Noone</w:t>
      </w:r>
      <w:proofErr w:type="spellEnd"/>
      <w:r w:rsidRPr="00050DED">
        <w:t>, Managing Director, Costco Wholesale</w:t>
      </w:r>
      <w:r>
        <w:t xml:space="preserve"> </w:t>
      </w:r>
      <w:r w:rsidRPr="00050DED">
        <w:t>Australia</w:t>
      </w:r>
    </w:p>
    <w:p w:rsidR="00323BBA" w:rsidRPr="00050DED" w:rsidRDefault="00323BBA" w:rsidP="00323BBA">
      <w:pPr>
        <w:pStyle w:val="ListWitnesses"/>
      </w:pPr>
      <w:r w:rsidRPr="00050DED">
        <w:t xml:space="preserve">Mr Wal </w:t>
      </w:r>
      <w:proofErr w:type="spellStart"/>
      <w:r w:rsidRPr="00050DED">
        <w:t>Setkiewicz</w:t>
      </w:r>
      <w:proofErr w:type="spellEnd"/>
      <w:r w:rsidRPr="00050DED">
        <w:t>, Senior Policy Adviser, Economics, National Roads and Motorists’ Association</w:t>
      </w:r>
    </w:p>
    <w:p w:rsidR="00323BBA" w:rsidRPr="00050DED" w:rsidRDefault="00323BBA" w:rsidP="00323BBA">
      <w:pPr>
        <w:pStyle w:val="ListWitnesses"/>
      </w:pPr>
      <w:r w:rsidRPr="00050DED">
        <w:t>Ms Carlita Warren, General Manager, Policy and Stakeholder</w:t>
      </w:r>
      <w:r>
        <w:t xml:space="preserve"> </w:t>
      </w:r>
      <w:r w:rsidRPr="00050DED">
        <w:t>Relations, National Roads and Motorists’ Association</w:t>
      </w:r>
    </w:p>
    <w:p w:rsidR="00323BBA" w:rsidRPr="00050DED" w:rsidRDefault="00323BBA" w:rsidP="00323BBA">
      <w:pPr>
        <w:pStyle w:val="Heading3"/>
        <w:ind w:hanging="567"/>
      </w:pPr>
      <w:bookmarkStart w:id="79" w:name="_Toc10119195"/>
      <w:r w:rsidRPr="00050DED">
        <w:t>Tuesday, 30 April 2019</w:t>
      </w:r>
      <w:bookmarkEnd w:id="79"/>
    </w:p>
    <w:p w:rsidR="00323BBA" w:rsidRPr="00050DED" w:rsidRDefault="00323BBA" w:rsidP="00323BBA">
      <w:pPr>
        <w:pStyle w:val="ListWitnesses"/>
      </w:pPr>
      <w:r w:rsidRPr="00050DED">
        <w:t>Mr Kenneth Michael Burke, President, Motor Trades Association</w:t>
      </w:r>
      <w:r>
        <w:t xml:space="preserve"> </w:t>
      </w:r>
      <w:r w:rsidRPr="00050DED">
        <w:t>of the ACT</w:t>
      </w:r>
    </w:p>
    <w:p w:rsidR="00323BBA" w:rsidRPr="00050DED" w:rsidRDefault="00323BBA" w:rsidP="00323BBA">
      <w:pPr>
        <w:pStyle w:val="ListWitnesses"/>
      </w:pPr>
      <w:r w:rsidRPr="00050DED">
        <w:t>Mr Benjamin Dennis Ling, Founder, ACT Fuel Watch</w:t>
      </w:r>
    </w:p>
    <w:p w:rsidR="00323BBA" w:rsidRPr="00050DED" w:rsidRDefault="00323BBA" w:rsidP="00323BBA">
      <w:pPr>
        <w:pStyle w:val="ListWitnesses"/>
      </w:pPr>
      <w:r w:rsidRPr="00050DED">
        <w:t xml:space="preserve">Mr Nic </w:t>
      </w:r>
      <w:proofErr w:type="spellStart"/>
      <w:r w:rsidRPr="00050DED">
        <w:t>Moulis</w:t>
      </w:r>
      <w:proofErr w:type="spellEnd"/>
      <w:r w:rsidRPr="00050DED">
        <w:t>, Director, Consumer Relationship Data Pty Ltd</w:t>
      </w:r>
    </w:p>
    <w:p w:rsidR="00323BBA" w:rsidRPr="00050DED" w:rsidRDefault="00323BBA" w:rsidP="00323BBA">
      <w:pPr>
        <w:pStyle w:val="Heading3"/>
        <w:ind w:hanging="567"/>
      </w:pPr>
      <w:bookmarkStart w:id="80" w:name="_Toc10119196"/>
      <w:r w:rsidRPr="00050DED">
        <w:lastRenderedPageBreak/>
        <w:t>Wednesday, 8 May 2019</w:t>
      </w:r>
      <w:bookmarkEnd w:id="80"/>
    </w:p>
    <w:p w:rsidR="00323BBA" w:rsidRPr="00D46147" w:rsidRDefault="00323BBA" w:rsidP="00323BBA">
      <w:pPr>
        <w:rPr>
          <w:b/>
        </w:rPr>
      </w:pPr>
      <w:r w:rsidRPr="00D46147">
        <w:rPr>
          <w:b/>
        </w:rPr>
        <w:t>Mr Andrew Barr, Chief Minister, Treasurer, Minister for Social Inclusion</w:t>
      </w:r>
      <w:r>
        <w:rPr>
          <w:b/>
        </w:rPr>
        <w:t xml:space="preserve"> </w:t>
      </w:r>
      <w:r w:rsidRPr="00D46147">
        <w:rPr>
          <w:b/>
        </w:rPr>
        <w:t>and Equality, Minister for Tourism and Special Events, and Minister for Trade,</w:t>
      </w:r>
      <w:r>
        <w:rPr>
          <w:b/>
        </w:rPr>
        <w:t xml:space="preserve"> </w:t>
      </w:r>
      <w:r w:rsidRPr="00D46147">
        <w:rPr>
          <w:b/>
        </w:rPr>
        <w:t>Industry and Investment</w:t>
      </w:r>
    </w:p>
    <w:p w:rsidR="00323BBA" w:rsidRPr="00050DED" w:rsidRDefault="00323BBA" w:rsidP="00323BBA">
      <w:pPr>
        <w:pStyle w:val="ListWitnesses"/>
      </w:pPr>
      <w:r w:rsidRPr="00050DED">
        <w:t>Mr David Nicol, Under Treasurer, Chief Minister, Treasury and Economic</w:t>
      </w:r>
      <w:r>
        <w:t xml:space="preserve"> </w:t>
      </w:r>
      <w:r w:rsidRPr="00050DED">
        <w:t>Development Directorate</w:t>
      </w:r>
    </w:p>
    <w:p w:rsidR="00323BBA" w:rsidRPr="00050DED" w:rsidRDefault="00323BBA" w:rsidP="00323BBA">
      <w:pPr>
        <w:pStyle w:val="ListWitnesses"/>
      </w:pPr>
      <w:r w:rsidRPr="00050DED">
        <w:t>Mr Ben Ponton, Director-General, Environment and Sustainable</w:t>
      </w:r>
      <w:r>
        <w:t xml:space="preserve"> </w:t>
      </w:r>
      <w:r w:rsidRPr="00050DED">
        <w:t>Development Directorate</w:t>
      </w:r>
    </w:p>
    <w:p w:rsidR="00323BBA" w:rsidRPr="00050DED" w:rsidRDefault="00323BBA" w:rsidP="00323BBA">
      <w:pPr>
        <w:pStyle w:val="Heading3"/>
        <w:ind w:hanging="567"/>
      </w:pPr>
      <w:bookmarkStart w:id="81" w:name="_Toc10119197"/>
      <w:r w:rsidRPr="00050DED">
        <w:t>Thursday, 9 May 2019</w:t>
      </w:r>
      <w:bookmarkEnd w:id="81"/>
    </w:p>
    <w:p w:rsidR="00323BBA" w:rsidRPr="00050DED" w:rsidRDefault="00323BBA" w:rsidP="00323BBA">
      <w:pPr>
        <w:pStyle w:val="ListWitnesses"/>
      </w:pPr>
      <w:r w:rsidRPr="00050DED">
        <w:t>Mr Paul Barrett, Chief Executive Officer, Australian Institute</w:t>
      </w:r>
      <w:r>
        <w:t xml:space="preserve"> </w:t>
      </w:r>
      <w:r w:rsidRPr="00050DED">
        <w:t>of Petroleum</w:t>
      </w:r>
    </w:p>
    <w:p w:rsidR="00323BBA" w:rsidRPr="00050DED" w:rsidRDefault="00323BBA" w:rsidP="00323BBA">
      <w:pPr>
        <w:pStyle w:val="ListWitnesses"/>
      </w:pPr>
      <w:r w:rsidRPr="00050DED">
        <w:t>Mr Clayton Ford, General Manager, Corporate Affairs, 7-Eleven</w:t>
      </w:r>
    </w:p>
    <w:p w:rsidR="00323BBA" w:rsidRPr="00050DED" w:rsidRDefault="00323BBA" w:rsidP="00323BBA">
      <w:pPr>
        <w:pStyle w:val="ListWitnesses"/>
      </w:pPr>
      <w:r w:rsidRPr="00050DED">
        <w:t xml:space="preserve">Mr Peter </w:t>
      </w:r>
      <w:proofErr w:type="spellStart"/>
      <w:r w:rsidRPr="00050DED">
        <w:t>Gniel</w:t>
      </w:r>
      <w:proofErr w:type="spellEnd"/>
      <w:r w:rsidRPr="00050DED">
        <w:t>, General Manager, Policy, Australian Institute</w:t>
      </w:r>
      <w:r>
        <w:t xml:space="preserve"> </w:t>
      </w:r>
      <w:r w:rsidRPr="00050DED">
        <w:t>of Petroleum</w:t>
      </w:r>
    </w:p>
    <w:p w:rsidR="00323BBA" w:rsidRPr="00050DED" w:rsidRDefault="00323BBA" w:rsidP="00323BBA">
      <w:pPr>
        <w:pStyle w:val="ListWitnesses"/>
      </w:pPr>
      <w:r w:rsidRPr="00050DED">
        <w:t xml:space="preserve">Ms Jennifer </w:t>
      </w:r>
      <w:proofErr w:type="spellStart"/>
      <w:r w:rsidRPr="00050DED">
        <w:t>Gray</w:t>
      </w:r>
      <w:proofErr w:type="spellEnd"/>
      <w:r w:rsidRPr="00050DED">
        <w:t>, Business Manager, Reseller Markets,</w:t>
      </w:r>
      <w:r>
        <w:t xml:space="preserve"> </w:t>
      </w:r>
      <w:r w:rsidRPr="00050DED">
        <w:t>Viva Energy Australia</w:t>
      </w:r>
    </w:p>
    <w:p w:rsidR="00323BBA" w:rsidRPr="00050DED" w:rsidRDefault="00323BBA" w:rsidP="00323BBA">
      <w:pPr>
        <w:pStyle w:val="ListWitnesses"/>
      </w:pPr>
      <w:r w:rsidRPr="00050DED">
        <w:t xml:space="preserve">Mr Paul </w:t>
      </w:r>
      <w:proofErr w:type="spellStart"/>
      <w:r w:rsidRPr="00050DED">
        <w:t>Mccarthy</w:t>
      </w:r>
      <w:proofErr w:type="spellEnd"/>
      <w:r w:rsidRPr="00050DED">
        <w:t>, General Manager, Fuel and OHS, 7-Eleven</w:t>
      </w:r>
    </w:p>
    <w:p w:rsidR="00323BBA" w:rsidRDefault="00323BBA" w:rsidP="00323BBA">
      <w:pPr>
        <w:pStyle w:val="ListWitnesses"/>
      </w:pPr>
      <w:r w:rsidRPr="00050DED">
        <w:t xml:space="preserve">Ms Edwina </w:t>
      </w:r>
      <w:proofErr w:type="spellStart"/>
      <w:r w:rsidRPr="00050DED">
        <w:t>Pribyl</w:t>
      </w:r>
      <w:proofErr w:type="spellEnd"/>
      <w:r w:rsidRPr="00050DED">
        <w:t>, External Communications and Government Relations</w:t>
      </w:r>
      <w:r>
        <w:t xml:space="preserve"> </w:t>
      </w:r>
      <w:r w:rsidRPr="00050DED">
        <w:t>Manager, Viva Energy Australia</w:t>
      </w:r>
    </w:p>
    <w:p w:rsidR="00323BBA" w:rsidRDefault="00323BBA" w:rsidP="00323BBA">
      <w:pPr>
        <w:pStyle w:val="BodyText"/>
        <w:numPr>
          <w:ilvl w:val="0"/>
          <w:numId w:val="0"/>
        </w:numPr>
        <w:spacing w:before="0" w:after="0" w:line="240" w:lineRule="auto"/>
      </w:pPr>
    </w:p>
    <w:sectPr w:rsidR="00323BBA" w:rsidSect="00323BBA">
      <w:footerReference w:type="even" r:id="rId26"/>
      <w:footerReference w:type="default" r:id="rId27"/>
      <w:headerReference w:type="first" r:id="rId28"/>
      <w:type w:val="oddPage"/>
      <w:pgSz w:w="11907" w:h="16840" w:code="9"/>
      <w:pgMar w:top="1588" w:right="1418" w:bottom="1418" w:left="1418" w:header="720" w:footer="851"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F1A07" w:rsidRDefault="00CF1A07">
      <w:r>
        <w:separator/>
      </w:r>
    </w:p>
    <w:p w:rsidR="00CF1A07" w:rsidRDefault="00CF1A07"/>
    <w:p w:rsidR="00CF1A07" w:rsidRDefault="00CF1A07"/>
    <w:p w:rsidR="00CF1A07" w:rsidRDefault="00CF1A07"/>
    <w:p w:rsidR="00CF1A07" w:rsidRDefault="00CF1A07"/>
  </w:endnote>
  <w:endnote w:type="continuationSeparator" w:id="0">
    <w:p w:rsidR="00CF1A07" w:rsidRDefault="00CF1A07">
      <w:r>
        <w:continuationSeparator/>
      </w:r>
    </w:p>
    <w:p w:rsidR="00CF1A07" w:rsidRDefault="00CF1A07"/>
    <w:p w:rsidR="00CF1A07" w:rsidRDefault="00CF1A07"/>
    <w:p w:rsidR="00CF1A07" w:rsidRDefault="00CF1A07"/>
    <w:p w:rsidR="00CF1A07" w:rsidRDefault="00CF1A0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1" w:fontKey="{039A7B40-BAAA-4991-A773-382595A2C6B4}"/>
    <w:embedBold r:id="rId2" w:fontKey="{4522A36E-35F3-4B35-B0F8-7EB15B13C47F}"/>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2AFF" w:usb1="C000247B" w:usb2="00000009" w:usb3="00000000" w:csb0="000001FF" w:csb1="00000000"/>
    <w:embedRegular r:id="rId3" w:fontKey="{DD0BB74D-6A9C-4208-9CC3-B9CDE18841B8}"/>
    <w:embedBold r:id="rId4" w:fontKey="{EE81B060-9AC3-4D22-B1DC-080878BAFEB2}"/>
    <w:embedItalic r:id="rId5" w:fontKey="{959B5042-4BEF-4C90-8BAF-DB98F36ADD05}"/>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40C5" w:rsidRDefault="00CB40C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3E62" w:rsidRDefault="00CA3E62" w:rsidP="005E670D">
    <w:pPr>
      <w:pStyle w:val="Footer"/>
      <w:ind w:right="360"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40C5" w:rsidRDefault="00CB40C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3E62" w:rsidRDefault="00CA3E62">
    <w:pPr>
      <w:pStyle w:val="Footer"/>
    </w:pPr>
    <w:r>
      <w:fldChar w:fldCharType="begin"/>
    </w:r>
    <w:r>
      <w:instrText xml:space="preserve"> PAGE   \* MERGEFORMAT </w:instrText>
    </w:r>
    <w:r>
      <w:fldChar w:fldCharType="separate"/>
    </w:r>
    <w:r w:rsidR="00CB40C5">
      <w:rPr>
        <w:noProof/>
      </w:rPr>
      <w:t>ii</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3E62" w:rsidRDefault="00CA3E62">
    <w:pPr>
      <w:pStyle w:val="Footer"/>
      <w:jc w:val="right"/>
    </w:pPr>
    <w:r>
      <w:fldChar w:fldCharType="begin"/>
    </w:r>
    <w:r>
      <w:instrText xml:space="preserve"> PAGE   \* MERGEFORMAT </w:instrText>
    </w:r>
    <w:r>
      <w:fldChar w:fldCharType="separate"/>
    </w:r>
    <w:r w:rsidR="00CB40C5">
      <w:rPr>
        <w:noProof/>
      </w:rPr>
      <w:t>i</w:t>
    </w:r>
    <w:r>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3E62" w:rsidRPr="004D2594" w:rsidRDefault="00CA3E62" w:rsidP="004D2594">
    <w:pPr>
      <w:pStyle w:val="Footer"/>
    </w:pPr>
    <w:r>
      <w:fldChar w:fldCharType="begin"/>
    </w:r>
    <w:r>
      <w:instrText xml:space="preserve"> PAGE   \* MERGEFORMAT </w:instrText>
    </w:r>
    <w:r>
      <w:fldChar w:fldCharType="separate"/>
    </w:r>
    <w:r w:rsidR="00CB40C5">
      <w:rPr>
        <w:noProof/>
      </w:rPr>
      <w:t>14</w:t>
    </w:r>
    <w:r>
      <w:rPr>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3E62" w:rsidRDefault="00CA3E62">
    <w:pPr>
      <w:pStyle w:val="Footer"/>
      <w:jc w:val="right"/>
    </w:pPr>
    <w:r>
      <w:fldChar w:fldCharType="begin"/>
    </w:r>
    <w:r>
      <w:instrText xml:space="preserve"> PAGE   \* MERGEFORMAT </w:instrText>
    </w:r>
    <w:r>
      <w:fldChar w:fldCharType="separate"/>
    </w:r>
    <w:r w:rsidR="00CB40C5">
      <w:rPr>
        <w:noProof/>
      </w:rPr>
      <w:t>15</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F1A07" w:rsidRDefault="00CF1A07">
      <w:r>
        <w:separator/>
      </w:r>
    </w:p>
  </w:footnote>
  <w:footnote w:type="continuationSeparator" w:id="0">
    <w:p w:rsidR="00CF1A07" w:rsidRDefault="00CF1A07">
      <w:r>
        <w:continuationSeparator/>
      </w:r>
    </w:p>
    <w:p w:rsidR="00CF1A07" w:rsidRDefault="00CF1A07"/>
    <w:p w:rsidR="00CF1A07" w:rsidRDefault="00CF1A07"/>
    <w:p w:rsidR="00CF1A07" w:rsidRDefault="00CF1A07"/>
    <w:p w:rsidR="00CF1A07" w:rsidRDefault="00CF1A07"/>
  </w:footnote>
  <w:footnote w:id="1">
    <w:p w:rsidR="00CA3E62" w:rsidRDefault="00CA3E62" w:rsidP="0032606E">
      <w:pPr>
        <w:pStyle w:val="FootnoteText"/>
      </w:pPr>
      <w:r>
        <w:rPr>
          <w:rStyle w:val="FootnoteReference"/>
        </w:rPr>
        <w:footnoteRef/>
      </w:r>
      <w:r>
        <w:t xml:space="preserve"> ACT Legislative Assembly, </w:t>
      </w:r>
      <w:r w:rsidRPr="0014487B">
        <w:rPr>
          <w:i/>
        </w:rPr>
        <w:t>Minutes of Proceedings</w:t>
      </w:r>
      <w:r>
        <w:rPr>
          <w:i/>
        </w:rPr>
        <w:t xml:space="preserve">, </w:t>
      </w:r>
      <w:r w:rsidRPr="0014487B">
        <w:rPr>
          <w:i/>
        </w:rPr>
        <w:t>No.</w:t>
      </w:r>
      <w:r>
        <w:rPr>
          <w:i/>
        </w:rPr>
        <w:t>85</w:t>
      </w:r>
      <w:r>
        <w:t>, 14 February 2019, p 1243.</w:t>
      </w:r>
    </w:p>
  </w:footnote>
  <w:footnote w:id="2">
    <w:p w:rsidR="00CA3E62" w:rsidRPr="00EB51D7" w:rsidRDefault="00CA3E62">
      <w:pPr>
        <w:pStyle w:val="FootnoteText"/>
      </w:pPr>
      <w:r>
        <w:rPr>
          <w:rStyle w:val="FootnoteReference"/>
        </w:rPr>
        <w:footnoteRef/>
      </w:r>
      <w:r>
        <w:t xml:space="preserve"> ACT Legislative Assembly, </w:t>
      </w:r>
      <w:r>
        <w:rPr>
          <w:i/>
        </w:rPr>
        <w:t xml:space="preserve">Minutes of Proceedings, No 98, </w:t>
      </w:r>
      <w:r>
        <w:t>16 May 2019, p. 1466.</w:t>
      </w:r>
    </w:p>
  </w:footnote>
  <w:footnote w:id="3">
    <w:p w:rsidR="00CA3E62" w:rsidRDefault="00CA3E62" w:rsidP="009B20B9">
      <w:pPr>
        <w:pStyle w:val="FootnoteText"/>
      </w:pPr>
      <w:r>
        <w:rPr>
          <w:rStyle w:val="FootnoteReference"/>
        </w:rPr>
        <w:footnoteRef/>
      </w:r>
      <w:r>
        <w:t xml:space="preserve"> </w:t>
      </w:r>
      <w:r w:rsidRPr="003378A4">
        <w:rPr>
          <w:rStyle w:val="Hyperlink"/>
        </w:rPr>
        <w:t>http://www.hansard.act.gov.au/ha</w:t>
      </w:r>
      <w:r>
        <w:rPr>
          <w:rStyle w:val="Hyperlink"/>
        </w:rPr>
        <w:t>nsard/2017/comms/default.htm</w:t>
      </w:r>
    </w:p>
  </w:footnote>
  <w:footnote w:id="4">
    <w:p w:rsidR="00CA3E62" w:rsidRDefault="00CA3E62" w:rsidP="009B20B9">
      <w:pPr>
        <w:pStyle w:val="FootnoteText"/>
      </w:pPr>
      <w:r>
        <w:rPr>
          <w:rStyle w:val="FootnoteReference"/>
        </w:rPr>
        <w:footnoteRef/>
      </w:r>
      <w:r>
        <w:t xml:space="preserve"> </w:t>
      </w:r>
      <w:hyperlink r:id="rId1" w:history="1">
        <w:r>
          <w:rPr>
            <w:rStyle w:val="Hyperlink"/>
          </w:rPr>
          <w:t>https://www.parliament.act.gov.au/in-committees/select_committees/fuel-prices/inquiry-into-fuel-pricing</w:t>
        </w:r>
      </w:hyperlink>
    </w:p>
  </w:footnote>
  <w:footnote w:id="5">
    <w:p w:rsidR="00CA3E62" w:rsidRDefault="00CA3E62" w:rsidP="00AC38FC">
      <w:pPr>
        <w:pStyle w:val="FootnoteText"/>
      </w:pPr>
      <w:r>
        <w:rPr>
          <w:rStyle w:val="FootnoteReference"/>
        </w:rPr>
        <w:footnoteRef/>
      </w:r>
      <w:r>
        <w:t xml:space="preserve"> John Mitchell, submission, p.1; </w:t>
      </w:r>
      <w:r>
        <w:rPr>
          <w:i/>
          <w:iCs/>
        </w:rPr>
        <w:t>Matthew Schroder, ACCC, Transcript of evidence, 28 March 2019, p. 83.</w:t>
      </w:r>
    </w:p>
  </w:footnote>
  <w:footnote w:id="6">
    <w:p w:rsidR="00CA3E62" w:rsidRDefault="00CA3E62">
      <w:pPr>
        <w:pStyle w:val="FootnoteText"/>
      </w:pPr>
      <w:r>
        <w:rPr>
          <w:rStyle w:val="FootnoteReference"/>
        </w:rPr>
        <w:footnoteRef/>
      </w:r>
      <w:r>
        <w:t xml:space="preserve"> Australian Competition and Consumer Commission, submission, pp. 1-2; Australian Institute of Petroleum, submission, pp. 11-15; Nic Moulis, </w:t>
      </w:r>
      <w:r w:rsidRPr="00B07FAC">
        <w:rPr>
          <w:i/>
        </w:rPr>
        <w:t>Proof transcript of evidence</w:t>
      </w:r>
      <w:r>
        <w:t xml:space="preserve">, 30 April 2019, pp. 175-176; </w:t>
      </w:r>
      <w:r>
        <w:rPr>
          <w:i/>
          <w:iCs/>
        </w:rPr>
        <w:t>Matthew Schroder, ACCC, Transcript of evidence, 28 March 2019, p. 83.</w:t>
      </w:r>
    </w:p>
  </w:footnote>
  <w:footnote w:id="7">
    <w:p w:rsidR="00CA3E62" w:rsidRDefault="00CA3E62">
      <w:pPr>
        <w:pStyle w:val="FootnoteText"/>
      </w:pPr>
      <w:r>
        <w:rPr>
          <w:rStyle w:val="FootnoteReference"/>
        </w:rPr>
        <w:footnoteRef/>
      </w:r>
      <w:r>
        <w:t xml:space="preserve"> </w:t>
      </w:r>
      <w:r w:rsidRPr="00580337">
        <w:t>Paul Barrett, Australian Institute of Petroleum, Transcript of evidence, 9 May 2019, p.</w:t>
      </w:r>
      <w:r>
        <w:t xml:space="preserve"> 239.</w:t>
      </w:r>
    </w:p>
  </w:footnote>
  <w:footnote w:id="8">
    <w:p w:rsidR="00CA3E62" w:rsidRDefault="00CA3E62">
      <w:pPr>
        <w:pStyle w:val="FootnoteText"/>
      </w:pPr>
      <w:r>
        <w:rPr>
          <w:rStyle w:val="FootnoteReference"/>
        </w:rPr>
        <w:footnoteRef/>
      </w:r>
      <w:r>
        <w:t xml:space="preserve"> Caltex Australia, submission, p.2; Viva Energy Australia, submission, p.1; 7-Eleven, submission, p.3; Costco, </w:t>
      </w:r>
      <w:r w:rsidRPr="00812046">
        <w:rPr>
          <w:i/>
        </w:rPr>
        <w:t>Transcript of evidence,</w:t>
      </w:r>
      <w:r>
        <w:t xml:space="preserve"> p. 94.</w:t>
      </w:r>
    </w:p>
  </w:footnote>
  <w:footnote w:id="9">
    <w:p w:rsidR="00CA3E62" w:rsidRDefault="00CA3E62">
      <w:pPr>
        <w:pStyle w:val="FootnoteText"/>
      </w:pPr>
      <w:r>
        <w:rPr>
          <w:rStyle w:val="FootnoteReference"/>
        </w:rPr>
        <w:footnoteRef/>
      </w:r>
      <w:r>
        <w:t xml:space="preserve"> Viva Energy, </w:t>
      </w:r>
      <w:r w:rsidRPr="00A7353B">
        <w:rPr>
          <w:i/>
        </w:rPr>
        <w:t>Proof transcript of evidence</w:t>
      </w:r>
      <w:r>
        <w:t>, 9 May 2019, p. 216.</w:t>
      </w:r>
    </w:p>
  </w:footnote>
  <w:footnote w:id="10">
    <w:p w:rsidR="00CA3E62" w:rsidRDefault="00CA3E62">
      <w:pPr>
        <w:pStyle w:val="FootnoteText"/>
      </w:pPr>
      <w:r>
        <w:rPr>
          <w:rStyle w:val="FootnoteReference"/>
        </w:rPr>
        <w:footnoteRef/>
      </w:r>
      <w:r>
        <w:t xml:space="preserve"> </w:t>
      </w:r>
      <w:r>
        <w:rPr>
          <w:i/>
          <w:iCs/>
        </w:rPr>
        <w:t>Matthew Schroder, ACCC, Transcript of evidence, 28 March 2019, p. 69.</w:t>
      </w:r>
    </w:p>
  </w:footnote>
  <w:footnote w:id="11">
    <w:p w:rsidR="00CA3E62" w:rsidRPr="00104875" w:rsidRDefault="00CA3E62">
      <w:pPr>
        <w:pStyle w:val="FootnoteText"/>
      </w:pPr>
      <w:r>
        <w:rPr>
          <w:rStyle w:val="FootnoteReference"/>
        </w:rPr>
        <w:footnoteRef/>
      </w:r>
      <w:r>
        <w:t xml:space="preserve"> Hay, G. (2005), “Facilitating Practices”, Cornell Law School research paper No. 05-029, available at </w:t>
      </w:r>
      <w:hyperlink r:id="rId2" w:history="1">
        <w:r w:rsidRPr="00F17C62">
          <w:rPr>
            <w:rStyle w:val="Hyperlink"/>
          </w:rPr>
          <w:t>http://ssrn.com/abstract=811404</w:t>
        </w:r>
      </w:hyperlink>
      <w:r>
        <w:t xml:space="preserve">; reproduced in </w:t>
      </w:r>
      <w:r>
        <w:rPr>
          <w:i/>
        </w:rPr>
        <w:t xml:space="preserve">Competition in Road Fuel, </w:t>
      </w:r>
      <w:r>
        <w:t xml:space="preserve">2013 at: </w:t>
      </w:r>
      <w:hyperlink r:id="rId3" w:history="1">
        <w:r>
          <w:rPr>
            <w:rStyle w:val="Hyperlink"/>
          </w:rPr>
          <w:t>https://www.oecd.org/daf/competition/CompetitionInRoadFuel.pdf</w:t>
        </w:r>
      </w:hyperlink>
      <w:r>
        <w:t xml:space="preserve"> </w:t>
      </w:r>
    </w:p>
  </w:footnote>
  <w:footnote w:id="12">
    <w:p w:rsidR="00CA3E62" w:rsidRDefault="00CA3E62">
      <w:pPr>
        <w:pStyle w:val="FootnoteText"/>
      </w:pPr>
      <w:r>
        <w:rPr>
          <w:rStyle w:val="FootnoteReference"/>
        </w:rPr>
        <w:footnoteRef/>
      </w:r>
      <w:r>
        <w:t xml:space="preserve"> </w:t>
      </w:r>
      <w:r w:rsidRPr="00A445B8">
        <w:t>Australian Competition and Consumer Commission</w:t>
      </w:r>
      <w:r>
        <w:t>, submission, p. 2.</w:t>
      </w:r>
    </w:p>
  </w:footnote>
  <w:footnote w:id="13">
    <w:p w:rsidR="00CA3E62" w:rsidRDefault="00CA3E62">
      <w:pPr>
        <w:pStyle w:val="FootnoteText"/>
      </w:pPr>
      <w:r>
        <w:rPr>
          <w:rStyle w:val="FootnoteReference"/>
        </w:rPr>
        <w:footnoteRef/>
      </w:r>
      <w:r>
        <w:t xml:space="preserve"> Independent Competition and Regulatory Commission</w:t>
      </w:r>
      <w:r>
        <w:rPr>
          <w:i/>
        </w:rPr>
        <w:t xml:space="preserve">, </w:t>
      </w:r>
      <w:r w:rsidRPr="001747DC">
        <w:rPr>
          <w:i/>
        </w:rPr>
        <w:t>Draft report: Investigation into motor vehicle petrol prices in the ACT</w:t>
      </w:r>
      <w:r>
        <w:t>, pp. ii-iii.</w:t>
      </w:r>
    </w:p>
  </w:footnote>
  <w:footnote w:id="14">
    <w:p w:rsidR="00CA3E62" w:rsidRDefault="00CA3E62">
      <w:pPr>
        <w:pStyle w:val="FootnoteText"/>
      </w:pPr>
      <w:r>
        <w:rPr>
          <w:rStyle w:val="FootnoteReference"/>
        </w:rPr>
        <w:footnoteRef/>
      </w:r>
      <w:r>
        <w:t xml:space="preserve"> Mr Barrett, Australian Institute of Petroleum, Proof transcript of evidence, 9 May 2019, p. 242.</w:t>
      </w:r>
    </w:p>
  </w:footnote>
  <w:footnote w:id="15">
    <w:p w:rsidR="00CA3E62" w:rsidRPr="00FA2062" w:rsidRDefault="00CA3E62" w:rsidP="008E6F23">
      <w:pPr>
        <w:pStyle w:val="FootnoteText"/>
      </w:pPr>
      <w:r>
        <w:rPr>
          <w:rStyle w:val="FootnoteReference"/>
        </w:rPr>
        <w:footnoteRef/>
      </w:r>
      <w:r>
        <w:t xml:space="preserve"> Nic Moulis, Proof transcript of evidence, 30 April 2019, pp. 175-176; Oil Price Information Service, </w:t>
      </w:r>
      <w:r w:rsidRPr="009B6339">
        <w:rPr>
          <w:i/>
        </w:rPr>
        <w:t>OPIS Fuel Market Data: Australian Capital Territor</w:t>
      </w:r>
      <w:r>
        <w:rPr>
          <w:i/>
        </w:rPr>
        <w:t>y</w:t>
      </w:r>
      <w:r>
        <w:t>, 2 May 2019, p. 6.</w:t>
      </w:r>
    </w:p>
  </w:footnote>
  <w:footnote w:id="16">
    <w:p w:rsidR="00CA3E62" w:rsidRDefault="00CA3E62">
      <w:pPr>
        <w:pStyle w:val="FootnoteText"/>
      </w:pPr>
      <w:r>
        <w:rPr>
          <w:rStyle w:val="FootnoteReference"/>
        </w:rPr>
        <w:footnoteRef/>
      </w:r>
      <w:r>
        <w:t xml:space="preserve"> Australian Competition and Consumer Commission, submission, p.2; Australian Competition and Consumer Commission, </w:t>
      </w:r>
      <w:r w:rsidRPr="00162024">
        <w:rPr>
          <w:i/>
        </w:rPr>
        <w:t>Transcript of evidence</w:t>
      </w:r>
      <w:r>
        <w:t>, 28 March 2019, pp. 70-71.</w:t>
      </w:r>
    </w:p>
  </w:footnote>
  <w:footnote w:id="17">
    <w:p w:rsidR="00CA3E62" w:rsidRDefault="00CA3E62">
      <w:pPr>
        <w:pStyle w:val="FootnoteText"/>
      </w:pPr>
      <w:r>
        <w:rPr>
          <w:rStyle w:val="FootnoteReference"/>
        </w:rPr>
        <w:footnoteRef/>
      </w:r>
      <w:r>
        <w:t xml:space="preserve"> Mr Barrett, Australian Institute of Petroleum, Transcript of evidence, 9 May 2019, p. 241.</w:t>
      </w:r>
    </w:p>
  </w:footnote>
  <w:footnote w:id="18">
    <w:p w:rsidR="00CA3E62" w:rsidRDefault="00CA3E62">
      <w:pPr>
        <w:pStyle w:val="FootnoteText"/>
      </w:pPr>
      <w:r>
        <w:rPr>
          <w:rStyle w:val="FootnoteReference"/>
        </w:rPr>
        <w:footnoteRef/>
      </w:r>
      <w:r>
        <w:t xml:space="preserve"> Australasian Convenience and Petroleum Marketers Association, Transcript of evidence, 18 March 2019, pp. 34-35; NRMA, </w:t>
      </w:r>
      <w:r w:rsidRPr="00676F05">
        <w:rPr>
          <w:i/>
        </w:rPr>
        <w:t>Proof transcript of evidence</w:t>
      </w:r>
      <w:r>
        <w:t>, 10 April, pp. 129, 131-132.</w:t>
      </w:r>
    </w:p>
  </w:footnote>
  <w:footnote w:id="19">
    <w:p w:rsidR="00CA3E62" w:rsidRDefault="00CA3E62">
      <w:pPr>
        <w:pStyle w:val="FootnoteText"/>
      </w:pPr>
      <w:r>
        <w:rPr>
          <w:rStyle w:val="FootnoteReference"/>
        </w:rPr>
        <w:footnoteRef/>
      </w:r>
      <w:r>
        <w:t xml:space="preserve"> Informed Sources, </w:t>
      </w:r>
      <w:r w:rsidRPr="000D5131">
        <w:rPr>
          <w:i/>
        </w:rPr>
        <w:t>Transcript of evidence</w:t>
      </w:r>
      <w:r>
        <w:t xml:space="preserve">, 14 March 2019, p. 6; Australian Competition and Consumer Commission, </w:t>
      </w:r>
      <w:r w:rsidRPr="000D5131">
        <w:rPr>
          <w:i/>
        </w:rPr>
        <w:t>Transcript of evidence</w:t>
      </w:r>
      <w:r>
        <w:t xml:space="preserve">, 28 March 2019, pp. 63, 67, 77; NRMA, </w:t>
      </w:r>
      <w:r>
        <w:rPr>
          <w:i/>
        </w:rPr>
        <w:t>T</w:t>
      </w:r>
      <w:r w:rsidRPr="000D5131">
        <w:rPr>
          <w:i/>
        </w:rPr>
        <w:t>ranscript of evidence</w:t>
      </w:r>
      <w:r>
        <w:t xml:space="preserve">, 10 April 2019, p. 120; Nic Moulis, </w:t>
      </w:r>
      <w:r w:rsidRPr="000D5131">
        <w:rPr>
          <w:i/>
        </w:rPr>
        <w:t>Proof transcript of evidence</w:t>
      </w:r>
      <w:r>
        <w:t xml:space="preserve">, 30 April 2019, pp. 188-189; 7-Eleven, </w:t>
      </w:r>
      <w:r w:rsidRPr="00193ABB">
        <w:rPr>
          <w:i/>
        </w:rPr>
        <w:t>Proof transcript of evidence</w:t>
      </w:r>
      <w:r>
        <w:t>, 9 May 2019, p. 236.</w:t>
      </w:r>
    </w:p>
  </w:footnote>
  <w:footnote w:id="20">
    <w:p w:rsidR="00CA3E62" w:rsidRDefault="00CA3E62">
      <w:pPr>
        <w:pStyle w:val="FootnoteText"/>
      </w:pPr>
      <w:r>
        <w:rPr>
          <w:rStyle w:val="FootnoteReference"/>
        </w:rPr>
        <w:footnoteRef/>
      </w:r>
      <w:r>
        <w:t xml:space="preserve"> </w:t>
      </w:r>
      <w:r>
        <w:rPr>
          <w:i/>
          <w:iCs/>
        </w:rPr>
        <w:t>Matthew Schroder, ACCC, Transcript of evidence, 28 March 2019, p. 64.</w:t>
      </w:r>
    </w:p>
  </w:footnote>
  <w:footnote w:id="21">
    <w:p w:rsidR="00CA3E62" w:rsidRDefault="00CA3E62">
      <w:pPr>
        <w:pStyle w:val="FootnoteText"/>
      </w:pPr>
      <w:r>
        <w:rPr>
          <w:rStyle w:val="FootnoteReference"/>
        </w:rPr>
        <w:footnoteRef/>
      </w:r>
      <w:r>
        <w:t xml:space="preserve"> Informed Sources, </w:t>
      </w:r>
      <w:r w:rsidRPr="0035599B">
        <w:rPr>
          <w:i/>
        </w:rPr>
        <w:t>Transcript of evidence</w:t>
      </w:r>
      <w:r>
        <w:t xml:space="preserve">, 14 March 2019, p. 2; Australian Competition and Consumer Commission, </w:t>
      </w:r>
      <w:r w:rsidRPr="0035599B">
        <w:rPr>
          <w:i/>
        </w:rPr>
        <w:t>Transcript of evidence</w:t>
      </w:r>
      <w:r>
        <w:t xml:space="preserve">, 28 March 2019, pp. 73-74; NRMA, </w:t>
      </w:r>
      <w:r w:rsidRPr="0035599B">
        <w:rPr>
          <w:i/>
        </w:rPr>
        <w:t>Transcript of evidence</w:t>
      </w:r>
      <w:r>
        <w:t xml:space="preserve">, 10 April 2019, p. 115; Nic Moulis, </w:t>
      </w:r>
      <w:r w:rsidRPr="0035599B">
        <w:rPr>
          <w:i/>
        </w:rPr>
        <w:t>Proof transcript of evidence</w:t>
      </w:r>
      <w:r>
        <w:t xml:space="preserve">, 30 April 2019, p. 186; Australian Institute of Petroleum, </w:t>
      </w:r>
      <w:r w:rsidRPr="0035599B">
        <w:rPr>
          <w:i/>
        </w:rPr>
        <w:t>Proof transcript of evidence</w:t>
      </w:r>
      <w:r>
        <w:t>, 9 May 2019, p. 244; Chief Minister Andrew Barr, submission, p.2.</w:t>
      </w:r>
    </w:p>
  </w:footnote>
  <w:footnote w:id="22">
    <w:p w:rsidR="00CA3E62" w:rsidRDefault="00CA3E62">
      <w:pPr>
        <w:pStyle w:val="FootnoteText"/>
      </w:pPr>
      <w:r>
        <w:rPr>
          <w:rStyle w:val="FootnoteReference"/>
        </w:rPr>
        <w:footnoteRef/>
      </w:r>
      <w:r>
        <w:t xml:space="preserve"> NRMA, Transcript of evidence, 10 April 2019, pp. 128-129.</w:t>
      </w:r>
    </w:p>
  </w:footnote>
  <w:footnote w:id="23">
    <w:p w:rsidR="00CA3E62" w:rsidRDefault="00CA3E62">
      <w:pPr>
        <w:pStyle w:val="FootnoteText"/>
      </w:pPr>
      <w:r>
        <w:rPr>
          <w:rStyle w:val="FootnoteReference"/>
        </w:rPr>
        <w:footnoteRef/>
      </w:r>
      <w:r>
        <w:t xml:space="preserve"> Informed Sources, </w:t>
      </w:r>
      <w:r w:rsidRPr="000A01A0">
        <w:rPr>
          <w:i/>
        </w:rPr>
        <w:t>Transcript of evidence</w:t>
      </w:r>
      <w:r>
        <w:t xml:space="preserve">, 14 March 2019, pp. 9-10; Australasian Convenience and Petroleum Marketers Association, </w:t>
      </w:r>
      <w:r w:rsidRPr="000A01A0">
        <w:rPr>
          <w:i/>
        </w:rPr>
        <w:t>Transcript of evidence</w:t>
      </w:r>
      <w:r>
        <w:t xml:space="preserve">, 18 March 2019, pp. 32-33; Australian Competition and Consumer Commission, </w:t>
      </w:r>
      <w:r w:rsidRPr="000A01A0">
        <w:rPr>
          <w:i/>
        </w:rPr>
        <w:t>Transcript of evidence</w:t>
      </w:r>
      <w:r>
        <w:t xml:space="preserve">, 28 March 2019, pp. 63-64; NRMA, </w:t>
      </w:r>
      <w:r w:rsidRPr="000A01A0">
        <w:rPr>
          <w:i/>
        </w:rPr>
        <w:t>Transcript of evidence</w:t>
      </w:r>
      <w:r>
        <w:t xml:space="preserve">, 10 April 2019, p. 115; Nic Moulis, </w:t>
      </w:r>
      <w:r w:rsidRPr="000A01A0">
        <w:rPr>
          <w:i/>
        </w:rPr>
        <w:t>Proof transcript of evidence</w:t>
      </w:r>
      <w:r>
        <w:t>, 30 April 2019, pp. 186-187.</w:t>
      </w:r>
    </w:p>
  </w:footnote>
  <w:footnote w:id="24">
    <w:p w:rsidR="00CA3E62" w:rsidRDefault="00CA3E62">
      <w:pPr>
        <w:pStyle w:val="FootnoteText"/>
      </w:pPr>
      <w:r>
        <w:rPr>
          <w:rStyle w:val="FootnoteReference"/>
        </w:rPr>
        <w:footnoteRef/>
      </w:r>
      <w:r>
        <w:t xml:space="preserve"> Australasian Convenience and Petroleum Marketers Association, </w:t>
      </w:r>
      <w:r w:rsidRPr="00501FBA">
        <w:rPr>
          <w:i/>
        </w:rPr>
        <w:t>Transcript of evidence</w:t>
      </w:r>
      <w:r>
        <w:t>, 18 March 2019, p. 32.</w:t>
      </w:r>
    </w:p>
  </w:footnote>
  <w:footnote w:id="25">
    <w:p w:rsidR="00CA3E62" w:rsidRDefault="00CA3E62" w:rsidP="00FE4F7B">
      <w:pPr>
        <w:pStyle w:val="FootnoteText"/>
      </w:pPr>
      <w:r>
        <w:rPr>
          <w:rStyle w:val="FootnoteReference"/>
        </w:rPr>
        <w:footnoteRef/>
      </w:r>
      <w:r>
        <w:t xml:space="preserve"> </w:t>
      </w:r>
      <w:r w:rsidRPr="00765FCC">
        <w:t xml:space="preserve">Chief </w:t>
      </w:r>
      <w:r w:rsidRPr="00A3789D">
        <w:t>Minister Andrew Barr, Proof transcript of evidence, 8 May 2019</w:t>
      </w:r>
      <w:r>
        <w:t xml:space="preserve">, pp. 197-198. </w:t>
      </w:r>
    </w:p>
  </w:footnote>
  <w:footnote w:id="26">
    <w:p w:rsidR="00CA3E62" w:rsidRDefault="00CA3E62">
      <w:pPr>
        <w:pStyle w:val="FootnoteText"/>
      </w:pPr>
      <w:r>
        <w:rPr>
          <w:rStyle w:val="FootnoteReference"/>
        </w:rPr>
        <w:footnoteRef/>
      </w:r>
      <w:r>
        <w:t xml:space="preserve"> Australasian Convenience and Petroleum Marketers Association, </w:t>
      </w:r>
      <w:r w:rsidRPr="00501FBA">
        <w:rPr>
          <w:i/>
        </w:rPr>
        <w:t>Transcript of evidence</w:t>
      </w:r>
      <w:r>
        <w:t xml:space="preserve">, 18 March 2019, p. 48; Viva Energy; </w:t>
      </w:r>
      <w:r w:rsidRPr="00501FBA">
        <w:rPr>
          <w:i/>
        </w:rPr>
        <w:t>Proof transcript of evidence</w:t>
      </w:r>
      <w:r>
        <w:t>, 9 May 2019, pp. 207, 221.</w:t>
      </w:r>
    </w:p>
  </w:footnote>
  <w:footnote w:id="27">
    <w:p w:rsidR="00CA3E62" w:rsidRDefault="00CA3E62">
      <w:pPr>
        <w:pStyle w:val="FootnoteText"/>
      </w:pPr>
      <w:r>
        <w:rPr>
          <w:rStyle w:val="FootnoteReference"/>
        </w:rPr>
        <w:footnoteRef/>
      </w:r>
      <w:r>
        <w:t xml:space="preserve"> Australasian Convenience and Petroleum Marketers Association, </w:t>
      </w:r>
      <w:r>
        <w:rPr>
          <w:i/>
        </w:rPr>
        <w:t>T</w:t>
      </w:r>
      <w:r w:rsidRPr="00E600D9">
        <w:rPr>
          <w:i/>
        </w:rPr>
        <w:t>ranscript</w:t>
      </w:r>
      <w:r>
        <w:rPr>
          <w:i/>
        </w:rPr>
        <w:t xml:space="preserve"> of evidence</w:t>
      </w:r>
      <w:r>
        <w:t xml:space="preserve">, 18 March 2019, pp. </w:t>
      </w:r>
      <w:r w:rsidRPr="00FA10B4">
        <w:t>32, 38, 48</w:t>
      </w:r>
      <w:r>
        <w:t xml:space="preserve">; NRMA, </w:t>
      </w:r>
      <w:r w:rsidRPr="00E600D9">
        <w:rPr>
          <w:i/>
        </w:rPr>
        <w:t>Transcript of evidence</w:t>
      </w:r>
      <w:r>
        <w:t xml:space="preserve">, 10 April 2019, pp. 122, 124; 7-Eleven, submission, p. 4; 7-Eleven, </w:t>
      </w:r>
      <w:r w:rsidRPr="00E600D9">
        <w:rPr>
          <w:i/>
        </w:rPr>
        <w:t>Proof transcript of evidence</w:t>
      </w:r>
      <w:r>
        <w:t xml:space="preserve">, 9 May 2019, pp. 235-236; </w:t>
      </w:r>
      <w:r w:rsidRPr="006160BE">
        <w:t xml:space="preserve">Viva Energy, </w:t>
      </w:r>
      <w:r w:rsidRPr="00E600D9">
        <w:rPr>
          <w:i/>
        </w:rPr>
        <w:t>Proof transcript of evidence</w:t>
      </w:r>
      <w:r w:rsidRPr="006160BE">
        <w:t>, 9 May 2019, pp. 206-207,</w:t>
      </w:r>
      <w:r>
        <w:t xml:space="preserve"> 215,</w:t>
      </w:r>
      <w:r w:rsidRPr="006160BE">
        <w:t xml:space="preserve"> 220.</w:t>
      </w:r>
    </w:p>
  </w:footnote>
  <w:footnote w:id="28">
    <w:p w:rsidR="00CA3E62" w:rsidRPr="0091551A" w:rsidRDefault="00CA3E62">
      <w:pPr>
        <w:pStyle w:val="FootnoteText"/>
      </w:pPr>
      <w:r>
        <w:rPr>
          <w:rStyle w:val="FootnoteReference"/>
        </w:rPr>
        <w:footnoteRef/>
      </w:r>
      <w:r>
        <w:t xml:space="preserve"> Australasian Convenience and Petroleum Marketers Association, </w:t>
      </w:r>
      <w:r>
        <w:rPr>
          <w:i/>
        </w:rPr>
        <w:t>T</w:t>
      </w:r>
      <w:r w:rsidRPr="00E600D9">
        <w:rPr>
          <w:i/>
        </w:rPr>
        <w:t>ranscript</w:t>
      </w:r>
      <w:r>
        <w:rPr>
          <w:i/>
        </w:rPr>
        <w:t xml:space="preserve"> of evidence</w:t>
      </w:r>
      <w:r>
        <w:t xml:space="preserve">, 18 March 2019, pp. </w:t>
      </w:r>
      <w:r w:rsidRPr="00E600D9">
        <w:t>35-36</w:t>
      </w:r>
      <w:r>
        <w:t xml:space="preserve">; Australian Competition and Consumer Commission, </w:t>
      </w:r>
      <w:r>
        <w:rPr>
          <w:i/>
        </w:rPr>
        <w:t>T</w:t>
      </w:r>
      <w:r w:rsidRPr="00E600D9">
        <w:rPr>
          <w:i/>
        </w:rPr>
        <w:t>ranscript</w:t>
      </w:r>
      <w:r>
        <w:rPr>
          <w:i/>
        </w:rPr>
        <w:t xml:space="preserve"> of evidence</w:t>
      </w:r>
      <w:r>
        <w:t>, 28 March 2019, pp. 10, 64;</w:t>
      </w:r>
      <w:r w:rsidRPr="0091551A">
        <w:t xml:space="preserve"> </w:t>
      </w:r>
      <w:r w:rsidRPr="006160BE">
        <w:t xml:space="preserve">Viva Energy, </w:t>
      </w:r>
      <w:r w:rsidRPr="00E600D9">
        <w:rPr>
          <w:i/>
        </w:rPr>
        <w:t>Proof transcript</w:t>
      </w:r>
      <w:r>
        <w:rPr>
          <w:i/>
        </w:rPr>
        <w:t xml:space="preserve"> of evidence</w:t>
      </w:r>
      <w:r w:rsidRPr="006160BE">
        <w:t>, 9 May 2019, p. 220</w:t>
      </w:r>
      <w:r>
        <w:t xml:space="preserve">; Nic Moulis, </w:t>
      </w:r>
      <w:r w:rsidRPr="0087366E">
        <w:rPr>
          <w:i/>
        </w:rPr>
        <w:t>Proof transcript of evidence</w:t>
      </w:r>
      <w:r>
        <w:t>, 30 April, p. 187.</w:t>
      </w:r>
    </w:p>
  </w:footnote>
  <w:footnote w:id="29">
    <w:p w:rsidR="00CA3E62" w:rsidRDefault="00CA3E62" w:rsidP="00142F44">
      <w:pPr>
        <w:pStyle w:val="FootnoteText"/>
      </w:pPr>
      <w:r>
        <w:rPr>
          <w:rStyle w:val="FootnoteReference"/>
        </w:rPr>
        <w:footnoteRef/>
      </w:r>
      <w:r>
        <w:t xml:space="preserve"> Informed Sources, Transcript of evidence, 14 March 2019, pp. 3, 8; Australasian Convenience and Petroleum Marketers Association, Transcript of evidence, 18 March 2019, pp. 39-40; Australian Competition and Consumer Commission, NRMA, Transcript of evidence, 10 April, p. 127; ACT Council of Social Services, Transcript of evidence, 18 March 2019, p. 49; Nic Moulis, Transcript of evidence, 30 April 2019, p. 182.</w:t>
      </w:r>
    </w:p>
  </w:footnote>
  <w:footnote w:id="30">
    <w:p w:rsidR="00CA3E62" w:rsidRDefault="00CA3E62" w:rsidP="00142F44">
      <w:pPr>
        <w:pStyle w:val="FootnoteText"/>
      </w:pPr>
      <w:r>
        <w:rPr>
          <w:rStyle w:val="FootnoteReference"/>
        </w:rPr>
        <w:footnoteRef/>
      </w:r>
      <w:r>
        <w:t xml:space="preserve"> Informed Sources, Transcript of evidence, 14 March 2019, p. 12; ACAPMA, Transcript of evidence, 18 March 2019, p. 34.</w:t>
      </w:r>
    </w:p>
  </w:footnote>
  <w:footnote w:id="31">
    <w:p w:rsidR="00CA3E62" w:rsidRDefault="00CA3E62" w:rsidP="00142F44">
      <w:pPr>
        <w:pStyle w:val="FootnoteText"/>
      </w:pPr>
      <w:r>
        <w:rPr>
          <w:rStyle w:val="FootnoteReference"/>
        </w:rPr>
        <w:footnoteRef/>
      </w:r>
      <w:r>
        <w:t xml:space="preserve"> Caltex, Transcript of evidence, 10 April 2019, pp. 102, 103, 110.</w:t>
      </w:r>
    </w:p>
  </w:footnote>
  <w:footnote w:id="32">
    <w:p w:rsidR="00CA3E62" w:rsidRDefault="00CA3E62" w:rsidP="00DD5B7A">
      <w:pPr>
        <w:pStyle w:val="FootnoteText"/>
      </w:pPr>
      <w:r>
        <w:rPr>
          <w:rStyle w:val="FootnoteReference"/>
        </w:rPr>
        <w:footnoteRef/>
      </w:r>
      <w:r>
        <w:t xml:space="preserve"> Independent Competition and Regulatory Commission</w:t>
      </w:r>
      <w:r>
        <w:rPr>
          <w:i/>
        </w:rPr>
        <w:t>, Draft report: Investigation into motor vehicle petrol prices in the ACT</w:t>
      </w:r>
      <w:r>
        <w:t xml:space="preserve">, pp. ii-iii; Australian Competition and Consumer Commission, submission, p. 2; Australian Competition and Consumer Commission, </w:t>
      </w:r>
      <w:r w:rsidRPr="00422EBE">
        <w:rPr>
          <w:i/>
        </w:rPr>
        <w:t>Petrol price cycles in Australia</w:t>
      </w:r>
      <w:r>
        <w:t>, December 2018, pp. 12, 19.</w:t>
      </w:r>
    </w:p>
  </w:footnote>
  <w:footnote w:id="33">
    <w:p w:rsidR="00CA3E62" w:rsidRDefault="00CA3E62" w:rsidP="00DD5B7A">
      <w:pPr>
        <w:pStyle w:val="FootnoteText"/>
      </w:pPr>
      <w:r>
        <w:rPr>
          <w:rStyle w:val="FootnoteReference"/>
        </w:rPr>
        <w:footnoteRef/>
      </w:r>
      <w:r>
        <w:t xml:space="preserve"> Submissions to the Select Committee on Fuel Pricing, </w:t>
      </w:r>
      <w:hyperlink r:id="rId4" w:history="1">
        <w:r>
          <w:rPr>
            <w:rStyle w:val="Hyperlink"/>
          </w:rPr>
          <w:t>https://www.parliament.act.gov.au/in-committees/select_committees/fuel-prices/inquiry-into-fuel-pricing</w:t>
        </w:r>
      </w:hyperlink>
      <w:r>
        <w:t xml:space="preserve">; Responses to survey, </w:t>
      </w:r>
      <w:hyperlink r:id="rId5" w:history="1">
        <w:r>
          <w:rPr>
            <w:rStyle w:val="Hyperlink"/>
          </w:rPr>
          <w:t>https://www.parliament.act.gov.au/in-committees/select_committees/fuel-prices/inquiry-into-fuel-pricing</w:t>
        </w:r>
      </w:hyperlink>
    </w:p>
  </w:footnote>
  <w:footnote w:id="34">
    <w:p w:rsidR="00CA3E62" w:rsidRDefault="00CA3E62" w:rsidP="00DD5B7A">
      <w:pPr>
        <w:pStyle w:val="FootnoteText"/>
      </w:pPr>
      <w:r>
        <w:rPr>
          <w:rStyle w:val="FootnoteReference"/>
        </w:rPr>
        <w:footnoteRef/>
      </w:r>
      <w:r>
        <w:t xml:space="preserve"> Rowena Carpenter, Transcript of evidence, 10 April 2019, p. 134.</w:t>
      </w:r>
    </w:p>
  </w:footnote>
  <w:footnote w:id="35">
    <w:p w:rsidR="00CA3E62" w:rsidRDefault="00CA3E62" w:rsidP="00DD5B7A">
      <w:pPr>
        <w:pStyle w:val="FootnoteText"/>
      </w:pPr>
      <w:r>
        <w:rPr>
          <w:rStyle w:val="FootnoteReference"/>
        </w:rPr>
        <w:footnoteRef/>
      </w:r>
      <w:r>
        <w:t xml:space="preserve"> Geoff Ross, Submission to the Select Committee on Fuel Pricing, p.1.</w:t>
      </w:r>
    </w:p>
  </w:footnote>
  <w:footnote w:id="36">
    <w:p w:rsidR="00CA3E62" w:rsidRDefault="00CA3E62" w:rsidP="00DD5B7A">
      <w:pPr>
        <w:pStyle w:val="FootnoteText"/>
      </w:pPr>
      <w:r>
        <w:rPr>
          <w:rStyle w:val="FootnoteReference"/>
        </w:rPr>
        <w:footnoteRef/>
      </w:r>
      <w:r>
        <w:t xml:space="preserve"> Jim McDonald, Submission to the Select Committee on Fuel Pricing, p. 1.</w:t>
      </w:r>
    </w:p>
  </w:footnote>
  <w:footnote w:id="37">
    <w:p w:rsidR="00CA3E62" w:rsidRDefault="00CA3E62" w:rsidP="00DD5B7A">
      <w:pPr>
        <w:pStyle w:val="FootnoteText"/>
      </w:pPr>
      <w:r>
        <w:rPr>
          <w:rStyle w:val="FootnoteReference"/>
        </w:rPr>
        <w:footnoteRef/>
      </w:r>
      <w:r>
        <w:t xml:space="preserve"> Rowena Carpenter, Transcript of evidence, 10 April 2019, p. 143.</w:t>
      </w:r>
    </w:p>
  </w:footnote>
  <w:footnote w:id="38">
    <w:p w:rsidR="00CA3E62" w:rsidRDefault="00CA3E62" w:rsidP="00DD5B7A">
      <w:pPr>
        <w:pStyle w:val="FootnoteText"/>
      </w:pPr>
      <w:r>
        <w:rPr>
          <w:rStyle w:val="FootnoteReference"/>
        </w:rPr>
        <w:footnoteRef/>
      </w:r>
      <w:r>
        <w:t xml:space="preserve"> Richard Tuffin, Submission to the Select Committee on Fuel Pricing, p. 1.</w:t>
      </w:r>
    </w:p>
  </w:footnote>
  <w:footnote w:id="39">
    <w:p w:rsidR="00CA3E62" w:rsidRDefault="00CA3E62" w:rsidP="00DD5B7A">
      <w:pPr>
        <w:pStyle w:val="FootnoteText"/>
      </w:pPr>
      <w:r>
        <w:rPr>
          <w:rStyle w:val="FootnoteReference"/>
        </w:rPr>
        <w:footnoteRef/>
      </w:r>
      <w:r>
        <w:t xml:space="preserve"> Rowena Carpenter, Transcript of evidence, 10 April 2019, pp. 146-147; Paulette Neilsen, Submission to the Select Committee on Fuel Pricing, pp. 1-2.</w:t>
      </w:r>
    </w:p>
  </w:footnote>
  <w:footnote w:id="40">
    <w:p w:rsidR="00CA3E62" w:rsidRDefault="00CA3E62" w:rsidP="00DD5B7A">
      <w:pPr>
        <w:pStyle w:val="FootnoteText"/>
      </w:pPr>
      <w:r>
        <w:rPr>
          <w:rStyle w:val="FootnoteReference"/>
        </w:rPr>
        <w:footnoteRef/>
      </w:r>
      <w:r>
        <w:t xml:space="preserve"> Lisa Brown, Submission to the Select Committee on Fuel Pricing, p. 1.</w:t>
      </w:r>
    </w:p>
  </w:footnote>
  <w:footnote w:id="41">
    <w:p w:rsidR="00CA3E62" w:rsidRDefault="00CA3E62">
      <w:pPr>
        <w:pStyle w:val="FootnoteText"/>
      </w:pPr>
      <w:r>
        <w:rPr>
          <w:rStyle w:val="FootnoteReference"/>
        </w:rPr>
        <w:footnoteRef/>
      </w:r>
      <w:r>
        <w:t xml:space="preserve"> Australian Competition and Consumer Commission, </w:t>
      </w:r>
      <w:r w:rsidRPr="00EC2212">
        <w:rPr>
          <w:i/>
        </w:rPr>
        <w:t>Transcript of evidence</w:t>
      </w:r>
      <w:r>
        <w:t>, 28 March 2019, p. 85.</w:t>
      </w:r>
    </w:p>
  </w:footnote>
  <w:footnote w:id="42">
    <w:p w:rsidR="00CA3E62" w:rsidRDefault="00CA3E62">
      <w:pPr>
        <w:pStyle w:val="FootnoteText"/>
      </w:pPr>
      <w:r>
        <w:rPr>
          <w:rStyle w:val="FootnoteReference"/>
        </w:rPr>
        <w:footnoteRef/>
      </w:r>
      <w:r>
        <w:t xml:space="preserve"> Australian Institute of Petroleum, Proof transcript of evidence, 9 May 2019, p. 254; Informed Sources, Transcript of evidence, 14 March, pp. 2, 12; ACAPMA, Transcript of evidence, 18 March 2019, p. 43; Costco, Transcript of evidence, 10 April 2019, p. 97; Viva Energy, Proof transcript of evidence, 9 May 2019, p. 214; 7-Eleven, Proof transcript of evidence, 9 May 2019, p. 234.</w:t>
      </w:r>
    </w:p>
  </w:footnote>
  <w:footnote w:id="43">
    <w:p w:rsidR="00CA3E62" w:rsidRDefault="00CA3E62">
      <w:pPr>
        <w:pStyle w:val="FootnoteText"/>
      </w:pPr>
      <w:r>
        <w:rPr>
          <w:rStyle w:val="FootnoteReference"/>
        </w:rPr>
        <w:footnoteRef/>
      </w:r>
      <w:r>
        <w:t xml:space="preserve"> Viva Energy, </w:t>
      </w:r>
      <w:r w:rsidRPr="00576B28">
        <w:rPr>
          <w:i/>
        </w:rPr>
        <w:t>Proof transcript of evidence</w:t>
      </w:r>
      <w:r>
        <w:t>, 9 May 2019, pp. 206, 209, 211; Mr Ferris, Informed Sources, Transcript of evidence, 14 March 2019, p. 4.</w:t>
      </w:r>
    </w:p>
  </w:footnote>
  <w:footnote w:id="44">
    <w:p w:rsidR="00CA3E62" w:rsidRDefault="00CA3E62">
      <w:pPr>
        <w:pStyle w:val="FootnoteText"/>
      </w:pPr>
      <w:r>
        <w:rPr>
          <w:rStyle w:val="FootnoteReference"/>
        </w:rPr>
        <w:footnoteRef/>
      </w:r>
      <w:r>
        <w:t xml:space="preserve"> NRMA, Transcript of evidence, 10 April 2019, pp. 129-130; 7-Eleven, submission, p. 5.</w:t>
      </w:r>
    </w:p>
  </w:footnote>
  <w:footnote w:id="45">
    <w:p w:rsidR="00CA3E62" w:rsidRDefault="00CA3E62">
      <w:pPr>
        <w:pStyle w:val="FootnoteText"/>
      </w:pPr>
      <w:r>
        <w:rPr>
          <w:rStyle w:val="FootnoteReference"/>
        </w:rPr>
        <w:footnoteRef/>
      </w:r>
      <w:r>
        <w:t xml:space="preserve"> See: </w:t>
      </w:r>
      <w:hyperlink r:id="rId6" w:history="1">
        <w:r>
          <w:rPr>
            <w:rStyle w:val="Hyperlink"/>
          </w:rPr>
          <w:t>https://www.accesscanberra.act.gov.au/app/answers/detail/a_id/2270/~/fair-trading-for-consumers</w:t>
        </w:r>
      </w:hyperlink>
    </w:p>
  </w:footnote>
  <w:footnote w:id="46">
    <w:p w:rsidR="00CA3E62" w:rsidRDefault="00CA3E62">
      <w:pPr>
        <w:pStyle w:val="FootnoteText"/>
      </w:pPr>
      <w:r>
        <w:rPr>
          <w:rStyle w:val="FootnoteReference"/>
        </w:rPr>
        <w:footnoteRef/>
      </w:r>
      <w:r>
        <w:t xml:space="preserve"> Chief Minister Andrew Barr, Proof transcript of evidence, 8 May 2019, p. 203; </w:t>
      </w:r>
    </w:p>
  </w:footnote>
  <w:footnote w:id="47">
    <w:p w:rsidR="00CA3E62" w:rsidRDefault="00CA3E62">
      <w:pPr>
        <w:pStyle w:val="FootnoteText"/>
      </w:pPr>
      <w:r>
        <w:rPr>
          <w:rStyle w:val="FootnoteReference"/>
        </w:rPr>
        <w:footnoteRef/>
      </w:r>
      <w:r>
        <w:t xml:space="preserve"> Australian Competition and Consumer Commission, Transcript of evidence, 28 March 2019, pp. 72-74, 81-82; NRMA, Transcript of evidence, 10 April 2019, pp. 115-117, 120-121, 129</w:t>
      </w:r>
      <w:r w:rsidRPr="00FD2494">
        <w:t>; Caltex, Transcript</w:t>
      </w:r>
      <w:r>
        <w:t xml:space="preserve"> of evidence, 10 April 2019, p. 108; </w:t>
      </w:r>
      <w:r w:rsidRPr="00310A7C">
        <w:t>Benjamin Ling</w:t>
      </w:r>
      <w:r>
        <w:t xml:space="preserve">, Transcript of evidence, 30 April 2019, p. 158, 163; Motor Trade Association of the ACT, Transcript of evidence, 30 April 2019, p. 169; </w:t>
      </w:r>
      <w:hyperlink r:id="rId7" w:history="1">
        <w:r w:rsidRPr="0080387E">
          <w:rPr>
            <w:rStyle w:val="Hyperlink"/>
          </w:rPr>
          <w:t>https://fuelcheck.nsw.gov.au/app</w:t>
        </w:r>
      </w:hyperlink>
      <w:r w:rsidRPr="0080387E">
        <w:t xml:space="preserve">; </w:t>
      </w:r>
      <w:hyperlink r:id="rId8" w:history="1">
        <w:r w:rsidRPr="0080387E">
          <w:rPr>
            <w:rStyle w:val="Hyperlink"/>
          </w:rPr>
          <w:t>https://www.dnrme.qld.gov.au/energy/initiatives/fuel-price-reporting-trial</w:t>
        </w:r>
      </w:hyperlink>
      <w:r w:rsidRPr="0080387E">
        <w:t>.</w:t>
      </w:r>
    </w:p>
  </w:footnote>
  <w:footnote w:id="48">
    <w:p w:rsidR="00CA3E62" w:rsidRDefault="00CA3E62">
      <w:pPr>
        <w:pStyle w:val="FootnoteText"/>
      </w:pPr>
      <w:r>
        <w:rPr>
          <w:rStyle w:val="FootnoteReference"/>
        </w:rPr>
        <w:footnoteRef/>
      </w:r>
      <w:r>
        <w:t xml:space="preserve"> NRMA, Transcript of evidence, 10 April 2019, pp. 120-121.</w:t>
      </w:r>
    </w:p>
  </w:footnote>
  <w:footnote w:id="49">
    <w:p w:rsidR="00CA3E62" w:rsidRDefault="00CA3E62">
      <w:pPr>
        <w:pStyle w:val="FootnoteText"/>
      </w:pPr>
      <w:r>
        <w:rPr>
          <w:rStyle w:val="FootnoteReference"/>
        </w:rPr>
        <w:footnoteRef/>
      </w:r>
      <w:r>
        <w:t xml:space="preserve"> NRMA, Transcript of evidence, 10 April 2019, pp. 115, 129-130.</w:t>
      </w:r>
    </w:p>
  </w:footnote>
  <w:footnote w:id="50">
    <w:p w:rsidR="00CA3E62" w:rsidRDefault="00CA3E62">
      <w:pPr>
        <w:pStyle w:val="FootnoteText"/>
      </w:pPr>
      <w:r>
        <w:rPr>
          <w:rStyle w:val="FootnoteReference"/>
        </w:rPr>
        <w:footnoteRef/>
      </w:r>
      <w:r>
        <w:t xml:space="preserve"> Nic Moulis, Transcript of evidence, 30 April 2019, pp. 185-186; Australasian Convenience and Petroleum Marketers Association, Transcript of evidence, 18 March 2019, pp. 43-44.</w:t>
      </w:r>
    </w:p>
  </w:footnote>
  <w:footnote w:id="51">
    <w:p w:rsidR="00CA3E62" w:rsidRDefault="00CA3E62">
      <w:pPr>
        <w:pStyle w:val="FootnoteText"/>
      </w:pPr>
      <w:r>
        <w:rPr>
          <w:rStyle w:val="FootnoteReference"/>
        </w:rPr>
        <w:footnoteRef/>
      </w:r>
      <w:r>
        <w:t xml:space="preserve"> Australian Institute of Petroleum, Proof transcript of evidence, 9 May 2019, pp.247-248.</w:t>
      </w:r>
    </w:p>
  </w:footnote>
  <w:footnote w:id="52">
    <w:p w:rsidR="00CA3E62" w:rsidRDefault="00CA3E62">
      <w:pPr>
        <w:pStyle w:val="FootnoteText"/>
      </w:pPr>
      <w:r>
        <w:rPr>
          <w:rStyle w:val="FootnoteReference"/>
        </w:rPr>
        <w:footnoteRef/>
      </w:r>
      <w:r>
        <w:t xml:space="preserve"> See concerns raised in 2001: </w:t>
      </w:r>
      <w:hyperlink r:id="rId9" w:history="1">
        <w:r w:rsidRPr="00B9647A">
          <w:rPr>
            <w:rStyle w:val="Hyperlink"/>
          </w:rPr>
          <w:t>https://www.icrc.act.gov.au/__data/assets/pdf_file/0008/1249595/finalreportfuelprices3sept2001cw.pdf</w:t>
        </w:r>
      </w:hyperlink>
      <w:r>
        <w:t xml:space="preserve"> </w:t>
      </w:r>
    </w:p>
  </w:footnote>
  <w:footnote w:id="53">
    <w:p w:rsidR="00CA3E62" w:rsidRDefault="00CA3E62">
      <w:pPr>
        <w:pStyle w:val="FootnoteText"/>
      </w:pPr>
      <w:r>
        <w:rPr>
          <w:rStyle w:val="FootnoteReference"/>
        </w:rPr>
        <w:footnoteRef/>
      </w:r>
      <w:r>
        <w:t xml:space="preserve"> WA Department of Mines, Industry Regulation and Safety, submission, pp. 2-6; </w:t>
      </w:r>
      <w:hyperlink r:id="rId10" w:history="1">
        <w:r>
          <w:rPr>
            <w:rStyle w:val="Hyperlink"/>
          </w:rPr>
          <w:t>https://www.fuelwatch.wa.gov.au/fuelwatch/pages/home.jspx</w:t>
        </w:r>
      </w:hyperlink>
    </w:p>
  </w:footnote>
  <w:footnote w:id="54">
    <w:p w:rsidR="00CA3E62" w:rsidRDefault="00CA3E62">
      <w:pPr>
        <w:pStyle w:val="FootnoteText"/>
      </w:pPr>
      <w:r>
        <w:rPr>
          <w:rStyle w:val="FootnoteReference"/>
        </w:rPr>
        <w:footnoteRef/>
      </w:r>
      <w:r>
        <w:t xml:space="preserve"> Australian Competition and Consumer Commission, Transcript of evidence, 28 March 2019, p. 80; Informed Sources, Transcript of evidence, 14 March, p. 25; WA Department of Mines, Industry Regulation and Safety, submission, pp. 5-6.</w:t>
      </w:r>
    </w:p>
  </w:footnote>
  <w:footnote w:id="55">
    <w:p w:rsidR="00CA3E62" w:rsidRDefault="00CA3E62">
      <w:pPr>
        <w:pStyle w:val="FootnoteText"/>
      </w:pPr>
      <w:r>
        <w:rPr>
          <w:rStyle w:val="FootnoteReference"/>
        </w:rPr>
        <w:footnoteRef/>
      </w:r>
      <w:r>
        <w:t xml:space="preserve"> Australian Competition and Consumer Commission, Transcript of evidence, 28 March 2019, pp. 75-76, 80.</w:t>
      </w:r>
    </w:p>
  </w:footnote>
  <w:footnote w:id="56">
    <w:p w:rsidR="00CA3E62" w:rsidRDefault="00CA3E62">
      <w:pPr>
        <w:pStyle w:val="FootnoteText"/>
      </w:pPr>
      <w:r>
        <w:rPr>
          <w:rStyle w:val="FootnoteReference"/>
        </w:rPr>
        <w:footnoteRef/>
      </w:r>
      <w:r>
        <w:t xml:space="preserve"> 7-Eleven, Transcript of evidence, 9 May 2019, pp. 230-231.</w:t>
      </w:r>
    </w:p>
  </w:footnote>
  <w:footnote w:id="57">
    <w:p w:rsidR="00CA3E62" w:rsidRDefault="00CA3E62">
      <w:pPr>
        <w:pStyle w:val="FootnoteText"/>
      </w:pPr>
      <w:r>
        <w:rPr>
          <w:rStyle w:val="FootnoteReference"/>
        </w:rPr>
        <w:footnoteRef/>
      </w:r>
      <w:r>
        <w:t xml:space="preserve"> See </w:t>
      </w:r>
      <w:hyperlink r:id="rId11" w:history="1">
        <w:r w:rsidRPr="00B9647A">
          <w:rPr>
            <w:rStyle w:val="Hyperlink"/>
          </w:rPr>
          <w:t>http://www.dice.hhu.de/fileadmin/redaktion/Fakultaeten/Wirtschaftswissenschaftliche_Fakultaet/DICE/Discussion_Paper/047_Haucap_Mueller_2.pdf</w:t>
        </w:r>
      </w:hyperlink>
      <w:r>
        <w:t xml:space="preserve"> versus </w:t>
      </w:r>
      <w:hyperlink r:id="rId12" w:history="1">
        <w:r w:rsidRPr="00B9647A">
          <w:rPr>
            <w:rStyle w:val="Hyperlink"/>
          </w:rPr>
          <w:t>http://www.dice.hhu.de/fileadmin/redaktion/Fakultaeten/Wirtschaftswissenschaftliche_Fakultaet/DICE/Discussion_Paper/051_Dewenter_Heimeshoff.pdf</w:t>
        </w:r>
      </w:hyperlink>
      <w:r>
        <w:t xml:space="preserve"> </w:t>
      </w:r>
    </w:p>
  </w:footnote>
  <w:footnote w:id="58">
    <w:p w:rsidR="00CA3E62" w:rsidRPr="00DF1DFD" w:rsidRDefault="00CA3E62">
      <w:pPr>
        <w:pStyle w:val="FootnoteText"/>
      </w:pPr>
      <w:r w:rsidRPr="00DF1DFD">
        <w:rPr>
          <w:rStyle w:val="FootnoteReference"/>
        </w:rPr>
        <w:footnoteRef/>
      </w:r>
      <w:r w:rsidRPr="00DF1DFD">
        <w:t xml:space="preserve"> Caltex, Transcript of evidence, 10 April 2019, p. 108</w:t>
      </w:r>
      <w:r>
        <w:t>.</w:t>
      </w:r>
    </w:p>
  </w:footnote>
  <w:footnote w:id="59">
    <w:p w:rsidR="00CA3E62" w:rsidRDefault="00CA3E62">
      <w:pPr>
        <w:pStyle w:val="FootnoteText"/>
      </w:pPr>
      <w:r w:rsidRPr="00DF1DFD">
        <w:rPr>
          <w:rStyle w:val="FootnoteReference"/>
        </w:rPr>
        <w:footnoteRef/>
      </w:r>
      <w:r w:rsidRPr="00DF1DFD">
        <w:t xml:space="preserve"> Chief Minister Andrew Barr, Proof transcript of evidence, 8 May 2019, p. 194; Motor Trade Association of Western Australia.</w:t>
      </w:r>
    </w:p>
  </w:footnote>
  <w:footnote w:id="60">
    <w:p w:rsidR="00CA3E62" w:rsidRDefault="00CA3E62">
      <w:pPr>
        <w:pStyle w:val="FootnoteText"/>
      </w:pPr>
      <w:r>
        <w:rPr>
          <w:rStyle w:val="FootnoteReference"/>
        </w:rPr>
        <w:footnoteRef/>
      </w:r>
      <w:r>
        <w:t xml:space="preserve"> See: </w:t>
      </w:r>
      <w:r w:rsidRPr="004B1864">
        <w:t>http://www.dice.hhu.de/fileadmin/redaktion/Fakultaeten/Wirtschaftswissenschaftliche_Fakultaet/DICE/Discussion_Paper/047_Haucap_Mueller_2.pdf</w:t>
      </w:r>
      <w:r>
        <w:t>.</w:t>
      </w:r>
    </w:p>
  </w:footnote>
  <w:footnote w:id="61">
    <w:p w:rsidR="00CA3E62" w:rsidRDefault="00CA3E62">
      <w:pPr>
        <w:pStyle w:val="FootnoteText"/>
      </w:pPr>
      <w:r>
        <w:rPr>
          <w:rStyle w:val="FootnoteReference"/>
        </w:rPr>
        <w:footnoteRef/>
      </w:r>
      <w:r>
        <w:t xml:space="preserve"> </w:t>
      </w:r>
      <w:r w:rsidRPr="00FA2A6D">
        <w:t xml:space="preserve">Informed Sources, </w:t>
      </w:r>
      <w:r>
        <w:t xml:space="preserve">Transcript of evidence, </w:t>
      </w:r>
      <w:r w:rsidRPr="00FA2A6D">
        <w:t>14 March</w:t>
      </w:r>
      <w:r>
        <w:t xml:space="preserve"> 2019</w:t>
      </w:r>
      <w:r w:rsidRPr="00FA2A6D">
        <w:t>, p</w:t>
      </w:r>
      <w:r>
        <w:t>p</w:t>
      </w:r>
      <w:r w:rsidRPr="00FA2A6D">
        <w:t>. 6</w:t>
      </w:r>
      <w:r>
        <w:t xml:space="preserve">, 12, 14; Costco, Transcript of evidence, 10 April 2019, pp. 91-92; NRMA, Transcript of evidence, 10 April 2019, p. 120; Nic Moulis, Transcript of evidence, 30 April 2019, p. 188; 7-Eleven, Proof transcript of evidence, 9 May 2019, p. </w:t>
      </w:r>
      <w:r w:rsidRPr="004B1864">
        <w:t xml:space="preserve">234, 236; Chief Minister Andrew Barr, Proof transcript of evidence, 8 May 2019, p. 195. </w:t>
      </w:r>
    </w:p>
  </w:footnote>
  <w:footnote w:id="62">
    <w:p w:rsidR="00CA3E62" w:rsidRDefault="00CA3E62">
      <w:pPr>
        <w:pStyle w:val="FootnoteText"/>
      </w:pPr>
      <w:r>
        <w:rPr>
          <w:rStyle w:val="FootnoteReference"/>
        </w:rPr>
        <w:footnoteRef/>
      </w:r>
      <w:r>
        <w:t xml:space="preserve"> See: </w:t>
      </w:r>
      <w:hyperlink r:id="rId13" w:history="1">
        <w:r>
          <w:rPr>
            <w:rStyle w:val="Hyperlink"/>
          </w:rPr>
          <w:t>https://www.parliament.act.gov.au/in-committees/standing-committees-current-assembly/standing-committee-on-planning-and-urban-renewal/inquiry-into-billboards</w:t>
        </w:r>
      </w:hyperlink>
    </w:p>
  </w:footnote>
  <w:footnote w:id="63">
    <w:p w:rsidR="00CA3E62" w:rsidRDefault="00CA3E62">
      <w:pPr>
        <w:pStyle w:val="FootnoteText"/>
      </w:pPr>
      <w:r>
        <w:rPr>
          <w:rStyle w:val="FootnoteReference"/>
        </w:rPr>
        <w:footnoteRef/>
      </w:r>
      <w:r>
        <w:t xml:space="preserve"> Australasian Convenience and Petroleum Marketers Association, </w:t>
      </w:r>
      <w:r>
        <w:rPr>
          <w:i/>
        </w:rPr>
        <w:t>T</w:t>
      </w:r>
      <w:r w:rsidRPr="00E600D9">
        <w:rPr>
          <w:i/>
        </w:rPr>
        <w:t>ranscript</w:t>
      </w:r>
      <w:r>
        <w:rPr>
          <w:i/>
        </w:rPr>
        <w:t xml:space="preserve"> of evidence</w:t>
      </w:r>
      <w:r>
        <w:t xml:space="preserve">, 18 March 2019, pp. </w:t>
      </w:r>
      <w:r w:rsidRPr="00FA10B4">
        <w:t>32, 38</w:t>
      </w:r>
      <w:r>
        <w:t xml:space="preserve">; 7-Eleven, submission, p. 4; </w:t>
      </w:r>
      <w:r w:rsidRPr="006160BE">
        <w:t xml:space="preserve">Viva Energy, </w:t>
      </w:r>
      <w:r w:rsidRPr="00E600D9">
        <w:rPr>
          <w:i/>
        </w:rPr>
        <w:t>Proof transcript of evidence</w:t>
      </w:r>
      <w:r w:rsidRPr="006160BE">
        <w:t>, 9 May 2019</w:t>
      </w:r>
      <w:r>
        <w:t>, p. 215.</w:t>
      </w:r>
    </w:p>
  </w:footnote>
  <w:footnote w:id="64">
    <w:p w:rsidR="00CA3E62" w:rsidRDefault="00CA3E62">
      <w:pPr>
        <w:pStyle w:val="FootnoteText"/>
      </w:pPr>
      <w:r>
        <w:rPr>
          <w:rStyle w:val="FootnoteReference"/>
        </w:rPr>
        <w:footnoteRef/>
      </w:r>
      <w:r>
        <w:t xml:space="preserve"> ACT Council of Social Services, Transcript of evidence, 18 March 2019, pp. 49, 53, 55; ACT Council of Social Services, submission, pp. 5-6, 10-11, 14-15.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40C5" w:rsidRDefault="00CB40C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40C5" w:rsidRDefault="00CB40C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40C5" w:rsidRDefault="00CB40C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3E62" w:rsidRPr="002046E5" w:rsidRDefault="00CA3E62" w:rsidP="001C2D1C">
    <w:pPr>
      <w:pStyle w:val="Header"/>
      <w:pBdr>
        <w:bottom w:val="single" w:sz="4" w:space="1" w:color="A6A6A6"/>
      </w:pBdr>
      <w:rPr>
        <w:caps w:val="0"/>
        <w:smallCaps/>
      </w:rPr>
    </w:pPr>
    <w:r w:rsidRPr="002046E5">
      <w:rPr>
        <w:caps w:val="0"/>
        <w:smallCaps/>
      </w:rPr>
      <w:fldChar w:fldCharType="begin"/>
    </w:r>
    <w:r w:rsidRPr="002046E5">
      <w:rPr>
        <w:caps w:val="0"/>
        <w:smallCaps/>
      </w:rPr>
      <w:instrText xml:space="preserve"> STYLEREF  "Committee Name"  \* MERGEFORMAT </w:instrText>
    </w:r>
    <w:r w:rsidRPr="002046E5">
      <w:rPr>
        <w:caps w:val="0"/>
        <w:smallCaps/>
      </w:rPr>
      <w:fldChar w:fldCharType="separate"/>
    </w:r>
    <w:r w:rsidR="006D5D66">
      <w:rPr>
        <w:caps w:val="0"/>
        <w:smallCaps/>
        <w:noProof/>
      </w:rPr>
      <w:t>Select Committee on Fuel Pricing</w:t>
    </w:r>
    <w:r w:rsidRPr="002046E5">
      <w:rPr>
        <w:caps w:val="0"/>
        <w:smallCaps/>
        <w:noProof/>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3E62" w:rsidRPr="002046E5" w:rsidRDefault="00CA3E62" w:rsidP="001C2D1C">
    <w:pPr>
      <w:pStyle w:val="Header"/>
      <w:pBdr>
        <w:bottom w:val="single" w:sz="4" w:space="1" w:color="A6A6A6"/>
      </w:pBdr>
      <w:jc w:val="right"/>
      <w:rPr>
        <w:caps w:val="0"/>
        <w:smallCaps/>
      </w:rPr>
    </w:pPr>
    <w:r w:rsidRPr="002046E5">
      <w:rPr>
        <w:caps w:val="0"/>
        <w:smallCaps/>
      </w:rPr>
      <w:fldChar w:fldCharType="begin"/>
    </w:r>
    <w:r w:rsidRPr="002046E5">
      <w:rPr>
        <w:caps w:val="0"/>
        <w:smallCaps/>
      </w:rPr>
      <w:instrText xml:space="preserve"> STYLEREF  "Heading 1"  \* MERGEFORMAT </w:instrText>
    </w:r>
    <w:r w:rsidRPr="002046E5">
      <w:rPr>
        <w:caps w:val="0"/>
        <w:smallCaps/>
      </w:rPr>
      <w:fldChar w:fldCharType="separate"/>
    </w:r>
    <w:r w:rsidR="006D5D66">
      <w:rPr>
        <w:caps w:val="0"/>
        <w:smallCaps/>
        <w:noProof/>
      </w:rPr>
      <w:t>Interim Report on Inquiry into ACT Fuel Pricing</w:t>
    </w:r>
    <w:r w:rsidRPr="002046E5">
      <w:rPr>
        <w:caps w:val="0"/>
        <w:smallCaps/>
        <w:noProof/>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3E62" w:rsidRDefault="00CA3E6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3E62" w:rsidRDefault="00CA3E6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2"/>
    <w:multiLevelType w:val="singleLevel"/>
    <w:tmpl w:val="F8462326"/>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FFFFFF88"/>
    <w:multiLevelType w:val="singleLevel"/>
    <w:tmpl w:val="15F0EC40"/>
    <w:lvl w:ilvl="0">
      <w:start w:val="1"/>
      <w:numFmt w:val="decimal"/>
      <w:pStyle w:val="ListNumber"/>
      <w:lvlText w:val="%1."/>
      <w:lvlJc w:val="left"/>
      <w:pPr>
        <w:tabs>
          <w:tab w:val="num" w:pos="360"/>
        </w:tabs>
        <w:ind w:left="360" w:hanging="360"/>
      </w:pPr>
    </w:lvl>
  </w:abstractNum>
  <w:abstractNum w:abstractNumId="2" w15:restartNumberingAfterBreak="0">
    <w:nsid w:val="FFFFFF89"/>
    <w:multiLevelType w:val="singleLevel"/>
    <w:tmpl w:val="1E10CA04"/>
    <w:lvl w:ilvl="0">
      <w:start w:val="1"/>
      <w:numFmt w:val="bullet"/>
      <w:lvlText w:val=""/>
      <w:lvlJc w:val="left"/>
      <w:pPr>
        <w:tabs>
          <w:tab w:val="num" w:pos="964"/>
        </w:tabs>
        <w:ind w:left="964" w:hanging="255"/>
      </w:pPr>
      <w:rPr>
        <w:rFonts w:ascii="Wingdings" w:hAnsi="Wingdings" w:hint="default"/>
        <w:sz w:val="24"/>
        <w:szCs w:val="24"/>
      </w:rPr>
    </w:lvl>
  </w:abstractNum>
  <w:abstractNum w:abstractNumId="3" w15:restartNumberingAfterBreak="0">
    <w:nsid w:val="0A6F7859"/>
    <w:multiLevelType w:val="multilevel"/>
    <w:tmpl w:val="0C09001D"/>
    <w:styleLink w:val="CommitteeNumberedPar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13304FB4"/>
    <w:multiLevelType w:val="hybridMultilevel"/>
    <w:tmpl w:val="9E801158"/>
    <w:lvl w:ilvl="0" w:tplc="D9CAB118">
      <w:start w:val="1"/>
      <w:numFmt w:val="bullet"/>
      <w:pStyle w:val="ListWitnesses"/>
      <w:lvlText w:val=""/>
      <w:lvlJc w:val="left"/>
      <w:pPr>
        <w:ind w:left="1287" w:hanging="360"/>
      </w:pPr>
      <w:rPr>
        <w:rFonts w:ascii="Wingdings" w:hAnsi="Wingdings"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5" w15:restartNumberingAfterBreak="0">
    <w:nsid w:val="17B11FB6"/>
    <w:multiLevelType w:val="multilevel"/>
    <w:tmpl w:val="10AC1822"/>
    <w:styleLink w:val="test1"/>
    <w:lvl w:ilvl="0">
      <w:start w:val="1"/>
      <w:numFmt w:val="decimal"/>
      <w:lvlText w:val="%1"/>
      <w:lvlJc w:val="left"/>
      <w:pPr>
        <w:tabs>
          <w:tab w:val="num" w:pos="680"/>
        </w:tabs>
        <w:ind w:left="567" w:hanging="567"/>
      </w:pPr>
      <w:rPr>
        <w:rFonts w:ascii="Arial Narrow" w:hAnsi="Arial Narrow" w:hint="default"/>
        <w:b/>
        <w:i w:val="0"/>
        <w:sz w:val="44"/>
      </w:rPr>
    </w:lvl>
    <w:lvl w:ilvl="1">
      <w:start w:val="1"/>
      <w:numFmt w:val="none"/>
      <w:lvlRestart w:val="0"/>
      <w:lvlText w:val=""/>
      <w:lvlJc w:val="left"/>
      <w:pPr>
        <w:tabs>
          <w:tab w:val="num" w:pos="680"/>
        </w:tabs>
        <w:ind w:left="454" w:hanging="454"/>
      </w:pPr>
      <w:rPr>
        <w:rFonts w:ascii="Palatino Linotype" w:hAnsi="Palatino Linotype" w:hint="default"/>
        <w:b w:val="0"/>
        <w:i w:val="0"/>
        <w:caps w:val="0"/>
        <w:vanish w:val="0"/>
        <w:w w:val="95"/>
        <w:sz w:val="22"/>
        <w:szCs w:val="22"/>
      </w:rPr>
    </w:lvl>
    <w:lvl w:ilvl="2">
      <w:start w:val="1"/>
      <w:numFmt w:val="none"/>
      <w:lvlRestart w:val="0"/>
      <w:lvlText w:val=""/>
      <w:lvlJc w:val="left"/>
      <w:pPr>
        <w:tabs>
          <w:tab w:val="num" w:pos="720"/>
        </w:tabs>
        <w:ind w:left="454" w:hanging="454"/>
      </w:pPr>
      <w:rPr>
        <w:rFonts w:hint="default"/>
      </w:rPr>
    </w:lvl>
    <w:lvl w:ilvl="3">
      <w:start w:val="1"/>
      <w:numFmt w:val="none"/>
      <w:lvlRestart w:val="0"/>
      <w:lvlText w:val=""/>
      <w:lvlJc w:val="left"/>
      <w:pPr>
        <w:tabs>
          <w:tab w:val="num" w:pos="864"/>
        </w:tabs>
        <w:ind w:left="340" w:hanging="340"/>
      </w:pPr>
      <w:rPr>
        <w:rFonts w:hint="default"/>
      </w:rPr>
    </w:lvl>
    <w:lvl w:ilvl="4">
      <w:start w:val="1"/>
      <w:numFmt w:val="none"/>
      <w:lvlRestart w:val="0"/>
      <w:lvlText w:val=""/>
      <w:lvlJc w:val="left"/>
      <w:pPr>
        <w:tabs>
          <w:tab w:val="num" w:pos="1008"/>
        </w:tabs>
        <w:ind w:left="340" w:hanging="340"/>
      </w:pPr>
      <w:rPr>
        <w:rFonts w:hint="default"/>
      </w:rPr>
    </w:lvl>
    <w:lvl w:ilvl="5">
      <w:start w:val="1"/>
      <w:numFmt w:val="decimal"/>
      <w:lvlRestart w:val="1"/>
      <w:lvlText w:val="%1.%6"/>
      <w:lvlJc w:val="left"/>
      <w:pPr>
        <w:ind w:left="567" w:hanging="567"/>
      </w:pPr>
      <w:rPr>
        <w:rFonts w:ascii="Calibri" w:hAnsi="Calibri" w:hint="default"/>
        <w:sz w:val="22"/>
      </w:rPr>
    </w:lvl>
    <w:lvl w:ilvl="6">
      <w:start w:val="1"/>
      <w:numFmt w:val="decimal"/>
      <w:lvlRestart w:val="0"/>
      <w:lvlText w:val="Recommendation %7"/>
      <w:lvlJc w:val="left"/>
      <w:pPr>
        <w:ind w:left="142" w:firstLine="0"/>
      </w:pPr>
      <w:rPr>
        <w:rFonts w:ascii="Arial Narrow" w:hAnsi="Arial Narrow" w:hint="default"/>
        <w:b/>
        <w:i w:val="0"/>
        <w:sz w:val="28"/>
      </w:rPr>
    </w:lvl>
    <w:lvl w:ilvl="7">
      <w:start w:val="1"/>
      <w:numFmt w:val="upperLetter"/>
      <w:lvlText w:val="Appendix %8"/>
      <w:lvlJc w:val="left"/>
      <w:pPr>
        <w:tabs>
          <w:tab w:val="num" w:pos="1440"/>
        </w:tabs>
        <w:ind w:left="1440" w:hanging="1440"/>
      </w:pPr>
      <w:rPr>
        <w:rFonts w:ascii="Arial Narrow" w:hAnsi="Arial Narrow" w:hint="default"/>
        <w:caps w:val="0"/>
        <w:sz w:val="36"/>
      </w:rPr>
    </w:lvl>
    <w:lvl w:ilvl="8">
      <w:start w:val="1"/>
      <w:numFmt w:val="decimal"/>
      <w:lvlText w:val="%1.%2.%3.%4.%5.%6.%7.%8.%9"/>
      <w:lvlJc w:val="left"/>
      <w:pPr>
        <w:tabs>
          <w:tab w:val="num" w:pos="1584"/>
        </w:tabs>
        <w:ind w:left="1584" w:hanging="1584"/>
      </w:pPr>
      <w:rPr>
        <w:rFonts w:hint="default"/>
      </w:rPr>
    </w:lvl>
  </w:abstractNum>
  <w:abstractNum w:abstractNumId="6" w15:restartNumberingAfterBreak="0">
    <w:nsid w:val="1859335E"/>
    <w:multiLevelType w:val="hybridMultilevel"/>
    <w:tmpl w:val="435A299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25344C7"/>
    <w:multiLevelType w:val="multilevel"/>
    <w:tmpl w:val="6F8CB9FC"/>
    <w:name w:val="new2"/>
    <w:lvl w:ilvl="0">
      <w:start w:val="1"/>
      <w:numFmt w:val="decimal"/>
      <w:lvlText w:val="%1"/>
      <w:lvlJc w:val="left"/>
      <w:pPr>
        <w:tabs>
          <w:tab w:val="num" w:pos="680"/>
        </w:tabs>
        <w:ind w:left="680" w:hanging="680"/>
      </w:pPr>
      <w:rPr>
        <w:rFonts w:hint="default"/>
      </w:rPr>
    </w:lvl>
    <w:lvl w:ilvl="1">
      <w:start w:val="1"/>
      <w:numFmt w:val="decimal"/>
      <w:lvlText w:val="%1.%2"/>
      <w:lvlJc w:val="left"/>
      <w:pPr>
        <w:tabs>
          <w:tab w:val="num" w:pos="680"/>
        </w:tabs>
        <w:ind w:left="680" w:hanging="68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224"/>
        </w:tabs>
        <w:ind w:left="1224" w:hanging="864"/>
      </w:pPr>
      <w:rPr>
        <w:rFonts w:hint="default"/>
      </w:rPr>
    </w:lvl>
    <w:lvl w:ilvl="4">
      <w:start w:val="1"/>
      <w:numFmt w:val="decimal"/>
      <w:lvlText w:val="%1.%2.%3.%4.%5"/>
      <w:lvlJc w:val="left"/>
      <w:pPr>
        <w:tabs>
          <w:tab w:val="num" w:pos="1368"/>
        </w:tabs>
        <w:ind w:left="1368" w:hanging="1008"/>
      </w:pPr>
      <w:rPr>
        <w:rFonts w:hint="default"/>
      </w:rPr>
    </w:lvl>
    <w:lvl w:ilvl="5">
      <w:start w:val="1"/>
      <w:numFmt w:val="decimal"/>
      <w:lvlText w:val="%1.%2.%3.%4.%5.%6"/>
      <w:lvlJc w:val="left"/>
      <w:pPr>
        <w:tabs>
          <w:tab w:val="num" w:pos="1512"/>
        </w:tabs>
        <w:ind w:left="1512" w:hanging="1152"/>
      </w:pPr>
      <w:rPr>
        <w:rFonts w:hint="default"/>
      </w:rPr>
    </w:lvl>
    <w:lvl w:ilvl="6">
      <w:start w:val="1"/>
      <w:numFmt w:val="decimal"/>
      <w:lvlText w:val="%1.%2.%3.%4.%5.%6.%7"/>
      <w:lvlJc w:val="left"/>
      <w:pPr>
        <w:tabs>
          <w:tab w:val="num" w:pos="1656"/>
        </w:tabs>
        <w:ind w:left="1656" w:hanging="1296"/>
      </w:pPr>
      <w:rPr>
        <w:rFonts w:hint="default"/>
      </w:rPr>
    </w:lvl>
    <w:lvl w:ilvl="7">
      <w:start w:val="1"/>
      <w:numFmt w:val="decimal"/>
      <w:lvlText w:val="%1.%2.%3.%4.%5.%6.%7.%8"/>
      <w:lvlJc w:val="left"/>
      <w:pPr>
        <w:tabs>
          <w:tab w:val="num" w:pos="1800"/>
        </w:tabs>
        <w:ind w:left="1800" w:hanging="1440"/>
      </w:pPr>
      <w:rPr>
        <w:rFonts w:hint="default"/>
      </w:rPr>
    </w:lvl>
    <w:lvl w:ilvl="8">
      <w:start w:val="1"/>
      <w:numFmt w:val="decimal"/>
      <w:lvlText w:val="%1.%2.%3.%4.%5.%6.%7.%8.%9"/>
      <w:lvlJc w:val="left"/>
      <w:pPr>
        <w:tabs>
          <w:tab w:val="num" w:pos="1944"/>
        </w:tabs>
        <w:ind w:left="1944" w:hanging="1584"/>
      </w:pPr>
      <w:rPr>
        <w:rFonts w:hint="default"/>
      </w:rPr>
    </w:lvl>
  </w:abstractNum>
  <w:abstractNum w:abstractNumId="8" w15:restartNumberingAfterBreak="0">
    <w:nsid w:val="37B14041"/>
    <w:multiLevelType w:val="hybridMultilevel"/>
    <w:tmpl w:val="394EC116"/>
    <w:lvl w:ilvl="0" w:tplc="0DDC1AC8">
      <w:start w:val="1"/>
      <w:numFmt w:val="bullet"/>
      <w:pStyle w:val="ListNoBullet"/>
      <w:suff w:val="nothing"/>
      <w:lvlText w:val=""/>
      <w:lvlJc w:val="left"/>
      <w:pPr>
        <w:ind w:left="0" w:firstLine="0"/>
      </w:pPr>
      <w:rPr>
        <w:rFonts w:ascii="Symbol" w:hAnsi="Symbol" w:hint="default"/>
        <w:spacing w:val="-100"/>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0745B92"/>
    <w:multiLevelType w:val="hybridMultilevel"/>
    <w:tmpl w:val="6F744E2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40F11D6F"/>
    <w:multiLevelType w:val="multilevel"/>
    <w:tmpl w:val="2436B1F4"/>
    <w:lvl w:ilvl="0">
      <w:start w:val="1"/>
      <w:numFmt w:val="decimal"/>
      <w:pStyle w:val="Heading2"/>
      <w:lvlText w:val="%1"/>
      <w:lvlJc w:val="left"/>
      <w:pPr>
        <w:tabs>
          <w:tab w:val="num" w:pos="680"/>
        </w:tabs>
        <w:ind w:left="567" w:hanging="567"/>
      </w:pPr>
      <w:rPr>
        <w:rFonts w:ascii="Arial Narrow" w:hAnsi="Arial Narrow" w:hint="default"/>
        <w:b/>
        <w:i w:val="0"/>
        <w:sz w:val="44"/>
      </w:rPr>
    </w:lvl>
    <w:lvl w:ilvl="1">
      <w:start w:val="1"/>
      <w:numFmt w:val="decimal"/>
      <w:pStyle w:val="BodyText"/>
      <w:lvlText w:val="%1.%2"/>
      <w:lvlJc w:val="left"/>
      <w:pPr>
        <w:ind w:left="567" w:hanging="567"/>
      </w:pPr>
      <w:rPr>
        <w:rFonts w:ascii="Calibri" w:hAnsi="Calibri" w:hint="default"/>
        <w:sz w:val="22"/>
      </w:rPr>
    </w:lvl>
    <w:lvl w:ilvl="2">
      <w:start w:val="1"/>
      <w:numFmt w:val="bullet"/>
      <w:lvlRestart w:val="0"/>
      <w:pStyle w:val="ListBullet"/>
      <w:lvlText w:val=""/>
      <w:lvlJc w:val="left"/>
      <w:pPr>
        <w:ind w:left="964" w:hanging="397"/>
      </w:pPr>
      <w:rPr>
        <w:rFonts w:ascii="Wingdings" w:hAnsi="Wingdings" w:hint="default"/>
        <w:sz w:val="24"/>
      </w:rPr>
    </w:lvl>
    <w:lvl w:ilvl="3">
      <w:start w:val="1"/>
      <w:numFmt w:val="bullet"/>
      <w:lvlRestart w:val="0"/>
      <w:pStyle w:val="ListBullet2"/>
      <w:lvlText w:val=""/>
      <w:lvlJc w:val="left"/>
      <w:pPr>
        <w:ind w:left="1276" w:hanging="284"/>
      </w:pPr>
      <w:rPr>
        <w:rFonts w:ascii="Wingdings" w:hAnsi="Wingdings" w:hint="default"/>
        <w:color w:val="999999"/>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420C0889"/>
    <w:multiLevelType w:val="hybridMultilevel"/>
    <w:tmpl w:val="62F824B6"/>
    <w:lvl w:ilvl="0" w:tplc="678AAF64">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4B473A86"/>
    <w:multiLevelType w:val="hybridMultilevel"/>
    <w:tmpl w:val="538C9DB4"/>
    <w:lvl w:ilvl="0" w:tplc="7E446434">
      <w:start w:val="1"/>
      <w:numFmt w:val="bullet"/>
      <w:pStyle w:val="QuoteListBullet"/>
      <w:lvlText w:val=""/>
      <w:lvlJc w:val="left"/>
      <w:pPr>
        <w:ind w:left="1559" w:hanging="283"/>
      </w:pPr>
      <w:rPr>
        <w:rFonts w:ascii="Wingdings" w:hAnsi="Wingdings" w:hint="default"/>
      </w:rPr>
    </w:lvl>
    <w:lvl w:ilvl="1" w:tplc="B31CAA4A">
      <w:start w:val="1"/>
      <w:numFmt w:val="bullet"/>
      <w:pStyle w:val="QuoteListBullet2"/>
      <w:lvlText w:val=""/>
      <w:lvlJc w:val="left"/>
      <w:pPr>
        <w:ind w:left="1843" w:hanging="284"/>
      </w:pPr>
      <w:rPr>
        <w:rFonts w:ascii="Symbol" w:hAnsi="Symbol" w:hint="default"/>
        <w:color w:val="808080" w:themeColor="background1" w:themeShade="80"/>
        <w:sz w:val="22"/>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7CD465E"/>
    <w:multiLevelType w:val="multilevel"/>
    <w:tmpl w:val="B02867B4"/>
    <w:lvl w:ilvl="0">
      <w:start w:val="1"/>
      <w:numFmt w:val="bullet"/>
      <w:pStyle w:val="ListNumber3"/>
      <w:lvlText w:val=""/>
      <w:lvlJc w:val="left"/>
      <w:pPr>
        <w:tabs>
          <w:tab w:val="num" w:pos="964"/>
        </w:tabs>
        <w:ind w:left="964" w:hanging="284"/>
      </w:pPr>
      <w:rPr>
        <w:rFonts w:ascii="Wingdings" w:hAnsi="Wingdings" w:hint="default"/>
        <w:sz w:val="24"/>
        <w:szCs w:val="24"/>
      </w:rPr>
    </w:lvl>
    <w:lvl w:ilvl="1">
      <w:start w:val="1"/>
      <w:numFmt w:val="bullet"/>
      <w:pStyle w:val="ListNumber3"/>
      <w:lvlText w:val=""/>
      <w:lvlJc w:val="left"/>
      <w:pPr>
        <w:tabs>
          <w:tab w:val="num" w:pos="284"/>
        </w:tabs>
        <w:ind w:left="284" w:hanging="284"/>
      </w:pPr>
      <w:rPr>
        <w:rFonts w:ascii="Symbol" w:hAnsi="Symbol"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abstractNumId w:val="13"/>
  </w:num>
  <w:num w:numId="2">
    <w:abstractNumId w:val="5"/>
  </w:num>
  <w:num w:numId="3">
    <w:abstractNumId w:val="0"/>
  </w:num>
  <w:num w:numId="4">
    <w:abstractNumId w:val="1"/>
  </w:num>
  <w:num w:numId="5">
    <w:abstractNumId w:val="8"/>
  </w:num>
  <w:num w:numId="6">
    <w:abstractNumId w:val="3"/>
  </w:num>
  <w:num w:numId="7">
    <w:abstractNumId w:val="10"/>
  </w:num>
  <w:num w:numId="8">
    <w:abstractNumId w:val="12"/>
  </w:num>
  <w:num w:numId="9">
    <w:abstractNumId w:val="4"/>
  </w:num>
  <w:num w:numId="10">
    <w:abstractNumId w:val="6"/>
  </w:num>
  <w:num w:numId="11">
    <w:abstractNumId w:val="9"/>
  </w:num>
  <w:num w:numId="12">
    <w:abstractNumId w:val="11"/>
  </w:num>
  <w:num w:numId="13">
    <w:abstractNumId w:val="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2"/>
  <w:embedTrueTypeFonts/>
  <w:saveSubset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evenAndOddHeaders/>
  <w:drawingGridHorizontalSpacing w:val="110"/>
  <w:displayHorizontalDrawingGridEvery w:val="2"/>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1176"/>
    <w:rsid w:val="000006B3"/>
    <w:rsid w:val="00002730"/>
    <w:rsid w:val="0000580C"/>
    <w:rsid w:val="000100C7"/>
    <w:rsid w:val="000110B2"/>
    <w:rsid w:val="00011952"/>
    <w:rsid w:val="000135E9"/>
    <w:rsid w:val="000161FB"/>
    <w:rsid w:val="00017D52"/>
    <w:rsid w:val="0002009B"/>
    <w:rsid w:val="00020BB5"/>
    <w:rsid w:val="00022DFF"/>
    <w:rsid w:val="00024729"/>
    <w:rsid w:val="00024877"/>
    <w:rsid w:val="000253AB"/>
    <w:rsid w:val="00026B43"/>
    <w:rsid w:val="0002797A"/>
    <w:rsid w:val="000301EF"/>
    <w:rsid w:val="00033BFE"/>
    <w:rsid w:val="000358C7"/>
    <w:rsid w:val="00036BBF"/>
    <w:rsid w:val="00037305"/>
    <w:rsid w:val="00042ACA"/>
    <w:rsid w:val="00050927"/>
    <w:rsid w:val="0005394C"/>
    <w:rsid w:val="00054074"/>
    <w:rsid w:val="000550E4"/>
    <w:rsid w:val="000557F4"/>
    <w:rsid w:val="0005687D"/>
    <w:rsid w:val="0006014B"/>
    <w:rsid w:val="00060B65"/>
    <w:rsid w:val="00062E9F"/>
    <w:rsid w:val="0007080E"/>
    <w:rsid w:val="00073A7D"/>
    <w:rsid w:val="000801E9"/>
    <w:rsid w:val="000806D3"/>
    <w:rsid w:val="00081700"/>
    <w:rsid w:val="0008221E"/>
    <w:rsid w:val="00084A16"/>
    <w:rsid w:val="00084BF4"/>
    <w:rsid w:val="000869A1"/>
    <w:rsid w:val="0008705A"/>
    <w:rsid w:val="00092EA3"/>
    <w:rsid w:val="00094307"/>
    <w:rsid w:val="000944C0"/>
    <w:rsid w:val="00096E3A"/>
    <w:rsid w:val="000A01A0"/>
    <w:rsid w:val="000A0363"/>
    <w:rsid w:val="000A0975"/>
    <w:rsid w:val="000A59B6"/>
    <w:rsid w:val="000B2B62"/>
    <w:rsid w:val="000B3341"/>
    <w:rsid w:val="000B4094"/>
    <w:rsid w:val="000C16E1"/>
    <w:rsid w:val="000C279D"/>
    <w:rsid w:val="000C4038"/>
    <w:rsid w:val="000C4EFA"/>
    <w:rsid w:val="000C51AE"/>
    <w:rsid w:val="000C6B28"/>
    <w:rsid w:val="000D1AEE"/>
    <w:rsid w:val="000D2895"/>
    <w:rsid w:val="000D3E58"/>
    <w:rsid w:val="000D5131"/>
    <w:rsid w:val="000D583A"/>
    <w:rsid w:val="000E242F"/>
    <w:rsid w:val="000E2EF4"/>
    <w:rsid w:val="000E4741"/>
    <w:rsid w:val="000E7567"/>
    <w:rsid w:val="000F5503"/>
    <w:rsid w:val="000F617F"/>
    <w:rsid w:val="000F6BB4"/>
    <w:rsid w:val="00104875"/>
    <w:rsid w:val="001108DC"/>
    <w:rsid w:val="00110FA4"/>
    <w:rsid w:val="00111850"/>
    <w:rsid w:val="00113E77"/>
    <w:rsid w:val="00116A67"/>
    <w:rsid w:val="0011795D"/>
    <w:rsid w:val="0012342E"/>
    <w:rsid w:val="00123676"/>
    <w:rsid w:val="00123C42"/>
    <w:rsid w:val="00124F8D"/>
    <w:rsid w:val="00125E8B"/>
    <w:rsid w:val="0013212B"/>
    <w:rsid w:val="001332AD"/>
    <w:rsid w:val="00133F1B"/>
    <w:rsid w:val="001371A5"/>
    <w:rsid w:val="00141914"/>
    <w:rsid w:val="0014298A"/>
    <w:rsid w:val="00142F44"/>
    <w:rsid w:val="00144E18"/>
    <w:rsid w:val="001511D4"/>
    <w:rsid w:val="00151F03"/>
    <w:rsid w:val="00156E0B"/>
    <w:rsid w:val="0015794F"/>
    <w:rsid w:val="001609A2"/>
    <w:rsid w:val="00162024"/>
    <w:rsid w:val="001632A9"/>
    <w:rsid w:val="001647BE"/>
    <w:rsid w:val="00167854"/>
    <w:rsid w:val="00170C6B"/>
    <w:rsid w:val="001716E4"/>
    <w:rsid w:val="00171785"/>
    <w:rsid w:val="00171CA7"/>
    <w:rsid w:val="00172E87"/>
    <w:rsid w:val="001752DC"/>
    <w:rsid w:val="001756F4"/>
    <w:rsid w:val="00175F3C"/>
    <w:rsid w:val="001767CD"/>
    <w:rsid w:val="00181F7E"/>
    <w:rsid w:val="001824F3"/>
    <w:rsid w:val="00182AC2"/>
    <w:rsid w:val="00182DF1"/>
    <w:rsid w:val="00183FBF"/>
    <w:rsid w:val="00191255"/>
    <w:rsid w:val="001929B7"/>
    <w:rsid w:val="00193ABB"/>
    <w:rsid w:val="0019591D"/>
    <w:rsid w:val="00196582"/>
    <w:rsid w:val="001A0DBE"/>
    <w:rsid w:val="001A1809"/>
    <w:rsid w:val="001A5DB1"/>
    <w:rsid w:val="001A72A8"/>
    <w:rsid w:val="001A7941"/>
    <w:rsid w:val="001A7C16"/>
    <w:rsid w:val="001B21D7"/>
    <w:rsid w:val="001B2548"/>
    <w:rsid w:val="001B2B71"/>
    <w:rsid w:val="001B45C5"/>
    <w:rsid w:val="001B4B71"/>
    <w:rsid w:val="001B5F6D"/>
    <w:rsid w:val="001C2D1C"/>
    <w:rsid w:val="001C3FDA"/>
    <w:rsid w:val="001C49DC"/>
    <w:rsid w:val="001C690A"/>
    <w:rsid w:val="001C6C4C"/>
    <w:rsid w:val="001C746F"/>
    <w:rsid w:val="001C75D2"/>
    <w:rsid w:val="001D009F"/>
    <w:rsid w:val="001D17CF"/>
    <w:rsid w:val="001E0BCC"/>
    <w:rsid w:val="001E2939"/>
    <w:rsid w:val="001E2D30"/>
    <w:rsid w:val="001E3A56"/>
    <w:rsid w:val="001E4F6C"/>
    <w:rsid w:val="001E7219"/>
    <w:rsid w:val="001F09FA"/>
    <w:rsid w:val="001F3FA1"/>
    <w:rsid w:val="001F44E7"/>
    <w:rsid w:val="001F4974"/>
    <w:rsid w:val="001F4D20"/>
    <w:rsid w:val="001F58CC"/>
    <w:rsid w:val="0020192D"/>
    <w:rsid w:val="002019EC"/>
    <w:rsid w:val="00203982"/>
    <w:rsid w:val="0020415F"/>
    <w:rsid w:val="002046E5"/>
    <w:rsid w:val="0020511C"/>
    <w:rsid w:val="00205A1A"/>
    <w:rsid w:val="00206460"/>
    <w:rsid w:val="0020656E"/>
    <w:rsid w:val="0020680D"/>
    <w:rsid w:val="0020794F"/>
    <w:rsid w:val="00210594"/>
    <w:rsid w:val="0021079C"/>
    <w:rsid w:val="00211075"/>
    <w:rsid w:val="00211DBE"/>
    <w:rsid w:val="00212DC7"/>
    <w:rsid w:val="00215C67"/>
    <w:rsid w:val="00217DDC"/>
    <w:rsid w:val="002276D7"/>
    <w:rsid w:val="002334BD"/>
    <w:rsid w:val="0023711A"/>
    <w:rsid w:val="00237C99"/>
    <w:rsid w:val="00242E57"/>
    <w:rsid w:val="00243BBE"/>
    <w:rsid w:val="00244C3F"/>
    <w:rsid w:val="002507A1"/>
    <w:rsid w:val="00251D86"/>
    <w:rsid w:val="00256990"/>
    <w:rsid w:val="002604A7"/>
    <w:rsid w:val="00260F29"/>
    <w:rsid w:val="002634A3"/>
    <w:rsid w:val="00264D80"/>
    <w:rsid w:val="00265F91"/>
    <w:rsid w:val="00267A9B"/>
    <w:rsid w:val="002742C1"/>
    <w:rsid w:val="002868FF"/>
    <w:rsid w:val="00287372"/>
    <w:rsid w:val="002A2442"/>
    <w:rsid w:val="002A3457"/>
    <w:rsid w:val="002A5610"/>
    <w:rsid w:val="002A64FA"/>
    <w:rsid w:val="002A6EA1"/>
    <w:rsid w:val="002B0FD1"/>
    <w:rsid w:val="002B1F09"/>
    <w:rsid w:val="002B203E"/>
    <w:rsid w:val="002B5C68"/>
    <w:rsid w:val="002B5D24"/>
    <w:rsid w:val="002C44BD"/>
    <w:rsid w:val="002C4E6E"/>
    <w:rsid w:val="002C5082"/>
    <w:rsid w:val="002D0BC9"/>
    <w:rsid w:val="002D1F26"/>
    <w:rsid w:val="002D2886"/>
    <w:rsid w:val="002D4A62"/>
    <w:rsid w:val="002D5959"/>
    <w:rsid w:val="002D5FCE"/>
    <w:rsid w:val="002E1A91"/>
    <w:rsid w:val="002E676A"/>
    <w:rsid w:val="002F0E8D"/>
    <w:rsid w:val="002F1A15"/>
    <w:rsid w:val="002F1DCF"/>
    <w:rsid w:val="002F2404"/>
    <w:rsid w:val="002F52BB"/>
    <w:rsid w:val="002F592F"/>
    <w:rsid w:val="00300A7C"/>
    <w:rsid w:val="00301919"/>
    <w:rsid w:val="003041B6"/>
    <w:rsid w:val="00305D3E"/>
    <w:rsid w:val="0030629F"/>
    <w:rsid w:val="003072CA"/>
    <w:rsid w:val="00307BBB"/>
    <w:rsid w:val="00310A7C"/>
    <w:rsid w:val="00312658"/>
    <w:rsid w:val="003161A0"/>
    <w:rsid w:val="00320141"/>
    <w:rsid w:val="003229DF"/>
    <w:rsid w:val="00323BBA"/>
    <w:rsid w:val="00325B51"/>
    <w:rsid w:val="0032606E"/>
    <w:rsid w:val="00327492"/>
    <w:rsid w:val="00327E93"/>
    <w:rsid w:val="00327F83"/>
    <w:rsid w:val="00331C8D"/>
    <w:rsid w:val="003326CD"/>
    <w:rsid w:val="00332F37"/>
    <w:rsid w:val="00333FFD"/>
    <w:rsid w:val="0033446E"/>
    <w:rsid w:val="003374BA"/>
    <w:rsid w:val="003378A4"/>
    <w:rsid w:val="00337C39"/>
    <w:rsid w:val="0034044B"/>
    <w:rsid w:val="003456B5"/>
    <w:rsid w:val="003460F0"/>
    <w:rsid w:val="00347AF5"/>
    <w:rsid w:val="003536AD"/>
    <w:rsid w:val="00354C85"/>
    <w:rsid w:val="003557A9"/>
    <w:rsid w:val="0035599B"/>
    <w:rsid w:val="00355CF2"/>
    <w:rsid w:val="00356C99"/>
    <w:rsid w:val="003606E5"/>
    <w:rsid w:val="00366566"/>
    <w:rsid w:val="00366CA6"/>
    <w:rsid w:val="00370C68"/>
    <w:rsid w:val="00374C2B"/>
    <w:rsid w:val="00380BCF"/>
    <w:rsid w:val="0038248A"/>
    <w:rsid w:val="00383DFC"/>
    <w:rsid w:val="003860BC"/>
    <w:rsid w:val="0038667F"/>
    <w:rsid w:val="00386782"/>
    <w:rsid w:val="0038734F"/>
    <w:rsid w:val="00391C0E"/>
    <w:rsid w:val="00392FBF"/>
    <w:rsid w:val="003957E9"/>
    <w:rsid w:val="003A4417"/>
    <w:rsid w:val="003B13F7"/>
    <w:rsid w:val="003B5A9F"/>
    <w:rsid w:val="003B7E6A"/>
    <w:rsid w:val="003C4E99"/>
    <w:rsid w:val="003D26E0"/>
    <w:rsid w:val="003E0CF7"/>
    <w:rsid w:val="003E346B"/>
    <w:rsid w:val="003E60E7"/>
    <w:rsid w:val="003E694F"/>
    <w:rsid w:val="003E7EED"/>
    <w:rsid w:val="003F0226"/>
    <w:rsid w:val="003F1B9A"/>
    <w:rsid w:val="003F3F57"/>
    <w:rsid w:val="003F6161"/>
    <w:rsid w:val="003F679A"/>
    <w:rsid w:val="003F6C08"/>
    <w:rsid w:val="003F7136"/>
    <w:rsid w:val="003F72B7"/>
    <w:rsid w:val="004001FB"/>
    <w:rsid w:val="004115ED"/>
    <w:rsid w:val="00415731"/>
    <w:rsid w:val="00415891"/>
    <w:rsid w:val="00415CDF"/>
    <w:rsid w:val="00415EF1"/>
    <w:rsid w:val="00416520"/>
    <w:rsid w:val="00424B6E"/>
    <w:rsid w:val="00425367"/>
    <w:rsid w:val="004260D7"/>
    <w:rsid w:val="004302E6"/>
    <w:rsid w:val="00435291"/>
    <w:rsid w:val="00436631"/>
    <w:rsid w:val="0043728E"/>
    <w:rsid w:val="00440232"/>
    <w:rsid w:val="0044222A"/>
    <w:rsid w:val="00450878"/>
    <w:rsid w:val="00452EB2"/>
    <w:rsid w:val="00454393"/>
    <w:rsid w:val="00455C80"/>
    <w:rsid w:val="00455DB4"/>
    <w:rsid w:val="004565DF"/>
    <w:rsid w:val="00461387"/>
    <w:rsid w:val="00462F49"/>
    <w:rsid w:val="00463B17"/>
    <w:rsid w:val="0046502A"/>
    <w:rsid w:val="00466079"/>
    <w:rsid w:val="004669D4"/>
    <w:rsid w:val="0046748B"/>
    <w:rsid w:val="00467835"/>
    <w:rsid w:val="00467B86"/>
    <w:rsid w:val="00470CE9"/>
    <w:rsid w:val="00472519"/>
    <w:rsid w:val="00472A29"/>
    <w:rsid w:val="0047345C"/>
    <w:rsid w:val="00474F70"/>
    <w:rsid w:val="00475450"/>
    <w:rsid w:val="00475697"/>
    <w:rsid w:val="00477251"/>
    <w:rsid w:val="00477353"/>
    <w:rsid w:val="00480042"/>
    <w:rsid w:val="00483C80"/>
    <w:rsid w:val="0049113B"/>
    <w:rsid w:val="00496E6D"/>
    <w:rsid w:val="004A01A5"/>
    <w:rsid w:val="004A2A9C"/>
    <w:rsid w:val="004A31E4"/>
    <w:rsid w:val="004A5322"/>
    <w:rsid w:val="004B1864"/>
    <w:rsid w:val="004B4A16"/>
    <w:rsid w:val="004B4B9C"/>
    <w:rsid w:val="004B55FE"/>
    <w:rsid w:val="004B618B"/>
    <w:rsid w:val="004B743F"/>
    <w:rsid w:val="004B7DB0"/>
    <w:rsid w:val="004C001F"/>
    <w:rsid w:val="004C30A4"/>
    <w:rsid w:val="004C33BD"/>
    <w:rsid w:val="004C4692"/>
    <w:rsid w:val="004C57DD"/>
    <w:rsid w:val="004C6BC3"/>
    <w:rsid w:val="004C71BD"/>
    <w:rsid w:val="004D2594"/>
    <w:rsid w:val="004D2CD2"/>
    <w:rsid w:val="004D3265"/>
    <w:rsid w:val="004D3830"/>
    <w:rsid w:val="004D44F0"/>
    <w:rsid w:val="004D5217"/>
    <w:rsid w:val="004E4EE8"/>
    <w:rsid w:val="004E518B"/>
    <w:rsid w:val="004E6B4A"/>
    <w:rsid w:val="004E78B4"/>
    <w:rsid w:val="004F0E1B"/>
    <w:rsid w:val="004F2E41"/>
    <w:rsid w:val="005007AE"/>
    <w:rsid w:val="00500D4E"/>
    <w:rsid w:val="00501124"/>
    <w:rsid w:val="00501F01"/>
    <w:rsid w:val="00501FBA"/>
    <w:rsid w:val="00504394"/>
    <w:rsid w:val="00505904"/>
    <w:rsid w:val="005072C5"/>
    <w:rsid w:val="0051124B"/>
    <w:rsid w:val="005178E0"/>
    <w:rsid w:val="00522DAF"/>
    <w:rsid w:val="005235EA"/>
    <w:rsid w:val="00526A4B"/>
    <w:rsid w:val="005276A2"/>
    <w:rsid w:val="0052783F"/>
    <w:rsid w:val="00532B83"/>
    <w:rsid w:val="00532F3D"/>
    <w:rsid w:val="0053709F"/>
    <w:rsid w:val="00540D7C"/>
    <w:rsid w:val="00542FA6"/>
    <w:rsid w:val="00543F27"/>
    <w:rsid w:val="00546558"/>
    <w:rsid w:val="00546A6E"/>
    <w:rsid w:val="005563BB"/>
    <w:rsid w:val="0056020D"/>
    <w:rsid w:val="00563F71"/>
    <w:rsid w:val="00563FEB"/>
    <w:rsid w:val="005661E6"/>
    <w:rsid w:val="00566897"/>
    <w:rsid w:val="00566B91"/>
    <w:rsid w:val="00571C50"/>
    <w:rsid w:val="005731A8"/>
    <w:rsid w:val="00575DAA"/>
    <w:rsid w:val="00576B28"/>
    <w:rsid w:val="00576CA6"/>
    <w:rsid w:val="00580337"/>
    <w:rsid w:val="005829E8"/>
    <w:rsid w:val="005834B1"/>
    <w:rsid w:val="00584492"/>
    <w:rsid w:val="00585337"/>
    <w:rsid w:val="005854CF"/>
    <w:rsid w:val="005876D5"/>
    <w:rsid w:val="005917B3"/>
    <w:rsid w:val="00592771"/>
    <w:rsid w:val="00595EEF"/>
    <w:rsid w:val="00596B8F"/>
    <w:rsid w:val="005973EA"/>
    <w:rsid w:val="00597841"/>
    <w:rsid w:val="00597C27"/>
    <w:rsid w:val="005A033C"/>
    <w:rsid w:val="005A1168"/>
    <w:rsid w:val="005A1703"/>
    <w:rsid w:val="005A4A62"/>
    <w:rsid w:val="005A50D4"/>
    <w:rsid w:val="005A50F3"/>
    <w:rsid w:val="005A74F5"/>
    <w:rsid w:val="005B17C1"/>
    <w:rsid w:val="005B424B"/>
    <w:rsid w:val="005B60C2"/>
    <w:rsid w:val="005C1053"/>
    <w:rsid w:val="005C1855"/>
    <w:rsid w:val="005C1AF5"/>
    <w:rsid w:val="005C4783"/>
    <w:rsid w:val="005C60CD"/>
    <w:rsid w:val="005C6A2D"/>
    <w:rsid w:val="005D087B"/>
    <w:rsid w:val="005D1080"/>
    <w:rsid w:val="005D3555"/>
    <w:rsid w:val="005D3E94"/>
    <w:rsid w:val="005D5AB2"/>
    <w:rsid w:val="005D624E"/>
    <w:rsid w:val="005E1C4F"/>
    <w:rsid w:val="005E670D"/>
    <w:rsid w:val="005E7576"/>
    <w:rsid w:val="005F1F55"/>
    <w:rsid w:val="005F2C11"/>
    <w:rsid w:val="005F3356"/>
    <w:rsid w:val="00601ABF"/>
    <w:rsid w:val="006050BD"/>
    <w:rsid w:val="0060740E"/>
    <w:rsid w:val="00610B5E"/>
    <w:rsid w:val="00610B81"/>
    <w:rsid w:val="00611074"/>
    <w:rsid w:val="0061344F"/>
    <w:rsid w:val="00615144"/>
    <w:rsid w:val="006156C0"/>
    <w:rsid w:val="00617196"/>
    <w:rsid w:val="00617C19"/>
    <w:rsid w:val="00621267"/>
    <w:rsid w:val="00623FCA"/>
    <w:rsid w:val="006257F6"/>
    <w:rsid w:val="00626168"/>
    <w:rsid w:val="00630E27"/>
    <w:rsid w:val="00631BE8"/>
    <w:rsid w:val="00631F14"/>
    <w:rsid w:val="006322FD"/>
    <w:rsid w:val="00635F9E"/>
    <w:rsid w:val="00635FB2"/>
    <w:rsid w:val="0064020A"/>
    <w:rsid w:val="00640E82"/>
    <w:rsid w:val="0064133C"/>
    <w:rsid w:val="00641378"/>
    <w:rsid w:val="00642EE7"/>
    <w:rsid w:val="006437BA"/>
    <w:rsid w:val="00644D1C"/>
    <w:rsid w:val="00645899"/>
    <w:rsid w:val="006464A3"/>
    <w:rsid w:val="006510E2"/>
    <w:rsid w:val="006534B0"/>
    <w:rsid w:val="00654323"/>
    <w:rsid w:val="00655246"/>
    <w:rsid w:val="00663486"/>
    <w:rsid w:val="006667B9"/>
    <w:rsid w:val="00672013"/>
    <w:rsid w:val="00672199"/>
    <w:rsid w:val="00676F05"/>
    <w:rsid w:val="006818B7"/>
    <w:rsid w:val="00687244"/>
    <w:rsid w:val="0069016B"/>
    <w:rsid w:val="00691FDA"/>
    <w:rsid w:val="00693538"/>
    <w:rsid w:val="00694EBB"/>
    <w:rsid w:val="00697906"/>
    <w:rsid w:val="006A5D41"/>
    <w:rsid w:val="006A63E6"/>
    <w:rsid w:val="006A6AC0"/>
    <w:rsid w:val="006B0642"/>
    <w:rsid w:val="006B1626"/>
    <w:rsid w:val="006B41D7"/>
    <w:rsid w:val="006B485B"/>
    <w:rsid w:val="006B4FE2"/>
    <w:rsid w:val="006B61F0"/>
    <w:rsid w:val="006B66F4"/>
    <w:rsid w:val="006B793D"/>
    <w:rsid w:val="006C1295"/>
    <w:rsid w:val="006C4242"/>
    <w:rsid w:val="006C4CF7"/>
    <w:rsid w:val="006D1813"/>
    <w:rsid w:val="006D1CF4"/>
    <w:rsid w:val="006D5877"/>
    <w:rsid w:val="006D5D66"/>
    <w:rsid w:val="006E2C4E"/>
    <w:rsid w:val="006E50CD"/>
    <w:rsid w:val="006E61D3"/>
    <w:rsid w:val="006E6470"/>
    <w:rsid w:val="006F01F3"/>
    <w:rsid w:val="006F1579"/>
    <w:rsid w:val="006F2DA4"/>
    <w:rsid w:val="006F4495"/>
    <w:rsid w:val="006F7292"/>
    <w:rsid w:val="006F7F94"/>
    <w:rsid w:val="00702421"/>
    <w:rsid w:val="00706127"/>
    <w:rsid w:val="007104A7"/>
    <w:rsid w:val="00711F2C"/>
    <w:rsid w:val="007136B6"/>
    <w:rsid w:val="00715A96"/>
    <w:rsid w:val="007160C4"/>
    <w:rsid w:val="0071763B"/>
    <w:rsid w:val="00720BD1"/>
    <w:rsid w:val="00720CE9"/>
    <w:rsid w:val="0072481B"/>
    <w:rsid w:val="007257F7"/>
    <w:rsid w:val="007270D0"/>
    <w:rsid w:val="007321A7"/>
    <w:rsid w:val="00735B32"/>
    <w:rsid w:val="00735D41"/>
    <w:rsid w:val="00737D66"/>
    <w:rsid w:val="007415C3"/>
    <w:rsid w:val="00741BB1"/>
    <w:rsid w:val="00742132"/>
    <w:rsid w:val="00743F65"/>
    <w:rsid w:val="00744725"/>
    <w:rsid w:val="00744A80"/>
    <w:rsid w:val="00744CF0"/>
    <w:rsid w:val="00746430"/>
    <w:rsid w:val="00746A72"/>
    <w:rsid w:val="00752458"/>
    <w:rsid w:val="0075482F"/>
    <w:rsid w:val="0075581E"/>
    <w:rsid w:val="00757881"/>
    <w:rsid w:val="0076272E"/>
    <w:rsid w:val="007629D1"/>
    <w:rsid w:val="007636DE"/>
    <w:rsid w:val="00764425"/>
    <w:rsid w:val="0076515C"/>
    <w:rsid w:val="00765FCC"/>
    <w:rsid w:val="0076701E"/>
    <w:rsid w:val="0077130C"/>
    <w:rsid w:val="00775065"/>
    <w:rsid w:val="007758F6"/>
    <w:rsid w:val="00776E29"/>
    <w:rsid w:val="007807E9"/>
    <w:rsid w:val="00780B47"/>
    <w:rsid w:val="0078230A"/>
    <w:rsid w:val="00790965"/>
    <w:rsid w:val="00790DF5"/>
    <w:rsid w:val="007922A2"/>
    <w:rsid w:val="007A0441"/>
    <w:rsid w:val="007A3A48"/>
    <w:rsid w:val="007A3B32"/>
    <w:rsid w:val="007A3BDC"/>
    <w:rsid w:val="007A4F5A"/>
    <w:rsid w:val="007A5047"/>
    <w:rsid w:val="007A598F"/>
    <w:rsid w:val="007A5CB5"/>
    <w:rsid w:val="007B0E50"/>
    <w:rsid w:val="007B31F6"/>
    <w:rsid w:val="007B394F"/>
    <w:rsid w:val="007B5AD9"/>
    <w:rsid w:val="007B7771"/>
    <w:rsid w:val="007C1C4A"/>
    <w:rsid w:val="007C21E9"/>
    <w:rsid w:val="007D13B2"/>
    <w:rsid w:val="007D297B"/>
    <w:rsid w:val="007D5C7D"/>
    <w:rsid w:val="007D661C"/>
    <w:rsid w:val="007D7931"/>
    <w:rsid w:val="007D7B3E"/>
    <w:rsid w:val="007E0F3A"/>
    <w:rsid w:val="007E1531"/>
    <w:rsid w:val="007E4588"/>
    <w:rsid w:val="007E6B58"/>
    <w:rsid w:val="007F0FEB"/>
    <w:rsid w:val="007F2475"/>
    <w:rsid w:val="007F2A0F"/>
    <w:rsid w:val="007F2DDA"/>
    <w:rsid w:val="007F5E40"/>
    <w:rsid w:val="00801BCE"/>
    <w:rsid w:val="0080387E"/>
    <w:rsid w:val="00806A6B"/>
    <w:rsid w:val="00807B68"/>
    <w:rsid w:val="00807C9E"/>
    <w:rsid w:val="00811981"/>
    <w:rsid w:val="00812046"/>
    <w:rsid w:val="008134A6"/>
    <w:rsid w:val="00815402"/>
    <w:rsid w:val="00817255"/>
    <w:rsid w:val="00817D23"/>
    <w:rsid w:val="0082033A"/>
    <w:rsid w:val="00820961"/>
    <w:rsid w:val="0082177F"/>
    <w:rsid w:val="0083184F"/>
    <w:rsid w:val="00833FB2"/>
    <w:rsid w:val="0083652D"/>
    <w:rsid w:val="00841B06"/>
    <w:rsid w:val="00842854"/>
    <w:rsid w:val="00843416"/>
    <w:rsid w:val="00843602"/>
    <w:rsid w:val="00843B7D"/>
    <w:rsid w:val="008462CA"/>
    <w:rsid w:val="0084735D"/>
    <w:rsid w:val="00853119"/>
    <w:rsid w:val="00853964"/>
    <w:rsid w:val="008551B6"/>
    <w:rsid w:val="00860758"/>
    <w:rsid w:val="008608AB"/>
    <w:rsid w:val="00861734"/>
    <w:rsid w:val="008641F4"/>
    <w:rsid w:val="00864654"/>
    <w:rsid w:val="00872B07"/>
    <w:rsid w:val="0087366E"/>
    <w:rsid w:val="00875684"/>
    <w:rsid w:val="00876181"/>
    <w:rsid w:val="00880922"/>
    <w:rsid w:val="00884966"/>
    <w:rsid w:val="00885006"/>
    <w:rsid w:val="008868E0"/>
    <w:rsid w:val="0088751D"/>
    <w:rsid w:val="00887D19"/>
    <w:rsid w:val="008909CB"/>
    <w:rsid w:val="00891C50"/>
    <w:rsid w:val="008926FF"/>
    <w:rsid w:val="0089358F"/>
    <w:rsid w:val="00895C1D"/>
    <w:rsid w:val="00896635"/>
    <w:rsid w:val="008A3298"/>
    <w:rsid w:val="008A726E"/>
    <w:rsid w:val="008A759C"/>
    <w:rsid w:val="008B01FE"/>
    <w:rsid w:val="008B166A"/>
    <w:rsid w:val="008B2935"/>
    <w:rsid w:val="008B35C5"/>
    <w:rsid w:val="008B493D"/>
    <w:rsid w:val="008B6B65"/>
    <w:rsid w:val="008C06E9"/>
    <w:rsid w:val="008C2456"/>
    <w:rsid w:val="008C5FB0"/>
    <w:rsid w:val="008C71F8"/>
    <w:rsid w:val="008D0018"/>
    <w:rsid w:val="008D03EB"/>
    <w:rsid w:val="008D0AFB"/>
    <w:rsid w:val="008D0BC6"/>
    <w:rsid w:val="008D2AC1"/>
    <w:rsid w:val="008D32B0"/>
    <w:rsid w:val="008E1246"/>
    <w:rsid w:val="008E6F23"/>
    <w:rsid w:val="008F0C8D"/>
    <w:rsid w:val="008F0E1A"/>
    <w:rsid w:val="008F4A60"/>
    <w:rsid w:val="00906B00"/>
    <w:rsid w:val="00910431"/>
    <w:rsid w:val="00910A9B"/>
    <w:rsid w:val="00911518"/>
    <w:rsid w:val="00912E06"/>
    <w:rsid w:val="00914807"/>
    <w:rsid w:val="0091551A"/>
    <w:rsid w:val="0091584A"/>
    <w:rsid w:val="009174E4"/>
    <w:rsid w:val="00917543"/>
    <w:rsid w:val="009216BA"/>
    <w:rsid w:val="009222E9"/>
    <w:rsid w:val="00923EA4"/>
    <w:rsid w:val="00923FFF"/>
    <w:rsid w:val="00925E05"/>
    <w:rsid w:val="009276BF"/>
    <w:rsid w:val="00930625"/>
    <w:rsid w:val="00937F7E"/>
    <w:rsid w:val="009412D1"/>
    <w:rsid w:val="0094226B"/>
    <w:rsid w:val="00945888"/>
    <w:rsid w:val="009458A5"/>
    <w:rsid w:val="00946CE1"/>
    <w:rsid w:val="00950900"/>
    <w:rsid w:val="00954592"/>
    <w:rsid w:val="00955B14"/>
    <w:rsid w:val="0095622B"/>
    <w:rsid w:val="00957111"/>
    <w:rsid w:val="009576B6"/>
    <w:rsid w:val="00957E75"/>
    <w:rsid w:val="0096033A"/>
    <w:rsid w:val="00962807"/>
    <w:rsid w:val="00963A03"/>
    <w:rsid w:val="0096601D"/>
    <w:rsid w:val="00967112"/>
    <w:rsid w:val="0096785F"/>
    <w:rsid w:val="00967B62"/>
    <w:rsid w:val="00967C1F"/>
    <w:rsid w:val="00970178"/>
    <w:rsid w:val="00970A0B"/>
    <w:rsid w:val="00970AC4"/>
    <w:rsid w:val="00974515"/>
    <w:rsid w:val="00974CEB"/>
    <w:rsid w:val="009753E0"/>
    <w:rsid w:val="0097543C"/>
    <w:rsid w:val="00975AF0"/>
    <w:rsid w:val="00981335"/>
    <w:rsid w:val="00981CB7"/>
    <w:rsid w:val="00983E3C"/>
    <w:rsid w:val="0098407F"/>
    <w:rsid w:val="00985703"/>
    <w:rsid w:val="00987EF6"/>
    <w:rsid w:val="00990EEC"/>
    <w:rsid w:val="00993F9F"/>
    <w:rsid w:val="00994718"/>
    <w:rsid w:val="00997027"/>
    <w:rsid w:val="009A2091"/>
    <w:rsid w:val="009A2191"/>
    <w:rsid w:val="009A34FC"/>
    <w:rsid w:val="009A40EF"/>
    <w:rsid w:val="009A58FC"/>
    <w:rsid w:val="009A7A80"/>
    <w:rsid w:val="009B20B9"/>
    <w:rsid w:val="009B3F14"/>
    <w:rsid w:val="009B4FB7"/>
    <w:rsid w:val="009B6339"/>
    <w:rsid w:val="009C20F3"/>
    <w:rsid w:val="009C3565"/>
    <w:rsid w:val="009C605F"/>
    <w:rsid w:val="009C6277"/>
    <w:rsid w:val="009D10D6"/>
    <w:rsid w:val="009D1FD5"/>
    <w:rsid w:val="009D46B6"/>
    <w:rsid w:val="009F1D12"/>
    <w:rsid w:val="009F28C6"/>
    <w:rsid w:val="009F2BEB"/>
    <w:rsid w:val="009F4581"/>
    <w:rsid w:val="009F48F3"/>
    <w:rsid w:val="009F73F4"/>
    <w:rsid w:val="00A01019"/>
    <w:rsid w:val="00A018EF"/>
    <w:rsid w:val="00A11BC9"/>
    <w:rsid w:val="00A14CB4"/>
    <w:rsid w:val="00A1739B"/>
    <w:rsid w:val="00A20F27"/>
    <w:rsid w:val="00A2152D"/>
    <w:rsid w:val="00A27ECA"/>
    <w:rsid w:val="00A35BA9"/>
    <w:rsid w:val="00A36BF1"/>
    <w:rsid w:val="00A36E0A"/>
    <w:rsid w:val="00A3789D"/>
    <w:rsid w:val="00A438C4"/>
    <w:rsid w:val="00A44CF3"/>
    <w:rsid w:val="00A50165"/>
    <w:rsid w:val="00A52EF8"/>
    <w:rsid w:val="00A5331D"/>
    <w:rsid w:val="00A54473"/>
    <w:rsid w:val="00A55C73"/>
    <w:rsid w:val="00A60CA3"/>
    <w:rsid w:val="00A60E22"/>
    <w:rsid w:val="00A65319"/>
    <w:rsid w:val="00A6538C"/>
    <w:rsid w:val="00A65D8B"/>
    <w:rsid w:val="00A708EB"/>
    <w:rsid w:val="00A70D25"/>
    <w:rsid w:val="00A7353B"/>
    <w:rsid w:val="00A75BF9"/>
    <w:rsid w:val="00A770CD"/>
    <w:rsid w:val="00A77A10"/>
    <w:rsid w:val="00A81194"/>
    <w:rsid w:val="00A81384"/>
    <w:rsid w:val="00A816C1"/>
    <w:rsid w:val="00A8281F"/>
    <w:rsid w:val="00A83E5D"/>
    <w:rsid w:val="00A84CE3"/>
    <w:rsid w:val="00A84D0C"/>
    <w:rsid w:val="00A86276"/>
    <w:rsid w:val="00A8688C"/>
    <w:rsid w:val="00A9188C"/>
    <w:rsid w:val="00A918A5"/>
    <w:rsid w:val="00A92116"/>
    <w:rsid w:val="00A92229"/>
    <w:rsid w:val="00A92C76"/>
    <w:rsid w:val="00AA1431"/>
    <w:rsid w:val="00AA1916"/>
    <w:rsid w:val="00AA2BC7"/>
    <w:rsid w:val="00AA3A15"/>
    <w:rsid w:val="00AA4782"/>
    <w:rsid w:val="00AA5688"/>
    <w:rsid w:val="00AA6B8F"/>
    <w:rsid w:val="00AB00FA"/>
    <w:rsid w:val="00AB0310"/>
    <w:rsid w:val="00AB0F3F"/>
    <w:rsid w:val="00AB1BE4"/>
    <w:rsid w:val="00AC003A"/>
    <w:rsid w:val="00AC0996"/>
    <w:rsid w:val="00AC1D5E"/>
    <w:rsid w:val="00AC22A0"/>
    <w:rsid w:val="00AC38FC"/>
    <w:rsid w:val="00AD127C"/>
    <w:rsid w:val="00AD2420"/>
    <w:rsid w:val="00AD4279"/>
    <w:rsid w:val="00AD4821"/>
    <w:rsid w:val="00AD6F11"/>
    <w:rsid w:val="00AE4148"/>
    <w:rsid w:val="00AF0AA5"/>
    <w:rsid w:val="00AF4AFC"/>
    <w:rsid w:val="00AF5B68"/>
    <w:rsid w:val="00AF784F"/>
    <w:rsid w:val="00AF7D15"/>
    <w:rsid w:val="00B0034C"/>
    <w:rsid w:val="00B00377"/>
    <w:rsid w:val="00B0496F"/>
    <w:rsid w:val="00B04EA9"/>
    <w:rsid w:val="00B0630B"/>
    <w:rsid w:val="00B0632B"/>
    <w:rsid w:val="00B0702E"/>
    <w:rsid w:val="00B0758E"/>
    <w:rsid w:val="00B07FAC"/>
    <w:rsid w:val="00B10245"/>
    <w:rsid w:val="00B10EFC"/>
    <w:rsid w:val="00B1191A"/>
    <w:rsid w:val="00B11CE1"/>
    <w:rsid w:val="00B14D90"/>
    <w:rsid w:val="00B214A7"/>
    <w:rsid w:val="00B221AA"/>
    <w:rsid w:val="00B27424"/>
    <w:rsid w:val="00B27489"/>
    <w:rsid w:val="00B34C0A"/>
    <w:rsid w:val="00B35B46"/>
    <w:rsid w:val="00B37548"/>
    <w:rsid w:val="00B37C79"/>
    <w:rsid w:val="00B41469"/>
    <w:rsid w:val="00B4193C"/>
    <w:rsid w:val="00B441C4"/>
    <w:rsid w:val="00B472F6"/>
    <w:rsid w:val="00B57A95"/>
    <w:rsid w:val="00B6001D"/>
    <w:rsid w:val="00B604DE"/>
    <w:rsid w:val="00B60509"/>
    <w:rsid w:val="00B61251"/>
    <w:rsid w:val="00B65B9D"/>
    <w:rsid w:val="00B668F4"/>
    <w:rsid w:val="00B66ECA"/>
    <w:rsid w:val="00B73144"/>
    <w:rsid w:val="00B75C4F"/>
    <w:rsid w:val="00B77D37"/>
    <w:rsid w:val="00B80F7D"/>
    <w:rsid w:val="00B8388A"/>
    <w:rsid w:val="00B84113"/>
    <w:rsid w:val="00B8429C"/>
    <w:rsid w:val="00B8439D"/>
    <w:rsid w:val="00B85C8B"/>
    <w:rsid w:val="00B879B5"/>
    <w:rsid w:val="00B92315"/>
    <w:rsid w:val="00B941DB"/>
    <w:rsid w:val="00B94284"/>
    <w:rsid w:val="00B949B4"/>
    <w:rsid w:val="00B950DD"/>
    <w:rsid w:val="00B9717D"/>
    <w:rsid w:val="00BA08AD"/>
    <w:rsid w:val="00BA375D"/>
    <w:rsid w:val="00BA405E"/>
    <w:rsid w:val="00BA5175"/>
    <w:rsid w:val="00BA5EFD"/>
    <w:rsid w:val="00BA6331"/>
    <w:rsid w:val="00BB11B4"/>
    <w:rsid w:val="00BB24EC"/>
    <w:rsid w:val="00BB3A63"/>
    <w:rsid w:val="00BB425C"/>
    <w:rsid w:val="00BB6351"/>
    <w:rsid w:val="00BB6A15"/>
    <w:rsid w:val="00BC1175"/>
    <w:rsid w:val="00BC37AF"/>
    <w:rsid w:val="00BC5EFE"/>
    <w:rsid w:val="00BC61A5"/>
    <w:rsid w:val="00BC6DE3"/>
    <w:rsid w:val="00BC7303"/>
    <w:rsid w:val="00BD0D2D"/>
    <w:rsid w:val="00BD4012"/>
    <w:rsid w:val="00BD6154"/>
    <w:rsid w:val="00BD6446"/>
    <w:rsid w:val="00BE0EF8"/>
    <w:rsid w:val="00BE235D"/>
    <w:rsid w:val="00BE2A56"/>
    <w:rsid w:val="00BE3D22"/>
    <w:rsid w:val="00BE4BFD"/>
    <w:rsid w:val="00BE4FEF"/>
    <w:rsid w:val="00BE56AF"/>
    <w:rsid w:val="00BE6713"/>
    <w:rsid w:val="00BF146D"/>
    <w:rsid w:val="00BF4832"/>
    <w:rsid w:val="00C0130C"/>
    <w:rsid w:val="00C01738"/>
    <w:rsid w:val="00C0651A"/>
    <w:rsid w:val="00C06D99"/>
    <w:rsid w:val="00C07222"/>
    <w:rsid w:val="00C10C68"/>
    <w:rsid w:val="00C10F49"/>
    <w:rsid w:val="00C148DF"/>
    <w:rsid w:val="00C17626"/>
    <w:rsid w:val="00C21448"/>
    <w:rsid w:val="00C219EC"/>
    <w:rsid w:val="00C2280E"/>
    <w:rsid w:val="00C23420"/>
    <w:rsid w:val="00C236C3"/>
    <w:rsid w:val="00C24204"/>
    <w:rsid w:val="00C2492A"/>
    <w:rsid w:val="00C25335"/>
    <w:rsid w:val="00C25516"/>
    <w:rsid w:val="00C25B73"/>
    <w:rsid w:val="00C26D42"/>
    <w:rsid w:val="00C30124"/>
    <w:rsid w:val="00C33A2A"/>
    <w:rsid w:val="00C33D3A"/>
    <w:rsid w:val="00C342F7"/>
    <w:rsid w:val="00C34791"/>
    <w:rsid w:val="00C40001"/>
    <w:rsid w:val="00C41A27"/>
    <w:rsid w:val="00C4202D"/>
    <w:rsid w:val="00C4574C"/>
    <w:rsid w:val="00C46532"/>
    <w:rsid w:val="00C47818"/>
    <w:rsid w:val="00C53EEF"/>
    <w:rsid w:val="00C5534C"/>
    <w:rsid w:val="00C55D23"/>
    <w:rsid w:val="00C56594"/>
    <w:rsid w:val="00C618E9"/>
    <w:rsid w:val="00C62052"/>
    <w:rsid w:val="00C674CC"/>
    <w:rsid w:val="00C702A5"/>
    <w:rsid w:val="00C715C2"/>
    <w:rsid w:val="00C72260"/>
    <w:rsid w:val="00C8029B"/>
    <w:rsid w:val="00C83A04"/>
    <w:rsid w:val="00C91DC4"/>
    <w:rsid w:val="00C92B09"/>
    <w:rsid w:val="00C94624"/>
    <w:rsid w:val="00CA32D5"/>
    <w:rsid w:val="00CA3442"/>
    <w:rsid w:val="00CA3E62"/>
    <w:rsid w:val="00CA771C"/>
    <w:rsid w:val="00CB0EAE"/>
    <w:rsid w:val="00CB1432"/>
    <w:rsid w:val="00CB1E60"/>
    <w:rsid w:val="00CB2BA9"/>
    <w:rsid w:val="00CB40C5"/>
    <w:rsid w:val="00CB6FA7"/>
    <w:rsid w:val="00CC03D8"/>
    <w:rsid w:val="00CC381F"/>
    <w:rsid w:val="00CC44A4"/>
    <w:rsid w:val="00CC59DE"/>
    <w:rsid w:val="00CC5C64"/>
    <w:rsid w:val="00CC7351"/>
    <w:rsid w:val="00CC77FD"/>
    <w:rsid w:val="00CD03EC"/>
    <w:rsid w:val="00CD1793"/>
    <w:rsid w:val="00CD1CA7"/>
    <w:rsid w:val="00CD2FD8"/>
    <w:rsid w:val="00CD5700"/>
    <w:rsid w:val="00CD7F25"/>
    <w:rsid w:val="00CE368E"/>
    <w:rsid w:val="00CE7AC7"/>
    <w:rsid w:val="00CF0101"/>
    <w:rsid w:val="00CF0B00"/>
    <w:rsid w:val="00CF0C82"/>
    <w:rsid w:val="00CF1A07"/>
    <w:rsid w:val="00CF20CD"/>
    <w:rsid w:val="00CF347D"/>
    <w:rsid w:val="00CF3CA4"/>
    <w:rsid w:val="00CF44AA"/>
    <w:rsid w:val="00D000AD"/>
    <w:rsid w:val="00D0012A"/>
    <w:rsid w:val="00D018C2"/>
    <w:rsid w:val="00D01952"/>
    <w:rsid w:val="00D024FC"/>
    <w:rsid w:val="00D03FF2"/>
    <w:rsid w:val="00D14F93"/>
    <w:rsid w:val="00D23930"/>
    <w:rsid w:val="00D254E7"/>
    <w:rsid w:val="00D275E7"/>
    <w:rsid w:val="00D301A6"/>
    <w:rsid w:val="00D31B32"/>
    <w:rsid w:val="00D33F44"/>
    <w:rsid w:val="00D33F96"/>
    <w:rsid w:val="00D344CA"/>
    <w:rsid w:val="00D3552C"/>
    <w:rsid w:val="00D37A0C"/>
    <w:rsid w:val="00D42485"/>
    <w:rsid w:val="00D430A9"/>
    <w:rsid w:val="00D43221"/>
    <w:rsid w:val="00D44367"/>
    <w:rsid w:val="00D4706C"/>
    <w:rsid w:val="00D47416"/>
    <w:rsid w:val="00D50ADD"/>
    <w:rsid w:val="00D51176"/>
    <w:rsid w:val="00D52025"/>
    <w:rsid w:val="00D5213A"/>
    <w:rsid w:val="00D532AE"/>
    <w:rsid w:val="00D532F2"/>
    <w:rsid w:val="00D53A4D"/>
    <w:rsid w:val="00D54AFE"/>
    <w:rsid w:val="00D561BC"/>
    <w:rsid w:val="00D655B0"/>
    <w:rsid w:val="00D67727"/>
    <w:rsid w:val="00D70BC4"/>
    <w:rsid w:val="00D722CB"/>
    <w:rsid w:val="00D731EE"/>
    <w:rsid w:val="00D73442"/>
    <w:rsid w:val="00D740C8"/>
    <w:rsid w:val="00D77C72"/>
    <w:rsid w:val="00D81435"/>
    <w:rsid w:val="00D84AF7"/>
    <w:rsid w:val="00D84FCF"/>
    <w:rsid w:val="00D8576F"/>
    <w:rsid w:val="00D857FE"/>
    <w:rsid w:val="00D86534"/>
    <w:rsid w:val="00D86E52"/>
    <w:rsid w:val="00D870CD"/>
    <w:rsid w:val="00D87101"/>
    <w:rsid w:val="00D92782"/>
    <w:rsid w:val="00D93782"/>
    <w:rsid w:val="00D93EF3"/>
    <w:rsid w:val="00D940F4"/>
    <w:rsid w:val="00DA0694"/>
    <w:rsid w:val="00DA4A78"/>
    <w:rsid w:val="00DA7832"/>
    <w:rsid w:val="00DB2045"/>
    <w:rsid w:val="00DB2A52"/>
    <w:rsid w:val="00DB31A9"/>
    <w:rsid w:val="00DB4812"/>
    <w:rsid w:val="00DB6926"/>
    <w:rsid w:val="00DB7739"/>
    <w:rsid w:val="00DC2CD0"/>
    <w:rsid w:val="00DC3A0D"/>
    <w:rsid w:val="00DC5BB9"/>
    <w:rsid w:val="00DC6155"/>
    <w:rsid w:val="00DD08EB"/>
    <w:rsid w:val="00DD1260"/>
    <w:rsid w:val="00DD507C"/>
    <w:rsid w:val="00DD5400"/>
    <w:rsid w:val="00DD5B7A"/>
    <w:rsid w:val="00DD76D8"/>
    <w:rsid w:val="00DE04A6"/>
    <w:rsid w:val="00DE07A0"/>
    <w:rsid w:val="00DE2D3D"/>
    <w:rsid w:val="00DE69B5"/>
    <w:rsid w:val="00DF1A09"/>
    <w:rsid w:val="00DF1DFD"/>
    <w:rsid w:val="00DF23BC"/>
    <w:rsid w:val="00DF2927"/>
    <w:rsid w:val="00DF38D5"/>
    <w:rsid w:val="00DF7362"/>
    <w:rsid w:val="00E01818"/>
    <w:rsid w:val="00E061AE"/>
    <w:rsid w:val="00E07475"/>
    <w:rsid w:val="00E10D31"/>
    <w:rsid w:val="00E13F34"/>
    <w:rsid w:val="00E15252"/>
    <w:rsid w:val="00E156A6"/>
    <w:rsid w:val="00E15716"/>
    <w:rsid w:val="00E15D75"/>
    <w:rsid w:val="00E165E2"/>
    <w:rsid w:val="00E17DB4"/>
    <w:rsid w:val="00E23BA9"/>
    <w:rsid w:val="00E415CA"/>
    <w:rsid w:val="00E42CAC"/>
    <w:rsid w:val="00E43E4E"/>
    <w:rsid w:val="00E44EAA"/>
    <w:rsid w:val="00E4504E"/>
    <w:rsid w:val="00E45A7C"/>
    <w:rsid w:val="00E46C49"/>
    <w:rsid w:val="00E47CFB"/>
    <w:rsid w:val="00E50920"/>
    <w:rsid w:val="00E53BF3"/>
    <w:rsid w:val="00E54C10"/>
    <w:rsid w:val="00E55AFF"/>
    <w:rsid w:val="00E57CD5"/>
    <w:rsid w:val="00E600D9"/>
    <w:rsid w:val="00E6234C"/>
    <w:rsid w:val="00E629E2"/>
    <w:rsid w:val="00E63439"/>
    <w:rsid w:val="00E7218C"/>
    <w:rsid w:val="00E77FCE"/>
    <w:rsid w:val="00E8651F"/>
    <w:rsid w:val="00E87CDB"/>
    <w:rsid w:val="00E92570"/>
    <w:rsid w:val="00E93518"/>
    <w:rsid w:val="00E93717"/>
    <w:rsid w:val="00E93A60"/>
    <w:rsid w:val="00E9577F"/>
    <w:rsid w:val="00EA0258"/>
    <w:rsid w:val="00EA3423"/>
    <w:rsid w:val="00EA4D2A"/>
    <w:rsid w:val="00EA5FD8"/>
    <w:rsid w:val="00EA7C66"/>
    <w:rsid w:val="00EB287C"/>
    <w:rsid w:val="00EB4D32"/>
    <w:rsid w:val="00EB51D7"/>
    <w:rsid w:val="00EB78AB"/>
    <w:rsid w:val="00EC2212"/>
    <w:rsid w:val="00EC2485"/>
    <w:rsid w:val="00EC3D05"/>
    <w:rsid w:val="00EC3D09"/>
    <w:rsid w:val="00EC5178"/>
    <w:rsid w:val="00ED0C16"/>
    <w:rsid w:val="00ED1590"/>
    <w:rsid w:val="00ED225C"/>
    <w:rsid w:val="00ED3552"/>
    <w:rsid w:val="00ED4FC7"/>
    <w:rsid w:val="00ED523B"/>
    <w:rsid w:val="00ED5249"/>
    <w:rsid w:val="00ED598B"/>
    <w:rsid w:val="00ED5EE9"/>
    <w:rsid w:val="00ED6FC7"/>
    <w:rsid w:val="00EE37C6"/>
    <w:rsid w:val="00EE57C8"/>
    <w:rsid w:val="00EE58CC"/>
    <w:rsid w:val="00EF3B9A"/>
    <w:rsid w:val="00EF421A"/>
    <w:rsid w:val="00EF7558"/>
    <w:rsid w:val="00F0612C"/>
    <w:rsid w:val="00F07B03"/>
    <w:rsid w:val="00F10C20"/>
    <w:rsid w:val="00F10D1B"/>
    <w:rsid w:val="00F128C9"/>
    <w:rsid w:val="00F129D8"/>
    <w:rsid w:val="00F13BC1"/>
    <w:rsid w:val="00F14364"/>
    <w:rsid w:val="00F167CC"/>
    <w:rsid w:val="00F206A1"/>
    <w:rsid w:val="00F22201"/>
    <w:rsid w:val="00F2226E"/>
    <w:rsid w:val="00F33739"/>
    <w:rsid w:val="00F357E3"/>
    <w:rsid w:val="00F40579"/>
    <w:rsid w:val="00F42715"/>
    <w:rsid w:val="00F43B6C"/>
    <w:rsid w:val="00F46C52"/>
    <w:rsid w:val="00F5122C"/>
    <w:rsid w:val="00F51354"/>
    <w:rsid w:val="00F54101"/>
    <w:rsid w:val="00F5682F"/>
    <w:rsid w:val="00F600F6"/>
    <w:rsid w:val="00F61E65"/>
    <w:rsid w:val="00F654C0"/>
    <w:rsid w:val="00F6625A"/>
    <w:rsid w:val="00F6676A"/>
    <w:rsid w:val="00F74C60"/>
    <w:rsid w:val="00F74FFB"/>
    <w:rsid w:val="00F75CE6"/>
    <w:rsid w:val="00F80178"/>
    <w:rsid w:val="00F8511C"/>
    <w:rsid w:val="00F86C66"/>
    <w:rsid w:val="00F91CE4"/>
    <w:rsid w:val="00F93D89"/>
    <w:rsid w:val="00FA06D3"/>
    <w:rsid w:val="00FA10B4"/>
    <w:rsid w:val="00FA18A1"/>
    <w:rsid w:val="00FA2062"/>
    <w:rsid w:val="00FA2A6D"/>
    <w:rsid w:val="00FA2E6B"/>
    <w:rsid w:val="00FA4ECE"/>
    <w:rsid w:val="00FB1AAA"/>
    <w:rsid w:val="00FB1D3A"/>
    <w:rsid w:val="00FB2672"/>
    <w:rsid w:val="00FB3D31"/>
    <w:rsid w:val="00FB4C03"/>
    <w:rsid w:val="00FB643C"/>
    <w:rsid w:val="00FB668B"/>
    <w:rsid w:val="00FC3F61"/>
    <w:rsid w:val="00FD1862"/>
    <w:rsid w:val="00FD2494"/>
    <w:rsid w:val="00FD509B"/>
    <w:rsid w:val="00FE3985"/>
    <w:rsid w:val="00FE4F7B"/>
    <w:rsid w:val="00FF002A"/>
    <w:rsid w:val="00FF5E4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38DD85ED"/>
  <w15:docId w15:val="{076C5CB4-620F-46DC-9464-1C391CE783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A2152D"/>
    <w:pPr>
      <w:spacing w:before="240" w:after="100" w:line="312" w:lineRule="auto"/>
    </w:pPr>
    <w:rPr>
      <w:rFonts w:ascii="Calibri" w:hAnsi="Calibri"/>
      <w:sz w:val="22"/>
      <w:szCs w:val="24"/>
      <w:lang w:eastAsia="en-US"/>
    </w:rPr>
  </w:style>
  <w:style w:type="paragraph" w:styleId="Heading1">
    <w:name w:val="heading 1"/>
    <w:basedOn w:val="Normal"/>
    <w:next w:val="Normal"/>
    <w:link w:val="Heading1Char"/>
    <w:qFormat/>
    <w:rsid w:val="004001FB"/>
    <w:pPr>
      <w:spacing w:before="9000" w:after="600" w:line="500" w:lineRule="exact"/>
      <w:jc w:val="right"/>
      <w:outlineLvl w:val="0"/>
    </w:pPr>
    <w:rPr>
      <w:rFonts w:ascii="Arial Narrow" w:hAnsi="Arial Narrow"/>
      <w:smallCaps/>
      <w:spacing w:val="4"/>
      <w:kern w:val="42"/>
      <w:sz w:val="42"/>
      <w:szCs w:val="36"/>
    </w:rPr>
  </w:style>
  <w:style w:type="paragraph" w:styleId="Heading2">
    <w:name w:val="heading 2"/>
    <w:next w:val="BodyText"/>
    <w:link w:val="Heading2Char"/>
    <w:qFormat/>
    <w:rsid w:val="007104A7"/>
    <w:pPr>
      <w:keepNext/>
      <w:pageBreakBefore/>
      <w:widowControl w:val="0"/>
      <w:numPr>
        <w:numId w:val="7"/>
      </w:numPr>
      <w:spacing w:before="360" w:line="312" w:lineRule="auto"/>
      <w:outlineLvl w:val="1"/>
    </w:pPr>
    <w:rPr>
      <w:rFonts w:ascii="Arial Narrow" w:hAnsi="Arial Narrow" w:cs="Arial"/>
      <w:bCs/>
      <w:smallCaps/>
      <w:spacing w:val="40"/>
      <w:kern w:val="32"/>
      <w:sz w:val="44"/>
      <w:szCs w:val="36"/>
      <w:lang w:eastAsia="en-US"/>
    </w:rPr>
  </w:style>
  <w:style w:type="paragraph" w:styleId="Heading3">
    <w:name w:val="heading 3"/>
    <w:basedOn w:val="Normal"/>
    <w:next w:val="BodyText"/>
    <w:link w:val="Heading3Char"/>
    <w:qFormat/>
    <w:rsid w:val="00C715C2"/>
    <w:pPr>
      <w:keepNext/>
      <w:widowControl w:val="0"/>
      <w:spacing w:before="480" w:after="60"/>
      <w:ind w:left="567"/>
      <w:outlineLvl w:val="2"/>
    </w:pPr>
    <w:rPr>
      <w:rFonts w:ascii="Arial Narrow" w:hAnsi="Arial Narrow" w:cs="Arial"/>
      <w:iCs/>
      <w:smallCaps/>
      <w:spacing w:val="20"/>
      <w:sz w:val="36"/>
      <w:szCs w:val="34"/>
    </w:rPr>
  </w:style>
  <w:style w:type="paragraph" w:styleId="Heading4">
    <w:name w:val="heading 4"/>
    <w:basedOn w:val="Normal"/>
    <w:next w:val="BodyText"/>
    <w:link w:val="Heading4Char"/>
    <w:qFormat/>
    <w:rsid w:val="00C715C2"/>
    <w:pPr>
      <w:keepNext/>
      <w:widowControl w:val="0"/>
      <w:spacing w:before="320"/>
      <w:ind w:left="567"/>
      <w:outlineLvl w:val="3"/>
    </w:pPr>
    <w:rPr>
      <w:rFonts w:ascii="Arial Narrow" w:hAnsi="Arial Narrow" w:cs="Arial"/>
      <w:smallCaps/>
      <w:spacing w:val="20"/>
      <w:sz w:val="30"/>
      <w:szCs w:val="28"/>
    </w:rPr>
  </w:style>
  <w:style w:type="paragraph" w:styleId="Heading5">
    <w:name w:val="heading 5"/>
    <w:basedOn w:val="Normal"/>
    <w:next w:val="BodyText"/>
    <w:link w:val="Heading5Char"/>
    <w:unhideWhenUsed/>
    <w:qFormat/>
    <w:rsid w:val="00C715C2"/>
    <w:pPr>
      <w:keepNext/>
      <w:widowControl w:val="0"/>
      <w:spacing w:before="280" w:after="80"/>
      <w:ind w:left="567"/>
      <w:outlineLvl w:val="4"/>
    </w:pPr>
    <w:rPr>
      <w:rFonts w:ascii="Arial Narrow" w:hAnsi="Arial Narrow" w:cs="Arial"/>
      <w:smallCaps/>
      <w:spacing w:val="20"/>
      <w:sz w:val="26"/>
    </w:rPr>
  </w:style>
  <w:style w:type="paragraph" w:styleId="Heading6">
    <w:name w:val="heading 6"/>
    <w:basedOn w:val="Normal"/>
    <w:next w:val="Normal"/>
    <w:link w:val="Heading6Char"/>
    <w:unhideWhenUsed/>
    <w:qFormat/>
    <w:rsid w:val="00C715C2"/>
    <w:pPr>
      <w:keepNext/>
      <w:widowControl w:val="0"/>
      <w:spacing w:before="280" w:after="80"/>
      <w:ind w:left="567"/>
      <w:outlineLvl w:val="5"/>
    </w:pPr>
    <w:rPr>
      <w:rFonts w:ascii="Arial Narrow" w:hAnsi="Arial Narrow" w:cs="Arial"/>
      <w:smallCaps/>
      <w:spacing w:val="20"/>
      <w:szCs w:val="22"/>
    </w:rPr>
  </w:style>
  <w:style w:type="paragraph" w:styleId="Heading8">
    <w:name w:val="heading 8"/>
    <w:basedOn w:val="Normal"/>
    <w:next w:val="Normal"/>
    <w:link w:val="Heading8Char"/>
    <w:semiHidden/>
    <w:unhideWhenUsed/>
    <w:qFormat/>
    <w:rsid w:val="00D14F93"/>
    <w:pPr>
      <w:spacing w:after="60"/>
      <w:outlineLvl w:val="7"/>
    </w:pPr>
    <w:rPr>
      <w:i/>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mmitteeName">
    <w:name w:val="Committee Name"/>
    <w:basedOn w:val="Normal"/>
    <w:rsid w:val="00D01952"/>
    <w:pPr>
      <w:spacing w:before="600"/>
      <w:jc w:val="right"/>
    </w:pPr>
    <w:rPr>
      <w:rFonts w:ascii="Arial Narrow" w:hAnsi="Arial Narrow"/>
      <w:smallCaps/>
      <w:spacing w:val="40"/>
      <w:sz w:val="28"/>
      <w:szCs w:val="28"/>
    </w:rPr>
  </w:style>
  <w:style w:type="paragraph" w:styleId="ListNumber3">
    <w:name w:val="List Number 3"/>
    <w:basedOn w:val="Normal"/>
    <w:rsid w:val="00BC7303"/>
    <w:pPr>
      <w:numPr>
        <w:numId w:val="1"/>
      </w:numPr>
      <w:spacing w:before="40" w:after="60" w:line="288" w:lineRule="auto"/>
    </w:pPr>
  </w:style>
  <w:style w:type="paragraph" w:styleId="TOCHeading">
    <w:name w:val="TOC Heading"/>
    <w:basedOn w:val="Normal"/>
    <w:next w:val="Normal"/>
    <w:uiPriority w:val="39"/>
    <w:unhideWhenUsed/>
    <w:rsid w:val="00CF3CA4"/>
    <w:pPr>
      <w:spacing w:before="320" w:after="480" w:line="500" w:lineRule="exact"/>
      <w:outlineLvl w:val="1"/>
    </w:pPr>
    <w:rPr>
      <w:rFonts w:ascii="Arial Narrow" w:hAnsi="Arial Narrow"/>
      <w:smallCaps/>
      <w:spacing w:val="20"/>
      <w:kern w:val="42"/>
      <w:sz w:val="44"/>
      <w:szCs w:val="44"/>
    </w:rPr>
  </w:style>
  <w:style w:type="paragraph" w:styleId="ListBullet">
    <w:name w:val="List Bullet"/>
    <w:link w:val="ListBulletChar"/>
    <w:autoRedefine/>
    <w:qFormat/>
    <w:rsid w:val="00B75C4F"/>
    <w:pPr>
      <w:numPr>
        <w:ilvl w:val="2"/>
        <w:numId w:val="7"/>
      </w:numPr>
      <w:spacing w:before="40" w:after="60" w:line="288" w:lineRule="auto"/>
    </w:pPr>
    <w:rPr>
      <w:rFonts w:ascii="Calibri" w:hAnsi="Calibri"/>
      <w:sz w:val="22"/>
      <w:szCs w:val="22"/>
      <w:lang w:eastAsia="en-US"/>
    </w:rPr>
  </w:style>
  <w:style w:type="paragraph" w:styleId="ListBullet2">
    <w:name w:val="List Bullet 2"/>
    <w:autoRedefine/>
    <w:rsid w:val="00081700"/>
    <w:pPr>
      <w:numPr>
        <w:ilvl w:val="3"/>
        <w:numId w:val="7"/>
      </w:numPr>
      <w:spacing w:before="40" w:after="60" w:line="288" w:lineRule="auto"/>
    </w:pPr>
    <w:rPr>
      <w:rFonts w:ascii="Calibri" w:hAnsi="Calibri"/>
      <w:sz w:val="22"/>
      <w:szCs w:val="24"/>
      <w:lang w:eastAsia="en-US"/>
    </w:rPr>
  </w:style>
  <w:style w:type="paragraph" w:styleId="Caption">
    <w:name w:val="caption"/>
    <w:next w:val="Normal"/>
    <w:qFormat/>
    <w:rsid w:val="005F3356"/>
    <w:pPr>
      <w:keepNext/>
      <w:spacing w:before="400" w:after="60" w:line="312" w:lineRule="auto"/>
      <w:ind w:left="567"/>
    </w:pPr>
    <w:rPr>
      <w:rFonts w:ascii="Arial Narrow" w:hAnsi="Arial Narrow"/>
      <w:bCs/>
      <w:kern w:val="26"/>
      <w:sz w:val="26"/>
      <w:lang w:eastAsia="en-US"/>
    </w:rPr>
  </w:style>
  <w:style w:type="paragraph" w:styleId="TOC4">
    <w:name w:val="toc 4"/>
    <w:basedOn w:val="Normal"/>
    <w:next w:val="Normal"/>
    <w:autoRedefine/>
    <w:semiHidden/>
    <w:rsid w:val="00D8576F"/>
    <w:pPr>
      <w:ind w:left="660"/>
    </w:pPr>
    <w:rPr>
      <w:sz w:val="18"/>
      <w:szCs w:val="18"/>
    </w:rPr>
  </w:style>
  <w:style w:type="character" w:styleId="Hyperlink">
    <w:name w:val="Hyperlink"/>
    <w:uiPriority w:val="99"/>
    <w:rsid w:val="003B5A9F"/>
    <w:rPr>
      <w:color w:val="0000FF"/>
      <w:u w:val="single"/>
    </w:rPr>
  </w:style>
  <w:style w:type="paragraph" w:styleId="TOC1">
    <w:name w:val="toc 1"/>
    <w:next w:val="Normal"/>
    <w:autoRedefine/>
    <w:uiPriority w:val="39"/>
    <w:rsid w:val="00AC003A"/>
    <w:pPr>
      <w:tabs>
        <w:tab w:val="right" w:leader="dot" w:pos="9061"/>
      </w:tabs>
      <w:spacing w:before="180" w:after="40" w:line="312" w:lineRule="auto"/>
      <w:ind w:left="425" w:hanging="425"/>
    </w:pPr>
    <w:rPr>
      <w:rFonts w:ascii="Calibri" w:hAnsi="Calibri"/>
      <w:b/>
      <w:bCs/>
      <w:smallCaps/>
      <w:spacing w:val="40"/>
      <w:sz w:val="24"/>
      <w:lang w:eastAsia="en-US"/>
    </w:rPr>
  </w:style>
  <w:style w:type="paragraph" w:styleId="TOC2">
    <w:name w:val="toc 2"/>
    <w:autoRedefine/>
    <w:uiPriority w:val="39"/>
    <w:rsid w:val="00AC003A"/>
    <w:pPr>
      <w:tabs>
        <w:tab w:val="right" w:leader="dot" w:pos="9061"/>
      </w:tabs>
      <w:spacing w:before="40" w:line="312" w:lineRule="auto"/>
      <w:ind w:left="992" w:hanging="567"/>
    </w:pPr>
    <w:rPr>
      <w:rFonts w:ascii="Calibri" w:hAnsi="Calibri"/>
      <w:b/>
      <w:lang w:eastAsia="en-US"/>
    </w:rPr>
  </w:style>
  <w:style w:type="paragraph" w:styleId="Header">
    <w:name w:val="header"/>
    <w:link w:val="HeaderChar"/>
    <w:uiPriority w:val="99"/>
    <w:rsid w:val="001C746F"/>
    <w:pPr>
      <w:tabs>
        <w:tab w:val="right" w:pos="8640"/>
      </w:tabs>
      <w:ind w:left="680" w:hanging="680"/>
    </w:pPr>
    <w:rPr>
      <w:rFonts w:ascii="Calibri" w:hAnsi="Calibri"/>
      <w:caps/>
      <w:spacing w:val="40"/>
      <w:szCs w:val="14"/>
      <w:lang w:eastAsia="en-US"/>
    </w:rPr>
  </w:style>
  <w:style w:type="paragraph" w:styleId="TableofFigures">
    <w:name w:val="table of figures"/>
    <w:next w:val="Normal"/>
    <w:semiHidden/>
    <w:rsid w:val="003B5A9F"/>
    <w:pPr>
      <w:spacing w:before="240"/>
      <w:ind w:left="1162" w:hanging="482"/>
    </w:pPr>
    <w:rPr>
      <w:rFonts w:ascii="Arial" w:hAnsi="Arial"/>
      <w:b/>
      <w:lang w:eastAsia="en-US"/>
    </w:rPr>
  </w:style>
  <w:style w:type="paragraph" w:styleId="Footer">
    <w:name w:val="footer"/>
    <w:basedOn w:val="Normal"/>
    <w:link w:val="FooterChar"/>
    <w:uiPriority w:val="99"/>
    <w:rsid w:val="000E7567"/>
    <w:pPr>
      <w:tabs>
        <w:tab w:val="center" w:pos="4320"/>
        <w:tab w:val="right" w:pos="8640"/>
      </w:tabs>
    </w:pPr>
    <w:rPr>
      <w:sz w:val="20"/>
    </w:rPr>
  </w:style>
  <w:style w:type="character" w:styleId="PageNumber">
    <w:name w:val="page number"/>
    <w:rsid w:val="008B35C5"/>
    <w:rPr>
      <w:rFonts w:ascii="Calibri" w:hAnsi="Calibri"/>
      <w:sz w:val="20"/>
      <w:szCs w:val="18"/>
    </w:rPr>
  </w:style>
  <w:style w:type="paragraph" w:styleId="TOC5">
    <w:name w:val="toc 5"/>
    <w:basedOn w:val="Normal"/>
    <w:next w:val="Normal"/>
    <w:autoRedefine/>
    <w:semiHidden/>
    <w:rsid w:val="00D8576F"/>
    <w:pPr>
      <w:ind w:left="880"/>
    </w:pPr>
    <w:rPr>
      <w:sz w:val="18"/>
      <w:szCs w:val="18"/>
    </w:rPr>
  </w:style>
  <w:style w:type="paragraph" w:styleId="Quote">
    <w:name w:val="Quote"/>
    <w:basedOn w:val="Normal"/>
    <w:qFormat/>
    <w:rsid w:val="00D14F93"/>
    <w:pPr>
      <w:spacing w:before="60" w:after="80" w:line="288" w:lineRule="auto"/>
      <w:ind w:left="1247"/>
    </w:pPr>
    <w:rPr>
      <w:rFonts w:cs="Arial"/>
      <w:iCs/>
    </w:rPr>
  </w:style>
  <w:style w:type="paragraph" w:styleId="FootnoteText">
    <w:name w:val="footnote text"/>
    <w:basedOn w:val="Normal"/>
    <w:link w:val="FootnoteTextChar"/>
    <w:uiPriority w:val="99"/>
    <w:semiHidden/>
    <w:rsid w:val="00113E77"/>
    <w:pPr>
      <w:spacing w:before="80" w:after="80" w:line="160" w:lineRule="exact"/>
      <w:ind w:left="170" w:hanging="170"/>
    </w:pPr>
    <w:rPr>
      <w:sz w:val="18"/>
      <w:szCs w:val="20"/>
    </w:rPr>
  </w:style>
  <w:style w:type="character" w:styleId="FootnoteReference">
    <w:name w:val="footnote reference"/>
    <w:uiPriority w:val="99"/>
    <w:semiHidden/>
    <w:rsid w:val="003B5A9F"/>
    <w:rPr>
      <w:vertAlign w:val="superscript"/>
    </w:rPr>
  </w:style>
  <w:style w:type="paragraph" w:styleId="TOC3">
    <w:name w:val="toc 3"/>
    <w:basedOn w:val="Normal"/>
    <w:next w:val="Normal"/>
    <w:autoRedefine/>
    <w:uiPriority w:val="39"/>
    <w:rsid w:val="00AC0996"/>
    <w:pPr>
      <w:tabs>
        <w:tab w:val="right" w:leader="dot" w:pos="9061"/>
      </w:tabs>
      <w:spacing w:before="40"/>
      <w:ind w:left="1276" w:hanging="425"/>
    </w:pPr>
    <w:rPr>
      <w:b/>
      <w:iCs/>
      <w:noProof/>
      <w:sz w:val="20"/>
      <w:szCs w:val="22"/>
      <w:lang w:eastAsia="en-AU"/>
    </w:rPr>
  </w:style>
  <w:style w:type="paragraph" w:customStyle="1" w:styleId="RecommendationHeading">
    <w:name w:val="Recommendation Heading"/>
    <w:basedOn w:val="Normal"/>
    <w:next w:val="RecommendationText"/>
    <w:qFormat/>
    <w:rsid w:val="00182AC2"/>
    <w:pPr>
      <w:spacing w:before="400"/>
    </w:pPr>
    <w:rPr>
      <w:rFonts w:ascii="Arial Narrow" w:hAnsi="Arial Narrow"/>
      <w:b/>
      <w:spacing w:val="20"/>
      <w:sz w:val="28"/>
      <w:szCs w:val="28"/>
    </w:rPr>
  </w:style>
  <w:style w:type="character" w:styleId="FollowedHyperlink">
    <w:name w:val="FollowedHyperlink"/>
    <w:rsid w:val="003B5A9F"/>
    <w:rPr>
      <w:color w:val="800080"/>
      <w:u w:val="single"/>
    </w:rPr>
  </w:style>
  <w:style w:type="table" w:styleId="TableGrid">
    <w:name w:val="Table Grid"/>
    <w:basedOn w:val="TableNormal"/>
    <w:rsid w:val="001609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6">
    <w:name w:val="toc 6"/>
    <w:basedOn w:val="Normal"/>
    <w:next w:val="Normal"/>
    <w:autoRedefine/>
    <w:semiHidden/>
    <w:rsid w:val="00D8576F"/>
    <w:pPr>
      <w:ind w:left="1100"/>
    </w:pPr>
    <w:rPr>
      <w:sz w:val="18"/>
      <w:szCs w:val="18"/>
    </w:rPr>
  </w:style>
  <w:style w:type="paragraph" w:styleId="TOC7">
    <w:name w:val="toc 7"/>
    <w:basedOn w:val="Normal"/>
    <w:next w:val="Normal"/>
    <w:autoRedefine/>
    <w:semiHidden/>
    <w:rsid w:val="00D8576F"/>
    <w:pPr>
      <w:ind w:left="1320"/>
    </w:pPr>
    <w:rPr>
      <w:sz w:val="18"/>
      <w:szCs w:val="18"/>
    </w:rPr>
  </w:style>
  <w:style w:type="paragraph" w:styleId="TOC8">
    <w:name w:val="toc 8"/>
    <w:basedOn w:val="Normal"/>
    <w:next w:val="Normal"/>
    <w:autoRedefine/>
    <w:semiHidden/>
    <w:rsid w:val="00D8576F"/>
    <w:pPr>
      <w:ind w:left="1540"/>
    </w:pPr>
    <w:rPr>
      <w:sz w:val="18"/>
      <w:szCs w:val="18"/>
    </w:rPr>
  </w:style>
  <w:style w:type="paragraph" w:styleId="TOC9">
    <w:name w:val="toc 9"/>
    <w:basedOn w:val="Normal"/>
    <w:next w:val="Normal"/>
    <w:autoRedefine/>
    <w:semiHidden/>
    <w:rsid w:val="00D8576F"/>
    <w:pPr>
      <w:ind w:left="1760"/>
    </w:pPr>
    <w:rPr>
      <w:sz w:val="18"/>
      <w:szCs w:val="18"/>
    </w:rPr>
  </w:style>
  <w:style w:type="character" w:customStyle="1" w:styleId="FooterChar">
    <w:name w:val="Footer Char"/>
    <w:link w:val="Footer"/>
    <w:uiPriority w:val="99"/>
    <w:rsid w:val="000E7567"/>
    <w:rPr>
      <w:rFonts w:ascii="Calibri" w:hAnsi="Calibri"/>
      <w:szCs w:val="24"/>
      <w:lang w:eastAsia="en-US"/>
    </w:rPr>
  </w:style>
  <w:style w:type="character" w:customStyle="1" w:styleId="HeaderChar">
    <w:name w:val="Header Char"/>
    <w:link w:val="Header"/>
    <w:uiPriority w:val="99"/>
    <w:rsid w:val="001C746F"/>
    <w:rPr>
      <w:rFonts w:ascii="Calibri" w:hAnsi="Calibri"/>
      <w:caps/>
      <w:spacing w:val="40"/>
      <w:szCs w:val="14"/>
      <w:lang w:val="en-AU" w:eastAsia="en-US" w:bidi="ar-SA"/>
    </w:rPr>
  </w:style>
  <w:style w:type="numbering" w:customStyle="1" w:styleId="test1">
    <w:name w:val="test1"/>
    <w:uiPriority w:val="99"/>
    <w:rsid w:val="00FA18A1"/>
    <w:pPr>
      <w:numPr>
        <w:numId w:val="2"/>
      </w:numPr>
    </w:pPr>
  </w:style>
  <w:style w:type="paragraph" w:customStyle="1" w:styleId="RecommendationText">
    <w:name w:val="Recommendation Text"/>
    <w:basedOn w:val="BodyText"/>
    <w:next w:val="BodyText"/>
    <w:link w:val="RecommendationTextChar"/>
    <w:qFormat/>
    <w:rsid w:val="00D03FF2"/>
    <w:pPr>
      <w:spacing w:before="120"/>
    </w:pPr>
    <w:rPr>
      <w:b/>
    </w:rPr>
  </w:style>
  <w:style w:type="character" w:customStyle="1" w:styleId="RecommendationTextChar">
    <w:name w:val="Recommendation Text Char"/>
    <w:link w:val="RecommendationText"/>
    <w:rsid w:val="00D03FF2"/>
    <w:rPr>
      <w:rFonts w:ascii="Calibri" w:hAnsi="Calibri"/>
      <w:b/>
      <w:sz w:val="22"/>
      <w:szCs w:val="24"/>
      <w:lang w:eastAsia="en-US"/>
    </w:rPr>
  </w:style>
  <w:style w:type="table" w:customStyle="1" w:styleId="CommitteeTable">
    <w:name w:val="Committee Table"/>
    <w:basedOn w:val="TableNormal"/>
    <w:uiPriority w:val="99"/>
    <w:rsid w:val="00E061AE"/>
    <w:pPr>
      <w:spacing w:before="160" w:after="80"/>
    </w:pPr>
    <w:rPr>
      <w:rFonts w:ascii="Calibri" w:hAnsi="Calibri"/>
      <w:sz w:val="22"/>
    </w:rPr>
    <w:tblPr>
      <w:tblStyleRowBandSize w:val="1"/>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cPr>
      <w:shd w:val="clear" w:color="auto" w:fill="FFFFFF"/>
      <w:vAlign w:val="center"/>
    </w:tcPr>
    <w:tblStylePr w:type="firstRow">
      <w:pPr>
        <w:wordWrap/>
        <w:spacing w:beforeLines="0" w:before="160" w:beforeAutospacing="0" w:afterLines="0" w:after="80" w:afterAutospacing="0" w:line="288" w:lineRule="auto"/>
      </w:pPr>
      <w:rPr>
        <w:rFonts w:ascii="Arial Narrow" w:hAnsi="Arial Narrow"/>
        <w:b/>
        <w:sz w:val="22"/>
      </w:rPr>
      <w:tblPr/>
      <w:trPr>
        <w:tblHeader/>
      </w:trPr>
    </w:tblStylePr>
    <w:tblStylePr w:type="band1Horz">
      <w:rPr>
        <w:rFonts w:ascii="Arial Narrow" w:hAnsi="Arial Narrow"/>
        <w:sz w:val="20"/>
      </w:rPr>
      <w:tblPr/>
      <w:tcPr>
        <w:shd w:val="clear" w:color="auto" w:fill="F2F2F2"/>
      </w:tcPr>
    </w:tblStylePr>
  </w:style>
  <w:style w:type="character" w:customStyle="1" w:styleId="Heading1Char">
    <w:name w:val="Heading 1 Char"/>
    <w:link w:val="Heading1"/>
    <w:rsid w:val="004001FB"/>
    <w:rPr>
      <w:rFonts w:ascii="Arial Narrow" w:hAnsi="Arial Narrow"/>
      <w:smallCaps/>
      <w:spacing w:val="4"/>
      <w:kern w:val="42"/>
      <w:sz w:val="42"/>
      <w:szCs w:val="36"/>
      <w:lang w:eastAsia="en-US"/>
    </w:rPr>
  </w:style>
  <w:style w:type="character" w:customStyle="1" w:styleId="Heading2Char">
    <w:name w:val="Heading 2 Char"/>
    <w:link w:val="Heading2"/>
    <w:rsid w:val="007104A7"/>
    <w:rPr>
      <w:rFonts w:ascii="Arial Narrow" w:hAnsi="Arial Narrow" w:cs="Arial"/>
      <w:bCs/>
      <w:smallCaps/>
      <w:spacing w:val="40"/>
      <w:kern w:val="32"/>
      <w:sz w:val="44"/>
      <w:szCs w:val="36"/>
      <w:lang w:eastAsia="en-US"/>
    </w:rPr>
  </w:style>
  <w:style w:type="character" w:customStyle="1" w:styleId="Heading3Char">
    <w:name w:val="Heading 3 Char"/>
    <w:link w:val="Heading3"/>
    <w:rsid w:val="00C715C2"/>
    <w:rPr>
      <w:rFonts w:ascii="Arial Narrow" w:hAnsi="Arial Narrow" w:cs="Arial"/>
      <w:iCs/>
      <w:smallCaps/>
      <w:spacing w:val="20"/>
      <w:sz w:val="36"/>
      <w:szCs w:val="34"/>
      <w:lang w:eastAsia="en-US"/>
    </w:rPr>
  </w:style>
  <w:style w:type="paragraph" w:customStyle="1" w:styleId="RecommendationBullet">
    <w:name w:val="Recommendation Bullet"/>
    <w:basedOn w:val="ListBullet"/>
    <w:link w:val="RecommendationBulletChar"/>
    <w:qFormat/>
    <w:rsid w:val="00BB6351"/>
    <w:rPr>
      <w:b/>
    </w:rPr>
  </w:style>
  <w:style w:type="character" w:customStyle="1" w:styleId="ListBulletChar">
    <w:name w:val="List Bullet Char"/>
    <w:link w:val="ListBullet"/>
    <w:rsid w:val="00B75C4F"/>
    <w:rPr>
      <w:rFonts w:ascii="Calibri" w:hAnsi="Calibri"/>
      <w:sz w:val="22"/>
      <w:szCs w:val="22"/>
      <w:lang w:eastAsia="en-US"/>
    </w:rPr>
  </w:style>
  <w:style w:type="character" w:customStyle="1" w:styleId="RecommendationBulletChar">
    <w:name w:val="Recommendation Bullet Char"/>
    <w:link w:val="RecommendationBullet"/>
    <w:rsid w:val="00462F49"/>
    <w:rPr>
      <w:rFonts w:ascii="Calibri" w:hAnsi="Calibri"/>
      <w:b/>
      <w:sz w:val="22"/>
      <w:szCs w:val="22"/>
      <w:lang w:eastAsia="en-US"/>
    </w:rPr>
  </w:style>
  <w:style w:type="paragraph" w:styleId="BalloonText">
    <w:name w:val="Balloon Text"/>
    <w:basedOn w:val="Normal"/>
    <w:link w:val="BalloonTextChar"/>
    <w:semiHidden/>
    <w:unhideWhenUsed/>
    <w:rsid w:val="000F617F"/>
    <w:rPr>
      <w:rFonts w:ascii="Segoe UI" w:hAnsi="Segoe UI" w:cs="Segoe UI"/>
      <w:sz w:val="18"/>
      <w:szCs w:val="18"/>
    </w:rPr>
  </w:style>
  <w:style w:type="character" w:customStyle="1" w:styleId="BalloonTextChar">
    <w:name w:val="Balloon Text Char"/>
    <w:link w:val="BalloonText"/>
    <w:semiHidden/>
    <w:rsid w:val="000F617F"/>
    <w:rPr>
      <w:rFonts w:ascii="Segoe UI" w:hAnsi="Segoe UI" w:cs="Segoe UI"/>
      <w:sz w:val="18"/>
      <w:szCs w:val="18"/>
      <w:lang w:eastAsia="en-US"/>
    </w:rPr>
  </w:style>
  <w:style w:type="paragraph" w:styleId="BodyText">
    <w:name w:val="Body Text"/>
    <w:basedOn w:val="Normal"/>
    <w:link w:val="BodyTextChar"/>
    <w:unhideWhenUsed/>
    <w:qFormat/>
    <w:rsid w:val="00C715C2"/>
    <w:pPr>
      <w:numPr>
        <w:ilvl w:val="1"/>
        <w:numId w:val="7"/>
      </w:numPr>
      <w:spacing w:line="288" w:lineRule="auto"/>
    </w:pPr>
  </w:style>
  <w:style w:type="character" w:customStyle="1" w:styleId="BodyTextChar">
    <w:name w:val="Body Text Char"/>
    <w:link w:val="BodyText"/>
    <w:rsid w:val="00C715C2"/>
    <w:rPr>
      <w:rFonts w:ascii="Calibri" w:hAnsi="Calibri"/>
      <w:sz w:val="22"/>
      <w:szCs w:val="24"/>
      <w:lang w:eastAsia="en-US"/>
    </w:rPr>
  </w:style>
  <w:style w:type="character" w:customStyle="1" w:styleId="Heading6Char">
    <w:name w:val="Heading 6 Char"/>
    <w:link w:val="Heading6"/>
    <w:rsid w:val="00C715C2"/>
    <w:rPr>
      <w:rFonts w:ascii="Arial Narrow" w:hAnsi="Arial Narrow" w:cs="Arial"/>
      <w:smallCaps/>
      <w:spacing w:val="20"/>
      <w:sz w:val="22"/>
      <w:szCs w:val="22"/>
      <w:lang w:eastAsia="en-US"/>
    </w:rPr>
  </w:style>
  <w:style w:type="character" w:customStyle="1" w:styleId="Heading5Char">
    <w:name w:val="Heading 5 Char"/>
    <w:link w:val="Heading5"/>
    <w:rsid w:val="00C715C2"/>
    <w:rPr>
      <w:rFonts w:ascii="Arial Narrow" w:hAnsi="Arial Narrow" w:cs="Arial"/>
      <w:smallCaps/>
      <w:spacing w:val="20"/>
      <w:sz w:val="26"/>
      <w:szCs w:val="24"/>
      <w:lang w:eastAsia="en-US"/>
    </w:rPr>
  </w:style>
  <w:style w:type="paragraph" w:styleId="ListNumber">
    <w:name w:val="List Number"/>
    <w:basedOn w:val="Normal"/>
    <w:rsid w:val="00592771"/>
    <w:pPr>
      <w:numPr>
        <w:numId w:val="4"/>
      </w:numPr>
      <w:contextualSpacing/>
    </w:pPr>
  </w:style>
  <w:style w:type="character" w:customStyle="1" w:styleId="Heading8Char">
    <w:name w:val="Heading 8 Char"/>
    <w:link w:val="Heading8"/>
    <w:semiHidden/>
    <w:rsid w:val="00D14F93"/>
    <w:rPr>
      <w:rFonts w:ascii="Calibri" w:eastAsia="Times New Roman" w:hAnsi="Calibri" w:cs="Times New Roman"/>
      <w:i/>
      <w:iCs/>
      <w:sz w:val="24"/>
      <w:szCs w:val="24"/>
      <w:lang w:eastAsia="en-US"/>
    </w:rPr>
  </w:style>
  <w:style w:type="paragraph" w:styleId="ListParagraph">
    <w:name w:val="List Paragraph"/>
    <w:basedOn w:val="Normal"/>
    <w:uiPriority w:val="34"/>
    <w:rsid w:val="0083652D"/>
    <w:pPr>
      <w:spacing w:before="40" w:after="60" w:line="288" w:lineRule="auto"/>
      <w:ind w:left="567"/>
    </w:pPr>
    <w:rPr>
      <w:rFonts w:eastAsia="Calibri"/>
      <w:szCs w:val="22"/>
    </w:rPr>
  </w:style>
  <w:style w:type="character" w:styleId="CommentReference">
    <w:name w:val="annotation reference"/>
    <w:semiHidden/>
    <w:unhideWhenUsed/>
    <w:rsid w:val="001108DC"/>
    <w:rPr>
      <w:sz w:val="16"/>
      <w:szCs w:val="16"/>
    </w:rPr>
  </w:style>
  <w:style w:type="paragraph" w:styleId="CommentText">
    <w:name w:val="annotation text"/>
    <w:basedOn w:val="Normal"/>
    <w:link w:val="CommentTextChar"/>
    <w:semiHidden/>
    <w:unhideWhenUsed/>
    <w:rsid w:val="001108DC"/>
    <w:rPr>
      <w:sz w:val="20"/>
      <w:szCs w:val="20"/>
    </w:rPr>
  </w:style>
  <w:style w:type="character" w:customStyle="1" w:styleId="CommentTextChar">
    <w:name w:val="Comment Text Char"/>
    <w:link w:val="CommentText"/>
    <w:semiHidden/>
    <w:rsid w:val="001108DC"/>
    <w:rPr>
      <w:rFonts w:ascii="Calibri" w:hAnsi="Calibri"/>
      <w:lang w:eastAsia="en-US"/>
    </w:rPr>
  </w:style>
  <w:style w:type="paragraph" w:styleId="CommentSubject">
    <w:name w:val="annotation subject"/>
    <w:basedOn w:val="CommentText"/>
    <w:next w:val="CommentText"/>
    <w:link w:val="CommentSubjectChar"/>
    <w:semiHidden/>
    <w:unhideWhenUsed/>
    <w:rsid w:val="001108DC"/>
    <w:rPr>
      <w:b/>
      <w:bCs/>
    </w:rPr>
  </w:style>
  <w:style w:type="character" w:customStyle="1" w:styleId="CommentSubjectChar">
    <w:name w:val="Comment Subject Char"/>
    <w:link w:val="CommentSubject"/>
    <w:semiHidden/>
    <w:rsid w:val="001108DC"/>
    <w:rPr>
      <w:rFonts w:ascii="Calibri" w:hAnsi="Calibri"/>
      <w:b/>
      <w:bCs/>
      <w:lang w:eastAsia="en-US"/>
    </w:rPr>
  </w:style>
  <w:style w:type="paragraph" w:styleId="Signature">
    <w:name w:val="Signature"/>
    <w:basedOn w:val="Normal"/>
    <w:next w:val="Normal"/>
    <w:link w:val="SignatureChar"/>
    <w:unhideWhenUsed/>
    <w:rsid w:val="000100C7"/>
    <w:pPr>
      <w:spacing w:before="1800"/>
    </w:pPr>
  </w:style>
  <w:style w:type="character" w:customStyle="1" w:styleId="SignatureChar">
    <w:name w:val="Signature Char"/>
    <w:link w:val="Signature"/>
    <w:rsid w:val="00E10D31"/>
    <w:rPr>
      <w:rFonts w:ascii="Calibri" w:hAnsi="Calibri"/>
      <w:sz w:val="22"/>
      <w:szCs w:val="24"/>
      <w:lang w:eastAsia="en-US"/>
    </w:rPr>
  </w:style>
  <w:style w:type="paragraph" w:customStyle="1" w:styleId="TableHeading">
    <w:name w:val="Table Heading"/>
    <w:basedOn w:val="Normal"/>
    <w:qFormat/>
    <w:rsid w:val="00A77A10"/>
    <w:pPr>
      <w:spacing w:before="160" w:after="80" w:line="288" w:lineRule="auto"/>
    </w:pPr>
    <w:rPr>
      <w:rFonts w:ascii="Arial Narrow" w:hAnsi="Arial Narrow"/>
      <w:b/>
    </w:rPr>
  </w:style>
  <w:style w:type="paragraph" w:customStyle="1" w:styleId="TableText">
    <w:name w:val="Table Text"/>
    <w:basedOn w:val="Normal"/>
    <w:qFormat/>
    <w:rsid w:val="00D67727"/>
    <w:pPr>
      <w:spacing w:before="160" w:after="80" w:line="288" w:lineRule="auto"/>
    </w:pPr>
  </w:style>
  <w:style w:type="paragraph" w:customStyle="1" w:styleId="ListNoBullet">
    <w:name w:val="List NoBullet"/>
    <w:basedOn w:val="Normal"/>
    <w:qFormat/>
    <w:rsid w:val="00843B7D"/>
    <w:pPr>
      <w:numPr>
        <w:numId w:val="5"/>
      </w:numPr>
      <w:spacing w:before="40" w:after="60" w:line="288" w:lineRule="auto"/>
    </w:pPr>
  </w:style>
  <w:style w:type="paragraph" w:styleId="ListBullet3">
    <w:name w:val="List Bullet 3"/>
    <w:basedOn w:val="Normal"/>
    <w:unhideWhenUsed/>
    <w:rsid w:val="00FA4ECE"/>
    <w:pPr>
      <w:numPr>
        <w:numId w:val="3"/>
      </w:numPr>
      <w:contextualSpacing/>
    </w:pPr>
  </w:style>
  <w:style w:type="paragraph" w:customStyle="1" w:styleId="FindingHeading">
    <w:name w:val="Finding Heading"/>
    <w:basedOn w:val="RecommendationHeading"/>
    <w:next w:val="FindingText"/>
    <w:qFormat/>
    <w:rsid w:val="00182AC2"/>
  </w:style>
  <w:style w:type="paragraph" w:customStyle="1" w:styleId="FindingText">
    <w:name w:val="Finding Text"/>
    <w:basedOn w:val="RecommendationText"/>
    <w:next w:val="BodyText"/>
    <w:qFormat/>
    <w:rsid w:val="00D03FF2"/>
  </w:style>
  <w:style w:type="paragraph" w:customStyle="1" w:styleId="FindingBullet">
    <w:name w:val="Finding Bullet"/>
    <w:basedOn w:val="RecommendationBullet"/>
    <w:qFormat/>
    <w:rsid w:val="00206460"/>
  </w:style>
  <w:style w:type="numbering" w:customStyle="1" w:styleId="CommitteeNumberedPara">
    <w:name w:val="Committee Numbered Para"/>
    <w:uiPriority w:val="99"/>
    <w:rsid w:val="00CD7F25"/>
    <w:pPr>
      <w:numPr>
        <w:numId w:val="6"/>
      </w:numPr>
    </w:pPr>
  </w:style>
  <w:style w:type="paragraph" w:styleId="Date">
    <w:name w:val="Date"/>
    <w:basedOn w:val="Normal"/>
    <w:next w:val="Normal"/>
    <w:link w:val="DateChar"/>
    <w:rsid w:val="001B4B71"/>
    <w:pPr>
      <w:spacing w:before="600"/>
      <w:jc w:val="right"/>
    </w:pPr>
    <w:rPr>
      <w:rFonts w:ascii="Arial Narrow" w:hAnsi="Arial Narrow"/>
      <w:smallCaps/>
      <w:spacing w:val="60"/>
    </w:rPr>
  </w:style>
  <w:style w:type="character" w:customStyle="1" w:styleId="DateChar">
    <w:name w:val="Date Char"/>
    <w:basedOn w:val="DefaultParagraphFont"/>
    <w:link w:val="Date"/>
    <w:rsid w:val="001B4B71"/>
    <w:rPr>
      <w:rFonts w:ascii="Arial Narrow" w:hAnsi="Arial Narrow"/>
      <w:smallCaps/>
      <w:spacing w:val="60"/>
      <w:sz w:val="22"/>
      <w:szCs w:val="24"/>
      <w:lang w:eastAsia="en-US"/>
    </w:rPr>
  </w:style>
  <w:style w:type="paragraph" w:customStyle="1" w:styleId="QuoteListBullet">
    <w:name w:val="Quote List Bullet"/>
    <w:qFormat/>
    <w:rsid w:val="00EF3B9A"/>
    <w:pPr>
      <w:numPr>
        <w:numId w:val="8"/>
      </w:numPr>
      <w:spacing w:before="40" w:after="60" w:line="288" w:lineRule="auto"/>
    </w:pPr>
    <w:rPr>
      <w:rFonts w:ascii="Calibri" w:hAnsi="Calibri"/>
      <w:sz w:val="22"/>
      <w:szCs w:val="22"/>
      <w:lang w:eastAsia="en-US"/>
    </w:rPr>
  </w:style>
  <w:style w:type="paragraph" w:customStyle="1" w:styleId="QuoteListBullet2">
    <w:name w:val="Quote List Bullet 2"/>
    <w:qFormat/>
    <w:rsid w:val="005A4A62"/>
    <w:pPr>
      <w:numPr>
        <w:ilvl w:val="1"/>
        <w:numId w:val="8"/>
      </w:numPr>
      <w:spacing w:before="40" w:after="60" w:line="288" w:lineRule="auto"/>
    </w:pPr>
    <w:rPr>
      <w:rFonts w:ascii="Calibri" w:hAnsi="Calibri"/>
      <w:sz w:val="22"/>
      <w:szCs w:val="22"/>
      <w:lang w:eastAsia="en-US"/>
    </w:rPr>
  </w:style>
  <w:style w:type="paragraph" w:customStyle="1" w:styleId="ListWitnesses">
    <w:name w:val="List Witnesses"/>
    <w:qFormat/>
    <w:rsid w:val="004302E6"/>
    <w:pPr>
      <w:numPr>
        <w:numId w:val="9"/>
      </w:numPr>
      <w:spacing w:line="288" w:lineRule="auto"/>
      <w:ind w:left="567"/>
    </w:pPr>
    <w:rPr>
      <w:rFonts w:ascii="Calibri" w:hAnsi="Calibri"/>
      <w:sz w:val="22"/>
      <w:szCs w:val="22"/>
      <w:lang w:eastAsia="en-US"/>
    </w:rPr>
  </w:style>
  <w:style w:type="character" w:customStyle="1" w:styleId="FootnoteTextChar">
    <w:name w:val="Footnote Text Char"/>
    <w:basedOn w:val="DefaultParagraphFont"/>
    <w:link w:val="FootnoteText"/>
    <w:uiPriority w:val="99"/>
    <w:semiHidden/>
    <w:rsid w:val="0032606E"/>
    <w:rPr>
      <w:rFonts w:ascii="Calibri" w:hAnsi="Calibri"/>
      <w:sz w:val="18"/>
      <w:lang w:eastAsia="en-US"/>
    </w:rPr>
  </w:style>
  <w:style w:type="paragraph" w:customStyle="1" w:styleId="Bodytextnonumbering">
    <w:name w:val="Body text no numbering"/>
    <w:basedOn w:val="Normal"/>
    <w:rsid w:val="005A1703"/>
    <w:pPr>
      <w:keepNext/>
      <w:spacing w:before="160" w:after="80" w:line="288" w:lineRule="auto"/>
      <w:outlineLvl w:val="1"/>
    </w:pPr>
    <w:rPr>
      <w:rFonts w:cs="Arial"/>
      <w:iCs/>
    </w:rPr>
  </w:style>
  <w:style w:type="paragraph" w:customStyle="1" w:styleId="DPSEntryDetail">
    <w:name w:val="DPSEntryDetail"/>
    <w:link w:val="DPSEntryDetailChar"/>
    <w:rsid w:val="00EB51D7"/>
    <w:pPr>
      <w:tabs>
        <w:tab w:val="left" w:pos="1197"/>
        <w:tab w:val="left" w:pos="1767"/>
      </w:tabs>
      <w:spacing w:before="120"/>
      <w:ind w:left="720"/>
      <w:jc w:val="both"/>
    </w:pPr>
    <w:rPr>
      <w:rFonts w:ascii="Calibri" w:hAnsi="Calibri"/>
      <w:sz w:val="24"/>
    </w:rPr>
  </w:style>
  <w:style w:type="character" w:customStyle="1" w:styleId="DPSEntryDetailChar">
    <w:name w:val="DPSEntryDetail Char"/>
    <w:basedOn w:val="DefaultParagraphFont"/>
    <w:link w:val="DPSEntryDetail"/>
    <w:rsid w:val="00EB51D7"/>
    <w:rPr>
      <w:rFonts w:ascii="Calibri" w:hAnsi="Calibri"/>
      <w:sz w:val="24"/>
    </w:rPr>
  </w:style>
  <w:style w:type="paragraph" w:styleId="NoSpacing">
    <w:name w:val="No Spacing"/>
    <w:uiPriority w:val="1"/>
    <w:qFormat/>
    <w:rsid w:val="00C219EC"/>
    <w:rPr>
      <w:rFonts w:asciiTheme="minorHAnsi" w:eastAsiaTheme="minorHAnsi" w:hAnsiTheme="minorHAnsi" w:cstheme="minorBidi"/>
      <w:sz w:val="22"/>
      <w:szCs w:val="22"/>
      <w:lang w:eastAsia="en-US"/>
    </w:rPr>
  </w:style>
  <w:style w:type="character" w:customStyle="1" w:styleId="Heading4Char">
    <w:name w:val="Heading 4 Char"/>
    <w:basedOn w:val="DefaultParagraphFont"/>
    <w:link w:val="Heading4"/>
    <w:rsid w:val="009B20B9"/>
    <w:rPr>
      <w:rFonts w:ascii="Arial Narrow" w:hAnsi="Arial Narrow" w:cs="Arial"/>
      <w:smallCaps/>
      <w:spacing w:val="20"/>
      <w:sz w:val="30"/>
      <w:szCs w:val="28"/>
      <w:lang w:eastAsia="en-US"/>
    </w:rPr>
  </w:style>
  <w:style w:type="paragraph" w:styleId="Revision">
    <w:name w:val="Revision"/>
    <w:hidden/>
    <w:uiPriority w:val="99"/>
    <w:semiHidden/>
    <w:rsid w:val="00875684"/>
    <w:rPr>
      <w:rFonts w:ascii="Calibri" w:hAnsi="Calibri"/>
      <w:sz w:val="22"/>
      <w:szCs w:val="24"/>
      <w:lang w:eastAsia="en-US"/>
    </w:rPr>
  </w:style>
  <w:style w:type="character" w:styleId="Emphasis">
    <w:name w:val="Emphasis"/>
    <w:basedOn w:val="DefaultParagraphFont"/>
    <w:uiPriority w:val="20"/>
    <w:qFormat/>
    <w:rsid w:val="00AF0AA5"/>
    <w:rPr>
      <w:i/>
      <w:iCs/>
    </w:rPr>
  </w:style>
  <w:style w:type="character" w:customStyle="1" w:styleId="UnresolvedMention1">
    <w:name w:val="Unresolved Mention1"/>
    <w:basedOn w:val="DefaultParagraphFont"/>
    <w:uiPriority w:val="99"/>
    <w:semiHidden/>
    <w:unhideWhenUsed/>
    <w:rsid w:val="0060740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48171602">
      <w:bodyDiv w:val="1"/>
      <w:marLeft w:val="0"/>
      <w:marRight w:val="0"/>
      <w:marTop w:val="0"/>
      <w:marBottom w:val="0"/>
      <w:divBdr>
        <w:top w:val="none" w:sz="0" w:space="0" w:color="auto"/>
        <w:left w:val="none" w:sz="0" w:space="0" w:color="auto"/>
        <w:bottom w:val="none" w:sz="0" w:space="0" w:color="auto"/>
        <w:right w:val="none" w:sz="0" w:space="0" w:color="auto"/>
      </w:divBdr>
    </w:div>
    <w:div w:id="1911454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4.xml"/><Relationship Id="rId26" Type="http://schemas.openxmlformats.org/officeDocument/2006/relationships/footer" Target="footer6.xml"/><Relationship Id="rId3" Type="http://schemas.openxmlformats.org/officeDocument/2006/relationships/numbering" Target="numbering.xml"/><Relationship Id="rId21" Type="http://schemas.openxmlformats.org/officeDocument/2006/relationships/footer" Target="footer5.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www.parliament.act.gov.au" TargetMode="External"/><Relationship Id="rId25" Type="http://schemas.openxmlformats.org/officeDocument/2006/relationships/image" Target="media/image1.jpg"/><Relationship Id="rId2" Type="http://schemas.openxmlformats.org/officeDocument/2006/relationships/customXml" Target="../customXml/item2.xml"/><Relationship Id="rId16" Type="http://schemas.openxmlformats.org/officeDocument/2006/relationships/hyperlink" Target="mailto:committees@parliament.act.gov.au" TargetMode="External"/><Relationship Id="rId20" Type="http://schemas.openxmlformats.org/officeDocument/2006/relationships/footer" Target="footer4.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s://www.surveymonkey.com/r/FuelPricing" TargetMode="External"/><Relationship Id="rId5" Type="http://schemas.openxmlformats.org/officeDocument/2006/relationships/settings" Target="settings.xml"/><Relationship Id="rId15" Type="http://schemas.openxmlformats.org/officeDocument/2006/relationships/hyperlink" Target="mailto:LACommitteeFP@parliament.act.gov.au" TargetMode="External"/><Relationship Id="rId23" Type="http://schemas.openxmlformats.org/officeDocument/2006/relationships/hyperlink" Target="https://www.parliament.act.gov.au/in-committees/select_committees/fuel-prices/inquiry-into-fuel-pricing" TargetMode="External"/><Relationship Id="rId28" Type="http://schemas.openxmlformats.org/officeDocument/2006/relationships/header" Target="header7.xml"/><Relationship Id="rId10" Type="http://schemas.openxmlformats.org/officeDocument/2006/relationships/header" Target="header2.xml"/><Relationship Id="rId19" Type="http://schemas.openxmlformats.org/officeDocument/2006/relationships/header" Target="header5.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6.xml"/><Relationship Id="rId27" Type="http://schemas.openxmlformats.org/officeDocument/2006/relationships/footer" Target="footer7.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8" Type="http://schemas.openxmlformats.org/officeDocument/2006/relationships/hyperlink" Target="https://www.dnrme.qld.gov.au/energy/initiatives/fuel-price-reporting-trial" TargetMode="External"/><Relationship Id="rId13" Type="http://schemas.openxmlformats.org/officeDocument/2006/relationships/hyperlink" Target="https://www.parliament.act.gov.au/in-committees/standing-committees-current-assembly/standing-committee-on-planning-and-urban-renewal/inquiry-into-billboards" TargetMode="External"/><Relationship Id="rId3" Type="http://schemas.openxmlformats.org/officeDocument/2006/relationships/hyperlink" Target="https://www.oecd.org/daf/competition/CompetitionInRoadFuel.pdf" TargetMode="External"/><Relationship Id="rId7" Type="http://schemas.openxmlformats.org/officeDocument/2006/relationships/hyperlink" Target="https://fuelcheck.nsw.gov.au/app" TargetMode="External"/><Relationship Id="rId12" Type="http://schemas.openxmlformats.org/officeDocument/2006/relationships/hyperlink" Target="http://www.dice.hhu.de/fileadmin/redaktion/Fakultaeten/Wirtschaftswissenschaftliche_Fakultaet/DICE/Discussion_Paper/051_Dewenter_Heimeshoff.pdf" TargetMode="External"/><Relationship Id="rId2" Type="http://schemas.openxmlformats.org/officeDocument/2006/relationships/hyperlink" Target="http://ssrn.com/abstract=811404" TargetMode="External"/><Relationship Id="rId1" Type="http://schemas.openxmlformats.org/officeDocument/2006/relationships/hyperlink" Target="https://www.parliament.act.gov.au/in-committees/select_committees/fuel-prices/inquiry-into-fuel-pricing" TargetMode="External"/><Relationship Id="rId6" Type="http://schemas.openxmlformats.org/officeDocument/2006/relationships/hyperlink" Target="https://www.accesscanberra.act.gov.au/app/answers/detail/a_id/2270/~/fair-trading-for-consumers" TargetMode="External"/><Relationship Id="rId11" Type="http://schemas.openxmlformats.org/officeDocument/2006/relationships/hyperlink" Target="http://www.dice.hhu.de/fileadmin/redaktion/Fakultaeten/Wirtschaftswissenschaftliche_Fakultaet/DICE/Discussion_Paper/047_Haucap_Mueller_2.pdf" TargetMode="External"/><Relationship Id="rId5" Type="http://schemas.openxmlformats.org/officeDocument/2006/relationships/hyperlink" Target="https://www.parliament.act.gov.au/in-committees/select_committees/fuel-prices/inquiry-into-fuel-pricing" TargetMode="External"/><Relationship Id="rId10" Type="http://schemas.openxmlformats.org/officeDocument/2006/relationships/hyperlink" Target="https://www.fuelwatch.wa.gov.au/fuelwatch/pages/home.jspx" TargetMode="External"/><Relationship Id="rId4" Type="http://schemas.openxmlformats.org/officeDocument/2006/relationships/hyperlink" Target="https://www.parliament.act.gov.au/in-committees/select_committees/fuel-prices/inquiry-into-fuel-pricing" TargetMode="External"/><Relationship Id="rId9" Type="http://schemas.openxmlformats.org/officeDocument/2006/relationships/hyperlink" Target="https://www.icrc.act.gov.au/__data/assets/pdf_file/0008/1249595/finalreportfuelprices3sept2001cw.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isl xmlns:xsi="http://www.w3.org/2001/XMLSchema-instance" xmlns:xsd="http://www.w3.org/2001/XMLSchema" xmlns="http://www.boldonjames.com/2008/01/sie/internal/label" sislVersion="0" policy="1865c0a7-d648-4a74-80fe-fa9dc7fe13cc">
  <element uid="a68a5297-83bb-4ba8-a7cd-4b62d6981a77" value=""/>
</sisl>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255F45E-C287-4886-BD95-A40718DDC30B}">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9C2F2D70-EF4E-4618-AC25-B8EC917572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34</Pages>
  <Words>6665</Words>
  <Characters>37639</Characters>
  <Application>Microsoft Office Word</Application>
  <DocSecurity>0</DocSecurity>
  <Lines>313</Lines>
  <Paragraphs>88</Paragraphs>
  <ScaleCrop>false</ScaleCrop>
  <HeadingPairs>
    <vt:vector size="2" baseType="variant">
      <vt:variant>
        <vt:lpstr>Title</vt:lpstr>
      </vt:variant>
      <vt:variant>
        <vt:i4>1</vt:i4>
      </vt:variant>
    </vt:vector>
  </HeadingPairs>
  <TitlesOfParts>
    <vt:vector size="1" baseType="lpstr">
      <vt:lpstr>Committee Report Template</vt:lpstr>
    </vt:vector>
  </TitlesOfParts>
  <Company>OCTAVO</Company>
  <LinksUpToDate>false</LinksUpToDate>
  <CharactersWithSpaces>44216</CharactersWithSpaces>
  <SharedDoc>false</SharedDoc>
  <HLinks>
    <vt:vector size="132" baseType="variant">
      <vt:variant>
        <vt:i4>1441841</vt:i4>
      </vt:variant>
      <vt:variant>
        <vt:i4>122</vt:i4>
      </vt:variant>
      <vt:variant>
        <vt:i4>0</vt:i4>
      </vt:variant>
      <vt:variant>
        <vt:i4>5</vt:i4>
      </vt:variant>
      <vt:variant>
        <vt:lpwstr/>
      </vt:variant>
      <vt:variant>
        <vt:lpwstr>_Toc93834243</vt:lpwstr>
      </vt:variant>
      <vt:variant>
        <vt:i4>1572915</vt:i4>
      </vt:variant>
      <vt:variant>
        <vt:i4>115</vt:i4>
      </vt:variant>
      <vt:variant>
        <vt:i4>0</vt:i4>
      </vt:variant>
      <vt:variant>
        <vt:i4>5</vt:i4>
      </vt:variant>
      <vt:variant>
        <vt:lpwstr/>
      </vt:variant>
      <vt:variant>
        <vt:lpwstr>_Toc101854630</vt:lpwstr>
      </vt:variant>
      <vt:variant>
        <vt:i4>1638451</vt:i4>
      </vt:variant>
      <vt:variant>
        <vt:i4>109</vt:i4>
      </vt:variant>
      <vt:variant>
        <vt:i4>0</vt:i4>
      </vt:variant>
      <vt:variant>
        <vt:i4>5</vt:i4>
      </vt:variant>
      <vt:variant>
        <vt:lpwstr/>
      </vt:variant>
      <vt:variant>
        <vt:lpwstr>_Toc101854629</vt:lpwstr>
      </vt:variant>
      <vt:variant>
        <vt:i4>1638451</vt:i4>
      </vt:variant>
      <vt:variant>
        <vt:i4>103</vt:i4>
      </vt:variant>
      <vt:variant>
        <vt:i4>0</vt:i4>
      </vt:variant>
      <vt:variant>
        <vt:i4>5</vt:i4>
      </vt:variant>
      <vt:variant>
        <vt:lpwstr/>
      </vt:variant>
      <vt:variant>
        <vt:lpwstr>_Toc101854628</vt:lpwstr>
      </vt:variant>
      <vt:variant>
        <vt:i4>1638451</vt:i4>
      </vt:variant>
      <vt:variant>
        <vt:i4>97</vt:i4>
      </vt:variant>
      <vt:variant>
        <vt:i4>0</vt:i4>
      </vt:variant>
      <vt:variant>
        <vt:i4>5</vt:i4>
      </vt:variant>
      <vt:variant>
        <vt:lpwstr/>
      </vt:variant>
      <vt:variant>
        <vt:lpwstr>_Toc101854627</vt:lpwstr>
      </vt:variant>
      <vt:variant>
        <vt:i4>1310769</vt:i4>
      </vt:variant>
      <vt:variant>
        <vt:i4>92</vt:i4>
      </vt:variant>
      <vt:variant>
        <vt:i4>0</vt:i4>
      </vt:variant>
      <vt:variant>
        <vt:i4>5</vt:i4>
      </vt:variant>
      <vt:variant>
        <vt:lpwstr/>
      </vt:variant>
      <vt:variant>
        <vt:lpwstr>_Toc93834241</vt:lpwstr>
      </vt:variant>
      <vt:variant>
        <vt:i4>1376305</vt:i4>
      </vt:variant>
      <vt:variant>
        <vt:i4>89</vt:i4>
      </vt:variant>
      <vt:variant>
        <vt:i4>0</vt:i4>
      </vt:variant>
      <vt:variant>
        <vt:i4>5</vt:i4>
      </vt:variant>
      <vt:variant>
        <vt:lpwstr/>
      </vt:variant>
      <vt:variant>
        <vt:lpwstr>_Toc93834240</vt:lpwstr>
      </vt:variant>
      <vt:variant>
        <vt:i4>1441846</vt:i4>
      </vt:variant>
      <vt:variant>
        <vt:i4>80</vt:i4>
      </vt:variant>
      <vt:variant>
        <vt:i4>0</vt:i4>
      </vt:variant>
      <vt:variant>
        <vt:i4>5</vt:i4>
      </vt:variant>
      <vt:variant>
        <vt:lpwstr/>
      </vt:variant>
      <vt:variant>
        <vt:lpwstr>_Toc254701029</vt:lpwstr>
      </vt:variant>
      <vt:variant>
        <vt:i4>1441846</vt:i4>
      </vt:variant>
      <vt:variant>
        <vt:i4>74</vt:i4>
      </vt:variant>
      <vt:variant>
        <vt:i4>0</vt:i4>
      </vt:variant>
      <vt:variant>
        <vt:i4>5</vt:i4>
      </vt:variant>
      <vt:variant>
        <vt:lpwstr/>
      </vt:variant>
      <vt:variant>
        <vt:lpwstr>_Toc254701028</vt:lpwstr>
      </vt:variant>
      <vt:variant>
        <vt:i4>1441846</vt:i4>
      </vt:variant>
      <vt:variant>
        <vt:i4>68</vt:i4>
      </vt:variant>
      <vt:variant>
        <vt:i4>0</vt:i4>
      </vt:variant>
      <vt:variant>
        <vt:i4>5</vt:i4>
      </vt:variant>
      <vt:variant>
        <vt:lpwstr/>
      </vt:variant>
      <vt:variant>
        <vt:lpwstr>_Toc254701027</vt:lpwstr>
      </vt:variant>
      <vt:variant>
        <vt:i4>1441846</vt:i4>
      </vt:variant>
      <vt:variant>
        <vt:i4>62</vt:i4>
      </vt:variant>
      <vt:variant>
        <vt:i4>0</vt:i4>
      </vt:variant>
      <vt:variant>
        <vt:i4>5</vt:i4>
      </vt:variant>
      <vt:variant>
        <vt:lpwstr/>
      </vt:variant>
      <vt:variant>
        <vt:lpwstr>_Toc254701026</vt:lpwstr>
      </vt:variant>
      <vt:variant>
        <vt:i4>1441846</vt:i4>
      </vt:variant>
      <vt:variant>
        <vt:i4>56</vt:i4>
      </vt:variant>
      <vt:variant>
        <vt:i4>0</vt:i4>
      </vt:variant>
      <vt:variant>
        <vt:i4>5</vt:i4>
      </vt:variant>
      <vt:variant>
        <vt:lpwstr/>
      </vt:variant>
      <vt:variant>
        <vt:lpwstr>_Toc254701025</vt:lpwstr>
      </vt:variant>
      <vt:variant>
        <vt:i4>1441846</vt:i4>
      </vt:variant>
      <vt:variant>
        <vt:i4>50</vt:i4>
      </vt:variant>
      <vt:variant>
        <vt:i4>0</vt:i4>
      </vt:variant>
      <vt:variant>
        <vt:i4>5</vt:i4>
      </vt:variant>
      <vt:variant>
        <vt:lpwstr/>
      </vt:variant>
      <vt:variant>
        <vt:lpwstr>_Toc254701024</vt:lpwstr>
      </vt:variant>
      <vt:variant>
        <vt:i4>1441846</vt:i4>
      </vt:variant>
      <vt:variant>
        <vt:i4>44</vt:i4>
      </vt:variant>
      <vt:variant>
        <vt:i4>0</vt:i4>
      </vt:variant>
      <vt:variant>
        <vt:i4>5</vt:i4>
      </vt:variant>
      <vt:variant>
        <vt:lpwstr/>
      </vt:variant>
      <vt:variant>
        <vt:lpwstr>_Toc254701023</vt:lpwstr>
      </vt:variant>
      <vt:variant>
        <vt:i4>1441846</vt:i4>
      </vt:variant>
      <vt:variant>
        <vt:i4>38</vt:i4>
      </vt:variant>
      <vt:variant>
        <vt:i4>0</vt:i4>
      </vt:variant>
      <vt:variant>
        <vt:i4>5</vt:i4>
      </vt:variant>
      <vt:variant>
        <vt:lpwstr/>
      </vt:variant>
      <vt:variant>
        <vt:lpwstr>_Toc254701022</vt:lpwstr>
      </vt:variant>
      <vt:variant>
        <vt:i4>1441846</vt:i4>
      </vt:variant>
      <vt:variant>
        <vt:i4>32</vt:i4>
      </vt:variant>
      <vt:variant>
        <vt:i4>0</vt:i4>
      </vt:variant>
      <vt:variant>
        <vt:i4>5</vt:i4>
      </vt:variant>
      <vt:variant>
        <vt:lpwstr/>
      </vt:variant>
      <vt:variant>
        <vt:lpwstr>_Toc254701021</vt:lpwstr>
      </vt:variant>
      <vt:variant>
        <vt:i4>1441846</vt:i4>
      </vt:variant>
      <vt:variant>
        <vt:i4>26</vt:i4>
      </vt:variant>
      <vt:variant>
        <vt:i4>0</vt:i4>
      </vt:variant>
      <vt:variant>
        <vt:i4>5</vt:i4>
      </vt:variant>
      <vt:variant>
        <vt:lpwstr/>
      </vt:variant>
      <vt:variant>
        <vt:lpwstr>_Toc254701020</vt:lpwstr>
      </vt:variant>
      <vt:variant>
        <vt:i4>1376310</vt:i4>
      </vt:variant>
      <vt:variant>
        <vt:i4>20</vt:i4>
      </vt:variant>
      <vt:variant>
        <vt:i4>0</vt:i4>
      </vt:variant>
      <vt:variant>
        <vt:i4>5</vt:i4>
      </vt:variant>
      <vt:variant>
        <vt:lpwstr/>
      </vt:variant>
      <vt:variant>
        <vt:lpwstr>_Toc254701019</vt:lpwstr>
      </vt:variant>
      <vt:variant>
        <vt:i4>1376310</vt:i4>
      </vt:variant>
      <vt:variant>
        <vt:i4>14</vt:i4>
      </vt:variant>
      <vt:variant>
        <vt:i4>0</vt:i4>
      </vt:variant>
      <vt:variant>
        <vt:i4>5</vt:i4>
      </vt:variant>
      <vt:variant>
        <vt:lpwstr/>
      </vt:variant>
      <vt:variant>
        <vt:lpwstr>_Toc254701018</vt:lpwstr>
      </vt:variant>
      <vt:variant>
        <vt:i4>1376310</vt:i4>
      </vt:variant>
      <vt:variant>
        <vt:i4>8</vt:i4>
      </vt:variant>
      <vt:variant>
        <vt:i4>0</vt:i4>
      </vt:variant>
      <vt:variant>
        <vt:i4>5</vt:i4>
      </vt:variant>
      <vt:variant>
        <vt:lpwstr/>
      </vt:variant>
      <vt:variant>
        <vt:lpwstr>_Toc254701017</vt:lpwstr>
      </vt:variant>
      <vt:variant>
        <vt:i4>1310792</vt:i4>
      </vt:variant>
      <vt:variant>
        <vt:i4>3</vt:i4>
      </vt:variant>
      <vt:variant>
        <vt:i4>0</vt:i4>
      </vt:variant>
      <vt:variant>
        <vt:i4>5</vt:i4>
      </vt:variant>
      <vt:variant>
        <vt:lpwstr>http://www.parliament.act.gov.au/</vt:lpwstr>
      </vt:variant>
      <vt:variant>
        <vt:lpwstr/>
      </vt:variant>
      <vt:variant>
        <vt:i4>4980832</vt:i4>
      </vt:variant>
      <vt:variant>
        <vt:i4>0</vt:i4>
      </vt:variant>
      <vt:variant>
        <vt:i4>0</vt:i4>
      </vt:variant>
      <vt:variant>
        <vt:i4>5</vt:i4>
      </vt:variant>
      <vt:variant>
        <vt:lpwstr>mailto:committees@parliament.act.gov.au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Committee Report Template</dc:title>
  <dc:subject/>
  <dc:creator>Lydia Chung</dc:creator>
  <cp:keywords/>
  <dc:description/>
  <cp:lastModifiedBy>Chung, Lydia</cp:lastModifiedBy>
  <cp:revision>3</cp:revision>
  <cp:lastPrinted>2019-02-05T05:10:00Z</cp:lastPrinted>
  <dcterms:created xsi:type="dcterms:W3CDTF">2019-05-30T04:42:00Z</dcterms:created>
  <dcterms:modified xsi:type="dcterms:W3CDTF">2019-05-30T04:42:00Z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7df4c533-c116-4c8d-b62c-df019ef0acd7</vt:lpwstr>
  </property>
  <property fmtid="{D5CDD505-2E9C-101B-9397-08002B2CF9AE}" pid="3" name="bjSaver">
    <vt:lpwstr>ZwE+/ToLrPDfvyrx1nh9MyjXnSm5Wksu</vt:lpwstr>
  </property>
  <property fmtid="{D5CDD505-2E9C-101B-9397-08002B2CF9AE}" pid="4" name="bjDocumentLabelXML">
    <vt:lpwstr>&lt;?xml version="1.0" encoding="us-ascii"?&gt;&lt;sisl xmlns:xsi="http://www.w3.org/2001/XMLSchema-instance" xmlns:xsd="http://www.w3.org/2001/XMLSchema" sislVersion="0" policy="1865c0a7-d648-4a74-80fe-fa9dc7fe13cc" xmlns="http://www.boldonjames.com/2008/01/sie/i</vt:lpwstr>
  </property>
  <property fmtid="{D5CDD505-2E9C-101B-9397-08002B2CF9AE}" pid="5" name="bjDocumentLabelXML-0">
    <vt:lpwstr>nternal/label"&gt;&lt;element uid="a68a5297-83bb-4ba8-a7cd-4b62d6981a77" value="" /&gt;&lt;/sisl&gt;</vt:lpwstr>
  </property>
  <property fmtid="{D5CDD505-2E9C-101B-9397-08002B2CF9AE}" pid="6" name="bjDocumentSecurityLabel">
    <vt:lpwstr>UNCLASSIFIED - NO MARKING</vt:lpwstr>
  </property>
  <property fmtid="{D5CDD505-2E9C-101B-9397-08002B2CF9AE}" pid="7" name="bjDocumentLabelFieldCode">
    <vt:lpwstr>UNCLASSIFIED - NO MARKING</vt:lpwstr>
  </property>
  <property fmtid="{D5CDD505-2E9C-101B-9397-08002B2CF9AE}" pid="8" name="bjDocumentLabelFieldCodeHeaderFooter">
    <vt:lpwstr>UNCLASSIFIED - NO MARKING</vt:lpwstr>
  </property>
</Properties>
</file>