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E5820" w14:textId="77C492ED" w:rsidR="00FF4661" w:rsidRDefault="00FF4661" w:rsidP="00695B93">
      <w:pPr>
        <w:spacing w:before="120" w:after="120"/>
        <w:jc w:val="both"/>
        <w:rPr>
          <w:rFonts w:ascii="Arial" w:hAnsi="Arial" w:cs="Arial"/>
        </w:rPr>
      </w:pPr>
      <w:bookmarkStart w:id="0" w:name="_Toc44738651"/>
      <w:r>
        <w:rPr>
          <w:rFonts w:ascii="Arial" w:hAnsi="Arial" w:cs="Arial"/>
        </w:rPr>
        <w:t>Australian Capital Territory</w:t>
      </w:r>
    </w:p>
    <w:p w14:paraId="40B796F2" w14:textId="66832F80" w:rsidR="00FF4661" w:rsidRPr="00EE7F1C" w:rsidRDefault="00FF4661" w:rsidP="00695B93">
      <w:pPr>
        <w:pStyle w:val="Billname"/>
        <w:spacing w:before="700"/>
        <w:jc w:val="both"/>
      </w:pPr>
      <w:r>
        <w:t>Legal Profession (</w:t>
      </w:r>
      <w:r w:rsidR="007D5C58">
        <w:t>Barristers</w:t>
      </w:r>
      <w:r>
        <w:t>) Rules 20</w:t>
      </w:r>
      <w:r w:rsidR="47D68E79">
        <w:t>2</w:t>
      </w:r>
      <w:r w:rsidR="007D5C58">
        <w:t>6</w:t>
      </w:r>
    </w:p>
    <w:p w14:paraId="5E269B27" w14:textId="40D6DAF1" w:rsidR="00FF4661" w:rsidRPr="00EE7F1C" w:rsidRDefault="00F30ECA" w:rsidP="7356062D">
      <w:pPr>
        <w:spacing w:before="340"/>
        <w:jc w:val="both"/>
        <w:rPr>
          <w:rFonts w:ascii="Arial" w:hAnsi="Arial" w:cs="Arial"/>
          <w:b/>
          <w:bCs/>
          <w:highlight w:val="yellow"/>
        </w:rPr>
      </w:pPr>
      <w:r w:rsidRPr="7356062D">
        <w:rPr>
          <w:rFonts w:ascii="Arial" w:hAnsi="Arial" w:cs="Arial"/>
          <w:b/>
          <w:bCs/>
        </w:rPr>
        <w:t xml:space="preserve">Subordinate law </w:t>
      </w:r>
      <w:r w:rsidR="00290C9D">
        <w:rPr>
          <w:rFonts w:ascii="Arial" w:hAnsi="Arial" w:cs="Arial"/>
          <w:b/>
          <w:bCs/>
        </w:rPr>
        <w:t>SL202</w:t>
      </w:r>
      <w:r w:rsidR="00A44C83">
        <w:rPr>
          <w:rFonts w:ascii="Arial" w:hAnsi="Arial" w:cs="Arial"/>
          <w:b/>
          <w:bCs/>
        </w:rPr>
        <w:t>6</w:t>
      </w:r>
      <w:r w:rsidR="007D5C58">
        <w:rPr>
          <w:rFonts w:ascii="Arial" w:hAnsi="Arial" w:cs="Arial"/>
          <w:b/>
          <w:bCs/>
        </w:rPr>
        <w:t xml:space="preserve">– </w:t>
      </w:r>
    </w:p>
    <w:p w14:paraId="0A1B0DD3" w14:textId="77777777" w:rsidR="00FF4661" w:rsidRPr="00EE7F1C" w:rsidRDefault="00FF4661" w:rsidP="00695B93">
      <w:pPr>
        <w:pStyle w:val="madeunder"/>
        <w:spacing w:before="300" w:after="0"/>
      </w:pPr>
      <w:r w:rsidRPr="00EE7F1C">
        <w:t>made under the</w:t>
      </w:r>
    </w:p>
    <w:p w14:paraId="4AEE0549" w14:textId="43BB40B8" w:rsidR="00FF4661" w:rsidRPr="00EE7F1C" w:rsidRDefault="00FF4661" w:rsidP="00695B93">
      <w:pPr>
        <w:pStyle w:val="CoverActName"/>
        <w:spacing w:before="320" w:after="0"/>
        <w:rPr>
          <w:bCs/>
          <w:sz w:val="20"/>
        </w:rPr>
      </w:pPr>
      <w:r>
        <w:rPr>
          <w:sz w:val="20"/>
        </w:rPr>
        <w:t>Legal Profession Act 2006, s 5</w:t>
      </w:r>
      <w:r w:rsidR="007D5C58">
        <w:rPr>
          <w:sz w:val="20"/>
        </w:rPr>
        <w:t>79(1)</w:t>
      </w:r>
      <w:r>
        <w:rPr>
          <w:sz w:val="20"/>
        </w:rPr>
        <w:t xml:space="preserve"> (Rules for </w:t>
      </w:r>
      <w:r w:rsidR="007D5C58">
        <w:rPr>
          <w:sz w:val="20"/>
        </w:rPr>
        <w:t>barristers</w:t>
      </w:r>
      <w:r>
        <w:rPr>
          <w:sz w:val="20"/>
        </w:rPr>
        <w:t>)</w:t>
      </w:r>
    </w:p>
    <w:p w14:paraId="284D8CC0" w14:textId="77777777" w:rsidR="006815C9" w:rsidRDefault="006815C9" w:rsidP="00695B93">
      <w:pPr>
        <w:spacing w:before="360"/>
        <w:ind w:right="565"/>
        <w:jc w:val="both"/>
        <w:rPr>
          <w:rFonts w:ascii="Arial" w:hAnsi="Arial" w:cs="Arial"/>
          <w:b/>
          <w:bCs/>
          <w:sz w:val="28"/>
          <w:szCs w:val="28"/>
        </w:rPr>
      </w:pPr>
      <w:r>
        <w:rPr>
          <w:rFonts w:ascii="Arial" w:hAnsi="Arial" w:cs="Arial"/>
          <w:b/>
          <w:bCs/>
          <w:sz w:val="28"/>
          <w:szCs w:val="28"/>
        </w:rPr>
        <w:t>EXPLANATORY STATEMENT</w:t>
      </w:r>
    </w:p>
    <w:p w14:paraId="421D6350" w14:textId="77777777" w:rsidR="006815C9" w:rsidRDefault="006815C9" w:rsidP="00695B93">
      <w:pPr>
        <w:pStyle w:val="N-line3"/>
        <w:pBdr>
          <w:bottom w:val="none" w:sz="0" w:space="0" w:color="auto"/>
        </w:pBdr>
      </w:pPr>
    </w:p>
    <w:p w14:paraId="7C77CB6D" w14:textId="77777777" w:rsidR="006815C9" w:rsidRDefault="006815C9" w:rsidP="00695B93">
      <w:pPr>
        <w:pStyle w:val="N-line3"/>
        <w:pBdr>
          <w:top w:val="single" w:sz="12" w:space="1" w:color="auto"/>
          <w:bottom w:val="none" w:sz="0" w:space="0" w:color="auto"/>
        </w:pBdr>
      </w:pPr>
    </w:p>
    <w:bookmarkEnd w:id="0"/>
    <w:p w14:paraId="10068704" w14:textId="27392DF8" w:rsidR="00B57EC1" w:rsidRPr="00626656" w:rsidRDefault="00626656" w:rsidP="00695B93">
      <w:pPr>
        <w:jc w:val="both"/>
        <w:rPr>
          <w:b/>
          <w:szCs w:val="24"/>
        </w:rPr>
      </w:pPr>
      <w:r w:rsidRPr="00626656">
        <w:rPr>
          <w:b/>
          <w:szCs w:val="24"/>
        </w:rPr>
        <w:t xml:space="preserve">BACKGROUND </w:t>
      </w:r>
    </w:p>
    <w:p w14:paraId="094309B0" w14:textId="77777777" w:rsidR="00B57EC1" w:rsidRDefault="00B57EC1" w:rsidP="00695B93">
      <w:pPr>
        <w:jc w:val="both"/>
        <w:rPr>
          <w:b/>
          <w:sz w:val="28"/>
          <w:szCs w:val="28"/>
        </w:rPr>
      </w:pPr>
    </w:p>
    <w:p w14:paraId="7388652C" w14:textId="65765FB8" w:rsidR="007D5C58" w:rsidRDefault="007D5C58" w:rsidP="00695B93">
      <w:pPr>
        <w:jc w:val="both"/>
      </w:pPr>
      <w:r>
        <w:t xml:space="preserve">The </w:t>
      </w:r>
      <w:r>
        <w:rPr>
          <w:i/>
          <w:iCs/>
        </w:rPr>
        <w:t xml:space="preserve">Legal Profession Act 2006 </w:t>
      </w:r>
      <w:r>
        <w:t>(ACT) (LPA) empowers the Bar Association of the ACT</w:t>
      </w:r>
      <w:r w:rsidR="00F15FB6">
        <w:t xml:space="preserve"> (Bar Association)</w:t>
      </w:r>
      <w:r>
        <w:t xml:space="preserve"> to make Rules for or in relation to practice as a barrister, as an Australian-registered foreign lawyer and for incorporated legal practices and multi-disciplinary partnerships. </w:t>
      </w:r>
    </w:p>
    <w:p w14:paraId="64397CAE" w14:textId="77777777" w:rsidR="007D5C58" w:rsidRDefault="007D5C58" w:rsidP="00695B93">
      <w:pPr>
        <w:jc w:val="both"/>
      </w:pPr>
    </w:p>
    <w:p w14:paraId="3A9BEADD" w14:textId="48C405A9" w:rsidR="007D5C58" w:rsidRDefault="007D5C58" w:rsidP="00695B93">
      <w:pPr>
        <w:jc w:val="both"/>
        <w:rPr>
          <w:i/>
          <w:iCs/>
        </w:rPr>
      </w:pPr>
      <w:r>
        <w:t xml:space="preserve">The </w:t>
      </w:r>
      <w:r>
        <w:rPr>
          <w:i/>
          <w:iCs/>
        </w:rPr>
        <w:t xml:space="preserve">Legal Profession (Barristers) Rules 2026 </w:t>
      </w:r>
      <w:r>
        <w:t xml:space="preserve">replaces the </w:t>
      </w:r>
      <w:r>
        <w:rPr>
          <w:i/>
          <w:iCs/>
        </w:rPr>
        <w:t>Legal Profession (Barristers) Rules 2021</w:t>
      </w:r>
      <w:r w:rsidR="00F15FB6">
        <w:rPr>
          <w:i/>
          <w:iCs/>
        </w:rPr>
        <w:t>.</w:t>
      </w:r>
    </w:p>
    <w:p w14:paraId="77DECC0A" w14:textId="77777777" w:rsidR="00F12249" w:rsidRDefault="00F12249" w:rsidP="00695B93">
      <w:pPr>
        <w:jc w:val="both"/>
        <w:rPr>
          <w:i/>
          <w:iCs/>
        </w:rPr>
      </w:pPr>
    </w:p>
    <w:p w14:paraId="34F09847" w14:textId="77777777" w:rsidR="00F12249" w:rsidRDefault="00F12249" w:rsidP="00F12249">
      <w:r>
        <w:t xml:space="preserve">At the Annual General Meeting of the Bar Association held on 11 September 2025, members resolved to make an amendment to Rule 81. </w:t>
      </w:r>
    </w:p>
    <w:p w14:paraId="0D0EA97F" w14:textId="77777777" w:rsidR="00F12249" w:rsidRDefault="00F12249" w:rsidP="00F12249"/>
    <w:p w14:paraId="06892E7A" w14:textId="6AA23EBF" w:rsidR="00F12249" w:rsidRPr="007D5C58" w:rsidRDefault="00F12249" w:rsidP="00F12249">
      <w:r>
        <w:t xml:space="preserve">As required by section 583 of the LPA, the Bar Association wrote to the ACT Attorney-General and </w:t>
      </w:r>
      <w:r w:rsidR="00FF5FFC">
        <w:t xml:space="preserve">published a public notice in the Canberra Times and ACT Government website seeking </w:t>
      </w:r>
      <w:r>
        <w:t>public comment on the proposal to adopt the revised Rules</w:t>
      </w:r>
      <w:r w:rsidR="00FF5FFC">
        <w:t>.</w:t>
      </w:r>
    </w:p>
    <w:p w14:paraId="55DCDD0F" w14:textId="77777777" w:rsidR="007D5C58" w:rsidRDefault="007D5C58" w:rsidP="00695B93">
      <w:pPr>
        <w:jc w:val="both"/>
      </w:pPr>
    </w:p>
    <w:p w14:paraId="51F3D469" w14:textId="4BF85F52" w:rsidR="00F15FB6" w:rsidRDefault="007D5C58" w:rsidP="00695B93">
      <w:pPr>
        <w:jc w:val="both"/>
      </w:pPr>
      <w:r>
        <w:t xml:space="preserve">The Rules </w:t>
      </w:r>
      <w:r w:rsidR="00F15FB6">
        <w:t>amend</w:t>
      </w:r>
      <w:r>
        <w:t xml:space="preserve"> Rule 81</w:t>
      </w:r>
      <w:r w:rsidR="00F15FB6">
        <w:t>:</w:t>
      </w:r>
    </w:p>
    <w:p w14:paraId="6982A3C6" w14:textId="77777777" w:rsidR="00F15FB6" w:rsidRDefault="00F15FB6" w:rsidP="00695B93">
      <w:pPr>
        <w:jc w:val="both"/>
      </w:pPr>
    </w:p>
    <w:p w14:paraId="10B22F12" w14:textId="77777777" w:rsidR="00A44C83" w:rsidRDefault="00A44C83" w:rsidP="00A44C83">
      <w:r>
        <w:t>81. A barrister must be a sole practitioner, and must not practise:</w:t>
      </w:r>
    </w:p>
    <w:p w14:paraId="1EC482FC" w14:textId="77777777" w:rsidR="00A44C83" w:rsidRDefault="00A44C83" w:rsidP="00A44C83">
      <w:r>
        <w:t>(a) in partnership with any person;</w:t>
      </w:r>
    </w:p>
    <w:p w14:paraId="73E1AEEC" w14:textId="77777777" w:rsidR="00A44C83" w:rsidRDefault="00A44C83" w:rsidP="00A44C83">
      <w:r>
        <w:t>(b) as the employer of any legal practitioner who acts as a legal practitioner in the course of that employment; or</w:t>
      </w:r>
    </w:p>
    <w:p w14:paraId="34008879" w14:textId="77777777" w:rsidR="00A44C83" w:rsidRDefault="00A44C83" w:rsidP="00A44C83">
      <w:r>
        <w:t>(c) as the employee of any person.</w:t>
      </w:r>
    </w:p>
    <w:p w14:paraId="3F815AC8" w14:textId="77777777" w:rsidR="00A44C83" w:rsidRDefault="00A44C83" w:rsidP="00A44C83"/>
    <w:p w14:paraId="6084840B" w14:textId="77777777" w:rsidR="00A44C83" w:rsidRDefault="00A44C83" w:rsidP="00A44C83">
      <w:r>
        <w:t>To include:</w:t>
      </w:r>
    </w:p>
    <w:p w14:paraId="56CA8E95" w14:textId="77777777" w:rsidR="00A44C83" w:rsidRDefault="00A44C83" w:rsidP="00A44C83"/>
    <w:p w14:paraId="205B46E8" w14:textId="33CCDC3F" w:rsidR="00F15FB6" w:rsidRDefault="00A44C83" w:rsidP="00A44C83">
      <w:r>
        <w:t>(d) a barrister must not hold or have any interest in a law practice, other than a barrister’s own practice, whether directly or indirectly, unless that interest is a shareholding in an incorporated legal practice which is a listed public company.</w:t>
      </w:r>
    </w:p>
    <w:p w14:paraId="40E8D181" w14:textId="77777777" w:rsidR="00A44C83" w:rsidRDefault="00A44C83" w:rsidP="00F15FB6"/>
    <w:p w14:paraId="6FDF0697" w14:textId="7C8C5E45" w:rsidR="00741448" w:rsidRPr="00626656" w:rsidRDefault="00626656" w:rsidP="00626656">
      <w:pPr>
        <w:keepNext/>
        <w:jc w:val="both"/>
        <w:rPr>
          <w:b/>
          <w:bCs/>
          <w:szCs w:val="24"/>
        </w:rPr>
      </w:pPr>
      <w:r w:rsidRPr="00626656">
        <w:rPr>
          <w:b/>
          <w:bCs/>
          <w:szCs w:val="24"/>
        </w:rPr>
        <w:lastRenderedPageBreak/>
        <w:t>PURPOSE</w:t>
      </w:r>
    </w:p>
    <w:p w14:paraId="4D24D605" w14:textId="77777777" w:rsidR="000F17B9" w:rsidRDefault="000F17B9" w:rsidP="00695B93">
      <w:pPr>
        <w:jc w:val="both"/>
      </w:pPr>
    </w:p>
    <w:p w14:paraId="79ECC801" w14:textId="77777777" w:rsidR="00F15FB6" w:rsidRDefault="00F15FB6" w:rsidP="00F15FB6">
      <w:pPr>
        <w:jc w:val="both"/>
      </w:pPr>
      <w:r>
        <w:t xml:space="preserve">The </w:t>
      </w:r>
      <w:r w:rsidRPr="00447638">
        <w:t xml:space="preserve">Rules </w:t>
      </w:r>
      <w:r>
        <w:t xml:space="preserve">provide a framework for ethical decision-making to ensure that Australian barristers are bound by a common set of professional obligations and ethical principles when dealing with their clients, the courts, their fellow legal </w:t>
      </w:r>
      <w:proofErr w:type="gramStart"/>
      <w:r>
        <w:t>practitioners</w:t>
      </w:r>
      <w:proofErr w:type="gramEnd"/>
      <w:r>
        <w:t xml:space="preserve"> and the wider community</w:t>
      </w:r>
      <w:proofErr w:type="gramStart"/>
      <w:r>
        <w:t xml:space="preserve">.  </w:t>
      </w:r>
      <w:proofErr w:type="gramEnd"/>
    </w:p>
    <w:p w14:paraId="0BC1D816" w14:textId="77777777" w:rsidR="00F15FB6" w:rsidRDefault="00F15FB6" w:rsidP="00F15FB6">
      <w:pPr>
        <w:jc w:val="both"/>
      </w:pPr>
    </w:p>
    <w:p w14:paraId="268B7213" w14:textId="387FCBF9" w:rsidR="00F15FB6" w:rsidRDefault="00B57EC1" w:rsidP="00F15FB6">
      <w:pPr>
        <w:jc w:val="both"/>
      </w:pPr>
      <w:r>
        <w:t xml:space="preserve">Section </w:t>
      </w:r>
      <w:r w:rsidR="00F15FB6">
        <w:t>585 of the LPA provides that the Rules are binding on legal practitioners to whom they apply. Failure to comply with the Rules can amount to unsatisfactory professional conduct or professional misconduct.</w:t>
      </w:r>
    </w:p>
    <w:p w14:paraId="2905BA58" w14:textId="77777777" w:rsidR="009845DC" w:rsidRDefault="009845DC" w:rsidP="00F15FB6">
      <w:pPr>
        <w:jc w:val="both"/>
      </w:pPr>
    </w:p>
    <w:p w14:paraId="1ECAC644" w14:textId="61C208BD" w:rsidR="001A35F1" w:rsidRDefault="009845DC" w:rsidP="00695B93">
      <w:pPr>
        <w:jc w:val="both"/>
      </w:pPr>
      <w:r>
        <w:t xml:space="preserve">Current rule </w:t>
      </w:r>
      <w:proofErr w:type="gramStart"/>
      <w:r>
        <w:t>81</w:t>
      </w:r>
      <w:proofErr w:type="gramEnd"/>
      <w:r>
        <w:t xml:space="preserve"> provides that a barrister must practice independently and cannot operate in a partnership, employ other legal </w:t>
      </w:r>
      <w:proofErr w:type="gramStart"/>
      <w:r>
        <w:t>practitioners</w:t>
      </w:r>
      <w:proofErr w:type="gramEnd"/>
      <w:r>
        <w:t xml:space="preserve"> or be employed by anyone else. New Rule 81 (d) extends </w:t>
      </w:r>
      <w:r w:rsidR="008B37BD">
        <w:t>b</w:t>
      </w:r>
      <w:r>
        <w:t>arristers</w:t>
      </w:r>
      <w:r w:rsidR="008B37BD">
        <w:t>’</w:t>
      </w:r>
      <w:r>
        <w:t xml:space="preserve"> responsibilities, by imposing that a barrister practices impartially and holds no interest in a law practice, unless the interest is a shareholding in an incorporated legal practice which is a listed public company.</w:t>
      </w:r>
    </w:p>
    <w:p w14:paraId="015355D1" w14:textId="77777777" w:rsidR="006F6F43" w:rsidRDefault="006F6F43" w:rsidP="00695B93">
      <w:pPr>
        <w:jc w:val="both"/>
        <w:rPr>
          <w:b/>
          <w:sz w:val="28"/>
          <w:szCs w:val="28"/>
        </w:rPr>
      </w:pPr>
    </w:p>
    <w:p w14:paraId="02C194FE" w14:textId="148710E2" w:rsidR="00A44C83" w:rsidRDefault="00A44C83" w:rsidP="00A44C83">
      <w:pPr>
        <w:rPr>
          <w:szCs w:val="24"/>
        </w:rPr>
      </w:pPr>
      <w:r>
        <w:rPr>
          <w:szCs w:val="24"/>
        </w:rPr>
        <w:t>The addition to</w:t>
      </w:r>
      <w:r w:rsidR="0024378E">
        <w:rPr>
          <w:szCs w:val="24"/>
        </w:rPr>
        <w:t xml:space="preserve"> </w:t>
      </w:r>
      <w:r>
        <w:rPr>
          <w:szCs w:val="24"/>
        </w:rPr>
        <w:t xml:space="preserve">rule </w:t>
      </w:r>
      <w:proofErr w:type="gramStart"/>
      <w:r>
        <w:rPr>
          <w:szCs w:val="24"/>
        </w:rPr>
        <w:t>81</w:t>
      </w:r>
      <w:proofErr w:type="gramEnd"/>
      <w:r>
        <w:rPr>
          <w:szCs w:val="24"/>
        </w:rPr>
        <w:t xml:space="preserve"> </w:t>
      </w:r>
      <w:proofErr w:type="gramStart"/>
      <w:r>
        <w:rPr>
          <w:szCs w:val="24"/>
        </w:rPr>
        <w:t>is designed</w:t>
      </w:r>
      <w:proofErr w:type="gramEnd"/>
      <w:r>
        <w:rPr>
          <w:szCs w:val="24"/>
        </w:rPr>
        <w:t xml:space="preserve"> to:</w:t>
      </w:r>
    </w:p>
    <w:p w14:paraId="577D85F3" w14:textId="77777777" w:rsidR="00A44C83" w:rsidRDefault="00A44C83" w:rsidP="00A44C83">
      <w:pPr>
        <w:rPr>
          <w:szCs w:val="24"/>
        </w:rPr>
      </w:pPr>
    </w:p>
    <w:p w14:paraId="0588A588" w14:textId="77777777" w:rsidR="00A44C83" w:rsidRDefault="00A44C83" w:rsidP="00A44C83">
      <w:pPr>
        <w:pStyle w:val="ListParagraph"/>
        <w:numPr>
          <w:ilvl w:val="0"/>
          <w:numId w:val="23"/>
        </w:numPr>
        <w:rPr>
          <w:szCs w:val="24"/>
        </w:rPr>
      </w:pPr>
      <w:r>
        <w:rPr>
          <w:szCs w:val="24"/>
        </w:rPr>
        <w:t>Ensure a barrister has impartiality when being briefed</w:t>
      </w:r>
    </w:p>
    <w:p w14:paraId="66430C40" w14:textId="77777777" w:rsidR="00A44C83" w:rsidRDefault="00A44C83" w:rsidP="00A44C83">
      <w:pPr>
        <w:pStyle w:val="ListParagraph"/>
        <w:numPr>
          <w:ilvl w:val="0"/>
          <w:numId w:val="23"/>
        </w:numPr>
        <w:rPr>
          <w:szCs w:val="24"/>
        </w:rPr>
      </w:pPr>
      <w:r>
        <w:rPr>
          <w:szCs w:val="24"/>
        </w:rPr>
        <w:t>Does not influence a law practice’s operations and who they may brief.</w:t>
      </w:r>
    </w:p>
    <w:p w14:paraId="4FC72426" w14:textId="77777777" w:rsidR="00A44C83" w:rsidRDefault="00A44C83" w:rsidP="00A44C83">
      <w:pPr>
        <w:spacing w:before="120"/>
      </w:pPr>
    </w:p>
    <w:p w14:paraId="10C7505A" w14:textId="77A18B9A" w:rsidR="008133E8" w:rsidRPr="00626656" w:rsidRDefault="00626656" w:rsidP="00626656">
      <w:pPr>
        <w:keepNext/>
        <w:jc w:val="both"/>
        <w:rPr>
          <w:b/>
          <w:bCs/>
          <w:szCs w:val="24"/>
        </w:rPr>
      </w:pPr>
      <w:r w:rsidRPr="00626656">
        <w:rPr>
          <w:b/>
          <w:bCs/>
          <w:szCs w:val="24"/>
        </w:rPr>
        <w:t>CONSISTENCY WITH HUMAN RIGHTS</w:t>
      </w:r>
    </w:p>
    <w:p w14:paraId="49624F28" w14:textId="77777777" w:rsidR="008133E8" w:rsidRPr="007D2E43" w:rsidRDefault="008133E8" w:rsidP="008133E8">
      <w:pPr>
        <w:jc w:val="both"/>
        <w:rPr>
          <w:b/>
          <w:szCs w:val="24"/>
        </w:rPr>
      </w:pPr>
    </w:p>
    <w:p w14:paraId="2E14C8B0" w14:textId="2F73A79A" w:rsidR="00626656" w:rsidRPr="00DE4F2E" w:rsidRDefault="00626656" w:rsidP="00DE4F2E">
      <w:pPr>
        <w:jc w:val="both"/>
      </w:pPr>
      <w:r w:rsidRPr="00626656">
        <w:t xml:space="preserve">The </w:t>
      </w:r>
      <w:r>
        <w:t>Rules have</w:t>
      </w:r>
      <w:r w:rsidRPr="00626656">
        <w:t xml:space="preserve"> </w:t>
      </w:r>
      <w:proofErr w:type="gramStart"/>
      <w:r w:rsidRPr="00626656">
        <w:t>been carefully considered</w:t>
      </w:r>
      <w:proofErr w:type="gramEnd"/>
      <w:r w:rsidRPr="00626656">
        <w:t xml:space="preserve"> in the context of the </w:t>
      </w:r>
      <w:r>
        <w:t>rights under</w:t>
      </w:r>
      <w:r w:rsidRPr="00626656">
        <w:t xml:space="preserve"> the </w:t>
      </w:r>
      <w:r w:rsidRPr="00626656">
        <w:rPr>
          <w:i/>
          <w:iCs/>
        </w:rPr>
        <w:t xml:space="preserve">Human Rights Act 2004 </w:t>
      </w:r>
      <w:r w:rsidRPr="00626656">
        <w:t>(</w:t>
      </w:r>
      <w:r w:rsidRPr="00626656">
        <w:rPr>
          <w:b/>
          <w:bCs/>
        </w:rPr>
        <w:t>HR</w:t>
      </w:r>
      <w:r>
        <w:rPr>
          <w:b/>
          <w:bCs/>
        </w:rPr>
        <w:t>A</w:t>
      </w:r>
      <w:r w:rsidRPr="00626656">
        <w:t>)</w:t>
      </w:r>
      <w:r w:rsidRPr="00626656">
        <w:rPr>
          <w:i/>
          <w:iCs/>
        </w:rPr>
        <w:t xml:space="preserve">. </w:t>
      </w:r>
      <w:r w:rsidRPr="00626656">
        <w:t>Any limitations on human rights are justifiable as reasonable limits set by laws in a free and democratic society, as required by s 28 of the HR</w:t>
      </w:r>
      <w:r>
        <w:t>A</w:t>
      </w:r>
      <w:r w:rsidRPr="00626656">
        <w:t xml:space="preserve">. </w:t>
      </w:r>
      <w:r>
        <w:t>The Rules</w:t>
      </w:r>
      <w:r w:rsidRPr="00626656">
        <w:t xml:space="preserve"> also support and strengthen protection of </w:t>
      </w:r>
      <w:proofErr w:type="gramStart"/>
      <w:r w:rsidRPr="00626656">
        <w:t>several</w:t>
      </w:r>
      <w:proofErr w:type="gramEnd"/>
      <w:r w:rsidRPr="00626656">
        <w:t xml:space="preserve"> rights under the HR</w:t>
      </w:r>
      <w:r>
        <w:t>A</w:t>
      </w:r>
      <w:r w:rsidRPr="00626656">
        <w:t xml:space="preserve">. The human rights limitations that </w:t>
      </w:r>
      <w:r>
        <w:t>the Rules</w:t>
      </w:r>
      <w:r w:rsidRPr="00626656">
        <w:t xml:space="preserve"> create are proportionate to and the least restrictive approach to achieve the overall policy objective of th</w:t>
      </w:r>
      <w:r>
        <w:t>e</w:t>
      </w:r>
      <w:r w:rsidRPr="00626656">
        <w:t xml:space="preserve"> </w:t>
      </w:r>
      <w:r>
        <w:t>Rules as set out in the Preamble</w:t>
      </w:r>
      <w:r w:rsidRPr="00626656">
        <w:t>.</w:t>
      </w:r>
    </w:p>
    <w:p w14:paraId="6A2E9AB4" w14:textId="77777777" w:rsidR="00DE4F2E" w:rsidRDefault="00DE4F2E" w:rsidP="00DE4F2E">
      <w:pPr>
        <w:jc w:val="both"/>
        <w:rPr>
          <w:b/>
          <w:bCs/>
        </w:rPr>
      </w:pPr>
    </w:p>
    <w:p w14:paraId="41C402F7" w14:textId="4F4376BA" w:rsidR="00DE4F2E" w:rsidRPr="00DE4F2E" w:rsidRDefault="00DE4F2E" w:rsidP="00DE4F2E">
      <w:pPr>
        <w:jc w:val="both"/>
        <w:rPr>
          <w:b/>
          <w:bCs/>
        </w:rPr>
      </w:pPr>
      <w:r w:rsidRPr="00DE4F2E">
        <w:rPr>
          <w:b/>
          <w:bCs/>
        </w:rPr>
        <w:t>RIGHTS ENGAGED</w:t>
      </w:r>
    </w:p>
    <w:p w14:paraId="37686EAB" w14:textId="77777777" w:rsidR="00626656" w:rsidRDefault="00626656" w:rsidP="00DE4F2E">
      <w:pPr>
        <w:jc w:val="both"/>
      </w:pPr>
    </w:p>
    <w:p w14:paraId="02537C34" w14:textId="7D951073" w:rsidR="00626656" w:rsidRPr="00626656" w:rsidRDefault="00626656" w:rsidP="00DE4F2E">
      <w:pPr>
        <w:jc w:val="both"/>
        <w:rPr>
          <w:b/>
          <w:bCs/>
          <w:i/>
          <w:iCs/>
        </w:rPr>
      </w:pPr>
      <w:r>
        <w:rPr>
          <w:b/>
          <w:bCs/>
          <w:i/>
          <w:iCs/>
        </w:rPr>
        <w:t>Rights engaged</w:t>
      </w:r>
    </w:p>
    <w:p w14:paraId="73C6C76F" w14:textId="77777777" w:rsidR="00626656" w:rsidRDefault="00626656" w:rsidP="00DE4F2E">
      <w:pPr>
        <w:jc w:val="both"/>
      </w:pPr>
    </w:p>
    <w:p w14:paraId="17B2A18A" w14:textId="1A1BCBDC" w:rsidR="00DE4F2E" w:rsidRPr="00DE4F2E" w:rsidRDefault="00DE4F2E" w:rsidP="00DE4F2E">
      <w:pPr>
        <w:jc w:val="both"/>
      </w:pPr>
      <w:r w:rsidRPr="00DE4F2E">
        <w:t>The Rules engage the following sections of the HRA:</w:t>
      </w:r>
    </w:p>
    <w:p w14:paraId="1E481B13" w14:textId="77777777" w:rsidR="00DE4F2E" w:rsidRDefault="00DE4F2E" w:rsidP="00DE4F2E">
      <w:pPr>
        <w:jc w:val="both"/>
        <w:rPr>
          <w:b/>
          <w:bCs/>
        </w:rPr>
      </w:pPr>
    </w:p>
    <w:p w14:paraId="05775BF8" w14:textId="6442154C" w:rsidR="00DE4F2E" w:rsidRPr="00DE4F2E" w:rsidRDefault="00DE4F2E" w:rsidP="00DE4F2E">
      <w:pPr>
        <w:numPr>
          <w:ilvl w:val="0"/>
          <w:numId w:val="24"/>
        </w:numPr>
        <w:jc w:val="both"/>
      </w:pPr>
      <w:r w:rsidRPr="00DE4F2E">
        <w:t>Section 8 — Right to recognition and equality before the law (including the right to enjoy human rights without discrimination)</w:t>
      </w:r>
      <w:r w:rsidR="00626656">
        <w:t xml:space="preserve"> </w:t>
      </w:r>
      <w:r w:rsidR="00626656">
        <w:rPr>
          <w:i/>
          <w:iCs/>
        </w:rPr>
        <w:t>(promoted)</w:t>
      </w:r>
    </w:p>
    <w:p w14:paraId="4F0FEC6B" w14:textId="69BC6559" w:rsidR="00DE4F2E" w:rsidRPr="00DE4F2E" w:rsidRDefault="00DE4F2E" w:rsidP="00DE4F2E">
      <w:pPr>
        <w:numPr>
          <w:ilvl w:val="0"/>
          <w:numId w:val="24"/>
        </w:numPr>
        <w:jc w:val="both"/>
      </w:pPr>
      <w:r w:rsidRPr="00DE4F2E">
        <w:t>Section 11 — Protection of the family and children</w:t>
      </w:r>
      <w:r w:rsidR="00626656">
        <w:t xml:space="preserve"> </w:t>
      </w:r>
      <w:r w:rsidR="00626656">
        <w:rPr>
          <w:i/>
          <w:iCs/>
        </w:rPr>
        <w:t>(promoted)</w:t>
      </w:r>
    </w:p>
    <w:p w14:paraId="61A6EC85" w14:textId="77777777" w:rsidR="00626656" w:rsidRPr="00DE4F2E" w:rsidRDefault="00626656" w:rsidP="00626656">
      <w:pPr>
        <w:numPr>
          <w:ilvl w:val="0"/>
          <w:numId w:val="24"/>
        </w:numPr>
        <w:jc w:val="both"/>
      </w:pPr>
      <w:r w:rsidRPr="00DE4F2E">
        <w:t>Section 12 — Privacy and reputation</w:t>
      </w:r>
      <w:r>
        <w:t xml:space="preserve"> </w:t>
      </w:r>
      <w:r>
        <w:rPr>
          <w:i/>
          <w:iCs/>
        </w:rPr>
        <w:t>(limited)</w:t>
      </w:r>
    </w:p>
    <w:p w14:paraId="5BCC9A42" w14:textId="77777777" w:rsidR="00626656" w:rsidRPr="00DE4F2E" w:rsidRDefault="00626656" w:rsidP="00626656">
      <w:pPr>
        <w:numPr>
          <w:ilvl w:val="0"/>
          <w:numId w:val="24"/>
        </w:numPr>
        <w:jc w:val="both"/>
      </w:pPr>
      <w:r w:rsidRPr="00DE4F2E">
        <w:t>Section 16 — Freedom of expression</w:t>
      </w:r>
      <w:r>
        <w:t xml:space="preserve"> </w:t>
      </w:r>
      <w:r>
        <w:rPr>
          <w:i/>
          <w:iCs/>
        </w:rPr>
        <w:t>(limited)</w:t>
      </w:r>
    </w:p>
    <w:p w14:paraId="30EDAEF9" w14:textId="61C031FB" w:rsidR="00DE4F2E" w:rsidRPr="00DE4F2E" w:rsidRDefault="00DE4F2E" w:rsidP="00DE4F2E">
      <w:pPr>
        <w:numPr>
          <w:ilvl w:val="0"/>
          <w:numId w:val="24"/>
        </w:numPr>
        <w:jc w:val="both"/>
      </w:pPr>
      <w:r w:rsidRPr="00DE4F2E">
        <w:t>Section 21 — Fair trial</w:t>
      </w:r>
      <w:r w:rsidR="00626656">
        <w:t xml:space="preserve"> </w:t>
      </w:r>
      <w:r w:rsidR="00626656">
        <w:rPr>
          <w:i/>
          <w:iCs/>
        </w:rPr>
        <w:t>(promoted)</w:t>
      </w:r>
    </w:p>
    <w:p w14:paraId="295E41BA" w14:textId="0F5F1E27" w:rsidR="00DE4F2E" w:rsidRPr="00DE4F2E" w:rsidRDefault="00DE4F2E" w:rsidP="00DE4F2E">
      <w:pPr>
        <w:numPr>
          <w:ilvl w:val="0"/>
          <w:numId w:val="24"/>
        </w:numPr>
        <w:jc w:val="both"/>
      </w:pPr>
      <w:r w:rsidRPr="00DE4F2E">
        <w:t>Section 27B — Right to work and other work-related rights (</w:t>
      </w:r>
      <w:r w:rsidR="00626656">
        <w:rPr>
          <w:i/>
          <w:iCs/>
        </w:rPr>
        <w:t>promoted and limited</w:t>
      </w:r>
      <w:r w:rsidRPr="00DE4F2E">
        <w:t>)</w:t>
      </w:r>
    </w:p>
    <w:p w14:paraId="1EFFA5CD" w14:textId="77777777" w:rsidR="00DE4F2E" w:rsidRDefault="00DE4F2E" w:rsidP="00DE4F2E">
      <w:pPr>
        <w:jc w:val="both"/>
        <w:rPr>
          <w:b/>
          <w:bCs/>
        </w:rPr>
      </w:pPr>
    </w:p>
    <w:p w14:paraId="7C5DCC77" w14:textId="664CE95C" w:rsidR="00DE4F2E" w:rsidRDefault="00626656" w:rsidP="00E8098C">
      <w:pPr>
        <w:keepNext/>
        <w:jc w:val="both"/>
        <w:rPr>
          <w:b/>
          <w:bCs/>
          <w:i/>
          <w:iCs/>
        </w:rPr>
      </w:pPr>
      <w:r w:rsidRPr="00626656">
        <w:rPr>
          <w:b/>
          <w:bCs/>
          <w:i/>
          <w:iCs/>
        </w:rPr>
        <w:lastRenderedPageBreak/>
        <w:t>Rights promoted</w:t>
      </w:r>
    </w:p>
    <w:p w14:paraId="27936C45" w14:textId="77777777" w:rsidR="00E8098C" w:rsidRPr="00626656" w:rsidRDefault="00E8098C" w:rsidP="00E8098C">
      <w:pPr>
        <w:keepNext/>
        <w:jc w:val="both"/>
        <w:rPr>
          <w:b/>
          <w:bCs/>
          <w:i/>
          <w:iCs/>
        </w:rPr>
      </w:pPr>
    </w:p>
    <w:p w14:paraId="0F69EF04" w14:textId="77B5B3F0" w:rsidR="00DE4F2E" w:rsidRPr="00DE4F2E" w:rsidRDefault="00DE4F2E" w:rsidP="00E8098C">
      <w:pPr>
        <w:keepNext/>
        <w:jc w:val="both"/>
        <w:rPr>
          <w:u w:val="single"/>
        </w:rPr>
      </w:pPr>
      <w:r w:rsidRPr="00DE4F2E">
        <w:rPr>
          <w:u w:val="single"/>
        </w:rPr>
        <w:t>Section 8 HRA — Right to Equality and Non-Discrimination</w:t>
      </w:r>
    </w:p>
    <w:p w14:paraId="4ED5B60B" w14:textId="77777777" w:rsidR="00DE4F2E" w:rsidRDefault="00DE4F2E" w:rsidP="00DE4F2E">
      <w:pPr>
        <w:jc w:val="both"/>
      </w:pPr>
    </w:p>
    <w:p w14:paraId="6E0336B4" w14:textId="3FE0A104" w:rsidR="00DE4F2E" w:rsidRPr="00DE4F2E" w:rsidRDefault="00DE4F2E" w:rsidP="00DE4F2E">
      <w:pPr>
        <w:jc w:val="both"/>
      </w:pPr>
      <w:r w:rsidRPr="00DE4F2E">
        <w:t xml:space="preserve">The Rules promote the right to equality and non-discrimination under section 8 of the HRA by establishing clear prohibitions against discrimination, sexual harassment, and bullying within professional contexts. Rule 122.1 explicitly prohibits barristers from discriminating against clients, solicitors, or other barristers on grounds including religion, age, race, impairment, political belief or activity, trade union activity, sex, marital status, pregnancy, parental status, lawful sexual activity, or association with a person identified on such bases. This provision ensures that all individuals interacting with </w:t>
      </w:r>
      <w:r w:rsidR="009E18A9">
        <w:t>barristers</w:t>
      </w:r>
      <w:r w:rsidRPr="00DE4F2E">
        <w:t xml:space="preserve"> </w:t>
      </w:r>
      <w:proofErr w:type="gramStart"/>
      <w:r w:rsidRPr="00DE4F2E">
        <w:t>are treated</w:t>
      </w:r>
      <w:proofErr w:type="gramEnd"/>
      <w:r w:rsidRPr="00DE4F2E">
        <w:t xml:space="preserve"> equally, without distinction or discrimination, thereby advancing equal protection under the law.</w:t>
      </w:r>
    </w:p>
    <w:p w14:paraId="7788E14A" w14:textId="77777777" w:rsidR="00DE4F2E" w:rsidRDefault="00DE4F2E" w:rsidP="00DE4F2E">
      <w:pPr>
        <w:jc w:val="both"/>
      </w:pPr>
    </w:p>
    <w:p w14:paraId="1DC5F0DD" w14:textId="5180C071" w:rsidR="00DE4F2E" w:rsidRDefault="00DE4F2E" w:rsidP="00DE4F2E">
      <w:pPr>
        <w:jc w:val="both"/>
      </w:pPr>
      <w:r w:rsidRPr="00DE4F2E">
        <w:t xml:space="preserve">Additionally, Rule 122.2 </w:t>
      </w:r>
      <w:r w:rsidR="009E18A9" w:rsidRPr="00DE4F2E">
        <w:t>addres</w:t>
      </w:r>
      <w:r w:rsidR="009E18A9">
        <w:t>se</w:t>
      </w:r>
      <w:r w:rsidR="009E18A9" w:rsidRPr="00DE4F2E">
        <w:t>s</w:t>
      </w:r>
      <w:r w:rsidRPr="00DE4F2E">
        <w:t xml:space="preserve"> sexual harassment, defining </w:t>
      </w:r>
      <w:r w:rsidR="009E18A9">
        <w:t xml:space="preserve">this </w:t>
      </w:r>
      <w:r w:rsidR="00701DEB">
        <w:t xml:space="preserve">consistently with Territory and Federal legislation </w:t>
      </w:r>
      <w:r w:rsidR="009E18A9">
        <w:t>as unwelcome sexual advances, an unwelcome request for sexual favours, or other</w:t>
      </w:r>
      <w:r w:rsidRPr="00DE4F2E">
        <w:t xml:space="preserve"> unwelcome conduct </w:t>
      </w:r>
      <w:r w:rsidR="009E18A9">
        <w:t xml:space="preserve">of a sexual nature </w:t>
      </w:r>
      <w:r w:rsidRPr="00DE4F2E">
        <w:t xml:space="preserve">that could </w:t>
      </w:r>
      <w:proofErr w:type="gramStart"/>
      <w:r w:rsidRPr="00DE4F2E">
        <w:t>reasonably be</w:t>
      </w:r>
      <w:proofErr w:type="gramEnd"/>
      <w:r w:rsidRPr="00DE4F2E">
        <w:t xml:space="preserve"> anticipated to offend, humiliate, or intimidate. The establishment of complaint and reporting processes under Rule 122.</w:t>
      </w:r>
      <w:r w:rsidR="009E18A9">
        <w:t>4</w:t>
      </w:r>
      <w:r w:rsidRPr="00DE4F2E">
        <w:t xml:space="preserve"> provides mechanisms for redress, fostering an inclusive professional environment. </w:t>
      </w:r>
    </w:p>
    <w:p w14:paraId="5B967A31" w14:textId="77777777" w:rsidR="00DE4F2E" w:rsidRDefault="00DE4F2E" w:rsidP="00DE4F2E">
      <w:pPr>
        <w:jc w:val="both"/>
      </w:pPr>
    </w:p>
    <w:p w14:paraId="0C5697D2" w14:textId="4DB6097A" w:rsidR="00DE4F2E" w:rsidRPr="00DE4F2E" w:rsidRDefault="00DE4F2E" w:rsidP="00DE4F2E">
      <w:pPr>
        <w:jc w:val="both"/>
      </w:pPr>
      <w:r w:rsidRPr="00DE4F2E">
        <w:t>These rules support and enhance equality by actively preventing discriminatory practices in barristers' work, aligning with the HRA's emphasis on equal enjoyment of rights.</w:t>
      </w:r>
    </w:p>
    <w:p w14:paraId="29312345" w14:textId="77777777" w:rsidR="00DE4F2E" w:rsidRDefault="00DE4F2E" w:rsidP="00DE4F2E">
      <w:pPr>
        <w:jc w:val="both"/>
      </w:pPr>
    </w:p>
    <w:p w14:paraId="710B13A6" w14:textId="23810F35" w:rsidR="00DE4F2E" w:rsidRPr="00DE4F2E" w:rsidRDefault="00DE4F2E" w:rsidP="00DE4F2E">
      <w:pPr>
        <w:jc w:val="both"/>
      </w:pPr>
      <w:r w:rsidRPr="00DE4F2E">
        <w:t xml:space="preserve">The cab-rank principle in Rules 85 and 86 further promotes equality by requiring barristers to accept briefs in fields where they practise, provided certain conditions </w:t>
      </w:r>
      <w:proofErr w:type="gramStart"/>
      <w:r w:rsidRPr="00DE4F2E">
        <w:t>are met</w:t>
      </w:r>
      <w:proofErr w:type="gramEnd"/>
      <w:r w:rsidRPr="00DE4F2E">
        <w:t>, regardless of the client's personal characteristics or the barrister's views. This ensures equitable access to legal representation, particularly for marginalised individuals who might otherwise face barriers, thereby enhancing the right to equal protection against discrimination in access to justice.</w:t>
      </w:r>
    </w:p>
    <w:p w14:paraId="171BE085" w14:textId="77777777" w:rsidR="00DE4F2E" w:rsidRDefault="00DE4F2E" w:rsidP="00DE4F2E">
      <w:pPr>
        <w:jc w:val="both"/>
        <w:rPr>
          <w:b/>
          <w:bCs/>
        </w:rPr>
      </w:pPr>
    </w:p>
    <w:p w14:paraId="50FDC8A1" w14:textId="3760C96B" w:rsidR="00DE4F2E" w:rsidRPr="00DE4F2E" w:rsidRDefault="00DE4F2E" w:rsidP="00DE4F2E">
      <w:pPr>
        <w:jc w:val="both"/>
        <w:rPr>
          <w:u w:val="single"/>
        </w:rPr>
      </w:pPr>
      <w:r w:rsidRPr="00DE4F2E">
        <w:rPr>
          <w:u w:val="single"/>
        </w:rPr>
        <w:t>Section 11 HRA — Right to Protection of the Family and Children</w:t>
      </w:r>
    </w:p>
    <w:p w14:paraId="685C48C6" w14:textId="77777777" w:rsidR="00DE4F2E" w:rsidRDefault="00DE4F2E" w:rsidP="00DE4F2E">
      <w:pPr>
        <w:jc w:val="both"/>
      </w:pPr>
    </w:p>
    <w:p w14:paraId="5C222EB2" w14:textId="77777777" w:rsidR="001A7174" w:rsidRDefault="00DE4F2E" w:rsidP="00DE4F2E">
      <w:pPr>
        <w:jc w:val="both"/>
      </w:pPr>
      <w:r w:rsidRPr="00DE4F2E">
        <w:t xml:space="preserve">The Rules promote the right to protection of the family and children under section 11 of the HRA through provisions that </w:t>
      </w:r>
      <w:r w:rsidR="005675F8">
        <w:t xml:space="preserve">ensure a barrister </w:t>
      </w:r>
      <w:proofErr w:type="gramStart"/>
      <w:r w:rsidR="005675F8">
        <w:t>is not required</w:t>
      </w:r>
      <w:proofErr w:type="gramEnd"/>
      <w:r w:rsidR="005675F8">
        <w:t xml:space="preserve"> to appear before a family member and provisions which preclude Speculative Fee Agreements in parenting proceedings. </w:t>
      </w:r>
    </w:p>
    <w:p w14:paraId="7F512E2B" w14:textId="77777777" w:rsidR="001A7174" w:rsidRDefault="001A7174" w:rsidP="00DE4F2E">
      <w:pPr>
        <w:jc w:val="both"/>
      </w:pPr>
    </w:p>
    <w:p w14:paraId="3306B61C" w14:textId="6E48111B" w:rsidR="00DE4F2E" w:rsidRPr="00DE4F2E" w:rsidRDefault="00DE4F2E" w:rsidP="00DE4F2E">
      <w:pPr>
        <w:jc w:val="both"/>
      </w:pPr>
      <w:r w:rsidRPr="00DE4F2E">
        <w:t>Rule</w:t>
      </w:r>
      <w:r w:rsidR="001A7174">
        <w:t xml:space="preserve"> 87(i) requires that a barrister must refuse a brief for a contested hearing </w:t>
      </w:r>
      <w:r w:rsidR="001A7174" w:rsidRPr="001A7174">
        <w:t>before the barrister's parent, sibling, spouse or child or a member of the barrister's household, or before a bench of which such a person is a member</w:t>
      </w:r>
      <w:r w:rsidR="001A7174">
        <w:t>. The provision primarily safeguards impartiality in the administration of justice by precluding apprehension of bias through family connection. However, it also promotes protection of the family unit by ensuring that familial relationships</w:t>
      </w:r>
      <w:r w:rsidR="00FA6CFC">
        <w:t xml:space="preserve"> </w:t>
      </w:r>
      <w:proofErr w:type="gramStart"/>
      <w:r w:rsidR="00FA6CFC">
        <w:t>are not strained</w:t>
      </w:r>
      <w:proofErr w:type="gramEnd"/>
      <w:r w:rsidR="00FA6CFC">
        <w:t xml:space="preserve"> by professional obligations</w:t>
      </w:r>
      <w:r w:rsidR="001A7174">
        <w:t xml:space="preserve">. </w:t>
      </w:r>
    </w:p>
    <w:p w14:paraId="2E8165BA" w14:textId="77777777" w:rsidR="00DE4F2E" w:rsidRDefault="00DE4F2E" w:rsidP="00DE4F2E">
      <w:pPr>
        <w:jc w:val="both"/>
      </w:pPr>
    </w:p>
    <w:p w14:paraId="661D1E86" w14:textId="52665274" w:rsidR="00E23ADC" w:rsidRPr="00E23ADC" w:rsidRDefault="00DE4F2E" w:rsidP="00E23ADC">
      <w:pPr>
        <w:jc w:val="both"/>
      </w:pPr>
      <w:r w:rsidRPr="00DE4F2E">
        <w:t xml:space="preserve">Rule </w:t>
      </w:r>
      <w:r w:rsidR="001A7174">
        <w:t>99B</w:t>
      </w:r>
      <w:r w:rsidR="00422421">
        <w:t xml:space="preserve"> precludes a barrister from </w:t>
      </w:r>
      <w:r w:rsidR="00422421" w:rsidRPr="00422421">
        <w:t>enter</w:t>
      </w:r>
      <w:r w:rsidR="00422421">
        <w:t>ing</w:t>
      </w:r>
      <w:r w:rsidR="00422421" w:rsidRPr="00422421">
        <w:t xml:space="preserve"> into a Speculative Fee Agreement in proceedings relating to parenting of children under the </w:t>
      </w:r>
      <w:r w:rsidR="00422421" w:rsidRPr="00422421">
        <w:rPr>
          <w:i/>
          <w:iCs/>
        </w:rPr>
        <w:t>Family Law Act 1975</w:t>
      </w:r>
      <w:r w:rsidR="00422421">
        <w:rPr>
          <w:i/>
          <w:iCs/>
        </w:rPr>
        <w:t xml:space="preserve"> </w:t>
      </w:r>
      <w:r w:rsidR="00422421">
        <w:t>(Cth)</w:t>
      </w:r>
      <w:r w:rsidR="00422421" w:rsidRPr="00422421">
        <w:t>.</w:t>
      </w:r>
      <w:r w:rsidR="00422421">
        <w:t xml:space="preserve"> This promotes the protection of children by ensuring that a barrister </w:t>
      </w:r>
      <w:r w:rsidR="00E23ADC">
        <w:t xml:space="preserve">represents, and </w:t>
      </w:r>
      <w:r w:rsidR="00422421">
        <w:lastRenderedPageBreak/>
        <w:t>continues to represent</w:t>
      </w:r>
      <w:r w:rsidR="00E23ADC">
        <w:t>,</w:t>
      </w:r>
      <w:r w:rsidR="00422421">
        <w:t xml:space="preserve"> a client in parenting proceedings </w:t>
      </w:r>
      <w:r w:rsidR="00E23ADC" w:rsidRPr="00E23ADC">
        <w:t>focus</w:t>
      </w:r>
      <w:r w:rsidR="00E23ADC">
        <w:t>ing</w:t>
      </w:r>
      <w:r w:rsidR="00E23ADC" w:rsidRPr="00E23ADC">
        <w:t xml:space="preserve"> on children</w:t>
      </w:r>
      <w:r w:rsidR="00E23ADC">
        <w:t>’</w:t>
      </w:r>
      <w:r w:rsidR="00E23ADC" w:rsidRPr="00E23ADC">
        <w:t xml:space="preserve">s best interests, </w:t>
      </w:r>
      <w:r w:rsidR="00E23ADC">
        <w:t xml:space="preserve">and </w:t>
      </w:r>
      <w:r w:rsidR="00E23ADC" w:rsidRPr="00E23ADC">
        <w:t>not</w:t>
      </w:r>
      <w:r w:rsidR="00E23ADC">
        <w:t xml:space="preserve"> the likelihood of</w:t>
      </w:r>
      <w:r w:rsidR="00E23ADC" w:rsidRPr="00E23ADC">
        <w:t xml:space="preserve"> financial gain</w:t>
      </w:r>
      <w:r w:rsidR="00E23ADC">
        <w:t>.</w:t>
      </w:r>
    </w:p>
    <w:p w14:paraId="51DFF6B8" w14:textId="0628E023" w:rsidR="00422421" w:rsidRDefault="00422421" w:rsidP="00DE4F2E">
      <w:pPr>
        <w:jc w:val="both"/>
      </w:pPr>
    </w:p>
    <w:p w14:paraId="452B37F6" w14:textId="4FBC09BD" w:rsidR="00DE4F2E" w:rsidRPr="00DE4F2E" w:rsidRDefault="00DE4F2E" w:rsidP="00E23ADC">
      <w:pPr>
        <w:keepNext/>
        <w:jc w:val="both"/>
        <w:rPr>
          <w:u w:val="single"/>
        </w:rPr>
      </w:pPr>
      <w:r w:rsidRPr="00DE4F2E">
        <w:rPr>
          <w:u w:val="single"/>
        </w:rPr>
        <w:t>Section 21 HRA — Right to a Fair Trial</w:t>
      </w:r>
    </w:p>
    <w:p w14:paraId="602E990E" w14:textId="77777777" w:rsidR="00E23ADC" w:rsidRDefault="00E23ADC" w:rsidP="00E23ADC">
      <w:pPr>
        <w:keepNext/>
        <w:jc w:val="both"/>
      </w:pPr>
    </w:p>
    <w:p w14:paraId="4F33E6C9" w14:textId="3A37859E" w:rsidR="00FC0915" w:rsidRDefault="00DE4F2E" w:rsidP="00DE4F2E">
      <w:pPr>
        <w:jc w:val="both"/>
      </w:pPr>
      <w:r w:rsidRPr="00DE4F2E">
        <w:t xml:space="preserve">The Rules </w:t>
      </w:r>
      <w:proofErr w:type="gramStart"/>
      <w:r w:rsidR="0013197B">
        <w:t>as a whole</w:t>
      </w:r>
      <w:r w:rsidR="00E23ADC">
        <w:t xml:space="preserve"> </w:t>
      </w:r>
      <w:r w:rsidRPr="00DE4F2E">
        <w:t>promote</w:t>
      </w:r>
      <w:proofErr w:type="gramEnd"/>
      <w:r w:rsidRPr="00DE4F2E">
        <w:t xml:space="preserve"> the right to a fair trial under section 21 of the HRA by imposing ethical obligations that ensure competent, independent, and impartial representation in </w:t>
      </w:r>
      <w:r w:rsidR="00FC0915">
        <w:t xml:space="preserve">legal </w:t>
      </w:r>
      <w:r w:rsidRPr="00DE4F2E">
        <w:t xml:space="preserve">proceedings. </w:t>
      </w:r>
    </w:p>
    <w:p w14:paraId="734D2CEE" w14:textId="77777777" w:rsidR="00FC0915" w:rsidRDefault="00FC0915" w:rsidP="00DE4F2E">
      <w:pPr>
        <w:jc w:val="both"/>
      </w:pPr>
    </w:p>
    <w:p w14:paraId="260EBCC6" w14:textId="67EA7288" w:rsidR="00DE4F2E" w:rsidRPr="00DE4F2E" w:rsidRDefault="00FC0915" w:rsidP="00DE4F2E">
      <w:pPr>
        <w:jc w:val="both"/>
      </w:pPr>
      <w:r>
        <w:t xml:space="preserve">Rule </w:t>
      </w:r>
      <w:r w:rsidR="00DE4F2E" w:rsidRPr="00DE4F2E">
        <w:t>16 requires barristers to advance and protect client interests to the best of their skill and diligence, uninfluenced by personal views</w:t>
      </w:r>
      <w:r>
        <w:t xml:space="preserve">. Rules </w:t>
      </w:r>
      <w:r w:rsidR="00DE4F2E" w:rsidRPr="00DE4F2E">
        <w:t>17</w:t>
      </w:r>
      <w:r>
        <w:t xml:space="preserve"> to 17B</w:t>
      </w:r>
      <w:r w:rsidR="00DE4F2E" w:rsidRPr="00DE4F2E">
        <w:t xml:space="preserve"> </w:t>
      </w:r>
      <w:r>
        <w:t>require barristers to</w:t>
      </w:r>
      <w:r w:rsidR="00DE4F2E" w:rsidRPr="00DE4F2E">
        <w:t xml:space="preserve"> </w:t>
      </w:r>
      <w:r>
        <w:t xml:space="preserve">assist clients to understand the issues in their case and their </w:t>
      </w:r>
      <w:proofErr w:type="gramStart"/>
      <w:r>
        <w:t>possible rights</w:t>
      </w:r>
      <w:proofErr w:type="gramEnd"/>
      <w:r>
        <w:t xml:space="preserve"> and obligations and to </w:t>
      </w:r>
      <w:r w:rsidR="00DE4F2E" w:rsidRPr="00DE4F2E">
        <w:t xml:space="preserve">inform clients of alternatives to fully contested adjudication, enabling informed decisions that facilitate </w:t>
      </w:r>
      <w:r w:rsidR="006E7A70">
        <w:t>proportionate use of the justice system</w:t>
      </w:r>
      <w:r w:rsidR="00DE4F2E" w:rsidRPr="00DE4F2E">
        <w:t>.</w:t>
      </w:r>
    </w:p>
    <w:p w14:paraId="4D531CCC" w14:textId="77777777" w:rsidR="00DE4F2E" w:rsidRDefault="00DE4F2E" w:rsidP="00DE4F2E">
      <w:pPr>
        <w:jc w:val="both"/>
      </w:pPr>
    </w:p>
    <w:p w14:paraId="1E6CBAB1" w14:textId="0267D9D1" w:rsidR="00DE4F2E" w:rsidRPr="00DE4F2E" w:rsidRDefault="00DE4F2E" w:rsidP="00DE4F2E">
      <w:pPr>
        <w:jc w:val="both"/>
      </w:pPr>
      <w:r w:rsidRPr="00DE4F2E">
        <w:t xml:space="preserve">Disinterestedness rules (Rules 18 to 20) ensure barristers exercise independent forensic judgements, confining hearings to genuine issues and avoiding </w:t>
      </w:r>
      <w:proofErr w:type="gramStart"/>
      <w:r w:rsidRPr="00DE4F2E">
        <w:t>personal opinions</w:t>
      </w:r>
      <w:proofErr w:type="gramEnd"/>
      <w:r w:rsidRPr="00DE4F2E">
        <w:t xml:space="preserve">, </w:t>
      </w:r>
      <w:r w:rsidR="006E7A70">
        <w:t>thereby</w:t>
      </w:r>
      <w:r w:rsidRPr="00DE4F2E">
        <w:t xml:space="preserve"> </w:t>
      </w:r>
      <w:r w:rsidR="006E7A70">
        <w:t>promoting the overall fairness of hearings</w:t>
      </w:r>
      <w:r w:rsidRPr="00DE4F2E">
        <w:t xml:space="preserve">. Frankness in court (Rules 21 to 31) obliges barristers to correct misleading statements, disclose relevant authorities against their client's case, and inform the court of misapprehensions, promoting transparency and fairness. Integrity of evidence provisions (Rules 43 to 50) prohibit suggesting false evidence or coaching witnesses, </w:t>
      </w:r>
      <w:r w:rsidR="006E7A70">
        <w:t>similarly</w:t>
      </w:r>
      <w:r w:rsidR="006E7A70" w:rsidRPr="00DE4F2E">
        <w:t xml:space="preserve"> </w:t>
      </w:r>
      <w:r w:rsidR="006E7A70">
        <w:t>promoting the overall fairness of hearings</w:t>
      </w:r>
      <w:r w:rsidR="006E7A70" w:rsidRPr="00DE4F2E">
        <w:t xml:space="preserve"> </w:t>
      </w:r>
      <w:r w:rsidR="006E7A70">
        <w:t>and</w:t>
      </w:r>
      <w:r w:rsidRPr="00DE4F2E">
        <w:t xml:space="preserve"> </w:t>
      </w:r>
      <w:r w:rsidR="00E8098C">
        <w:t xml:space="preserve">facilitating court and tribunal decisions </w:t>
      </w:r>
      <w:r w:rsidRPr="00DE4F2E">
        <w:t>based on reliable proof.</w:t>
      </w:r>
    </w:p>
    <w:p w14:paraId="650D712F" w14:textId="77777777" w:rsidR="00DE4F2E" w:rsidRDefault="00DE4F2E" w:rsidP="00DE4F2E">
      <w:pPr>
        <w:jc w:val="both"/>
      </w:pPr>
    </w:p>
    <w:p w14:paraId="4C42EC12" w14:textId="0884ADD5" w:rsidR="00DE4F2E" w:rsidRPr="00DE4F2E" w:rsidRDefault="00DE4F2E" w:rsidP="00DE4F2E">
      <w:pPr>
        <w:jc w:val="both"/>
      </w:pPr>
      <w:r w:rsidRPr="00DE4F2E">
        <w:t xml:space="preserve">Prosecutors' duties (Rules 62 to 72) further advance fair trials by requiring impartial presentation of evidence, disclosure of material relevant to guilt or innocence, and avoidance of inflammatory conduct, assisting courts to apply the law correctly to facts. These rules collectively ensure that criminal charges and rights </w:t>
      </w:r>
      <w:proofErr w:type="gramStart"/>
      <w:r w:rsidRPr="00DE4F2E">
        <w:t>are decided</w:t>
      </w:r>
      <w:proofErr w:type="gramEnd"/>
      <w:r w:rsidRPr="00DE4F2E">
        <w:t xml:space="preserve"> after fair and public hearings, with minimum guarantees of adequate preparation, legal assistance, and examination of witnesses, thereby enhancing the administration of justice for all parties.</w:t>
      </w:r>
    </w:p>
    <w:p w14:paraId="6AB7F2EC" w14:textId="77777777" w:rsidR="00DE4F2E" w:rsidRDefault="00DE4F2E" w:rsidP="00DE4F2E">
      <w:pPr>
        <w:jc w:val="both"/>
        <w:rPr>
          <w:b/>
          <w:bCs/>
        </w:rPr>
      </w:pPr>
    </w:p>
    <w:p w14:paraId="3E674B3A" w14:textId="2DEF458A" w:rsidR="00DE4F2E" w:rsidRPr="00DE4F2E" w:rsidRDefault="00DE4F2E" w:rsidP="00DE4F2E">
      <w:pPr>
        <w:jc w:val="both"/>
        <w:rPr>
          <w:u w:val="single"/>
        </w:rPr>
      </w:pPr>
      <w:r w:rsidRPr="00DE4F2E">
        <w:rPr>
          <w:u w:val="single"/>
        </w:rPr>
        <w:t>Section 27B HRA — Right to Work (Promoted Aspects)</w:t>
      </w:r>
    </w:p>
    <w:p w14:paraId="757FF6A7" w14:textId="77777777" w:rsidR="00E8098C" w:rsidRDefault="00E8098C" w:rsidP="00DE4F2E">
      <w:pPr>
        <w:jc w:val="both"/>
      </w:pPr>
    </w:p>
    <w:p w14:paraId="2FEAEAF1" w14:textId="663C16D4" w:rsidR="00E8098C" w:rsidRDefault="00DE4F2E" w:rsidP="00DE4F2E">
      <w:pPr>
        <w:jc w:val="both"/>
      </w:pPr>
      <w:r w:rsidRPr="00DE4F2E">
        <w:t>The Rules promote aspects of the right to work and other work-related rights under section 27B of the HRA by establishing a framework that enables barristers to practise their profession freely</w:t>
      </w:r>
      <w:r w:rsidR="00E8098C">
        <w:t xml:space="preserve"> and autonomously</w:t>
      </w:r>
      <w:r w:rsidRPr="00DE4F2E">
        <w:t xml:space="preserve"> </w:t>
      </w:r>
      <w:r w:rsidR="00E8098C" w:rsidRPr="00DE4F2E">
        <w:t>subject to ethical standards</w:t>
      </w:r>
      <w:r w:rsidRPr="00DE4F2E">
        <w:t xml:space="preserve">. </w:t>
      </w:r>
    </w:p>
    <w:p w14:paraId="62FD176F" w14:textId="77777777" w:rsidR="00E8098C" w:rsidRDefault="00E8098C" w:rsidP="00DE4F2E">
      <w:pPr>
        <w:jc w:val="both"/>
      </w:pPr>
    </w:p>
    <w:p w14:paraId="1BBDBE00" w14:textId="3042C28F" w:rsidR="00DE4F2E" w:rsidRPr="00DE4F2E" w:rsidRDefault="00DE4F2E" w:rsidP="00DE4F2E">
      <w:pPr>
        <w:jc w:val="both"/>
      </w:pPr>
      <w:r w:rsidRPr="00DE4F2E">
        <w:t xml:space="preserve">The sole practitioner requirement in Rule 81, while limiting certain arrangements, promotes independent practice, free from partnership </w:t>
      </w:r>
      <w:r w:rsidR="00E8098C">
        <w:t xml:space="preserve">and other </w:t>
      </w:r>
      <w:r w:rsidRPr="00DE4F2E">
        <w:t>conflicts</w:t>
      </w:r>
      <w:r w:rsidR="00E8098C">
        <w:t>.</w:t>
      </w:r>
    </w:p>
    <w:p w14:paraId="77ADC0FC" w14:textId="77777777" w:rsidR="00E8098C" w:rsidRDefault="00E8098C" w:rsidP="00DE4F2E">
      <w:pPr>
        <w:jc w:val="both"/>
      </w:pPr>
    </w:p>
    <w:p w14:paraId="592EB5E1" w14:textId="2B020D04" w:rsidR="00DE4F2E" w:rsidRPr="00DE4F2E" w:rsidRDefault="00DE4F2E" w:rsidP="00DE4F2E">
      <w:pPr>
        <w:jc w:val="both"/>
      </w:pPr>
      <w:r w:rsidRPr="00DE4F2E">
        <w:t>Rules 116 and 117 permit advertising and</w:t>
      </w:r>
      <w:r w:rsidR="00E8098C">
        <w:t xml:space="preserve"> holding out of</w:t>
      </w:r>
      <w:r w:rsidRPr="00DE4F2E">
        <w:t xml:space="preserve"> specialisation (after notice to the Bar Council and two years' experience), fostering competition and access to the profession. Continuing professional development under Rule 113 ensures ongoing training, supporting </w:t>
      </w:r>
      <w:r w:rsidR="00E8098C">
        <w:t xml:space="preserve">just and </w:t>
      </w:r>
      <w:r w:rsidRPr="00DE4F2E">
        <w:t>favourable work conditions. The cab-rank principle (Rules 85 to 86) enhances access to work by mandating brief acceptance.</w:t>
      </w:r>
    </w:p>
    <w:p w14:paraId="3C7CE68B" w14:textId="77777777" w:rsidR="00DE4F2E" w:rsidRDefault="00DE4F2E" w:rsidP="00DE4F2E">
      <w:pPr>
        <w:jc w:val="both"/>
        <w:rPr>
          <w:b/>
          <w:bCs/>
        </w:rPr>
      </w:pPr>
    </w:p>
    <w:p w14:paraId="70045532" w14:textId="4CB45EAA" w:rsidR="00DE4F2E" w:rsidRPr="00DE4F2E" w:rsidRDefault="00E8098C" w:rsidP="00E8098C">
      <w:pPr>
        <w:keepNext/>
        <w:jc w:val="both"/>
        <w:rPr>
          <w:b/>
          <w:bCs/>
          <w:i/>
          <w:iCs/>
        </w:rPr>
      </w:pPr>
      <w:r w:rsidRPr="00DE4F2E">
        <w:rPr>
          <w:b/>
          <w:bCs/>
          <w:i/>
          <w:iCs/>
        </w:rPr>
        <w:t>Rights limited</w:t>
      </w:r>
    </w:p>
    <w:p w14:paraId="31B62FF4" w14:textId="77777777" w:rsidR="00DE4F2E" w:rsidRDefault="00DE4F2E" w:rsidP="00DE4F2E">
      <w:pPr>
        <w:jc w:val="both"/>
        <w:rPr>
          <w:b/>
          <w:bCs/>
        </w:rPr>
      </w:pPr>
    </w:p>
    <w:p w14:paraId="714564E9" w14:textId="449F636D" w:rsidR="00DE4F2E" w:rsidRPr="00DE4F2E" w:rsidRDefault="00DE4F2E" w:rsidP="00DE4F2E">
      <w:pPr>
        <w:jc w:val="both"/>
        <w:rPr>
          <w:u w:val="single"/>
        </w:rPr>
      </w:pPr>
      <w:r w:rsidRPr="00DE4F2E">
        <w:rPr>
          <w:u w:val="single"/>
        </w:rPr>
        <w:t>Section 27B HRA — Right to Work and Work-Related Rights</w:t>
      </w:r>
    </w:p>
    <w:p w14:paraId="438446DD" w14:textId="77777777" w:rsidR="00DE4F2E" w:rsidRDefault="00DE4F2E" w:rsidP="00DE4F2E">
      <w:pPr>
        <w:jc w:val="both"/>
        <w:rPr>
          <w:b/>
          <w:bCs/>
        </w:rPr>
      </w:pPr>
    </w:p>
    <w:p w14:paraId="0E3D2154" w14:textId="54440F83" w:rsidR="00DE4F2E" w:rsidRDefault="00DE4F2E" w:rsidP="0013197B">
      <w:pPr>
        <w:keepNext/>
        <w:jc w:val="both"/>
        <w:rPr>
          <w:i/>
          <w:iCs/>
        </w:rPr>
      </w:pPr>
      <w:r w:rsidRPr="00DE4F2E">
        <w:rPr>
          <w:i/>
          <w:iCs/>
        </w:rPr>
        <w:t>Nature of the Right and the Limitation (s</w:t>
      </w:r>
      <w:r w:rsidR="0088384E">
        <w:rPr>
          <w:i/>
          <w:iCs/>
        </w:rPr>
        <w:t xml:space="preserve"> </w:t>
      </w:r>
      <w:r w:rsidRPr="00DE4F2E">
        <w:rPr>
          <w:i/>
          <w:iCs/>
        </w:rPr>
        <w:t>28(2)(a) and (c))</w:t>
      </w:r>
    </w:p>
    <w:p w14:paraId="63DD9BB7" w14:textId="77777777" w:rsidR="0013197B" w:rsidRPr="00DE4F2E" w:rsidRDefault="0013197B" w:rsidP="0013197B">
      <w:pPr>
        <w:keepNext/>
        <w:jc w:val="both"/>
        <w:rPr>
          <w:i/>
          <w:iCs/>
        </w:rPr>
      </w:pPr>
    </w:p>
    <w:p w14:paraId="5A344F88" w14:textId="77777777" w:rsidR="00DE4F2E" w:rsidRPr="00DE4F2E" w:rsidRDefault="00DE4F2E" w:rsidP="0013197B">
      <w:pPr>
        <w:keepNext/>
        <w:jc w:val="both"/>
      </w:pPr>
      <w:r w:rsidRPr="00DE4F2E">
        <w:t xml:space="preserve">Section 27B of the HRA provides that everyone has the right to work, including the right to choose their occupation or profession freely, and to enjoy just and favourable conditions of work, including the right to form or join work-related organisations and protection against anti-union discrimination. The Rules impose limitations on this right through </w:t>
      </w:r>
      <w:proofErr w:type="gramStart"/>
      <w:r w:rsidRPr="00DE4F2E">
        <w:t>several</w:t>
      </w:r>
      <w:proofErr w:type="gramEnd"/>
      <w:r w:rsidRPr="00DE4F2E">
        <w:t xml:space="preserve"> provisions that restrict how barristers may structure their practice and accept or retain work.</w:t>
      </w:r>
    </w:p>
    <w:p w14:paraId="75899413" w14:textId="77777777" w:rsidR="0013197B" w:rsidRDefault="0013197B" w:rsidP="00DE4F2E">
      <w:pPr>
        <w:jc w:val="both"/>
      </w:pPr>
    </w:p>
    <w:p w14:paraId="10970F0A" w14:textId="77777777" w:rsidR="0013197B" w:rsidRDefault="00DE4F2E" w:rsidP="00DE4F2E">
      <w:pPr>
        <w:jc w:val="both"/>
      </w:pPr>
      <w:r w:rsidRPr="00DE4F2E">
        <w:t xml:space="preserve">Specifically, Rule 81 mandates that barristers must practise as sole practitioners and prohibits partnerships, employment of other legal practitioners, or being employed by others, limiting the freedom to choose business models or collaborative arrangements common in other professions. </w:t>
      </w:r>
    </w:p>
    <w:p w14:paraId="4A64DBBB" w14:textId="77777777" w:rsidR="0013197B" w:rsidRDefault="0013197B" w:rsidP="00DE4F2E">
      <w:pPr>
        <w:jc w:val="both"/>
      </w:pPr>
    </w:p>
    <w:p w14:paraId="23DC0134" w14:textId="129685A7" w:rsidR="00DE4F2E" w:rsidRPr="00DE4F2E" w:rsidRDefault="00DE4F2E" w:rsidP="00DE4F2E">
      <w:pPr>
        <w:jc w:val="both"/>
      </w:pPr>
      <w:r w:rsidRPr="00DE4F2E">
        <w:t xml:space="preserve">Rule 82 further restricts arrangements that might prevent accepting briefs beyond specified exceptions. The cab-rank principle in Rules 85 to 86 requires acceptance of briefs meeting certain criteria, while Rules 87, 89, and 91 outline mandatory and permissible refusals, and Rules 93 to 102 limit returning briefs, potentially obliging barristers to undertake work against their preferences. These limitations affect the choice of occupation by confining barristers to independent, specialised advocacy roles and restricting flexibility in work </w:t>
      </w:r>
      <w:r w:rsidR="0013197B">
        <w:t>selection</w:t>
      </w:r>
      <w:r w:rsidRPr="00DE4F2E">
        <w:t>.</w:t>
      </w:r>
    </w:p>
    <w:p w14:paraId="22FD412B" w14:textId="77777777" w:rsidR="00DE4F2E" w:rsidRDefault="00DE4F2E" w:rsidP="00DE4F2E">
      <w:pPr>
        <w:jc w:val="both"/>
        <w:rPr>
          <w:b/>
          <w:bCs/>
        </w:rPr>
      </w:pPr>
    </w:p>
    <w:p w14:paraId="4A26F7D7" w14:textId="6F0CAC8A" w:rsidR="00DE4F2E" w:rsidRPr="00DE4F2E" w:rsidRDefault="00DE4F2E" w:rsidP="0013197B">
      <w:pPr>
        <w:keepNext/>
        <w:jc w:val="both"/>
        <w:rPr>
          <w:i/>
          <w:iCs/>
        </w:rPr>
      </w:pPr>
      <w:r w:rsidRPr="00DE4F2E">
        <w:rPr>
          <w:i/>
          <w:iCs/>
        </w:rPr>
        <w:t>Legitimate Purpose (s</w:t>
      </w:r>
      <w:r w:rsidR="0088384E">
        <w:rPr>
          <w:i/>
          <w:iCs/>
        </w:rPr>
        <w:t xml:space="preserve"> </w:t>
      </w:r>
      <w:r w:rsidRPr="00DE4F2E">
        <w:rPr>
          <w:i/>
          <w:iCs/>
        </w:rPr>
        <w:t>28(2)(b))</w:t>
      </w:r>
    </w:p>
    <w:p w14:paraId="1A0900EF" w14:textId="77777777" w:rsidR="0013197B" w:rsidRDefault="0013197B" w:rsidP="00DE4F2E">
      <w:pPr>
        <w:jc w:val="both"/>
      </w:pPr>
    </w:p>
    <w:p w14:paraId="53FEC5AD" w14:textId="4008509A" w:rsidR="00DE4F2E" w:rsidRPr="00DE4F2E" w:rsidRDefault="00DE4F2E" w:rsidP="00DE4F2E">
      <w:pPr>
        <w:jc w:val="both"/>
      </w:pPr>
      <w:r w:rsidRPr="00DE4F2E">
        <w:t xml:space="preserve">The limitations serve the legitimate purpose of preserving the independence and integrity of barristers as specialist advocates, ensuring the proper administration of justice as outlined in the Preamble to the Rules (paragraphs 1 to 7). By requiring sole practice and the cab-rank principle, the Rules prevent commercial influences or conflicts that could compromise barristers' paramount duty to the court, while promoting equal access to representation for all clients, including those who might otherwise </w:t>
      </w:r>
      <w:proofErr w:type="gramStart"/>
      <w:r w:rsidRPr="00DE4F2E">
        <w:t>be underserved</w:t>
      </w:r>
      <w:proofErr w:type="gramEnd"/>
      <w:r w:rsidRPr="00DE4F2E">
        <w:t>. These measures protect the public interest in a competitive yet ethical bar, maintain high professional standards, and enhance access to justice without personal prejudice, aligning with the HRA's broader objectives of a free and democratic society.</w:t>
      </w:r>
    </w:p>
    <w:p w14:paraId="451ECEE3" w14:textId="77777777" w:rsidR="00DE4F2E" w:rsidRDefault="00DE4F2E" w:rsidP="00DE4F2E">
      <w:pPr>
        <w:jc w:val="both"/>
        <w:rPr>
          <w:b/>
          <w:bCs/>
        </w:rPr>
      </w:pPr>
    </w:p>
    <w:p w14:paraId="6FF25E21" w14:textId="71F8C0E3" w:rsidR="00DE4F2E" w:rsidRPr="00DE4F2E" w:rsidRDefault="00DE4F2E" w:rsidP="0013197B">
      <w:pPr>
        <w:keepNext/>
        <w:jc w:val="both"/>
        <w:rPr>
          <w:i/>
          <w:iCs/>
        </w:rPr>
      </w:pPr>
      <w:r w:rsidRPr="00DE4F2E">
        <w:rPr>
          <w:i/>
          <w:iCs/>
        </w:rPr>
        <w:t>Rational Connection Between the Limitation and the Purpose (s</w:t>
      </w:r>
      <w:r w:rsidR="0088384E">
        <w:rPr>
          <w:i/>
          <w:iCs/>
        </w:rPr>
        <w:t xml:space="preserve"> </w:t>
      </w:r>
      <w:r w:rsidRPr="00DE4F2E">
        <w:rPr>
          <w:i/>
          <w:iCs/>
        </w:rPr>
        <w:t>28(2)(d))</w:t>
      </w:r>
    </w:p>
    <w:p w14:paraId="7A77EBFB" w14:textId="77777777" w:rsidR="0013197B" w:rsidRDefault="0013197B" w:rsidP="00DE4F2E">
      <w:pPr>
        <w:jc w:val="both"/>
      </w:pPr>
    </w:p>
    <w:p w14:paraId="532AB3E3" w14:textId="01CA3B2F" w:rsidR="0013197B" w:rsidRDefault="00DE4F2E" w:rsidP="00DE4F2E">
      <w:pPr>
        <w:jc w:val="both"/>
      </w:pPr>
      <w:r w:rsidRPr="00DE4F2E">
        <w:t xml:space="preserve">There is a direct rational connection between the limitations and their purpose. The sole practitioner requirement in Rule 81 ensures barristers remain independent, free from partnership </w:t>
      </w:r>
      <w:r w:rsidR="0013197B">
        <w:t xml:space="preserve">or other commercial </w:t>
      </w:r>
      <w:r w:rsidRPr="00DE4F2E">
        <w:t xml:space="preserve">pressures that could influence forensic judgements, directly supporting the Preamble's emphasis on disinterested advocacy (paragraph 5). </w:t>
      </w:r>
      <w:r w:rsidR="0088384E">
        <w:t>T</w:t>
      </w:r>
      <w:r w:rsidR="0088384E" w:rsidRPr="00DE4F2E">
        <w:t xml:space="preserve">he </w:t>
      </w:r>
      <w:r w:rsidR="0088384E">
        <w:t xml:space="preserve">limitations imposed by Rule 82 </w:t>
      </w:r>
      <w:r w:rsidR="0088384E" w:rsidRPr="00DE4F2E">
        <w:t>rationally prevents arrangements that could undermine competition or independence, directly advancing the administration of justice without broader commercial entanglements.</w:t>
      </w:r>
    </w:p>
    <w:p w14:paraId="520838C1" w14:textId="77777777" w:rsidR="0013197B" w:rsidRDefault="0013197B" w:rsidP="00DE4F2E">
      <w:pPr>
        <w:jc w:val="both"/>
      </w:pPr>
    </w:p>
    <w:p w14:paraId="4012017D" w14:textId="1E91D9AB" w:rsidR="00DE4F2E" w:rsidRPr="00DE4F2E" w:rsidRDefault="00DE4F2E" w:rsidP="00DE4F2E">
      <w:pPr>
        <w:jc w:val="both"/>
      </w:pPr>
      <w:r w:rsidRPr="00DE4F2E">
        <w:t xml:space="preserve">The cab-rank principle (Rules 85 to 86) rationally achieves equal access by mandating brief acceptance regardless of client characteristics, preventing selective practice that could deny representation to vulnerable parties. Restrictions on returning briefs (Rules 93 to 102) protect clients from abandonment, ensuring continuity in proceedings, while </w:t>
      </w:r>
      <w:r w:rsidRPr="00DE4F2E">
        <w:lastRenderedPageBreak/>
        <w:t xml:space="preserve">exceptions in Rules 87 and 91 (e.g., for conflicts or capacity) balance this with practical </w:t>
      </w:r>
      <w:r w:rsidR="0088384E">
        <w:t>necessity</w:t>
      </w:r>
      <w:r w:rsidRPr="00DE4F2E">
        <w:t xml:space="preserve">. </w:t>
      </w:r>
    </w:p>
    <w:p w14:paraId="5ADE9303" w14:textId="77777777" w:rsidR="00DE4F2E" w:rsidRDefault="00DE4F2E" w:rsidP="00DE4F2E">
      <w:pPr>
        <w:jc w:val="both"/>
        <w:rPr>
          <w:b/>
          <w:bCs/>
        </w:rPr>
      </w:pPr>
    </w:p>
    <w:p w14:paraId="0DCFE8A9" w14:textId="5DC1E19A" w:rsidR="00DE4F2E" w:rsidRPr="00DE4F2E" w:rsidRDefault="00DE4F2E" w:rsidP="00DE4F2E">
      <w:pPr>
        <w:jc w:val="both"/>
        <w:rPr>
          <w:i/>
          <w:iCs/>
        </w:rPr>
      </w:pPr>
      <w:r w:rsidRPr="00DE4F2E">
        <w:rPr>
          <w:i/>
          <w:iCs/>
        </w:rPr>
        <w:t>Proportionality (s</w:t>
      </w:r>
      <w:r w:rsidR="0088384E">
        <w:rPr>
          <w:i/>
          <w:iCs/>
        </w:rPr>
        <w:t xml:space="preserve"> </w:t>
      </w:r>
      <w:r w:rsidRPr="00DE4F2E">
        <w:rPr>
          <w:i/>
          <w:iCs/>
        </w:rPr>
        <w:t>28(2)(e))</w:t>
      </w:r>
    </w:p>
    <w:p w14:paraId="3EB554C3" w14:textId="77777777" w:rsidR="0088384E" w:rsidRDefault="0088384E" w:rsidP="00DE4F2E">
      <w:pPr>
        <w:jc w:val="both"/>
      </w:pPr>
    </w:p>
    <w:p w14:paraId="7C1D6379" w14:textId="5C8D3363" w:rsidR="00DE4F2E" w:rsidRDefault="00DE4F2E" w:rsidP="00DE4F2E">
      <w:pPr>
        <w:jc w:val="both"/>
      </w:pPr>
      <w:r w:rsidRPr="00DE4F2E">
        <w:t xml:space="preserve">The limitations are proportionate and represent the least intrusive means to achieve the purposes. </w:t>
      </w:r>
      <w:r w:rsidR="0088384E">
        <w:t>The</w:t>
      </w:r>
      <w:r w:rsidRPr="00DE4F2E">
        <w:t xml:space="preserve"> sole practice requirement</w:t>
      </w:r>
      <w:r w:rsidR="0088384E">
        <w:t xml:space="preserve"> in Rule 81</w:t>
      </w:r>
      <w:r w:rsidRPr="00DE4F2E">
        <w:t xml:space="preserve"> </w:t>
      </w:r>
      <w:proofErr w:type="gramStart"/>
      <w:r w:rsidRPr="00DE4F2E">
        <w:t>is tailored</w:t>
      </w:r>
      <w:proofErr w:type="gramEnd"/>
      <w:r w:rsidRPr="00DE4F2E">
        <w:t xml:space="preserve"> to barristers' unique role, with exceptions allowing devilling arrangements (Rule 83) for collaboration without full partnerships, ensuring independence without total isolation. The cab-rank principle includes safeguards like capacity assessments (Rule 85(b)) and refusal grounds (Rules 87, 91), preventing overload while mandating access</w:t>
      </w:r>
      <w:r w:rsidR="0088384E">
        <w:t>. N</w:t>
      </w:r>
      <w:r w:rsidRPr="00DE4F2E">
        <w:t>o less restrictive approach, such as voluntary guidelines, would reliably ensure representation for all. Brief return restrictions (Rules 93 to 102) permit returns in exceptional circumstances (e.g., client consent or conflicts), with notice requirements to minimise client harm. These calibrated exceptions demonstrate that the Rules impose only necessary constraints, thus achieving the objectives with minimal intrusion on work freedoms.</w:t>
      </w:r>
    </w:p>
    <w:p w14:paraId="2AE9F03B" w14:textId="77777777" w:rsidR="0088384E" w:rsidRPr="00DE4F2E" w:rsidRDefault="0088384E" w:rsidP="00DE4F2E">
      <w:pPr>
        <w:jc w:val="both"/>
      </w:pPr>
    </w:p>
    <w:p w14:paraId="0E7E0F1F" w14:textId="77777777" w:rsidR="00DE4F2E" w:rsidRPr="00DE4F2E" w:rsidRDefault="00DE4F2E" w:rsidP="00DE4F2E">
      <w:pPr>
        <w:jc w:val="both"/>
        <w:rPr>
          <w:u w:val="single"/>
        </w:rPr>
      </w:pPr>
      <w:r w:rsidRPr="00DE4F2E">
        <w:rPr>
          <w:u w:val="single"/>
        </w:rPr>
        <w:t>Section 12 HRA — Right to Privacy</w:t>
      </w:r>
    </w:p>
    <w:p w14:paraId="79C79153" w14:textId="77777777" w:rsidR="00DE4F2E" w:rsidRDefault="00DE4F2E" w:rsidP="00DE4F2E">
      <w:pPr>
        <w:jc w:val="both"/>
        <w:rPr>
          <w:b/>
          <w:bCs/>
        </w:rPr>
      </w:pPr>
    </w:p>
    <w:p w14:paraId="1516DCF9" w14:textId="2886FDC3" w:rsidR="00DE4F2E" w:rsidRPr="00DE4F2E" w:rsidRDefault="00DE4F2E" w:rsidP="00DE4F2E">
      <w:pPr>
        <w:jc w:val="both"/>
        <w:rPr>
          <w:i/>
          <w:iCs/>
        </w:rPr>
      </w:pPr>
      <w:r w:rsidRPr="00DE4F2E">
        <w:rPr>
          <w:i/>
          <w:iCs/>
        </w:rPr>
        <w:t>Nature of the Right and the Limitation (s</w:t>
      </w:r>
      <w:r w:rsidR="0088384E">
        <w:rPr>
          <w:i/>
          <w:iCs/>
        </w:rPr>
        <w:t xml:space="preserve"> </w:t>
      </w:r>
      <w:r w:rsidRPr="00DE4F2E">
        <w:rPr>
          <w:i/>
          <w:iCs/>
        </w:rPr>
        <w:t>28(2)(a) and (c))</w:t>
      </w:r>
    </w:p>
    <w:p w14:paraId="76013CD0" w14:textId="77777777" w:rsidR="0088384E" w:rsidRDefault="0088384E" w:rsidP="00DE4F2E">
      <w:pPr>
        <w:jc w:val="both"/>
      </w:pPr>
    </w:p>
    <w:p w14:paraId="29280597" w14:textId="7B058094" w:rsidR="00DE4F2E" w:rsidRPr="00DE4F2E" w:rsidRDefault="00DE4F2E" w:rsidP="00DE4F2E">
      <w:pPr>
        <w:jc w:val="both"/>
      </w:pPr>
      <w:r w:rsidRPr="00DE4F2E">
        <w:t>Section 12 of the HRA provides that everyone has the right not to have their privacy, family, home, or correspondence interfered with unlawfully or arbitrarily, and not to have their reputation unlawfully attacked. The Rules limit this right through disclosure obligations that require barristers to share personal information with the Bar Association. Rule 115 defines "disclosable events" including sequestration orders, debt agreements, corporate disqualifications, or convictions for offences with imprisonment of 12 months or more (or involving fraud/dishonesty). Rule 115A mandates written notification to the Bar Association within 28 days, with details sufficient for suitability assessments, and provision of further information on request within 14 days. These provisions interfere with privacy by mandating revelation of sensitive financial, professional, and criminal history to a regulatory body, which could affect reputation if disclosed further.</w:t>
      </w:r>
    </w:p>
    <w:p w14:paraId="6B88A257" w14:textId="77777777" w:rsidR="00DE4F2E" w:rsidRDefault="00DE4F2E" w:rsidP="00DE4F2E">
      <w:pPr>
        <w:jc w:val="both"/>
        <w:rPr>
          <w:b/>
          <w:bCs/>
        </w:rPr>
      </w:pPr>
    </w:p>
    <w:p w14:paraId="7F6B301E" w14:textId="7FF40DEE" w:rsidR="00DE4F2E" w:rsidRPr="00DE4F2E" w:rsidRDefault="00DE4F2E" w:rsidP="00DE4F2E">
      <w:pPr>
        <w:jc w:val="both"/>
        <w:rPr>
          <w:i/>
          <w:iCs/>
        </w:rPr>
      </w:pPr>
      <w:r w:rsidRPr="00DE4F2E">
        <w:rPr>
          <w:i/>
          <w:iCs/>
        </w:rPr>
        <w:t>Legitimate Purpose (s</w:t>
      </w:r>
      <w:r w:rsidR="0088384E">
        <w:rPr>
          <w:i/>
          <w:iCs/>
        </w:rPr>
        <w:t xml:space="preserve"> </w:t>
      </w:r>
      <w:r w:rsidRPr="00DE4F2E">
        <w:rPr>
          <w:i/>
          <w:iCs/>
        </w:rPr>
        <w:t>28(2)(b))</w:t>
      </w:r>
    </w:p>
    <w:p w14:paraId="53A195A2" w14:textId="77777777" w:rsidR="0088384E" w:rsidRDefault="0088384E" w:rsidP="00DE4F2E">
      <w:pPr>
        <w:jc w:val="both"/>
      </w:pPr>
    </w:p>
    <w:p w14:paraId="4E21ECED" w14:textId="2F519BE0" w:rsidR="00DE4F2E" w:rsidRPr="00DE4F2E" w:rsidRDefault="00DE4F2E" w:rsidP="00DE4F2E">
      <w:pPr>
        <w:jc w:val="both"/>
      </w:pPr>
      <w:r w:rsidRPr="00DE4F2E">
        <w:t xml:space="preserve">The legitimate purpose is to enable regulatory oversight of barristers' suitability to practise, protecting the public and maintaining confidence in the legal profession. Disclosure of disclosable events under Rules 115 and 115A allows the Bar Association to assess risks to clients from financial instability or criminal conduct, ensuring barristers uphold the </w:t>
      </w:r>
      <w:proofErr w:type="gramStart"/>
      <w:r w:rsidRPr="00DE4F2E">
        <w:t>high standards</w:t>
      </w:r>
      <w:proofErr w:type="gramEnd"/>
      <w:r w:rsidRPr="00DE4F2E">
        <w:t xml:space="preserve"> required for independent advocacy </w:t>
      </w:r>
      <w:r w:rsidR="0088384E">
        <w:t>consistent with</w:t>
      </w:r>
      <w:r w:rsidRPr="00DE4F2E">
        <w:t xml:space="preserve"> the Preamble (paragraphs 2 and 4).</w:t>
      </w:r>
    </w:p>
    <w:p w14:paraId="7E359137" w14:textId="77777777" w:rsidR="00DE4F2E" w:rsidRDefault="00DE4F2E" w:rsidP="00DE4F2E">
      <w:pPr>
        <w:jc w:val="both"/>
        <w:rPr>
          <w:b/>
          <w:bCs/>
        </w:rPr>
      </w:pPr>
    </w:p>
    <w:p w14:paraId="068B2E05" w14:textId="50C7550D" w:rsidR="00DE4F2E" w:rsidRPr="00DE4F2E" w:rsidRDefault="00DE4F2E" w:rsidP="00DE4F2E">
      <w:pPr>
        <w:jc w:val="both"/>
        <w:rPr>
          <w:i/>
          <w:iCs/>
        </w:rPr>
      </w:pPr>
      <w:r w:rsidRPr="00DE4F2E">
        <w:rPr>
          <w:i/>
          <w:iCs/>
        </w:rPr>
        <w:t>Rational Connection Between the Limitation and the Purpose (s</w:t>
      </w:r>
      <w:r w:rsidR="0088384E">
        <w:rPr>
          <w:i/>
          <w:iCs/>
        </w:rPr>
        <w:t xml:space="preserve"> </w:t>
      </w:r>
      <w:r w:rsidRPr="00DE4F2E">
        <w:rPr>
          <w:i/>
          <w:iCs/>
        </w:rPr>
        <w:t>28(2)(d))</w:t>
      </w:r>
    </w:p>
    <w:p w14:paraId="6A3EA2AF" w14:textId="77777777" w:rsidR="0088384E" w:rsidRDefault="0088384E" w:rsidP="00DE4F2E">
      <w:pPr>
        <w:jc w:val="both"/>
      </w:pPr>
    </w:p>
    <w:p w14:paraId="24713B34" w14:textId="4D365B3C" w:rsidR="00DE4F2E" w:rsidRPr="00DE4F2E" w:rsidRDefault="00DE4F2E" w:rsidP="00DE4F2E">
      <w:pPr>
        <w:jc w:val="both"/>
      </w:pPr>
      <w:r w:rsidRPr="00DE4F2E">
        <w:t xml:space="preserve">The limitations </w:t>
      </w:r>
      <w:proofErr w:type="gramStart"/>
      <w:r w:rsidRPr="00DE4F2E">
        <w:t>are rationally connected</w:t>
      </w:r>
      <w:proofErr w:type="gramEnd"/>
      <w:r w:rsidRPr="00DE4F2E">
        <w:t xml:space="preserve"> to the purpose, as disclosure directly facilitates suitability determinations. Serious events like bankruptcy (Rule 115(a)) or convictions (Rule 115(d)) rationally indicate potential risks to professional judgement or client trust, enabling targeted oversight without broader privacy invasions. The 28-day </w:t>
      </w:r>
      <w:r w:rsidR="009A6121">
        <w:t xml:space="preserve">and 14-day </w:t>
      </w:r>
      <w:proofErr w:type="gramStart"/>
      <w:r w:rsidRPr="00DE4F2E">
        <w:t>timeframe</w:t>
      </w:r>
      <w:r w:rsidR="009A6121">
        <w:t>s</w:t>
      </w:r>
      <w:proofErr w:type="gramEnd"/>
      <w:r w:rsidRPr="00DE4F2E">
        <w:t xml:space="preserve"> in Rule 115A </w:t>
      </w:r>
      <w:r w:rsidR="009A6121">
        <w:t xml:space="preserve">and Rule 115A(c) respectively </w:t>
      </w:r>
      <w:r w:rsidRPr="00DE4F2E">
        <w:t xml:space="preserve">ensures timely </w:t>
      </w:r>
      <w:r w:rsidR="00CF2185">
        <w:lastRenderedPageBreak/>
        <w:t>assessment</w:t>
      </w:r>
      <w:r w:rsidRPr="00DE4F2E">
        <w:t xml:space="preserve">, </w:t>
      </w:r>
      <w:r w:rsidR="009A6121">
        <w:t>with the</w:t>
      </w:r>
      <w:r w:rsidRPr="00DE4F2E">
        <w:t xml:space="preserve"> further information requests (Rule 115A(c)) </w:t>
      </w:r>
      <w:r w:rsidR="009A6121">
        <w:t xml:space="preserve">facilitating proper assessment of the </w:t>
      </w:r>
      <w:r w:rsidRPr="00DE4F2E">
        <w:t xml:space="preserve">impacts </w:t>
      </w:r>
      <w:r w:rsidR="009A6121">
        <w:t xml:space="preserve">of the disclosable event </w:t>
      </w:r>
      <w:r w:rsidRPr="00DE4F2E">
        <w:t xml:space="preserve">on practice. </w:t>
      </w:r>
    </w:p>
    <w:p w14:paraId="473DA5A0" w14:textId="77777777" w:rsidR="00DE4F2E" w:rsidRDefault="00DE4F2E" w:rsidP="00DE4F2E">
      <w:pPr>
        <w:jc w:val="both"/>
        <w:rPr>
          <w:b/>
          <w:bCs/>
        </w:rPr>
      </w:pPr>
    </w:p>
    <w:p w14:paraId="26F8F503" w14:textId="59C720AE" w:rsidR="00DE4F2E" w:rsidRPr="00DE4F2E" w:rsidRDefault="00DE4F2E" w:rsidP="00DE4F2E">
      <w:pPr>
        <w:jc w:val="both"/>
        <w:rPr>
          <w:i/>
          <w:iCs/>
        </w:rPr>
      </w:pPr>
      <w:r w:rsidRPr="00DE4F2E">
        <w:rPr>
          <w:i/>
          <w:iCs/>
        </w:rPr>
        <w:t>Proportionality (s28(2)(e))</w:t>
      </w:r>
    </w:p>
    <w:p w14:paraId="558D3061" w14:textId="77777777" w:rsidR="009A6121" w:rsidRDefault="009A6121" w:rsidP="00DE4F2E">
      <w:pPr>
        <w:jc w:val="both"/>
      </w:pPr>
    </w:p>
    <w:p w14:paraId="37DC33A1" w14:textId="46D67EA0" w:rsidR="00DE4F2E" w:rsidRPr="00DE4F2E" w:rsidRDefault="00DE4F2E" w:rsidP="00DE4F2E">
      <w:pPr>
        <w:jc w:val="both"/>
      </w:pPr>
      <w:r w:rsidRPr="00DE4F2E">
        <w:t xml:space="preserve">The limitations are proportionate, as they are the least restrictive means to achieve oversight. Only serious, practice-relevant events are disclosable (e.g., excluding minor offences), with a limited recipient (Bar Association Secretary) and no public dissemination requirement, minimising reputation harm. The 28-day period allows preparation, and 14-day further requests </w:t>
      </w:r>
      <w:r w:rsidR="009A6121">
        <w:t>have a targeted and confined scope</w:t>
      </w:r>
      <w:r w:rsidRPr="00DE4F2E">
        <w:t xml:space="preserve">. Alternatives like self-certification would </w:t>
      </w:r>
      <w:r w:rsidR="009A6121">
        <w:t>not ensure maintenance of</w:t>
      </w:r>
      <w:r w:rsidR="0093738E">
        <w:t xml:space="preserve"> the</w:t>
      </w:r>
      <w:r w:rsidR="009A6121">
        <w:t xml:space="preserve"> public</w:t>
      </w:r>
      <w:r w:rsidR="0093738E">
        <w:t>’s</w:t>
      </w:r>
      <w:r w:rsidRPr="00DE4F2E">
        <w:t xml:space="preserve"> </w:t>
      </w:r>
      <w:r w:rsidR="009A6121">
        <w:t>confidence in the profession. T</w:t>
      </w:r>
      <w:r w:rsidRPr="00DE4F2E">
        <w:t>hese targeted obligations impos</w:t>
      </w:r>
      <w:r w:rsidR="009A6121">
        <w:t>e</w:t>
      </w:r>
      <w:r w:rsidR="0093738E">
        <w:t xml:space="preserve"> the</w:t>
      </w:r>
      <w:r w:rsidRPr="00DE4F2E">
        <w:t xml:space="preserve"> minimal intrusion </w:t>
      </w:r>
      <w:r w:rsidR="0093738E">
        <w:t>necessary for</w:t>
      </w:r>
      <w:r w:rsidRPr="00DE4F2E">
        <w:t xml:space="preserve"> </w:t>
      </w:r>
      <w:r w:rsidR="009A6121">
        <w:t xml:space="preserve">achieving </w:t>
      </w:r>
      <w:r w:rsidRPr="00DE4F2E">
        <w:t>essential public safeguards.</w:t>
      </w:r>
    </w:p>
    <w:p w14:paraId="55FCAEB4" w14:textId="77777777" w:rsidR="00DE4F2E" w:rsidRDefault="00DE4F2E" w:rsidP="00DE4F2E">
      <w:pPr>
        <w:jc w:val="both"/>
        <w:rPr>
          <w:b/>
          <w:bCs/>
        </w:rPr>
      </w:pPr>
    </w:p>
    <w:p w14:paraId="15B58287" w14:textId="26A9AA72" w:rsidR="00DE4F2E" w:rsidRPr="00DE4F2E" w:rsidRDefault="00DE4F2E" w:rsidP="00DE4F2E">
      <w:pPr>
        <w:jc w:val="both"/>
        <w:rPr>
          <w:u w:val="single"/>
        </w:rPr>
      </w:pPr>
      <w:r w:rsidRPr="00DE4F2E">
        <w:rPr>
          <w:u w:val="single"/>
        </w:rPr>
        <w:t>Section 16 HRA — Right to Freedom of Expression</w:t>
      </w:r>
    </w:p>
    <w:p w14:paraId="54D123E3" w14:textId="77777777" w:rsidR="009A6121" w:rsidRDefault="009A6121" w:rsidP="00DE4F2E">
      <w:pPr>
        <w:jc w:val="both"/>
        <w:rPr>
          <w:b/>
          <w:bCs/>
        </w:rPr>
      </w:pPr>
    </w:p>
    <w:p w14:paraId="6F5D431E" w14:textId="789AC4BD" w:rsidR="00DE4F2E" w:rsidRPr="00DE4F2E" w:rsidRDefault="00DE4F2E" w:rsidP="00DE4F2E">
      <w:pPr>
        <w:jc w:val="both"/>
        <w:rPr>
          <w:i/>
          <w:iCs/>
        </w:rPr>
      </w:pPr>
      <w:r w:rsidRPr="00DE4F2E">
        <w:rPr>
          <w:i/>
          <w:iCs/>
        </w:rPr>
        <w:t>Nature of the Right and the Limitation (s</w:t>
      </w:r>
      <w:r w:rsidR="009A6121">
        <w:rPr>
          <w:i/>
          <w:iCs/>
        </w:rPr>
        <w:t xml:space="preserve"> </w:t>
      </w:r>
      <w:r w:rsidRPr="00DE4F2E">
        <w:rPr>
          <w:i/>
          <w:iCs/>
        </w:rPr>
        <w:t>28(2)(a) and (c))</w:t>
      </w:r>
    </w:p>
    <w:p w14:paraId="0CC83B62" w14:textId="77777777" w:rsidR="009A6121" w:rsidRDefault="009A6121" w:rsidP="00DE4F2E">
      <w:pPr>
        <w:jc w:val="both"/>
      </w:pPr>
    </w:p>
    <w:p w14:paraId="67E4BA13" w14:textId="50241359" w:rsidR="00DE4F2E" w:rsidRPr="00DE4F2E" w:rsidRDefault="00DE4F2E" w:rsidP="00DE4F2E">
      <w:pPr>
        <w:jc w:val="both"/>
      </w:pPr>
      <w:r w:rsidRPr="00DE4F2E">
        <w:t>Section 16 of the HRA provides that everyone has the right to hold opinions without interference and to freedom of expression, including seeking, receiving, and imparting information and ideas</w:t>
      </w:r>
      <w:r w:rsidR="007307B5">
        <w:t xml:space="preserve"> of all kinds</w:t>
      </w:r>
      <w:r w:rsidRPr="00DE4F2E">
        <w:t xml:space="preserve">. The Rules limit this right by restricting barristers' public and in-court communications. Rule 59 prohibits publishing or assisting publication of inaccurate, confidential, or opinion-expressing material about current or potential proceedings, except for specified court documents. Rule 20 bars expressing </w:t>
      </w:r>
      <w:proofErr w:type="gramStart"/>
      <w:r w:rsidRPr="00DE4F2E">
        <w:t>personal opinions</w:t>
      </w:r>
      <w:proofErr w:type="gramEnd"/>
      <w:r w:rsidRPr="00DE4F2E">
        <w:t xml:space="preserve"> on evidence or issues in court submissions. Frankness rules (Rules 21 to 31) require correcting misleading statements and disclosing adverse authorities, potentially compelling speech against client interests. These provisions interfere with free expression by constraining what barristers may say publicly or </w:t>
      </w:r>
      <w:r w:rsidR="0093738E">
        <w:t>in proceedings</w:t>
      </w:r>
      <w:r w:rsidRPr="00DE4F2E">
        <w:t>, limiting opinion-holding and information dissemination related to cases.</w:t>
      </w:r>
    </w:p>
    <w:p w14:paraId="63AE095A" w14:textId="77777777" w:rsidR="00DE4F2E" w:rsidRDefault="00DE4F2E" w:rsidP="00DE4F2E">
      <w:pPr>
        <w:jc w:val="both"/>
        <w:rPr>
          <w:b/>
          <w:bCs/>
        </w:rPr>
      </w:pPr>
    </w:p>
    <w:p w14:paraId="4CC3658F" w14:textId="647A71F5" w:rsidR="00DE4F2E" w:rsidRPr="00DE4F2E" w:rsidRDefault="00DE4F2E" w:rsidP="00DE4F2E">
      <w:pPr>
        <w:jc w:val="both"/>
        <w:rPr>
          <w:i/>
          <w:iCs/>
        </w:rPr>
      </w:pPr>
      <w:r w:rsidRPr="00DE4F2E">
        <w:rPr>
          <w:i/>
          <w:iCs/>
        </w:rPr>
        <w:t>Legitimate Purpose (s</w:t>
      </w:r>
      <w:r w:rsidR="009A6121">
        <w:rPr>
          <w:i/>
          <w:iCs/>
        </w:rPr>
        <w:t xml:space="preserve"> </w:t>
      </w:r>
      <w:r w:rsidRPr="00DE4F2E">
        <w:rPr>
          <w:i/>
          <w:iCs/>
        </w:rPr>
        <w:t>28(2)(b))</w:t>
      </w:r>
    </w:p>
    <w:p w14:paraId="70BF31E5" w14:textId="77777777" w:rsidR="009A6121" w:rsidRDefault="009A6121" w:rsidP="00DE4F2E">
      <w:pPr>
        <w:jc w:val="both"/>
      </w:pPr>
    </w:p>
    <w:p w14:paraId="7F1C060C" w14:textId="2EA0A483" w:rsidR="00DE4F2E" w:rsidRPr="00DE4F2E" w:rsidRDefault="00DE4F2E" w:rsidP="00DE4F2E">
      <w:pPr>
        <w:jc w:val="both"/>
      </w:pPr>
      <w:r w:rsidRPr="00DE4F2E">
        <w:t xml:space="preserve">The purpose is to protect the integrity of </w:t>
      </w:r>
      <w:r w:rsidR="0093738E">
        <w:t>court and tribunal</w:t>
      </w:r>
      <w:r w:rsidRPr="00DE4F2E">
        <w:t xml:space="preserve"> proceedings and prevent prejudice to fair trials, maintaining public confidence in the administration of justice. Restrictions under Rule 59 safeguard against sub judice contempt </w:t>
      </w:r>
      <w:r w:rsidR="0093738E">
        <w:t>and</w:t>
      </w:r>
      <w:r w:rsidRPr="00DE4F2E">
        <w:t xml:space="preserve"> </w:t>
      </w:r>
      <w:r w:rsidR="0093738E">
        <w:t>inaccurate</w:t>
      </w:r>
      <w:r w:rsidRPr="00DE4F2E">
        <w:t xml:space="preserve"> reporting, while Rule 20 and frankness obligations (Rules 21 to 31) ensure disinterested advocacy, aligning with the Preamble's values of honest, fair, skilful</w:t>
      </w:r>
      <w:r w:rsidR="00FE6478">
        <w:t xml:space="preserve">, </w:t>
      </w:r>
      <w:proofErr w:type="gramStart"/>
      <w:r w:rsidR="00FE6478">
        <w:t>honourable</w:t>
      </w:r>
      <w:proofErr w:type="gramEnd"/>
      <w:r w:rsidR="00FE6478">
        <w:t xml:space="preserve"> and disinterested</w:t>
      </w:r>
      <w:r w:rsidRPr="00DE4F2E">
        <w:t xml:space="preserve"> conduct (paragraphs 3</w:t>
      </w:r>
      <w:r w:rsidR="00FE6478">
        <w:t xml:space="preserve"> and 7</w:t>
      </w:r>
      <w:r w:rsidRPr="00DE4F2E">
        <w:t>).</w:t>
      </w:r>
    </w:p>
    <w:p w14:paraId="7846094B" w14:textId="77777777" w:rsidR="00DE4F2E" w:rsidRDefault="00DE4F2E" w:rsidP="00DE4F2E">
      <w:pPr>
        <w:jc w:val="both"/>
        <w:rPr>
          <w:b/>
          <w:bCs/>
        </w:rPr>
      </w:pPr>
    </w:p>
    <w:p w14:paraId="7120F829" w14:textId="3191B04A" w:rsidR="00DE4F2E" w:rsidRPr="00DE4F2E" w:rsidRDefault="00DE4F2E" w:rsidP="00DE4F2E">
      <w:pPr>
        <w:jc w:val="both"/>
        <w:rPr>
          <w:i/>
          <w:iCs/>
        </w:rPr>
      </w:pPr>
      <w:r w:rsidRPr="00DE4F2E">
        <w:rPr>
          <w:i/>
          <w:iCs/>
        </w:rPr>
        <w:t>Rational Connection Between the Limitation and the Purpose (s</w:t>
      </w:r>
      <w:r w:rsidR="00DD4A89">
        <w:rPr>
          <w:i/>
          <w:iCs/>
        </w:rPr>
        <w:t xml:space="preserve"> </w:t>
      </w:r>
      <w:r w:rsidRPr="00DE4F2E">
        <w:rPr>
          <w:i/>
          <w:iCs/>
        </w:rPr>
        <w:t>28(2)(d))</w:t>
      </w:r>
    </w:p>
    <w:p w14:paraId="46C8D92D" w14:textId="77777777" w:rsidR="00DD4A89" w:rsidRDefault="00DD4A89" w:rsidP="00DE4F2E">
      <w:pPr>
        <w:jc w:val="both"/>
      </w:pPr>
    </w:p>
    <w:p w14:paraId="18DD3C33" w14:textId="3213520B" w:rsidR="00DE4F2E" w:rsidRPr="00DE4F2E" w:rsidRDefault="00DE4F2E" w:rsidP="00DE4F2E">
      <w:pPr>
        <w:jc w:val="both"/>
      </w:pPr>
      <w:r w:rsidRPr="00DE4F2E">
        <w:t xml:space="preserve">The limitations rationally connect to the purpose by directly preventing expression that could undermine proceedings. </w:t>
      </w:r>
      <w:r w:rsidR="003C2F5C">
        <w:t>The</w:t>
      </w:r>
      <w:r w:rsidRPr="00DE4F2E">
        <w:t xml:space="preserve"> ban </w:t>
      </w:r>
      <w:r w:rsidR="003C2F5C">
        <w:t xml:space="preserve">in Rule 59 </w:t>
      </w:r>
      <w:r w:rsidRPr="00DE4F2E">
        <w:t>on inaccurate or opinionated publications rationally avoids prejudicing trials, with exceptions for documents</w:t>
      </w:r>
      <w:r w:rsidR="003C2F5C">
        <w:t xml:space="preserve"> ventilated in open court or publicly available</w:t>
      </w:r>
      <w:r w:rsidRPr="00DE4F2E">
        <w:t xml:space="preserve"> (Rule 59(b)) allowing legitimate information flow. </w:t>
      </w:r>
      <w:r w:rsidR="003C2F5C">
        <w:t>The</w:t>
      </w:r>
      <w:r w:rsidRPr="00DE4F2E">
        <w:t xml:space="preserve"> prohibition</w:t>
      </w:r>
      <w:r w:rsidR="003C2F5C">
        <w:t xml:space="preserve"> in Rule 20</w:t>
      </w:r>
      <w:r w:rsidRPr="00DE4F2E">
        <w:t xml:space="preserve"> on </w:t>
      </w:r>
      <w:proofErr w:type="gramStart"/>
      <w:r w:rsidRPr="00DE4F2E">
        <w:t>personal opinions</w:t>
      </w:r>
      <w:proofErr w:type="gramEnd"/>
      <w:r w:rsidRPr="00DE4F2E">
        <w:t xml:space="preserve"> ensures impartiality, while correction duties (Rule 22) and authority disclosures (Rule 25) rationally promote </w:t>
      </w:r>
      <w:r w:rsidR="003C2F5C">
        <w:t>honest and fair</w:t>
      </w:r>
      <w:r w:rsidRPr="00DE4F2E">
        <w:t xml:space="preserve"> advocacy, preventing </w:t>
      </w:r>
      <w:proofErr w:type="gramStart"/>
      <w:r w:rsidRPr="00DE4F2E">
        <w:t>miscarriages of justice</w:t>
      </w:r>
      <w:proofErr w:type="gramEnd"/>
      <w:r w:rsidRPr="00DE4F2E">
        <w:t xml:space="preserve"> without broader </w:t>
      </w:r>
      <w:r w:rsidR="003C2F5C">
        <w:t xml:space="preserve">incursion on </w:t>
      </w:r>
      <w:r w:rsidRPr="00DE4F2E">
        <w:t>speech.</w:t>
      </w:r>
    </w:p>
    <w:p w14:paraId="6416CC16" w14:textId="77777777" w:rsidR="00DE4F2E" w:rsidRDefault="00DE4F2E" w:rsidP="00DE4F2E">
      <w:pPr>
        <w:jc w:val="both"/>
        <w:rPr>
          <w:b/>
          <w:bCs/>
        </w:rPr>
      </w:pPr>
    </w:p>
    <w:p w14:paraId="7A5B3B61" w14:textId="6D21F947" w:rsidR="00DE4F2E" w:rsidRDefault="00DE4F2E" w:rsidP="00DE4F2E">
      <w:pPr>
        <w:jc w:val="both"/>
        <w:rPr>
          <w:i/>
          <w:iCs/>
        </w:rPr>
      </w:pPr>
      <w:r w:rsidRPr="00DE4F2E">
        <w:rPr>
          <w:i/>
          <w:iCs/>
        </w:rPr>
        <w:lastRenderedPageBreak/>
        <w:t>Proportionality (s</w:t>
      </w:r>
      <w:r w:rsidR="007307B5">
        <w:rPr>
          <w:i/>
          <w:iCs/>
        </w:rPr>
        <w:t xml:space="preserve"> </w:t>
      </w:r>
      <w:r w:rsidRPr="00DE4F2E">
        <w:rPr>
          <w:i/>
          <w:iCs/>
        </w:rPr>
        <w:t>28(2)(e))</w:t>
      </w:r>
    </w:p>
    <w:p w14:paraId="59C6BF7D" w14:textId="77777777" w:rsidR="003C2F5C" w:rsidRPr="00DE4F2E" w:rsidRDefault="003C2F5C" w:rsidP="00DE4F2E">
      <w:pPr>
        <w:jc w:val="both"/>
        <w:rPr>
          <w:i/>
          <w:iCs/>
        </w:rPr>
      </w:pPr>
    </w:p>
    <w:p w14:paraId="1901E3B0" w14:textId="455BF1EC" w:rsidR="00DE4F2E" w:rsidRPr="00DE4F2E" w:rsidRDefault="00DE4F2E" w:rsidP="00DE4F2E">
      <w:pPr>
        <w:jc w:val="both"/>
      </w:pPr>
      <w:r w:rsidRPr="00DE4F2E">
        <w:t>These limitations are proportionate, as they are narrowly tailored and</w:t>
      </w:r>
      <w:r w:rsidR="003C2F5C">
        <w:t xml:space="preserve"> the</w:t>
      </w:r>
      <w:r w:rsidRPr="00DE4F2E">
        <w:t xml:space="preserve"> least intrusive</w:t>
      </w:r>
      <w:r w:rsidR="003C2F5C">
        <w:t xml:space="preserve"> available</w:t>
      </w:r>
      <w:r w:rsidRPr="00DE4F2E">
        <w:t xml:space="preserve">. Rule 59 applies only to current/potential proceedings and permits </w:t>
      </w:r>
      <w:r w:rsidR="003C2F5C">
        <w:t xml:space="preserve">advice to a </w:t>
      </w:r>
      <w:r w:rsidRPr="00DE4F2E">
        <w:t>client on misleading reports (Rule 60)</w:t>
      </w:r>
      <w:r w:rsidR="003C2F5C">
        <w:t>. There are also</w:t>
      </w:r>
      <w:r w:rsidRPr="00DE4F2E">
        <w:t xml:space="preserve"> clear exceptions for pleadings and </w:t>
      </w:r>
      <w:r w:rsidR="003C2F5C">
        <w:t>matters ventilated in open court</w:t>
      </w:r>
      <w:r w:rsidRPr="00DE4F2E">
        <w:t xml:space="preserve"> (Rule 59(b)(i)-(v)). Rule 20 confines restrictions to </w:t>
      </w:r>
      <w:r w:rsidR="003C2F5C">
        <w:t>proceedings</w:t>
      </w:r>
      <w:r w:rsidRPr="00DE4F2E">
        <w:t>, while frankness rules allow corrections (Rule 2</w:t>
      </w:r>
      <w:r w:rsidR="005C469B">
        <w:t>2-23</w:t>
      </w:r>
      <w:r w:rsidRPr="00DE4F2E">
        <w:t>). No less restrictive means, such as voluntary codes, would reliably protect proceedings</w:t>
      </w:r>
      <w:r w:rsidR="005C469B">
        <w:t>. These Rules</w:t>
      </w:r>
      <w:r w:rsidRPr="00DE4F2E">
        <w:t xml:space="preserve"> align with common law contempt principles and are standard </w:t>
      </w:r>
      <w:r w:rsidR="005C469B">
        <w:t>across</w:t>
      </w:r>
      <w:r w:rsidRPr="00DE4F2E">
        <w:t xml:space="preserve"> Australian </w:t>
      </w:r>
      <w:proofErr w:type="gramStart"/>
      <w:r w:rsidRPr="00DE4F2E">
        <w:t>jurisdictions</w:t>
      </w:r>
      <w:proofErr w:type="gramEnd"/>
      <w:r w:rsidRPr="00DE4F2E">
        <w:t>, balancing expression with integrity through specific, context-limited constraints.</w:t>
      </w:r>
    </w:p>
    <w:p w14:paraId="0F2BF712" w14:textId="77777777" w:rsidR="00DE4F2E" w:rsidRDefault="00DE4F2E" w:rsidP="00DE4F2E">
      <w:pPr>
        <w:jc w:val="both"/>
        <w:rPr>
          <w:b/>
          <w:bCs/>
        </w:rPr>
      </w:pPr>
    </w:p>
    <w:p w14:paraId="1E59E9A5" w14:textId="11A0FEAF" w:rsidR="00E569AE" w:rsidRPr="00B43C60" w:rsidRDefault="00E569AE" w:rsidP="00E569AE">
      <w:pPr>
        <w:jc w:val="both"/>
      </w:pPr>
    </w:p>
    <w:sectPr w:rsidR="00E569AE" w:rsidRPr="00B43C60" w:rsidSect="00C1618B">
      <w:headerReference w:type="even" r:id="rId11"/>
      <w:headerReference w:type="default" r:id="rId12"/>
      <w:footerReference w:type="even" r:id="rId13"/>
      <w:footerReference w:type="default" r:id="rId14"/>
      <w:headerReference w:type="first" r:id="rId15"/>
      <w:footerReference w:type="first" r:id="rId16"/>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930AD" w14:textId="77777777" w:rsidR="00B442F7" w:rsidRDefault="00B442F7" w:rsidP="006815C9">
      <w:r>
        <w:separator/>
      </w:r>
    </w:p>
  </w:endnote>
  <w:endnote w:type="continuationSeparator" w:id="0">
    <w:p w14:paraId="071D3869" w14:textId="77777777" w:rsidR="00B442F7" w:rsidRDefault="00B442F7" w:rsidP="0068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CCDB" w14:textId="77777777" w:rsidR="00757FF9" w:rsidRDefault="00757F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1E1C" w14:textId="06FC8CF9" w:rsidR="00757FF9" w:rsidRPr="007B6276" w:rsidRDefault="007B6276" w:rsidP="007B6276">
    <w:pPr>
      <w:pStyle w:val="Footer"/>
      <w:jc w:val="center"/>
      <w:rPr>
        <w:rFonts w:cs="Arial"/>
        <w:sz w:val="14"/>
        <w:szCs w:val="14"/>
      </w:rPr>
    </w:pPr>
    <w:r w:rsidRPr="007B6276">
      <w:rPr>
        <w:rFonts w:cs="Arial"/>
        <w:sz w:val="14"/>
        <w:szCs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ED1E" w14:textId="77777777" w:rsidR="00757FF9" w:rsidRDefault="00757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534EA" w14:textId="77777777" w:rsidR="00B442F7" w:rsidRDefault="00B442F7" w:rsidP="006815C9">
      <w:r>
        <w:separator/>
      </w:r>
    </w:p>
  </w:footnote>
  <w:footnote w:type="continuationSeparator" w:id="0">
    <w:p w14:paraId="64036AB1" w14:textId="77777777" w:rsidR="00B442F7" w:rsidRDefault="00B442F7" w:rsidP="0068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AD5B" w14:textId="77777777" w:rsidR="00757FF9" w:rsidRDefault="00757F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5ADA" w14:textId="77777777" w:rsidR="00091D34" w:rsidRDefault="00091D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3843" w14:textId="77777777" w:rsidR="00757FF9" w:rsidRDefault="00757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3313A0A"/>
    <w:multiLevelType w:val="hybridMultilevel"/>
    <w:tmpl w:val="8594F5DA"/>
    <w:lvl w:ilvl="0" w:tplc="335CC698">
      <w:start w:val="1"/>
      <w:numFmt w:val="bullet"/>
      <w:lvlText w:val=""/>
      <w:lvlJc w:val="left"/>
      <w:pPr>
        <w:ind w:left="720" w:hanging="360"/>
      </w:pPr>
      <w:rPr>
        <w:rFonts w:ascii="Symbol" w:hAnsi="Symbol" w:hint="default"/>
      </w:rPr>
    </w:lvl>
    <w:lvl w:ilvl="1" w:tplc="4AC86370">
      <w:start w:val="1"/>
      <w:numFmt w:val="bullet"/>
      <w:lvlText w:val="o"/>
      <w:lvlJc w:val="left"/>
      <w:pPr>
        <w:ind w:left="1440" w:hanging="360"/>
      </w:pPr>
      <w:rPr>
        <w:rFonts w:ascii="Courier New" w:hAnsi="Courier New" w:hint="default"/>
      </w:rPr>
    </w:lvl>
    <w:lvl w:ilvl="2" w:tplc="3DFC71B0">
      <w:start w:val="1"/>
      <w:numFmt w:val="bullet"/>
      <w:lvlText w:val=""/>
      <w:lvlJc w:val="left"/>
      <w:pPr>
        <w:ind w:left="2160" w:hanging="360"/>
      </w:pPr>
      <w:rPr>
        <w:rFonts w:ascii="Wingdings" w:hAnsi="Wingdings" w:hint="default"/>
      </w:rPr>
    </w:lvl>
    <w:lvl w:ilvl="3" w:tplc="DF6A83F0">
      <w:start w:val="1"/>
      <w:numFmt w:val="bullet"/>
      <w:lvlText w:val=""/>
      <w:lvlJc w:val="left"/>
      <w:pPr>
        <w:ind w:left="2880" w:hanging="360"/>
      </w:pPr>
      <w:rPr>
        <w:rFonts w:ascii="Symbol" w:hAnsi="Symbol" w:hint="default"/>
      </w:rPr>
    </w:lvl>
    <w:lvl w:ilvl="4" w:tplc="2F9E43C6">
      <w:start w:val="1"/>
      <w:numFmt w:val="bullet"/>
      <w:lvlText w:val="o"/>
      <w:lvlJc w:val="left"/>
      <w:pPr>
        <w:ind w:left="3600" w:hanging="360"/>
      </w:pPr>
      <w:rPr>
        <w:rFonts w:ascii="Courier New" w:hAnsi="Courier New" w:hint="default"/>
      </w:rPr>
    </w:lvl>
    <w:lvl w:ilvl="5" w:tplc="57C814AA">
      <w:start w:val="1"/>
      <w:numFmt w:val="bullet"/>
      <w:lvlText w:val=""/>
      <w:lvlJc w:val="left"/>
      <w:pPr>
        <w:ind w:left="4320" w:hanging="360"/>
      </w:pPr>
      <w:rPr>
        <w:rFonts w:ascii="Wingdings" w:hAnsi="Wingdings" w:hint="default"/>
      </w:rPr>
    </w:lvl>
    <w:lvl w:ilvl="6" w:tplc="1354E84C">
      <w:start w:val="1"/>
      <w:numFmt w:val="bullet"/>
      <w:lvlText w:val=""/>
      <w:lvlJc w:val="left"/>
      <w:pPr>
        <w:ind w:left="5040" w:hanging="360"/>
      </w:pPr>
      <w:rPr>
        <w:rFonts w:ascii="Symbol" w:hAnsi="Symbol" w:hint="default"/>
      </w:rPr>
    </w:lvl>
    <w:lvl w:ilvl="7" w:tplc="710EC5CE">
      <w:start w:val="1"/>
      <w:numFmt w:val="bullet"/>
      <w:lvlText w:val="o"/>
      <w:lvlJc w:val="left"/>
      <w:pPr>
        <w:ind w:left="5760" w:hanging="360"/>
      </w:pPr>
      <w:rPr>
        <w:rFonts w:ascii="Courier New" w:hAnsi="Courier New" w:hint="default"/>
      </w:rPr>
    </w:lvl>
    <w:lvl w:ilvl="8" w:tplc="0016C39E">
      <w:start w:val="1"/>
      <w:numFmt w:val="bullet"/>
      <w:lvlText w:val=""/>
      <w:lvlJc w:val="left"/>
      <w:pPr>
        <w:ind w:left="6480" w:hanging="360"/>
      </w:pPr>
      <w:rPr>
        <w:rFonts w:ascii="Wingdings" w:hAnsi="Wingdings" w:hint="default"/>
      </w:rPr>
    </w:lvl>
  </w:abstractNum>
  <w:abstractNum w:abstractNumId="2" w15:restartNumberingAfterBreak="0">
    <w:nsid w:val="07FD1A7B"/>
    <w:multiLevelType w:val="hybridMultilevel"/>
    <w:tmpl w:val="FFFFFFFF"/>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A0A4658"/>
    <w:multiLevelType w:val="multilevel"/>
    <w:tmpl w:val="FFFFFFFF"/>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4" w15:restartNumberingAfterBreak="0">
    <w:nsid w:val="0FBF3D0F"/>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E42A36"/>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CB5F6A"/>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B30BB1"/>
    <w:multiLevelType w:val="hybridMultilevel"/>
    <w:tmpl w:val="642C442A"/>
    <w:lvl w:ilvl="0" w:tplc="F2BCD4BA">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F7878AF"/>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EC274B"/>
    <w:multiLevelType w:val="hybridMultilevel"/>
    <w:tmpl w:val="FFFFFFFF"/>
    <w:lvl w:ilvl="0" w:tplc="56241610">
      <w:start w:val="1"/>
      <w:numFmt w:val="bullet"/>
      <w:lvlText w:val=""/>
      <w:lvlJc w:val="left"/>
      <w:pPr>
        <w:ind w:left="360" w:hanging="360"/>
      </w:pPr>
      <w:rPr>
        <w:rFonts w:ascii="Symbol" w:hAnsi="Symbol" w:hint="default"/>
      </w:rPr>
    </w:lvl>
    <w:lvl w:ilvl="1" w:tplc="D9648458" w:tentative="1">
      <w:start w:val="1"/>
      <w:numFmt w:val="bullet"/>
      <w:lvlText w:val="o"/>
      <w:lvlJc w:val="left"/>
      <w:pPr>
        <w:ind w:left="1080" w:hanging="360"/>
      </w:pPr>
      <w:rPr>
        <w:rFonts w:ascii="Courier New" w:hAnsi="Courier New" w:hint="default"/>
      </w:rPr>
    </w:lvl>
    <w:lvl w:ilvl="2" w:tplc="C0EEFF4A" w:tentative="1">
      <w:start w:val="1"/>
      <w:numFmt w:val="bullet"/>
      <w:lvlText w:val=""/>
      <w:lvlJc w:val="left"/>
      <w:pPr>
        <w:ind w:left="1800" w:hanging="360"/>
      </w:pPr>
      <w:rPr>
        <w:rFonts w:ascii="Wingdings" w:hAnsi="Wingdings" w:hint="default"/>
      </w:rPr>
    </w:lvl>
    <w:lvl w:ilvl="3" w:tplc="3ED022D6" w:tentative="1">
      <w:start w:val="1"/>
      <w:numFmt w:val="bullet"/>
      <w:lvlText w:val=""/>
      <w:lvlJc w:val="left"/>
      <w:pPr>
        <w:ind w:left="2520" w:hanging="360"/>
      </w:pPr>
      <w:rPr>
        <w:rFonts w:ascii="Symbol" w:hAnsi="Symbol" w:hint="default"/>
      </w:rPr>
    </w:lvl>
    <w:lvl w:ilvl="4" w:tplc="DA8EF49C" w:tentative="1">
      <w:start w:val="1"/>
      <w:numFmt w:val="bullet"/>
      <w:lvlText w:val="o"/>
      <w:lvlJc w:val="left"/>
      <w:pPr>
        <w:ind w:left="3240" w:hanging="360"/>
      </w:pPr>
      <w:rPr>
        <w:rFonts w:ascii="Courier New" w:hAnsi="Courier New" w:hint="default"/>
      </w:rPr>
    </w:lvl>
    <w:lvl w:ilvl="5" w:tplc="CF64DB80" w:tentative="1">
      <w:start w:val="1"/>
      <w:numFmt w:val="bullet"/>
      <w:lvlText w:val=""/>
      <w:lvlJc w:val="left"/>
      <w:pPr>
        <w:ind w:left="3960" w:hanging="360"/>
      </w:pPr>
      <w:rPr>
        <w:rFonts w:ascii="Wingdings" w:hAnsi="Wingdings" w:hint="default"/>
      </w:rPr>
    </w:lvl>
    <w:lvl w:ilvl="6" w:tplc="8160E5B2" w:tentative="1">
      <w:start w:val="1"/>
      <w:numFmt w:val="bullet"/>
      <w:lvlText w:val=""/>
      <w:lvlJc w:val="left"/>
      <w:pPr>
        <w:ind w:left="4680" w:hanging="360"/>
      </w:pPr>
      <w:rPr>
        <w:rFonts w:ascii="Symbol" w:hAnsi="Symbol" w:hint="default"/>
      </w:rPr>
    </w:lvl>
    <w:lvl w:ilvl="7" w:tplc="67405ED8" w:tentative="1">
      <w:start w:val="1"/>
      <w:numFmt w:val="bullet"/>
      <w:lvlText w:val="o"/>
      <w:lvlJc w:val="left"/>
      <w:pPr>
        <w:ind w:left="5400" w:hanging="360"/>
      </w:pPr>
      <w:rPr>
        <w:rFonts w:ascii="Courier New" w:hAnsi="Courier New" w:hint="default"/>
      </w:rPr>
    </w:lvl>
    <w:lvl w:ilvl="8" w:tplc="FE94FE8E" w:tentative="1">
      <w:start w:val="1"/>
      <w:numFmt w:val="bullet"/>
      <w:lvlText w:val=""/>
      <w:lvlJc w:val="left"/>
      <w:pPr>
        <w:ind w:left="6120" w:hanging="360"/>
      </w:pPr>
      <w:rPr>
        <w:rFonts w:ascii="Wingdings" w:hAnsi="Wingdings" w:hint="default"/>
      </w:rPr>
    </w:lvl>
  </w:abstractNum>
  <w:abstractNum w:abstractNumId="10" w15:restartNumberingAfterBreak="0">
    <w:nsid w:val="34501507"/>
    <w:multiLevelType w:val="hybridMultilevel"/>
    <w:tmpl w:val="FFFFFFFF"/>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11" w15:restartNumberingAfterBreak="0">
    <w:nsid w:val="362F614E"/>
    <w:multiLevelType w:val="hybridMultilevel"/>
    <w:tmpl w:val="FFFFFFFF"/>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12" w15:restartNumberingAfterBreak="0">
    <w:nsid w:val="37086305"/>
    <w:multiLevelType w:val="singleLevel"/>
    <w:tmpl w:val="FFFFFFFF"/>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3" w15:restartNumberingAfterBreak="0">
    <w:nsid w:val="3DF11176"/>
    <w:multiLevelType w:val="hybridMultilevel"/>
    <w:tmpl w:val="80E0739C"/>
    <w:lvl w:ilvl="0" w:tplc="8102A69C">
      <w:start w:val="1"/>
      <w:numFmt w:val="bullet"/>
      <w:lvlText w:val=""/>
      <w:lvlJc w:val="left"/>
      <w:pPr>
        <w:ind w:left="720" w:hanging="360"/>
      </w:pPr>
      <w:rPr>
        <w:rFonts w:ascii="Symbol" w:hAnsi="Symbol" w:hint="default"/>
      </w:rPr>
    </w:lvl>
    <w:lvl w:ilvl="1" w:tplc="17268CB4">
      <w:start w:val="1"/>
      <w:numFmt w:val="bullet"/>
      <w:lvlText w:val="o"/>
      <w:lvlJc w:val="left"/>
      <w:pPr>
        <w:ind w:left="1440" w:hanging="360"/>
      </w:pPr>
      <w:rPr>
        <w:rFonts w:ascii="Courier New" w:hAnsi="Courier New" w:hint="default"/>
      </w:rPr>
    </w:lvl>
    <w:lvl w:ilvl="2" w:tplc="73D089A8">
      <w:start w:val="1"/>
      <w:numFmt w:val="bullet"/>
      <w:lvlText w:val=""/>
      <w:lvlJc w:val="left"/>
      <w:pPr>
        <w:ind w:left="2160" w:hanging="360"/>
      </w:pPr>
      <w:rPr>
        <w:rFonts w:ascii="Wingdings" w:hAnsi="Wingdings" w:hint="default"/>
      </w:rPr>
    </w:lvl>
    <w:lvl w:ilvl="3" w:tplc="556ED530">
      <w:start w:val="1"/>
      <w:numFmt w:val="bullet"/>
      <w:lvlText w:val=""/>
      <w:lvlJc w:val="left"/>
      <w:pPr>
        <w:ind w:left="2880" w:hanging="360"/>
      </w:pPr>
      <w:rPr>
        <w:rFonts w:ascii="Symbol" w:hAnsi="Symbol" w:hint="default"/>
      </w:rPr>
    </w:lvl>
    <w:lvl w:ilvl="4" w:tplc="0FD828E6">
      <w:start w:val="1"/>
      <w:numFmt w:val="bullet"/>
      <w:lvlText w:val="o"/>
      <w:lvlJc w:val="left"/>
      <w:pPr>
        <w:ind w:left="3600" w:hanging="360"/>
      </w:pPr>
      <w:rPr>
        <w:rFonts w:ascii="Courier New" w:hAnsi="Courier New" w:hint="default"/>
      </w:rPr>
    </w:lvl>
    <w:lvl w:ilvl="5" w:tplc="62105DA4">
      <w:start w:val="1"/>
      <w:numFmt w:val="bullet"/>
      <w:lvlText w:val=""/>
      <w:lvlJc w:val="left"/>
      <w:pPr>
        <w:ind w:left="4320" w:hanging="360"/>
      </w:pPr>
      <w:rPr>
        <w:rFonts w:ascii="Wingdings" w:hAnsi="Wingdings" w:hint="default"/>
      </w:rPr>
    </w:lvl>
    <w:lvl w:ilvl="6" w:tplc="CF080132">
      <w:start w:val="1"/>
      <w:numFmt w:val="bullet"/>
      <w:lvlText w:val=""/>
      <w:lvlJc w:val="left"/>
      <w:pPr>
        <w:ind w:left="5040" w:hanging="360"/>
      </w:pPr>
      <w:rPr>
        <w:rFonts w:ascii="Symbol" w:hAnsi="Symbol" w:hint="default"/>
      </w:rPr>
    </w:lvl>
    <w:lvl w:ilvl="7" w:tplc="2FC85B76">
      <w:start w:val="1"/>
      <w:numFmt w:val="bullet"/>
      <w:lvlText w:val="o"/>
      <w:lvlJc w:val="left"/>
      <w:pPr>
        <w:ind w:left="5760" w:hanging="360"/>
      </w:pPr>
      <w:rPr>
        <w:rFonts w:ascii="Courier New" w:hAnsi="Courier New" w:hint="default"/>
      </w:rPr>
    </w:lvl>
    <w:lvl w:ilvl="8" w:tplc="14568F98">
      <w:start w:val="1"/>
      <w:numFmt w:val="bullet"/>
      <w:lvlText w:val=""/>
      <w:lvlJc w:val="left"/>
      <w:pPr>
        <w:ind w:left="6480" w:hanging="360"/>
      </w:pPr>
      <w:rPr>
        <w:rFonts w:ascii="Wingdings" w:hAnsi="Wingdings" w:hint="default"/>
      </w:rPr>
    </w:lvl>
  </w:abstractNum>
  <w:abstractNum w:abstractNumId="14" w15:restartNumberingAfterBreak="0">
    <w:nsid w:val="4048528D"/>
    <w:multiLevelType w:val="multilevel"/>
    <w:tmpl w:val="3EE2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76150"/>
    <w:multiLevelType w:val="hybridMultilevel"/>
    <w:tmpl w:val="FFFFFFFF"/>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6" w15:restartNumberingAfterBreak="0">
    <w:nsid w:val="563454CF"/>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17" w15:restartNumberingAfterBreak="0">
    <w:nsid w:val="5EF35D38"/>
    <w:multiLevelType w:val="hybridMultilevel"/>
    <w:tmpl w:val="DDB2ABDE"/>
    <w:lvl w:ilvl="0" w:tplc="8306DD00">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F1E443A"/>
    <w:multiLevelType w:val="hybridMultilevel"/>
    <w:tmpl w:val="6CBAA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F6C2A1"/>
    <w:multiLevelType w:val="hybridMultilevel"/>
    <w:tmpl w:val="4C92081A"/>
    <w:lvl w:ilvl="0" w:tplc="07FCC316">
      <w:start w:val="1"/>
      <w:numFmt w:val="bullet"/>
      <w:lvlText w:val=""/>
      <w:lvlJc w:val="left"/>
      <w:pPr>
        <w:ind w:left="720" w:hanging="360"/>
      </w:pPr>
      <w:rPr>
        <w:rFonts w:ascii="Symbol" w:hAnsi="Symbol" w:hint="default"/>
      </w:rPr>
    </w:lvl>
    <w:lvl w:ilvl="1" w:tplc="A358ECB0">
      <w:start w:val="1"/>
      <w:numFmt w:val="bullet"/>
      <w:lvlText w:val="o"/>
      <w:lvlJc w:val="left"/>
      <w:pPr>
        <w:ind w:left="1440" w:hanging="360"/>
      </w:pPr>
      <w:rPr>
        <w:rFonts w:ascii="Courier New" w:hAnsi="Courier New" w:hint="default"/>
      </w:rPr>
    </w:lvl>
    <w:lvl w:ilvl="2" w:tplc="DEFADEDA">
      <w:start w:val="1"/>
      <w:numFmt w:val="bullet"/>
      <w:lvlText w:val=""/>
      <w:lvlJc w:val="left"/>
      <w:pPr>
        <w:ind w:left="2160" w:hanging="360"/>
      </w:pPr>
      <w:rPr>
        <w:rFonts w:ascii="Wingdings" w:hAnsi="Wingdings" w:hint="default"/>
      </w:rPr>
    </w:lvl>
    <w:lvl w:ilvl="3" w:tplc="DE5E8058">
      <w:start w:val="1"/>
      <w:numFmt w:val="bullet"/>
      <w:lvlText w:val=""/>
      <w:lvlJc w:val="left"/>
      <w:pPr>
        <w:ind w:left="2880" w:hanging="360"/>
      </w:pPr>
      <w:rPr>
        <w:rFonts w:ascii="Symbol" w:hAnsi="Symbol" w:hint="default"/>
      </w:rPr>
    </w:lvl>
    <w:lvl w:ilvl="4" w:tplc="420AE0F0">
      <w:start w:val="1"/>
      <w:numFmt w:val="bullet"/>
      <w:lvlText w:val="o"/>
      <w:lvlJc w:val="left"/>
      <w:pPr>
        <w:ind w:left="3600" w:hanging="360"/>
      </w:pPr>
      <w:rPr>
        <w:rFonts w:ascii="Courier New" w:hAnsi="Courier New" w:hint="default"/>
      </w:rPr>
    </w:lvl>
    <w:lvl w:ilvl="5" w:tplc="E0D6F79C">
      <w:start w:val="1"/>
      <w:numFmt w:val="bullet"/>
      <w:lvlText w:val=""/>
      <w:lvlJc w:val="left"/>
      <w:pPr>
        <w:ind w:left="4320" w:hanging="360"/>
      </w:pPr>
      <w:rPr>
        <w:rFonts w:ascii="Wingdings" w:hAnsi="Wingdings" w:hint="default"/>
      </w:rPr>
    </w:lvl>
    <w:lvl w:ilvl="6" w:tplc="D9ECD354">
      <w:start w:val="1"/>
      <w:numFmt w:val="bullet"/>
      <w:lvlText w:val=""/>
      <w:lvlJc w:val="left"/>
      <w:pPr>
        <w:ind w:left="5040" w:hanging="360"/>
      </w:pPr>
      <w:rPr>
        <w:rFonts w:ascii="Symbol" w:hAnsi="Symbol" w:hint="default"/>
      </w:rPr>
    </w:lvl>
    <w:lvl w:ilvl="7" w:tplc="C3F29ECC">
      <w:start w:val="1"/>
      <w:numFmt w:val="bullet"/>
      <w:lvlText w:val="o"/>
      <w:lvlJc w:val="left"/>
      <w:pPr>
        <w:ind w:left="5760" w:hanging="360"/>
      </w:pPr>
      <w:rPr>
        <w:rFonts w:ascii="Courier New" w:hAnsi="Courier New" w:hint="default"/>
      </w:rPr>
    </w:lvl>
    <w:lvl w:ilvl="8" w:tplc="757E025A">
      <w:start w:val="1"/>
      <w:numFmt w:val="bullet"/>
      <w:lvlText w:val=""/>
      <w:lvlJc w:val="left"/>
      <w:pPr>
        <w:ind w:left="6480" w:hanging="360"/>
      </w:pPr>
      <w:rPr>
        <w:rFonts w:ascii="Wingdings" w:hAnsi="Wingdings" w:hint="default"/>
      </w:rPr>
    </w:lvl>
  </w:abstractNum>
  <w:abstractNum w:abstractNumId="20" w15:restartNumberingAfterBreak="0">
    <w:nsid w:val="68F71657"/>
    <w:multiLevelType w:val="hybridMultilevel"/>
    <w:tmpl w:val="9B4E6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9A50D7"/>
    <w:multiLevelType w:val="hybridMultilevel"/>
    <w:tmpl w:val="FFFFFFFF"/>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2" w15:restartNumberingAfterBreak="0">
    <w:nsid w:val="721426D6"/>
    <w:multiLevelType w:val="multilevel"/>
    <w:tmpl w:val="362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3CD30B"/>
    <w:multiLevelType w:val="hybridMultilevel"/>
    <w:tmpl w:val="9DF42EE2"/>
    <w:lvl w:ilvl="0" w:tplc="A364A80E">
      <w:start w:val="1"/>
      <w:numFmt w:val="bullet"/>
      <w:lvlText w:val=""/>
      <w:lvlJc w:val="left"/>
      <w:pPr>
        <w:ind w:left="360" w:hanging="360"/>
      </w:pPr>
      <w:rPr>
        <w:rFonts w:ascii="Symbol" w:hAnsi="Symbol" w:hint="default"/>
      </w:rPr>
    </w:lvl>
    <w:lvl w:ilvl="1" w:tplc="94AC18E8">
      <w:start w:val="1"/>
      <w:numFmt w:val="bullet"/>
      <w:lvlText w:val="o"/>
      <w:lvlJc w:val="left"/>
      <w:pPr>
        <w:ind w:left="1080" w:hanging="360"/>
      </w:pPr>
      <w:rPr>
        <w:rFonts w:ascii="Courier New" w:hAnsi="Courier New" w:hint="default"/>
      </w:rPr>
    </w:lvl>
    <w:lvl w:ilvl="2" w:tplc="BF42D8D6">
      <w:start w:val="1"/>
      <w:numFmt w:val="bullet"/>
      <w:lvlText w:val=""/>
      <w:lvlJc w:val="left"/>
      <w:pPr>
        <w:ind w:left="1800" w:hanging="360"/>
      </w:pPr>
      <w:rPr>
        <w:rFonts w:ascii="Wingdings" w:hAnsi="Wingdings" w:hint="default"/>
      </w:rPr>
    </w:lvl>
    <w:lvl w:ilvl="3" w:tplc="0B4A53B4">
      <w:start w:val="1"/>
      <w:numFmt w:val="bullet"/>
      <w:lvlText w:val=""/>
      <w:lvlJc w:val="left"/>
      <w:pPr>
        <w:ind w:left="2520" w:hanging="360"/>
      </w:pPr>
      <w:rPr>
        <w:rFonts w:ascii="Symbol" w:hAnsi="Symbol" w:hint="default"/>
      </w:rPr>
    </w:lvl>
    <w:lvl w:ilvl="4" w:tplc="AD063902">
      <w:start w:val="1"/>
      <w:numFmt w:val="bullet"/>
      <w:lvlText w:val="o"/>
      <w:lvlJc w:val="left"/>
      <w:pPr>
        <w:ind w:left="3240" w:hanging="360"/>
      </w:pPr>
      <w:rPr>
        <w:rFonts w:ascii="Courier New" w:hAnsi="Courier New" w:hint="default"/>
      </w:rPr>
    </w:lvl>
    <w:lvl w:ilvl="5" w:tplc="8B747D22">
      <w:start w:val="1"/>
      <w:numFmt w:val="bullet"/>
      <w:lvlText w:val=""/>
      <w:lvlJc w:val="left"/>
      <w:pPr>
        <w:ind w:left="3960" w:hanging="360"/>
      </w:pPr>
      <w:rPr>
        <w:rFonts w:ascii="Wingdings" w:hAnsi="Wingdings" w:hint="default"/>
      </w:rPr>
    </w:lvl>
    <w:lvl w:ilvl="6" w:tplc="0F0ED264">
      <w:start w:val="1"/>
      <w:numFmt w:val="bullet"/>
      <w:lvlText w:val=""/>
      <w:lvlJc w:val="left"/>
      <w:pPr>
        <w:ind w:left="4680" w:hanging="360"/>
      </w:pPr>
      <w:rPr>
        <w:rFonts w:ascii="Symbol" w:hAnsi="Symbol" w:hint="default"/>
      </w:rPr>
    </w:lvl>
    <w:lvl w:ilvl="7" w:tplc="DF380ADC">
      <w:start w:val="1"/>
      <w:numFmt w:val="bullet"/>
      <w:lvlText w:val="o"/>
      <w:lvlJc w:val="left"/>
      <w:pPr>
        <w:ind w:left="5400" w:hanging="360"/>
      </w:pPr>
      <w:rPr>
        <w:rFonts w:ascii="Courier New" w:hAnsi="Courier New" w:hint="default"/>
      </w:rPr>
    </w:lvl>
    <w:lvl w:ilvl="8" w:tplc="E83E15A4">
      <w:start w:val="1"/>
      <w:numFmt w:val="bullet"/>
      <w:lvlText w:val=""/>
      <w:lvlJc w:val="left"/>
      <w:pPr>
        <w:ind w:left="6120" w:hanging="360"/>
      </w:pPr>
      <w:rPr>
        <w:rFonts w:ascii="Wingdings" w:hAnsi="Wingdings" w:hint="default"/>
      </w:rPr>
    </w:lvl>
  </w:abstractNum>
  <w:abstractNum w:abstractNumId="24" w15:restartNumberingAfterBreak="0">
    <w:nsid w:val="786A54F4"/>
    <w:multiLevelType w:val="multilevel"/>
    <w:tmpl w:val="AFC8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723314"/>
    <w:multiLevelType w:val="hybridMultilevel"/>
    <w:tmpl w:val="292AAD1A"/>
    <w:lvl w:ilvl="0" w:tplc="35B827CE">
      <w:start w:val="1"/>
      <w:numFmt w:val="bullet"/>
      <w:lvlText w:val=""/>
      <w:lvlJc w:val="left"/>
      <w:pPr>
        <w:ind w:left="360" w:hanging="360"/>
      </w:pPr>
      <w:rPr>
        <w:rFonts w:ascii="Symbol" w:hAnsi="Symbol" w:hint="default"/>
      </w:rPr>
    </w:lvl>
    <w:lvl w:ilvl="1" w:tplc="89086E68" w:tentative="1">
      <w:start w:val="1"/>
      <w:numFmt w:val="bullet"/>
      <w:lvlText w:val="o"/>
      <w:lvlJc w:val="left"/>
      <w:pPr>
        <w:ind w:left="1080" w:hanging="360"/>
      </w:pPr>
      <w:rPr>
        <w:rFonts w:ascii="Courier New" w:hAnsi="Courier New" w:hint="default"/>
      </w:rPr>
    </w:lvl>
    <w:lvl w:ilvl="2" w:tplc="E862B35C" w:tentative="1">
      <w:start w:val="1"/>
      <w:numFmt w:val="bullet"/>
      <w:lvlText w:val=""/>
      <w:lvlJc w:val="left"/>
      <w:pPr>
        <w:ind w:left="1800" w:hanging="360"/>
      </w:pPr>
      <w:rPr>
        <w:rFonts w:ascii="Wingdings" w:hAnsi="Wingdings" w:hint="default"/>
      </w:rPr>
    </w:lvl>
    <w:lvl w:ilvl="3" w:tplc="720485B0" w:tentative="1">
      <w:start w:val="1"/>
      <w:numFmt w:val="bullet"/>
      <w:lvlText w:val=""/>
      <w:lvlJc w:val="left"/>
      <w:pPr>
        <w:ind w:left="2520" w:hanging="360"/>
      </w:pPr>
      <w:rPr>
        <w:rFonts w:ascii="Symbol" w:hAnsi="Symbol" w:hint="default"/>
      </w:rPr>
    </w:lvl>
    <w:lvl w:ilvl="4" w:tplc="2E6EA602" w:tentative="1">
      <w:start w:val="1"/>
      <w:numFmt w:val="bullet"/>
      <w:lvlText w:val="o"/>
      <w:lvlJc w:val="left"/>
      <w:pPr>
        <w:ind w:left="3240" w:hanging="360"/>
      </w:pPr>
      <w:rPr>
        <w:rFonts w:ascii="Courier New" w:hAnsi="Courier New" w:hint="default"/>
      </w:rPr>
    </w:lvl>
    <w:lvl w:ilvl="5" w:tplc="100E2A98" w:tentative="1">
      <w:start w:val="1"/>
      <w:numFmt w:val="bullet"/>
      <w:lvlText w:val=""/>
      <w:lvlJc w:val="left"/>
      <w:pPr>
        <w:ind w:left="3960" w:hanging="360"/>
      </w:pPr>
      <w:rPr>
        <w:rFonts w:ascii="Wingdings" w:hAnsi="Wingdings" w:hint="default"/>
      </w:rPr>
    </w:lvl>
    <w:lvl w:ilvl="6" w:tplc="5C2C9134" w:tentative="1">
      <w:start w:val="1"/>
      <w:numFmt w:val="bullet"/>
      <w:lvlText w:val=""/>
      <w:lvlJc w:val="left"/>
      <w:pPr>
        <w:ind w:left="4680" w:hanging="360"/>
      </w:pPr>
      <w:rPr>
        <w:rFonts w:ascii="Symbol" w:hAnsi="Symbol" w:hint="default"/>
      </w:rPr>
    </w:lvl>
    <w:lvl w:ilvl="7" w:tplc="EB8AB890" w:tentative="1">
      <w:start w:val="1"/>
      <w:numFmt w:val="bullet"/>
      <w:lvlText w:val="o"/>
      <w:lvlJc w:val="left"/>
      <w:pPr>
        <w:ind w:left="5400" w:hanging="360"/>
      </w:pPr>
      <w:rPr>
        <w:rFonts w:ascii="Courier New" w:hAnsi="Courier New" w:hint="default"/>
      </w:rPr>
    </w:lvl>
    <w:lvl w:ilvl="8" w:tplc="1BCE0B10" w:tentative="1">
      <w:start w:val="1"/>
      <w:numFmt w:val="bullet"/>
      <w:lvlText w:val=""/>
      <w:lvlJc w:val="left"/>
      <w:pPr>
        <w:ind w:left="6120" w:hanging="360"/>
      </w:pPr>
      <w:rPr>
        <w:rFonts w:ascii="Wingdings" w:hAnsi="Wingdings" w:hint="default"/>
      </w:rPr>
    </w:lvl>
  </w:abstractNum>
  <w:num w:numId="1" w16cid:durableId="642659036">
    <w:abstractNumId w:val="1"/>
  </w:num>
  <w:num w:numId="2" w16cid:durableId="1098604596">
    <w:abstractNumId w:val="19"/>
  </w:num>
  <w:num w:numId="3" w16cid:durableId="316106371">
    <w:abstractNumId w:val="23"/>
  </w:num>
  <w:num w:numId="4" w16cid:durableId="151220968">
    <w:abstractNumId w:val="13"/>
  </w:num>
  <w:num w:numId="5" w16cid:durableId="593323143">
    <w:abstractNumId w:val="3"/>
  </w:num>
  <w:num w:numId="6" w16cid:durableId="1446659601">
    <w:abstractNumId w:val="0"/>
  </w:num>
  <w:num w:numId="7" w16cid:durableId="836068545">
    <w:abstractNumId w:val="4"/>
  </w:num>
  <w:num w:numId="8" w16cid:durableId="182983487">
    <w:abstractNumId w:val="12"/>
  </w:num>
  <w:num w:numId="9" w16cid:durableId="2141607497">
    <w:abstractNumId w:val="21"/>
  </w:num>
  <w:num w:numId="10" w16cid:durableId="95563776">
    <w:abstractNumId w:val="2"/>
  </w:num>
  <w:num w:numId="11" w16cid:durableId="858082112">
    <w:abstractNumId w:val="10"/>
  </w:num>
  <w:num w:numId="12" w16cid:durableId="659505217">
    <w:abstractNumId w:val="11"/>
  </w:num>
  <w:num w:numId="13" w16cid:durableId="995719071">
    <w:abstractNumId w:val="16"/>
  </w:num>
  <w:num w:numId="14" w16cid:durableId="1798570573">
    <w:abstractNumId w:val="6"/>
  </w:num>
  <w:num w:numId="15" w16cid:durableId="2038844049">
    <w:abstractNumId w:val="25"/>
  </w:num>
  <w:num w:numId="16" w16cid:durableId="1422946834">
    <w:abstractNumId w:val="9"/>
  </w:num>
  <w:num w:numId="17" w16cid:durableId="1786264559">
    <w:abstractNumId w:val="5"/>
  </w:num>
  <w:num w:numId="18" w16cid:durableId="2127195544">
    <w:abstractNumId w:val="8"/>
  </w:num>
  <w:num w:numId="19" w16cid:durableId="1037319993">
    <w:abstractNumId w:val="15"/>
  </w:num>
  <w:num w:numId="20" w16cid:durableId="1907375674">
    <w:abstractNumId w:val="7"/>
  </w:num>
  <w:num w:numId="21" w16cid:durableId="623391606">
    <w:abstractNumId w:val="20"/>
  </w:num>
  <w:num w:numId="22" w16cid:durableId="1174493639">
    <w:abstractNumId w:val="18"/>
  </w:num>
  <w:num w:numId="23" w16cid:durableId="2072804375">
    <w:abstractNumId w:val="17"/>
  </w:num>
  <w:num w:numId="24" w16cid:durableId="1522890537">
    <w:abstractNumId w:val="24"/>
  </w:num>
  <w:num w:numId="25" w16cid:durableId="1044523947">
    <w:abstractNumId w:val="14"/>
  </w:num>
  <w:num w:numId="26" w16cid:durableId="10225899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71D"/>
    <w:rsid w:val="00013440"/>
    <w:rsid w:val="00020953"/>
    <w:rsid w:val="000253A4"/>
    <w:rsid w:val="00040E22"/>
    <w:rsid w:val="000425B5"/>
    <w:rsid w:val="00046238"/>
    <w:rsid w:val="00050444"/>
    <w:rsid w:val="0005191E"/>
    <w:rsid w:val="00057A30"/>
    <w:rsid w:val="00091D34"/>
    <w:rsid w:val="000A266E"/>
    <w:rsid w:val="000A6F77"/>
    <w:rsid w:val="000B7788"/>
    <w:rsid w:val="000C548D"/>
    <w:rsid w:val="000C55DC"/>
    <w:rsid w:val="000E3CEE"/>
    <w:rsid w:val="000F17B9"/>
    <w:rsid w:val="000F4514"/>
    <w:rsid w:val="001026BC"/>
    <w:rsid w:val="00113E10"/>
    <w:rsid w:val="00114705"/>
    <w:rsid w:val="00126D4A"/>
    <w:rsid w:val="0013197B"/>
    <w:rsid w:val="001335D2"/>
    <w:rsid w:val="00136271"/>
    <w:rsid w:val="0015707F"/>
    <w:rsid w:val="001756B2"/>
    <w:rsid w:val="00195CAE"/>
    <w:rsid w:val="001A0532"/>
    <w:rsid w:val="001A35F1"/>
    <w:rsid w:val="001A7174"/>
    <w:rsid w:val="001B18EA"/>
    <w:rsid w:val="001B56C9"/>
    <w:rsid w:val="001C31C8"/>
    <w:rsid w:val="001C50F2"/>
    <w:rsid w:val="001D6CA5"/>
    <w:rsid w:val="001F5B29"/>
    <w:rsid w:val="00202146"/>
    <w:rsid w:val="00207FC6"/>
    <w:rsid w:val="002211A1"/>
    <w:rsid w:val="00235828"/>
    <w:rsid w:val="0024378E"/>
    <w:rsid w:val="002478AA"/>
    <w:rsid w:val="0025730E"/>
    <w:rsid w:val="0027428C"/>
    <w:rsid w:val="0028156A"/>
    <w:rsid w:val="0028510B"/>
    <w:rsid w:val="00290C9D"/>
    <w:rsid w:val="002D1A7C"/>
    <w:rsid w:val="002F2228"/>
    <w:rsid w:val="00304367"/>
    <w:rsid w:val="00326092"/>
    <w:rsid w:val="00334D20"/>
    <w:rsid w:val="00360784"/>
    <w:rsid w:val="00361C67"/>
    <w:rsid w:val="00392884"/>
    <w:rsid w:val="00395398"/>
    <w:rsid w:val="003C2F5C"/>
    <w:rsid w:val="003D6234"/>
    <w:rsid w:val="003E3316"/>
    <w:rsid w:val="003F3F94"/>
    <w:rsid w:val="003F4FBD"/>
    <w:rsid w:val="00400586"/>
    <w:rsid w:val="00402964"/>
    <w:rsid w:val="00405F81"/>
    <w:rsid w:val="0042045E"/>
    <w:rsid w:val="00422421"/>
    <w:rsid w:val="00447638"/>
    <w:rsid w:val="004505F6"/>
    <w:rsid w:val="00469D7A"/>
    <w:rsid w:val="00476545"/>
    <w:rsid w:val="004842CC"/>
    <w:rsid w:val="004918CA"/>
    <w:rsid w:val="00493333"/>
    <w:rsid w:val="004A31A6"/>
    <w:rsid w:val="004A4D38"/>
    <w:rsid w:val="004B49F1"/>
    <w:rsid w:val="004C33B7"/>
    <w:rsid w:val="004C650C"/>
    <w:rsid w:val="0050625A"/>
    <w:rsid w:val="00506437"/>
    <w:rsid w:val="00516235"/>
    <w:rsid w:val="0052160A"/>
    <w:rsid w:val="00552F56"/>
    <w:rsid w:val="005675F8"/>
    <w:rsid w:val="00570936"/>
    <w:rsid w:val="00571235"/>
    <w:rsid w:val="005727E4"/>
    <w:rsid w:val="00590E7F"/>
    <w:rsid w:val="005A5486"/>
    <w:rsid w:val="005A7336"/>
    <w:rsid w:val="005B1C91"/>
    <w:rsid w:val="005C2220"/>
    <w:rsid w:val="005C37EB"/>
    <w:rsid w:val="005C469B"/>
    <w:rsid w:val="005E2FA4"/>
    <w:rsid w:val="00610E10"/>
    <w:rsid w:val="00617404"/>
    <w:rsid w:val="00620AC6"/>
    <w:rsid w:val="00623156"/>
    <w:rsid w:val="00626656"/>
    <w:rsid w:val="006354EF"/>
    <w:rsid w:val="00646E7D"/>
    <w:rsid w:val="00650402"/>
    <w:rsid w:val="00654DDC"/>
    <w:rsid w:val="00660323"/>
    <w:rsid w:val="006815C9"/>
    <w:rsid w:val="00682984"/>
    <w:rsid w:val="00695A49"/>
    <w:rsid w:val="00695B93"/>
    <w:rsid w:val="006B6625"/>
    <w:rsid w:val="006D62FF"/>
    <w:rsid w:val="006E4FC7"/>
    <w:rsid w:val="006E7A70"/>
    <w:rsid w:val="006F4C0D"/>
    <w:rsid w:val="006F6F43"/>
    <w:rsid w:val="00700C26"/>
    <w:rsid w:val="00701DEB"/>
    <w:rsid w:val="00720C84"/>
    <w:rsid w:val="0072783B"/>
    <w:rsid w:val="007307B5"/>
    <w:rsid w:val="0073544C"/>
    <w:rsid w:val="007370C2"/>
    <w:rsid w:val="00737551"/>
    <w:rsid w:val="00741448"/>
    <w:rsid w:val="007527E8"/>
    <w:rsid w:val="00757FF9"/>
    <w:rsid w:val="00774236"/>
    <w:rsid w:val="007834C7"/>
    <w:rsid w:val="00793769"/>
    <w:rsid w:val="00795A61"/>
    <w:rsid w:val="00797933"/>
    <w:rsid w:val="00797992"/>
    <w:rsid w:val="007A3521"/>
    <w:rsid w:val="007B3416"/>
    <w:rsid w:val="007B6276"/>
    <w:rsid w:val="007B742A"/>
    <w:rsid w:val="007C6858"/>
    <w:rsid w:val="007D2E43"/>
    <w:rsid w:val="007D5C58"/>
    <w:rsid w:val="007E2502"/>
    <w:rsid w:val="007F3FEA"/>
    <w:rsid w:val="00810DEF"/>
    <w:rsid w:val="008133E8"/>
    <w:rsid w:val="00815F22"/>
    <w:rsid w:val="0082125A"/>
    <w:rsid w:val="00830A48"/>
    <w:rsid w:val="00837309"/>
    <w:rsid w:val="0084039C"/>
    <w:rsid w:val="008451E5"/>
    <w:rsid w:val="008511EC"/>
    <w:rsid w:val="008635C1"/>
    <w:rsid w:val="00865EC3"/>
    <w:rsid w:val="00874AFF"/>
    <w:rsid w:val="00875309"/>
    <w:rsid w:val="0087556E"/>
    <w:rsid w:val="00882E6E"/>
    <w:rsid w:val="0088384E"/>
    <w:rsid w:val="008949D1"/>
    <w:rsid w:val="008A17F3"/>
    <w:rsid w:val="008B37BD"/>
    <w:rsid w:val="008C658B"/>
    <w:rsid w:val="008C66B4"/>
    <w:rsid w:val="008D66B8"/>
    <w:rsid w:val="008F0FB4"/>
    <w:rsid w:val="009006DA"/>
    <w:rsid w:val="009164A9"/>
    <w:rsid w:val="00922450"/>
    <w:rsid w:val="0093738E"/>
    <w:rsid w:val="009406F0"/>
    <w:rsid w:val="00953262"/>
    <w:rsid w:val="00963925"/>
    <w:rsid w:val="009754F0"/>
    <w:rsid w:val="00983C50"/>
    <w:rsid w:val="009845DC"/>
    <w:rsid w:val="00984A60"/>
    <w:rsid w:val="00985B67"/>
    <w:rsid w:val="009952AE"/>
    <w:rsid w:val="00995530"/>
    <w:rsid w:val="009A6121"/>
    <w:rsid w:val="009B4A7B"/>
    <w:rsid w:val="009B630A"/>
    <w:rsid w:val="009C7135"/>
    <w:rsid w:val="009D0546"/>
    <w:rsid w:val="009E18A9"/>
    <w:rsid w:val="009E1F15"/>
    <w:rsid w:val="009E7D52"/>
    <w:rsid w:val="00A04856"/>
    <w:rsid w:val="00A21F71"/>
    <w:rsid w:val="00A27A8A"/>
    <w:rsid w:val="00A44C83"/>
    <w:rsid w:val="00A50E82"/>
    <w:rsid w:val="00A5237D"/>
    <w:rsid w:val="00A55001"/>
    <w:rsid w:val="00A616AA"/>
    <w:rsid w:val="00A6794E"/>
    <w:rsid w:val="00A81D6F"/>
    <w:rsid w:val="00A843F2"/>
    <w:rsid w:val="00AA4A37"/>
    <w:rsid w:val="00AB1A08"/>
    <w:rsid w:val="00AC4577"/>
    <w:rsid w:val="00AC4DB5"/>
    <w:rsid w:val="00AC67B2"/>
    <w:rsid w:val="00B03299"/>
    <w:rsid w:val="00B11CC5"/>
    <w:rsid w:val="00B23B5C"/>
    <w:rsid w:val="00B254FA"/>
    <w:rsid w:val="00B3586C"/>
    <w:rsid w:val="00B43C60"/>
    <w:rsid w:val="00B442F7"/>
    <w:rsid w:val="00B450C0"/>
    <w:rsid w:val="00B459AF"/>
    <w:rsid w:val="00B50574"/>
    <w:rsid w:val="00B50A5B"/>
    <w:rsid w:val="00B57EC1"/>
    <w:rsid w:val="00B7386D"/>
    <w:rsid w:val="00B85EF1"/>
    <w:rsid w:val="00B92CEB"/>
    <w:rsid w:val="00B92D62"/>
    <w:rsid w:val="00BC51D0"/>
    <w:rsid w:val="00BC6EEB"/>
    <w:rsid w:val="00BD54E6"/>
    <w:rsid w:val="00BE377E"/>
    <w:rsid w:val="00C1618B"/>
    <w:rsid w:val="00C52493"/>
    <w:rsid w:val="00C63D4B"/>
    <w:rsid w:val="00C80674"/>
    <w:rsid w:val="00C83B78"/>
    <w:rsid w:val="00C87479"/>
    <w:rsid w:val="00C91F08"/>
    <w:rsid w:val="00CC0857"/>
    <w:rsid w:val="00CC5C4F"/>
    <w:rsid w:val="00CC6E74"/>
    <w:rsid w:val="00CD02CB"/>
    <w:rsid w:val="00CD5506"/>
    <w:rsid w:val="00CF2185"/>
    <w:rsid w:val="00D00669"/>
    <w:rsid w:val="00D156C1"/>
    <w:rsid w:val="00D15FC0"/>
    <w:rsid w:val="00D235AF"/>
    <w:rsid w:val="00D35BC1"/>
    <w:rsid w:val="00D43B96"/>
    <w:rsid w:val="00D4415E"/>
    <w:rsid w:val="00D47AA5"/>
    <w:rsid w:val="00D70F5C"/>
    <w:rsid w:val="00D734BD"/>
    <w:rsid w:val="00DB2E6D"/>
    <w:rsid w:val="00DB56B5"/>
    <w:rsid w:val="00DC2E27"/>
    <w:rsid w:val="00DC2F6A"/>
    <w:rsid w:val="00DC527F"/>
    <w:rsid w:val="00DD4A89"/>
    <w:rsid w:val="00DD718A"/>
    <w:rsid w:val="00DE4F2E"/>
    <w:rsid w:val="00DF2F86"/>
    <w:rsid w:val="00E06B1C"/>
    <w:rsid w:val="00E14437"/>
    <w:rsid w:val="00E23ADC"/>
    <w:rsid w:val="00E240F6"/>
    <w:rsid w:val="00E31040"/>
    <w:rsid w:val="00E569AE"/>
    <w:rsid w:val="00E56E7C"/>
    <w:rsid w:val="00E8098C"/>
    <w:rsid w:val="00E81AC7"/>
    <w:rsid w:val="00E96982"/>
    <w:rsid w:val="00EA7719"/>
    <w:rsid w:val="00ED5B98"/>
    <w:rsid w:val="00EE7F1C"/>
    <w:rsid w:val="00EF5806"/>
    <w:rsid w:val="00EF639A"/>
    <w:rsid w:val="00F01696"/>
    <w:rsid w:val="00F03687"/>
    <w:rsid w:val="00F11302"/>
    <w:rsid w:val="00F12249"/>
    <w:rsid w:val="00F15FB6"/>
    <w:rsid w:val="00F24ABB"/>
    <w:rsid w:val="00F30ECA"/>
    <w:rsid w:val="00F5207B"/>
    <w:rsid w:val="00F5371D"/>
    <w:rsid w:val="00F64D7A"/>
    <w:rsid w:val="00F7283A"/>
    <w:rsid w:val="00FA6CFC"/>
    <w:rsid w:val="00FB0197"/>
    <w:rsid w:val="00FB525D"/>
    <w:rsid w:val="00FC0915"/>
    <w:rsid w:val="00FE6478"/>
    <w:rsid w:val="00FE6A32"/>
    <w:rsid w:val="00FF4661"/>
    <w:rsid w:val="00FF5FFC"/>
    <w:rsid w:val="01096091"/>
    <w:rsid w:val="01F0281F"/>
    <w:rsid w:val="023BACB3"/>
    <w:rsid w:val="025BFBA7"/>
    <w:rsid w:val="0269AF18"/>
    <w:rsid w:val="0449E1FF"/>
    <w:rsid w:val="0475F37F"/>
    <w:rsid w:val="049A44C2"/>
    <w:rsid w:val="04C6C110"/>
    <w:rsid w:val="051478AA"/>
    <w:rsid w:val="051DF8EE"/>
    <w:rsid w:val="0577AC59"/>
    <w:rsid w:val="0594BBF5"/>
    <w:rsid w:val="05D5517C"/>
    <w:rsid w:val="05D85E70"/>
    <w:rsid w:val="07202029"/>
    <w:rsid w:val="0777690C"/>
    <w:rsid w:val="07FEFA09"/>
    <w:rsid w:val="08098C3A"/>
    <w:rsid w:val="08BBD6A0"/>
    <w:rsid w:val="09808A2A"/>
    <w:rsid w:val="09BFF382"/>
    <w:rsid w:val="0A116F2E"/>
    <w:rsid w:val="0A4DDC8F"/>
    <w:rsid w:val="0A6184EF"/>
    <w:rsid w:val="0AA9DF65"/>
    <w:rsid w:val="0AC2B459"/>
    <w:rsid w:val="0B05AB95"/>
    <w:rsid w:val="0B20AC98"/>
    <w:rsid w:val="0C47A2C6"/>
    <w:rsid w:val="0C6B0E69"/>
    <w:rsid w:val="0CFE65E3"/>
    <w:rsid w:val="0D59C96C"/>
    <w:rsid w:val="0E323063"/>
    <w:rsid w:val="0E639C51"/>
    <w:rsid w:val="0EF6BDD6"/>
    <w:rsid w:val="0EF971A8"/>
    <w:rsid w:val="0FF08D76"/>
    <w:rsid w:val="105848FB"/>
    <w:rsid w:val="108EAFB1"/>
    <w:rsid w:val="10A26828"/>
    <w:rsid w:val="1123584F"/>
    <w:rsid w:val="1151A170"/>
    <w:rsid w:val="11640BA4"/>
    <w:rsid w:val="1181033B"/>
    <w:rsid w:val="11A60964"/>
    <w:rsid w:val="11DD191A"/>
    <w:rsid w:val="121446B0"/>
    <w:rsid w:val="1223629E"/>
    <w:rsid w:val="129D8B9F"/>
    <w:rsid w:val="12FBF16A"/>
    <w:rsid w:val="1396A3BB"/>
    <w:rsid w:val="13D9F811"/>
    <w:rsid w:val="149F4D98"/>
    <w:rsid w:val="14F8E314"/>
    <w:rsid w:val="1506971B"/>
    <w:rsid w:val="15485A6A"/>
    <w:rsid w:val="156F48FC"/>
    <w:rsid w:val="15DFACD3"/>
    <w:rsid w:val="163735FB"/>
    <w:rsid w:val="1652D069"/>
    <w:rsid w:val="17D10FCA"/>
    <w:rsid w:val="18A0D452"/>
    <w:rsid w:val="195D4DD8"/>
    <w:rsid w:val="197F9E4C"/>
    <w:rsid w:val="1A292021"/>
    <w:rsid w:val="1A6A3FDC"/>
    <w:rsid w:val="1A706744"/>
    <w:rsid w:val="1A9D4920"/>
    <w:rsid w:val="1AB44F55"/>
    <w:rsid w:val="1AF90C46"/>
    <w:rsid w:val="1B67A63E"/>
    <w:rsid w:val="1B9EF039"/>
    <w:rsid w:val="1BD0C317"/>
    <w:rsid w:val="1C176AA6"/>
    <w:rsid w:val="1CBED97D"/>
    <w:rsid w:val="1D1B348B"/>
    <w:rsid w:val="1D45D9FD"/>
    <w:rsid w:val="1D99A024"/>
    <w:rsid w:val="1DBA33DD"/>
    <w:rsid w:val="1DE95BD4"/>
    <w:rsid w:val="1E13B54D"/>
    <w:rsid w:val="1ECE4CC5"/>
    <w:rsid w:val="1F59C8B5"/>
    <w:rsid w:val="1F97FB2D"/>
    <w:rsid w:val="1FC9B954"/>
    <w:rsid w:val="201C89DF"/>
    <w:rsid w:val="20873F69"/>
    <w:rsid w:val="20B1210F"/>
    <w:rsid w:val="20C0A172"/>
    <w:rsid w:val="20ED4162"/>
    <w:rsid w:val="20FF80CF"/>
    <w:rsid w:val="21CCBBF3"/>
    <w:rsid w:val="21DDD2F7"/>
    <w:rsid w:val="21EC8980"/>
    <w:rsid w:val="2266C50B"/>
    <w:rsid w:val="228AD8FB"/>
    <w:rsid w:val="22AB8EAC"/>
    <w:rsid w:val="22B538CB"/>
    <w:rsid w:val="22EC1187"/>
    <w:rsid w:val="2364B87E"/>
    <w:rsid w:val="23719851"/>
    <w:rsid w:val="2376867C"/>
    <w:rsid w:val="23776D04"/>
    <w:rsid w:val="23D5262B"/>
    <w:rsid w:val="24105FD0"/>
    <w:rsid w:val="243906AD"/>
    <w:rsid w:val="24825B86"/>
    <w:rsid w:val="24F82901"/>
    <w:rsid w:val="250F1C24"/>
    <w:rsid w:val="25265388"/>
    <w:rsid w:val="26140589"/>
    <w:rsid w:val="265B4571"/>
    <w:rsid w:val="26669A20"/>
    <w:rsid w:val="26916622"/>
    <w:rsid w:val="2739268B"/>
    <w:rsid w:val="2840369E"/>
    <w:rsid w:val="285AF214"/>
    <w:rsid w:val="28649507"/>
    <w:rsid w:val="28733C3C"/>
    <w:rsid w:val="28952953"/>
    <w:rsid w:val="28ED24A7"/>
    <w:rsid w:val="29205C8D"/>
    <w:rsid w:val="2941B531"/>
    <w:rsid w:val="29BBAF6E"/>
    <w:rsid w:val="2B03DC28"/>
    <w:rsid w:val="2B0E8330"/>
    <w:rsid w:val="2B2720FE"/>
    <w:rsid w:val="2B43D984"/>
    <w:rsid w:val="2B5DCA0A"/>
    <w:rsid w:val="2C4EEE7A"/>
    <w:rsid w:val="2C4EF2A1"/>
    <w:rsid w:val="2C8048B7"/>
    <w:rsid w:val="2C889259"/>
    <w:rsid w:val="2C97989A"/>
    <w:rsid w:val="2CB1AB9A"/>
    <w:rsid w:val="2D48C91C"/>
    <w:rsid w:val="2F068A8B"/>
    <w:rsid w:val="2F41C183"/>
    <w:rsid w:val="2F648396"/>
    <w:rsid w:val="2FDD6DFA"/>
    <w:rsid w:val="303E1B59"/>
    <w:rsid w:val="30BF92B3"/>
    <w:rsid w:val="30C2E7F2"/>
    <w:rsid w:val="31ABC46F"/>
    <w:rsid w:val="31CC4761"/>
    <w:rsid w:val="320FD69E"/>
    <w:rsid w:val="32310BA8"/>
    <w:rsid w:val="331AD0CC"/>
    <w:rsid w:val="33B10C15"/>
    <w:rsid w:val="33B4F2CF"/>
    <w:rsid w:val="33ED4627"/>
    <w:rsid w:val="34432618"/>
    <w:rsid w:val="34BBF34A"/>
    <w:rsid w:val="34D9BF8F"/>
    <w:rsid w:val="34DC81ED"/>
    <w:rsid w:val="358C338B"/>
    <w:rsid w:val="35CE137F"/>
    <w:rsid w:val="3613E35C"/>
    <w:rsid w:val="365192BE"/>
    <w:rsid w:val="36671259"/>
    <w:rsid w:val="368D3A02"/>
    <w:rsid w:val="3716FC10"/>
    <w:rsid w:val="373BE18C"/>
    <w:rsid w:val="37783B1D"/>
    <w:rsid w:val="378E9831"/>
    <w:rsid w:val="37CD637A"/>
    <w:rsid w:val="387B17F3"/>
    <w:rsid w:val="3964570E"/>
    <w:rsid w:val="398D6BE4"/>
    <w:rsid w:val="39AC65B3"/>
    <w:rsid w:val="39B9B624"/>
    <w:rsid w:val="3A226E2E"/>
    <w:rsid w:val="3AC62317"/>
    <w:rsid w:val="3AFC34C8"/>
    <w:rsid w:val="3B58A491"/>
    <w:rsid w:val="3B8107A5"/>
    <w:rsid w:val="3B9D93BE"/>
    <w:rsid w:val="3C83626C"/>
    <w:rsid w:val="3C9A359F"/>
    <w:rsid w:val="3CFEB698"/>
    <w:rsid w:val="3D317E58"/>
    <w:rsid w:val="3D3E162D"/>
    <w:rsid w:val="3D3EA3A2"/>
    <w:rsid w:val="3D927BFC"/>
    <w:rsid w:val="3D9C88C6"/>
    <w:rsid w:val="3E2A1043"/>
    <w:rsid w:val="3E9E0163"/>
    <w:rsid w:val="3EE1FF9D"/>
    <w:rsid w:val="3F141BE9"/>
    <w:rsid w:val="3F1FC9AB"/>
    <w:rsid w:val="3F23D6D6"/>
    <w:rsid w:val="3F35B119"/>
    <w:rsid w:val="3F36B545"/>
    <w:rsid w:val="3FB2A2D6"/>
    <w:rsid w:val="3FB632FA"/>
    <w:rsid w:val="40AA2C1C"/>
    <w:rsid w:val="40B0BA27"/>
    <w:rsid w:val="40DD620F"/>
    <w:rsid w:val="41144496"/>
    <w:rsid w:val="4139390D"/>
    <w:rsid w:val="414F6332"/>
    <w:rsid w:val="43299333"/>
    <w:rsid w:val="434B9600"/>
    <w:rsid w:val="4386538B"/>
    <w:rsid w:val="439EE62D"/>
    <w:rsid w:val="43E79662"/>
    <w:rsid w:val="4416C152"/>
    <w:rsid w:val="44247B89"/>
    <w:rsid w:val="447BDD4B"/>
    <w:rsid w:val="44A7EB20"/>
    <w:rsid w:val="44B508CF"/>
    <w:rsid w:val="44D99107"/>
    <w:rsid w:val="44EA7EAF"/>
    <w:rsid w:val="4516AE2C"/>
    <w:rsid w:val="4518E9DD"/>
    <w:rsid w:val="453B0498"/>
    <w:rsid w:val="45439656"/>
    <w:rsid w:val="4579FEC4"/>
    <w:rsid w:val="45D79EC7"/>
    <w:rsid w:val="46310453"/>
    <w:rsid w:val="46366459"/>
    <w:rsid w:val="4688E541"/>
    <w:rsid w:val="46C9717F"/>
    <w:rsid w:val="47307815"/>
    <w:rsid w:val="474A6650"/>
    <w:rsid w:val="475841AF"/>
    <w:rsid w:val="47A022D1"/>
    <w:rsid w:val="47D68E79"/>
    <w:rsid w:val="48105E31"/>
    <w:rsid w:val="4865BEA1"/>
    <w:rsid w:val="489B9995"/>
    <w:rsid w:val="48A2BDB7"/>
    <w:rsid w:val="49BA4659"/>
    <w:rsid w:val="49CFED1F"/>
    <w:rsid w:val="49F33188"/>
    <w:rsid w:val="4B5E6C73"/>
    <w:rsid w:val="4BA0FFB9"/>
    <w:rsid w:val="4BB77592"/>
    <w:rsid w:val="4C0E37FC"/>
    <w:rsid w:val="4C90232B"/>
    <w:rsid w:val="4C9633E8"/>
    <w:rsid w:val="4D78DDA1"/>
    <w:rsid w:val="4DAE1B34"/>
    <w:rsid w:val="4DF52378"/>
    <w:rsid w:val="4F9DD520"/>
    <w:rsid w:val="4FDD028B"/>
    <w:rsid w:val="4FEC912D"/>
    <w:rsid w:val="505024C2"/>
    <w:rsid w:val="5074065F"/>
    <w:rsid w:val="5090185C"/>
    <w:rsid w:val="515EE8A5"/>
    <w:rsid w:val="5160C0DB"/>
    <w:rsid w:val="519A0466"/>
    <w:rsid w:val="519DFE2C"/>
    <w:rsid w:val="5296E181"/>
    <w:rsid w:val="52B09A90"/>
    <w:rsid w:val="53397EB2"/>
    <w:rsid w:val="53A305BC"/>
    <w:rsid w:val="542AB041"/>
    <w:rsid w:val="54579660"/>
    <w:rsid w:val="546C8FA0"/>
    <w:rsid w:val="55524C21"/>
    <w:rsid w:val="556EC7C2"/>
    <w:rsid w:val="560EA76A"/>
    <w:rsid w:val="562BE420"/>
    <w:rsid w:val="56412820"/>
    <w:rsid w:val="56BE03D7"/>
    <w:rsid w:val="57596902"/>
    <w:rsid w:val="5778564F"/>
    <w:rsid w:val="57A619B4"/>
    <w:rsid w:val="57EEF275"/>
    <w:rsid w:val="583CBCAD"/>
    <w:rsid w:val="5862F5AC"/>
    <w:rsid w:val="58FA942F"/>
    <w:rsid w:val="59184AC8"/>
    <w:rsid w:val="591ED4C1"/>
    <w:rsid w:val="59777D8B"/>
    <w:rsid w:val="59921287"/>
    <w:rsid w:val="59AF138F"/>
    <w:rsid w:val="59CE6E8E"/>
    <w:rsid w:val="5AEEEE54"/>
    <w:rsid w:val="5B0B5141"/>
    <w:rsid w:val="5B475762"/>
    <w:rsid w:val="5B81D769"/>
    <w:rsid w:val="5BC16D17"/>
    <w:rsid w:val="5BF7ABF4"/>
    <w:rsid w:val="5C1D3B25"/>
    <w:rsid w:val="5C1F6CBA"/>
    <w:rsid w:val="5CD11C25"/>
    <w:rsid w:val="5D02996D"/>
    <w:rsid w:val="5DD61DD6"/>
    <w:rsid w:val="5E659EEF"/>
    <w:rsid w:val="5E6682A7"/>
    <w:rsid w:val="5EAF7F17"/>
    <w:rsid w:val="5ED81662"/>
    <w:rsid w:val="5F7F885B"/>
    <w:rsid w:val="5F952A90"/>
    <w:rsid w:val="5FBDF15D"/>
    <w:rsid w:val="5FCBA536"/>
    <w:rsid w:val="5FFB1589"/>
    <w:rsid w:val="60044FEC"/>
    <w:rsid w:val="60448CA0"/>
    <w:rsid w:val="60513B89"/>
    <w:rsid w:val="60E59285"/>
    <w:rsid w:val="60E82956"/>
    <w:rsid w:val="6125471A"/>
    <w:rsid w:val="6151D4A6"/>
    <w:rsid w:val="6182BD15"/>
    <w:rsid w:val="62EA6497"/>
    <w:rsid w:val="62F2DF80"/>
    <w:rsid w:val="633CD844"/>
    <w:rsid w:val="63740F1D"/>
    <w:rsid w:val="6432BE32"/>
    <w:rsid w:val="64406051"/>
    <w:rsid w:val="64B0ACB5"/>
    <w:rsid w:val="64D59CBE"/>
    <w:rsid w:val="64E815EB"/>
    <w:rsid w:val="64F2167A"/>
    <w:rsid w:val="64FE4F05"/>
    <w:rsid w:val="655436EA"/>
    <w:rsid w:val="65751D2D"/>
    <w:rsid w:val="65CA14A1"/>
    <w:rsid w:val="65CA5766"/>
    <w:rsid w:val="66B1FD3B"/>
    <w:rsid w:val="66B8A7BE"/>
    <w:rsid w:val="66FE9313"/>
    <w:rsid w:val="676E8733"/>
    <w:rsid w:val="67F68440"/>
    <w:rsid w:val="680FFBFA"/>
    <w:rsid w:val="686531F6"/>
    <w:rsid w:val="686B2CAB"/>
    <w:rsid w:val="6893155E"/>
    <w:rsid w:val="692D57B1"/>
    <w:rsid w:val="697B8088"/>
    <w:rsid w:val="69ED6484"/>
    <w:rsid w:val="69F731DD"/>
    <w:rsid w:val="69F97AA8"/>
    <w:rsid w:val="6A00E0E6"/>
    <w:rsid w:val="6A1AF18B"/>
    <w:rsid w:val="6A4E708B"/>
    <w:rsid w:val="6ABF7C4E"/>
    <w:rsid w:val="6AEFD57C"/>
    <w:rsid w:val="6AFC7D6A"/>
    <w:rsid w:val="6B1319ED"/>
    <w:rsid w:val="6B1575A0"/>
    <w:rsid w:val="6B19012F"/>
    <w:rsid w:val="6BD3F21C"/>
    <w:rsid w:val="6C02209C"/>
    <w:rsid w:val="6C14BEB3"/>
    <w:rsid w:val="6C18FC77"/>
    <w:rsid w:val="6C4F5F9A"/>
    <w:rsid w:val="6C8BBADD"/>
    <w:rsid w:val="6C8BE228"/>
    <w:rsid w:val="6D0B7327"/>
    <w:rsid w:val="6D0F2B0C"/>
    <w:rsid w:val="6D4A7041"/>
    <w:rsid w:val="6DEBA663"/>
    <w:rsid w:val="6E26388E"/>
    <w:rsid w:val="6E671A81"/>
    <w:rsid w:val="6EFF3588"/>
    <w:rsid w:val="6F280035"/>
    <w:rsid w:val="6FC51D01"/>
    <w:rsid w:val="6FF02055"/>
    <w:rsid w:val="708EF2A9"/>
    <w:rsid w:val="70AD606C"/>
    <w:rsid w:val="726F5076"/>
    <w:rsid w:val="7274B853"/>
    <w:rsid w:val="7282170A"/>
    <w:rsid w:val="72F0CFA7"/>
    <w:rsid w:val="73029FBC"/>
    <w:rsid w:val="7356062D"/>
    <w:rsid w:val="73D9BE30"/>
    <w:rsid w:val="7429EE11"/>
    <w:rsid w:val="744659D8"/>
    <w:rsid w:val="745B59C0"/>
    <w:rsid w:val="74D5972A"/>
    <w:rsid w:val="74DE4672"/>
    <w:rsid w:val="75458509"/>
    <w:rsid w:val="756CE39C"/>
    <w:rsid w:val="758F73EB"/>
    <w:rsid w:val="76791272"/>
    <w:rsid w:val="77F9382F"/>
    <w:rsid w:val="785F176A"/>
    <w:rsid w:val="78734453"/>
    <w:rsid w:val="787AE1B6"/>
    <w:rsid w:val="7888DEB2"/>
    <w:rsid w:val="78B91186"/>
    <w:rsid w:val="79721D47"/>
    <w:rsid w:val="79760C73"/>
    <w:rsid w:val="7982DFCB"/>
    <w:rsid w:val="79969E6F"/>
    <w:rsid w:val="79C46E90"/>
    <w:rsid w:val="79ED9BA7"/>
    <w:rsid w:val="7A3EAA0B"/>
    <w:rsid w:val="7A568674"/>
    <w:rsid w:val="7A72A525"/>
    <w:rsid w:val="7A76C452"/>
    <w:rsid w:val="7A856EE7"/>
    <w:rsid w:val="7AA73B7C"/>
    <w:rsid w:val="7B1F36A2"/>
    <w:rsid w:val="7B7C7E19"/>
    <w:rsid w:val="7BC97934"/>
    <w:rsid w:val="7BCC1C58"/>
    <w:rsid w:val="7C9F6DFE"/>
    <w:rsid w:val="7DA85974"/>
    <w:rsid w:val="7DAB9E2A"/>
    <w:rsid w:val="7DC7ADDD"/>
    <w:rsid w:val="7E6F12C2"/>
    <w:rsid w:val="7E7488CE"/>
    <w:rsid w:val="7E8C0C07"/>
    <w:rsid w:val="7E910170"/>
    <w:rsid w:val="7F0A3F12"/>
    <w:rsid w:val="7FDE3C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E2C25C"/>
  <w14:defaultImageDpi w14:val="0"/>
  <w15:docId w15:val="{722A1F02-D5AB-4C9E-B337-242B1D076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18B"/>
    <w:rPr>
      <w:sz w:val="24"/>
      <w:lang w:eastAsia="en-US"/>
    </w:rPr>
  </w:style>
  <w:style w:type="paragraph" w:styleId="Heading1">
    <w:name w:val="heading 1"/>
    <w:basedOn w:val="Normal"/>
    <w:next w:val="Normal"/>
    <w:link w:val="Heading1Char"/>
    <w:uiPriority w:val="9"/>
    <w:qFormat/>
    <w:rsid w:val="00C1618B"/>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C1618B"/>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C1618B"/>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C1618B"/>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rsid w:val="00C1618B"/>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semiHidden/>
    <w:rsid w:val="00C1618B"/>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rPr>
      <w:rFonts w:cs="Times New Roman"/>
      <w:sz w:val="24"/>
      <w:lang w:val="x-none" w:eastAsia="en-US"/>
    </w:rPr>
  </w:style>
  <w:style w:type="paragraph" w:customStyle="1" w:styleId="Billname">
    <w:name w:val="Billname"/>
    <w:basedOn w:val="Normal"/>
    <w:rsid w:val="00C1618B"/>
    <w:pPr>
      <w:tabs>
        <w:tab w:val="left" w:pos="2400"/>
        <w:tab w:val="left" w:pos="2880"/>
      </w:tabs>
      <w:spacing w:before="1220" w:after="100"/>
    </w:pPr>
    <w:rPr>
      <w:rFonts w:ascii="Arial" w:hAnsi="Arial"/>
      <w:b/>
      <w:sz w:val="40"/>
    </w:rPr>
  </w:style>
  <w:style w:type="paragraph" w:customStyle="1" w:styleId="Amain">
    <w:name w:val="A main"/>
    <w:basedOn w:val="Normal"/>
    <w:rsid w:val="00C1618B"/>
    <w:pPr>
      <w:tabs>
        <w:tab w:val="right" w:pos="500"/>
        <w:tab w:val="left" w:pos="700"/>
      </w:tabs>
      <w:spacing w:before="80" w:after="60"/>
      <w:ind w:left="700" w:hanging="700"/>
      <w:jc w:val="both"/>
      <w:outlineLvl w:val="5"/>
    </w:pPr>
  </w:style>
  <w:style w:type="paragraph" w:customStyle="1" w:styleId="N-line3">
    <w:name w:val="N-line3"/>
    <w:basedOn w:val="Normal"/>
    <w:next w:val="Normal"/>
    <w:rsid w:val="00C1618B"/>
    <w:pPr>
      <w:pBdr>
        <w:bottom w:val="single" w:sz="12" w:space="1" w:color="auto"/>
      </w:pBdr>
      <w:jc w:val="both"/>
    </w:pPr>
  </w:style>
  <w:style w:type="paragraph" w:customStyle="1" w:styleId="madeunder">
    <w:name w:val="made under"/>
    <w:basedOn w:val="Normal"/>
    <w:rsid w:val="00C1618B"/>
    <w:pPr>
      <w:spacing w:before="180" w:after="60"/>
      <w:jc w:val="both"/>
    </w:pPr>
  </w:style>
  <w:style w:type="paragraph" w:customStyle="1" w:styleId="CoverActName">
    <w:name w:val="CoverActName"/>
    <w:basedOn w:val="Normal"/>
    <w:rsid w:val="00C1618B"/>
    <w:pPr>
      <w:tabs>
        <w:tab w:val="left" w:pos="2600"/>
      </w:tabs>
      <w:spacing w:before="200" w:after="60"/>
      <w:jc w:val="both"/>
    </w:pPr>
    <w:rPr>
      <w:rFonts w:ascii="Arial" w:hAnsi="Arial"/>
      <w:b/>
    </w:rPr>
  </w:style>
  <w:style w:type="paragraph" w:customStyle="1" w:styleId="06Copyright">
    <w:name w:val="06Copyright"/>
    <w:basedOn w:val="Normal"/>
    <w:rsid w:val="00C1618B"/>
    <w:pPr>
      <w:tabs>
        <w:tab w:val="left" w:pos="2880"/>
      </w:tabs>
    </w:pPr>
  </w:style>
  <w:style w:type="paragraph" w:customStyle="1" w:styleId="Apara">
    <w:name w:val="A para"/>
    <w:basedOn w:val="Normal"/>
    <w:rsid w:val="00C1618B"/>
    <w:pPr>
      <w:numPr>
        <w:ilvl w:val="6"/>
        <w:numId w:val="13"/>
      </w:numPr>
      <w:spacing w:before="80" w:after="60"/>
      <w:jc w:val="both"/>
      <w:outlineLvl w:val="6"/>
    </w:pPr>
  </w:style>
  <w:style w:type="paragraph" w:customStyle="1" w:styleId="Asubpara">
    <w:name w:val="A subpara"/>
    <w:basedOn w:val="Normal"/>
    <w:rsid w:val="00C1618B"/>
    <w:pPr>
      <w:numPr>
        <w:ilvl w:val="7"/>
        <w:numId w:val="13"/>
      </w:numPr>
      <w:spacing w:before="80" w:after="60"/>
      <w:jc w:val="both"/>
      <w:outlineLvl w:val="7"/>
    </w:pPr>
  </w:style>
  <w:style w:type="paragraph" w:customStyle="1" w:styleId="Asubsubpara">
    <w:name w:val="A subsubpara"/>
    <w:basedOn w:val="Normal"/>
    <w:rsid w:val="00C1618B"/>
    <w:pPr>
      <w:numPr>
        <w:ilvl w:val="8"/>
        <w:numId w:val="13"/>
      </w:numPr>
      <w:spacing w:before="80" w:after="60"/>
      <w:jc w:val="both"/>
      <w:outlineLvl w:val="8"/>
    </w:pPr>
  </w:style>
  <w:style w:type="paragraph" w:customStyle="1" w:styleId="AH5Sec">
    <w:name w:val="A H5 Sec"/>
    <w:basedOn w:val="Normal"/>
    <w:next w:val="Amain"/>
    <w:rsid w:val="00C1618B"/>
    <w:pPr>
      <w:keepNext/>
      <w:numPr>
        <w:ilvl w:val="4"/>
        <w:numId w:val="5"/>
      </w:numPr>
      <w:spacing w:before="180" w:after="60"/>
      <w:outlineLvl w:val="4"/>
    </w:pPr>
    <w:rPr>
      <w:rFonts w:ascii="Arial" w:hAnsi="Arial"/>
      <w:b/>
    </w:rPr>
  </w:style>
  <w:style w:type="paragraph" w:styleId="Header">
    <w:name w:val="header"/>
    <w:basedOn w:val="Normal"/>
    <w:link w:val="HeaderChar"/>
    <w:uiPriority w:val="99"/>
    <w:semiHidden/>
    <w:rsid w:val="00C1618B"/>
    <w:pPr>
      <w:tabs>
        <w:tab w:val="left" w:pos="2880"/>
        <w:tab w:val="center" w:pos="4153"/>
        <w:tab w:val="right" w:pos="8306"/>
      </w:tabs>
    </w:pPr>
  </w:style>
  <w:style w:type="character" w:customStyle="1" w:styleId="HeaderChar">
    <w:name w:val="Header Char"/>
    <w:basedOn w:val="DefaultParagraphFont"/>
    <w:link w:val="Header"/>
    <w:uiPriority w:val="99"/>
    <w:semiHidden/>
    <w:rPr>
      <w:rFonts w:cs="Times New Roman"/>
      <w:sz w:val="24"/>
      <w:lang w:val="x-none" w:eastAsia="en-US"/>
    </w:rPr>
  </w:style>
  <w:style w:type="paragraph" w:customStyle="1" w:styleId="ref">
    <w:name w:val="ref"/>
    <w:basedOn w:val="Normal"/>
    <w:next w:val="Normal"/>
    <w:rsid w:val="00C1618B"/>
    <w:pPr>
      <w:spacing w:after="60"/>
      <w:jc w:val="both"/>
    </w:pPr>
    <w:rPr>
      <w:sz w:val="18"/>
    </w:rPr>
  </w:style>
  <w:style w:type="character" w:customStyle="1" w:styleId="CharDivText">
    <w:name w:val="CharDivText"/>
    <w:basedOn w:val="DefaultParagraphFont"/>
    <w:rsid w:val="00C1618B"/>
    <w:rPr>
      <w:rFonts w:cs="Times New Roman"/>
    </w:rPr>
  </w:style>
  <w:style w:type="paragraph" w:customStyle="1" w:styleId="CoverInForce">
    <w:name w:val="CoverInForce"/>
    <w:basedOn w:val="Normal"/>
    <w:rsid w:val="00C1618B"/>
    <w:pPr>
      <w:tabs>
        <w:tab w:val="left" w:pos="2600"/>
      </w:tabs>
      <w:spacing w:before="200" w:after="60"/>
      <w:jc w:val="both"/>
    </w:pPr>
    <w:rPr>
      <w:rFonts w:ascii="Arial" w:hAnsi="Arial"/>
    </w:rPr>
  </w:style>
  <w:style w:type="paragraph" w:customStyle="1" w:styleId="AFHdg">
    <w:name w:val="AFHdg"/>
    <w:basedOn w:val="Normal"/>
    <w:rsid w:val="00C1618B"/>
    <w:pPr>
      <w:tabs>
        <w:tab w:val="left" w:pos="2600"/>
      </w:tabs>
      <w:spacing w:before="80" w:after="60"/>
      <w:jc w:val="both"/>
    </w:pPr>
    <w:rPr>
      <w:rFonts w:ascii="Arial" w:hAnsi="Arial"/>
      <w:b/>
      <w:sz w:val="32"/>
    </w:rPr>
  </w:style>
  <w:style w:type="paragraph" w:customStyle="1" w:styleId="ApprFormHd">
    <w:name w:val="ApprFormHd"/>
    <w:basedOn w:val="Normal"/>
    <w:rsid w:val="00C1618B"/>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semiHidden/>
    <w:rsid w:val="00C1618B"/>
    <w:rPr>
      <w:rFonts w:cs="Times New Roman"/>
    </w:rPr>
  </w:style>
  <w:style w:type="paragraph" w:customStyle="1" w:styleId="Aparabullet">
    <w:name w:val="A para bullet"/>
    <w:basedOn w:val="Normal"/>
    <w:rsid w:val="00C1618B"/>
    <w:pPr>
      <w:numPr>
        <w:numId w:val="8"/>
      </w:numPr>
    </w:pPr>
  </w:style>
  <w:style w:type="paragraph" w:styleId="TOC1">
    <w:name w:val="toc 1"/>
    <w:basedOn w:val="Normal"/>
    <w:next w:val="Normal"/>
    <w:autoRedefine/>
    <w:uiPriority w:val="39"/>
    <w:semiHidden/>
    <w:rsid w:val="00C1618B"/>
  </w:style>
  <w:style w:type="paragraph" w:styleId="TOC2">
    <w:name w:val="toc 2"/>
    <w:basedOn w:val="Normal"/>
    <w:next w:val="Normal"/>
    <w:autoRedefine/>
    <w:uiPriority w:val="39"/>
    <w:semiHidden/>
    <w:rsid w:val="00C1618B"/>
    <w:pPr>
      <w:ind w:left="240"/>
    </w:pPr>
  </w:style>
  <w:style w:type="paragraph" w:styleId="TOC3">
    <w:name w:val="toc 3"/>
    <w:basedOn w:val="Normal"/>
    <w:next w:val="Normal"/>
    <w:autoRedefine/>
    <w:uiPriority w:val="39"/>
    <w:semiHidden/>
    <w:rsid w:val="00C1618B"/>
    <w:pPr>
      <w:ind w:left="480"/>
    </w:pPr>
  </w:style>
  <w:style w:type="paragraph" w:styleId="TOC4">
    <w:name w:val="toc 4"/>
    <w:basedOn w:val="Normal"/>
    <w:next w:val="Normal"/>
    <w:autoRedefine/>
    <w:uiPriority w:val="39"/>
    <w:semiHidden/>
    <w:rsid w:val="00C1618B"/>
    <w:pPr>
      <w:ind w:left="720"/>
    </w:pPr>
  </w:style>
  <w:style w:type="paragraph" w:styleId="TOC5">
    <w:name w:val="toc 5"/>
    <w:basedOn w:val="Normal"/>
    <w:next w:val="Normal"/>
    <w:autoRedefine/>
    <w:uiPriority w:val="39"/>
    <w:semiHidden/>
    <w:rsid w:val="00C1618B"/>
    <w:pPr>
      <w:ind w:left="960"/>
    </w:pPr>
  </w:style>
  <w:style w:type="paragraph" w:styleId="TOC6">
    <w:name w:val="toc 6"/>
    <w:basedOn w:val="Normal"/>
    <w:next w:val="Normal"/>
    <w:autoRedefine/>
    <w:uiPriority w:val="39"/>
    <w:semiHidden/>
    <w:rsid w:val="00C1618B"/>
    <w:pPr>
      <w:ind w:left="1200"/>
    </w:pPr>
  </w:style>
  <w:style w:type="paragraph" w:styleId="TOC7">
    <w:name w:val="toc 7"/>
    <w:basedOn w:val="Normal"/>
    <w:next w:val="Normal"/>
    <w:autoRedefine/>
    <w:uiPriority w:val="39"/>
    <w:semiHidden/>
    <w:rsid w:val="00C1618B"/>
    <w:pPr>
      <w:ind w:left="1440"/>
    </w:pPr>
  </w:style>
  <w:style w:type="paragraph" w:styleId="TOC8">
    <w:name w:val="toc 8"/>
    <w:basedOn w:val="Normal"/>
    <w:next w:val="Normal"/>
    <w:autoRedefine/>
    <w:uiPriority w:val="39"/>
    <w:semiHidden/>
    <w:rsid w:val="00C1618B"/>
    <w:pPr>
      <w:ind w:left="1680"/>
    </w:pPr>
  </w:style>
  <w:style w:type="paragraph" w:styleId="TOC9">
    <w:name w:val="toc 9"/>
    <w:basedOn w:val="Normal"/>
    <w:next w:val="Normal"/>
    <w:autoRedefine/>
    <w:uiPriority w:val="39"/>
    <w:semiHidden/>
    <w:rsid w:val="00C1618B"/>
    <w:pPr>
      <w:ind w:left="1920"/>
    </w:pPr>
  </w:style>
  <w:style w:type="character" w:styleId="Hyperlink">
    <w:name w:val="Hyperlink"/>
    <w:basedOn w:val="DefaultParagraphFont"/>
    <w:uiPriority w:val="99"/>
    <w:semiHidden/>
    <w:rsid w:val="00C1618B"/>
    <w:rPr>
      <w:rFonts w:cs="Times New Roman"/>
      <w:color w:val="0000FF"/>
      <w:u w:val="single"/>
    </w:rPr>
  </w:style>
  <w:style w:type="paragraph" w:styleId="BodyTextIndent">
    <w:name w:val="Body Text Indent"/>
    <w:basedOn w:val="Normal"/>
    <w:link w:val="BodyTextIndentChar"/>
    <w:uiPriority w:val="99"/>
    <w:semiHidden/>
    <w:rsid w:val="00C1618B"/>
    <w:pPr>
      <w:spacing w:before="120" w:after="60"/>
      <w:ind w:left="709"/>
    </w:pPr>
  </w:style>
  <w:style w:type="character" w:customStyle="1" w:styleId="BodyTextIndentChar">
    <w:name w:val="Body Text Indent Char"/>
    <w:basedOn w:val="DefaultParagraphFont"/>
    <w:link w:val="BodyTextIndent"/>
    <w:uiPriority w:val="99"/>
    <w:semiHidden/>
    <w:rPr>
      <w:rFonts w:cs="Times New Roman"/>
      <w:sz w:val="24"/>
      <w:lang w:val="x-none" w:eastAsia="en-US"/>
    </w:rPr>
  </w:style>
  <w:style w:type="paragraph" w:customStyle="1" w:styleId="Minister">
    <w:name w:val="Minister"/>
    <w:basedOn w:val="Normal"/>
    <w:rsid w:val="00C1618B"/>
    <w:pPr>
      <w:spacing w:before="880" w:after="60"/>
      <w:jc w:val="right"/>
    </w:pPr>
    <w:rPr>
      <w:caps/>
      <w:szCs w:val="24"/>
    </w:rPr>
  </w:style>
  <w:style w:type="paragraph" w:customStyle="1" w:styleId="DateLine">
    <w:name w:val="DateLine"/>
    <w:basedOn w:val="Normal"/>
    <w:rsid w:val="00C1618B"/>
    <w:pPr>
      <w:tabs>
        <w:tab w:val="left" w:pos="4320"/>
      </w:tabs>
      <w:spacing w:before="80" w:after="60"/>
      <w:jc w:val="both"/>
    </w:pPr>
    <w:rPr>
      <w:szCs w:val="24"/>
    </w:rPr>
  </w:style>
  <w:style w:type="paragraph" w:customStyle="1" w:styleId="MinisterWord">
    <w:name w:val="MinisterWord"/>
    <w:basedOn w:val="Normal"/>
    <w:rsid w:val="00C1618B"/>
    <w:pPr>
      <w:tabs>
        <w:tab w:val="left" w:pos="2880"/>
      </w:tabs>
      <w:jc w:val="right"/>
    </w:pPr>
    <w:rPr>
      <w:szCs w:val="24"/>
    </w:rPr>
  </w:style>
  <w:style w:type="character" w:styleId="FollowedHyperlink">
    <w:name w:val="FollowedHyperlink"/>
    <w:basedOn w:val="DefaultParagraphFont"/>
    <w:uiPriority w:val="99"/>
    <w:semiHidden/>
    <w:rsid w:val="00C1618B"/>
    <w:rPr>
      <w:rFonts w:cs="Times New Roman"/>
      <w:color w:val="800080"/>
      <w:u w:val="single"/>
    </w:rPr>
  </w:style>
  <w:style w:type="character" w:styleId="FootnoteReference">
    <w:name w:val="footnote reference"/>
    <w:basedOn w:val="DefaultParagraphFont"/>
    <w:uiPriority w:val="99"/>
    <w:semiHidden/>
    <w:rsid w:val="00C1618B"/>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C1618B"/>
    <w:pPr>
      <w:spacing w:before="80" w:after="60"/>
      <w:jc w:val="both"/>
    </w:pPr>
    <w:rPr>
      <w:szCs w:val="24"/>
    </w:rPr>
  </w:style>
  <w:style w:type="character" w:customStyle="1" w:styleId="FootnoteTextChar">
    <w:name w:val="Footnote Text Char"/>
    <w:basedOn w:val="DefaultParagraphFont"/>
    <w:link w:val="FootnoteText"/>
    <w:uiPriority w:val="99"/>
    <w:semiHidden/>
    <w:rPr>
      <w:rFonts w:cs="Times New Roman"/>
      <w:lang w:val="x-none" w:eastAsia="en-US"/>
    </w:rPr>
  </w:style>
  <w:style w:type="paragraph" w:customStyle="1" w:styleId="ShadedSchClause">
    <w:name w:val="Shaded Sch Clause"/>
    <w:basedOn w:val="Normal"/>
    <w:next w:val="Normal"/>
    <w:rsid w:val="00C1618B"/>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C1618B"/>
    <w:rPr>
      <w:rFonts w:cs="Times New Roman"/>
    </w:rPr>
  </w:style>
  <w:style w:type="paragraph" w:styleId="ListParagraph">
    <w:name w:val="List Paragraph"/>
    <w:basedOn w:val="Normal"/>
    <w:uiPriority w:val="34"/>
    <w:qFormat/>
    <w:rsid w:val="00304367"/>
    <w:pPr>
      <w:ind w:left="720"/>
      <w:contextualSpacing/>
    </w:pPr>
  </w:style>
  <w:style w:type="paragraph" w:styleId="BalloonText">
    <w:name w:val="Balloon Text"/>
    <w:basedOn w:val="Normal"/>
    <w:link w:val="BalloonTextChar"/>
    <w:uiPriority w:val="99"/>
    <w:semiHidden/>
    <w:unhideWhenUsed/>
    <w:rsid w:val="00C8067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0674"/>
    <w:rPr>
      <w:rFonts w:ascii="Tahoma" w:hAnsi="Tahoma" w:cs="Tahoma"/>
      <w:sz w:val="16"/>
      <w:szCs w:val="16"/>
      <w:lang w:val="x-none" w:eastAsia="en-US"/>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rPr>
      <w:sz w:val="16"/>
      <w:szCs w:val="16"/>
    </w:rPr>
  </w:style>
  <w:style w:type="paragraph" w:styleId="Revision">
    <w:name w:val="Revision"/>
    <w:hidden/>
    <w:uiPriority w:val="99"/>
    <w:semiHidden/>
    <w:rsid w:val="009754F0"/>
    <w:rPr>
      <w:sz w:val="24"/>
      <w:lang w:eastAsia="en-US"/>
    </w:rPr>
  </w:style>
  <w:style w:type="paragraph" w:styleId="CommentSubject">
    <w:name w:val="annotation subject"/>
    <w:basedOn w:val="CommentText"/>
    <w:next w:val="CommentText"/>
    <w:link w:val="CommentSubjectChar"/>
    <w:uiPriority w:val="99"/>
    <w:rsid w:val="00B254FA"/>
    <w:rPr>
      <w:b/>
      <w:bCs/>
    </w:rPr>
  </w:style>
  <w:style w:type="character" w:customStyle="1" w:styleId="CommentSubjectChar">
    <w:name w:val="Comment Subject Char"/>
    <w:basedOn w:val="CommentTextChar"/>
    <w:link w:val="CommentSubject"/>
    <w:uiPriority w:val="99"/>
    <w:rsid w:val="00B254FA"/>
    <w:rPr>
      <w:b/>
      <w:bCs/>
      <w:lang w:eastAsia="en-US"/>
    </w:rPr>
  </w:style>
  <w:style w:type="paragraph" w:customStyle="1" w:styleId="Accounts">
    <w:name w:val="Accounts"/>
    <w:basedOn w:val="Normal"/>
    <w:rsid w:val="00A44C83"/>
    <w:pPr>
      <w:tabs>
        <w:tab w:val="left" w:pos="1440"/>
        <w:tab w:val="decimal" w:pos="5760"/>
        <w:tab w:val="decimal" w:pos="7200"/>
        <w:tab w:val="decimal" w:pos="8640"/>
      </w:tabs>
    </w:pPr>
    <w:rPr>
      <w:sz w:val="20"/>
    </w:rPr>
  </w:style>
  <w:style w:type="paragraph" w:customStyle="1" w:styleId="p1">
    <w:name w:val="p1"/>
    <w:basedOn w:val="Normal"/>
    <w:rsid w:val="00A44C83"/>
    <w:rPr>
      <w:color w:val="000000"/>
      <w:sz w:val="17"/>
      <w:szCs w:val="1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FD26276A744244ADC8F46CD07D24D7" ma:contentTypeVersion="44" ma:contentTypeDescription="Create a new document." ma:contentTypeScope="" ma:versionID="e77bab13211842d7b78046af9c6595c2">
  <xsd:schema xmlns:xsd="http://www.w3.org/2001/XMLSchema" xmlns:xs="http://www.w3.org/2001/XMLSchema" xmlns:p="http://schemas.microsoft.com/office/2006/metadata/properties" xmlns:ns2="209bc202-b6bb-43a5-868f-07f45dd17d58" xmlns:ns3="0b8ecd65-cb64-458a-b938-130638f03c6d" targetNamespace="http://schemas.microsoft.com/office/2006/metadata/properties" ma:root="true" ma:fieldsID="c6011991bdf24b22e0608cc73cd47099" ns2:_="" ns3:_="">
    <xsd:import namespace="209bc202-b6bb-43a5-868f-07f45dd17d58"/>
    <xsd:import namespace="0b8ecd65-cb64-458a-b938-130638f03c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Social" minOccurs="0"/>
                <xsd:element ref="ns3:MediaServiceOCR" minOccurs="0"/>
                <xsd:element ref="ns3:Month" minOccurs="0"/>
                <xsd:element ref="ns3:Committee" minOccurs="0"/>
                <xsd:element ref="ns3:MediaLengthInSeconds" minOccurs="0"/>
                <xsd:element ref="ns3:MediaServiceLocation" minOccurs="0"/>
                <xsd:element ref="ns3:Status" minOccurs="0"/>
                <xsd:element ref="ns3:tesr" minOccurs="0"/>
                <xsd:element ref="ns3:DateCOFsemailed" minOccurs="0"/>
                <xsd:element ref="ns3:Datereceived" minOccurs="0"/>
                <xsd:element ref="ns3:Notes" minOccurs="0"/>
                <xsd:element ref="ns3:MediaServiceObjectDetectorVersions" minOccurs="0"/>
                <xsd:element ref="ns3:Progress" minOccurs="0"/>
                <xsd:element ref="ns3:COF_x002f_CPDEXNStatus" minOccurs="0"/>
                <xsd:element ref="ns3:MediaServiceSearchProperties" minOccurs="0"/>
                <xsd:element ref="ns3:SolicitorResponseDue" minOccurs="0"/>
                <xsd:element ref="ns3:ResponseReceived" minOccurs="0"/>
                <xsd:element ref="ns3:Approvedby" minOccurs="0"/>
                <xsd:element ref="ns3:Conductcheck" minOccurs="0"/>
                <xsd:element ref="ns3:SubmissionDate" minOccurs="0"/>
                <xsd:element ref="ns3:DateofApproval" minOccurs="0"/>
                <xsd:element ref="ns3:FolderAccess" minOccurs="0"/>
                <xsd:element ref="ns3:DateandTim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bc202-b6bb-43a5-868f-07f45dd17d58" elementFormDefault="qualified">
    <xsd:import namespace="http://schemas.microsoft.com/office/2006/documentManagement/types"/>
    <xsd:import namespace="http://schemas.microsoft.com/office/infopath/2007/PartnerControls"/>
    <xsd:element name="SharedWithUsers" ma:index="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hidden="true" ma:internalName="SharedWithDetails" ma:readOnly="true">
      <xsd:simpleType>
        <xsd:restriction base="dms:Note"/>
      </xsd:simpleType>
    </xsd:element>
    <xsd:element name="TaxCatchAll" ma:index="13" nillable="true" ma:displayName="Taxonomy Catch All Column" ma:hidden="true" ma:list="{401b7883-4cd8-4dcf-8547-6c80ee4bdc6e}" ma:internalName="TaxCatchAll" ma:readOnly="false" ma:showField="CatchAllData" ma:web="209bc202-b6bb-43a5-868f-07f45dd17d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8ecd65-cb64-458a-b938-130638f03c6d"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c9574f9-e35b-4f83-b1ee-b8bcaaa79e8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Social" ma:index="18" nillable="true" ma:displayName="Event Type" ma:description="A tag for who is mainly running an event, both social and CPD" ma:format="Dropdown" ma:internalName="Social">
      <xsd:complexType>
        <xsd:complexContent>
          <xsd:extension base="dms:MultiChoice">
            <xsd:sequence>
              <xsd:element name="Value" maxOccurs="unbounded" minOccurs="0" nillable="true">
                <xsd:simpleType>
                  <xsd:restriction base="dms:Choice">
                    <xsd:enumeration value="ACT Law Society"/>
                    <xsd:enumeration value="Firm Requested Event"/>
                    <xsd:enumeration value="Committee"/>
                    <xsd:enumeration value="ACT Bar Association"/>
                  </xsd:restriction>
                </xsd:simpleType>
              </xsd:element>
            </xsd:sequence>
          </xsd:extension>
        </xsd:complexContent>
      </xsd:complexType>
    </xsd:element>
    <xsd:element name="MediaServiceOCR" ma:index="19" nillable="true" ma:displayName="Extracted Text" ma:internalName="MediaServiceOCR" ma:readOnly="true">
      <xsd:simpleType>
        <xsd:restriction base="dms:Note">
          <xsd:maxLength value="255"/>
        </xsd:restriction>
      </xsd:simpleType>
    </xsd:element>
    <xsd:element name="Month" ma:index="20" nillable="true" ma:displayName="Month" ma:description="Indicate what month of the year an event is in" ma:format="Dropdown" ma:internalName="Month">
      <xsd:complexType>
        <xsd:complexContent>
          <xsd:extension base="dms:MultiChoice">
            <xsd:sequence>
              <xsd:element name="Value" maxOccurs="unbounded" minOccurs="0" nillable="tru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equence>
          </xsd:extension>
        </xsd:complexContent>
      </xsd:complexType>
    </xsd:element>
    <xsd:element name="Committee" ma:index="21" nillable="true" ma:displayName="Committee" ma:description="A choice of which committee is running/contributing to an event" ma:format="Dropdown" ma:internalName="Committee">
      <xsd:complexType>
        <xsd:complexContent>
          <xsd:extension base="dms:MultiChoice">
            <xsd:sequence>
              <xsd:element name="Value" maxOccurs="unbounded" minOccurs="0" nillable="true">
                <xsd:simpleType>
                  <xsd:restriction base="dms:Choice">
                    <xsd:enumeration value="Access to Justice and Inclusion"/>
                    <xsd:enumeration value="Alternative Dispute Resolution"/>
                    <xsd:enumeration value="Civil Litigation"/>
                    <xsd:enumeration value="Criminal Law"/>
                    <xsd:enumeration value="Elder Law and Succession Law"/>
                    <xsd:enumeration value="Employment Law"/>
                    <xsd:enumeration value="Family Law"/>
                    <xsd:enumeration value="Family Violence and Children"/>
                    <xsd:enumeration value="International Law"/>
                    <xsd:enumeration value="Legal Profession Act and Ethics"/>
                    <xsd:enumeration value="Military Law"/>
                    <xsd:enumeration value="Property Law"/>
                    <xsd:enumeration value="Government Law"/>
                    <xsd:enumeration value="New Lawyers"/>
                  </xsd:restriction>
                </xsd:simpleType>
              </xsd:element>
            </xsd:sequence>
          </xsd:extension>
        </xsd:complexContent>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Status" ma:format="Dropdown" ma:internalName="Status">
      <xsd:simpleType>
        <xsd:restriction base="dms:Choice">
          <xsd:enumeration value="In Progress"/>
          <xsd:enumeration value="Completed"/>
          <xsd:enumeration value="To Monitor"/>
        </xsd:restriction>
      </xsd:simpleType>
    </xsd:element>
    <xsd:element name="tesr" ma:index="25" nillable="true" ma:displayName="Date of approval" ma:format="DateOnly" ma:internalName="tesr">
      <xsd:simpleType>
        <xsd:restriction base="dms:DateTime"/>
      </xsd:simpleType>
    </xsd:element>
    <xsd:element name="DateCOFsemailed" ma:index="26" nillable="true" ma:displayName="Date COFs/letters emailed" ma:format="Dropdown" ma:internalName="DateCOFsemailed">
      <xsd:simpleType>
        <xsd:restriction base="dms:Text">
          <xsd:maxLength value="255"/>
        </xsd:restriction>
      </xsd:simpleType>
    </xsd:element>
    <xsd:element name="Datereceived" ma:index="27" nillable="true" ma:displayName="Date Received" ma:format="DateOnly" ma:internalName="Datereceived">
      <xsd:simpleType>
        <xsd:restriction base="dms:DateTime"/>
      </xsd:simpleType>
    </xsd:element>
    <xsd:element name="Notes" ma:index="28" nillable="true" ma:displayName="Notes" ma:format="Dropdown" ma:internalName="Notes">
      <xsd:simpleType>
        <xsd:restriction base="dms:Note">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Progress" ma:index="30" nillable="true" ma:displayName="Progress" ma:format="Dropdown" ma:internalName="Progress">
      <xsd:simpleType>
        <xsd:restriction base="dms:Choice">
          <xsd:enumeration value="In Progress"/>
          <xsd:enumeration value="Complete"/>
        </xsd:restriction>
      </xsd:simpleType>
    </xsd:element>
    <xsd:element name="COF_x002f_CPDEXNStatus" ma:index="31" nillable="true" ma:displayName="COF/CPD EXN Status" ma:format="Dropdown" ma:internalName="COF_x002f_CPDEXNStatus">
      <xsd:complexType>
        <xsd:complexContent>
          <xsd:extension base="dms:MultiChoice">
            <xsd:sequence>
              <xsd:element name="Value" maxOccurs="unbounded" minOccurs="0" nillable="true">
                <xsd:simpleType>
                  <xsd:restriction base="dms:Choice">
                    <xsd:enumeration value="Approved"/>
                    <xsd:enumeration value="Pending approval"/>
                    <xsd:enumeration value="Hold issue"/>
                    <xsd:enumeration value="Hold for PS check"/>
                    <xsd:enumeration value="Urgent"/>
                  </xsd:restriction>
                </xsd:simpleType>
              </xsd:element>
            </xsd:sequence>
          </xsd:extension>
        </xsd:complexContent>
      </xsd:complexType>
    </xsd:element>
    <xsd:element name="MediaServiceSearchProperties" ma:index="32" nillable="true" ma:displayName="MediaServiceSearchProperties" ma:hidden="true" ma:internalName="MediaServiceSearchProperties" ma:readOnly="true">
      <xsd:simpleType>
        <xsd:restriction base="dms:Note"/>
      </xsd:simpleType>
    </xsd:element>
    <xsd:element name="SolicitorResponseDue" ma:index="33" nillable="true" ma:displayName="Solicitor Response Due" ma:format="DateOnly" ma:internalName="SolicitorResponseDue">
      <xsd:simpleType>
        <xsd:restriction base="dms:DateTime"/>
      </xsd:simpleType>
    </xsd:element>
    <xsd:element name="ResponseReceived" ma:index="34" nillable="true" ma:displayName="Response Received" ma:default="1" ma:format="Dropdown" ma:internalName="ResponseReceived">
      <xsd:simpleType>
        <xsd:restriction base="dms:Boolean"/>
      </xsd:simpleType>
    </xsd:element>
    <xsd:element name="Approvedby" ma:index="35" nillable="true" ma:displayName="Approved by" ma:format="Dropdown" ma:internalName="Approvedby">
      <xsd:simpleType>
        <xsd:restriction base="dms:Text">
          <xsd:maxLength value="255"/>
        </xsd:restriction>
      </xsd:simpleType>
    </xsd:element>
    <xsd:element name="Conductcheck" ma:index="36" nillable="true" ma:displayName="Conduct check" ma:format="Dropdown" ma:internalName="Conductcheck">
      <xsd:simpleType>
        <xsd:restriction base="dms:Text">
          <xsd:maxLength value="255"/>
        </xsd:restriction>
      </xsd:simpleType>
    </xsd:element>
    <xsd:element name="SubmissionDate" ma:index="37" nillable="true" ma:displayName="Submission Date" ma:format="DateOnly" ma:internalName="SubmissionDate">
      <xsd:simpleType>
        <xsd:restriction base="dms:DateTime"/>
      </xsd:simpleType>
    </xsd:element>
    <xsd:element name="DateofApproval" ma:index="38" nillable="true" ma:displayName="Date of Approval" ma:format="Dropdown" ma:internalName="DateofApproval">
      <xsd:simpleType>
        <xsd:restriction base="dms:Text">
          <xsd:maxLength value="255"/>
        </xsd:restriction>
      </xsd:simpleType>
    </xsd:element>
    <xsd:element name="FolderAccess" ma:index="39" nillable="true" ma:displayName="Folder Access" ma:format="Dropdown" ma:internalName="FolderAccess">
      <xsd:simpleType>
        <xsd:restriction base="dms:Text">
          <xsd:maxLength value="255"/>
        </xsd:restriction>
      </xsd:simpleType>
    </xsd:element>
    <xsd:element name="DateandTime" ma:index="40" nillable="true" ma:displayName="Date and Time" ma:format="DateTime" ma:internalName="DateandTime">
      <xsd:simpleType>
        <xsd:restriction base="dms:DateTime"/>
      </xsd:simpleType>
    </xsd:element>
    <xsd:element name="MediaServiceBillingMetadata" ma:index="4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missionDate xmlns="0b8ecd65-cb64-458a-b938-130638f03c6d" xsi:nil="true"/>
    <Datereceived xmlns="0b8ecd65-cb64-458a-b938-130638f03c6d" xsi:nil="true"/>
    <lcf76f155ced4ddcb4097134ff3c332f xmlns="0b8ecd65-cb64-458a-b938-130638f03c6d">
      <Terms xmlns="http://schemas.microsoft.com/office/infopath/2007/PartnerControls"/>
    </lcf76f155ced4ddcb4097134ff3c332f>
    <tesr xmlns="0b8ecd65-cb64-458a-b938-130638f03c6d" xsi:nil="true"/>
    <ResponseReceived xmlns="0b8ecd65-cb64-458a-b938-130638f03c6d">true</ResponseReceived>
    <Social xmlns="0b8ecd65-cb64-458a-b938-130638f03c6d" xsi:nil="true"/>
    <DateCOFsemailed xmlns="0b8ecd65-cb64-458a-b938-130638f03c6d" xsi:nil="true"/>
    <Committee xmlns="0b8ecd65-cb64-458a-b938-130638f03c6d" xsi:nil="true"/>
    <Conductcheck xmlns="0b8ecd65-cb64-458a-b938-130638f03c6d" xsi:nil="true"/>
    <SolicitorResponseDue xmlns="0b8ecd65-cb64-458a-b938-130638f03c6d" xsi:nil="true"/>
    <Approvedby xmlns="0b8ecd65-cb64-458a-b938-130638f03c6d" xsi:nil="true"/>
    <Progress xmlns="0b8ecd65-cb64-458a-b938-130638f03c6d" xsi:nil="true"/>
    <COF_x002f_CPDEXNStatus xmlns="0b8ecd65-cb64-458a-b938-130638f03c6d" xsi:nil="true"/>
    <TaxCatchAll xmlns="209bc202-b6bb-43a5-868f-07f45dd17d58" xsi:nil="true"/>
    <Status xmlns="0b8ecd65-cb64-458a-b938-130638f03c6d" xsi:nil="true"/>
    <DateofApproval xmlns="0b8ecd65-cb64-458a-b938-130638f03c6d" xsi:nil="true"/>
    <Notes xmlns="0b8ecd65-cb64-458a-b938-130638f03c6d" xsi:nil="true"/>
    <Month xmlns="0b8ecd65-cb64-458a-b938-130638f03c6d" xsi:nil="true"/>
    <DateandTime xmlns="0b8ecd65-cb64-458a-b938-130638f03c6d" xsi:nil="true"/>
    <FolderAccess xmlns="0b8ecd65-cb64-458a-b938-130638f03c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9BE7C-ABB5-4BF3-8887-E60CA4DD5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bc202-b6bb-43a5-868f-07f45dd17d58"/>
    <ds:schemaRef ds:uri="0b8ecd65-cb64-458a-b938-130638f03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EF805-DAAC-41EF-92F5-17ADA6222BCB}">
  <ds:schemaRefs>
    <ds:schemaRef ds:uri="http://schemas.microsoft.com/sharepoint/v3/contenttype/forms"/>
  </ds:schemaRefs>
</ds:datastoreItem>
</file>

<file path=customXml/itemProps3.xml><?xml version="1.0" encoding="utf-8"?>
<ds:datastoreItem xmlns:ds="http://schemas.openxmlformats.org/officeDocument/2006/customXml" ds:itemID="{621915EB-09C1-449E-91AF-E7DFFC149E01}">
  <ds:schemaRefs>
    <ds:schemaRef ds:uri="http://schemas.microsoft.com/office/2006/metadata/properties"/>
    <ds:schemaRef ds:uri="http://schemas.microsoft.com/office/infopath/2007/PartnerControls"/>
    <ds:schemaRef ds:uri="0b8ecd65-cb64-458a-b938-130638f03c6d"/>
    <ds:schemaRef ds:uri="209bc202-b6bb-43a5-868f-07f45dd17d58"/>
  </ds:schemaRefs>
</ds:datastoreItem>
</file>

<file path=customXml/itemProps4.xml><?xml version="1.0" encoding="utf-8"?>
<ds:datastoreItem xmlns:ds="http://schemas.openxmlformats.org/officeDocument/2006/customXml" ds:itemID="{98E9EAE2-3E13-4EB2-ACE9-CA66A3FF1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2792</Words>
  <Characters>16830</Characters>
  <Application>Microsoft Office Word</Application>
  <DocSecurity>0</DocSecurity>
  <Lines>347</Lines>
  <Paragraphs>86</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subject/>
  <dc:creator>ACT Government</dc:creator>
  <cp:keywords/>
  <dc:description/>
  <cp:lastModifiedBy>Marjan, Nadia</cp:lastModifiedBy>
  <cp:revision>2</cp:revision>
  <cp:lastPrinted>2015-11-17T01:32:00Z</cp:lastPrinted>
  <dcterms:created xsi:type="dcterms:W3CDTF">2026-04-20T00:10:00Z</dcterms:created>
  <dcterms:modified xsi:type="dcterms:W3CDTF">2026-04-20T00:10:00Z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0x01010023FD26276A744244ADC8F46CD07D24D7</vt:lpwstr>
  </property>
  <property fmtid="{D5CDD505-2E9C-101B-9397-08002B2CF9AE}" pid="3" name="MediaServiceImageTags">
    <vt:lpwstr/>
  </property>
  <property fmtid="{D5CDD505-2E9C-101B-9397-08002B2CF9AE}" pid="4" name="MSIP_Label_69af8531-eb46-4968-8cb3-105d2f5ea87e_Enabled">
    <vt:lpwstr>true</vt:lpwstr>
  </property>
  <property fmtid="{D5CDD505-2E9C-101B-9397-08002B2CF9AE}" pid="5" name="MSIP_Label_69af8531-eb46-4968-8cb3-105d2f5ea87e_SetDate">
    <vt:lpwstr>2025-12-11T02:41:05Z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71dd85af-aa42-473e-986a-4efd16215d4a</vt:lpwstr>
  </property>
  <property fmtid="{D5CDD505-2E9C-101B-9397-08002B2CF9AE}" pid="10" name="MSIP_Label_69af8531-eb46-4968-8cb3-105d2f5ea87e_ContentBits">
    <vt:lpwstr>0</vt:lpwstr>
  </property>
  <property fmtid="{D5CDD505-2E9C-101B-9397-08002B2CF9AE}" pid="11" name="MSIP_Label_69af8531-eb46-4968-8cb3-105d2f5ea87e_Tag">
    <vt:lpwstr>10, 3, 0, 1</vt:lpwstr>
  </property>
</Properties>
</file>