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FA8" w14:textId="50A0707A" w:rsidR="004D64F9" w:rsidRPr="004D64F9" w:rsidRDefault="004D64F9" w:rsidP="004D64F9">
      <w:pPr>
        <w:jc w:val="center"/>
        <w:rPr>
          <w:rFonts w:ascii="Times New Roman" w:hAnsi="Times New Roman"/>
          <w:b/>
          <w:bCs/>
          <w:lang w:val="en-AU"/>
        </w:rPr>
      </w:pPr>
      <w:r w:rsidRPr="004D64F9">
        <w:rPr>
          <w:rFonts w:ascii="Times New Roman" w:hAnsi="Times New Roman"/>
          <w:b/>
          <w:bCs/>
          <w:noProof/>
          <w:lang w:val="en-AU"/>
        </w:rPr>
        <w:drawing>
          <wp:inline distT="0" distB="0" distL="0" distR="0" wp14:anchorId="450D0786" wp14:editId="2E7B5B10">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11D8C60F" w14:textId="77777777" w:rsidR="004D64F9" w:rsidRPr="004D64F9" w:rsidRDefault="004D64F9" w:rsidP="004D64F9">
      <w:pPr>
        <w:keepNext/>
        <w:keepLines/>
        <w:spacing w:before="320"/>
        <w:jc w:val="center"/>
        <w:rPr>
          <w:rFonts w:ascii="Calibri" w:hAnsi="Calibri"/>
          <w:b/>
          <w:bCs/>
          <w:sz w:val="32"/>
          <w:szCs w:val="32"/>
          <w:lang w:val="en-AU"/>
        </w:rPr>
      </w:pPr>
      <w:r w:rsidRPr="004D64F9">
        <w:rPr>
          <w:rFonts w:ascii="Calibri" w:hAnsi="Calibri"/>
          <w:b/>
          <w:bCs/>
          <w:sz w:val="32"/>
          <w:szCs w:val="32"/>
          <w:lang w:val="en-AU"/>
        </w:rPr>
        <w:t>LEGISLATIVE ASSEMBLY FOR THE</w:t>
      </w:r>
    </w:p>
    <w:p w14:paraId="4432DF80" w14:textId="77777777" w:rsidR="004D64F9" w:rsidRPr="004D64F9" w:rsidRDefault="004D64F9" w:rsidP="004D64F9">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4D64F9">
            <w:rPr>
              <w:rFonts w:ascii="Calibri" w:hAnsi="Calibri"/>
              <w:b/>
              <w:bCs/>
              <w:sz w:val="32"/>
              <w:szCs w:val="32"/>
              <w:lang w:val="en-AU"/>
            </w:rPr>
            <w:t>AUSTRALIAN CAPITAL TERRITORY</w:t>
          </w:r>
        </w:smartTag>
      </w:smartTag>
    </w:p>
    <w:p w14:paraId="6EB51839" w14:textId="77777777" w:rsidR="004D64F9" w:rsidRPr="004D64F9" w:rsidRDefault="004D64F9" w:rsidP="004D64F9">
      <w:pPr>
        <w:spacing w:before="360"/>
        <w:jc w:val="center"/>
        <w:rPr>
          <w:rFonts w:ascii="Calibri" w:hAnsi="Calibri"/>
          <w:b/>
          <w:sz w:val="28"/>
          <w:szCs w:val="28"/>
        </w:rPr>
      </w:pPr>
      <w:r w:rsidRPr="004D64F9">
        <w:rPr>
          <w:rFonts w:ascii="Calibri" w:hAnsi="Calibri"/>
          <w:b/>
          <w:sz w:val="28"/>
          <w:szCs w:val="28"/>
        </w:rPr>
        <w:t xml:space="preserve">2020–2021–2022–2023–2024 </w:t>
      </w:r>
    </w:p>
    <w:p w14:paraId="346F4409" w14:textId="77777777" w:rsidR="004D64F9" w:rsidRPr="004D64F9" w:rsidRDefault="004D64F9" w:rsidP="004D64F9">
      <w:pPr>
        <w:keepNext/>
        <w:keepLines/>
        <w:spacing w:before="360"/>
        <w:jc w:val="center"/>
        <w:rPr>
          <w:rFonts w:ascii="Calibri" w:hAnsi="Calibri"/>
          <w:b/>
          <w:sz w:val="40"/>
          <w:szCs w:val="40"/>
          <w:lang w:val="en-AU"/>
        </w:rPr>
      </w:pPr>
      <w:r w:rsidRPr="004D64F9">
        <w:rPr>
          <w:rFonts w:ascii="Calibri" w:hAnsi="Calibri"/>
          <w:b/>
          <w:sz w:val="40"/>
          <w:szCs w:val="40"/>
          <w:lang w:val="en-AU"/>
        </w:rPr>
        <w:t>MINUTES OF PROCEEDINGS</w:t>
      </w:r>
    </w:p>
    <w:p w14:paraId="2B91D487" w14:textId="64C2E451" w:rsidR="004D64F9" w:rsidRPr="004D64F9" w:rsidRDefault="004D64F9" w:rsidP="004D64F9">
      <w:pPr>
        <w:spacing w:before="360"/>
        <w:jc w:val="center"/>
        <w:rPr>
          <w:rFonts w:ascii="Calibri" w:hAnsi="Calibri"/>
          <w:b/>
          <w:sz w:val="28"/>
          <w:szCs w:val="28"/>
        </w:rPr>
      </w:pPr>
      <w:r w:rsidRPr="004D64F9">
        <w:rPr>
          <w:rFonts w:ascii="Calibri" w:hAnsi="Calibri"/>
          <w:b/>
          <w:sz w:val="28"/>
          <w:szCs w:val="28"/>
        </w:rPr>
        <w:t xml:space="preserve">No </w:t>
      </w:r>
      <w:r>
        <w:rPr>
          <w:rFonts w:ascii="Calibri" w:hAnsi="Calibri"/>
          <w:b/>
          <w:sz w:val="28"/>
          <w:szCs w:val="28"/>
        </w:rPr>
        <w:t>129</w:t>
      </w:r>
    </w:p>
    <w:p w14:paraId="14930EEB" w14:textId="44AA4885" w:rsidR="004D64F9" w:rsidRPr="004D64F9" w:rsidRDefault="004D64F9" w:rsidP="004D64F9">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28 August 2024</w:t>
      </w:r>
    </w:p>
    <w:tbl>
      <w:tblPr>
        <w:tblW w:w="0" w:type="auto"/>
        <w:jc w:val="center"/>
        <w:tblLayout w:type="fixed"/>
        <w:tblLook w:val="0000" w:firstRow="0" w:lastRow="0" w:firstColumn="0" w:lastColumn="0" w:noHBand="0" w:noVBand="0"/>
      </w:tblPr>
      <w:tblGrid>
        <w:gridCol w:w="2452"/>
      </w:tblGrid>
      <w:tr w:rsidR="004D64F9" w:rsidRPr="004D64F9" w14:paraId="46BAECDC" w14:textId="77777777" w:rsidTr="00C050CC">
        <w:trPr>
          <w:trHeight w:hRule="exact" w:val="333"/>
          <w:jc w:val="center"/>
        </w:trPr>
        <w:tc>
          <w:tcPr>
            <w:tcW w:w="2452" w:type="dxa"/>
          </w:tcPr>
          <w:p w14:paraId="68B018F9" w14:textId="77777777" w:rsidR="004D64F9" w:rsidRPr="004D64F9" w:rsidRDefault="004D64F9" w:rsidP="004D64F9">
            <w:pPr>
              <w:rPr>
                <w:rFonts w:ascii="Times New Roman" w:hAnsi="Times New Roman"/>
                <w:color w:val="008000"/>
                <w:sz w:val="16"/>
                <w:lang w:val="en-AU"/>
              </w:rPr>
            </w:pPr>
          </w:p>
        </w:tc>
      </w:tr>
      <w:tr w:rsidR="004D64F9" w:rsidRPr="004D64F9" w14:paraId="671EA921" w14:textId="77777777" w:rsidTr="00C050CC">
        <w:trPr>
          <w:trHeight w:hRule="exact" w:val="60"/>
          <w:jc w:val="center"/>
        </w:trPr>
        <w:tc>
          <w:tcPr>
            <w:tcW w:w="2452" w:type="dxa"/>
            <w:tcBorders>
              <w:top w:val="single" w:sz="8" w:space="0" w:color="000000"/>
              <w:bottom w:val="single" w:sz="4" w:space="0" w:color="000000"/>
            </w:tcBorders>
          </w:tcPr>
          <w:p w14:paraId="0C1D9D0D" w14:textId="77777777" w:rsidR="004D64F9" w:rsidRPr="004D64F9" w:rsidRDefault="004D64F9" w:rsidP="004D64F9">
            <w:pPr>
              <w:rPr>
                <w:rFonts w:ascii="Times New Roman" w:hAnsi="Times New Roman"/>
                <w:color w:val="008000"/>
                <w:sz w:val="16"/>
                <w:lang w:val="en-AU"/>
              </w:rPr>
            </w:pPr>
          </w:p>
        </w:tc>
      </w:tr>
      <w:tr w:rsidR="004D64F9" w:rsidRPr="004D64F9" w14:paraId="460A41C6" w14:textId="77777777" w:rsidTr="00C050CC">
        <w:trPr>
          <w:trHeight w:hRule="exact" w:val="200"/>
          <w:jc w:val="center"/>
        </w:trPr>
        <w:tc>
          <w:tcPr>
            <w:tcW w:w="2452" w:type="dxa"/>
          </w:tcPr>
          <w:p w14:paraId="1E4B33AD" w14:textId="77777777" w:rsidR="004D64F9" w:rsidRPr="004D64F9" w:rsidRDefault="004D64F9" w:rsidP="004D64F9">
            <w:pPr>
              <w:rPr>
                <w:rFonts w:ascii="Times New Roman" w:hAnsi="Times New Roman"/>
                <w:color w:val="008000"/>
                <w:sz w:val="16"/>
                <w:lang w:val="en-AU"/>
              </w:rPr>
            </w:pPr>
          </w:p>
        </w:tc>
      </w:tr>
    </w:tbl>
    <w:p w14:paraId="7FBDACD5" w14:textId="30920688" w:rsidR="004D64F9" w:rsidRPr="000B7409" w:rsidRDefault="004D64F9" w:rsidP="004D64F9">
      <w:pPr>
        <w:keepNext/>
        <w:keepLines/>
        <w:tabs>
          <w:tab w:val="right" w:pos="339"/>
          <w:tab w:val="left" w:pos="720"/>
        </w:tabs>
        <w:spacing w:before="240"/>
        <w:ind w:left="720" w:hanging="720"/>
        <w:jc w:val="both"/>
        <w:rPr>
          <w:rFonts w:ascii="Calibri" w:hAnsi="Calibri"/>
          <w:bCs/>
          <w:lang w:val="en-AU"/>
        </w:rPr>
      </w:pPr>
      <w:r w:rsidRPr="000B7409">
        <w:rPr>
          <w:rFonts w:ascii="Calibri" w:hAnsi="Calibri"/>
        </w:rPr>
        <w:tab/>
      </w:r>
      <w:r w:rsidR="00847B5E">
        <w:rPr>
          <w:rFonts w:ascii="Calibri" w:hAnsi="Calibri"/>
          <w:b/>
          <w:bCs/>
        </w:rPr>
        <w:fldChar w:fldCharType="begin"/>
      </w:r>
      <w:r w:rsidR="00847B5E">
        <w:rPr>
          <w:rFonts w:ascii="Calibri" w:hAnsi="Calibri"/>
          <w:b/>
          <w:bCs/>
        </w:rPr>
        <w:instrText xml:space="preserve"> SEQ A \* MERGEFORMAT </w:instrText>
      </w:r>
      <w:r w:rsidR="00847B5E">
        <w:rPr>
          <w:rFonts w:ascii="Calibri" w:hAnsi="Calibri"/>
          <w:b/>
          <w:bCs/>
        </w:rPr>
        <w:fldChar w:fldCharType="separate"/>
      </w:r>
      <w:r w:rsidR="0020376F">
        <w:rPr>
          <w:rFonts w:ascii="Calibri" w:hAnsi="Calibri"/>
          <w:b/>
          <w:bCs/>
          <w:noProof/>
        </w:rPr>
        <w:t>1</w:t>
      </w:r>
      <w:r w:rsidR="00847B5E">
        <w:rPr>
          <w:rFonts w:ascii="Calibri" w:hAnsi="Calibri"/>
          <w:b/>
          <w:bCs/>
        </w:rPr>
        <w:fldChar w:fldCharType="end"/>
      </w:r>
      <w:r w:rsidRPr="000B7409">
        <w:rPr>
          <w:rFonts w:ascii="Calibri" w:hAnsi="Calibri"/>
        </w:rPr>
        <w:tab/>
      </w:r>
      <w:r w:rsidRPr="000B7409">
        <w:rPr>
          <w:rFonts w:ascii="Calibri" w:hAnsi="Calibri"/>
          <w:bCs/>
          <w:lang w:val="en-AU"/>
        </w:rPr>
        <w:t xml:space="preserve">The Assembly met at 10 am, pursuant to adjournment.  The Speaker </w:t>
      </w:r>
      <w:r w:rsidRPr="000B7409">
        <w:rPr>
          <w:rFonts w:ascii="Calibri" w:hAnsi="Calibri"/>
          <w:bCs/>
        </w:rPr>
        <w:t>(</w:t>
      </w:r>
      <w:r>
        <w:rPr>
          <w:rFonts w:ascii="Calibri" w:hAnsi="Calibri"/>
          <w:bCs/>
        </w:rPr>
        <w:t>Ms Burch</w:t>
      </w:r>
      <w:r w:rsidRPr="000B7409">
        <w:rPr>
          <w:rFonts w:ascii="Calibri" w:hAnsi="Calibri"/>
          <w:bCs/>
        </w:rPr>
        <w:t>)</w:t>
      </w:r>
      <w:r w:rsidRPr="000B7409">
        <w:rPr>
          <w:rFonts w:ascii="Calibri" w:hAnsi="Calibri"/>
          <w:bCs/>
          <w:lang w:val="en-AU"/>
        </w:rPr>
        <w:t xml:space="preserve"> took the Chair and made the following acknowledgement of country in the Ngunnawal language:</w:t>
      </w:r>
    </w:p>
    <w:p w14:paraId="2A9C59A5" w14:textId="77777777" w:rsidR="004D64F9" w:rsidRPr="000B7409" w:rsidRDefault="004D64F9" w:rsidP="004D64F9">
      <w:pPr>
        <w:spacing w:before="120"/>
        <w:ind w:left="864"/>
        <w:jc w:val="both"/>
        <w:rPr>
          <w:rFonts w:ascii="Calibri" w:hAnsi="Calibri"/>
          <w:lang w:val="en-AU"/>
        </w:rPr>
      </w:pPr>
      <w:r w:rsidRPr="000B7409">
        <w:rPr>
          <w:rFonts w:ascii="Calibri" w:hAnsi="Calibri"/>
          <w:lang w:val="en-AU"/>
        </w:rPr>
        <w:t>Dhawura nguna, dhawura Ngunnawal.</w:t>
      </w:r>
    </w:p>
    <w:p w14:paraId="4B27E8EE" w14:textId="77777777" w:rsidR="004D64F9" w:rsidRPr="000B7409" w:rsidRDefault="004D64F9" w:rsidP="004D64F9">
      <w:pPr>
        <w:spacing w:before="40"/>
        <w:ind w:left="864"/>
        <w:jc w:val="both"/>
        <w:rPr>
          <w:rFonts w:ascii="Calibri" w:hAnsi="Calibri"/>
          <w:lang w:val="en-AU"/>
        </w:rPr>
      </w:pPr>
      <w:r w:rsidRPr="000B7409">
        <w:rPr>
          <w:rFonts w:ascii="Calibri" w:hAnsi="Calibri"/>
          <w:lang w:val="en-AU"/>
        </w:rPr>
        <w:t>Yanggu ngalawiri, dhunimanyin Ngunnawalwari dhawurawari.</w:t>
      </w:r>
    </w:p>
    <w:p w14:paraId="551FD212" w14:textId="77777777" w:rsidR="004D64F9" w:rsidRPr="000B7409" w:rsidRDefault="004D64F9" w:rsidP="004D64F9">
      <w:pPr>
        <w:spacing w:before="40"/>
        <w:ind w:left="864"/>
        <w:jc w:val="both"/>
        <w:rPr>
          <w:rFonts w:ascii="Calibri" w:hAnsi="Calibri"/>
          <w:lang w:val="en-AU"/>
        </w:rPr>
      </w:pPr>
      <w:r w:rsidRPr="000B7409">
        <w:rPr>
          <w:rFonts w:ascii="Calibri" w:hAnsi="Calibri"/>
          <w:lang w:val="en-AU"/>
        </w:rPr>
        <w:t>Nginggada Dindi dhawura Ngunnaawalbun yindjumaralidjinyin.</w:t>
      </w:r>
    </w:p>
    <w:p w14:paraId="40CACDB0" w14:textId="77777777" w:rsidR="004D64F9" w:rsidRPr="000B7409" w:rsidRDefault="004D64F9" w:rsidP="004D64F9">
      <w:pPr>
        <w:spacing w:before="120"/>
        <w:ind w:left="864"/>
        <w:jc w:val="both"/>
        <w:rPr>
          <w:rFonts w:ascii="Calibri" w:hAnsi="Calibri"/>
          <w:i/>
          <w:lang w:val="en-AU"/>
        </w:rPr>
      </w:pPr>
      <w:r w:rsidRPr="000B7409">
        <w:rPr>
          <w:rFonts w:ascii="Calibri" w:hAnsi="Calibri"/>
          <w:i/>
          <w:lang w:val="en-AU"/>
        </w:rPr>
        <w:t>This is Ngunnawal Country.</w:t>
      </w:r>
    </w:p>
    <w:p w14:paraId="3F41A7EA" w14:textId="77777777" w:rsidR="004D64F9" w:rsidRPr="000B7409" w:rsidRDefault="004D64F9" w:rsidP="004D64F9">
      <w:pPr>
        <w:spacing w:before="40"/>
        <w:ind w:left="864"/>
        <w:jc w:val="both"/>
        <w:rPr>
          <w:rFonts w:ascii="Calibri" w:hAnsi="Calibri"/>
          <w:i/>
          <w:lang w:val="en-AU"/>
        </w:rPr>
      </w:pPr>
      <w:r w:rsidRPr="000B7409">
        <w:rPr>
          <w:rFonts w:ascii="Calibri" w:hAnsi="Calibri"/>
          <w:i/>
          <w:lang w:val="en-AU"/>
        </w:rPr>
        <w:t>Today we are gathering on Ngunnawal country.</w:t>
      </w:r>
    </w:p>
    <w:p w14:paraId="54D380B7" w14:textId="77777777" w:rsidR="004D64F9" w:rsidRPr="000B7409" w:rsidRDefault="004D64F9" w:rsidP="004D64F9">
      <w:pPr>
        <w:spacing w:before="40"/>
        <w:ind w:left="864"/>
        <w:jc w:val="both"/>
        <w:rPr>
          <w:rFonts w:ascii="Calibri" w:hAnsi="Calibri"/>
          <w:i/>
          <w:lang w:val="en-AU"/>
        </w:rPr>
      </w:pPr>
      <w:r w:rsidRPr="000B7409">
        <w:rPr>
          <w:rFonts w:ascii="Calibri" w:hAnsi="Calibri"/>
          <w:i/>
          <w:lang w:val="en-AU"/>
        </w:rPr>
        <w:t>We always pay respect to Elders, female and male, and Ngunnawal country.</w:t>
      </w:r>
    </w:p>
    <w:p w14:paraId="50FDDBF9" w14:textId="77777777" w:rsidR="004D64F9" w:rsidRPr="000B7409" w:rsidRDefault="004D64F9" w:rsidP="004D64F9">
      <w:pPr>
        <w:spacing w:before="120"/>
        <w:ind w:left="720"/>
        <w:jc w:val="both"/>
        <w:rPr>
          <w:rFonts w:ascii="Calibri" w:hAnsi="Calibri"/>
          <w:lang w:val="en-AU"/>
        </w:rPr>
      </w:pPr>
      <w:r w:rsidRPr="000B7409">
        <w:rPr>
          <w:rFonts w:ascii="Calibri" w:hAnsi="Calibri"/>
          <w:lang w:val="en-AU"/>
        </w:rPr>
        <w:t xml:space="preserve">The Speaker asked Members to stand in silence and </w:t>
      </w:r>
      <w:r w:rsidRPr="000B7409">
        <w:rPr>
          <w:rFonts w:ascii="Calibri" w:hAnsi="Calibri"/>
          <w:spacing w:val="-2"/>
          <w:lang w:val="en-AU"/>
        </w:rPr>
        <w:t>pray or reflect on their</w:t>
      </w:r>
      <w:r w:rsidRPr="000B7409">
        <w:rPr>
          <w:rFonts w:ascii="Calibri" w:hAnsi="Calibri"/>
          <w:lang w:val="en-AU"/>
        </w:rPr>
        <w:t xml:space="preserve"> responsibilities to the people of the Australian Capital Territory.</w:t>
      </w:r>
    </w:p>
    <w:p w14:paraId="5FAA6B58" w14:textId="4DAF4233" w:rsidR="00635ED4" w:rsidRPr="00635ED4" w:rsidRDefault="00635ED4" w:rsidP="00635ED4">
      <w:pPr>
        <w:keepNext/>
        <w:keepLines/>
        <w:tabs>
          <w:tab w:val="right" w:pos="339"/>
          <w:tab w:val="left" w:pos="720"/>
        </w:tabs>
        <w:spacing w:before="240"/>
        <w:ind w:left="720" w:hanging="720"/>
        <w:jc w:val="both"/>
        <w:rPr>
          <w:rFonts w:ascii="Calibri" w:hAnsi="Calibri"/>
          <w:b/>
          <w:lang w:val="en-AU"/>
        </w:rPr>
      </w:pPr>
      <w:r w:rsidRPr="00635ED4">
        <w:rPr>
          <w:rFonts w:ascii="Calibri" w:hAnsi="Calibri"/>
          <w:b/>
          <w:lang w:val="en-AU"/>
        </w:rPr>
        <w:tab/>
      </w:r>
      <w:r w:rsidR="00847B5E">
        <w:rPr>
          <w:rFonts w:ascii="Calibri" w:hAnsi="Calibri"/>
          <w:b/>
          <w:bCs/>
          <w:lang w:val="en-AU"/>
        </w:rPr>
        <w:fldChar w:fldCharType="begin"/>
      </w:r>
      <w:r w:rsidR="00847B5E">
        <w:rPr>
          <w:rFonts w:ascii="Calibri" w:hAnsi="Calibri"/>
          <w:b/>
          <w:bCs/>
          <w:lang w:val="en-AU"/>
        </w:rPr>
        <w:instrText xml:space="preserve"> SEQ A \* MERGEFORMAT </w:instrText>
      </w:r>
      <w:r w:rsidR="00847B5E">
        <w:rPr>
          <w:rFonts w:ascii="Calibri" w:hAnsi="Calibri"/>
          <w:b/>
          <w:bCs/>
          <w:lang w:val="en-AU"/>
        </w:rPr>
        <w:fldChar w:fldCharType="separate"/>
      </w:r>
      <w:r w:rsidR="0020376F">
        <w:rPr>
          <w:rFonts w:ascii="Calibri" w:hAnsi="Calibri"/>
          <w:b/>
          <w:bCs/>
          <w:noProof/>
          <w:lang w:val="en-AU"/>
        </w:rPr>
        <w:t>2</w:t>
      </w:r>
      <w:r w:rsidR="00847B5E">
        <w:rPr>
          <w:rFonts w:ascii="Calibri" w:hAnsi="Calibri"/>
          <w:b/>
          <w:bCs/>
          <w:lang w:val="en-AU"/>
        </w:rPr>
        <w:fldChar w:fldCharType="end"/>
      </w:r>
      <w:r w:rsidRPr="00635ED4">
        <w:rPr>
          <w:rFonts w:ascii="Calibri" w:hAnsi="Calibri"/>
          <w:b/>
          <w:lang w:val="en-AU"/>
        </w:rPr>
        <w:tab/>
        <w:t>PETITION—PETITION NOTED</w:t>
      </w:r>
    </w:p>
    <w:p w14:paraId="27E4FB2B" w14:textId="51C06C58" w:rsidR="00635ED4" w:rsidRPr="00635ED4" w:rsidRDefault="00635ED4" w:rsidP="00635ED4">
      <w:pPr>
        <w:spacing w:before="120"/>
        <w:ind w:left="720"/>
        <w:rPr>
          <w:rFonts w:ascii="Calibri" w:hAnsi="Calibri"/>
          <w:lang w:val="en-AU"/>
        </w:rPr>
      </w:pPr>
      <w:r w:rsidRPr="00635ED4">
        <w:rPr>
          <w:rFonts w:ascii="Calibri" w:hAnsi="Calibri"/>
          <w:lang w:val="en-AU"/>
        </w:rPr>
        <w:t>The Clerk announced that the following Member had lodged a petition for presentation:</w:t>
      </w:r>
    </w:p>
    <w:p w14:paraId="16845F30" w14:textId="1986E6C5" w:rsidR="00635ED4" w:rsidRPr="00635ED4" w:rsidRDefault="00635ED4" w:rsidP="00631663">
      <w:pPr>
        <w:spacing w:before="120"/>
        <w:ind w:left="720"/>
        <w:rPr>
          <w:rFonts w:ascii="Calibri" w:hAnsi="Calibri"/>
          <w:lang w:val="en-AU"/>
        </w:rPr>
      </w:pPr>
      <w:r>
        <w:rPr>
          <w:rFonts w:ascii="Calibri" w:hAnsi="Calibri"/>
          <w:lang w:val="en-AU"/>
        </w:rPr>
        <w:t>Mrs Kikkert</w:t>
      </w:r>
      <w:r w:rsidRPr="00635ED4">
        <w:rPr>
          <w:rFonts w:ascii="Calibri" w:hAnsi="Calibri"/>
          <w:lang w:val="en-AU"/>
        </w:rPr>
        <w:t xml:space="preserve">, from </w:t>
      </w:r>
      <w:r>
        <w:rPr>
          <w:rFonts w:ascii="Calibri" w:hAnsi="Calibri"/>
          <w:lang w:val="en-AU"/>
        </w:rPr>
        <w:t>93</w:t>
      </w:r>
      <w:r w:rsidRPr="00635ED4">
        <w:rPr>
          <w:rFonts w:ascii="Calibri" w:hAnsi="Calibri"/>
          <w:lang w:val="en-AU"/>
        </w:rPr>
        <w:t xml:space="preserve"> residents, requesting that </w:t>
      </w:r>
      <w:r>
        <w:rPr>
          <w:rFonts w:ascii="Calibri" w:hAnsi="Calibri"/>
          <w:lang w:val="en-AU"/>
        </w:rPr>
        <w:t>the Assembly call on the ACT Government to provide higher capacity buses on the No 45 bus route at peak time</w:t>
      </w:r>
      <w:r w:rsidR="00181DDB">
        <w:rPr>
          <w:rFonts w:ascii="Calibri" w:hAnsi="Calibri"/>
          <w:lang w:val="en-AU"/>
        </w:rPr>
        <w:t>s</w:t>
      </w:r>
      <w:r>
        <w:rPr>
          <w:rFonts w:ascii="Calibri" w:hAnsi="Calibri"/>
          <w:lang w:val="en-AU"/>
        </w:rPr>
        <w:t xml:space="preserve"> and a dedicated bus service for Hawker College</w:t>
      </w:r>
      <w:r w:rsidRPr="00635ED4">
        <w:rPr>
          <w:rFonts w:ascii="Calibri" w:hAnsi="Calibri"/>
          <w:lang w:val="en-AU"/>
        </w:rPr>
        <w:t xml:space="preserve"> (Pet </w:t>
      </w:r>
      <w:r>
        <w:rPr>
          <w:rFonts w:ascii="Calibri" w:hAnsi="Calibri"/>
          <w:lang w:val="en-AU"/>
        </w:rPr>
        <w:t>038-24</w:t>
      </w:r>
      <w:r w:rsidRPr="00635ED4">
        <w:rPr>
          <w:rFonts w:ascii="Calibri" w:hAnsi="Calibri"/>
          <w:lang w:val="en-AU"/>
        </w:rPr>
        <w:t>).</w:t>
      </w:r>
    </w:p>
    <w:p w14:paraId="322D4152" w14:textId="77777777" w:rsidR="00635ED4" w:rsidRPr="00635ED4" w:rsidRDefault="00635ED4" w:rsidP="00631663">
      <w:pPr>
        <w:spacing w:before="40"/>
        <w:ind w:left="720"/>
        <w:jc w:val="center"/>
        <w:rPr>
          <w:rFonts w:ascii="Calibri" w:hAnsi="Calibri"/>
          <w:lang w:val="en-AU"/>
        </w:rPr>
      </w:pPr>
      <w:r w:rsidRPr="00635ED4">
        <w:rPr>
          <w:rFonts w:ascii="Calibri" w:hAnsi="Calibri"/>
          <w:lang w:val="en-AU"/>
        </w:rPr>
        <w:t>____________________</w:t>
      </w:r>
    </w:p>
    <w:p w14:paraId="0D2FC62D" w14:textId="77777777" w:rsidR="00635ED4" w:rsidRPr="00635ED4" w:rsidRDefault="00635ED4" w:rsidP="00631663">
      <w:pPr>
        <w:spacing w:before="120"/>
        <w:ind w:left="720"/>
        <w:jc w:val="both"/>
        <w:rPr>
          <w:rFonts w:ascii="Calibri" w:hAnsi="Calibri"/>
          <w:lang w:val="en-AU"/>
        </w:rPr>
      </w:pPr>
      <w:r w:rsidRPr="00635ED4">
        <w:rPr>
          <w:rFonts w:ascii="Calibri" w:hAnsi="Calibri"/>
          <w:lang w:val="en-AU"/>
        </w:rPr>
        <w:t>The Speaker proposed—That the petition so lodged be noted.</w:t>
      </w:r>
    </w:p>
    <w:p w14:paraId="7CD26896" w14:textId="77777777" w:rsidR="00635ED4" w:rsidRDefault="00635ED4" w:rsidP="00631663">
      <w:pPr>
        <w:spacing w:before="80"/>
        <w:ind w:left="720"/>
        <w:rPr>
          <w:rFonts w:ascii="Calibri" w:hAnsi="Calibri"/>
          <w:lang w:val="en-AU"/>
        </w:rPr>
      </w:pPr>
      <w:r w:rsidRPr="00635ED4">
        <w:rPr>
          <w:rFonts w:ascii="Calibri" w:hAnsi="Calibri"/>
          <w:lang w:val="en-AU"/>
        </w:rPr>
        <w:t>Debate ensued.</w:t>
      </w:r>
    </w:p>
    <w:p w14:paraId="4576EF80" w14:textId="2312FB88" w:rsidR="00635ED4" w:rsidRPr="005B0F55" w:rsidRDefault="00635ED4" w:rsidP="00631663">
      <w:pPr>
        <w:spacing w:before="8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Mrs Kikkert, by leave, </w:t>
      </w:r>
      <w:r w:rsidRPr="005B0F55">
        <w:rPr>
          <w:rFonts w:ascii="Calibri" w:hAnsi="Calibri"/>
          <w:lang w:val="en-AU"/>
        </w:rPr>
        <w:t>presented the following paper:</w:t>
      </w:r>
    </w:p>
    <w:p w14:paraId="7ECEDCE9" w14:textId="143CA77E" w:rsidR="00635ED4" w:rsidRPr="005B0F55" w:rsidRDefault="00635ED4" w:rsidP="00631663">
      <w:pPr>
        <w:spacing w:before="80"/>
        <w:ind w:left="720"/>
        <w:rPr>
          <w:rFonts w:ascii="Calibri" w:hAnsi="Calibri"/>
          <w:lang w:val="en-AU"/>
        </w:rPr>
      </w:pPr>
      <w:r w:rsidRPr="005B0F55">
        <w:rPr>
          <w:rFonts w:ascii="Calibri" w:hAnsi="Calibri"/>
          <w:lang w:val="en-AU"/>
        </w:rPr>
        <w:t>Petition which does not conform with the standing orders—</w:t>
      </w:r>
      <w:r>
        <w:rPr>
          <w:rFonts w:ascii="Calibri" w:hAnsi="Calibri"/>
          <w:lang w:val="en-AU"/>
        </w:rPr>
        <w:t>Hawker College—Improvement to bus services—Mrs Kikkert</w:t>
      </w:r>
      <w:r w:rsidRPr="005B0F55">
        <w:rPr>
          <w:rFonts w:ascii="Calibri" w:hAnsi="Calibri"/>
          <w:lang w:val="en-AU"/>
        </w:rPr>
        <w:t xml:space="preserve"> (</w:t>
      </w:r>
      <w:r>
        <w:rPr>
          <w:rFonts w:ascii="Calibri" w:hAnsi="Calibri"/>
          <w:lang w:val="en-AU"/>
        </w:rPr>
        <w:t>2</w:t>
      </w:r>
      <w:r w:rsidR="00C01655">
        <w:rPr>
          <w:rFonts w:ascii="Calibri" w:hAnsi="Calibri"/>
          <w:lang w:val="en-AU"/>
        </w:rPr>
        <w:t>39</w:t>
      </w:r>
      <w:r w:rsidRPr="005B0F55">
        <w:rPr>
          <w:rFonts w:ascii="Calibri" w:hAnsi="Calibri"/>
          <w:lang w:val="en-AU"/>
        </w:rPr>
        <w:t xml:space="preserve"> signatures).</w:t>
      </w:r>
    </w:p>
    <w:p w14:paraId="2F034432" w14:textId="2A485006" w:rsidR="00635ED4" w:rsidRPr="00635ED4" w:rsidRDefault="00635ED4" w:rsidP="00631663">
      <w:pPr>
        <w:spacing w:before="80"/>
        <w:ind w:left="720"/>
        <w:rPr>
          <w:rFonts w:ascii="Calibri" w:hAnsi="Calibri"/>
          <w:lang w:val="en-AU"/>
        </w:rPr>
      </w:pPr>
      <w:r w:rsidRPr="00635ED4">
        <w:rPr>
          <w:rFonts w:ascii="Calibri" w:hAnsi="Calibri"/>
          <w:lang w:val="en-AU"/>
        </w:rPr>
        <w:t>Question—put and passed.</w:t>
      </w:r>
    </w:p>
    <w:p w14:paraId="09D38880" w14:textId="1D41F810" w:rsidR="00635ED4" w:rsidRPr="00635ED4" w:rsidRDefault="00635ED4" w:rsidP="00635ED4">
      <w:pPr>
        <w:keepNext/>
        <w:keepLines/>
        <w:tabs>
          <w:tab w:val="right" w:pos="339"/>
          <w:tab w:val="left" w:pos="720"/>
        </w:tabs>
        <w:spacing w:before="240"/>
        <w:ind w:left="720" w:hanging="720"/>
        <w:rPr>
          <w:rFonts w:ascii="Calibri" w:hAnsi="Calibri"/>
          <w:b/>
          <w:lang w:val="en-AU"/>
        </w:rPr>
      </w:pPr>
      <w:r w:rsidRPr="00635ED4">
        <w:rPr>
          <w:rFonts w:ascii="Calibri" w:hAnsi="Calibri"/>
          <w:b/>
          <w:lang w:val="en-AU"/>
        </w:rPr>
        <w:lastRenderedPageBreak/>
        <w:tab/>
      </w:r>
      <w:r w:rsidR="00847B5E">
        <w:rPr>
          <w:rFonts w:ascii="Calibri" w:hAnsi="Calibri"/>
          <w:b/>
          <w:bCs/>
          <w:lang w:val="en-AU"/>
        </w:rPr>
        <w:fldChar w:fldCharType="begin"/>
      </w:r>
      <w:r w:rsidR="00847B5E">
        <w:rPr>
          <w:rFonts w:ascii="Calibri" w:hAnsi="Calibri"/>
          <w:b/>
          <w:bCs/>
          <w:lang w:val="en-AU"/>
        </w:rPr>
        <w:instrText xml:space="preserve"> SEQ A \* MERGEFORMAT </w:instrText>
      </w:r>
      <w:r w:rsidR="00847B5E">
        <w:rPr>
          <w:rFonts w:ascii="Calibri" w:hAnsi="Calibri"/>
          <w:b/>
          <w:bCs/>
          <w:lang w:val="en-AU"/>
        </w:rPr>
        <w:fldChar w:fldCharType="separate"/>
      </w:r>
      <w:r w:rsidR="0020376F">
        <w:rPr>
          <w:rFonts w:ascii="Calibri" w:hAnsi="Calibri"/>
          <w:b/>
          <w:bCs/>
          <w:noProof/>
          <w:lang w:val="en-AU"/>
        </w:rPr>
        <w:t>3</w:t>
      </w:r>
      <w:r w:rsidR="00847B5E">
        <w:rPr>
          <w:rFonts w:ascii="Calibri" w:hAnsi="Calibri"/>
          <w:b/>
          <w:bCs/>
          <w:lang w:val="en-AU"/>
        </w:rPr>
        <w:fldChar w:fldCharType="end"/>
      </w:r>
      <w:r w:rsidRPr="00635ED4">
        <w:rPr>
          <w:rFonts w:ascii="Calibri" w:hAnsi="Calibri"/>
          <w:b/>
          <w:lang w:val="en-AU"/>
        </w:rPr>
        <w:tab/>
      </w:r>
      <w:r>
        <w:rPr>
          <w:rFonts w:ascii="Calibri" w:hAnsi="Calibri"/>
          <w:b/>
          <w:caps/>
          <w:lang w:val="en-AU"/>
        </w:rPr>
        <w:t>Disability Justice Strategy—Second Action Plan</w:t>
      </w:r>
      <w:r w:rsidRPr="00635ED4">
        <w:rPr>
          <w:rFonts w:ascii="Calibri" w:hAnsi="Calibri"/>
          <w:b/>
          <w:caps/>
          <w:lang w:val="en-AU"/>
        </w:rPr>
        <w:t>—MINISTERIAL STATEMENT</w:t>
      </w:r>
      <w:r>
        <w:rPr>
          <w:rFonts w:ascii="Calibri" w:hAnsi="Calibri"/>
          <w:b/>
          <w:caps/>
          <w:lang w:val="en-AU"/>
        </w:rPr>
        <w:t xml:space="preserve"> and paper</w:t>
      </w:r>
      <w:r w:rsidRPr="00635ED4">
        <w:rPr>
          <w:rFonts w:ascii="Calibri" w:hAnsi="Calibri"/>
          <w:b/>
          <w:caps/>
          <w:lang w:val="en-AU"/>
        </w:rPr>
        <w:t>—PAPER NOTED</w:t>
      </w:r>
    </w:p>
    <w:p w14:paraId="05B210B0" w14:textId="3E0C255D" w:rsidR="00847B5E" w:rsidRDefault="00635ED4" w:rsidP="0061651C">
      <w:pPr>
        <w:spacing w:before="80"/>
        <w:ind w:left="720"/>
        <w:rPr>
          <w:rFonts w:ascii="Calibri" w:hAnsi="Calibri"/>
          <w:lang w:val="en-AU"/>
        </w:rPr>
      </w:pPr>
      <w:r>
        <w:rPr>
          <w:rFonts w:ascii="Calibri" w:hAnsi="Calibri"/>
          <w:lang w:val="en-AU"/>
        </w:rPr>
        <w:t>Mr Rattenbury (Attorney-General)</w:t>
      </w:r>
      <w:r w:rsidRPr="00635ED4">
        <w:rPr>
          <w:rFonts w:ascii="Calibri" w:hAnsi="Calibri"/>
          <w:lang w:val="en-AU"/>
        </w:rPr>
        <w:t xml:space="preserve"> presented the following paper</w:t>
      </w:r>
      <w:r>
        <w:rPr>
          <w:rFonts w:ascii="Calibri" w:hAnsi="Calibri"/>
          <w:lang w:val="en-AU"/>
        </w:rPr>
        <w:t>s</w:t>
      </w:r>
      <w:r w:rsidRPr="00635ED4">
        <w:rPr>
          <w:rFonts w:ascii="Calibri" w:hAnsi="Calibri"/>
          <w:lang w:val="en-AU"/>
        </w:rPr>
        <w:t>:</w:t>
      </w:r>
    </w:p>
    <w:p w14:paraId="7FACF4DC" w14:textId="043045EF" w:rsidR="00635ED4" w:rsidRDefault="00847B5E" w:rsidP="0061651C">
      <w:pPr>
        <w:spacing w:before="80"/>
        <w:ind w:left="720"/>
      </w:pPr>
      <w:r>
        <w:rPr>
          <w:rStyle w:val="DPSEntryDetailChar"/>
        </w:rPr>
        <w:t>D</w:t>
      </w:r>
      <w:r w:rsidR="00C01655" w:rsidRPr="00847B5E">
        <w:rPr>
          <w:rStyle w:val="DPSEntryDetailChar"/>
        </w:rPr>
        <w:t>isability Justice Strategy</w:t>
      </w:r>
      <w:r w:rsidR="002541E9">
        <w:rPr>
          <w:rStyle w:val="DPSEntryDetailChar"/>
        </w:rPr>
        <w:t xml:space="preserve">: </w:t>
      </w:r>
      <w:r w:rsidR="00C01655" w:rsidRPr="00847B5E">
        <w:rPr>
          <w:rStyle w:val="DPSEntryDetailChar"/>
        </w:rPr>
        <w:t>Second Act</w:t>
      </w:r>
      <w:r w:rsidR="00C01655" w:rsidRPr="00C01655">
        <w:t>ion Plan (2024-2028), dated August 2024</w:t>
      </w:r>
      <w:r w:rsidR="00C01655">
        <w:t>.</w:t>
      </w:r>
    </w:p>
    <w:p w14:paraId="09FE80C4" w14:textId="4A71829F" w:rsidR="00635ED4" w:rsidRPr="00635ED4" w:rsidRDefault="00635ED4" w:rsidP="0061651C">
      <w:pPr>
        <w:pStyle w:val="DPSEntryDetailIndentLev1"/>
        <w:spacing w:before="80"/>
      </w:pPr>
      <w:r w:rsidRPr="00635ED4">
        <w:t xml:space="preserve">Ministerial statement, </w:t>
      </w:r>
      <w:r>
        <w:t>28 August 2024</w:t>
      </w:r>
      <w:r w:rsidRPr="00635ED4">
        <w:t>.</w:t>
      </w:r>
    </w:p>
    <w:p w14:paraId="039E9275" w14:textId="3332B1D3" w:rsidR="00635ED4" w:rsidRPr="00635ED4" w:rsidRDefault="00635ED4" w:rsidP="0061651C">
      <w:pPr>
        <w:spacing w:before="80"/>
        <w:ind w:left="720"/>
        <w:rPr>
          <w:rFonts w:ascii="Calibri" w:hAnsi="Calibri"/>
          <w:lang w:val="en-AU"/>
        </w:rPr>
      </w:pPr>
      <w:r>
        <w:rPr>
          <w:rFonts w:ascii="Calibri" w:hAnsi="Calibri"/>
          <w:lang w:val="en-AU"/>
        </w:rPr>
        <w:t>Mr Rattenbury</w:t>
      </w:r>
      <w:r w:rsidRPr="00635ED4">
        <w:rPr>
          <w:rFonts w:ascii="Calibri" w:hAnsi="Calibri"/>
          <w:lang w:val="en-AU"/>
        </w:rPr>
        <w:t xml:space="preserve"> moved—That the Assembly take note of the </w:t>
      </w:r>
      <w:r w:rsidR="00797BD5">
        <w:rPr>
          <w:rFonts w:ascii="Calibri" w:hAnsi="Calibri"/>
          <w:lang w:val="en-AU"/>
        </w:rPr>
        <w:t>ministerial statement</w:t>
      </w:r>
      <w:r w:rsidRPr="00635ED4">
        <w:rPr>
          <w:rFonts w:ascii="Calibri" w:hAnsi="Calibri"/>
          <w:lang w:val="en-AU"/>
        </w:rPr>
        <w:t>.</w:t>
      </w:r>
    </w:p>
    <w:p w14:paraId="4A9EEFD2" w14:textId="77777777" w:rsidR="00635ED4" w:rsidRPr="00635ED4" w:rsidRDefault="00635ED4" w:rsidP="0061651C">
      <w:pPr>
        <w:spacing w:before="80"/>
        <w:ind w:left="720"/>
        <w:rPr>
          <w:rFonts w:ascii="Calibri" w:hAnsi="Calibri"/>
          <w:lang w:val="en-AU"/>
        </w:rPr>
      </w:pPr>
      <w:r w:rsidRPr="00635ED4">
        <w:rPr>
          <w:rFonts w:ascii="Calibri" w:hAnsi="Calibri"/>
          <w:lang w:val="en-AU"/>
        </w:rPr>
        <w:t>Question—put and passed.</w:t>
      </w:r>
    </w:p>
    <w:p w14:paraId="1DA8E958" w14:textId="654CD19A" w:rsidR="00635ED4" w:rsidRPr="00635ED4" w:rsidRDefault="00635ED4" w:rsidP="00635ED4">
      <w:pPr>
        <w:keepNext/>
        <w:keepLines/>
        <w:tabs>
          <w:tab w:val="right" w:pos="339"/>
          <w:tab w:val="left" w:pos="720"/>
        </w:tabs>
        <w:spacing w:before="240"/>
        <w:ind w:left="720" w:hanging="720"/>
        <w:rPr>
          <w:rFonts w:ascii="Calibri" w:hAnsi="Calibri"/>
          <w:b/>
          <w:lang w:val="en-AU"/>
        </w:rPr>
      </w:pPr>
      <w:r w:rsidRPr="00635ED4">
        <w:rPr>
          <w:rFonts w:ascii="Calibri" w:hAnsi="Calibri"/>
          <w:b/>
          <w:lang w:val="en-AU"/>
        </w:rPr>
        <w:tab/>
      </w:r>
      <w:r w:rsidR="00847B5E">
        <w:rPr>
          <w:rFonts w:ascii="Calibri" w:hAnsi="Calibri"/>
          <w:b/>
          <w:bCs/>
          <w:lang w:val="en-AU"/>
        </w:rPr>
        <w:fldChar w:fldCharType="begin"/>
      </w:r>
      <w:r w:rsidR="00847B5E">
        <w:rPr>
          <w:rFonts w:ascii="Calibri" w:hAnsi="Calibri"/>
          <w:b/>
          <w:bCs/>
          <w:lang w:val="en-AU"/>
        </w:rPr>
        <w:instrText xml:space="preserve"> SEQ A \* MERGEFORMAT </w:instrText>
      </w:r>
      <w:r w:rsidR="00847B5E">
        <w:rPr>
          <w:rFonts w:ascii="Calibri" w:hAnsi="Calibri"/>
          <w:b/>
          <w:bCs/>
          <w:lang w:val="en-AU"/>
        </w:rPr>
        <w:fldChar w:fldCharType="separate"/>
      </w:r>
      <w:r w:rsidR="0020376F">
        <w:rPr>
          <w:rFonts w:ascii="Calibri" w:hAnsi="Calibri"/>
          <w:b/>
          <w:bCs/>
          <w:noProof/>
          <w:lang w:val="en-AU"/>
        </w:rPr>
        <w:t>4</w:t>
      </w:r>
      <w:r w:rsidR="00847B5E">
        <w:rPr>
          <w:rFonts w:ascii="Calibri" w:hAnsi="Calibri"/>
          <w:b/>
          <w:bCs/>
          <w:lang w:val="en-AU"/>
        </w:rPr>
        <w:fldChar w:fldCharType="end"/>
      </w:r>
      <w:r w:rsidRPr="00635ED4">
        <w:rPr>
          <w:rFonts w:ascii="Calibri" w:hAnsi="Calibri"/>
          <w:b/>
          <w:lang w:val="en-AU"/>
        </w:rPr>
        <w:tab/>
      </w:r>
      <w:r>
        <w:rPr>
          <w:rFonts w:ascii="Calibri" w:hAnsi="Calibri"/>
          <w:b/>
          <w:caps/>
          <w:lang w:val="en-AU"/>
        </w:rPr>
        <w:t>Eating disorderS—A</w:t>
      </w:r>
      <w:r w:rsidR="008147B7">
        <w:rPr>
          <w:rFonts w:ascii="Calibri" w:hAnsi="Calibri"/>
          <w:b/>
          <w:caps/>
          <w:lang w:val="en-AU"/>
        </w:rPr>
        <w:t>.</w:t>
      </w:r>
      <w:r>
        <w:rPr>
          <w:rFonts w:ascii="Calibri" w:hAnsi="Calibri"/>
          <w:b/>
          <w:caps/>
          <w:lang w:val="en-AU"/>
        </w:rPr>
        <w:t>C</w:t>
      </w:r>
      <w:r w:rsidR="008147B7">
        <w:rPr>
          <w:rFonts w:ascii="Calibri" w:hAnsi="Calibri"/>
          <w:b/>
          <w:caps/>
          <w:lang w:val="en-AU"/>
        </w:rPr>
        <w:t>.</w:t>
      </w:r>
      <w:r>
        <w:rPr>
          <w:rFonts w:ascii="Calibri" w:hAnsi="Calibri"/>
          <w:b/>
          <w:caps/>
          <w:lang w:val="en-AU"/>
        </w:rPr>
        <w:t>T</w:t>
      </w:r>
      <w:r w:rsidR="008147B7">
        <w:rPr>
          <w:rFonts w:ascii="Calibri" w:hAnsi="Calibri"/>
          <w:b/>
          <w:caps/>
          <w:lang w:val="en-AU"/>
        </w:rPr>
        <w:t>.</w:t>
      </w:r>
      <w:r>
        <w:rPr>
          <w:rFonts w:ascii="Calibri" w:hAnsi="Calibri"/>
          <w:b/>
          <w:caps/>
          <w:lang w:val="en-AU"/>
        </w:rPr>
        <w:t xml:space="preserve"> Government Position Statement</w:t>
      </w:r>
      <w:r w:rsidR="00847B5E">
        <w:rPr>
          <w:rFonts w:ascii="Calibri" w:hAnsi="Calibri"/>
          <w:b/>
          <w:caps/>
          <w:lang w:val="en-AU"/>
        </w:rPr>
        <w:t>—Annual update</w:t>
      </w:r>
      <w:r w:rsidRPr="00635ED4">
        <w:rPr>
          <w:rFonts w:ascii="Calibri" w:hAnsi="Calibri"/>
          <w:b/>
          <w:caps/>
          <w:lang w:val="en-AU"/>
        </w:rPr>
        <w:t>—MINISTERIAL STATEMENT—PAPER NOTED</w:t>
      </w:r>
    </w:p>
    <w:p w14:paraId="740C934E" w14:textId="54D16E84" w:rsidR="00635ED4" w:rsidRPr="00635ED4" w:rsidRDefault="00635ED4" w:rsidP="00635ED4">
      <w:pPr>
        <w:spacing w:before="120"/>
        <w:ind w:left="720"/>
        <w:rPr>
          <w:rFonts w:ascii="Calibri" w:hAnsi="Calibri"/>
          <w:lang w:val="en-AU"/>
        </w:rPr>
      </w:pPr>
      <w:r>
        <w:rPr>
          <w:rFonts w:ascii="Calibri" w:hAnsi="Calibri"/>
          <w:lang w:val="en-AU"/>
        </w:rPr>
        <w:t>Ms Davidson (Minister for Mental Health)</w:t>
      </w:r>
      <w:r w:rsidRPr="00635ED4">
        <w:rPr>
          <w:rFonts w:ascii="Calibri" w:hAnsi="Calibri"/>
          <w:lang w:val="en-AU"/>
        </w:rPr>
        <w:t xml:space="preserve"> made a ministerial statement </w:t>
      </w:r>
      <w:r w:rsidR="00847B5E">
        <w:rPr>
          <w:rFonts w:ascii="Calibri" w:hAnsi="Calibri"/>
          <w:lang w:val="en-AU"/>
        </w:rPr>
        <w:t xml:space="preserve">concerning </w:t>
      </w:r>
      <w:r>
        <w:rPr>
          <w:rFonts w:ascii="Calibri" w:hAnsi="Calibri"/>
          <w:lang w:val="en-AU"/>
        </w:rPr>
        <w:t xml:space="preserve">the </w:t>
      </w:r>
      <w:r w:rsidR="00631663">
        <w:rPr>
          <w:rFonts w:ascii="Calibri" w:hAnsi="Calibri"/>
          <w:lang w:val="en-AU"/>
        </w:rPr>
        <w:t xml:space="preserve">2024 update to the </w:t>
      </w:r>
      <w:r>
        <w:rPr>
          <w:rFonts w:ascii="Calibri" w:hAnsi="Calibri"/>
          <w:lang w:val="en-AU"/>
        </w:rPr>
        <w:t>ACT Government</w:t>
      </w:r>
      <w:r w:rsidR="00F255CA">
        <w:rPr>
          <w:rFonts w:ascii="Calibri" w:hAnsi="Calibri"/>
          <w:lang w:val="en-AU"/>
        </w:rPr>
        <w:t>’</w:t>
      </w:r>
      <w:r>
        <w:rPr>
          <w:rFonts w:ascii="Calibri" w:hAnsi="Calibri"/>
          <w:lang w:val="en-AU"/>
        </w:rPr>
        <w:t>s position statement on eating disorders</w:t>
      </w:r>
      <w:r w:rsidRPr="00635ED4">
        <w:rPr>
          <w:rFonts w:ascii="Calibri" w:hAnsi="Calibri"/>
          <w:lang w:val="en-AU"/>
        </w:rPr>
        <w:t xml:space="preserve"> and presented the following paper:</w:t>
      </w:r>
    </w:p>
    <w:p w14:paraId="217C1C56" w14:textId="402FDFDD" w:rsidR="00635ED4" w:rsidRPr="00635ED4" w:rsidRDefault="00635ED4" w:rsidP="00635ED4">
      <w:pPr>
        <w:spacing w:before="120"/>
        <w:ind w:left="720"/>
        <w:rPr>
          <w:rFonts w:ascii="Calibri" w:hAnsi="Calibri"/>
          <w:lang w:val="en-AU"/>
        </w:rPr>
      </w:pPr>
      <w:r>
        <w:rPr>
          <w:rFonts w:ascii="Calibri" w:hAnsi="Calibri"/>
          <w:lang w:val="en-AU"/>
        </w:rPr>
        <w:t>ACT Government Position Statement on Eating Disorders</w:t>
      </w:r>
      <w:r w:rsidRPr="00635ED4">
        <w:rPr>
          <w:rFonts w:ascii="Calibri" w:hAnsi="Calibri"/>
          <w:lang w:val="en-AU"/>
        </w:rPr>
        <w:t>—</w:t>
      </w:r>
      <w:r w:rsidR="008147B7">
        <w:rPr>
          <w:rFonts w:ascii="Calibri" w:hAnsi="Calibri"/>
          <w:lang w:val="en-AU"/>
        </w:rPr>
        <w:t>Annual update—</w:t>
      </w:r>
      <w:r w:rsidRPr="00635ED4">
        <w:rPr>
          <w:rFonts w:ascii="Calibri" w:hAnsi="Calibri"/>
          <w:lang w:val="en-AU"/>
        </w:rPr>
        <w:t xml:space="preserve">Ministerial statement, </w:t>
      </w:r>
      <w:r>
        <w:rPr>
          <w:rFonts w:ascii="Calibri" w:hAnsi="Calibri"/>
          <w:lang w:val="en-AU"/>
        </w:rPr>
        <w:t>28 August 2024</w:t>
      </w:r>
      <w:r w:rsidRPr="00635ED4">
        <w:rPr>
          <w:rFonts w:ascii="Calibri" w:hAnsi="Calibri"/>
          <w:lang w:val="en-AU"/>
        </w:rPr>
        <w:t>.</w:t>
      </w:r>
    </w:p>
    <w:p w14:paraId="3157D29B" w14:textId="07ABF1FD" w:rsidR="00635ED4" w:rsidRPr="00635ED4" w:rsidRDefault="00635ED4" w:rsidP="00635ED4">
      <w:pPr>
        <w:spacing w:before="120"/>
        <w:ind w:left="720"/>
        <w:rPr>
          <w:rFonts w:ascii="Calibri" w:hAnsi="Calibri"/>
          <w:lang w:val="en-AU"/>
        </w:rPr>
      </w:pPr>
      <w:r>
        <w:rPr>
          <w:rFonts w:ascii="Calibri" w:hAnsi="Calibri"/>
          <w:lang w:val="en-AU"/>
        </w:rPr>
        <w:t>Ms Davidson</w:t>
      </w:r>
      <w:r w:rsidRPr="00635ED4">
        <w:rPr>
          <w:rFonts w:ascii="Calibri" w:hAnsi="Calibri"/>
          <w:lang w:val="en-AU"/>
        </w:rPr>
        <w:t xml:space="preserve"> moved—That the Assembly take note of the</w:t>
      </w:r>
      <w:r w:rsidR="00797BD5">
        <w:rPr>
          <w:rFonts w:ascii="Calibri" w:hAnsi="Calibri"/>
          <w:lang w:val="en-AU"/>
        </w:rPr>
        <w:t xml:space="preserve"> paper</w:t>
      </w:r>
      <w:r w:rsidRPr="00635ED4">
        <w:rPr>
          <w:rFonts w:ascii="Calibri" w:hAnsi="Calibri"/>
          <w:lang w:val="en-AU"/>
        </w:rPr>
        <w:t>.</w:t>
      </w:r>
    </w:p>
    <w:p w14:paraId="1015F82B" w14:textId="77777777" w:rsidR="00635ED4" w:rsidRPr="00635ED4" w:rsidRDefault="00635ED4" w:rsidP="00635ED4">
      <w:pPr>
        <w:spacing w:before="120"/>
        <w:ind w:left="720"/>
        <w:rPr>
          <w:rFonts w:ascii="Calibri" w:hAnsi="Calibri"/>
          <w:lang w:val="en-AU"/>
        </w:rPr>
      </w:pPr>
      <w:r w:rsidRPr="00635ED4">
        <w:rPr>
          <w:rFonts w:ascii="Calibri" w:hAnsi="Calibri"/>
          <w:lang w:val="en-AU"/>
        </w:rPr>
        <w:t>Question—put and passed.</w:t>
      </w:r>
    </w:p>
    <w:p w14:paraId="6E66DD2A" w14:textId="7BBB1A69" w:rsidR="00797BD5" w:rsidRPr="00797BD5" w:rsidRDefault="00797BD5" w:rsidP="00797BD5">
      <w:pPr>
        <w:keepNext/>
        <w:keepLines/>
        <w:tabs>
          <w:tab w:val="right" w:pos="339"/>
          <w:tab w:val="left" w:pos="720"/>
        </w:tabs>
        <w:spacing w:before="240"/>
        <w:ind w:left="720" w:hanging="720"/>
        <w:rPr>
          <w:rFonts w:ascii="Calibri" w:hAnsi="Calibri"/>
          <w:b/>
          <w:caps/>
        </w:rPr>
      </w:pPr>
      <w:r w:rsidRPr="00797BD5">
        <w:rPr>
          <w:rFonts w:ascii="Calibri" w:hAnsi="Calibri"/>
          <w:b/>
          <w:caps/>
        </w:rPr>
        <w:tab/>
      </w:r>
      <w:r w:rsidR="00847B5E">
        <w:rPr>
          <w:rFonts w:ascii="Calibri" w:hAnsi="Calibri"/>
          <w:b/>
          <w:bCs/>
          <w:caps/>
        </w:rPr>
        <w:fldChar w:fldCharType="begin"/>
      </w:r>
      <w:r w:rsidR="00847B5E">
        <w:rPr>
          <w:rFonts w:ascii="Calibri" w:hAnsi="Calibri"/>
          <w:b/>
          <w:bCs/>
          <w:caps/>
        </w:rPr>
        <w:instrText xml:space="preserve"> SEQ A \* MERGEFORMAT </w:instrText>
      </w:r>
      <w:r w:rsidR="00847B5E">
        <w:rPr>
          <w:rFonts w:ascii="Calibri" w:hAnsi="Calibri"/>
          <w:b/>
          <w:bCs/>
          <w:caps/>
        </w:rPr>
        <w:fldChar w:fldCharType="separate"/>
      </w:r>
      <w:r w:rsidR="0020376F">
        <w:rPr>
          <w:rFonts w:ascii="Calibri" w:hAnsi="Calibri"/>
          <w:b/>
          <w:bCs/>
          <w:caps/>
          <w:noProof/>
        </w:rPr>
        <w:t>5</w:t>
      </w:r>
      <w:r w:rsidR="00847B5E">
        <w:rPr>
          <w:rFonts w:ascii="Calibri" w:hAnsi="Calibri"/>
          <w:b/>
          <w:bCs/>
          <w:caps/>
        </w:rPr>
        <w:fldChar w:fldCharType="end"/>
      </w:r>
      <w:r w:rsidRPr="00797BD5">
        <w:rPr>
          <w:rFonts w:ascii="Calibri" w:hAnsi="Calibri"/>
          <w:b/>
          <w:caps/>
        </w:rPr>
        <w:tab/>
      </w:r>
      <w:r>
        <w:rPr>
          <w:rFonts w:ascii="Calibri" w:hAnsi="Calibri"/>
          <w:b/>
          <w:caps/>
        </w:rPr>
        <w:t>Final Territory Plan</w:t>
      </w:r>
    </w:p>
    <w:p w14:paraId="7079B950" w14:textId="4394E257" w:rsidR="00797BD5" w:rsidRDefault="00797BD5" w:rsidP="00797BD5">
      <w:pPr>
        <w:tabs>
          <w:tab w:val="left" w:pos="1197"/>
          <w:tab w:val="left" w:pos="1767"/>
        </w:tabs>
        <w:spacing w:before="120"/>
        <w:ind w:left="720"/>
        <w:rPr>
          <w:rFonts w:ascii="Calibri" w:hAnsi="Calibri"/>
          <w:lang w:val="en-AU"/>
        </w:rPr>
      </w:pPr>
      <w:r w:rsidRPr="00797BD5">
        <w:rPr>
          <w:rFonts w:ascii="Calibri" w:hAnsi="Calibri"/>
          <w:lang w:val="en-AU"/>
        </w:rPr>
        <w:t xml:space="preserve">The order of the day having been read for the resumption of the debate on the motion of </w:t>
      </w:r>
      <w:r>
        <w:rPr>
          <w:rFonts w:ascii="Calibri" w:hAnsi="Calibri"/>
          <w:lang w:val="en-AU"/>
        </w:rPr>
        <w:t>Mr Steel</w:t>
      </w:r>
      <w:r w:rsidRPr="00797BD5">
        <w:rPr>
          <w:rFonts w:ascii="Calibri" w:hAnsi="Calibri"/>
          <w:lang w:val="en-AU"/>
        </w:rPr>
        <w:t xml:space="preserve"> </w:t>
      </w:r>
      <w:r>
        <w:rPr>
          <w:rFonts w:ascii="Calibri" w:hAnsi="Calibri"/>
          <w:lang w:val="en-AU"/>
        </w:rPr>
        <w:t>Minister for Planning</w:t>
      </w:r>
      <w:r w:rsidRPr="00797BD5">
        <w:rPr>
          <w:rFonts w:ascii="Calibri" w:hAnsi="Calibri"/>
          <w:lang w:val="en-AU"/>
        </w:rPr>
        <w:t>)—That</w:t>
      </w:r>
      <w:r>
        <w:rPr>
          <w:rFonts w:ascii="Calibri" w:hAnsi="Calibri"/>
          <w:i/>
          <w:iCs/>
          <w:lang w:val="en-AU"/>
        </w:rPr>
        <w:t xml:space="preserve"> </w:t>
      </w:r>
      <w:r>
        <w:rPr>
          <w:rFonts w:ascii="Calibri" w:hAnsi="Calibri"/>
          <w:lang w:val="en-AU"/>
        </w:rPr>
        <w:t>this Assembly:</w:t>
      </w:r>
    </w:p>
    <w:p w14:paraId="026F3219" w14:textId="77777777" w:rsidR="0071112A" w:rsidRPr="005D16AB" w:rsidRDefault="0071112A" w:rsidP="00631663">
      <w:pPr>
        <w:pStyle w:val="DPSEntryIndents"/>
        <w:numPr>
          <w:ilvl w:val="0"/>
          <w:numId w:val="4"/>
        </w:numPr>
      </w:pPr>
      <w:r w:rsidRPr="005D16AB">
        <w:t>notes that:</w:t>
      </w:r>
    </w:p>
    <w:p w14:paraId="7EE1936A" w14:textId="77777777" w:rsidR="0071112A" w:rsidRPr="005D16AB" w:rsidRDefault="0071112A" w:rsidP="00631663">
      <w:pPr>
        <w:spacing w:before="120"/>
        <w:ind w:left="1910" w:hanging="544"/>
        <w:rPr>
          <w:rFonts w:ascii="Calibri" w:hAnsi="Calibri"/>
          <w:color w:val="000000"/>
          <w:lang w:val="en-AU"/>
        </w:rPr>
      </w:pPr>
      <w:r w:rsidRPr="005D16AB">
        <w:rPr>
          <w:rFonts w:ascii="Calibri" w:hAnsi="Calibri"/>
          <w:color w:val="000000"/>
          <w:lang w:val="en-AU"/>
        </w:rPr>
        <w:t>(a)</w:t>
      </w:r>
      <w:r w:rsidRPr="005D16AB">
        <w:rPr>
          <w:rFonts w:ascii="Calibri" w:hAnsi="Calibri"/>
          <w:color w:val="000000"/>
          <w:lang w:val="en-AU"/>
        </w:rPr>
        <w:tab/>
      </w:r>
      <w:r>
        <w:rPr>
          <w:rFonts w:ascii="Calibri" w:hAnsi="Calibri"/>
          <w:color w:val="000000"/>
          <w:lang w:val="en-AU"/>
        </w:rPr>
        <w:t>t</w:t>
      </w:r>
      <w:r w:rsidRPr="005D16AB">
        <w:rPr>
          <w:rFonts w:ascii="Calibri" w:hAnsi="Calibri"/>
          <w:color w:val="000000"/>
          <w:lang w:val="en-AU"/>
        </w:rPr>
        <w:t>he interim Territory Plan was made by the then Minister for Planning and Land Management on 5 September 2023</w:t>
      </w:r>
      <w:r>
        <w:rPr>
          <w:rFonts w:ascii="Calibri" w:hAnsi="Calibri"/>
          <w:color w:val="000000"/>
          <w:lang w:val="en-AU"/>
        </w:rPr>
        <w:t>,</w:t>
      </w:r>
      <w:r w:rsidRPr="005D16AB">
        <w:rPr>
          <w:rFonts w:ascii="Calibri" w:hAnsi="Calibri"/>
          <w:color w:val="000000"/>
          <w:lang w:val="en-AU"/>
        </w:rPr>
        <w:t xml:space="preserve"> and presented to the Legislative Assembly on 12 September 2023. The commencement date for the interim Territory Plan was 27 November 2023</w:t>
      </w:r>
      <w:r>
        <w:rPr>
          <w:rFonts w:ascii="Calibri" w:hAnsi="Calibri"/>
          <w:color w:val="000000"/>
          <w:lang w:val="en-AU"/>
        </w:rPr>
        <w:t>;</w:t>
      </w:r>
    </w:p>
    <w:p w14:paraId="2EE13B67" w14:textId="77777777" w:rsidR="0071112A" w:rsidRPr="005D16AB" w:rsidRDefault="0071112A" w:rsidP="00631663">
      <w:pPr>
        <w:spacing w:before="120"/>
        <w:ind w:left="1910" w:hanging="544"/>
        <w:rPr>
          <w:rFonts w:ascii="Calibri" w:hAnsi="Calibri"/>
          <w:color w:val="000000"/>
          <w:lang w:val="en-AU"/>
        </w:rPr>
      </w:pPr>
      <w:r w:rsidRPr="005D16AB">
        <w:rPr>
          <w:rFonts w:ascii="Calibri" w:hAnsi="Calibri"/>
          <w:color w:val="000000"/>
          <w:lang w:val="en-AU"/>
        </w:rPr>
        <w:t>(b)</w:t>
      </w:r>
      <w:r w:rsidRPr="005D16AB">
        <w:rPr>
          <w:rFonts w:ascii="Calibri" w:hAnsi="Calibri"/>
          <w:color w:val="000000"/>
          <w:lang w:val="en-AU"/>
        </w:rPr>
        <w:tab/>
      </w:r>
      <w:r w:rsidRPr="005D16AB">
        <w:rPr>
          <w:rFonts w:ascii="Calibri" w:hAnsi="Calibri"/>
          <w:color w:val="000000"/>
          <w:spacing w:val="-4"/>
          <w:lang w:val="en-AU"/>
        </w:rPr>
        <w:t>on 11 September 2023, before being presented to the Legislative Assembly, the interim Territory Plan was referred to the Standing Committee on Planning, Transport and City Services (the Committee). On 12 September 2023, the Committee resolved to undertake an inquiry into the Territory Plan;</w:t>
      </w:r>
      <w:r w:rsidRPr="005D16AB">
        <w:rPr>
          <w:rFonts w:ascii="Calibri" w:hAnsi="Calibri"/>
          <w:color w:val="000000"/>
          <w:lang w:val="en-AU"/>
        </w:rPr>
        <w:t xml:space="preserve"> </w:t>
      </w:r>
    </w:p>
    <w:p w14:paraId="11B0AC92" w14:textId="77777777" w:rsidR="0071112A" w:rsidRPr="005D16AB" w:rsidRDefault="0071112A" w:rsidP="00631663">
      <w:pPr>
        <w:spacing w:before="120"/>
        <w:ind w:left="1910" w:hanging="544"/>
        <w:rPr>
          <w:rFonts w:ascii="Calibri" w:hAnsi="Calibri"/>
          <w:color w:val="000000"/>
          <w:lang w:val="en-AU"/>
        </w:rPr>
      </w:pPr>
      <w:r w:rsidRPr="005D16AB">
        <w:rPr>
          <w:rFonts w:ascii="Calibri" w:hAnsi="Calibri"/>
          <w:color w:val="000000"/>
          <w:lang w:val="en-AU"/>
        </w:rPr>
        <w:t>(c)</w:t>
      </w:r>
      <w:r w:rsidRPr="005D16AB">
        <w:rPr>
          <w:rFonts w:ascii="Calibri" w:hAnsi="Calibri"/>
          <w:color w:val="000000"/>
          <w:lang w:val="en-AU"/>
        </w:rPr>
        <w:tab/>
      </w:r>
      <w:r>
        <w:rPr>
          <w:rFonts w:ascii="Calibri" w:hAnsi="Calibri"/>
          <w:color w:val="000000"/>
          <w:lang w:val="en-AU"/>
        </w:rPr>
        <w:t>t</w:t>
      </w:r>
      <w:r w:rsidRPr="005D16AB">
        <w:rPr>
          <w:rFonts w:ascii="Calibri" w:hAnsi="Calibri"/>
          <w:color w:val="000000"/>
          <w:lang w:val="en-AU"/>
        </w:rPr>
        <w:t xml:space="preserve">he Committee finalised Report 16: </w:t>
      </w:r>
      <w:r w:rsidRPr="006A2EBA">
        <w:rPr>
          <w:rFonts w:ascii="Calibri" w:hAnsi="Calibri"/>
          <w:i/>
          <w:iCs/>
          <w:color w:val="000000"/>
          <w:lang w:val="en-AU"/>
        </w:rPr>
        <w:t>Inquiry into the Territory Plan and other associated documents</w:t>
      </w:r>
      <w:r w:rsidRPr="005D16AB">
        <w:rPr>
          <w:rFonts w:ascii="Calibri" w:hAnsi="Calibri"/>
          <w:color w:val="000000"/>
          <w:lang w:val="en-AU"/>
        </w:rPr>
        <w:t xml:space="preserve"> (the report) on 8 March 2024 and formally tabled the report in the Legislative Assembly on 13 March 2024</w:t>
      </w:r>
      <w:r>
        <w:rPr>
          <w:rFonts w:ascii="Calibri" w:hAnsi="Calibri"/>
          <w:color w:val="000000"/>
          <w:lang w:val="en-AU"/>
        </w:rPr>
        <w:t>;</w:t>
      </w:r>
    </w:p>
    <w:p w14:paraId="41D921D3" w14:textId="1697EEF2" w:rsidR="0071112A" w:rsidRPr="005D16AB" w:rsidRDefault="0071112A" w:rsidP="00631663">
      <w:pPr>
        <w:spacing w:before="120"/>
        <w:ind w:left="1910" w:hanging="544"/>
        <w:rPr>
          <w:rFonts w:ascii="Calibri" w:hAnsi="Calibri"/>
          <w:color w:val="000000"/>
          <w:lang w:val="en-AU"/>
        </w:rPr>
      </w:pPr>
      <w:r w:rsidRPr="005D16AB">
        <w:rPr>
          <w:rFonts w:ascii="Calibri" w:hAnsi="Calibri"/>
          <w:color w:val="000000"/>
          <w:lang w:val="en-AU"/>
        </w:rPr>
        <w:t>(d)</w:t>
      </w:r>
      <w:r w:rsidRPr="005D16AB">
        <w:rPr>
          <w:rFonts w:ascii="Calibri" w:hAnsi="Calibri"/>
          <w:color w:val="000000"/>
          <w:lang w:val="en-AU"/>
        </w:rPr>
        <w:tab/>
      </w:r>
      <w:r>
        <w:rPr>
          <w:rFonts w:ascii="Calibri" w:hAnsi="Calibri"/>
          <w:color w:val="000000"/>
          <w:lang w:val="en-AU"/>
        </w:rPr>
        <w:t>a</w:t>
      </w:r>
      <w:r w:rsidRPr="005D16AB">
        <w:rPr>
          <w:rFonts w:ascii="Calibri" w:hAnsi="Calibri"/>
          <w:color w:val="000000"/>
          <w:lang w:val="en-AU"/>
        </w:rPr>
        <w:t>n amended Territory Plan has been prepared in response to the Committee</w:t>
      </w:r>
      <w:r w:rsidR="00F255CA">
        <w:rPr>
          <w:rFonts w:ascii="Calibri" w:hAnsi="Calibri"/>
          <w:color w:val="000000"/>
          <w:lang w:val="en-AU"/>
        </w:rPr>
        <w:t>’</w:t>
      </w:r>
      <w:r w:rsidRPr="005D16AB">
        <w:rPr>
          <w:rFonts w:ascii="Calibri" w:hAnsi="Calibri"/>
          <w:color w:val="000000"/>
          <w:lang w:val="en-AU"/>
        </w:rPr>
        <w:t>s report, as well as in response to internal and external feedback received. This plan includes clarification and editorial changes to make clearer the policy intent of provisions, address translational issues from previous versions and improve readability. The changes made are consistent with the overall policy intent of the Territory Plan and other associated documents</w:t>
      </w:r>
      <w:r>
        <w:rPr>
          <w:rFonts w:ascii="Calibri" w:hAnsi="Calibri"/>
          <w:color w:val="000000"/>
          <w:lang w:val="en-AU"/>
        </w:rPr>
        <w:t>;</w:t>
      </w:r>
    </w:p>
    <w:p w14:paraId="41F36BC0" w14:textId="77777777" w:rsidR="0071112A" w:rsidRPr="005D16AB" w:rsidRDefault="0071112A" w:rsidP="00631663">
      <w:pPr>
        <w:widowControl w:val="0"/>
        <w:spacing w:before="120"/>
        <w:ind w:left="1910" w:hanging="544"/>
        <w:rPr>
          <w:rFonts w:ascii="Calibri" w:hAnsi="Calibri"/>
          <w:color w:val="000000"/>
          <w:lang w:val="en-AU"/>
        </w:rPr>
      </w:pPr>
      <w:r w:rsidRPr="005D16AB">
        <w:rPr>
          <w:rFonts w:ascii="Calibri" w:hAnsi="Calibri"/>
          <w:color w:val="000000"/>
          <w:lang w:val="en-AU"/>
        </w:rPr>
        <w:t>(e)</w:t>
      </w:r>
      <w:r w:rsidRPr="005D16AB">
        <w:rPr>
          <w:rFonts w:ascii="Calibri" w:hAnsi="Calibri"/>
          <w:color w:val="000000"/>
          <w:lang w:val="en-AU"/>
        </w:rPr>
        <w:tab/>
      </w:r>
      <w:r>
        <w:rPr>
          <w:rFonts w:ascii="Calibri" w:hAnsi="Calibri"/>
          <w:color w:val="000000"/>
          <w:lang w:val="en-AU"/>
        </w:rPr>
        <w:t>t</w:t>
      </w:r>
      <w:r w:rsidRPr="005D16AB">
        <w:rPr>
          <w:rFonts w:ascii="Calibri" w:hAnsi="Calibri"/>
          <w:color w:val="000000"/>
          <w:lang w:val="en-AU"/>
        </w:rPr>
        <w:t xml:space="preserve">he amended Territory Plan is being provided to the Assembly for approval as the Territory Plan under </w:t>
      </w:r>
      <w:r>
        <w:rPr>
          <w:rFonts w:ascii="Calibri" w:hAnsi="Calibri"/>
          <w:color w:val="000000"/>
          <w:lang w:val="en-AU"/>
        </w:rPr>
        <w:t>s</w:t>
      </w:r>
      <w:r w:rsidRPr="005D16AB">
        <w:rPr>
          <w:rFonts w:ascii="Calibri" w:hAnsi="Calibri"/>
          <w:color w:val="000000"/>
          <w:lang w:val="en-AU"/>
        </w:rPr>
        <w:t xml:space="preserve">ection 610(1) of the </w:t>
      </w:r>
      <w:r w:rsidRPr="005D16AB">
        <w:rPr>
          <w:rFonts w:ascii="Calibri" w:hAnsi="Calibri"/>
          <w:i/>
          <w:iCs/>
          <w:color w:val="000000"/>
          <w:lang w:val="en-AU"/>
        </w:rPr>
        <w:t>Planning Act 2023</w:t>
      </w:r>
      <w:r>
        <w:rPr>
          <w:rFonts w:ascii="Calibri" w:hAnsi="Calibri"/>
          <w:color w:val="000000"/>
          <w:lang w:val="en-AU"/>
        </w:rPr>
        <w:t>; and</w:t>
      </w:r>
    </w:p>
    <w:p w14:paraId="32798542" w14:textId="550EF298" w:rsidR="0071112A" w:rsidRPr="005D16AB" w:rsidRDefault="0071112A" w:rsidP="006A1153">
      <w:pPr>
        <w:spacing w:before="80"/>
        <w:ind w:left="1910" w:hanging="544"/>
        <w:rPr>
          <w:rFonts w:ascii="Calibri" w:hAnsi="Calibri"/>
          <w:color w:val="000000"/>
          <w:lang w:val="en-AU"/>
        </w:rPr>
      </w:pPr>
      <w:r w:rsidRPr="005D16AB">
        <w:rPr>
          <w:rFonts w:ascii="Calibri" w:hAnsi="Calibri"/>
          <w:color w:val="000000"/>
          <w:lang w:val="en-AU"/>
        </w:rPr>
        <w:lastRenderedPageBreak/>
        <w:t>(f)</w:t>
      </w:r>
      <w:r w:rsidRPr="005D16AB">
        <w:rPr>
          <w:rFonts w:ascii="Calibri" w:hAnsi="Calibri"/>
          <w:color w:val="000000"/>
          <w:lang w:val="en-AU"/>
        </w:rPr>
        <w:tab/>
      </w:r>
      <w:r>
        <w:rPr>
          <w:rFonts w:ascii="Calibri" w:hAnsi="Calibri"/>
          <w:color w:val="000000"/>
          <w:lang w:val="en-AU"/>
        </w:rPr>
        <w:t>i</w:t>
      </w:r>
      <w:r w:rsidRPr="005D16AB">
        <w:rPr>
          <w:rFonts w:ascii="Calibri" w:hAnsi="Calibri"/>
          <w:color w:val="000000"/>
          <w:lang w:val="en-AU"/>
        </w:rPr>
        <w:t xml:space="preserve">f the amended Territory Plan is approved by the Assembly, in accordance with </w:t>
      </w:r>
      <w:r w:rsidR="009A1472">
        <w:rPr>
          <w:rFonts w:ascii="Calibri" w:hAnsi="Calibri"/>
          <w:color w:val="000000"/>
          <w:lang w:val="en-AU"/>
        </w:rPr>
        <w:t>s</w:t>
      </w:r>
      <w:r w:rsidRPr="005D16AB">
        <w:rPr>
          <w:rFonts w:ascii="Calibri" w:hAnsi="Calibri"/>
          <w:color w:val="000000"/>
          <w:lang w:val="en-AU"/>
        </w:rPr>
        <w:t xml:space="preserve">ection 610(3) of the </w:t>
      </w:r>
      <w:r w:rsidRPr="00A91D0F">
        <w:rPr>
          <w:rFonts w:ascii="Calibri" w:hAnsi="Calibri"/>
          <w:i/>
          <w:iCs/>
          <w:color w:val="000000"/>
          <w:lang w:val="en-AU"/>
        </w:rPr>
        <w:t>Planning Act 2023</w:t>
      </w:r>
      <w:r w:rsidRPr="005D16AB">
        <w:rPr>
          <w:rFonts w:ascii="Calibri" w:hAnsi="Calibri"/>
          <w:color w:val="000000"/>
          <w:lang w:val="en-AU"/>
        </w:rPr>
        <w:t>, it will commence on a day fixed by the Minister for Planning by written notice</w:t>
      </w:r>
      <w:r>
        <w:rPr>
          <w:rFonts w:ascii="Calibri" w:hAnsi="Calibri"/>
          <w:color w:val="000000"/>
          <w:lang w:val="en-AU"/>
        </w:rPr>
        <w:t>; and</w:t>
      </w:r>
    </w:p>
    <w:p w14:paraId="7AFA0D04" w14:textId="09CAB47A" w:rsidR="0071112A" w:rsidRPr="005D16AB" w:rsidRDefault="0071112A" w:rsidP="006A1153">
      <w:pPr>
        <w:pStyle w:val="DPSEntryIndents"/>
        <w:numPr>
          <w:ilvl w:val="0"/>
          <w:numId w:val="4"/>
        </w:numPr>
        <w:spacing w:before="80"/>
      </w:pPr>
      <w:r>
        <w:t>a</w:t>
      </w:r>
      <w:r w:rsidRPr="005D16AB">
        <w:t>pproves</w:t>
      </w:r>
      <w:r>
        <w:t xml:space="preserve"> t</w:t>
      </w:r>
      <w:r w:rsidRPr="005D16AB">
        <w:rPr>
          <w:color w:val="000000"/>
        </w:rPr>
        <w:t xml:space="preserve">he amended Territory Plan as the Territory Plan under </w:t>
      </w:r>
      <w:r>
        <w:rPr>
          <w:color w:val="000000"/>
        </w:rPr>
        <w:t>s</w:t>
      </w:r>
      <w:r w:rsidRPr="005D16AB">
        <w:rPr>
          <w:color w:val="000000"/>
        </w:rPr>
        <w:t xml:space="preserve">ection 610(3) of the </w:t>
      </w:r>
      <w:r w:rsidRPr="005D16AB">
        <w:rPr>
          <w:i/>
          <w:iCs/>
          <w:color w:val="000000"/>
        </w:rPr>
        <w:t>Planning Act 2023</w:t>
      </w:r>
      <w:r>
        <w:rPr>
          <w:color w:val="000000"/>
        </w:rPr>
        <w:t>—</w:t>
      </w:r>
    </w:p>
    <w:p w14:paraId="4CCE370D" w14:textId="77777777" w:rsidR="00797BD5" w:rsidRPr="00797BD5" w:rsidRDefault="00797BD5" w:rsidP="006A1153">
      <w:pPr>
        <w:tabs>
          <w:tab w:val="left" w:pos="1197"/>
          <w:tab w:val="left" w:pos="1767"/>
        </w:tabs>
        <w:spacing w:before="80"/>
        <w:ind w:left="720"/>
        <w:rPr>
          <w:rFonts w:ascii="Calibri" w:hAnsi="Calibri"/>
          <w:lang w:val="en-AU"/>
        </w:rPr>
      </w:pPr>
      <w:r w:rsidRPr="00797BD5">
        <w:rPr>
          <w:rFonts w:ascii="Calibri" w:hAnsi="Calibri"/>
          <w:lang w:val="en-AU"/>
        </w:rPr>
        <w:t>Debate resumed.</w:t>
      </w:r>
    </w:p>
    <w:p w14:paraId="6180B457" w14:textId="77777777" w:rsidR="008147B7" w:rsidRDefault="008147B7" w:rsidP="006A1153">
      <w:pPr>
        <w:tabs>
          <w:tab w:val="left" w:pos="1197"/>
          <w:tab w:val="left" w:pos="1767"/>
        </w:tabs>
        <w:spacing w:before="80"/>
        <w:ind w:left="720"/>
        <w:rPr>
          <w:rFonts w:ascii="Calibri" w:hAnsi="Calibri"/>
          <w:lang w:val="en-AU"/>
        </w:rPr>
      </w:pPr>
      <w:r>
        <w:rPr>
          <w:rFonts w:ascii="Calibri" w:hAnsi="Calibri"/>
          <w:lang w:val="en-AU"/>
        </w:rPr>
        <w:t>Question—put.</w:t>
      </w:r>
    </w:p>
    <w:p w14:paraId="2F3ED781" w14:textId="41BBEA7D" w:rsidR="008147B7" w:rsidRDefault="008147B7" w:rsidP="006A1153">
      <w:pPr>
        <w:tabs>
          <w:tab w:val="left" w:pos="1197"/>
          <w:tab w:val="left" w:pos="1767"/>
        </w:tabs>
        <w:spacing w:before="80"/>
        <w:ind w:left="720"/>
        <w:rPr>
          <w:rFonts w:ascii="Calibri" w:hAnsi="Calibri"/>
          <w:lang w:val="en-AU"/>
        </w:rPr>
      </w:pPr>
      <w:r>
        <w:rPr>
          <w:rFonts w:ascii="Calibri" w:hAnsi="Calibri"/>
          <w:lang w:val="en-AU"/>
        </w:rPr>
        <w:t>The Assembly voted—</w:t>
      </w:r>
    </w:p>
    <w:tbl>
      <w:tblPr>
        <w:tblW w:w="8352" w:type="dxa"/>
        <w:tblInd w:w="720" w:type="dxa"/>
        <w:tblLayout w:type="fixed"/>
        <w:tblCellMar>
          <w:left w:w="0" w:type="dxa"/>
        </w:tblCellMar>
        <w:tblLook w:val="0000" w:firstRow="0" w:lastRow="0" w:firstColumn="0" w:lastColumn="0" w:noHBand="0" w:noVBand="0"/>
      </w:tblPr>
      <w:tblGrid>
        <w:gridCol w:w="2257"/>
        <w:gridCol w:w="2342"/>
        <w:gridCol w:w="7"/>
        <w:gridCol w:w="617"/>
        <w:gridCol w:w="7"/>
        <w:gridCol w:w="2034"/>
        <w:gridCol w:w="1088"/>
      </w:tblGrid>
      <w:tr w:rsidR="008147B7" w14:paraId="2A72858D" w14:textId="77777777" w:rsidTr="000119D4">
        <w:tc>
          <w:tcPr>
            <w:tcW w:w="4606" w:type="dxa"/>
            <w:gridSpan w:val="3"/>
            <w:shd w:val="clear" w:color="auto" w:fill="auto"/>
          </w:tcPr>
          <w:p w14:paraId="10F7858A" w14:textId="1A80D87B" w:rsidR="008147B7" w:rsidRDefault="008147B7" w:rsidP="00041A57">
            <w:pPr>
              <w:tabs>
                <w:tab w:val="left" w:pos="1542"/>
                <w:tab w:val="left" w:pos="1968"/>
              </w:tabs>
              <w:spacing w:before="120"/>
              <w:rPr>
                <w:rFonts w:ascii="Calibri" w:hAnsi="Calibri"/>
                <w:lang w:val="en-AU"/>
              </w:rPr>
            </w:pPr>
            <w:r>
              <w:rPr>
                <w:rFonts w:ascii="Calibri" w:hAnsi="Calibri"/>
                <w:lang w:val="en-AU"/>
              </w:rPr>
              <w:tab/>
              <w:t>AYES, 16</w:t>
            </w:r>
          </w:p>
        </w:tc>
        <w:tc>
          <w:tcPr>
            <w:tcW w:w="624" w:type="dxa"/>
            <w:gridSpan w:val="2"/>
            <w:shd w:val="clear" w:color="auto" w:fill="auto"/>
          </w:tcPr>
          <w:p w14:paraId="02CABAB4" w14:textId="77777777" w:rsidR="008147B7" w:rsidRDefault="008147B7" w:rsidP="008147B7">
            <w:pPr>
              <w:tabs>
                <w:tab w:val="left" w:pos="1197"/>
                <w:tab w:val="left" w:pos="1767"/>
              </w:tabs>
              <w:spacing w:before="120"/>
              <w:rPr>
                <w:rFonts w:ascii="Calibri" w:hAnsi="Calibri"/>
                <w:lang w:val="en-AU"/>
              </w:rPr>
            </w:pPr>
          </w:p>
        </w:tc>
        <w:tc>
          <w:tcPr>
            <w:tcW w:w="3122" w:type="dxa"/>
            <w:gridSpan w:val="2"/>
            <w:shd w:val="clear" w:color="auto" w:fill="auto"/>
          </w:tcPr>
          <w:p w14:paraId="00F0A18E" w14:textId="5BFD955D" w:rsidR="008147B7" w:rsidRDefault="008147B7" w:rsidP="008147B7">
            <w:pPr>
              <w:tabs>
                <w:tab w:val="left" w:pos="1427"/>
                <w:tab w:val="left" w:pos="1767"/>
                <w:tab w:val="center" w:pos="1852"/>
              </w:tabs>
              <w:spacing w:before="120"/>
              <w:rPr>
                <w:rFonts w:ascii="Calibri" w:hAnsi="Calibri"/>
                <w:lang w:val="en-AU"/>
              </w:rPr>
            </w:pPr>
            <w:r>
              <w:rPr>
                <w:rFonts w:ascii="Calibri" w:hAnsi="Calibri"/>
                <w:lang w:val="en-AU"/>
              </w:rPr>
              <w:tab/>
              <w:t>NOES, 9</w:t>
            </w:r>
          </w:p>
        </w:tc>
      </w:tr>
      <w:tr w:rsidR="008147B7" w14:paraId="76E600C0" w14:textId="77777777" w:rsidTr="000119D4">
        <w:trPr>
          <w:trHeight w:hRule="exact" w:val="312"/>
        </w:trPr>
        <w:tc>
          <w:tcPr>
            <w:tcW w:w="2257" w:type="dxa"/>
            <w:shd w:val="clear" w:color="auto" w:fill="auto"/>
          </w:tcPr>
          <w:p w14:paraId="067A3836" w14:textId="2A57F0D8" w:rsidR="008147B7" w:rsidRDefault="008147B7" w:rsidP="008147B7">
            <w:pPr>
              <w:tabs>
                <w:tab w:val="left" w:pos="1197"/>
                <w:tab w:val="left" w:pos="1767"/>
              </w:tabs>
              <w:rPr>
                <w:rFonts w:ascii="Calibri" w:hAnsi="Calibri"/>
                <w:lang w:val="en-AU"/>
              </w:rPr>
            </w:pPr>
            <w:r>
              <w:rPr>
                <w:rFonts w:ascii="Calibri" w:hAnsi="Calibri"/>
                <w:lang w:val="en-AU"/>
              </w:rPr>
              <w:t>Andrew Barr</w:t>
            </w:r>
          </w:p>
        </w:tc>
        <w:tc>
          <w:tcPr>
            <w:tcW w:w="2342" w:type="dxa"/>
            <w:shd w:val="clear" w:color="auto" w:fill="auto"/>
          </w:tcPr>
          <w:p w14:paraId="19CB2143" w14:textId="23E4732B" w:rsidR="008147B7" w:rsidRDefault="008147B7" w:rsidP="008147B7">
            <w:pPr>
              <w:tabs>
                <w:tab w:val="left" w:pos="1197"/>
                <w:tab w:val="left" w:pos="1767"/>
              </w:tabs>
              <w:rPr>
                <w:rFonts w:ascii="Calibri" w:hAnsi="Calibri"/>
                <w:lang w:val="en-AU"/>
              </w:rPr>
            </w:pPr>
            <w:r>
              <w:rPr>
                <w:rFonts w:ascii="Calibri" w:hAnsi="Calibri"/>
                <w:lang w:val="en-AU"/>
              </w:rPr>
              <w:t>Suzanne Orr</w:t>
            </w:r>
          </w:p>
        </w:tc>
        <w:tc>
          <w:tcPr>
            <w:tcW w:w="624" w:type="dxa"/>
            <w:gridSpan w:val="2"/>
            <w:shd w:val="clear" w:color="auto" w:fill="auto"/>
          </w:tcPr>
          <w:p w14:paraId="20C7B490"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2866B066" w14:textId="613F4C81" w:rsidR="008147B7" w:rsidRDefault="008147B7" w:rsidP="008147B7">
            <w:pPr>
              <w:tabs>
                <w:tab w:val="left" w:pos="1197"/>
                <w:tab w:val="left" w:pos="1767"/>
              </w:tabs>
              <w:rPr>
                <w:rFonts w:ascii="Calibri" w:hAnsi="Calibri"/>
                <w:lang w:val="en-AU"/>
              </w:rPr>
            </w:pPr>
            <w:r>
              <w:rPr>
                <w:rFonts w:ascii="Calibri" w:hAnsi="Calibri"/>
                <w:lang w:val="en-AU"/>
              </w:rPr>
              <w:t>Peter Cain</w:t>
            </w:r>
          </w:p>
        </w:tc>
        <w:tc>
          <w:tcPr>
            <w:tcW w:w="1088" w:type="dxa"/>
            <w:shd w:val="clear" w:color="auto" w:fill="auto"/>
          </w:tcPr>
          <w:p w14:paraId="0689FE1B" w14:textId="77777777" w:rsidR="008147B7" w:rsidRDefault="008147B7" w:rsidP="008147B7">
            <w:pPr>
              <w:tabs>
                <w:tab w:val="left" w:pos="1197"/>
                <w:tab w:val="left" w:pos="1767"/>
              </w:tabs>
              <w:spacing w:before="120"/>
              <w:rPr>
                <w:rFonts w:ascii="Calibri" w:hAnsi="Calibri"/>
                <w:lang w:val="en-AU"/>
              </w:rPr>
            </w:pPr>
          </w:p>
        </w:tc>
      </w:tr>
      <w:tr w:rsidR="008147B7" w14:paraId="07B72EEC" w14:textId="77777777" w:rsidTr="000119D4">
        <w:trPr>
          <w:trHeight w:hRule="exact" w:val="312"/>
        </w:trPr>
        <w:tc>
          <w:tcPr>
            <w:tcW w:w="2257" w:type="dxa"/>
            <w:shd w:val="clear" w:color="auto" w:fill="auto"/>
          </w:tcPr>
          <w:p w14:paraId="70B7AB03" w14:textId="0ABF6311" w:rsidR="008147B7" w:rsidRDefault="008147B7" w:rsidP="008147B7">
            <w:pPr>
              <w:tabs>
                <w:tab w:val="left" w:pos="1197"/>
                <w:tab w:val="left" w:pos="1767"/>
              </w:tabs>
              <w:rPr>
                <w:rFonts w:ascii="Calibri" w:hAnsi="Calibri"/>
                <w:lang w:val="en-AU"/>
              </w:rPr>
            </w:pPr>
            <w:r>
              <w:rPr>
                <w:rFonts w:ascii="Calibri" w:hAnsi="Calibri"/>
                <w:lang w:val="en-AU"/>
              </w:rPr>
              <w:t>Yvette Berry</w:t>
            </w:r>
          </w:p>
        </w:tc>
        <w:tc>
          <w:tcPr>
            <w:tcW w:w="2342" w:type="dxa"/>
            <w:shd w:val="clear" w:color="auto" w:fill="auto"/>
          </w:tcPr>
          <w:p w14:paraId="512891D8" w14:textId="0E230221" w:rsidR="008147B7" w:rsidRDefault="008147B7" w:rsidP="008147B7">
            <w:pPr>
              <w:tabs>
                <w:tab w:val="left" w:pos="1197"/>
                <w:tab w:val="left" w:pos="1767"/>
              </w:tabs>
              <w:rPr>
                <w:rFonts w:ascii="Calibri" w:hAnsi="Calibri"/>
                <w:lang w:val="en-AU"/>
              </w:rPr>
            </w:pPr>
            <w:r>
              <w:rPr>
                <w:rFonts w:ascii="Calibri" w:hAnsi="Calibri"/>
                <w:lang w:val="en-AU"/>
              </w:rPr>
              <w:t>Marisa Paterson</w:t>
            </w:r>
          </w:p>
        </w:tc>
        <w:tc>
          <w:tcPr>
            <w:tcW w:w="624" w:type="dxa"/>
            <w:gridSpan w:val="2"/>
            <w:shd w:val="clear" w:color="auto" w:fill="auto"/>
          </w:tcPr>
          <w:p w14:paraId="1C6FD9C5"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0A022D4A" w14:textId="5466CD19" w:rsidR="008147B7" w:rsidRDefault="008147B7" w:rsidP="008147B7">
            <w:pPr>
              <w:tabs>
                <w:tab w:val="left" w:pos="1427"/>
                <w:tab w:val="left" w:pos="1767"/>
              </w:tabs>
              <w:rPr>
                <w:rFonts w:ascii="Calibri" w:hAnsi="Calibri"/>
                <w:lang w:val="en-AU"/>
              </w:rPr>
            </w:pPr>
            <w:r>
              <w:rPr>
                <w:rFonts w:ascii="Calibri" w:hAnsi="Calibri"/>
                <w:lang w:val="en-AU"/>
              </w:rPr>
              <w:t>Leanne Castley</w:t>
            </w:r>
          </w:p>
        </w:tc>
        <w:tc>
          <w:tcPr>
            <w:tcW w:w="1088" w:type="dxa"/>
            <w:shd w:val="clear" w:color="auto" w:fill="auto"/>
          </w:tcPr>
          <w:p w14:paraId="109037BE" w14:textId="77777777" w:rsidR="008147B7" w:rsidRDefault="008147B7" w:rsidP="008147B7">
            <w:pPr>
              <w:tabs>
                <w:tab w:val="left" w:pos="1197"/>
                <w:tab w:val="left" w:pos="1767"/>
              </w:tabs>
              <w:spacing w:before="120"/>
              <w:rPr>
                <w:rFonts w:ascii="Calibri" w:hAnsi="Calibri"/>
                <w:lang w:val="en-AU"/>
              </w:rPr>
            </w:pPr>
          </w:p>
        </w:tc>
      </w:tr>
      <w:tr w:rsidR="008147B7" w14:paraId="5B543309" w14:textId="77777777" w:rsidTr="000119D4">
        <w:trPr>
          <w:trHeight w:hRule="exact" w:val="312"/>
        </w:trPr>
        <w:tc>
          <w:tcPr>
            <w:tcW w:w="2257" w:type="dxa"/>
            <w:shd w:val="clear" w:color="auto" w:fill="auto"/>
          </w:tcPr>
          <w:p w14:paraId="198FBE5F" w14:textId="6B48396C" w:rsidR="008147B7" w:rsidRDefault="008147B7" w:rsidP="008147B7">
            <w:pPr>
              <w:tabs>
                <w:tab w:val="left" w:pos="1197"/>
                <w:tab w:val="left" w:pos="1767"/>
              </w:tabs>
              <w:rPr>
                <w:rFonts w:ascii="Calibri" w:hAnsi="Calibri"/>
                <w:lang w:val="en-AU"/>
              </w:rPr>
            </w:pPr>
            <w:r>
              <w:rPr>
                <w:rFonts w:ascii="Calibri" w:hAnsi="Calibri"/>
                <w:lang w:val="en-AU"/>
              </w:rPr>
              <w:t>Andrew Braddock</w:t>
            </w:r>
          </w:p>
        </w:tc>
        <w:tc>
          <w:tcPr>
            <w:tcW w:w="2342" w:type="dxa"/>
            <w:shd w:val="clear" w:color="auto" w:fill="auto"/>
          </w:tcPr>
          <w:p w14:paraId="3A87038D" w14:textId="701566BB" w:rsidR="008147B7" w:rsidRDefault="008147B7" w:rsidP="008147B7">
            <w:pPr>
              <w:tabs>
                <w:tab w:val="left" w:pos="1197"/>
                <w:tab w:val="left" w:pos="1767"/>
              </w:tabs>
              <w:rPr>
                <w:rFonts w:ascii="Calibri" w:hAnsi="Calibri"/>
                <w:lang w:val="en-AU"/>
              </w:rPr>
            </w:pPr>
            <w:r>
              <w:rPr>
                <w:rFonts w:ascii="Calibri" w:hAnsi="Calibri"/>
                <w:lang w:val="en-AU"/>
              </w:rPr>
              <w:t>Michael Pettersson</w:t>
            </w:r>
          </w:p>
        </w:tc>
        <w:tc>
          <w:tcPr>
            <w:tcW w:w="624" w:type="dxa"/>
            <w:gridSpan w:val="2"/>
            <w:shd w:val="clear" w:color="auto" w:fill="auto"/>
          </w:tcPr>
          <w:p w14:paraId="68A0052C"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5DF357BA" w14:textId="06D728EE" w:rsidR="008147B7" w:rsidRDefault="008147B7" w:rsidP="008147B7">
            <w:pPr>
              <w:tabs>
                <w:tab w:val="left" w:pos="1197"/>
                <w:tab w:val="left" w:pos="1767"/>
              </w:tabs>
              <w:rPr>
                <w:rFonts w:ascii="Calibri" w:hAnsi="Calibri"/>
                <w:lang w:val="en-AU"/>
              </w:rPr>
            </w:pPr>
            <w:r>
              <w:rPr>
                <w:rFonts w:ascii="Calibri" w:hAnsi="Calibri"/>
                <w:lang w:val="en-AU"/>
              </w:rPr>
              <w:t>Ed Cocks</w:t>
            </w:r>
          </w:p>
        </w:tc>
        <w:tc>
          <w:tcPr>
            <w:tcW w:w="1088" w:type="dxa"/>
            <w:shd w:val="clear" w:color="auto" w:fill="auto"/>
          </w:tcPr>
          <w:p w14:paraId="5B79663E" w14:textId="77777777" w:rsidR="008147B7" w:rsidRDefault="008147B7" w:rsidP="008147B7">
            <w:pPr>
              <w:tabs>
                <w:tab w:val="left" w:pos="1197"/>
                <w:tab w:val="left" w:pos="1767"/>
              </w:tabs>
              <w:spacing w:before="120"/>
              <w:rPr>
                <w:rFonts w:ascii="Calibri" w:hAnsi="Calibri"/>
                <w:lang w:val="en-AU"/>
              </w:rPr>
            </w:pPr>
          </w:p>
        </w:tc>
      </w:tr>
      <w:tr w:rsidR="008147B7" w14:paraId="0849AE9D" w14:textId="77777777" w:rsidTr="000119D4">
        <w:trPr>
          <w:trHeight w:hRule="exact" w:val="312"/>
        </w:trPr>
        <w:tc>
          <w:tcPr>
            <w:tcW w:w="2257" w:type="dxa"/>
            <w:shd w:val="clear" w:color="auto" w:fill="auto"/>
          </w:tcPr>
          <w:p w14:paraId="4836CA4B" w14:textId="4CCFD18E" w:rsidR="008147B7" w:rsidRDefault="008147B7" w:rsidP="008147B7">
            <w:pPr>
              <w:tabs>
                <w:tab w:val="left" w:pos="1197"/>
                <w:tab w:val="left" w:pos="1767"/>
              </w:tabs>
              <w:rPr>
                <w:rFonts w:ascii="Calibri" w:hAnsi="Calibri"/>
                <w:lang w:val="en-AU"/>
              </w:rPr>
            </w:pPr>
            <w:r>
              <w:rPr>
                <w:rFonts w:ascii="Calibri" w:hAnsi="Calibri"/>
                <w:lang w:val="en-AU"/>
              </w:rPr>
              <w:t>Joy Burch</w:t>
            </w:r>
          </w:p>
        </w:tc>
        <w:tc>
          <w:tcPr>
            <w:tcW w:w="2342" w:type="dxa"/>
            <w:shd w:val="clear" w:color="auto" w:fill="auto"/>
          </w:tcPr>
          <w:p w14:paraId="78FB79E8" w14:textId="0012FD5D" w:rsidR="008147B7" w:rsidRDefault="008147B7" w:rsidP="008147B7">
            <w:pPr>
              <w:tabs>
                <w:tab w:val="left" w:pos="1197"/>
                <w:tab w:val="left" w:pos="1767"/>
              </w:tabs>
              <w:rPr>
                <w:rFonts w:ascii="Calibri" w:hAnsi="Calibri"/>
                <w:lang w:val="en-AU"/>
              </w:rPr>
            </w:pPr>
            <w:r>
              <w:rPr>
                <w:rFonts w:ascii="Calibri" w:hAnsi="Calibri"/>
                <w:lang w:val="en-AU"/>
              </w:rPr>
              <w:t>Shane Rattenbury</w:t>
            </w:r>
          </w:p>
        </w:tc>
        <w:tc>
          <w:tcPr>
            <w:tcW w:w="624" w:type="dxa"/>
            <w:gridSpan w:val="2"/>
            <w:shd w:val="clear" w:color="auto" w:fill="auto"/>
          </w:tcPr>
          <w:p w14:paraId="6280B13D"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7E1C6A04" w14:textId="0749D4B5" w:rsidR="008147B7" w:rsidRDefault="008147B7" w:rsidP="008147B7">
            <w:pPr>
              <w:tabs>
                <w:tab w:val="left" w:pos="1197"/>
                <w:tab w:val="left" w:pos="1767"/>
              </w:tabs>
              <w:rPr>
                <w:rFonts w:ascii="Calibri" w:hAnsi="Calibri"/>
                <w:lang w:val="en-AU"/>
              </w:rPr>
            </w:pPr>
            <w:r>
              <w:rPr>
                <w:rFonts w:ascii="Calibri" w:hAnsi="Calibri"/>
                <w:lang w:val="en-AU"/>
              </w:rPr>
              <w:t>Jeremy Hanson</w:t>
            </w:r>
          </w:p>
        </w:tc>
        <w:tc>
          <w:tcPr>
            <w:tcW w:w="1088" w:type="dxa"/>
            <w:shd w:val="clear" w:color="auto" w:fill="auto"/>
          </w:tcPr>
          <w:p w14:paraId="231C1B22" w14:textId="77777777" w:rsidR="008147B7" w:rsidRDefault="008147B7" w:rsidP="008147B7">
            <w:pPr>
              <w:tabs>
                <w:tab w:val="left" w:pos="1197"/>
                <w:tab w:val="left" w:pos="1767"/>
              </w:tabs>
              <w:spacing w:before="120"/>
              <w:rPr>
                <w:rFonts w:ascii="Calibri" w:hAnsi="Calibri"/>
                <w:lang w:val="en-AU"/>
              </w:rPr>
            </w:pPr>
          </w:p>
        </w:tc>
      </w:tr>
      <w:tr w:rsidR="008147B7" w14:paraId="165C6FAD" w14:textId="77777777" w:rsidTr="000119D4">
        <w:trPr>
          <w:trHeight w:hRule="exact" w:val="312"/>
        </w:trPr>
        <w:tc>
          <w:tcPr>
            <w:tcW w:w="2257" w:type="dxa"/>
            <w:shd w:val="clear" w:color="auto" w:fill="auto"/>
          </w:tcPr>
          <w:p w14:paraId="0DBC668D" w14:textId="5BA70F06" w:rsidR="008147B7" w:rsidRDefault="008147B7" w:rsidP="008147B7">
            <w:pPr>
              <w:tabs>
                <w:tab w:val="left" w:pos="1197"/>
                <w:tab w:val="left" w:pos="1767"/>
              </w:tabs>
              <w:rPr>
                <w:rFonts w:ascii="Calibri" w:hAnsi="Calibri"/>
                <w:lang w:val="en-AU"/>
              </w:rPr>
            </w:pPr>
            <w:r>
              <w:rPr>
                <w:rFonts w:ascii="Calibri" w:hAnsi="Calibri"/>
                <w:lang w:val="en-AU"/>
              </w:rPr>
              <w:t>Tara Cheyne</w:t>
            </w:r>
          </w:p>
        </w:tc>
        <w:tc>
          <w:tcPr>
            <w:tcW w:w="2342" w:type="dxa"/>
            <w:shd w:val="clear" w:color="auto" w:fill="auto"/>
          </w:tcPr>
          <w:p w14:paraId="0FB6D477" w14:textId="738E7BC6" w:rsidR="008147B7" w:rsidRDefault="008147B7" w:rsidP="008147B7">
            <w:pPr>
              <w:tabs>
                <w:tab w:val="left" w:pos="1197"/>
                <w:tab w:val="left" w:pos="1767"/>
              </w:tabs>
              <w:rPr>
                <w:rFonts w:ascii="Calibri" w:hAnsi="Calibri"/>
                <w:lang w:val="en-AU"/>
              </w:rPr>
            </w:pPr>
            <w:r>
              <w:rPr>
                <w:rFonts w:ascii="Calibri" w:hAnsi="Calibri"/>
                <w:lang w:val="en-AU"/>
              </w:rPr>
              <w:t>Chris Steel</w:t>
            </w:r>
          </w:p>
        </w:tc>
        <w:tc>
          <w:tcPr>
            <w:tcW w:w="624" w:type="dxa"/>
            <w:gridSpan w:val="2"/>
            <w:shd w:val="clear" w:color="auto" w:fill="auto"/>
          </w:tcPr>
          <w:p w14:paraId="74019745"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7C151B30" w14:textId="3671D79B" w:rsidR="008147B7" w:rsidRDefault="008147B7" w:rsidP="008147B7">
            <w:pPr>
              <w:tabs>
                <w:tab w:val="left" w:pos="1197"/>
                <w:tab w:val="left" w:pos="1767"/>
              </w:tabs>
              <w:rPr>
                <w:rFonts w:ascii="Calibri" w:hAnsi="Calibri"/>
                <w:lang w:val="en-AU"/>
              </w:rPr>
            </w:pPr>
            <w:r>
              <w:rPr>
                <w:rFonts w:ascii="Calibri" w:hAnsi="Calibri"/>
                <w:lang w:val="en-AU"/>
              </w:rPr>
              <w:t>Elizabeth Kikkert</w:t>
            </w:r>
          </w:p>
        </w:tc>
        <w:tc>
          <w:tcPr>
            <w:tcW w:w="1088" w:type="dxa"/>
            <w:shd w:val="clear" w:color="auto" w:fill="auto"/>
          </w:tcPr>
          <w:p w14:paraId="50C0FAA5" w14:textId="77777777" w:rsidR="008147B7" w:rsidRDefault="008147B7" w:rsidP="008147B7">
            <w:pPr>
              <w:tabs>
                <w:tab w:val="left" w:pos="1197"/>
                <w:tab w:val="left" w:pos="1767"/>
              </w:tabs>
              <w:spacing w:before="120"/>
              <w:rPr>
                <w:rFonts w:ascii="Calibri" w:hAnsi="Calibri"/>
                <w:lang w:val="en-AU"/>
              </w:rPr>
            </w:pPr>
          </w:p>
        </w:tc>
      </w:tr>
      <w:tr w:rsidR="008147B7" w14:paraId="2872DD5F" w14:textId="77777777" w:rsidTr="000119D4">
        <w:trPr>
          <w:trHeight w:hRule="exact" w:val="312"/>
        </w:trPr>
        <w:tc>
          <w:tcPr>
            <w:tcW w:w="2257" w:type="dxa"/>
            <w:shd w:val="clear" w:color="auto" w:fill="auto"/>
          </w:tcPr>
          <w:p w14:paraId="7334EA41" w14:textId="32F83C3C" w:rsidR="008147B7" w:rsidRDefault="008147B7" w:rsidP="008147B7">
            <w:pPr>
              <w:tabs>
                <w:tab w:val="left" w:pos="1197"/>
                <w:tab w:val="left" w:pos="1767"/>
              </w:tabs>
              <w:rPr>
                <w:rFonts w:ascii="Calibri" w:hAnsi="Calibri"/>
                <w:lang w:val="en-AU"/>
              </w:rPr>
            </w:pPr>
            <w:r>
              <w:rPr>
                <w:rFonts w:ascii="Calibri" w:hAnsi="Calibri"/>
                <w:lang w:val="en-AU"/>
              </w:rPr>
              <w:t>Jo Clay</w:t>
            </w:r>
          </w:p>
        </w:tc>
        <w:tc>
          <w:tcPr>
            <w:tcW w:w="2342" w:type="dxa"/>
            <w:shd w:val="clear" w:color="auto" w:fill="auto"/>
          </w:tcPr>
          <w:p w14:paraId="500BB879" w14:textId="3C2F5477" w:rsidR="008147B7" w:rsidRDefault="008147B7" w:rsidP="008147B7">
            <w:pPr>
              <w:tabs>
                <w:tab w:val="left" w:pos="1197"/>
                <w:tab w:val="left" w:pos="1767"/>
              </w:tabs>
              <w:rPr>
                <w:rFonts w:ascii="Calibri" w:hAnsi="Calibri"/>
                <w:lang w:val="en-AU"/>
              </w:rPr>
            </w:pPr>
            <w:r>
              <w:rPr>
                <w:rFonts w:ascii="Calibri" w:hAnsi="Calibri"/>
                <w:lang w:val="en-AU"/>
              </w:rPr>
              <w:t>Rachel Stephen-Smith</w:t>
            </w:r>
          </w:p>
        </w:tc>
        <w:tc>
          <w:tcPr>
            <w:tcW w:w="624" w:type="dxa"/>
            <w:gridSpan w:val="2"/>
            <w:shd w:val="clear" w:color="auto" w:fill="auto"/>
          </w:tcPr>
          <w:p w14:paraId="6CB0D358"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56A8CB8E" w14:textId="48692375" w:rsidR="008147B7" w:rsidRDefault="008147B7" w:rsidP="008147B7">
            <w:pPr>
              <w:tabs>
                <w:tab w:val="left" w:pos="1197"/>
                <w:tab w:val="left" w:pos="1767"/>
              </w:tabs>
              <w:rPr>
                <w:rFonts w:ascii="Calibri" w:hAnsi="Calibri"/>
                <w:lang w:val="en-AU"/>
              </w:rPr>
            </w:pPr>
            <w:r>
              <w:rPr>
                <w:rFonts w:ascii="Calibri" w:hAnsi="Calibri"/>
                <w:lang w:val="en-AU"/>
              </w:rPr>
              <w:t>Nicole Lawder</w:t>
            </w:r>
          </w:p>
        </w:tc>
        <w:tc>
          <w:tcPr>
            <w:tcW w:w="1088" w:type="dxa"/>
            <w:shd w:val="clear" w:color="auto" w:fill="auto"/>
          </w:tcPr>
          <w:p w14:paraId="2495F8B4" w14:textId="77777777" w:rsidR="008147B7" w:rsidRDefault="008147B7" w:rsidP="008147B7">
            <w:pPr>
              <w:tabs>
                <w:tab w:val="left" w:pos="1197"/>
                <w:tab w:val="left" w:pos="1767"/>
              </w:tabs>
              <w:spacing w:before="120"/>
              <w:rPr>
                <w:rFonts w:ascii="Calibri" w:hAnsi="Calibri"/>
                <w:lang w:val="en-AU"/>
              </w:rPr>
            </w:pPr>
          </w:p>
        </w:tc>
      </w:tr>
      <w:tr w:rsidR="008147B7" w14:paraId="45D4146F" w14:textId="77777777" w:rsidTr="000119D4">
        <w:trPr>
          <w:trHeight w:hRule="exact" w:val="312"/>
        </w:trPr>
        <w:tc>
          <w:tcPr>
            <w:tcW w:w="2257" w:type="dxa"/>
            <w:shd w:val="clear" w:color="auto" w:fill="auto"/>
          </w:tcPr>
          <w:p w14:paraId="59A34008" w14:textId="782BA894" w:rsidR="008147B7" w:rsidRDefault="008147B7" w:rsidP="008147B7">
            <w:pPr>
              <w:tabs>
                <w:tab w:val="left" w:pos="1197"/>
                <w:tab w:val="left" w:pos="1767"/>
              </w:tabs>
              <w:rPr>
                <w:rFonts w:ascii="Calibri" w:hAnsi="Calibri"/>
                <w:lang w:val="en-AU"/>
              </w:rPr>
            </w:pPr>
            <w:r>
              <w:rPr>
                <w:rFonts w:ascii="Calibri" w:hAnsi="Calibri"/>
                <w:lang w:val="en-AU"/>
              </w:rPr>
              <w:t>Emma Davidson</w:t>
            </w:r>
          </w:p>
        </w:tc>
        <w:tc>
          <w:tcPr>
            <w:tcW w:w="2342" w:type="dxa"/>
            <w:shd w:val="clear" w:color="auto" w:fill="auto"/>
          </w:tcPr>
          <w:p w14:paraId="66DC476C" w14:textId="7EC83251" w:rsidR="008147B7" w:rsidRDefault="008147B7" w:rsidP="008147B7">
            <w:pPr>
              <w:tabs>
                <w:tab w:val="left" w:pos="1197"/>
                <w:tab w:val="left" w:pos="1767"/>
              </w:tabs>
              <w:rPr>
                <w:rFonts w:ascii="Calibri" w:hAnsi="Calibri"/>
                <w:lang w:val="en-AU"/>
              </w:rPr>
            </w:pPr>
            <w:r>
              <w:rPr>
                <w:rFonts w:ascii="Calibri" w:hAnsi="Calibri"/>
                <w:lang w:val="en-AU"/>
              </w:rPr>
              <w:t>Rebecca Vassarotti</w:t>
            </w:r>
          </w:p>
        </w:tc>
        <w:tc>
          <w:tcPr>
            <w:tcW w:w="624" w:type="dxa"/>
            <w:gridSpan w:val="2"/>
            <w:shd w:val="clear" w:color="auto" w:fill="auto"/>
          </w:tcPr>
          <w:p w14:paraId="2BACF63E"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256F739B" w14:textId="04822AA8" w:rsidR="008147B7" w:rsidRDefault="008147B7" w:rsidP="008147B7">
            <w:pPr>
              <w:tabs>
                <w:tab w:val="left" w:pos="1197"/>
                <w:tab w:val="left" w:pos="1767"/>
              </w:tabs>
              <w:rPr>
                <w:rFonts w:ascii="Calibri" w:hAnsi="Calibri"/>
                <w:lang w:val="en-AU"/>
              </w:rPr>
            </w:pPr>
            <w:r>
              <w:rPr>
                <w:rFonts w:ascii="Calibri" w:hAnsi="Calibri"/>
                <w:lang w:val="en-AU"/>
              </w:rPr>
              <w:t>Elizabeth Lee</w:t>
            </w:r>
          </w:p>
        </w:tc>
        <w:tc>
          <w:tcPr>
            <w:tcW w:w="1088" w:type="dxa"/>
            <w:shd w:val="clear" w:color="auto" w:fill="auto"/>
          </w:tcPr>
          <w:p w14:paraId="3FB2B4EF" w14:textId="77777777" w:rsidR="008147B7" w:rsidRDefault="008147B7" w:rsidP="008147B7">
            <w:pPr>
              <w:tabs>
                <w:tab w:val="left" w:pos="1197"/>
                <w:tab w:val="left" w:pos="1767"/>
              </w:tabs>
              <w:spacing w:before="120"/>
              <w:rPr>
                <w:rFonts w:ascii="Calibri" w:hAnsi="Calibri"/>
                <w:lang w:val="en-AU"/>
              </w:rPr>
            </w:pPr>
          </w:p>
        </w:tc>
      </w:tr>
      <w:tr w:rsidR="008147B7" w14:paraId="6BA0C2E3" w14:textId="77777777" w:rsidTr="000119D4">
        <w:trPr>
          <w:trHeight w:hRule="exact" w:val="312"/>
        </w:trPr>
        <w:tc>
          <w:tcPr>
            <w:tcW w:w="2257" w:type="dxa"/>
            <w:shd w:val="clear" w:color="auto" w:fill="auto"/>
          </w:tcPr>
          <w:p w14:paraId="7420B778" w14:textId="3DEF2D5A" w:rsidR="008147B7" w:rsidRDefault="008147B7" w:rsidP="008147B7">
            <w:pPr>
              <w:tabs>
                <w:tab w:val="left" w:pos="1197"/>
                <w:tab w:val="left" w:pos="1767"/>
              </w:tabs>
              <w:rPr>
                <w:rFonts w:ascii="Calibri" w:hAnsi="Calibri"/>
                <w:lang w:val="en-AU"/>
              </w:rPr>
            </w:pPr>
            <w:r>
              <w:rPr>
                <w:rFonts w:ascii="Calibri" w:hAnsi="Calibri"/>
                <w:lang w:val="en-AU"/>
              </w:rPr>
              <w:t>Mick Gentleman</w:t>
            </w:r>
          </w:p>
        </w:tc>
        <w:tc>
          <w:tcPr>
            <w:tcW w:w="2342" w:type="dxa"/>
            <w:shd w:val="clear" w:color="auto" w:fill="auto"/>
          </w:tcPr>
          <w:p w14:paraId="262B6BEF" w14:textId="77777777" w:rsidR="008147B7" w:rsidRDefault="008147B7" w:rsidP="008147B7">
            <w:pPr>
              <w:tabs>
                <w:tab w:val="left" w:pos="1197"/>
                <w:tab w:val="left" w:pos="1767"/>
              </w:tabs>
              <w:spacing w:before="120"/>
              <w:rPr>
                <w:rFonts w:ascii="Calibri" w:hAnsi="Calibri"/>
                <w:lang w:val="en-AU"/>
              </w:rPr>
            </w:pPr>
          </w:p>
        </w:tc>
        <w:tc>
          <w:tcPr>
            <w:tcW w:w="624" w:type="dxa"/>
            <w:gridSpan w:val="2"/>
            <w:shd w:val="clear" w:color="auto" w:fill="auto"/>
          </w:tcPr>
          <w:p w14:paraId="6AD874AE"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0D0134A5" w14:textId="10AB18C5" w:rsidR="008147B7" w:rsidRDefault="008147B7" w:rsidP="008147B7">
            <w:pPr>
              <w:tabs>
                <w:tab w:val="left" w:pos="1197"/>
                <w:tab w:val="left" w:pos="1767"/>
              </w:tabs>
              <w:rPr>
                <w:rFonts w:ascii="Calibri" w:hAnsi="Calibri"/>
                <w:lang w:val="en-AU"/>
              </w:rPr>
            </w:pPr>
            <w:r>
              <w:rPr>
                <w:rFonts w:ascii="Calibri" w:hAnsi="Calibri"/>
                <w:lang w:val="en-AU"/>
              </w:rPr>
              <w:t>James Milligan</w:t>
            </w:r>
          </w:p>
        </w:tc>
        <w:tc>
          <w:tcPr>
            <w:tcW w:w="1088" w:type="dxa"/>
            <w:shd w:val="clear" w:color="auto" w:fill="auto"/>
          </w:tcPr>
          <w:p w14:paraId="024D541E" w14:textId="77777777" w:rsidR="008147B7" w:rsidRDefault="008147B7" w:rsidP="008147B7">
            <w:pPr>
              <w:tabs>
                <w:tab w:val="left" w:pos="1197"/>
                <w:tab w:val="left" w:pos="1767"/>
              </w:tabs>
              <w:spacing w:before="120"/>
              <w:rPr>
                <w:rFonts w:ascii="Calibri" w:hAnsi="Calibri"/>
                <w:lang w:val="en-AU"/>
              </w:rPr>
            </w:pPr>
          </w:p>
        </w:tc>
      </w:tr>
      <w:tr w:rsidR="008147B7" w14:paraId="40015791" w14:textId="77777777" w:rsidTr="000119D4">
        <w:trPr>
          <w:trHeight w:hRule="exact" w:val="312"/>
        </w:trPr>
        <w:tc>
          <w:tcPr>
            <w:tcW w:w="2257" w:type="dxa"/>
            <w:shd w:val="clear" w:color="auto" w:fill="auto"/>
          </w:tcPr>
          <w:p w14:paraId="11615CF4" w14:textId="1BABABA4" w:rsidR="008147B7" w:rsidRDefault="008147B7" w:rsidP="008147B7">
            <w:pPr>
              <w:tabs>
                <w:tab w:val="left" w:pos="1197"/>
                <w:tab w:val="left" w:pos="1767"/>
              </w:tabs>
              <w:rPr>
                <w:rFonts w:ascii="Calibri" w:hAnsi="Calibri"/>
                <w:lang w:val="en-AU"/>
              </w:rPr>
            </w:pPr>
            <w:r>
              <w:rPr>
                <w:rFonts w:ascii="Calibri" w:hAnsi="Calibri"/>
                <w:lang w:val="en-AU"/>
              </w:rPr>
              <w:t>Laura Nuttall</w:t>
            </w:r>
          </w:p>
        </w:tc>
        <w:tc>
          <w:tcPr>
            <w:tcW w:w="2342" w:type="dxa"/>
            <w:shd w:val="clear" w:color="auto" w:fill="auto"/>
          </w:tcPr>
          <w:p w14:paraId="5F37C8FE" w14:textId="77777777" w:rsidR="008147B7" w:rsidRDefault="008147B7" w:rsidP="008147B7">
            <w:pPr>
              <w:tabs>
                <w:tab w:val="left" w:pos="1197"/>
                <w:tab w:val="left" w:pos="1767"/>
              </w:tabs>
              <w:spacing w:before="120"/>
              <w:rPr>
                <w:rFonts w:ascii="Calibri" w:hAnsi="Calibri"/>
                <w:lang w:val="en-AU"/>
              </w:rPr>
            </w:pPr>
          </w:p>
        </w:tc>
        <w:tc>
          <w:tcPr>
            <w:tcW w:w="624" w:type="dxa"/>
            <w:gridSpan w:val="2"/>
            <w:shd w:val="clear" w:color="auto" w:fill="auto"/>
          </w:tcPr>
          <w:p w14:paraId="7A2695A2" w14:textId="77777777" w:rsidR="008147B7" w:rsidRDefault="008147B7" w:rsidP="008147B7">
            <w:pPr>
              <w:tabs>
                <w:tab w:val="left" w:pos="1197"/>
                <w:tab w:val="left" w:pos="1767"/>
              </w:tabs>
              <w:spacing w:before="120"/>
              <w:rPr>
                <w:rFonts w:ascii="Calibri" w:hAnsi="Calibri"/>
                <w:lang w:val="en-AU"/>
              </w:rPr>
            </w:pPr>
          </w:p>
        </w:tc>
        <w:tc>
          <w:tcPr>
            <w:tcW w:w="2041" w:type="dxa"/>
            <w:gridSpan w:val="2"/>
            <w:shd w:val="clear" w:color="auto" w:fill="auto"/>
          </w:tcPr>
          <w:p w14:paraId="35474E21" w14:textId="0EE1F7B7" w:rsidR="008147B7" w:rsidRDefault="008147B7" w:rsidP="008147B7">
            <w:pPr>
              <w:tabs>
                <w:tab w:val="left" w:pos="1197"/>
                <w:tab w:val="left" w:pos="1767"/>
              </w:tabs>
              <w:rPr>
                <w:rFonts w:ascii="Calibri" w:hAnsi="Calibri"/>
                <w:lang w:val="en-AU"/>
              </w:rPr>
            </w:pPr>
            <w:r>
              <w:rPr>
                <w:rFonts w:ascii="Calibri" w:hAnsi="Calibri"/>
                <w:lang w:val="en-AU"/>
              </w:rPr>
              <w:t>Mark Parton</w:t>
            </w:r>
          </w:p>
        </w:tc>
        <w:tc>
          <w:tcPr>
            <w:tcW w:w="1088" w:type="dxa"/>
            <w:shd w:val="clear" w:color="auto" w:fill="auto"/>
          </w:tcPr>
          <w:p w14:paraId="0B8D1F95" w14:textId="77777777" w:rsidR="008147B7" w:rsidRDefault="008147B7" w:rsidP="008147B7">
            <w:pPr>
              <w:tabs>
                <w:tab w:val="left" w:pos="1197"/>
                <w:tab w:val="left" w:pos="1767"/>
              </w:tabs>
              <w:spacing w:before="120"/>
              <w:rPr>
                <w:rFonts w:ascii="Calibri" w:hAnsi="Calibri"/>
                <w:lang w:val="en-AU"/>
              </w:rPr>
            </w:pPr>
          </w:p>
        </w:tc>
      </w:tr>
    </w:tbl>
    <w:p w14:paraId="38DFBDC8" w14:textId="77777777" w:rsidR="008147B7" w:rsidRDefault="008147B7" w:rsidP="006A1153">
      <w:pPr>
        <w:tabs>
          <w:tab w:val="left" w:pos="1197"/>
          <w:tab w:val="left" w:pos="1767"/>
        </w:tabs>
        <w:spacing w:before="80"/>
        <w:ind w:left="720"/>
        <w:rPr>
          <w:rFonts w:ascii="Calibri" w:hAnsi="Calibri"/>
          <w:lang w:val="en-AU"/>
        </w:rPr>
      </w:pPr>
      <w:r>
        <w:rPr>
          <w:rFonts w:ascii="Calibri" w:hAnsi="Calibri"/>
          <w:lang w:val="en-AU"/>
        </w:rPr>
        <w:t>And so it was resolved in the affirmative.</w:t>
      </w:r>
    </w:p>
    <w:p w14:paraId="4C3C2E1A" w14:textId="67329693" w:rsidR="00693C03" w:rsidRPr="00693C03" w:rsidRDefault="00693C03" w:rsidP="00693C03">
      <w:pPr>
        <w:keepNext/>
        <w:keepLines/>
        <w:tabs>
          <w:tab w:val="right" w:pos="339"/>
          <w:tab w:val="left" w:pos="720"/>
        </w:tabs>
        <w:spacing w:before="240"/>
        <w:ind w:left="720" w:hanging="720"/>
        <w:rPr>
          <w:rFonts w:ascii="Calibri" w:hAnsi="Calibri"/>
          <w:b/>
          <w:caps/>
          <w:lang w:val="en-AU"/>
        </w:rPr>
      </w:pPr>
      <w:r w:rsidRPr="00693C03">
        <w:rPr>
          <w:rFonts w:ascii="Calibri" w:hAnsi="Calibri"/>
          <w:b/>
          <w:caps/>
          <w:lang w:val="en-AU"/>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6</w:t>
      </w:r>
      <w:r w:rsidR="00847B5E">
        <w:rPr>
          <w:rFonts w:ascii="Calibri" w:hAnsi="Calibri"/>
          <w:b/>
          <w:bCs/>
          <w:caps/>
          <w:lang w:val="en-AU"/>
        </w:rPr>
        <w:fldChar w:fldCharType="end"/>
      </w:r>
      <w:r w:rsidRPr="00693C03">
        <w:rPr>
          <w:rFonts w:ascii="Calibri" w:hAnsi="Calibri"/>
          <w:b/>
          <w:caps/>
          <w:lang w:val="en-AU"/>
        </w:rPr>
        <w:tab/>
      </w:r>
      <w:r>
        <w:rPr>
          <w:rFonts w:ascii="Calibri" w:hAnsi="Calibri"/>
          <w:b/>
          <w:caps/>
          <w:lang w:val="en-AU"/>
        </w:rPr>
        <w:t>Education Amendment Bill 2024</w:t>
      </w:r>
    </w:p>
    <w:p w14:paraId="3BC173A3" w14:textId="13030F0C" w:rsidR="00693C03" w:rsidRPr="00693C03" w:rsidRDefault="00693C03" w:rsidP="00693C03">
      <w:pPr>
        <w:spacing w:before="120"/>
        <w:ind w:left="720"/>
        <w:rPr>
          <w:rFonts w:ascii="Calibri" w:hAnsi="Calibri"/>
          <w:lang w:val="en-AU"/>
        </w:rPr>
      </w:pPr>
      <w:r w:rsidRPr="00693C03">
        <w:rPr>
          <w:rFonts w:ascii="Calibri" w:hAnsi="Calibri"/>
          <w:lang w:val="en-AU"/>
        </w:rPr>
        <w:t>The order of the day having been read for the resumption of the debate on the question—That this Bill be agreed to in principle—</w:t>
      </w:r>
    </w:p>
    <w:p w14:paraId="077E060A" w14:textId="77777777" w:rsidR="00693C03" w:rsidRPr="00693C03" w:rsidRDefault="00693C03" w:rsidP="00693C03">
      <w:pPr>
        <w:spacing w:before="120"/>
        <w:ind w:left="720"/>
        <w:rPr>
          <w:rFonts w:ascii="Calibri" w:hAnsi="Calibri"/>
          <w:iCs/>
          <w:lang w:val="en-AU"/>
        </w:rPr>
      </w:pPr>
      <w:r w:rsidRPr="00693C03">
        <w:rPr>
          <w:rFonts w:ascii="Calibri" w:hAnsi="Calibri"/>
          <w:iCs/>
          <w:lang w:val="en-AU"/>
        </w:rPr>
        <w:t>Debate resumed.</w:t>
      </w:r>
    </w:p>
    <w:p w14:paraId="33FF4C57" w14:textId="7FB627B2" w:rsidR="00F855D7" w:rsidRPr="009C5667" w:rsidRDefault="00F855D7" w:rsidP="00F855D7">
      <w:pPr>
        <w:spacing w:before="120"/>
        <w:ind w:left="720"/>
        <w:rPr>
          <w:rFonts w:ascii="Calibri" w:hAnsi="Calibri"/>
          <w:iCs/>
          <w:lang w:val="en-AU"/>
        </w:rPr>
      </w:pPr>
      <w:r>
        <w:rPr>
          <w:rFonts w:ascii="Calibri" w:hAnsi="Calibri"/>
          <w:i/>
          <w:lang w:val="en-AU"/>
        </w:rPr>
        <w:t>Paper</w:t>
      </w:r>
      <w:r>
        <w:rPr>
          <w:rFonts w:ascii="Calibri" w:hAnsi="Calibri"/>
          <w:iCs/>
          <w:lang w:val="en-AU"/>
        </w:rPr>
        <w:t xml:space="preserve">: Ms Berry (Minister for Education and Youth Affairs) presented a revised explanatory statement to the </w:t>
      </w:r>
      <w:r w:rsidRPr="00FE5860">
        <w:rPr>
          <w:rFonts w:ascii="Calibri" w:hAnsi="Calibri"/>
          <w:iCs/>
          <w:lang w:val="en-AU"/>
        </w:rPr>
        <w:t>Bill</w:t>
      </w:r>
      <w:r>
        <w:rPr>
          <w:rFonts w:ascii="Calibri" w:hAnsi="Calibri"/>
          <w:iCs/>
          <w:lang w:val="en-AU"/>
        </w:rPr>
        <w:t>.</w:t>
      </w:r>
    </w:p>
    <w:p w14:paraId="08BA6E99" w14:textId="154BF5A9" w:rsidR="00693C03" w:rsidRPr="00693C03" w:rsidRDefault="00693C03" w:rsidP="00693C03">
      <w:pPr>
        <w:spacing w:before="120"/>
        <w:ind w:left="720"/>
        <w:rPr>
          <w:rFonts w:ascii="Calibri" w:hAnsi="Calibri"/>
          <w:iCs/>
          <w:lang w:val="en-AU"/>
        </w:rPr>
      </w:pPr>
      <w:r w:rsidRPr="00693C03">
        <w:rPr>
          <w:rFonts w:ascii="Calibri" w:hAnsi="Calibri"/>
          <w:iCs/>
          <w:lang w:val="en-AU"/>
        </w:rPr>
        <w:t>Question—That this Bill be agreed to in principle—put and passed.</w:t>
      </w:r>
    </w:p>
    <w:p w14:paraId="7331A990" w14:textId="77777777" w:rsidR="00693C03" w:rsidRPr="00693C03" w:rsidRDefault="00693C03" w:rsidP="00693C03">
      <w:pPr>
        <w:spacing w:before="120"/>
        <w:ind w:left="720"/>
        <w:rPr>
          <w:rFonts w:ascii="Calibri" w:hAnsi="Calibri"/>
          <w:iCs/>
          <w:lang w:val="en-AU"/>
        </w:rPr>
      </w:pPr>
      <w:r w:rsidRPr="00693C03">
        <w:rPr>
          <w:rFonts w:ascii="Calibri" w:hAnsi="Calibri"/>
          <w:iCs/>
          <w:lang w:val="en-AU"/>
        </w:rPr>
        <w:t>Leave granted to dispense with the detail stage.</w:t>
      </w:r>
    </w:p>
    <w:p w14:paraId="2134F9F6" w14:textId="4E8D6F09" w:rsidR="00693C03" w:rsidRDefault="00693C03" w:rsidP="00693C03">
      <w:pPr>
        <w:spacing w:before="120"/>
        <w:ind w:left="720"/>
        <w:rPr>
          <w:rFonts w:ascii="Calibri" w:hAnsi="Calibri"/>
          <w:lang w:val="en-AU"/>
        </w:rPr>
      </w:pPr>
      <w:r w:rsidRPr="00693C03">
        <w:rPr>
          <w:rFonts w:ascii="Calibri" w:hAnsi="Calibri"/>
          <w:lang w:val="en-AU"/>
        </w:rPr>
        <w:t>Question—That this Bill be agreed to—put and passed.</w:t>
      </w:r>
    </w:p>
    <w:p w14:paraId="62FCC95F" w14:textId="730440FD" w:rsidR="00233D8C" w:rsidRPr="00233D8C" w:rsidRDefault="00233D8C" w:rsidP="00233D8C">
      <w:pPr>
        <w:keepNext/>
        <w:keepLines/>
        <w:tabs>
          <w:tab w:val="right" w:pos="339"/>
          <w:tab w:val="left" w:pos="720"/>
        </w:tabs>
        <w:spacing w:before="240"/>
        <w:ind w:left="720" w:hanging="720"/>
        <w:rPr>
          <w:rFonts w:ascii="Calibri" w:hAnsi="Calibri"/>
          <w:b/>
          <w:caps/>
          <w:lang w:val="en-AU"/>
        </w:rPr>
      </w:pPr>
      <w:r w:rsidRPr="00233D8C">
        <w:rPr>
          <w:rFonts w:ascii="Calibri" w:hAnsi="Calibri"/>
          <w:b/>
          <w:caps/>
          <w:lang w:val="en-AU"/>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7</w:t>
      </w:r>
      <w:r w:rsidR="00847B5E">
        <w:rPr>
          <w:rFonts w:ascii="Calibri" w:hAnsi="Calibri"/>
          <w:b/>
          <w:bCs/>
          <w:caps/>
          <w:lang w:val="en-AU"/>
        </w:rPr>
        <w:fldChar w:fldCharType="end"/>
      </w:r>
      <w:r w:rsidRPr="00233D8C">
        <w:rPr>
          <w:rFonts w:ascii="Calibri" w:hAnsi="Calibri"/>
          <w:b/>
          <w:caps/>
          <w:lang w:val="en-AU"/>
        </w:rPr>
        <w:tab/>
      </w:r>
      <w:r>
        <w:rPr>
          <w:rFonts w:ascii="Calibri" w:hAnsi="Calibri"/>
          <w:b/>
          <w:caps/>
          <w:lang w:val="en-AU"/>
        </w:rPr>
        <w:t>Sexual, Family and Personal Violence Legislation Amendment Bill 2023</w:t>
      </w:r>
    </w:p>
    <w:p w14:paraId="16C61DD4" w14:textId="6EF1305D" w:rsidR="00233D8C" w:rsidRPr="00233D8C" w:rsidRDefault="00233D8C" w:rsidP="006A1153">
      <w:pPr>
        <w:spacing w:before="80"/>
        <w:ind w:left="720"/>
        <w:rPr>
          <w:rFonts w:ascii="Calibri" w:hAnsi="Calibri"/>
          <w:lang w:val="en-AU"/>
        </w:rPr>
      </w:pPr>
      <w:r w:rsidRPr="00233D8C">
        <w:rPr>
          <w:rFonts w:ascii="Calibri" w:hAnsi="Calibri"/>
          <w:lang w:val="en-AU"/>
        </w:rPr>
        <w:t>The order of the day having been read for the resumption of the debate on the question—That this Bill be agreed to in principle—</w:t>
      </w:r>
    </w:p>
    <w:p w14:paraId="4972F919" w14:textId="77777777" w:rsidR="00233D8C" w:rsidRPr="00233D8C" w:rsidRDefault="00233D8C" w:rsidP="006A1153">
      <w:pPr>
        <w:spacing w:before="80"/>
        <w:ind w:left="720"/>
        <w:rPr>
          <w:rFonts w:ascii="Calibri" w:hAnsi="Calibri"/>
          <w:iCs/>
          <w:lang w:val="en-AU"/>
        </w:rPr>
      </w:pPr>
      <w:r w:rsidRPr="00233D8C">
        <w:rPr>
          <w:rFonts w:ascii="Calibri" w:hAnsi="Calibri"/>
          <w:iCs/>
          <w:lang w:val="en-AU"/>
        </w:rPr>
        <w:t>Debate resumed.</w:t>
      </w:r>
    </w:p>
    <w:p w14:paraId="3DFCCDEE" w14:textId="77777777" w:rsidR="00233D8C" w:rsidRPr="009C5667" w:rsidRDefault="00233D8C" w:rsidP="006A1153">
      <w:pPr>
        <w:spacing w:before="80"/>
        <w:ind w:left="720"/>
        <w:rPr>
          <w:rFonts w:ascii="Calibri" w:hAnsi="Calibri"/>
          <w:iCs/>
          <w:lang w:val="en-AU"/>
        </w:rPr>
      </w:pPr>
      <w:r>
        <w:rPr>
          <w:rFonts w:ascii="Calibri" w:hAnsi="Calibri"/>
          <w:i/>
          <w:lang w:val="en-AU"/>
        </w:rPr>
        <w:t>Paper</w:t>
      </w:r>
      <w:r>
        <w:rPr>
          <w:rFonts w:ascii="Calibri" w:hAnsi="Calibri"/>
          <w:iCs/>
          <w:lang w:val="en-AU"/>
        </w:rPr>
        <w:t xml:space="preserve">: Mr Rattenbury (Attorney-General) presented a revised explanatory statement to the </w:t>
      </w:r>
      <w:r w:rsidRPr="00FE5860">
        <w:rPr>
          <w:rFonts w:ascii="Calibri" w:hAnsi="Calibri"/>
          <w:iCs/>
          <w:lang w:val="en-AU"/>
        </w:rPr>
        <w:t>Bill</w:t>
      </w:r>
      <w:r>
        <w:rPr>
          <w:rFonts w:ascii="Calibri" w:hAnsi="Calibri"/>
          <w:iCs/>
          <w:lang w:val="en-AU"/>
        </w:rPr>
        <w:t>.</w:t>
      </w:r>
    </w:p>
    <w:p w14:paraId="031DF119" w14:textId="43E1E8B2" w:rsidR="00D86DE1" w:rsidRDefault="00233D8C" w:rsidP="006A1153">
      <w:pPr>
        <w:spacing w:before="80"/>
        <w:ind w:left="720"/>
        <w:rPr>
          <w:rFonts w:ascii="Calibri" w:hAnsi="Calibri"/>
          <w:iCs/>
          <w:lang w:val="en-AU"/>
        </w:rPr>
      </w:pPr>
      <w:r w:rsidRPr="00233D8C">
        <w:rPr>
          <w:rFonts w:ascii="Calibri" w:hAnsi="Calibri"/>
          <w:iCs/>
          <w:lang w:val="en-AU"/>
        </w:rPr>
        <w:t>Question—That this Bill be agreed to in principle—put and passed.</w:t>
      </w:r>
    </w:p>
    <w:p w14:paraId="3D6E6B0D" w14:textId="77777777" w:rsidR="00233D8C" w:rsidRPr="006A1153" w:rsidRDefault="00233D8C" w:rsidP="00D86DE1">
      <w:pPr>
        <w:pBdr>
          <w:bottom w:val="thinThickLargeGap" w:sz="18" w:space="1" w:color="auto"/>
        </w:pBdr>
        <w:ind w:left="3425" w:right="3657"/>
        <w:jc w:val="center"/>
        <w:rPr>
          <w:rFonts w:ascii="Calibri" w:hAnsi="Calibri"/>
          <w:i/>
          <w:iCs/>
          <w:sz w:val="8"/>
          <w:szCs w:val="8"/>
          <w:lang w:val="en-AU"/>
        </w:rPr>
      </w:pPr>
    </w:p>
    <w:p w14:paraId="500D9C5A" w14:textId="77777777" w:rsidR="00233D8C" w:rsidRPr="00233D8C" w:rsidRDefault="00233D8C" w:rsidP="00233D8C">
      <w:pPr>
        <w:tabs>
          <w:tab w:val="left" w:pos="1197"/>
          <w:tab w:val="left" w:pos="1767"/>
        </w:tabs>
        <w:spacing w:before="120"/>
        <w:jc w:val="center"/>
        <w:rPr>
          <w:rFonts w:ascii="Calibri" w:hAnsi="Calibri"/>
          <w:i/>
          <w:iCs/>
          <w:lang w:val="en-AU"/>
        </w:rPr>
      </w:pPr>
      <w:r w:rsidRPr="00233D8C">
        <w:rPr>
          <w:rFonts w:ascii="Calibri" w:hAnsi="Calibri"/>
          <w:i/>
          <w:iCs/>
          <w:lang w:val="en-AU"/>
        </w:rPr>
        <w:t>Detail Stage</w:t>
      </w:r>
    </w:p>
    <w:p w14:paraId="08DC5DFC" w14:textId="77777777" w:rsidR="00233D8C" w:rsidRPr="00233D8C" w:rsidRDefault="00233D8C" w:rsidP="006A1153">
      <w:pPr>
        <w:tabs>
          <w:tab w:val="left" w:pos="1197"/>
          <w:tab w:val="left" w:pos="1767"/>
        </w:tabs>
        <w:ind w:left="720"/>
        <w:rPr>
          <w:rFonts w:ascii="Calibri" w:hAnsi="Calibri"/>
          <w:iCs/>
          <w:lang w:val="en-AU"/>
        </w:rPr>
      </w:pPr>
      <w:r w:rsidRPr="00233D8C">
        <w:rPr>
          <w:rFonts w:ascii="Calibri" w:hAnsi="Calibri"/>
          <w:iCs/>
          <w:lang w:val="en-AU"/>
        </w:rPr>
        <w:t>Bill, by leave, taken as a whole—</w:t>
      </w:r>
    </w:p>
    <w:p w14:paraId="090E3756" w14:textId="47960F17" w:rsidR="00233D8C" w:rsidRPr="00233D8C" w:rsidRDefault="00233D8C" w:rsidP="006A1153">
      <w:pPr>
        <w:widowControl w:val="0"/>
        <w:tabs>
          <w:tab w:val="left" w:pos="1197"/>
          <w:tab w:val="left" w:pos="1767"/>
        </w:tabs>
        <w:spacing w:before="60"/>
        <w:ind w:left="720"/>
        <w:rPr>
          <w:rFonts w:ascii="Calibri" w:hAnsi="Calibri"/>
          <w:iCs/>
          <w:lang w:val="en-AU"/>
        </w:rPr>
      </w:pPr>
      <w:r w:rsidRPr="00233D8C">
        <w:rPr>
          <w:rFonts w:ascii="Calibri" w:hAnsi="Calibri"/>
          <w:iCs/>
          <w:spacing w:val="-2"/>
          <w:lang w:val="en-AU"/>
        </w:rPr>
        <w:t xml:space="preserve">On the motion of </w:t>
      </w:r>
      <w:r w:rsidRPr="00D86DE1">
        <w:rPr>
          <w:rFonts w:ascii="Calibri" w:hAnsi="Calibri"/>
          <w:iCs/>
          <w:spacing w:val="-2"/>
          <w:lang w:val="en-AU"/>
        </w:rPr>
        <w:t>Mr Rattenbury</w:t>
      </w:r>
      <w:r w:rsidRPr="00233D8C">
        <w:rPr>
          <w:rFonts w:ascii="Calibri" w:hAnsi="Calibri"/>
          <w:iCs/>
          <w:spacing w:val="-2"/>
          <w:lang w:val="en-AU"/>
        </w:rPr>
        <w:t>,</w:t>
      </w:r>
      <w:r w:rsidRPr="00D86DE1">
        <w:rPr>
          <w:rFonts w:ascii="Calibri" w:hAnsi="Calibri"/>
          <w:iCs/>
          <w:spacing w:val="-2"/>
          <w:lang w:val="en-AU"/>
        </w:rPr>
        <w:t xml:space="preserve"> by leave,</w:t>
      </w:r>
      <w:r w:rsidRPr="00233D8C">
        <w:rPr>
          <w:rFonts w:ascii="Calibri" w:hAnsi="Calibri"/>
          <w:iCs/>
          <w:spacing w:val="-2"/>
          <w:lang w:val="en-AU"/>
        </w:rPr>
        <w:t xml:space="preserve"> his amendment</w:t>
      </w:r>
      <w:r w:rsidRPr="00D86DE1">
        <w:rPr>
          <w:rFonts w:ascii="Calibri" w:hAnsi="Calibri"/>
          <w:iCs/>
          <w:spacing w:val="-2"/>
          <w:lang w:val="en-AU"/>
        </w:rPr>
        <w:t>s</w:t>
      </w:r>
      <w:r w:rsidRPr="00233D8C">
        <w:rPr>
          <w:rFonts w:ascii="Calibri" w:hAnsi="Calibri"/>
          <w:iCs/>
          <w:spacing w:val="-2"/>
          <w:lang w:val="en-AU"/>
        </w:rPr>
        <w:t xml:space="preserve"> No</w:t>
      </w:r>
      <w:r w:rsidRPr="00D86DE1">
        <w:rPr>
          <w:rFonts w:ascii="Calibri" w:hAnsi="Calibri"/>
          <w:iCs/>
          <w:spacing w:val="-2"/>
          <w:lang w:val="en-AU"/>
        </w:rPr>
        <w:t>s</w:t>
      </w:r>
      <w:r w:rsidRPr="00233D8C">
        <w:rPr>
          <w:rFonts w:ascii="Calibri" w:hAnsi="Calibri"/>
          <w:iCs/>
          <w:spacing w:val="-2"/>
          <w:lang w:val="en-AU"/>
        </w:rPr>
        <w:t xml:space="preserve"> </w:t>
      </w:r>
      <w:r w:rsidRPr="00D86DE1">
        <w:rPr>
          <w:rFonts w:ascii="Calibri" w:hAnsi="Calibri"/>
          <w:iCs/>
          <w:spacing w:val="-2"/>
          <w:lang w:val="en-AU"/>
        </w:rPr>
        <w:t>1 to 14</w:t>
      </w:r>
      <w:r w:rsidRPr="00233D8C">
        <w:rPr>
          <w:rFonts w:ascii="Calibri" w:hAnsi="Calibri"/>
          <w:iCs/>
          <w:spacing w:val="-2"/>
          <w:lang w:val="en-AU"/>
        </w:rPr>
        <w:t xml:space="preserve"> </w:t>
      </w:r>
      <w:r w:rsidRPr="00D86DE1">
        <w:rPr>
          <w:rFonts w:ascii="Calibri" w:hAnsi="Calibri"/>
          <w:iCs/>
          <w:spacing w:val="-2"/>
          <w:lang w:val="en-AU"/>
        </w:rPr>
        <w:t>(</w:t>
      </w:r>
      <w:r w:rsidRPr="00D86DE1">
        <w:rPr>
          <w:rFonts w:ascii="Calibri" w:hAnsi="Calibri"/>
          <w:i/>
          <w:spacing w:val="-2"/>
          <w:lang w:val="en-AU"/>
        </w:rPr>
        <w:t xml:space="preserve">see </w:t>
      </w:r>
      <w:hyperlink w:anchor="Schedule1" w:history="1">
        <w:r w:rsidRPr="00C90AA1">
          <w:rPr>
            <w:rStyle w:val="Hyperlink"/>
            <w:rFonts w:ascii="Calibri" w:hAnsi="Calibri"/>
            <w:iCs/>
            <w:spacing w:val="-2"/>
            <w:lang w:val="en-AU"/>
          </w:rPr>
          <w:t>Schedule 1</w:t>
        </w:r>
      </w:hyperlink>
      <w:r w:rsidRPr="00D86DE1">
        <w:rPr>
          <w:rFonts w:ascii="Calibri" w:hAnsi="Calibri"/>
          <w:iCs/>
          <w:spacing w:val="-2"/>
          <w:lang w:val="en-AU"/>
        </w:rPr>
        <w:t>)</w:t>
      </w:r>
      <w:r>
        <w:rPr>
          <w:rFonts w:ascii="Calibri" w:hAnsi="Calibri"/>
          <w:iCs/>
          <w:lang w:val="en-AU"/>
        </w:rPr>
        <w:t xml:space="preserve"> </w:t>
      </w:r>
      <w:r w:rsidRPr="00233D8C">
        <w:rPr>
          <w:rFonts w:ascii="Calibri" w:hAnsi="Calibri"/>
          <w:iCs/>
          <w:lang w:val="en-AU"/>
        </w:rPr>
        <w:t>w</w:t>
      </w:r>
      <w:r>
        <w:rPr>
          <w:rFonts w:ascii="Calibri" w:hAnsi="Calibri"/>
          <w:iCs/>
          <w:lang w:val="en-AU"/>
        </w:rPr>
        <w:t>ere</w:t>
      </w:r>
      <w:r w:rsidRPr="00233D8C">
        <w:rPr>
          <w:rFonts w:ascii="Calibri" w:hAnsi="Calibri"/>
          <w:iCs/>
          <w:lang w:val="en-AU"/>
        </w:rPr>
        <w:t xml:space="preserve"> made</w:t>
      </w:r>
      <w:r w:rsidR="002541E9">
        <w:rPr>
          <w:rFonts w:ascii="Calibri" w:hAnsi="Calibri"/>
          <w:iCs/>
          <w:lang w:val="en-AU"/>
        </w:rPr>
        <w:t xml:space="preserve"> together.</w:t>
      </w:r>
    </w:p>
    <w:p w14:paraId="3B3AF4EE" w14:textId="76CE5AAD" w:rsidR="00210905" w:rsidRPr="009C5667" w:rsidRDefault="00210905" w:rsidP="00D86DE1">
      <w:pPr>
        <w:spacing w:before="80"/>
        <w:ind w:left="720"/>
        <w:rPr>
          <w:rFonts w:ascii="Calibri" w:hAnsi="Calibri"/>
          <w:iCs/>
          <w:lang w:val="en-AU"/>
        </w:rPr>
      </w:pPr>
      <w:r>
        <w:rPr>
          <w:rFonts w:ascii="Calibri" w:hAnsi="Calibri"/>
          <w:i/>
          <w:lang w:val="en-AU"/>
        </w:rPr>
        <w:lastRenderedPageBreak/>
        <w:t>Paper</w:t>
      </w:r>
      <w:r>
        <w:rPr>
          <w:rFonts w:ascii="Calibri" w:hAnsi="Calibri"/>
          <w:iCs/>
          <w:lang w:val="en-AU"/>
        </w:rPr>
        <w:t xml:space="preserve">: Mr Rattenbury presented a supplementary explanatory statement to </w:t>
      </w:r>
      <w:r w:rsidR="005A7C25">
        <w:rPr>
          <w:rFonts w:ascii="Calibri" w:hAnsi="Calibri"/>
          <w:iCs/>
          <w:lang w:val="en-AU"/>
        </w:rPr>
        <w:t>the Government</w:t>
      </w:r>
      <w:r>
        <w:rPr>
          <w:rFonts w:ascii="Calibri" w:hAnsi="Calibri"/>
          <w:iCs/>
          <w:lang w:val="en-AU"/>
        </w:rPr>
        <w:t xml:space="preserve"> amendments.</w:t>
      </w:r>
    </w:p>
    <w:p w14:paraId="016D86DC" w14:textId="77777777" w:rsidR="00233D8C" w:rsidRPr="00233D8C" w:rsidRDefault="00233D8C" w:rsidP="00D86DE1">
      <w:pPr>
        <w:tabs>
          <w:tab w:val="left" w:pos="1197"/>
          <w:tab w:val="left" w:pos="1767"/>
        </w:tabs>
        <w:spacing w:before="80"/>
        <w:ind w:left="720"/>
        <w:rPr>
          <w:rFonts w:ascii="Calibri" w:hAnsi="Calibri"/>
          <w:lang w:val="en-AU"/>
        </w:rPr>
      </w:pPr>
      <w:r w:rsidRPr="00233D8C">
        <w:rPr>
          <w:rFonts w:ascii="Calibri" w:hAnsi="Calibri"/>
          <w:lang w:val="en-AU"/>
        </w:rPr>
        <w:t>Bill, as a whole, as amended, agreed to.</w:t>
      </w:r>
    </w:p>
    <w:p w14:paraId="61DB4444" w14:textId="77777777" w:rsidR="00233D8C" w:rsidRPr="00233D8C" w:rsidRDefault="00233D8C" w:rsidP="00233D8C">
      <w:pPr>
        <w:pBdr>
          <w:top w:val="thickThinLargeGap" w:sz="18" w:space="1" w:color="auto"/>
        </w:pBdr>
        <w:spacing w:before="180"/>
        <w:ind w:left="3427" w:right="3658"/>
        <w:jc w:val="center"/>
        <w:rPr>
          <w:rFonts w:ascii="Calibri" w:hAnsi="Calibri"/>
          <w:lang w:val="en-AU"/>
        </w:rPr>
      </w:pPr>
    </w:p>
    <w:p w14:paraId="33D6D433" w14:textId="77777777" w:rsidR="00233D8C" w:rsidRPr="00233D8C" w:rsidRDefault="00233D8C" w:rsidP="00233D8C">
      <w:pPr>
        <w:tabs>
          <w:tab w:val="left" w:pos="1197"/>
          <w:tab w:val="left" w:pos="1767"/>
        </w:tabs>
        <w:ind w:left="720"/>
        <w:rPr>
          <w:rFonts w:ascii="Calibri" w:hAnsi="Calibri"/>
          <w:lang w:val="en-AU"/>
        </w:rPr>
      </w:pPr>
      <w:r w:rsidRPr="00233D8C">
        <w:rPr>
          <w:rFonts w:ascii="Calibri" w:hAnsi="Calibri"/>
          <w:lang w:val="en-AU"/>
        </w:rPr>
        <w:t>Question—That this Bill, as amended, be agreed to—put and passed.</w:t>
      </w:r>
    </w:p>
    <w:p w14:paraId="59FD1AE1" w14:textId="38F7397E" w:rsidR="00693C03" w:rsidRPr="00693C03" w:rsidRDefault="00693C03" w:rsidP="00693C03">
      <w:pPr>
        <w:keepNext/>
        <w:keepLines/>
        <w:tabs>
          <w:tab w:val="right" w:pos="339"/>
          <w:tab w:val="left" w:pos="720"/>
        </w:tabs>
        <w:spacing w:before="240"/>
        <w:ind w:left="720" w:hanging="720"/>
        <w:rPr>
          <w:rFonts w:ascii="Calibri" w:hAnsi="Calibri"/>
          <w:b/>
          <w:caps/>
          <w:lang w:val="en-AU"/>
        </w:rPr>
      </w:pPr>
      <w:r w:rsidRPr="00693C03">
        <w:rPr>
          <w:rFonts w:ascii="Calibri" w:hAnsi="Calibri"/>
          <w:b/>
          <w:caps/>
          <w:lang w:val="en-AU"/>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8</w:t>
      </w:r>
      <w:r w:rsidR="00847B5E">
        <w:rPr>
          <w:rFonts w:ascii="Calibri" w:hAnsi="Calibri"/>
          <w:b/>
          <w:bCs/>
          <w:caps/>
          <w:lang w:val="en-AU"/>
        </w:rPr>
        <w:fldChar w:fldCharType="end"/>
      </w:r>
      <w:r w:rsidRPr="00693C03">
        <w:rPr>
          <w:rFonts w:ascii="Calibri" w:hAnsi="Calibri"/>
          <w:b/>
          <w:caps/>
          <w:lang w:val="en-AU"/>
        </w:rPr>
        <w:tab/>
      </w:r>
      <w:r>
        <w:rPr>
          <w:rFonts w:ascii="Calibri" w:hAnsi="Calibri"/>
          <w:b/>
          <w:caps/>
          <w:lang w:val="en-AU"/>
        </w:rPr>
        <w:t>Monitoring of Places of Detention Legislation Amendment Bill 2024</w:t>
      </w:r>
    </w:p>
    <w:p w14:paraId="3C14A8E7" w14:textId="6AA3F3F0" w:rsidR="00693C03" w:rsidRPr="009C5667" w:rsidRDefault="00693C03" w:rsidP="00D86DE1">
      <w:pPr>
        <w:spacing w:before="80"/>
        <w:ind w:left="720"/>
        <w:rPr>
          <w:rFonts w:ascii="Calibri" w:hAnsi="Calibri"/>
          <w:lang w:val="en-AU"/>
        </w:rPr>
      </w:pPr>
      <w:r w:rsidRPr="009C5667">
        <w:rPr>
          <w:rFonts w:ascii="Calibri" w:hAnsi="Calibri"/>
          <w:lang w:val="en-AU"/>
        </w:rPr>
        <w:t>The order of the day having been read for the resumption of the debate on the question—That this Bill be agreed to in principle—</w:t>
      </w:r>
    </w:p>
    <w:p w14:paraId="7FA06A19" w14:textId="77777777" w:rsidR="00693C03" w:rsidRDefault="00693C03" w:rsidP="00D86DE1">
      <w:pPr>
        <w:spacing w:before="80"/>
        <w:ind w:left="720"/>
        <w:rPr>
          <w:rFonts w:ascii="Calibri" w:hAnsi="Calibri"/>
          <w:iCs/>
          <w:lang w:val="en-AU"/>
        </w:rPr>
      </w:pPr>
      <w:r w:rsidRPr="009C5667">
        <w:rPr>
          <w:rFonts w:ascii="Calibri" w:hAnsi="Calibri"/>
          <w:iCs/>
          <w:lang w:val="en-AU"/>
        </w:rPr>
        <w:t>Debate resumed.</w:t>
      </w:r>
    </w:p>
    <w:p w14:paraId="48134C86" w14:textId="77777777" w:rsidR="00693C03" w:rsidRPr="009C5667" w:rsidRDefault="00693C03" w:rsidP="00D86DE1">
      <w:pPr>
        <w:spacing w:before="80"/>
        <w:ind w:left="720"/>
        <w:rPr>
          <w:rFonts w:ascii="Calibri" w:hAnsi="Calibri"/>
          <w:iCs/>
          <w:lang w:val="en-AU"/>
        </w:rPr>
      </w:pPr>
      <w:r>
        <w:rPr>
          <w:rFonts w:ascii="Calibri" w:hAnsi="Calibri"/>
          <w:i/>
          <w:lang w:val="en-AU"/>
        </w:rPr>
        <w:t>Paper</w:t>
      </w:r>
      <w:r>
        <w:rPr>
          <w:rFonts w:ascii="Calibri" w:hAnsi="Calibri"/>
          <w:iCs/>
          <w:lang w:val="en-AU"/>
        </w:rPr>
        <w:t xml:space="preserve">: Mr Rattenbury (Attorney-General) presented a revised explanatory statement to the </w:t>
      </w:r>
      <w:r w:rsidRPr="00FE5860">
        <w:rPr>
          <w:rFonts w:ascii="Calibri" w:hAnsi="Calibri"/>
          <w:iCs/>
          <w:lang w:val="en-AU"/>
        </w:rPr>
        <w:t>Bill</w:t>
      </w:r>
      <w:r>
        <w:rPr>
          <w:rFonts w:ascii="Calibri" w:hAnsi="Calibri"/>
          <w:iCs/>
          <w:lang w:val="en-AU"/>
        </w:rPr>
        <w:t>.</w:t>
      </w:r>
    </w:p>
    <w:p w14:paraId="276B8BDF" w14:textId="77777777" w:rsidR="00693C03" w:rsidRPr="009C5667" w:rsidRDefault="00693C03" w:rsidP="00D86DE1">
      <w:pPr>
        <w:spacing w:before="80"/>
        <w:ind w:left="720"/>
        <w:rPr>
          <w:rFonts w:ascii="Calibri" w:hAnsi="Calibri"/>
          <w:iCs/>
          <w:lang w:val="en-AU"/>
        </w:rPr>
      </w:pPr>
      <w:r w:rsidRPr="009C5667">
        <w:rPr>
          <w:rFonts w:ascii="Calibri" w:hAnsi="Calibri"/>
          <w:iCs/>
          <w:lang w:val="en-AU"/>
        </w:rPr>
        <w:t>Question—That this Bill be agreed to in principle—put and passed.</w:t>
      </w:r>
    </w:p>
    <w:p w14:paraId="63E19FA9" w14:textId="77777777" w:rsidR="00693C03" w:rsidRPr="009C5667" w:rsidRDefault="00693C03" w:rsidP="00D86DE1">
      <w:pPr>
        <w:spacing w:before="80"/>
        <w:ind w:left="720"/>
        <w:rPr>
          <w:rFonts w:ascii="Calibri" w:hAnsi="Calibri"/>
          <w:iCs/>
          <w:lang w:val="en-AU"/>
        </w:rPr>
      </w:pPr>
      <w:r w:rsidRPr="009C5667">
        <w:rPr>
          <w:rFonts w:ascii="Calibri" w:hAnsi="Calibri"/>
          <w:iCs/>
          <w:lang w:val="en-AU"/>
        </w:rPr>
        <w:t>Leave granted to dispense with the detail stage.</w:t>
      </w:r>
    </w:p>
    <w:p w14:paraId="61B6F254" w14:textId="77777777" w:rsidR="00693C03" w:rsidRPr="009C5667" w:rsidRDefault="00693C03" w:rsidP="00D86DE1">
      <w:pPr>
        <w:spacing w:before="80"/>
        <w:ind w:left="720"/>
        <w:rPr>
          <w:rFonts w:ascii="Calibri" w:hAnsi="Calibri"/>
          <w:lang w:val="en-AU"/>
        </w:rPr>
      </w:pPr>
      <w:r w:rsidRPr="009C5667">
        <w:rPr>
          <w:rFonts w:ascii="Calibri" w:hAnsi="Calibri"/>
          <w:lang w:val="en-AU"/>
        </w:rPr>
        <w:t>Question—That this Bill be agreed to—put and passed.</w:t>
      </w:r>
    </w:p>
    <w:p w14:paraId="427B7BD9" w14:textId="70B5332E" w:rsidR="00693C03" w:rsidRPr="009C5667" w:rsidRDefault="00693C03" w:rsidP="00693C03">
      <w:pPr>
        <w:keepNext/>
        <w:keepLines/>
        <w:tabs>
          <w:tab w:val="right" w:pos="339"/>
          <w:tab w:val="left" w:pos="720"/>
        </w:tabs>
        <w:spacing w:before="240"/>
        <w:ind w:left="720" w:hanging="720"/>
        <w:rPr>
          <w:rFonts w:ascii="Calibri" w:hAnsi="Calibri"/>
          <w:b/>
          <w:caps/>
          <w:lang w:val="en-AU"/>
        </w:rPr>
      </w:pPr>
      <w:r w:rsidRPr="009C566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20376F">
        <w:rPr>
          <w:rFonts w:ascii="Calibri" w:hAnsi="Calibri"/>
          <w:b/>
          <w:bCs/>
          <w:caps/>
          <w:noProof/>
          <w:lang w:val="en-AU"/>
        </w:rPr>
        <w:t>9</w:t>
      </w:r>
      <w:r>
        <w:rPr>
          <w:rFonts w:ascii="Calibri" w:hAnsi="Calibri"/>
          <w:b/>
          <w:bCs/>
          <w:caps/>
          <w:lang w:val="en-AU"/>
        </w:rPr>
        <w:fldChar w:fldCharType="end"/>
      </w:r>
      <w:r w:rsidRPr="009C5667">
        <w:rPr>
          <w:rFonts w:ascii="Calibri" w:hAnsi="Calibri"/>
          <w:b/>
          <w:caps/>
          <w:lang w:val="en-AU"/>
        </w:rPr>
        <w:tab/>
      </w:r>
      <w:r>
        <w:rPr>
          <w:rFonts w:ascii="Calibri" w:hAnsi="Calibri"/>
          <w:b/>
          <w:caps/>
          <w:lang w:val="en-AU"/>
        </w:rPr>
        <w:t>Health Legislation Amendment Bill 2024</w:t>
      </w:r>
    </w:p>
    <w:p w14:paraId="164B0CED" w14:textId="4F6619E4" w:rsidR="00693C03" w:rsidRPr="009C5667" w:rsidRDefault="00693C03" w:rsidP="00693C03">
      <w:pPr>
        <w:spacing w:before="120"/>
        <w:ind w:left="720"/>
        <w:rPr>
          <w:rFonts w:ascii="Calibri" w:hAnsi="Calibri"/>
          <w:lang w:val="en-AU"/>
        </w:rPr>
      </w:pPr>
      <w:r w:rsidRPr="009C5667">
        <w:rPr>
          <w:rFonts w:ascii="Calibri" w:hAnsi="Calibri"/>
          <w:lang w:val="en-AU"/>
        </w:rPr>
        <w:t>The order of the day having been read for the resumption of the debate on the question—That this Bill be agreed to in principle—</w:t>
      </w:r>
    </w:p>
    <w:p w14:paraId="583B9273" w14:textId="77777777" w:rsidR="00693C03" w:rsidRPr="009C5667" w:rsidRDefault="00693C03" w:rsidP="00693C03">
      <w:pPr>
        <w:spacing w:before="120"/>
        <w:ind w:left="720"/>
        <w:rPr>
          <w:rFonts w:ascii="Calibri" w:hAnsi="Calibri"/>
          <w:iCs/>
          <w:lang w:val="en-AU"/>
        </w:rPr>
      </w:pPr>
      <w:r w:rsidRPr="009C5667">
        <w:rPr>
          <w:rFonts w:ascii="Calibri" w:hAnsi="Calibri"/>
          <w:iCs/>
          <w:lang w:val="en-AU"/>
        </w:rPr>
        <w:t>Debate resumed.</w:t>
      </w:r>
    </w:p>
    <w:p w14:paraId="006E2205" w14:textId="77777777" w:rsidR="00693C03" w:rsidRPr="009C5667" w:rsidRDefault="00693C03" w:rsidP="00693C03">
      <w:pPr>
        <w:spacing w:before="120"/>
        <w:ind w:left="720"/>
        <w:rPr>
          <w:rFonts w:ascii="Calibri" w:hAnsi="Calibri"/>
          <w:iCs/>
          <w:lang w:val="en-AU"/>
        </w:rPr>
      </w:pPr>
      <w:r w:rsidRPr="009C5667">
        <w:rPr>
          <w:rFonts w:ascii="Calibri" w:hAnsi="Calibri"/>
          <w:iCs/>
          <w:lang w:val="en-AU"/>
        </w:rPr>
        <w:t>Question—That this Bill be agreed to in principle—put and passed.</w:t>
      </w:r>
    </w:p>
    <w:p w14:paraId="1C1BBDEF" w14:textId="77777777" w:rsidR="00693C03" w:rsidRPr="009C5667" w:rsidRDefault="00693C03" w:rsidP="00693C03">
      <w:pPr>
        <w:pBdr>
          <w:bottom w:val="thinThickLargeGap" w:sz="18" w:space="1" w:color="auto"/>
        </w:pBdr>
        <w:ind w:left="3427" w:right="3658"/>
        <w:jc w:val="center"/>
        <w:rPr>
          <w:rFonts w:ascii="Calibri" w:hAnsi="Calibri"/>
          <w:i/>
          <w:iCs/>
          <w:lang w:val="en-AU"/>
        </w:rPr>
      </w:pPr>
    </w:p>
    <w:p w14:paraId="6F52426E" w14:textId="77777777" w:rsidR="00693C03" w:rsidRPr="009C5667" w:rsidRDefault="00693C03" w:rsidP="00693C03">
      <w:pPr>
        <w:tabs>
          <w:tab w:val="left" w:pos="1197"/>
          <w:tab w:val="left" w:pos="1767"/>
        </w:tabs>
        <w:spacing w:before="120"/>
        <w:jc w:val="center"/>
        <w:rPr>
          <w:rFonts w:ascii="Calibri" w:hAnsi="Calibri"/>
          <w:i/>
          <w:iCs/>
          <w:lang w:val="en-AU"/>
        </w:rPr>
      </w:pPr>
      <w:r w:rsidRPr="009C5667">
        <w:rPr>
          <w:rFonts w:ascii="Calibri" w:hAnsi="Calibri"/>
          <w:i/>
          <w:iCs/>
          <w:lang w:val="en-AU"/>
        </w:rPr>
        <w:t>Detail Stage</w:t>
      </w:r>
    </w:p>
    <w:p w14:paraId="41CB5BAD" w14:textId="07B13F35" w:rsidR="00693C03" w:rsidRDefault="00693C03" w:rsidP="00D86DE1">
      <w:pPr>
        <w:spacing w:before="80"/>
        <w:ind w:left="720"/>
        <w:rPr>
          <w:rFonts w:ascii="Calibri" w:hAnsi="Calibri"/>
          <w:iCs/>
          <w:lang w:val="en-AU"/>
        </w:rPr>
      </w:pPr>
      <w:r w:rsidRPr="009C5667">
        <w:rPr>
          <w:rFonts w:ascii="Calibri" w:hAnsi="Calibri"/>
          <w:iCs/>
          <w:lang w:val="en-AU"/>
        </w:rPr>
        <w:t>Clause</w:t>
      </w:r>
      <w:r>
        <w:rPr>
          <w:rFonts w:ascii="Calibri" w:hAnsi="Calibri"/>
          <w:iCs/>
          <w:lang w:val="en-AU"/>
        </w:rPr>
        <w:t>s</w:t>
      </w:r>
      <w:r w:rsidRPr="009C5667">
        <w:rPr>
          <w:rFonts w:ascii="Calibri" w:hAnsi="Calibri"/>
          <w:iCs/>
          <w:lang w:val="en-AU"/>
        </w:rPr>
        <w:t xml:space="preserve"> 1 </w:t>
      </w:r>
      <w:r>
        <w:rPr>
          <w:rFonts w:ascii="Calibri" w:hAnsi="Calibri"/>
          <w:iCs/>
          <w:lang w:val="en-AU"/>
        </w:rPr>
        <w:t>to 4</w:t>
      </w:r>
      <w:r w:rsidR="00EA6DAC">
        <w:rPr>
          <w:rFonts w:ascii="Calibri" w:hAnsi="Calibri"/>
          <w:iCs/>
          <w:lang w:val="en-AU"/>
        </w:rPr>
        <w:t xml:space="preserve">, by leave, taken together and </w:t>
      </w:r>
      <w:r>
        <w:rPr>
          <w:rFonts w:ascii="Calibri" w:hAnsi="Calibri"/>
          <w:iCs/>
          <w:lang w:val="en-AU"/>
        </w:rPr>
        <w:t>agreed to.</w:t>
      </w:r>
    </w:p>
    <w:p w14:paraId="3188D8AF" w14:textId="4FA033B9" w:rsidR="00693C03" w:rsidRPr="00F32333" w:rsidRDefault="00693C03" w:rsidP="00D86DE1">
      <w:pPr>
        <w:spacing w:before="100"/>
        <w:ind w:left="720"/>
        <w:rPr>
          <w:rFonts w:ascii="Calibri" w:hAnsi="Calibri"/>
          <w:i/>
          <w:lang w:val="en-AU"/>
        </w:rPr>
      </w:pPr>
      <w:r>
        <w:rPr>
          <w:rFonts w:ascii="Calibri" w:hAnsi="Calibri"/>
          <w:i/>
          <w:lang w:val="en-AU"/>
        </w:rPr>
        <w:t xml:space="preserve">New </w:t>
      </w:r>
      <w:r w:rsidR="002108FF">
        <w:rPr>
          <w:rFonts w:ascii="Calibri" w:hAnsi="Calibri"/>
          <w:i/>
          <w:lang w:val="en-AU"/>
        </w:rPr>
        <w:t>c</w:t>
      </w:r>
      <w:r>
        <w:rPr>
          <w:rFonts w:ascii="Calibri" w:hAnsi="Calibri"/>
          <w:i/>
          <w:lang w:val="en-AU"/>
        </w:rPr>
        <w:t>lause</w:t>
      </w:r>
      <w:r w:rsidRPr="009C5667">
        <w:rPr>
          <w:rFonts w:ascii="Calibri" w:hAnsi="Calibri"/>
          <w:iCs/>
          <w:lang w:val="en-AU"/>
        </w:rPr>
        <w:t>—</w:t>
      </w:r>
    </w:p>
    <w:p w14:paraId="69ED8D6F" w14:textId="77777777" w:rsidR="00693C03" w:rsidRDefault="00693C03" w:rsidP="00D86DE1">
      <w:pPr>
        <w:spacing w:before="100"/>
        <w:ind w:left="720"/>
        <w:rPr>
          <w:rFonts w:ascii="Calibri" w:hAnsi="Calibri"/>
          <w:iCs/>
          <w:lang w:val="en-AU"/>
        </w:rPr>
      </w:pPr>
      <w:r>
        <w:rPr>
          <w:rFonts w:ascii="Calibri" w:hAnsi="Calibri"/>
          <w:iCs/>
          <w:lang w:val="en-AU"/>
        </w:rPr>
        <w:t xml:space="preserve">Ms Stephen-Smith (Minister for Health) pursuant </w:t>
      </w:r>
      <w:r w:rsidRPr="00F32333">
        <w:rPr>
          <w:rFonts w:ascii="Calibri" w:hAnsi="Calibri"/>
          <w:iCs/>
          <w:lang w:val="en-AU"/>
        </w:rPr>
        <w:t>to standing order 182A (b),</w:t>
      </w:r>
      <w:r>
        <w:rPr>
          <w:rFonts w:ascii="Calibri" w:hAnsi="Calibri"/>
          <w:iCs/>
          <w:lang w:val="en-AU"/>
        </w:rPr>
        <w:t xml:space="preserve"> was granted leave to </w:t>
      </w:r>
      <w:r w:rsidRPr="00F32333">
        <w:rPr>
          <w:rFonts w:ascii="Calibri" w:hAnsi="Calibri"/>
          <w:iCs/>
          <w:lang w:val="en-AU"/>
        </w:rPr>
        <w:t xml:space="preserve">move an amendment </w:t>
      </w:r>
      <w:r>
        <w:rPr>
          <w:rFonts w:ascii="Calibri" w:hAnsi="Calibri"/>
          <w:iCs/>
          <w:lang w:val="en-AU"/>
        </w:rPr>
        <w:t>that was</w:t>
      </w:r>
      <w:r w:rsidRPr="00F32333">
        <w:rPr>
          <w:rFonts w:ascii="Calibri" w:hAnsi="Calibri"/>
          <w:iCs/>
          <w:lang w:val="en-AU"/>
        </w:rPr>
        <w:t xml:space="preserve"> minor and technical in nature.</w:t>
      </w:r>
    </w:p>
    <w:p w14:paraId="5957CFB0" w14:textId="2D09F5A8" w:rsidR="00693C03" w:rsidRPr="009C5667" w:rsidRDefault="00693C03" w:rsidP="00D86DE1">
      <w:pPr>
        <w:spacing w:before="100"/>
        <w:ind w:left="720"/>
        <w:rPr>
          <w:rFonts w:ascii="Calibri" w:hAnsi="Calibri"/>
          <w:iCs/>
          <w:lang w:val="en-AU"/>
        </w:rPr>
      </w:pPr>
      <w:r>
        <w:rPr>
          <w:rFonts w:ascii="Calibri" w:hAnsi="Calibri"/>
          <w:iCs/>
          <w:lang w:val="en-AU"/>
        </w:rPr>
        <w:t>On the motion of Ms Stephen-Smith</w:t>
      </w:r>
      <w:r w:rsidR="005F0CFF">
        <w:rPr>
          <w:rFonts w:ascii="Calibri" w:hAnsi="Calibri"/>
          <w:iCs/>
          <w:lang w:val="en-AU"/>
        </w:rPr>
        <w:t>,</w:t>
      </w:r>
      <w:r>
        <w:rPr>
          <w:rFonts w:ascii="Calibri" w:hAnsi="Calibri"/>
          <w:iCs/>
          <w:lang w:val="en-AU"/>
        </w:rPr>
        <w:t xml:space="preserve"> new clause 4A (her amendment No 1</w:t>
      </w:r>
      <w:r w:rsidRPr="009C5667">
        <w:rPr>
          <w:rFonts w:ascii="Calibri" w:hAnsi="Calibri"/>
          <w:iCs/>
          <w:lang w:val="en-AU"/>
        </w:rPr>
        <w:t>—</w:t>
      </w:r>
      <w:r>
        <w:rPr>
          <w:rFonts w:ascii="Calibri" w:hAnsi="Calibri"/>
          <w:i/>
          <w:lang w:val="en-AU"/>
        </w:rPr>
        <w:t xml:space="preserve">see </w:t>
      </w:r>
      <w:hyperlink w:anchor="Schedule2" w:history="1">
        <w:r w:rsidRPr="00C90AA1">
          <w:rPr>
            <w:rStyle w:val="Hyperlink"/>
            <w:rFonts w:ascii="Calibri" w:hAnsi="Calibri"/>
            <w:iCs/>
            <w:lang w:val="en-AU"/>
          </w:rPr>
          <w:t xml:space="preserve">Schedule </w:t>
        </w:r>
        <w:r w:rsidR="005A7C25" w:rsidRPr="00C90AA1">
          <w:rPr>
            <w:rStyle w:val="Hyperlink"/>
            <w:rFonts w:ascii="Calibri" w:hAnsi="Calibri"/>
            <w:iCs/>
            <w:lang w:val="en-AU"/>
          </w:rPr>
          <w:t>2</w:t>
        </w:r>
      </w:hyperlink>
      <w:r>
        <w:rPr>
          <w:rFonts w:ascii="Calibri" w:hAnsi="Calibri"/>
          <w:iCs/>
          <w:lang w:val="en-AU"/>
        </w:rPr>
        <w:t>) was inserted in the Bill.</w:t>
      </w:r>
    </w:p>
    <w:p w14:paraId="18C77027" w14:textId="3ABADC17" w:rsidR="00693C03" w:rsidRDefault="00693C03" w:rsidP="00D86DE1">
      <w:pPr>
        <w:spacing w:before="100"/>
        <w:ind w:left="720"/>
        <w:rPr>
          <w:rFonts w:ascii="Calibri" w:hAnsi="Calibri"/>
          <w:iCs/>
          <w:lang w:val="en-AU"/>
        </w:rPr>
      </w:pPr>
      <w:r>
        <w:rPr>
          <w:rFonts w:ascii="Calibri" w:hAnsi="Calibri"/>
          <w:i/>
          <w:lang w:val="en-AU"/>
        </w:rPr>
        <w:t xml:space="preserve">Paper: </w:t>
      </w:r>
      <w:r>
        <w:rPr>
          <w:rFonts w:ascii="Calibri" w:hAnsi="Calibri"/>
          <w:iCs/>
          <w:lang w:val="en-AU"/>
        </w:rPr>
        <w:t xml:space="preserve">Ms Stephen-Smith presented a </w:t>
      </w:r>
      <w:r w:rsidR="005A7C25">
        <w:rPr>
          <w:rFonts w:ascii="Calibri" w:hAnsi="Calibri"/>
          <w:iCs/>
          <w:lang w:val="en-AU"/>
        </w:rPr>
        <w:t>supplementary</w:t>
      </w:r>
      <w:r>
        <w:rPr>
          <w:rFonts w:ascii="Calibri" w:hAnsi="Calibri"/>
          <w:iCs/>
          <w:lang w:val="en-AU"/>
        </w:rPr>
        <w:t xml:space="preserve"> explanatory statement to the </w:t>
      </w:r>
      <w:r w:rsidR="005A7C25">
        <w:rPr>
          <w:rFonts w:ascii="Calibri" w:hAnsi="Calibri"/>
          <w:iCs/>
          <w:lang w:val="en-AU"/>
        </w:rPr>
        <w:t>Government amendment</w:t>
      </w:r>
      <w:r>
        <w:rPr>
          <w:rFonts w:ascii="Calibri" w:hAnsi="Calibri"/>
          <w:iCs/>
          <w:lang w:val="en-AU"/>
        </w:rPr>
        <w:t>.</w:t>
      </w:r>
    </w:p>
    <w:p w14:paraId="36263A25" w14:textId="77777777" w:rsidR="00693C03" w:rsidRPr="009C5667" w:rsidRDefault="00693C03" w:rsidP="00D86DE1">
      <w:pPr>
        <w:spacing w:before="100"/>
        <w:ind w:left="720"/>
        <w:rPr>
          <w:rFonts w:ascii="Calibri" w:hAnsi="Calibri"/>
          <w:lang w:val="en-AU"/>
        </w:rPr>
      </w:pPr>
      <w:r w:rsidRPr="009C5667">
        <w:rPr>
          <w:rFonts w:ascii="Calibri" w:hAnsi="Calibri"/>
          <w:lang w:val="en-AU"/>
        </w:rPr>
        <w:t>Remainder of Bill, by leave, taken as a whole and agreed to.</w:t>
      </w:r>
    </w:p>
    <w:p w14:paraId="73917D32" w14:textId="77777777" w:rsidR="00693C03" w:rsidRPr="009C5667" w:rsidRDefault="00693C03" w:rsidP="00693C03">
      <w:pPr>
        <w:pBdr>
          <w:top w:val="thickThinLargeGap" w:sz="18" w:space="1" w:color="auto"/>
        </w:pBdr>
        <w:spacing w:before="180"/>
        <w:ind w:left="3427" w:right="3658"/>
        <w:jc w:val="center"/>
        <w:rPr>
          <w:rFonts w:ascii="Calibri" w:hAnsi="Calibri"/>
          <w:lang w:val="en-AU"/>
        </w:rPr>
      </w:pPr>
    </w:p>
    <w:p w14:paraId="2F7CEC9D" w14:textId="77777777" w:rsidR="00693C03" w:rsidRPr="009C5667" w:rsidRDefault="00693C03" w:rsidP="00693C03">
      <w:pPr>
        <w:ind w:left="720"/>
        <w:rPr>
          <w:rFonts w:ascii="Calibri" w:hAnsi="Calibri"/>
          <w:lang w:val="en-AU"/>
        </w:rPr>
      </w:pPr>
      <w:r w:rsidRPr="009C5667">
        <w:rPr>
          <w:rFonts w:ascii="Calibri" w:hAnsi="Calibri"/>
          <w:lang w:val="en-AU"/>
        </w:rPr>
        <w:t>Question—That this Bill, as amended, be agreed to—put and passed.</w:t>
      </w:r>
    </w:p>
    <w:p w14:paraId="24F02A66" w14:textId="35679630" w:rsidR="00631BF8" w:rsidRPr="00631BF8" w:rsidRDefault="00631BF8" w:rsidP="00631BF8">
      <w:pPr>
        <w:keepNext/>
        <w:keepLines/>
        <w:tabs>
          <w:tab w:val="right" w:pos="339"/>
          <w:tab w:val="left" w:pos="720"/>
        </w:tabs>
        <w:spacing w:before="240"/>
        <w:ind w:left="720" w:hanging="720"/>
        <w:rPr>
          <w:rFonts w:ascii="Calibri" w:hAnsi="Calibri"/>
          <w:b/>
          <w:caps/>
          <w:lang w:val="en-AU"/>
        </w:rPr>
      </w:pPr>
      <w:r w:rsidRPr="00631BF8">
        <w:rPr>
          <w:rFonts w:ascii="Calibri" w:hAnsi="Calibri"/>
          <w:b/>
          <w:caps/>
          <w:lang w:val="en-AU"/>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10</w:t>
      </w:r>
      <w:r w:rsidR="00847B5E">
        <w:rPr>
          <w:rFonts w:ascii="Calibri" w:hAnsi="Calibri"/>
          <w:b/>
          <w:bCs/>
          <w:caps/>
          <w:lang w:val="en-AU"/>
        </w:rPr>
        <w:fldChar w:fldCharType="end"/>
      </w:r>
      <w:r w:rsidRPr="00631BF8">
        <w:rPr>
          <w:rFonts w:ascii="Calibri" w:hAnsi="Calibri"/>
          <w:b/>
          <w:caps/>
          <w:lang w:val="en-AU"/>
        </w:rPr>
        <w:tab/>
      </w:r>
      <w:bookmarkStart w:id="0" w:name="entry10"/>
      <w:r>
        <w:rPr>
          <w:rFonts w:ascii="Calibri" w:hAnsi="Calibri"/>
          <w:b/>
          <w:caps/>
          <w:lang w:val="en-AU"/>
        </w:rPr>
        <w:t>Human Rights (Healthy Environment) Amendment Bill 2023</w:t>
      </w:r>
      <w:bookmarkEnd w:id="0"/>
    </w:p>
    <w:p w14:paraId="2C9740A1" w14:textId="1AFC2B6E" w:rsidR="00631BF8" w:rsidRPr="00631BF8" w:rsidRDefault="00631BF8" w:rsidP="00631BF8">
      <w:pPr>
        <w:spacing w:before="120"/>
        <w:ind w:left="720"/>
        <w:rPr>
          <w:rFonts w:ascii="Calibri" w:hAnsi="Calibri"/>
          <w:lang w:val="en-AU"/>
        </w:rPr>
      </w:pPr>
      <w:r w:rsidRPr="00631BF8">
        <w:rPr>
          <w:rFonts w:ascii="Calibri" w:hAnsi="Calibri"/>
          <w:lang w:val="en-AU"/>
        </w:rPr>
        <w:t>The order of the day having been read for the resumption of the debate on the question—That this Bill be agreed to in principle—</w:t>
      </w:r>
    </w:p>
    <w:p w14:paraId="41973575" w14:textId="77777777" w:rsidR="00631BF8" w:rsidRPr="00631BF8" w:rsidRDefault="00631BF8" w:rsidP="00631BF8">
      <w:pPr>
        <w:spacing w:before="120"/>
        <w:ind w:left="720"/>
        <w:rPr>
          <w:rFonts w:ascii="Calibri" w:hAnsi="Calibri"/>
          <w:iCs/>
          <w:lang w:val="en-AU"/>
        </w:rPr>
      </w:pPr>
      <w:r w:rsidRPr="00631BF8">
        <w:rPr>
          <w:rFonts w:ascii="Calibri" w:hAnsi="Calibri"/>
          <w:iCs/>
          <w:lang w:val="en-AU"/>
        </w:rPr>
        <w:t>Debate resumed.</w:t>
      </w:r>
    </w:p>
    <w:p w14:paraId="220CFC1C" w14:textId="571AC824" w:rsidR="00631BF8" w:rsidRDefault="00631BF8">
      <w:pPr>
        <w:pStyle w:val="DPSEntryDetail"/>
      </w:pPr>
      <w:r>
        <w:lastRenderedPageBreak/>
        <w:t>Debate interrupted in accordance with standing order 74 and the resumption of the debate made an order of the day for a later hour this day.</w:t>
      </w:r>
    </w:p>
    <w:p w14:paraId="34CEB5CD" w14:textId="3DE8F0E5" w:rsidR="004D64F9" w:rsidRPr="000B7409" w:rsidRDefault="004D64F9" w:rsidP="004D64F9">
      <w:pPr>
        <w:keepNext/>
        <w:keepLines/>
        <w:tabs>
          <w:tab w:val="right" w:pos="339"/>
          <w:tab w:val="left" w:pos="720"/>
        </w:tabs>
        <w:spacing w:before="240"/>
        <w:ind w:left="720" w:hanging="720"/>
        <w:jc w:val="both"/>
        <w:rPr>
          <w:rFonts w:ascii="Calibri" w:hAnsi="Calibri"/>
          <w:b/>
          <w:caps/>
        </w:rPr>
      </w:pPr>
      <w:r w:rsidRPr="000B7409">
        <w:rPr>
          <w:rFonts w:ascii="Calibri" w:hAnsi="Calibri"/>
          <w:b/>
          <w:caps/>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11</w:t>
      </w:r>
      <w:r w:rsidR="00847B5E">
        <w:rPr>
          <w:rFonts w:ascii="Calibri" w:hAnsi="Calibri"/>
          <w:b/>
          <w:bCs/>
          <w:caps/>
          <w:lang w:val="en-AU"/>
        </w:rPr>
        <w:fldChar w:fldCharType="end"/>
      </w:r>
      <w:r w:rsidRPr="000B7409">
        <w:rPr>
          <w:rFonts w:ascii="Calibri" w:hAnsi="Calibri"/>
          <w:b/>
          <w:caps/>
        </w:rPr>
        <w:tab/>
        <w:t>QUESTIONS</w:t>
      </w:r>
    </w:p>
    <w:p w14:paraId="79215748" w14:textId="77777777" w:rsidR="004D64F9" w:rsidRDefault="004D64F9" w:rsidP="004D64F9">
      <w:pPr>
        <w:spacing w:before="120"/>
        <w:ind w:left="720"/>
        <w:jc w:val="both"/>
        <w:rPr>
          <w:rFonts w:ascii="Calibri" w:hAnsi="Calibri"/>
          <w:lang w:val="en-AU"/>
        </w:rPr>
      </w:pPr>
      <w:r w:rsidRPr="000B7409">
        <w:rPr>
          <w:rFonts w:ascii="Calibri" w:hAnsi="Calibri"/>
          <w:lang w:val="en-AU"/>
        </w:rPr>
        <w:t>Questions without notice were asked.</w:t>
      </w:r>
    </w:p>
    <w:p w14:paraId="6EEE9FD1" w14:textId="20E090FE" w:rsidR="00987833" w:rsidRPr="00987833" w:rsidRDefault="00987833" w:rsidP="00987833">
      <w:pPr>
        <w:keepNext/>
        <w:keepLines/>
        <w:tabs>
          <w:tab w:val="right" w:pos="339"/>
          <w:tab w:val="left" w:pos="720"/>
        </w:tabs>
        <w:spacing w:before="240"/>
        <w:ind w:left="720" w:hanging="720"/>
        <w:rPr>
          <w:rFonts w:ascii="Calibri" w:hAnsi="Calibri"/>
          <w:b/>
          <w:caps/>
          <w:lang w:val="en-AU"/>
        </w:rPr>
      </w:pPr>
      <w:bookmarkStart w:id="1" w:name="_Hlk175752678"/>
      <w:r w:rsidRPr="00987833">
        <w:rPr>
          <w:rFonts w:ascii="Calibri" w:hAnsi="Calibri"/>
          <w:b/>
          <w:caps/>
          <w:lang w:val="en-AU"/>
        </w:rPr>
        <w:tab/>
      </w:r>
      <w:r w:rsidR="00F255CA">
        <w:rPr>
          <w:rFonts w:ascii="Calibri" w:hAnsi="Calibri"/>
          <w:b/>
          <w:bCs/>
          <w:caps/>
          <w:lang w:val="en-AU"/>
        </w:rPr>
        <w:fldChar w:fldCharType="begin"/>
      </w:r>
      <w:r w:rsidR="00F255CA">
        <w:rPr>
          <w:rFonts w:ascii="Calibri" w:hAnsi="Calibri"/>
          <w:b/>
          <w:bCs/>
          <w:caps/>
          <w:lang w:val="en-AU"/>
        </w:rPr>
        <w:instrText xml:space="preserve"> SEQ A \* MERGEFORMAT </w:instrText>
      </w:r>
      <w:r w:rsidR="00F255CA">
        <w:rPr>
          <w:rFonts w:ascii="Calibri" w:hAnsi="Calibri"/>
          <w:b/>
          <w:bCs/>
          <w:caps/>
          <w:lang w:val="en-AU"/>
        </w:rPr>
        <w:fldChar w:fldCharType="separate"/>
      </w:r>
      <w:r w:rsidR="0020376F">
        <w:rPr>
          <w:rFonts w:ascii="Calibri" w:hAnsi="Calibri"/>
          <w:b/>
          <w:bCs/>
          <w:caps/>
          <w:noProof/>
          <w:lang w:val="en-AU"/>
        </w:rPr>
        <w:t>12</w:t>
      </w:r>
      <w:r w:rsidR="00F255CA">
        <w:rPr>
          <w:rFonts w:ascii="Calibri" w:hAnsi="Calibri"/>
          <w:b/>
          <w:bCs/>
          <w:caps/>
          <w:lang w:val="en-AU"/>
        </w:rPr>
        <w:fldChar w:fldCharType="end"/>
      </w:r>
      <w:r w:rsidRPr="00987833">
        <w:rPr>
          <w:rFonts w:ascii="Calibri" w:hAnsi="Calibri"/>
          <w:b/>
          <w:caps/>
          <w:lang w:val="en-AU"/>
        </w:rPr>
        <w:tab/>
      </w:r>
      <w:r w:rsidR="003847FC">
        <w:rPr>
          <w:rFonts w:ascii="Calibri" w:hAnsi="Calibri"/>
          <w:b/>
          <w:lang w:val="en-AU"/>
        </w:rPr>
        <w:t>EVIDENCE GIVEN BY MINISTER</w:t>
      </w:r>
      <w:r w:rsidR="005C5F15">
        <w:rPr>
          <w:rFonts w:ascii="Calibri" w:hAnsi="Calibri"/>
          <w:b/>
          <w:lang w:val="en-AU"/>
        </w:rPr>
        <w:t>—SPEAKER</w:t>
      </w:r>
      <w:r w:rsidR="00F255CA">
        <w:rPr>
          <w:rFonts w:ascii="Calibri" w:hAnsi="Calibri"/>
          <w:b/>
          <w:lang w:val="en-AU"/>
        </w:rPr>
        <w:t>’</w:t>
      </w:r>
      <w:r w:rsidR="005C5F15">
        <w:rPr>
          <w:rFonts w:ascii="Calibri" w:hAnsi="Calibri"/>
          <w:b/>
          <w:lang w:val="en-AU"/>
        </w:rPr>
        <w:t>S RULING</w:t>
      </w:r>
      <w:r w:rsidR="00E6167A">
        <w:rPr>
          <w:rFonts w:ascii="Calibri" w:hAnsi="Calibri"/>
          <w:b/>
          <w:lang w:val="en-AU"/>
        </w:rPr>
        <w:t>—DISSENT FROM SPEAKER</w:t>
      </w:r>
      <w:r w:rsidR="00F255CA">
        <w:rPr>
          <w:rFonts w:ascii="Calibri" w:hAnsi="Calibri"/>
          <w:b/>
          <w:lang w:val="en-AU"/>
        </w:rPr>
        <w:t>’</w:t>
      </w:r>
      <w:r w:rsidR="00E6167A">
        <w:rPr>
          <w:rFonts w:ascii="Calibri" w:hAnsi="Calibri"/>
          <w:b/>
          <w:lang w:val="en-AU"/>
        </w:rPr>
        <w:t>S RULING MOVED</w:t>
      </w:r>
    </w:p>
    <w:p w14:paraId="0A6EEE2C" w14:textId="671BAFD3" w:rsidR="003847FC" w:rsidRDefault="003847FC" w:rsidP="004C7421">
      <w:pPr>
        <w:spacing w:before="80"/>
        <w:ind w:left="720"/>
        <w:rPr>
          <w:rFonts w:ascii="Calibri" w:hAnsi="Calibri"/>
          <w:color w:val="000000"/>
          <w:lang w:val="en-AU"/>
        </w:rPr>
      </w:pPr>
      <w:r>
        <w:rPr>
          <w:rFonts w:ascii="Calibri" w:hAnsi="Calibri"/>
          <w:color w:val="000000"/>
          <w:lang w:val="en-AU"/>
        </w:rPr>
        <w:t>Mr Cain sought leave to present a paper.</w:t>
      </w:r>
    </w:p>
    <w:p w14:paraId="0E78FF3C" w14:textId="47BD560C" w:rsidR="003847FC" w:rsidRDefault="003847FC" w:rsidP="004C7421">
      <w:pPr>
        <w:spacing w:before="80"/>
        <w:ind w:left="720"/>
        <w:rPr>
          <w:rFonts w:ascii="Calibri" w:hAnsi="Calibri"/>
          <w:color w:val="000000"/>
          <w:lang w:val="en-AU"/>
        </w:rPr>
      </w:pPr>
      <w:r>
        <w:rPr>
          <w:rFonts w:ascii="Calibri" w:hAnsi="Calibri"/>
          <w:color w:val="000000"/>
          <w:lang w:val="en-AU"/>
        </w:rPr>
        <w:t>Objection being raised, leave not granted.</w:t>
      </w:r>
    </w:p>
    <w:p w14:paraId="61F7CCC9" w14:textId="28C3CA0C" w:rsidR="003847FC" w:rsidRDefault="003847FC" w:rsidP="004C7421">
      <w:pPr>
        <w:spacing w:before="80"/>
        <w:ind w:left="720"/>
        <w:rPr>
          <w:rFonts w:ascii="Calibri" w:hAnsi="Calibri"/>
          <w:color w:val="000000"/>
          <w:lang w:val="en-AU"/>
        </w:rPr>
      </w:pPr>
      <w:r>
        <w:rPr>
          <w:rFonts w:ascii="Calibri" w:hAnsi="Calibri"/>
          <w:color w:val="000000"/>
          <w:lang w:val="en-AU"/>
        </w:rPr>
        <w:t>Further points of order being raised—</w:t>
      </w:r>
    </w:p>
    <w:p w14:paraId="1B627723" w14:textId="0ABE9400" w:rsidR="00987833" w:rsidRPr="00987833" w:rsidRDefault="00987833" w:rsidP="004C7421">
      <w:pPr>
        <w:tabs>
          <w:tab w:val="left" w:pos="1197"/>
          <w:tab w:val="left" w:pos="1767"/>
        </w:tabs>
        <w:spacing w:before="80"/>
        <w:ind w:left="720"/>
        <w:jc w:val="both"/>
        <w:rPr>
          <w:rFonts w:ascii="Calibri" w:hAnsi="Calibri"/>
          <w:lang w:val="en-AU"/>
        </w:rPr>
      </w:pPr>
      <w:r w:rsidRPr="00987833">
        <w:rPr>
          <w:rFonts w:ascii="Calibri" w:hAnsi="Calibri"/>
          <w:i/>
          <w:iCs/>
          <w:lang w:val="en-AU"/>
        </w:rPr>
        <w:t>Dissent from Speaker</w:t>
      </w:r>
      <w:r w:rsidR="00F255CA">
        <w:rPr>
          <w:rFonts w:ascii="Calibri" w:hAnsi="Calibri"/>
          <w:i/>
          <w:iCs/>
          <w:lang w:val="en-AU"/>
        </w:rPr>
        <w:t>’</w:t>
      </w:r>
      <w:r w:rsidRPr="00987833">
        <w:rPr>
          <w:rFonts w:ascii="Calibri" w:hAnsi="Calibri"/>
          <w:i/>
          <w:iCs/>
          <w:lang w:val="en-AU"/>
        </w:rPr>
        <w:t>s ruling moved:</w:t>
      </w:r>
      <w:r w:rsidRPr="00987833">
        <w:rPr>
          <w:rFonts w:ascii="Calibri" w:hAnsi="Calibri"/>
          <w:lang w:val="en-AU"/>
        </w:rPr>
        <w:t xml:space="preserve"> </w:t>
      </w:r>
      <w:r w:rsidR="00E6167A">
        <w:rPr>
          <w:rFonts w:ascii="Calibri" w:hAnsi="Calibri"/>
          <w:lang w:val="en-AU"/>
        </w:rPr>
        <w:t>Ms Lawder</w:t>
      </w:r>
      <w:r w:rsidRPr="00987833">
        <w:rPr>
          <w:rFonts w:ascii="Calibri" w:hAnsi="Calibri"/>
          <w:lang w:val="en-AU"/>
        </w:rPr>
        <w:t xml:space="preserve"> moved—That </w:t>
      </w:r>
      <w:r w:rsidR="003847FC">
        <w:rPr>
          <w:rFonts w:ascii="Calibri" w:hAnsi="Calibri"/>
          <w:lang w:val="en-AU"/>
        </w:rPr>
        <w:t xml:space="preserve">I dissent with </w:t>
      </w:r>
      <w:r w:rsidRPr="00987833">
        <w:rPr>
          <w:rFonts w:ascii="Calibri" w:hAnsi="Calibri"/>
          <w:lang w:val="en-AU"/>
        </w:rPr>
        <w:t xml:space="preserve">the </w:t>
      </w:r>
      <w:r w:rsidR="003847FC">
        <w:rPr>
          <w:rFonts w:ascii="Calibri" w:hAnsi="Calibri"/>
          <w:lang w:val="en-AU"/>
        </w:rPr>
        <w:t>Chair</w:t>
      </w:r>
      <w:r w:rsidR="00F255CA">
        <w:rPr>
          <w:rFonts w:ascii="Calibri" w:hAnsi="Calibri"/>
          <w:lang w:val="en-AU"/>
        </w:rPr>
        <w:t>’</w:t>
      </w:r>
      <w:r w:rsidRPr="00987833">
        <w:rPr>
          <w:rFonts w:ascii="Calibri" w:hAnsi="Calibri"/>
          <w:lang w:val="en-AU"/>
        </w:rPr>
        <w:t>s ruling</w:t>
      </w:r>
      <w:r w:rsidR="00A63B67">
        <w:rPr>
          <w:rFonts w:ascii="Calibri" w:hAnsi="Calibri"/>
          <w:lang w:val="en-AU"/>
        </w:rPr>
        <w:t>,</w:t>
      </w:r>
      <w:r w:rsidR="003847FC">
        <w:rPr>
          <w:rFonts w:ascii="Calibri" w:hAnsi="Calibri"/>
          <w:lang w:val="en-AU"/>
        </w:rPr>
        <w:t xml:space="preserve"> as per standing order 73A, regarding the matter of Hansard reference of Mr Steel’s evidence</w:t>
      </w:r>
      <w:r w:rsidRPr="00987833">
        <w:rPr>
          <w:rFonts w:ascii="Calibri" w:hAnsi="Calibri"/>
          <w:lang w:val="en-AU"/>
        </w:rPr>
        <w:t>.</w:t>
      </w:r>
    </w:p>
    <w:p w14:paraId="42DB408E" w14:textId="560FE7F6" w:rsidR="00987833" w:rsidRDefault="00987833" w:rsidP="004C7421">
      <w:pPr>
        <w:tabs>
          <w:tab w:val="left" w:pos="1197"/>
          <w:tab w:val="left" w:pos="1767"/>
        </w:tabs>
        <w:spacing w:before="80"/>
        <w:ind w:left="720"/>
        <w:jc w:val="both"/>
        <w:rPr>
          <w:rFonts w:ascii="Calibri" w:hAnsi="Calibri"/>
          <w:lang w:val="en-AU"/>
        </w:rPr>
      </w:pPr>
      <w:r w:rsidRPr="00987833">
        <w:rPr>
          <w:rFonts w:ascii="Calibri" w:hAnsi="Calibri"/>
          <w:lang w:val="en-AU"/>
        </w:rPr>
        <w:t>Debate ensued.</w:t>
      </w:r>
    </w:p>
    <w:p w14:paraId="10B060D4" w14:textId="49369D86" w:rsidR="00E6167A" w:rsidRDefault="00E6167A" w:rsidP="004C7421">
      <w:pPr>
        <w:tabs>
          <w:tab w:val="left" w:pos="1197"/>
          <w:tab w:val="left" w:pos="1767"/>
        </w:tabs>
        <w:spacing w:before="80"/>
        <w:ind w:left="720"/>
        <w:jc w:val="both"/>
        <w:rPr>
          <w:rFonts w:ascii="Calibri" w:hAnsi="Calibri"/>
          <w:lang w:val="en-AU"/>
        </w:rPr>
      </w:pPr>
      <w:r>
        <w:rPr>
          <w:rFonts w:ascii="Calibri" w:hAnsi="Calibri"/>
          <w:i/>
          <w:iCs/>
          <w:lang w:val="en-AU"/>
        </w:rPr>
        <w:t xml:space="preserve">Paper: </w:t>
      </w:r>
      <w:r>
        <w:rPr>
          <w:rFonts w:ascii="Calibri" w:hAnsi="Calibri"/>
          <w:lang w:val="en-AU"/>
        </w:rPr>
        <w:t>Mr Cain, by leave, presented the following paper:</w:t>
      </w:r>
    </w:p>
    <w:p w14:paraId="4AF05295" w14:textId="0C148719" w:rsidR="00E6167A" w:rsidRDefault="00E6167A" w:rsidP="004C7421">
      <w:pPr>
        <w:tabs>
          <w:tab w:val="left" w:pos="1197"/>
          <w:tab w:val="left" w:pos="1767"/>
        </w:tabs>
        <w:spacing w:before="80"/>
        <w:ind w:left="720"/>
        <w:jc w:val="both"/>
        <w:rPr>
          <w:rFonts w:ascii="Calibri" w:hAnsi="Calibri"/>
          <w:lang w:val="en-AU"/>
        </w:rPr>
      </w:pPr>
      <w:r>
        <w:rPr>
          <w:rFonts w:ascii="Calibri" w:hAnsi="Calibri"/>
          <w:lang w:val="en-AU"/>
        </w:rPr>
        <w:t>Estimates 2024-2025—Select Committee—Copy of Proof Committee Hansard, 29 July 2024,</w:t>
      </w:r>
      <w:r w:rsidR="003955AF">
        <w:rPr>
          <w:rFonts w:ascii="Calibri" w:hAnsi="Calibri"/>
          <w:lang w:val="en-AU"/>
        </w:rPr>
        <w:t xml:space="preserve"> page 609.</w:t>
      </w:r>
    </w:p>
    <w:p w14:paraId="41AC03EC" w14:textId="5A18C240" w:rsidR="003955AF" w:rsidRPr="00E6167A" w:rsidRDefault="003955AF" w:rsidP="004C7421">
      <w:pPr>
        <w:tabs>
          <w:tab w:val="left" w:pos="1197"/>
          <w:tab w:val="left" w:pos="1767"/>
        </w:tabs>
        <w:spacing w:before="80"/>
        <w:ind w:left="720"/>
        <w:jc w:val="both"/>
        <w:rPr>
          <w:rFonts w:ascii="Calibri" w:hAnsi="Calibri"/>
          <w:lang w:val="en-AU"/>
        </w:rPr>
      </w:pPr>
      <w:r>
        <w:rPr>
          <w:rFonts w:ascii="Calibri" w:hAnsi="Calibri"/>
          <w:lang w:val="en-AU"/>
        </w:rPr>
        <w:t>Debate continued.</w:t>
      </w:r>
    </w:p>
    <w:p w14:paraId="05F9A111" w14:textId="173FBD13" w:rsidR="00E6167A" w:rsidRPr="000B7409" w:rsidRDefault="00E6167A" w:rsidP="004C7421">
      <w:pPr>
        <w:tabs>
          <w:tab w:val="left" w:pos="1197"/>
          <w:tab w:val="left" w:pos="1767"/>
        </w:tabs>
        <w:spacing w:before="80"/>
        <w:ind w:left="720"/>
        <w:jc w:val="both"/>
        <w:rPr>
          <w:rFonts w:ascii="Calibri" w:hAnsi="Calibri"/>
          <w:lang w:val="en-AU"/>
        </w:rPr>
      </w:pPr>
      <w:r w:rsidRPr="00E6167A">
        <w:rPr>
          <w:rFonts w:ascii="Calibri" w:hAnsi="Calibri"/>
          <w:lang w:val="en-AU"/>
        </w:rPr>
        <w:t>Debate adjourned (</w:t>
      </w:r>
      <w:r>
        <w:rPr>
          <w:rFonts w:ascii="Calibri" w:hAnsi="Calibri"/>
          <w:lang w:val="en-AU"/>
        </w:rPr>
        <w:t>Mr Braddock</w:t>
      </w:r>
      <w:r w:rsidRPr="00E6167A">
        <w:rPr>
          <w:rFonts w:ascii="Calibri" w:hAnsi="Calibri"/>
          <w:lang w:val="en-AU"/>
        </w:rPr>
        <w:t>) and the resumption of the debate made an order of the day for the next sitting.</w:t>
      </w:r>
    </w:p>
    <w:bookmarkEnd w:id="1"/>
    <w:p w14:paraId="0F1E4EE2" w14:textId="19CD558B" w:rsidR="004D64F9" w:rsidRPr="000B7409" w:rsidRDefault="004D64F9" w:rsidP="004D64F9">
      <w:pPr>
        <w:keepNext/>
        <w:keepLines/>
        <w:tabs>
          <w:tab w:val="right" w:pos="339"/>
          <w:tab w:val="left" w:pos="720"/>
        </w:tabs>
        <w:spacing w:before="240"/>
        <w:ind w:left="720" w:hanging="720"/>
        <w:jc w:val="both"/>
        <w:rPr>
          <w:rFonts w:ascii="Calibri" w:hAnsi="Calibri"/>
          <w:b/>
          <w:caps/>
        </w:rPr>
      </w:pPr>
      <w:r w:rsidRPr="000B7409">
        <w:rPr>
          <w:rFonts w:ascii="Calibri" w:hAnsi="Calibri"/>
          <w:b/>
          <w:caps/>
        </w:rPr>
        <w:tab/>
      </w:r>
      <w:r w:rsidR="00847B5E">
        <w:rPr>
          <w:rFonts w:ascii="Calibri" w:hAnsi="Calibri"/>
          <w:b/>
          <w:bCs/>
          <w:caps/>
        </w:rPr>
        <w:fldChar w:fldCharType="begin"/>
      </w:r>
      <w:r w:rsidR="00847B5E">
        <w:rPr>
          <w:rFonts w:ascii="Calibri" w:hAnsi="Calibri"/>
          <w:b/>
          <w:bCs/>
          <w:caps/>
        </w:rPr>
        <w:instrText xml:space="preserve"> SEQ A \* MERGEFORMAT </w:instrText>
      </w:r>
      <w:r w:rsidR="00847B5E">
        <w:rPr>
          <w:rFonts w:ascii="Calibri" w:hAnsi="Calibri"/>
          <w:b/>
          <w:bCs/>
          <w:caps/>
        </w:rPr>
        <w:fldChar w:fldCharType="separate"/>
      </w:r>
      <w:r w:rsidR="0020376F">
        <w:rPr>
          <w:rFonts w:ascii="Calibri" w:hAnsi="Calibri"/>
          <w:b/>
          <w:bCs/>
          <w:caps/>
          <w:noProof/>
        </w:rPr>
        <w:t>13</w:t>
      </w:r>
      <w:r w:rsidR="00847B5E">
        <w:rPr>
          <w:rFonts w:ascii="Calibri" w:hAnsi="Calibri"/>
          <w:b/>
          <w:bCs/>
          <w:caps/>
        </w:rPr>
        <w:fldChar w:fldCharType="end"/>
      </w:r>
      <w:r w:rsidRPr="000B7409">
        <w:rPr>
          <w:rFonts w:ascii="Calibri" w:hAnsi="Calibri"/>
          <w:b/>
          <w:caps/>
        </w:rPr>
        <w:tab/>
        <w:t>PRESENTATION OF PAPER</w:t>
      </w:r>
      <w:r w:rsidR="007D7F4D">
        <w:rPr>
          <w:rFonts w:ascii="Calibri" w:hAnsi="Calibri"/>
          <w:b/>
          <w:caps/>
        </w:rPr>
        <w:t>S</w:t>
      </w:r>
    </w:p>
    <w:p w14:paraId="18C4F2F8" w14:textId="6C895F6E" w:rsidR="004D64F9" w:rsidRPr="000B7409" w:rsidRDefault="004D64F9" w:rsidP="004C7421">
      <w:pPr>
        <w:tabs>
          <w:tab w:val="left" w:pos="1197"/>
          <w:tab w:val="left" w:pos="1767"/>
        </w:tabs>
        <w:spacing w:before="80"/>
        <w:ind w:left="720"/>
        <w:jc w:val="both"/>
        <w:rPr>
          <w:rFonts w:ascii="Calibri" w:hAnsi="Calibri"/>
          <w:lang w:val="en-AU"/>
        </w:rPr>
      </w:pPr>
      <w:r w:rsidRPr="000B7409">
        <w:rPr>
          <w:rFonts w:ascii="Calibri" w:hAnsi="Calibri"/>
          <w:lang w:val="en-AU"/>
        </w:rPr>
        <w:t>The Speaker presented the following paper</w:t>
      </w:r>
      <w:r w:rsidR="005A7C25">
        <w:rPr>
          <w:rFonts w:ascii="Calibri" w:hAnsi="Calibri"/>
          <w:lang w:val="en-AU"/>
        </w:rPr>
        <w:t>s</w:t>
      </w:r>
      <w:r w:rsidRPr="000B7409">
        <w:rPr>
          <w:rFonts w:ascii="Calibri" w:hAnsi="Calibri"/>
          <w:lang w:val="en-AU"/>
        </w:rPr>
        <w:t>:</w:t>
      </w:r>
    </w:p>
    <w:p w14:paraId="03B8B255" w14:textId="5DCA3B55" w:rsidR="005A7C25" w:rsidRDefault="005A7C25" w:rsidP="004C7421">
      <w:pPr>
        <w:tabs>
          <w:tab w:val="left" w:pos="1197"/>
          <w:tab w:val="left" w:pos="1767"/>
        </w:tabs>
        <w:spacing w:before="80"/>
        <w:ind w:left="720"/>
        <w:jc w:val="both"/>
        <w:rPr>
          <w:rFonts w:ascii="Calibri" w:hAnsi="Calibri"/>
          <w:lang w:val="en-AU"/>
        </w:rPr>
      </w:pPr>
      <w:r w:rsidRPr="005A7C25">
        <w:rPr>
          <w:rFonts w:ascii="Calibri" w:hAnsi="Calibri"/>
          <w:lang w:val="en-AU"/>
        </w:rPr>
        <w:t>Estimates 2024-2025—Select Committee</w:t>
      </w:r>
      <w:r w:rsidR="002541E9">
        <w:rPr>
          <w:rFonts w:ascii="Calibri" w:hAnsi="Calibri"/>
          <w:lang w:val="en-AU"/>
        </w:rPr>
        <w:t>, pursuant to standing order 253A</w:t>
      </w:r>
      <w:r w:rsidRPr="005A7C25">
        <w:rPr>
          <w:rFonts w:ascii="Calibri" w:hAnsi="Calibri"/>
          <w:lang w:val="en-AU"/>
        </w:rPr>
        <w:t>—</w:t>
      </w:r>
    </w:p>
    <w:p w14:paraId="5580252E" w14:textId="77777777" w:rsidR="005A7C25" w:rsidRDefault="005A7C25" w:rsidP="004C7421">
      <w:pPr>
        <w:pStyle w:val="DPSEntryDetailIndentLev1"/>
        <w:spacing w:before="80"/>
      </w:pPr>
      <w:r w:rsidRPr="00C6241F">
        <w:t>Answers to Question</w:t>
      </w:r>
      <w:r>
        <w:t xml:space="preserve"> on Notice—</w:t>
      </w:r>
    </w:p>
    <w:p w14:paraId="301F2D61" w14:textId="24A1225B" w:rsidR="005A7C25" w:rsidRPr="00480D40" w:rsidRDefault="005A7C25" w:rsidP="004C7421">
      <w:pPr>
        <w:pStyle w:val="DPSEntryDetailIndentLev2"/>
        <w:spacing w:before="80"/>
        <w:rPr>
          <w:spacing w:val="-2"/>
        </w:rPr>
      </w:pPr>
      <w:r w:rsidRPr="00480D40">
        <w:rPr>
          <w:spacing w:val="-2"/>
        </w:rPr>
        <w:t xml:space="preserve">No </w:t>
      </w:r>
      <w:r>
        <w:rPr>
          <w:spacing w:val="-2"/>
        </w:rPr>
        <w:t>224</w:t>
      </w:r>
      <w:r w:rsidRPr="00480D40">
        <w:rPr>
          <w:spacing w:val="-2"/>
        </w:rPr>
        <w:t xml:space="preserve">, dated </w:t>
      </w:r>
      <w:r>
        <w:rPr>
          <w:spacing w:val="-2"/>
        </w:rPr>
        <w:t>26</w:t>
      </w:r>
      <w:r w:rsidRPr="00480D40">
        <w:rPr>
          <w:spacing w:val="-2"/>
        </w:rPr>
        <w:t xml:space="preserve"> August 2024.</w:t>
      </w:r>
    </w:p>
    <w:p w14:paraId="087B0A26" w14:textId="1BAB21AB" w:rsidR="005A7C25" w:rsidRDefault="005A7C25" w:rsidP="004C7421">
      <w:pPr>
        <w:pStyle w:val="DPSEntryDetailIndentLev1"/>
        <w:spacing w:before="80"/>
      </w:pPr>
      <w:r w:rsidRPr="00C6241F">
        <w:t>Answers to Question</w:t>
      </w:r>
      <w:r>
        <w:t xml:space="preserve"> Taken on Notice—</w:t>
      </w:r>
    </w:p>
    <w:p w14:paraId="73410A46" w14:textId="54295C7F" w:rsidR="005A7C25" w:rsidRPr="00480D40" w:rsidRDefault="005A7C25" w:rsidP="004C7421">
      <w:pPr>
        <w:pStyle w:val="DPSEntryDetailIndentLev2"/>
        <w:spacing w:before="80"/>
        <w:rPr>
          <w:spacing w:val="-2"/>
        </w:rPr>
      </w:pPr>
      <w:r w:rsidRPr="00480D40">
        <w:rPr>
          <w:spacing w:val="-2"/>
        </w:rPr>
        <w:t xml:space="preserve">No </w:t>
      </w:r>
      <w:r>
        <w:rPr>
          <w:spacing w:val="-2"/>
        </w:rPr>
        <w:t>005</w:t>
      </w:r>
      <w:r w:rsidRPr="00480D40">
        <w:rPr>
          <w:spacing w:val="-2"/>
        </w:rPr>
        <w:t xml:space="preserve">, dated </w:t>
      </w:r>
      <w:r>
        <w:rPr>
          <w:spacing w:val="-2"/>
        </w:rPr>
        <w:t>19</w:t>
      </w:r>
      <w:r w:rsidRPr="00480D40">
        <w:rPr>
          <w:spacing w:val="-2"/>
        </w:rPr>
        <w:t xml:space="preserve"> August 2024.</w:t>
      </w:r>
    </w:p>
    <w:p w14:paraId="3C57C4E9" w14:textId="18D0F65D" w:rsidR="005A7C25" w:rsidRPr="00480D40" w:rsidRDefault="005A7C25" w:rsidP="004C7421">
      <w:pPr>
        <w:pStyle w:val="DPSEntryDetailIndentLev2"/>
        <w:spacing w:before="80"/>
        <w:rPr>
          <w:spacing w:val="-2"/>
        </w:rPr>
      </w:pPr>
      <w:r w:rsidRPr="00480D40">
        <w:rPr>
          <w:spacing w:val="-2"/>
        </w:rPr>
        <w:t xml:space="preserve">No </w:t>
      </w:r>
      <w:r>
        <w:rPr>
          <w:spacing w:val="-2"/>
        </w:rPr>
        <w:t>222</w:t>
      </w:r>
      <w:r w:rsidRPr="00480D40">
        <w:rPr>
          <w:spacing w:val="-2"/>
        </w:rPr>
        <w:t xml:space="preserve">, dated </w:t>
      </w:r>
      <w:r>
        <w:rPr>
          <w:spacing w:val="-2"/>
        </w:rPr>
        <w:t>26</w:t>
      </w:r>
      <w:r w:rsidRPr="00480D40">
        <w:rPr>
          <w:spacing w:val="-2"/>
        </w:rPr>
        <w:t xml:space="preserve"> August 2024.</w:t>
      </w:r>
    </w:p>
    <w:p w14:paraId="4D7C5C1F" w14:textId="264E0F9F" w:rsidR="005A7C25" w:rsidRDefault="005A7C25" w:rsidP="004C7421">
      <w:pPr>
        <w:pStyle w:val="DPSEntryDetailIndentLev1"/>
        <w:spacing w:before="80"/>
      </w:pPr>
      <w:r>
        <w:t xml:space="preserve">Schedule of questions answered after the dissolution of the </w:t>
      </w:r>
      <w:r w:rsidR="00A02320">
        <w:t xml:space="preserve">Select </w:t>
      </w:r>
      <w:r>
        <w:t xml:space="preserve">Committee </w:t>
      </w:r>
      <w:r w:rsidR="00A02320">
        <w:t xml:space="preserve">on Estimates </w:t>
      </w:r>
      <w:r>
        <w:t>2024-2025, dated 28 August 2024.</w:t>
      </w:r>
    </w:p>
    <w:p w14:paraId="56A9D6C7" w14:textId="287F4A7F" w:rsidR="004D64F9" w:rsidRDefault="005A7C25" w:rsidP="004C7421">
      <w:pPr>
        <w:tabs>
          <w:tab w:val="left" w:pos="1197"/>
          <w:tab w:val="left" w:pos="1767"/>
        </w:tabs>
        <w:spacing w:before="80"/>
        <w:ind w:left="720"/>
        <w:jc w:val="both"/>
        <w:rPr>
          <w:rFonts w:ascii="Calibri" w:hAnsi="Calibri"/>
          <w:lang w:val="en-AU"/>
        </w:rPr>
      </w:pPr>
      <w:r w:rsidRPr="005A7C25">
        <w:rPr>
          <w:rFonts w:ascii="Calibri" w:hAnsi="Calibri"/>
          <w:lang w:val="en-AU"/>
        </w:rPr>
        <w:t>Inspector of Correctional Services Act</w:t>
      </w:r>
      <w:r>
        <w:rPr>
          <w:rFonts w:ascii="Calibri" w:hAnsi="Calibri"/>
          <w:lang w:val="en-AU"/>
        </w:rPr>
        <w:t>, p</w:t>
      </w:r>
      <w:r w:rsidRPr="005A7C25">
        <w:rPr>
          <w:rFonts w:ascii="Calibri" w:hAnsi="Calibri"/>
          <w:lang w:val="en-AU"/>
        </w:rPr>
        <w:t xml:space="preserve">ursuant to subsection 30(2)—Report of a Review of a Critical Incident by the ACT Inspector of Correctional Services—A </w:t>
      </w:r>
      <w:r w:rsidR="00F32888">
        <w:rPr>
          <w:rFonts w:ascii="Calibri" w:hAnsi="Calibri"/>
          <w:lang w:val="en-AU"/>
        </w:rPr>
        <w:t>S</w:t>
      </w:r>
      <w:r w:rsidRPr="005A7C25">
        <w:rPr>
          <w:rFonts w:ascii="Calibri" w:hAnsi="Calibri"/>
          <w:lang w:val="en-AU"/>
        </w:rPr>
        <w:t xml:space="preserve">erious </w:t>
      </w:r>
      <w:r w:rsidR="00F32888">
        <w:rPr>
          <w:rFonts w:ascii="Calibri" w:hAnsi="Calibri"/>
          <w:lang w:val="en-AU"/>
        </w:rPr>
        <w:t>A</w:t>
      </w:r>
      <w:r w:rsidRPr="005A7C25">
        <w:rPr>
          <w:rFonts w:ascii="Calibri" w:hAnsi="Calibri"/>
          <w:lang w:val="en-AU"/>
        </w:rPr>
        <w:t>ssault of a</w:t>
      </w:r>
      <w:r w:rsidR="009D4828">
        <w:rPr>
          <w:rFonts w:ascii="Calibri" w:hAnsi="Calibri"/>
          <w:lang w:val="en-AU"/>
        </w:rPr>
        <w:t> </w:t>
      </w:r>
      <w:r w:rsidR="009D4828" w:rsidRPr="005A7C25">
        <w:rPr>
          <w:rFonts w:ascii="Calibri" w:hAnsi="Calibri"/>
          <w:lang w:val="en-AU"/>
        </w:rPr>
        <w:t>Detained Person Resultin</w:t>
      </w:r>
      <w:r w:rsidRPr="005A7C25">
        <w:rPr>
          <w:rFonts w:ascii="Calibri" w:hAnsi="Calibri"/>
          <w:lang w:val="en-AU"/>
        </w:rPr>
        <w:t xml:space="preserve">g in </w:t>
      </w:r>
      <w:r w:rsidR="009D4828">
        <w:rPr>
          <w:rFonts w:ascii="Calibri" w:hAnsi="Calibri"/>
          <w:lang w:val="en-AU"/>
        </w:rPr>
        <w:t>A</w:t>
      </w:r>
      <w:r w:rsidRPr="005A7C25">
        <w:rPr>
          <w:rFonts w:ascii="Calibri" w:hAnsi="Calibri"/>
          <w:lang w:val="en-AU"/>
        </w:rPr>
        <w:t xml:space="preserve">dmission to </w:t>
      </w:r>
      <w:r w:rsidR="009D4828">
        <w:rPr>
          <w:rFonts w:ascii="Calibri" w:hAnsi="Calibri"/>
          <w:lang w:val="en-AU"/>
        </w:rPr>
        <w:t>H</w:t>
      </w:r>
      <w:r w:rsidRPr="005A7C25">
        <w:rPr>
          <w:rFonts w:ascii="Calibri" w:hAnsi="Calibri"/>
          <w:lang w:val="en-AU"/>
        </w:rPr>
        <w:t>ospital at the Alexander Maconochie Centre 13 December 2023, dated September 2024.</w:t>
      </w:r>
    </w:p>
    <w:p w14:paraId="6D51591D" w14:textId="36545F44" w:rsidR="00192FDF" w:rsidRPr="00192FDF" w:rsidRDefault="00192FDF" w:rsidP="00192FDF">
      <w:pPr>
        <w:keepNext/>
        <w:keepLines/>
        <w:tabs>
          <w:tab w:val="right" w:pos="339"/>
          <w:tab w:val="left" w:pos="720"/>
        </w:tabs>
        <w:spacing w:before="240"/>
        <w:ind w:left="720" w:hanging="720"/>
        <w:rPr>
          <w:rFonts w:ascii="Calibri" w:hAnsi="Calibri"/>
          <w:b/>
          <w:caps/>
          <w:lang w:val="en-AU"/>
        </w:rPr>
      </w:pPr>
      <w:r w:rsidRPr="00192FDF">
        <w:rPr>
          <w:rFonts w:ascii="Calibri" w:hAnsi="Calibri"/>
          <w:b/>
          <w:caps/>
          <w:lang w:val="en-AU"/>
        </w:rPr>
        <w:tab/>
      </w:r>
      <w:r w:rsidR="00F255CA">
        <w:rPr>
          <w:rFonts w:ascii="Calibri" w:hAnsi="Calibri"/>
          <w:b/>
          <w:bCs/>
          <w:caps/>
          <w:lang w:val="en-AU"/>
        </w:rPr>
        <w:fldChar w:fldCharType="begin"/>
      </w:r>
      <w:r w:rsidR="00F255CA">
        <w:rPr>
          <w:rFonts w:ascii="Calibri" w:hAnsi="Calibri"/>
          <w:b/>
          <w:bCs/>
          <w:caps/>
          <w:lang w:val="en-AU"/>
        </w:rPr>
        <w:instrText xml:space="preserve"> SEQ A \* MERGEFORMAT </w:instrText>
      </w:r>
      <w:r w:rsidR="00F255CA">
        <w:rPr>
          <w:rFonts w:ascii="Calibri" w:hAnsi="Calibri"/>
          <w:b/>
          <w:bCs/>
          <w:caps/>
          <w:lang w:val="en-AU"/>
        </w:rPr>
        <w:fldChar w:fldCharType="separate"/>
      </w:r>
      <w:r w:rsidR="0020376F">
        <w:rPr>
          <w:rFonts w:ascii="Calibri" w:hAnsi="Calibri"/>
          <w:b/>
          <w:bCs/>
          <w:caps/>
          <w:noProof/>
          <w:lang w:val="en-AU"/>
        </w:rPr>
        <w:t>14</w:t>
      </w:r>
      <w:r w:rsidR="00F255CA">
        <w:rPr>
          <w:rFonts w:ascii="Calibri" w:hAnsi="Calibri"/>
          <w:b/>
          <w:bCs/>
          <w:caps/>
          <w:lang w:val="en-AU"/>
        </w:rPr>
        <w:fldChar w:fldCharType="end"/>
      </w:r>
      <w:r w:rsidRPr="00192FDF">
        <w:rPr>
          <w:rFonts w:ascii="Calibri" w:hAnsi="Calibri"/>
          <w:b/>
          <w:caps/>
          <w:lang w:val="en-AU"/>
        </w:rPr>
        <w:tab/>
      </w:r>
      <w:r>
        <w:rPr>
          <w:rFonts w:ascii="Calibri" w:hAnsi="Calibri"/>
          <w:b/>
          <w:caps/>
          <w:lang w:val="en-AU"/>
        </w:rPr>
        <w:t>Evidence (Miscellaneous Provisions) Amendment Bill 2024</w:t>
      </w:r>
    </w:p>
    <w:p w14:paraId="64D4ACD6" w14:textId="4C4072C1" w:rsidR="00192FDF" w:rsidRPr="00192FDF" w:rsidRDefault="00192FDF" w:rsidP="00192FDF">
      <w:pPr>
        <w:tabs>
          <w:tab w:val="left" w:pos="720"/>
        </w:tabs>
        <w:spacing w:before="120"/>
        <w:ind w:left="720"/>
        <w:rPr>
          <w:rFonts w:ascii="Calibri" w:hAnsi="Calibri"/>
          <w:lang w:val="en-AU"/>
        </w:rPr>
      </w:pPr>
      <w:r>
        <w:rPr>
          <w:rFonts w:ascii="Calibri" w:hAnsi="Calibri"/>
          <w:lang w:val="en-AU"/>
        </w:rPr>
        <w:t>Dr Paterson</w:t>
      </w:r>
      <w:r w:rsidRPr="00192FDF">
        <w:rPr>
          <w:rFonts w:ascii="Calibri" w:hAnsi="Calibri"/>
          <w:lang w:val="en-AU"/>
        </w:rPr>
        <w:t xml:space="preserve">, pursuant to notice, presented </w:t>
      </w:r>
      <w:r>
        <w:rPr>
          <w:rFonts w:ascii="Calibri" w:hAnsi="Calibri"/>
          <w:lang w:val="en-AU"/>
        </w:rPr>
        <w:t xml:space="preserve">a Bill for an Act to amend the </w:t>
      </w:r>
      <w:r w:rsidRPr="00192FDF">
        <w:rPr>
          <w:rFonts w:ascii="Calibri" w:hAnsi="Calibri"/>
          <w:i/>
          <w:iCs/>
          <w:lang w:val="en-AU"/>
        </w:rPr>
        <w:t>Evidence (Miscellaneous Provisions) Act 1991</w:t>
      </w:r>
      <w:r w:rsidRPr="00192FDF">
        <w:rPr>
          <w:rFonts w:ascii="Calibri" w:hAnsi="Calibri"/>
          <w:lang w:val="en-AU"/>
        </w:rPr>
        <w:t>.</w:t>
      </w:r>
    </w:p>
    <w:p w14:paraId="4DF77EF5" w14:textId="7010ED44" w:rsidR="00192FDF" w:rsidRPr="00192FDF" w:rsidRDefault="00192FDF" w:rsidP="00192FDF">
      <w:pPr>
        <w:tabs>
          <w:tab w:val="left" w:pos="720"/>
        </w:tabs>
        <w:spacing w:before="120"/>
        <w:ind w:left="720"/>
        <w:rPr>
          <w:rFonts w:ascii="Calibri" w:hAnsi="Calibri"/>
          <w:lang w:val="en-AU"/>
        </w:rPr>
      </w:pPr>
      <w:r w:rsidRPr="00192FDF">
        <w:rPr>
          <w:rFonts w:ascii="Calibri" w:hAnsi="Calibri"/>
          <w:i/>
          <w:lang w:val="en-AU"/>
        </w:rPr>
        <w:t>Paper:</w:t>
      </w:r>
      <w:r w:rsidRPr="00192FDF">
        <w:rPr>
          <w:rFonts w:ascii="Calibri" w:hAnsi="Calibri"/>
          <w:lang w:val="en-AU"/>
        </w:rPr>
        <w:t xml:space="preserve">  </w:t>
      </w:r>
      <w:r>
        <w:rPr>
          <w:rFonts w:ascii="Calibri" w:hAnsi="Calibri"/>
          <w:lang w:val="en-AU"/>
        </w:rPr>
        <w:t>Dr Paterson</w:t>
      </w:r>
      <w:r w:rsidRPr="00192FDF">
        <w:rPr>
          <w:rFonts w:ascii="Calibri" w:hAnsi="Calibri"/>
          <w:lang w:val="en-AU"/>
        </w:rPr>
        <w:t xml:space="preserve"> presented an explanatory statement to the Bill.</w:t>
      </w:r>
    </w:p>
    <w:p w14:paraId="2ACE6874" w14:textId="77777777" w:rsidR="00192FDF" w:rsidRPr="00192FDF" w:rsidRDefault="00192FDF" w:rsidP="00192FDF">
      <w:pPr>
        <w:tabs>
          <w:tab w:val="left" w:pos="720"/>
        </w:tabs>
        <w:spacing w:before="120"/>
        <w:ind w:left="720"/>
        <w:rPr>
          <w:rFonts w:ascii="Calibri" w:hAnsi="Calibri"/>
          <w:lang w:val="en-AU"/>
        </w:rPr>
      </w:pPr>
      <w:r w:rsidRPr="00192FDF">
        <w:rPr>
          <w:rFonts w:ascii="Calibri" w:hAnsi="Calibri"/>
          <w:lang w:val="en-AU"/>
        </w:rPr>
        <w:t>Title read by Clerk.</w:t>
      </w:r>
    </w:p>
    <w:p w14:paraId="4B89EFC0" w14:textId="307B3800" w:rsidR="00192FDF" w:rsidRPr="00192FDF" w:rsidRDefault="00192FDF" w:rsidP="00192FDF">
      <w:pPr>
        <w:tabs>
          <w:tab w:val="left" w:pos="720"/>
        </w:tabs>
        <w:spacing w:before="120"/>
        <w:ind w:left="720"/>
        <w:rPr>
          <w:rFonts w:ascii="Calibri" w:hAnsi="Calibri"/>
          <w:lang w:val="en-AU"/>
        </w:rPr>
      </w:pPr>
      <w:r>
        <w:rPr>
          <w:rFonts w:ascii="Calibri" w:hAnsi="Calibri"/>
          <w:lang w:val="en-AU"/>
        </w:rPr>
        <w:lastRenderedPageBreak/>
        <w:t>Dr Paterson</w:t>
      </w:r>
      <w:r w:rsidRPr="00192FDF">
        <w:rPr>
          <w:rFonts w:ascii="Calibri" w:hAnsi="Calibri"/>
          <w:lang w:val="en-AU"/>
        </w:rPr>
        <w:t xml:space="preserve"> moved—That this Bill be agreed to in principle.</w:t>
      </w:r>
    </w:p>
    <w:p w14:paraId="05BF68C7" w14:textId="73CD4035" w:rsidR="00192FDF" w:rsidRPr="00192FDF" w:rsidRDefault="00192FDF" w:rsidP="00192FDF">
      <w:pPr>
        <w:tabs>
          <w:tab w:val="left" w:pos="720"/>
        </w:tabs>
        <w:spacing w:before="120"/>
        <w:ind w:left="720"/>
        <w:rPr>
          <w:rFonts w:ascii="Calibri" w:hAnsi="Calibri"/>
          <w:lang w:val="en-AU"/>
        </w:rPr>
      </w:pPr>
      <w:r w:rsidRPr="00192FDF">
        <w:rPr>
          <w:rFonts w:ascii="Calibri" w:hAnsi="Calibri"/>
          <w:lang w:val="en-AU"/>
        </w:rPr>
        <w:t>Debate adjourned (</w:t>
      </w:r>
      <w:r w:rsidR="003955AF">
        <w:rPr>
          <w:rFonts w:ascii="Calibri" w:hAnsi="Calibri"/>
          <w:lang w:val="en-AU"/>
        </w:rPr>
        <w:t>Mr Gentleman—Minister for Police and Crime Prevention</w:t>
      </w:r>
      <w:r w:rsidRPr="00192FDF">
        <w:rPr>
          <w:rFonts w:ascii="Calibri" w:hAnsi="Calibri"/>
          <w:lang w:val="en-AU"/>
        </w:rPr>
        <w:t>) and the resumption of the debate made an order of the day for the next sitting.</w:t>
      </w:r>
    </w:p>
    <w:p w14:paraId="457D9DBA" w14:textId="312FE13D" w:rsidR="004D64F9" w:rsidRPr="000B7409" w:rsidRDefault="004D64F9" w:rsidP="004D64F9">
      <w:pPr>
        <w:keepNext/>
        <w:keepLines/>
        <w:tabs>
          <w:tab w:val="right" w:pos="339"/>
          <w:tab w:val="left" w:pos="720"/>
        </w:tabs>
        <w:spacing w:before="240"/>
        <w:ind w:left="720" w:hanging="720"/>
        <w:rPr>
          <w:rFonts w:ascii="Calibri" w:hAnsi="Calibri"/>
          <w:b/>
          <w:caps/>
          <w:lang w:val="en-AU"/>
        </w:rPr>
      </w:pPr>
      <w:r w:rsidRPr="000B7409">
        <w:rPr>
          <w:rFonts w:ascii="Calibri" w:hAnsi="Calibri"/>
          <w:b/>
          <w:caps/>
          <w:lang w:val="en-AU"/>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15</w:t>
      </w:r>
      <w:r w:rsidR="00847B5E">
        <w:rPr>
          <w:rFonts w:ascii="Calibri" w:hAnsi="Calibri"/>
          <w:b/>
          <w:bCs/>
          <w:caps/>
          <w:lang w:val="en-AU"/>
        </w:rPr>
        <w:fldChar w:fldCharType="end"/>
      </w:r>
      <w:r w:rsidRPr="000B7409">
        <w:rPr>
          <w:rFonts w:ascii="Calibri" w:hAnsi="Calibri"/>
          <w:b/>
          <w:caps/>
          <w:lang w:val="en-AU"/>
        </w:rPr>
        <w:tab/>
      </w:r>
      <w:r w:rsidR="00154DFB">
        <w:rPr>
          <w:rFonts w:ascii="Calibri" w:hAnsi="Calibri"/>
          <w:b/>
          <w:caps/>
          <w:lang w:val="en-AU"/>
        </w:rPr>
        <w:t>tuggeranong skatepark—upgrade and redevelopment</w:t>
      </w:r>
    </w:p>
    <w:p w14:paraId="7F18B9B7" w14:textId="2F595E8D" w:rsidR="004D64F9" w:rsidRPr="000B7409" w:rsidRDefault="00B44D40" w:rsidP="004D64F9">
      <w:pPr>
        <w:spacing w:before="120"/>
        <w:ind w:left="720"/>
        <w:rPr>
          <w:rFonts w:ascii="Calibri" w:hAnsi="Calibri"/>
          <w:color w:val="000000"/>
          <w:lang w:val="en-AU"/>
        </w:rPr>
      </w:pPr>
      <w:r>
        <w:rPr>
          <w:rFonts w:ascii="Calibri" w:hAnsi="Calibri"/>
          <w:color w:val="000000"/>
          <w:lang w:val="en-AU"/>
        </w:rPr>
        <w:t>Miss Nuttall</w:t>
      </w:r>
      <w:r w:rsidR="004D64F9" w:rsidRPr="000B7409">
        <w:rPr>
          <w:rFonts w:ascii="Calibri" w:hAnsi="Calibri"/>
          <w:color w:val="000000"/>
          <w:lang w:val="en-AU"/>
        </w:rPr>
        <w:t>, pursuant to notice, moved—That this Assembly:</w:t>
      </w:r>
    </w:p>
    <w:p w14:paraId="47B3A4B2" w14:textId="3C01A27C" w:rsidR="003955AF" w:rsidRPr="00F62FB2" w:rsidRDefault="003955AF" w:rsidP="00B44D40">
      <w:pPr>
        <w:pStyle w:val="DPSEntryIndents"/>
        <w:numPr>
          <w:ilvl w:val="0"/>
          <w:numId w:val="25"/>
        </w:numPr>
        <w:rPr>
          <w:lang w:eastAsia="en-US"/>
        </w:rPr>
      </w:pPr>
      <w:r w:rsidRPr="00F62FB2">
        <w:rPr>
          <w:lang w:eastAsia="en-US"/>
        </w:rPr>
        <w:t>notes:</w:t>
      </w:r>
    </w:p>
    <w:p w14:paraId="51C212B6" w14:textId="77777777" w:rsidR="003955AF" w:rsidRPr="00F62FB2" w:rsidRDefault="003955AF" w:rsidP="00B44D40">
      <w:pPr>
        <w:keepNext/>
        <w:keepLines/>
        <w:tabs>
          <w:tab w:val="left" w:pos="567"/>
        </w:tabs>
        <w:spacing w:before="120"/>
        <w:ind w:left="1910" w:hanging="544"/>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the Tuggeranong skatepark, constructed in 1997, is now well over 26 years old. The design, once cutting-edge, now significantly lags behind modern standards;</w:t>
      </w:r>
    </w:p>
    <w:p w14:paraId="1D54A5FD" w14:textId="77777777"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while the community has welcomed upgrades to the park, playgrounds, and parking facilities in Tuggeranong Town Park over the past 15 years, the skatepark has been overlooked;</w:t>
      </w:r>
    </w:p>
    <w:p w14:paraId="53709487" w14:textId="77777777"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skateparks serve as important social and recreational venues, supporting community inclusion;</w:t>
      </w:r>
    </w:p>
    <w:p w14:paraId="20FEF309" w14:textId="77777777"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(d)</w:t>
      </w:r>
      <w:r w:rsidRPr="00F62FB2">
        <w:rPr>
          <w:rFonts w:ascii="Calibri" w:hAnsi="Calibri"/>
          <w:lang w:val="en-AU" w:eastAsia="en-US"/>
        </w:rPr>
        <w:tab/>
        <w:t>a new, vibrant skatepark in Tuggeranong could create a positive hub for community activity;</w:t>
      </w:r>
    </w:p>
    <w:p w14:paraId="6FBE5AA3" w14:textId="77777777"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(e)</w:t>
      </w:r>
      <w:r w:rsidRPr="00F62FB2">
        <w:rPr>
          <w:rFonts w:ascii="Calibri" w:hAnsi="Calibri"/>
          <w:lang w:val="en-AU" w:eastAsia="en-US"/>
        </w:rPr>
        <w:tab/>
        <w:t>research suggests that good skateparks activate the local area, help lower neighbourhood crime, and provide a safe, supervised space for children and young people;</w:t>
      </w:r>
    </w:p>
    <w:p w14:paraId="74A80C28" w14:textId="30F5CD7E"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(f)</w:t>
      </w:r>
      <w:r w:rsidRPr="00F62FB2">
        <w:rPr>
          <w:rFonts w:ascii="Calibri" w:hAnsi="Calibri"/>
          <w:lang w:val="en-AU" w:eastAsia="en-US"/>
        </w:rPr>
        <w:tab/>
        <w:t xml:space="preserve">a petition lodged on 2 June received 776 signatures, calling on the ACT Government to redevelop the Tuggeranong skatepark. The Minister for Sport and Recreation responded to this and indicated that the ACT Government would </w:t>
      </w:r>
      <w:r w:rsidR="00F255CA">
        <w:rPr>
          <w:rFonts w:ascii="Calibri" w:hAnsi="Calibri"/>
          <w:lang w:val="en-AU" w:eastAsia="en-US"/>
        </w:rPr>
        <w:t>“</w:t>
      </w:r>
      <w:r w:rsidRPr="00F62FB2">
        <w:rPr>
          <w:rFonts w:ascii="Calibri" w:hAnsi="Calibri"/>
          <w:lang w:val="en-AU" w:eastAsia="en-US"/>
        </w:rPr>
        <w:t>consider opportunities for Tuggeranong skatepark in future stages of [the Government</w:t>
      </w:r>
      <w:r w:rsidR="00F255CA">
        <w:rPr>
          <w:rFonts w:ascii="Calibri" w:hAnsi="Calibri"/>
          <w:lang w:val="en-AU" w:eastAsia="en-US"/>
        </w:rPr>
        <w:t>’</w:t>
      </w:r>
      <w:r w:rsidRPr="00F62FB2">
        <w:rPr>
          <w:rFonts w:ascii="Calibri" w:hAnsi="Calibri"/>
          <w:lang w:val="en-AU" w:eastAsia="en-US"/>
        </w:rPr>
        <w:t>s] suburban infrastructure program</w:t>
      </w:r>
      <w:r w:rsidR="00F255CA">
        <w:rPr>
          <w:rFonts w:ascii="Calibri" w:hAnsi="Calibri"/>
          <w:lang w:val="en-AU" w:eastAsia="en-US"/>
        </w:rPr>
        <w:t>”</w:t>
      </w:r>
      <w:r w:rsidRPr="00F62FB2">
        <w:rPr>
          <w:rFonts w:ascii="Calibri" w:hAnsi="Calibri"/>
          <w:lang w:val="en-AU" w:eastAsia="en-US"/>
        </w:rPr>
        <w:t>; and</w:t>
      </w:r>
    </w:p>
    <w:p w14:paraId="6DE75EED" w14:textId="77777777"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(g)</w:t>
      </w:r>
      <w:r w:rsidRPr="00F62FB2">
        <w:rPr>
          <w:rFonts w:ascii="Calibri" w:hAnsi="Calibri"/>
          <w:lang w:val="en-AU" w:eastAsia="en-US"/>
        </w:rPr>
        <w:tab/>
        <w:t>while recent resurfacing of the Tuggeranong skatepark was welcomed by the skating community as a much-needed safety upgrade, the community has been asking for a comprehensive upgrade and redevelopment of the Tuggeranong skatepark for a number of years; and</w:t>
      </w:r>
    </w:p>
    <w:p w14:paraId="6031A8CD" w14:textId="4647F854" w:rsidR="003955AF" w:rsidRPr="00F62FB2" w:rsidRDefault="003955AF" w:rsidP="00B44D40">
      <w:pPr>
        <w:pStyle w:val="DPSEntryIndents"/>
        <w:rPr>
          <w:lang w:eastAsia="en-US"/>
        </w:rPr>
      </w:pPr>
      <w:r w:rsidRPr="00F62FB2">
        <w:rPr>
          <w:lang w:eastAsia="en-US"/>
        </w:rPr>
        <w:t>calls on the ACT Government to:</w:t>
      </w:r>
    </w:p>
    <w:p w14:paraId="6C25A04E" w14:textId="77EDF1D6"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commit to a comprehensive upgrade and redevelopment of the Tuggeranong skatepark, including expansion and modernisation, and begin work no later than the 2026-</w:t>
      </w:r>
      <w:r w:rsidR="005C2F9C">
        <w:rPr>
          <w:rFonts w:ascii="Calibri" w:hAnsi="Calibri"/>
          <w:lang w:val="en-AU" w:eastAsia="en-US"/>
        </w:rPr>
        <w:t>20</w:t>
      </w:r>
      <w:r w:rsidRPr="00F62FB2">
        <w:rPr>
          <w:rFonts w:ascii="Calibri" w:hAnsi="Calibri"/>
          <w:lang w:val="en-AU" w:eastAsia="en-US"/>
        </w:rPr>
        <w:t>27 financial year;</w:t>
      </w:r>
    </w:p>
    <w:p w14:paraId="7A83B663" w14:textId="77777777" w:rsidR="003955AF" w:rsidRPr="00F62FB2" w:rsidRDefault="003955AF" w:rsidP="00B44D40">
      <w:pPr>
        <w:tabs>
          <w:tab w:val="left" w:pos="567"/>
        </w:tabs>
        <w:spacing w:before="120"/>
        <w:ind w:left="1910" w:hanging="544"/>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co-design the new Tuggeranong skatepark with local skateboarding and BMX organisations and other skatepark user groups;</w:t>
      </w:r>
    </w:p>
    <w:p w14:paraId="29F8DD17" w14:textId="77777777"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work with local skating and BMX organisations and other skatepark user groups to develop an ACT Government skatepark strategy;</w:t>
      </w:r>
    </w:p>
    <w:p w14:paraId="4B468F33" w14:textId="77777777"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(d)</w:t>
      </w:r>
      <w:r w:rsidRPr="00F62FB2">
        <w:rPr>
          <w:rFonts w:ascii="Calibri" w:hAnsi="Calibri"/>
          <w:lang w:val="en-AU" w:eastAsia="en-US"/>
        </w:rPr>
        <w:tab/>
        <w:t>ensure that the comprehensive upgrade and redevelopment of the Tuggeranong skatepark is included as part of this skatepark strategy;</w:t>
      </w:r>
    </w:p>
    <w:p w14:paraId="6CF07B2E" w14:textId="77777777"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(e)</w:t>
      </w:r>
      <w:r w:rsidRPr="00F62FB2">
        <w:rPr>
          <w:rFonts w:ascii="Calibri" w:hAnsi="Calibri"/>
          <w:lang w:val="en-AU" w:eastAsia="en-US"/>
        </w:rPr>
        <w:tab/>
        <w:t>revisit the proposal of a skate plaza extension into the carpark area of Tuggeranong skatepark;</w:t>
      </w:r>
    </w:p>
    <w:p w14:paraId="60B283E0" w14:textId="77777777"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lastRenderedPageBreak/>
        <w:t>(f)</w:t>
      </w:r>
      <w:r w:rsidRPr="00F62FB2">
        <w:rPr>
          <w:rFonts w:ascii="Calibri" w:hAnsi="Calibri"/>
          <w:lang w:val="en-AU" w:eastAsia="en-US"/>
        </w:rPr>
        <w:tab/>
        <w:t>ensure that the Tuggeranong skatepark upgrades improve utility for all potential users, and specifically people with a disability; and</w:t>
      </w:r>
    </w:p>
    <w:p w14:paraId="3B7A256E" w14:textId="520E9BC3"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(g)</w:t>
      </w:r>
      <w:r w:rsidRPr="00F62FB2">
        <w:rPr>
          <w:rFonts w:ascii="Calibri" w:hAnsi="Calibri"/>
          <w:lang w:val="en-AU" w:eastAsia="en-US"/>
        </w:rPr>
        <w:tab/>
        <w:t xml:space="preserve">ensure equitable skatepark development across the ACT. </w:t>
      </w:r>
    </w:p>
    <w:p w14:paraId="093BBB27" w14:textId="77777777" w:rsidR="004D64F9" w:rsidRPr="000B7409" w:rsidRDefault="004D64F9" w:rsidP="006A1153">
      <w:pPr>
        <w:spacing w:before="80"/>
        <w:ind w:left="720" w:right="-35"/>
        <w:rPr>
          <w:rFonts w:ascii="Calibri" w:hAnsi="Calibri"/>
          <w:color w:val="000000"/>
          <w:lang w:val="en-AU"/>
        </w:rPr>
      </w:pPr>
      <w:r w:rsidRPr="000B7409">
        <w:rPr>
          <w:rFonts w:ascii="Calibri" w:hAnsi="Calibri"/>
          <w:color w:val="000000"/>
          <w:lang w:val="en-AU"/>
        </w:rPr>
        <w:t>Debate ensued.</w:t>
      </w:r>
    </w:p>
    <w:p w14:paraId="538777F2" w14:textId="77777777" w:rsidR="004D64F9" w:rsidRPr="000B7409" w:rsidRDefault="004D64F9" w:rsidP="006A1153">
      <w:pPr>
        <w:spacing w:before="80"/>
        <w:ind w:left="720"/>
        <w:rPr>
          <w:rFonts w:ascii="Calibri" w:hAnsi="Calibri"/>
          <w:color w:val="000000"/>
          <w:lang w:val="en-AU"/>
        </w:rPr>
      </w:pPr>
      <w:r w:rsidRPr="000B7409">
        <w:rPr>
          <w:rFonts w:ascii="Calibri" w:hAnsi="Calibri"/>
          <w:color w:val="000000"/>
          <w:lang w:val="en-AU"/>
        </w:rPr>
        <w:t>Question—put and passed.</w:t>
      </w:r>
    </w:p>
    <w:p w14:paraId="0F116246" w14:textId="0AC39413" w:rsidR="004D64F9" w:rsidRPr="000B7409" w:rsidRDefault="004D64F9" w:rsidP="004D64F9">
      <w:pPr>
        <w:keepNext/>
        <w:keepLines/>
        <w:tabs>
          <w:tab w:val="right" w:pos="339"/>
          <w:tab w:val="left" w:pos="720"/>
        </w:tabs>
        <w:spacing w:before="240"/>
        <w:ind w:left="720" w:hanging="720"/>
        <w:rPr>
          <w:rFonts w:ascii="Calibri" w:hAnsi="Calibri"/>
          <w:b/>
          <w:caps/>
          <w:lang w:val="en-AU"/>
        </w:rPr>
      </w:pPr>
      <w:r w:rsidRPr="000B7409">
        <w:rPr>
          <w:rFonts w:ascii="Calibri" w:hAnsi="Calibri"/>
          <w:b/>
          <w:caps/>
          <w:lang w:val="en-AU"/>
        </w:rPr>
        <w:tab/>
      </w:r>
      <w:r w:rsidR="00847B5E">
        <w:rPr>
          <w:rFonts w:ascii="Calibri" w:hAnsi="Calibri"/>
          <w:b/>
          <w:bCs/>
          <w:caps/>
          <w:lang w:val="en-AU"/>
        </w:rPr>
        <w:fldChar w:fldCharType="begin"/>
      </w:r>
      <w:r w:rsidR="00847B5E">
        <w:rPr>
          <w:rFonts w:ascii="Calibri" w:hAnsi="Calibri"/>
          <w:b/>
          <w:bCs/>
          <w:caps/>
          <w:lang w:val="en-AU"/>
        </w:rPr>
        <w:instrText xml:space="preserve"> SEQ A \* MERGEFORMAT </w:instrText>
      </w:r>
      <w:r w:rsidR="00847B5E">
        <w:rPr>
          <w:rFonts w:ascii="Calibri" w:hAnsi="Calibri"/>
          <w:b/>
          <w:bCs/>
          <w:caps/>
          <w:lang w:val="en-AU"/>
        </w:rPr>
        <w:fldChar w:fldCharType="separate"/>
      </w:r>
      <w:r w:rsidR="0020376F">
        <w:rPr>
          <w:rFonts w:ascii="Calibri" w:hAnsi="Calibri"/>
          <w:b/>
          <w:bCs/>
          <w:caps/>
          <w:noProof/>
          <w:lang w:val="en-AU"/>
        </w:rPr>
        <w:t>16</w:t>
      </w:r>
      <w:r w:rsidR="00847B5E">
        <w:rPr>
          <w:rFonts w:ascii="Calibri" w:hAnsi="Calibri"/>
          <w:b/>
          <w:bCs/>
          <w:caps/>
          <w:lang w:val="en-AU"/>
        </w:rPr>
        <w:fldChar w:fldCharType="end"/>
      </w:r>
      <w:r w:rsidRPr="000B7409">
        <w:rPr>
          <w:rFonts w:ascii="Calibri" w:hAnsi="Calibri"/>
          <w:b/>
          <w:caps/>
          <w:lang w:val="en-AU"/>
        </w:rPr>
        <w:tab/>
      </w:r>
      <w:r w:rsidR="00154DFB">
        <w:rPr>
          <w:rFonts w:ascii="Calibri" w:hAnsi="Calibri"/>
          <w:b/>
          <w:caps/>
          <w:lang w:val="en-AU"/>
        </w:rPr>
        <w:t>Government financial management and accountability</w:t>
      </w:r>
    </w:p>
    <w:p w14:paraId="28F3C55D" w14:textId="4BB2EF0D" w:rsidR="004D64F9" w:rsidRPr="000B7409" w:rsidRDefault="00B44D40" w:rsidP="004C7421">
      <w:pPr>
        <w:spacing w:before="100"/>
        <w:ind w:left="720"/>
        <w:rPr>
          <w:rFonts w:ascii="Calibri" w:hAnsi="Calibri"/>
          <w:color w:val="000000"/>
          <w:lang w:val="en-AU"/>
        </w:rPr>
      </w:pPr>
      <w:r>
        <w:rPr>
          <w:rFonts w:ascii="Calibri" w:hAnsi="Calibri"/>
          <w:color w:val="000000"/>
          <w:lang w:val="en-AU"/>
        </w:rPr>
        <w:t>Ms Lee (Leader of the Opposition)</w:t>
      </w:r>
      <w:r w:rsidR="004D64F9" w:rsidRPr="000B7409">
        <w:rPr>
          <w:rFonts w:ascii="Calibri" w:hAnsi="Calibri"/>
          <w:color w:val="000000"/>
          <w:lang w:val="en-AU"/>
        </w:rPr>
        <w:t>, pursuant to notice, moved—That this Assembly:</w:t>
      </w:r>
    </w:p>
    <w:p w14:paraId="0217B944" w14:textId="783C7C9A" w:rsidR="003955AF" w:rsidRPr="00F62FB2" w:rsidRDefault="003955AF" w:rsidP="004C7421">
      <w:pPr>
        <w:pStyle w:val="DPSEntryIndents"/>
        <w:numPr>
          <w:ilvl w:val="0"/>
          <w:numId w:val="24"/>
        </w:numPr>
        <w:spacing w:before="100"/>
        <w:rPr>
          <w:lang w:eastAsia="en-US"/>
        </w:rPr>
      </w:pPr>
      <w:r w:rsidRPr="00F62FB2">
        <w:rPr>
          <w:lang w:eastAsia="en-US"/>
        </w:rPr>
        <w:t>notes:</w:t>
      </w:r>
    </w:p>
    <w:p w14:paraId="632B0612" w14:textId="69582574" w:rsidR="003955AF" w:rsidRPr="00F62FB2" w:rsidRDefault="003955AF" w:rsidP="004C7421">
      <w:pPr>
        <w:tabs>
          <w:tab w:val="left" w:pos="567"/>
        </w:tabs>
        <w:spacing w:before="100"/>
        <w:ind w:left="1910" w:hanging="544"/>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in this term of government, Labor-Green ministers are responsible for wasting hundreds of millions of taxpayers</w:t>
      </w:r>
      <w:r w:rsidR="00F255CA">
        <w:rPr>
          <w:rFonts w:ascii="Calibri" w:hAnsi="Calibri"/>
          <w:lang w:val="en-AU" w:eastAsia="en-US"/>
        </w:rPr>
        <w:t>’</w:t>
      </w:r>
      <w:r w:rsidRPr="00F62FB2">
        <w:rPr>
          <w:rFonts w:ascii="Calibri" w:hAnsi="Calibri"/>
          <w:lang w:val="en-AU" w:eastAsia="en-US"/>
        </w:rPr>
        <w:t xml:space="preserve"> dollars, including:</w:t>
      </w:r>
    </w:p>
    <w:p w14:paraId="0494CC5E" w14:textId="77777777" w:rsidR="003955AF" w:rsidRPr="00F62FB2" w:rsidRDefault="003955AF" w:rsidP="004C7421">
      <w:pPr>
        <w:keepNext/>
        <w:keepLines/>
        <w:spacing w:before="100"/>
        <w:ind w:left="2477" w:hanging="544"/>
        <w:rPr>
          <w:rFonts w:ascii="Calibri" w:hAnsi="Calibri"/>
          <w:lang w:val="en-AU" w:eastAsia="en-US"/>
        </w:rPr>
      </w:pPr>
      <w:r w:rsidRPr="00F62FB2">
        <w:rPr>
          <w:rFonts w:ascii="Calibri" w:hAnsi="Calibri"/>
          <w:lang w:val="en-AU" w:eastAsia="en-US"/>
        </w:rPr>
        <w:t>(i)</w:t>
      </w:r>
      <w:r w:rsidRPr="00F62FB2">
        <w:rPr>
          <w:rFonts w:ascii="Calibri" w:hAnsi="Calibri"/>
          <w:lang w:val="en-AU" w:eastAsia="en-US"/>
        </w:rPr>
        <w:tab/>
        <w:t>more than $80 million on an abandoned Human Resources Information Management System which includes $636,000 for Spinifex IT that was never deployed by the ACT Government; and</w:t>
      </w:r>
    </w:p>
    <w:p w14:paraId="5B70E4E0" w14:textId="77777777" w:rsidR="003955AF" w:rsidRPr="00F62FB2" w:rsidRDefault="003955AF" w:rsidP="004C7421">
      <w:pPr>
        <w:spacing w:before="100"/>
        <w:ind w:left="2477" w:hanging="544"/>
        <w:rPr>
          <w:rFonts w:ascii="Calibri" w:hAnsi="Calibri"/>
          <w:lang w:val="en-AU" w:eastAsia="en-US"/>
        </w:rPr>
      </w:pPr>
      <w:r w:rsidRPr="00F62FB2">
        <w:rPr>
          <w:rFonts w:ascii="Calibri" w:hAnsi="Calibri"/>
          <w:lang w:val="en-AU" w:eastAsia="en-US"/>
        </w:rPr>
        <w:t>(ii)</w:t>
      </w:r>
      <w:r w:rsidRPr="00F62FB2">
        <w:rPr>
          <w:rFonts w:ascii="Calibri" w:hAnsi="Calibri"/>
          <w:lang w:val="en-AU" w:eastAsia="en-US"/>
        </w:rPr>
        <w:tab/>
        <w:t>overspend through the Digital Health Record, which includes:</w:t>
      </w:r>
    </w:p>
    <w:p w14:paraId="15093E18" w14:textId="77777777" w:rsidR="003955AF" w:rsidRPr="00F62FB2" w:rsidRDefault="003955AF" w:rsidP="004C7421">
      <w:pPr>
        <w:spacing w:before="100"/>
        <w:ind w:left="2977" w:hanging="425"/>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the overpayment of invoices to NTT who received more than $110 million across 300 invoices. This issue is currently under investigation by the ACT Integrity Commission; and</w:t>
      </w:r>
    </w:p>
    <w:p w14:paraId="1E9FD498" w14:textId="03621E0B" w:rsidR="003955AF" w:rsidRPr="00F62FB2" w:rsidRDefault="003955AF" w:rsidP="004C7421">
      <w:pPr>
        <w:spacing w:before="100"/>
        <w:ind w:left="2977" w:hanging="425"/>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 xml:space="preserve">two internal audits for which the waste total has not been revealed, these looked at </w:t>
      </w:r>
      <w:r w:rsidR="00F255CA">
        <w:rPr>
          <w:rFonts w:ascii="Calibri" w:hAnsi="Calibri"/>
          <w:lang w:val="en-AU" w:eastAsia="en-US"/>
        </w:rPr>
        <w:t>“</w:t>
      </w:r>
      <w:r w:rsidRPr="00F62FB2">
        <w:rPr>
          <w:rFonts w:ascii="Calibri" w:hAnsi="Calibri"/>
          <w:lang w:val="en-AU" w:eastAsia="en-US"/>
        </w:rPr>
        <w:t>travel and work hour invoices submitted by Epic</w:t>
      </w:r>
      <w:r w:rsidR="00F255CA">
        <w:rPr>
          <w:rFonts w:ascii="Calibri" w:hAnsi="Calibri"/>
          <w:lang w:val="en-AU" w:eastAsia="en-US"/>
        </w:rPr>
        <w:t>”</w:t>
      </w:r>
      <w:r w:rsidRPr="00F62FB2">
        <w:rPr>
          <w:rFonts w:ascii="Calibri" w:hAnsi="Calibri"/>
          <w:lang w:val="en-AU" w:eastAsia="en-US"/>
        </w:rPr>
        <w:t xml:space="preserve"> and </w:t>
      </w:r>
      <w:r w:rsidR="00F255CA">
        <w:rPr>
          <w:rFonts w:ascii="Calibri" w:hAnsi="Calibri"/>
          <w:lang w:val="en-AU" w:eastAsia="en-US"/>
        </w:rPr>
        <w:t>“</w:t>
      </w:r>
      <w:r w:rsidRPr="00F62FB2">
        <w:rPr>
          <w:rFonts w:ascii="Calibri" w:hAnsi="Calibri"/>
          <w:lang w:val="en-AU" w:eastAsia="en-US"/>
        </w:rPr>
        <w:t>Credit card expenditure and sign off in the Digital Solutions Division</w:t>
      </w:r>
      <w:r w:rsidR="00F255CA">
        <w:rPr>
          <w:rFonts w:ascii="Calibri" w:hAnsi="Calibri"/>
          <w:lang w:val="en-AU" w:eastAsia="en-US"/>
        </w:rPr>
        <w:t>”</w:t>
      </w:r>
      <w:r w:rsidRPr="00F62FB2">
        <w:rPr>
          <w:rFonts w:ascii="Calibri" w:hAnsi="Calibri"/>
          <w:lang w:val="en-AU" w:eastAsia="en-US"/>
        </w:rPr>
        <w:t>;</w:t>
      </w:r>
    </w:p>
    <w:p w14:paraId="74AB95B2" w14:textId="58EE4E67" w:rsidR="003955AF" w:rsidRPr="00F62FB2" w:rsidRDefault="003955AF" w:rsidP="004C7421">
      <w:pPr>
        <w:tabs>
          <w:tab w:val="left" w:pos="567"/>
        </w:tabs>
        <w:spacing w:before="100"/>
        <w:ind w:left="1910" w:hanging="544"/>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more than $900,000 that was paid to Lendlease above the preferred tenderer for the Campbell Primary School Modernisation Project, which is also currently being investigated by the ACT Integrity Commission for potential corrupt conduct by the Construction, Forestry and Maritime Employees Union and the Deputy Chief Minister</w:t>
      </w:r>
      <w:r w:rsidR="00F255CA">
        <w:rPr>
          <w:rFonts w:ascii="Calibri" w:hAnsi="Calibri"/>
          <w:lang w:val="en-AU" w:eastAsia="en-US"/>
        </w:rPr>
        <w:t>’</w:t>
      </w:r>
      <w:r w:rsidRPr="00F62FB2">
        <w:rPr>
          <w:rFonts w:ascii="Calibri" w:hAnsi="Calibri"/>
          <w:lang w:val="en-AU" w:eastAsia="en-US"/>
        </w:rPr>
        <w:t>s office;</w:t>
      </w:r>
    </w:p>
    <w:p w14:paraId="759ABCA1" w14:textId="0B258D34" w:rsidR="003955AF" w:rsidRPr="00F62FB2" w:rsidRDefault="003955AF" w:rsidP="004C7421">
      <w:pPr>
        <w:spacing w:before="100"/>
        <w:ind w:left="2477" w:hanging="544"/>
        <w:rPr>
          <w:rFonts w:ascii="Calibri" w:hAnsi="Calibri"/>
          <w:lang w:val="en-AU" w:eastAsia="en-US"/>
        </w:rPr>
      </w:pPr>
      <w:r w:rsidRPr="00F62FB2">
        <w:rPr>
          <w:rFonts w:ascii="Calibri" w:hAnsi="Calibri"/>
          <w:lang w:val="en-AU" w:eastAsia="en-US"/>
        </w:rPr>
        <w:t>(i)</w:t>
      </w:r>
      <w:r w:rsidRPr="00F62FB2">
        <w:rPr>
          <w:rFonts w:ascii="Calibri" w:hAnsi="Calibri"/>
          <w:lang w:val="en-AU" w:eastAsia="en-US"/>
        </w:rPr>
        <w:tab/>
        <w:t>in addition, the ACT Government is funding both the Director-General of the Education Directorate and the Integrity Commission</w:t>
      </w:r>
      <w:r w:rsidR="00F255CA">
        <w:rPr>
          <w:rFonts w:ascii="Calibri" w:hAnsi="Calibri"/>
          <w:lang w:val="en-AU" w:eastAsia="en-US"/>
        </w:rPr>
        <w:t>’</w:t>
      </w:r>
      <w:r w:rsidRPr="00F62FB2">
        <w:rPr>
          <w:rFonts w:ascii="Calibri" w:hAnsi="Calibri"/>
          <w:lang w:val="en-AU" w:eastAsia="en-US"/>
        </w:rPr>
        <w:t>s legal fees in the Director-General</w:t>
      </w:r>
      <w:r w:rsidR="00F255CA">
        <w:rPr>
          <w:rFonts w:ascii="Calibri" w:hAnsi="Calibri"/>
          <w:lang w:val="en-AU" w:eastAsia="en-US"/>
        </w:rPr>
        <w:t>’</w:t>
      </w:r>
      <w:r w:rsidRPr="00F62FB2">
        <w:rPr>
          <w:rFonts w:ascii="Calibri" w:hAnsi="Calibri"/>
          <w:lang w:val="en-AU" w:eastAsia="en-US"/>
        </w:rPr>
        <w:t>s unprecedented legal action against the Commissioner related to this investigation; and</w:t>
      </w:r>
    </w:p>
    <w:p w14:paraId="4E5B9734" w14:textId="4DE6291D" w:rsidR="00B44D40" w:rsidRPr="00F62FB2" w:rsidRDefault="003955AF" w:rsidP="004C7421">
      <w:pPr>
        <w:spacing w:before="100"/>
        <w:ind w:left="2477" w:hanging="544"/>
        <w:rPr>
          <w:rFonts w:ascii="Calibri" w:hAnsi="Calibri"/>
          <w:lang w:val="en-AU" w:eastAsia="en-US"/>
        </w:rPr>
      </w:pPr>
      <w:r w:rsidRPr="00F62FB2">
        <w:rPr>
          <w:rFonts w:ascii="Calibri" w:hAnsi="Calibri"/>
          <w:lang w:val="en-AU" w:eastAsia="en-US"/>
        </w:rPr>
        <w:t>(ii)</w:t>
      </w:r>
      <w:r w:rsidRPr="00F62FB2">
        <w:rPr>
          <w:rFonts w:ascii="Calibri" w:hAnsi="Calibri"/>
          <w:lang w:val="en-AU" w:eastAsia="en-US"/>
        </w:rPr>
        <w:tab/>
        <w:t>to date, Mr Rattenbury MLA has refused to provide the cost of these fees for the Director-General, however, the Integrity Commissioner advised the Select Committee on Estimates 2024-2025 that the invoices total more than $95,000 in relation to legal actions taken against the Commission related to Operation Kingfisher and Operation Luna; and</w:t>
      </w:r>
    </w:p>
    <w:p w14:paraId="51BED345" w14:textId="2B50804F" w:rsidR="003955AF" w:rsidRPr="00F62FB2" w:rsidRDefault="003955AF" w:rsidP="004C7421">
      <w:pPr>
        <w:tabs>
          <w:tab w:val="left" w:pos="567"/>
        </w:tabs>
        <w:spacing w:before="100"/>
        <w:ind w:left="1910" w:hanging="544"/>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 xml:space="preserve">more than $8.5 million in contracts awarded to a </w:t>
      </w:r>
      <w:r w:rsidR="00F255CA">
        <w:rPr>
          <w:rFonts w:ascii="Calibri" w:hAnsi="Calibri"/>
          <w:lang w:val="en-AU" w:eastAsia="en-US"/>
        </w:rPr>
        <w:t>“</w:t>
      </w:r>
      <w:r w:rsidRPr="00F62FB2">
        <w:rPr>
          <w:rFonts w:ascii="Calibri" w:hAnsi="Calibri"/>
          <w:lang w:val="en-AU" w:eastAsia="en-US"/>
        </w:rPr>
        <w:t>systems and complexity thinker</w:t>
      </w:r>
      <w:r w:rsidR="00F255CA">
        <w:rPr>
          <w:rFonts w:ascii="Calibri" w:hAnsi="Calibri"/>
          <w:lang w:val="en-AU" w:eastAsia="en-US"/>
        </w:rPr>
        <w:t>”</w:t>
      </w:r>
      <w:r w:rsidRPr="00F62FB2">
        <w:rPr>
          <w:rFonts w:ascii="Calibri" w:hAnsi="Calibri"/>
          <w:lang w:val="en-AU" w:eastAsia="en-US"/>
        </w:rPr>
        <w:t xml:space="preserve"> that were referred to the ACT Integrity Commission, which recently made a finding of </w:t>
      </w:r>
      <w:r w:rsidR="00F255CA">
        <w:rPr>
          <w:rFonts w:ascii="Calibri" w:hAnsi="Calibri"/>
          <w:lang w:val="en-AU" w:eastAsia="en-US"/>
        </w:rPr>
        <w:t>“</w:t>
      </w:r>
      <w:r w:rsidRPr="00F62FB2">
        <w:rPr>
          <w:rFonts w:ascii="Calibri" w:hAnsi="Calibri"/>
          <w:lang w:val="en-AU" w:eastAsia="en-US"/>
        </w:rPr>
        <w:t>serious corrupt conduct</w:t>
      </w:r>
      <w:r w:rsidR="00F255CA">
        <w:rPr>
          <w:rFonts w:ascii="Calibri" w:hAnsi="Calibri"/>
          <w:lang w:val="en-AU" w:eastAsia="en-US"/>
        </w:rPr>
        <w:t>”</w:t>
      </w:r>
      <w:r w:rsidRPr="00F62FB2">
        <w:rPr>
          <w:rFonts w:ascii="Calibri" w:hAnsi="Calibri"/>
          <w:lang w:val="en-AU" w:eastAsia="en-US"/>
        </w:rPr>
        <w:t xml:space="preserve"> against the former Canberra Institute of Technology Chief Executive Officer (CEO), and the ACT Government continued to pay the former CEO while stood down, which included two pay rises and totalled more than $1.1 million;</w:t>
      </w:r>
    </w:p>
    <w:p w14:paraId="20BBEC10" w14:textId="43852432" w:rsidR="003955AF" w:rsidRPr="00F62FB2" w:rsidRDefault="003955AF" w:rsidP="004C7421">
      <w:pPr>
        <w:pStyle w:val="DPSEntryIndents"/>
        <w:keepNext/>
        <w:spacing w:before="80"/>
        <w:ind w:left="1366" w:hanging="646"/>
        <w:rPr>
          <w:lang w:eastAsia="en-US"/>
        </w:rPr>
      </w:pPr>
      <w:r w:rsidRPr="00F62FB2">
        <w:rPr>
          <w:lang w:eastAsia="en-US"/>
        </w:rPr>
        <w:lastRenderedPageBreak/>
        <w:t>further notes the:</w:t>
      </w:r>
    </w:p>
    <w:p w14:paraId="645BEE2A" w14:textId="77777777"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(a)</w:t>
      </w:r>
      <w:r w:rsidRPr="00F62FB2">
        <w:rPr>
          <w:rFonts w:ascii="Calibri" w:hAnsi="Calibri"/>
          <w:lang w:val="en-AU" w:eastAsia="en-US"/>
        </w:rPr>
        <w:tab/>
        <w:t>2023-24 estimated Uniform Presentation Framework Net Operating Balance reported a deficit of more than $1 billion;</w:t>
      </w:r>
    </w:p>
    <w:p w14:paraId="35CC9E9F" w14:textId="2759F3E5"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(b)</w:t>
      </w:r>
      <w:r w:rsidRPr="00F62FB2">
        <w:rPr>
          <w:rFonts w:ascii="Calibri" w:hAnsi="Calibri"/>
          <w:lang w:val="en-AU" w:eastAsia="en-US"/>
        </w:rPr>
        <w:tab/>
        <w:t>ACT Government has forecasted that the ACT</w:t>
      </w:r>
      <w:r w:rsidR="00F255CA">
        <w:rPr>
          <w:rFonts w:ascii="Calibri" w:hAnsi="Calibri"/>
          <w:lang w:val="en-AU" w:eastAsia="en-US"/>
        </w:rPr>
        <w:t>’</w:t>
      </w:r>
      <w:r w:rsidRPr="00F62FB2">
        <w:rPr>
          <w:rFonts w:ascii="Calibri" w:hAnsi="Calibri"/>
          <w:lang w:val="en-AU" w:eastAsia="en-US"/>
        </w:rPr>
        <w:t>s total borrowings will be more than $19.3 billion by 2027-28; and</w:t>
      </w:r>
    </w:p>
    <w:p w14:paraId="05EDF9AE" w14:textId="77777777" w:rsidR="003955AF" w:rsidRPr="00F62FB2" w:rsidRDefault="003955AF" w:rsidP="006A1153">
      <w:pPr>
        <w:tabs>
          <w:tab w:val="left" w:pos="567"/>
        </w:tabs>
        <w:spacing w:before="80"/>
        <w:ind w:left="1910" w:hanging="544"/>
        <w:rPr>
          <w:rFonts w:ascii="Calibri" w:hAnsi="Calibri"/>
          <w:lang w:val="en-AU" w:eastAsia="en-US"/>
        </w:rPr>
      </w:pPr>
      <w:r w:rsidRPr="00F62FB2">
        <w:rPr>
          <w:rFonts w:ascii="Calibri" w:hAnsi="Calibri"/>
          <w:lang w:val="en-AU" w:eastAsia="en-US"/>
        </w:rPr>
        <w:t>(c)</w:t>
      </w:r>
      <w:r w:rsidRPr="00F62FB2">
        <w:rPr>
          <w:rFonts w:ascii="Calibri" w:hAnsi="Calibri"/>
          <w:lang w:val="en-AU" w:eastAsia="en-US"/>
        </w:rPr>
        <w:tab/>
        <w:t>interest expenses on the total Territory borrowings are forecasted to be more than $855 million in 2027-28; and</w:t>
      </w:r>
    </w:p>
    <w:p w14:paraId="1590395E" w14:textId="11D0E5AD" w:rsidR="003955AF" w:rsidRPr="00F62FB2" w:rsidRDefault="003955AF" w:rsidP="006A1153">
      <w:pPr>
        <w:pStyle w:val="DPSEntryIndents"/>
        <w:spacing w:before="80"/>
        <w:rPr>
          <w:lang w:eastAsia="en-US"/>
        </w:rPr>
      </w:pPr>
      <w:r w:rsidRPr="00F62FB2">
        <w:rPr>
          <w:lang w:eastAsia="en-US"/>
        </w:rPr>
        <w:t>calls on the ACT Government to apologise and take responsibility for having no respect for ACT taxpayers</w:t>
      </w:r>
      <w:r w:rsidR="00F255CA">
        <w:rPr>
          <w:lang w:eastAsia="en-US"/>
        </w:rPr>
        <w:t>’</w:t>
      </w:r>
      <w:r w:rsidRPr="00F62FB2">
        <w:rPr>
          <w:lang w:eastAsia="en-US"/>
        </w:rPr>
        <w:t xml:space="preserve"> money. </w:t>
      </w:r>
    </w:p>
    <w:p w14:paraId="10FB26BB" w14:textId="56814994" w:rsidR="00CF7AC7" w:rsidRDefault="00CF7AC7" w:rsidP="006A1153">
      <w:pPr>
        <w:spacing w:before="80"/>
        <w:ind w:left="720" w:right="-35"/>
        <w:rPr>
          <w:rFonts w:ascii="Calibri" w:hAnsi="Calibri"/>
          <w:color w:val="000000"/>
          <w:lang w:val="en-AU"/>
        </w:rPr>
      </w:pPr>
      <w:r>
        <w:rPr>
          <w:rFonts w:ascii="Calibri" w:hAnsi="Calibri"/>
          <w:color w:val="000000"/>
          <w:lang w:val="en-AU"/>
        </w:rPr>
        <w:t xml:space="preserve">Mr Barr (Treasurer) moved the following amendment: Omit all text after </w:t>
      </w:r>
      <w:r w:rsidR="00F255CA">
        <w:rPr>
          <w:rFonts w:ascii="Calibri" w:hAnsi="Calibri"/>
          <w:color w:val="000000"/>
          <w:lang w:val="en-AU"/>
        </w:rPr>
        <w:t>“</w:t>
      </w:r>
      <w:r>
        <w:rPr>
          <w:rFonts w:ascii="Calibri" w:hAnsi="Calibri"/>
          <w:color w:val="000000"/>
          <w:lang w:val="en-AU"/>
        </w:rPr>
        <w:t>That this Assembly</w:t>
      </w:r>
      <w:r w:rsidR="00F255CA">
        <w:rPr>
          <w:rFonts w:ascii="Calibri" w:hAnsi="Calibri"/>
          <w:color w:val="000000"/>
          <w:lang w:val="en-AU"/>
        </w:rPr>
        <w:t>”</w:t>
      </w:r>
      <w:r>
        <w:rPr>
          <w:rFonts w:ascii="Calibri" w:hAnsi="Calibri"/>
          <w:color w:val="000000"/>
          <w:lang w:val="en-AU"/>
        </w:rPr>
        <w:t>, substitute:</w:t>
      </w:r>
    </w:p>
    <w:p w14:paraId="1D0D414C" w14:textId="7F0CCAF4" w:rsidR="00CF7AC7" w:rsidRPr="00CF7AC7" w:rsidRDefault="00F255CA" w:rsidP="006A1153">
      <w:pPr>
        <w:pStyle w:val="DPSEntryIndents"/>
        <w:numPr>
          <w:ilvl w:val="0"/>
          <w:numId w:val="0"/>
        </w:numPr>
        <w:spacing w:before="80"/>
        <w:ind w:left="1368" w:hanging="648"/>
        <w:rPr>
          <w:color w:val="000000"/>
        </w:rPr>
      </w:pPr>
      <w:r>
        <w:rPr>
          <w:color w:val="000000"/>
        </w:rPr>
        <w:t>“</w:t>
      </w:r>
      <w:r w:rsidR="00CF7AC7">
        <w:rPr>
          <w:color w:val="000000"/>
        </w:rPr>
        <w:t>(1)</w:t>
      </w:r>
      <w:r w:rsidR="00CF7AC7">
        <w:rPr>
          <w:color w:val="000000"/>
        </w:rPr>
        <w:tab/>
      </w:r>
      <w:r w:rsidR="00CF7AC7" w:rsidRPr="00CF7AC7">
        <w:rPr>
          <w:color w:val="000000"/>
        </w:rPr>
        <w:t>n</w:t>
      </w:r>
      <w:r w:rsidR="00CF7AC7" w:rsidRPr="00CF7AC7">
        <w:rPr>
          <w:lang w:eastAsia="en-US"/>
        </w:rPr>
        <w:t>otes</w:t>
      </w:r>
      <w:r w:rsidR="00CF7AC7" w:rsidRPr="00CF7AC7">
        <w:rPr>
          <w:color w:val="000000"/>
        </w:rPr>
        <w:t>:</w:t>
      </w:r>
    </w:p>
    <w:p w14:paraId="208EC267" w14:textId="60190A01" w:rsidR="00CF7AC7" w:rsidRPr="00CF7AC7" w:rsidRDefault="00CF7AC7" w:rsidP="006A1153">
      <w:pPr>
        <w:spacing w:before="80"/>
        <w:ind w:left="1910" w:hanging="544"/>
        <w:rPr>
          <w:rFonts w:ascii="Calibri" w:hAnsi="Calibri"/>
          <w:color w:val="000000"/>
          <w:lang w:val="en-AU"/>
        </w:rPr>
      </w:pPr>
      <w:r w:rsidRPr="00F62FB2">
        <w:rPr>
          <w:rFonts w:ascii="Calibri" w:hAnsi="Calibri"/>
          <w:lang w:val="en-AU" w:eastAsia="en-US"/>
        </w:rPr>
        <w:t>(a)</w:t>
      </w:r>
      <w:r w:rsidRPr="00CF7AC7">
        <w:rPr>
          <w:rFonts w:ascii="Calibri" w:hAnsi="Calibri"/>
          <w:color w:val="000000"/>
          <w:lang w:val="en-AU"/>
        </w:rPr>
        <w:tab/>
      </w:r>
      <w:r>
        <w:rPr>
          <w:rFonts w:ascii="Calibri" w:hAnsi="Calibri"/>
          <w:color w:val="000000"/>
          <w:lang w:val="en-AU"/>
        </w:rPr>
        <w:t>t</w:t>
      </w:r>
      <w:r w:rsidRPr="00CF7AC7">
        <w:rPr>
          <w:rFonts w:ascii="Calibri" w:hAnsi="Calibri"/>
          <w:color w:val="000000"/>
          <w:lang w:val="en-AU"/>
        </w:rPr>
        <w:t>he Government takes seriously any financial discrepancies, overspends or suspected misappropriation on projects and programs across the ACT Public Service</w:t>
      </w:r>
      <w:r w:rsidR="00DE1118">
        <w:rPr>
          <w:rFonts w:ascii="Calibri" w:hAnsi="Calibri"/>
          <w:color w:val="000000"/>
          <w:lang w:val="en-AU"/>
        </w:rPr>
        <w:t xml:space="preserve"> (ACTPS)</w:t>
      </w:r>
      <w:r>
        <w:rPr>
          <w:rFonts w:ascii="Calibri" w:hAnsi="Calibri"/>
          <w:color w:val="000000"/>
          <w:lang w:val="en-AU"/>
        </w:rPr>
        <w:t>;</w:t>
      </w:r>
      <w:r w:rsidRPr="00CF7AC7">
        <w:rPr>
          <w:rFonts w:ascii="Calibri" w:hAnsi="Calibri"/>
          <w:color w:val="000000"/>
          <w:lang w:val="en-AU"/>
        </w:rPr>
        <w:t xml:space="preserve"> </w:t>
      </w:r>
    </w:p>
    <w:p w14:paraId="1FC49FF8" w14:textId="429B1754" w:rsidR="00CF7AC7" w:rsidRPr="00CF7AC7" w:rsidRDefault="00CF7AC7" w:rsidP="006A1153">
      <w:pPr>
        <w:spacing w:before="80"/>
        <w:ind w:left="1910" w:hanging="544"/>
        <w:rPr>
          <w:rFonts w:ascii="Calibri" w:hAnsi="Calibri"/>
          <w:color w:val="000000"/>
          <w:lang w:val="en-AU"/>
        </w:rPr>
      </w:pPr>
      <w:r w:rsidRPr="00F62FB2">
        <w:rPr>
          <w:rFonts w:ascii="Calibri" w:hAnsi="Calibri"/>
          <w:lang w:val="en-AU" w:eastAsia="en-US"/>
        </w:rPr>
        <w:t>(b)</w:t>
      </w:r>
      <w:r w:rsidRPr="00CF7AC7">
        <w:rPr>
          <w:rFonts w:ascii="Calibri" w:hAnsi="Calibri"/>
          <w:color w:val="000000"/>
          <w:lang w:val="en-AU"/>
        </w:rPr>
        <w:tab/>
      </w:r>
      <w:r>
        <w:rPr>
          <w:rFonts w:ascii="Calibri" w:hAnsi="Calibri"/>
          <w:color w:val="000000"/>
          <w:lang w:val="en-AU"/>
        </w:rPr>
        <w:t>m</w:t>
      </w:r>
      <w:r w:rsidRPr="00CF7AC7">
        <w:rPr>
          <w:rFonts w:ascii="Calibri" w:hAnsi="Calibri"/>
          <w:color w:val="000000"/>
          <w:lang w:val="en-AU"/>
        </w:rPr>
        <w:t>inisters and senior public servants have acted to refer matters where appropriate to bodies for investigation and report, including:</w:t>
      </w:r>
    </w:p>
    <w:p w14:paraId="5539A98F" w14:textId="600919D6" w:rsidR="00CF7AC7" w:rsidRPr="00CF7AC7" w:rsidRDefault="00CF7AC7" w:rsidP="006A1153">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w:t>
      </w:r>
      <w:r>
        <w:rPr>
          <w:rFonts w:ascii="Calibri" w:hAnsi="Calibri"/>
          <w:color w:val="000000"/>
          <w:lang w:val="en-AU"/>
        </w:rPr>
        <w:t>)</w:t>
      </w:r>
      <w:r w:rsidRPr="00CF7AC7">
        <w:rPr>
          <w:rFonts w:ascii="Calibri" w:hAnsi="Calibri"/>
          <w:color w:val="000000"/>
          <w:lang w:val="en-AU"/>
        </w:rPr>
        <w:tab/>
        <w:t>the Human Resources Information Management System</w:t>
      </w:r>
      <w:r w:rsidR="00324AD0">
        <w:rPr>
          <w:rFonts w:ascii="Calibri" w:hAnsi="Calibri"/>
          <w:color w:val="000000"/>
          <w:lang w:val="en-AU"/>
        </w:rPr>
        <w:t>;</w:t>
      </w:r>
    </w:p>
    <w:p w14:paraId="202AC332" w14:textId="786537B4" w:rsidR="00CF7AC7" w:rsidRPr="00CF7AC7" w:rsidRDefault="00CF7AC7" w:rsidP="006A1153">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w:t>
      </w:r>
      <w:r>
        <w:rPr>
          <w:rFonts w:ascii="Calibri" w:hAnsi="Calibri"/>
          <w:color w:val="000000"/>
          <w:lang w:val="en-AU"/>
        </w:rPr>
        <w:t>)</w:t>
      </w:r>
      <w:r w:rsidRPr="00CF7AC7">
        <w:rPr>
          <w:rFonts w:ascii="Calibri" w:hAnsi="Calibri"/>
          <w:color w:val="000000"/>
          <w:lang w:val="en-AU"/>
        </w:rPr>
        <w:tab/>
        <w:t xml:space="preserve">the Digital Health Record; </w:t>
      </w:r>
    </w:p>
    <w:p w14:paraId="238F0C63" w14:textId="3F82357B" w:rsidR="00CF7AC7" w:rsidRPr="00CF7AC7" w:rsidRDefault="00CF7AC7" w:rsidP="006A1153">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iii</w:t>
      </w:r>
      <w:r>
        <w:rPr>
          <w:rFonts w:ascii="Calibri" w:hAnsi="Calibri"/>
          <w:color w:val="000000"/>
          <w:lang w:val="en-AU"/>
        </w:rPr>
        <w:t>)</w:t>
      </w:r>
      <w:r w:rsidRPr="00CF7AC7">
        <w:rPr>
          <w:rFonts w:ascii="Calibri" w:hAnsi="Calibri"/>
          <w:color w:val="000000"/>
          <w:lang w:val="en-AU"/>
        </w:rPr>
        <w:tab/>
        <w:t xml:space="preserve">the Campbell Primary School Modernisation Project; and </w:t>
      </w:r>
    </w:p>
    <w:p w14:paraId="41DB06C9" w14:textId="2603C3A0" w:rsidR="00CF7AC7" w:rsidRPr="00CF7AC7" w:rsidRDefault="00CF7AC7" w:rsidP="006A1153">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iv</w:t>
      </w:r>
      <w:r>
        <w:rPr>
          <w:rFonts w:ascii="Calibri" w:hAnsi="Calibri"/>
          <w:color w:val="000000"/>
          <w:lang w:val="en-AU"/>
        </w:rPr>
        <w:t>)</w:t>
      </w:r>
      <w:r w:rsidRPr="00CF7AC7">
        <w:rPr>
          <w:rFonts w:ascii="Calibri" w:hAnsi="Calibri"/>
          <w:color w:val="000000"/>
          <w:lang w:val="en-AU"/>
        </w:rPr>
        <w:tab/>
        <w:t>the handling of procurement at the Canberra Institute of Technology</w:t>
      </w:r>
      <w:r w:rsidR="00324AD0">
        <w:rPr>
          <w:rFonts w:ascii="Calibri" w:hAnsi="Calibri"/>
          <w:color w:val="000000"/>
          <w:lang w:val="en-AU"/>
        </w:rPr>
        <w:t xml:space="preserve"> (CIT)</w:t>
      </w:r>
      <w:r>
        <w:rPr>
          <w:rFonts w:ascii="Calibri" w:hAnsi="Calibri"/>
          <w:color w:val="000000"/>
          <w:lang w:val="en-AU"/>
        </w:rPr>
        <w:t>;</w:t>
      </w:r>
      <w:r w:rsidR="00A02320">
        <w:rPr>
          <w:rFonts w:ascii="Calibri" w:hAnsi="Calibri"/>
          <w:color w:val="000000"/>
          <w:lang w:val="en-AU"/>
        </w:rPr>
        <w:t xml:space="preserve"> and</w:t>
      </w:r>
    </w:p>
    <w:p w14:paraId="0AA0182D" w14:textId="5B897A29" w:rsidR="00CF7AC7" w:rsidRPr="00CF7AC7" w:rsidRDefault="00CF7AC7" w:rsidP="006A1153">
      <w:pPr>
        <w:spacing w:before="80"/>
        <w:ind w:left="1910" w:hanging="544"/>
        <w:rPr>
          <w:rFonts w:ascii="Calibri" w:hAnsi="Calibri"/>
          <w:color w:val="000000"/>
          <w:lang w:val="en-AU"/>
        </w:rPr>
      </w:pPr>
      <w:r w:rsidRPr="00F62FB2">
        <w:rPr>
          <w:rFonts w:ascii="Calibri" w:hAnsi="Calibri"/>
          <w:lang w:val="en-AU" w:eastAsia="en-US"/>
        </w:rPr>
        <w:t>(c)</w:t>
      </w:r>
      <w:r w:rsidRPr="00CF7AC7">
        <w:rPr>
          <w:rFonts w:ascii="Calibri" w:hAnsi="Calibri"/>
          <w:color w:val="000000"/>
          <w:lang w:val="en-AU"/>
        </w:rPr>
        <w:tab/>
      </w:r>
      <w:r>
        <w:rPr>
          <w:rFonts w:ascii="Calibri" w:hAnsi="Calibri"/>
          <w:color w:val="000000"/>
          <w:lang w:val="en-AU"/>
        </w:rPr>
        <w:t>t</w:t>
      </w:r>
      <w:r w:rsidRPr="00CF7AC7">
        <w:rPr>
          <w:rFonts w:ascii="Calibri" w:hAnsi="Calibri"/>
          <w:color w:val="000000"/>
          <w:lang w:val="en-AU"/>
        </w:rPr>
        <w:t>hat both the ACT Government Executive and senior officials in the ACT</w:t>
      </w:r>
      <w:r w:rsidR="00DE1118">
        <w:rPr>
          <w:rFonts w:ascii="Calibri" w:hAnsi="Calibri"/>
          <w:color w:val="000000"/>
          <w:lang w:val="en-AU"/>
        </w:rPr>
        <w:t>PS</w:t>
      </w:r>
      <w:r w:rsidRPr="00CF7AC7">
        <w:rPr>
          <w:rFonts w:ascii="Calibri" w:hAnsi="Calibri"/>
          <w:color w:val="000000"/>
          <w:lang w:val="en-AU"/>
        </w:rPr>
        <w:t xml:space="preserve"> are committed to learning from mistakes, and referring matters for investigation to the Public Sector Standards Commissioner, ACT Integrity Commission, or other oversight bodies as appropriate</w:t>
      </w:r>
      <w:r>
        <w:rPr>
          <w:rFonts w:ascii="Calibri" w:hAnsi="Calibri"/>
          <w:color w:val="000000"/>
          <w:lang w:val="en-AU"/>
        </w:rPr>
        <w:t>;</w:t>
      </w:r>
    </w:p>
    <w:p w14:paraId="7A907627" w14:textId="546C4CA5" w:rsidR="00CF7AC7" w:rsidRPr="006A1153" w:rsidRDefault="00CF7AC7" w:rsidP="006A1153">
      <w:pPr>
        <w:pStyle w:val="DPSEntryIndents"/>
        <w:keepNext/>
        <w:numPr>
          <w:ilvl w:val="0"/>
          <w:numId w:val="38"/>
        </w:numPr>
        <w:spacing w:before="80"/>
        <w:rPr>
          <w:color w:val="000000"/>
        </w:rPr>
      </w:pPr>
      <w:r w:rsidRPr="006A1153">
        <w:rPr>
          <w:color w:val="000000"/>
        </w:rPr>
        <w:t>f</w:t>
      </w:r>
      <w:r w:rsidRPr="00CF7AC7">
        <w:rPr>
          <w:lang w:eastAsia="en-US"/>
        </w:rPr>
        <w:t>urther</w:t>
      </w:r>
      <w:r w:rsidRPr="006A1153">
        <w:rPr>
          <w:color w:val="000000"/>
        </w:rPr>
        <w:t xml:space="preserve"> notes:</w:t>
      </w:r>
    </w:p>
    <w:p w14:paraId="1311A7FD" w14:textId="5E4EEC15" w:rsidR="00CF7AC7" w:rsidRPr="00CF7AC7" w:rsidRDefault="00CF7AC7" w:rsidP="006A1153">
      <w:pPr>
        <w:spacing w:before="80"/>
        <w:ind w:left="1910" w:hanging="544"/>
        <w:rPr>
          <w:rFonts w:ascii="Calibri" w:hAnsi="Calibri"/>
          <w:color w:val="000000"/>
          <w:lang w:val="en-AU"/>
        </w:rPr>
      </w:pPr>
      <w:r w:rsidRPr="00F62FB2">
        <w:rPr>
          <w:rFonts w:ascii="Calibri" w:hAnsi="Calibri"/>
          <w:lang w:val="en-AU" w:eastAsia="en-US"/>
        </w:rPr>
        <w:t>(a)</w:t>
      </w:r>
      <w:r w:rsidRPr="00CF7AC7">
        <w:rPr>
          <w:rFonts w:ascii="Calibri" w:hAnsi="Calibri"/>
          <w:color w:val="000000"/>
          <w:lang w:val="en-AU"/>
        </w:rPr>
        <w:tab/>
      </w:r>
      <w:r>
        <w:rPr>
          <w:rFonts w:ascii="Calibri" w:hAnsi="Calibri"/>
          <w:color w:val="000000"/>
          <w:lang w:val="en-AU"/>
        </w:rPr>
        <w:t>s</w:t>
      </w:r>
      <w:r w:rsidRPr="00CF7AC7">
        <w:rPr>
          <w:rFonts w:ascii="Calibri" w:hAnsi="Calibri"/>
          <w:color w:val="000000"/>
          <w:lang w:val="en-AU"/>
        </w:rPr>
        <w:t>everal matters have been confirmed as being investigated or inquired into by the ACT Integrity Commission and the Auditor</w:t>
      </w:r>
      <w:r w:rsidR="00DE1118">
        <w:rPr>
          <w:rFonts w:ascii="Calibri" w:hAnsi="Calibri"/>
          <w:color w:val="000000"/>
          <w:lang w:val="en-AU"/>
        </w:rPr>
        <w:t>-</w:t>
      </w:r>
      <w:r w:rsidRPr="00CF7AC7">
        <w:rPr>
          <w:rFonts w:ascii="Calibri" w:hAnsi="Calibri"/>
          <w:color w:val="000000"/>
          <w:lang w:val="en-AU"/>
        </w:rPr>
        <w:t>General</w:t>
      </w:r>
      <w:r>
        <w:rPr>
          <w:rFonts w:ascii="Calibri" w:hAnsi="Calibri"/>
          <w:color w:val="000000"/>
          <w:lang w:val="en-AU"/>
        </w:rPr>
        <w:t>;</w:t>
      </w:r>
      <w:r w:rsidR="00A02320">
        <w:rPr>
          <w:rFonts w:ascii="Calibri" w:hAnsi="Calibri"/>
          <w:color w:val="000000"/>
          <w:lang w:val="en-AU"/>
        </w:rPr>
        <w:t xml:space="preserve"> and</w:t>
      </w:r>
    </w:p>
    <w:p w14:paraId="27664517" w14:textId="55389F85" w:rsidR="00CF7AC7" w:rsidRPr="00CF7AC7" w:rsidRDefault="00CF7AC7" w:rsidP="006A1153">
      <w:pPr>
        <w:spacing w:before="80"/>
        <w:ind w:left="1910" w:hanging="544"/>
        <w:rPr>
          <w:rFonts w:ascii="Calibri" w:hAnsi="Calibri"/>
          <w:color w:val="000000"/>
          <w:lang w:val="en-AU"/>
        </w:rPr>
      </w:pPr>
      <w:r w:rsidRPr="00F62FB2">
        <w:rPr>
          <w:rFonts w:ascii="Calibri" w:hAnsi="Calibri"/>
          <w:lang w:val="en-AU" w:eastAsia="en-US"/>
        </w:rPr>
        <w:t>(b)</w:t>
      </w:r>
      <w:r w:rsidRPr="00CF7AC7">
        <w:rPr>
          <w:rFonts w:ascii="Calibri" w:hAnsi="Calibri"/>
          <w:color w:val="000000"/>
          <w:lang w:val="en-AU"/>
        </w:rPr>
        <w:tab/>
      </w:r>
      <w:r>
        <w:rPr>
          <w:rFonts w:ascii="Calibri" w:hAnsi="Calibri"/>
          <w:color w:val="000000"/>
          <w:lang w:val="en-AU"/>
        </w:rPr>
        <w:t>i</w:t>
      </w:r>
      <w:r w:rsidRPr="00CF7AC7">
        <w:rPr>
          <w:rFonts w:ascii="Calibri" w:hAnsi="Calibri"/>
          <w:color w:val="000000"/>
          <w:lang w:val="en-AU"/>
        </w:rPr>
        <w:t>n addition to referrals, the Government has undertaken a range of measures to ensure appropriate use of public funds, including:</w:t>
      </w:r>
    </w:p>
    <w:p w14:paraId="19755554" w14:textId="226B1948" w:rsidR="00CF7AC7" w:rsidRPr="00CF7AC7" w:rsidRDefault="00CF7AC7" w:rsidP="006A1153">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w:t>
      </w:r>
      <w:r>
        <w:rPr>
          <w:rFonts w:ascii="Calibri" w:hAnsi="Calibri"/>
          <w:color w:val="000000"/>
          <w:lang w:val="en-AU"/>
        </w:rPr>
        <w:t>)</w:t>
      </w:r>
      <w:r w:rsidRPr="00CF7AC7">
        <w:rPr>
          <w:rFonts w:ascii="Calibri" w:hAnsi="Calibri"/>
          <w:color w:val="000000"/>
          <w:lang w:val="en-AU"/>
        </w:rPr>
        <w:tab/>
        <w:t>for the financial management issues related to the Digital Solutions Division and the Digital Health Record project, commissioning management-initiated reviews and audits, implementing internal administrative controls, and addressing review recommendations to ensure ongoing improvement in governance and management in the ACT Health Directorate;</w:t>
      </w:r>
    </w:p>
    <w:p w14:paraId="4557466A" w14:textId="1A254DE0" w:rsidR="00CF7AC7" w:rsidRPr="00CF7AC7" w:rsidRDefault="00CF7AC7" w:rsidP="00CF7AC7">
      <w:pPr>
        <w:spacing w:before="12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w:t>
      </w:r>
      <w:r>
        <w:rPr>
          <w:rFonts w:ascii="Calibri" w:hAnsi="Calibri"/>
          <w:color w:val="000000"/>
          <w:lang w:val="en-AU"/>
        </w:rPr>
        <w:t>)</w:t>
      </w:r>
      <w:r w:rsidRPr="00CF7AC7">
        <w:rPr>
          <w:rFonts w:ascii="Calibri" w:hAnsi="Calibri"/>
          <w:color w:val="000000"/>
          <w:lang w:val="en-AU"/>
        </w:rPr>
        <w:tab/>
      </w:r>
      <w:r>
        <w:rPr>
          <w:rFonts w:ascii="Calibri" w:hAnsi="Calibri"/>
          <w:color w:val="000000"/>
          <w:lang w:val="en-AU"/>
        </w:rPr>
        <w:t>f</w:t>
      </w:r>
      <w:r w:rsidRPr="00CF7AC7">
        <w:rPr>
          <w:rFonts w:ascii="Calibri" w:hAnsi="Calibri"/>
          <w:color w:val="000000"/>
          <w:lang w:val="en-AU"/>
        </w:rPr>
        <w:t>or the Human Resource Information Management System Program, implementing the findings of the Auditor-General and the Leeper review to completely transform the way ICT projects are managed and delivered;</w:t>
      </w:r>
    </w:p>
    <w:p w14:paraId="4035349D" w14:textId="43863F61" w:rsidR="00CF7AC7" w:rsidRPr="00CF7AC7" w:rsidRDefault="00CF7AC7" w:rsidP="004C7421">
      <w:pPr>
        <w:spacing w:before="100"/>
        <w:ind w:left="2477" w:hanging="544"/>
        <w:rPr>
          <w:rFonts w:ascii="Calibri" w:hAnsi="Calibri"/>
          <w:color w:val="000000"/>
          <w:lang w:val="en-AU"/>
        </w:rPr>
      </w:pPr>
      <w:r>
        <w:rPr>
          <w:rFonts w:ascii="Calibri" w:hAnsi="Calibri"/>
          <w:color w:val="000000"/>
          <w:lang w:val="en-AU"/>
        </w:rPr>
        <w:lastRenderedPageBreak/>
        <w:t>(</w:t>
      </w:r>
      <w:r w:rsidRPr="00CF7AC7">
        <w:rPr>
          <w:rFonts w:ascii="Calibri" w:hAnsi="Calibri"/>
          <w:color w:val="000000"/>
          <w:lang w:val="en-AU"/>
        </w:rPr>
        <w:t>iii</w:t>
      </w:r>
      <w:r>
        <w:rPr>
          <w:rFonts w:ascii="Calibri" w:hAnsi="Calibri"/>
          <w:color w:val="000000"/>
          <w:lang w:val="en-AU"/>
        </w:rPr>
        <w:t>)</w:t>
      </w:r>
      <w:r w:rsidRPr="00CF7AC7">
        <w:rPr>
          <w:rFonts w:ascii="Calibri" w:hAnsi="Calibri"/>
          <w:color w:val="000000"/>
          <w:lang w:val="en-AU"/>
        </w:rPr>
        <w:tab/>
      </w:r>
      <w:r w:rsidRPr="00324AD0">
        <w:rPr>
          <w:rFonts w:ascii="Calibri" w:hAnsi="Calibri"/>
          <w:color w:val="000000"/>
          <w:spacing w:val="-2"/>
          <w:lang w:val="en-AU"/>
        </w:rPr>
        <w:t>prior to the Integrity Commission</w:t>
      </w:r>
      <w:r w:rsidR="00F255CA" w:rsidRPr="00324AD0">
        <w:rPr>
          <w:rFonts w:ascii="Calibri" w:hAnsi="Calibri"/>
          <w:color w:val="000000"/>
          <w:spacing w:val="-2"/>
          <w:lang w:val="en-AU"/>
        </w:rPr>
        <w:t>’</w:t>
      </w:r>
      <w:r w:rsidRPr="00324AD0">
        <w:rPr>
          <w:rFonts w:ascii="Calibri" w:hAnsi="Calibri"/>
          <w:color w:val="000000"/>
          <w:spacing w:val="-2"/>
          <w:lang w:val="en-AU"/>
        </w:rPr>
        <w:t xml:space="preserve">s report on the CIT, the Government strengthened procurement practices across government by introducing new legislation, the </w:t>
      </w:r>
      <w:r w:rsidRPr="00DE1118">
        <w:rPr>
          <w:rFonts w:ascii="Calibri" w:hAnsi="Calibri"/>
          <w:i/>
          <w:iCs/>
          <w:color w:val="000000"/>
          <w:spacing w:val="-2"/>
          <w:lang w:val="en-AU"/>
        </w:rPr>
        <w:t>Government Procurement Amendment Act 2024</w:t>
      </w:r>
      <w:r w:rsidRPr="00324AD0">
        <w:rPr>
          <w:rFonts w:ascii="Calibri" w:hAnsi="Calibri"/>
          <w:color w:val="000000"/>
          <w:spacing w:val="-2"/>
          <w:lang w:val="en-AU"/>
        </w:rPr>
        <w:t>, which enhances the role of the Government Procurement Board in providing oversight of high-risk procurements</w:t>
      </w:r>
      <w:r w:rsidR="00A87FA2" w:rsidRPr="00324AD0">
        <w:rPr>
          <w:rFonts w:ascii="Calibri" w:hAnsi="Calibri"/>
          <w:color w:val="000000"/>
          <w:spacing w:val="-2"/>
          <w:lang w:val="en-AU"/>
        </w:rPr>
        <w:t>; and</w:t>
      </w:r>
    </w:p>
    <w:p w14:paraId="54303849" w14:textId="3C55B533" w:rsidR="00CF7AC7" w:rsidRPr="00CF7AC7" w:rsidRDefault="00CF7AC7" w:rsidP="004C7421">
      <w:pPr>
        <w:spacing w:before="10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iv</w:t>
      </w:r>
      <w:r>
        <w:rPr>
          <w:rFonts w:ascii="Calibri" w:hAnsi="Calibri"/>
          <w:color w:val="000000"/>
          <w:lang w:val="en-AU"/>
        </w:rPr>
        <w:t>)</w:t>
      </w:r>
      <w:r w:rsidRPr="00CF7AC7">
        <w:rPr>
          <w:rFonts w:ascii="Calibri" w:hAnsi="Calibri"/>
          <w:color w:val="000000"/>
          <w:lang w:val="en-AU"/>
        </w:rPr>
        <w:tab/>
      </w:r>
      <w:r>
        <w:rPr>
          <w:rFonts w:ascii="Calibri" w:hAnsi="Calibri"/>
          <w:color w:val="000000"/>
          <w:lang w:val="en-AU"/>
        </w:rPr>
        <w:t>m</w:t>
      </w:r>
      <w:r w:rsidRPr="00CF7AC7">
        <w:rPr>
          <w:rFonts w:ascii="Calibri" w:hAnsi="Calibri"/>
          <w:color w:val="000000"/>
          <w:lang w:val="en-AU"/>
        </w:rPr>
        <w:t xml:space="preserve">andating enhanced procurement training for </w:t>
      </w:r>
      <w:r w:rsidR="00A87FA2">
        <w:rPr>
          <w:rFonts w:ascii="Calibri" w:hAnsi="Calibri"/>
          <w:color w:val="000000"/>
          <w:lang w:val="en-AU"/>
        </w:rPr>
        <w:t>m</w:t>
      </w:r>
      <w:r w:rsidRPr="00CF7AC7">
        <w:rPr>
          <w:rFonts w:ascii="Calibri" w:hAnsi="Calibri"/>
          <w:color w:val="000000"/>
          <w:lang w:val="en-AU"/>
        </w:rPr>
        <w:t xml:space="preserve">inisters, senior public servants and key roles in </w:t>
      </w:r>
      <w:r w:rsidR="00A87FA2">
        <w:rPr>
          <w:rFonts w:ascii="Calibri" w:hAnsi="Calibri"/>
          <w:color w:val="000000"/>
          <w:lang w:val="en-AU"/>
        </w:rPr>
        <w:t>m</w:t>
      </w:r>
      <w:r w:rsidRPr="00CF7AC7">
        <w:rPr>
          <w:rFonts w:ascii="Calibri" w:hAnsi="Calibri"/>
          <w:color w:val="000000"/>
          <w:lang w:val="en-AU"/>
        </w:rPr>
        <w:t>inisterial offices increasing awareness and skills</w:t>
      </w:r>
      <w:r w:rsidR="00A87FA2">
        <w:rPr>
          <w:rFonts w:ascii="Calibri" w:hAnsi="Calibri"/>
          <w:color w:val="000000"/>
          <w:lang w:val="en-AU"/>
        </w:rPr>
        <w:t>;</w:t>
      </w:r>
      <w:r w:rsidRPr="00CF7AC7">
        <w:rPr>
          <w:rFonts w:ascii="Calibri" w:hAnsi="Calibri"/>
          <w:color w:val="000000"/>
          <w:lang w:val="en-AU"/>
        </w:rPr>
        <w:t xml:space="preserve"> </w:t>
      </w:r>
    </w:p>
    <w:p w14:paraId="4B78F1E9" w14:textId="5198E4A3" w:rsidR="00CF7AC7" w:rsidRPr="00CF7AC7" w:rsidRDefault="00CF7AC7" w:rsidP="004C7421">
      <w:pPr>
        <w:pStyle w:val="DPSEntryIndents"/>
        <w:spacing w:before="100"/>
        <w:rPr>
          <w:color w:val="000000"/>
        </w:rPr>
      </w:pPr>
      <w:r>
        <w:rPr>
          <w:color w:val="000000"/>
        </w:rPr>
        <w:t>f</w:t>
      </w:r>
      <w:r w:rsidRPr="00CF7AC7">
        <w:rPr>
          <w:lang w:eastAsia="en-US"/>
        </w:rPr>
        <w:t>urther</w:t>
      </w:r>
      <w:r w:rsidRPr="00CF7AC7">
        <w:rPr>
          <w:color w:val="000000"/>
        </w:rPr>
        <w:t xml:space="preserve"> notes that the Government:</w:t>
      </w:r>
    </w:p>
    <w:p w14:paraId="79E55394" w14:textId="1722E7D8" w:rsidR="00CF7AC7" w:rsidRPr="00CF7AC7" w:rsidRDefault="00CF7AC7" w:rsidP="004C7421">
      <w:pPr>
        <w:spacing w:before="100"/>
        <w:ind w:left="1910" w:hanging="544"/>
        <w:rPr>
          <w:rFonts w:ascii="Calibri" w:hAnsi="Calibri"/>
          <w:color w:val="000000"/>
          <w:lang w:val="en-AU"/>
        </w:rPr>
      </w:pPr>
      <w:r w:rsidRPr="00F62FB2">
        <w:rPr>
          <w:rFonts w:ascii="Calibri" w:hAnsi="Calibri"/>
          <w:lang w:val="en-AU" w:eastAsia="en-US"/>
        </w:rPr>
        <w:t>(a)</w:t>
      </w:r>
      <w:r w:rsidRPr="00CF7AC7">
        <w:rPr>
          <w:rFonts w:ascii="Calibri" w:hAnsi="Calibri"/>
          <w:color w:val="000000"/>
          <w:lang w:val="en-AU"/>
        </w:rPr>
        <w:tab/>
        <w:t>has introduced legislation to improve the efficiency and effectiveness of the Integrity Commission Act</w:t>
      </w:r>
      <w:r w:rsidR="00A87FA2">
        <w:rPr>
          <w:rFonts w:ascii="Calibri" w:hAnsi="Calibri"/>
          <w:color w:val="000000"/>
          <w:lang w:val="en-AU"/>
        </w:rPr>
        <w:t>;</w:t>
      </w:r>
    </w:p>
    <w:p w14:paraId="6DC45018" w14:textId="2B11C447" w:rsidR="00CF7AC7" w:rsidRPr="00CF7AC7" w:rsidRDefault="00CF7AC7" w:rsidP="004C7421">
      <w:pPr>
        <w:spacing w:before="100"/>
        <w:ind w:left="1910" w:hanging="544"/>
        <w:rPr>
          <w:rFonts w:ascii="Calibri" w:hAnsi="Calibri"/>
          <w:color w:val="000000"/>
          <w:lang w:val="en-AU"/>
        </w:rPr>
      </w:pPr>
      <w:r w:rsidRPr="00F62FB2">
        <w:rPr>
          <w:rFonts w:ascii="Calibri" w:hAnsi="Calibri"/>
          <w:lang w:val="en-AU" w:eastAsia="en-US"/>
        </w:rPr>
        <w:t>(b)</w:t>
      </w:r>
      <w:r w:rsidRPr="00CF7AC7">
        <w:rPr>
          <w:rFonts w:ascii="Calibri" w:hAnsi="Calibri"/>
          <w:color w:val="000000"/>
          <w:lang w:val="en-AU"/>
        </w:rPr>
        <w:tab/>
        <w:t>is committed to a full review of the Financial Management Act and Public Sector Management Act to resolve any public service governance gaps that have been identified through this term;</w:t>
      </w:r>
    </w:p>
    <w:p w14:paraId="1F41A853" w14:textId="359FFD50" w:rsidR="00CF7AC7" w:rsidRPr="00641999" w:rsidRDefault="00CF7AC7" w:rsidP="004C7421">
      <w:pPr>
        <w:spacing w:before="100"/>
        <w:ind w:left="1910" w:hanging="544"/>
        <w:rPr>
          <w:rFonts w:ascii="Calibri" w:hAnsi="Calibri"/>
          <w:color w:val="000000"/>
          <w:spacing w:val="-2"/>
          <w:lang w:val="en-AU"/>
        </w:rPr>
      </w:pPr>
      <w:r w:rsidRPr="00641999">
        <w:rPr>
          <w:rFonts w:ascii="Calibri" w:hAnsi="Calibri"/>
          <w:spacing w:val="-2"/>
          <w:lang w:val="en-AU" w:eastAsia="en-US"/>
        </w:rPr>
        <w:t>(c)</w:t>
      </w:r>
      <w:r w:rsidRPr="00641999">
        <w:rPr>
          <w:rFonts w:ascii="Calibri" w:hAnsi="Calibri"/>
          <w:color w:val="000000"/>
          <w:spacing w:val="-2"/>
          <w:lang w:val="en-AU"/>
        </w:rPr>
        <w:tab/>
        <w:t>continues to foster and promote vigilance within the public service to identify, report and respond to projects which are failing to deliver on their stated aims within budget, or any suspected poor governance practices; and</w:t>
      </w:r>
    </w:p>
    <w:p w14:paraId="34E33884" w14:textId="703A35B7" w:rsidR="00CF7AC7" w:rsidRPr="00641999" w:rsidRDefault="00CF7AC7" w:rsidP="004C7421">
      <w:pPr>
        <w:spacing w:before="100"/>
        <w:ind w:left="1910" w:hanging="544"/>
        <w:rPr>
          <w:rFonts w:ascii="Calibri" w:hAnsi="Calibri"/>
          <w:color w:val="000000"/>
          <w:spacing w:val="-2"/>
          <w:lang w:val="en-AU"/>
        </w:rPr>
      </w:pPr>
      <w:r w:rsidRPr="00641999">
        <w:rPr>
          <w:rFonts w:ascii="Calibri" w:hAnsi="Calibri"/>
          <w:color w:val="000000"/>
          <w:spacing w:val="-2"/>
          <w:lang w:val="en-AU"/>
        </w:rPr>
        <w:t>(d)</w:t>
      </w:r>
      <w:r w:rsidRPr="00641999">
        <w:rPr>
          <w:rFonts w:ascii="Calibri" w:hAnsi="Calibri"/>
          <w:color w:val="000000"/>
          <w:spacing w:val="-2"/>
          <w:lang w:val="en-AU"/>
        </w:rPr>
        <w:tab/>
        <w:t>is ensuring ACTPS senior leadership are accountable for ensuring governance arrangements they are responsible for are working effectively</w:t>
      </w:r>
      <w:r w:rsidR="00A87FA2" w:rsidRPr="00641999">
        <w:rPr>
          <w:rFonts w:ascii="Calibri" w:hAnsi="Calibri"/>
          <w:color w:val="000000"/>
          <w:spacing w:val="-2"/>
          <w:lang w:val="en-AU"/>
        </w:rPr>
        <w:t>; and</w:t>
      </w:r>
    </w:p>
    <w:p w14:paraId="10DD61B9" w14:textId="3C9EDE1D" w:rsidR="00CF7AC7" w:rsidRPr="004C7421" w:rsidRDefault="00CF7AC7" w:rsidP="004C7421">
      <w:pPr>
        <w:pStyle w:val="DPSEntryIndents"/>
        <w:spacing w:before="100"/>
        <w:rPr>
          <w:color w:val="000000"/>
          <w:spacing w:val="-2"/>
        </w:rPr>
      </w:pPr>
      <w:r w:rsidRPr="004C7421">
        <w:rPr>
          <w:spacing w:val="-2"/>
          <w:lang w:eastAsia="en-US"/>
        </w:rPr>
        <w:t>calls</w:t>
      </w:r>
      <w:r w:rsidRPr="004C7421">
        <w:rPr>
          <w:color w:val="000000"/>
          <w:spacing w:val="-2"/>
        </w:rPr>
        <w:t xml:space="preserve"> on the Government to further promote vigilance within the public service and ensure governance arrangements are fit for purpose, updated and effective.</w:t>
      </w:r>
      <w:r w:rsidR="00F255CA" w:rsidRPr="004C7421">
        <w:rPr>
          <w:color w:val="000000"/>
          <w:spacing w:val="-2"/>
        </w:rPr>
        <w:t>”</w:t>
      </w:r>
      <w:r w:rsidRPr="004C7421">
        <w:rPr>
          <w:color w:val="000000"/>
          <w:spacing w:val="-2"/>
        </w:rPr>
        <w:t>.</w:t>
      </w:r>
    </w:p>
    <w:p w14:paraId="04C98920" w14:textId="7D36C69D" w:rsidR="004D64F9" w:rsidRDefault="004D64F9" w:rsidP="004C7421">
      <w:pPr>
        <w:spacing w:before="100"/>
        <w:ind w:left="720" w:right="-35"/>
        <w:rPr>
          <w:rFonts w:ascii="Calibri" w:hAnsi="Calibri"/>
          <w:color w:val="000000"/>
          <w:lang w:val="en-AU"/>
        </w:rPr>
      </w:pPr>
      <w:r w:rsidRPr="000B7409">
        <w:rPr>
          <w:rFonts w:ascii="Calibri" w:hAnsi="Calibri"/>
          <w:color w:val="000000"/>
          <w:lang w:val="en-AU"/>
        </w:rPr>
        <w:t xml:space="preserve">Debate </w:t>
      </w:r>
      <w:r w:rsidR="00041A57">
        <w:rPr>
          <w:rFonts w:ascii="Calibri" w:hAnsi="Calibri"/>
          <w:color w:val="000000"/>
          <w:lang w:val="en-AU"/>
        </w:rPr>
        <w:t>continued</w:t>
      </w:r>
      <w:r w:rsidRPr="000B7409">
        <w:rPr>
          <w:rFonts w:ascii="Calibri" w:hAnsi="Calibri"/>
          <w:color w:val="000000"/>
          <w:lang w:val="en-AU"/>
        </w:rPr>
        <w:t>.</w:t>
      </w:r>
    </w:p>
    <w:p w14:paraId="1774B15F" w14:textId="77777777" w:rsidR="00041A57" w:rsidRDefault="00041A57" w:rsidP="004C7421">
      <w:pPr>
        <w:spacing w:before="100"/>
        <w:ind w:left="720" w:right="-35"/>
        <w:rPr>
          <w:rFonts w:ascii="Calibri" w:hAnsi="Calibri"/>
          <w:color w:val="000000"/>
          <w:lang w:val="en-AU"/>
        </w:rPr>
      </w:pPr>
      <w:r>
        <w:rPr>
          <w:rFonts w:ascii="Calibri" w:hAnsi="Calibri"/>
          <w:color w:val="000000"/>
          <w:lang w:val="en-AU"/>
        </w:rPr>
        <w:t>Question—put.</w:t>
      </w:r>
    </w:p>
    <w:p w14:paraId="1808B650" w14:textId="2A89B1D9" w:rsidR="00041A57" w:rsidRDefault="00041A57" w:rsidP="004C7421">
      <w:pPr>
        <w:keepNext/>
        <w:spacing w:before="100"/>
        <w:ind w:left="720" w:right="-34"/>
        <w:rPr>
          <w:rFonts w:ascii="Calibri" w:hAnsi="Calibri"/>
          <w:color w:val="000000"/>
          <w:lang w:val="en-AU"/>
        </w:rPr>
      </w:pPr>
      <w:r>
        <w:rPr>
          <w:rFonts w:ascii="Calibri" w:hAnsi="Calibri"/>
          <w:color w:val="000000"/>
          <w:lang w:val="en-AU"/>
        </w:rPr>
        <w:t>The Assembly voted—</w:t>
      </w:r>
    </w:p>
    <w:tbl>
      <w:tblPr>
        <w:tblW w:w="8494" w:type="dxa"/>
        <w:tblInd w:w="720" w:type="dxa"/>
        <w:tblLayout w:type="fixed"/>
        <w:tblCellMar>
          <w:left w:w="0" w:type="dxa"/>
        </w:tblCellMar>
        <w:tblLook w:val="0000" w:firstRow="0" w:lastRow="0" w:firstColumn="0" w:lastColumn="0" w:noHBand="0" w:noVBand="0"/>
      </w:tblPr>
      <w:tblGrid>
        <w:gridCol w:w="2257"/>
        <w:gridCol w:w="2268"/>
        <w:gridCol w:w="567"/>
        <w:gridCol w:w="2041"/>
        <w:gridCol w:w="1361"/>
      </w:tblGrid>
      <w:tr w:rsidR="00041A57" w14:paraId="2F7C628B" w14:textId="77777777" w:rsidTr="009C3519">
        <w:tc>
          <w:tcPr>
            <w:tcW w:w="4525" w:type="dxa"/>
            <w:gridSpan w:val="2"/>
            <w:shd w:val="clear" w:color="auto" w:fill="auto"/>
          </w:tcPr>
          <w:p w14:paraId="1BDA388A" w14:textId="1A646150" w:rsidR="00041A57" w:rsidRDefault="00041A57" w:rsidP="00041A57">
            <w:pPr>
              <w:tabs>
                <w:tab w:val="center" w:pos="1968"/>
              </w:tabs>
              <w:spacing w:before="120"/>
              <w:ind w:right="-35"/>
              <w:rPr>
                <w:rFonts w:ascii="Calibri" w:hAnsi="Calibri"/>
                <w:color w:val="000000"/>
                <w:lang w:val="en-AU"/>
              </w:rPr>
            </w:pPr>
            <w:r>
              <w:rPr>
                <w:rFonts w:ascii="Calibri" w:hAnsi="Calibri"/>
                <w:color w:val="000000"/>
                <w:lang w:val="en-AU"/>
              </w:rPr>
              <w:tab/>
              <w:t>AYES, 16</w:t>
            </w:r>
          </w:p>
        </w:tc>
        <w:tc>
          <w:tcPr>
            <w:tcW w:w="567" w:type="dxa"/>
            <w:shd w:val="clear" w:color="auto" w:fill="auto"/>
          </w:tcPr>
          <w:p w14:paraId="1DB7BC29" w14:textId="77777777" w:rsidR="00041A57" w:rsidRDefault="00041A57" w:rsidP="00041A57">
            <w:pPr>
              <w:spacing w:before="120"/>
              <w:ind w:right="-35"/>
              <w:rPr>
                <w:rFonts w:ascii="Calibri" w:hAnsi="Calibri"/>
                <w:color w:val="000000"/>
                <w:lang w:val="en-AU"/>
              </w:rPr>
            </w:pPr>
          </w:p>
        </w:tc>
        <w:tc>
          <w:tcPr>
            <w:tcW w:w="3402" w:type="dxa"/>
            <w:gridSpan w:val="2"/>
            <w:shd w:val="clear" w:color="auto" w:fill="auto"/>
          </w:tcPr>
          <w:p w14:paraId="7BDB84A3" w14:textId="17F5F8B5" w:rsidR="00041A57" w:rsidRDefault="00041A57" w:rsidP="00041A57">
            <w:pPr>
              <w:tabs>
                <w:tab w:val="center" w:pos="1987"/>
              </w:tabs>
              <w:spacing w:before="120"/>
              <w:ind w:right="-35"/>
              <w:rPr>
                <w:rFonts w:ascii="Calibri" w:hAnsi="Calibri"/>
                <w:color w:val="000000"/>
                <w:lang w:val="en-AU"/>
              </w:rPr>
            </w:pPr>
            <w:r>
              <w:rPr>
                <w:rFonts w:ascii="Calibri" w:hAnsi="Calibri"/>
                <w:color w:val="000000"/>
                <w:lang w:val="en-AU"/>
              </w:rPr>
              <w:tab/>
              <w:t>NOES, 9</w:t>
            </w:r>
          </w:p>
        </w:tc>
      </w:tr>
      <w:tr w:rsidR="00041A57" w14:paraId="05BA43D4" w14:textId="77777777" w:rsidTr="009C3519">
        <w:trPr>
          <w:trHeight w:hRule="exact" w:val="312"/>
        </w:trPr>
        <w:tc>
          <w:tcPr>
            <w:tcW w:w="2257" w:type="dxa"/>
            <w:shd w:val="clear" w:color="auto" w:fill="auto"/>
          </w:tcPr>
          <w:p w14:paraId="51DD35C1" w14:textId="5252E589" w:rsidR="00041A57" w:rsidRDefault="00041A57" w:rsidP="00041A57">
            <w:pPr>
              <w:ind w:right="-35"/>
              <w:rPr>
                <w:rFonts w:ascii="Calibri" w:hAnsi="Calibri"/>
                <w:color w:val="000000"/>
                <w:lang w:val="en-AU"/>
              </w:rPr>
            </w:pPr>
            <w:r>
              <w:rPr>
                <w:rFonts w:ascii="Calibri" w:hAnsi="Calibri"/>
                <w:color w:val="000000"/>
                <w:lang w:val="en-AU"/>
              </w:rPr>
              <w:t>Andrew Barr</w:t>
            </w:r>
          </w:p>
        </w:tc>
        <w:tc>
          <w:tcPr>
            <w:tcW w:w="2268" w:type="dxa"/>
            <w:shd w:val="clear" w:color="auto" w:fill="auto"/>
          </w:tcPr>
          <w:p w14:paraId="2E63FCFD" w14:textId="21CE846E" w:rsidR="00041A57" w:rsidRDefault="00041A57" w:rsidP="00041A57">
            <w:pPr>
              <w:ind w:right="-35"/>
              <w:rPr>
                <w:rFonts w:ascii="Calibri" w:hAnsi="Calibri"/>
                <w:color w:val="000000"/>
                <w:lang w:val="en-AU"/>
              </w:rPr>
            </w:pPr>
            <w:r>
              <w:rPr>
                <w:rFonts w:ascii="Calibri" w:hAnsi="Calibri"/>
                <w:color w:val="000000"/>
                <w:lang w:val="en-AU"/>
              </w:rPr>
              <w:t>Suzanne Orr</w:t>
            </w:r>
          </w:p>
        </w:tc>
        <w:tc>
          <w:tcPr>
            <w:tcW w:w="567" w:type="dxa"/>
            <w:shd w:val="clear" w:color="auto" w:fill="auto"/>
          </w:tcPr>
          <w:p w14:paraId="4CED4183"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44F722FE" w14:textId="07F6ED9B" w:rsidR="00041A57" w:rsidRDefault="00041A57" w:rsidP="00041A57">
            <w:pPr>
              <w:ind w:right="-35"/>
              <w:rPr>
                <w:rFonts w:ascii="Calibri" w:hAnsi="Calibri"/>
                <w:color w:val="000000"/>
                <w:lang w:val="en-AU"/>
              </w:rPr>
            </w:pPr>
            <w:r>
              <w:rPr>
                <w:rFonts w:ascii="Calibri" w:hAnsi="Calibri"/>
                <w:color w:val="000000"/>
                <w:lang w:val="en-AU"/>
              </w:rPr>
              <w:t>Peter Cain</w:t>
            </w:r>
          </w:p>
        </w:tc>
        <w:tc>
          <w:tcPr>
            <w:tcW w:w="1361" w:type="dxa"/>
            <w:shd w:val="clear" w:color="auto" w:fill="auto"/>
          </w:tcPr>
          <w:p w14:paraId="58065366" w14:textId="77777777" w:rsidR="00041A57" w:rsidRDefault="00041A57" w:rsidP="00041A57">
            <w:pPr>
              <w:spacing w:before="120"/>
              <w:ind w:right="-35"/>
              <w:rPr>
                <w:rFonts w:ascii="Calibri" w:hAnsi="Calibri"/>
                <w:color w:val="000000"/>
                <w:lang w:val="en-AU"/>
              </w:rPr>
            </w:pPr>
          </w:p>
        </w:tc>
      </w:tr>
      <w:tr w:rsidR="00041A57" w14:paraId="0576831A" w14:textId="77777777" w:rsidTr="009C3519">
        <w:trPr>
          <w:trHeight w:hRule="exact" w:val="312"/>
        </w:trPr>
        <w:tc>
          <w:tcPr>
            <w:tcW w:w="2257" w:type="dxa"/>
            <w:shd w:val="clear" w:color="auto" w:fill="auto"/>
          </w:tcPr>
          <w:p w14:paraId="55C8D256" w14:textId="513C91EF" w:rsidR="00041A57" w:rsidRDefault="00041A57" w:rsidP="00041A57">
            <w:pPr>
              <w:ind w:right="-35"/>
              <w:rPr>
                <w:rFonts w:ascii="Calibri" w:hAnsi="Calibri"/>
                <w:color w:val="000000"/>
                <w:lang w:val="en-AU"/>
              </w:rPr>
            </w:pPr>
            <w:r>
              <w:rPr>
                <w:rFonts w:ascii="Calibri" w:hAnsi="Calibri"/>
                <w:color w:val="000000"/>
                <w:lang w:val="en-AU"/>
              </w:rPr>
              <w:t>Yvette Berry</w:t>
            </w:r>
          </w:p>
        </w:tc>
        <w:tc>
          <w:tcPr>
            <w:tcW w:w="2268" w:type="dxa"/>
            <w:shd w:val="clear" w:color="auto" w:fill="auto"/>
          </w:tcPr>
          <w:p w14:paraId="143A2189" w14:textId="0ABB3A71" w:rsidR="00041A57" w:rsidRDefault="00041A57" w:rsidP="00041A57">
            <w:pPr>
              <w:ind w:right="-35"/>
              <w:rPr>
                <w:rFonts w:ascii="Calibri" w:hAnsi="Calibri"/>
                <w:color w:val="000000"/>
                <w:lang w:val="en-AU"/>
              </w:rPr>
            </w:pPr>
            <w:r>
              <w:rPr>
                <w:rFonts w:ascii="Calibri" w:hAnsi="Calibri"/>
                <w:color w:val="000000"/>
                <w:lang w:val="en-AU"/>
              </w:rPr>
              <w:t>Marisa Paterson</w:t>
            </w:r>
          </w:p>
        </w:tc>
        <w:tc>
          <w:tcPr>
            <w:tcW w:w="567" w:type="dxa"/>
            <w:shd w:val="clear" w:color="auto" w:fill="auto"/>
          </w:tcPr>
          <w:p w14:paraId="152534A7"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4F61A0C4" w14:textId="270604FD" w:rsidR="00041A57" w:rsidRDefault="00041A57" w:rsidP="00041A57">
            <w:pPr>
              <w:ind w:right="-35"/>
              <w:rPr>
                <w:rFonts w:ascii="Calibri" w:hAnsi="Calibri"/>
                <w:color w:val="000000"/>
                <w:lang w:val="en-AU"/>
              </w:rPr>
            </w:pPr>
            <w:r>
              <w:rPr>
                <w:rFonts w:ascii="Calibri" w:hAnsi="Calibri"/>
                <w:color w:val="000000"/>
                <w:lang w:val="en-AU"/>
              </w:rPr>
              <w:t>Leanne Castley</w:t>
            </w:r>
          </w:p>
        </w:tc>
        <w:tc>
          <w:tcPr>
            <w:tcW w:w="1361" w:type="dxa"/>
            <w:shd w:val="clear" w:color="auto" w:fill="auto"/>
          </w:tcPr>
          <w:p w14:paraId="6F615E96" w14:textId="77777777" w:rsidR="00041A57" w:rsidRDefault="00041A57" w:rsidP="00041A57">
            <w:pPr>
              <w:spacing w:before="120"/>
              <w:ind w:right="-35"/>
              <w:rPr>
                <w:rFonts w:ascii="Calibri" w:hAnsi="Calibri"/>
                <w:color w:val="000000"/>
                <w:lang w:val="en-AU"/>
              </w:rPr>
            </w:pPr>
          </w:p>
        </w:tc>
      </w:tr>
      <w:tr w:rsidR="00041A57" w14:paraId="70B54681" w14:textId="77777777" w:rsidTr="009C3519">
        <w:trPr>
          <w:trHeight w:hRule="exact" w:val="312"/>
        </w:trPr>
        <w:tc>
          <w:tcPr>
            <w:tcW w:w="2257" w:type="dxa"/>
            <w:shd w:val="clear" w:color="auto" w:fill="auto"/>
          </w:tcPr>
          <w:p w14:paraId="2E90316C" w14:textId="1BB75D83" w:rsidR="00041A57" w:rsidRDefault="00041A57" w:rsidP="00041A57">
            <w:pPr>
              <w:ind w:right="-35"/>
              <w:rPr>
                <w:rFonts w:ascii="Calibri" w:hAnsi="Calibri"/>
                <w:color w:val="000000"/>
                <w:lang w:val="en-AU"/>
              </w:rPr>
            </w:pPr>
            <w:r>
              <w:rPr>
                <w:rFonts w:ascii="Calibri" w:hAnsi="Calibri"/>
                <w:color w:val="000000"/>
                <w:lang w:val="en-AU"/>
              </w:rPr>
              <w:t>Andrew Braddock</w:t>
            </w:r>
          </w:p>
        </w:tc>
        <w:tc>
          <w:tcPr>
            <w:tcW w:w="2268" w:type="dxa"/>
            <w:shd w:val="clear" w:color="auto" w:fill="auto"/>
          </w:tcPr>
          <w:p w14:paraId="6CC4BFD1" w14:textId="4BBDC9A8" w:rsidR="00041A57" w:rsidRDefault="00041A57" w:rsidP="00041A57">
            <w:pPr>
              <w:ind w:right="-35"/>
              <w:rPr>
                <w:rFonts w:ascii="Calibri" w:hAnsi="Calibri"/>
                <w:color w:val="000000"/>
                <w:lang w:val="en-AU"/>
              </w:rPr>
            </w:pPr>
            <w:r>
              <w:rPr>
                <w:rFonts w:ascii="Calibri" w:hAnsi="Calibri"/>
                <w:color w:val="000000"/>
                <w:lang w:val="en-AU"/>
              </w:rPr>
              <w:t>Michael Pettersson</w:t>
            </w:r>
          </w:p>
        </w:tc>
        <w:tc>
          <w:tcPr>
            <w:tcW w:w="567" w:type="dxa"/>
            <w:shd w:val="clear" w:color="auto" w:fill="auto"/>
          </w:tcPr>
          <w:p w14:paraId="52FFAEFC"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35E8CF57" w14:textId="2CFA21CC" w:rsidR="00041A57" w:rsidRDefault="00041A57" w:rsidP="00041A57">
            <w:pPr>
              <w:ind w:right="-35"/>
              <w:rPr>
                <w:rFonts w:ascii="Calibri" w:hAnsi="Calibri"/>
                <w:color w:val="000000"/>
                <w:lang w:val="en-AU"/>
              </w:rPr>
            </w:pPr>
            <w:r>
              <w:rPr>
                <w:rFonts w:ascii="Calibri" w:hAnsi="Calibri"/>
                <w:color w:val="000000"/>
                <w:lang w:val="en-AU"/>
              </w:rPr>
              <w:t>Ed Cocks</w:t>
            </w:r>
          </w:p>
        </w:tc>
        <w:tc>
          <w:tcPr>
            <w:tcW w:w="1361" w:type="dxa"/>
            <w:shd w:val="clear" w:color="auto" w:fill="auto"/>
          </w:tcPr>
          <w:p w14:paraId="3F67159F" w14:textId="77777777" w:rsidR="00041A57" w:rsidRDefault="00041A57" w:rsidP="00041A57">
            <w:pPr>
              <w:spacing w:before="120"/>
              <w:ind w:right="-35"/>
              <w:rPr>
                <w:rFonts w:ascii="Calibri" w:hAnsi="Calibri"/>
                <w:color w:val="000000"/>
                <w:lang w:val="en-AU"/>
              </w:rPr>
            </w:pPr>
          </w:p>
        </w:tc>
      </w:tr>
      <w:tr w:rsidR="00041A57" w14:paraId="2F33C38C" w14:textId="77777777" w:rsidTr="009C3519">
        <w:trPr>
          <w:trHeight w:hRule="exact" w:val="312"/>
        </w:trPr>
        <w:tc>
          <w:tcPr>
            <w:tcW w:w="2257" w:type="dxa"/>
            <w:shd w:val="clear" w:color="auto" w:fill="auto"/>
          </w:tcPr>
          <w:p w14:paraId="755EC995" w14:textId="648B1C57" w:rsidR="00041A57" w:rsidRDefault="00041A57" w:rsidP="00041A57">
            <w:pPr>
              <w:ind w:right="-35"/>
              <w:rPr>
                <w:rFonts w:ascii="Calibri" w:hAnsi="Calibri"/>
                <w:color w:val="000000"/>
                <w:lang w:val="en-AU"/>
              </w:rPr>
            </w:pPr>
            <w:r>
              <w:rPr>
                <w:rFonts w:ascii="Calibri" w:hAnsi="Calibri"/>
                <w:color w:val="000000"/>
                <w:lang w:val="en-AU"/>
              </w:rPr>
              <w:t>Joy Burch</w:t>
            </w:r>
          </w:p>
        </w:tc>
        <w:tc>
          <w:tcPr>
            <w:tcW w:w="2268" w:type="dxa"/>
            <w:shd w:val="clear" w:color="auto" w:fill="auto"/>
          </w:tcPr>
          <w:p w14:paraId="506849BF" w14:textId="4AEE0C3F" w:rsidR="00041A57" w:rsidRDefault="00041A57" w:rsidP="00041A57">
            <w:pPr>
              <w:ind w:right="-35"/>
              <w:rPr>
                <w:rFonts w:ascii="Calibri" w:hAnsi="Calibri"/>
                <w:color w:val="000000"/>
                <w:lang w:val="en-AU"/>
              </w:rPr>
            </w:pPr>
            <w:r>
              <w:rPr>
                <w:rFonts w:ascii="Calibri" w:hAnsi="Calibri"/>
                <w:color w:val="000000"/>
                <w:lang w:val="en-AU"/>
              </w:rPr>
              <w:t>Shane Rattenbury</w:t>
            </w:r>
          </w:p>
        </w:tc>
        <w:tc>
          <w:tcPr>
            <w:tcW w:w="567" w:type="dxa"/>
            <w:shd w:val="clear" w:color="auto" w:fill="auto"/>
          </w:tcPr>
          <w:p w14:paraId="4BE1FE86"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37EE483A" w14:textId="12EF5851" w:rsidR="00041A57" w:rsidRDefault="00041A57" w:rsidP="00041A57">
            <w:pPr>
              <w:ind w:right="-35"/>
              <w:rPr>
                <w:rFonts w:ascii="Calibri" w:hAnsi="Calibri"/>
                <w:color w:val="000000"/>
                <w:lang w:val="en-AU"/>
              </w:rPr>
            </w:pPr>
            <w:r>
              <w:rPr>
                <w:rFonts w:ascii="Calibri" w:hAnsi="Calibri"/>
                <w:color w:val="000000"/>
                <w:lang w:val="en-AU"/>
              </w:rPr>
              <w:t>Jeremy Hanson</w:t>
            </w:r>
          </w:p>
        </w:tc>
        <w:tc>
          <w:tcPr>
            <w:tcW w:w="1361" w:type="dxa"/>
            <w:shd w:val="clear" w:color="auto" w:fill="auto"/>
          </w:tcPr>
          <w:p w14:paraId="4B55A1FA" w14:textId="77777777" w:rsidR="00041A57" w:rsidRDefault="00041A57" w:rsidP="00041A57">
            <w:pPr>
              <w:spacing w:before="120"/>
              <w:ind w:right="-35"/>
              <w:rPr>
                <w:rFonts w:ascii="Calibri" w:hAnsi="Calibri"/>
                <w:color w:val="000000"/>
                <w:lang w:val="en-AU"/>
              </w:rPr>
            </w:pPr>
          </w:p>
        </w:tc>
      </w:tr>
      <w:tr w:rsidR="00041A57" w14:paraId="0275790C" w14:textId="77777777" w:rsidTr="009C3519">
        <w:trPr>
          <w:trHeight w:hRule="exact" w:val="312"/>
        </w:trPr>
        <w:tc>
          <w:tcPr>
            <w:tcW w:w="2257" w:type="dxa"/>
            <w:shd w:val="clear" w:color="auto" w:fill="auto"/>
          </w:tcPr>
          <w:p w14:paraId="6FE18F86" w14:textId="47CB26D2" w:rsidR="00041A57" w:rsidRDefault="00041A57" w:rsidP="00041A57">
            <w:pPr>
              <w:ind w:right="-35"/>
              <w:rPr>
                <w:rFonts w:ascii="Calibri" w:hAnsi="Calibri"/>
                <w:color w:val="000000"/>
                <w:lang w:val="en-AU"/>
              </w:rPr>
            </w:pPr>
            <w:r>
              <w:rPr>
                <w:rFonts w:ascii="Calibri" w:hAnsi="Calibri"/>
                <w:color w:val="000000"/>
                <w:lang w:val="en-AU"/>
              </w:rPr>
              <w:t>Tara Cheyne</w:t>
            </w:r>
          </w:p>
        </w:tc>
        <w:tc>
          <w:tcPr>
            <w:tcW w:w="2268" w:type="dxa"/>
            <w:shd w:val="clear" w:color="auto" w:fill="auto"/>
          </w:tcPr>
          <w:p w14:paraId="3B4BF454" w14:textId="29589B0A" w:rsidR="00041A57" w:rsidRDefault="00041A57" w:rsidP="00041A57">
            <w:pPr>
              <w:ind w:right="-35"/>
              <w:rPr>
                <w:rFonts w:ascii="Calibri" w:hAnsi="Calibri"/>
                <w:color w:val="000000"/>
                <w:lang w:val="en-AU"/>
              </w:rPr>
            </w:pPr>
            <w:r>
              <w:rPr>
                <w:rFonts w:ascii="Calibri" w:hAnsi="Calibri"/>
                <w:color w:val="000000"/>
                <w:lang w:val="en-AU"/>
              </w:rPr>
              <w:t>Chris Steel</w:t>
            </w:r>
          </w:p>
        </w:tc>
        <w:tc>
          <w:tcPr>
            <w:tcW w:w="567" w:type="dxa"/>
            <w:shd w:val="clear" w:color="auto" w:fill="auto"/>
          </w:tcPr>
          <w:p w14:paraId="6BE8FCAD"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64326198" w14:textId="031BE0AA" w:rsidR="00041A57" w:rsidRDefault="00041A57" w:rsidP="00041A57">
            <w:pPr>
              <w:ind w:right="-35"/>
              <w:rPr>
                <w:rFonts w:ascii="Calibri" w:hAnsi="Calibri"/>
                <w:color w:val="000000"/>
                <w:lang w:val="en-AU"/>
              </w:rPr>
            </w:pPr>
            <w:r>
              <w:rPr>
                <w:rFonts w:ascii="Calibri" w:hAnsi="Calibri"/>
                <w:color w:val="000000"/>
                <w:lang w:val="en-AU"/>
              </w:rPr>
              <w:t>Elizabeth Kikkert</w:t>
            </w:r>
          </w:p>
        </w:tc>
        <w:tc>
          <w:tcPr>
            <w:tcW w:w="1361" w:type="dxa"/>
            <w:shd w:val="clear" w:color="auto" w:fill="auto"/>
          </w:tcPr>
          <w:p w14:paraId="7BD70205" w14:textId="77777777" w:rsidR="00041A57" w:rsidRDefault="00041A57" w:rsidP="00041A57">
            <w:pPr>
              <w:spacing w:before="120"/>
              <w:ind w:right="-35"/>
              <w:rPr>
                <w:rFonts w:ascii="Calibri" w:hAnsi="Calibri"/>
                <w:color w:val="000000"/>
                <w:lang w:val="en-AU"/>
              </w:rPr>
            </w:pPr>
          </w:p>
        </w:tc>
      </w:tr>
      <w:tr w:rsidR="00041A57" w14:paraId="059844FF" w14:textId="77777777" w:rsidTr="009C3519">
        <w:trPr>
          <w:trHeight w:hRule="exact" w:val="312"/>
        </w:trPr>
        <w:tc>
          <w:tcPr>
            <w:tcW w:w="2257" w:type="dxa"/>
            <w:shd w:val="clear" w:color="auto" w:fill="auto"/>
          </w:tcPr>
          <w:p w14:paraId="6FB18551" w14:textId="579D31BC" w:rsidR="00041A57" w:rsidRDefault="00041A57" w:rsidP="00041A57">
            <w:pPr>
              <w:ind w:right="-35"/>
              <w:rPr>
                <w:rFonts w:ascii="Calibri" w:hAnsi="Calibri"/>
                <w:color w:val="000000"/>
                <w:lang w:val="en-AU"/>
              </w:rPr>
            </w:pPr>
            <w:r>
              <w:rPr>
                <w:rFonts w:ascii="Calibri" w:hAnsi="Calibri"/>
                <w:color w:val="000000"/>
                <w:lang w:val="en-AU"/>
              </w:rPr>
              <w:t>Jo Clay</w:t>
            </w:r>
          </w:p>
        </w:tc>
        <w:tc>
          <w:tcPr>
            <w:tcW w:w="2268" w:type="dxa"/>
            <w:shd w:val="clear" w:color="auto" w:fill="auto"/>
          </w:tcPr>
          <w:p w14:paraId="08546AF8" w14:textId="4740936B" w:rsidR="00041A57" w:rsidRDefault="00041A57" w:rsidP="00041A57">
            <w:pPr>
              <w:ind w:right="-35"/>
              <w:rPr>
                <w:rFonts w:ascii="Calibri" w:hAnsi="Calibri"/>
                <w:color w:val="000000"/>
                <w:lang w:val="en-AU"/>
              </w:rPr>
            </w:pPr>
            <w:r>
              <w:rPr>
                <w:rFonts w:ascii="Calibri" w:hAnsi="Calibri"/>
                <w:color w:val="000000"/>
                <w:lang w:val="en-AU"/>
              </w:rPr>
              <w:t>Rachel Stephen-Smith</w:t>
            </w:r>
          </w:p>
        </w:tc>
        <w:tc>
          <w:tcPr>
            <w:tcW w:w="567" w:type="dxa"/>
            <w:shd w:val="clear" w:color="auto" w:fill="auto"/>
          </w:tcPr>
          <w:p w14:paraId="29985DEC"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5557F88E" w14:textId="5F8686F0" w:rsidR="00041A57" w:rsidRDefault="00041A57" w:rsidP="00041A57">
            <w:pPr>
              <w:ind w:right="-35"/>
              <w:rPr>
                <w:rFonts w:ascii="Calibri" w:hAnsi="Calibri"/>
                <w:color w:val="000000"/>
                <w:lang w:val="en-AU"/>
              </w:rPr>
            </w:pPr>
            <w:r>
              <w:rPr>
                <w:rFonts w:ascii="Calibri" w:hAnsi="Calibri"/>
                <w:color w:val="000000"/>
                <w:lang w:val="en-AU"/>
              </w:rPr>
              <w:t>Nicole Lawder</w:t>
            </w:r>
          </w:p>
        </w:tc>
        <w:tc>
          <w:tcPr>
            <w:tcW w:w="1361" w:type="dxa"/>
            <w:shd w:val="clear" w:color="auto" w:fill="auto"/>
          </w:tcPr>
          <w:p w14:paraId="2AE746EA" w14:textId="77777777" w:rsidR="00041A57" w:rsidRDefault="00041A57" w:rsidP="00041A57">
            <w:pPr>
              <w:spacing w:before="120"/>
              <w:ind w:right="-35"/>
              <w:rPr>
                <w:rFonts w:ascii="Calibri" w:hAnsi="Calibri"/>
                <w:color w:val="000000"/>
                <w:lang w:val="en-AU"/>
              </w:rPr>
            </w:pPr>
          </w:p>
        </w:tc>
      </w:tr>
      <w:tr w:rsidR="00041A57" w14:paraId="2C2BDC40" w14:textId="77777777" w:rsidTr="009C3519">
        <w:trPr>
          <w:trHeight w:hRule="exact" w:val="312"/>
        </w:trPr>
        <w:tc>
          <w:tcPr>
            <w:tcW w:w="2257" w:type="dxa"/>
            <w:shd w:val="clear" w:color="auto" w:fill="auto"/>
          </w:tcPr>
          <w:p w14:paraId="3D9B90C7" w14:textId="4489E545" w:rsidR="00041A57" w:rsidRDefault="00041A57" w:rsidP="00041A57">
            <w:pPr>
              <w:ind w:right="-35"/>
              <w:rPr>
                <w:rFonts w:ascii="Calibri" w:hAnsi="Calibri"/>
                <w:color w:val="000000"/>
                <w:lang w:val="en-AU"/>
              </w:rPr>
            </w:pPr>
            <w:r>
              <w:rPr>
                <w:rFonts w:ascii="Calibri" w:hAnsi="Calibri"/>
                <w:color w:val="000000"/>
                <w:lang w:val="en-AU"/>
              </w:rPr>
              <w:t>Emma Davidson</w:t>
            </w:r>
          </w:p>
        </w:tc>
        <w:tc>
          <w:tcPr>
            <w:tcW w:w="2268" w:type="dxa"/>
            <w:shd w:val="clear" w:color="auto" w:fill="auto"/>
          </w:tcPr>
          <w:p w14:paraId="140DE73B" w14:textId="13643FF9" w:rsidR="00041A57" w:rsidRDefault="00041A57" w:rsidP="00041A57">
            <w:pPr>
              <w:ind w:right="-35"/>
              <w:rPr>
                <w:rFonts w:ascii="Calibri" w:hAnsi="Calibri"/>
                <w:color w:val="000000"/>
                <w:lang w:val="en-AU"/>
              </w:rPr>
            </w:pPr>
            <w:r>
              <w:rPr>
                <w:rFonts w:ascii="Calibri" w:hAnsi="Calibri"/>
                <w:color w:val="000000"/>
                <w:lang w:val="en-AU"/>
              </w:rPr>
              <w:t>Rebecca Vassarotti</w:t>
            </w:r>
          </w:p>
        </w:tc>
        <w:tc>
          <w:tcPr>
            <w:tcW w:w="567" w:type="dxa"/>
            <w:shd w:val="clear" w:color="auto" w:fill="auto"/>
          </w:tcPr>
          <w:p w14:paraId="746C7A1A"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00953614" w14:textId="46F39356" w:rsidR="00041A57" w:rsidRDefault="00041A57" w:rsidP="00041A57">
            <w:pPr>
              <w:ind w:right="-35"/>
              <w:rPr>
                <w:rFonts w:ascii="Calibri" w:hAnsi="Calibri"/>
                <w:color w:val="000000"/>
                <w:lang w:val="en-AU"/>
              </w:rPr>
            </w:pPr>
            <w:r>
              <w:rPr>
                <w:rFonts w:ascii="Calibri" w:hAnsi="Calibri"/>
                <w:color w:val="000000"/>
                <w:lang w:val="en-AU"/>
              </w:rPr>
              <w:t>Elizabeth Lee</w:t>
            </w:r>
          </w:p>
        </w:tc>
        <w:tc>
          <w:tcPr>
            <w:tcW w:w="1361" w:type="dxa"/>
            <w:shd w:val="clear" w:color="auto" w:fill="auto"/>
          </w:tcPr>
          <w:p w14:paraId="77484FD7" w14:textId="77777777" w:rsidR="00041A57" w:rsidRDefault="00041A57" w:rsidP="00041A57">
            <w:pPr>
              <w:spacing w:before="120"/>
              <w:ind w:right="-35"/>
              <w:rPr>
                <w:rFonts w:ascii="Calibri" w:hAnsi="Calibri"/>
                <w:color w:val="000000"/>
                <w:lang w:val="en-AU"/>
              </w:rPr>
            </w:pPr>
          </w:p>
        </w:tc>
      </w:tr>
      <w:tr w:rsidR="00041A57" w14:paraId="37D7FD66" w14:textId="77777777" w:rsidTr="009C3519">
        <w:trPr>
          <w:trHeight w:hRule="exact" w:val="312"/>
        </w:trPr>
        <w:tc>
          <w:tcPr>
            <w:tcW w:w="2257" w:type="dxa"/>
            <w:shd w:val="clear" w:color="auto" w:fill="auto"/>
          </w:tcPr>
          <w:p w14:paraId="29AD4CE8" w14:textId="792D5816" w:rsidR="00041A57" w:rsidRDefault="00041A57" w:rsidP="00041A57">
            <w:pPr>
              <w:ind w:right="-35"/>
              <w:rPr>
                <w:rFonts w:ascii="Calibri" w:hAnsi="Calibri"/>
                <w:color w:val="000000"/>
                <w:lang w:val="en-AU"/>
              </w:rPr>
            </w:pPr>
            <w:r>
              <w:rPr>
                <w:rFonts w:ascii="Calibri" w:hAnsi="Calibri"/>
                <w:color w:val="000000"/>
                <w:lang w:val="en-AU"/>
              </w:rPr>
              <w:t>Mick Gentleman</w:t>
            </w:r>
          </w:p>
        </w:tc>
        <w:tc>
          <w:tcPr>
            <w:tcW w:w="2268" w:type="dxa"/>
            <w:shd w:val="clear" w:color="auto" w:fill="auto"/>
          </w:tcPr>
          <w:p w14:paraId="786C28F5" w14:textId="77777777" w:rsidR="00041A57" w:rsidRDefault="00041A57" w:rsidP="00041A57">
            <w:pPr>
              <w:spacing w:before="120"/>
              <w:ind w:right="-35"/>
              <w:rPr>
                <w:rFonts w:ascii="Calibri" w:hAnsi="Calibri"/>
                <w:color w:val="000000"/>
                <w:lang w:val="en-AU"/>
              </w:rPr>
            </w:pPr>
          </w:p>
        </w:tc>
        <w:tc>
          <w:tcPr>
            <w:tcW w:w="567" w:type="dxa"/>
            <w:shd w:val="clear" w:color="auto" w:fill="auto"/>
          </w:tcPr>
          <w:p w14:paraId="686C468C"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1CDB5954" w14:textId="0968152D" w:rsidR="00041A57" w:rsidRDefault="00041A57" w:rsidP="00041A57">
            <w:pPr>
              <w:ind w:right="-35"/>
              <w:rPr>
                <w:rFonts w:ascii="Calibri" w:hAnsi="Calibri"/>
                <w:color w:val="000000"/>
                <w:lang w:val="en-AU"/>
              </w:rPr>
            </w:pPr>
            <w:r>
              <w:rPr>
                <w:rFonts w:ascii="Calibri" w:hAnsi="Calibri"/>
                <w:color w:val="000000"/>
                <w:lang w:val="en-AU"/>
              </w:rPr>
              <w:t>James Milligan</w:t>
            </w:r>
          </w:p>
        </w:tc>
        <w:tc>
          <w:tcPr>
            <w:tcW w:w="1361" w:type="dxa"/>
            <w:shd w:val="clear" w:color="auto" w:fill="auto"/>
          </w:tcPr>
          <w:p w14:paraId="25FEB7A5" w14:textId="77777777" w:rsidR="00041A57" w:rsidRDefault="00041A57" w:rsidP="00041A57">
            <w:pPr>
              <w:spacing w:before="120"/>
              <w:ind w:right="-35"/>
              <w:rPr>
                <w:rFonts w:ascii="Calibri" w:hAnsi="Calibri"/>
                <w:color w:val="000000"/>
                <w:lang w:val="en-AU"/>
              </w:rPr>
            </w:pPr>
          </w:p>
        </w:tc>
      </w:tr>
      <w:tr w:rsidR="00041A57" w14:paraId="32552626" w14:textId="77777777" w:rsidTr="009C3519">
        <w:trPr>
          <w:trHeight w:hRule="exact" w:val="312"/>
        </w:trPr>
        <w:tc>
          <w:tcPr>
            <w:tcW w:w="2257" w:type="dxa"/>
            <w:shd w:val="clear" w:color="auto" w:fill="auto"/>
          </w:tcPr>
          <w:p w14:paraId="7420FE54" w14:textId="5B9943E5" w:rsidR="00041A57" w:rsidRDefault="00041A57" w:rsidP="00041A57">
            <w:pPr>
              <w:ind w:right="-35"/>
              <w:rPr>
                <w:rFonts w:ascii="Calibri" w:hAnsi="Calibri"/>
                <w:color w:val="000000"/>
                <w:lang w:val="en-AU"/>
              </w:rPr>
            </w:pPr>
            <w:r>
              <w:rPr>
                <w:rFonts w:ascii="Calibri" w:hAnsi="Calibri"/>
                <w:color w:val="000000"/>
                <w:lang w:val="en-AU"/>
              </w:rPr>
              <w:t>Laura Nuttall</w:t>
            </w:r>
          </w:p>
        </w:tc>
        <w:tc>
          <w:tcPr>
            <w:tcW w:w="2268" w:type="dxa"/>
            <w:shd w:val="clear" w:color="auto" w:fill="auto"/>
          </w:tcPr>
          <w:p w14:paraId="30C9D946" w14:textId="77777777" w:rsidR="00041A57" w:rsidRDefault="00041A57" w:rsidP="00041A57">
            <w:pPr>
              <w:spacing w:before="120"/>
              <w:ind w:right="-35"/>
              <w:rPr>
                <w:rFonts w:ascii="Calibri" w:hAnsi="Calibri"/>
                <w:color w:val="000000"/>
                <w:lang w:val="en-AU"/>
              </w:rPr>
            </w:pPr>
          </w:p>
        </w:tc>
        <w:tc>
          <w:tcPr>
            <w:tcW w:w="567" w:type="dxa"/>
            <w:shd w:val="clear" w:color="auto" w:fill="auto"/>
          </w:tcPr>
          <w:p w14:paraId="4AA1168A" w14:textId="77777777" w:rsidR="00041A57" w:rsidRDefault="00041A57" w:rsidP="00041A57">
            <w:pPr>
              <w:spacing w:before="120"/>
              <w:ind w:right="-35"/>
              <w:rPr>
                <w:rFonts w:ascii="Calibri" w:hAnsi="Calibri"/>
                <w:color w:val="000000"/>
                <w:lang w:val="en-AU"/>
              </w:rPr>
            </w:pPr>
          </w:p>
        </w:tc>
        <w:tc>
          <w:tcPr>
            <w:tcW w:w="2041" w:type="dxa"/>
            <w:shd w:val="clear" w:color="auto" w:fill="auto"/>
          </w:tcPr>
          <w:p w14:paraId="20EA8A3F" w14:textId="79010509" w:rsidR="00041A57" w:rsidRDefault="00041A57" w:rsidP="00041A57">
            <w:pPr>
              <w:ind w:right="-35"/>
              <w:rPr>
                <w:rFonts w:ascii="Calibri" w:hAnsi="Calibri"/>
                <w:color w:val="000000"/>
                <w:lang w:val="en-AU"/>
              </w:rPr>
            </w:pPr>
            <w:r>
              <w:rPr>
                <w:rFonts w:ascii="Calibri" w:hAnsi="Calibri"/>
                <w:color w:val="000000"/>
                <w:lang w:val="en-AU"/>
              </w:rPr>
              <w:t>Mark Parton</w:t>
            </w:r>
          </w:p>
        </w:tc>
        <w:tc>
          <w:tcPr>
            <w:tcW w:w="1361" w:type="dxa"/>
            <w:shd w:val="clear" w:color="auto" w:fill="auto"/>
          </w:tcPr>
          <w:p w14:paraId="60C64BC1" w14:textId="77777777" w:rsidR="00041A57" w:rsidRDefault="00041A57" w:rsidP="00041A57">
            <w:pPr>
              <w:spacing w:before="120"/>
              <w:ind w:right="-35"/>
              <w:rPr>
                <w:rFonts w:ascii="Calibri" w:hAnsi="Calibri"/>
                <w:color w:val="000000"/>
                <w:lang w:val="en-AU"/>
              </w:rPr>
            </w:pPr>
          </w:p>
        </w:tc>
      </w:tr>
    </w:tbl>
    <w:p w14:paraId="0A62FFD0" w14:textId="77777777" w:rsidR="00041A57" w:rsidRDefault="00041A57" w:rsidP="00041A57">
      <w:pPr>
        <w:spacing w:before="120"/>
        <w:ind w:left="720" w:right="-35"/>
        <w:rPr>
          <w:rFonts w:ascii="Calibri" w:hAnsi="Calibri"/>
          <w:color w:val="000000"/>
          <w:lang w:val="en-AU"/>
        </w:rPr>
      </w:pPr>
      <w:r>
        <w:rPr>
          <w:rFonts w:ascii="Calibri" w:hAnsi="Calibri"/>
          <w:color w:val="000000"/>
          <w:lang w:val="en-AU"/>
        </w:rPr>
        <w:t>And so it was resolved in the affirmative.</w:t>
      </w:r>
    </w:p>
    <w:p w14:paraId="05BE6B63" w14:textId="4AEE4905" w:rsidR="00154DFB" w:rsidRDefault="004D64F9" w:rsidP="006A1153">
      <w:pPr>
        <w:keepNext/>
        <w:spacing w:before="120"/>
        <w:ind w:left="720"/>
        <w:rPr>
          <w:rFonts w:ascii="Calibri" w:hAnsi="Calibri"/>
          <w:color w:val="000000"/>
          <w:lang w:val="en-AU"/>
        </w:rPr>
      </w:pPr>
      <w:r w:rsidRPr="000B7409">
        <w:rPr>
          <w:rFonts w:ascii="Calibri" w:hAnsi="Calibri"/>
          <w:color w:val="000000"/>
          <w:lang w:val="en-AU"/>
        </w:rPr>
        <w:t>Question—</w:t>
      </w:r>
      <w:r w:rsidR="00154DFB">
        <w:rPr>
          <w:rFonts w:ascii="Calibri" w:hAnsi="Calibri"/>
          <w:color w:val="000000"/>
          <w:lang w:val="en-AU"/>
        </w:rPr>
        <w:t>That the motion, as amended, viz:</w:t>
      </w:r>
    </w:p>
    <w:p w14:paraId="2E3E6862" w14:textId="0306C570" w:rsidR="00154DFB" w:rsidRDefault="00F255CA" w:rsidP="004D64F9">
      <w:pPr>
        <w:spacing w:before="120"/>
        <w:ind w:left="720"/>
        <w:rPr>
          <w:rFonts w:ascii="Calibri" w:hAnsi="Calibri"/>
          <w:color w:val="000000"/>
          <w:lang w:val="en-AU"/>
        </w:rPr>
      </w:pPr>
      <w:r>
        <w:rPr>
          <w:rFonts w:ascii="Calibri" w:hAnsi="Calibri"/>
          <w:color w:val="000000"/>
          <w:lang w:val="en-AU"/>
        </w:rPr>
        <w:t>“</w:t>
      </w:r>
      <w:r w:rsidR="00154DFB">
        <w:rPr>
          <w:rFonts w:ascii="Calibri" w:hAnsi="Calibri"/>
          <w:color w:val="000000"/>
          <w:lang w:val="en-AU"/>
        </w:rPr>
        <w:t>That this Assembly:</w:t>
      </w:r>
    </w:p>
    <w:p w14:paraId="49848C01" w14:textId="7318FF04" w:rsidR="00154DFB" w:rsidRPr="00CF7AC7" w:rsidRDefault="00154DFB" w:rsidP="00154DFB">
      <w:pPr>
        <w:pStyle w:val="DPSEntryIndents"/>
        <w:numPr>
          <w:ilvl w:val="0"/>
          <w:numId w:val="0"/>
        </w:numPr>
        <w:ind w:left="1368" w:hanging="648"/>
        <w:rPr>
          <w:color w:val="000000"/>
        </w:rPr>
      </w:pPr>
      <w:r>
        <w:rPr>
          <w:color w:val="000000"/>
        </w:rPr>
        <w:t>(1)</w:t>
      </w:r>
      <w:r>
        <w:rPr>
          <w:color w:val="000000"/>
        </w:rPr>
        <w:tab/>
      </w:r>
      <w:r w:rsidRPr="00CF7AC7">
        <w:rPr>
          <w:color w:val="000000"/>
        </w:rPr>
        <w:t>n</w:t>
      </w:r>
      <w:r w:rsidRPr="00CF7AC7">
        <w:rPr>
          <w:lang w:eastAsia="en-US"/>
        </w:rPr>
        <w:t>otes</w:t>
      </w:r>
      <w:r w:rsidRPr="00CF7AC7">
        <w:rPr>
          <w:color w:val="000000"/>
        </w:rPr>
        <w:t>:</w:t>
      </w:r>
    </w:p>
    <w:p w14:paraId="7CFBDA2D" w14:textId="6FE5BCD0" w:rsidR="00154DFB" w:rsidRPr="00CF7AC7" w:rsidRDefault="00154DFB" w:rsidP="00154DFB">
      <w:pPr>
        <w:spacing w:before="120"/>
        <w:ind w:left="1910" w:hanging="544"/>
        <w:rPr>
          <w:rFonts w:ascii="Calibri" w:hAnsi="Calibri"/>
          <w:color w:val="000000"/>
          <w:lang w:val="en-AU"/>
        </w:rPr>
      </w:pPr>
      <w:r w:rsidRPr="00F62FB2">
        <w:rPr>
          <w:rFonts w:ascii="Calibri" w:hAnsi="Calibri"/>
          <w:lang w:val="en-AU" w:eastAsia="en-US"/>
        </w:rPr>
        <w:t>(a)</w:t>
      </w:r>
      <w:r w:rsidRPr="00CF7AC7">
        <w:rPr>
          <w:rFonts w:ascii="Calibri" w:hAnsi="Calibri"/>
          <w:color w:val="000000"/>
          <w:lang w:val="en-AU"/>
        </w:rPr>
        <w:tab/>
      </w:r>
      <w:r>
        <w:rPr>
          <w:rFonts w:ascii="Calibri" w:hAnsi="Calibri"/>
          <w:color w:val="000000"/>
          <w:lang w:val="en-AU"/>
        </w:rPr>
        <w:t>t</w:t>
      </w:r>
      <w:r w:rsidRPr="00CF7AC7">
        <w:rPr>
          <w:rFonts w:ascii="Calibri" w:hAnsi="Calibri"/>
          <w:color w:val="000000"/>
          <w:lang w:val="en-AU"/>
        </w:rPr>
        <w:t>he Government takes seriously any financial discrepancies, overspends or suspected misappropriation on projects and programs across the ACT Public Service</w:t>
      </w:r>
      <w:r w:rsidR="00DE1118">
        <w:rPr>
          <w:rFonts w:ascii="Calibri" w:hAnsi="Calibri"/>
          <w:color w:val="000000"/>
          <w:lang w:val="en-AU"/>
        </w:rPr>
        <w:t xml:space="preserve"> (ACTPS)</w:t>
      </w:r>
      <w:r>
        <w:rPr>
          <w:rFonts w:ascii="Calibri" w:hAnsi="Calibri"/>
          <w:color w:val="000000"/>
          <w:lang w:val="en-AU"/>
        </w:rPr>
        <w:t>;</w:t>
      </w:r>
      <w:r w:rsidRPr="00CF7AC7">
        <w:rPr>
          <w:rFonts w:ascii="Calibri" w:hAnsi="Calibri"/>
          <w:color w:val="000000"/>
          <w:lang w:val="en-AU"/>
        </w:rPr>
        <w:t xml:space="preserve"> </w:t>
      </w:r>
    </w:p>
    <w:p w14:paraId="64EDEC0D" w14:textId="77777777" w:rsidR="00154DFB" w:rsidRPr="00CF7AC7" w:rsidRDefault="00154DFB" w:rsidP="004C7421">
      <w:pPr>
        <w:spacing w:before="80"/>
        <w:ind w:left="1910" w:hanging="544"/>
        <w:rPr>
          <w:rFonts w:ascii="Calibri" w:hAnsi="Calibri"/>
          <w:color w:val="000000"/>
          <w:lang w:val="en-AU"/>
        </w:rPr>
      </w:pPr>
      <w:r w:rsidRPr="00F62FB2">
        <w:rPr>
          <w:rFonts w:ascii="Calibri" w:hAnsi="Calibri"/>
          <w:lang w:val="en-AU" w:eastAsia="en-US"/>
        </w:rPr>
        <w:lastRenderedPageBreak/>
        <w:t>(b)</w:t>
      </w:r>
      <w:r w:rsidRPr="00CF7AC7">
        <w:rPr>
          <w:rFonts w:ascii="Calibri" w:hAnsi="Calibri"/>
          <w:color w:val="000000"/>
          <w:lang w:val="en-AU"/>
        </w:rPr>
        <w:tab/>
      </w:r>
      <w:r>
        <w:rPr>
          <w:rFonts w:ascii="Calibri" w:hAnsi="Calibri"/>
          <w:color w:val="000000"/>
          <w:lang w:val="en-AU"/>
        </w:rPr>
        <w:t>m</w:t>
      </w:r>
      <w:r w:rsidRPr="00CF7AC7">
        <w:rPr>
          <w:rFonts w:ascii="Calibri" w:hAnsi="Calibri"/>
          <w:color w:val="000000"/>
          <w:lang w:val="en-AU"/>
        </w:rPr>
        <w:t>inisters and senior public servants have acted to refer matters where appropriate to bodies for investigation and report, including:</w:t>
      </w:r>
    </w:p>
    <w:p w14:paraId="1685AABB" w14:textId="139C0164"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w:t>
      </w:r>
      <w:r>
        <w:rPr>
          <w:rFonts w:ascii="Calibri" w:hAnsi="Calibri"/>
          <w:color w:val="000000"/>
          <w:lang w:val="en-AU"/>
        </w:rPr>
        <w:t>)</w:t>
      </w:r>
      <w:r w:rsidRPr="00CF7AC7">
        <w:rPr>
          <w:rFonts w:ascii="Calibri" w:hAnsi="Calibri"/>
          <w:color w:val="000000"/>
          <w:lang w:val="en-AU"/>
        </w:rPr>
        <w:tab/>
        <w:t>the Human Resources Information Management System</w:t>
      </w:r>
      <w:r w:rsidR="00324AD0">
        <w:rPr>
          <w:rFonts w:ascii="Calibri" w:hAnsi="Calibri"/>
          <w:color w:val="000000"/>
          <w:lang w:val="en-AU"/>
        </w:rPr>
        <w:t>;</w:t>
      </w:r>
    </w:p>
    <w:p w14:paraId="20F39304" w14:textId="77777777"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w:t>
      </w:r>
      <w:r>
        <w:rPr>
          <w:rFonts w:ascii="Calibri" w:hAnsi="Calibri"/>
          <w:color w:val="000000"/>
          <w:lang w:val="en-AU"/>
        </w:rPr>
        <w:t>)</w:t>
      </w:r>
      <w:r w:rsidRPr="00CF7AC7">
        <w:rPr>
          <w:rFonts w:ascii="Calibri" w:hAnsi="Calibri"/>
          <w:color w:val="000000"/>
          <w:lang w:val="en-AU"/>
        </w:rPr>
        <w:tab/>
        <w:t xml:space="preserve">the Digital Health Record; </w:t>
      </w:r>
    </w:p>
    <w:p w14:paraId="3B5BB414" w14:textId="77777777"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iii</w:t>
      </w:r>
      <w:r>
        <w:rPr>
          <w:rFonts w:ascii="Calibri" w:hAnsi="Calibri"/>
          <w:color w:val="000000"/>
          <w:lang w:val="en-AU"/>
        </w:rPr>
        <w:t>)</w:t>
      </w:r>
      <w:r w:rsidRPr="00CF7AC7">
        <w:rPr>
          <w:rFonts w:ascii="Calibri" w:hAnsi="Calibri"/>
          <w:color w:val="000000"/>
          <w:lang w:val="en-AU"/>
        </w:rPr>
        <w:tab/>
        <w:t xml:space="preserve">the Campbell Primary School Modernisation Project; and </w:t>
      </w:r>
    </w:p>
    <w:p w14:paraId="481842E0" w14:textId="60278629"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iv</w:t>
      </w:r>
      <w:r>
        <w:rPr>
          <w:rFonts w:ascii="Calibri" w:hAnsi="Calibri"/>
          <w:color w:val="000000"/>
          <w:lang w:val="en-AU"/>
        </w:rPr>
        <w:t>)</w:t>
      </w:r>
      <w:r w:rsidRPr="00CF7AC7">
        <w:rPr>
          <w:rFonts w:ascii="Calibri" w:hAnsi="Calibri"/>
          <w:color w:val="000000"/>
          <w:lang w:val="en-AU"/>
        </w:rPr>
        <w:tab/>
        <w:t>the handling of procurement at the Canberra Institute of Technology</w:t>
      </w:r>
      <w:r w:rsidR="00324AD0">
        <w:rPr>
          <w:rFonts w:ascii="Calibri" w:hAnsi="Calibri"/>
          <w:color w:val="000000"/>
          <w:lang w:val="en-AU"/>
        </w:rPr>
        <w:t xml:space="preserve"> (CIT)</w:t>
      </w:r>
      <w:r>
        <w:rPr>
          <w:rFonts w:ascii="Calibri" w:hAnsi="Calibri"/>
          <w:color w:val="000000"/>
          <w:lang w:val="en-AU"/>
        </w:rPr>
        <w:t>;</w:t>
      </w:r>
      <w:r w:rsidR="00A02320">
        <w:rPr>
          <w:rFonts w:ascii="Calibri" w:hAnsi="Calibri"/>
          <w:color w:val="000000"/>
          <w:lang w:val="en-AU"/>
        </w:rPr>
        <w:t xml:space="preserve"> and</w:t>
      </w:r>
    </w:p>
    <w:p w14:paraId="65CA5C85" w14:textId="4E34F9D5" w:rsidR="00154DFB" w:rsidRPr="00CF7AC7" w:rsidRDefault="00154DFB" w:rsidP="004C7421">
      <w:pPr>
        <w:spacing w:before="80"/>
        <w:ind w:left="1910" w:hanging="544"/>
        <w:rPr>
          <w:rFonts w:ascii="Calibri" w:hAnsi="Calibri"/>
          <w:color w:val="000000"/>
          <w:lang w:val="en-AU"/>
        </w:rPr>
      </w:pPr>
      <w:r w:rsidRPr="00F62FB2">
        <w:rPr>
          <w:rFonts w:ascii="Calibri" w:hAnsi="Calibri"/>
          <w:lang w:val="en-AU" w:eastAsia="en-US"/>
        </w:rPr>
        <w:t>(c)</w:t>
      </w:r>
      <w:r w:rsidRPr="00CF7AC7">
        <w:rPr>
          <w:rFonts w:ascii="Calibri" w:hAnsi="Calibri"/>
          <w:color w:val="000000"/>
          <w:lang w:val="en-AU"/>
        </w:rPr>
        <w:tab/>
      </w:r>
      <w:r>
        <w:rPr>
          <w:rFonts w:ascii="Calibri" w:hAnsi="Calibri"/>
          <w:color w:val="000000"/>
          <w:lang w:val="en-AU"/>
        </w:rPr>
        <w:t>t</w:t>
      </w:r>
      <w:r w:rsidRPr="00CF7AC7">
        <w:rPr>
          <w:rFonts w:ascii="Calibri" w:hAnsi="Calibri"/>
          <w:color w:val="000000"/>
          <w:lang w:val="en-AU"/>
        </w:rPr>
        <w:t>hat both the ACT Government Executive and senior officials in the ACT</w:t>
      </w:r>
      <w:r w:rsidR="00DE1118">
        <w:rPr>
          <w:rFonts w:ascii="Calibri" w:hAnsi="Calibri"/>
          <w:color w:val="000000"/>
          <w:lang w:val="en-AU"/>
        </w:rPr>
        <w:t>PS</w:t>
      </w:r>
      <w:r w:rsidRPr="00CF7AC7">
        <w:rPr>
          <w:rFonts w:ascii="Calibri" w:hAnsi="Calibri"/>
          <w:color w:val="000000"/>
          <w:lang w:val="en-AU"/>
        </w:rPr>
        <w:t xml:space="preserve"> are committed to learning from mistakes, and referring matters for investigation to the Public Sector Standards Commissioner, ACT Integrity Commission, or other oversight bodies as appropriate</w:t>
      </w:r>
      <w:r>
        <w:rPr>
          <w:rFonts w:ascii="Calibri" w:hAnsi="Calibri"/>
          <w:color w:val="000000"/>
          <w:lang w:val="en-AU"/>
        </w:rPr>
        <w:t>;</w:t>
      </w:r>
    </w:p>
    <w:p w14:paraId="1F4C4FA8" w14:textId="77777777" w:rsidR="00154DFB" w:rsidRPr="00154DFB" w:rsidRDefault="00154DFB" w:rsidP="004C7421">
      <w:pPr>
        <w:pStyle w:val="DPSEntryIndents"/>
        <w:numPr>
          <w:ilvl w:val="0"/>
          <w:numId w:val="37"/>
        </w:numPr>
        <w:spacing w:before="80"/>
        <w:rPr>
          <w:color w:val="000000"/>
        </w:rPr>
      </w:pPr>
      <w:r w:rsidRPr="00154DFB">
        <w:rPr>
          <w:color w:val="000000"/>
        </w:rPr>
        <w:t>f</w:t>
      </w:r>
      <w:r w:rsidRPr="00CF7AC7">
        <w:rPr>
          <w:lang w:eastAsia="en-US"/>
        </w:rPr>
        <w:t>urther</w:t>
      </w:r>
      <w:r w:rsidRPr="00154DFB">
        <w:rPr>
          <w:color w:val="000000"/>
        </w:rPr>
        <w:t xml:space="preserve"> notes:</w:t>
      </w:r>
    </w:p>
    <w:p w14:paraId="4D98A4BD" w14:textId="2A3B6623" w:rsidR="00154DFB" w:rsidRPr="00CF7AC7" w:rsidRDefault="00154DFB" w:rsidP="004C7421">
      <w:pPr>
        <w:spacing w:before="80"/>
        <w:ind w:left="1910" w:hanging="544"/>
        <w:rPr>
          <w:rFonts w:ascii="Calibri" w:hAnsi="Calibri"/>
          <w:color w:val="000000"/>
          <w:lang w:val="en-AU"/>
        </w:rPr>
      </w:pPr>
      <w:r w:rsidRPr="00F62FB2">
        <w:rPr>
          <w:rFonts w:ascii="Calibri" w:hAnsi="Calibri"/>
          <w:lang w:val="en-AU" w:eastAsia="en-US"/>
        </w:rPr>
        <w:t>(a)</w:t>
      </w:r>
      <w:r w:rsidRPr="00CF7AC7">
        <w:rPr>
          <w:rFonts w:ascii="Calibri" w:hAnsi="Calibri"/>
          <w:color w:val="000000"/>
          <w:lang w:val="en-AU"/>
        </w:rPr>
        <w:tab/>
      </w:r>
      <w:r>
        <w:rPr>
          <w:rFonts w:ascii="Calibri" w:hAnsi="Calibri"/>
          <w:color w:val="000000"/>
          <w:lang w:val="en-AU"/>
        </w:rPr>
        <w:t>s</w:t>
      </w:r>
      <w:r w:rsidRPr="00CF7AC7">
        <w:rPr>
          <w:rFonts w:ascii="Calibri" w:hAnsi="Calibri"/>
          <w:color w:val="000000"/>
          <w:lang w:val="en-AU"/>
        </w:rPr>
        <w:t>everal matters have been confirmed as being investigated or inquired into by the ACT Integrity Commission and the Auditor</w:t>
      </w:r>
      <w:r w:rsidR="00DE1118">
        <w:rPr>
          <w:rFonts w:ascii="Calibri" w:hAnsi="Calibri"/>
          <w:color w:val="000000"/>
          <w:lang w:val="en-AU"/>
        </w:rPr>
        <w:t>-</w:t>
      </w:r>
      <w:r w:rsidRPr="00CF7AC7">
        <w:rPr>
          <w:rFonts w:ascii="Calibri" w:hAnsi="Calibri"/>
          <w:color w:val="000000"/>
          <w:lang w:val="en-AU"/>
        </w:rPr>
        <w:t>General</w:t>
      </w:r>
      <w:r>
        <w:rPr>
          <w:rFonts w:ascii="Calibri" w:hAnsi="Calibri"/>
          <w:color w:val="000000"/>
          <w:lang w:val="en-AU"/>
        </w:rPr>
        <w:t>;</w:t>
      </w:r>
    </w:p>
    <w:p w14:paraId="73F4D627" w14:textId="77777777" w:rsidR="00154DFB" w:rsidRPr="00CF7AC7" w:rsidRDefault="00154DFB" w:rsidP="004C7421">
      <w:pPr>
        <w:spacing w:before="80"/>
        <w:ind w:left="1910" w:hanging="544"/>
        <w:rPr>
          <w:rFonts w:ascii="Calibri" w:hAnsi="Calibri"/>
          <w:color w:val="000000"/>
          <w:lang w:val="en-AU"/>
        </w:rPr>
      </w:pPr>
      <w:r w:rsidRPr="00F62FB2">
        <w:rPr>
          <w:rFonts w:ascii="Calibri" w:hAnsi="Calibri"/>
          <w:lang w:val="en-AU" w:eastAsia="en-US"/>
        </w:rPr>
        <w:t>(b)</w:t>
      </w:r>
      <w:r w:rsidRPr="00CF7AC7">
        <w:rPr>
          <w:rFonts w:ascii="Calibri" w:hAnsi="Calibri"/>
          <w:color w:val="000000"/>
          <w:lang w:val="en-AU"/>
        </w:rPr>
        <w:tab/>
      </w:r>
      <w:r>
        <w:rPr>
          <w:rFonts w:ascii="Calibri" w:hAnsi="Calibri"/>
          <w:color w:val="000000"/>
          <w:lang w:val="en-AU"/>
        </w:rPr>
        <w:t>i</w:t>
      </w:r>
      <w:r w:rsidRPr="00CF7AC7">
        <w:rPr>
          <w:rFonts w:ascii="Calibri" w:hAnsi="Calibri"/>
          <w:color w:val="000000"/>
          <w:lang w:val="en-AU"/>
        </w:rPr>
        <w:t>n addition to referrals, the Government has undertaken a range of measures to ensure appropriate use of public funds, including:</w:t>
      </w:r>
    </w:p>
    <w:p w14:paraId="12C87ACD" w14:textId="77777777"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w:t>
      </w:r>
      <w:r>
        <w:rPr>
          <w:rFonts w:ascii="Calibri" w:hAnsi="Calibri"/>
          <w:color w:val="000000"/>
          <w:lang w:val="en-AU"/>
        </w:rPr>
        <w:t>)</w:t>
      </w:r>
      <w:r w:rsidRPr="00CF7AC7">
        <w:rPr>
          <w:rFonts w:ascii="Calibri" w:hAnsi="Calibri"/>
          <w:color w:val="000000"/>
          <w:lang w:val="en-AU"/>
        </w:rPr>
        <w:tab/>
        <w:t>for the financial management issues related to the Digital Solutions Division and the Digital Health Record project, commissioning management-initiated reviews and audits, implementing internal administrative controls, and addressing review recommendations to ensure ongoing improvement in governance and management in the ACT Health Directorate;</w:t>
      </w:r>
    </w:p>
    <w:p w14:paraId="301BBBDA" w14:textId="77777777"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w:t>
      </w:r>
      <w:r>
        <w:rPr>
          <w:rFonts w:ascii="Calibri" w:hAnsi="Calibri"/>
          <w:color w:val="000000"/>
          <w:lang w:val="en-AU"/>
        </w:rPr>
        <w:t>)</w:t>
      </w:r>
      <w:r w:rsidRPr="00CF7AC7">
        <w:rPr>
          <w:rFonts w:ascii="Calibri" w:hAnsi="Calibri"/>
          <w:color w:val="000000"/>
          <w:lang w:val="en-AU"/>
        </w:rPr>
        <w:tab/>
      </w:r>
      <w:r>
        <w:rPr>
          <w:rFonts w:ascii="Calibri" w:hAnsi="Calibri"/>
          <w:color w:val="000000"/>
          <w:lang w:val="en-AU"/>
        </w:rPr>
        <w:t>f</w:t>
      </w:r>
      <w:r w:rsidRPr="00CF7AC7">
        <w:rPr>
          <w:rFonts w:ascii="Calibri" w:hAnsi="Calibri"/>
          <w:color w:val="000000"/>
          <w:lang w:val="en-AU"/>
        </w:rPr>
        <w:t>or the Human Resource Information Management System Program, implementing the findings of the Auditor-General and the Leeper review to completely transform the way ICT projects are managed and delivered;</w:t>
      </w:r>
    </w:p>
    <w:p w14:paraId="33026892" w14:textId="251E1045"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iii</w:t>
      </w:r>
      <w:r>
        <w:rPr>
          <w:rFonts w:ascii="Calibri" w:hAnsi="Calibri"/>
          <w:color w:val="000000"/>
          <w:lang w:val="en-AU"/>
        </w:rPr>
        <w:t>)</w:t>
      </w:r>
      <w:r w:rsidRPr="00CF7AC7">
        <w:rPr>
          <w:rFonts w:ascii="Calibri" w:hAnsi="Calibri"/>
          <w:color w:val="000000"/>
          <w:lang w:val="en-AU"/>
        </w:rPr>
        <w:tab/>
      </w:r>
      <w:r w:rsidRPr="00324AD0">
        <w:rPr>
          <w:rFonts w:ascii="Calibri" w:hAnsi="Calibri"/>
          <w:color w:val="000000"/>
          <w:spacing w:val="-2"/>
          <w:lang w:val="en-AU"/>
        </w:rPr>
        <w:t>prior to the Integrity Commission</w:t>
      </w:r>
      <w:r w:rsidR="00F255CA" w:rsidRPr="00324AD0">
        <w:rPr>
          <w:rFonts w:ascii="Calibri" w:hAnsi="Calibri"/>
          <w:color w:val="000000"/>
          <w:spacing w:val="-2"/>
          <w:lang w:val="en-AU"/>
        </w:rPr>
        <w:t>’</w:t>
      </w:r>
      <w:r w:rsidRPr="00324AD0">
        <w:rPr>
          <w:rFonts w:ascii="Calibri" w:hAnsi="Calibri"/>
          <w:color w:val="000000"/>
          <w:spacing w:val="-2"/>
          <w:lang w:val="en-AU"/>
        </w:rPr>
        <w:t xml:space="preserve">s report on the CIT, the Government strengthened procurement practices across government by introducing new legislation, the </w:t>
      </w:r>
      <w:r w:rsidRPr="00DE1118">
        <w:rPr>
          <w:rFonts w:ascii="Calibri" w:hAnsi="Calibri"/>
          <w:i/>
          <w:iCs/>
          <w:color w:val="000000"/>
          <w:spacing w:val="-2"/>
          <w:lang w:val="en-AU"/>
        </w:rPr>
        <w:t>Government Procurement Amendment Act 2024</w:t>
      </w:r>
      <w:r w:rsidRPr="00324AD0">
        <w:rPr>
          <w:rFonts w:ascii="Calibri" w:hAnsi="Calibri"/>
          <w:color w:val="000000"/>
          <w:spacing w:val="-2"/>
          <w:lang w:val="en-AU"/>
        </w:rPr>
        <w:t>, which enhances the role of the Government Procurement Board in providing oversight of high-risk procurements; and</w:t>
      </w:r>
    </w:p>
    <w:p w14:paraId="7E7282BA" w14:textId="77777777" w:rsidR="00154DFB" w:rsidRPr="00CF7AC7" w:rsidRDefault="00154DFB" w:rsidP="004C7421">
      <w:pPr>
        <w:spacing w:before="80"/>
        <w:ind w:left="2477" w:hanging="544"/>
        <w:rPr>
          <w:rFonts w:ascii="Calibri" w:hAnsi="Calibri"/>
          <w:color w:val="000000"/>
          <w:lang w:val="en-AU"/>
        </w:rPr>
      </w:pPr>
      <w:r>
        <w:rPr>
          <w:rFonts w:ascii="Calibri" w:hAnsi="Calibri"/>
          <w:color w:val="000000"/>
          <w:lang w:val="en-AU"/>
        </w:rPr>
        <w:t>(</w:t>
      </w:r>
      <w:r w:rsidRPr="00CF7AC7">
        <w:rPr>
          <w:rFonts w:ascii="Calibri" w:hAnsi="Calibri"/>
          <w:color w:val="000000"/>
          <w:lang w:val="en-AU"/>
        </w:rPr>
        <w:t>iv</w:t>
      </w:r>
      <w:r>
        <w:rPr>
          <w:rFonts w:ascii="Calibri" w:hAnsi="Calibri"/>
          <w:color w:val="000000"/>
          <w:lang w:val="en-AU"/>
        </w:rPr>
        <w:t>)</w:t>
      </w:r>
      <w:r w:rsidRPr="00CF7AC7">
        <w:rPr>
          <w:rFonts w:ascii="Calibri" w:hAnsi="Calibri"/>
          <w:color w:val="000000"/>
          <w:lang w:val="en-AU"/>
        </w:rPr>
        <w:tab/>
      </w:r>
      <w:r>
        <w:rPr>
          <w:rFonts w:ascii="Calibri" w:hAnsi="Calibri"/>
          <w:color w:val="000000"/>
          <w:lang w:val="en-AU"/>
        </w:rPr>
        <w:t>m</w:t>
      </w:r>
      <w:r w:rsidRPr="00CF7AC7">
        <w:rPr>
          <w:rFonts w:ascii="Calibri" w:hAnsi="Calibri"/>
          <w:color w:val="000000"/>
          <w:lang w:val="en-AU"/>
        </w:rPr>
        <w:t xml:space="preserve">andating enhanced procurement training for </w:t>
      </w:r>
      <w:r>
        <w:rPr>
          <w:rFonts w:ascii="Calibri" w:hAnsi="Calibri"/>
          <w:color w:val="000000"/>
          <w:lang w:val="en-AU"/>
        </w:rPr>
        <w:t>m</w:t>
      </w:r>
      <w:r w:rsidRPr="00CF7AC7">
        <w:rPr>
          <w:rFonts w:ascii="Calibri" w:hAnsi="Calibri"/>
          <w:color w:val="000000"/>
          <w:lang w:val="en-AU"/>
        </w:rPr>
        <w:t xml:space="preserve">inisters, senior public servants and key roles in </w:t>
      </w:r>
      <w:r>
        <w:rPr>
          <w:rFonts w:ascii="Calibri" w:hAnsi="Calibri"/>
          <w:color w:val="000000"/>
          <w:lang w:val="en-AU"/>
        </w:rPr>
        <w:t>m</w:t>
      </w:r>
      <w:r w:rsidRPr="00CF7AC7">
        <w:rPr>
          <w:rFonts w:ascii="Calibri" w:hAnsi="Calibri"/>
          <w:color w:val="000000"/>
          <w:lang w:val="en-AU"/>
        </w:rPr>
        <w:t>inisterial offices increasing awareness and skills</w:t>
      </w:r>
      <w:r>
        <w:rPr>
          <w:rFonts w:ascii="Calibri" w:hAnsi="Calibri"/>
          <w:color w:val="000000"/>
          <w:lang w:val="en-AU"/>
        </w:rPr>
        <w:t>;</w:t>
      </w:r>
      <w:r w:rsidRPr="00CF7AC7">
        <w:rPr>
          <w:rFonts w:ascii="Calibri" w:hAnsi="Calibri"/>
          <w:color w:val="000000"/>
          <w:lang w:val="en-AU"/>
        </w:rPr>
        <w:t xml:space="preserve"> </w:t>
      </w:r>
    </w:p>
    <w:p w14:paraId="0A0E03AC" w14:textId="77777777" w:rsidR="00154DFB" w:rsidRPr="00CF7AC7" w:rsidRDefault="00154DFB" w:rsidP="004C7421">
      <w:pPr>
        <w:pStyle w:val="DPSEntryIndents"/>
        <w:keepNext/>
        <w:spacing w:before="80"/>
        <w:ind w:left="1366" w:hanging="646"/>
        <w:rPr>
          <w:color w:val="000000"/>
        </w:rPr>
      </w:pPr>
      <w:r>
        <w:rPr>
          <w:color w:val="000000"/>
        </w:rPr>
        <w:t>f</w:t>
      </w:r>
      <w:r w:rsidRPr="00CF7AC7">
        <w:rPr>
          <w:lang w:eastAsia="en-US"/>
        </w:rPr>
        <w:t>urther</w:t>
      </w:r>
      <w:r w:rsidRPr="00CF7AC7">
        <w:rPr>
          <w:color w:val="000000"/>
        </w:rPr>
        <w:t xml:space="preserve"> notes that the Government:</w:t>
      </w:r>
    </w:p>
    <w:p w14:paraId="56AF98C0" w14:textId="31CF4432" w:rsidR="00154DFB" w:rsidRPr="00CF7AC7" w:rsidRDefault="00154DFB" w:rsidP="004C7421">
      <w:pPr>
        <w:spacing w:before="80"/>
        <w:ind w:left="1910" w:hanging="544"/>
        <w:rPr>
          <w:rFonts w:ascii="Calibri" w:hAnsi="Calibri"/>
          <w:color w:val="000000"/>
          <w:lang w:val="en-AU"/>
        </w:rPr>
      </w:pPr>
      <w:r w:rsidRPr="00F62FB2">
        <w:rPr>
          <w:rFonts w:ascii="Calibri" w:hAnsi="Calibri"/>
          <w:lang w:val="en-AU" w:eastAsia="en-US"/>
        </w:rPr>
        <w:t>(a)</w:t>
      </w:r>
      <w:r w:rsidRPr="00CF7AC7">
        <w:rPr>
          <w:rFonts w:ascii="Calibri" w:hAnsi="Calibri"/>
          <w:color w:val="000000"/>
          <w:lang w:val="en-AU"/>
        </w:rPr>
        <w:tab/>
        <w:t>has introduced legislation to improve the efficiency and effectiveness of the Integrity Commission Act</w:t>
      </w:r>
      <w:r>
        <w:rPr>
          <w:rFonts w:ascii="Calibri" w:hAnsi="Calibri"/>
          <w:color w:val="000000"/>
          <w:lang w:val="en-AU"/>
        </w:rPr>
        <w:t>;</w:t>
      </w:r>
      <w:r w:rsidR="00A02320">
        <w:rPr>
          <w:rFonts w:ascii="Calibri" w:hAnsi="Calibri"/>
          <w:color w:val="000000"/>
          <w:lang w:val="en-AU"/>
        </w:rPr>
        <w:t xml:space="preserve"> and</w:t>
      </w:r>
    </w:p>
    <w:p w14:paraId="2983F197" w14:textId="77777777" w:rsidR="00154DFB" w:rsidRPr="00CF7AC7" w:rsidRDefault="00154DFB" w:rsidP="004C7421">
      <w:pPr>
        <w:spacing w:before="80"/>
        <w:ind w:left="1910" w:hanging="544"/>
        <w:rPr>
          <w:rFonts w:ascii="Calibri" w:hAnsi="Calibri"/>
          <w:color w:val="000000"/>
          <w:lang w:val="en-AU"/>
        </w:rPr>
      </w:pPr>
      <w:r w:rsidRPr="00F62FB2">
        <w:rPr>
          <w:rFonts w:ascii="Calibri" w:hAnsi="Calibri"/>
          <w:lang w:val="en-AU" w:eastAsia="en-US"/>
        </w:rPr>
        <w:t>(b)</w:t>
      </w:r>
      <w:r w:rsidRPr="00CF7AC7">
        <w:rPr>
          <w:rFonts w:ascii="Calibri" w:hAnsi="Calibri"/>
          <w:color w:val="000000"/>
          <w:lang w:val="en-AU"/>
        </w:rPr>
        <w:tab/>
        <w:t>is committed to a full review of the Financial Management Act and Public Sector Management Act to resolve any public service governance gaps that have been identified through this term;</w:t>
      </w:r>
    </w:p>
    <w:p w14:paraId="45D800A7" w14:textId="77777777" w:rsidR="00154DFB" w:rsidRPr="00641999" w:rsidRDefault="00154DFB" w:rsidP="004C7421">
      <w:pPr>
        <w:spacing w:before="80"/>
        <w:ind w:left="1910" w:hanging="544"/>
        <w:rPr>
          <w:rFonts w:ascii="Calibri" w:hAnsi="Calibri"/>
          <w:color w:val="000000"/>
          <w:spacing w:val="-2"/>
          <w:lang w:val="en-AU"/>
        </w:rPr>
      </w:pPr>
      <w:r w:rsidRPr="00641999">
        <w:rPr>
          <w:rFonts w:ascii="Calibri" w:hAnsi="Calibri"/>
          <w:spacing w:val="-2"/>
          <w:lang w:val="en-AU" w:eastAsia="en-US"/>
        </w:rPr>
        <w:t>(c)</w:t>
      </w:r>
      <w:r w:rsidRPr="00641999">
        <w:rPr>
          <w:rFonts w:ascii="Calibri" w:hAnsi="Calibri"/>
          <w:color w:val="000000"/>
          <w:spacing w:val="-2"/>
          <w:lang w:val="en-AU"/>
        </w:rPr>
        <w:tab/>
        <w:t>continues to foster and promote vigilance within the public service to identify, report and respond to projects which are failing to deliver on their stated aims within budget, or any suspected poor governance practices; and</w:t>
      </w:r>
    </w:p>
    <w:p w14:paraId="0A9DD57F" w14:textId="77777777" w:rsidR="00154DFB" w:rsidRPr="00641999" w:rsidRDefault="00154DFB" w:rsidP="004C7421">
      <w:pPr>
        <w:spacing w:before="80"/>
        <w:ind w:left="1910" w:hanging="544"/>
        <w:rPr>
          <w:rFonts w:ascii="Calibri" w:hAnsi="Calibri"/>
          <w:color w:val="000000"/>
          <w:spacing w:val="-2"/>
          <w:lang w:val="en-AU"/>
        </w:rPr>
      </w:pPr>
      <w:r w:rsidRPr="00641999">
        <w:rPr>
          <w:rFonts w:ascii="Calibri" w:hAnsi="Calibri"/>
          <w:color w:val="000000"/>
          <w:spacing w:val="-2"/>
          <w:lang w:val="en-AU"/>
        </w:rPr>
        <w:lastRenderedPageBreak/>
        <w:t>(d)</w:t>
      </w:r>
      <w:r w:rsidRPr="00641999">
        <w:rPr>
          <w:rFonts w:ascii="Calibri" w:hAnsi="Calibri"/>
          <w:color w:val="000000"/>
          <w:spacing w:val="-2"/>
          <w:lang w:val="en-AU"/>
        </w:rPr>
        <w:tab/>
        <w:t>is ensuring ACTPS senior leadership are accountable for ensuring governance arrangements they are responsible for are working effectively; and</w:t>
      </w:r>
    </w:p>
    <w:p w14:paraId="64141FE8" w14:textId="3068B0A2" w:rsidR="00154DFB" w:rsidRPr="004C7421" w:rsidRDefault="00154DFB" w:rsidP="004C7421">
      <w:pPr>
        <w:pStyle w:val="DPSEntryIndents"/>
        <w:spacing w:before="80"/>
        <w:rPr>
          <w:color w:val="000000"/>
          <w:spacing w:val="-2"/>
        </w:rPr>
      </w:pPr>
      <w:r w:rsidRPr="004C7421">
        <w:rPr>
          <w:spacing w:val="-2"/>
          <w:lang w:eastAsia="en-US"/>
        </w:rPr>
        <w:t>calls</w:t>
      </w:r>
      <w:r w:rsidRPr="004C7421">
        <w:rPr>
          <w:color w:val="000000"/>
          <w:spacing w:val="-2"/>
        </w:rPr>
        <w:t xml:space="preserve"> on the Government to further promote vigilance within the public service and ensure governance arrangements are fit for purpose, updated and effective.</w:t>
      </w:r>
      <w:r w:rsidR="00F255CA" w:rsidRPr="004C7421">
        <w:rPr>
          <w:color w:val="000000"/>
          <w:spacing w:val="-2"/>
        </w:rPr>
        <w:t>”</w:t>
      </w:r>
      <w:r w:rsidRPr="004C7421">
        <w:rPr>
          <w:color w:val="000000"/>
          <w:spacing w:val="-2"/>
        </w:rPr>
        <w:t>—</w:t>
      </w:r>
    </w:p>
    <w:p w14:paraId="429E4320" w14:textId="68061C4C" w:rsidR="004D64F9" w:rsidRPr="000B7409" w:rsidRDefault="00154DFB" w:rsidP="004C7421">
      <w:pPr>
        <w:spacing w:before="80"/>
        <w:ind w:left="720"/>
        <w:rPr>
          <w:rFonts w:ascii="Calibri" w:hAnsi="Calibri"/>
          <w:color w:val="000000"/>
          <w:lang w:val="en-AU"/>
        </w:rPr>
      </w:pPr>
      <w:r>
        <w:rPr>
          <w:rFonts w:ascii="Calibri" w:hAnsi="Calibri"/>
          <w:color w:val="000000"/>
          <w:lang w:val="en-AU"/>
        </w:rPr>
        <w:t>be agreed to—</w:t>
      </w:r>
      <w:r w:rsidR="004D64F9" w:rsidRPr="000B7409">
        <w:rPr>
          <w:rFonts w:ascii="Calibri" w:hAnsi="Calibri"/>
          <w:color w:val="000000"/>
          <w:lang w:val="en-AU"/>
        </w:rPr>
        <w:t>put and passed.</w:t>
      </w:r>
    </w:p>
    <w:p w14:paraId="4C820CCC" w14:textId="02F1E430" w:rsidR="004D64F9" w:rsidRPr="000B7409" w:rsidRDefault="004D64F9" w:rsidP="004D64F9">
      <w:pPr>
        <w:keepNext/>
        <w:keepLines/>
        <w:tabs>
          <w:tab w:val="right" w:pos="339"/>
          <w:tab w:val="left" w:pos="720"/>
        </w:tabs>
        <w:spacing w:before="240"/>
        <w:ind w:left="720" w:hanging="720"/>
        <w:rPr>
          <w:rFonts w:ascii="Calibri" w:hAnsi="Calibri"/>
          <w:b/>
          <w:caps/>
          <w:lang w:val="en-AU"/>
        </w:rPr>
      </w:pPr>
      <w:r w:rsidRPr="000B7409">
        <w:rPr>
          <w:rFonts w:ascii="Calibri" w:hAnsi="Calibri"/>
          <w:b/>
          <w:lang w:val="en-AU"/>
        </w:rPr>
        <w:tab/>
      </w:r>
      <w:r w:rsidR="00847B5E">
        <w:rPr>
          <w:rFonts w:ascii="Calibri" w:hAnsi="Calibri"/>
          <w:b/>
          <w:bCs/>
          <w:lang w:val="en-AU"/>
        </w:rPr>
        <w:fldChar w:fldCharType="begin"/>
      </w:r>
      <w:r w:rsidR="00847B5E">
        <w:rPr>
          <w:rFonts w:ascii="Calibri" w:hAnsi="Calibri"/>
          <w:b/>
          <w:bCs/>
          <w:lang w:val="en-AU"/>
        </w:rPr>
        <w:instrText xml:space="preserve"> SEQ A \* MERGEFORMAT </w:instrText>
      </w:r>
      <w:r w:rsidR="00847B5E">
        <w:rPr>
          <w:rFonts w:ascii="Calibri" w:hAnsi="Calibri"/>
          <w:b/>
          <w:bCs/>
          <w:lang w:val="en-AU"/>
        </w:rPr>
        <w:fldChar w:fldCharType="separate"/>
      </w:r>
      <w:r w:rsidR="0020376F">
        <w:rPr>
          <w:rFonts w:ascii="Calibri" w:hAnsi="Calibri"/>
          <w:b/>
          <w:bCs/>
          <w:noProof/>
          <w:lang w:val="en-AU"/>
        </w:rPr>
        <w:t>17</w:t>
      </w:r>
      <w:r w:rsidR="00847B5E">
        <w:rPr>
          <w:rFonts w:ascii="Calibri" w:hAnsi="Calibri"/>
          <w:b/>
          <w:bCs/>
          <w:lang w:val="en-AU"/>
        </w:rPr>
        <w:fldChar w:fldCharType="end"/>
      </w:r>
      <w:r w:rsidRPr="000B7409">
        <w:rPr>
          <w:rFonts w:ascii="Calibri" w:hAnsi="Calibri"/>
          <w:b/>
          <w:lang w:val="en-AU"/>
        </w:rPr>
        <w:tab/>
      </w:r>
      <w:r w:rsidRPr="000B7409">
        <w:rPr>
          <w:rFonts w:ascii="Calibri" w:hAnsi="Calibri"/>
          <w:b/>
          <w:caps/>
          <w:lang w:val="en-AU"/>
        </w:rPr>
        <w:t xml:space="preserve">PAPERS PRESENTED ON </w:t>
      </w:r>
      <w:r>
        <w:rPr>
          <w:rFonts w:ascii="Calibri" w:hAnsi="Calibri"/>
          <w:b/>
          <w:caps/>
          <w:lang w:val="en-AU"/>
        </w:rPr>
        <w:t>28 August 2024</w:t>
      </w:r>
      <w:r w:rsidRPr="000B7409">
        <w:rPr>
          <w:rFonts w:ascii="Calibri" w:hAnsi="Calibri"/>
          <w:b/>
          <w:caps/>
          <w:lang w:val="en-AU"/>
        </w:rPr>
        <w:t>—PAPERS NOTED</w:t>
      </w:r>
    </w:p>
    <w:p w14:paraId="3431D6B6" w14:textId="7F78896D" w:rsidR="004D64F9" w:rsidRPr="000B7409" w:rsidRDefault="004D64F9" w:rsidP="004D64F9">
      <w:pPr>
        <w:spacing w:before="120"/>
        <w:ind w:left="720"/>
        <w:rPr>
          <w:rFonts w:ascii="Calibri" w:hAnsi="Calibri"/>
          <w:lang w:val="en-AU"/>
        </w:rPr>
      </w:pPr>
      <w:r w:rsidRPr="000B7409">
        <w:rPr>
          <w:rFonts w:ascii="Calibri" w:hAnsi="Calibri"/>
          <w:lang w:val="en-AU"/>
        </w:rPr>
        <w:t>The Speaker, pursuant to standing order 211A, proposed—That the papers presented under standing order 211 during the presentation of papers in the routine of business today be noted.</w:t>
      </w:r>
    </w:p>
    <w:p w14:paraId="5B056E20" w14:textId="77777777" w:rsidR="004D64F9" w:rsidRDefault="004D64F9" w:rsidP="004D64F9">
      <w:pPr>
        <w:spacing w:before="120"/>
        <w:ind w:left="720"/>
        <w:rPr>
          <w:rFonts w:ascii="Calibri" w:hAnsi="Calibri"/>
          <w:lang w:val="en-AU"/>
        </w:rPr>
      </w:pPr>
      <w:r w:rsidRPr="000B7409">
        <w:rPr>
          <w:rFonts w:ascii="Calibri" w:hAnsi="Calibri"/>
          <w:lang w:val="en-AU"/>
        </w:rPr>
        <w:t>Question—put and passed.</w:t>
      </w:r>
    </w:p>
    <w:p w14:paraId="699B41DF" w14:textId="68D1E00A" w:rsidR="00192FDF" w:rsidRPr="00192FDF" w:rsidRDefault="00192FDF" w:rsidP="00192FDF">
      <w:pPr>
        <w:keepNext/>
        <w:keepLines/>
        <w:tabs>
          <w:tab w:val="right" w:pos="339"/>
          <w:tab w:val="left" w:pos="720"/>
        </w:tabs>
        <w:spacing w:before="240"/>
        <w:ind w:left="720" w:hanging="720"/>
        <w:rPr>
          <w:rFonts w:ascii="Calibri" w:hAnsi="Calibri"/>
          <w:b/>
          <w:caps/>
          <w:lang w:val="en-AU"/>
        </w:rPr>
      </w:pPr>
      <w:r w:rsidRPr="00192FDF">
        <w:rPr>
          <w:rFonts w:ascii="Calibri" w:hAnsi="Calibri"/>
          <w:b/>
          <w:caps/>
          <w:lang w:val="en-AU"/>
        </w:rPr>
        <w:tab/>
      </w:r>
      <w:r w:rsidR="00F255CA">
        <w:rPr>
          <w:rFonts w:ascii="Calibri" w:hAnsi="Calibri"/>
          <w:b/>
          <w:bCs/>
          <w:caps/>
          <w:lang w:val="en-AU"/>
        </w:rPr>
        <w:fldChar w:fldCharType="begin"/>
      </w:r>
      <w:r w:rsidR="00F255CA">
        <w:rPr>
          <w:rFonts w:ascii="Calibri" w:hAnsi="Calibri"/>
          <w:b/>
          <w:bCs/>
          <w:caps/>
          <w:lang w:val="en-AU"/>
        </w:rPr>
        <w:instrText xml:space="preserve"> SEQ A \* MERGEFORMAT </w:instrText>
      </w:r>
      <w:r w:rsidR="00F255CA">
        <w:rPr>
          <w:rFonts w:ascii="Calibri" w:hAnsi="Calibri"/>
          <w:b/>
          <w:bCs/>
          <w:caps/>
          <w:lang w:val="en-AU"/>
        </w:rPr>
        <w:fldChar w:fldCharType="separate"/>
      </w:r>
      <w:r w:rsidR="0020376F">
        <w:rPr>
          <w:rFonts w:ascii="Calibri" w:hAnsi="Calibri"/>
          <w:b/>
          <w:bCs/>
          <w:caps/>
          <w:noProof/>
          <w:lang w:val="en-AU"/>
        </w:rPr>
        <w:t>18</w:t>
      </w:r>
      <w:r w:rsidR="00F255CA">
        <w:rPr>
          <w:rFonts w:ascii="Calibri" w:hAnsi="Calibri"/>
          <w:b/>
          <w:bCs/>
          <w:caps/>
          <w:lang w:val="en-AU"/>
        </w:rPr>
        <w:fldChar w:fldCharType="end"/>
      </w:r>
      <w:r w:rsidRPr="00192FDF">
        <w:rPr>
          <w:rFonts w:ascii="Calibri" w:hAnsi="Calibri"/>
          <w:b/>
          <w:caps/>
          <w:lang w:val="en-AU"/>
        </w:rPr>
        <w:tab/>
      </w:r>
      <w:r>
        <w:rPr>
          <w:rFonts w:ascii="Calibri" w:hAnsi="Calibri"/>
          <w:b/>
          <w:caps/>
          <w:lang w:val="en-AU"/>
        </w:rPr>
        <w:t>Human Rights (Healthy Environment) Amendment Bill 2023</w:t>
      </w:r>
    </w:p>
    <w:p w14:paraId="043AFC9B" w14:textId="4532A92A" w:rsidR="00192FDF" w:rsidRDefault="00192FDF" w:rsidP="00192FDF">
      <w:pPr>
        <w:spacing w:before="120"/>
        <w:ind w:left="720"/>
        <w:rPr>
          <w:rFonts w:ascii="Calibri" w:hAnsi="Calibri"/>
          <w:lang w:val="en-AU"/>
        </w:rPr>
      </w:pPr>
      <w:r w:rsidRPr="00192FDF">
        <w:rPr>
          <w:rFonts w:ascii="Calibri" w:hAnsi="Calibri"/>
          <w:lang w:val="en-AU"/>
        </w:rPr>
        <w:t xml:space="preserve">The Assembly, according to order, resumed consideration </w:t>
      </w:r>
      <w:r w:rsidR="001E3654">
        <w:rPr>
          <w:rFonts w:ascii="Calibri" w:hAnsi="Calibri"/>
          <w:lang w:val="en-AU"/>
        </w:rPr>
        <w:t>at the agreement</w:t>
      </w:r>
      <w:r w:rsidRPr="00192FDF">
        <w:rPr>
          <w:rFonts w:ascii="Calibri" w:hAnsi="Calibri"/>
          <w:lang w:val="en-AU"/>
        </w:rPr>
        <w:t xml:space="preserve"> in principle</w:t>
      </w:r>
      <w:r w:rsidR="001E3654">
        <w:rPr>
          <w:rFonts w:ascii="Calibri" w:hAnsi="Calibri"/>
          <w:lang w:val="en-AU"/>
        </w:rPr>
        <w:t xml:space="preserve"> stage (</w:t>
      </w:r>
      <w:r w:rsidR="001E3654">
        <w:rPr>
          <w:rFonts w:ascii="Calibri" w:hAnsi="Calibri"/>
          <w:i/>
          <w:iCs/>
          <w:lang w:val="en-AU"/>
        </w:rPr>
        <w:t xml:space="preserve">see </w:t>
      </w:r>
      <w:hyperlink w:anchor="entry10" w:history="1">
        <w:r w:rsidR="001E3654" w:rsidRPr="001E3654">
          <w:rPr>
            <w:rStyle w:val="Hyperlink"/>
            <w:rFonts w:ascii="Calibri" w:hAnsi="Calibri"/>
            <w:lang w:val="en-AU"/>
          </w:rPr>
          <w:t>entry 10</w:t>
        </w:r>
      </w:hyperlink>
      <w:r w:rsidR="001E3654">
        <w:rPr>
          <w:rFonts w:ascii="Calibri" w:hAnsi="Calibri"/>
          <w:lang w:val="en-AU"/>
        </w:rPr>
        <w:t>)</w:t>
      </w:r>
      <w:r w:rsidRPr="00192FDF">
        <w:rPr>
          <w:rFonts w:ascii="Calibri" w:hAnsi="Calibri"/>
          <w:lang w:val="en-AU"/>
        </w:rPr>
        <w:t>—</w:t>
      </w:r>
    </w:p>
    <w:p w14:paraId="59CE88A2" w14:textId="14F7AF01" w:rsidR="001E3654" w:rsidRDefault="001E3654" w:rsidP="00192FDF">
      <w:pPr>
        <w:spacing w:before="120"/>
        <w:ind w:left="720"/>
        <w:rPr>
          <w:rFonts w:ascii="Calibri" w:hAnsi="Calibri"/>
          <w:lang w:val="en-AU"/>
        </w:rPr>
      </w:pPr>
      <w:r>
        <w:rPr>
          <w:rFonts w:ascii="Calibri" w:hAnsi="Calibri"/>
          <w:lang w:val="en-AU"/>
        </w:rPr>
        <w:t>Debate resumed.</w:t>
      </w:r>
    </w:p>
    <w:p w14:paraId="5D9735DF" w14:textId="77777777" w:rsidR="001E3654" w:rsidRPr="009C5667" w:rsidRDefault="001E3654" w:rsidP="001E3654">
      <w:pPr>
        <w:spacing w:before="120"/>
        <w:ind w:left="720"/>
        <w:rPr>
          <w:rFonts w:ascii="Calibri" w:hAnsi="Calibri"/>
          <w:iCs/>
          <w:lang w:val="en-AU"/>
        </w:rPr>
      </w:pPr>
      <w:r w:rsidRPr="009C5667">
        <w:rPr>
          <w:rFonts w:ascii="Calibri" w:hAnsi="Calibri"/>
          <w:iCs/>
          <w:lang w:val="en-AU"/>
        </w:rPr>
        <w:t>Question—That this Bill be agreed to in principle—put and passed.</w:t>
      </w:r>
    </w:p>
    <w:p w14:paraId="65F96BB2" w14:textId="77777777" w:rsidR="00192FDF" w:rsidRPr="00192FDF" w:rsidRDefault="00192FDF" w:rsidP="00192FDF">
      <w:pPr>
        <w:pBdr>
          <w:bottom w:val="thinThickLargeGap" w:sz="18" w:space="1" w:color="auto"/>
        </w:pBdr>
        <w:ind w:left="3427" w:right="3658"/>
        <w:jc w:val="center"/>
        <w:rPr>
          <w:rFonts w:ascii="Calibri" w:hAnsi="Calibri"/>
          <w:i/>
          <w:iCs/>
          <w:lang w:val="en-AU"/>
        </w:rPr>
      </w:pPr>
    </w:p>
    <w:p w14:paraId="2CA57E02" w14:textId="77777777" w:rsidR="00192FDF" w:rsidRPr="00192FDF" w:rsidRDefault="00192FDF" w:rsidP="00192FDF">
      <w:pPr>
        <w:tabs>
          <w:tab w:val="left" w:pos="1197"/>
          <w:tab w:val="left" w:pos="1767"/>
        </w:tabs>
        <w:spacing w:before="120"/>
        <w:jc w:val="center"/>
        <w:rPr>
          <w:rFonts w:ascii="Calibri" w:hAnsi="Calibri"/>
          <w:i/>
          <w:iCs/>
          <w:lang w:val="en-AU"/>
        </w:rPr>
      </w:pPr>
      <w:r w:rsidRPr="00192FDF">
        <w:rPr>
          <w:rFonts w:ascii="Calibri" w:hAnsi="Calibri"/>
          <w:i/>
          <w:iCs/>
          <w:lang w:val="en-AU"/>
        </w:rPr>
        <w:t>Detail Stage</w:t>
      </w:r>
    </w:p>
    <w:p w14:paraId="63DFCD3E" w14:textId="7F5A07DC" w:rsidR="00192FDF" w:rsidRPr="00192FDF" w:rsidRDefault="00192FDF" w:rsidP="00192FDF">
      <w:pPr>
        <w:spacing w:before="120"/>
        <w:ind w:left="720"/>
        <w:rPr>
          <w:rFonts w:ascii="Calibri" w:hAnsi="Calibri"/>
          <w:lang w:val="en-AU"/>
        </w:rPr>
      </w:pPr>
      <w:r w:rsidRPr="00192FDF">
        <w:rPr>
          <w:rFonts w:ascii="Calibri" w:hAnsi="Calibri"/>
          <w:lang w:val="en-AU"/>
        </w:rPr>
        <w:t>Clause</w:t>
      </w:r>
      <w:r w:rsidR="001E3654">
        <w:rPr>
          <w:rFonts w:ascii="Calibri" w:hAnsi="Calibri"/>
          <w:lang w:val="en-AU"/>
        </w:rPr>
        <w:t>s</w:t>
      </w:r>
      <w:r w:rsidRPr="00192FDF">
        <w:rPr>
          <w:rFonts w:ascii="Calibri" w:hAnsi="Calibri"/>
          <w:lang w:val="en-AU"/>
        </w:rPr>
        <w:t xml:space="preserve"> 1</w:t>
      </w:r>
      <w:r w:rsidR="001E3654">
        <w:rPr>
          <w:rFonts w:ascii="Calibri" w:hAnsi="Calibri"/>
          <w:lang w:val="en-AU"/>
        </w:rPr>
        <w:t xml:space="preserve"> to 6</w:t>
      </w:r>
      <w:r w:rsidR="00EA6DAC">
        <w:rPr>
          <w:rFonts w:ascii="Calibri" w:hAnsi="Calibri"/>
          <w:lang w:val="en-AU"/>
        </w:rPr>
        <w:t>, by leave, taken together and</w:t>
      </w:r>
      <w:r w:rsidR="000E07AD">
        <w:rPr>
          <w:rFonts w:ascii="Calibri" w:hAnsi="Calibri"/>
          <w:lang w:val="en-AU"/>
        </w:rPr>
        <w:t xml:space="preserve"> </w:t>
      </w:r>
      <w:r w:rsidR="001E3654">
        <w:rPr>
          <w:rFonts w:ascii="Calibri" w:hAnsi="Calibri"/>
          <w:lang w:val="en-AU"/>
        </w:rPr>
        <w:t>agreed to.</w:t>
      </w:r>
    </w:p>
    <w:p w14:paraId="1BE9B833" w14:textId="5C474B2B" w:rsidR="001E3654" w:rsidRDefault="001E3654" w:rsidP="004D64F9">
      <w:pPr>
        <w:spacing w:before="120"/>
        <w:ind w:left="720"/>
        <w:rPr>
          <w:rFonts w:ascii="Calibri" w:hAnsi="Calibri"/>
          <w:lang w:val="en-AU"/>
        </w:rPr>
      </w:pPr>
      <w:r w:rsidRPr="000E07AD">
        <w:rPr>
          <w:rFonts w:ascii="Calibri" w:hAnsi="Calibri"/>
          <w:lang w:val="en-AU"/>
        </w:rPr>
        <w:t>Clause 7 agreed to, after debate.</w:t>
      </w:r>
    </w:p>
    <w:p w14:paraId="5B36B00B" w14:textId="0698B4EF" w:rsidR="001E3654" w:rsidRDefault="001E3654" w:rsidP="004D64F9">
      <w:pPr>
        <w:spacing w:before="120"/>
        <w:ind w:left="720"/>
        <w:rPr>
          <w:rFonts w:ascii="Calibri" w:hAnsi="Calibri"/>
          <w:i/>
          <w:iCs/>
          <w:lang w:val="en-AU"/>
        </w:rPr>
      </w:pPr>
      <w:r>
        <w:rPr>
          <w:rFonts w:ascii="Calibri" w:hAnsi="Calibri"/>
          <w:i/>
          <w:iCs/>
          <w:lang w:val="en-AU"/>
        </w:rPr>
        <w:t>New clause—</w:t>
      </w:r>
    </w:p>
    <w:p w14:paraId="63848163" w14:textId="67C443A7" w:rsidR="001E3654" w:rsidRDefault="000931AA" w:rsidP="004D64F9">
      <w:pPr>
        <w:spacing w:before="120"/>
        <w:ind w:left="720"/>
        <w:rPr>
          <w:rFonts w:ascii="Calibri" w:hAnsi="Calibri"/>
          <w:lang w:val="en-AU"/>
        </w:rPr>
      </w:pPr>
      <w:r>
        <w:rPr>
          <w:rFonts w:ascii="Calibri" w:hAnsi="Calibri"/>
          <w:lang w:val="en-AU"/>
        </w:rPr>
        <w:t>On the motion of Ms Cheyne (Minister for Human Rights), new clause 7A (her amendment No 1—</w:t>
      </w:r>
      <w:r>
        <w:rPr>
          <w:rFonts w:ascii="Calibri" w:hAnsi="Calibri"/>
          <w:i/>
          <w:iCs/>
          <w:lang w:val="en-AU"/>
        </w:rPr>
        <w:t xml:space="preserve">see </w:t>
      </w:r>
      <w:hyperlink w:anchor="Schedule3" w:history="1">
        <w:r w:rsidRPr="00C90AA1">
          <w:rPr>
            <w:rStyle w:val="Hyperlink"/>
            <w:rFonts w:ascii="Calibri" w:hAnsi="Calibri"/>
            <w:lang w:val="en-AU"/>
          </w:rPr>
          <w:t>Schedule 3</w:t>
        </w:r>
      </w:hyperlink>
      <w:r>
        <w:rPr>
          <w:rFonts w:ascii="Calibri" w:hAnsi="Calibri"/>
          <w:lang w:val="en-AU"/>
        </w:rPr>
        <w:t>) was inserted in the Bill</w:t>
      </w:r>
      <w:r w:rsidRPr="000E07AD">
        <w:rPr>
          <w:rFonts w:ascii="Calibri" w:hAnsi="Calibri"/>
          <w:lang w:val="en-AU"/>
        </w:rPr>
        <w:t>.</w:t>
      </w:r>
    </w:p>
    <w:p w14:paraId="5866B322" w14:textId="2DE930A2" w:rsidR="000931AA" w:rsidRDefault="000931AA" w:rsidP="000931AA">
      <w:pPr>
        <w:spacing w:before="100"/>
        <w:ind w:left="720"/>
        <w:rPr>
          <w:rFonts w:ascii="Calibri" w:hAnsi="Calibri"/>
          <w:iCs/>
          <w:lang w:val="en-AU"/>
        </w:rPr>
      </w:pPr>
      <w:r>
        <w:rPr>
          <w:rFonts w:ascii="Calibri" w:hAnsi="Calibri"/>
          <w:i/>
          <w:lang w:val="en-AU"/>
        </w:rPr>
        <w:t xml:space="preserve">Paper: </w:t>
      </w:r>
      <w:r>
        <w:rPr>
          <w:rFonts w:ascii="Calibri" w:hAnsi="Calibri"/>
          <w:iCs/>
          <w:lang w:val="en-AU"/>
        </w:rPr>
        <w:t>Ms Cheyne presented a supplementary explanatory statement to the Government amendments.</w:t>
      </w:r>
    </w:p>
    <w:p w14:paraId="2B855D25" w14:textId="2FB10367" w:rsidR="000931AA" w:rsidRDefault="000931AA" w:rsidP="004D64F9">
      <w:pPr>
        <w:spacing w:before="120"/>
        <w:ind w:left="720"/>
        <w:rPr>
          <w:rFonts w:ascii="Calibri" w:hAnsi="Calibri"/>
          <w:lang w:val="en-AU"/>
        </w:rPr>
      </w:pPr>
      <w:r>
        <w:rPr>
          <w:rFonts w:ascii="Calibri" w:hAnsi="Calibri"/>
          <w:lang w:val="en-AU"/>
        </w:rPr>
        <w:t>Clause 8—</w:t>
      </w:r>
    </w:p>
    <w:p w14:paraId="5EB10BAA" w14:textId="3E219775" w:rsidR="000931AA" w:rsidRDefault="000931AA" w:rsidP="004D64F9">
      <w:pPr>
        <w:spacing w:before="120"/>
        <w:ind w:left="720"/>
        <w:rPr>
          <w:rFonts w:ascii="Calibri" w:hAnsi="Calibri"/>
          <w:lang w:val="en-AU"/>
        </w:rPr>
      </w:pPr>
      <w:r>
        <w:rPr>
          <w:rFonts w:ascii="Calibri" w:hAnsi="Calibri"/>
          <w:lang w:val="en-AU"/>
        </w:rPr>
        <w:t>Mr Cain moved his amendment No 2 (</w:t>
      </w:r>
      <w:r>
        <w:rPr>
          <w:rFonts w:ascii="Calibri" w:hAnsi="Calibri"/>
          <w:i/>
          <w:iCs/>
          <w:lang w:val="en-AU"/>
        </w:rPr>
        <w:t xml:space="preserve">see </w:t>
      </w:r>
      <w:hyperlink w:anchor="Schedule4" w:history="1">
        <w:r w:rsidRPr="00C90AA1">
          <w:rPr>
            <w:rStyle w:val="Hyperlink"/>
            <w:rFonts w:ascii="Calibri" w:hAnsi="Calibri"/>
            <w:lang w:val="en-AU"/>
          </w:rPr>
          <w:t>Schedule 4</w:t>
        </w:r>
      </w:hyperlink>
      <w:r>
        <w:rPr>
          <w:rFonts w:ascii="Calibri" w:hAnsi="Calibri"/>
          <w:lang w:val="en-AU"/>
        </w:rPr>
        <w:t>).</w:t>
      </w:r>
    </w:p>
    <w:p w14:paraId="38CCCBE1" w14:textId="5429C1CB" w:rsidR="000E07AD" w:rsidRDefault="000E07AD" w:rsidP="004D64F9">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Mr Cain presented a supplementary explanatory statement to his amendments.</w:t>
      </w:r>
    </w:p>
    <w:p w14:paraId="6367EBC8" w14:textId="0C1FBE1B" w:rsidR="000931AA" w:rsidRDefault="000931AA" w:rsidP="004D64F9">
      <w:pPr>
        <w:spacing w:before="120"/>
        <w:ind w:left="720"/>
        <w:rPr>
          <w:rFonts w:ascii="Calibri" w:hAnsi="Calibri"/>
          <w:lang w:val="en-AU"/>
        </w:rPr>
      </w:pPr>
      <w:r>
        <w:rPr>
          <w:rFonts w:ascii="Calibri" w:hAnsi="Calibri"/>
          <w:lang w:val="en-AU"/>
        </w:rPr>
        <w:t>Debate continued.</w:t>
      </w:r>
    </w:p>
    <w:p w14:paraId="5E0E13A5" w14:textId="77777777" w:rsidR="000E07AD" w:rsidRDefault="000E07AD" w:rsidP="000E07AD">
      <w:pPr>
        <w:spacing w:before="120"/>
        <w:ind w:left="720"/>
        <w:rPr>
          <w:rFonts w:ascii="Calibri" w:hAnsi="Calibri"/>
          <w:lang w:val="en-AU"/>
        </w:rPr>
      </w:pPr>
      <w:r>
        <w:rPr>
          <w:rFonts w:ascii="Calibri" w:hAnsi="Calibri"/>
          <w:lang w:val="en-AU"/>
        </w:rPr>
        <w:t>Amendment negatived.</w:t>
      </w:r>
    </w:p>
    <w:p w14:paraId="79322AD0" w14:textId="7634FAB4" w:rsidR="000E07AD" w:rsidRDefault="000E07AD" w:rsidP="000E07AD">
      <w:pPr>
        <w:spacing w:before="120"/>
        <w:ind w:left="720"/>
        <w:rPr>
          <w:rFonts w:ascii="Calibri" w:hAnsi="Calibri"/>
          <w:lang w:val="en-AU"/>
        </w:rPr>
      </w:pPr>
      <w:r>
        <w:rPr>
          <w:rFonts w:ascii="Calibri" w:hAnsi="Calibri"/>
          <w:lang w:val="en-AU"/>
        </w:rPr>
        <w:t xml:space="preserve">On the motion of Ms Cheyne, her amendment No 2 </w:t>
      </w:r>
      <w:r w:rsidR="009C3519">
        <w:rPr>
          <w:rFonts w:ascii="Calibri" w:hAnsi="Calibri"/>
          <w:lang w:val="en-AU"/>
        </w:rPr>
        <w:t>(</w:t>
      </w:r>
      <w:r w:rsidR="009C3519">
        <w:rPr>
          <w:rFonts w:ascii="Calibri" w:hAnsi="Calibri"/>
          <w:i/>
          <w:iCs/>
          <w:lang w:val="en-AU"/>
        </w:rPr>
        <w:t xml:space="preserve">see </w:t>
      </w:r>
      <w:hyperlink w:anchor="Schedule3" w:history="1">
        <w:r w:rsidR="009C3519" w:rsidRPr="00C90AA1">
          <w:rPr>
            <w:rStyle w:val="Hyperlink"/>
            <w:rFonts w:ascii="Calibri" w:hAnsi="Calibri"/>
            <w:lang w:val="en-AU"/>
          </w:rPr>
          <w:t>Schedule 3</w:t>
        </w:r>
      </w:hyperlink>
      <w:r w:rsidR="009C3519">
        <w:rPr>
          <w:rStyle w:val="Hyperlink"/>
          <w:rFonts w:ascii="Calibri" w:hAnsi="Calibri"/>
          <w:lang w:val="en-AU"/>
        </w:rPr>
        <w:t xml:space="preserve">) </w:t>
      </w:r>
      <w:r>
        <w:rPr>
          <w:rFonts w:ascii="Calibri" w:hAnsi="Calibri"/>
          <w:lang w:val="en-AU"/>
        </w:rPr>
        <w:t>was made.</w:t>
      </w:r>
    </w:p>
    <w:p w14:paraId="62DF22EA" w14:textId="71871359" w:rsidR="000931AA" w:rsidRDefault="000931AA" w:rsidP="004D64F9">
      <w:pPr>
        <w:spacing w:before="120"/>
        <w:ind w:left="720"/>
        <w:rPr>
          <w:rFonts w:ascii="Calibri" w:hAnsi="Calibri"/>
          <w:lang w:val="en-AU"/>
        </w:rPr>
      </w:pPr>
      <w:r>
        <w:rPr>
          <w:rFonts w:ascii="Calibri" w:hAnsi="Calibri"/>
          <w:lang w:val="en-AU"/>
        </w:rPr>
        <w:t>Clause 8, as amended, agreed to.</w:t>
      </w:r>
    </w:p>
    <w:p w14:paraId="33593AFA" w14:textId="53579647" w:rsidR="000931AA" w:rsidRDefault="000931AA" w:rsidP="004D64F9">
      <w:pPr>
        <w:spacing w:before="120"/>
        <w:ind w:left="720"/>
        <w:rPr>
          <w:rFonts w:ascii="Calibri" w:hAnsi="Calibri"/>
          <w:lang w:val="en-AU"/>
        </w:rPr>
      </w:pPr>
      <w:r>
        <w:rPr>
          <w:rFonts w:ascii="Calibri" w:hAnsi="Calibri"/>
          <w:lang w:val="en-AU"/>
        </w:rPr>
        <w:t>Clause 9 agreed to.</w:t>
      </w:r>
    </w:p>
    <w:p w14:paraId="76DA5830" w14:textId="378F8F64" w:rsidR="000931AA" w:rsidRDefault="000931AA" w:rsidP="004D64F9">
      <w:pPr>
        <w:spacing w:before="120"/>
        <w:ind w:left="720"/>
        <w:rPr>
          <w:rFonts w:ascii="Calibri" w:hAnsi="Calibri"/>
          <w:lang w:val="en-AU"/>
        </w:rPr>
      </w:pPr>
      <w:r>
        <w:rPr>
          <w:rFonts w:ascii="Calibri" w:hAnsi="Calibri"/>
          <w:lang w:val="en-AU"/>
        </w:rPr>
        <w:t>Title agreed to</w:t>
      </w:r>
      <w:r w:rsidR="004C7421">
        <w:rPr>
          <w:rFonts w:ascii="Calibri" w:hAnsi="Calibri"/>
          <w:lang w:val="en-AU"/>
        </w:rPr>
        <w:t>, after debate.</w:t>
      </w:r>
    </w:p>
    <w:p w14:paraId="149CCE98" w14:textId="77777777" w:rsidR="000931AA" w:rsidRPr="009C5667" w:rsidRDefault="000931AA" w:rsidP="000931AA">
      <w:pPr>
        <w:pBdr>
          <w:top w:val="thickThinLargeGap" w:sz="18" w:space="1" w:color="auto"/>
        </w:pBdr>
        <w:spacing w:before="180"/>
        <w:ind w:left="3427" w:right="3658"/>
        <w:jc w:val="center"/>
        <w:rPr>
          <w:rFonts w:ascii="Calibri" w:hAnsi="Calibri"/>
          <w:lang w:val="en-AU"/>
        </w:rPr>
      </w:pPr>
    </w:p>
    <w:p w14:paraId="5EAE5BC8" w14:textId="77777777" w:rsidR="000931AA" w:rsidRPr="009C5667" w:rsidRDefault="000931AA" w:rsidP="000931AA">
      <w:pPr>
        <w:ind w:left="720"/>
        <w:rPr>
          <w:rFonts w:ascii="Calibri" w:hAnsi="Calibri"/>
          <w:lang w:val="en-AU"/>
        </w:rPr>
      </w:pPr>
      <w:r w:rsidRPr="009C5667">
        <w:rPr>
          <w:rFonts w:ascii="Calibri" w:hAnsi="Calibri"/>
          <w:lang w:val="en-AU"/>
        </w:rPr>
        <w:t>Question—That this Bill, as amended, be agreed to—put and passed.</w:t>
      </w:r>
    </w:p>
    <w:p w14:paraId="7A5EB370" w14:textId="7257AA3C" w:rsidR="004D64F9" w:rsidRPr="000B7409" w:rsidRDefault="004D64F9" w:rsidP="004D64F9">
      <w:pPr>
        <w:keepNext/>
        <w:keepLines/>
        <w:tabs>
          <w:tab w:val="right" w:pos="339"/>
          <w:tab w:val="left" w:pos="720"/>
        </w:tabs>
        <w:spacing w:before="240"/>
        <w:ind w:left="720" w:hanging="720"/>
        <w:jc w:val="both"/>
        <w:rPr>
          <w:rFonts w:ascii="Calibri" w:hAnsi="Calibri"/>
          <w:b/>
          <w:caps/>
        </w:rPr>
      </w:pPr>
      <w:r w:rsidRPr="000B7409">
        <w:rPr>
          <w:rFonts w:ascii="Calibri" w:hAnsi="Calibri"/>
          <w:b/>
          <w:caps/>
        </w:rPr>
        <w:lastRenderedPageBreak/>
        <w:tab/>
      </w:r>
      <w:r w:rsidR="00847B5E">
        <w:rPr>
          <w:rFonts w:ascii="Calibri" w:hAnsi="Calibri"/>
          <w:b/>
          <w:bCs/>
          <w:caps/>
        </w:rPr>
        <w:fldChar w:fldCharType="begin"/>
      </w:r>
      <w:r w:rsidR="00847B5E">
        <w:rPr>
          <w:rFonts w:ascii="Calibri" w:hAnsi="Calibri"/>
          <w:b/>
          <w:bCs/>
          <w:caps/>
        </w:rPr>
        <w:instrText xml:space="preserve"> SEQ A \* MERGEFORMAT </w:instrText>
      </w:r>
      <w:r w:rsidR="00847B5E">
        <w:rPr>
          <w:rFonts w:ascii="Calibri" w:hAnsi="Calibri"/>
          <w:b/>
          <w:bCs/>
          <w:caps/>
        </w:rPr>
        <w:fldChar w:fldCharType="separate"/>
      </w:r>
      <w:r w:rsidR="0020376F">
        <w:rPr>
          <w:rFonts w:ascii="Calibri" w:hAnsi="Calibri"/>
          <w:b/>
          <w:bCs/>
          <w:caps/>
          <w:noProof/>
        </w:rPr>
        <w:t>19</w:t>
      </w:r>
      <w:r w:rsidR="00847B5E">
        <w:rPr>
          <w:rFonts w:ascii="Calibri" w:hAnsi="Calibri"/>
          <w:b/>
          <w:bCs/>
          <w:caps/>
        </w:rPr>
        <w:fldChar w:fldCharType="end"/>
      </w:r>
      <w:r w:rsidRPr="000B7409">
        <w:rPr>
          <w:rFonts w:ascii="Calibri" w:hAnsi="Calibri"/>
          <w:b/>
          <w:caps/>
        </w:rPr>
        <w:tab/>
        <w:t>MEMBERS</w:t>
      </w:r>
      <w:r w:rsidR="00F255CA">
        <w:rPr>
          <w:rFonts w:ascii="Calibri" w:hAnsi="Calibri"/>
          <w:b/>
          <w:caps/>
        </w:rPr>
        <w:t>’</w:t>
      </w:r>
      <w:r w:rsidRPr="000B7409">
        <w:rPr>
          <w:rFonts w:ascii="Calibri" w:hAnsi="Calibri"/>
          <w:b/>
          <w:caps/>
        </w:rPr>
        <w:t xml:space="preserve"> STATEMENTS</w:t>
      </w:r>
    </w:p>
    <w:p w14:paraId="1E16CC85" w14:textId="43909C61" w:rsidR="004D64F9" w:rsidRPr="000B7409" w:rsidRDefault="004D64F9" w:rsidP="004D64F9">
      <w:pPr>
        <w:tabs>
          <w:tab w:val="left" w:pos="1197"/>
          <w:tab w:val="left" w:pos="1767"/>
        </w:tabs>
        <w:spacing w:before="120"/>
        <w:ind w:left="720"/>
        <w:jc w:val="both"/>
        <w:rPr>
          <w:rFonts w:ascii="Calibri" w:hAnsi="Calibri"/>
          <w:lang w:val="en-AU"/>
        </w:rPr>
      </w:pPr>
      <w:r w:rsidRPr="000B7409">
        <w:rPr>
          <w:rFonts w:ascii="Calibri" w:hAnsi="Calibri"/>
          <w:lang w:val="en-AU"/>
        </w:rPr>
        <w:t>Members</w:t>
      </w:r>
      <w:r w:rsidR="00F255CA">
        <w:rPr>
          <w:rFonts w:ascii="Calibri" w:hAnsi="Calibri"/>
          <w:lang w:val="en-AU"/>
        </w:rPr>
        <w:t>’</w:t>
      </w:r>
      <w:r w:rsidRPr="000B7409">
        <w:rPr>
          <w:rFonts w:ascii="Calibri" w:hAnsi="Calibri"/>
          <w:lang w:val="en-AU"/>
        </w:rPr>
        <w:t xml:space="preserve"> statements were made.</w:t>
      </w:r>
    </w:p>
    <w:p w14:paraId="6BB0D578" w14:textId="099C029E" w:rsidR="004D64F9" w:rsidRPr="000B7409" w:rsidRDefault="004D64F9" w:rsidP="004D64F9">
      <w:pPr>
        <w:keepNext/>
        <w:keepLines/>
        <w:tabs>
          <w:tab w:val="right" w:pos="339"/>
          <w:tab w:val="left" w:pos="720"/>
        </w:tabs>
        <w:spacing w:before="240"/>
        <w:ind w:left="720" w:hanging="720"/>
        <w:rPr>
          <w:rFonts w:ascii="Calibri" w:hAnsi="Calibri"/>
          <w:b/>
          <w:lang w:val="en-AU"/>
        </w:rPr>
      </w:pPr>
      <w:r w:rsidRPr="000B7409">
        <w:rPr>
          <w:rFonts w:ascii="Calibri" w:hAnsi="Calibri"/>
          <w:b/>
          <w:lang w:val="en-AU"/>
        </w:rPr>
        <w:tab/>
      </w:r>
      <w:r w:rsidR="00847B5E">
        <w:rPr>
          <w:rFonts w:ascii="Calibri" w:hAnsi="Calibri"/>
          <w:b/>
          <w:bCs/>
          <w:lang w:val="en-AU"/>
        </w:rPr>
        <w:fldChar w:fldCharType="begin"/>
      </w:r>
      <w:r w:rsidR="00847B5E">
        <w:rPr>
          <w:rFonts w:ascii="Calibri" w:hAnsi="Calibri"/>
          <w:b/>
          <w:bCs/>
          <w:lang w:val="en-AU"/>
        </w:rPr>
        <w:instrText xml:space="preserve"> SEQ A \* MERGEFORMAT </w:instrText>
      </w:r>
      <w:r w:rsidR="00847B5E">
        <w:rPr>
          <w:rFonts w:ascii="Calibri" w:hAnsi="Calibri"/>
          <w:b/>
          <w:bCs/>
          <w:lang w:val="en-AU"/>
        </w:rPr>
        <w:fldChar w:fldCharType="separate"/>
      </w:r>
      <w:r w:rsidR="0020376F">
        <w:rPr>
          <w:rFonts w:ascii="Calibri" w:hAnsi="Calibri"/>
          <w:b/>
          <w:bCs/>
          <w:noProof/>
          <w:lang w:val="en-AU"/>
        </w:rPr>
        <w:t>20</w:t>
      </w:r>
      <w:r w:rsidR="00847B5E">
        <w:rPr>
          <w:rFonts w:ascii="Calibri" w:hAnsi="Calibri"/>
          <w:b/>
          <w:bCs/>
          <w:lang w:val="en-AU"/>
        </w:rPr>
        <w:fldChar w:fldCharType="end"/>
      </w:r>
      <w:r w:rsidRPr="000B7409">
        <w:rPr>
          <w:rFonts w:ascii="Calibri" w:hAnsi="Calibri"/>
          <w:b/>
          <w:lang w:val="en-AU"/>
        </w:rPr>
        <w:tab/>
        <w:t>ADJOURNMENT</w:t>
      </w:r>
    </w:p>
    <w:p w14:paraId="79FA3D8C" w14:textId="73C0D849" w:rsidR="004D64F9" w:rsidRPr="000B7409" w:rsidRDefault="00F550A9" w:rsidP="004D64F9">
      <w:pPr>
        <w:spacing w:before="120"/>
        <w:ind w:left="720"/>
        <w:rPr>
          <w:rFonts w:ascii="Calibri" w:hAnsi="Calibri"/>
          <w:lang w:val="en-AU"/>
        </w:rPr>
      </w:pPr>
      <w:r>
        <w:rPr>
          <w:rFonts w:ascii="Calibri" w:hAnsi="Calibri"/>
          <w:lang w:val="en-AU"/>
        </w:rPr>
        <w:t>M</w:t>
      </w:r>
      <w:r w:rsidR="007E7CD1">
        <w:rPr>
          <w:rFonts w:ascii="Calibri" w:hAnsi="Calibri"/>
          <w:lang w:val="en-AU"/>
        </w:rPr>
        <w:t>r</w:t>
      </w:r>
      <w:r>
        <w:rPr>
          <w:rFonts w:ascii="Calibri" w:hAnsi="Calibri"/>
          <w:lang w:val="en-AU"/>
        </w:rPr>
        <w:t xml:space="preserve"> Gentleman</w:t>
      </w:r>
      <w:r w:rsidR="004D64F9" w:rsidRPr="000B7409">
        <w:rPr>
          <w:rFonts w:ascii="Calibri" w:hAnsi="Calibri"/>
          <w:lang w:val="en-AU"/>
        </w:rPr>
        <w:t xml:space="preserve"> (Manager of Government Business) moved—That the Assembly do now adjourn.</w:t>
      </w:r>
    </w:p>
    <w:p w14:paraId="101825DD" w14:textId="1DCC1333" w:rsidR="004D64F9" w:rsidRPr="000B7409" w:rsidRDefault="004D64F9" w:rsidP="004D64F9">
      <w:pPr>
        <w:spacing w:before="120"/>
        <w:ind w:left="720"/>
        <w:rPr>
          <w:rFonts w:ascii="Calibri" w:hAnsi="Calibri"/>
          <w:lang w:val="en-AU"/>
        </w:rPr>
      </w:pPr>
      <w:r w:rsidRPr="000B7409">
        <w:rPr>
          <w:rFonts w:ascii="Calibri" w:hAnsi="Calibri"/>
          <w:lang w:val="en-AU"/>
        </w:rPr>
        <w:t>Debate ensued.</w:t>
      </w:r>
    </w:p>
    <w:p w14:paraId="09714876" w14:textId="77777777" w:rsidR="004D64F9" w:rsidRPr="000B7409" w:rsidRDefault="004D64F9" w:rsidP="004D64F9">
      <w:pPr>
        <w:spacing w:before="120"/>
        <w:ind w:left="720"/>
        <w:rPr>
          <w:rFonts w:ascii="Calibri" w:hAnsi="Calibri"/>
          <w:lang w:val="en-AU"/>
        </w:rPr>
      </w:pPr>
      <w:r w:rsidRPr="000B7409">
        <w:rPr>
          <w:rFonts w:ascii="Calibri" w:hAnsi="Calibri"/>
          <w:lang w:val="en-AU"/>
        </w:rPr>
        <w:t>Question—put and passed.</w:t>
      </w:r>
    </w:p>
    <w:p w14:paraId="59F57AAF" w14:textId="39095CD3" w:rsidR="004D64F9" w:rsidRPr="000B7409" w:rsidRDefault="004D64F9" w:rsidP="004D64F9">
      <w:pPr>
        <w:spacing w:before="120"/>
        <w:ind w:left="720"/>
        <w:rPr>
          <w:rFonts w:ascii="Calibri" w:hAnsi="Calibri"/>
          <w:lang w:val="en-AU"/>
        </w:rPr>
      </w:pPr>
      <w:r w:rsidRPr="000B7409">
        <w:rPr>
          <w:rFonts w:ascii="Calibri" w:hAnsi="Calibri"/>
          <w:lang w:val="en-AU"/>
        </w:rPr>
        <w:t xml:space="preserve">And then the Assembly, at </w:t>
      </w:r>
      <w:r w:rsidR="00F550A9">
        <w:rPr>
          <w:rFonts w:ascii="Calibri" w:hAnsi="Calibri"/>
          <w:lang w:val="en-AU"/>
        </w:rPr>
        <w:t>6.14</w:t>
      </w:r>
      <w:r w:rsidR="007E7CD1">
        <w:rPr>
          <w:rFonts w:ascii="Calibri" w:hAnsi="Calibri"/>
          <w:lang w:val="en-AU"/>
        </w:rPr>
        <w:t xml:space="preserve"> pm</w:t>
      </w:r>
      <w:r w:rsidRPr="000B7409">
        <w:rPr>
          <w:rFonts w:ascii="Calibri" w:hAnsi="Calibri"/>
          <w:lang w:val="en-AU"/>
        </w:rPr>
        <w:t>, adjourned until tomorrow at 10 am.</w:t>
      </w:r>
    </w:p>
    <w:p w14:paraId="39705EAC" w14:textId="77777777" w:rsidR="004D64F9" w:rsidRPr="000B7409" w:rsidRDefault="004D64F9" w:rsidP="004D64F9">
      <w:pPr>
        <w:pBdr>
          <w:bottom w:val="thinThickLargeGap" w:sz="18" w:space="1" w:color="auto"/>
        </w:pBdr>
        <w:ind w:left="3427" w:right="3658"/>
        <w:jc w:val="center"/>
        <w:rPr>
          <w:rFonts w:ascii="Calibri" w:hAnsi="Calibri"/>
          <w:i/>
          <w:iCs/>
          <w:lang w:val="en-AU"/>
        </w:rPr>
      </w:pPr>
    </w:p>
    <w:p w14:paraId="26ECB0D2" w14:textId="6343CEA0" w:rsidR="004D64F9" w:rsidRPr="000B7409" w:rsidRDefault="004D64F9" w:rsidP="004D64F9">
      <w:pPr>
        <w:keepNext/>
        <w:keepLines/>
        <w:spacing w:before="240" w:after="100" w:afterAutospacing="1"/>
        <w:ind w:left="180"/>
        <w:jc w:val="both"/>
        <w:rPr>
          <w:rFonts w:ascii="Calibri" w:hAnsi="Calibri"/>
          <w:bCs/>
        </w:rPr>
      </w:pPr>
      <w:r w:rsidRPr="000B7409">
        <w:rPr>
          <w:rFonts w:ascii="Calibri" w:hAnsi="Calibri"/>
          <w:b/>
          <w:caps/>
        </w:rPr>
        <w:t>MEMBERS</w:t>
      </w:r>
      <w:r w:rsidR="00F255CA">
        <w:rPr>
          <w:rFonts w:ascii="Calibri" w:hAnsi="Calibri"/>
          <w:b/>
          <w:caps/>
        </w:rPr>
        <w:t>’</w:t>
      </w:r>
      <w:r w:rsidRPr="000B7409">
        <w:rPr>
          <w:rFonts w:ascii="Calibri" w:hAnsi="Calibri"/>
          <w:b/>
          <w:caps/>
        </w:rPr>
        <w:t xml:space="preserve"> ATTENDANCE:  </w:t>
      </w:r>
      <w:r w:rsidRPr="000B7409">
        <w:rPr>
          <w:rFonts w:ascii="Calibri" w:hAnsi="Calibri"/>
        </w:rPr>
        <w:t>All Members were present at some time during the sitting</w:t>
      </w:r>
      <w:r w:rsidRPr="000B7409">
        <w:rPr>
          <w:rFonts w:ascii="Calibri" w:hAnsi="Calibri"/>
          <w:bCs/>
        </w:rPr>
        <w:t>.</w:t>
      </w:r>
    </w:p>
    <w:p w14:paraId="614834F0" w14:textId="77777777" w:rsidR="004D64F9" w:rsidRPr="000B7409" w:rsidRDefault="004D64F9" w:rsidP="004D64F9">
      <w:pPr>
        <w:pBdr>
          <w:top w:val="thickThinLargeGap" w:sz="18" w:space="1" w:color="auto"/>
        </w:pBdr>
        <w:spacing w:before="180"/>
        <w:ind w:left="3427" w:right="3658"/>
        <w:jc w:val="center"/>
        <w:rPr>
          <w:rFonts w:ascii="Calibri" w:hAnsi="Calibri"/>
          <w:lang w:val="en-AU"/>
        </w:rPr>
      </w:pPr>
    </w:p>
    <w:p w14:paraId="2A23D46C" w14:textId="77777777" w:rsidR="004D64F9" w:rsidRPr="000B7409" w:rsidRDefault="004D64F9" w:rsidP="004C7421">
      <w:pPr>
        <w:keepNext/>
        <w:keepLines/>
        <w:spacing w:before="720"/>
        <w:ind w:left="5670" w:right="-34"/>
        <w:jc w:val="center"/>
        <w:rPr>
          <w:rFonts w:ascii="Calibri" w:hAnsi="Calibri"/>
          <w:b/>
          <w:bCs/>
          <w:lang w:val="en-AU"/>
        </w:rPr>
      </w:pPr>
      <w:r w:rsidRPr="000B7409">
        <w:rPr>
          <w:rFonts w:ascii="Calibri" w:hAnsi="Calibri"/>
          <w:b/>
          <w:bCs/>
          <w:lang w:val="en-AU"/>
        </w:rPr>
        <w:t>Tom Duncan</w:t>
      </w:r>
    </w:p>
    <w:p w14:paraId="3B990907" w14:textId="77777777" w:rsidR="004D64F9" w:rsidRPr="000B7409" w:rsidRDefault="004D64F9" w:rsidP="004D64F9">
      <w:pPr>
        <w:ind w:left="5850"/>
        <w:rPr>
          <w:rFonts w:ascii="Calibri" w:hAnsi="Calibri"/>
          <w:szCs w:val="24"/>
        </w:rPr>
      </w:pPr>
      <w:r w:rsidRPr="000B7409">
        <w:rPr>
          <w:rFonts w:ascii="Calibri" w:hAnsi="Calibri"/>
          <w:szCs w:val="24"/>
        </w:rPr>
        <w:t>Clerk of the Legislative Assembly</w:t>
      </w:r>
    </w:p>
    <w:p w14:paraId="73AB2105" w14:textId="071EBB4D" w:rsidR="005E142F" w:rsidRDefault="005E142F">
      <w:pPr>
        <w:spacing w:after="160" w:line="259" w:lineRule="auto"/>
      </w:pPr>
      <w:r>
        <w:br w:type="page"/>
      </w:r>
    </w:p>
    <w:p w14:paraId="2E6A1EC0" w14:textId="77777777" w:rsidR="005154E6" w:rsidRDefault="005E142F" w:rsidP="005E142F">
      <w:pPr>
        <w:spacing w:after="160" w:line="259" w:lineRule="auto"/>
        <w:jc w:val="center"/>
        <w:rPr>
          <w:b/>
          <w:bCs/>
          <w:sz w:val="36"/>
          <w:szCs w:val="36"/>
        </w:rPr>
        <w:sectPr w:rsidR="005154E6" w:rsidSect="002541E9">
          <w:headerReference w:type="even" r:id="rId10"/>
          <w:headerReference w:type="default" r:id="rId11"/>
          <w:headerReference w:type="first" r:id="rId12"/>
          <w:footerReference w:type="first" r:id="rId13"/>
          <w:pgSz w:w="11906" w:h="16838" w:code="9"/>
          <w:pgMar w:top="1525" w:right="1440" w:bottom="1264" w:left="1140" w:header="635" w:footer="578" w:gutter="0"/>
          <w:pgNumType w:start="2019"/>
          <w:cols w:space="708"/>
          <w:titlePg/>
          <w:docGrid w:linePitch="360"/>
        </w:sectPr>
      </w:pPr>
      <w:r>
        <w:rPr>
          <w:b/>
          <w:bCs/>
          <w:sz w:val="36"/>
          <w:szCs w:val="36"/>
        </w:rPr>
        <w:lastRenderedPageBreak/>
        <w:t>SCHEDULES OF AMENDMENTS</w:t>
      </w:r>
    </w:p>
    <w:p w14:paraId="7EA220FF" w14:textId="0D3B0AF4" w:rsidR="003C23D3" w:rsidRPr="003C23D3" w:rsidRDefault="003C23D3" w:rsidP="003C23D3">
      <w:pPr>
        <w:spacing w:before="720" w:after="160" w:line="259" w:lineRule="auto"/>
        <w:rPr>
          <w:b/>
          <w:bCs/>
          <w:sz w:val="28"/>
          <w:szCs w:val="28"/>
          <w:u w:val="single"/>
        </w:rPr>
      </w:pPr>
      <w:bookmarkStart w:id="2" w:name="Schedule1"/>
      <w:r w:rsidRPr="003C23D3">
        <w:rPr>
          <w:b/>
          <w:bCs/>
          <w:sz w:val="28"/>
          <w:szCs w:val="28"/>
          <w:u w:val="single"/>
        </w:rPr>
        <w:t>Schedule 1</w:t>
      </w:r>
      <w:bookmarkEnd w:id="2"/>
    </w:p>
    <w:p w14:paraId="41041D77" w14:textId="216D7159" w:rsidR="005E142F" w:rsidRPr="00DF4517" w:rsidRDefault="003C23D3" w:rsidP="00DF4517">
      <w:pPr>
        <w:spacing w:before="600" w:line="259" w:lineRule="auto"/>
        <w:rPr>
          <w:b/>
          <w:bCs/>
          <w:spacing w:val="-4"/>
          <w:sz w:val="26"/>
          <w:szCs w:val="26"/>
          <w:u w:val="single"/>
        </w:rPr>
      </w:pPr>
      <w:r w:rsidRPr="00DF4517">
        <w:rPr>
          <w:b/>
          <w:bCs/>
          <w:spacing w:val="-4"/>
          <w:sz w:val="26"/>
          <w:szCs w:val="26"/>
          <w:u w:val="single"/>
        </w:rPr>
        <w:t>SEXUAL, FAMILY AND PERSONAL VIOLENCE LEGISLATION AMENDMENT BILL 2023</w:t>
      </w:r>
    </w:p>
    <w:p w14:paraId="69946CC5" w14:textId="6ADD0552" w:rsidR="003C23D3" w:rsidRPr="003C23D3" w:rsidRDefault="003C23D3" w:rsidP="003C23D3">
      <w:pPr>
        <w:spacing w:before="80" w:after="360" w:line="259" w:lineRule="auto"/>
        <w:ind w:right="-284"/>
        <w:rPr>
          <w:spacing w:val="-4"/>
          <w:szCs w:val="24"/>
        </w:rPr>
      </w:pPr>
      <w:r>
        <w:rPr>
          <w:spacing w:val="-4"/>
          <w:szCs w:val="24"/>
        </w:rPr>
        <w:t>Amendments circulated by the Attorney-General</w:t>
      </w:r>
    </w:p>
    <w:p w14:paraId="2F8655FE" w14:textId="77777777" w:rsidR="005154E6" w:rsidRPr="009143FE" w:rsidRDefault="005154E6" w:rsidP="005154E6">
      <w:pPr>
        <w:pStyle w:val="AH3sec"/>
      </w:pPr>
      <w:r w:rsidRPr="009143FE">
        <w:br/>
        <w:t>Clause 4</w:t>
      </w:r>
      <w:r w:rsidRPr="009143FE">
        <w:br/>
        <w:t>Proposed new schedule 1, part 1.1</w:t>
      </w:r>
      <w:r w:rsidRPr="009143FE">
        <w:br/>
        <w:t>Page 3, line 4—</w:t>
      </w:r>
    </w:p>
    <w:p w14:paraId="4F9DB53C" w14:textId="77777777" w:rsidR="005154E6" w:rsidRPr="009143FE" w:rsidRDefault="005154E6" w:rsidP="005154E6">
      <w:pPr>
        <w:pStyle w:val="direction"/>
      </w:pPr>
      <w:r w:rsidRPr="009143FE">
        <w:t>omit proposed new part 1.1, substitute</w:t>
      </w:r>
    </w:p>
    <w:p w14:paraId="703E8EF8" w14:textId="77777777" w:rsidR="005154E6" w:rsidRPr="009143FE" w:rsidRDefault="005154E6" w:rsidP="005154E6">
      <w:pPr>
        <w:pStyle w:val="IH2Part"/>
      </w:pPr>
      <w:r w:rsidRPr="009143FE">
        <w:t>Part 1.1</w:t>
      </w:r>
      <w:r w:rsidRPr="009143FE">
        <w:tab/>
        <w:t>Offences against Crimes Act 1900</w:t>
      </w:r>
    </w:p>
    <w:p w14:paraId="2AFFA792" w14:textId="77777777" w:rsidR="005154E6" w:rsidRPr="009143FE" w:rsidRDefault="005154E6" w:rsidP="005154E6"/>
    <w:tbl>
      <w:tblPr>
        <w:tblW w:w="0" w:type="auto"/>
        <w:tblInd w:w="108" w:type="dxa"/>
        <w:tblLayout w:type="fixed"/>
        <w:tblLook w:val="0000" w:firstRow="0" w:lastRow="0" w:firstColumn="0" w:lastColumn="0" w:noHBand="0" w:noVBand="0"/>
      </w:tblPr>
      <w:tblGrid>
        <w:gridCol w:w="1080"/>
        <w:gridCol w:w="1200"/>
        <w:gridCol w:w="4807"/>
      </w:tblGrid>
      <w:tr w:rsidR="005154E6" w:rsidRPr="009143FE" w14:paraId="58223F2B" w14:textId="77777777" w:rsidTr="004E2561">
        <w:trPr>
          <w:tblHeader/>
        </w:trPr>
        <w:tc>
          <w:tcPr>
            <w:tcW w:w="1080" w:type="dxa"/>
            <w:tcBorders>
              <w:top w:val="nil"/>
              <w:left w:val="nil"/>
              <w:bottom w:val="single" w:sz="4" w:space="0" w:color="auto"/>
              <w:right w:val="nil"/>
            </w:tcBorders>
          </w:tcPr>
          <w:p w14:paraId="2CCC6009" w14:textId="77777777" w:rsidR="005154E6" w:rsidRPr="009143FE" w:rsidRDefault="005154E6" w:rsidP="004E2561">
            <w:pPr>
              <w:pStyle w:val="TableColHd"/>
            </w:pPr>
            <w:r w:rsidRPr="009143FE">
              <w:t>column 1</w:t>
            </w:r>
          </w:p>
          <w:p w14:paraId="378D0480" w14:textId="77777777" w:rsidR="005154E6" w:rsidRPr="009143FE" w:rsidRDefault="005154E6" w:rsidP="004E2561">
            <w:pPr>
              <w:pStyle w:val="TableColHd"/>
            </w:pPr>
            <w:r w:rsidRPr="009143FE">
              <w:t>item</w:t>
            </w:r>
          </w:p>
        </w:tc>
        <w:tc>
          <w:tcPr>
            <w:tcW w:w="1200" w:type="dxa"/>
            <w:tcBorders>
              <w:top w:val="nil"/>
              <w:left w:val="nil"/>
              <w:bottom w:val="single" w:sz="4" w:space="0" w:color="auto"/>
              <w:right w:val="nil"/>
            </w:tcBorders>
          </w:tcPr>
          <w:p w14:paraId="37F26410" w14:textId="77777777" w:rsidR="005154E6" w:rsidRPr="009143FE" w:rsidRDefault="005154E6" w:rsidP="004E2561">
            <w:pPr>
              <w:pStyle w:val="TableColHd"/>
            </w:pPr>
            <w:r w:rsidRPr="009143FE">
              <w:t>column 2</w:t>
            </w:r>
          </w:p>
          <w:p w14:paraId="68F5912D" w14:textId="77777777" w:rsidR="005154E6" w:rsidRPr="009143FE" w:rsidRDefault="005154E6" w:rsidP="004E2561">
            <w:pPr>
              <w:pStyle w:val="TableColHd"/>
            </w:pPr>
            <w:r w:rsidRPr="009143FE">
              <w:t>provision</w:t>
            </w:r>
          </w:p>
        </w:tc>
        <w:tc>
          <w:tcPr>
            <w:tcW w:w="4807" w:type="dxa"/>
            <w:tcBorders>
              <w:top w:val="nil"/>
              <w:left w:val="nil"/>
              <w:bottom w:val="single" w:sz="4" w:space="0" w:color="auto"/>
              <w:right w:val="nil"/>
            </w:tcBorders>
          </w:tcPr>
          <w:p w14:paraId="2FCF639C" w14:textId="77777777" w:rsidR="005154E6" w:rsidRPr="009143FE" w:rsidRDefault="005154E6" w:rsidP="004E2561">
            <w:pPr>
              <w:pStyle w:val="TableColHd"/>
            </w:pPr>
            <w:r w:rsidRPr="009143FE">
              <w:t>column 3</w:t>
            </w:r>
          </w:p>
          <w:p w14:paraId="422D1F9A" w14:textId="77777777" w:rsidR="005154E6" w:rsidRPr="009143FE" w:rsidRDefault="005154E6" w:rsidP="004E2561">
            <w:pPr>
              <w:pStyle w:val="TableColHd"/>
            </w:pPr>
            <w:r w:rsidRPr="009143FE">
              <w:t>description of offence</w:t>
            </w:r>
          </w:p>
        </w:tc>
      </w:tr>
      <w:tr w:rsidR="005154E6" w:rsidRPr="009143FE" w14:paraId="242088A5" w14:textId="77777777" w:rsidTr="004E2561">
        <w:tc>
          <w:tcPr>
            <w:tcW w:w="1080" w:type="dxa"/>
            <w:tcBorders>
              <w:top w:val="nil"/>
              <w:left w:val="nil"/>
              <w:bottom w:val="nil"/>
              <w:right w:val="nil"/>
            </w:tcBorders>
          </w:tcPr>
          <w:p w14:paraId="34DE47DD" w14:textId="77777777" w:rsidR="005154E6" w:rsidRPr="009143FE" w:rsidRDefault="005154E6" w:rsidP="004E2561">
            <w:pPr>
              <w:pStyle w:val="TableText"/>
            </w:pPr>
            <w:r w:rsidRPr="009143FE">
              <w:t>1</w:t>
            </w:r>
          </w:p>
        </w:tc>
        <w:tc>
          <w:tcPr>
            <w:tcW w:w="1200" w:type="dxa"/>
            <w:tcBorders>
              <w:top w:val="nil"/>
              <w:left w:val="nil"/>
              <w:bottom w:val="nil"/>
              <w:right w:val="nil"/>
            </w:tcBorders>
          </w:tcPr>
          <w:p w14:paraId="4E77AAB2" w14:textId="77777777" w:rsidR="005154E6" w:rsidRPr="009143FE" w:rsidRDefault="005154E6" w:rsidP="004E2561">
            <w:pPr>
              <w:pStyle w:val="TableText"/>
            </w:pPr>
            <w:r w:rsidRPr="009143FE">
              <w:t>15</w:t>
            </w:r>
          </w:p>
        </w:tc>
        <w:tc>
          <w:tcPr>
            <w:tcW w:w="4807" w:type="dxa"/>
            <w:tcBorders>
              <w:top w:val="nil"/>
              <w:left w:val="nil"/>
              <w:bottom w:val="nil"/>
              <w:right w:val="nil"/>
            </w:tcBorders>
          </w:tcPr>
          <w:p w14:paraId="5FDC5E75" w14:textId="77777777" w:rsidR="005154E6" w:rsidRPr="009143FE" w:rsidRDefault="005154E6" w:rsidP="004E2561">
            <w:pPr>
              <w:pStyle w:val="TableText"/>
            </w:pPr>
            <w:r w:rsidRPr="009143FE">
              <w:t>manslaughter</w:t>
            </w:r>
          </w:p>
        </w:tc>
      </w:tr>
      <w:tr w:rsidR="005154E6" w:rsidRPr="009143FE" w14:paraId="47426404" w14:textId="77777777" w:rsidTr="004E2561">
        <w:tc>
          <w:tcPr>
            <w:tcW w:w="1080" w:type="dxa"/>
            <w:tcBorders>
              <w:top w:val="nil"/>
              <w:left w:val="nil"/>
              <w:bottom w:val="nil"/>
              <w:right w:val="nil"/>
            </w:tcBorders>
          </w:tcPr>
          <w:p w14:paraId="0F26E920" w14:textId="77777777" w:rsidR="005154E6" w:rsidRPr="009143FE" w:rsidRDefault="005154E6" w:rsidP="004E2561">
            <w:pPr>
              <w:pStyle w:val="TableText"/>
            </w:pPr>
            <w:r w:rsidRPr="009143FE">
              <w:t>2</w:t>
            </w:r>
          </w:p>
        </w:tc>
        <w:tc>
          <w:tcPr>
            <w:tcW w:w="1200" w:type="dxa"/>
            <w:tcBorders>
              <w:top w:val="nil"/>
              <w:left w:val="nil"/>
              <w:bottom w:val="nil"/>
              <w:right w:val="nil"/>
            </w:tcBorders>
          </w:tcPr>
          <w:p w14:paraId="62CA3987" w14:textId="77777777" w:rsidR="005154E6" w:rsidRPr="009143FE" w:rsidRDefault="005154E6" w:rsidP="004E2561">
            <w:pPr>
              <w:pStyle w:val="TableText"/>
            </w:pPr>
            <w:r w:rsidRPr="009143FE">
              <w:t>19</w:t>
            </w:r>
          </w:p>
        </w:tc>
        <w:tc>
          <w:tcPr>
            <w:tcW w:w="4807" w:type="dxa"/>
            <w:tcBorders>
              <w:top w:val="nil"/>
              <w:left w:val="nil"/>
              <w:bottom w:val="nil"/>
              <w:right w:val="nil"/>
            </w:tcBorders>
          </w:tcPr>
          <w:p w14:paraId="030DE622" w14:textId="77777777" w:rsidR="005154E6" w:rsidRPr="009143FE" w:rsidRDefault="005154E6" w:rsidP="004E2561">
            <w:pPr>
              <w:pStyle w:val="TableText"/>
            </w:pPr>
            <w:r w:rsidRPr="009143FE">
              <w:t>intentionally inflicting grievous bodily harm</w:t>
            </w:r>
          </w:p>
        </w:tc>
      </w:tr>
      <w:tr w:rsidR="005154E6" w:rsidRPr="009143FE" w14:paraId="48075765" w14:textId="77777777" w:rsidTr="004E2561">
        <w:tc>
          <w:tcPr>
            <w:tcW w:w="1080" w:type="dxa"/>
            <w:tcBorders>
              <w:top w:val="nil"/>
              <w:left w:val="nil"/>
              <w:bottom w:val="nil"/>
              <w:right w:val="nil"/>
            </w:tcBorders>
          </w:tcPr>
          <w:p w14:paraId="5903DA1A" w14:textId="77777777" w:rsidR="005154E6" w:rsidRPr="009143FE" w:rsidRDefault="005154E6" w:rsidP="004E2561">
            <w:pPr>
              <w:pStyle w:val="TableText"/>
            </w:pPr>
            <w:r w:rsidRPr="009143FE">
              <w:t>3</w:t>
            </w:r>
          </w:p>
        </w:tc>
        <w:tc>
          <w:tcPr>
            <w:tcW w:w="1200" w:type="dxa"/>
            <w:tcBorders>
              <w:top w:val="nil"/>
              <w:left w:val="nil"/>
              <w:bottom w:val="nil"/>
              <w:right w:val="nil"/>
            </w:tcBorders>
          </w:tcPr>
          <w:p w14:paraId="03D2F077" w14:textId="77777777" w:rsidR="005154E6" w:rsidRPr="009143FE" w:rsidRDefault="005154E6" w:rsidP="004E2561">
            <w:pPr>
              <w:pStyle w:val="TableText"/>
            </w:pPr>
            <w:r w:rsidRPr="009143FE">
              <w:t>29</w:t>
            </w:r>
          </w:p>
        </w:tc>
        <w:tc>
          <w:tcPr>
            <w:tcW w:w="4807" w:type="dxa"/>
            <w:tcBorders>
              <w:top w:val="nil"/>
              <w:left w:val="nil"/>
              <w:bottom w:val="nil"/>
              <w:right w:val="nil"/>
            </w:tcBorders>
          </w:tcPr>
          <w:p w14:paraId="4E5FB09D" w14:textId="77777777" w:rsidR="005154E6" w:rsidRPr="009143FE" w:rsidRDefault="005154E6" w:rsidP="004E2561">
            <w:pPr>
              <w:pStyle w:val="TableText"/>
            </w:pPr>
            <w:r w:rsidRPr="009143FE">
              <w:rPr>
                <w:color w:val="000000"/>
                <w:shd w:val="clear" w:color="auto" w:fill="FFFFFF"/>
              </w:rPr>
              <w:t>culpable driving of motor vehicle</w:t>
            </w:r>
          </w:p>
        </w:tc>
      </w:tr>
      <w:tr w:rsidR="005154E6" w:rsidRPr="009143FE" w14:paraId="2C80A6C0" w14:textId="77777777" w:rsidTr="004E2561">
        <w:tc>
          <w:tcPr>
            <w:tcW w:w="1080" w:type="dxa"/>
            <w:tcBorders>
              <w:top w:val="nil"/>
              <w:left w:val="nil"/>
              <w:bottom w:val="nil"/>
              <w:right w:val="nil"/>
            </w:tcBorders>
          </w:tcPr>
          <w:p w14:paraId="5CB087CB" w14:textId="77777777" w:rsidR="005154E6" w:rsidRPr="009143FE" w:rsidRDefault="005154E6" w:rsidP="004E2561">
            <w:pPr>
              <w:pStyle w:val="TableText"/>
            </w:pPr>
            <w:r w:rsidRPr="009143FE">
              <w:t>4</w:t>
            </w:r>
          </w:p>
        </w:tc>
        <w:tc>
          <w:tcPr>
            <w:tcW w:w="1200" w:type="dxa"/>
            <w:tcBorders>
              <w:top w:val="nil"/>
              <w:left w:val="nil"/>
              <w:bottom w:val="nil"/>
              <w:right w:val="nil"/>
            </w:tcBorders>
          </w:tcPr>
          <w:p w14:paraId="7B56693C" w14:textId="77777777" w:rsidR="005154E6" w:rsidRPr="009143FE" w:rsidRDefault="005154E6" w:rsidP="004E2561">
            <w:pPr>
              <w:pStyle w:val="TableText"/>
            </w:pPr>
            <w:r w:rsidRPr="009143FE">
              <w:t>29A</w:t>
            </w:r>
          </w:p>
        </w:tc>
        <w:tc>
          <w:tcPr>
            <w:tcW w:w="4807" w:type="dxa"/>
            <w:tcBorders>
              <w:top w:val="nil"/>
              <w:left w:val="nil"/>
              <w:bottom w:val="nil"/>
              <w:right w:val="nil"/>
            </w:tcBorders>
          </w:tcPr>
          <w:p w14:paraId="3D10119E" w14:textId="77777777" w:rsidR="005154E6" w:rsidRPr="009143FE" w:rsidRDefault="005154E6" w:rsidP="004E2561">
            <w:pPr>
              <w:pStyle w:val="TableText"/>
            </w:pPr>
            <w:r w:rsidRPr="009143FE">
              <w:t>driving motor vehicle at police</w:t>
            </w:r>
          </w:p>
        </w:tc>
      </w:tr>
      <w:tr w:rsidR="005154E6" w:rsidRPr="009143FE" w14:paraId="72F49114" w14:textId="77777777" w:rsidTr="004E2561">
        <w:tc>
          <w:tcPr>
            <w:tcW w:w="1080" w:type="dxa"/>
            <w:tcBorders>
              <w:top w:val="nil"/>
              <w:left w:val="nil"/>
              <w:bottom w:val="nil"/>
              <w:right w:val="nil"/>
            </w:tcBorders>
          </w:tcPr>
          <w:p w14:paraId="5E89F11C" w14:textId="77777777" w:rsidR="005154E6" w:rsidRPr="009143FE" w:rsidRDefault="005154E6" w:rsidP="004E2561">
            <w:pPr>
              <w:pStyle w:val="TableText"/>
            </w:pPr>
            <w:r w:rsidRPr="009143FE">
              <w:t>5</w:t>
            </w:r>
          </w:p>
        </w:tc>
        <w:tc>
          <w:tcPr>
            <w:tcW w:w="1200" w:type="dxa"/>
            <w:tcBorders>
              <w:top w:val="nil"/>
              <w:left w:val="nil"/>
              <w:bottom w:val="nil"/>
              <w:right w:val="nil"/>
            </w:tcBorders>
          </w:tcPr>
          <w:p w14:paraId="6CF3A572" w14:textId="77777777" w:rsidR="005154E6" w:rsidRPr="009143FE" w:rsidRDefault="005154E6" w:rsidP="004E2561">
            <w:pPr>
              <w:pStyle w:val="TableText"/>
            </w:pPr>
            <w:r w:rsidRPr="009143FE">
              <w:t>51</w:t>
            </w:r>
          </w:p>
        </w:tc>
        <w:tc>
          <w:tcPr>
            <w:tcW w:w="4807" w:type="dxa"/>
            <w:tcBorders>
              <w:top w:val="nil"/>
              <w:left w:val="nil"/>
              <w:bottom w:val="nil"/>
              <w:right w:val="nil"/>
            </w:tcBorders>
          </w:tcPr>
          <w:p w14:paraId="5A1F044B" w14:textId="77777777" w:rsidR="005154E6" w:rsidRPr="009143FE" w:rsidRDefault="005154E6" w:rsidP="004E2561">
            <w:pPr>
              <w:pStyle w:val="TableText"/>
            </w:pPr>
            <w:r w:rsidRPr="009143FE">
              <w:t>sexual assault in the first degree</w:t>
            </w:r>
          </w:p>
        </w:tc>
      </w:tr>
      <w:tr w:rsidR="005154E6" w:rsidRPr="009143FE" w14:paraId="4A7FD6F6" w14:textId="77777777" w:rsidTr="004E2561">
        <w:tc>
          <w:tcPr>
            <w:tcW w:w="1080" w:type="dxa"/>
            <w:tcBorders>
              <w:top w:val="nil"/>
              <w:left w:val="nil"/>
              <w:bottom w:val="nil"/>
              <w:right w:val="nil"/>
            </w:tcBorders>
          </w:tcPr>
          <w:p w14:paraId="2B6E9252" w14:textId="77777777" w:rsidR="005154E6" w:rsidRPr="009143FE" w:rsidRDefault="005154E6" w:rsidP="004E2561">
            <w:pPr>
              <w:pStyle w:val="TableText"/>
            </w:pPr>
            <w:r w:rsidRPr="009143FE">
              <w:t>6</w:t>
            </w:r>
          </w:p>
        </w:tc>
        <w:tc>
          <w:tcPr>
            <w:tcW w:w="1200" w:type="dxa"/>
            <w:tcBorders>
              <w:top w:val="nil"/>
              <w:left w:val="nil"/>
              <w:bottom w:val="nil"/>
              <w:right w:val="nil"/>
            </w:tcBorders>
          </w:tcPr>
          <w:p w14:paraId="4BF0168D" w14:textId="77777777" w:rsidR="005154E6" w:rsidRPr="009143FE" w:rsidRDefault="005154E6" w:rsidP="004E2561">
            <w:pPr>
              <w:pStyle w:val="TableText"/>
            </w:pPr>
            <w:r w:rsidRPr="009143FE">
              <w:t>52</w:t>
            </w:r>
          </w:p>
        </w:tc>
        <w:tc>
          <w:tcPr>
            <w:tcW w:w="4807" w:type="dxa"/>
            <w:tcBorders>
              <w:top w:val="nil"/>
              <w:left w:val="nil"/>
              <w:bottom w:val="nil"/>
              <w:right w:val="nil"/>
            </w:tcBorders>
          </w:tcPr>
          <w:p w14:paraId="549DF2FE" w14:textId="77777777" w:rsidR="005154E6" w:rsidRPr="009143FE" w:rsidRDefault="005154E6" w:rsidP="004E2561">
            <w:pPr>
              <w:pStyle w:val="TableText"/>
            </w:pPr>
            <w:r w:rsidRPr="009143FE">
              <w:t>sexual assault in the second degree</w:t>
            </w:r>
          </w:p>
        </w:tc>
      </w:tr>
      <w:tr w:rsidR="005154E6" w:rsidRPr="009143FE" w14:paraId="27081D66" w14:textId="77777777" w:rsidTr="004E2561">
        <w:tc>
          <w:tcPr>
            <w:tcW w:w="1080" w:type="dxa"/>
            <w:tcBorders>
              <w:top w:val="nil"/>
              <w:left w:val="nil"/>
              <w:bottom w:val="nil"/>
              <w:right w:val="nil"/>
            </w:tcBorders>
          </w:tcPr>
          <w:p w14:paraId="2566694B" w14:textId="77777777" w:rsidR="005154E6" w:rsidRPr="009143FE" w:rsidRDefault="005154E6" w:rsidP="004E2561">
            <w:pPr>
              <w:pStyle w:val="TableText"/>
            </w:pPr>
            <w:r w:rsidRPr="009143FE">
              <w:t>7</w:t>
            </w:r>
          </w:p>
        </w:tc>
        <w:tc>
          <w:tcPr>
            <w:tcW w:w="1200" w:type="dxa"/>
            <w:tcBorders>
              <w:top w:val="nil"/>
              <w:left w:val="nil"/>
              <w:bottom w:val="nil"/>
              <w:right w:val="nil"/>
            </w:tcBorders>
          </w:tcPr>
          <w:p w14:paraId="64E2387D" w14:textId="77777777" w:rsidR="005154E6" w:rsidRPr="009143FE" w:rsidRDefault="005154E6" w:rsidP="004E2561">
            <w:pPr>
              <w:pStyle w:val="TableText"/>
            </w:pPr>
            <w:r w:rsidRPr="009143FE">
              <w:t>53</w:t>
            </w:r>
          </w:p>
        </w:tc>
        <w:tc>
          <w:tcPr>
            <w:tcW w:w="4807" w:type="dxa"/>
            <w:tcBorders>
              <w:top w:val="nil"/>
              <w:left w:val="nil"/>
              <w:bottom w:val="nil"/>
              <w:right w:val="nil"/>
            </w:tcBorders>
          </w:tcPr>
          <w:p w14:paraId="559DEFDF" w14:textId="77777777" w:rsidR="005154E6" w:rsidRPr="009143FE" w:rsidRDefault="005154E6" w:rsidP="004E2561">
            <w:pPr>
              <w:pStyle w:val="TableText"/>
            </w:pPr>
            <w:r w:rsidRPr="009143FE">
              <w:t>sexual assault in the third degree</w:t>
            </w:r>
          </w:p>
        </w:tc>
      </w:tr>
      <w:tr w:rsidR="005154E6" w:rsidRPr="009143FE" w14:paraId="02499EDB" w14:textId="77777777" w:rsidTr="004E2561">
        <w:tc>
          <w:tcPr>
            <w:tcW w:w="1080" w:type="dxa"/>
            <w:tcBorders>
              <w:top w:val="nil"/>
              <w:left w:val="nil"/>
              <w:bottom w:val="nil"/>
              <w:right w:val="nil"/>
            </w:tcBorders>
          </w:tcPr>
          <w:p w14:paraId="7D5C8E4B" w14:textId="77777777" w:rsidR="005154E6" w:rsidRPr="009143FE" w:rsidRDefault="005154E6" w:rsidP="004E2561">
            <w:pPr>
              <w:pStyle w:val="TableText"/>
            </w:pPr>
            <w:r w:rsidRPr="009143FE">
              <w:t>8</w:t>
            </w:r>
          </w:p>
        </w:tc>
        <w:tc>
          <w:tcPr>
            <w:tcW w:w="1200" w:type="dxa"/>
            <w:tcBorders>
              <w:top w:val="nil"/>
              <w:left w:val="nil"/>
              <w:bottom w:val="nil"/>
              <w:right w:val="nil"/>
            </w:tcBorders>
          </w:tcPr>
          <w:p w14:paraId="62CBD4F2" w14:textId="77777777" w:rsidR="005154E6" w:rsidRPr="009143FE" w:rsidRDefault="005154E6" w:rsidP="004E2561">
            <w:pPr>
              <w:pStyle w:val="TableText"/>
            </w:pPr>
            <w:r w:rsidRPr="009143FE">
              <w:t>54</w:t>
            </w:r>
          </w:p>
        </w:tc>
        <w:tc>
          <w:tcPr>
            <w:tcW w:w="4807" w:type="dxa"/>
            <w:tcBorders>
              <w:top w:val="nil"/>
              <w:left w:val="nil"/>
              <w:bottom w:val="nil"/>
              <w:right w:val="nil"/>
            </w:tcBorders>
          </w:tcPr>
          <w:p w14:paraId="40B531F0" w14:textId="77777777" w:rsidR="005154E6" w:rsidRPr="009143FE" w:rsidRDefault="005154E6" w:rsidP="004E2561">
            <w:pPr>
              <w:pStyle w:val="TableText"/>
            </w:pPr>
            <w:r w:rsidRPr="009143FE">
              <w:t>sexual intercourse without consent</w:t>
            </w:r>
          </w:p>
        </w:tc>
      </w:tr>
      <w:tr w:rsidR="005154E6" w:rsidRPr="009143FE" w14:paraId="55BEDCC4" w14:textId="77777777" w:rsidTr="004E2561">
        <w:tc>
          <w:tcPr>
            <w:tcW w:w="1080" w:type="dxa"/>
            <w:tcBorders>
              <w:top w:val="nil"/>
              <w:left w:val="nil"/>
              <w:bottom w:val="nil"/>
              <w:right w:val="nil"/>
            </w:tcBorders>
          </w:tcPr>
          <w:p w14:paraId="5D5FE2CA" w14:textId="77777777" w:rsidR="005154E6" w:rsidRPr="009143FE" w:rsidRDefault="005154E6" w:rsidP="004E2561">
            <w:pPr>
              <w:pStyle w:val="TableText"/>
            </w:pPr>
            <w:r w:rsidRPr="009143FE">
              <w:t>9</w:t>
            </w:r>
          </w:p>
        </w:tc>
        <w:tc>
          <w:tcPr>
            <w:tcW w:w="1200" w:type="dxa"/>
            <w:tcBorders>
              <w:top w:val="nil"/>
              <w:left w:val="nil"/>
              <w:bottom w:val="nil"/>
              <w:right w:val="nil"/>
            </w:tcBorders>
          </w:tcPr>
          <w:p w14:paraId="428C582B" w14:textId="77777777" w:rsidR="005154E6" w:rsidRPr="009143FE" w:rsidRDefault="005154E6" w:rsidP="004E2561">
            <w:pPr>
              <w:pStyle w:val="TableText"/>
            </w:pPr>
            <w:r w:rsidRPr="009143FE">
              <w:t>55 (1)</w:t>
            </w:r>
          </w:p>
        </w:tc>
        <w:tc>
          <w:tcPr>
            <w:tcW w:w="4807" w:type="dxa"/>
            <w:tcBorders>
              <w:top w:val="nil"/>
              <w:left w:val="nil"/>
              <w:bottom w:val="nil"/>
              <w:right w:val="nil"/>
            </w:tcBorders>
          </w:tcPr>
          <w:p w14:paraId="1D1F52F9" w14:textId="77777777" w:rsidR="005154E6" w:rsidRPr="009143FE" w:rsidRDefault="005154E6" w:rsidP="004E2561">
            <w:pPr>
              <w:pStyle w:val="TableText"/>
            </w:pPr>
            <w:r w:rsidRPr="009143FE">
              <w:t>sexual intercourse with young person under 10 years old</w:t>
            </w:r>
          </w:p>
        </w:tc>
      </w:tr>
      <w:tr w:rsidR="005154E6" w:rsidRPr="009143FE" w14:paraId="23BC2AE2" w14:textId="77777777" w:rsidTr="004E2561">
        <w:tc>
          <w:tcPr>
            <w:tcW w:w="1080" w:type="dxa"/>
            <w:tcBorders>
              <w:top w:val="nil"/>
              <w:left w:val="nil"/>
              <w:bottom w:val="nil"/>
              <w:right w:val="nil"/>
            </w:tcBorders>
          </w:tcPr>
          <w:p w14:paraId="162841E4" w14:textId="77777777" w:rsidR="005154E6" w:rsidRPr="009143FE" w:rsidRDefault="005154E6" w:rsidP="004E2561">
            <w:pPr>
              <w:pStyle w:val="TableText"/>
              <w:rPr>
                <w:color w:val="000000"/>
              </w:rPr>
            </w:pPr>
            <w:r w:rsidRPr="009143FE">
              <w:rPr>
                <w:color w:val="000000"/>
              </w:rPr>
              <w:t>10</w:t>
            </w:r>
          </w:p>
        </w:tc>
        <w:tc>
          <w:tcPr>
            <w:tcW w:w="1200" w:type="dxa"/>
            <w:tcBorders>
              <w:top w:val="nil"/>
              <w:left w:val="nil"/>
              <w:bottom w:val="nil"/>
              <w:right w:val="nil"/>
            </w:tcBorders>
          </w:tcPr>
          <w:p w14:paraId="217496E1" w14:textId="77777777" w:rsidR="005154E6" w:rsidRPr="009143FE" w:rsidRDefault="005154E6" w:rsidP="004E2561">
            <w:pPr>
              <w:pStyle w:val="TableText"/>
              <w:rPr>
                <w:color w:val="000000"/>
              </w:rPr>
            </w:pPr>
            <w:r w:rsidRPr="009143FE">
              <w:rPr>
                <w:color w:val="000000"/>
              </w:rPr>
              <w:t>55 (3)</w:t>
            </w:r>
          </w:p>
        </w:tc>
        <w:tc>
          <w:tcPr>
            <w:tcW w:w="4807" w:type="dxa"/>
            <w:tcBorders>
              <w:top w:val="nil"/>
              <w:left w:val="nil"/>
              <w:bottom w:val="nil"/>
              <w:right w:val="nil"/>
            </w:tcBorders>
          </w:tcPr>
          <w:p w14:paraId="10CD016B" w14:textId="77777777" w:rsidR="005154E6" w:rsidRPr="009143FE" w:rsidRDefault="005154E6" w:rsidP="004E2561">
            <w:pPr>
              <w:pStyle w:val="TableText"/>
              <w:rPr>
                <w:color w:val="000000"/>
              </w:rPr>
            </w:pPr>
            <w:r w:rsidRPr="009143FE">
              <w:rPr>
                <w:color w:val="000000"/>
              </w:rPr>
              <w:t>sexual intercourse with young person under 16 years old</w:t>
            </w:r>
          </w:p>
        </w:tc>
      </w:tr>
      <w:tr w:rsidR="005154E6" w:rsidRPr="009143FE" w14:paraId="39BCABB4" w14:textId="77777777" w:rsidTr="004E2561">
        <w:tc>
          <w:tcPr>
            <w:tcW w:w="1080" w:type="dxa"/>
            <w:tcBorders>
              <w:top w:val="nil"/>
              <w:left w:val="nil"/>
              <w:bottom w:val="nil"/>
              <w:right w:val="nil"/>
            </w:tcBorders>
          </w:tcPr>
          <w:p w14:paraId="04C5DEBF" w14:textId="77777777" w:rsidR="005154E6" w:rsidRPr="009143FE" w:rsidRDefault="005154E6" w:rsidP="004E2561">
            <w:pPr>
              <w:pStyle w:val="TableText"/>
              <w:rPr>
                <w:color w:val="000000"/>
              </w:rPr>
            </w:pPr>
            <w:r w:rsidRPr="009143FE">
              <w:rPr>
                <w:color w:val="000000"/>
              </w:rPr>
              <w:t>11</w:t>
            </w:r>
          </w:p>
        </w:tc>
        <w:tc>
          <w:tcPr>
            <w:tcW w:w="1200" w:type="dxa"/>
            <w:tcBorders>
              <w:top w:val="nil"/>
              <w:left w:val="nil"/>
              <w:bottom w:val="nil"/>
              <w:right w:val="nil"/>
            </w:tcBorders>
          </w:tcPr>
          <w:p w14:paraId="35FEF32B" w14:textId="77777777" w:rsidR="005154E6" w:rsidRPr="009143FE" w:rsidRDefault="005154E6" w:rsidP="004E2561">
            <w:pPr>
              <w:pStyle w:val="TableText"/>
              <w:rPr>
                <w:color w:val="000000"/>
              </w:rPr>
            </w:pPr>
            <w:r w:rsidRPr="009143FE">
              <w:rPr>
                <w:color w:val="000000"/>
              </w:rPr>
              <w:t>55A (1)</w:t>
            </w:r>
          </w:p>
        </w:tc>
        <w:tc>
          <w:tcPr>
            <w:tcW w:w="4807" w:type="dxa"/>
            <w:tcBorders>
              <w:top w:val="nil"/>
              <w:left w:val="nil"/>
              <w:bottom w:val="nil"/>
              <w:right w:val="nil"/>
            </w:tcBorders>
          </w:tcPr>
          <w:p w14:paraId="10C391CA" w14:textId="77777777" w:rsidR="005154E6" w:rsidRPr="009143FE" w:rsidRDefault="005154E6" w:rsidP="004E2561">
            <w:pPr>
              <w:pStyle w:val="TableText"/>
              <w:rPr>
                <w:color w:val="000000"/>
              </w:rPr>
            </w:pPr>
            <w:r w:rsidRPr="009143FE">
              <w:rPr>
                <w:color w:val="000000"/>
              </w:rPr>
              <w:t>sexual intercourse with young person under special care</w:t>
            </w:r>
          </w:p>
        </w:tc>
      </w:tr>
      <w:tr w:rsidR="005154E6" w:rsidRPr="009143FE" w14:paraId="7894DA16" w14:textId="77777777" w:rsidTr="004E2561">
        <w:tc>
          <w:tcPr>
            <w:tcW w:w="1080" w:type="dxa"/>
            <w:tcBorders>
              <w:top w:val="nil"/>
              <w:left w:val="nil"/>
              <w:bottom w:val="nil"/>
              <w:right w:val="nil"/>
            </w:tcBorders>
          </w:tcPr>
          <w:p w14:paraId="1613F082" w14:textId="77777777" w:rsidR="005154E6" w:rsidRPr="009143FE" w:rsidRDefault="005154E6" w:rsidP="004E2561">
            <w:pPr>
              <w:pStyle w:val="TableText"/>
              <w:rPr>
                <w:color w:val="000000"/>
              </w:rPr>
            </w:pPr>
            <w:r w:rsidRPr="009143FE">
              <w:rPr>
                <w:color w:val="000000"/>
              </w:rPr>
              <w:t>12</w:t>
            </w:r>
          </w:p>
        </w:tc>
        <w:tc>
          <w:tcPr>
            <w:tcW w:w="1200" w:type="dxa"/>
            <w:tcBorders>
              <w:top w:val="nil"/>
              <w:left w:val="nil"/>
              <w:bottom w:val="nil"/>
              <w:right w:val="nil"/>
            </w:tcBorders>
          </w:tcPr>
          <w:p w14:paraId="15FE7615" w14:textId="77777777" w:rsidR="005154E6" w:rsidRPr="009143FE" w:rsidRDefault="005154E6" w:rsidP="004E2561">
            <w:pPr>
              <w:pStyle w:val="TableText"/>
              <w:rPr>
                <w:color w:val="000000"/>
              </w:rPr>
            </w:pPr>
            <w:r w:rsidRPr="009143FE">
              <w:rPr>
                <w:color w:val="000000"/>
              </w:rPr>
              <w:t>56 (1)</w:t>
            </w:r>
          </w:p>
        </w:tc>
        <w:tc>
          <w:tcPr>
            <w:tcW w:w="4807" w:type="dxa"/>
            <w:tcBorders>
              <w:top w:val="nil"/>
              <w:left w:val="nil"/>
              <w:bottom w:val="nil"/>
              <w:right w:val="nil"/>
            </w:tcBorders>
          </w:tcPr>
          <w:p w14:paraId="5E04C8B6" w14:textId="77777777" w:rsidR="005154E6" w:rsidRPr="009143FE" w:rsidRDefault="005154E6" w:rsidP="004E2561">
            <w:pPr>
              <w:pStyle w:val="TableText"/>
              <w:rPr>
                <w:color w:val="000000"/>
              </w:rPr>
            </w:pPr>
            <w:r w:rsidRPr="009143FE">
              <w:rPr>
                <w:color w:val="000000"/>
              </w:rPr>
              <w:t>persistent sexual abuse of child or young person under special care</w:t>
            </w:r>
          </w:p>
        </w:tc>
      </w:tr>
      <w:tr w:rsidR="005154E6" w:rsidRPr="009143FE" w14:paraId="236AC385" w14:textId="77777777" w:rsidTr="004E2561">
        <w:tc>
          <w:tcPr>
            <w:tcW w:w="1080" w:type="dxa"/>
            <w:tcBorders>
              <w:top w:val="nil"/>
              <w:left w:val="nil"/>
              <w:bottom w:val="nil"/>
              <w:right w:val="nil"/>
            </w:tcBorders>
          </w:tcPr>
          <w:p w14:paraId="017F7462" w14:textId="77777777" w:rsidR="005154E6" w:rsidRPr="009143FE" w:rsidRDefault="005154E6" w:rsidP="004E2561">
            <w:pPr>
              <w:pStyle w:val="TableText"/>
            </w:pPr>
            <w:r w:rsidRPr="009143FE">
              <w:t>13</w:t>
            </w:r>
          </w:p>
        </w:tc>
        <w:tc>
          <w:tcPr>
            <w:tcW w:w="1200" w:type="dxa"/>
            <w:tcBorders>
              <w:top w:val="nil"/>
              <w:left w:val="nil"/>
              <w:bottom w:val="nil"/>
              <w:right w:val="nil"/>
            </w:tcBorders>
          </w:tcPr>
          <w:p w14:paraId="11A086C8" w14:textId="77777777" w:rsidR="005154E6" w:rsidRPr="009143FE" w:rsidRDefault="005154E6" w:rsidP="004E2561">
            <w:pPr>
              <w:pStyle w:val="TableText"/>
            </w:pPr>
            <w:r w:rsidRPr="009143FE">
              <w:t>62</w:t>
            </w:r>
          </w:p>
        </w:tc>
        <w:tc>
          <w:tcPr>
            <w:tcW w:w="4807" w:type="dxa"/>
            <w:tcBorders>
              <w:top w:val="nil"/>
              <w:left w:val="nil"/>
              <w:bottom w:val="nil"/>
              <w:right w:val="nil"/>
            </w:tcBorders>
          </w:tcPr>
          <w:p w14:paraId="565F5C74" w14:textId="77777777" w:rsidR="005154E6" w:rsidRPr="009143FE" w:rsidRDefault="005154E6" w:rsidP="004E2561">
            <w:pPr>
              <w:pStyle w:val="TableText"/>
            </w:pPr>
            <w:r w:rsidRPr="009143FE">
              <w:t>incest and similar offences</w:t>
            </w:r>
          </w:p>
        </w:tc>
      </w:tr>
      <w:tr w:rsidR="005154E6" w:rsidRPr="009143FE" w14:paraId="3E68C3F9" w14:textId="77777777" w:rsidTr="004E2561">
        <w:tc>
          <w:tcPr>
            <w:tcW w:w="1080" w:type="dxa"/>
            <w:tcBorders>
              <w:top w:val="nil"/>
              <w:left w:val="nil"/>
              <w:bottom w:val="nil"/>
              <w:right w:val="nil"/>
            </w:tcBorders>
          </w:tcPr>
          <w:p w14:paraId="51DB7A5D" w14:textId="77777777" w:rsidR="005154E6" w:rsidRPr="009143FE" w:rsidRDefault="005154E6" w:rsidP="004E2561">
            <w:pPr>
              <w:pStyle w:val="TableText"/>
            </w:pPr>
            <w:r w:rsidRPr="009143FE">
              <w:t>14</w:t>
            </w:r>
          </w:p>
        </w:tc>
        <w:tc>
          <w:tcPr>
            <w:tcW w:w="1200" w:type="dxa"/>
            <w:tcBorders>
              <w:top w:val="nil"/>
              <w:left w:val="nil"/>
              <w:bottom w:val="nil"/>
              <w:right w:val="nil"/>
            </w:tcBorders>
          </w:tcPr>
          <w:p w14:paraId="6BF232B3" w14:textId="77777777" w:rsidR="005154E6" w:rsidRPr="009143FE" w:rsidRDefault="005154E6" w:rsidP="004E2561">
            <w:pPr>
              <w:pStyle w:val="TableText"/>
              <w:keepNext/>
            </w:pPr>
            <w:r w:rsidRPr="009143FE">
              <w:t>64</w:t>
            </w:r>
          </w:p>
        </w:tc>
        <w:tc>
          <w:tcPr>
            <w:tcW w:w="4807" w:type="dxa"/>
            <w:tcBorders>
              <w:top w:val="nil"/>
              <w:left w:val="nil"/>
              <w:bottom w:val="nil"/>
              <w:right w:val="nil"/>
            </w:tcBorders>
          </w:tcPr>
          <w:p w14:paraId="458FF2F7" w14:textId="77777777" w:rsidR="005154E6" w:rsidRPr="009143FE" w:rsidRDefault="005154E6" w:rsidP="004E2561">
            <w:pPr>
              <w:pStyle w:val="TableText"/>
              <w:keepNext/>
            </w:pPr>
            <w:r w:rsidRPr="009143FE">
              <w:t>using child for production of child exploitation material etc</w:t>
            </w:r>
          </w:p>
        </w:tc>
      </w:tr>
      <w:tr w:rsidR="005154E6" w:rsidRPr="009143FE" w14:paraId="6942992E" w14:textId="77777777" w:rsidTr="004E2561">
        <w:tc>
          <w:tcPr>
            <w:tcW w:w="1080" w:type="dxa"/>
            <w:tcBorders>
              <w:top w:val="nil"/>
              <w:left w:val="nil"/>
              <w:bottom w:val="nil"/>
              <w:right w:val="nil"/>
            </w:tcBorders>
          </w:tcPr>
          <w:p w14:paraId="543303EB" w14:textId="77777777" w:rsidR="005154E6" w:rsidRPr="009143FE" w:rsidRDefault="005154E6" w:rsidP="004E2561">
            <w:pPr>
              <w:pStyle w:val="TableText"/>
            </w:pPr>
            <w:r w:rsidRPr="009143FE">
              <w:lastRenderedPageBreak/>
              <w:t>15</w:t>
            </w:r>
          </w:p>
        </w:tc>
        <w:tc>
          <w:tcPr>
            <w:tcW w:w="1200" w:type="dxa"/>
            <w:tcBorders>
              <w:top w:val="nil"/>
              <w:left w:val="nil"/>
              <w:bottom w:val="nil"/>
              <w:right w:val="nil"/>
            </w:tcBorders>
          </w:tcPr>
          <w:p w14:paraId="442A2DC1" w14:textId="77777777" w:rsidR="005154E6" w:rsidRPr="009143FE" w:rsidRDefault="005154E6" w:rsidP="004E2561">
            <w:pPr>
              <w:pStyle w:val="TableText"/>
            </w:pPr>
            <w:r w:rsidRPr="009143FE">
              <w:t>66</w:t>
            </w:r>
          </w:p>
        </w:tc>
        <w:tc>
          <w:tcPr>
            <w:tcW w:w="4807" w:type="dxa"/>
            <w:tcBorders>
              <w:top w:val="nil"/>
              <w:left w:val="nil"/>
              <w:bottom w:val="nil"/>
              <w:right w:val="nil"/>
            </w:tcBorders>
          </w:tcPr>
          <w:p w14:paraId="212A27B9" w14:textId="77777777" w:rsidR="005154E6" w:rsidRPr="009143FE" w:rsidRDefault="005154E6" w:rsidP="004E2561">
            <w:pPr>
              <w:pStyle w:val="TableText"/>
            </w:pPr>
            <w:r w:rsidRPr="009143FE">
              <w:t>grooming and depraving young people</w:t>
            </w:r>
          </w:p>
        </w:tc>
      </w:tr>
    </w:tbl>
    <w:p w14:paraId="3AFB63A9" w14:textId="77777777" w:rsidR="005154E6" w:rsidRPr="009143FE" w:rsidRDefault="005154E6" w:rsidP="005154E6">
      <w:pPr>
        <w:pStyle w:val="AH3sec"/>
        <w:tabs>
          <w:tab w:val="clear" w:pos="284"/>
          <w:tab w:val="num" w:pos="360"/>
        </w:tabs>
      </w:pPr>
      <w:r w:rsidRPr="009143FE">
        <w:br/>
        <w:t>Clause 15</w:t>
      </w:r>
      <w:r w:rsidRPr="009143FE">
        <w:br/>
        <w:t>Proposed new section 82B (2)</w:t>
      </w:r>
      <w:r w:rsidRPr="009143FE">
        <w:br/>
        <w:t>Page 13, line 18—</w:t>
      </w:r>
    </w:p>
    <w:p w14:paraId="592B1E17" w14:textId="77777777" w:rsidR="005154E6" w:rsidRPr="009143FE" w:rsidRDefault="005154E6" w:rsidP="005154E6">
      <w:pPr>
        <w:pStyle w:val="direction"/>
      </w:pPr>
      <w:r w:rsidRPr="009143FE">
        <w:t>omit</w:t>
      </w:r>
    </w:p>
    <w:p w14:paraId="662E2E12" w14:textId="77777777" w:rsidR="005154E6" w:rsidRPr="009143FE" w:rsidRDefault="005154E6" w:rsidP="005154E6">
      <w:pPr>
        <w:pStyle w:val="Amainreturn"/>
      </w:pPr>
      <w:r w:rsidRPr="009143FE">
        <w:t>hear and decide the provisional amendment at any time,</w:t>
      </w:r>
    </w:p>
    <w:p w14:paraId="14AA60F4" w14:textId="77777777" w:rsidR="005154E6" w:rsidRPr="009143FE" w:rsidRDefault="005154E6" w:rsidP="005154E6">
      <w:pPr>
        <w:pStyle w:val="direction"/>
      </w:pPr>
      <w:r w:rsidRPr="009143FE">
        <w:t>substitute</w:t>
      </w:r>
    </w:p>
    <w:p w14:paraId="67562025" w14:textId="77777777" w:rsidR="005154E6" w:rsidRPr="009143FE" w:rsidRDefault="005154E6" w:rsidP="005154E6">
      <w:pPr>
        <w:pStyle w:val="Amainreturn"/>
      </w:pPr>
      <w:r w:rsidRPr="009143FE">
        <w:t>make the provisional amendment at any time before the application for the amendment is decided,</w:t>
      </w:r>
    </w:p>
    <w:p w14:paraId="6E1C0B6C" w14:textId="77777777" w:rsidR="005154E6" w:rsidRPr="009143FE" w:rsidRDefault="005154E6" w:rsidP="005154E6">
      <w:pPr>
        <w:pStyle w:val="AH3sec"/>
        <w:tabs>
          <w:tab w:val="clear" w:pos="284"/>
          <w:tab w:val="num" w:pos="360"/>
        </w:tabs>
      </w:pPr>
      <w:r w:rsidRPr="009143FE">
        <w:br/>
        <w:t>Clause 16</w:t>
      </w:r>
      <w:r w:rsidRPr="009143FE">
        <w:br/>
        <w:t>Proposed new section 91B heading</w:t>
      </w:r>
      <w:r w:rsidRPr="009143FE">
        <w:br/>
        <w:t>Page 16, line 1—</w:t>
      </w:r>
    </w:p>
    <w:p w14:paraId="44EF2239" w14:textId="77777777" w:rsidR="005154E6" w:rsidRPr="009143FE" w:rsidRDefault="005154E6" w:rsidP="005154E6">
      <w:pPr>
        <w:pStyle w:val="direction"/>
      </w:pPr>
      <w:r w:rsidRPr="009143FE">
        <w:t>omit the heading, substitute</w:t>
      </w:r>
    </w:p>
    <w:p w14:paraId="2500C571" w14:textId="77777777" w:rsidR="005154E6" w:rsidRPr="009143FE" w:rsidRDefault="005154E6" w:rsidP="005154E6">
      <w:pPr>
        <w:pStyle w:val="IH5Sec"/>
        <w:keepNext w:val="0"/>
      </w:pPr>
      <w:r w:rsidRPr="009143FE">
        <w:t>91B</w:t>
      </w:r>
      <w:r w:rsidRPr="009143FE">
        <w:tab/>
        <w:t>Magistrate review of registrar decisions</w:t>
      </w:r>
    </w:p>
    <w:p w14:paraId="29A346A3" w14:textId="77777777" w:rsidR="005154E6" w:rsidRPr="009143FE" w:rsidRDefault="005154E6" w:rsidP="005154E6">
      <w:pPr>
        <w:pStyle w:val="AH3sec"/>
        <w:tabs>
          <w:tab w:val="clear" w:pos="284"/>
          <w:tab w:val="num" w:pos="360"/>
        </w:tabs>
      </w:pPr>
      <w:r w:rsidRPr="009143FE">
        <w:br/>
        <w:t>Clause 16</w:t>
      </w:r>
      <w:r w:rsidRPr="009143FE">
        <w:br/>
        <w:t>Proposed new section 91B (1)</w:t>
      </w:r>
      <w:r w:rsidRPr="009143FE">
        <w:br/>
        <w:t>Page 16, lines 5, 9 and 12—</w:t>
      </w:r>
    </w:p>
    <w:p w14:paraId="77D992BC" w14:textId="77777777" w:rsidR="005154E6" w:rsidRPr="009143FE" w:rsidRDefault="005154E6" w:rsidP="005154E6">
      <w:pPr>
        <w:pStyle w:val="direction"/>
      </w:pPr>
      <w:r w:rsidRPr="009143FE">
        <w:t>omit all mentions of</w:t>
      </w:r>
    </w:p>
    <w:p w14:paraId="70DF26FD" w14:textId="77777777" w:rsidR="005154E6" w:rsidRPr="009143FE" w:rsidRDefault="005154E6" w:rsidP="005154E6">
      <w:pPr>
        <w:pStyle w:val="Amainreturn"/>
      </w:pPr>
      <w:r w:rsidRPr="009143FE">
        <w:t>or a deputy registrar</w:t>
      </w:r>
    </w:p>
    <w:p w14:paraId="3BE798F1" w14:textId="77777777" w:rsidR="005154E6" w:rsidRPr="009143FE" w:rsidRDefault="005154E6" w:rsidP="005154E6">
      <w:pPr>
        <w:pStyle w:val="AH3sec"/>
        <w:tabs>
          <w:tab w:val="clear" w:pos="284"/>
          <w:tab w:val="num" w:pos="360"/>
        </w:tabs>
      </w:pPr>
      <w:r w:rsidRPr="009143FE">
        <w:br/>
        <w:t>Clause 16</w:t>
      </w:r>
      <w:r w:rsidRPr="009143FE">
        <w:br/>
        <w:t>Proposed new section 91B (2)</w:t>
      </w:r>
      <w:r w:rsidRPr="009143FE">
        <w:br/>
        <w:t>Page 16, line 13—</w:t>
      </w:r>
    </w:p>
    <w:p w14:paraId="3EE33815" w14:textId="77777777" w:rsidR="005154E6" w:rsidRPr="009143FE" w:rsidRDefault="005154E6" w:rsidP="005154E6">
      <w:pPr>
        <w:pStyle w:val="direction"/>
      </w:pPr>
      <w:r w:rsidRPr="009143FE">
        <w:t>omit</w:t>
      </w:r>
    </w:p>
    <w:p w14:paraId="2DEB5200" w14:textId="77777777" w:rsidR="005154E6" w:rsidRPr="009143FE" w:rsidRDefault="005154E6" w:rsidP="005154E6">
      <w:pPr>
        <w:pStyle w:val="Amainreturn"/>
      </w:pPr>
      <w:r w:rsidRPr="009143FE">
        <w:t>or deputy registrar</w:t>
      </w:r>
    </w:p>
    <w:p w14:paraId="37B591B5" w14:textId="77777777" w:rsidR="005154E6" w:rsidRPr="009143FE" w:rsidRDefault="005154E6" w:rsidP="005154E6">
      <w:pPr>
        <w:pStyle w:val="AH3sec"/>
        <w:tabs>
          <w:tab w:val="clear" w:pos="284"/>
          <w:tab w:val="num" w:pos="360"/>
        </w:tabs>
      </w:pPr>
      <w:r w:rsidRPr="009143FE">
        <w:br/>
        <w:t>Clause 16</w:t>
      </w:r>
      <w:r w:rsidRPr="009143FE">
        <w:br/>
        <w:t>Proposed new section 91B (3A)</w:t>
      </w:r>
      <w:r w:rsidRPr="009143FE">
        <w:br/>
        <w:t>Page 16, line 18—</w:t>
      </w:r>
    </w:p>
    <w:p w14:paraId="4BA3A013" w14:textId="77777777" w:rsidR="005154E6" w:rsidRPr="009143FE" w:rsidRDefault="005154E6" w:rsidP="005154E6">
      <w:pPr>
        <w:pStyle w:val="direction"/>
      </w:pPr>
      <w:r w:rsidRPr="009143FE">
        <w:t>insert</w:t>
      </w:r>
    </w:p>
    <w:p w14:paraId="5F40D224" w14:textId="77777777" w:rsidR="005154E6" w:rsidRPr="009143FE" w:rsidRDefault="005154E6" w:rsidP="005154E6">
      <w:pPr>
        <w:pStyle w:val="IMain"/>
      </w:pPr>
      <w:r w:rsidRPr="009143FE">
        <w:tab/>
        <w:t>(3A)</w:t>
      </w:r>
      <w:r w:rsidRPr="009143FE">
        <w:tab/>
        <w:t>The request may be made orally or in writing.</w:t>
      </w:r>
    </w:p>
    <w:p w14:paraId="54CA95BB" w14:textId="77777777" w:rsidR="005154E6" w:rsidRPr="009143FE" w:rsidRDefault="005154E6" w:rsidP="005154E6">
      <w:pPr>
        <w:pStyle w:val="AH3sec"/>
        <w:tabs>
          <w:tab w:val="clear" w:pos="284"/>
          <w:tab w:val="num" w:pos="360"/>
        </w:tabs>
      </w:pPr>
      <w:r w:rsidRPr="009143FE">
        <w:lastRenderedPageBreak/>
        <w:br/>
        <w:t>Clause 16</w:t>
      </w:r>
      <w:r w:rsidRPr="009143FE">
        <w:br/>
        <w:t>Proposed new section 91B (4) and (5)</w:t>
      </w:r>
      <w:r w:rsidRPr="009143FE">
        <w:br/>
        <w:t>Page 16, lines 20 and 25—</w:t>
      </w:r>
    </w:p>
    <w:p w14:paraId="7ADEFAED" w14:textId="77777777" w:rsidR="005154E6" w:rsidRPr="009143FE" w:rsidRDefault="005154E6" w:rsidP="005154E6">
      <w:pPr>
        <w:pStyle w:val="direction"/>
      </w:pPr>
      <w:r w:rsidRPr="009143FE">
        <w:t>omit all mentions of</w:t>
      </w:r>
    </w:p>
    <w:p w14:paraId="574D47B0" w14:textId="77777777" w:rsidR="005154E6" w:rsidRPr="009143FE" w:rsidRDefault="005154E6" w:rsidP="005154E6">
      <w:pPr>
        <w:pStyle w:val="Amainreturn"/>
      </w:pPr>
      <w:r w:rsidRPr="009143FE">
        <w:t>or deputy registrar</w:t>
      </w:r>
    </w:p>
    <w:p w14:paraId="4AC412DD" w14:textId="77777777" w:rsidR="005154E6" w:rsidRPr="009143FE" w:rsidRDefault="005154E6" w:rsidP="005154E6">
      <w:pPr>
        <w:pStyle w:val="AH3sec"/>
        <w:tabs>
          <w:tab w:val="clear" w:pos="284"/>
          <w:tab w:val="num" w:pos="360"/>
        </w:tabs>
      </w:pPr>
      <w:r w:rsidRPr="009143FE">
        <w:br/>
        <w:t>Clause 16</w:t>
      </w:r>
      <w:r w:rsidRPr="009143FE">
        <w:br/>
        <w:t>Proposed new section 91B (7)</w:t>
      </w:r>
      <w:r w:rsidRPr="009143FE">
        <w:rPr>
          <w:i/>
          <w:iCs/>
        </w:rPr>
        <w:br/>
      </w:r>
      <w:r w:rsidRPr="009143FE">
        <w:t>Page 17, line 1—</w:t>
      </w:r>
    </w:p>
    <w:p w14:paraId="5F147FA6" w14:textId="77777777" w:rsidR="005154E6" w:rsidRPr="009143FE" w:rsidRDefault="005154E6" w:rsidP="005154E6">
      <w:pPr>
        <w:pStyle w:val="direction"/>
      </w:pPr>
      <w:r w:rsidRPr="009143FE">
        <w:t>omit proposed new section 91B (7), substitute</w:t>
      </w:r>
    </w:p>
    <w:p w14:paraId="3071FB91" w14:textId="77777777" w:rsidR="005154E6" w:rsidRPr="009143FE" w:rsidRDefault="005154E6" w:rsidP="005154E6">
      <w:pPr>
        <w:pStyle w:val="IMain"/>
        <w:keepNext/>
      </w:pPr>
      <w:r w:rsidRPr="009143FE">
        <w:tab/>
        <w:t>(7)</w:t>
      </w:r>
      <w:r w:rsidRPr="009143FE">
        <w:tab/>
        <w:t xml:space="preserve">For this section, a decision of the registrar is a </w:t>
      </w:r>
      <w:r w:rsidRPr="009143FE">
        <w:rPr>
          <w:b/>
          <w:bCs/>
          <w:i/>
          <w:iCs/>
        </w:rPr>
        <w:t>relevant decision</w:t>
      </w:r>
      <w:r w:rsidRPr="009143FE">
        <w:t xml:space="preserve"> if it is a decision to—</w:t>
      </w:r>
    </w:p>
    <w:p w14:paraId="1FCCB19C" w14:textId="77777777" w:rsidR="005154E6" w:rsidRPr="009143FE" w:rsidRDefault="005154E6" w:rsidP="005154E6">
      <w:pPr>
        <w:pStyle w:val="Idefpara"/>
      </w:pPr>
      <w:r w:rsidRPr="009143FE">
        <w:tab/>
        <w:t>(a)</w:t>
      </w:r>
      <w:r w:rsidRPr="009143FE">
        <w:tab/>
        <w:t>refuse to make an interim order; or</w:t>
      </w:r>
    </w:p>
    <w:p w14:paraId="0AC66F8A" w14:textId="77777777" w:rsidR="005154E6" w:rsidRPr="009143FE" w:rsidRDefault="005154E6" w:rsidP="005154E6">
      <w:pPr>
        <w:pStyle w:val="Idefpara"/>
      </w:pPr>
      <w:r w:rsidRPr="009143FE">
        <w:tab/>
        <w:t>(b)</w:t>
      </w:r>
      <w:r w:rsidRPr="009143FE">
        <w:tab/>
        <w:t>if section 54 (Respondent not present at return of application) applies—adjourn the proceeding; or</w:t>
      </w:r>
    </w:p>
    <w:p w14:paraId="79B1A7A5" w14:textId="77777777" w:rsidR="005154E6" w:rsidRPr="009143FE" w:rsidRDefault="005154E6" w:rsidP="005154E6">
      <w:pPr>
        <w:pStyle w:val="Idefpara"/>
      </w:pPr>
      <w:r w:rsidRPr="009143FE">
        <w:tab/>
        <w:t>(c)</w:t>
      </w:r>
      <w:r w:rsidRPr="009143FE">
        <w:tab/>
        <w:t>if the applicant for the protection order asks for a condition to be included in an interim order—refuse to include the condition in the interim order.</w:t>
      </w:r>
    </w:p>
    <w:p w14:paraId="2F794CB8" w14:textId="77777777" w:rsidR="005154E6" w:rsidRPr="009143FE" w:rsidRDefault="005154E6" w:rsidP="005154E6">
      <w:pPr>
        <w:pStyle w:val="IMain"/>
      </w:pPr>
      <w:r w:rsidRPr="009143FE">
        <w:tab/>
        <w:t>(8)</w:t>
      </w:r>
      <w:r w:rsidRPr="009143FE">
        <w:tab/>
        <w:t>Despite subsection (7) (c), a decision of the registrar is not a relevant decision if the registrar includes a condition of a similar kind in the interim order.</w:t>
      </w:r>
    </w:p>
    <w:p w14:paraId="5B80F859" w14:textId="77777777" w:rsidR="005154E6" w:rsidRPr="009143FE" w:rsidRDefault="005154E6" w:rsidP="005154E6">
      <w:pPr>
        <w:pStyle w:val="aExamHdgss"/>
      </w:pPr>
      <w:r w:rsidRPr="009143FE">
        <w:t>Example—condition of a similar kind</w:t>
      </w:r>
    </w:p>
    <w:p w14:paraId="7DC44F70" w14:textId="3981D33A" w:rsidR="005154E6" w:rsidRPr="009143FE" w:rsidRDefault="005154E6" w:rsidP="005154E6">
      <w:pPr>
        <w:pStyle w:val="aExamss"/>
      </w:pPr>
      <w:r w:rsidRPr="009143FE">
        <w:t xml:space="preserve">The applicant for a protection order asks for the interim order to include a condition that the </w:t>
      </w:r>
      <w:r w:rsidRPr="009143FE">
        <w:rPr>
          <w:shd w:val="clear" w:color="auto" w:fill="FFFFFF"/>
        </w:rPr>
        <w:t>respondent is prohibited from being within 20m of the applicant. The registrar refuses to include</w:t>
      </w:r>
      <w:r w:rsidRPr="005154E6">
        <w:rPr>
          <w:spacing w:val="-2"/>
          <w:shd w:val="clear" w:color="auto" w:fill="FFFFFF"/>
        </w:rPr>
        <w:t xml:space="preserve"> the requested condition, but includes a condition that</w:t>
      </w:r>
      <w:r w:rsidRPr="009143FE">
        <w:rPr>
          <w:shd w:val="clear" w:color="auto" w:fill="FFFFFF"/>
        </w:rPr>
        <w:t xml:space="preserve"> the respondent is prohibited from being within 50m of the applicant. The condition included in the interim order is a condition of a similar kind to the condition sought by the applicant.</w:t>
      </w:r>
    </w:p>
    <w:p w14:paraId="6F28651C" w14:textId="77777777" w:rsidR="005154E6" w:rsidRPr="009143FE" w:rsidRDefault="005154E6" w:rsidP="005154E6">
      <w:pPr>
        <w:pStyle w:val="AH3sec"/>
        <w:tabs>
          <w:tab w:val="clear" w:pos="284"/>
          <w:tab w:val="num" w:pos="360"/>
        </w:tabs>
      </w:pPr>
      <w:r w:rsidRPr="009143FE">
        <w:br/>
        <w:t>Clause 27</w:t>
      </w:r>
      <w:r w:rsidRPr="009143FE">
        <w:br/>
        <w:t>Proposed new section 83B heading</w:t>
      </w:r>
      <w:r w:rsidRPr="009143FE">
        <w:br/>
        <w:t>Page 26, line 10—</w:t>
      </w:r>
    </w:p>
    <w:p w14:paraId="7BBBD2E3" w14:textId="77777777" w:rsidR="005154E6" w:rsidRPr="009143FE" w:rsidRDefault="005154E6" w:rsidP="005154E6">
      <w:pPr>
        <w:pStyle w:val="direction"/>
      </w:pPr>
      <w:r w:rsidRPr="009143FE">
        <w:t>omit the heading, substitute</w:t>
      </w:r>
    </w:p>
    <w:p w14:paraId="6F964812" w14:textId="77777777" w:rsidR="005154E6" w:rsidRPr="009143FE" w:rsidRDefault="005154E6" w:rsidP="005154E6">
      <w:pPr>
        <w:pStyle w:val="IH5Sec"/>
        <w:keepNext w:val="0"/>
      </w:pPr>
      <w:r w:rsidRPr="009143FE">
        <w:t>83B</w:t>
      </w:r>
      <w:r w:rsidRPr="009143FE">
        <w:tab/>
        <w:t>Magistrate review of registrar decisions</w:t>
      </w:r>
    </w:p>
    <w:p w14:paraId="7357D33F" w14:textId="77777777" w:rsidR="005154E6" w:rsidRPr="009143FE" w:rsidRDefault="005154E6" w:rsidP="005154E6">
      <w:pPr>
        <w:pStyle w:val="AH3sec"/>
        <w:tabs>
          <w:tab w:val="clear" w:pos="284"/>
          <w:tab w:val="num" w:pos="360"/>
        </w:tabs>
      </w:pPr>
      <w:r w:rsidRPr="009143FE">
        <w:br/>
        <w:t>Clause 27</w:t>
      </w:r>
      <w:r w:rsidRPr="009143FE">
        <w:br/>
        <w:t>Proposed new section 83B (1)</w:t>
      </w:r>
      <w:r w:rsidRPr="009143FE">
        <w:br/>
        <w:t>Page 26, lines 14, 18 and 21—</w:t>
      </w:r>
    </w:p>
    <w:p w14:paraId="0B5009B5" w14:textId="77777777" w:rsidR="005154E6" w:rsidRPr="009143FE" w:rsidRDefault="005154E6" w:rsidP="005154E6">
      <w:pPr>
        <w:pStyle w:val="direction"/>
      </w:pPr>
      <w:r w:rsidRPr="009143FE">
        <w:t>omit all mentions of</w:t>
      </w:r>
    </w:p>
    <w:p w14:paraId="189114EF" w14:textId="77777777" w:rsidR="005154E6" w:rsidRPr="009143FE" w:rsidRDefault="005154E6" w:rsidP="005154E6">
      <w:pPr>
        <w:pStyle w:val="Amainreturn"/>
      </w:pPr>
      <w:r w:rsidRPr="009143FE">
        <w:t>or a deputy registrar</w:t>
      </w:r>
    </w:p>
    <w:p w14:paraId="10DCE6CD" w14:textId="77777777" w:rsidR="005154E6" w:rsidRPr="009143FE" w:rsidRDefault="005154E6" w:rsidP="005154E6">
      <w:pPr>
        <w:pStyle w:val="AH3sec"/>
        <w:tabs>
          <w:tab w:val="clear" w:pos="284"/>
          <w:tab w:val="num" w:pos="360"/>
        </w:tabs>
      </w:pPr>
      <w:r w:rsidRPr="009143FE">
        <w:lastRenderedPageBreak/>
        <w:br/>
        <w:t>Clause 27</w:t>
      </w:r>
      <w:r w:rsidRPr="009143FE">
        <w:br/>
        <w:t>Proposed new section 83B (2)</w:t>
      </w:r>
      <w:r w:rsidRPr="009143FE">
        <w:br/>
        <w:t>Page 26, line 22—</w:t>
      </w:r>
    </w:p>
    <w:p w14:paraId="058EEF03" w14:textId="77777777" w:rsidR="005154E6" w:rsidRPr="009143FE" w:rsidRDefault="005154E6" w:rsidP="005154E6">
      <w:pPr>
        <w:pStyle w:val="direction"/>
      </w:pPr>
      <w:r w:rsidRPr="009143FE">
        <w:t>omit</w:t>
      </w:r>
    </w:p>
    <w:p w14:paraId="577403D4" w14:textId="77777777" w:rsidR="005154E6" w:rsidRPr="009143FE" w:rsidRDefault="005154E6" w:rsidP="005154E6">
      <w:pPr>
        <w:pStyle w:val="Amainreturn"/>
      </w:pPr>
      <w:r w:rsidRPr="009143FE">
        <w:t>or deputy registrar</w:t>
      </w:r>
    </w:p>
    <w:p w14:paraId="18C3CFA2" w14:textId="77777777" w:rsidR="005154E6" w:rsidRPr="009143FE" w:rsidRDefault="005154E6" w:rsidP="005154E6">
      <w:pPr>
        <w:pStyle w:val="AH3sec"/>
        <w:tabs>
          <w:tab w:val="clear" w:pos="284"/>
          <w:tab w:val="num" w:pos="360"/>
        </w:tabs>
      </w:pPr>
      <w:r w:rsidRPr="009143FE">
        <w:br/>
        <w:t>Clause 27</w:t>
      </w:r>
      <w:r w:rsidRPr="009143FE">
        <w:br/>
        <w:t>Proposed new section 83B (3A)</w:t>
      </w:r>
      <w:r w:rsidRPr="009143FE">
        <w:br/>
        <w:t>Page 26, line 27—</w:t>
      </w:r>
    </w:p>
    <w:p w14:paraId="2B0137BE" w14:textId="77777777" w:rsidR="005154E6" w:rsidRPr="009143FE" w:rsidRDefault="005154E6" w:rsidP="005154E6">
      <w:pPr>
        <w:pStyle w:val="direction"/>
      </w:pPr>
      <w:r w:rsidRPr="009143FE">
        <w:t>insert</w:t>
      </w:r>
    </w:p>
    <w:p w14:paraId="68C44F36" w14:textId="77777777" w:rsidR="005154E6" w:rsidRPr="009143FE" w:rsidRDefault="005154E6" w:rsidP="005154E6">
      <w:pPr>
        <w:pStyle w:val="IMain"/>
      </w:pPr>
      <w:r w:rsidRPr="009143FE">
        <w:tab/>
        <w:t>(3A)</w:t>
      </w:r>
      <w:r w:rsidRPr="009143FE">
        <w:tab/>
        <w:t>The request may be made orally or in writing.</w:t>
      </w:r>
    </w:p>
    <w:p w14:paraId="4E1FA6A1" w14:textId="77777777" w:rsidR="005154E6" w:rsidRPr="009143FE" w:rsidRDefault="005154E6" w:rsidP="005154E6">
      <w:pPr>
        <w:pStyle w:val="AH3sec"/>
        <w:tabs>
          <w:tab w:val="clear" w:pos="284"/>
          <w:tab w:val="num" w:pos="360"/>
        </w:tabs>
      </w:pPr>
      <w:r w:rsidRPr="009143FE">
        <w:br/>
        <w:t>Clause 27</w:t>
      </w:r>
      <w:r w:rsidRPr="009143FE">
        <w:br/>
        <w:t>Proposed new section 83B (4) and (5)</w:t>
      </w:r>
      <w:r w:rsidRPr="009143FE">
        <w:br/>
        <w:t>Page 27, lines 2 and 7—</w:t>
      </w:r>
    </w:p>
    <w:p w14:paraId="2F484A6D" w14:textId="77777777" w:rsidR="005154E6" w:rsidRPr="009143FE" w:rsidRDefault="005154E6" w:rsidP="005154E6">
      <w:pPr>
        <w:pStyle w:val="direction"/>
      </w:pPr>
      <w:r w:rsidRPr="009143FE">
        <w:t>omit all mentions of</w:t>
      </w:r>
    </w:p>
    <w:p w14:paraId="035C0C92" w14:textId="77777777" w:rsidR="005154E6" w:rsidRPr="009143FE" w:rsidRDefault="005154E6" w:rsidP="005154E6">
      <w:pPr>
        <w:pStyle w:val="Amainreturn"/>
      </w:pPr>
      <w:r w:rsidRPr="009143FE">
        <w:t>or deputy registrar</w:t>
      </w:r>
    </w:p>
    <w:p w14:paraId="7D5AEFC3" w14:textId="77777777" w:rsidR="005154E6" w:rsidRPr="009143FE" w:rsidRDefault="005154E6" w:rsidP="005154E6">
      <w:pPr>
        <w:pStyle w:val="AH3sec"/>
        <w:tabs>
          <w:tab w:val="clear" w:pos="284"/>
          <w:tab w:val="num" w:pos="360"/>
        </w:tabs>
      </w:pPr>
      <w:r w:rsidRPr="009143FE">
        <w:br/>
        <w:t>Clause 27</w:t>
      </w:r>
      <w:r w:rsidRPr="009143FE">
        <w:br/>
        <w:t>Proposed new section 83B (7)</w:t>
      </w:r>
      <w:r w:rsidRPr="009143FE">
        <w:br/>
        <w:t>Page 27, line 10—</w:t>
      </w:r>
    </w:p>
    <w:p w14:paraId="24AD0AEC" w14:textId="77777777" w:rsidR="005154E6" w:rsidRPr="009143FE" w:rsidRDefault="005154E6" w:rsidP="005154E6">
      <w:pPr>
        <w:pStyle w:val="direction"/>
      </w:pPr>
      <w:r w:rsidRPr="009143FE">
        <w:t>omit proposed new section 83B (7), substitute</w:t>
      </w:r>
    </w:p>
    <w:p w14:paraId="1D88B59C" w14:textId="77777777" w:rsidR="005154E6" w:rsidRPr="009143FE" w:rsidRDefault="005154E6" w:rsidP="005154E6">
      <w:pPr>
        <w:pStyle w:val="IMain"/>
        <w:keepNext/>
      </w:pPr>
      <w:r w:rsidRPr="009143FE">
        <w:tab/>
        <w:t>(7)</w:t>
      </w:r>
      <w:r w:rsidRPr="009143FE">
        <w:tab/>
        <w:t xml:space="preserve">For this section, a decision of the registrar is a </w:t>
      </w:r>
      <w:r w:rsidRPr="009143FE">
        <w:rPr>
          <w:b/>
          <w:bCs/>
          <w:i/>
          <w:iCs/>
        </w:rPr>
        <w:t>relevant decision</w:t>
      </w:r>
      <w:r w:rsidRPr="009143FE">
        <w:t xml:space="preserve"> if it is a decision to—</w:t>
      </w:r>
    </w:p>
    <w:p w14:paraId="20ABEC27" w14:textId="77777777" w:rsidR="005154E6" w:rsidRPr="009143FE" w:rsidRDefault="005154E6" w:rsidP="005154E6">
      <w:pPr>
        <w:pStyle w:val="Idefpara"/>
      </w:pPr>
      <w:r w:rsidRPr="009143FE">
        <w:tab/>
        <w:t>(a)</w:t>
      </w:r>
      <w:r w:rsidRPr="009143FE">
        <w:tab/>
        <w:t>refuse to make an interim order; or</w:t>
      </w:r>
    </w:p>
    <w:p w14:paraId="7E8F5CC5" w14:textId="77777777" w:rsidR="005154E6" w:rsidRPr="009143FE" w:rsidRDefault="005154E6" w:rsidP="005154E6">
      <w:pPr>
        <w:pStyle w:val="Idefpara"/>
      </w:pPr>
      <w:r w:rsidRPr="009143FE">
        <w:tab/>
        <w:t>(b)</w:t>
      </w:r>
      <w:r w:rsidRPr="009143FE">
        <w:tab/>
        <w:t>if section 49 (Respondent not present at return of application) applies—adjourn the proceeding; or</w:t>
      </w:r>
    </w:p>
    <w:p w14:paraId="5CE6F224" w14:textId="77777777" w:rsidR="005154E6" w:rsidRPr="009143FE" w:rsidRDefault="005154E6" w:rsidP="005154E6">
      <w:pPr>
        <w:pStyle w:val="Idefpara"/>
      </w:pPr>
      <w:r w:rsidRPr="009143FE">
        <w:tab/>
        <w:t>(c)</w:t>
      </w:r>
      <w:r w:rsidRPr="009143FE">
        <w:tab/>
        <w:t>if the applicant for the protection order asks for a condition to be included in an interim order—refuse to include the condition in the interim order.</w:t>
      </w:r>
    </w:p>
    <w:p w14:paraId="22E44398" w14:textId="77777777" w:rsidR="005154E6" w:rsidRPr="009143FE" w:rsidRDefault="005154E6" w:rsidP="005154E6">
      <w:pPr>
        <w:pStyle w:val="IMain"/>
      </w:pPr>
      <w:r w:rsidRPr="009143FE">
        <w:tab/>
        <w:t>(8)</w:t>
      </w:r>
      <w:r w:rsidRPr="009143FE">
        <w:tab/>
        <w:t>Despite subsection (7) (c), a decision of the registrar is not a relevant decision if the registrar includes a condition of a similar kind in the interim order.</w:t>
      </w:r>
    </w:p>
    <w:p w14:paraId="2A01E301" w14:textId="77777777" w:rsidR="005154E6" w:rsidRPr="009143FE" w:rsidRDefault="005154E6" w:rsidP="005154E6">
      <w:pPr>
        <w:pStyle w:val="aExamHdgss"/>
      </w:pPr>
      <w:r w:rsidRPr="009143FE">
        <w:t>Example—condition of a similar kind</w:t>
      </w:r>
    </w:p>
    <w:p w14:paraId="256E6D77" w14:textId="77777777" w:rsidR="005154E6" w:rsidRPr="009143FE" w:rsidRDefault="005154E6" w:rsidP="005154E6">
      <w:pPr>
        <w:pStyle w:val="aExamss"/>
      </w:pPr>
      <w:r w:rsidRPr="009143FE">
        <w:t xml:space="preserve">The applicant for a protection order asks for the interim order to include a condition that the </w:t>
      </w:r>
      <w:r w:rsidRPr="009143FE">
        <w:rPr>
          <w:shd w:val="clear" w:color="auto" w:fill="FFFFFF"/>
        </w:rPr>
        <w:t>respondent is prohibited from being within 20m of the applicant. The registrar refuses to include the</w:t>
      </w:r>
      <w:r w:rsidRPr="005154E6">
        <w:rPr>
          <w:spacing w:val="-2"/>
          <w:shd w:val="clear" w:color="auto" w:fill="FFFFFF"/>
        </w:rPr>
        <w:t xml:space="preserve"> requested condition, but includes a condition</w:t>
      </w:r>
      <w:r w:rsidRPr="009143FE">
        <w:rPr>
          <w:shd w:val="clear" w:color="auto" w:fill="FFFFFF"/>
        </w:rPr>
        <w:t xml:space="preserve"> that the respondent is prohibited from being within 50m of the applicant. The condition included in the interim order is a condition of a similar kind to the condition sought by the applicant.</w:t>
      </w:r>
    </w:p>
    <w:p w14:paraId="186A2861" w14:textId="77777777" w:rsidR="005154E6" w:rsidRPr="009143FE" w:rsidRDefault="005154E6" w:rsidP="005154E6">
      <w:pPr>
        <w:pStyle w:val="N-line1"/>
      </w:pPr>
    </w:p>
    <w:p w14:paraId="778BC813" w14:textId="77777777" w:rsidR="00DF4517" w:rsidRDefault="00DF4517" w:rsidP="00DF4517">
      <w:pPr>
        <w:tabs>
          <w:tab w:val="left" w:pos="1134"/>
          <w:tab w:val="left" w:pos="1197"/>
        </w:tabs>
        <w:spacing w:before="720"/>
        <w:rPr>
          <w:rFonts w:ascii="Calibri" w:hAnsi="Calibri"/>
          <w:b/>
          <w:bCs/>
          <w:sz w:val="28"/>
          <w:szCs w:val="28"/>
          <w:u w:val="single"/>
          <w:lang w:val="en-AU"/>
        </w:rPr>
      </w:pPr>
      <w:r>
        <w:rPr>
          <w:b/>
          <w:bCs/>
          <w:sz w:val="36"/>
          <w:szCs w:val="36"/>
        </w:rPr>
        <w:br w:type="page"/>
      </w:r>
      <w:bookmarkStart w:id="3" w:name="Schedule2"/>
      <w:r w:rsidRPr="00215245">
        <w:rPr>
          <w:rFonts w:ascii="Calibri" w:hAnsi="Calibri"/>
          <w:b/>
          <w:bCs/>
          <w:sz w:val="28"/>
          <w:szCs w:val="28"/>
          <w:u w:val="single"/>
          <w:lang w:val="en-AU"/>
        </w:rPr>
        <w:lastRenderedPageBreak/>
        <w:t xml:space="preserve">Schedule </w:t>
      </w:r>
      <w:r>
        <w:rPr>
          <w:rFonts w:ascii="Calibri" w:hAnsi="Calibri"/>
          <w:b/>
          <w:bCs/>
          <w:sz w:val="28"/>
          <w:szCs w:val="28"/>
          <w:u w:val="single"/>
          <w:lang w:val="en-AU"/>
        </w:rPr>
        <w:t>2</w:t>
      </w:r>
      <w:bookmarkEnd w:id="3"/>
    </w:p>
    <w:p w14:paraId="488776EA" w14:textId="77777777" w:rsidR="00DF4517" w:rsidRDefault="00DF4517" w:rsidP="00DF4517">
      <w:pPr>
        <w:tabs>
          <w:tab w:val="left" w:pos="1134"/>
          <w:tab w:val="left" w:pos="1197"/>
        </w:tabs>
        <w:spacing w:before="720"/>
        <w:rPr>
          <w:rFonts w:ascii="Calibri" w:hAnsi="Calibri"/>
          <w:b/>
          <w:bCs/>
          <w:sz w:val="26"/>
          <w:szCs w:val="26"/>
          <w:u w:val="single"/>
          <w:lang w:val="en-AU"/>
        </w:rPr>
      </w:pPr>
      <w:bookmarkStart w:id="4" w:name="_Hlk170400453"/>
      <w:r>
        <w:rPr>
          <w:rFonts w:ascii="Calibri" w:hAnsi="Calibri"/>
          <w:b/>
          <w:bCs/>
          <w:sz w:val="26"/>
          <w:szCs w:val="26"/>
          <w:u w:val="single"/>
          <w:lang w:val="en-AU"/>
        </w:rPr>
        <w:t>HEALTH LEGISLATION AMENDMENT</w:t>
      </w:r>
      <w:r w:rsidRPr="00CF4A5A">
        <w:rPr>
          <w:rFonts w:ascii="Calibri" w:hAnsi="Calibri"/>
          <w:b/>
          <w:bCs/>
          <w:sz w:val="26"/>
          <w:szCs w:val="26"/>
          <w:u w:val="single"/>
          <w:lang w:val="en-AU"/>
        </w:rPr>
        <w:t xml:space="preserve"> BILL</w:t>
      </w:r>
      <w:r w:rsidRPr="007A246C">
        <w:rPr>
          <w:rFonts w:ascii="Calibri" w:hAnsi="Calibri"/>
          <w:b/>
          <w:bCs/>
          <w:sz w:val="26"/>
          <w:szCs w:val="26"/>
          <w:u w:val="single"/>
          <w:lang w:val="en-AU"/>
        </w:rPr>
        <w:t xml:space="preserve"> 202</w:t>
      </w:r>
      <w:r>
        <w:rPr>
          <w:rFonts w:ascii="Calibri" w:hAnsi="Calibri"/>
          <w:b/>
          <w:bCs/>
          <w:sz w:val="26"/>
          <w:szCs w:val="26"/>
          <w:u w:val="single"/>
          <w:lang w:val="en-AU"/>
        </w:rPr>
        <w:t xml:space="preserve">4 </w:t>
      </w:r>
    </w:p>
    <w:p w14:paraId="0FE9CC26" w14:textId="77777777" w:rsidR="00DF4517" w:rsidRDefault="00DF4517" w:rsidP="00DF4517">
      <w:pPr>
        <w:tabs>
          <w:tab w:val="left" w:pos="1134"/>
          <w:tab w:val="left" w:pos="1197"/>
        </w:tabs>
        <w:spacing w:before="120" w:after="480"/>
        <w:ind w:right="-142"/>
        <w:rPr>
          <w:rFonts w:ascii="Calibri" w:hAnsi="Calibri"/>
          <w:szCs w:val="24"/>
          <w:lang w:val="en-AU"/>
        </w:rPr>
      </w:pPr>
      <w:r>
        <w:rPr>
          <w:rFonts w:ascii="Calibri" w:hAnsi="Calibri"/>
          <w:szCs w:val="24"/>
          <w:lang w:val="en-AU"/>
        </w:rPr>
        <w:t>Amendment circulated by the Minister for Health</w:t>
      </w:r>
    </w:p>
    <w:bookmarkEnd w:id="4"/>
    <w:p w14:paraId="174978D1" w14:textId="77777777" w:rsidR="00DF4517" w:rsidRPr="0099535C" w:rsidRDefault="00DF4517" w:rsidP="00DF4517">
      <w:pPr>
        <w:pStyle w:val="AH3sec"/>
        <w:numPr>
          <w:ilvl w:val="0"/>
          <w:numId w:val="28"/>
        </w:numPr>
        <w:ind w:left="0" w:firstLine="0"/>
      </w:pPr>
      <w:r w:rsidRPr="0099535C">
        <w:br/>
        <w:t>Proposed new clause 4A</w:t>
      </w:r>
      <w:r w:rsidRPr="0099535C">
        <w:br/>
        <w:t>Page 3, line 9—</w:t>
      </w:r>
    </w:p>
    <w:p w14:paraId="78ACA770" w14:textId="77777777" w:rsidR="00DF4517" w:rsidRPr="0099535C" w:rsidRDefault="00DF4517" w:rsidP="00DF4517">
      <w:pPr>
        <w:pStyle w:val="direction"/>
      </w:pPr>
      <w:r w:rsidRPr="0099535C">
        <w:t>insert</w:t>
      </w:r>
    </w:p>
    <w:p w14:paraId="12A078C3" w14:textId="77777777" w:rsidR="00DF4517" w:rsidRPr="0099535C" w:rsidRDefault="00DF4517" w:rsidP="00DF4517">
      <w:pPr>
        <w:pStyle w:val="IshadedH5Sec"/>
      </w:pPr>
      <w:r w:rsidRPr="0099535C">
        <w:t>4A</w:t>
      </w:r>
      <w:r w:rsidRPr="0099535C">
        <w:tab/>
        <w:t>Section 131</w:t>
      </w:r>
    </w:p>
    <w:p w14:paraId="31459B18" w14:textId="77777777" w:rsidR="00DF4517" w:rsidRPr="0099535C" w:rsidRDefault="00DF4517" w:rsidP="00DF4517">
      <w:pPr>
        <w:pStyle w:val="direction"/>
      </w:pPr>
      <w:r w:rsidRPr="0099535C">
        <w:t>substitute</w:t>
      </w:r>
    </w:p>
    <w:p w14:paraId="565BC1C8" w14:textId="77777777" w:rsidR="00DF4517" w:rsidRPr="0099535C" w:rsidRDefault="00DF4517" w:rsidP="00DF4517">
      <w:pPr>
        <w:pStyle w:val="IH5Sec"/>
      </w:pPr>
      <w:bookmarkStart w:id="5" w:name="_Toc162347246"/>
      <w:r w:rsidRPr="0099535C">
        <w:rPr>
          <w:rStyle w:val="CharSectNo"/>
        </w:rPr>
        <w:t>131</w:t>
      </w:r>
      <w:r w:rsidRPr="0099535C">
        <w:tab/>
        <w:t>Completion of family—gametes donated before end of transitional period</w:t>
      </w:r>
      <w:bookmarkEnd w:id="5"/>
    </w:p>
    <w:p w14:paraId="1925FC3C" w14:textId="77777777" w:rsidR="00DF4517" w:rsidRPr="0099535C" w:rsidRDefault="00DF4517" w:rsidP="00DF4517">
      <w:pPr>
        <w:pStyle w:val="IMain"/>
      </w:pPr>
      <w:r w:rsidRPr="0099535C">
        <w:tab/>
        <w:t>(1)</w:t>
      </w:r>
      <w:r w:rsidRPr="0099535C">
        <w:tab/>
        <w:t>This section applies to a donated gamete if, before the end of the transitional period—</w:t>
      </w:r>
    </w:p>
    <w:p w14:paraId="614A56D2" w14:textId="77777777" w:rsidR="00DF4517" w:rsidRPr="0099535C" w:rsidRDefault="00DF4517" w:rsidP="00DF4517">
      <w:pPr>
        <w:pStyle w:val="Ipara"/>
      </w:pPr>
      <w:r w:rsidRPr="0099535C">
        <w:tab/>
        <w:t>(a)</w:t>
      </w:r>
      <w:r w:rsidRPr="0099535C">
        <w:tab/>
        <w:t>the gamete is donated; and</w:t>
      </w:r>
    </w:p>
    <w:p w14:paraId="7BF1AC00" w14:textId="77777777" w:rsidR="00DF4517" w:rsidRPr="0099535C" w:rsidRDefault="00DF4517" w:rsidP="00DF4517">
      <w:pPr>
        <w:pStyle w:val="Ipara"/>
      </w:pPr>
      <w:r w:rsidRPr="0099535C">
        <w:tab/>
        <w:t>(b)</w:t>
      </w:r>
      <w:r w:rsidRPr="0099535C">
        <w:tab/>
        <w:t>a person becomes pregnant as a result of ART treatment using another donated gamete of the donor.</w:t>
      </w:r>
    </w:p>
    <w:p w14:paraId="0160638E" w14:textId="77777777" w:rsidR="00DF4517" w:rsidRPr="0099535C" w:rsidRDefault="00DF4517" w:rsidP="00DF4517">
      <w:pPr>
        <w:pStyle w:val="IMain"/>
      </w:pPr>
      <w:r w:rsidRPr="0099535C">
        <w:tab/>
        <w:t>(2)</w:t>
      </w:r>
      <w:r w:rsidRPr="0099535C">
        <w:tab/>
        <w:t>An ART provider may use the gamete—</w:t>
      </w:r>
    </w:p>
    <w:p w14:paraId="69D7F342" w14:textId="77777777" w:rsidR="00DF4517" w:rsidRPr="0099535C" w:rsidRDefault="00DF4517" w:rsidP="00DF4517">
      <w:pPr>
        <w:pStyle w:val="Ipara"/>
      </w:pPr>
      <w:r w:rsidRPr="0099535C">
        <w:tab/>
        <w:t>(a)</w:t>
      </w:r>
      <w:r w:rsidRPr="0099535C">
        <w:tab/>
        <w:t>in the provision of ART treatment to the person who became pregnant, or their domestic partner; or</w:t>
      </w:r>
    </w:p>
    <w:p w14:paraId="1C9C1F6B" w14:textId="77777777" w:rsidR="00DF4517" w:rsidRPr="0099535C" w:rsidRDefault="00DF4517" w:rsidP="00DF4517">
      <w:pPr>
        <w:pStyle w:val="Ipara"/>
      </w:pPr>
      <w:r w:rsidRPr="0099535C">
        <w:tab/>
        <w:t>(b)</w:t>
      </w:r>
      <w:r w:rsidRPr="0099535C">
        <w:tab/>
        <w:t>to create an embryo for use in the provision of ART treatment to the person who became pregnant, or their domestic partner.</w:t>
      </w:r>
    </w:p>
    <w:p w14:paraId="2C6E1527" w14:textId="77777777" w:rsidR="00DF4517" w:rsidRPr="0099535C" w:rsidRDefault="00DF4517" w:rsidP="00DF4517">
      <w:pPr>
        <w:pStyle w:val="IMain"/>
        <w:keepNext/>
      </w:pPr>
      <w:r w:rsidRPr="0099535C">
        <w:tab/>
        <w:t>(3)</w:t>
      </w:r>
      <w:r w:rsidRPr="0099535C">
        <w:tab/>
        <w:t>For a gamete used in accordance with this section—</w:t>
      </w:r>
    </w:p>
    <w:p w14:paraId="162E455F" w14:textId="77777777" w:rsidR="00DF4517" w:rsidRPr="0099535C" w:rsidRDefault="00DF4517" w:rsidP="00DF4517">
      <w:pPr>
        <w:pStyle w:val="Ipara"/>
        <w:keepNext/>
      </w:pPr>
      <w:r w:rsidRPr="0099535C">
        <w:tab/>
        <w:t>(a)</w:t>
      </w:r>
      <w:r w:rsidRPr="0099535C">
        <w:tab/>
      </w:r>
      <w:r w:rsidRPr="00A435B7">
        <w:rPr>
          <w:spacing w:val="-2"/>
        </w:rPr>
        <w:t>the donor is taken to have consented to the use and may modify o</w:t>
      </w:r>
      <w:r w:rsidRPr="00A435B7">
        <w:t>r withdraw consent in accordance with section 30; and</w:t>
      </w:r>
    </w:p>
    <w:p w14:paraId="08281CF0" w14:textId="77777777" w:rsidR="00DF4517" w:rsidRPr="0099535C" w:rsidRDefault="00DF4517" w:rsidP="00DF4517">
      <w:pPr>
        <w:pStyle w:val="Ipara"/>
      </w:pPr>
      <w:r w:rsidRPr="0099535C">
        <w:tab/>
        <w:t>(b)</w:t>
      </w:r>
      <w:r w:rsidRPr="0099535C">
        <w:tab/>
        <w:t>if the person mentioned in subsection (1) (b) became pregnant before the transitional period—the following provisions do not apply to the ART provider in relation to the gamete, or an embryo created from the gamete:</w:t>
      </w:r>
    </w:p>
    <w:p w14:paraId="05EAEB59" w14:textId="77777777" w:rsidR="00DF4517" w:rsidRPr="0099535C" w:rsidRDefault="00DF4517" w:rsidP="00DF4517">
      <w:pPr>
        <w:pStyle w:val="Isubpara"/>
      </w:pPr>
      <w:r w:rsidRPr="0099535C">
        <w:tab/>
        <w:t>(i)</w:t>
      </w:r>
      <w:r w:rsidRPr="0099535C">
        <w:tab/>
      </w:r>
      <w:r w:rsidRPr="00A435B7">
        <w:rPr>
          <w:spacing w:val="-2"/>
        </w:rPr>
        <w:t>section 39 (Donated gametes or embryos—time limits on</w:t>
      </w:r>
      <w:r w:rsidRPr="0099535C">
        <w:t xml:space="preserve"> use);</w:t>
      </w:r>
    </w:p>
    <w:p w14:paraId="205365BD" w14:textId="77777777" w:rsidR="00DF4517" w:rsidRPr="0099535C" w:rsidRDefault="00DF4517" w:rsidP="00DF4517">
      <w:pPr>
        <w:pStyle w:val="Isubpara"/>
      </w:pPr>
      <w:r w:rsidRPr="0099535C">
        <w:tab/>
        <w:t>(ii)</w:t>
      </w:r>
      <w:r w:rsidRPr="0099535C">
        <w:tab/>
        <w:t>section 40 (Donated gametes or embryos—limits on number of families);</w:t>
      </w:r>
    </w:p>
    <w:p w14:paraId="3A72C42D" w14:textId="77777777" w:rsidR="00DF4517" w:rsidRPr="0099535C" w:rsidRDefault="00DF4517" w:rsidP="00DF4517">
      <w:pPr>
        <w:pStyle w:val="Isubpara"/>
      </w:pPr>
      <w:r w:rsidRPr="0099535C">
        <w:tab/>
        <w:t>(iii)</w:t>
      </w:r>
      <w:r w:rsidRPr="0099535C">
        <w:tab/>
        <w:t>section 46 (Requirement to collect information about gamete provider);</w:t>
      </w:r>
    </w:p>
    <w:p w14:paraId="5FDCB4E2" w14:textId="77777777" w:rsidR="00DF4517" w:rsidRPr="0099535C" w:rsidRDefault="00DF4517" w:rsidP="00DF4517">
      <w:pPr>
        <w:pStyle w:val="Isubpara"/>
      </w:pPr>
      <w:r w:rsidRPr="0099535C">
        <w:tab/>
        <w:t>(iv)</w:t>
      </w:r>
      <w:r w:rsidRPr="0099535C">
        <w:tab/>
        <w:t>section 47 (Requirement to collect information about person undergoing ART treatment);</w:t>
      </w:r>
    </w:p>
    <w:p w14:paraId="31142755" w14:textId="77777777" w:rsidR="00DF4517" w:rsidRPr="0099535C" w:rsidRDefault="00DF4517" w:rsidP="00DF4517">
      <w:pPr>
        <w:pStyle w:val="Isubpara"/>
      </w:pPr>
      <w:r w:rsidRPr="0099535C">
        <w:lastRenderedPageBreak/>
        <w:tab/>
        <w:t>(v)</w:t>
      </w:r>
      <w:r w:rsidRPr="0099535C">
        <w:tab/>
        <w:t>section 48 (Requirement to keep records);</w:t>
      </w:r>
    </w:p>
    <w:p w14:paraId="6D35AA90" w14:textId="77777777" w:rsidR="00DF4517" w:rsidRPr="0099535C" w:rsidRDefault="00DF4517" w:rsidP="00DF4517">
      <w:pPr>
        <w:pStyle w:val="Isubpara"/>
      </w:pPr>
      <w:r w:rsidRPr="0099535C">
        <w:tab/>
        <w:t>(vi)</w:t>
      </w:r>
      <w:r w:rsidRPr="0099535C">
        <w:tab/>
        <w:t>section 53 (Mandatory information); and</w:t>
      </w:r>
    </w:p>
    <w:p w14:paraId="3EDD497A" w14:textId="77777777" w:rsidR="00DF4517" w:rsidRPr="0099535C" w:rsidRDefault="00DF4517" w:rsidP="00DF4517">
      <w:pPr>
        <w:pStyle w:val="Ipara"/>
      </w:pPr>
      <w:r w:rsidRPr="0099535C">
        <w:tab/>
        <w:t>(c)</w:t>
      </w:r>
      <w:r w:rsidRPr="0099535C">
        <w:tab/>
        <w:t xml:space="preserve">if the person mentioned in subsection (1) (b) became pregnant </w:t>
      </w:r>
      <w:r w:rsidRPr="00A435B7">
        <w:rPr>
          <w:spacing w:val="-2"/>
        </w:rPr>
        <w:t>during the transitional period—the following provisions do not</w:t>
      </w:r>
      <w:r w:rsidRPr="0099535C">
        <w:t xml:space="preserve"> apply to the ART provider in relation to the gamete, or an embryo created from the gamete:</w:t>
      </w:r>
    </w:p>
    <w:p w14:paraId="4A58AE34" w14:textId="77777777" w:rsidR="00DF4517" w:rsidRPr="0099535C" w:rsidRDefault="00DF4517" w:rsidP="00DF4517">
      <w:pPr>
        <w:pStyle w:val="Isubpara"/>
      </w:pPr>
      <w:r w:rsidRPr="0099535C">
        <w:tab/>
        <w:t>(i)</w:t>
      </w:r>
      <w:r w:rsidRPr="0099535C">
        <w:tab/>
      </w:r>
      <w:r w:rsidRPr="00A435B7">
        <w:rPr>
          <w:spacing w:val="-2"/>
        </w:rPr>
        <w:t>section 39 (Donated gametes or embryos—time limits on</w:t>
      </w:r>
      <w:r w:rsidRPr="0099535C">
        <w:t xml:space="preserve"> use);</w:t>
      </w:r>
    </w:p>
    <w:p w14:paraId="471FD569" w14:textId="77777777" w:rsidR="00DF4517" w:rsidRPr="0099535C" w:rsidRDefault="00DF4517" w:rsidP="00DF4517">
      <w:pPr>
        <w:pStyle w:val="Isubpara"/>
      </w:pPr>
      <w:r w:rsidRPr="0099535C">
        <w:tab/>
        <w:t>(ii)</w:t>
      </w:r>
      <w:r w:rsidRPr="0099535C">
        <w:tab/>
        <w:t>section 40 (1) (Donated gametes or embryos—limits on number of families);</w:t>
      </w:r>
    </w:p>
    <w:p w14:paraId="2B4AF2CA" w14:textId="77777777" w:rsidR="00DF4517" w:rsidRPr="0099535C" w:rsidRDefault="00DF4517" w:rsidP="00DF4517">
      <w:pPr>
        <w:pStyle w:val="Isubpara"/>
      </w:pPr>
      <w:r w:rsidRPr="0099535C">
        <w:tab/>
        <w:t>(iii)</w:t>
      </w:r>
      <w:r w:rsidRPr="0099535C">
        <w:tab/>
        <w:t>section 53 (Mandatory information).</w:t>
      </w:r>
    </w:p>
    <w:p w14:paraId="7550FA75" w14:textId="77777777" w:rsidR="00DF4517" w:rsidRPr="0099535C" w:rsidRDefault="00DF4517" w:rsidP="00DF4517">
      <w:pPr>
        <w:pStyle w:val="N-line1"/>
      </w:pPr>
    </w:p>
    <w:p w14:paraId="348F5C22" w14:textId="4F5BB42C" w:rsidR="00DF4517" w:rsidRDefault="00DF4517" w:rsidP="00DF4517">
      <w:pPr>
        <w:spacing w:after="160" w:line="259" w:lineRule="auto"/>
        <w:rPr>
          <w:b/>
          <w:bCs/>
          <w:sz w:val="36"/>
          <w:szCs w:val="36"/>
        </w:rPr>
      </w:pPr>
      <w:r>
        <w:rPr>
          <w:b/>
          <w:bCs/>
          <w:sz w:val="36"/>
          <w:szCs w:val="36"/>
        </w:rPr>
        <w:br w:type="page"/>
      </w:r>
    </w:p>
    <w:p w14:paraId="7D93D54A" w14:textId="77777777" w:rsidR="00DF4517" w:rsidRDefault="00DF4517" w:rsidP="00DF4517">
      <w:pPr>
        <w:tabs>
          <w:tab w:val="left" w:pos="1134"/>
          <w:tab w:val="left" w:pos="1197"/>
        </w:tabs>
        <w:spacing w:before="720"/>
        <w:rPr>
          <w:rFonts w:ascii="Calibri" w:hAnsi="Calibri"/>
          <w:b/>
          <w:bCs/>
          <w:sz w:val="28"/>
          <w:szCs w:val="28"/>
          <w:u w:val="single"/>
          <w:lang w:val="en-AU"/>
        </w:rPr>
      </w:pPr>
      <w:bookmarkStart w:id="6" w:name="Schedule3"/>
      <w:r w:rsidRPr="00215245">
        <w:rPr>
          <w:rFonts w:ascii="Calibri" w:hAnsi="Calibri"/>
          <w:b/>
          <w:bCs/>
          <w:sz w:val="28"/>
          <w:szCs w:val="28"/>
          <w:u w:val="single"/>
          <w:lang w:val="en-AU"/>
        </w:rPr>
        <w:lastRenderedPageBreak/>
        <w:t xml:space="preserve">Schedule </w:t>
      </w:r>
      <w:r>
        <w:rPr>
          <w:rFonts w:ascii="Calibri" w:hAnsi="Calibri"/>
          <w:b/>
          <w:bCs/>
          <w:sz w:val="28"/>
          <w:szCs w:val="28"/>
          <w:u w:val="single"/>
          <w:lang w:val="en-AU"/>
        </w:rPr>
        <w:t>3</w:t>
      </w:r>
      <w:bookmarkEnd w:id="6"/>
    </w:p>
    <w:p w14:paraId="2B6A81C1" w14:textId="712E944A" w:rsidR="00DF4517" w:rsidRDefault="00DF4517" w:rsidP="00DF4517">
      <w:pPr>
        <w:tabs>
          <w:tab w:val="left" w:pos="1134"/>
          <w:tab w:val="left" w:pos="1197"/>
        </w:tabs>
        <w:spacing w:before="720"/>
        <w:rPr>
          <w:rFonts w:ascii="Calibri" w:hAnsi="Calibri"/>
          <w:b/>
          <w:bCs/>
          <w:sz w:val="26"/>
          <w:szCs w:val="26"/>
          <w:u w:val="single"/>
          <w:lang w:val="en-AU"/>
        </w:rPr>
      </w:pPr>
      <w:r w:rsidRPr="007A246C">
        <w:rPr>
          <w:rFonts w:ascii="Calibri" w:hAnsi="Calibri"/>
          <w:b/>
          <w:bCs/>
          <w:sz w:val="26"/>
          <w:szCs w:val="26"/>
          <w:u w:val="single"/>
          <w:lang w:val="en-AU"/>
        </w:rPr>
        <w:t>HUMAN RIGHTS (HEALTHY ENVIRONMENT) AMENDMENT BILL 2023</w:t>
      </w:r>
      <w:r>
        <w:rPr>
          <w:rFonts w:ascii="Calibri" w:hAnsi="Calibri"/>
          <w:b/>
          <w:bCs/>
          <w:sz w:val="26"/>
          <w:szCs w:val="26"/>
          <w:u w:val="single"/>
          <w:lang w:val="en-AU"/>
        </w:rPr>
        <w:t xml:space="preserve"> </w:t>
      </w:r>
    </w:p>
    <w:p w14:paraId="300084FB" w14:textId="551A4723" w:rsidR="00DF4517" w:rsidRDefault="00DF4517" w:rsidP="00DF4517">
      <w:pPr>
        <w:tabs>
          <w:tab w:val="left" w:pos="1134"/>
          <w:tab w:val="left" w:pos="1197"/>
        </w:tabs>
        <w:spacing w:before="120" w:after="480"/>
        <w:rPr>
          <w:rFonts w:ascii="Calibri" w:hAnsi="Calibri"/>
          <w:szCs w:val="24"/>
          <w:lang w:val="en-AU"/>
        </w:rPr>
      </w:pPr>
      <w:r>
        <w:rPr>
          <w:rFonts w:ascii="Calibri" w:hAnsi="Calibri"/>
          <w:szCs w:val="24"/>
          <w:lang w:val="en-AU"/>
        </w:rPr>
        <w:t>Amendments circulated by the Minister for Human Rights</w:t>
      </w:r>
    </w:p>
    <w:p w14:paraId="1EFA700C" w14:textId="77777777" w:rsidR="00DF4517" w:rsidRPr="00146806" w:rsidRDefault="00DF4517" w:rsidP="00DF4517">
      <w:pPr>
        <w:pStyle w:val="AH3sec"/>
        <w:numPr>
          <w:ilvl w:val="0"/>
          <w:numId w:val="27"/>
        </w:numPr>
        <w:ind w:left="0" w:firstLine="0"/>
      </w:pPr>
      <w:r w:rsidRPr="00146806">
        <w:br/>
        <w:t>Proposed new clause 7A</w:t>
      </w:r>
      <w:r w:rsidRPr="00146806">
        <w:br/>
        <w:t>Page 4, line 9—</w:t>
      </w:r>
    </w:p>
    <w:p w14:paraId="08A92E31" w14:textId="77777777" w:rsidR="00DF4517" w:rsidRPr="00146806" w:rsidRDefault="00DF4517" w:rsidP="00DF4517">
      <w:pPr>
        <w:pStyle w:val="direction"/>
      </w:pPr>
      <w:r w:rsidRPr="00146806">
        <w:t>insert</w:t>
      </w:r>
    </w:p>
    <w:p w14:paraId="5D5DB942" w14:textId="77777777" w:rsidR="00DF4517" w:rsidRPr="00146806" w:rsidRDefault="00DF4517" w:rsidP="00DF4517">
      <w:pPr>
        <w:pStyle w:val="IshadedH5Sec"/>
      </w:pPr>
      <w:r w:rsidRPr="00146806">
        <w:t>7A</w:t>
      </w:r>
      <w:r w:rsidRPr="00146806">
        <w:tab/>
        <w:t>New section 40C (8)</w:t>
      </w:r>
    </w:p>
    <w:p w14:paraId="6F99004D" w14:textId="77777777" w:rsidR="00DF4517" w:rsidRPr="00146806" w:rsidRDefault="00DF4517" w:rsidP="00DF4517">
      <w:pPr>
        <w:pStyle w:val="direction"/>
      </w:pPr>
      <w:r w:rsidRPr="00146806">
        <w:t>insert</w:t>
      </w:r>
    </w:p>
    <w:p w14:paraId="5BAD7651" w14:textId="77777777" w:rsidR="00DF4517" w:rsidRPr="00146806" w:rsidRDefault="00DF4517" w:rsidP="00DF4517">
      <w:pPr>
        <w:pStyle w:val="IMain"/>
      </w:pPr>
      <w:r w:rsidRPr="00146806">
        <w:tab/>
        <w:t>(8)</w:t>
      </w:r>
      <w:r w:rsidRPr="00146806">
        <w:tab/>
        <w:t>Subsections (5A), (5B) and this subsection expire on 1 October 2028.</w:t>
      </w:r>
    </w:p>
    <w:p w14:paraId="28A0F471" w14:textId="77777777" w:rsidR="00DF4517" w:rsidRPr="00146806" w:rsidRDefault="00DF4517" w:rsidP="00DF4517">
      <w:pPr>
        <w:pStyle w:val="AH3sec"/>
      </w:pPr>
      <w:r w:rsidRPr="00146806">
        <w:br/>
        <w:t>Clause 8</w:t>
      </w:r>
      <w:r w:rsidRPr="00146806">
        <w:br/>
        <w:t>Page 4, line 10—</w:t>
      </w:r>
    </w:p>
    <w:p w14:paraId="41CE65EC" w14:textId="77777777" w:rsidR="00DF4517" w:rsidRPr="00146806" w:rsidRDefault="00DF4517" w:rsidP="00DF4517">
      <w:pPr>
        <w:pStyle w:val="direction"/>
      </w:pPr>
      <w:r w:rsidRPr="00146806">
        <w:t>omit clause 8, substitute</w:t>
      </w:r>
    </w:p>
    <w:p w14:paraId="2628E487" w14:textId="77777777" w:rsidR="00DF4517" w:rsidRPr="00146806" w:rsidRDefault="00DF4517" w:rsidP="00DF4517">
      <w:pPr>
        <w:pStyle w:val="IshadedH5Sec"/>
      </w:pPr>
      <w:r w:rsidRPr="00146806">
        <w:t>8</w:t>
      </w:r>
      <w:r w:rsidRPr="00146806">
        <w:tab/>
        <w:t>New section 43</w:t>
      </w:r>
    </w:p>
    <w:p w14:paraId="09D3E810" w14:textId="77777777" w:rsidR="00DF4517" w:rsidRPr="00146806" w:rsidRDefault="00DF4517" w:rsidP="00DF4517">
      <w:pPr>
        <w:pStyle w:val="direction"/>
      </w:pPr>
      <w:r w:rsidRPr="00146806">
        <w:t>insert</w:t>
      </w:r>
    </w:p>
    <w:p w14:paraId="217A5933" w14:textId="77777777" w:rsidR="00DF4517" w:rsidRPr="00146806" w:rsidRDefault="00DF4517" w:rsidP="00DF4517">
      <w:pPr>
        <w:pStyle w:val="IH5Sec"/>
      </w:pPr>
      <w:r w:rsidRPr="00146806">
        <w:t>43</w:t>
      </w:r>
      <w:r w:rsidRPr="00146806">
        <w:tab/>
        <w:t>Review of amendments made by Human Rights (Healthy Environment) Amendment Act 2023</w:t>
      </w:r>
    </w:p>
    <w:p w14:paraId="6DBCB385" w14:textId="77777777" w:rsidR="00DF4517" w:rsidRPr="00146806" w:rsidRDefault="00DF4517" w:rsidP="00DF4517">
      <w:pPr>
        <w:pStyle w:val="IMain"/>
      </w:pPr>
      <w:r w:rsidRPr="00146806">
        <w:tab/>
        <w:t>(1)</w:t>
      </w:r>
      <w:r w:rsidRPr="00146806">
        <w:tab/>
        <w:t xml:space="preserve">The Minister must review the operation of the amendments to this Act made by the </w:t>
      </w:r>
      <w:r w:rsidRPr="00146806">
        <w:rPr>
          <w:i/>
          <w:iCs/>
        </w:rPr>
        <w:t>Human Rights (Healthy Environment) Amendment Act 2023</w:t>
      </w:r>
      <w:r w:rsidRPr="00146806">
        <w:t>.</w:t>
      </w:r>
    </w:p>
    <w:p w14:paraId="7B3FE5C8" w14:textId="77777777" w:rsidR="00DF4517" w:rsidRPr="00146806" w:rsidRDefault="00DF4517" w:rsidP="00DF4517">
      <w:pPr>
        <w:pStyle w:val="IMain"/>
        <w:keepNext/>
      </w:pPr>
      <w:r w:rsidRPr="00146806">
        <w:tab/>
        <w:t>(2)</w:t>
      </w:r>
      <w:r w:rsidRPr="00146806">
        <w:tab/>
        <w:t>In undertaking the review, the Minister must—</w:t>
      </w:r>
    </w:p>
    <w:p w14:paraId="5D5F1C38" w14:textId="77777777" w:rsidR="00DF4517" w:rsidRPr="00146806" w:rsidRDefault="00DF4517" w:rsidP="00DF4517">
      <w:pPr>
        <w:pStyle w:val="Ipara"/>
      </w:pPr>
      <w:r w:rsidRPr="00146806">
        <w:tab/>
        <w:t>(a)</w:t>
      </w:r>
      <w:r w:rsidRPr="00146806">
        <w:tab/>
        <w:t>consider the categorisation of the human right set out in section 27C as an economic, social and cultural right; and</w:t>
      </w:r>
    </w:p>
    <w:p w14:paraId="24CA8635" w14:textId="77777777" w:rsidR="00DF4517" w:rsidRPr="00146806" w:rsidRDefault="00DF4517" w:rsidP="00DF4517">
      <w:pPr>
        <w:pStyle w:val="Ipara"/>
      </w:pPr>
      <w:r w:rsidRPr="00146806">
        <w:tab/>
        <w:t>(b)</w:t>
      </w:r>
      <w:r w:rsidRPr="00146806">
        <w:tab/>
        <w:t>evaluate the prohibition under section 40C (5A) on a person starting a proceeding or relying on their rights in relation to a claim that a public authority has acted in contravention of section</w:t>
      </w:r>
      <w:r>
        <w:t> </w:t>
      </w:r>
      <w:r w:rsidRPr="00146806">
        <w:t>40B if the contravention claimed is—</w:t>
      </w:r>
    </w:p>
    <w:p w14:paraId="088B6E62" w14:textId="77777777" w:rsidR="00DF4517" w:rsidRPr="00146806" w:rsidRDefault="00DF4517" w:rsidP="00DF4517">
      <w:pPr>
        <w:pStyle w:val="Isubpara"/>
      </w:pPr>
      <w:r w:rsidRPr="00146806">
        <w:tab/>
        <w:t>(i)</w:t>
      </w:r>
      <w:r w:rsidRPr="00146806">
        <w:tab/>
      </w:r>
      <w:r w:rsidRPr="00E6220C">
        <w:rPr>
          <w:spacing w:val="-2"/>
        </w:rPr>
        <w:t xml:space="preserve">that the public authority acted in a way that is incompatible </w:t>
      </w:r>
      <w:r w:rsidRPr="00146806">
        <w:t>with the human right set out in section</w:t>
      </w:r>
      <w:r>
        <w:t xml:space="preserve"> </w:t>
      </w:r>
      <w:r w:rsidRPr="00146806">
        <w:t>27C; or</w:t>
      </w:r>
    </w:p>
    <w:p w14:paraId="681651E2" w14:textId="77777777" w:rsidR="00DF4517" w:rsidRPr="00146806" w:rsidRDefault="00DF4517" w:rsidP="00DF4517">
      <w:pPr>
        <w:pStyle w:val="Isubpara"/>
      </w:pPr>
      <w:r w:rsidRPr="00146806">
        <w:tab/>
        <w:t>(ii)</w:t>
      </w:r>
      <w:r w:rsidRPr="00146806">
        <w:tab/>
        <w:t>in making a decision, the public authority failed to give proper consideration to the human right set out in section 27C; and</w:t>
      </w:r>
    </w:p>
    <w:p w14:paraId="3B50325A" w14:textId="77777777" w:rsidR="00DF4517" w:rsidRPr="00146806" w:rsidRDefault="00DF4517" w:rsidP="00DF4517">
      <w:pPr>
        <w:pStyle w:val="Ipara"/>
      </w:pPr>
      <w:r w:rsidRPr="00146806">
        <w:tab/>
        <w:t>(c)</w:t>
      </w:r>
      <w:r w:rsidRPr="00146806">
        <w:tab/>
      </w:r>
      <w:r w:rsidRPr="00E6220C">
        <w:rPr>
          <w:spacing w:val="-2"/>
        </w:rPr>
        <w:t>despite section 40C (8)—consider whether the prohibition under</w:t>
      </w:r>
      <w:r w:rsidRPr="00146806">
        <w:t xml:space="preserve"> section</w:t>
      </w:r>
      <w:r>
        <w:t> </w:t>
      </w:r>
      <w:r w:rsidRPr="00146806">
        <w:t>40C (5A) remains appropriate.</w:t>
      </w:r>
    </w:p>
    <w:p w14:paraId="0EA88C14" w14:textId="77777777" w:rsidR="00DF4517" w:rsidRPr="00146806" w:rsidRDefault="00DF4517" w:rsidP="00DF4517">
      <w:pPr>
        <w:pStyle w:val="IMain"/>
      </w:pPr>
      <w:bookmarkStart w:id="7" w:name="_Hlk167447398"/>
      <w:r w:rsidRPr="00146806">
        <w:lastRenderedPageBreak/>
        <w:tab/>
        <w:t>(3)</w:t>
      </w:r>
      <w:r w:rsidRPr="00146806">
        <w:tab/>
        <w:t>The Minister must—</w:t>
      </w:r>
    </w:p>
    <w:p w14:paraId="73128586" w14:textId="77777777" w:rsidR="00DF4517" w:rsidRPr="00146806" w:rsidRDefault="00DF4517" w:rsidP="00DF4517">
      <w:pPr>
        <w:pStyle w:val="Ipara"/>
      </w:pPr>
      <w:r w:rsidRPr="00146806">
        <w:tab/>
        <w:t>(a)</w:t>
      </w:r>
      <w:r w:rsidRPr="00146806">
        <w:tab/>
        <w:t>begin the review not later than 1 October 2027; and</w:t>
      </w:r>
    </w:p>
    <w:p w14:paraId="2899509B" w14:textId="77777777" w:rsidR="00DF4517" w:rsidRPr="00146806" w:rsidRDefault="00DF4517" w:rsidP="00DF4517">
      <w:pPr>
        <w:pStyle w:val="Ipara"/>
      </w:pPr>
      <w:r w:rsidRPr="00146806">
        <w:tab/>
        <w:t>(b)</w:t>
      </w:r>
      <w:r w:rsidRPr="00146806">
        <w:tab/>
        <w:t>present a report of the review to the Legislative Assembly as soon as practicable after the report is completed.</w:t>
      </w:r>
    </w:p>
    <w:p w14:paraId="1CB60594" w14:textId="77777777" w:rsidR="00DF4517" w:rsidRPr="00146806" w:rsidRDefault="00DF4517" w:rsidP="00DF4517">
      <w:pPr>
        <w:pStyle w:val="IMain"/>
      </w:pPr>
      <w:r w:rsidRPr="00146806">
        <w:tab/>
        <w:t>(4)</w:t>
      </w:r>
      <w:r w:rsidRPr="00146806">
        <w:tab/>
        <w:t>This section expires on 1 October 2028.</w:t>
      </w:r>
      <w:bookmarkEnd w:id="7"/>
    </w:p>
    <w:p w14:paraId="0E00CC3F" w14:textId="77777777" w:rsidR="00DF4517" w:rsidRPr="00146806" w:rsidRDefault="00DF4517" w:rsidP="00DF4517">
      <w:pPr>
        <w:pStyle w:val="IMain"/>
      </w:pPr>
      <w:r w:rsidRPr="00146806">
        <w:tab/>
        <w:t>(5)</w:t>
      </w:r>
      <w:r w:rsidRPr="00146806">
        <w:tab/>
        <w:t>In this section:</w:t>
      </w:r>
    </w:p>
    <w:p w14:paraId="4FA83952" w14:textId="77777777" w:rsidR="00DF4517" w:rsidRPr="00146806" w:rsidRDefault="00DF4517" w:rsidP="00DF4517">
      <w:pPr>
        <w:pStyle w:val="aDef"/>
        <w:ind w:left="1100" w:firstLine="0"/>
      </w:pPr>
      <w:r w:rsidRPr="00146806">
        <w:rPr>
          <w:b/>
          <w:i/>
        </w:rPr>
        <w:t>public authority—</w:t>
      </w:r>
      <w:r w:rsidRPr="00146806">
        <w:t>see section 40C (7).</w:t>
      </w:r>
    </w:p>
    <w:p w14:paraId="03ABCD9E" w14:textId="77777777" w:rsidR="00DF4517" w:rsidRPr="00146806" w:rsidRDefault="00DF4517" w:rsidP="00DF4517">
      <w:pPr>
        <w:pStyle w:val="N-line1"/>
      </w:pPr>
    </w:p>
    <w:p w14:paraId="70FBDD2B" w14:textId="77777777" w:rsidR="00DF4517" w:rsidRDefault="00DF4517" w:rsidP="00DF4517">
      <w:pPr>
        <w:spacing w:after="160" w:line="259" w:lineRule="auto"/>
        <w:rPr>
          <w:rFonts w:ascii="Calibri" w:hAnsi="Calibri"/>
          <w:szCs w:val="24"/>
          <w:lang w:val="en-AU"/>
        </w:rPr>
      </w:pPr>
      <w:r>
        <w:rPr>
          <w:rFonts w:ascii="Calibri" w:hAnsi="Calibri"/>
          <w:szCs w:val="24"/>
          <w:lang w:val="en-AU"/>
        </w:rPr>
        <w:br w:type="page"/>
      </w:r>
    </w:p>
    <w:p w14:paraId="431B9D37" w14:textId="30029AF1" w:rsidR="00DF4517" w:rsidRDefault="00DF4517" w:rsidP="00DF4517">
      <w:pPr>
        <w:tabs>
          <w:tab w:val="left" w:pos="1134"/>
          <w:tab w:val="left" w:pos="1197"/>
        </w:tabs>
        <w:spacing w:before="720"/>
        <w:rPr>
          <w:rFonts w:ascii="Calibri" w:hAnsi="Calibri"/>
          <w:b/>
          <w:bCs/>
          <w:sz w:val="28"/>
          <w:szCs w:val="28"/>
          <w:u w:val="single"/>
          <w:lang w:val="en-AU"/>
        </w:rPr>
      </w:pPr>
      <w:bookmarkStart w:id="8" w:name="Schedule4"/>
      <w:r w:rsidRPr="00215245">
        <w:rPr>
          <w:rFonts w:ascii="Calibri" w:hAnsi="Calibri"/>
          <w:b/>
          <w:bCs/>
          <w:sz w:val="28"/>
          <w:szCs w:val="28"/>
          <w:u w:val="single"/>
          <w:lang w:val="en-AU"/>
        </w:rPr>
        <w:lastRenderedPageBreak/>
        <w:t xml:space="preserve">Schedule </w:t>
      </w:r>
      <w:r>
        <w:rPr>
          <w:rFonts w:ascii="Calibri" w:hAnsi="Calibri"/>
          <w:b/>
          <w:bCs/>
          <w:sz w:val="28"/>
          <w:szCs w:val="28"/>
          <w:u w:val="single"/>
          <w:lang w:val="en-AU"/>
        </w:rPr>
        <w:t>4</w:t>
      </w:r>
      <w:bookmarkEnd w:id="8"/>
    </w:p>
    <w:p w14:paraId="156B1655" w14:textId="22FBDEC2" w:rsidR="00DF4517" w:rsidRDefault="00DF4517" w:rsidP="00DF4517">
      <w:pPr>
        <w:tabs>
          <w:tab w:val="left" w:pos="1134"/>
          <w:tab w:val="left" w:pos="1197"/>
        </w:tabs>
        <w:spacing w:before="720"/>
        <w:rPr>
          <w:rFonts w:ascii="Calibri" w:hAnsi="Calibri"/>
          <w:b/>
          <w:bCs/>
          <w:sz w:val="26"/>
          <w:szCs w:val="26"/>
          <w:u w:val="single"/>
          <w:lang w:val="en-AU"/>
        </w:rPr>
      </w:pPr>
      <w:r w:rsidRPr="007A246C">
        <w:rPr>
          <w:rFonts w:ascii="Calibri" w:hAnsi="Calibri"/>
          <w:b/>
          <w:bCs/>
          <w:sz w:val="26"/>
          <w:szCs w:val="26"/>
          <w:u w:val="single"/>
          <w:lang w:val="en-AU"/>
        </w:rPr>
        <w:t>HUMAN RIGHTS (HEALTHY ENVIRONMENT) AMENDMENT BILL 2023</w:t>
      </w:r>
      <w:r>
        <w:rPr>
          <w:rFonts w:ascii="Calibri" w:hAnsi="Calibri"/>
          <w:b/>
          <w:bCs/>
          <w:sz w:val="26"/>
          <w:szCs w:val="26"/>
          <w:u w:val="single"/>
          <w:lang w:val="en-AU"/>
        </w:rPr>
        <w:t xml:space="preserve"> </w:t>
      </w:r>
    </w:p>
    <w:p w14:paraId="48447C11" w14:textId="15E69C16" w:rsidR="00DF4517" w:rsidRDefault="00DF4517" w:rsidP="00DF4517">
      <w:pPr>
        <w:tabs>
          <w:tab w:val="left" w:pos="1134"/>
          <w:tab w:val="left" w:pos="1197"/>
        </w:tabs>
        <w:spacing w:before="120" w:after="480"/>
        <w:rPr>
          <w:rFonts w:ascii="Calibri" w:hAnsi="Calibri"/>
          <w:szCs w:val="24"/>
          <w:lang w:val="en-AU"/>
        </w:rPr>
      </w:pPr>
      <w:r>
        <w:rPr>
          <w:rFonts w:ascii="Calibri" w:hAnsi="Calibri"/>
          <w:szCs w:val="24"/>
          <w:lang w:val="en-AU"/>
        </w:rPr>
        <w:t>Amendments circulated by Mr Cain</w:t>
      </w:r>
    </w:p>
    <w:p w14:paraId="06587311" w14:textId="77777777" w:rsidR="00DF4517" w:rsidRDefault="00DF4517" w:rsidP="008A0EFE">
      <w:pPr>
        <w:pStyle w:val="AH3sec"/>
        <w:numPr>
          <w:ilvl w:val="0"/>
          <w:numId w:val="30"/>
        </w:numPr>
        <w:ind w:left="0" w:firstLine="0"/>
      </w:pPr>
      <w:r>
        <w:br/>
        <w:t>Clause 7</w:t>
      </w:r>
      <w:r>
        <w:br/>
        <w:t>Page 3, line 14—</w:t>
      </w:r>
    </w:p>
    <w:p w14:paraId="0A431351" w14:textId="77777777" w:rsidR="00DF4517" w:rsidRPr="00234AA1" w:rsidRDefault="00DF4517" w:rsidP="00DF4517">
      <w:pPr>
        <w:pStyle w:val="direction"/>
        <w:keepNext w:val="0"/>
      </w:pPr>
      <w:r>
        <w:t>[oppose the clause]</w:t>
      </w:r>
    </w:p>
    <w:p w14:paraId="4A48D07C" w14:textId="77777777" w:rsidR="00DF4517" w:rsidRDefault="00DF4517" w:rsidP="00DF4517">
      <w:pPr>
        <w:pStyle w:val="AH3sec"/>
      </w:pPr>
      <w:r>
        <w:br/>
        <w:t>Clause 8</w:t>
      </w:r>
      <w:r>
        <w:br/>
        <w:t>Page 4, line 10—</w:t>
      </w:r>
    </w:p>
    <w:p w14:paraId="6672F884" w14:textId="77777777" w:rsidR="00DF4517" w:rsidRDefault="00DF4517" w:rsidP="00DF4517">
      <w:pPr>
        <w:pStyle w:val="direction"/>
      </w:pPr>
      <w:r>
        <w:t>omit clause 8, substitute</w:t>
      </w:r>
    </w:p>
    <w:p w14:paraId="63B4C721" w14:textId="77777777" w:rsidR="00DF4517" w:rsidRDefault="00DF4517" w:rsidP="00DF4517">
      <w:pPr>
        <w:pStyle w:val="IshadedH5Sec"/>
      </w:pPr>
      <w:r>
        <w:t>8</w:t>
      </w:r>
      <w:r>
        <w:tab/>
        <w:t>New section 43</w:t>
      </w:r>
    </w:p>
    <w:p w14:paraId="29481B66" w14:textId="77777777" w:rsidR="00DF4517" w:rsidRPr="00E3388E" w:rsidRDefault="00DF4517" w:rsidP="00DF4517">
      <w:pPr>
        <w:pStyle w:val="direction"/>
      </w:pPr>
      <w:r>
        <w:t>insert</w:t>
      </w:r>
    </w:p>
    <w:p w14:paraId="4E4FECCC" w14:textId="77777777" w:rsidR="00DF4517" w:rsidRPr="006E6C7C" w:rsidRDefault="00DF4517" w:rsidP="00DF4517">
      <w:pPr>
        <w:pStyle w:val="IH5Sec"/>
      </w:pPr>
      <w:r>
        <w:t>43</w:t>
      </w:r>
      <w:r>
        <w:tab/>
        <w:t>Review of right to healthy environment</w:t>
      </w:r>
    </w:p>
    <w:p w14:paraId="6B3C38A8" w14:textId="77777777" w:rsidR="00DF4517" w:rsidRDefault="00DF4517" w:rsidP="00DF4517">
      <w:pPr>
        <w:pStyle w:val="IMain"/>
      </w:pPr>
      <w:r>
        <w:tab/>
        <w:t>(1)</w:t>
      </w:r>
      <w:r>
        <w:tab/>
        <w:t xml:space="preserve">The Minister must review the operation of section 27C (Right to a healthy environment) as soon as practicable after the end of its 3rd year of operation. </w:t>
      </w:r>
    </w:p>
    <w:p w14:paraId="00566A1D" w14:textId="77777777" w:rsidR="00DF4517" w:rsidRDefault="00DF4517" w:rsidP="00DF4517">
      <w:pPr>
        <w:pStyle w:val="IMain"/>
      </w:pPr>
      <w:r>
        <w:tab/>
        <w:t>(2)</w:t>
      </w:r>
      <w:r>
        <w:tab/>
        <w:t>The Minister must present a report of the review to the Legislative Assembly within 3 months after the day the review is started.</w:t>
      </w:r>
    </w:p>
    <w:p w14:paraId="0E318F5D" w14:textId="77777777" w:rsidR="00DF4517" w:rsidRDefault="00DF4517" w:rsidP="00DF4517">
      <w:pPr>
        <w:pStyle w:val="IMain"/>
      </w:pPr>
      <w:r>
        <w:tab/>
        <w:t>(3)</w:t>
      </w:r>
      <w:r>
        <w:tab/>
        <w:t>This section expires 4 years after the day it commences.</w:t>
      </w:r>
    </w:p>
    <w:p w14:paraId="1E559870" w14:textId="77777777" w:rsidR="00DF4517" w:rsidRPr="009005E6" w:rsidRDefault="00DF4517" w:rsidP="00DF4517">
      <w:pPr>
        <w:pStyle w:val="N-line1"/>
      </w:pPr>
    </w:p>
    <w:p w14:paraId="1DAD8D25" w14:textId="77777777" w:rsidR="00DF4517" w:rsidRPr="005E142F" w:rsidRDefault="00DF4517" w:rsidP="00DF4517">
      <w:pPr>
        <w:spacing w:after="160" w:line="259" w:lineRule="auto"/>
        <w:rPr>
          <w:b/>
          <w:bCs/>
          <w:sz w:val="36"/>
          <w:szCs w:val="36"/>
        </w:rPr>
      </w:pPr>
    </w:p>
    <w:sectPr w:rsidR="00DF4517" w:rsidRPr="005E142F" w:rsidSect="00F255CA">
      <w:headerReference w:type="even" r:id="rId14"/>
      <w:headerReference w:type="default" r:id="rId15"/>
      <w:type w:val="continuous"/>
      <w:pgSz w:w="11906" w:h="16838" w:code="9"/>
      <w:pgMar w:top="1525" w:right="1983" w:bottom="1264" w:left="2268"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F7D1" w14:textId="77777777" w:rsidR="008C0A4E" w:rsidRDefault="008C0A4E" w:rsidP="000F3D35">
      <w:r>
        <w:separator/>
      </w:r>
    </w:p>
  </w:endnote>
  <w:endnote w:type="continuationSeparator" w:id="0">
    <w:p w14:paraId="05A2AC16" w14:textId="77777777" w:rsidR="008C0A4E" w:rsidRDefault="008C0A4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1343" w14:textId="77777777" w:rsidR="00BA1B06" w:rsidRDefault="00BA1B06" w:rsidP="00BA1B06">
    <w:pPr>
      <w:pBdr>
        <w:top w:val="single" w:sz="4" w:space="0" w:color="auto"/>
      </w:pBdr>
      <w:jc w:val="center"/>
      <w:rPr>
        <w:b/>
        <w:sz w:val="20"/>
      </w:rPr>
    </w:pPr>
  </w:p>
  <w:p w14:paraId="6651E88C" w14:textId="77777777" w:rsidR="00BA1B06" w:rsidRDefault="00FF1742"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4079" w14:textId="77777777" w:rsidR="008C0A4E" w:rsidRDefault="008C0A4E" w:rsidP="000F3D35">
      <w:r>
        <w:separator/>
      </w:r>
    </w:p>
  </w:footnote>
  <w:footnote w:type="continuationSeparator" w:id="0">
    <w:p w14:paraId="6D2E79C4" w14:textId="77777777" w:rsidR="008C0A4E" w:rsidRDefault="008C0A4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D461" w14:textId="2C65D3BB" w:rsidR="00D35926" w:rsidRPr="000E4643" w:rsidRDefault="00D35926" w:rsidP="00F255CA">
    <w:pPr>
      <w:pStyle w:val="Header"/>
      <w:tabs>
        <w:tab w:val="clear" w:pos="4153"/>
        <w:tab w:val="clear" w:pos="8306"/>
        <w:tab w:val="center" w:pos="4678"/>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4D64F9">
      <w:rPr>
        <w:i/>
        <w:sz w:val="22"/>
        <w:szCs w:val="22"/>
      </w:rPr>
      <w:t>129</w:t>
    </w:r>
    <w:r w:rsidRPr="000E4643">
      <w:rPr>
        <w:rFonts w:ascii="Arial" w:hAnsi="Arial" w:cs="Arial"/>
        <w:i/>
        <w:color w:val="222222"/>
        <w:sz w:val="22"/>
        <w:szCs w:val="22"/>
        <w:shd w:val="clear" w:color="auto" w:fill="FFFFFF"/>
      </w:rPr>
      <w:t>—</w:t>
    </w:r>
    <w:r w:rsidR="00847B5E">
      <w:rPr>
        <w:i/>
        <w:sz w:val="22"/>
        <w:szCs w:val="22"/>
      </w:rPr>
      <w:t>28 August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8150" w14:textId="7E8C9A78" w:rsidR="00D35926" w:rsidRPr="001B5139" w:rsidRDefault="00D35926" w:rsidP="005C4012">
    <w:pPr>
      <w:pStyle w:val="Header"/>
      <w:tabs>
        <w:tab w:val="clear" w:pos="4153"/>
        <w:tab w:val="clear" w:pos="8306"/>
        <w:tab w:val="center" w:pos="4395"/>
        <w:tab w:val="right" w:pos="9086"/>
      </w:tabs>
      <w:jc w:val="center"/>
      <w:rPr>
        <w:sz w:val="22"/>
        <w:szCs w:val="22"/>
      </w:rPr>
    </w:pPr>
    <w:r>
      <w:rPr>
        <w:sz w:val="22"/>
        <w:szCs w:val="22"/>
      </w:rPr>
      <w:tab/>
    </w:r>
    <w:r w:rsidRPr="001B5139">
      <w:rPr>
        <w:i/>
        <w:sz w:val="22"/>
        <w:szCs w:val="22"/>
      </w:rPr>
      <w:t xml:space="preserve">No </w:t>
    </w:r>
    <w:r w:rsidR="004D64F9">
      <w:rPr>
        <w:i/>
        <w:sz w:val="22"/>
        <w:szCs w:val="22"/>
      </w:rPr>
      <w:t>129</w:t>
    </w:r>
    <w:r w:rsidRPr="001B5139">
      <w:rPr>
        <w:rFonts w:ascii="Arial" w:hAnsi="Arial" w:cs="Arial"/>
        <w:i/>
        <w:color w:val="222222"/>
        <w:sz w:val="22"/>
        <w:szCs w:val="22"/>
        <w:shd w:val="clear" w:color="auto" w:fill="FFFFFF"/>
      </w:rPr>
      <w:t>—</w:t>
    </w:r>
    <w:r w:rsidR="00847B5E">
      <w:rPr>
        <w:i/>
        <w:sz w:val="22"/>
        <w:szCs w:val="22"/>
      </w:rPr>
      <w:t>28 August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4B50C6E" w14:textId="7ED754E9" w:rsidR="000F3D35" w:rsidRPr="00072392" w:rsidRDefault="00F62370" w:rsidP="00F255CA">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0CC9" w14:textId="77777777" w:rsidR="00F255CA" w:rsidRPr="000E4643" w:rsidRDefault="00F255CA" w:rsidP="005C4012">
    <w:pPr>
      <w:pStyle w:val="Header"/>
      <w:tabs>
        <w:tab w:val="clear" w:pos="4153"/>
        <w:tab w:val="clear" w:pos="8306"/>
        <w:tab w:val="center" w:pos="3969"/>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129</w:t>
    </w:r>
    <w:r w:rsidRPr="000E4643">
      <w:rPr>
        <w:rFonts w:ascii="Arial" w:hAnsi="Arial" w:cs="Arial"/>
        <w:i/>
        <w:color w:val="222222"/>
        <w:sz w:val="22"/>
        <w:szCs w:val="22"/>
        <w:shd w:val="clear" w:color="auto" w:fill="FFFFFF"/>
      </w:rPr>
      <w:t>—</w:t>
    </w:r>
    <w:r>
      <w:rPr>
        <w:i/>
        <w:sz w:val="22"/>
        <w:szCs w:val="22"/>
      </w:rPr>
      <w:t>28 August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23A1" w14:textId="77777777" w:rsidR="00F255CA" w:rsidRPr="001B5139" w:rsidRDefault="00F255CA" w:rsidP="00F255CA">
    <w:pPr>
      <w:pStyle w:val="Header"/>
      <w:tabs>
        <w:tab w:val="clear" w:pos="4153"/>
        <w:tab w:val="clear" w:pos="8306"/>
        <w:tab w:val="center" w:pos="3544"/>
        <w:tab w:val="right" w:pos="9086"/>
      </w:tabs>
      <w:jc w:val="center"/>
      <w:rPr>
        <w:sz w:val="22"/>
        <w:szCs w:val="22"/>
      </w:rPr>
    </w:pPr>
    <w:r>
      <w:rPr>
        <w:sz w:val="22"/>
        <w:szCs w:val="22"/>
      </w:rPr>
      <w:tab/>
    </w:r>
    <w:r w:rsidRPr="001B5139">
      <w:rPr>
        <w:i/>
        <w:sz w:val="22"/>
        <w:szCs w:val="22"/>
      </w:rPr>
      <w:t xml:space="preserve">No </w:t>
    </w:r>
    <w:r>
      <w:rPr>
        <w:i/>
        <w:sz w:val="22"/>
        <w:szCs w:val="22"/>
      </w:rPr>
      <w:t>129</w:t>
    </w:r>
    <w:r w:rsidRPr="001B5139">
      <w:rPr>
        <w:rFonts w:ascii="Arial" w:hAnsi="Arial" w:cs="Arial"/>
        <w:i/>
        <w:color w:val="222222"/>
        <w:sz w:val="22"/>
        <w:szCs w:val="22"/>
        <w:shd w:val="clear" w:color="auto" w:fill="FFFFFF"/>
      </w:rPr>
      <w:t>—</w:t>
    </w:r>
    <w:r>
      <w:rPr>
        <w:i/>
        <w:sz w:val="22"/>
        <w:szCs w:val="22"/>
      </w:rPr>
      <w:t>28 August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DB9EF10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7FE9684D"/>
    <w:multiLevelType w:val="multilevel"/>
    <w:tmpl w:val="ADB69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1111509495">
    <w:abstractNumId w:val="7"/>
  </w:num>
  <w:num w:numId="21" w16cid:durableId="1062292867">
    <w:abstractNumId w:val="7"/>
  </w:num>
  <w:num w:numId="22" w16cid:durableId="817915770">
    <w:abstractNumId w:val="7"/>
  </w:num>
  <w:num w:numId="23" w16cid:durableId="410275799">
    <w:abstractNumId w:val="7"/>
  </w:num>
  <w:num w:numId="24" w16cid:durableId="345644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7721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4151707">
    <w:abstractNumId w:val="6"/>
  </w:num>
  <w:num w:numId="27" w16cid:durableId="2089157061">
    <w:abstractNumId w:val="6"/>
    <w:lvlOverride w:ilvl="0">
      <w:startOverride w:val="1"/>
    </w:lvlOverride>
  </w:num>
  <w:num w:numId="28" w16cid:durableId="1750039523">
    <w:abstractNumId w:val="6"/>
    <w:lvlOverride w:ilvl="0">
      <w:startOverride w:val="1"/>
    </w:lvlOverride>
  </w:num>
  <w:num w:numId="29" w16cid:durableId="1161851200">
    <w:abstractNumId w:val="8"/>
  </w:num>
  <w:num w:numId="30" w16cid:durableId="1305357536">
    <w:abstractNumId w:val="6"/>
    <w:lvlOverride w:ilvl="0">
      <w:startOverride w:val="1"/>
    </w:lvlOverride>
  </w:num>
  <w:num w:numId="31" w16cid:durableId="1444762598">
    <w:abstractNumId w:val="7"/>
  </w:num>
  <w:num w:numId="32" w16cid:durableId="1130826212">
    <w:abstractNumId w:val="7"/>
  </w:num>
  <w:num w:numId="33" w16cid:durableId="321159146">
    <w:abstractNumId w:val="7"/>
  </w:num>
  <w:num w:numId="34" w16cid:durableId="65691284">
    <w:abstractNumId w:val="7"/>
  </w:num>
  <w:num w:numId="35" w16cid:durableId="1581521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7237892">
    <w:abstractNumId w:val="7"/>
  </w:num>
  <w:num w:numId="37" w16cid:durableId="177663548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475664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4E"/>
    <w:rsid w:val="000119D4"/>
    <w:rsid w:val="00041A57"/>
    <w:rsid w:val="000453A9"/>
    <w:rsid w:val="00072392"/>
    <w:rsid w:val="000931AA"/>
    <w:rsid w:val="000968E7"/>
    <w:rsid w:val="000A5BA3"/>
    <w:rsid w:val="000E07AD"/>
    <w:rsid w:val="000F3D35"/>
    <w:rsid w:val="00154DFB"/>
    <w:rsid w:val="00181DDB"/>
    <w:rsid w:val="001826BD"/>
    <w:rsid w:val="00192FDF"/>
    <w:rsid w:val="001978E1"/>
    <w:rsid w:val="001E3654"/>
    <w:rsid w:val="0020376F"/>
    <w:rsid w:val="002108FF"/>
    <w:rsid w:val="00210905"/>
    <w:rsid w:val="00233D8C"/>
    <w:rsid w:val="002541E9"/>
    <w:rsid w:val="00324AD0"/>
    <w:rsid w:val="00352FBA"/>
    <w:rsid w:val="003672BB"/>
    <w:rsid w:val="003847FC"/>
    <w:rsid w:val="003946E7"/>
    <w:rsid w:val="003955AF"/>
    <w:rsid w:val="003976D7"/>
    <w:rsid w:val="003C23D3"/>
    <w:rsid w:val="003E1A21"/>
    <w:rsid w:val="003E383C"/>
    <w:rsid w:val="003E619B"/>
    <w:rsid w:val="00432F9E"/>
    <w:rsid w:val="004644D9"/>
    <w:rsid w:val="00476347"/>
    <w:rsid w:val="004C7421"/>
    <w:rsid w:val="004D64F9"/>
    <w:rsid w:val="004E1770"/>
    <w:rsid w:val="004F1D14"/>
    <w:rsid w:val="005154E6"/>
    <w:rsid w:val="00525EF7"/>
    <w:rsid w:val="00555F74"/>
    <w:rsid w:val="005A7C25"/>
    <w:rsid w:val="005C2F9C"/>
    <w:rsid w:val="005C4012"/>
    <w:rsid w:val="005C5F15"/>
    <w:rsid w:val="005E142F"/>
    <w:rsid w:val="005F0CFF"/>
    <w:rsid w:val="0060380C"/>
    <w:rsid w:val="0061651C"/>
    <w:rsid w:val="00622D21"/>
    <w:rsid w:val="00631663"/>
    <w:rsid w:val="00631BF8"/>
    <w:rsid w:val="00635ED4"/>
    <w:rsid w:val="00641999"/>
    <w:rsid w:val="006628C0"/>
    <w:rsid w:val="00693C03"/>
    <w:rsid w:val="006A1153"/>
    <w:rsid w:val="006D7183"/>
    <w:rsid w:val="0071112A"/>
    <w:rsid w:val="0075625A"/>
    <w:rsid w:val="00797BD5"/>
    <w:rsid w:val="007D682E"/>
    <w:rsid w:val="007D7F4D"/>
    <w:rsid w:val="007E7CD1"/>
    <w:rsid w:val="0081083C"/>
    <w:rsid w:val="008147B7"/>
    <w:rsid w:val="0083730C"/>
    <w:rsid w:val="00847B5E"/>
    <w:rsid w:val="008A0EFE"/>
    <w:rsid w:val="008C0A4E"/>
    <w:rsid w:val="0091670C"/>
    <w:rsid w:val="0093028A"/>
    <w:rsid w:val="00987833"/>
    <w:rsid w:val="009A1472"/>
    <w:rsid w:val="009C3519"/>
    <w:rsid w:val="009D4828"/>
    <w:rsid w:val="00A02320"/>
    <w:rsid w:val="00A273E2"/>
    <w:rsid w:val="00A36EDC"/>
    <w:rsid w:val="00A63B67"/>
    <w:rsid w:val="00A87FA2"/>
    <w:rsid w:val="00AF3C23"/>
    <w:rsid w:val="00B44D40"/>
    <w:rsid w:val="00B766B9"/>
    <w:rsid w:val="00B97C48"/>
    <w:rsid w:val="00BA1B06"/>
    <w:rsid w:val="00BD6713"/>
    <w:rsid w:val="00C01655"/>
    <w:rsid w:val="00C173D3"/>
    <w:rsid w:val="00C721B6"/>
    <w:rsid w:val="00C74281"/>
    <w:rsid w:val="00C90AA1"/>
    <w:rsid w:val="00CF7AC7"/>
    <w:rsid w:val="00D35926"/>
    <w:rsid w:val="00D74B53"/>
    <w:rsid w:val="00D86DE1"/>
    <w:rsid w:val="00DE1118"/>
    <w:rsid w:val="00DF4517"/>
    <w:rsid w:val="00E45481"/>
    <w:rsid w:val="00E50CFA"/>
    <w:rsid w:val="00E57D48"/>
    <w:rsid w:val="00E6167A"/>
    <w:rsid w:val="00EA3803"/>
    <w:rsid w:val="00EA6DAC"/>
    <w:rsid w:val="00EC35B2"/>
    <w:rsid w:val="00F255CA"/>
    <w:rsid w:val="00F32888"/>
    <w:rsid w:val="00F550A9"/>
    <w:rsid w:val="00F62370"/>
    <w:rsid w:val="00F855D7"/>
    <w:rsid w:val="00FF1742"/>
    <w:rsid w:val="00FF4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4E759C6"/>
  <w15:chartTrackingRefBased/>
  <w15:docId w15:val="{4B5B6135-E0A1-4345-A329-DE5D1EAD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36"/>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5A7C25"/>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character" w:customStyle="1" w:styleId="DPSEntryDetailChar">
    <w:name w:val="DPSEntryDetail Char"/>
    <w:basedOn w:val="DefaultParagraphFont"/>
    <w:link w:val="DPSEntryDetail"/>
    <w:rsid w:val="00631BF8"/>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1E3654"/>
    <w:rPr>
      <w:color w:val="605E5C"/>
      <w:shd w:val="clear" w:color="auto" w:fill="E1DFDD"/>
    </w:rPr>
  </w:style>
  <w:style w:type="paragraph" w:customStyle="1" w:styleId="Amainreturn">
    <w:name w:val="A main return"/>
    <w:basedOn w:val="Normal"/>
    <w:rsid w:val="005154E6"/>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5154E6"/>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5154E6"/>
    <w:pPr>
      <w:keepNext/>
      <w:tabs>
        <w:tab w:val="left" w:pos="2600"/>
      </w:tabs>
      <w:spacing w:before="380"/>
      <w:ind w:left="2600" w:hanging="2600"/>
    </w:pPr>
    <w:rPr>
      <w:rFonts w:ascii="Arial" w:hAnsi="Arial"/>
      <w:b/>
      <w:sz w:val="32"/>
      <w:lang w:val="en-AU" w:eastAsia="en-US"/>
    </w:rPr>
  </w:style>
  <w:style w:type="paragraph" w:customStyle="1" w:styleId="IH5Sec">
    <w:name w:val="I H5 Sec"/>
    <w:basedOn w:val="Normal"/>
    <w:next w:val="Amainreturn"/>
    <w:rsid w:val="005154E6"/>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5154E6"/>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5154E6"/>
    <w:pPr>
      <w:tabs>
        <w:tab w:val="right" w:pos="900"/>
        <w:tab w:val="left" w:pos="1100"/>
      </w:tabs>
      <w:spacing w:before="140"/>
      <w:ind w:left="1100" w:hanging="1100"/>
      <w:jc w:val="both"/>
    </w:pPr>
    <w:rPr>
      <w:rFonts w:ascii="Times New Roman" w:hAnsi="Times New Roman"/>
      <w:lang w:val="en-AU" w:eastAsia="en-US"/>
    </w:rPr>
  </w:style>
  <w:style w:type="paragraph" w:customStyle="1" w:styleId="Idefpara">
    <w:name w:val="I def para"/>
    <w:basedOn w:val="Normal"/>
    <w:rsid w:val="005154E6"/>
    <w:pPr>
      <w:tabs>
        <w:tab w:val="right" w:pos="1400"/>
        <w:tab w:val="left" w:pos="1600"/>
      </w:tabs>
      <w:spacing w:before="140"/>
      <w:ind w:left="1600" w:hanging="1600"/>
      <w:jc w:val="both"/>
    </w:pPr>
    <w:rPr>
      <w:rFonts w:ascii="Times New Roman" w:hAnsi="Times New Roman"/>
      <w:lang w:val="en-AU" w:eastAsia="en-US"/>
    </w:rPr>
  </w:style>
  <w:style w:type="paragraph" w:customStyle="1" w:styleId="TableColHd">
    <w:name w:val="TableColHd"/>
    <w:basedOn w:val="Normal"/>
    <w:rsid w:val="005154E6"/>
    <w:pPr>
      <w:keepNext/>
      <w:spacing w:after="60"/>
    </w:pPr>
    <w:rPr>
      <w:rFonts w:ascii="Arial" w:hAnsi="Arial"/>
      <w:b/>
      <w:sz w:val="18"/>
      <w:lang w:val="en-AU" w:eastAsia="en-US"/>
    </w:rPr>
  </w:style>
  <w:style w:type="paragraph" w:customStyle="1" w:styleId="TableText">
    <w:name w:val="TableText"/>
    <w:basedOn w:val="Normal"/>
    <w:rsid w:val="005154E6"/>
    <w:pPr>
      <w:spacing w:before="60" w:after="60"/>
    </w:pPr>
    <w:rPr>
      <w:rFonts w:ascii="Times New Roman" w:hAnsi="Times New Roman"/>
      <w:lang w:val="en-AU" w:eastAsia="en-US"/>
    </w:rPr>
  </w:style>
  <w:style w:type="paragraph" w:customStyle="1" w:styleId="AH3sec">
    <w:name w:val="A H3 sec"/>
    <w:basedOn w:val="Normal"/>
    <w:next w:val="direction"/>
    <w:rsid w:val="005154E6"/>
    <w:pPr>
      <w:keepNext/>
      <w:keepLines/>
      <w:numPr>
        <w:numId w:val="26"/>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ExamHdgss">
    <w:name w:val="aExamHdgss"/>
    <w:basedOn w:val="Normal"/>
    <w:next w:val="aExamss"/>
    <w:rsid w:val="005154E6"/>
    <w:pPr>
      <w:keepNext/>
      <w:spacing w:before="140"/>
      <w:ind w:left="1100"/>
    </w:pPr>
    <w:rPr>
      <w:rFonts w:ascii="Arial" w:hAnsi="Arial"/>
      <w:b/>
      <w:sz w:val="18"/>
      <w:lang w:val="en-AU" w:eastAsia="en-US"/>
    </w:rPr>
  </w:style>
  <w:style w:type="paragraph" w:customStyle="1" w:styleId="aExamss">
    <w:name w:val="aExamss"/>
    <w:basedOn w:val="Normal"/>
    <w:rsid w:val="005154E6"/>
    <w:pPr>
      <w:spacing w:before="60"/>
      <w:ind w:left="1100"/>
      <w:jc w:val="both"/>
    </w:pPr>
    <w:rPr>
      <w:rFonts w:ascii="Times New Roman" w:hAnsi="Times New Roman"/>
      <w:sz w:val="20"/>
      <w:lang w:val="en-AU" w:eastAsia="en-US"/>
    </w:rPr>
  </w:style>
  <w:style w:type="paragraph" w:customStyle="1" w:styleId="Ipara">
    <w:name w:val="I para"/>
    <w:basedOn w:val="Normal"/>
    <w:rsid w:val="00DF4517"/>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DF4517"/>
    <w:pPr>
      <w:keepNext/>
      <w:shd w:val="pct25" w:color="auto" w:fill="auto"/>
      <w:spacing w:before="240"/>
      <w:ind w:left="1100" w:hanging="1100"/>
    </w:pPr>
    <w:rPr>
      <w:rFonts w:ascii="Arial" w:hAnsi="Arial"/>
      <w:b/>
      <w:lang w:val="en-AU" w:eastAsia="en-US"/>
    </w:rPr>
  </w:style>
  <w:style w:type="paragraph" w:customStyle="1" w:styleId="Isubpara">
    <w:name w:val="I subpara"/>
    <w:basedOn w:val="Normal"/>
    <w:rsid w:val="00DF4517"/>
    <w:pPr>
      <w:tabs>
        <w:tab w:val="right" w:pos="1940"/>
        <w:tab w:val="left" w:pos="2140"/>
      </w:tabs>
      <w:spacing w:before="140"/>
      <w:ind w:left="2140" w:hanging="2140"/>
      <w:jc w:val="both"/>
    </w:pPr>
    <w:rPr>
      <w:rFonts w:ascii="Times New Roman" w:hAnsi="Times New Roman"/>
      <w:lang w:val="en-AU" w:eastAsia="en-US"/>
    </w:rPr>
  </w:style>
  <w:style w:type="character" w:customStyle="1" w:styleId="CharSectNo">
    <w:name w:val="CharSectNo"/>
    <w:basedOn w:val="DefaultParagraphFont"/>
    <w:rsid w:val="00DF4517"/>
  </w:style>
  <w:style w:type="paragraph" w:customStyle="1" w:styleId="aDef">
    <w:name w:val="aDef"/>
    <w:basedOn w:val="Normal"/>
    <w:link w:val="aDefChar"/>
    <w:rsid w:val="00DF4517"/>
    <w:pPr>
      <w:numPr>
        <w:ilvl w:val="5"/>
        <w:numId w:val="29"/>
      </w:numPr>
      <w:spacing w:before="140"/>
      <w:ind w:left="4320" w:hanging="180"/>
      <w:jc w:val="both"/>
      <w:outlineLvl w:val="5"/>
    </w:pPr>
    <w:rPr>
      <w:rFonts w:ascii="Times New Roman" w:hAnsi="Times New Roman"/>
      <w:lang w:val="en-AU" w:eastAsia="en-US"/>
    </w:rPr>
  </w:style>
  <w:style w:type="paragraph" w:customStyle="1" w:styleId="aDefpara">
    <w:name w:val="aDef para"/>
    <w:basedOn w:val="Normal"/>
    <w:rsid w:val="00DF4517"/>
    <w:pPr>
      <w:numPr>
        <w:ilvl w:val="6"/>
        <w:numId w:val="29"/>
      </w:numPr>
      <w:tabs>
        <w:tab w:val="clear" w:pos="1600"/>
      </w:tabs>
      <w:spacing w:before="140"/>
      <w:ind w:left="5040" w:hanging="360"/>
      <w:jc w:val="both"/>
      <w:outlineLvl w:val="6"/>
    </w:pPr>
    <w:rPr>
      <w:rFonts w:ascii="Times New Roman" w:hAnsi="Times New Roman"/>
      <w:lang w:val="en-AU" w:eastAsia="en-US"/>
    </w:rPr>
  </w:style>
  <w:style w:type="paragraph" w:customStyle="1" w:styleId="aDefsubpara">
    <w:name w:val="aDef subpara"/>
    <w:basedOn w:val="Normal"/>
    <w:rsid w:val="00DF4517"/>
    <w:pPr>
      <w:numPr>
        <w:ilvl w:val="7"/>
        <w:numId w:val="29"/>
      </w:numPr>
      <w:tabs>
        <w:tab w:val="clear" w:pos="2140"/>
      </w:tabs>
      <w:spacing w:before="140"/>
      <w:ind w:left="5760" w:hanging="360"/>
      <w:jc w:val="both"/>
      <w:outlineLvl w:val="7"/>
    </w:pPr>
    <w:rPr>
      <w:rFonts w:ascii="Times New Roman" w:hAnsi="Times New Roman"/>
      <w:lang w:val="en-AU" w:eastAsia="en-US"/>
    </w:rPr>
  </w:style>
  <w:style w:type="character" w:customStyle="1" w:styleId="aDefChar">
    <w:name w:val="aDef Char"/>
    <w:basedOn w:val="DefaultParagraphFont"/>
    <w:link w:val="aDef"/>
    <w:locked/>
    <w:rsid w:val="00DF4517"/>
    <w:rPr>
      <w:rFonts w:ascii="Times New Roman" w:eastAsia="Times New Roman" w:hAnsi="Times New Roman" w:cs="Times New Roman"/>
      <w:sz w:val="24"/>
      <w:szCs w:val="20"/>
      <w:lang w:eastAsia="en-US"/>
    </w:rPr>
  </w:style>
  <w:style w:type="character" w:styleId="FollowedHyperlink">
    <w:name w:val="FollowedHyperlink"/>
    <w:basedOn w:val="DefaultParagraphFont"/>
    <w:uiPriority w:val="99"/>
    <w:semiHidden/>
    <w:unhideWhenUsed/>
    <w:rsid w:val="00C90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22</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2024-09-18T03:50:00Z</cp:lastPrinted>
  <dcterms:created xsi:type="dcterms:W3CDTF">2024-09-24T08:03:00Z</dcterms:created>
  <dcterms:modified xsi:type="dcterms:W3CDTF">2024-09-24T08:03:00Z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