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38340295" w:rsidR="00A23A3E" w:rsidRDefault="00FE46F2" w:rsidP="00C8358A">
      <w:pPr>
        <w:pStyle w:val="Title"/>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5004BB">
        <w:t>4</w:t>
      </w:r>
      <w:r w:rsidR="002A04C9">
        <w:t>2</w:t>
      </w:r>
    </w:p>
    <w:p w14:paraId="348D1164" w14:textId="2A8AD5BC" w:rsidR="00A23A3E" w:rsidRDefault="00123781" w:rsidP="009F5A83">
      <w:pPr>
        <w:pStyle w:val="Heading1nonumber"/>
      </w:pPr>
      <w:bookmarkStart w:id="1" w:name="_Toc167305517"/>
      <w:r>
        <w:lastRenderedPageBreak/>
        <w:t>About the</w:t>
      </w:r>
      <w:r w:rsidR="00A23A3E">
        <w:t xml:space="preserve"> committee</w:t>
      </w:r>
      <w:bookmarkEnd w:id="1"/>
    </w:p>
    <w:p w14:paraId="5F0FD841" w14:textId="4E43C4A1" w:rsidR="00123781" w:rsidRDefault="00D23E3A" w:rsidP="000030B4">
      <w:pPr>
        <w:pStyle w:val="Heading20"/>
      </w:pPr>
      <w:bookmarkStart w:id="2" w:name="_Toc167305518"/>
      <w:r>
        <w:t>Establishing resolution</w:t>
      </w:r>
      <w:bookmarkEnd w:id="2"/>
    </w:p>
    <w:p w14:paraId="12BE434B" w14:textId="408811A2" w:rsidR="00024F1A" w:rsidRDefault="00123781" w:rsidP="00123781">
      <w:r>
        <w:t xml:space="preserve">The Assembly established </w:t>
      </w:r>
      <w:r w:rsidR="00024F1A">
        <w:t>the</w:t>
      </w:r>
      <w:r>
        <w:t xml:space="preserve"> </w:t>
      </w:r>
      <w:fldSimple w:instr=" STYLEREF  &quot;Cover - Committee name&quot;  \* MERGEFORMAT ">
        <w:r w:rsidR="00107165">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59CBA7BE" w:rsidR="00FB72F9" w:rsidRPr="00697120" w:rsidRDefault="00633B89"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(10)</w:t>
      </w:r>
      <w:r w:rsidR="00FB72F9" w:rsidRPr="00697120">
        <w:rPr>
          <w:rFonts w:ascii="Calibri" w:hAnsi="Calibri"/>
        </w:rPr>
        <w:tab/>
        <w:t>the Standing Committee on Justice and Community Safety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 xml:space="preserve">regulation, </w:t>
      </w:r>
      <w:proofErr w:type="gramStart"/>
      <w:r w:rsidRPr="00697120">
        <w:rPr>
          <w:rFonts w:ascii="Calibri" w:hAnsi="Calibri"/>
        </w:rPr>
        <w:t>rule</w:t>
      </w:r>
      <w:proofErr w:type="gramEnd"/>
      <w:r w:rsidRPr="00697120">
        <w:rPr>
          <w:rFonts w:ascii="Calibri" w:hAnsi="Calibri"/>
        </w:rPr>
        <w:t xml:space="preserv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0F4E9BCE"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633B89">
        <w:rPr>
          <w:rFonts w:ascii="Calibri" w:hAnsi="Calibri"/>
        </w:rPr>
        <w:t>”</w:t>
      </w:r>
      <w:r w:rsidR="00C65340">
        <w:rPr>
          <w:rFonts w:ascii="Calibri" w:hAnsi="Calibri"/>
        </w:rPr>
        <w:t>.</w:t>
      </w:r>
    </w:p>
    <w:p w14:paraId="459E064D" w14:textId="76DAE11D" w:rsidR="007A7A8B" w:rsidRDefault="007A7A8B" w:rsidP="007A7A8B">
      <w:pPr>
        <w:spacing w:before="120"/>
        <w:rPr>
          <w:rStyle w:val="Hyperlink"/>
        </w:rPr>
      </w:pPr>
      <w:r>
        <w:t xml:space="preserve">You can read the full establishing resolution </w:t>
      </w:r>
      <w:hyperlink r:id="rId12" w:history="1">
        <w:r w:rsidRPr="006718E3">
          <w:rPr>
            <w:rStyle w:val="Hyperlink"/>
          </w:rPr>
          <w:t>on our website.</w:t>
        </w:r>
      </w:hyperlink>
    </w:p>
    <w:p w14:paraId="1C963F62" w14:textId="77777777" w:rsidR="00716E75" w:rsidRDefault="00716E75" w:rsidP="007A7A8B">
      <w:pPr>
        <w:spacing w:before="120"/>
        <w:rPr>
          <w:rStyle w:val="Hyperlink"/>
        </w:rPr>
      </w:pPr>
    </w:p>
    <w:p w14:paraId="54A26CAB" w14:textId="77777777" w:rsidR="00716E75" w:rsidRDefault="00716E75" w:rsidP="007A7A8B">
      <w:pPr>
        <w:spacing w:before="120"/>
        <w:rPr>
          <w:rStyle w:val="Hyperlink"/>
        </w:rPr>
      </w:pPr>
    </w:p>
    <w:p w14:paraId="15D66793" w14:textId="77777777" w:rsidR="008D102D" w:rsidRDefault="008D102D" w:rsidP="000030B4">
      <w:pPr>
        <w:pStyle w:val="Heading20"/>
      </w:pPr>
      <w:bookmarkStart w:id="3" w:name="_Toc148444489"/>
      <w:bookmarkStart w:id="4" w:name="_Toc167305519"/>
      <w:r>
        <w:lastRenderedPageBreak/>
        <w:t>Committee members</w:t>
      </w:r>
      <w:bookmarkEnd w:id="3"/>
      <w:bookmarkEnd w:id="4"/>
    </w:p>
    <w:p w14:paraId="5D504293" w14:textId="77777777" w:rsidR="008D102D" w:rsidRDefault="008D102D" w:rsidP="008D102D">
      <w:pPr>
        <w:pStyle w:val="List"/>
        <w:keepNext/>
      </w:pPr>
      <w:r>
        <w:t>Peter Cain MLA, Chair</w:t>
      </w:r>
    </w:p>
    <w:p w14:paraId="6B16E8E0" w14:textId="77777777" w:rsidR="008D102D" w:rsidRDefault="008D102D" w:rsidP="008D102D">
      <w:pPr>
        <w:pStyle w:val="List"/>
      </w:pPr>
      <w:r>
        <w:t>Marisa Paterson MLA, Deputy Chair</w:t>
      </w:r>
    </w:p>
    <w:p w14:paraId="68F0D3A8" w14:textId="77777777" w:rsidR="008D102D" w:rsidRDefault="008D102D" w:rsidP="008D102D">
      <w:pPr>
        <w:pStyle w:val="List"/>
      </w:pPr>
      <w:r>
        <w:t>Andrew Braddock MLA</w:t>
      </w:r>
    </w:p>
    <w:p w14:paraId="79F4BEA7" w14:textId="77777777" w:rsidR="008D102D" w:rsidRDefault="008D102D" w:rsidP="000030B4">
      <w:pPr>
        <w:pStyle w:val="Heading20"/>
      </w:pPr>
      <w:bookmarkStart w:id="5" w:name="_Toc148444490"/>
      <w:bookmarkStart w:id="6" w:name="_Toc167305520"/>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00AF7AEA"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5FB44131" w14:textId="77777777" w:rsidR="008D102D" w:rsidRDefault="008D102D" w:rsidP="008D102D">
      <w:pPr>
        <w:pStyle w:val="List"/>
      </w:pPr>
      <w:r>
        <w:t>Daniel Stewart, Legal Adviser (Bills)</w:t>
      </w:r>
    </w:p>
    <w:p w14:paraId="2135DBE8" w14:textId="77777777" w:rsidR="008D102D" w:rsidRDefault="008D102D" w:rsidP="008D102D">
      <w:pPr>
        <w:pStyle w:val="List"/>
      </w:pPr>
      <w:r>
        <w:t>Stephen Argument, Legal Adviser (Subordinate Legislation)</w:t>
      </w:r>
    </w:p>
    <w:p w14:paraId="2A42045C" w14:textId="77777777" w:rsidR="008D102D" w:rsidRDefault="008D102D" w:rsidP="000030B4">
      <w:pPr>
        <w:pStyle w:val="Heading20"/>
      </w:pPr>
      <w:bookmarkStart w:id="7" w:name="_Toc148444491"/>
      <w:bookmarkStart w:id="8" w:name="_Toc167305521"/>
      <w:r>
        <w:t xml:space="preserve">Contact </w:t>
      </w:r>
      <w:proofErr w:type="gramStart"/>
      <w:r>
        <w:t>us</w:t>
      </w:r>
      <w:bookmarkEnd w:id="7"/>
      <w:bookmarkEnd w:id="8"/>
      <w:proofErr w:type="gramEnd"/>
    </w:p>
    <w:p w14:paraId="41AE1649" w14:textId="45879659" w:rsidR="008D102D" w:rsidRDefault="008D102D" w:rsidP="008D102D">
      <w:pPr>
        <w:ind w:left="1134" w:hanging="1134"/>
      </w:pPr>
      <w:r>
        <w:rPr>
          <w:b/>
          <w:bCs/>
        </w:rPr>
        <w:t>Mail</w:t>
      </w:r>
      <w:r>
        <w:tab/>
      </w:r>
      <w:r w:rsidR="00421A2C">
        <w:fldChar w:fldCharType="begin"/>
      </w:r>
      <w:r w:rsidR="00421A2C">
        <w:instrText xml:space="preserve"> STYLEREF  "Cover - Committee name"  \* MERGEFORMAT </w:instrText>
      </w:r>
      <w:r w:rsidR="00421A2C">
        <w:fldChar w:fldCharType="separate"/>
      </w:r>
      <w:r w:rsidR="00107165">
        <w:rPr>
          <w:noProof/>
        </w:rPr>
        <w:t>Standing Committee on Justice and Community Safety (Legislative Scrutiny Role)</w:t>
      </w:r>
      <w:r w:rsidR="00421A2C">
        <w:rPr>
          <w:noProof/>
        </w:rPr>
        <w:fldChar w:fldCharType="end"/>
      </w:r>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0030B4">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167305522"/>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08977DA3" w14:textId="1C35FE90" w:rsidR="00696168" w:rsidRDefault="00B02BB7">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"1-4" \h \z \u </w:instrText>
          </w:r>
          <w:r>
            <w:fldChar w:fldCharType="separate"/>
          </w:r>
          <w:hyperlink w:anchor="_Toc167305517" w:history="1">
            <w:r w:rsidR="00696168" w:rsidRPr="007D0808">
              <w:rPr>
                <w:rStyle w:val="Hyperlink"/>
              </w:rPr>
              <w:t>About the committee</w:t>
            </w:r>
            <w:r w:rsidR="00696168">
              <w:rPr>
                <w:webHidden/>
              </w:rPr>
              <w:tab/>
            </w:r>
            <w:r w:rsidR="00696168">
              <w:rPr>
                <w:webHidden/>
              </w:rPr>
              <w:fldChar w:fldCharType="begin"/>
            </w:r>
            <w:r w:rsidR="00696168">
              <w:rPr>
                <w:webHidden/>
              </w:rPr>
              <w:instrText xml:space="preserve"> PAGEREF _Toc167305517 \h </w:instrText>
            </w:r>
            <w:r w:rsidR="00696168">
              <w:rPr>
                <w:webHidden/>
              </w:rPr>
            </w:r>
            <w:r w:rsidR="00696168">
              <w:rPr>
                <w:webHidden/>
              </w:rPr>
              <w:fldChar w:fldCharType="separate"/>
            </w:r>
            <w:r w:rsidR="00107165">
              <w:rPr>
                <w:webHidden/>
              </w:rPr>
              <w:t>i</w:t>
            </w:r>
            <w:r w:rsidR="00696168">
              <w:rPr>
                <w:webHidden/>
              </w:rPr>
              <w:fldChar w:fldCharType="end"/>
            </w:r>
          </w:hyperlink>
        </w:p>
        <w:p w14:paraId="36BB899E" w14:textId="140A596D" w:rsidR="00696168" w:rsidRDefault="00421A2C">
          <w:pPr>
            <w:pStyle w:val="TOC2"/>
            <w:rPr>
              <w:rFonts w:eastAsiaTheme="minorEastAsia"/>
              <w:kern w:val="2"/>
              <w:lang w:eastAsia="en-AU"/>
              <w14:ligatures w14:val="standardContextual"/>
            </w:rPr>
          </w:pPr>
          <w:hyperlink w:anchor="_Toc167305518" w:history="1">
            <w:r w:rsidR="00696168" w:rsidRPr="007D0808">
              <w:rPr>
                <w:rStyle w:val="Hyperlink"/>
              </w:rPr>
              <w:t>Establishing resolution</w:t>
            </w:r>
            <w:r w:rsidR="00696168">
              <w:rPr>
                <w:webHidden/>
              </w:rPr>
              <w:tab/>
            </w:r>
            <w:r w:rsidR="00696168">
              <w:rPr>
                <w:webHidden/>
              </w:rPr>
              <w:fldChar w:fldCharType="begin"/>
            </w:r>
            <w:r w:rsidR="00696168">
              <w:rPr>
                <w:webHidden/>
              </w:rPr>
              <w:instrText xml:space="preserve"> PAGEREF _Toc167305518 \h </w:instrText>
            </w:r>
            <w:r w:rsidR="00696168">
              <w:rPr>
                <w:webHidden/>
              </w:rPr>
            </w:r>
            <w:r w:rsidR="00696168">
              <w:rPr>
                <w:webHidden/>
              </w:rPr>
              <w:fldChar w:fldCharType="separate"/>
            </w:r>
            <w:r w:rsidR="00107165">
              <w:rPr>
                <w:webHidden/>
              </w:rPr>
              <w:t>i</w:t>
            </w:r>
            <w:r w:rsidR="00696168">
              <w:rPr>
                <w:webHidden/>
              </w:rPr>
              <w:fldChar w:fldCharType="end"/>
            </w:r>
          </w:hyperlink>
        </w:p>
        <w:p w14:paraId="539B3D1A" w14:textId="0BDDA408" w:rsidR="00696168" w:rsidRDefault="00421A2C">
          <w:pPr>
            <w:pStyle w:val="TOC2"/>
            <w:rPr>
              <w:rFonts w:eastAsiaTheme="minorEastAsia"/>
              <w:kern w:val="2"/>
              <w:lang w:eastAsia="en-AU"/>
              <w14:ligatures w14:val="standardContextual"/>
            </w:rPr>
          </w:pPr>
          <w:hyperlink w:anchor="_Toc167305519" w:history="1">
            <w:r w:rsidR="00696168" w:rsidRPr="007D0808">
              <w:rPr>
                <w:rStyle w:val="Hyperlink"/>
              </w:rPr>
              <w:t>Committee members</w:t>
            </w:r>
            <w:r w:rsidR="00696168">
              <w:rPr>
                <w:webHidden/>
              </w:rPr>
              <w:tab/>
            </w:r>
            <w:r w:rsidR="00696168">
              <w:rPr>
                <w:webHidden/>
              </w:rPr>
              <w:fldChar w:fldCharType="begin"/>
            </w:r>
            <w:r w:rsidR="00696168">
              <w:rPr>
                <w:webHidden/>
              </w:rPr>
              <w:instrText xml:space="preserve"> PAGEREF _Toc167305519 \h </w:instrText>
            </w:r>
            <w:r w:rsidR="00696168">
              <w:rPr>
                <w:webHidden/>
              </w:rPr>
            </w:r>
            <w:r w:rsidR="00696168">
              <w:rPr>
                <w:webHidden/>
              </w:rPr>
              <w:fldChar w:fldCharType="separate"/>
            </w:r>
            <w:r w:rsidR="00107165">
              <w:rPr>
                <w:webHidden/>
              </w:rPr>
              <w:t>ii</w:t>
            </w:r>
            <w:r w:rsidR="00696168">
              <w:rPr>
                <w:webHidden/>
              </w:rPr>
              <w:fldChar w:fldCharType="end"/>
            </w:r>
          </w:hyperlink>
        </w:p>
        <w:p w14:paraId="0583EBF6" w14:textId="51AD2D82" w:rsidR="00696168" w:rsidRDefault="00421A2C">
          <w:pPr>
            <w:pStyle w:val="TOC2"/>
            <w:rPr>
              <w:rFonts w:eastAsiaTheme="minorEastAsia"/>
              <w:kern w:val="2"/>
              <w:lang w:eastAsia="en-AU"/>
              <w14:ligatures w14:val="standardContextual"/>
            </w:rPr>
          </w:pPr>
          <w:hyperlink w:anchor="_Toc167305520" w:history="1">
            <w:r w:rsidR="00696168" w:rsidRPr="007D0808">
              <w:rPr>
                <w:rStyle w:val="Hyperlink"/>
              </w:rPr>
              <w:t>Secretariat</w:t>
            </w:r>
            <w:r w:rsidR="00696168">
              <w:rPr>
                <w:webHidden/>
              </w:rPr>
              <w:tab/>
            </w:r>
            <w:r w:rsidR="00696168">
              <w:rPr>
                <w:webHidden/>
              </w:rPr>
              <w:fldChar w:fldCharType="begin"/>
            </w:r>
            <w:r w:rsidR="00696168">
              <w:rPr>
                <w:webHidden/>
              </w:rPr>
              <w:instrText xml:space="preserve"> PAGEREF _Toc167305520 \h </w:instrText>
            </w:r>
            <w:r w:rsidR="00696168">
              <w:rPr>
                <w:webHidden/>
              </w:rPr>
            </w:r>
            <w:r w:rsidR="00696168">
              <w:rPr>
                <w:webHidden/>
              </w:rPr>
              <w:fldChar w:fldCharType="separate"/>
            </w:r>
            <w:r w:rsidR="00107165">
              <w:rPr>
                <w:webHidden/>
              </w:rPr>
              <w:t>ii</w:t>
            </w:r>
            <w:r w:rsidR="00696168">
              <w:rPr>
                <w:webHidden/>
              </w:rPr>
              <w:fldChar w:fldCharType="end"/>
            </w:r>
          </w:hyperlink>
        </w:p>
        <w:p w14:paraId="30FFE3DB" w14:textId="542FAAB9" w:rsidR="00696168" w:rsidRDefault="00421A2C">
          <w:pPr>
            <w:pStyle w:val="TOC2"/>
            <w:rPr>
              <w:rFonts w:eastAsiaTheme="minorEastAsia"/>
              <w:kern w:val="2"/>
              <w:lang w:eastAsia="en-AU"/>
              <w14:ligatures w14:val="standardContextual"/>
            </w:rPr>
          </w:pPr>
          <w:hyperlink w:anchor="_Toc167305521" w:history="1">
            <w:r w:rsidR="00696168" w:rsidRPr="007D0808">
              <w:rPr>
                <w:rStyle w:val="Hyperlink"/>
              </w:rPr>
              <w:t>Contact us</w:t>
            </w:r>
            <w:r w:rsidR="00696168">
              <w:rPr>
                <w:webHidden/>
              </w:rPr>
              <w:tab/>
            </w:r>
            <w:r w:rsidR="00696168">
              <w:rPr>
                <w:webHidden/>
              </w:rPr>
              <w:fldChar w:fldCharType="begin"/>
            </w:r>
            <w:r w:rsidR="00696168">
              <w:rPr>
                <w:webHidden/>
              </w:rPr>
              <w:instrText xml:space="preserve"> PAGEREF _Toc167305521 \h </w:instrText>
            </w:r>
            <w:r w:rsidR="00696168">
              <w:rPr>
                <w:webHidden/>
              </w:rPr>
            </w:r>
            <w:r w:rsidR="00696168">
              <w:rPr>
                <w:webHidden/>
              </w:rPr>
              <w:fldChar w:fldCharType="separate"/>
            </w:r>
            <w:r w:rsidR="00107165">
              <w:rPr>
                <w:webHidden/>
              </w:rPr>
              <w:t>ii</w:t>
            </w:r>
            <w:r w:rsidR="00696168">
              <w:rPr>
                <w:webHidden/>
              </w:rPr>
              <w:fldChar w:fldCharType="end"/>
            </w:r>
          </w:hyperlink>
        </w:p>
        <w:p w14:paraId="63D517D5" w14:textId="1D8F8A6A" w:rsidR="00696168" w:rsidRDefault="00421A2C">
          <w:pPr>
            <w:pStyle w:val="TOC2"/>
            <w:rPr>
              <w:rFonts w:eastAsiaTheme="minorEastAsia"/>
              <w:kern w:val="2"/>
              <w:lang w:eastAsia="en-AU"/>
              <w14:ligatures w14:val="standardContextual"/>
            </w:rPr>
          </w:pPr>
          <w:hyperlink w:anchor="_Toc167305522" w:history="1">
            <w:r w:rsidR="00696168" w:rsidRPr="007D0808">
              <w:rPr>
                <w:rStyle w:val="Hyperlink"/>
              </w:rPr>
              <w:t>Role of Committee</w:t>
            </w:r>
            <w:r w:rsidR="00696168">
              <w:rPr>
                <w:webHidden/>
              </w:rPr>
              <w:tab/>
            </w:r>
            <w:r w:rsidR="00696168">
              <w:rPr>
                <w:webHidden/>
              </w:rPr>
              <w:fldChar w:fldCharType="begin"/>
            </w:r>
            <w:r w:rsidR="00696168">
              <w:rPr>
                <w:webHidden/>
              </w:rPr>
              <w:instrText xml:space="preserve"> PAGEREF _Toc167305522 \h </w:instrText>
            </w:r>
            <w:r w:rsidR="00696168">
              <w:rPr>
                <w:webHidden/>
              </w:rPr>
            </w:r>
            <w:r w:rsidR="00696168">
              <w:rPr>
                <w:webHidden/>
              </w:rPr>
              <w:fldChar w:fldCharType="separate"/>
            </w:r>
            <w:r w:rsidR="00107165">
              <w:rPr>
                <w:webHidden/>
              </w:rPr>
              <w:t>ii</w:t>
            </w:r>
            <w:r w:rsidR="00696168">
              <w:rPr>
                <w:webHidden/>
              </w:rPr>
              <w:fldChar w:fldCharType="end"/>
            </w:r>
          </w:hyperlink>
        </w:p>
        <w:p w14:paraId="010026F7" w14:textId="59D1B2FD" w:rsidR="00696168" w:rsidRDefault="00421A2C">
          <w:pPr>
            <w:pStyle w:val="TOC1"/>
            <w:rPr>
              <w:rFonts w:asciiTheme="minorHAnsi" w:eastAsiaTheme="minorEastAsia" w:hAnsiTheme="minorHAnsi"/>
              <w:b w:val="0"/>
              <w:bCs w:val="0"/>
              <w:color w:val="auto"/>
              <w:w w:val="100"/>
              <w:kern w:val="2"/>
              <w:sz w:val="22"/>
              <w:lang w:eastAsia="en-AU"/>
              <w14:ligatures w14:val="standardContextual"/>
            </w:rPr>
          </w:pPr>
          <w:hyperlink w:anchor="_Toc167305523" w:history="1">
            <w:r w:rsidR="00696168" w:rsidRPr="007D0808">
              <w:rPr>
                <w:rStyle w:val="Hyperlink"/>
              </w:rPr>
              <w:t>1.</w:t>
            </w:r>
            <w:r w:rsidR="00696168">
              <w:rPr>
                <w:rFonts w:asciiTheme="minorHAnsi" w:eastAsiaTheme="minorEastAsia" w:hAnsiTheme="minorHAnsi"/>
                <w:b w:val="0"/>
                <w:bCs w:val="0"/>
                <w:color w:val="auto"/>
                <w:w w:val="100"/>
                <w:kern w:val="2"/>
                <w:sz w:val="22"/>
                <w:lang w:eastAsia="en-AU"/>
                <w14:ligatures w14:val="standardContextual"/>
              </w:rPr>
              <w:tab/>
            </w:r>
            <w:r w:rsidR="00696168" w:rsidRPr="007D0808">
              <w:rPr>
                <w:rStyle w:val="Hyperlink"/>
              </w:rPr>
              <w:t>Bills</w:t>
            </w:r>
            <w:r w:rsidR="00696168">
              <w:rPr>
                <w:webHidden/>
              </w:rPr>
              <w:tab/>
            </w:r>
            <w:r w:rsidR="00696168">
              <w:rPr>
                <w:webHidden/>
              </w:rPr>
              <w:fldChar w:fldCharType="begin"/>
            </w:r>
            <w:r w:rsidR="00696168">
              <w:rPr>
                <w:webHidden/>
              </w:rPr>
              <w:instrText xml:space="preserve"> PAGEREF _Toc167305523 \h </w:instrText>
            </w:r>
            <w:r w:rsidR="00696168">
              <w:rPr>
                <w:webHidden/>
              </w:rPr>
            </w:r>
            <w:r w:rsidR="00696168">
              <w:rPr>
                <w:webHidden/>
              </w:rPr>
              <w:fldChar w:fldCharType="separate"/>
            </w:r>
            <w:r w:rsidR="00107165">
              <w:rPr>
                <w:webHidden/>
              </w:rPr>
              <w:t>1</w:t>
            </w:r>
            <w:r w:rsidR="00696168">
              <w:rPr>
                <w:webHidden/>
              </w:rPr>
              <w:fldChar w:fldCharType="end"/>
            </w:r>
          </w:hyperlink>
        </w:p>
        <w:p w14:paraId="7DE38A5F" w14:textId="2DB18159" w:rsidR="00696168" w:rsidRDefault="00421A2C">
          <w:pPr>
            <w:pStyle w:val="TOC2"/>
            <w:rPr>
              <w:rFonts w:eastAsiaTheme="minorEastAsia"/>
              <w:kern w:val="2"/>
              <w:lang w:eastAsia="en-AU"/>
              <w14:ligatures w14:val="standardContextual"/>
            </w:rPr>
          </w:pPr>
          <w:hyperlink w:anchor="_Toc167305524" w:history="1">
            <w:r w:rsidR="00696168" w:rsidRPr="007D0808">
              <w:rPr>
                <w:rStyle w:val="Hyperlink"/>
              </w:rPr>
              <w:t>Bills—</w:t>
            </w:r>
            <w:r w:rsidR="0001082A">
              <w:rPr>
                <w:rStyle w:val="Hyperlink"/>
              </w:rPr>
              <w:t>C</w:t>
            </w:r>
            <w:r w:rsidR="00696168" w:rsidRPr="007D0808">
              <w:rPr>
                <w:rStyle w:val="Hyperlink"/>
              </w:rPr>
              <w:t>omment</w:t>
            </w:r>
            <w:r w:rsidR="00696168">
              <w:rPr>
                <w:webHidden/>
              </w:rPr>
              <w:tab/>
            </w:r>
            <w:r w:rsidR="00696168">
              <w:rPr>
                <w:webHidden/>
              </w:rPr>
              <w:fldChar w:fldCharType="begin"/>
            </w:r>
            <w:r w:rsidR="00696168">
              <w:rPr>
                <w:webHidden/>
              </w:rPr>
              <w:instrText xml:space="preserve"> PAGEREF _Toc167305524 \h </w:instrText>
            </w:r>
            <w:r w:rsidR="00696168">
              <w:rPr>
                <w:webHidden/>
              </w:rPr>
            </w:r>
            <w:r w:rsidR="00696168">
              <w:rPr>
                <w:webHidden/>
              </w:rPr>
              <w:fldChar w:fldCharType="separate"/>
            </w:r>
            <w:r w:rsidR="00107165">
              <w:rPr>
                <w:webHidden/>
              </w:rPr>
              <w:t>1</w:t>
            </w:r>
            <w:r w:rsidR="00696168">
              <w:rPr>
                <w:webHidden/>
              </w:rPr>
              <w:fldChar w:fldCharType="end"/>
            </w:r>
          </w:hyperlink>
        </w:p>
        <w:p w14:paraId="1D406B02" w14:textId="01AB6A29" w:rsidR="00696168" w:rsidRDefault="00421A2C">
          <w:pPr>
            <w:pStyle w:val="TOC3"/>
            <w:rPr>
              <w:rFonts w:eastAsiaTheme="minorEastAsia"/>
              <w:kern w:val="2"/>
              <w:lang w:eastAsia="en-AU"/>
              <w14:ligatures w14:val="standardContextual"/>
            </w:rPr>
          </w:pPr>
          <w:hyperlink w:anchor="_Toc167305525" w:history="1">
            <w:r w:rsidR="00696168" w:rsidRPr="007D0808">
              <w:rPr>
                <w:rStyle w:val="Hyperlink"/>
              </w:rPr>
              <w:t>Environment Protection Legislation Amendment Bill 2024</w:t>
            </w:r>
            <w:r w:rsidR="00696168">
              <w:rPr>
                <w:webHidden/>
              </w:rPr>
              <w:tab/>
            </w:r>
            <w:r w:rsidR="00696168">
              <w:rPr>
                <w:webHidden/>
              </w:rPr>
              <w:fldChar w:fldCharType="begin"/>
            </w:r>
            <w:r w:rsidR="00696168">
              <w:rPr>
                <w:webHidden/>
              </w:rPr>
              <w:instrText xml:space="preserve"> PAGEREF _Toc167305525 \h </w:instrText>
            </w:r>
            <w:r w:rsidR="00696168">
              <w:rPr>
                <w:webHidden/>
              </w:rPr>
            </w:r>
            <w:r w:rsidR="00696168">
              <w:rPr>
                <w:webHidden/>
              </w:rPr>
              <w:fldChar w:fldCharType="separate"/>
            </w:r>
            <w:r w:rsidR="00107165">
              <w:rPr>
                <w:webHidden/>
              </w:rPr>
              <w:t>1</w:t>
            </w:r>
            <w:r w:rsidR="00696168">
              <w:rPr>
                <w:webHidden/>
              </w:rPr>
              <w:fldChar w:fldCharType="end"/>
            </w:r>
          </w:hyperlink>
        </w:p>
        <w:p w14:paraId="009BCB0C" w14:textId="311DB1B4" w:rsidR="00696168" w:rsidRDefault="00421A2C">
          <w:pPr>
            <w:pStyle w:val="TOC3"/>
            <w:rPr>
              <w:rFonts w:eastAsiaTheme="minorEastAsia"/>
              <w:kern w:val="2"/>
              <w:lang w:eastAsia="en-AU"/>
              <w14:ligatures w14:val="standardContextual"/>
            </w:rPr>
          </w:pPr>
          <w:hyperlink w:anchor="_Toc167305529" w:history="1">
            <w:r w:rsidR="00696168" w:rsidRPr="007D0808">
              <w:rPr>
                <w:rStyle w:val="Hyperlink"/>
              </w:rPr>
              <w:t>Justice and Community Safety Legislation Amendment Bill 2024</w:t>
            </w:r>
            <w:r w:rsidR="00696168">
              <w:rPr>
                <w:webHidden/>
              </w:rPr>
              <w:tab/>
            </w:r>
            <w:r w:rsidR="00696168">
              <w:rPr>
                <w:webHidden/>
              </w:rPr>
              <w:fldChar w:fldCharType="begin"/>
            </w:r>
            <w:r w:rsidR="00696168">
              <w:rPr>
                <w:webHidden/>
              </w:rPr>
              <w:instrText xml:space="preserve"> PAGEREF _Toc167305529 \h </w:instrText>
            </w:r>
            <w:r w:rsidR="00696168">
              <w:rPr>
                <w:webHidden/>
              </w:rPr>
            </w:r>
            <w:r w:rsidR="00696168">
              <w:rPr>
                <w:webHidden/>
              </w:rPr>
              <w:fldChar w:fldCharType="separate"/>
            </w:r>
            <w:r w:rsidR="00107165">
              <w:rPr>
                <w:webHidden/>
              </w:rPr>
              <w:t>3</w:t>
            </w:r>
            <w:r w:rsidR="00696168">
              <w:rPr>
                <w:webHidden/>
              </w:rPr>
              <w:fldChar w:fldCharType="end"/>
            </w:r>
          </w:hyperlink>
        </w:p>
        <w:p w14:paraId="638D9649" w14:textId="6A4FC676" w:rsidR="00696168" w:rsidRDefault="00421A2C">
          <w:pPr>
            <w:pStyle w:val="TOC3"/>
            <w:rPr>
              <w:rFonts w:eastAsiaTheme="minorEastAsia"/>
              <w:kern w:val="2"/>
              <w:lang w:eastAsia="en-AU"/>
              <w14:ligatures w14:val="standardContextual"/>
            </w:rPr>
          </w:pPr>
          <w:hyperlink w:anchor="_Toc167305532" w:history="1">
            <w:r w:rsidR="00696168" w:rsidRPr="007D0808">
              <w:rPr>
                <w:rStyle w:val="Hyperlink"/>
              </w:rPr>
              <w:t>Monitoring of Places of Detention Legislation Amendment Bill 2024</w:t>
            </w:r>
            <w:r w:rsidR="00696168">
              <w:rPr>
                <w:webHidden/>
              </w:rPr>
              <w:tab/>
            </w:r>
            <w:r w:rsidR="00696168">
              <w:rPr>
                <w:webHidden/>
              </w:rPr>
              <w:fldChar w:fldCharType="begin"/>
            </w:r>
            <w:r w:rsidR="00696168">
              <w:rPr>
                <w:webHidden/>
              </w:rPr>
              <w:instrText xml:space="preserve"> PAGEREF _Toc167305532 \h </w:instrText>
            </w:r>
            <w:r w:rsidR="00696168">
              <w:rPr>
                <w:webHidden/>
              </w:rPr>
            </w:r>
            <w:r w:rsidR="00696168">
              <w:rPr>
                <w:webHidden/>
              </w:rPr>
              <w:fldChar w:fldCharType="separate"/>
            </w:r>
            <w:r w:rsidR="00107165">
              <w:rPr>
                <w:webHidden/>
              </w:rPr>
              <w:t>4</w:t>
            </w:r>
            <w:r w:rsidR="00696168">
              <w:rPr>
                <w:webHidden/>
              </w:rPr>
              <w:fldChar w:fldCharType="end"/>
            </w:r>
          </w:hyperlink>
        </w:p>
        <w:p w14:paraId="527BEAD1" w14:textId="1764D6BA" w:rsidR="00696168" w:rsidRDefault="00421A2C">
          <w:pPr>
            <w:pStyle w:val="TOC2"/>
            <w:rPr>
              <w:rFonts w:eastAsiaTheme="minorEastAsia"/>
              <w:kern w:val="2"/>
              <w:lang w:eastAsia="en-AU"/>
              <w14:ligatures w14:val="standardContextual"/>
            </w:rPr>
          </w:pPr>
          <w:hyperlink w:anchor="_Toc167305535" w:history="1">
            <w:r w:rsidR="00696168" w:rsidRPr="007D0808">
              <w:rPr>
                <w:rStyle w:val="Hyperlink"/>
              </w:rPr>
              <w:t>Proposed Amendments</w:t>
            </w:r>
            <w:r w:rsidR="00696168" w:rsidRPr="007D0808">
              <w:rPr>
                <w:rStyle w:val="Hyperlink"/>
                <w:rFonts w:eastAsia="Calibri"/>
                <w:lang w:eastAsia="en-AU"/>
              </w:rPr>
              <w:t>—</w:t>
            </w:r>
            <w:r w:rsidR="00696168" w:rsidRPr="007D0808">
              <w:rPr>
                <w:rStyle w:val="Hyperlink"/>
              </w:rPr>
              <w:t>Comment</w:t>
            </w:r>
            <w:r w:rsidR="00696168">
              <w:rPr>
                <w:webHidden/>
              </w:rPr>
              <w:tab/>
            </w:r>
            <w:r w:rsidR="00696168">
              <w:rPr>
                <w:webHidden/>
              </w:rPr>
              <w:fldChar w:fldCharType="begin"/>
            </w:r>
            <w:r w:rsidR="00696168">
              <w:rPr>
                <w:webHidden/>
              </w:rPr>
              <w:instrText xml:space="preserve"> PAGEREF _Toc167305535 \h </w:instrText>
            </w:r>
            <w:r w:rsidR="00696168">
              <w:rPr>
                <w:webHidden/>
              </w:rPr>
            </w:r>
            <w:r w:rsidR="00696168">
              <w:rPr>
                <w:webHidden/>
              </w:rPr>
              <w:fldChar w:fldCharType="separate"/>
            </w:r>
            <w:r w:rsidR="00107165">
              <w:rPr>
                <w:webHidden/>
              </w:rPr>
              <w:t>7</w:t>
            </w:r>
            <w:r w:rsidR="00696168">
              <w:rPr>
                <w:webHidden/>
              </w:rPr>
              <w:fldChar w:fldCharType="end"/>
            </w:r>
          </w:hyperlink>
        </w:p>
        <w:p w14:paraId="76EC339B" w14:textId="7B7CCBDC" w:rsidR="00696168" w:rsidRDefault="00421A2C">
          <w:pPr>
            <w:pStyle w:val="TOC3"/>
            <w:rPr>
              <w:rFonts w:eastAsiaTheme="minorEastAsia"/>
              <w:kern w:val="2"/>
              <w:lang w:eastAsia="en-AU"/>
              <w14:ligatures w14:val="standardContextual"/>
            </w:rPr>
          </w:pPr>
          <w:hyperlink w:anchor="_Toc167305536" w:history="1">
            <w:r w:rsidR="00696168" w:rsidRPr="007D0808">
              <w:rPr>
                <w:rStyle w:val="Hyperlink"/>
              </w:rPr>
              <w:t>Voluntary Assisted Dying Bill 2023</w:t>
            </w:r>
            <w:r w:rsidR="00696168">
              <w:rPr>
                <w:webHidden/>
              </w:rPr>
              <w:tab/>
            </w:r>
            <w:r w:rsidR="00696168">
              <w:rPr>
                <w:webHidden/>
              </w:rPr>
              <w:fldChar w:fldCharType="begin"/>
            </w:r>
            <w:r w:rsidR="00696168">
              <w:rPr>
                <w:webHidden/>
              </w:rPr>
              <w:instrText xml:space="preserve"> PAGEREF _Toc167305536 \h </w:instrText>
            </w:r>
            <w:r w:rsidR="00696168">
              <w:rPr>
                <w:webHidden/>
              </w:rPr>
            </w:r>
            <w:r w:rsidR="00696168">
              <w:rPr>
                <w:webHidden/>
              </w:rPr>
              <w:fldChar w:fldCharType="separate"/>
            </w:r>
            <w:r w:rsidR="00107165">
              <w:rPr>
                <w:webHidden/>
              </w:rPr>
              <w:t>7</w:t>
            </w:r>
            <w:r w:rsidR="00696168">
              <w:rPr>
                <w:webHidden/>
              </w:rPr>
              <w:fldChar w:fldCharType="end"/>
            </w:r>
          </w:hyperlink>
        </w:p>
        <w:p w14:paraId="5E84BFC9" w14:textId="5A01B1DA" w:rsidR="00696168" w:rsidRDefault="00421A2C">
          <w:pPr>
            <w:pStyle w:val="TOC2"/>
            <w:rPr>
              <w:rFonts w:eastAsiaTheme="minorEastAsia"/>
              <w:kern w:val="2"/>
              <w:lang w:eastAsia="en-AU"/>
              <w14:ligatures w14:val="standardContextual"/>
            </w:rPr>
          </w:pPr>
          <w:hyperlink w:anchor="_Toc167305537" w:history="1">
            <w:r w:rsidR="00696168" w:rsidRPr="007D0808">
              <w:rPr>
                <w:rStyle w:val="Hyperlink"/>
              </w:rPr>
              <w:t>Proposed Amendments</w:t>
            </w:r>
            <w:r w:rsidR="00696168" w:rsidRPr="007D0808">
              <w:rPr>
                <w:rStyle w:val="Hyperlink"/>
                <w:rFonts w:eastAsia="Calibri"/>
                <w:lang w:eastAsia="en-AU"/>
              </w:rPr>
              <w:t>—</w:t>
            </w:r>
            <w:r w:rsidR="00696168" w:rsidRPr="007D0808">
              <w:rPr>
                <w:rStyle w:val="Hyperlink"/>
              </w:rPr>
              <w:t xml:space="preserve">No </w:t>
            </w:r>
            <w:r w:rsidR="00696168">
              <w:rPr>
                <w:rStyle w:val="Hyperlink"/>
              </w:rPr>
              <w:t>c</w:t>
            </w:r>
            <w:r w:rsidR="00696168" w:rsidRPr="007D0808">
              <w:rPr>
                <w:rStyle w:val="Hyperlink"/>
              </w:rPr>
              <w:t>omment</w:t>
            </w:r>
            <w:r w:rsidR="00696168">
              <w:rPr>
                <w:webHidden/>
              </w:rPr>
              <w:tab/>
            </w:r>
            <w:r w:rsidR="00696168">
              <w:rPr>
                <w:webHidden/>
              </w:rPr>
              <w:fldChar w:fldCharType="begin"/>
            </w:r>
            <w:r w:rsidR="00696168">
              <w:rPr>
                <w:webHidden/>
              </w:rPr>
              <w:instrText xml:space="preserve"> PAGEREF _Toc167305537 \h </w:instrText>
            </w:r>
            <w:r w:rsidR="00696168">
              <w:rPr>
                <w:webHidden/>
              </w:rPr>
            </w:r>
            <w:r w:rsidR="00696168">
              <w:rPr>
                <w:webHidden/>
              </w:rPr>
              <w:fldChar w:fldCharType="separate"/>
            </w:r>
            <w:r w:rsidR="00107165">
              <w:rPr>
                <w:webHidden/>
              </w:rPr>
              <w:t>11</w:t>
            </w:r>
            <w:r w:rsidR="00696168">
              <w:rPr>
                <w:webHidden/>
              </w:rPr>
              <w:fldChar w:fldCharType="end"/>
            </w:r>
          </w:hyperlink>
        </w:p>
        <w:p w14:paraId="25BE733D" w14:textId="359E7D38" w:rsidR="00696168" w:rsidRDefault="00421A2C">
          <w:pPr>
            <w:pStyle w:val="TOC3"/>
            <w:rPr>
              <w:rFonts w:eastAsiaTheme="minorEastAsia"/>
              <w:kern w:val="2"/>
              <w:lang w:eastAsia="en-AU"/>
              <w14:ligatures w14:val="standardContextual"/>
            </w:rPr>
          </w:pPr>
          <w:hyperlink w:anchor="_Toc167305538" w:history="1">
            <w:r w:rsidR="00696168" w:rsidRPr="007D0808">
              <w:rPr>
                <w:rStyle w:val="Hyperlink"/>
              </w:rPr>
              <w:t>Voluntary Assisted Dying Bill 2023</w:t>
            </w:r>
            <w:r w:rsidR="00696168">
              <w:rPr>
                <w:webHidden/>
              </w:rPr>
              <w:tab/>
            </w:r>
            <w:r w:rsidR="00696168">
              <w:rPr>
                <w:webHidden/>
              </w:rPr>
              <w:fldChar w:fldCharType="begin"/>
            </w:r>
            <w:r w:rsidR="00696168">
              <w:rPr>
                <w:webHidden/>
              </w:rPr>
              <w:instrText xml:space="preserve"> PAGEREF _Toc167305538 \h </w:instrText>
            </w:r>
            <w:r w:rsidR="00696168">
              <w:rPr>
                <w:webHidden/>
              </w:rPr>
            </w:r>
            <w:r w:rsidR="00696168">
              <w:rPr>
                <w:webHidden/>
              </w:rPr>
              <w:fldChar w:fldCharType="separate"/>
            </w:r>
            <w:r w:rsidR="00107165">
              <w:rPr>
                <w:webHidden/>
              </w:rPr>
              <w:t>11</w:t>
            </w:r>
            <w:r w:rsidR="00696168">
              <w:rPr>
                <w:webHidden/>
              </w:rPr>
              <w:fldChar w:fldCharType="end"/>
            </w:r>
          </w:hyperlink>
        </w:p>
        <w:p w14:paraId="1657B03F" w14:textId="76EF50CC" w:rsidR="00696168" w:rsidRDefault="00421A2C">
          <w:pPr>
            <w:pStyle w:val="TOC2"/>
            <w:rPr>
              <w:rFonts w:eastAsiaTheme="minorEastAsia"/>
              <w:kern w:val="2"/>
              <w:lang w:eastAsia="en-AU"/>
              <w14:ligatures w14:val="standardContextual"/>
            </w:rPr>
          </w:pPr>
          <w:hyperlink w:anchor="_Toc167305539" w:history="1">
            <w:r w:rsidR="00696168" w:rsidRPr="007D0808">
              <w:rPr>
                <w:rStyle w:val="Hyperlink"/>
              </w:rPr>
              <w:t xml:space="preserve">Government </w:t>
            </w:r>
            <w:r w:rsidR="00696168">
              <w:rPr>
                <w:rStyle w:val="Hyperlink"/>
              </w:rPr>
              <w:t>r</w:t>
            </w:r>
            <w:r w:rsidR="00696168" w:rsidRPr="007D0808">
              <w:rPr>
                <w:rStyle w:val="Hyperlink"/>
              </w:rPr>
              <w:t>esponses</w:t>
            </w:r>
            <w:r w:rsidR="00696168" w:rsidRPr="007D0808">
              <w:rPr>
                <w:rStyle w:val="Hyperlink"/>
                <w:rFonts w:eastAsia="Calibri"/>
                <w:lang w:eastAsia="en-AU"/>
              </w:rPr>
              <w:t>—</w:t>
            </w:r>
            <w:r w:rsidR="00696168" w:rsidRPr="007D0808">
              <w:rPr>
                <w:rStyle w:val="Hyperlink"/>
              </w:rPr>
              <w:t>No comment</w:t>
            </w:r>
            <w:r w:rsidR="00696168">
              <w:rPr>
                <w:webHidden/>
              </w:rPr>
              <w:tab/>
            </w:r>
            <w:r w:rsidR="00696168">
              <w:rPr>
                <w:webHidden/>
              </w:rPr>
              <w:fldChar w:fldCharType="begin"/>
            </w:r>
            <w:r w:rsidR="00696168">
              <w:rPr>
                <w:webHidden/>
              </w:rPr>
              <w:instrText xml:space="preserve"> PAGEREF _Toc167305539 \h </w:instrText>
            </w:r>
            <w:r w:rsidR="00696168">
              <w:rPr>
                <w:webHidden/>
              </w:rPr>
            </w:r>
            <w:r w:rsidR="00696168">
              <w:rPr>
                <w:webHidden/>
              </w:rPr>
              <w:fldChar w:fldCharType="separate"/>
            </w:r>
            <w:r w:rsidR="00107165">
              <w:rPr>
                <w:webHidden/>
              </w:rPr>
              <w:t>12</w:t>
            </w:r>
            <w:r w:rsidR="00696168">
              <w:rPr>
                <w:webHidden/>
              </w:rPr>
              <w:fldChar w:fldCharType="end"/>
            </w:r>
          </w:hyperlink>
        </w:p>
        <w:p w14:paraId="3D11267F" w14:textId="2EBA4967" w:rsidR="00696168" w:rsidRDefault="00421A2C">
          <w:pPr>
            <w:pStyle w:val="TOC1"/>
            <w:rPr>
              <w:rFonts w:asciiTheme="minorHAnsi" w:eastAsiaTheme="minorEastAsia" w:hAnsiTheme="minorHAnsi"/>
              <w:b w:val="0"/>
              <w:bCs w:val="0"/>
              <w:color w:val="auto"/>
              <w:w w:val="100"/>
              <w:kern w:val="2"/>
              <w:sz w:val="22"/>
              <w:lang w:eastAsia="en-AU"/>
              <w14:ligatures w14:val="standardContextual"/>
            </w:rPr>
          </w:pPr>
          <w:hyperlink w:anchor="_Toc167305540" w:history="1">
            <w:r w:rsidR="00696168" w:rsidRPr="007D0808">
              <w:rPr>
                <w:rStyle w:val="Hyperlink"/>
              </w:rPr>
              <w:t>2.</w:t>
            </w:r>
            <w:r w:rsidR="00696168">
              <w:rPr>
                <w:rFonts w:asciiTheme="minorHAnsi" w:eastAsiaTheme="minorEastAsia" w:hAnsiTheme="minorHAnsi"/>
                <w:b w:val="0"/>
                <w:bCs w:val="0"/>
                <w:color w:val="auto"/>
                <w:w w:val="100"/>
                <w:kern w:val="2"/>
                <w:sz w:val="22"/>
                <w:lang w:eastAsia="en-AU"/>
                <w14:ligatures w14:val="standardContextual"/>
              </w:rPr>
              <w:tab/>
            </w:r>
            <w:r w:rsidR="00696168" w:rsidRPr="007D0808">
              <w:rPr>
                <w:rStyle w:val="Hyperlink"/>
              </w:rPr>
              <w:t>Subordinate Legislation</w:t>
            </w:r>
            <w:r w:rsidR="00696168">
              <w:rPr>
                <w:webHidden/>
              </w:rPr>
              <w:tab/>
            </w:r>
            <w:r w:rsidR="00696168">
              <w:rPr>
                <w:webHidden/>
              </w:rPr>
              <w:fldChar w:fldCharType="begin"/>
            </w:r>
            <w:r w:rsidR="00696168">
              <w:rPr>
                <w:webHidden/>
              </w:rPr>
              <w:instrText xml:space="preserve"> PAGEREF _Toc167305540 \h </w:instrText>
            </w:r>
            <w:r w:rsidR="00696168">
              <w:rPr>
                <w:webHidden/>
              </w:rPr>
            </w:r>
            <w:r w:rsidR="00696168">
              <w:rPr>
                <w:webHidden/>
              </w:rPr>
              <w:fldChar w:fldCharType="separate"/>
            </w:r>
            <w:r w:rsidR="00107165">
              <w:rPr>
                <w:webHidden/>
              </w:rPr>
              <w:t>13</w:t>
            </w:r>
            <w:r w:rsidR="00696168">
              <w:rPr>
                <w:webHidden/>
              </w:rPr>
              <w:fldChar w:fldCharType="end"/>
            </w:r>
          </w:hyperlink>
        </w:p>
        <w:p w14:paraId="55FEA629" w14:textId="51FD5DF5" w:rsidR="00696168" w:rsidRDefault="00421A2C">
          <w:pPr>
            <w:pStyle w:val="TOC2"/>
            <w:rPr>
              <w:rFonts w:eastAsiaTheme="minorEastAsia"/>
              <w:kern w:val="2"/>
              <w:lang w:eastAsia="en-AU"/>
              <w14:ligatures w14:val="standardContextual"/>
            </w:rPr>
          </w:pPr>
          <w:hyperlink w:anchor="_Toc167305541" w:history="1">
            <w:r w:rsidR="00696168" w:rsidRPr="007D0808">
              <w:rPr>
                <w:rStyle w:val="Hyperlink"/>
              </w:rPr>
              <w:t>Disallowable Instruments</w:t>
            </w:r>
            <w:r w:rsidR="00696168" w:rsidRPr="007D0808">
              <w:rPr>
                <w:rStyle w:val="Hyperlink"/>
                <w:rFonts w:eastAsia="Calibri"/>
                <w:lang w:eastAsia="en-AU"/>
              </w:rPr>
              <w:t>—</w:t>
            </w:r>
            <w:r w:rsidR="00696168" w:rsidRPr="007D0808">
              <w:rPr>
                <w:rStyle w:val="Hyperlink"/>
              </w:rPr>
              <w:t>No comment</w:t>
            </w:r>
            <w:r w:rsidR="00696168">
              <w:rPr>
                <w:webHidden/>
              </w:rPr>
              <w:tab/>
            </w:r>
            <w:r w:rsidR="00696168">
              <w:rPr>
                <w:webHidden/>
              </w:rPr>
              <w:fldChar w:fldCharType="begin"/>
            </w:r>
            <w:r w:rsidR="00696168">
              <w:rPr>
                <w:webHidden/>
              </w:rPr>
              <w:instrText xml:space="preserve"> PAGEREF _Toc167305541 \h </w:instrText>
            </w:r>
            <w:r w:rsidR="00696168">
              <w:rPr>
                <w:webHidden/>
              </w:rPr>
            </w:r>
            <w:r w:rsidR="00696168">
              <w:rPr>
                <w:webHidden/>
              </w:rPr>
              <w:fldChar w:fldCharType="separate"/>
            </w:r>
            <w:r w:rsidR="00107165">
              <w:rPr>
                <w:webHidden/>
              </w:rPr>
              <w:t>13</w:t>
            </w:r>
            <w:r w:rsidR="00696168">
              <w:rPr>
                <w:webHidden/>
              </w:rPr>
              <w:fldChar w:fldCharType="end"/>
            </w:r>
          </w:hyperlink>
        </w:p>
        <w:p w14:paraId="25394C70" w14:textId="26DAF404" w:rsidR="00696168" w:rsidRDefault="00421A2C">
          <w:pPr>
            <w:pStyle w:val="TOC2"/>
            <w:rPr>
              <w:rFonts w:eastAsiaTheme="minorEastAsia"/>
              <w:kern w:val="2"/>
              <w:lang w:eastAsia="en-AU"/>
              <w14:ligatures w14:val="standardContextual"/>
            </w:rPr>
          </w:pPr>
          <w:hyperlink w:anchor="_Toc167305542" w:history="1">
            <w:r w:rsidR="00696168" w:rsidRPr="007D0808">
              <w:rPr>
                <w:rStyle w:val="Hyperlink"/>
              </w:rPr>
              <w:t>Disallowable Instruments</w:t>
            </w:r>
            <w:r w:rsidR="00696168" w:rsidRPr="007D0808">
              <w:rPr>
                <w:rStyle w:val="Hyperlink"/>
                <w:rFonts w:eastAsia="Calibri"/>
                <w:lang w:eastAsia="en-AU"/>
              </w:rPr>
              <w:t>—</w:t>
            </w:r>
            <w:r w:rsidR="00696168" w:rsidRPr="007D0808">
              <w:rPr>
                <w:rStyle w:val="Hyperlink"/>
              </w:rPr>
              <w:t>Comment</w:t>
            </w:r>
            <w:r w:rsidR="00696168">
              <w:rPr>
                <w:webHidden/>
              </w:rPr>
              <w:tab/>
            </w:r>
            <w:r w:rsidR="00696168">
              <w:rPr>
                <w:webHidden/>
              </w:rPr>
              <w:fldChar w:fldCharType="begin"/>
            </w:r>
            <w:r w:rsidR="00696168">
              <w:rPr>
                <w:webHidden/>
              </w:rPr>
              <w:instrText xml:space="preserve"> PAGEREF _Toc167305542 \h </w:instrText>
            </w:r>
            <w:r w:rsidR="00696168">
              <w:rPr>
                <w:webHidden/>
              </w:rPr>
            </w:r>
            <w:r w:rsidR="00696168">
              <w:rPr>
                <w:webHidden/>
              </w:rPr>
              <w:fldChar w:fldCharType="separate"/>
            </w:r>
            <w:r w:rsidR="00107165">
              <w:rPr>
                <w:webHidden/>
              </w:rPr>
              <w:t>15</w:t>
            </w:r>
            <w:r w:rsidR="00696168">
              <w:rPr>
                <w:webHidden/>
              </w:rPr>
              <w:fldChar w:fldCharType="end"/>
            </w:r>
          </w:hyperlink>
        </w:p>
        <w:p w14:paraId="0CF83AB6" w14:textId="1E51C324" w:rsidR="00696168" w:rsidRDefault="00421A2C">
          <w:pPr>
            <w:pStyle w:val="TOC2"/>
            <w:rPr>
              <w:rFonts w:eastAsiaTheme="minorEastAsia"/>
              <w:kern w:val="2"/>
              <w:lang w:eastAsia="en-AU"/>
              <w14:ligatures w14:val="standardContextual"/>
            </w:rPr>
          </w:pPr>
          <w:hyperlink w:anchor="_Toc167305546" w:history="1">
            <w:r w:rsidR="00696168" w:rsidRPr="007D0808">
              <w:rPr>
                <w:rStyle w:val="Hyperlink"/>
              </w:rPr>
              <w:t>Subordinate Laws</w:t>
            </w:r>
            <w:r w:rsidR="00696168" w:rsidRPr="007D0808">
              <w:rPr>
                <w:rStyle w:val="Hyperlink"/>
                <w:rFonts w:eastAsia="Calibri"/>
                <w:lang w:eastAsia="en-AU"/>
              </w:rPr>
              <w:t>—</w:t>
            </w:r>
            <w:r w:rsidR="00696168" w:rsidRPr="007D0808">
              <w:rPr>
                <w:rStyle w:val="Hyperlink"/>
              </w:rPr>
              <w:t>Comment</w:t>
            </w:r>
            <w:r w:rsidR="00696168">
              <w:rPr>
                <w:webHidden/>
              </w:rPr>
              <w:tab/>
            </w:r>
            <w:r w:rsidR="00696168">
              <w:rPr>
                <w:webHidden/>
              </w:rPr>
              <w:fldChar w:fldCharType="begin"/>
            </w:r>
            <w:r w:rsidR="00696168">
              <w:rPr>
                <w:webHidden/>
              </w:rPr>
              <w:instrText xml:space="preserve"> PAGEREF _Toc167305546 \h </w:instrText>
            </w:r>
            <w:r w:rsidR="00696168">
              <w:rPr>
                <w:webHidden/>
              </w:rPr>
            </w:r>
            <w:r w:rsidR="00696168">
              <w:rPr>
                <w:webHidden/>
              </w:rPr>
              <w:fldChar w:fldCharType="separate"/>
            </w:r>
            <w:r w:rsidR="00107165">
              <w:rPr>
                <w:webHidden/>
              </w:rPr>
              <w:t>19</w:t>
            </w:r>
            <w:r w:rsidR="00696168">
              <w:rPr>
                <w:webHidden/>
              </w:rPr>
              <w:fldChar w:fldCharType="end"/>
            </w:r>
          </w:hyperlink>
        </w:p>
        <w:p w14:paraId="6412C922" w14:textId="49DAFBD5" w:rsidR="00696168" w:rsidRDefault="00421A2C">
          <w:pPr>
            <w:pStyle w:val="TOC1"/>
            <w:rPr>
              <w:rFonts w:asciiTheme="minorHAnsi" w:eastAsiaTheme="minorEastAsia" w:hAnsiTheme="minorHAnsi"/>
              <w:b w:val="0"/>
              <w:bCs w:val="0"/>
              <w:color w:val="auto"/>
              <w:w w:val="100"/>
              <w:kern w:val="2"/>
              <w:sz w:val="22"/>
              <w:lang w:eastAsia="en-AU"/>
              <w14:ligatures w14:val="standardContextual"/>
            </w:rPr>
          </w:pPr>
          <w:hyperlink w:anchor="_Toc167305549" w:history="1">
            <w:r w:rsidR="00696168" w:rsidRPr="007D0808">
              <w:rPr>
                <w:rStyle w:val="Hyperlink"/>
                <w:rFonts w:eastAsiaTheme="majorEastAsia" w:cstheme="majorBidi"/>
              </w:rPr>
              <w:t>Outstanding responses</w:t>
            </w:r>
            <w:r w:rsidR="00696168">
              <w:rPr>
                <w:webHidden/>
              </w:rPr>
              <w:tab/>
            </w:r>
            <w:r w:rsidR="00696168">
              <w:rPr>
                <w:webHidden/>
              </w:rPr>
              <w:fldChar w:fldCharType="begin"/>
            </w:r>
            <w:r w:rsidR="00696168">
              <w:rPr>
                <w:webHidden/>
              </w:rPr>
              <w:instrText xml:space="preserve"> PAGEREF _Toc167305549 \h </w:instrText>
            </w:r>
            <w:r w:rsidR="00696168">
              <w:rPr>
                <w:webHidden/>
              </w:rPr>
            </w:r>
            <w:r w:rsidR="00696168">
              <w:rPr>
                <w:webHidden/>
              </w:rPr>
              <w:fldChar w:fldCharType="separate"/>
            </w:r>
            <w:r w:rsidR="00107165">
              <w:rPr>
                <w:webHidden/>
              </w:rPr>
              <w:t>24</w:t>
            </w:r>
            <w:r w:rsidR="00696168">
              <w:rPr>
                <w:webHidden/>
              </w:rPr>
              <w:fldChar w:fldCharType="end"/>
            </w:r>
          </w:hyperlink>
        </w:p>
        <w:p w14:paraId="3FBB0F78" w14:textId="0ED1A321" w:rsidR="00696168" w:rsidRDefault="00421A2C">
          <w:pPr>
            <w:pStyle w:val="TOC2"/>
            <w:rPr>
              <w:rFonts w:eastAsiaTheme="minorEastAsia"/>
              <w:kern w:val="2"/>
              <w:lang w:eastAsia="en-AU"/>
              <w14:ligatures w14:val="standardContextual"/>
            </w:rPr>
          </w:pPr>
          <w:hyperlink w:anchor="_Toc167305550" w:history="1">
            <w:r w:rsidR="00696168" w:rsidRPr="007D0808">
              <w:rPr>
                <w:rStyle w:val="Hyperlink"/>
              </w:rPr>
              <w:t>Bills/Subordinate Legislation</w:t>
            </w:r>
            <w:r w:rsidR="00696168">
              <w:rPr>
                <w:webHidden/>
              </w:rPr>
              <w:tab/>
            </w:r>
            <w:r w:rsidR="00696168">
              <w:rPr>
                <w:webHidden/>
              </w:rPr>
              <w:fldChar w:fldCharType="begin"/>
            </w:r>
            <w:r w:rsidR="00696168">
              <w:rPr>
                <w:webHidden/>
              </w:rPr>
              <w:instrText xml:space="preserve"> PAGEREF _Toc167305550 \h </w:instrText>
            </w:r>
            <w:r w:rsidR="00696168">
              <w:rPr>
                <w:webHidden/>
              </w:rPr>
            </w:r>
            <w:r w:rsidR="00696168">
              <w:rPr>
                <w:webHidden/>
              </w:rPr>
              <w:fldChar w:fldCharType="separate"/>
            </w:r>
            <w:r w:rsidR="00107165">
              <w:rPr>
                <w:webHidden/>
              </w:rPr>
              <w:t>24</w:t>
            </w:r>
            <w:r w:rsidR="00696168">
              <w:rPr>
                <w:webHidden/>
              </w:rPr>
              <w:fldChar w:fldCharType="end"/>
            </w:r>
          </w:hyperlink>
        </w:p>
        <w:p w14:paraId="064D3A93" w14:textId="13D31475" w:rsidR="00696168" w:rsidRDefault="00421A2C">
          <w:pPr>
            <w:pStyle w:val="TOC3"/>
            <w:rPr>
              <w:rFonts w:eastAsiaTheme="minorEastAsia"/>
              <w:kern w:val="2"/>
              <w:lang w:eastAsia="en-AU"/>
              <w14:ligatures w14:val="standardContextual"/>
            </w:rPr>
          </w:pPr>
          <w:hyperlink w:anchor="_Toc167305551" w:history="1">
            <w:r w:rsidR="00696168" w:rsidRPr="007D0808">
              <w:rPr>
                <w:rStyle w:val="Hyperlink"/>
              </w:rPr>
              <w:t>Report 28, dated 3 May 2023</w:t>
            </w:r>
            <w:r w:rsidR="00696168">
              <w:rPr>
                <w:webHidden/>
              </w:rPr>
              <w:tab/>
            </w:r>
            <w:r w:rsidR="00696168">
              <w:rPr>
                <w:webHidden/>
              </w:rPr>
              <w:fldChar w:fldCharType="begin"/>
            </w:r>
            <w:r w:rsidR="00696168">
              <w:rPr>
                <w:webHidden/>
              </w:rPr>
              <w:instrText xml:space="preserve"> PAGEREF _Toc167305551 \h </w:instrText>
            </w:r>
            <w:r w:rsidR="00696168">
              <w:rPr>
                <w:webHidden/>
              </w:rPr>
            </w:r>
            <w:r w:rsidR="00696168">
              <w:rPr>
                <w:webHidden/>
              </w:rPr>
              <w:fldChar w:fldCharType="separate"/>
            </w:r>
            <w:r w:rsidR="00107165">
              <w:rPr>
                <w:webHidden/>
              </w:rPr>
              <w:t>24</w:t>
            </w:r>
            <w:r w:rsidR="00696168">
              <w:rPr>
                <w:webHidden/>
              </w:rPr>
              <w:fldChar w:fldCharType="end"/>
            </w:r>
          </w:hyperlink>
        </w:p>
        <w:p w14:paraId="5BEAD941" w14:textId="4606BF7E" w:rsidR="00696168" w:rsidRDefault="00421A2C">
          <w:pPr>
            <w:pStyle w:val="TOC3"/>
            <w:rPr>
              <w:rFonts w:eastAsiaTheme="minorEastAsia"/>
              <w:kern w:val="2"/>
              <w:lang w:eastAsia="en-AU"/>
              <w14:ligatures w14:val="standardContextual"/>
            </w:rPr>
          </w:pPr>
          <w:hyperlink w:anchor="_Toc167305553" w:history="1">
            <w:r w:rsidR="00696168" w:rsidRPr="007D0808">
              <w:rPr>
                <w:rStyle w:val="Hyperlink"/>
              </w:rPr>
              <w:t>Report 38, dated 30 January 2024</w:t>
            </w:r>
            <w:r w:rsidR="00696168">
              <w:rPr>
                <w:webHidden/>
              </w:rPr>
              <w:tab/>
            </w:r>
            <w:r w:rsidR="00696168">
              <w:rPr>
                <w:webHidden/>
              </w:rPr>
              <w:fldChar w:fldCharType="begin"/>
            </w:r>
            <w:r w:rsidR="00696168">
              <w:rPr>
                <w:webHidden/>
              </w:rPr>
              <w:instrText xml:space="preserve"> PAGEREF _Toc167305553 \h </w:instrText>
            </w:r>
            <w:r w:rsidR="00696168">
              <w:rPr>
                <w:webHidden/>
              </w:rPr>
            </w:r>
            <w:r w:rsidR="00696168">
              <w:rPr>
                <w:webHidden/>
              </w:rPr>
              <w:fldChar w:fldCharType="separate"/>
            </w:r>
            <w:r w:rsidR="00107165">
              <w:rPr>
                <w:webHidden/>
              </w:rPr>
              <w:t>24</w:t>
            </w:r>
            <w:r w:rsidR="00696168">
              <w:rPr>
                <w:webHidden/>
              </w:rPr>
              <w:fldChar w:fldCharType="end"/>
            </w:r>
          </w:hyperlink>
        </w:p>
        <w:p w14:paraId="40B5770E" w14:textId="2135504C" w:rsidR="00696168" w:rsidRDefault="00421A2C">
          <w:pPr>
            <w:pStyle w:val="TOC3"/>
            <w:rPr>
              <w:rFonts w:eastAsiaTheme="minorEastAsia"/>
              <w:kern w:val="2"/>
              <w:lang w:eastAsia="en-AU"/>
              <w14:ligatures w14:val="standardContextual"/>
            </w:rPr>
          </w:pPr>
          <w:hyperlink w:anchor="_Toc167305555" w:history="1">
            <w:r w:rsidR="00696168" w:rsidRPr="007D0808">
              <w:rPr>
                <w:rStyle w:val="Hyperlink"/>
              </w:rPr>
              <w:t>Report 39, dated 12 March 2024</w:t>
            </w:r>
            <w:r w:rsidR="00696168">
              <w:rPr>
                <w:webHidden/>
              </w:rPr>
              <w:tab/>
            </w:r>
            <w:r w:rsidR="00696168">
              <w:rPr>
                <w:webHidden/>
              </w:rPr>
              <w:fldChar w:fldCharType="begin"/>
            </w:r>
            <w:r w:rsidR="00696168">
              <w:rPr>
                <w:webHidden/>
              </w:rPr>
              <w:instrText xml:space="preserve"> PAGEREF _Toc167305555 \h </w:instrText>
            </w:r>
            <w:r w:rsidR="00696168">
              <w:rPr>
                <w:webHidden/>
              </w:rPr>
            </w:r>
            <w:r w:rsidR="00696168">
              <w:rPr>
                <w:webHidden/>
              </w:rPr>
              <w:fldChar w:fldCharType="separate"/>
            </w:r>
            <w:r w:rsidR="00107165">
              <w:rPr>
                <w:webHidden/>
              </w:rPr>
              <w:t>24</w:t>
            </w:r>
            <w:r w:rsidR="00696168">
              <w:rPr>
                <w:webHidden/>
              </w:rPr>
              <w:fldChar w:fldCharType="end"/>
            </w:r>
          </w:hyperlink>
        </w:p>
        <w:p w14:paraId="37E56E83" w14:textId="2895E118" w:rsidR="00696168" w:rsidRDefault="00421A2C">
          <w:pPr>
            <w:pStyle w:val="TOC3"/>
            <w:rPr>
              <w:rFonts w:eastAsiaTheme="minorEastAsia"/>
              <w:kern w:val="2"/>
              <w:lang w:eastAsia="en-AU"/>
              <w14:ligatures w14:val="standardContextual"/>
            </w:rPr>
          </w:pPr>
          <w:hyperlink w:anchor="_Toc167305557" w:history="1">
            <w:r w:rsidR="00696168" w:rsidRPr="007D0808">
              <w:rPr>
                <w:rStyle w:val="Hyperlink"/>
              </w:rPr>
              <w:t>Report 41, dated 7 May 2024</w:t>
            </w:r>
            <w:r w:rsidR="00696168">
              <w:rPr>
                <w:webHidden/>
              </w:rPr>
              <w:tab/>
            </w:r>
            <w:r w:rsidR="00696168">
              <w:rPr>
                <w:webHidden/>
              </w:rPr>
              <w:fldChar w:fldCharType="begin"/>
            </w:r>
            <w:r w:rsidR="00696168">
              <w:rPr>
                <w:webHidden/>
              </w:rPr>
              <w:instrText xml:space="preserve"> PAGEREF _Toc167305557 \h </w:instrText>
            </w:r>
            <w:r w:rsidR="00696168">
              <w:rPr>
                <w:webHidden/>
              </w:rPr>
            </w:r>
            <w:r w:rsidR="00696168">
              <w:rPr>
                <w:webHidden/>
              </w:rPr>
              <w:fldChar w:fldCharType="separate"/>
            </w:r>
            <w:r w:rsidR="00107165">
              <w:rPr>
                <w:webHidden/>
              </w:rPr>
              <w:t>24</w:t>
            </w:r>
            <w:r w:rsidR="00696168">
              <w:rPr>
                <w:webHidden/>
              </w:rPr>
              <w:fldChar w:fldCharType="end"/>
            </w:r>
          </w:hyperlink>
        </w:p>
        <w:p w14:paraId="3D31C645" w14:textId="620AD712"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Toc79133347" w:displacedByCustomXml="prev"/>
    <w:bookmarkStart w:id="98" w:name="_Hlk79475490" w:displacedByCustomXml="prev"/>
    <w:p w14:paraId="344C4F63" w14:textId="5C49D60C" w:rsidR="00B7541C" w:rsidRPr="00B7541C" w:rsidRDefault="00B7541C" w:rsidP="00B7541C">
      <w:pPr>
        <w:sectPr w:rsidR="00B7541C" w:rsidRPr="00B7541C" w:rsidSect="003C3E0B">
          <w:footerReference w:type="default" r:id="rId15"/>
          <w:pgSz w:w="11906" w:h="16838"/>
          <w:pgMar w:top="1288" w:right="1440" w:bottom="1440" w:left="1440" w:header="708" w:footer="708" w:gutter="0"/>
          <w:pgNumType w:fmt="lowerRoman" w:start="1"/>
          <w:cols w:space="708"/>
          <w:docGrid w:linePitch="360"/>
        </w:sectPr>
      </w:pPr>
    </w:p>
    <w:p w14:paraId="53852A67" w14:textId="6B346B0E" w:rsidR="0036775A" w:rsidRDefault="00BF3890" w:rsidP="000030B4">
      <w:pPr>
        <w:pStyle w:val="Heading1"/>
        <w:spacing w:before="0" w:after="120"/>
      </w:pPr>
      <w:bookmarkStart w:id="99" w:name="_Toc167305523"/>
      <w:bookmarkEnd w:id="97"/>
      <w:r>
        <w:lastRenderedPageBreak/>
        <w:t>Bills</w:t>
      </w:r>
      <w:bookmarkEnd w:id="99"/>
    </w:p>
    <w:p w14:paraId="7D33A977" w14:textId="21FC0143" w:rsidR="002D13CB" w:rsidRDefault="002D13CB" w:rsidP="000030B4">
      <w:pPr>
        <w:pStyle w:val="Heading20"/>
      </w:pPr>
      <w:bookmarkStart w:id="100" w:name="_Toc108788085"/>
      <w:bookmarkStart w:id="101" w:name="_Toc167305524"/>
      <w:bookmarkStart w:id="102" w:name="_Hlk79571513"/>
      <w:bookmarkStart w:id="103" w:name="_Toc157516915"/>
      <w:r>
        <w:t>Bills—</w:t>
      </w:r>
      <w:bookmarkEnd w:id="100"/>
      <w:r w:rsidR="0001082A">
        <w:t>C</w:t>
      </w:r>
      <w:r>
        <w:t>omment</w:t>
      </w:r>
      <w:bookmarkEnd w:id="101"/>
    </w:p>
    <w:p w14:paraId="36DFB208" w14:textId="77777777" w:rsidR="002A04C9" w:rsidRDefault="002A04C9" w:rsidP="002A04C9">
      <w:pPr>
        <w:pStyle w:val="Heading3"/>
      </w:pPr>
      <w:bookmarkStart w:id="104" w:name="_Toc167305525"/>
      <w:r w:rsidRPr="00F776D9">
        <w:t>Environment Protection Legislation Amendment Bill 2024</w:t>
      </w:r>
      <w:bookmarkEnd w:id="104"/>
    </w:p>
    <w:p w14:paraId="3EBDAE0E" w14:textId="77777777" w:rsidR="002A04C9" w:rsidRDefault="002A04C9" w:rsidP="002A04C9">
      <w:pPr>
        <w:pStyle w:val="ListNumber2"/>
        <w:ind w:left="851"/>
      </w:pPr>
      <w:r>
        <w:t xml:space="preserve">This Bill makes various minor or technical amendments to the </w:t>
      </w:r>
      <w:r w:rsidRPr="00CD6944">
        <w:rPr>
          <w:i/>
          <w:iCs/>
        </w:rPr>
        <w:t>Environment Protection Act 1997</w:t>
      </w:r>
      <w:r>
        <w:t xml:space="preserve"> and Regulations and the </w:t>
      </w:r>
      <w:r w:rsidRPr="00CD6944">
        <w:rPr>
          <w:i/>
          <w:iCs/>
        </w:rPr>
        <w:t>Water Resources Act 2007</w:t>
      </w:r>
      <w:r>
        <w:t>.</w:t>
      </w:r>
    </w:p>
    <w:p w14:paraId="0DCB1E10" w14:textId="3ABF0221" w:rsidR="002A04C9" w:rsidRPr="00133AB1" w:rsidRDefault="002A04C9" w:rsidP="002A04C9">
      <w:pPr>
        <w:pStyle w:val="Heading4"/>
        <w:rPr>
          <w:rFonts w:eastAsia="Calibri"/>
          <w:lang w:eastAsia="en-AU"/>
        </w:rPr>
      </w:pPr>
      <w:bookmarkStart w:id="105" w:name="_Toc167305526"/>
      <w:r w:rsidRPr="00133AB1">
        <w:rPr>
          <w:rFonts w:eastAsia="Calibri"/>
          <w:lang w:eastAsia="en-AU"/>
        </w:rPr>
        <w:t xml:space="preserve">Do any provisions of the Bill amount to an undue trespass on personal rights and </w:t>
      </w:r>
      <w:proofErr w:type="gramStart"/>
      <w:r w:rsidRPr="00133AB1">
        <w:rPr>
          <w:rFonts w:eastAsia="Calibri"/>
          <w:lang w:eastAsia="en-AU"/>
        </w:rPr>
        <w:t>liberties?—</w:t>
      </w:r>
      <w:proofErr w:type="gramEnd"/>
      <w:r w:rsidRPr="00E83C75">
        <w:rPr>
          <w:lang w:val="en-US"/>
        </w:rPr>
        <w:t xml:space="preserve">Committee </w:t>
      </w:r>
      <w:r>
        <w:rPr>
          <w:lang w:val="en-US"/>
        </w:rPr>
        <w:t>Resolution of Appointment paragraph (10)(a)(</w:t>
      </w:r>
      <w:proofErr w:type="spellStart"/>
      <w:r>
        <w:rPr>
          <w:lang w:val="en-US"/>
        </w:rPr>
        <w:t>i</w:t>
      </w:r>
      <w:proofErr w:type="spellEnd"/>
      <w:r>
        <w:rPr>
          <w:lang w:val="en-US"/>
        </w:rPr>
        <w:t>)</w:t>
      </w:r>
      <w:bookmarkEnd w:id="105"/>
      <w:r>
        <w:rPr>
          <w:lang w:val="en-US"/>
        </w:rPr>
        <w:t xml:space="preserve"> </w:t>
      </w:r>
      <w:r w:rsidRPr="00E83C75">
        <w:rPr>
          <w:lang w:val="en-US"/>
        </w:rPr>
        <w:t xml:space="preserve"> </w:t>
      </w:r>
    </w:p>
    <w:p w14:paraId="444D1086" w14:textId="77777777" w:rsidR="002A04C9" w:rsidRPr="00133AB1" w:rsidRDefault="002A04C9" w:rsidP="002A04C9">
      <w:pPr>
        <w:pStyle w:val="Heading4"/>
        <w:rPr>
          <w:rFonts w:eastAsia="Calibri"/>
          <w:i/>
          <w:lang w:eastAsia="en-AU"/>
        </w:rPr>
      </w:pPr>
      <w:bookmarkStart w:id="106" w:name="_Toc167305527"/>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06"/>
    </w:p>
    <w:p w14:paraId="5B7FADCF" w14:textId="77777777" w:rsidR="002A04C9" w:rsidRDefault="002A04C9" w:rsidP="002A04C9">
      <w:pPr>
        <w:pStyle w:val="Heading5"/>
      </w:pPr>
      <w:r w:rsidRPr="0067269D">
        <w:t>Right to privacy and reputation (s</w:t>
      </w:r>
      <w:r>
        <w:t>ection</w:t>
      </w:r>
      <w:r w:rsidRPr="0067269D">
        <w:t xml:space="preserve"> 12 HRA)</w:t>
      </w:r>
      <w:r w:rsidRPr="0050715F">
        <w:t xml:space="preserve"> </w:t>
      </w:r>
    </w:p>
    <w:p w14:paraId="4C3BC2D4" w14:textId="77777777" w:rsidR="002A04C9" w:rsidRPr="005F7002" w:rsidRDefault="002A04C9" w:rsidP="002A04C9">
      <w:pPr>
        <w:pStyle w:val="Heading5"/>
      </w:pPr>
      <w:r w:rsidRPr="005F7002">
        <w:t>Freedom of expression (s</w:t>
      </w:r>
      <w:r>
        <w:t>ection</w:t>
      </w:r>
      <w:r w:rsidRPr="005F7002">
        <w:t xml:space="preserve"> 16 HRA)</w:t>
      </w:r>
    </w:p>
    <w:p w14:paraId="2BAE16AF" w14:textId="77777777" w:rsidR="002A04C9" w:rsidRDefault="002A04C9" w:rsidP="002A04C9">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50A8FEFB" w14:textId="0E3A0FE7" w:rsidR="002A04C9" w:rsidRDefault="002A04C9" w:rsidP="002A04C9">
      <w:pPr>
        <w:pStyle w:val="ListNumber2"/>
        <w:ind w:left="851"/>
      </w:pPr>
      <w:r>
        <w:t xml:space="preserve">The Bill will introduce an offence for installing </w:t>
      </w:r>
      <w:proofErr w:type="gramStart"/>
      <w:r>
        <w:t>solid-fuel</w:t>
      </w:r>
      <w:proofErr w:type="gramEnd"/>
      <w:r>
        <w:t xml:space="preserve"> burning equipment without certification or a compliance plate. This will extend the current offence relating to selling such equipment to include, for example, where a non-compliant wood-burning stove was received as a gift or re-installed. The offence is constituted by, in part, the equipment not being certified as compliant with specified Australian and New Zealand Standards relating to efficiency and emissions or not having the relevant compliance plate attached. As this offence may restrict the use of equipment within a person</w:t>
      </w:r>
      <w:r w:rsidR="00DA4C95">
        <w:t>’</w:t>
      </w:r>
      <w:r>
        <w:t>s home it may limit the protection of privacy provided in section 12 of the HRA.</w:t>
      </w:r>
    </w:p>
    <w:p w14:paraId="7E4AC0FE" w14:textId="77777777" w:rsidR="002A04C9" w:rsidRDefault="002A04C9" w:rsidP="002A04C9">
      <w:pPr>
        <w:pStyle w:val="ListNumber2"/>
        <w:ind w:left="851"/>
      </w:pPr>
      <w:r>
        <w:t>The Bill will also amend the requirements for publication of certain material provided to the Environmental Protection Authority (EPA) to allow for publication on a government website. The Bill will continue the current process of allowing any person affected by publication to object on the basis it would reveal a trade secret or adversely affect the person's business affairs and that it would not be in the public interest for the material to be published.  By restricting public access to material relevant to decisions under the Act the Bill may limit the right to freedom of expression under section 16 of the HRA.</w:t>
      </w:r>
    </w:p>
    <w:p w14:paraId="14DABA00" w14:textId="77777777" w:rsidR="002A04C9" w:rsidRDefault="002A04C9" w:rsidP="002A04C9">
      <w:pPr>
        <w:pStyle w:val="ListNumber2"/>
        <w:ind w:left="851"/>
      </w:pPr>
      <w:r>
        <w:t xml:space="preserve">The Bill will also provide for statutory instruments under the Environment Protection Act and Water Resources Act to incorporate laws, </w:t>
      </w:r>
      <w:proofErr w:type="gramStart"/>
      <w:r>
        <w:t>standards</w:t>
      </w:r>
      <w:proofErr w:type="gramEnd"/>
      <w:r>
        <w:t xml:space="preserve"> and instruments as in force from time to time, and disapplying sections 47(5) and 47(6) of the </w:t>
      </w:r>
      <w:r w:rsidRPr="00CD6944">
        <w:rPr>
          <w:i/>
          <w:iCs/>
        </w:rPr>
        <w:t>Legislation Act 2001</w:t>
      </w:r>
      <w:r>
        <w:t xml:space="preserve"> to that incorporated material. As these incorporated laws, standards and instruments may form part of requirements or conditions, breach of which may constitute an offence including strict liability offences, their incorporation and limited access may limit rights in criminal proceedings protected in section 22 of the HRA. </w:t>
      </w:r>
    </w:p>
    <w:p w14:paraId="261E50DE" w14:textId="77777777" w:rsidR="002A04C9" w:rsidRDefault="002A04C9" w:rsidP="002A04C9">
      <w:pPr>
        <w:pStyle w:val="ListNumber2"/>
        <w:ind w:left="851"/>
      </w:pPr>
      <w:r>
        <w:t>The explanatory statement accompanying the Bill recognises these potential limits and provides for why they should be considered reasonable using the framework set out in section 28 of the HRA. The Committee refers that statement to the Assembly.</w:t>
      </w:r>
    </w:p>
    <w:p w14:paraId="74111755" w14:textId="77777777" w:rsidR="002A04C9" w:rsidRPr="00CD6944" w:rsidRDefault="002A04C9" w:rsidP="002A04C9">
      <w:pPr>
        <w:pStyle w:val="ListNumber2"/>
        <w:ind w:left="851"/>
      </w:pPr>
      <w:r>
        <w:t xml:space="preserve"> </w:t>
      </w:r>
      <w:r w:rsidRPr="00E83C75">
        <w:rPr>
          <w:b/>
        </w:rPr>
        <w:t xml:space="preserve">The Committee draws this matter to the attention of the </w:t>
      </w:r>
      <w:proofErr w:type="gramStart"/>
      <w:r w:rsidRPr="00E83C75">
        <w:rPr>
          <w:b/>
        </w:rPr>
        <w:t>Assembly, but</w:t>
      </w:r>
      <w:proofErr w:type="gramEnd"/>
      <w:r w:rsidRPr="00E83C75">
        <w:rPr>
          <w:b/>
        </w:rPr>
        <w:t xml:space="preserve"> does not require a response from the Minister.</w:t>
      </w:r>
    </w:p>
    <w:p w14:paraId="4EB90B0B" w14:textId="0D54A83F" w:rsidR="002A04C9" w:rsidRDefault="002A04C9" w:rsidP="002A04C9">
      <w:pPr>
        <w:pStyle w:val="Heading4"/>
      </w:pPr>
      <w:bookmarkStart w:id="107" w:name="_Toc167305528"/>
      <w:r w:rsidRPr="00E83C75">
        <w:lastRenderedPageBreak/>
        <w:t xml:space="preserve">Do any provisions of the Bill </w:t>
      </w:r>
      <w:r w:rsidRPr="00024030">
        <w:t xml:space="preserve">insufficiently subject the exercise of legislative power to parliamentary </w:t>
      </w:r>
      <w:proofErr w:type="gramStart"/>
      <w:r w:rsidRPr="00024030">
        <w:t>scrutiny</w:t>
      </w:r>
      <w:r>
        <w:t>?</w:t>
      </w:r>
      <w:r w:rsidR="00633B89" w:rsidRPr="00133AB1">
        <w:rPr>
          <w:rFonts w:eastAsia="Calibri"/>
          <w:lang w:eastAsia="en-AU"/>
        </w:rPr>
        <w:t>—</w:t>
      </w:r>
      <w:proofErr w:type="gramEnd"/>
      <w:r w:rsidRPr="00E83C75">
        <w:rPr>
          <w:lang w:val="en-US"/>
        </w:rPr>
        <w:t xml:space="preserve">Committee </w:t>
      </w:r>
      <w:r>
        <w:rPr>
          <w:lang w:val="en-US"/>
        </w:rPr>
        <w:t>Resolution of Appointment paragraph (10)(a)(v)</w:t>
      </w:r>
      <w:bookmarkEnd w:id="107"/>
    </w:p>
    <w:p w14:paraId="2BE985E1" w14:textId="77777777" w:rsidR="002A04C9" w:rsidRPr="00E83C75" w:rsidRDefault="002A04C9" w:rsidP="002A04C9">
      <w:pPr>
        <w:pStyle w:val="Heading5"/>
      </w:pPr>
      <w:r>
        <w:t xml:space="preserve">Displacement of section 47(6) of the </w:t>
      </w:r>
      <w:r w:rsidRPr="00633B89">
        <w:rPr>
          <w:i/>
          <w:iCs w:val="0"/>
        </w:rPr>
        <w:t>Legislation Act 2001</w:t>
      </w:r>
      <w:r>
        <w:t xml:space="preserve"> </w:t>
      </w:r>
    </w:p>
    <w:p w14:paraId="38C1DD42" w14:textId="7D033305" w:rsidR="002A04C9" w:rsidRDefault="002A04C9" w:rsidP="002A04C9">
      <w:pPr>
        <w:pStyle w:val="ListNumber2"/>
        <w:ind w:left="851"/>
      </w:pPr>
      <w:r>
        <w:t>As stated above, the Bill will disapply sections 4</w:t>
      </w:r>
      <w:r w:rsidR="0001082A">
        <w:t>7</w:t>
      </w:r>
      <w:r>
        <w:t>(5) and 4</w:t>
      </w:r>
      <w:r w:rsidR="0001082A">
        <w:t>7</w:t>
      </w:r>
      <w:r>
        <w:t xml:space="preserve">(6) of the Legislation Act that may otherwise apply to incorporated laws, standards and, in the case of the Environment Protection Act, instruments, as in force from time to time. The amendments to the Environment Protection Act will require the EPA to ensure that incorporated instruments are registered, available for inspection without charge, or accessible through a government website. However, these access requirements will not apply to laws of another jurisdiction or Australian and Australian/New Zealand Standards. Amendments to the Water Resources Act will continue to apply sections 47(5) and 47(6) to incorporated instruments, but not to laws of another jurisdiction or standards. </w:t>
      </w:r>
    </w:p>
    <w:p w14:paraId="005202A0" w14:textId="77777777" w:rsidR="002A04C9" w:rsidRDefault="002A04C9" w:rsidP="002A04C9">
      <w:pPr>
        <w:pStyle w:val="ListNumber2"/>
        <w:ind w:left="851"/>
      </w:pPr>
      <w:r>
        <w:t>The explanatory statement accompanying the Bill states that the incorporation of material:</w:t>
      </w:r>
    </w:p>
    <w:p w14:paraId="653B58D7" w14:textId="77777777" w:rsidR="002A04C9" w:rsidRPr="00CD6944" w:rsidRDefault="002A04C9" w:rsidP="002A04C9">
      <w:pPr>
        <w:pStyle w:val="Quote"/>
        <w:rPr>
          <w:szCs w:val="20"/>
        </w:rPr>
      </w:pPr>
      <w:r>
        <w:t>allows the Authority to utilise best practice regulation standards and instruments that other relevant bodies develop, such as Standards Australia, or environment protection authorities from other jurisdictions with more significant resourcing compared with the Territory. This supports consistent regulation across Australia and acknowledges the significant work already undertaken by those bodies.</w:t>
      </w:r>
    </w:p>
    <w:p w14:paraId="30CC0A19" w14:textId="77777777" w:rsidR="002A04C9" w:rsidRDefault="002A04C9" w:rsidP="002A04C9">
      <w:pPr>
        <w:pStyle w:val="ListNumber2"/>
        <w:ind w:left="851"/>
      </w:pPr>
      <w:r>
        <w:t>The explanatory standard goes on to state that the disapplication of notification requirements to laws is due to them being readily accessible over the internet in legislation registers of other jurisdictions, and that incorporated standards are subject to copyright but may be purchased over the internet. The explanatory statement continues:</w:t>
      </w:r>
    </w:p>
    <w:p w14:paraId="1EAC28B7" w14:textId="77777777" w:rsidR="002A04C9" w:rsidRDefault="002A04C9" w:rsidP="002A04C9">
      <w:pPr>
        <w:pStyle w:val="Quote"/>
      </w:pPr>
      <w:r w:rsidRPr="00CD6944">
        <w:t xml:space="preserve">Standards likely to be incorporated in statutory instruments under the EP Act are available for purchase from https://www.standards.org.au. As mentioned above, there are challenges relating to the ability to provide public access to Australian Standards due to copyright issues. </w:t>
      </w:r>
    </w:p>
    <w:p w14:paraId="4DA2C0D5" w14:textId="77777777" w:rsidR="002A04C9" w:rsidRDefault="002A04C9" w:rsidP="002A04C9">
      <w:pPr>
        <w:pStyle w:val="Quote"/>
      </w:pPr>
      <w:r w:rsidRPr="00CD6944">
        <w:t xml:space="preserve">Standards Australia has recently released an initiative (Reader Room) that provides limited, no-fee access to the entire catalogue of Australian Standards for non-commercial purposes, that is for personal, </w:t>
      </w:r>
      <w:proofErr w:type="gramStart"/>
      <w:r w:rsidRPr="00CD6944">
        <w:t>domestic</w:t>
      </w:r>
      <w:proofErr w:type="gramEnd"/>
      <w:r w:rsidRPr="00CD6944">
        <w:t xml:space="preserve"> or household use. This initiative provides access for free to a maximum of three standards every 12 months, with access for 24 hours at a time. The Reader Room is available at https://readerroom.standards.org.au/. </w:t>
      </w:r>
    </w:p>
    <w:p w14:paraId="77CC88BD" w14:textId="77777777" w:rsidR="002A04C9" w:rsidRDefault="002A04C9" w:rsidP="002A04C9">
      <w:pPr>
        <w:pStyle w:val="Quote"/>
      </w:pPr>
      <w:r w:rsidRPr="00CD6944">
        <w:t>Unfortunately, the Reader Room pilot does not apply to Australian and New Zealand Standards (International Standards), Standards Australia is looking to expand the standards available via the Reader Room in the future. The reader is informed of where to access the laws and standards through a note after section 164B (5).</w:t>
      </w:r>
    </w:p>
    <w:p w14:paraId="7CA6A0EF" w14:textId="77777777" w:rsidR="002A04C9" w:rsidRDefault="002A04C9" w:rsidP="00633B89">
      <w:pPr>
        <w:pStyle w:val="ListNumber2"/>
        <w:keepNext/>
        <w:keepLines/>
        <w:ind w:left="851"/>
      </w:pPr>
      <w:r>
        <w:lastRenderedPageBreak/>
        <w:t>In outlining amendments to the Water Resources Bill, the explanatory statement adds:</w:t>
      </w:r>
    </w:p>
    <w:p w14:paraId="1F78EEC8" w14:textId="77777777" w:rsidR="002A04C9" w:rsidRPr="00CD6944" w:rsidRDefault="002A04C9" w:rsidP="00633B89">
      <w:pPr>
        <w:pStyle w:val="Quote"/>
        <w:keepNext/>
        <w:keepLines/>
        <w:rPr>
          <w:szCs w:val="20"/>
        </w:rPr>
      </w:pPr>
      <w:r>
        <w:t>Licenses under the WR Act incorporate standards and instruments. It is an offence under section 77F (1) and 77G to contravene the condition of a license. The conditions in the licenses themselves will make it clear to the license holder what they are required to do to comply with the license. The standards will be referred to because of the rigour that underpins their development. The license holders will also be provided with a policy written by ACT Government that provides further guidance on how to meet their obligations under their license.</w:t>
      </w:r>
    </w:p>
    <w:p w14:paraId="7D6D2F2B" w14:textId="1C7F7A61" w:rsidR="002A04C9" w:rsidRPr="00CD6944" w:rsidRDefault="002A04C9" w:rsidP="00633B89">
      <w:pPr>
        <w:pStyle w:val="ListNumber2"/>
        <w:spacing w:after="0"/>
        <w:ind w:left="851"/>
      </w:pPr>
      <w:r>
        <w:t xml:space="preserve">The Committee commends the Minister on retaining access to incorporated instruments other than standards, and for providing a justification for the restrictions on accessing incorporated laws and Standards. The Committee notes that section 67 of the </w:t>
      </w:r>
      <w:r w:rsidRPr="00CD6944">
        <w:t>Environment Protection Regulation 2005</w:t>
      </w:r>
      <w:r>
        <w:t xml:space="preserve"> currently provides for the disapplication of sections 4</w:t>
      </w:r>
      <w:r w:rsidR="0001082A">
        <w:t>7</w:t>
      </w:r>
      <w:r>
        <w:t>(5) and 4</w:t>
      </w:r>
      <w:r w:rsidR="0001082A">
        <w:t>7</w:t>
      </w:r>
      <w:r>
        <w:t xml:space="preserve">(6) to </w:t>
      </w:r>
      <w:proofErr w:type="gramStart"/>
      <w:r>
        <w:t>particular laws</w:t>
      </w:r>
      <w:proofErr w:type="gramEnd"/>
      <w:r>
        <w:t>, standards and instruments. This section is omitted by the Bill.</w:t>
      </w:r>
      <w:r>
        <w:rPr>
          <w:rStyle w:val="FootnoteReference"/>
        </w:rPr>
        <w:footnoteReference w:id="1"/>
      </w:r>
      <w:r>
        <w:t xml:space="preserve"> It is not clear to the Assembly why it is considered preferable to disapply sections 4</w:t>
      </w:r>
      <w:r w:rsidR="0001082A">
        <w:t>7</w:t>
      </w:r>
      <w:r>
        <w:t>(5) and 4</w:t>
      </w:r>
      <w:r w:rsidR="0001082A">
        <w:t>7</w:t>
      </w:r>
      <w:r>
        <w:t xml:space="preserve">(6) to all incorporated material rather than continuing to provide for disapplication by amendment of the Regulations and allowing the reasons for any disapplication of </w:t>
      </w:r>
      <w:proofErr w:type="gramStart"/>
      <w:r>
        <w:t>particular instruments</w:t>
      </w:r>
      <w:proofErr w:type="gramEnd"/>
      <w:r>
        <w:t xml:space="preserve"> to be subject to scrutiny by this Committee and the Assembly. This particularly applies in circumstances where the incorporated material may relate to conditions or elements of offences. </w:t>
      </w:r>
      <w:r w:rsidRPr="00CD6944">
        <w:rPr>
          <w:b/>
          <w:bCs w:val="0"/>
        </w:rPr>
        <w:t>The Committee therefore requests further information from the Minister on why the general disapplication of sections 4</w:t>
      </w:r>
      <w:r w:rsidR="0001082A">
        <w:rPr>
          <w:b/>
          <w:bCs w:val="0"/>
        </w:rPr>
        <w:t>7</w:t>
      </w:r>
      <w:r w:rsidRPr="00CD6944">
        <w:rPr>
          <w:b/>
          <w:bCs w:val="0"/>
        </w:rPr>
        <w:t>(5) and 4</w:t>
      </w:r>
      <w:r w:rsidR="0001082A">
        <w:rPr>
          <w:b/>
          <w:bCs w:val="0"/>
        </w:rPr>
        <w:t>7</w:t>
      </w:r>
      <w:r w:rsidRPr="00CD6944">
        <w:rPr>
          <w:b/>
          <w:bCs w:val="0"/>
        </w:rPr>
        <w:t>(6)</w:t>
      </w:r>
      <w:r>
        <w:rPr>
          <w:b/>
          <w:bCs w:val="0"/>
        </w:rPr>
        <w:t xml:space="preserve"> was</w:t>
      </w:r>
      <w:r w:rsidRPr="00CD6944">
        <w:rPr>
          <w:b/>
          <w:bCs w:val="0"/>
        </w:rPr>
        <w:t xml:space="preserve"> considered necessary.</w:t>
      </w:r>
    </w:p>
    <w:tbl>
      <w:tblPr>
        <w:tblStyle w:val="Recommendationbox"/>
        <w:tblW w:w="0" w:type="auto"/>
        <w:tblLook w:val="0600" w:firstRow="0" w:lastRow="0" w:firstColumn="0" w:lastColumn="0" w:noHBand="1" w:noVBand="1"/>
      </w:tblPr>
      <w:tblGrid>
        <w:gridCol w:w="8175"/>
      </w:tblGrid>
      <w:tr w:rsidR="002A04C9" w14:paraId="77F16C8B" w14:textId="77777777" w:rsidTr="00C81C07">
        <w:tc>
          <w:tcPr>
            <w:tcW w:w="7891" w:type="dxa"/>
          </w:tcPr>
          <w:p w14:paraId="60B76D85" w14:textId="77777777" w:rsidR="002A04C9" w:rsidRPr="006B0503" w:rsidRDefault="002A04C9" w:rsidP="00C81C07">
            <w:pPr>
              <w:pStyle w:val="ListNumber2"/>
              <w:numPr>
                <w:ilvl w:val="0"/>
                <w:numId w:val="0"/>
              </w:numPr>
            </w:pPr>
            <w:r w:rsidRPr="00E772A8">
              <w:t>The Committee draws this matter to the attention of the Assembly and asks the Minister to respond prior to the Bill being debated.</w:t>
            </w:r>
          </w:p>
        </w:tc>
      </w:tr>
    </w:tbl>
    <w:p w14:paraId="03DDF98D" w14:textId="7FA7AE75" w:rsidR="002A04C9" w:rsidRDefault="002A04C9" w:rsidP="00633B89">
      <w:pPr>
        <w:pStyle w:val="Heading3"/>
        <w:spacing w:before="360"/>
      </w:pPr>
      <w:bookmarkStart w:id="108" w:name="_Toc167305529"/>
      <w:r w:rsidRPr="00150F6C">
        <w:t>Justice and Community Safety Legislation Amendment Bill 2024</w:t>
      </w:r>
      <w:bookmarkEnd w:id="108"/>
    </w:p>
    <w:p w14:paraId="75BB3CCF" w14:textId="77777777" w:rsidR="002A04C9" w:rsidRPr="00783B5C" w:rsidRDefault="002A04C9" w:rsidP="002A04C9">
      <w:pPr>
        <w:pStyle w:val="ListNumber2"/>
        <w:ind w:left="851"/>
      </w:pPr>
      <w:r>
        <w:t>This Bill will amend a range of legislation, primarily in the Attorney-General's portfolio, to make various corrections and technical or minor amendments.</w:t>
      </w:r>
    </w:p>
    <w:p w14:paraId="2B18BFF2" w14:textId="61CF0FE0" w:rsidR="002A04C9" w:rsidRPr="00133AB1" w:rsidRDefault="002A04C9" w:rsidP="00633B89">
      <w:pPr>
        <w:pStyle w:val="Heading4"/>
        <w:spacing w:before="160"/>
        <w:rPr>
          <w:rFonts w:eastAsia="Calibri"/>
          <w:lang w:eastAsia="en-AU"/>
        </w:rPr>
      </w:pPr>
      <w:bookmarkStart w:id="109" w:name="_Toc167305530"/>
      <w:r w:rsidRPr="00133AB1">
        <w:rPr>
          <w:rFonts w:eastAsia="Calibri"/>
          <w:lang w:eastAsia="en-AU"/>
        </w:rPr>
        <w:t xml:space="preserve">Do any provisions of the Bill amount to an undue trespass on personal rights and </w:t>
      </w:r>
      <w:proofErr w:type="gramStart"/>
      <w:r w:rsidRPr="00133AB1">
        <w:rPr>
          <w:rFonts w:eastAsia="Calibri"/>
          <w:lang w:eastAsia="en-AU"/>
        </w:rPr>
        <w:t>liberties?—</w:t>
      </w:r>
      <w:proofErr w:type="gramEnd"/>
      <w:r w:rsidRPr="00E83C75">
        <w:rPr>
          <w:lang w:val="en-US"/>
        </w:rPr>
        <w:t xml:space="preserve">Committee </w:t>
      </w:r>
      <w:r>
        <w:rPr>
          <w:lang w:val="en-US"/>
        </w:rPr>
        <w:t>Resolution of Appointment paragraph (10)(a)(</w:t>
      </w:r>
      <w:proofErr w:type="spellStart"/>
      <w:r>
        <w:rPr>
          <w:lang w:val="en-US"/>
        </w:rPr>
        <w:t>i</w:t>
      </w:r>
      <w:proofErr w:type="spellEnd"/>
      <w:r>
        <w:rPr>
          <w:lang w:val="en-US"/>
        </w:rPr>
        <w:t>)</w:t>
      </w:r>
      <w:bookmarkEnd w:id="109"/>
      <w:r>
        <w:rPr>
          <w:lang w:val="en-US"/>
        </w:rPr>
        <w:t xml:space="preserve"> </w:t>
      </w:r>
      <w:r w:rsidRPr="00E83C75">
        <w:rPr>
          <w:lang w:val="en-US"/>
        </w:rPr>
        <w:t xml:space="preserve"> </w:t>
      </w:r>
    </w:p>
    <w:p w14:paraId="6F886C5F" w14:textId="77777777" w:rsidR="002A04C9" w:rsidRPr="00133AB1" w:rsidRDefault="002A04C9" w:rsidP="00633B89">
      <w:pPr>
        <w:pStyle w:val="Heading4"/>
        <w:spacing w:before="160"/>
        <w:rPr>
          <w:rFonts w:eastAsia="Calibri"/>
          <w:i/>
          <w:lang w:eastAsia="en-AU"/>
        </w:rPr>
      </w:pPr>
      <w:bookmarkStart w:id="110" w:name="_Toc167305531"/>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10"/>
    </w:p>
    <w:p w14:paraId="5FB260F6" w14:textId="77777777" w:rsidR="002A04C9" w:rsidRDefault="002A04C9" w:rsidP="00633B89">
      <w:pPr>
        <w:pStyle w:val="Heading5"/>
        <w:spacing w:before="160"/>
      </w:pPr>
      <w:r w:rsidRPr="0067269D">
        <w:t>Right to privacy and reputation (s</w:t>
      </w:r>
      <w:r>
        <w:t>ection</w:t>
      </w:r>
      <w:r w:rsidRPr="0067269D">
        <w:t xml:space="preserve"> 12 HRA)</w:t>
      </w:r>
      <w:r w:rsidRPr="0050715F">
        <w:t xml:space="preserve"> </w:t>
      </w:r>
    </w:p>
    <w:p w14:paraId="593E9F4C" w14:textId="77777777" w:rsidR="002A04C9" w:rsidRDefault="002A04C9" w:rsidP="00633B89">
      <w:pPr>
        <w:pStyle w:val="Heading5"/>
        <w:spacing w:before="160"/>
      </w:pPr>
      <w:r w:rsidRPr="00E83C75">
        <w:t>Right</w:t>
      </w:r>
      <w:r>
        <w:t>s in criminal proceedings</w:t>
      </w:r>
      <w:r w:rsidRPr="00E83C75">
        <w:t xml:space="preserve"> (s</w:t>
      </w:r>
      <w:r>
        <w:t>ection</w:t>
      </w:r>
      <w:r w:rsidRPr="00E83C75">
        <w:t xml:space="preserve"> 22 </w:t>
      </w:r>
      <w:r w:rsidRPr="005F7002">
        <w:t>HRA</w:t>
      </w:r>
      <w:r w:rsidRPr="00E83C75">
        <w:t>)</w:t>
      </w:r>
    </w:p>
    <w:p w14:paraId="52720FF5" w14:textId="77777777" w:rsidR="002A04C9" w:rsidRPr="00E83C75" w:rsidRDefault="002A04C9" w:rsidP="00633B89">
      <w:pPr>
        <w:pStyle w:val="Heading5"/>
        <w:spacing w:before="160"/>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7CDB12AD" w14:textId="00F6155F" w:rsidR="002A04C9" w:rsidRDefault="002A04C9" w:rsidP="002A04C9">
      <w:pPr>
        <w:pStyle w:val="ListNumber2"/>
        <w:ind w:left="851"/>
      </w:pPr>
      <w:r>
        <w:t xml:space="preserve">The Bill will amend the </w:t>
      </w:r>
      <w:r w:rsidRPr="00150F6C">
        <w:rPr>
          <w:i/>
          <w:iCs/>
        </w:rPr>
        <w:t>Security Industry Act 2003</w:t>
      </w:r>
      <w:r>
        <w:t xml:space="preserve"> to introduce a new strict liability offence. The Security Industry Act requires the commissioner for fair trading to cancel a person</w:t>
      </w:r>
      <w:r w:rsidR="00633B89">
        <w:t>’</w:t>
      </w:r>
      <w:r>
        <w:t>s security industry licence if they are convicted or found guilty of specified offences during the term of the licence. The Bill will require a licensee to notify the commissioner within 14 days of becoming aware that they have been convicted or found guilty</w:t>
      </w:r>
      <w:r w:rsidR="00346249">
        <w:t xml:space="preserve"> of</w:t>
      </w:r>
      <w:r>
        <w:t xml:space="preserve"> such an offence. </w:t>
      </w:r>
    </w:p>
    <w:p w14:paraId="7B686D88" w14:textId="77777777" w:rsidR="002A04C9" w:rsidRDefault="002A04C9" w:rsidP="00633B89">
      <w:pPr>
        <w:pStyle w:val="ListNumber2"/>
        <w:spacing w:after="80"/>
        <w:ind w:left="851"/>
      </w:pPr>
      <w:r>
        <w:lastRenderedPageBreak/>
        <w:t xml:space="preserve">By requiring disclosure of criminal convictions, the Bill may limit the protection of privacy provided by section 12 of the HRA. By introducing a strict liability </w:t>
      </w:r>
      <w:proofErr w:type="gramStart"/>
      <w:r>
        <w:t>offence</w:t>
      </w:r>
      <w:proofErr w:type="gramEnd"/>
      <w:r>
        <w:t xml:space="preserve"> the Bill may limit the presumption of innocence protected as a right in criminal proceedings in section 22 of the HRA. By further conditioning the ability to hold a licence enabling a person to work in the security industry the Bill may limit the right to work in section 27B of the HRA. </w:t>
      </w:r>
    </w:p>
    <w:p w14:paraId="703EEFD1" w14:textId="77777777" w:rsidR="002A04C9" w:rsidRDefault="002A04C9" w:rsidP="00633B89">
      <w:pPr>
        <w:pStyle w:val="ListNumber2"/>
        <w:spacing w:after="80"/>
        <w:ind w:left="851"/>
      </w:pPr>
      <w:r>
        <w:t>The explanatory statement accompanying the Bill recognises these potential limitations and provides for why they should be considered reasonable using the framework set out in section 28 of the HRA. The Committee refers that statement to the Assembly.</w:t>
      </w:r>
    </w:p>
    <w:p w14:paraId="3983170B" w14:textId="3B3415B6" w:rsidR="002A04C9" w:rsidRDefault="002A04C9" w:rsidP="00633B89">
      <w:pPr>
        <w:pStyle w:val="ListNumber2"/>
        <w:spacing w:after="80"/>
        <w:ind w:left="851"/>
        <w:rPr>
          <w:b/>
          <w:bCs w:val="0"/>
        </w:rPr>
      </w:pPr>
      <w:r w:rsidRPr="00150F6C">
        <w:rPr>
          <w:b/>
          <w:bCs w:val="0"/>
        </w:rPr>
        <w:t xml:space="preserve">The Committee draws this matter to the attention of the </w:t>
      </w:r>
      <w:proofErr w:type="gramStart"/>
      <w:r w:rsidRPr="00150F6C">
        <w:rPr>
          <w:b/>
          <w:bCs w:val="0"/>
        </w:rPr>
        <w:t>Assembly, but</w:t>
      </w:r>
      <w:proofErr w:type="gramEnd"/>
      <w:r w:rsidRPr="00150F6C">
        <w:rPr>
          <w:b/>
          <w:bCs w:val="0"/>
        </w:rPr>
        <w:t xml:space="preserve"> does not require a response from the Minister.</w:t>
      </w:r>
    </w:p>
    <w:p w14:paraId="7517CD0C" w14:textId="77777777" w:rsidR="002A04C9" w:rsidRDefault="002A04C9" w:rsidP="00633B89">
      <w:pPr>
        <w:pStyle w:val="Heading3"/>
        <w:spacing w:before="360"/>
      </w:pPr>
      <w:bookmarkStart w:id="111" w:name="_Toc167305532"/>
      <w:r w:rsidRPr="00025074">
        <w:t>Monitoring of Places of Detention Legislation Amendment Bill 2024</w:t>
      </w:r>
      <w:bookmarkEnd w:id="111"/>
    </w:p>
    <w:p w14:paraId="2D222D36" w14:textId="77777777" w:rsidR="002A04C9" w:rsidRPr="00783B5C" w:rsidRDefault="002A04C9" w:rsidP="002A04C9">
      <w:pPr>
        <w:pStyle w:val="ListNumber2"/>
        <w:ind w:left="851"/>
      </w:pPr>
      <w:r>
        <w:t xml:space="preserve">This Bill will </w:t>
      </w:r>
      <w:r w:rsidRPr="00025074">
        <w:t>amend legislation about monitoring of places of detention to establish the ACT national preventive mechanism</w:t>
      </w:r>
      <w:r>
        <w:t xml:space="preserve"> (NPM), </w:t>
      </w:r>
      <w:r w:rsidRPr="00025074">
        <w:t xml:space="preserve">improve the Office of the Inspector of Correctional Services </w:t>
      </w:r>
      <w:r>
        <w:t xml:space="preserve">(to be renamed the Custodial Inspector) </w:t>
      </w:r>
      <w:r w:rsidRPr="00025074">
        <w:t>and ensure effective management and oversight of places of detention in the ACT</w:t>
      </w:r>
      <w:r>
        <w:t>.</w:t>
      </w:r>
    </w:p>
    <w:p w14:paraId="132D412B" w14:textId="3678485F" w:rsidR="002A04C9" w:rsidRPr="00133AB1" w:rsidRDefault="002A04C9" w:rsidP="00633B89">
      <w:pPr>
        <w:pStyle w:val="Heading4"/>
        <w:spacing w:before="160"/>
        <w:rPr>
          <w:rFonts w:eastAsia="Calibri"/>
          <w:lang w:eastAsia="en-AU"/>
        </w:rPr>
      </w:pPr>
      <w:bookmarkStart w:id="112" w:name="_Toc167305533"/>
      <w:r w:rsidRPr="00133AB1">
        <w:rPr>
          <w:rFonts w:eastAsia="Calibri"/>
          <w:lang w:eastAsia="en-AU"/>
        </w:rPr>
        <w:t xml:space="preserve">Do any provisions of the Bill amount to an undue trespass on personal rights and </w:t>
      </w:r>
      <w:proofErr w:type="gramStart"/>
      <w:r w:rsidRPr="00133AB1">
        <w:rPr>
          <w:rFonts w:eastAsia="Calibri"/>
          <w:lang w:eastAsia="en-AU"/>
        </w:rPr>
        <w:t>liberties?—</w:t>
      </w:r>
      <w:proofErr w:type="gramEnd"/>
      <w:r w:rsidRPr="00E83C75">
        <w:rPr>
          <w:lang w:val="en-US"/>
        </w:rPr>
        <w:t xml:space="preserve">Committee </w:t>
      </w:r>
      <w:r>
        <w:rPr>
          <w:lang w:val="en-US"/>
        </w:rPr>
        <w:t>Resolution of Appointment paragraph (10)(a)(</w:t>
      </w:r>
      <w:proofErr w:type="spellStart"/>
      <w:r>
        <w:rPr>
          <w:lang w:val="en-US"/>
        </w:rPr>
        <w:t>i</w:t>
      </w:r>
      <w:proofErr w:type="spellEnd"/>
      <w:r>
        <w:rPr>
          <w:lang w:val="en-US"/>
        </w:rPr>
        <w:t>)</w:t>
      </w:r>
      <w:bookmarkEnd w:id="112"/>
      <w:r>
        <w:rPr>
          <w:lang w:val="en-US"/>
        </w:rPr>
        <w:t xml:space="preserve"> </w:t>
      </w:r>
      <w:r w:rsidRPr="00E83C75">
        <w:rPr>
          <w:lang w:val="en-US"/>
        </w:rPr>
        <w:t xml:space="preserve"> </w:t>
      </w:r>
    </w:p>
    <w:p w14:paraId="4A29CC36" w14:textId="77777777" w:rsidR="002A04C9" w:rsidRPr="00133AB1" w:rsidRDefault="002A04C9" w:rsidP="00633B89">
      <w:pPr>
        <w:pStyle w:val="Heading4"/>
        <w:spacing w:before="160"/>
        <w:rPr>
          <w:rFonts w:eastAsia="Calibri"/>
          <w:i/>
          <w:lang w:eastAsia="en-AU"/>
        </w:rPr>
      </w:pPr>
      <w:bookmarkStart w:id="113" w:name="_Toc167305534"/>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13"/>
    </w:p>
    <w:p w14:paraId="408C194C" w14:textId="77777777" w:rsidR="002A04C9" w:rsidRDefault="002A04C9" w:rsidP="00633B89">
      <w:pPr>
        <w:pStyle w:val="Heading5"/>
        <w:spacing w:before="160"/>
      </w:pPr>
      <w:r w:rsidRPr="0067269D">
        <w:t>Right to privacy and reputation (s</w:t>
      </w:r>
      <w:r>
        <w:t>ection</w:t>
      </w:r>
      <w:r w:rsidRPr="0067269D">
        <w:t xml:space="preserve"> 12 HRA)</w:t>
      </w:r>
      <w:r w:rsidRPr="0050715F">
        <w:t xml:space="preserve"> </w:t>
      </w:r>
    </w:p>
    <w:p w14:paraId="59B33EBE" w14:textId="77777777" w:rsidR="002A04C9" w:rsidRPr="00785084" w:rsidRDefault="002A04C9" w:rsidP="00633B89">
      <w:pPr>
        <w:pStyle w:val="ListNumber2"/>
        <w:spacing w:after="60"/>
        <w:ind w:left="851"/>
      </w:pPr>
      <w:r>
        <w:t xml:space="preserve">The </w:t>
      </w:r>
      <w:r w:rsidRPr="00785084">
        <w:rPr>
          <w:i/>
          <w:iCs/>
        </w:rPr>
        <w:t>Monitoring of Places of Detention (Optional Protocol to the Convention Against Torture) Act 2018</w:t>
      </w:r>
      <w:r>
        <w:t xml:space="preserve"> provides for the UN </w:t>
      </w:r>
      <w:r>
        <w:rPr>
          <w:color w:val="000000"/>
          <w:shd w:val="clear" w:color="auto" w:fill="FFFFFF"/>
        </w:rPr>
        <w:t xml:space="preserve">Subcommittee on Prevention of Torture and Other Cruel, Inhuman or Degrading Treatment or Punishment (SPT) to have access to places of detention in the Territory. The SPT is also to be given access to all requested information including the number and treatment of detainees and conditions of detention. The SPT has the right to inspect </w:t>
      </w:r>
      <w:proofErr w:type="gramStart"/>
      <w:r>
        <w:rPr>
          <w:color w:val="000000"/>
          <w:shd w:val="clear" w:color="auto" w:fill="FFFFFF"/>
        </w:rPr>
        <w:t>records, but</w:t>
      </w:r>
      <w:proofErr w:type="gramEnd"/>
      <w:r>
        <w:rPr>
          <w:color w:val="000000"/>
          <w:shd w:val="clear" w:color="auto" w:fill="FFFFFF"/>
        </w:rPr>
        <w:t xml:space="preserve"> cannot inspect records containing personal information of a detainee without the detainee's consent. </w:t>
      </w:r>
    </w:p>
    <w:p w14:paraId="4C7AD976" w14:textId="77777777" w:rsidR="002A04C9" w:rsidRPr="00633B89" w:rsidRDefault="002A04C9" w:rsidP="00633B89">
      <w:pPr>
        <w:pStyle w:val="ListNumber2"/>
        <w:spacing w:after="60"/>
        <w:ind w:left="851"/>
        <w:rPr>
          <w:spacing w:val="-4"/>
        </w:rPr>
      </w:pPr>
      <w:r w:rsidRPr="00633B89">
        <w:rPr>
          <w:spacing w:val="-4"/>
        </w:rPr>
        <w:t>The Bill will amend the Act to remove the requirement for a detainee to consent to the inspection of their personal information by the SPT. It will also make clear that any laws that restrict or deny access to records, including privacy laws, do not prevent access being provided.</w:t>
      </w:r>
    </w:p>
    <w:p w14:paraId="1FF566ED" w14:textId="77777777" w:rsidR="002A04C9" w:rsidRPr="00633B89" w:rsidRDefault="002A04C9" w:rsidP="00633B89">
      <w:pPr>
        <w:pStyle w:val="ListNumber2"/>
        <w:spacing w:after="60"/>
        <w:ind w:left="851"/>
        <w:rPr>
          <w:spacing w:val="-2"/>
        </w:rPr>
      </w:pPr>
      <w:r w:rsidRPr="00633B89">
        <w:rPr>
          <w:spacing w:val="-2"/>
        </w:rPr>
        <w:t>The Bill will also amend the Act and make a new Monitoring of Places of Detention (Optional Protocol to the Convention Against Torture) Regulation 2024 to establish the NPM. The NPM will be comprised, at least initially, of the Custodial Inspector, the Human Rights Commission, and the Ombudsman. It will be given powers to examine and report on the treatment of detainees in places of detention, including recommendations and observations to responsible entities for places of detention or concerning existing and draft legislation.</w:t>
      </w:r>
    </w:p>
    <w:p w14:paraId="247A4A85" w14:textId="77777777" w:rsidR="002A04C9" w:rsidRDefault="002A04C9" w:rsidP="00633B89">
      <w:pPr>
        <w:pStyle w:val="ListNumber2"/>
        <w:spacing w:after="60"/>
        <w:ind w:left="851"/>
      </w:pPr>
      <w:r>
        <w:t xml:space="preserve">The NPM will have unrestricted access to places of detention, including all parts, vehicles or equipment used and documents or other things that the NPM reasonably believes it requires access to in examining the treatment of detainees. The NPM can, if the person agrees, speak privately with a detainee or other person in a place of detention. The NPM may require any entity to provide information, documents, or things relevant to its examinations. Entities can also provide relevant material to the NPM on their own initiative at any time, without being prevented or limited by another Territory law. </w:t>
      </w:r>
    </w:p>
    <w:p w14:paraId="0289A18B" w14:textId="77777777" w:rsidR="002A04C9" w:rsidRDefault="002A04C9" w:rsidP="002A04C9">
      <w:pPr>
        <w:pStyle w:val="ListNumber2"/>
        <w:ind w:left="851"/>
      </w:pPr>
      <w:r>
        <w:lastRenderedPageBreak/>
        <w:t xml:space="preserve">The Bill also provides for the NPM to prepare and produce reports on the treatment of detainees in a place of detention, including provision of drafts to responsible entities and other entities that have a direct interest in the draft report. The NPM can refer matters raised in the exercise of their functions when they are more appropriately dealt with by other investigative entities or an official visitor. The referral can include documents, information, and other things in the possession of the NPM. Identifying information can also be included in the referral where the individual has given consent or the NPM considers the referral without consent is necessary and reasonable in the public interest. </w:t>
      </w:r>
    </w:p>
    <w:p w14:paraId="75070113" w14:textId="147CF1F9" w:rsidR="002A04C9" w:rsidRPr="00785084" w:rsidRDefault="002A04C9" w:rsidP="002A04C9">
      <w:pPr>
        <w:pStyle w:val="ListNumber2"/>
        <w:ind w:left="851"/>
      </w:pPr>
      <w:r>
        <w:t xml:space="preserve">The Bill will, however, restrict recording and disclosing information about a person where that information was disclosed to or obtained by the NPM in the exercise of functions under the Bill. The Bill creates an offence for making a record or disclosing information that you know or don't care is protected and will result in further disclosure. The offence has a maximum penalty of 50 penalty units and/or 6 months imprisonment.  The offence will not apply if the record or disclosure of protected information about a person is made with the person's consent, under or in relation to the exercise of a function provided for in the Bill or another territory law. It is </w:t>
      </w:r>
      <w:r w:rsidR="0001082A">
        <w:t>also</w:t>
      </w:r>
      <w:r>
        <w:t xml:space="preserve"> an exception to disclose protected information to specified recipients including entities responsible for the places of detention, the </w:t>
      </w:r>
      <w:r>
        <w:rPr>
          <w:color w:val="000000"/>
          <w:shd w:val="clear" w:color="auto" w:fill="FFFFFF"/>
        </w:rPr>
        <w:t xml:space="preserve">SPT, the NPM coordinator and corresponding </w:t>
      </w:r>
      <w:r w:rsidR="00032D3D">
        <w:rPr>
          <w:color w:val="000000"/>
          <w:shd w:val="clear" w:color="auto" w:fill="FFFFFF"/>
        </w:rPr>
        <w:t>s</w:t>
      </w:r>
      <w:r>
        <w:rPr>
          <w:color w:val="000000"/>
          <w:shd w:val="clear" w:color="auto" w:fill="FFFFFF"/>
        </w:rPr>
        <w:t>tate entities. Where the protected information allows an individual to be identified, disclosure to the specified recipients is permitted if it is by the NPM or a member of staff and the NPM is satisfied the disclosure is necessary and reasonable in the public interest.</w:t>
      </w:r>
    </w:p>
    <w:p w14:paraId="28C11CDC" w14:textId="77777777" w:rsidR="002A04C9" w:rsidRDefault="002A04C9" w:rsidP="002A04C9">
      <w:pPr>
        <w:pStyle w:val="ListNumber2"/>
        <w:ind w:left="851"/>
      </w:pPr>
      <w:r>
        <w:t xml:space="preserve">It will also be an offence for a person exercising functions under the Bill to </w:t>
      </w:r>
      <w:r w:rsidRPr="00785084">
        <w:t>publish protected information about a person that is identifying information about the person.</w:t>
      </w:r>
      <w:r>
        <w:t xml:space="preserve"> The same penalties will apply.</w:t>
      </w:r>
    </w:p>
    <w:p w14:paraId="137CDE25" w14:textId="77777777" w:rsidR="002A04C9" w:rsidRDefault="002A04C9" w:rsidP="002A04C9">
      <w:pPr>
        <w:pStyle w:val="ListNumber2"/>
        <w:ind w:left="851"/>
      </w:pPr>
      <w:r>
        <w:t>By extending access to personal information, including sensitive and health information, and permitting inspections of places of detention the Bill may limit the protection of privacy provided in section 12 of the HRA. The explanatory statement accompanying the Bill recognises this potential imitation and provides for why it should be considered reasonable using the framework in section 28 of the HRA. The Committee refers that statement to the Assembly subject to the following comments.</w:t>
      </w:r>
    </w:p>
    <w:p w14:paraId="3862EA17" w14:textId="77777777" w:rsidR="002A04C9" w:rsidRPr="00633B89" w:rsidRDefault="002A04C9" w:rsidP="002A04C9">
      <w:pPr>
        <w:pStyle w:val="ListNumber2"/>
        <w:ind w:left="851"/>
        <w:rPr>
          <w:spacing w:val="-2"/>
        </w:rPr>
      </w:pPr>
      <w:r w:rsidRPr="00633B89">
        <w:rPr>
          <w:spacing w:val="-2"/>
        </w:rPr>
        <w:t>The explanatory statement, in discussing the possible limitation of the right to privacy, does not refer to the amendment of section 8 of the Act by clause 25 of the Bill. Proposed section 8 will remove any limitation that a Territory privacy law might have on any function of the SPT under the Act. The explanatory statement, in outlining clause 25, states that the clause:</w:t>
      </w:r>
    </w:p>
    <w:p w14:paraId="45BB341F" w14:textId="77777777" w:rsidR="002A04C9" w:rsidRPr="006E1CF3" w:rsidRDefault="002A04C9" w:rsidP="006E1CF3">
      <w:pPr>
        <w:pStyle w:val="Quote"/>
      </w:pPr>
      <w:r w:rsidRPr="006E1CF3">
        <w:t xml:space="preserve">ensures full compliance with the requirements of [the Optional Protocol to the Convention against Torture and other Cruel, Inhuman or Degrading Treatment or Punishment (OPCAT)] by providing the SPT with unfettered access to the information it requires. </w:t>
      </w:r>
    </w:p>
    <w:p w14:paraId="39CB52D8" w14:textId="594FB180" w:rsidR="002A04C9" w:rsidRDefault="002A04C9" w:rsidP="002A04C9">
      <w:pPr>
        <w:pStyle w:val="ListNumber2"/>
        <w:ind w:left="851"/>
      </w:pPr>
      <w:r>
        <w:t xml:space="preserve">The explanatory statement also does not, at least explicitly, discuss the possible limitation of privacy by the insertion of proposed section 8T. This provision will render of no effect any Territory law which prevents or limits the provision of information, or the production of a document, to the NPM which is believed relevant to the NPM's functions.  The explanatory statement outlines this provision as </w:t>
      </w:r>
      <w:r w:rsidR="00633B89">
        <w:t>“</w:t>
      </w:r>
      <w:r w:rsidRPr="00A62802">
        <w:t>intended to ensure compliance with the unfettered access required by the OPCAT</w:t>
      </w:r>
      <w:r>
        <w:t>.</w:t>
      </w:r>
      <w:r w:rsidR="00633B89">
        <w:t>”</w:t>
      </w:r>
      <w:r w:rsidR="009C6B01">
        <w:t>.</w:t>
      </w:r>
      <w:r>
        <w:t xml:space="preserve"> </w:t>
      </w:r>
    </w:p>
    <w:p w14:paraId="4835EA2E" w14:textId="77777777" w:rsidR="002A04C9" w:rsidRDefault="002A04C9" w:rsidP="002A04C9">
      <w:pPr>
        <w:pStyle w:val="ListNumber2"/>
        <w:ind w:left="851"/>
      </w:pPr>
      <w:r>
        <w:lastRenderedPageBreak/>
        <w:t>The Committee is concerned that the potential limitation of privacy by these proposed provisions is not explicitly recognised in the explanatory statement. The Committee also notes that compliance with international obligations, even if they are intended to bind the Territory, is not in itself sufficient to justify any limitation of the HRA.</w:t>
      </w:r>
    </w:p>
    <w:p w14:paraId="5765CC03" w14:textId="77777777" w:rsidR="002A04C9" w:rsidRDefault="002A04C9" w:rsidP="002A04C9">
      <w:pPr>
        <w:pStyle w:val="ListNumber2"/>
        <w:ind w:left="851"/>
      </w:pPr>
      <w:r>
        <w:t>The Bill will also insert a new section 17A which provides protection against any civil or criminal liability and prevents any action being taken against a person for disclosing information to the SPT or the NPM. This protection will be extended despite any duty of secrecy or confidentiality or any other restriction that may be applicable. This may also limit the protection of privacy under section 12 of the HRA.</w:t>
      </w:r>
    </w:p>
    <w:p w14:paraId="77507F1B" w14:textId="77777777" w:rsidR="002A04C9" w:rsidRPr="00785084" w:rsidRDefault="002A04C9" w:rsidP="002A04C9">
      <w:pPr>
        <w:pStyle w:val="ListNumber2"/>
        <w:ind w:left="851"/>
      </w:pPr>
      <w:r w:rsidRPr="00785084">
        <w:rPr>
          <w:b/>
          <w:bCs w:val="0"/>
        </w:rPr>
        <w:t>The Committee therefore requests further information from the Min</w:t>
      </w:r>
      <w:r>
        <w:rPr>
          <w:b/>
          <w:bCs w:val="0"/>
        </w:rPr>
        <w:t>i</w:t>
      </w:r>
      <w:r w:rsidRPr="00785084">
        <w:rPr>
          <w:b/>
          <w:bCs w:val="0"/>
        </w:rPr>
        <w:t xml:space="preserve">ster on why any limitation of the right to privacy by the amendment to section 8 </w:t>
      </w:r>
      <w:r>
        <w:rPr>
          <w:b/>
          <w:bCs w:val="0"/>
        </w:rPr>
        <w:t xml:space="preserve">and insertion of proposed sections 8T and 17A </w:t>
      </w:r>
      <w:r w:rsidRPr="00785084">
        <w:rPr>
          <w:b/>
          <w:bCs w:val="0"/>
        </w:rPr>
        <w:t>should be considered reasonable using the framework set out in section 28 of the HRA, and consideration be given to amending the explanatory statement to include this information.</w:t>
      </w:r>
    </w:p>
    <w:p w14:paraId="66291DDA" w14:textId="77777777" w:rsidR="002A04C9" w:rsidRDefault="002A04C9" w:rsidP="002A04C9">
      <w:pPr>
        <w:pStyle w:val="ListNumber2"/>
        <w:ind w:left="851"/>
      </w:pPr>
      <w:r>
        <w:t>As described above, one of the exceptions to the offence of disclosing protected information which allows a person's identity to be worked out is disclosure to a permitted information recipient, by the NPM or a staff member of the NPM, and in circumstances where the NPM is satisfied that the disclosure is necessary and reasonable in the public interest. The explanatory statement suggests that this requirement will apply to reports, including draft reports, disclosed under proposed sections 8Q and 8R of the Bill. However, the Committee is concerned that this is not clearly expressed in the Bill.</w:t>
      </w:r>
    </w:p>
    <w:p w14:paraId="526B1587" w14:textId="77777777" w:rsidR="002A04C9" w:rsidRDefault="002A04C9" w:rsidP="002A04C9">
      <w:pPr>
        <w:pStyle w:val="ListNumber2"/>
        <w:ind w:left="851"/>
      </w:pPr>
      <w:r>
        <w:t>The proposed subsection 8</w:t>
      </w:r>
      <w:proofErr w:type="gramStart"/>
      <w:r>
        <w:t>S(</w:t>
      </w:r>
      <w:proofErr w:type="gramEnd"/>
      <w:r>
        <w:t>3) sets out various alternative exceptions to the offence of disclosure of protected information:</w:t>
      </w:r>
    </w:p>
    <w:p w14:paraId="7125B402" w14:textId="77777777" w:rsidR="002A04C9" w:rsidRDefault="002A04C9" w:rsidP="002A04C9">
      <w:pPr>
        <w:pStyle w:val="Quote"/>
        <w:contextualSpacing/>
      </w:pPr>
      <w:r>
        <w:t>(3)</w:t>
      </w:r>
      <w:r>
        <w:tab/>
        <w:t>Subsection (1) (b) does not apply if the protected information about the person is disclosed—</w:t>
      </w:r>
    </w:p>
    <w:p w14:paraId="4E779402" w14:textId="77777777" w:rsidR="002A04C9" w:rsidRDefault="002A04C9" w:rsidP="002A04C9">
      <w:pPr>
        <w:pStyle w:val="Quote"/>
        <w:ind w:firstLine="306"/>
        <w:contextualSpacing/>
      </w:pPr>
      <w:r>
        <w:t>(a)</w:t>
      </w:r>
      <w:r>
        <w:tab/>
        <w:t>with the person’s consent; or</w:t>
      </w:r>
    </w:p>
    <w:p w14:paraId="5C75DE20" w14:textId="77777777" w:rsidR="002A04C9" w:rsidRDefault="002A04C9" w:rsidP="002A04C9">
      <w:pPr>
        <w:pStyle w:val="Quote"/>
        <w:ind w:firstLine="306"/>
        <w:contextualSpacing/>
      </w:pPr>
      <w:r>
        <w:t>(b)</w:t>
      </w:r>
      <w:r>
        <w:tab/>
        <w:t>under this Act or another territory law; or</w:t>
      </w:r>
    </w:p>
    <w:p w14:paraId="30D763D1" w14:textId="77777777" w:rsidR="002A04C9" w:rsidRDefault="002A04C9" w:rsidP="002A04C9">
      <w:pPr>
        <w:pStyle w:val="Quote"/>
        <w:ind w:left="2160" w:hanging="720"/>
        <w:contextualSpacing/>
      </w:pPr>
      <w:r>
        <w:t>(c)</w:t>
      </w:r>
      <w:r>
        <w:tab/>
        <w:t>in relation to the exercise of a function, as a person to whom this section applies, under this Act or another territory law; or</w:t>
      </w:r>
    </w:p>
    <w:p w14:paraId="521D1BDF" w14:textId="77777777" w:rsidR="002A04C9" w:rsidRDefault="002A04C9" w:rsidP="002A04C9">
      <w:pPr>
        <w:pStyle w:val="Quote"/>
        <w:ind w:left="2160" w:hanging="720"/>
        <w:contextualSpacing/>
      </w:pPr>
      <w:r>
        <w:t>(d)</w:t>
      </w:r>
      <w:r>
        <w:tab/>
        <w:t>for protected information that is information other than identifying information—to a permitted information recipient; or</w:t>
      </w:r>
    </w:p>
    <w:p w14:paraId="41C316C6" w14:textId="77777777" w:rsidR="002A04C9" w:rsidRDefault="002A04C9" w:rsidP="002A04C9">
      <w:pPr>
        <w:pStyle w:val="Quote"/>
        <w:ind w:left="2160" w:hanging="720"/>
        <w:contextualSpacing/>
      </w:pPr>
      <w:r>
        <w:t>(e)</w:t>
      </w:r>
      <w:r>
        <w:tab/>
        <w:t>for protected information that is identifying information—</w:t>
      </w:r>
    </w:p>
    <w:p w14:paraId="744D7ED2" w14:textId="77777777" w:rsidR="002A04C9" w:rsidRDefault="002A04C9" w:rsidP="002A04C9">
      <w:pPr>
        <w:pStyle w:val="Quote"/>
        <w:ind w:left="2160"/>
        <w:contextualSpacing/>
      </w:pPr>
      <w:r>
        <w:t>(</w:t>
      </w:r>
      <w:proofErr w:type="spellStart"/>
      <w:r>
        <w:t>i</w:t>
      </w:r>
      <w:proofErr w:type="spellEnd"/>
      <w:r>
        <w:t>)</w:t>
      </w:r>
      <w:r>
        <w:tab/>
        <w:t>to a permitted information recipient; and</w:t>
      </w:r>
    </w:p>
    <w:p w14:paraId="5C0736C6" w14:textId="77777777" w:rsidR="002A04C9" w:rsidRDefault="002A04C9" w:rsidP="002A04C9">
      <w:pPr>
        <w:pStyle w:val="Quote"/>
        <w:ind w:left="2160"/>
        <w:contextualSpacing/>
      </w:pPr>
      <w:r>
        <w:t>(ii)</w:t>
      </w:r>
      <w:r>
        <w:tab/>
        <w:t>by the NPM or a member of staff of the NPM; and</w:t>
      </w:r>
    </w:p>
    <w:p w14:paraId="1BCD26C5" w14:textId="77777777" w:rsidR="002A04C9" w:rsidRDefault="002A04C9" w:rsidP="002A04C9">
      <w:pPr>
        <w:pStyle w:val="Quote"/>
        <w:ind w:left="2880" w:hanging="720"/>
        <w:contextualSpacing/>
      </w:pPr>
      <w:r>
        <w:t>(iii)</w:t>
      </w:r>
      <w:r>
        <w:tab/>
        <w:t>in circumstances where the NPM is satisfied the disclosure is necessary and reasonable in the public interest.</w:t>
      </w:r>
    </w:p>
    <w:p w14:paraId="28550911" w14:textId="77777777" w:rsidR="002A04C9" w:rsidRDefault="002A04C9" w:rsidP="002A04C9">
      <w:pPr>
        <w:pStyle w:val="ListNumber2"/>
        <w:ind w:left="851"/>
      </w:pPr>
      <w:r>
        <w:t xml:space="preserve">The disclosure of protected information as part of a draft report under proposed section 8Q or publication of a report under proposed section 8R would seem to come within the exceptions in section 8S(3)(b) or (c). While the requirements in section 8S(3)(d) and (e) may be related (so that the exception in (d) does not apply where the protected information is identifying information), it is not clear that paragraphs (d) and (e) are intended to affect the exceptions in paragraphs (a) - (c). </w:t>
      </w:r>
    </w:p>
    <w:p w14:paraId="61499F2D" w14:textId="77777777" w:rsidR="002A04C9" w:rsidRDefault="002A04C9" w:rsidP="00633B89">
      <w:pPr>
        <w:pStyle w:val="ListNumber2"/>
        <w:keepLines/>
        <w:ind w:left="851"/>
      </w:pPr>
      <w:r>
        <w:lastRenderedPageBreak/>
        <w:t xml:space="preserve">Similarly, the Bill will include an offence </w:t>
      </w:r>
      <w:r w:rsidRPr="00785084">
        <w:t>for a person exercising functions under the Bill to publish protected information</w:t>
      </w:r>
      <w:r>
        <w:t xml:space="preserve"> which allows the identification of another person</w:t>
      </w:r>
      <w:r w:rsidRPr="00785084">
        <w:t xml:space="preserve">. </w:t>
      </w:r>
      <w:r>
        <w:t>The offence will not apply if the protected information is published with the other person's consent. It is not clear to the Committee how this offence is intended to operate with the other offence in section 8</w:t>
      </w:r>
      <w:proofErr w:type="gramStart"/>
      <w:r>
        <w:t>S(</w:t>
      </w:r>
      <w:proofErr w:type="gramEnd"/>
      <w:r>
        <w:t xml:space="preserve">1), including whether publication is intended to be a particular form of disclosure (noting the reference to publication of a report in proposed section 8R) for which the exception in section 8S(3)(e) is not available. </w:t>
      </w:r>
    </w:p>
    <w:p w14:paraId="606C5E8F" w14:textId="77777777" w:rsidR="002A04C9" w:rsidRPr="00785084" w:rsidRDefault="002A04C9" w:rsidP="00633B89">
      <w:pPr>
        <w:pStyle w:val="ListNumber2"/>
        <w:spacing w:after="0"/>
        <w:ind w:left="851"/>
        <w:rPr>
          <w:b/>
          <w:bCs w:val="0"/>
        </w:rPr>
      </w:pPr>
      <w:r w:rsidRPr="00785084">
        <w:rPr>
          <w:b/>
          <w:bCs w:val="0"/>
        </w:rPr>
        <w:t xml:space="preserve">The Committee therefore requests further information from the Minister on how the offences in proposed section 8S are intended to operate, including </w:t>
      </w:r>
      <w:r>
        <w:rPr>
          <w:b/>
          <w:bCs w:val="0"/>
        </w:rPr>
        <w:t xml:space="preserve">how they will relate to the </w:t>
      </w:r>
      <w:r w:rsidRPr="00785084">
        <w:rPr>
          <w:b/>
          <w:bCs w:val="0"/>
        </w:rPr>
        <w:t>authority for, and protections against liability or actions arising out of, disclosures set out elsewhere in the Act as amended.</w:t>
      </w:r>
    </w:p>
    <w:tbl>
      <w:tblPr>
        <w:tblStyle w:val="Recommendationbox"/>
        <w:tblW w:w="0" w:type="auto"/>
        <w:tblLook w:val="0600" w:firstRow="0" w:lastRow="0" w:firstColumn="0" w:lastColumn="0" w:noHBand="1" w:noVBand="1"/>
      </w:tblPr>
      <w:tblGrid>
        <w:gridCol w:w="8175"/>
      </w:tblGrid>
      <w:tr w:rsidR="002A04C9" w14:paraId="656B32A4" w14:textId="77777777" w:rsidTr="00C81C07">
        <w:tc>
          <w:tcPr>
            <w:tcW w:w="7891" w:type="dxa"/>
          </w:tcPr>
          <w:p w14:paraId="38746C4A" w14:textId="77777777" w:rsidR="002A04C9" w:rsidRPr="006B0503" w:rsidRDefault="002A04C9" w:rsidP="00C81C07">
            <w:pPr>
              <w:pStyle w:val="ListNumber2"/>
              <w:numPr>
                <w:ilvl w:val="0"/>
                <w:numId w:val="0"/>
              </w:numPr>
            </w:pPr>
            <w:r w:rsidRPr="006B0503">
              <w:t>The Committee draws th</w:t>
            </w:r>
            <w:r>
              <w:t>ese</w:t>
            </w:r>
            <w:r w:rsidRPr="006B0503">
              <w:t xml:space="preserve"> matter</w:t>
            </w:r>
            <w:r>
              <w:t>s</w:t>
            </w:r>
            <w:r w:rsidRPr="006B0503">
              <w:t xml:space="preserve"> to the attention of the Assembly and asks the Minister to respond with sufficient time to allow the Committee to consider the response prior to the Bill being debated.</w:t>
            </w:r>
          </w:p>
        </w:tc>
      </w:tr>
    </w:tbl>
    <w:p w14:paraId="5C829CA9" w14:textId="77777777" w:rsidR="002A04C9" w:rsidRPr="005F7002" w:rsidRDefault="002A04C9" w:rsidP="002A04C9">
      <w:pPr>
        <w:pStyle w:val="Heading5"/>
      </w:pPr>
      <w:r w:rsidRPr="005F7002">
        <w:t>Freedom of expression (s</w:t>
      </w:r>
      <w:r>
        <w:t>ection</w:t>
      </w:r>
      <w:r w:rsidRPr="005F7002">
        <w:t xml:space="preserve"> 16 HRA)</w:t>
      </w:r>
    </w:p>
    <w:p w14:paraId="19C0EC7E" w14:textId="77777777" w:rsidR="002A04C9" w:rsidRPr="00E83C75" w:rsidRDefault="002A04C9" w:rsidP="002A04C9">
      <w:pPr>
        <w:pStyle w:val="Heading5"/>
      </w:pPr>
      <w:r w:rsidRPr="00E83C75">
        <w:t xml:space="preserve">Right to </w:t>
      </w:r>
      <w:r>
        <w:t>liberty and security of person</w:t>
      </w:r>
      <w:r w:rsidRPr="00E83C75">
        <w:t xml:space="preserve"> (s</w:t>
      </w:r>
      <w:r>
        <w:t>ection</w:t>
      </w:r>
      <w:r w:rsidRPr="00E83C75">
        <w:t xml:space="preserve"> </w:t>
      </w:r>
      <w:r>
        <w:t>18</w:t>
      </w:r>
      <w:r w:rsidRPr="00E83C75">
        <w:t xml:space="preserve"> </w:t>
      </w:r>
      <w:r>
        <w:t>HRA</w:t>
      </w:r>
      <w:r w:rsidRPr="00E83C75">
        <w:t xml:space="preserve">) </w:t>
      </w:r>
    </w:p>
    <w:p w14:paraId="193D633C" w14:textId="77777777" w:rsidR="002A04C9" w:rsidRDefault="002A04C9" w:rsidP="002A04C9">
      <w:pPr>
        <w:pStyle w:val="ListNumber2"/>
        <w:ind w:left="851"/>
      </w:pPr>
      <w:r>
        <w:t xml:space="preserve">The Bill will amend the </w:t>
      </w:r>
      <w:r>
        <w:rPr>
          <w:i/>
          <w:iCs/>
        </w:rPr>
        <w:t>Freedom of Information Act 2016</w:t>
      </w:r>
      <w:r>
        <w:t xml:space="preserve"> so that information in the possession of the custodial inspector and the NPM is taken to be contrary to the public interest information. Access requests for information obtained or generated in relation to an examination or review will be able to be refused without considering the public interest test and the balancing of factors for and against disclosure. By extending the basis on which information may be withheld from disclosure under the Freedom of Information Act the Bill may limit the right to freedom of expression in section 16 of the HRA.</w:t>
      </w:r>
    </w:p>
    <w:p w14:paraId="6314B6E2" w14:textId="77777777" w:rsidR="002A04C9" w:rsidRDefault="002A04C9" w:rsidP="002A04C9">
      <w:pPr>
        <w:pStyle w:val="ListNumber2"/>
        <w:ind w:left="851"/>
      </w:pPr>
      <w:r>
        <w:t>As described above, the Bill will introduce offences relating to the recording, disclosure and publication of protected information which have maximum penalties including imprisonment. The Bill will also introduce an offence if an entity intentionally takes detrimental action against someone at least partially because that person provided information or made a disclosure to the NPM or SPT. That offence will have a maximum penalty of 110 penalty units and/or 2 years imprisonment. By providing for terms of imprisonment the Bill may limit the right to liberty in section 18 of the HRA.</w:t>
      </w:r>
    </w:p>
    <w:p w14:paraId="2CB8DDE2" w14:textId="77777777" w:rsidR="002A04C9" w:rsidRDefault="002A04C9" w:rsidP="002A04C9">
      <w:pPr>
        <w:pStyle w:val="ListNumber2"/>
        <w:ind w:left="851"/>
      </w:pPr>
      <w:r>
        <w:t>The explanatory statement accompanying the Bill recognises these potential limitations and sets out why they should be considered reasonable using the framework set out in section 28 of the HRA. The Committee refers that statement to the Assembly.</w:t>
      </w:r>
    </w:p>
    <w:p w14:paraId="4B250284" w14:textId="77777777" w:rsidR="002A04C9" w:rsidRPr="00F83180" w:rsidRDefault="002A04C9" w:rsidP="002A04C9">
      <w:pPr>
        <w:pStyle w:val="ListNumber2"/>
        <w:ind w:left="851"/>
      </w:pPr>
      <w:r w:rsidRPr="00E83C75">
        <w:rPr>
          <w:b/>
        </w:rPr>
        <w:t xml:space="preserve">The Committee draws this matter to the attention of the </w:t>
      </w:r>
      <w:proofErr w:type="gramStart"/>
      <w:r w:rsidRPr="00E83C75">
        <w:rPr>
          <w:b/>
        </w:rPr>
        <w:t>Assembly, but</w:t>
      </w:r>
      <w:proofErr w:type="gramEnd"/>
      <w:r w:rsidRPr="00E83C75">
        <w:rPr>
          <w:b/>
        </w:rPr>
        <w:t xml:space="preserve"> does not require a response from the Minister</w:t>
      </w:r>
      <w:r>
        <w:rPr>
          <w:b/>
        </w:rPr>
        <w:t>.</w:t>
      </w:r>
    </w:p>
    <w:p w14:paraId="65DE4C81" w14:textId="635003F3" w:rsidR="002A04C9" w:rsidRDefault="002A04C9" w:rsidP="002A04C9">
      <w:pPr>
        <w:pStyle w:val="Heading20"/>
      </w:pPr>
      <w:bookmarkStart w:id="114" w:name="_Toc167305535"/>
      <w:r>
        <w:t>Proposed Amendments</w:t>
      </w:r>
      <w:r w:rsidR="00633B89" w:rsidRPr="00133AB1">
        <w:rPr>
          <w:rFonts w:eastAsia="Calibri"/>
          <w:lang w:eastAsia="en-AU"/>
        </w:rPr>
        <w:t>—</w:t>
      </w:r>
      <w:r>
        <w:t>Comment</w:t>
      </w:r>
      <w:bookmarkEnd w:id="114"/>
    </w:p>
    <w:p w14:paraId="1C29E6CE" w14:textId="77777777" w:rsidR="002A04C9" w:rsidRDefault="002A04C9" w:rsidP="002A04C9">
      <w:pPr>
        <w:pStyle w:val="Heading3"/>
      </w:pPr>
      <w:bookmarkStart w:id="115" w:name="_Toc167305536"/>
      <w:r w:rsidRPr="00A62802">
        <w:t>Voluntary Assisted Dying Bill 2023</w:t>
      </w:r>
      <w:bookmarkEnd w:id="115"/>
      <w:r w:rsidRPr="00A62802">
        <w:t xml:space="preserve"> </w:t>
      </w:r>
    </w:p>
    <w:p w14:paraId="0E881C92" w14:textId="77777777" w:rsidR="002A04C9" w:rsidRDefault="002A04C9" w:rsidP="002A04C9">
      <w:pPr>
        <w:pStyle w:val="ListNumber2"/>
        <w:ind w:left="851"/>
      </w:pPr>
      <w:r>
        <w:t xml:space="preserve">The Committee has received the following proposed amendments of or relating to the </w:t>
      </w:r>
      <w:r w:rsidRPr="00A62802">
        <w:t>Voluntary Assisted Dying Bill 2023</w:t>
      </w:r>
      <w:r>
        <w:t>.</w:t>
      </w:r>
    </w:p>
    <w:p w14:paraId="16BCB534" w14:textId="77777777" w:rsidR="002A04C9" w:rsidRPr="00A0301E" w:rsidRDefault="002A04C9" w:rsidP="002A04C9">
      <w:pPr>
        <w:pStyle w:val="ListNumber2"/>
        <w:numPr>
          <w:ilvl w:val="0"/>
          <w:numId w:val="0"/>
        </w:numPr>
        <w:ind w:left="851"/>
        <w:rPr>
          <w:i/>
          <w:iCs/>
        </w:rPr>
      </w:pPr>
      <w:r w:rsidRPr="00A0301E">
        <w:rPr>
          <w:i/>
          <w:iCs/>
        </w:rPr>
        <w:lastRenderedPageBreak/>
        <w:t xml:space="preserve">Amendments proposed by Dr Paterson MLA received by the Committee on 17 </w:t>
      </w:r>
      <w:r>
        <w:rPr>
          <w:i/>
          <w:iCs/>
        </w:rPr>
        <w:t>M</w:t>
      </w:r>
      <w:r w:rsidRPr="00A0301E">
        <w:rPr>
          <w:i/>
          <w:iCs/>
        </w:rPr>
        <w:t>ay 2024:</w:t>
      </w:r>
    </w:p>
    <w:p w14:paraId="60804D27" w14:textId="77777777" w:rsidR="002A04C9" w:rsidRDefault="002A04C9" w:rsidP="002A04C9">
      <w:pPr>
        <w:pStyle w:val="ListNumber2"/>
        <w:ind w:left="851"/>
      </w:pPr>
      <w:r>
        <w:t xml:space="preserve">These proposed amendments of the Bill will allow administration of an approved substance intended to cause death to a person who no longer has decision-making capacity. A person will be able to expressly authorise an attorney under the </w:t>
      </w:r>
      <w:r w:rsidRPr="00A0301E">
        <w:rPr>
          <w:i/>
          <w:iCs/>
        </w:rPr>
        <w:t>Powers of Attorney Act 2006</w:t>
      </w:r>
      <w:r>
        <w:t xml:space="preserve"> to exercise a power in relation to the person accessing voluntary assisted dying (a VAD attorney). Where an individual has received a final assessment report but then loses their capacity to make decisions in relation to voluntary assisted dying their VAD attorney can act on their behalf to request administration of an approved substance by a health practitioner. A doctor must be satisfied that the individual does not have, and is not reasonably likely to regain, decision-making capacity in relation to voluntary assisted dying. The proposed amendments will add an offence of inducing a VAD attorney to make an administration decision. There is also provision for information to be provided by and to the VAD attorney and other consequential amendments.  </w:t>
      </w:r>
    </w:p>
    <w:p w14:paraId="351CB306" w14:textId="22ADF198" w:rsidR="002A04C9" w:rsidRDefault="002A04C9" w:rsidP="002A04C9">
      <w:pPr>
        <w:pStyle w:val="ListNumber2"/>
        <w:ind w:left="851"/>
      </w:pPr>
      <w:r>
        <w:t>By providing for additional circumstances in which a person</w:t>
      </w:r>
      <w:r w:rsidR="00633B89">
        <w:t>’</w:t>
      </w:r>
      <w:r>
        <w:t xml:space="preserve">s life may be ended, and for providing for a VAD attorney to act on a person's behalf in authorising actions which may lead to the person's death without their explicit consent, the proposed amendments may further limit the right to life in section 9 of the HRA. To the extent the proposed amendments require additional information to be provided including information relating to the enduring power of attorney and details of the witness, the proposed amendments may limit the protection of privacy provided by section 12 of the HRA. By requiring health practitioners and health service providers who conscientiously object to voluntary assisted dying to provide information to VAD attorneys, including referring them to an approved care navigator service, the proposed amendments may further limit the right to freedom of thought, conscience, </w:t>
      </w:r>
      <w:proofErr w:type="gramStart"/>
      <w:r>
        <w:t>religion</w:t>
      </w:r>
      <w:proofErr w:type="gramEnd"/>
      <w:r>
        <w:t xml:space="preserve"> and belief in section 14 of the HRA. By providing for an offence with a penalty of imprisonment the proposed amendment may limit the right to liberty in section 18 of the HRA. By introducing and modifying strict liability offences the Bill may limit the presumption of innocence protected as a right in criminal proceedings in section 22 of the HRA.</w:t>
      </w:r>
    </w:p>
    <w:p w14:paraId="290CCF90" w14:textId="77777777" w:rsidR="002A04C9" w:rsidRDefault="002A04C9" w:rsidP="002A04C9">
      <w:pPr>
        <w:pStyle w:val="ListNumber2"/>
        <w:ind w:left="851"/>
      </w:pPr>
      <w:r>
        <w:t>The proposed amendments will allow a VAD attorney or an affected person to seek an opinion or advice from the ACT Civil and Administrative Tribunal (ACAT) about whether the VAD attorney is authorised to exercise a power under this Act (proposed section 12D). The explanatory statement accompanying the proposed amendments refers to this proposed section in suggesting that the amendments include additional reviewable decisions by ACAT that will be heard in private, which may limit the right to a fair trial in section 21 of the HRA. However, the Committee notes that there is no proposed amendment to Schedule 1 of the Bill which sets out the range of reviewable decisions to which Part 10 of the Bill, and its provision for ACAT hearings to be private, applies. There is therefore no express provision in the proposed amendments for any hearing and subsequent advice or opinion given by ACAT to be private.</w:t>
      </w:r>
    </w:p>
    <w:p w14:paraId="6B838DBE" w14:textId="77777777" w:rsidR="002A04C9" w:rsidRDefault="002A04C9" w:rsidP="002A04C9">
      <w:pPr>
        <w:pStyle w:val="ListNumber2"/>
        <w:ind w:left="851"/>
      </w:pPr>
      <w:r>
        <w:t xml:space="preserve">The explanatory statement accompanying the proposed amendments recognises the proposed amendment's potential limitations of the HRA and sets out why any limitation should be considered reasonable using the framework in section 28 of the HRA. Subject to the following comments the Committee refers that statement to the Assembly. </w:t>
      </w:r>
    </w:p>
    <w:p w14:paraId="30E1A856" w14:textId="77777777" w:rsidR="002A04C9" w:rsidRDefault="002A04C9" w:rsidP="00633B89">
      <w:pPr>
        <w:pStyle w:val="ListNumber2"/>
        <w:keepLines/>
        <w:ind w:left="851"/>
      </w:pPr>
      <w:r>
        <w:lastRenderedPageBreak/>
        <w:t xml:space="preserve">The Committee is concerned that the proposed amendments may disproportionately limit the right to life in section 9 of the HRA. The proposed amendments include amending the Powers of Attorney Act to allow an enduring power of attorney to expressly authorise an attorney to exercise powers in relation to the principal accessing voluntary assisted dying if the principal has impaired decision-making capacity. The proposed amendments do not add to the current requirements for a principal to understand the nature and effect of including such an authorisation and a witness to certify that the principal appears to have that understanding. The default position will remain that a person is taken to understand the nature and effect of making the power of attorney in the absence of evidence to the contrary. </w:t>
      </w:r>
    </w:p>
    <w:p w14:paraId="5C03BDE3" w14:textId="77777777" w:rsidR="002A04C9" w:rsidRPr="00633B89" w:rsidRDefault="002A04C9" w:rsidP="002A04C9">
      <w:pPr>
        <w:pStyle w:val="ListNumber2"/>
        <w:ind w:left="851"/>
        <w:rPr>
          <w:spacing w:val="-2"/>
        </w:rPr>
      </w:pPr>
      <w:r w:rsidRPr="00633B89">
        <w:rPr>
          <w:spacing w:val="-2"/>
        </w:rPr>
        <w:t xml:space="preserve">The proposed amendments also do not provide for any additional steps to be taken prior to the VAD attorney making an administration decision. Before a VAD attorney is authorised to act, proposed section 12C requires a doctor to be satisfied that the individual does not have, and is not reasonably likely to regain, decision-making capacity in relation to voluntary assisted dying. However, it is not clear when this assessment can be made, and what happens if there is disagreement between doctors. There is no requirement that the doctor be the coordinating or consulting practitioner. ACAT is only proposed to be able to give an opinion or advice about whether the VAD attorney is authorised to exercise a power under the Bill, and only at the application of the VAD attorney or a person with a sufficient and genuine interest in the rights of the individual seeking voluntary assisted dying. </w:t>
      </w:r>
    </w:p>
    <w:p w14:paraId="169894B8" w14:textId="40DA7646" w:rsidR="002A04C9" w:rsidRDefault="002A04C9" w:rsidP="002A04C9">
      <w:pPr>
        <w:pStyle w:val="ListNumber2"/>
        <w:ind w:left="851"/>
      </w:pPr>
      <w:r>
        <w:t>The proposed amendments to clause 59(1)(g) require an individual</w:t>
      </w:r>
      <w:r w:rsidR="00633B89">
        <w:t>’</w:t>
      </w:r>
      <w:r>
        <w:t xml:space="preserve">s coordinating practitioner to have seen the power of attorney authorising the VAD attorney before making a subsequent prescription of </w:t>
      </w:r>
      <w:r w:rsidR="00346249">
        <w:t>one</w:t>
      </w:r>
      <w:r>
        <w:t xml:space="preserve"> or more approved substances. This requirement is in substitution of a further final assessment carried out where the individual seeking voluntary assisted dying has decision-making capacity.  Proposed paragraph 76(</w:t>
      </w:r>
      <w:proofErr w:type="gramStart"/>
      <w:r>
        <w:t>3)(</w:t>
      </w:r>
      <w:proofErr w:type="gramEnd"/>
      <w:r>
        <w:t xml:space="preserve">ca) will require an administering practitioner to certify that they had seen the power of attorney and immediately before administering the approved substance the individual did not have decision-making capacity. However, there is no explicit requirement for the VAD attorney to provide the power of attorney to the coordinating or administering practitioner prior to administration of the substance. </w:t>
      </w:r>
    </w:p>
    <w:p w14:paraId="768E15DB" w14:textId="77777777" w:rsidR="002A04C9" w:rsidRDefault="002A04C9" w:rsidP="002A04C9">
      <w:pPr>
        <w:pStyle w:val="ListNumber2"/>
        <w:ind w:left="851"/>
      </w:pPr>
      <w:r>
        <w:t xml:space="preserve">Importantly, the proposed amendments do not affect the offence in clause 70 of the Bill for unauthorised administration of approved substances. That offence, punishable by imprisonment for up to 7 years, is committed where a person administers an approved substance to an individual without authorisation under section 63. Section 63 in turn applies where a practitioner administration decision is in effect. A practitioner administration decision can only be made by the </w:t>
      </w:r>
      <w:proofErr w:type="gramStart"/>
      <w:r>
        <w:t>individual, and</w:t>
      </w:r>
      <w:proofErr w:type="gramEnd"/>
      <w:r>
        <w:t xml:space="preserve"> is revoked when a VAD attorney decision is made under proposed section 43A. Section 63 also requires that, immediately before administering the approved substance, the individual has decision making capacity and is acting voluntarily and without coercion. It is therefore unclear to the Committee how an administering practitioner, acting </w:t>
      </w:r>
      <w:proofErr w:type="gramStart"/>
      <w:r>
        <w:t>on the basis of</w:t>
      </w:r>
      <w:proofErr w:type="gramEnd"/>
      <w:r>
        <w:t xml:space="preserve"> a VAD attorney decision, is authorised under the proposed amendments to administer the approved substance.</w:t>
      </w:r>
    </w:p>
    <w:p w14:paraId="43E9698B" w14:textId="77777777" w:rsidR="002A04C9" w:rsidRDefault="002A04C9" w:rsidP="00A71946">
      <w:pPr>
        <w:pStyle w:val="ListNumber2"/>
        <w:keepLines/>
        <w:spacing w:before="120"/>
        <w:ind w:left="851"/>
      </w:pPr>
      <w:r>
        <w:lastRenderedPageBreak/>
        <w:t xml:space="preserve">The Committee notes that the Member has also proposed amendments to proposed government amendments to the Bill which include amendments to section 63. However, this comment concerns the compatibility of the proposed amendments to the Bill proposed by the Member. </w:t>
      </w:r>
    </w:p>
    <w:p w14:paraId="6C82E46B" w14:textId="77777777" w:rsidR="002A04C9" w:rsidRPr="00F83180" w:rsidRDefault="002A04C9" w:rsidP="00A71946">
      <w:pPr>
        <w:pStyle w:val="ListNumber2"/>
        <w:spacing w:before="120"/>
        <w:ind w:left="851"/>
        <w:rPr>
          <w:b/>
          <w:bCs w:val="0"/>
        </w:rPr>
      </w:pPr>
      <w:r w:rsidRPr="00F83180">
        <w:rPr>
          <w:b/>
          <w:bCs w:val="0"/>
        </w:rPr>
        <w:t>The Committee therefore requests further information from the Member on why additional procedures should not be included to:</w:t>
      </w:r>
    </w:p>
    <w:p w14:paraId="7481BE6D" w14:textId="3D457FED" w:rsidR="002A04C9" w:rsidRPr="00F83180" w:rsidRDefault="002A04C9" w:rsidP="00A71946">
      <w:pPr>
        <w:pStyle w:val="ListNumber3"/>
        <w:spacing w:before="120"/>
        <w:rPr>
          <w:b/>
          <w:bCs w:val="0"/>
        </w:rPr>
      </w:pPr>
      <w:r w:rsidRPr="00F83180">
        <w:rPr>
          <w:b/>
          <w:bCs w:val="0"/>
        </w:rPr>
        <w:t xml:space="preserve">require the appointment of an enduring power of attorney </w:t>
      </w:r>
      <w:r w:rsidR="006A7E35">
        <w:rPr>
          <w:b/>
          <w:bCs w:val="0"/>
        </w:rPr>
        <w:t xml:space="preserve">with authority to exercise power </w:t>
      </w:r>
      <w:r w:rsidR="007C1D03">
        <w:rPr>
          <w:b/>
          <w:bCs w:val="0"/>
        </w:rPr>
        <w:t xml:space="preserve">in relation to VAD </w:t>
      </w:r>
      <w:r w:rsidRPr="00F83180">
        <w:rPr>
          <w:b/>
          <w:bCs w:val="0"/>
        </w:rPr>
        <w:t xml:space="preserve">to include the provision of information about the nature and consequences of that </w:t>
      </w:r>
      <w:proofErr w:type="gramStart"/>
      <w:r w:rsidRPr="00F83180">
        <w:rPr>
          <w:b/>
          <w:bCs w:val="0"/>
        </w:rPr>
        <w:t>decision;</w:t>
      </w:r>
      <w:proofErr w:type="gramEnd"/>
    </w:p>
    <w:p w14:paraId="3073489F" w14:textId="77777777" w:rsidR="002A04C9" w:rsidRPr="00F83180" w:rsidRDefault="002A04C9" w:rsidP="00A71946">
      <w:pPr>
        <w:pStyle w:val="ListNumber3"/>
        <w:spacing w:before="120"/>
        <w:rPr>
          <w:b/>
          <w:bCs w:val="0"/>
        </w:rPr>
      </w:pPr>
      <w:r w:rsidRPr="00F83180">
        <w:rPr>
          <w:b/>
          <w:bCs w:val="0"/>
        </w:rPr>
        <w:t>require an individual to confirm the empowering of a VAD attorney as part of the process of accessing voluntary assisted dying; and</w:t>
      </w:r>
    </w:p>
    <w:p w14:paraId="51B5BA53" w14:textId="2B47DF93" w:rsidR="002A04C9" w:rsidRPr="00F83180" w:rsidRDefault="002A04C9" w:rsidP="00A71946">
      <w:pPr>
        <w:pStyle w:val="ListNumber3"/>
        <w:spacing w:before="120"/>
        <w:rPr>
          <w:b/>
          <w:bCs w:val="0"/>
        </w:rPr>
      </w:pPr>
      <w:r w:rsidRPr="00F83180">
        <w:rPr>
          <w:b/>
          <w:bCs w:val="0"/>
        </w:rPr>
        <w:t xml:space="preserve">require a coordinating practitioner or other practitioner involved in the voluntary assisted dying process to see the power of attorney and form a view as to the capacity of the individual before dealing with the VAD </w:t>
      </w:r>
      <w:proofErr w:type="gramStart"/>
      <w:r w:rsidRPr="00F83180">
        <w:rPr>
          <w:b/>
          <w:bCs w:val="0"/>
        </w:rPr>
        <w:t>attorney;</w:t>
      </w:r>
      <w:proofErr w:type="gramEnd"/>
    </w:p>
    <w:p w14:paraId="43B9F5B1" w14:textId="77777777" w:rsidR="002A04C9" w:rsidRPr="00F83180" w:rsidRDefault="002A04C9" w:rsidP="00A71946">
      <w:pPr>
        <w:pStyle w:val="ListNumber2"/>
        <w:spacing w:before="120"/>
        <w:ind w:left="851"/>
        <w:rPr>
          <w:b/>
          <w:bCs w:val="0"/>
        </w:rPr>
      </w:pPr>
      <w:r w:rsidRPr="00F83180">
        <w:rPr>
          <w:b/>
          <w:bCs w:val="0"/>
        </w:rPr>
        <w:t xml:space="preserve">The Committee also requests further information on whether it is intended to authorise the administration of an approved substance </w:t>
      </w:r>
      <w:proofErr w:type="gramStart"/>
      <w:r w:rsidRPr="00F83180">
        <w:rPr>
          <w:b/>
          <w:bCs w:val="0"/>
        </w:rPr>
        <w:t>on the basis of</w:t>
      </w:r>
      <w:proofErr w:type="gramEnd"/>
      <w:r w:rsidRPr="00F83180">
        <w:rPr>
          <w:b/>
          <w:bCs w:val="0"/>
        </w:rPr>
        <w:t xml:space="preserve"> a VAD Attorney decision.</w:t>
      </w:r>
    </w:p>
    <w:tbl>
      <w:tblPr>
        <w:tblStyle w:val="Recommendationbox"/>
        <w:tblW w:w="0" w:type="auto"/>
        <w:tblLook w:val="0600" w:firstRow="0" w:lastRow="0" w:firstColumn="0" w:lastColumn="0" w:noHBand="1" w:noVBand="1"/>
      </w:tblPr>
      <w:tblGrid>
        <w:gridCol w:w="8175"/>
      </w:tblGrid>
      <w:tr w:rsidR="002A04C9" w14:paraId="1306ADCE" w14:textId="77777777" w:rsidTr="00C81C07">
        <w:tc>
          <w:tcPr>
            <w:tcW w:w="7891" w:type="dxa"/>
          </w:tcPr>
          <w:p w14:paraId="50136496" w14:textId="77777777" w:rsidR="002A04C9" w:rsidRPr="006B0503" w:rsidRDefault="002A04C9" w:rsidP="00C81C07">
            <w:pPr>
              <w:pStyle w:val="ListNumber2"/>
              <w:numPr>
                <w:ilvl w:val="0"/>
                <w:numId w:val="0"/>
              </w:numPr>
            </w:pPr>
            <w:r w:rsidRPr="006B0503">
              <w:t>The Committee draws this matter to the attention of the Assembly and asks the M</w:t>
            </w:r>
            <w:r>
              <w:t xml:space="preserve">ember </w:t>
            </w:r>
            <w:r w:rsidRPr="006B0503">
              <w:t>to respond with sufficient time to allow the Committee to consider the response prior to the Bill being debated.</w:t>
            </w:r>
          </w:p>
        </w:tc>
      </w:tr>
    </w:tbl>
    <w:p w14:paraId="02466D1D" w14:textId="22C46959" w:rsidR="002A04C9" w:rsidRPr="00F83180" w:rsidRDefault="002A04C9" w:rsidP="009C6B01">
      <w:pPr>
        <w:pStyle w:val="ListNumber2"/>
        <w:keepNext/>
        <w:numPr>
          <w:ilvl w:val="0"/>
          <w:numId w:val="0"/>
        </w:numPr>
        <w:spacing w:before="240"/>
        <w:ind w:left="851"/>
      </w:pPr>
      <w:r w:rsidRPr="00A0301E">
        <w:rPr>
          <w:i/>
          <w:iCs/>
        </w:rPr>
        <w:t xml:space="preserve">Amendments </w:t>
      </w:r>
      <w:r>
        <w:rPr>
          <w:i/>
          <w:iCs/>
        </w:rPr>
        <w:t xml:space="preserve">to proposed government amendments </w:t>
      </w:r>
      <w:r w:rsidRPr="00A0301E">
        <w:rPr>
          <w:i/>
          <w:iCs/>
        </w:rPr>
        <w:t xml:space="preserve">proposed by Dr Paterson MLA received by the Committee on 17 </w:t>
      </w:r>
      <w:r>
        <w:rPr>
          <w:i/>
          <w:iCs/>
        </w:rPr>
        <w:t>M</w:t>
      </w:r>
      <w:r w:rsidRPr="00A0301E">
        <w:rPr>
          <w:i/>
          <w:iCs/>
        </w:rPr>
        <w:t>ay 2024</w:t>
      </w:r>
    </w:p>
    <w:p w14:paraId="62D4AAA1" w14:textId="75179ACB" w:rsidR="002A04C9" w:rsidRDefault="002A04C9" w:rsidP="002A04C9">
      <w:pPr>
        <w:pStyle w:val="ListNumber2"/>
        <w:ind w:left="851"/>
      </w:pPr>
      <w:r>
        <w:t xml:space="preserve">The Committee received proposed government amendments to the Bill on 29 April 2024 and commented on those proposed government amendments in its </w:t>
      </w:r>
      <w:r>
        <w:rPr>
          <w:i/>
          <w:iCs/>
        </w:rPr>
        <w:t>Report 41</w:t>
      </w:r>
      <w:r>
        <w:t>. Dr Paterson has provided the Committee with proposed amendments to those government amendments</w:t>
      </w:r>
      <w:r w:rsidR="00633B89">
        <w:t>,</w:t>
      </w:r>
      <w:r>
        <w:t xml:space="preserve"> which are intended to align the government amendments with amendments to the Bill proposed by Dr Paterson also received by the Committee on 17 May 2024 and considered above. </w:t>
      </w:r>
    </w:p>
    <w:p w14:paraId="13A2CC11" w14:textId="77777777" w:rsidR="002A04C9" w:rsidRDefault="002A04C9" w:rsidP="002A04C9">
      <w:pPr>
        <w:pStyle w:val="ListNumber2"/>
        <w:ind w:left="851"/>
      </w:pPr>
      <w:r>
        <w:t>These amendments include:</w:t>
      </w:r>
    </w:p>
    <w:p w14:paraId="677B7008" w14:textId="24BAB9F9" w:rsidR="002A04C9" w:rsidRDefault="002A04C9" w:rsidP="002A04C9">
      <w:pPr>
        <w:pStyle w:val="ListNumber3"/>
      </w:pPr>
      <w:r>
        <w:t>authorising approved suppliers and couriers to supply an approved substance to an individual</w:t>
      </w:r>
      <w:r w:rsidR="00633B89">
        <w:t>’</w:t>
      </w:r>
      <w:r>
        <w:t xml:space="preserve">s administering practitioner when a VAD attorney decision is in </w:t>
      </w:r>
      <w:proofErr w:type="gramStart"/>
      <w:r>
        <w:t>effect;</w:t>
      </w:r>
      <w:proofErr w:type="gramEnd"/>
    </w:p>
    <w:p w14:paraId="0585C42B" w14:textId="77777777" w:rsidR="002A04C9" w:rsidRDefault="002A04C9" w:rsidP="002A04C9">
      <w:pPr>
        <w:pStyle w:val="ListNumber3"/>
      </w:pPr>
      <w:r>
        <w:t>extending the authority to administer an approved substance (and the exception to the offence in proposed section 70 of the Bill) to include where a VAD attorney decision is in effect and the administering practitioner has seen the power of attorney and is satisfied immediately before administering the substance that the individual does not have decision-making capacity; and</w:t>
      </w:r>
    </w:p>
    <w:p w14:paraId="77C35041" w14:textId="77777777" w:rsidR="002A04C9" w:rsidRDefault="002A04C9" w:rsidP="002A04C9">
      <w:pPr>
        <w:pStyle w:val="ListNumber3"/>
      </w:pPr>
      <w:r>
        <w:t>require disposal of approved substances after revocation of a self-administration decision after it has been revoked by the making of a VAD attorney decision.</w:t>
      </w:r>
    </w:p>
    <w:p w14:paraId="1AEAB504" w14:textId="1EDE9BB3" w:rsidR="002A04C9" w:rsidRDefault="002A04C9" w:rsidP="00A71946">
      <w:pPr>
        <w:pStyle w:val="ListNumber2"/>
        <w:keepLines/>
        <w:ind w:left="851"/>
      </w:pPr>
      <w:r>
        <w:lastRenderedPageBreak/>
        <w:t>These amendments will have the effect of extending the circumstances in which a person</w:t>
      </w:r>
      <w:r w:rsidR="00633B89">
        <w:t>’</w:t>
      </w:r>
      <w:r>
        <w:t>s life may be ended and allow an attorney to decide to authorise action to be taken to end a</w:t>
      </w:r>
      <w:r w:rsidR="00633B89">
        <w:t> </w:t>
      </w:r>
      <w:r>
        <w:t>person</w:t>
      </w:r>
      <w:r w:rsidR="00633B89">
        <w:t>’</w:t>
      </w:r>
      <w:r>
        <w:t xml:space="preserve">s life where the individual does not have decision-making capacity. They may therefore limit the right to life in section 9 of the HRA. </w:t>
      </w:r>
    </w:p>
    <w:p w14:paraId="392F2768" w14:textId="48711E9E" w:rsidR="002A04C9" w:rsidRPr="00A71946" w:rsidRDefault="002A04C9" w:rsidP="009C6B01">
      <w:pPr>
        <w:pStyle w:val="ListNumber2"/>
        <w:spacing w:after="0"/>
        <w:ind w:left="851"/>
        <w:rPr>
          <w:spacing w:val="-2"/>
        </w:rPr>
      </w:pPr>
      <w:r w:rsidRPr="00A71946">
        <w:rPr>
          <w:spacing w:val="-2"/>
        </w:rPr>
        <w:t>The explanatory statement accompanying these proposed amendments to the government amendments suggests that these amendments do not raise any human rights issues requiring justification. The Committee notes that both Dr Paterson</w:t>
      </w:r>
      <w:r w:rsidR="00633B89" w:rsidRPr="00A71946">
        <w:rPr>
          <w:spacing w:val="-2"/>
        </w:rPr>
        <w:t>’</w:t>
      </w:r>
      <w:r w:rsidRPr="00A71946">
        <w:rPr>
          <w:spacing w:val="-2"/>
        </w:rPr>
        <w:t>s proposed amendments are intended to operate together, each being dependent on the other. The human rights issues raised by these amendments are generally recognised and discussed in the explanatory statement accompanying the proposed amendments from Dr Paterson considered above. The Committee therefore recommends that this be recognised in the explanatory statement accompanying these amendments and reference made to the human rights discussion included in the explanatory statement accompanying Dr</w:t>
      </w:r>
      <w:r w:rsidR="00633B89" w:rsidRPr="00A71946">
        <w:rPr>
          <w:spacing w:val="-2"/>
        </w:rPr>
        <w:t> </w:t>
      </w:r>
      <w:r w:rsidRPr="00A71946">
        <w:rPr>
          <w:spacing w:val="-2"/>
        </w:rPr>
        <w:t>Paterson</w:t>
      </w:r>
      <w:r w:rsidR="00633B89" w:rsidRPr="00A71946">
        <w:rPr>
          <w:spacing w:val="-2"/>
        </w:rPr>
        <w:t>’</w:t>
      </w:r>
      <w:r w:rsidRPr="00A71946">
        <w:rPr>
          <w:spacing w:val="-2"/>
        </w:rPr>
        <w:t xml:space="preserve">s proposed amendments to the Bill. Given their interdependence, it may be preferable to have a single explanatory statement which applies to both sets of proposed amendments. </w:t>
      </w:r>
    </w:p>
    <w:tbl>
      <w:tblPr>
        <w:tblStyle w:val="Recommendationbox"/>
        <w:tblW w:w="0" w:type="auto"/>
        <w:tblLook w:val="0600" w:firstRow="0" w:lastRow="0" w:firstColumn="0" w:lastColumn="0" w:noHBand="1" w:noVBand="1"/>
      </w:tblPr>
      <w:tblGrid>
        <w:gridCol w:w="8175"/>
      </w:tblGrid>
      <w:tr w:rsidR="002A04C9" w14:paraId="7925D590" w14:textId="77777777" w:rsidTr="00C81C07">
        <w:tc>
          <w:tcPr>
            <w:tcW w:w="7891" w:type="dxa"/>
          </w:tcPr>
          <w:p w14:paraId="61078929" w14:textId="77777777" w:rsidR="002A04C9" w:rsidRPr="006B0503" w:rsidRDefault="002A04C9" w:rsidP="00C81C07">
            <w:pPr>
              <w:pStyle w:val="ListNumber2"/>
              <w:numPr>
                <w:ilvl w:val="0"/>
                <w:numId w:val="0"/>
              </w:numPr>
            </w:pPr>
            <w:r w:rsidRPr="00E772A8">
              <w:t>The Committee draws this matter to the attention of the Assembly and asks the M</w:t>
            </w:r>
            <w:r>
              <w:t>ember</w:t>
            </w:r>
            <w:r w:rsidRPr="00E772A8">
              <w:t xml:space="preserve"> to respond prior to the Bill being debated.</w:t>
            </w:r>
          </w:p>
        </w:tc>
      </w:tr>
    </w:tbl>
    <w:p w14:paraId="3B7EF631" w14:textId="715077BE" w:rsidR="002A04C9" w:rsidRDefault="002A04C9" w:rsidP="002A04C9">
      <w:pPr>
        <w:pStyle w:val="Heading20"/>
      </w:pPr>
      <w:bookmarkStart w:id="116" w:name="_Toc167305537"/>
      <w:r>
        <w:t>Proposed Amendments</w:t>
      </w:r>
      <w:r w:rsidR="00633B89" w:rsidRPr="00133AB1">
        <w:rPr>
          <w:rFonts w:eastAsia="Calibri"/>
          <w:lang w:eastAsia="en-AU"/>
        </w:rPr>
        <w:t>—</w:t>
      </w:r>
      <w:r>
        <w:t xml:space="preserve">No </w:t>
      </w:r>
      <w:r w:rsidR="00696168">
        <w:t>c</w:t>
      </w:r>
      <w:r>
        <w:t>omment</w:t>
      </w:r>
      <w:bookmarkEnd w:id="116"/>
    </w:p>
    <w:p w14:paraId="10B77977" w14:textId="77777777" w:rsidR="002A04C9" w:rsidRDefault="002A04C9" w:rsidP="002A04C9">
      <w:pPr>
        <w:pStyle w:val="Heading3"/>
      </w:pPr>
      <w:bookmarkStart w:id="117" w:name="_Toc167305538"/>
      <w:r w:rsidRPr="00A62802">
        <w:t>Voluntary Assisted Dying Bill 2023</w:t>
      </w:r>
      <w:bookmarkEnd w:id="117"/>
      <w:r w:rsidRPr="00A62802">
        <w:t xml:space="preserve"> </w:t>
      </w:r>
    </w:p>
    <w:p w14:paraId="69BB7E87" w14:textId="77777777" w:rsidR="002A04C9" w:rsidRDefault="002A04C9" w:rsidP="002A04C9">
      <w:pPr>
        <w:pStyle w:val="ListNumber2"/>
        <w:ind w:left="851"/>
      </w:pPr>
      <w:r>
        <w:t xml:space="preserve">The Committee has received the following proposed amendments to the </w:t>
      </w:r>
      <w:r w:rsidRPr="00A62802">
        <w:t>Voluntary Assisted Dying Bill 2023</w:t>
      </w:r>
      <w:r>
        <w:t xml:space="preserve"> and makes no further comment.</w:t>
      </w:r>
    </w:p>
    <w:p w14:paraId="58F1F901" w14:textId="17AF2018" w:rsidR="002A04C9" w:rsidRPr="00A62802" w:rsidRDefault="002A04C9" w:rsidP="002A04C9">
      <w:pPr>
        <w:pStyle w:val="ListNumber2"/>
        <w:numPr>
          <w:ilvl w:val="0"/>
          <w:numId w:val="0"/>
        </w:numPr>
        <w:ind w:left="851"/>
        <w:rPr>
          <w:i/>
          <w:iCs/>
        </w:rPr>
      </w:pPr>
      <w:r w:rsidRPr="00A62802">
        <w:rPr>
          <w:i/>
          <w:iCs/>
        </w:rPr>
        <w:t xml:space="preserve">Amendment proposed by Ms Lee </w:t>
      </w:r>
      <w:r>
        <w:rPr>
          <w:i/>
          <w:iCs/>
        </w:rPr>
        <w:t xml:space="preserve">MLA </w:t>
      </w:r>
      <w:r w:rsidRPr="00A62802">
        <w:rPr>
          <w:i/>
          <w:iCs/>
        </w:rPr>
        <w:t xml:space="preserve">provided to the </w:t>
      </w:r>
      <w:r w:rsidR="00633B89">
        <w:rPr>
          <w:i/>
          <w:iCs/>
        </w:rPr>
        <w:t>Committee</w:t>
      </w:r>
      <w:r w:rsidRPr="00A62802">
        <w:rPr>
          <w:i/>
          <w:iCs/>
        </w:rPr>
        <w:t xml:space="preserve"> on 15 May 2024:</w:t>
      </w:r>
    </w:p>
    <w:p w14:paraId="55EA6DC9" w14:textId="77777777" w:rsidR="002A04C9" w:rsidRDefault="002A04C9" w:rsidP="002A04C9">
      <w:pPr>
        <w:pStyle w:val="ListNumber2"/>
        <w:ind w:left="851"/>
      </w:pPr>
      <w:r>
        <w:t xml:space="preserve">This proposed amendment will omit proposed section 159(2), removing the requirement for the first review of the operation and effectiveness of the Bill to consider whether an individual should be given access to voluntary assisted dying in certain circumstances. The proposed amendment will otherwise retain the requirement for a review. </w:t>
      </w:r>
    </w:p>
    <w:p w14:paraId="1D828A5E" w14:textId="701EAA8F" w:rsidR="002A04C9" w:rsidRPr="00B5680B" w:rsidRDefault="002A04C9" w:rsidP="002A04C9">
      <w:pPr>
        <w:pStyle w:val="ListNumber2"/>
        <w:numPr>
          <w:ilvl w:val="0"/>
          <w:numId w:val="0"/>
        </w:numPr>
        <w:ind w:left="851"/>
        <w:rPr>
          <w:i/>
          <w:iCs/>
        </w:rPr>
      </w:pPr>
      <w:r w:rsidRPr="00B5680B">
        <w:rPr>
          <w:i/>
          <w:iCs/>
        </w:rPr>
        <w:t xml:space="preserve">Amendments proposed by Mr Cocks MLA provided to the </w:t>
      </w:r>
      <w:r w:rsidR="00633B89">
        <w:rPr>
          <w:i/>
          <w:iCs/>
        </w:rPr>
        <w:t>Committee</w:t>
      </w:r>
      <w:r w:rsidRPr="00B5680B">
        <w:rPr>
          <w:i/>
          <w:iCs/>
        </w:rPr>
        <w:t xml:space="preserve"> on 16 May 2024:</w:t>
      </w:r>
    </w:p>
    <w:p w14:paraId="34030387" w14:textId="77777777" w:rsidR="002A04C9" w:rsidRDefault="002A04C9" w:rsidP="002A04C9">
      <w:pPr>
        <w:pStyle w:val="ListNumber2"/>
        <w:ind w:left="851"/>
      </w:pPr>
      <w:r>
        <w:t>These proposed amendments would generally expand the circumstances in which a person can raise a conscientious objection to participating in the voluntary assisted dying scheme to be established by the Bill. The proposed amendments include:</w:t>
      </w:r>
    </w:p>
    <w:p w14:paraId="72AB218A" w14:textId="3C2E35F4" w:rsidR="002A04C9" w:rsidRDefault="006E1CF3" w:rsidP="002A04C9">
      <w:pPr>
        <w:pStyle w:val="ListNumber3"/>
      </w:pPr>
      <w:r>
        <w:t>a</w:t>
      </w:r>
      <w:r w:rsidR="002A04C9">
        <w:t xml:space="preserve">llowing health practitioners and health service providers to refuse to provide information about voluntary assisted dying as well as the current ability in the Bill to refuse to participate in the request and assessment process, supply an approved substance, or be present when an approved substance is </w:t>
      </w:r>
      <w:proofErr w:type="gramStart"/>
      <w:r w:rsidR="002A04C9">
        <w:t>administered;</w:t>
      </w:r>
      <w:proofErr w:type="gramEnd"/>
      <w:r w:rsidR="002A04C9">
        <w:t xml:space="preserve"> </w:t>
      </w:r>
    </w:p>
    <w:p w14:paraId="2A32A09F" w14:textId="67456FCA" w:rsidR="002A04C9" w:rsidRDefault="006E1CF3" w:rsidP="002A04C9">
      <w:pPr>
        <w:pStyle w:val="ListNumber3"/>
      </w:pPr>
      <w:r>
        <w:t>a</w:t>
      </w:r>
      <w:r w:rsidR="002A04C9">
        <w:t>llowing the operator of a health facility not operated by the Territory to refuse to allow any part of the voluntary assisted dying process to be carried out at the facility, requiring patients to acknowledge the operator's position as a condition of entry to the facility and not seek or demand access to voluntary assisted dying, and requiring the operator to take reasonable steps to facilitate transfer to another health facility where the patient can access voluntary assisted dying;</w:t>
      </w:r>
    </w:p>
    <w:p w14:paraId="7348C668" w14:textId="5A353AB5" w:rsidR="002A04C9" w:rsidRDefault="006E1CF3" w:rsidP="002A04C9">
      <w:pPr>
        <w:pStyle w:val="ListNumber3"/>
      </w:pPr>
      <w:r>
        <w:lastRenderedPageBreak/>
        <w:t>r</w:t>
      </w:r>
      <w:r w:rsidR="002A04C9">
        <w:t>emoving the requirement for a health practitioner or health service provider who conscientiously objects to provide contact details of the approved care navigator service; and</w:t>
      </w:r>
    </w:p>
    <w:p w14:paraId="49F06B08" w14:textId="57A5E31D" w:rsidR="002A04C9" w:rsidRDefault="006E1CF3" w:rsidP="002A04C9">
      <w:pPr>
        <w:pStyle w:val="ListNumber3"/>
      </w:pPr>
      <w:r>
        <w:t>r</w:t>
      </w:r>
      <w:r w:rsidR="002A04C9">
        <w:t>emoving obligations on non-Territory health providers who conscientiously object to comply with the obligations under Part 7 of the Bill.</w:t>
      </w:r>
    </w:p>
    <w:p w14:paraId="2746F770" w14:textId="77777777" w:rsidR="002A04C9" w:rsidRDefault="002A04C9" w:rsidP="002A04C9">
      <w:pPr>
        <w:pStyle w:val="ListNumber2"/>
        <w:ind w:left="851"/>
      </w:pPr>
      <w:r>
        <w:t>The Committee has no comments on these proposed amendments.</w:t>
      </w:r>
    </w:p>
    <w:p w14:paraId="688F3BE2" w14:textId="77777777" w:rsidR="002A04C9" w:rsidRDefault="002A04C9" w:rsidP="002A04C9">
      <w:pPr>
        <w:pStyle w:val="ListNumber2"/>
        <w:keepNext/>
        <w:numPr>
          <w:ilvl w:val="0"/>
          <w:numId w:val="0"/>
        </w:numPr>
        <w:ind w:left="851"/>
        <w:rPr>
          <w:i/>
          <w:iCs/>
        </w:rPr>
      </w:pPr>
      <w:r w:rsidRPr="00A0301E">
        <w:rPr>
          <w:i/>
          <w:iCs/>
        </w:rPr>
        <w:t xml:space="preserve">Amendments proposed by Ms Castley </w:t>
      </w:r>
      <w:r>
        <w:rPr>
          <w:i/>
          <w:iCs/>
        </w:rPr>
        <w:t xml:space="preserve">MLA </w:t>
      </w:r>
      <w:r w:rsidRPr="00A0301E">
        <w:rPr>
          <w:i/>
          <w:iCs/>
        </w:rPr>
        <w:t xml:space="preserve">received by the Committee on 16 </w:t>
      </w:r>
      <w:r>
        <w:rPr>
          <w:i/>
          <w:iCs/>
        </w:rPr>
        <w:t>M</w:t>
      </w:r>
      <w:r w:rsidRPr="00A0301E">
        <w:rPr>
          <w:i/>
          <w:iCs/>
        </w:rPr>
        <w:t>ay 2024:</w:t>
      </w:r>
    </w:p>
    <w:p w14:paraId="59F92FC8" w14:textId="77777777" w:rsidR="002A04C9" w:rsidRDefault="002A04C9" w:rsidP="002A04C9">
      <w:pPr>
        <w:pStyle w:val="ListNumber2"/>
        <w:ind w:left="851"/>
      </w:pPr>
      <w:r>
        <w:t>These amendments remove strict liability from applying to offences under the Act. The Committee has no comment on these amendments.</w:t>
      </w:r>
    </w:p>
    <w:p w14:paraId="47AAEDF6" w14:textId="455E8631" w:rsidR="002A04C9" w:rsidRDefault="002A04C9" w:rsidP="002A04C9">
      <w:pPr>
        <w:pStyle w:val="Heading20"/>
      </w:pPr>
      <w:bookmarkStart w:id="118" w:name="_Toc167305539"/>
      <w:r>
        <w:t xml:space="preserve">Government </w:t>
      </w:r>
      <w:r w:rsidR="00696168">
        <w:t>r</w:t>
      </w:r>
      <w:r>
        <w:t>esponses</w:t>
      </w:r>
      <w:r w:rsidR="00633B89" w:rsidRPr="00133AB1">
        <w:rPr>
          <w:rFonts w:eastAsia="Calibri"/>
          <w:lang w:eastAsia="en-AU"/>
        </w:rPr>
        <w:t>—</w:t>
      </w:r>
      <w:r>
        <w:t xml:space="preserve">No </w:t>
      </w:r>
      <w:r w:rsidR="006E1CF3">
        <w:t>c</w:t>
      </w:r>
      <w:r>
        <w:t>omment</w:t>
      </w:r>
      <w:bookmarkEnd w:id="118"/>
    </w:p>
    <w:p w14:paraId="0377DC33" w14:textId="7A8F28F2" w:rsidR="002A04C9" w:rsidRDefault="002A04C9" w:rsidP="002A04C9">
      <w:pPr>
        <w:pStyle w:val="ListNumber2"/>
        <w:ind w:left="851"/>
      </w:pPr>
      <w:r>
        <w:t>The Committee received responses to the Committee’s comments on the following Bil</w:t>
      </w:r>
      <w:r w:rsidR="00633B89">
        <w:t>l</w:t>
      </w:r>
      <w:r>
        <w:t>s and proposed amendments and has no further comments:</w:t>
      </w:r>
    </w:p>
    <w:p w14:paraId="28473E3C" w14:textId="1A70CF1D" w:rsidR="002A04C9" w:rsidRDefault="002A04C9" w:rsidP="002A04C9">
      <w:pPr>
        <w:pStyle w:val="ListNumber3"/>
        <w:rPr>
          <w:i/>
          <w:iCs/>
        </w:rPr>
      </w:pPr>
      <w:r w:rsidRPr="00A62802">
        <w:rPr>
          <w:i/>
          <w:iCs/>
        </w:rPr>
        <w:t>Civil Law (Wrongs) Amendment Bill 2024</w:t>
      </w:r>
      <w:r w:rsidR="00633B89">
        <w:rPr>
          <w:i/>
          <w:iCs/>
        </w:rPr>
        <w:t xml:space="preserve">; </w:t>
      </w:r>
      <w:r w:rsidR="00633B89">
        <w:t>and</w:t>
      </w:r>
      <w:r w:rsidRPr="00A62802">
        <w:rPr>
          <w:i/>
          <w:iCs/>
        </w:rPr>
        <w:t xml:space="preserve"> </w:t>
      </w:r>
    </w:p>
    <w:p w14:paraId="502B55FE" w14:textId="7CBFCF82" w:rsidR="002A04C9" w:rsidRPr="00A62802" w:rsidRDefault="002A04C9" w:rsidP="002A04C9">
      <w:pPr>
        <w:pStyle w:val="ListNumber3"/>
        <w:rPr>
          <w:i/>
          <w:iCs/>
        </w:rPr>
      </w:pPr>
      <w:r w:rsidRPr="00A62802">
        <w:t>Proposed government amendments to the</w:t>
      </w:r>
      <w:r>
        <w:rPr>
          <w:i/>
          <w:iCs/>
        </w:rPr>
        <w:t xml:space="preserve"> Voluntary Assisted Dying Bill 2023</w:t>
      </w:r>
      <w:r w:rsidR="00633B89">
        <w:rPr>
          <w:i/>
          <w:iCs/>
        </w:rPr>
        <w:t>.</w:t>
      </w:r>
    </w:p>
    <w:p w14:paraId="788EF63A" w14:textId="56EA8BFE" w:rsidR="002D13CB" w:rsidRDefault="002D13CB" w:rsidP="002D13CB">
      <w:pPr>
        <w:pStyle w:val="ListNumber2"/>
        <w:ind w:left="851"/>
      </w:pPr>
      <w:r>
        <w:t>Th</w:t>
      </w:r>
      <w:r w:rsidR="008E3B22">
        <w:t>ese</w:t>
      </w:r>
      <w:r>
        <w:t xml:space="preserve"> responses can be viewed </w:t>
      </w:r>
      <w:hyperlink r:id="rId16" w:history="1">
        <w:r w:rsidRPr="00E0054C">
          <w:rPr>
            <w:rStyle w:val="Hyperlink"/>
          </w:rPr>
          <w:t>online</w:t>
        </w:r>
      </w:hyperlink>
      <w:r w:rsidRPr="00E0054C">
        <w:rPr>
          <w:rStyle w:val="FootnoteReference"/>
        </w:rPr>
        <w:footnoteReference w:id="2"/>
      </w:r>
      <w:r w:rsidRPr="00E0054C">
        <w:t>.</w:t>
      </w:r>
    </w:p>
    <w:bookmarkEnd w:id="102"/>
    <w:p w14:paraId="1F88F98C" w14:textId="334732CD" w:rsidR="00CE02FD" w:rsidRDefault="002D13CB" w:rsidP="002D13CB">
      <w:pPr>
        <w:pStyle w:val="ListNumber2"/>
        <w:ind w:left="851"/>
      </w:pPr>
      <w:r>
        <w:t>The Committee wishes to thank the Minister</w:t>
      </w:r>
      <w:r w:rsidR="00633B89">
        <w:t>s</w:t>
      </w:r>
      <w:r>
        <w:t xml:space="preserve"> for their helpful responses.</w:t>
      </w:r>
    </w:p>
    <w:p w14:paraId="1B0752BD" w14:textId="7936E1E4" w:rsidR="002D13CB" w:rsidRPr="00CE02FD" w:rsidRDefault="00CE02FD" w:rsidP="00CE02FD">
      <w:pPr>
        <w:spacing w:line="259" w:lineRule="auto"/>
        <w:rPr>
          <w:rFonts w:cstheme="minorHAnsi"/>
          <w:bCs/>
          <w:color w:val="000000" w:themeColor="text1"/>
          <w:szCs w:val="20"/>
        </w:rPr>
      </w:pPr>
      <w:r>
        <w:br w:type="page"/>
      </w:r>
    </w:p>
    <w:p w14:paraId="4E27F9C1" w14:textId="7644E313" w:rsidR="007E2BE2" w:rsidRDefault="007E2BE2" w:rsidP="007E2BE2">
      <w:pPr>
        <w:pStyle w:val="Heading1"/>
      </w:pPr>
      <w:bookmarkStart w:id="119" w:name="_Toc167305540"/>
      <w:bookmarkEnd w:id="103"/>
      <w:bookmarkEnd w:id="98"/>
      <w:r>
        <w:lastRenderedPageBreak/>
        <w:t>Subordinate Legislation</w:t>
      </w:r>
      <w:bookmarkEnd w:id="119"/>
      <w:r>
        <w:t xml:space="preserve"> </w:t>
      </w:r>
    </w:p>
    <w:p w14:paraId="352B3E25" w14:textId="73B47C40" w:rsidR="00BA2287" w:rsidRDefault="00BA2287" w:rsidP="00BA2287">
      <w:pPr>
        <w:pStyle w:val="Heading20"/>
      </w:pPr>
      <w:bookmarkStart w:id="120" w:name="_Toc167305541"/>
      <w:bookmarkStart w:id="121" w:name="_Hlk150688924"/>
      <w:r>
        <w:t>Disallowable Instruments</w:t>
      </w:r>
      <w:r w:rsidR="00633B89" w:rsidRPr="00133AB1">
        <w:rPr>
          <w:rFonts w:eastAsia="Calibri"/>
          <w:lang w:eastAsia="en-AU"/>
        </w:rPr>
        <w:t>—</w:t>
      </w:r>
      <w:r>
        <w:t>No comment</w:t>
      </w:r>
      <w:bookmarkEnd w:id="120"/>
    </w:p>
    <w:p w14:paraId="56FBD82C" w14:textId="77777777" w:rsidR="00BA2287" w:rsidRDefault="00BA2287" w:rsidP="009D04DC">
      <w:pPr>
        <w:pStyle w:val="ListNumber2"/>
        <w:ind w:left="851"/>
      </w:pPr>
      <w:r>
        <w:t>The Committee has examined the following disallowable instruments and has no comments on them:</w:t>
      </w:r>
    </w:p>
    <w:p w14:paraId="16A0FBCF" w14:textId="77777777"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DI2024-57 being the Veterinary Practice (Fees) Determination 2024 (No 1) made under section 144 of the </w:t>
      </w:r>
      <w:r w:rsidRPr="004F62B4">
        <w:rPr>
          <w:i/>
        </w:rPr>
        <w:t>Veterinary Practice Act 2018</w:t>
      </w:r>
      <w:r w:rsidRPr="004F62B4">
        <w:rPr>
          <w:b/>
        </w:rPr>
        <w:t xml:space="preserve"> determines fees payable for the purposes of the Act and revokes DI2023-52. </w:t>
      </w:r>
    </w:p>
    <w:p w14:paraId="38E8F649" w14:textId="77777777"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DI2024-58 being the Racing (Appeals Tribunal Assessor) Appointment 2024 made under section 42 and </w:t>
      </w:r>
      <w:r>
        <w:rPr>
          <w:b/>
        </w:rPr>
        <w:t>s</w:t>
      </w:r>
      <w:r w:rsidRPr="004F62B4">
        <w:rPr>
          <w:b/>
        </w:rPr>
        <w:t xml:space="preserve">ection 2.1 of </w:t>
      </w:r>
      <w:r>
        <w:rPr>
          <w:b/>
        </w:rPr>
        <w:t xml:space="preserve">Schedule 2 to </w:t>
      </w:r>
      <w:r w:rsidRPr="004F62B4">
        <w:rPr>
          <w:b/>
        </w:rPr>
        <w:t xml:space="preserve">the </w:t>
      </w:r>
      <w:r w:rsidRPr="004F62B4">
        <w:rPr>
          <w:i/>
        </w:rPr>
        <w:t>Racing Act 1999</w:t>
      </w:r>
      <w:r w:rsidRPr="004F62B4">
        <w:rPr>
          <w:b/>
        </w:rPr>
        <w:t xml:space="preserve"> revokes DI2021-49 and reappoints an assessor of the Tribunal for a period of one year. </w:t>
      </w:r>
    </w:p>
    <w:p w14:paraId="5C3D304D" w14:textId="77777777"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DI2024-60 being the Gambling and Racing Control (Governing Board) Appointment 2024 (No 1) </w:t>
      </w:r>
      <w:bookmarkStart w:id="122" w:name="_Hlk167093699"/>
      <w:r w:rsidRPr="004F62B4">
        <w:rPr>
          <w:b/>
        </w:rPr>
        <w:t>made under section</w:t>
      </w:r>
      <w:r>
        <w:rPr>
          <w:b/>
        </w:rPr>
        <w:t>s</w:t>
      </w:r>
      <w:r w:rsidRPr="004F62B4">
        <w:rPr>
          <w:b/>
        </w:rPr>
        <w:t xml:space="preserve"> 11</w:t>
      </w:r>
      <w:r>
        <w:rPr>
          <w:b/>
        </w:rPr>
        <w:t xml:space="preserve"> and 12 of the </w:t>
      </w:r>
      <w:r w:rsidRPr="004F62B4">
        <w:rPr>
          <w:i/>
        </w:rPr>
        <w:t xml:space="preserve">Gambling and Racing Control Act 1999 </w:t>
      </w:r>
      <w:r w:rsidRPr="004F62B4">
        <w:rPr>
          <w:b/>
        </w:rPr>
        <w:t xml:space="preserve">and </w:t>
      </w:r>
      <w:r>
        <w:rPr>
          <w:b/>
        </w:rPr>
        <w:t xml:space="preserve">section </w:t>
      </w:r>
      <w:r w:rsidRPr="004F62B4">
        <w:rPr>
          <w:b/>
        </w:rPr>
        <w:t xml:space="preserve">78 of the </w:t>
      </w:r>
      <w:bookmarkEnd w:id="122"/>
      <w:r w:rsidRPr="004F62B4">
        <w:rPr>
          <w:i/>
        </w:rPr>
        <w:t>Financial Management Act 1996</w:t>
      </w:r>
      <w:r w:rsidRPr="004F62B4">
        <w:rPr>
          <w:b/>
        </w:rPr>
        <w:t xml:space="preserve"> appoints a member of the governing board for a period of three years. </w:t>
      </w:r>
    </w:p>
    <w:p w14:paraId="3272D563" w14:textId="77777777" w:rsidR="00BA2287" w:rsidRPr="004F62B4" w:rsidRDefault="00BA2287" w:rsidP="00595B29">
      <w:pPr>
        <w:pStyle w:val="Bodycopy"/>
        <w:numPr>
          <w:ilvl w:val="0"/>
          <w:numId w:val="12"/>
        </w:numPr>
        <w:spacing w:before="120" w:after="120" w:line="283" w:lineRule="auto"/>
        <w:ind w:left="1208" w:hanging="357"/>
        <w:rPr>
          <w:b/>
        </w:rPr>
      </w:pPr>
      <w:r w:rsidRPr="004F62B4">
        <w:rPr>
          <w:b/>
        </w:rPr>
        <w:t>Disallowable Instrument DI2024-62 being the Gambling and Racing Control (Governing Board) Appointment 2024 (No 2) made under section</w:t>
      </w:r>
      <w:r>
        <w:rPr>
          <w:b/>
        </w:rPr>
        <w:t>s</w:t>
      </w:r>
      <w:r w:rsidRPr="004F62B4">
        <w:rPr>
          <w:b/>
        </w:rPr>
        <w:t xml:space="preserve"> 11</w:t>
      </w:r>
      <w:r>
        <w:rPr>
          <w:b/>
        </w:rPr>
        <w:t xml:space="preserve"> and 12 of the </w:t>
      </w:r>
      <w:r w:rsidRPr="004F62B4">
        <w:rPr>
          <w:i/>
        </w:rPr>
        <w:t xml:space="preserve">Gambling and Racing Control Act 1999 </w:t>
      </w:r>
      <w:r w:rsidRPr="004F62B4">
        <w:rPr>
          <w:b/>
        </w:rPr>
        <w:t xml:space="preserve">and </w:t>
      </w:r>
      <w:r>
        <w:rPr>
          <w:b/>
        </w:rPr>
        <w:t xml:space="preserve">section </w:t>
      </w:r>
      <w:r w:rsidRPr="004F62B4">
        <w:rPr>
          <w:b/>
        </w:rPr>
        <w:t xml:space="preserve">78 of the </w:t>
      </w:r>
      <w:r w:rsidRPr="004F62B4">
        <w:rPr>
          <w:i/>
        </w:rPr>
        <w:t>Financial Management Act 1996</w:t>
      </w:r>
      <w:r w:rsidRPr="004F62B4">
        <w:rPr>
          <w:b/>
        </w:rPr>
        <w:t xml:space="preserve"> appoints a member of the governing board for a period of three years. </w:t>
      </w:r>
    </w:p>
    <w:p w14:paraId="7A710184" w14:textId="6F769075"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DI2024-63 being the Heritage (Council Chairperson) Appointment 2024 made under section 17 of the </w:t>
      </w:r>
      <w:r w:rsidRPr="004F62B4">
        <w:rPr>
          <w:i/>
        </w:rPr>
        <w:t>Heritage Act 2004</w:t>
      </w:r>
      <w:r w:rsidRPr="004F62B4">
        <w:rPr>
          <w:b/>
        </w:rPr>
        <w:t xml:space="preserve"> appoints a</w:t>
      </w:r>
      <w:r w:rsidR="00595B29">
        <w:rPr>
          <w:b/>
        </w:rPr>
        <w:t> </w:t>
      </w:r>
      <w:r w:rsidRPr="004F62B4">
        <w:rPr>
          <w:b/>
        </w:rPr>
        <w:t xml:space="preserve">specified person as chairperson of the ACT Heritage Council. </w:t>
      </w:r>
    </w:p>
    <w:p w14:paraId="5C541AE4" w14:textId="3CB66912"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DI2024-64 being the Heritage (Council Deputy Chairperson) Appointment 2024 made under section 17 of the </w:t>
      </w:r>
      <w:r w:rsidRPr="004F62B4">
        <w:rPr>
          <w:i/>
        </w:rPr>
        <w:t>Heritage Act 2004</w:t>
      </w:r>
      <w:r w:rsidRPr="004F62B4">
        <w:rPr>
          <w:b/>
        </w:rPr>
        <w:t xml:space="preserve"> appoints a</w:t>
      </w:r>
      <w:r w:rsidR="00E232A1">
        <w:rPr>
          <w:b/>
        </w:rPr>
        <w:t> </w:t>
      </w:r>
      <w:r w:rsidRPr="004F62B4">
        <w:rPr>
          <w:b/>
        </w:rPr>
        <w:t xml:space="preserve">specified person as deputy chairperson of the ACT Heritage Council. </w:t>
      </w:r>
    </w:p>
    <w:p w14:paraId="21987313" w14:textId="5BD2DE78"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DI2024-65 being the Heritage (Council Member) Appointment 2024 (No 1) made under section 17 of the </w:t>
      </w:r>
      <w:r w:rsidRPr="004F62B4">
        <w:rPr>
          <w:i/>
        </w:rPr>
        <w:t>Heritage Act 2004</w:t>
      </w:r>
      <w:r w:rsidRPr="004F62B4">
        <w:rPr>
          <w:b/>
        </w:rPr>
        <w:t xml:space="preserve"> appoints a</w:t>
      </w:r>
      <w:r w:rsidR="00595B29">
        <w:rPr>
          <w:b/>
        </w:rPr>
        <w:t> </w:t>
      </w:r>
      <w:r w:rsidRPr="004F62B4">
        <w:rPr>
          <w:b/>
        </w:rPr>
        <w:t xml:space="preserve">specified person as expert member of the Council. </w:t>
      </w:r>
    </w:p>
    <w:p w14:paraId="708355FF" w14:textId="72A4CBD9"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DI2024-66 being the Heritage (Council Member) Appointment 2024 (No 2) made under section 17 of the </w:t>
      </w:r>
      <w:r w:rsidRPr="004F62B4">
        <w:rPr>
          <w:i/>
        </w:rPr>
        <w:t>Heritage Act 2004</w:t>
      </w:r>
      <w:r w:rsidRPr="004F62B4">
        <w:rPr>
          <w:b/>
        </w:rPr>
        <w:t xml:space="preserve"> appoints a</w:t>
      </w:r>
      <w:r w:rsidR="00595B29">
        <w:rPr>
          <w:b/>
        </w:rPr>
        <w:t> </w:t>
      </w:r>
      <w:r w:rsidRPr="004F62B4">
        <w:rPr>
          <w:b/>
        </w:rPr>
        <w:t xml:space="preserve">specified person as community member of the Council. </w:t>
      </w:r>
    </w:p>
    <w:p w14:paraId="79871D61" w14:textId="1B0806F5"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DI2024-67 being the Heritage (Council Member) Appointment 2024 (No 3) made under section 17 of the </w:t>
      </w:r>
      <w:r w:rsidRPr="004F62B4">
        <w:rPr>
          <w:i/>
        </w:rPr>
        <w:t>Heritage Act 2004</w:t>
      </w:r>
      <w:r w:rsidRPr="004F62B4">
        <w:rPr>
          <w:b/>
        </w:rPr>
        <w:t xml:space="preserve"> appoints a</w:t>
      </w:r>
      <w:r w:rsidR="00595B29">
        <w:rPr>
          <w:b/>
        </w:rPr>
        <w:t> </w:t>
      </w:r>
      <w:r w:rsidRPr="004F62B4">
        <w:rPr>
          <w:b/>
        </w:rPr>
        <w:t xml:space="preserve">specified person as expert member of the ACT Heritage Council. </w:t>
      </w:r>
    </w:p>
    <w:p w14:paraId="4F7F1B48" w14:textId="146B8D7E"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DI2024-68 being the Heritage (Council Member) Appointment 2024 (No 4) made under section 17 of the </w:t>
      </w:r>
      <w:r w:rsidRPr="004F62B4">
        <w:rPr>
          <w:i/>
        </w:rPr>
        <w:t>Heritage Act 2004</w:t>
      </w:r>
      <w:r w:rsidRPr="004F62B4">
        <w:rPr>
          <w:b/>
        </w:rPr>
        <w:t xml:space="preserve"> appoints a</w:t>
      </w:r>
      <w:r w:rsidR="00595B29">
        <w:rPr>
          <w:b/>
        </w:rPr>
        <w:t> </w:t>
      </w:r>
      <w:r w:rsidRPr="004F62B4">
        <w:rPr>
          <w:b/>
        </w:rPr>
        <w:t xml:space="preserve">specified person as expert member of the ACT Heritage Council. </w:t>
      </w:r>
    </w:p>
    <w:p w14:paraId="5A467B89" w14:textId="52C93519"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DI2024-69 being the Heritage (Council Member) Appointment 2024 (No 5) made under section 17 of the </w:t>
      </w:r>
      <w:r w:rsidRPr="004F62B4">
        <w:rPr>
          <w:i/>
        </w:rPr>
        <w:t>Heritage Act 2004</w:t>
      </w:r>
      <w:r w:rsidRPr="004F62B4">
        <w:rPr>
          <w:b/>
        </w:rPr>
        <w:t xml:space="preserve"> appoints a</w:t>
      </w:r>
      <w:r w:rsidR="00595B29">
        <w:rPr>
          <w:b/>
        </w:rPr>
        <w:t> </w:t>
      </w:r>
      <w:r w:rsidRPr="004F62B4">
        <w:rPr>
          <w:b/>
        </w:rPr>
        <w:t xml:space="preserve">specified person as expert member of the ACT Heritage Council. </w:t>
      </w:r>
    </w:p>
    <w:p w14:paraId="5CFE2390" w14:textId="5D83748E" w:rsidR="00BA2287" w:rsidRPr="004F62B4" w:rsidRDefault="00BA2287" w:rsidP="00595B29">
      <w:pPr>
        <w:pStyle w:val="Bodycopy"/>
        <w:numPr>
          <w:ilvl w:val="0"/>
          <w:numId w:val="12"/>
        </w:numPr>
        <w:spacing w:before="120" w:after="120" w:line="283" w:lineRule="auto"/>
        <w:ind w:left="1208" w:hanging="357"/>
        <w:rPr>
          <w:b/>
        </w:rPr>
      </w:pPr>
      <w:r w:rsidRPr="004F62B4">
        <w:rPr>
          <w:b/>
        </w:rPr>
        <w:lastRenderedPageBreak/>
        <w:t xml:space="preserve">Disallowable Instrument DI2024-70 being the Heritage (Council Member) Appointment 2024 (No 6) made under section 17 of the </w:t>
      </w:r>
      <w:r w:rsidRPr="004F62B4">
        <w:rPr>
          <w:i/>
        </w:rPr>
        <w:t>Heritage Act 2004</w:t>
      </w:r>
      <w:r w:rsidRPr="004F62B4">
        <w:rPr>
          <w:b/>
        </w:rPr>
        <w:t xml:space="preserve"> appoints a</w:t>
      </w:r>
      <w:r w:rsidR="00595B29">
        <w:rPr>
          <w:b/>
        </w:rPr>
        <w:t> </w:t>
      </w:r>
      <w:r w:rsidRPr="004F62B4">
        <w:rPr>
          <w:b/>
        </w:rPr>
        <w:t xml:space="preserve">specified person as expert member of the ACT Heritage Council. </w:t>
      </w:r>
    </w:p>
    <w:p w14:paraId="1CA741A0" w14:textId="4A8A2CA8"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DI2024-71 being the Heritage (Council Member) Appointment 2024 (No 7) made under section 17 of the </w:t>
      </w:r>
      <w:r w:rsidRPr="004F62B4">
        <w:rPr>
          <w:i/>
        </w:rPr>
        <w:t>Heritage Act 2004</w:t>
      </w:r>
      <w:r w:rsidRPr="004F62B4">
        <w:rPr>
          <w:b/>
        </w:rPr>
        <w:t xml:space="preserve"> appoints a</w:t>
      </w:r>
      <w:r w:rsidR="00595B29">
        <w:rPr>
          <w:b/>
        </w:rPr>
        <w:t> </w:t>
      </w:r>
      <w:r w:rsidRPr="004F62B4">
        <w:rPr>
          <w:b/>
        </w:rPr>
        <w:t xml:space="preserve">specified person as expert member of the ACT Heritage Council. </w:t>
      </w:r>
    </w:p>
    <w:p w14:paraId="578D69B2" w14:textId="26C20E7B"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DI2024-72 being the Heritage (Council Member) Appointment 2024 (No 8) made under section 17 of the </w:t>
      </w:r>
      <w:r w:rsidRPr="004F62B4">
        <w:rPr>
          <w:i/>
        </w:rPr>
        <w:t>Heritage Act 2004</w:t>
      </w:r>
      <w:r w:rsidRPr="004F62B4">
        <w:rPr>
          <w:b/>
        </w:rPr>
        <w:t xml:space="preserve"> appoints a</w:t>
      </w:r>
      <w:r w:rsidR="00595B29">
        <w:rPr>
          <w:b/>
        </w:rPr>
        <w:t> </w:t>
      </w:r>
      <w:r w:rsidRPr="004F62B4">
        <w:rPr>
          <w:b/>
        </w:rPr>
        <w:t xml:space="preserve">specified person to be the property ownership, </w:t>
      </w:r>
      <w:proofErr w:type="gramStart"/>
      <w:r w:rsidRPr="004F62B4">
        <w:rPr>
          <w:b/>
        </w:rPr>
        <w:t>management</w:t>
      </w:r>
      <w:proofErr w:type="gramEnd"/>
      <w:r w:rsidRPr="004F62B4">
        <w:rPr>
          <w:b/>
        </w:rPr>
        <w:t xml:space="preserve"> and development sector representative of the ACT Heritage Council. </w:t>
      </w:r>
    </w:p>
    <w:p w14:paraId="671CB1F2" w14:textId="0DC2ABBA"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DI2024-73 being the Gene Technology (GM Crop Moratorium) Advisory Council Appointment 2024 (No 1) made under section 11 of the </w:t>
      </w:r>
      <w:r w:rsidRPr="004F62B4">
        <w:rPr>
          <w:i/>
        </w:rPr>
        <w:t>Gene Technology (GM Crop Moratorium) Act 2004</w:t>
      </w:r>
      <w:r w:rsidRPr="004F62B4">
        <w:rPr>
          <w:b/>
        </w:rPr>
        <w:t xml:space="preserve"> appoints a specified person as a</w:t>
      </w:r>
      <w:r w:rsidR="00595B29">
        <w:rPr>
          <w:b/>
        </w:rPr>
        <w:t> </w:t>
      </w:r>
      <w:r w:rsidRPr="004F62B4">
        <w:rPr>
          <w:b/>
        </w:rPr>
        <w:t xml:space="preserve">member of the ACT Gene Technology Advisory Council until 26 April 2027. </w:t>
      </w:r>
    </w:p>
    <w:p w14:paraId="52E37A6A" w14:textId="77777777"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DI2024-74 being the Gene Technology (GM Crop Moratorium) Advisory Council Appointment 2024 (No 2) made under section 11 of the </w:t>
      </w:r>
      <w:r w:rsidRPr="004F62B4">
        <w:rPr>
          <w:i/>
        </w:rPr>
        <w:t>Gene Technology (GM Crop Moratorium) Act 2004</w:t>
      </w:r>
      <w:r w:rsidRPr="004F62B4">
        <w:rPr>
          <w:b/>
        </w:rPr>
        <w:t xml:space="preserve"> revokes DI2021-68 and appoints a specified person as a member of the ACT Gene Technology Advisory Council until 26 April 2027. </w:t>
      </w:r>
    </w:p>
    <w:p w14:paraId="7BDC04C1" w14:textId="77777777"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DI2024-75 being the Gene Technology (GM Crop Moratorium) Advisory Council Appointment 2024 (No 3) made under section 11 of the </w:t>
      </w:r>
      <w:r w:rsidRPr="004F62B4">
        <w:rPr>
          <w:i/>
        </w:rPr>
        <w:t>Gene Technology (GM Crop Moratorium) Act 2004</w:t>
      </w:r>
      <w:r w:rsidRPr="004F62B4">
        <w:rPr>
          <w:b/>
        </w:rPr>
        <w:t xml:space="preserve"> revokes DI2021-67 and appoints a specified person as a member of the ACT Gene Technology Advisory Council until 26 April 2027. </w:t>
      </w:r>
    </w:p>
    <w:p w14:paraId="42AF4E8F" w14:textId="77777777"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DI2024-76 being the Gene Technology (GM Crop Moratorium) Advisory Council Appointment 2024 (No 4) made under section 11 of the </w:t>
      </w:r>
      <w:r w:rsidRPr="004F62B4">
        <w:rPr>
          <w:i/>
        </w:rPr>
        <w:t>Gene Technology (GM Crop Moratorium) Act 2004</w:t>
      </w:r>
      <w:r w:rsidRPr="004F62B4">
        <w:rPr>
          <w:b/>
        </w:rPr>
        <w:t xml:space="preserve"> revokes DI2021-65 and appoints a specified person as a member of the ACT Gene Technology Advisory Council until 26 April 2027. </w:t>
      </w:r>
    </w:p>
    <w:p w14:paraId="5A6593E5" w14:textId="77777777" w:rsidR="00BA2287" w:rsidRPr="004F62B4"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DI2024-77 being the ACT Teacher Quality Institute (Fees) Determination 2024 (No 1) made under section 95 of the </w:t>
      </w:r>
      <w:r w:rsidRPr="004F62B4">
        <w:rPr>
          <w:i/>
        </w:rPr>
        <w:t>ACT Teacher Quality Institute Act 2010</w:t>
      </w:r>
      <w:r w:rsidRPr="004F62B4">
        <w:rPr>
          <w:b/>
        </w:rPr>
        <w:t xml:space="preserve"> revokes DI2017-292 and determines application fees for teacher registration and permit to teach applications, including annual renewal. </w:t>
      </w:r>
    </w:p>
    <w:p w14:paraId="05E7B121" w14:textId="77777777" w:rsidR="00BA2287" w:rsidRPr="004F62B4" w:rsidRDefault="00BA2287" w:rsidP="00595B29">
      <w:pPr>
        <w:pStyle w:val="Bodycopy"/>
        <w:numPr>
          <w:ilvl w:val="0"/>
          <w:numId w:val="12"/>
        </w:numPr>
        <w:spacing w:before="120" w:after="120" w:line="283" w:lineRule="auto"/>
        <w:ind w:left="1208" w:hanging="357"/>
        <w:rPr>
          <w:b/>
        </w:rPr>
      </w:pPr>
      <w:r w:rsidRPr="004F62B4">
        <w:rPr>
          <w:b/>
        </w:rPr>
        <w:t>Disallowable Instrument DI2024-79 being the Land Tax (Affordable Community Housing) Determination 2024 made under paragraph 13</w:t>
      </w:r>
      <w:proofErr w:type="gramStart"/>
      <w:r w:rsidRPr="004F62B4">
        <w:rPr>
          <w:b/>
        </w:rPr>
        <w:t>A(</w:t>
      </w:r>
      <w:proofErr w:type="gramEnd"/>
      <w:r w:rsidRPr="004F62B4">
        <w:rPr>
          <w:b/>
        </w:rPr>
        <w:t xml:space="preserve">5) of the </w:t>
      </w:r>
      <w:r w:rsidRPr="004F62B4">
        <w:rPr>
          <w:i/>
        </w:rPr>
        <w:t>Land Tax Act 2004</w:t>
      </w:r>
      <w:r w:rsidRPr="004F62B4">
        <w:rPr>
          <w:b/>
        </w:rPr>
        <w:t xml:space="preserve"> revokes DI2023-48 and determines the eligibility criteria that an owner of a parcel of land must satisfy to be eligible for an exemption. </w:t>
      </w:r>
    </w:p>
    <w:p w14:paraId="1D4E355D" w14:textId="77777777" w:rsidR="00595B29" w:rsidRDefault="00BA2287" w:rsidP="00595B29">
      <w:pPr>
        <w:pStyle w:val="Bodycopy"/>
        <w:numPr>
          <w:ilvl w:val="0"/>
          <w:numId w:val="12"/>
        </w:numPr>
        <w:spacing w:before="120" w:after="120" w:line="283" w:lineRule="auto"/>
        <w:ind w:left="1208" w:hanging="357"/>
        <w:rPr>
          <w:b/>
        </w:rPr>
      </w:pPr>
      <w:r w:rsidRPr="004F62B4">
        <w:rPr>
          <w:b/>
        </w:rPr>
        <w:t xml:space="preserve">Disallowable Instrument DI2024-80 being the Financial Management (Transfer of Funds from Capital Injection to Other Appropriations) Direction 2024 made under s14A(2)(b) of the </w:t>
      </w:r>
      <w:r w:rsidRPr="004F62B4">
        <w:rPr>
          <w:i/>
        </w:rPr>
        <w:t>Financial Management Act 1996</w:t>
      </w:r>
      <w:r w:rsidRPr="004F62B4">
        <w:rPr>
          <w:b/>
        </w:rPr>
        <w:t xml:space="preserve"> transfer of funds from capital injection appropriation to other appropriations</w:t>
      </w:r>
      <w:r>
        <w:rPr>
          <w:b/>
        </w:rPr>
        <w:t>.</w:t>
      </w:r>
      <w:r w:rsidRPr="004F62B4">
        <w:rPr>
          <w:b/>
        </w:rPr>
        <w:t xml:space="preserve"> </w:t>
      </w:r>
    </w:p>
    <w:p w14:paraId="61E0E15C" w14:textId="3EF89983" w:rsidR="00BA2287" w:rsidRPr="00595B29" w:rsidRDefault="00BA2287" w:rsidP="00595B29">
      <w:pPr>
        <w:pStyle w:val="Bodycopy"/>
        <w:keepLines/>
        <w:numPr>
          <w:ilvl w:val="0"/>
          <w:numId w:val="12"/>
        </w:numPr>
        <w:spacing w:before="120" w:after="120" w:line="283" w:lineRule="auto"/>
        <w:ind w:left="1208" w:hanging="357"/>
        <w:rPr>
          <w:b/>
        </w:rPr>
      </w:pPr>
      <w:r w:rsidRPr="00595B29">
        <w:rPr>
          <w:b/>
        </w:rPr>
        <w:lastRenderedPageBreak/>
        <w:t xml:space="preserve">Disallowable Instrument DI2024-89 being the Official Visitor (Disability Services) Appointment 2024 (No 1) made under section 10(1)(c) of the </w:t>
      </w:r>
      <w:r w:rsidRPr="00595B29">
        <w:rPr>
          <w:i/>
        </w:rPr>
        <w:t>Official Visitor Act 2012</w:t>
      </w:r>
      <w:r w:rsidRPr="00595B29">
        <w:rPr>
          <w:b/>
        </w:rPr>
        <w:t xml:space="preserve"> appoints </w:t>
      </w:r>
      <w:r w:rsidR="00595B29">
        <w:rPr>
          <w:b/>
        </w:rPr>
        <w:t>a specified person</w:t>
      </w:r>
      <w:r w:rsidRPr="00595B29">
        <w:rPr>
          <w:b/>
        </w:rPr>
        <w:t xml:space="preserve"> as an official visitor for the purpose of the Disability Services Act 1991. </w:t>
      </w:r>
    </w:p>
    <w:p w14:paraId="0B327CBD" w14:textId="07885ACF" w:rsidR="00BA2287" w:rsidRDefault="00BA2287" w:rsidP="00BA2287">
      <w:pPr>
        <w:pStyle w:val="Heading20"/>
      </w:pPr>
      <w:bookmarkStart w:id="123" w:name="_Toc167305542"/>
      <w:r>
        <w:t>Disallowable Instruments</w:t>
      </w:r>
      <w:r w:rsidR="009D04DC" w:rsidRPr="00133AB1">
        <w:rPr>
          <w:rFonts w:eastAsia="Calibri"/>
          <w:lang w:eastAsia="en-AU"/>
        </w:rPr>
        <w:t>—</w:t>
      </w:r>
      <w:r>
        <w:t>Comment</w:t>
      </w:r>
      <w:bookmarkEnd w:id="123"/>
    </w:p>
    <w:p w14:paraId="2AE80ADF" w14:textId="77777777" w:rsidR="00BA2287" w:rsidRDefault="00BA2287" w:rsidP="009D04DC">
      <w:pPr>
        <w:pStyle w:val="ListNumber2"/>
        <w:ind w:left="851"/>
      </w:pPr>
      <w:r>
        <w:t>The Committee has examined the following disallowable instruments and offers these comments on them:</w:t>
      </w:r>
    </w:p>
    <w:p w14:paraId="22F5C6EF" w14:textId="77777777" w:rsidR="00BA2287" w:rsidRDefault="00BA2287" w:rsidP="00BA2287">
      <w:pPr>
        <w:keepNext/>
        <w:keepLines/>
        <w:spacing w:before="120" w:after="200"/>
        <w:outlineLvl w:val="2"/>
        <w:rPr>
          <w:rFonts w:ascii="Montserrat" w:eastAsia="Times New Roman" w:hAnsi="Montserrat" w:cs="Times New Roman"/>
          <w:b/>
          <w:color w:val="7492CD"/>
          <w:w w:val="90"/>
          <w:kern w:val="2"/>
          <w:sz w:val="28"/>
          <w:szCs w:val="24"/>
        </w:rPr>
      </w:pPr>
      <w:bookmarkStart w:id="124" w:name="_Toc167305543"/>
      <w:bookmarkStart w:id="125" w:name="_Toc130810355"/>
      <w:r>
        <w:rPr>
          <w:rFonts w:ascii="Montserrat" w:eastAsia="Times New Roman" w:hAnsi="Montserrat" w:cs="Times New Roman"/>
          <w:b/>
          <w:color w:val="7492CD"/>
          <w:w w:val="90"/>
          <w:kern w:val="2"/>
          <w:sz w:val="28"/>
          <w:szCs w:val="24"/>
        </w:rPr>
        <w:t>Human Rights Issues</w:t>
      </w:r>
      <w:bookmarkEnd w:id="124"/>
    </w:p>
    <w:p w14:paraId="49DD81F6" w14:textId="7051076A" w:rsidR="00BA2287" w:rsidRPr="004F62B4" w:rsidRDefault="00BA2287" w:rsidP="00595B29">
      <w:pPr>
        <w:pStyle w:val="Bodycopy"/>
        <w:keepLines/>
        <w:numPr>
          <w:ilvl w:val="0"/>
          <w:numId w:val="12"/>
        </w:numPr>
        <w:spacing w:before="120" w:after="120" w:line="283" w:lineRule="auto"/>
        <w:ind w:left="1208" w:hanging="357"/>
        <w:rPr>
          <w:b/>
        </w:rPr>
      </w:pPr>
      <w:r w:rsidRPr="004F62B4">
        <w:rPr>
          <w:b/>
        </w:rPr>
        <w:t xml:space="preserve">Disallowable Instrument DI2024-55 being the Road Transport (General) Application of Road Transport Legislation (Rally of Canberra) Declaration 2024 (No 1) made under section 13 of the </w:t>
      </w:r>
      <w:r w:rsidRPr="004F62B4">
        <w:rPr>
          <w:i/>
        </w:rPr>
        <w:t>Road Transport (General) Act 1999</w:t>
      </w:r>
      <w:r w:rsidRPr="004F62B4">
        <w:rPr>
          <w:b/>
        </w:rPr>
        <w:t xml:space="preserve"> disapplies certain parts of road transport legislation to a designated vehicle or the driver of a designated vehicle while participating in a </w:t>
      </w:r>
      <w:r w:rsidR="00633B89">
        <w:rPr>
          <w:b/>
        </w:rPr>
        <w:t>“</w:t>
      </w:r>
      <w:r w:rsidRPr="004F62B4">
        <w:rPr>
          <w:b/>
        </w:rPr>
        <w:t>special stage</w:t>
      </w:r>
      <w:r w:rsidR="00633B89">
        <w:rPr>
          <w:b/>
        </w:rPr>
        <w:t>”</w:t>
      </w:r>
      <w:r w:rsidRPr="004F62B4">
        <w:rPr>
          <w:b/>
        </w:rPr>
        <w:t xml:space="preserve"> of the Rally of Canberra on 4 April 2024. </w:t>
      </w:r>
    </w:p>
    <w:p w14:paraId="51CF8A9D" w14:textId="2C98A923" w:rsidR="00BA2287" w:rsidRPr="004F62B4" w:rsidRDefault="00BA2287" w:rsidP="00595B29">
      <w:pPr>
        <w:pStyle w:val="Bodycopy"/>
        <w:keepLines/>
        <w:numPr>
          <w:ilvl w:val="0"/>
          <w:numId w:val="12"/>
        </w:numPr>
        <w:spacing w:before="120" w:after="120" w:line="283" w:lineRule="auto"/>
        <w:ind w:left="1208" w:hanging="357"/>
        <w:rPr>
          <w:b/>
        </w:rPr>
      </w:pPr>
      <w:r w:rsidRPr="004F62B4">
        <w:rPr>
          <w:b/>
        </w:rPr>
        <w:t>Disallowable Instrument DI2024-56 being the Road Transport (General) Application of Road Transport Legislation (</w:t>
      </w:r>
      <w:proofErr w:type="spellStart"/>
      <w:r w:rsidRPr="004F62B4">
        <w:rPr>
          <w:b/>
        </w:rPr>
        <w:t>Pedders</w:t>
      </w:r>
      <w:proofErr w:type="spellEnd"/>
      <w:r w:rsidRPr="004F62B4">
        <w:rPr>
          <w:b/>
        </w:rPr>
        <w:t xml:space="preserve"> Test) Declaration 2024 (No 1) made under section 13 of the </w:t>
      </w:r>
      <w:r w:rsidRPr="004F62B4">
        <w:rPr>
          <w:i/>
        </w:rPr>
        <w:t>Road Transport (General) Act 1999</w:t>
      </w:r>
      <w:r w:rsidRPr="004F62B4">
        <w:rPr>
          <w:b/>
        </w:rPr>
        <w:t xml:space="preserve"> disapplies certain parts of road transport legislation to a designated vehicle or the driver of a designated vehicle while participating in a </w:t>
      </w:r>
      <w:r w:rsidR="00633B89">
        <w:rPr>
          <w:b/>
        </w:rPr>
        <w:t>“</w:t>
      </w:r>
      <w:r w:rsidRPr="004F62B4">
        <w:rPr>
          <w:b/>
        </w:rPr>
        <w:t>special stage</w:t>
      </w:r>
      <w:r w:rsidR="00633B89">
        <w:rPr>
          <w:b/>
        </w:rPr>
        <w:t>”</w:t>
      </w:r>
      <w:r w:rsidRPr="004F62B4">
        <w:rPr>
          <w:b/>
        </w:rPr>
        <w:t xml:space="preserve"> of the </w:t>
      </w:r>
      <w:proofErr w:type="spellStart"/>
      <w:r w:rsidRPr="004F62B4">
        <w:rPr>
          <w:b/>
        </w:rPr>
        <w:t>Pedders</w:t>
      </w:r>
      <w:proofErr w:type="spellEnd"/>
      <w:r w:rsidRPr="004F62B4">
        <w:rPr>
          <w:b/>
        </w:rPr>
        <w:t xml:space="preserve"> Test on 3 and 8 April 2024. </w:t>
      </w:r>
    </w:p>
    <w:p w14:paraId="2205977B" w14:textId="77777777" w:rsidR="00BA2287" w:rsidRDefault="00BA2287" w:rsidP="009D04DC">
      <w:pPr>
        <w:pStyle w:val="ListNumber2"/>
        <w:ind w:left="851"/>
        <w:rPr>
          <w:rFonts w:ascii="Calibri" w:eastAsia="Calibri" w:hAnsi="Calibri" w:cs="Calibri"/>
          <w:bCs w:val="0"/>
          <w:color w:val="000000"/>
          <w:spacing w:val="-2"/>
        </w:rPr>
      </w:pPr>
      <w:r w:rsidRPr="005904DA">
        <w:rPr>
          <w:rFonts w:ascii="Calibri" w:eastAsia="Calibri" w:hAnsi="Calibri" w:cs="Calibri"/>
          <w:color w:val="000000"/>
        </w:rPr>
        <w:t>E</w:t>
      </w:r>
      <w:r w:rsidRPr="005904DA">
        <w:rPr>
          <w:rFonts w:ascii="Calibri" w:eastAsia="Calibri" w:hAnsi="Calibri" w:cs="Calibri"/>
          <w:color w:val="000000"/>
          <w:spacing w:val="-2"/>
        </w:rPr>
        <w:t xml:space="preserve">ach of the </w:t>
      </w:r>
      <w:r w:rsidRPr="009D04DC">
        <w:t>instruments</w:t>
      </w:r>
      <w:r w:rsidRPr="005904DA">
        <w:rPr>
          <w:rFonts w:ascii="Calibri" w:eastAsia="Calibri" w:hAnsi="Calibri" w:cs="Calibri"/>
          <w:color w:val="000000"/>
          <w:spacing w:val="-2"/>
        </w:rPr>
        <w:t xml:space="preserve"> mentioned above is made under section 13 of the </w:t>
      </w:r>
      <w:r w:rsidRPr="005904DA">
        <w:rPr>
          <w:rFonts w:ascii="Calibri" w:eastAsia="Calibri" w:hAnsi="Calibri" w:cs="Calibri"/>
          <w:i/>
          <w:iCs/>
          <w:color w:val="000000"/>
          <w:spacing w:val="-2"/>
        </w:rPr>
        <w:t>Road Transport (General) Act 1999</w:t>
      </w:r>
      <w:r w:rsidRPr="005904DA">
        <w:rPr>
          <w:rFonts w:ascii="Calibri" w:eastAsia="Calibri" w:hAnsi="Calibri" w:cs="Calibri"/>
          <w:color w:val="000000"/>
          <w:spacing w:val="-2"/>
        </w:rPr>
        <w:t xml:space="preserve">, which allows the Minister to </w:t>
      </w:r>
      <w:r w:rsidRPr="005904DA">
        <w:rPr>
          <w:rFonts w:ascii="Calibri" w:eastAsia="Calibri" w:hAnsi="Calibri" w:cs="Calibri"/>
          <w:color w:val="000000"/>
          <w:spacing w:val="-2"/>
          <w:lang w:eastAsia="en-AU"/>
        </w:rPr>
        <w:t>declare</w:t>
      </w:r>
      <w:r w:rsidRPr="005904DA">
        <w:rPr>
          <w:rFonts w:ascii="Calibri" w:eastAsia="Calibri" w:hAnsi="Calibri" w:cs="Calibri"/>
          <w:color w:val="000000"/>
          <w:spacing w:val="-2"/>
        </w:rPr>
        <w:t xml:space="preserve"> that the road transport legislation, or a provision of the road transport legislation, does not apply to a vehicle, person or animal in a place or circumstance stated in the declaration. </w:t>
      </w:r>
      <w:r>
        <w:rPr>
          <w:rFonts w:ascii="Calibri" w:eastAsia="Calibri" w:hAnsi="Calibri" w:cs="Calibri"/>
          <w:color w:val="000000"/>
          <w:spacing w:val="-2"/>
        </w:rPr>
        <w:t xml:space="preserve">  </w:t>
      </w:r>
      <w:r w:rsidRPr="005904DA">
        <w:rPr>
          <w:rFonts w:ascii="Calibri" w:eastAsia="Calibri" w:hAnsi="Calibri" w:cs="Calibri"/>
          <w:color w:val="000000"/>
          <w:spacing w:val="-2"/>
        </w:rPr>
        <w:t xml:space="preserve">For the first instrument, the declaration provides that the </w:t>
      </w:r>
      <w:r w:rsidRPr="005904DA">
        <w:rPr>
          <w:rFonts w:ascii="Calibri" w:eastAsia="Calibri" w:hAnsi="Calibri" w:cs="Calibri"/>
          <w:i/>
          <w:iCs/>
          <w:color w:val="000000"/>
          <w:spacing w:val="-2"/>
        </w:rPr>
        <w:t xml:space="preserve">Motor Accident Injuries </w:t>
      </w:r>
      <w:r w:rsidRPr="005A0D5B">
        <w:rPr>
          <w:rFonts w:ascii="Calibri" w:eastAsia="Calibri" w:hAnsi="Calibri" w:cs="Calibri"/>
          <w:i/>
          <w:iCs/>
          <w:color w:val="000000"/>
          <w:spacing w:val="-2"/>
        </w:rPr>
        <w:t>Act 2019</w:t>
      </w:r>
      <w:r w:rsidRPr="005904DA">
        <w:rPr>
          <w:rFonts w:ascii="Calibri" w:eastAsia="Calibri" w:hAnsi="Calibri" w:cs="Calibri"/>
          <w:color w:val="000000"/>
          <w:spacing w:val="-2"/>
        </w:rPr>
        <w:t>, and various other specified provisions of the motor traffic legislation, do</w:t>
      </w:r>
      <w:r>
        <w:rPr>
          <w:rFonts w:ascii="Calibri" w:eastAsia="Calibri" w:hAnsi="Calibri" w:cs="Calibri"/>
          <w:color w:val="000000"/>
          <w:spacing w:val="-2"/>
        </w:rPr>
        <w:t xml:space="preserve"> no</w:t>
      </w:r>
      <w:r w:rsidRPr="005904DA">
        <w:rPr>
          <w:rFonts w:ascii="Calibri" w:eastAsia="Calibri" w:hAnsi="Calibri" w:cs="Calibri"/>
          <w:color w:val="000000"/>
          <w:spacing w:val="-2"/>
        </w:rPr>
        <w:t>t apply in relation to</w:t>
      </w:r>
      <w:r w:rsidRPr="00472270">
        <w:rPr>
          <w:rFonts w:ascii="Calibri" w:eastAsia="Calibri" w:hAnsi="Calibri" w:cs="Calibri"/>
          <w:color w:val="000000"/>
          <w:spacing w:val="-2"/>
        </w:rPr>
        <w:t xml:space="preserve"> </w:t>
      </w:r>
      <w:r>
        <w:rPr>
          <w:rFonts w:ascii="Calibri" w:eastAsia="Calibri" w:hAnsi="Calibri" w:cs="Calibri"/>
          <w:color w:val="000000"/>
          <w:spacing w:val="-2"/>
        </w:rPr>
        <w:t xml:space="preserve">the </w:t>
      </w:r>
      <w:r w:rsidRPr="00472270">
        <w:rPr>
          <w:rFonts w:ascii="Calibri" w:eastAsia="Calibri" w:hAnsi="Calibri" w:cs="Calibri"/>
          <w:color w:val="000000"/>
          <w:spacing w:val="-2"/>
        </w:rPr>
        <w:t>Rally of Canberra, scheduled to take place on 4 April 2024</w:t>
      </w:r>
      <w:r w:rsidRPr="005904DA">
        <w:rPr>
          <w:rFonts w:ascii="Calibri" w:eastAsia="Calibri" w:hAnsi="Calibri" w:cs="Calibri"/>
          <w:color w:val="000000"/>
          <w:spacing w:val="-2"/>
        </w:rPr>
        <w:t xml:space="preserve">. For the second instrument, similarly, the declaration provides that the Motor Accident Injuries Act, and </w:t>
      </w:r>
      <w:r>
        <w:rPr>
          <w:rFonts w:ascii="Calibri" w:eastAsia="Calibri" w:hAnsi="Calibri" w:cs="Calibri"/>
          <w:color w:val="000000"/>
          <w:spacing w:val="-2"/>
        </w:rPr>
        <w:t xml:space="preserve">the same </w:t>
      </w:r>
      <w:r w:rsidRPr="005904DA">
        <w:rPr>
          <w:rFonts w:ascii="Calibri" w:eastAsia="Calibri" w:hAnsi="Calibri" w:cs="Calibri"/>
          <w:color w:val="000000"/>
          <w:spacing w:val="-2"/>
        </w:rPr>
        <w:t>specified provisions of the motor traffic legislation, do not apply in relation to</w:t>
      </w:r>
      <w:r>
        <w:rPr>
          <w:rFonts w:ascii="Calibri" w:eastAsia="Calibri" w:hAnsi="Calibri" w:cs="Calibri"/>
          <w:color w:val="000000"/>
          <w:spacing w:val="-2"/>
        </w:rPr>
        <w:t xml:space="preserve"> </w:t>
      </w:r>
      <w:r w:rsidRPr="005904DA">
        <w:rPr>
          <w:rFonts w:ascii="Calibri" w:eastAsia="Calibri" w:hAnsi="Calibri" w:cs="Calibri"/>
          <w:color w:val="000000"/>
          <w:spacing w:val="-2"/>
        </w:rPr>
        <w:t>the</w:t>
      </w:r>
      <w:r w:rsidRPr="00472270">
        <w:t xml:space="preserve"> </w:t>
      </w:r>
      <w:proofErr w:type="spellStart"/>
      <w:r>
        <w:t>Pedder</w:t>
      </w:r>
      <w:r w:rsidRPr="00472270">
        <w:rPr>
          <w:rFonts w:ascii="Calibri" w:eastAsia="Calibri" w:hAnsi="Calibri" w:cs="Calibri"/>
          <w:color w:val="000000"/>
          <w:spacing w:val="-2"/>
        </w:rPr>
        <w:t>s</w:t>
      </w:r>
      <w:proofErr w:type="spellEnd"/>
      <w:r w:rsidRPr="00472270">
        <w:rPr>
          <w:rFonts w:ascii="Calibri" w:eastAsia="Calibri" w:hAnsi="Calibri" w:cs="Calibri"/>
          <w:color w:val="000000"/>
          <w:spacing w:val="-2"/>
        </w:rPr>
        <w:t xml:space="preserve"> Test Day 2024, scheduled to take place between 3 and 8 April 2024</w:t>
      </w:r>
      <w:r>
        <w:rPr>
          <w:rFonts w:ascii="Calibri" w:eastAsia="Calibri" w:hAnsi="Calibri" w:cs="Calibri"/>
          <w:color w:val="000000"/>
          <w:spacing w:val="-2"/>
        </w:rPr>
        <w:t>.</w:t>
      </w:r>
    </w:p>
    <w:p w14:paraId="4B91197B" w14:textId="77777777" w:rsidR="00BA2287" w:rsidRPr="005904DA" w:rsidRDefault="00BA2287" w:rsidP="009D04DC">
      <w:pPr>
        <w:pStyle w:val="ListNumber2"/>
        <w:ind w:left="851"/>
        <w:rPr>
          <w:rFonts w:ascii="Calibri" w:eastAsia="Calibri" w:hAnsi="Calibri" w:cs="Calibri"/>
          <w:bCs w:val="0"/>
          <w:color w:val="000000"/>
        </w:rPr>
      </w:pPr>
      <w:r w:rsidRPr="005904DA">
        <w:rPr>
          <w:rFonts w:ascii="Calibri" w:eastAsia="Calibri" w:hAnsi="Calibri" w:cs="Calibri"/>
          <w:color w:val="000000"/>
        </w:rPr>
        <w:t xml:space="preserve">The </w:t>
      </w:r>
      <w:r w:rsidRPr="009D04DC">
        <w:t>Committee</w:t>
      </w:r>
      <w:r w:rsidRPr="005904DA">
        <w:rPr>
          <w:rFonts w:ascii="Calibri" w:eastAsia="Calibri" w:hAnsi="Calibri" w:cs="Calibri"/>
          <w:color w:val="000000"/>
        </w:rPr>
        <w:t xml:space="preserve"> notes that the </w:t>
      </w:r>
      <w:r w:rsidRPr="005904DA">
        <w:rPr>
          <w:rFonts w:ascii="Calibri" w:eastAsia="Calibri" w:hAnsi="Calibri" w:cs="Calibri"/>
          <w:color w:val="000000"/>
          <w:lang w:eastAsia="en-AU"/>
        </w:rPr>
        <w:t>explanatory</w:t>
      </w:r>
      <w:r w:rsidRPr="005904DA">
        <w:rPr>
          <w:rFonts w:ascii="Calibri" w:eastAsia="Calibri" w:hAnsi="Calibri" w:cs="Calibri"/>
          <w:color w:val="000000"/>
        </w:rPr>
        <w:t xml:space="preserve"> statement for the first instrument discusses human rights issues:</w:t>
      </w:r>
    </w:p>
    <w:p w14:paraId="188B6EAF" w14:textId="77777777" w:rsidR="00BA2287" w:rsidRPr="00595B29" w:rsidRDefault="00BA2287" w:rsidP="00731CE4">
      <w:pPr>
        <w:pStyle w:val="Quote"/>
        <w:spacing w:before="120" w:after="120"/>
        <w:rPr>
          <w:b/>
          <w:bCs/>
        </w:rPr>
      </w:pPr>
      <w:r w:rsidRPr="00595B29">
        <w:rPr>
          <w:b/>
          <w:bCs/>
        </w:rPr>
        <w:t xml:space="preserve">Human rights implications </w:t>
      </w:r>
    </w:p>
    <w:p w14:paraId="3821F1BD" w14:textId="77777777" w:rsidR="00BA2287" w:rsidRPr="009A5578" w:rsidRDefault="00BA2287" w:rsidP="00731CE4">
      <w:pPr>
        <w:pStyle w:val="Quote"/>
        <w:spacing w:before="120" w:after="120"/>
        <w:rPr>
          <w:bCs/>
        </w:rPr>
      </w:pPr>
      <w:r w:rsidRPr="009A5578">
        <w:rPr>
          <w:bCs/>
        </w:rPr>
        <w:t xml:space="preserve">During the development of this instrument, due regard was given to its effect and the operation of the rally in relation to the compatibility with human rights as set out in the </w:t>
      </w:r>
      <w:r w:rsidRPr="009A5578">
        <w:rPr>
          <w:bCs/>
          <w:i/>
          <w:iCs/>
        </w:rPr>
        <w:t>Human Rights Act 2004</w:t>
      </w:r>
      <w:r w:rsidRPr="009A5578">
        <w:rPr>
          <w:bCs/>
        </w:rPr>
        <w:t xml:space="preserve"> (HRA). </w:t>
      </w:r>
    </w:p>
    <w:p w14:paraId="0943A20D" w14:textId="77777777" w:rsidR="00BA2287" w:rsidRPr="009A5578" w:rsidRDefault="00BA2287" w:rsidP="00731CE4">
      <w:pPr>
        <w:pStyle w:val="Quote"/>
        <w:spacing w:before="120" w:after="120"/>
        <w:rPr>
          <w:bCs/>
        </w:rPr>
      </w:pPr>
      <w:r w:rsidRPr="009A5578">
        <w:rPr>
          <w:bCs/>
        </w:rPr>
        <w:t xml:space="preserve">Section 28 of the HRA provides that human rights may be subject only to reasonable limits set by laws that can be demonstrably justified in a free and democratic society. </w:t>
      </w:r>
    </w:p>
    <w:p w14:paraId="02AC7DA8" w14:textId="77777777" w:rsidR="00BA2287" w:rsidRPr="009A5578" w:rsidRDefault="00BA2287" w:rsidP="00731CE4">
      <w:pPr>
        <w:pStyle w:val="Quote"/>
        <w:spacing w:before="120" w:after="120"/>
        <w:rPr>
          <w:bCs/>
        </w:rPr>
      </w:pPr>
      <w:r w:rsidRPr="009A5578">
        <w:rPr>
          <w:bCs/>
        </w:rPr>
        <w:t xml:space="preserve">Section 28 (2) of the HRA provides that in deciding whether a limit on a human right is reasonable, all relevant factors must be considered, including: </w:t>
      </w:r>
    </w:p>
    <w:p w14:paraId="2E5D3A99" w14:textId="77777777" w:rsidR="00BA2287" w:rsidRPr="009A5578" w:rsidRDefault="00BA2287" w:rsidP="00731CE4">
      <w:pPr>
        <w:pStyle w:val="Quote"/>
        <w:spacing w:before="120" w:after="120"/>
        <w:rPr>
          <w:bCs/>
        </w:rPr>
      </w:pPr>
      <w:r w:rsidRPr="009A5578">
        <w:rPr>
          <w:bCs/>
        </w:rPr>
        <w:t xml:space="preserve">a) the nature of the right affected </w:t>
      </w:r>
    </w:p>
    <w:p w14:paraId="499DCBA3" w14:textId="77777777" w:rsidR="00BA2287" w:rsidRPr="009A5578" w:rsidRDefault="00BA2287" w:rsidP="00731CE4">
      <w:pPr>
        <w:pStyle w:val="Quote"/>
        <w:spacing w:before="120" w:after="120"/>
        <w:rPr>
          <w:bCs/>
        </w:rPr>
      </w:pPr>
      <w:r w:rsidRPr="009A5578">
        <w:rPr>
          <w:bCs/>
        </w:rPr>
        <w:t xml:space="preserve">b) the importance of the limitation </w:t>
      </w:r>
    </w:p>
    <w:p w14:paraId="459A04B5" w14:textId="77777777" w:rsidR="00BA2287" w:rsidRPr="009A5578" w:rsidRDefault="00BA2287" w:rsidP="00731CE4">
      <w:pPr>
        <w:pStyle w:val="Quote"/>
        <w:spacing w:before="120" w:after="120"/>
        <w:rPr>
          <w:bCs/>
        </w:rPr>
      </w:pPr>
      <w:r w:rsidRPr="009A5578">
        <w:rPr>
          <w:bCs/>
        </w:rPr>
        <w:lastRenderedPageBreak/>
        <w:t xml:space="preserve">c) the nature and extent of the limitation </w:t>
      </w:r>
    </w:p>
    <w:p w14:paraId="40B35B16" w14:textId="77777777" w:rsidR="00BA2287" w:rsidRPr="009A5578" w:rsidRDefault="00BA2287" w:rsidP="00731CE4">
      <w:pPr>
        <w:pStyle w:val="Quote"/>
        <w:spacing w:before="120" w:after="120"/>
        <w:rPr>
          <w:bCs/>
        </w:rPr>
      </w:pPr>
      <w:r w:rsidRPr="009A5578">
        <w:rPr>
          <w:bCs/>
        </w:rPr>
        <w:t xml:space="preserve">d) the relationship between the limitation and its purpose </w:t>
      </w:r>
    </w:p>
    <w:p w14:paraId="3BBA31D6" w14:textId="77777777" w:rsidR="00BA2287" w:rsidRPr="009A5578" w:rsidRDefault="00BA2287" w:rsidP="00731CE4">
      <w:pPr>
        <w:pStyle w:val="Quote"/>
        <w:spacing w:before="120" w:after="120"/>
        <w:rPr>
          <w:bCs/>
        </w:rPr>
      </w:pPr>
      <w:r w:rsidRPr="009A5578">
        <w:rPr>
          <w:bCs/>
        </w:rPr>
        <w:t xml:space="preserve">e) any less restrictive means reasonably available to achieve the purpose the limitation seeks to achieve. </w:t>
      </w:r>
    </w:p>
    <w:p w14:paraId="7116A639" w14:textId="77777777" w:rsidR="00BA2287" w:rsidRPr="009A5578" w:rsidRDefault="00BA2287" w:rsidP="00731CE4">
      <w:pPr>
        <w:pStyle w:val="Quote"/>
        <w:spacing w:before="120" w:after="120"/>
        <w:rPr>
          <w:bCs/>
        </w:rPr>
      </w:pPr>
      <w:r w:rsidRPr="009A5578">
        <w:rPr>
          <w:bCs/>
        </w:rPr>
        <w:t xml:space="preserve">Section 13 of the HRA provides a right for people to move freely within the ACT. </w:t>
      </w:r>
    </w:p>
    <w:p w14:paraId="0CF3BD7D" w14:textId="77777777" w:rsidR="00BA2287" w:rsidRPr="009A5578" w:rsidRDefault="00BA2287" w:rsidP="00731CE4">
      <w:pPr>
        <w:pStyle w:val="Quote"/>
        <w:spacing w:before="120" w:after="120"/>
        <w:rPr>
          <w:bCs/>
        </w:rPr>
      </w:pPr>
      <w:r w:rsidRPr="009A5578">
        <w:rPr>
          <w:bCs/>
        </w:rPr>
        <w:t xml:space="preserve">The declarations in this instrument do not, in and of themselves, restrict a person’s freedom of movement within the Territory; however, closing parts of the forest in which the event will take place to members of the public will restrict the free movement of people in that area during the event. As multiple provisions of the road transport legislation are being disapplied for the event to operate, vehicles will be travelling in parts of the forest </w:t>
      </w:r>
      <w:proofErr w:type="gramStart"/>
      <w:r w:rsidRPr="009A5578">
        <w:rPr>
          <w:bCs/>
        </w:rPr>
        <w:t>in excess of</w:t>
      </w:r>
      <w:proofErr w:type="gramEnd"/>
      <w:r w:rsidRPr="009A5578">
        <w:rPr>
          <w:bCs/>
        </w:rPr>
        <w:t xml:space="preserve"> the usual speed limits and in a manner not consistent with the road rules. As such, the restriction on the free movement of people in those parts of the forest at those times is considered reasonable and proportionate to ensure safety of non-participants and represents the least restrictive approach that enables the event to proceed.</w:t>
      </w:r>
    </w:p>
    <w:p w14:paraId="7DB923B9" w14:textId="77777777" w:rsidR="00BA2287" w:rsidRPr="005904DA" w:rsidRDefault="00BA2287" w:rsidP="009D04DC">
      <w:pPr>
        <w:pStyle w:val="ListNumber2"/>
        <w:ind w:left="851"/>
        <w:rPr>
          <w:rFonts w:ascii="Calibri" w:eastAsia="Calibri" w:hAnsi="Calibri" w:cs="Calibri"/>
          <w:bCs w:val="0"/>
          <w:color w:val="000000"/>
          <w:lang w:eastAsia="en-AU"/>
        </w:rPr>
      </w:pPr>
      <w:r w:rsidRPr="005904DA">
        <w:rPr>
          <w:rFonts w:ascii="Calibri" w:eastAsia="Calibri" w:hAnsi="Calibri" w:cs="Calibri"/>
          <w:color w:val="000000"/>
          <w:lang w:eastAsia="en-AU"/>
        </w:rPr>
        <w:t xml:space="preserve">A similar </w:t>
      </w:r>
      <w:r w:rsidRPr="009D04DC">
        <w:t>statement</w:t>
      </w:r>
      <w:r w:rsidRPr="005904DA">
        <w:rPr>
          <w:rFonts w:ascii="Calibri" w:eastAsia="Calibri" w:hAnsi="Calibri" w:cs="Calibri"/>
          <w:color w:val="000000"/>
          <w:lang w:eastAsia="en-AU"/>
        </w:rPr>
        <w:t xml:space="preserve"> appears in the explanatory statement for the second</w:t>
      </w:r>
      <w:r>
        <w:rPr>
          <w:rFonts w:ascii="Calibri" w:eastAsia="Calibri" w:hAnsi="Calibri" w:cs="Calibri"/>
          <w:color w:val="000000"/>
          <w:lang w:eastAsia="en-AU"/>
        </w:rPr>
        <w:t xml:space="preserve"> </w:t>
      </w:r>
      <w:r w:rsidRPr="005904DA">
        <w:rPr>
          <w:rFonts w:ascii="Calibri" w:eastAsia="Calibri" w:hAnsi="Calibri" w:cs="Calibri"/>
          <w:color w:val="000000"/>
          <w:lang w:eastAsia="en-AU"/>
        </w:rPr>
        <w:t>instrument mentioned above.</w:t>
      </w:r>
    </w:p>
    <w:p w14:paraId="429C5CB4" w14:textId="77777777" w:rsidR="00BA2287" w:rsidRPr="005904DA" w:rsidRDefault="00BA2287" w:rsidP="009D04DC">
      <w:pPr>
        <w:pStyle w:val="ListNumber2"/>
        <w:ind w:left="851"/>
        <w:rPr>
          <w:rFonts w:ascii="Calibri" w:eastAsia="Calibri" w:hAnsi="Calibri" w:cs="Calibri"/>
          <w:b/>
          <w:color w:val="000000"/>
          <w:lang w:eastAsia="en-AU"/>
        </w:rPr>
      </w:pPr>
      <w:r w:rsidRPr="005904DA">
        <w:rPr>
          <w:rFonts w:ascii="Calibri" w:eastAsia="Calibri" w:hAnsi="Calibri" w:cs="Calibri"/>
          <w:b/>
          <w:color w:val="000000"/>
          <w:lang w:eastAsia="en-AU"/>
        </w:rPr>
        <w:t>The Committee draws the attention of the Legislative Assembly to the discussion of human rights issues in the explanatory statements for these instruments.</w:t>
      </w:r>
    </w:p>
    <w:p w14:paraId="039D3FD5" w14:textId="77777777" w:rsidR="00BA2287" w:rsidRPr="005904DA" w:rsidRDefault="00BA2287" w:rsidP="009D04DC">
      <w:pPr>
        <w:pStyle w:val="ListNumber2"/>
        <w:ind w:left="851"/>
        <w:rPr>
          <w:rFonts w:ascii="Calibri" w:eastAsia="Calibri" w:hAnsi="Calibri" w:cs="Calibri"/>
          <w:b/>
          <w:color w:val="000000"/>
          <w:lang w:eastAsia="en-AU"/>
        </w:rPr>
      </w:pPr>
      <w:r w:rsidRPr="005904DA">
        <w:rPr>
          <w:rFonts w:ascii="Calibri" w:eastAsia="Calibri" w:hAnsi="Calibri" w:cs="Calibri"/>
          <w:b/>
          <w:color w:val="000000"/>
          <w:lang w:eastAsia="en-AU"/>
        </w:rPr>
        <w:t>This comment does not require a response from the Minister.</w:t>
      </w:r>
    </w:p>
    <w:p w14:paraId="42A68B12" w14:textId="77777777" w:rsidR="00BA2287" w:rsidRDefault="00BA2287" w:rsidP="00595B29">
      <w:pPr>
        <w:keepNext/>
        <w:keepLines/>
        <w:spacing w:before="240" w:after="200"/>
        <w:outlineLvl w:val="2"/>
        <w:rPr>
          <w:rFonts w:ascii="Montserrat" w:eastAsia="Times New Roman" w:hAnsi="Montserrat" w:cs="Times New Roman"/>
          <w:b/>
          <w:color w:val="7492CD"/>
          <w:w w:val="90"/>
          <w:kern w:val="2"/>
          <w:sz w:val="28"/>
          <w:szCs w:val="24"/>
        </w:rPr>
      </w:pPr>
      <w:bookmarkStart w:id="126" w:name="_Toc167305544"/>
      <w:r>
        <w:rPr>
          <w:rFonts w:ascii="Montserrat" w:eastAsia="Times New Roman" w:hAnsi="Montserrat" w:cs="Times New Roman"/>
          <w:b/>
          <w:color w:val="7492CD"/>
          <w:w w:val="90"/>
          <w:kern w:val="2"/>
          <w:sz w:val="28"/>
          <w:szCs w:val="24"/>
        </w:rPr>
        <w:t>Human Rights Issues</w:t>
      </w:r>
      <w:bookmarkEnd w:id="126"/>
    </w:p>
    <w:p w14:paraId="0A321054" w14:textId="77777777" w:rsidR="00BA2287" w:rsidRPr="004F62B4" w:rsidRDefault="00BA2287" w:rsidP="00595B29">
      <w:pPr>
        <w:pStyle w:val="Bodycopy"/>
        <w:keepLines/>
        <w:numPr>
          <w:ilvl w:val="0"/>
          <w:numId w:val="12"/>
        </w:numPr>
        <w:spacing w:before="120" w:after="120" w:line="283" w:lineRule="auto"/>
        <w:ind w:left="1208" w:hanging="357"/>
        <w:rPr>
          <w:b/>
        </w:rPr>
      </w:pPr>
      <w:r w:rsidRPr="004F62B4">
        <w:rPr>
          <w:b/>
        </w:rPr>
        <w:t xml:space="preserve">Disallowable Instrument DI2024-59 being the Public Place Names (Monash) Determination 2024 made under section 3 of the </w:t>
      </w:r>
      <w:r w:rsidRPr="004F62B4">
        <w:rPr>
          <w:i/>
        </w:rPr>
        <w:t>Public Place Names Act 1989</w:t>
      </w:r>
      <w:r w:rsidRPr="004F62B4">
        <w:rPr>
          <w:b/>
        </w:rPr>
        <w:t xml:space="preserve"> determines the name of a public place in Monash. </w:t>
      </w:r>
    </w:p>
    <w:p w14:paraId="3DA91160" w14:textId="77777777" w:rsidR="00BA2287" w:rsidRDefault="00BA2287" w:rsidP="00595B29">
      <w:pPr>
        <w:pStyle w:val="Bodycopy"/>
        <w:keepLines/>
        <w:numPr>
          <w:ilvl w:val="0"/>
          <w:numId w:val="12"/>
        </w:numPr>
        <w:spacing w:before="120" w:after="120" w:line="283" w:lineRule="auto"/>
        <w:ind w:left="1208" w:hanging="357"/>
        <w:rPr>
          <w:b/>
        </w:rPr>
      </w:pPr>
      <w:r w:rsidRPr="004F62B4">
        <w:rPr>
          <w:b/>
        </w:rPr>
        <w:t xml:space="preserve">Disallowable Instrument DI2024-90 being the Public Place Names (Kingston) Determination 2024 made under section 3 of the </w:t>
      </w:r>
      <w:r w:rsidRPr="004F62B4">
        <w:rPr>
          <w:i/>
        </w:rPr>
        <w:t>Public Place Names Act 1989</w:t>
      </w:r>
      <w:r w:rsidRPr="004F62B4">
        <w:rPr>
          <w:b/>
        </w:rPr>
        <w:t xml:space="preserve"> this determination is to name the Kingston Foreshore boardwalk to commemorate</w:t>
      </w:r>
      <w:r>
        <w:rPr>
          <w:b/>
        </w:rPr>
        <w:t xml:space="preserve"> a </w:t>
      </w:r>
      <w:r w:rsidRPr="004F62B4">
        <w:rPr>
          <w:b/>
        </w:rPr>
        <w:t xml:space="preserve">local architect and urban planner. </w:t>
      </w:r>
    </w:p>
    <w:p w14:paraId="1A0C65D2" w14:textId="77777777" w:rsidR="00BA2287" w:rsidRDefault="00BA2287" w:rsidP="009D04DC">
      <w:pPr>
        <w:pStyle w:val="ListNumber2"/>
        <w:ind w:left="851"/>
        <w:rPr>
          <w:bCs w:val="0"/>
        </w:rPr>
      </w:pPr>
      <w:r>
        <w:t xml:space="preserve">Each of the instruments mentioned above determines place names, under </w:t>
      </w:r>
      <w:r w:rsidRPr="009763E3">
        <w:t xml:space="preserve">section 3 of the </w:t>
      </w:r>
      <w:r w:rsidRPr="009763E3">
        <w:rPr>
          <w:i/>
          <w:iCs/>
        </w:rPr>
        <w:t>Public Place Names Act 1989</w:t>
      </w:r>
      <w:r>
        <w:t>, in Monash and Kingston, respectively. The Committee notes that the explanatory statement for each of the instruments discusses the human rights issues. For example, the explanatory statement for the first instrument mentioned above states:</w:t>
      </w:r>
    </w:p>
    <w:p w14:paraId="68AAE9E0" w14:textId="77777777" w:rsidR="00BA2287" w:rsidRPr="00595B29" w:rsidRDefault="00BA2287" w:rsidP="00731CE4">
      <w:pPr>
        <w:pStyle w:val="Quote"/>
        <w:spacing w:before="120" w:after="120"/>
        <w:rPr>
          <w:u w:val="single"/>
        </w:rPr>
      </w:pPr>
      <w:r w:rsidRPr="00595B29">
        <w:rPr>
          <w:u w:val="single"/>
        </w:rPr>
        <w:t>Human Rights</w:t>
      </w:r>
    </w:p>
    <w:p w14:paraId="7FDB263D" w14:textId="77777777" w:rsidR="00BA2287" w:rsidRPr="00257F4C" w:rsidRDefault="00BA2287" w:rsidP="00731CE4">
      <w:pPr>
        <w:pStyle w:val="Quote"/>
        <w:spacing w:before="120" w:after="120"/>
      </w:pPr>
      <w:r w:rsidRPr="00257F4C">
        <w:t xml:space="preserve">Section 12 of the </w:t>
      </w:r>
      <w:r w:rsidRPr="00257F4C">
        <w:rPr>
          <w:i/>
          <w:iCs/>
        </w:rPr>
        <w:t>Human Rights Act 2004</w:t>
      </w:r>
      <w:r w:rsidRPr="00257F4C">
        <w:t xml:space="preserve"> creates a right to privacy and reputation. </w:t>
      </w:r>
    </w:p>
    <w:p w14:paraId="1556F9A2" w14:textId="77777777" w:rsidR="00BA2287" w:rsidRPr="00257F4C" w:rsidRDefault="00BA2287" w:rsidP="00731CE4">
      <w:pPr>
        <w:pStyle w:val="Quote"/>
        <w:spacing w:before="120" w:after="120"/>
      </w:pPr>
      <w:r w:rsidRPr="00257F4C">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people are determined.</w:t>
      </w:r>
    </w:p>
    <w:p w14:paraId="44B37EEA" w14:textId="77777777" w:rsidR="00BA2287" w:rsidRDefault="00BA2287" w:rsidP="009D04DC">
      <w:pPr>
        <w:pStyle w:val="ListNumber2"/>
        <w:ind w:left="851"/>
        <w:rPr>
          <w:bCs w:val="0"/>
        </w:rPr>
      </w:pPr>
      <w:r>
        <w:lastRenderedPageBreak/>
        <w:t>A similar statement appears in the explanatory statement for the second instrument mentioned above.</w:t>
      </w:r>
    </w:p>
    <w:p w14:paraId="3518A04A" w14:textId="77777777" w:rsidR="00BA2287" w:rsidRDefault="00BA2287" w:rsidP="009D04DC">
      <w:pPr>
        <w:pStyle w:val="ListNumber2"/>
        <w:ind w:left="851"/>
        <w:rPr>
          <w:rFonts w:ascii="Calibri" w:hAnsi="Calibri" w:cs="Calibri"/>
          <w:b/>
          <w:bCs w:val="0"/>
          <w:szCs w:val="22"/>
          <w:lang w:eastAsia="en-AU"/>
        </w:rPr>
      </w:pPr>
      <w:r w:rsidRPr="00E95E87">
        <w:rPr>
          <w:rFonts w:ascii="Calibri" w:hAnsi="Calibri" w:cs="Calibri"/>
          <w:b/>
          <w:szCs w:val="22"/>
          <w:lang w:eastAsia="en-AU"/>
        </w:rPr>
        <w:t>The Committee draws the attention of the Legislative Assembly to the discussion of human rights issues in the explanatory statement</w:t>
      </w:r>
      <w:r>
        <w:rPr>
          <w:rFonts w:ascii="Calibri" w:hAnsi="Calibri" w:cs="Calibri"/>
          <w:b/>
          <w:szCs w:val="22"/>
          <w:lang w:eastAsia="en-AU"/>
        </w:rPr>
        <w:t>s</w:t>
      </w:r>
      <w:r w:rsidRPr="00E95E87">
        <w:rPr>
          <w:rFonts w:ascii="Calibri" w:hAnsi="Calibri" w:cs="Calibri"/>
          <w:b/>
          <w:szCs w:val="22"/>
          <w:lang w:eastAsia="en-AU"/>
        </w:rPr>
        <w:t xml:space="preserve"> for th</w:t>
      </w:r>
      <w:r>
        <w:rPr>
          <w:rFonts w:ascii="Calibri" w:hAnsi="Calibri" w:cs="Calibri"/>
          <w:b/>
          <w:szCs w:val="22"/>
          <w:lang w:eastAsia="en-AU"/>
        </w:rPr>
        <w:t>ese</w:t>
      </w:r>
      <w:r w:rsidRPr="00E95E87">
        <w:rPr>
          <w:rFonts w:ascii="Calibri" w:hAnsi="Calibri" w:cs="Calibri"/>
          <w:b/>
          <w:szCs w:val="22"/>
          <w:lang w:eastAsia="en-AU"/>
        </w:rPr>
        <w:t xml:space="preserve"> instrument</w:t>
      </w:r>
      <w:r>
        <w:rPr>
          <w:rFonts w:ascii="Calibri" w:hAnsi="Calibri" w:cs="Calibri"/>
          <w:b/>
          <w:szCs w:val="22"/>
          <w:lang w:eastAsia="en-AU"/>
        </w:rPr>
        <w:t>s</w:t>
      </w:r>
      <w:r w:rsidRPr="00E95E87">
        <w:rPr>
          <w:rFonts w:ascii="Calibri" w:hAnsi="Calibri" w:cs="Calibri"/>
          <w:b/>
          <w:szCs w:val="22"/>
          <w:lang w:eastAsia="en-AU"/>
        </w:rPr>
        <w:t>.</w:t>
      </w:r>
    </w:p>
    <w:p w14:paraId="0CCA0317" w14:textId="77777777" w:rsidR="00BA2287" w:rsidRDefault="00BA2287" w:rsidP="009D04DC">
      <w:pPr>
        <w:pStyle w:val="ListNumber2"/>
        <w:ind w:left="851"/>
        <w:rPr>
          <w:rFonts w:ascii="Calibri" w:hAnsi="Calibri" w:cs="Calibri"/>
          <w:b/>
          <w:bCs w:val="0"/>
          <w:szCs w:val="22"/>
          <w:lang w:eastAsia="en-AU"/>
        </w:rPr>
      </w:pPr>
      <w:r w:rsidRPr="00A66BED">
        <w:rPr>
          <w:rFonts w:ascii="Calibri" w:hAnsi="Calibri" w:cs="Calibri"/>
          <w:b/>
          <w:szCs w:val="22"/>
          <w:lang w:eastAsia="en-AU"/>
        </w:rPr>
        <w:t>This comment does not require a response from the Minister.</w:t>
      </w:r>
    </w:p>
    <w:p w14:paraId="3CE5326B" w14:textId="77777777" w:rsidR="00BA2287" w:rsidRDefault="00BA2287" w:rsidP="00595B29">
      <w:pPr>
        <w:keepNext/>
        <w:keepLines/>
        <w:spacing w:before="240" w:after="200"/>
        <w:outlineLvl w:val="2"/>
        <w:rPr>
          <w:rFonts w:ascii="Montserrat" w:eastAsia="Times New Roman" w:hAnsi="Montserrat" w:cs="Times New Roman"/>
          <w:b/>
          <w:color w:val="7492CD"/>
          <w:w w:val="90"/>
          <w:kern w:val="2"/>
          <w:sz w:val="28"/>
          <w:szCs w:val="24"/>
        </w:rPr>
      </w:pPr>
      <w:bookmarkStart w:id="127" w:name="_Toc167305545"/>
      <w:r>
        <w:rPr>
          <w:rFonts w:ascii="Montserrat" w:eastAsia="Times New Roman" w:hAnsi="Montserrat" w:cs="Times New Roman"/>
          <w:b/>
          <w:color w:val="7492CD"/>
          <w:w w:val="90"/>
          <w:kern w:val="2"/>
          <w:sz w:val="28"/>
          <w:szCs w:val="24"/>
        </w:rPr>
        <w:t>No Human Rights Issues</w:t>
      </w:r>
      <w:bookmarkEnd w:id="127"/>
    </w:p>
    <w:p w14:paraId="3FCBFB07" w14:textId="77777777" w:rsidR="00BA2287" w:rsidRPr="004F62B4" w:rsidRDefault="00BA2287" w:rsidP="00595B29">
      <w:pPr>
        <w:pStyle w:val="Bodycopy"/>
        <w:keepLines/>
        <w:numPr>
          <w:ilvl w:val="0"/>
          <w:numId w:val="12"/>
        </w:numPr>
        <w:spacing w:before="120" w:after="120" w:line="283" w:lineRule="auto"/>
        <w:ind w:left="1208" w:hanging="357"/>
        <w:rPr>
          <w:b/>
        </w:rPr>
      </w:pPr>
      <w:r>
        <w:rPr>
          <w:b/>
        </w:rPr>
        <w:t>Disa</w:t>
      </w:r>
      <w:r w:rsidRPr="004F62B4">
        <w:rPr>
          <w:b/>
        </w:rPr>
        <w:t xml:space="preserve">llowable Instrument DI2024-61 being the Utilities (Technical Regulation) (Electricity Network Boundary Code) Approval 2024 </w:t>
      </w:r>
      <w:bookmarkStart w:id="128" w:name="_Hlk167095792"/>
      <w:r w:rsidRPr="004F62B4">
        <w:rPr>
          <w:b/>
        </w:rPr>
        <w:t xml:space="preserve">made under section 14 of the </w:t>
      </w:r>
      <w:r w:rsidRPr="004F62B4">
        <w:rPr>
          <w:i/>
        </w:rPr>
        <w:t>Utilities (Technical Regulation) Act 2014</w:t>
      </w:r>
      <w:r w:rsidRPr="004F62B4">
        <w:rPr>
          <w:b/>
        </w:rPr>
        <w:t xml:space="preserve"> revoke the Utilities (Technical Regulation) (Electricity Network Boundary Code) Approval 2017 (DI2017-281) and approve the Electricity Network Boundary Code. </w:t>
      </w:r>
    </w:p>
    <w:p w14:paraId="0F6A1250" w14:textId="77777777" w:rsidR="00BA2287" w:rsidRPr="004F62B4" w:rsidRDefault="00BA2287" w:rsidP="00595B29">
      <w:pPr>
        <w:pStyle w:val="Bodycopy"/>
        <w:keepLines/>
        <w:numPr>
          <w:ilvl w:val="0"/>
          <w:numId w:val="12"/>
        </w:numPr>
        <w:spacing w:before="120" w:after="120" w:line="283" w:lineRule="auto"/>
        <w:ind w:left="1208" w:hanging="357"/>
        <w:rPr>
          <w:b/>
        </w:rPr>
      </w:pPr>
      <w:r w:rsidRPr="004F62B4">
        <w:rPr>
          <w:b/>
        </w:rPr>
        <w:t xml:space="preserve">Disallowable Instrument DI2024-78 being the Liquor (Exempt Business) Declaration 2024 (No 1) made under section 8A of the </w:t>
      </w:r>
      <w:r w:rsidRPr="004F62B4">
        <w:rPr>
          <w:i/>
        </w:rPr>
        <w:t>Liquor Act 2010</w:t>
      </w:r>
      <w:r w:rsidRPr="004F62B4">
        <w:rPr>
          <w:b/>
        </w:rPr>
        <w:t xml:space="preserve"> determines businesses set out in Schedule 1 to be exempt for </w:t>
      </w:r>
      <w:r>
        <w:rPr>
          <w:b/>
        </w:rPr>
        <w:t xml:space="preserve">section 8A. </w:t>
      </w:r>
    </w:p>
    <w:p w14:paraId="734D4793" w14:textId="77777777" w:rsidR="00BA2287" w:rsidRDefault="00BA2287" w:rsidP="00595B29">
      <w:pPr>
        <w:pStyle w:val="Bodycopy"/>
        <w:keepLines/>
        <w:numPr>
          <w:ilvl w:val="0"/>
          <w:numId w:val="12"/>
        </w:numPr>
        <w:spacing w:before="120" w:after="120" w:line="283" w:lineRule="auto"/>
        <w:ind w:left="1208" w:hanging="357"/>
        <w:rPr>
          <w:b/>
        </w:rPr>
      </w:pPr>
      <w:r w:rsidRPr="004F62B4">
        <w:rPr>
          <w:b/>
        </w:rPr>
        <w:t xml:space="preserve">Disallowable Instrument DI2024-81 being the </w:t>
      </w:r>
      <w:proofErr w:type="gramStart"/>
      <w:r w:rsidRPr="004F62B4">
        <w:rPr>
          <w:b/>
        </w:rPr>
        <w:t>Building</w:t>
      </w:r>
      <w:proofErr w:type="gramEnd"/>
      <w:r w:rsidRPr="004F62B4">
        <w:rPr>
          <w:b/>
        </w:rPr>
        <w:t xml:space="preserve"> (Fees) Determination 2024 (No 1) made under section 150 of the </w:t>
      </w:r>
      <w:r w:rsidRPr="004F62B4">
        <w:rPr>
          <w:i/>
        </w:rPr>
        <w:t>Building Act 2004</w:t>
      </w:r>
      <w:r w:rsidRPr="004F62B4">
        <w:rPr>
          <w:b/>
        </w:rPr>
        <w:t xml:space="preserve"> revokes DI2023-123 and determines fees for the purposes of the Act.</w:t>
      </w:r>
    </w:p>
    <w:p w14:paraId="76BFBB4D" w14:textId="77777777" w:rsidR="00BA2287" w:rsidRPr="004F62B4" w:rsidRDefault="00BA2287" w:rsidP="00595B29">
      <w:pPr>
        <w:pStyle w:val="Bodycopy"/>
        <w:keepLines/>
        <w:numPr>
          <w:ilvl w:val="0"/>
          <w:numId w:val="12"/>
        </w:numPr>
        <w:spacing w:before="120" w:after="120" w:line="283" w:lineRule="auto"/>
        <w:ind w:left="1208" w:hanging="357"/>
        <w:rPr>
          <w:b/>
        </w:rPr>
      </w:pPr>
      <w:r w:rsidRPr="004F62B4">
        <w:rPr>
          <w:b/>
        </w:rPr>
        <w:t xml:space="preserve">Disallowable Instrument DI2024-82 being the </w:t>
      </w:r>
      <w:proofErr w:type="gramStart"/>
      <w:r w:rsidRPr="004F62B4">
        <w:rPr>
          <w:b/>
        </w:rPr>
        <w:t>Building</w:t>
      </w:r>
      <w:proofErr w:type="gramEnd"/>
      <w:r w:rsidRPr="004F62B4">
        <w:rPr>
          <w:b/>
        </w:rPr>
        <w:t xml:space="preserve"> (Ministerial exemptions for regulated swimming pools) Guidelines 2024 made under section 83G of the </w:t>
      </w:r>
      <w:r w:rsidRPr="004F62B4">
        <w:rPr>
          <w:i/>
        </w:rPr>
        <w:t>Building Act 2004</w:t>
      </w:r>
      <w:r w:rsidRPr="004F62B4">
        <w:rPr>
          <w:b/>
        </w:rPr>
        <w:t xml:space="preserve"> makes guidelines about applications for, and granting of, Ministerial exemptions for regulated swimming pools. </w:t>
      </w:r>
    </w:p>
    <w:p w14:paraId="34815E34" w14:textId="77777777" w:rsidR="00BA2287" w:rsidRPr="0098427A" w:rsidRDefault="00BA2287" w:rsidP="00595B29">
      <w:pPr>
        <w:pStyle w:val="Bodycopy"/>
        <w:keepLines/>
        <w:numPr>
          <w:ilvl w:val="0"/>
          <w:numId w:val="12"/>
        </w:numPr>
        <w:spacing w:before="120" w:after="120" w:line="283" w:lineRule="auto"/>
        <w:ind w:left="1208" w:hanging="357"/>
        <w:rPr>
          <w:b/>
          <w:bCs/>
        </w:rPr>
      </w:pPr>
      <w:r w:rsidRPr="004F62B4">
        <w:rPr>
          <w:b/>
        </w:rPr>
        <w:t xml:space="preserve">Disallowable Instrument DI2024-83 being the </w:t>
      </w:r>
      <w:proofErr w:type="gramStart"/>
      <w:r w:rsidRPr="004F62B4">
        <w:rPr>
          <w:b/>
        </w:rPr>
        <w:t>Building</w:t>
      </w:r>
      <w:proofErr w:type="gramEnd"/>
      <w:r w:rsidRPr="004F62B4">
        <w:rPr>
          <w:b/>
        </w:rPr>
        <w:t xml:space="preserve"> (General) (Alternative requirements for unaltered parts) Determination 2024 made under section 24 of the </w:t>
      </w:r>
      <w:r w:rsidRPr="004F62B4">
        <w:rPr>
          <w:i/>
        </w:rPr>
        <w:t>Building (General) Regulation 2008</w:t>
      </w:r>
      <w:r w:rsidRPr="004F62B4">
        <w:rPr>
          <w:b/>
        </w:rPr>
        <w:t xml:space="preserve"> this instrument makes</w:t>
      </w:r>
      <w:r>
        <w:rPr>
          <w:b/>
        </w:rPr>
        <w:t xml:space="preserve"> </w:t>
      </w:r>
      <w:r w:rsidRPr="004F62B4">
        <w:rPr>
          <w:b/>
        </w:rPr>
        <w:t>minor edits to the section on Swimming Pool Safety</w:t>
      </w:r>
      <w:r w:rsidRPr="0098427A">
        <w:t xml:space="preserve"> </w:t>
      </w:r>
      <w:r w:rsidRPr="0098427A">
        <w:rPr>
          <w:b/>
          <w:bCs/>
        </w:rPr>
        <w:t xml:space="preserve">in Schedule 1 of the </w:t>
      </w:r>
      <w:r w:rsidRPr="0098427A">
        <w:rPr>
          <w:b/>
          <w:bCs/>
          <w:i/>
          <w:iCs/>
        </w:rPr>
        <w:t>Building (General) (Alternative requirements for unaltered parts) Determination 2023 (No 2)</w:t>
      </w:r>
      <w:r>
        <w:rPr>
          <w:b/>
          <w:bCs/>
        </w:rPr>
        <w:t>.</w:t>
      </w:r>
    </w:p>
    <w:p w14:paraId="6207B3A6" w14:textId="54F8075B" w:rsidR="00BA2287" w:rsidRPr="004F62B4" w:rsidRDefault="00BA2287" w:rsidP="00595B29">
      <w:pPr>
        <w:pStyle w:val="Bodycopy"/>
        <w:keepLines/>
        <w:numPr>
          <w:ilvl w:val="0"/>
          <w:numId w:val="12"/>
        </w:numPr>
        <w:spacing w:before="120" w:after="120" w:line="283" w:lineRule="auto"/>
        <w:ind w:left="1208" w:hanging="357"/>
        <w:rPr>
          <w:b/>
        </w:rPr>
      </w:pPr>
      <w:r w:rsidRPr="004F62B4">
        <w:rPr>
          <w:b/>
          <w:bCs/>
        </w:rPr>
        <w:t xml:space="preserve">Disallowable </w:t>
      </w:r>
      <w:r w:rsidRPr="00595B29">
        <w:rPr>
          <w:b/>
        </w:rPr>
        <w:t>Instrument</w:t>
      </w:r>
      <w:r w:rsidRPr="004F62B4">
        <w:rPr>
          <w:b/>
          <w:bCs/>
        </w:rPr>
        <w:t xml:space="preserve"> DI</w:t>
      </w:r>
      <w:r w:rsidR="009C6B01">
        <w:rPr>
          <w:b/>
          <w:bCs/>
        </w:rPr>
        <w:t>20</w:t>
      </w:r>
      <w:r w:rsidRPr="004F62B4">
        <w:rPr>
          <w:b/>
          <w:bCs/>
        </w:rPr>
        <w:t xml:space="preserve">24-84 </w:t>
      </w:r>
      <w:r w:rsidRPr="009D04DC">
        <w:rPr>
          <w:b/>
        </w:rPr>
        <w:t>being</w:t>
      </w:r>
      <w:r w:rsidRPr="004F62B4">
        <w:rPr>
          <w:b/>
          <w:bCs/>
        </w:rPr>
        <w:t xml:space="preserve"> the Road Transport (General) Vehicle Reg</w:t>
      </w:r>
      <w:r w:rsidRPr="004F62B4">
        <w:rPr>
          <w:b/>
        </w:rPr>
        <w:t xml:space="preserve">istration and Related Fees Determination 2024 (No 1) made under section 96 of the </w:t>
      </w:r>
      <w:r w:rsidRPr="004F62B4">
        <w:rPr>
          <w:i/>
        </w:rPr>
        <w:t>Road Transport (General) Act 1999</w:t>
      </w:r>
      <w:r w:rsidRPr="004F62B4">
        <w:rPr>
          <w:b/>
        </w:rPr>
        <w:t xml:space="preserve"> </w:t>
      </w:r>
      <w:r>
        <w:rPr>
          <w:b/>
        </w:rPr>
        <w:t>determines</w:t>
      </w:r>
      <w:r w:rsidRPr="004F62B4">
        <w:rPr>
          <w:b/>
        </w:rPr>
        <w:t xml:space="preserve"> fees payable for transactions relating to vehicle registration and related fees under the road transport legislation. </w:t>
      </w:r>
    </w:p>
    <w:p w14:paraId="5C83E170" w14:textId="77777777" w:rsidR="00BA2287" w:rsidRPr="004F62B4" w:rsidRDefault="00BA2287" w:rsidP="00595B29">
      <w:pPr>
        <w:pStyle w:val="Bodycopy"/>
        <w:keepLines/>
        <w:numPr>
          <w:ilvl w:val="0"/>
          <w:numId w:val="12"/>
        </w:numPr>
        <w:spacing w:before="120" w:after="120" w:line="283" w:lineRule="auto"/>
        <w:ind w:left="1208" w:hanging="357"/>
        <w:rPr>
          <w:b/>
        </w:rPr>
      </w:pPr>
      <w:r w:rsidRPr="004F62B4">
        <w:rPr>
          <w:b/>
        </w:rPr>
        <w:t xml:space="preserve">Disallowable Instrument DI2024-85 being the Road Transport (General) Driver Licence and Related Fees Determination 2023 (No 1) made under section 96 of the </w:t>
      </w:r>
      <w:r w:rsidRPr="004F62B4">
        <w:rPr>
          <w:i/>
        </w:rPr>
        <w:t>Road Transport (General) Act 1999</w:t>
      </w:r>
      <w:r w:rsidRPr="004F62B4">
        <w:rPr>
          <w:b/>
        </w:rPr>
        <w:t xml:space="preserve"> determin</w:t>
      </w:r>
      <w:r>
        <w:rPr>
          <w:b/>
        </w:rPr>
        <w:t>es</w:t>
      </w:r>
      <w:r w:rsidRPr="004F62B4">
        <w:rPr>
          <w:b/>
        </w:rPr>
        <w:t xml:space="preserve"> fees, payable in advance, for transactions relating to driver licence and related fees under the road transport legislation. </w:t>
      </w:r>
    </w:p>
    <w:p w14:paraId="4A6C6260" w14:textId="77777777" w:rsidR="00BA2287" w:rsidRPr="004F62B4" w:rsidRDefault="00BA2287" w:rsidP="00595B29">
      <w:pPr>
        <w:pStyle w:val="Bodycopy"/>
        <w:keepLines/>
        <w:numPr>
          <w:ilvl w:val="0"/>
          <w:numId w:val="12"/>
        </w:numPr>
        <w:spacing w:before="120" w:after="120" w:line="283" w:lineRule="auto"/>
        <w:ind w:left="1208" w:hanging="357"/>
        <w:rPr>
          <w:b/>
        </w:rPr>
      </w:pPr>
      <w:r w:rsidRPr="004F62B4">
        <w:rPr>
          <w:b/>
        </w:rPr>
        <w:t>Disallowable Instrument DI2024-86 being the Road Transport (General) Numberplate Fees Determination 2024 (No 1) made under s</w:t>
      </w:r>
      <w:r>
        <w:rPr>
          <w:b/>
        </w:rPr>
        <w:t xml:space="preserve">ection </w:t>
      </w:r>
      <w:r w:rsidRPr="004F62B4">
        <w:rPr>
          <w:b/>
        </w:rPr>
        <w:t xml:space="preserve">96 of the </w:t>
      </w:r>
      <w:r w:rsidRPr="004F62B4">
        <w:rPr>
          <w:i/>
        </w:rPr>
        <w:t>Road Transport (General) Act 1999</w:t>
      </w:r>
      <w:r w:rsidRPr="004F62B4">
        <w:rPr>
          <w:b/>
        </w:rPr>
        <w:t xml:space="preserve"> determin</w:t>
      </w:r>
      <w:r>
        <w:rPr>
          <w:b/>
        </w:rPr>
        <w:t>es</w:t>
      </w:r>
      <w:r w:rsidRPr="004F62B4">
        <w:rPr>
          <w:b/>
        </w:rPr>
        <w:t xml:space="preserve"> fees for transactions relating to vehicle numberplates and the rights to registration numbers issued under the road transport legislation. </w:t>
      </w:r>
    </w:p>
    <w:p w14:paraId="3B06CACD" w14:textId="77777777" w:rsidR="00BA2287" w:rsidRPr="004F62B4" w:rsidRDefault="00BA2287" w:rsidP="00595B29">
      <w:pPr>
        <w:pStyle w:val="Bodycopy"/>
        <w:keepLines/>
        <w:numPr>
          <w:ilvl w:val="0"/>
          <w:numId w:val="12"/>
        </w:numPr>
        <w:spacing w:before="120" w:after="120" w:line="283" w:lineRule="auto"/>
        <w:ind w:left="1208" w:hanging="357"/>
        <w:rPr>
          <w:b/>
        </w:rPr>
      </w:pPr>
      <w:r w:rsidRPr="004F62B4">
        <w:rPr>
          <w:b/>
        </w:rPr>
        <w:lastRenderedPageBreak/>
        <w:t>Disallowable Instrument DI2024-87 being the Road Transport (General) Refund and Dishonoured Payments Fees Determination 2024</w:t>
      </w:r>
      <w:r>
        <w:rPr>
          <w:b/>
        </w:rPr>
        <w:t xml:space="preserve"> (</w:t>
      </w:r>
      <w:r w:rsidRPr="004F62B4">
        <w:rPr>
          <w:b/>
        </w:rPr>
        <w:t>No 1) made under s</w:t>
      </w:r>
      <w:r>
        <w:rPr>
          <w:b/>
        </w:rPr>
        <w:t>ection</w:t>
      </w:r>
      <w:r w:rsidRPr="004F62B4">
        <w:rPr>
          <w:b/>
        </w:rPr>
        <w:t xml:space="preserve"> 96 of the </w:t>
      </w:r>
      <w:r w:rsidRPr="004F62B4">
        <w:rPr>
          <w:i/>
        </w:rPr>
        <w:t>Road Transport (General) Act 1999</w:t>
      </w:r>
      <w:r w:rsidRPr="004F62B4">
        <w:rPr>
          <w:b/>
        </w:rPr>
        <w:t xml:space="preserve"> determin</w:t>
      </w:r>
      <w:r>
        <w:rPr>
          <w:b/>
        </w:rPr>
        <w:t xml:space="preserve">es </w:t>
      </w:r>
      <w:r w:rsidRPr="004F62B4">
        <w:rPr>
          <w:b/>
        </w:rPr>
        <w:t xml:space="preserve">fees for transactions relating to refunds and the handling of dishonoured cheques and credit cards under the </w:t>
      </w:r>
      <w:r>
        <w:rPr>
          <w:b/>
        </w:rPr>
        <w:t>road transport legislation.</w:t>
      </w:r>
    </w:p>
    <w:p w14:paraId="0E9EF0B8" w14:textId="771C5DAB" w:rsidR="00BA2287" w:rsidRPr="004F62B4" w:rsidRDefault="00BA2287" w:rsidP="00595B29">
      <w:pPr>
        <w:pStyle w:val="Bodycopy"/>
        <w:keepLines/>
        <w:numPr>
          <w:ilvl w:val="0"/>
          <w:numId w:val="12"/>
        </w:numPr>
        <w:spacing w:before="120" w:after="120" w:line="283" w:lineRule="auto"/>
        <w:ind w:left="1208" w:hanging="357"/>
        <w:rPr>
          <w:b/>
        </w:rPr>
      </w:pPr>
      <w:r w:rsidRPr="004F62B4">
        <w:rPr>
          <w:b/>
        </w:rPr>
        <w:t>Disallowable Instrument DI2024-88 being the Road Transport (General) Fees for Publications Determination 2024 (No 1) made under s</w:t>
      </w:r>
      <w:r w:rsidR="00161D96">
        <w:rPr>
          <w:b/>
        </w:rPr>
        <w:t>ection</w:t>
      </w:r>
      <w:r w:rsidRPr="004F62B4">
        <w:rPr>
          <w:b/>
        </w:rPr>
        <w:t xml:space="preserve"> 96 of the </w:t>
      </w:r>
      <w:r w:rsidRPr="004F62B4">
        <w:rPr>
          <w:i/>
        </w:rPr>
        <w:t>Road Transport (General) Act 1999</w:t>
      </w:r>
      <w:r w:rsidRPr="004F62B4">
        <w:rPr>
          <w:b/>
        </w:rPr>
        <w:t xml:space="preserve"> determines</w:t>
      </w:r>
      <w:r>
        <w:rPr>
          <w:b/>
        </w:rPr>
        <w:t xml:space="preserve"> </w:t>
      </w:r>
      <w:r w:rsidRPr="004F62B4">
        <w:rPr>
          <w:b/>
        </w:rPr>
        <w:t xml:space="preserve">fees for various kinds of road transport publications. </w:t>
      </w:r>
    </w:p>
    <w:bookmarkEnd w:id="128"/>
    <w:p w14:paraId="028578F2" w14:textId="77777777" w:rsidR="00BA2287" w:rsidRPr="00257F4C" w:rsidRDefault="00BA2287" w:rsidP="009D04DC">
      <w:pPr>
        <w:pStyle w:val="ListNumber2"/>
        <w:ind w:left="851"/>
        <w:rPr>
          <w:rFonts w:ascii="Calibri" w:eastAsia="Calibri" w:hAnsi="Calibri" w:cs="Calibri"/>
          <w:bCs w:val="0"/>
          <w:color w:val="000000"/>
        </w:rPr>
      </w:pPr>
      <w:r w:rsidRPr="009D04DC">
        <w:t>The</w:t>
      </w:r>
      <w:r>
        <w:rPr>
          <w:rFonts w:ascii="Calibri" w:eastAsia="Calibri" w:hAnsi="Calibri" w:cs="Calibri"/>
          <w:color w:val="000000"/>
        </w:rPr>
        <w:t xml:space="preserve"> first instrument mentioned above, made </w:t>
      </w:r>
      <w:r w:rsidRPr="00257F4C">
        <w:rPr>
          <w:rFonts w:ascii="Calibri" w:eastAsia="Calibri" w:hAnsi="Calibri" w:cs="Calibri"/>
          <w:color w:val="000000"/>
        </w:rPr>
        <w:t xml:space="preserve">under section 14 of the </w:t>
      </w:r>
      <w:r w:rsidRPr="00257F4C">
        <w:rPr>
          <w:rFonts w:ascii="Calibri" w:eastAsia="Calibri" w:hAnsi="Calibri" w:cs="Calibri"/>
          <w:i/>
          <w:iCs/>
          <w:color w:val="000000"/>
        </w:rPr>
        <w:t>Utilities (Technical Regulation) Act 2014</w:t>
      </w:r>
      <w:r>
        <w:rPr>
          <w:rFonts w:ascii="Calibri" w:eastAsia="Calibri" w:hAnsi="Calibri" w:cs="Calibri"/>
          <w:color w:val="000000"/>
        </w:rPr>
        <w:t>, a</w:t>
      </w:r>
      <w:r w:rsidRPr="00257F4C">
        <w:rPr>
          <w:rFonts w:ascii="Calibri" w:eastAsia="Calibri" w:hAnsi="Calibri" w:cs="Calibri"/>
          <w:color w:val="000000"/>
        </w:rPr>
        <w:t>pprove</w:t>
      </w:r>
      <w:r>
        <w:rPr>
          <w:rFonts w:ascii="Calibri" w:eastAsia="Calibri" w:hAnsi="Calibri" w:cs="Calibri"/>
          <w:color w:val="000000"/>
        </w:rPr>
        <w:t>s</w:t>
      </w:r>
      <w:r w:rsidRPr="00257F4C">
        <w:rPr>
          <w:rFonts w:ascii="Calibri" w:eastAsia="Calibri" w:hAnsi="Calibri" w:cs="Calibri"/>
          <w:color w:val="000000"/>
        </w:rPr>
        <w:t xml:space="preserve"> </w:t>
      </w:r>
      <w:r>
        <w:rPr>
          <w:rFonts w:ascii="Calibri" w:eastAsia="Calibri" w:hAnsi="Calibri" w:cs="Calibri"/>
          <w:color w:val="000000"/>
        </w:rPr>
        <w:t>aa new</w:t>
      </w:r>
      <w:r w:rsidRPr="00257F4C">
        <w:rPr>
          <w:rFonts w:ascii="Calibri" w:eastAsia="Calibri" w:hAnsi="Calibri" w:cs="Calibri"/>
          <w:color w:val="000000"/>
        </w:rPr>
        <w:t xml:space="preserve"> Electricity Network Boundary Code. </w:t>
      </w:r>
    </w:p>
    <w:p w14:paraId="557D94EF" w14:textId="77777777" w:rsidR="00BA2287" w:rsidRPr="00257F4C"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second instrument mentioned above, </w:t>
      </w:r>
      <w:r w:rsidRPr="00257F4C">
        <w:rPr>
          <w:rFonts w:ascii="Calibri" w:eastAsia="Calibri" w:hAnsi="Calibri" w:cs="Calibri"/>
          <w:color w:val="000000"/>
        </w:rPr>
        <w:t xml:space="preserve">made under section 8A of the </w:t>
      </w:r>
      <w:r w:rsidRPr="00257F4C">
        <w:rPr>
          <w:rFonts w:ascii="Calibri" w:eastAsia="Calibri" w:hAnsi="Calibri" w:cs="Calibri"/>
          <w:i/>
          <w:iCs/>
          <w:color w:val="000000"/>
        </w:rPr>
        <w:t>Liquor Act 2010</w:t>
      </w:r>
      <w:r>
        <w:rPr>
          <w:rFonts w:ascii="Calibri" w:eastAsia="Calibri" w:hAnsi="Calibri" w:cs="Calibri"/>
          <w:color w:val="000000"/>
        </w:rPr>
        <w:t>,</w:t>
      </w:r>
      <w:r w:rsidRPr="00257F4C">
        <w:rPr>
          <w:rFonts w:ascii="Calibri" w:eastAsia="Calibri" w:hAnsi="Calibri" w:cs="Calibri"/>
          <w:color w:val="000000"/>
        </w:rPr>
        <w:t xml:space="preserve"> determines </w:t>
      </w:r>
      <w:r>
        <w:rPr>
          <w:rFonts w:ascii="Calibri" w:eastAsia="Calibri" w:hAnsi="Calibri" w:cs="Calibri"/>
          <w:color w:val="000000"/>
        </w:rPr>
        <w:t xml:space="preserve">certain </w:t>
      </w:r>
      <w:r w:rsidRPr="00257F4C">
        <w:rPr>
          <w:rFonts w:ascii="Calibri" w:eastAsia="Calibri" w:hAnsi="Calibri" w:cs="Calibri"/>
          <w:color w:val="000000"/>
        </w:rPr>
        <w:t>businesses to be exempt f</w:t>
      </w:r>
      <w:r>
        <w:rPr>
          <w:rFonts w:ascii="Calibri" w:eastAsia="Calibri" w:hAnsi="Calibri" w:cs="Calibri"/>
          <w:color w:val="000000"/>
        </w:rPr>
        <w:t>rom the requirements of the Act in relation to the supply of liquor.</w:t>
      </w:r>
      <w:r w:rsidRPr="00257F4C">
        <w:rPr>
          <w:rFonts w:ascii="Calibri" w:eastAsia="Calibri" w:hAnsi="Calibri" w:cs="Calibri"/>
          <w:color w:val="000000"/>
        </w:rPr>
        <w:t xml:space="preserve"> </w:t>
      </w:r>
    </w:p>
    <w:p w14:paraId="4DC7776F" w14:textId="77777777" w:rsidR="00BA2287" w:rsidRPr="00257F4C"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third instrument mentioned above, </w:t>
      </w:r>
      <w:r w:rsidRPr="00257F4C">
        <w:rPr>
          <w:rFonts w:ascii="Calibri" w:eastAsia="Calibri" w:hAnsi="Calibri" w:cs="Calibri"/>
          <w:color w:val="000000"/>
        </w:rPr>
        <w:t xml:space="preserve">made under section 150 of the </w:t>
      </w:r>
      <w:r w:rsidRPr="00257F4C">
        <w:rPr>
          <w:rFonts w:ascii="Calibri" w:eastAsia="Calibri" w:hAnsi="Calibri" w:cs="Calibri"/>
          <w:i/>
          <w:iCs/>
          <w:color w:val="000000"/>
        </w:rPr>
        <w:t>Building Act 2004</w:t>
      </w:r>
      <w:r>
        <w:rPr>
          <w:rFonts w:ascii="Calibri" w:eastAsia="Calibri" w:hAnsi="Calibri" w:cs="Calibri"/>
          <w:i/>
          <w:iCs/>
          <w:color w:val="000000"/>
        </w:rPr>
        <w:t xml:space="preserve">, </w:t>
      </w:r>
      <w:r w:rsidRPr="00257F4C">
        <w:rPr>
          <w:rFonts w:ascii="Calibri" w:eastAsia="Calibri" w:hAnsi="Calibri" w:cs="Calibri"/>
          <w:color w:val="000000"/>
        </w:rPr>
        <w:t>determines fees for the purposes of the Act.</w:t>
      </w:r>
    </w:p>
    <w:p w14:paraId="783DA94C" w14:textId="77777777" w:rsidR="00BA2287" w:rsidRPr="00257F4C"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fourth instrument mentioned above, </w:t>
      </w:r>
      <w:r w:rsidRPr="00257F4C">
        <w:rPr>
          <w:rFonts w:ascii="Calibri" w:eastAsia="Calibri" w:hAnsi="Calibri" w:cs="Calibri"/>
          <w:color w:val="000000"/>
        </w:rPr>
        <w:t xml:space="preserve">made under section 83G of the </w:t>
      </w:r>
      <w:r w:rsidRPr="00257F4C">
        <w:rPr>
          <w:rFonts w:ascii="Calibri" w:eastAsia="Calibri" w:hAnsi="Calibri" w:cs="Calibri"/>
          <w:i/>
          <w:iCs/>
          <w:color w:val="000000"/>
        </w:rPr>
        <w:t>Building Act 2004</w:t>
      </w:r>
      <w:r>
        <w:rPr>
          <w:rFonts w:ascii="Calibri" w:eastAsia="Calibri" w:hAnsi="Calibri" w:cs="Calibri"/>
          <w:color w:val="000000"/>
        </w:rPr>
        <w:t>,</w:t>
      </w:r>
      <w:r w:rsidRPr="00257F4C">
        <w:rPr>
          <w:rFonts w:ascii="Calibri" w:eastAsia="Calibri" w:hAnsi="Calibri" w:cs="Calibri"/>
          <w:color w:val="000000"/>
        </w:rPr>
        <w:t xml:space="preserve"> makes guidelines about applications for, and granting of, Ministerial exemptions for regulated swimming pools. </w:t>
      </w:r>
    </w:p>
    <w:p w14:paraId="7094CFDA" w14:textId="77777777" w:rsidR="00BA2287" w:rsidRDefault="00BA2287" w:rsidP="009D04DC">
      <w:pPr>
        <w:pStyle w:val="ListNumber2"/>
        <w:ind w:left="851"/>
      </w:pPr>
      <w:r>
        <w:rPr>
          <w:rFonts w:ascii="Calibri" w:eastAsia="Calibri" w:hAnsi="Calibri" w:cs="Calibri"/>
          <w:color w:val="000000"/>
        </w:rPr>
        <w:t xml:space="preserve">The fifth </w:t>
      </w:r>
      <w:r w:rsidRPr="009D04DC">
        <w:t>instrument</w:t>
      </w:r>
      <w:r>
        <w:rPr>
          <w:rFonts w:ascii="Calibri" w:eastAsia="Calibri" w:hAnsi="Calibri" w:cs="Calibri"/>
          <w:color w:val="000000"/>
        </w:rPr>
        <w:t xml:space="preserve"> mentioned above, </w:t>
      </w:r>
      <w:r w:rsidRPr="00257F4C">
        <w:rPr>
          <w:rFonts w:ascii="Calibri" w:eastAsia="Calibri" w:hAnsi="Calibri" w:cs="Calibri"/>
          <w:color w:val="000000"/>
        </w:rPr>
        <w:t xml:space="preserve">made under section 24 of the </w:t>
      </w:r>
      <w:r w:rsidRPr="00257F4C">
        <w:rPr>
          <w:rFonts w:ascii="Calibri" w:eastAsia="Calibri" w:hAnsi="Calibri" w:cs="Calibri"/>
          <w:i/>
          <w:iCs/>
          <w:color w:val="000000"/>
        </w:rPr>
        <w:t xml:space="preserve">Building (General) Regulation </w:t>
      </w:r>
      <w:proofErr w:type="gramStart"/>
      <w:r w:rsidRPr="00257F4C">
        <w:rPr>
          <w:rFonts w:ascii="Calibri" w:eastAsia="Calibri" w:hAnsi="Calibri" w:cs="Calibri"/>
          <w:i/>
          <w:iCs/>
          <w:color w:val="000000"/>
        </w:rPr>
        <w:t>2008</w:t>
      </w:r>
      <w:r>
        <w:rPr>
          <w:rFonts w:ascii="Calibri" w:eastAsia="Calibri" w:hAnsi="Calibri" w:cs="Calibri"/>
          <w:color w:val="000000"/>
        </w:rPr>
        <w:t xml:space="preserve">, </w:t>
      </w:r>
      <w:r w:rsidRPr="00257F4C">
        <w:rPr>
          <w:rFonts w:ascii="Calibri" w:eastAsia="Calibri" w:hAnsi="Calibri" w:cs="Calibri"/>
          <w:color w:val="000000"/>
        </w:rPr>
        <w:t xml:space="preserve"> this</w:t>
      </w:r>
      <w:proofErr w:type="gramEnd"/>
      <w:r w:rsidRPr="00257F4C">
        <w:rPr>
          <w:rFonts w:ascii="Calibri" w:eastAsia="Calibri" w:hAnsi="Calibri" w:cs="Calibri"/>
          <w:color w:val="000000"/>
        </w:rPr>
        <w:t xml:space="preserve"> instrument makes </w:t>
      </w:r>
      <w:r>
        <w:rPr>
          <w:rFonts w:ascii="Calibri" w:eastAsia="Calibri" w:hAnsi="Calibri" w:cs="Calibri"/>
          <w:color w:val="000000"/>
        </w:rPr>
        <w:t>mino</w:t>
      </w:r>
      <w:r>
        <w:t xml:space="preserve">r edits to the section on Swimming Pool Safety in Schedule 1 of the </w:t>
      </w:r>
      <w:r w:rsidRPr="00207DD3">
        <w:rPr>
          <w:i/>
          <w:iCs/>
          <w:color w:val="000000"/>
        </w:rPr>
        <w:t>B</w:t>
      </w:r>
      <w:r w:rsidRPr="00207DD3">
        <w:rPr>
          <w:i/>
          <w:iCs/>
        </w:rPr>
        <w:t>uilding (</w:t>
      </w:r>
      <w:r>
        <w:rPr>
          <w:i/>
          <w:iCs/>
        </w:rPr>
        <w:t>General) (Alternative requirements for unaltered parts)</w:t>
      </w:r>
      <w:r w:rsidRPr="00207DD3">
        <w:rPr>
          <w:i/>
          <w:iCs/>
        </w:rPr>
        <w:t xml:space="preserve"> Determination 2023 (No 2)</w:t>
      </w:r>
      <w:r>
        <w:rPr>
          <w:i/>
          <w:iCs/>
        </w:rPr>
        <w:t xml:space="preserve"> </w:t>
      </w:r>
      <w:r w:rsidRPr="00440671">
        <w:t>(DI2023-237)</w:t>
      </w:r>
      <w:r>
        <w:t xml:space="preserve">, as a consequence of the </w:t>
      </w:r>
      <w:r w:rsidRPr="00192F05">
        <w:rPr>
          <w:i/>
          <w:iCs/>
          <w:lang w:eastAsia="en-AU"/>
        </w:rPr>
        <w:t xml:space="preserve">Building (Swimming Pool Safety) Amendment </w:t>
      </w:r>
      <w:r>
        <w:rPr>
          <w:i/>
          <w:iCs/>
          <w:lang w:eastAsia="en-AU"/>
        </w:rPr>
        <w:t>Act</w:t>
      </w:r>
      <w:r w:rsidRPr="00192F05">
        <w:rPr>
          <w:i/>
          <w:iCs/>
          <w:lang w:eastAsia="en-AU"/>
        </w:rPr>
        <w:t xml:space="preserve"> 2023</w:t>
      </w:r>
      <w:r>
        <w:rPr>
          <w:lang w:eastAsia="en-AU"/>
        </w:rPr>
        <w:t xml:space="preserve"> commencing on</w:t>
      </w:r>
      <w:r w:rsidRPr="00DB4DBD">
        <w:t xml:space="preserve"> 1 May 2024</w:t>
      </w:r>
      <w:r>
        <w:t>.</w:t>
      </w:r>
    </w:p>
    <w:p w14:paraId="17F6D928" w14:textId="77777777" w:rsidR="00BA2287" w:rsidRPr="00257F4C"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sixth </w:t>
      </w:r>
      <w:r w:rsidRPr="009D04DC">
        <w:t>instrument</w:t>
      </w:r>
      <w:r>
        <w:rPr>
          <w:rFonts w:ascii="Calibri" w:eastAsia="Calibri" w:hAnsi="Calibri" w:cs="Calibri"/>
          <w:color w:val="000000"/>
        </w:rPr>
        <w:t xml:space="preserve"> mentioned above, </w:t>
      </w:r>
      <w:r w:rsidRPr="00257F4C">
        <w:rPr>
          <w:rFonts w:ascii="Calibri" w:eastAsia="Calibri" w:hAnsi="Calibri" w:cs="Calibri"/>
          <w:color w:val="000000"/>
        </w:rPr>
        <w:t xml:space="preserve">made under section 96 of the </w:t>
      </w:r>
      <w:r w:rsidRPr="0098427A">
        <w:rPr>
          <w:rFonts w:ascii="Calibri" w:eastAsia="Calibri" w:hAnsi="Calibri" w:cs="Calibri"/>
          <w:i/>
          <w:iCs/>
          <w:color w:val="000000"/>
        </w:rPr>
        <w:t>Road Transport (General) Act 1999</w:t>
      </w:r>
      <w:r>
        <w:rPr>
          <w:rFonts w:ascii="Calibri" w:eastAsia="Calibri" w:hAnsi="Calibri" w:cs="Calibri"/>
          <w:color w:val="000000"/>
        </w:rPr>
        <w:t xml:space="preserve">, determines </w:t>
      </w:r>
      <w:r w:rsidRPr="00257F4C">
        <w:rPr>
          <w:rFonts w:ascii="Calibri" w:eastAsia="Calibri" w:hAnsi="Calibri" w:cs="Calibri"/>
          <w:color w:val="000000"/>
        </w:rPr>
        <w:t xml:space="preserve">fees payable for transactions relating to vehicle registration and related fees under the road transport legislation. </w:t>
      </w:r>
    </w:p>
    <w:p w14:paraId="73F589DA" w14:textId="77777777" w:rsidR="00BA2287" w:rsidRPr="00257F4C"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w:t>
      </w:r>
      <w:r w:rsidRPr="009D04DC">
        <w:t>seventh</w:t>
      </w:r>
      <w:r>
        <w:rPr>
          <w:rFonts w:ascii="Calibri" w:eastAsia="Calibri" w:hAnsi="Calibri" w:cs="Calibri"/>
          <w:color w:val="000000"/>
        </w:rPr>
        <w:t xml:space="preserve"> instrument mentioned above, </w:t>
      </w:r>
      <w:r w:rsidRPr="00257F4C">
        <w:rPr>
          <w:rFonts w:ascii="Calibri" w:eastAsia="Calibri" w:hAnsi="Calibri" w:cs="Calibri"/>
          <w:color w:val="000000"/>
        </w:rPr>
        <w:t xml:space="preserve">made under section 96 of the </w:t>
      </w:r>
      <w:r w:rsidRPr="0098427A">
        <w:rPr>
          <w:rFonts w:ascii="Calibri" w:eastAsia="Calibri" w:hAnsi="Calibri" w:cs="Calibri"/>
          <w:i/>
          <w:iCs/>
          <w:color w:val="000000"/>
        </w:rPr>
        <w:t>Road Transport (General) Act 1999</w:t>
      </w:r>
      <w:r>
        <w:rPr>
          <w:rFonts w:ascii="Calibri" w:eastAsia="Calibri" w:hAnsi="Calibri" w:cs="Calibri"/>
          <w:color w:val="000000"/>
        </w:rPr>
        <w:t>,</w:t>
      </w:r>
      <w:r w:rsidRPr="00257F4C">
        <w:rPr>
          <w:rFonts w:ascii="Calibri" w:eastAsia="Calibri" w:hAnsi="Calibri" w:cs="Calibri"/>
          <w:color w:val="000000"/>
        </w:rPr>
        <w:t xml:space="preserve"> determines fees, payable in advance, for transactions relating to driver licence and related fees under the road transport legislation. </w:t>
      </w:r>
    </w:p>
    <w:p w14:paraId="2DB6647C" w14:textId="77777777" w:rsidR="00BA2287" w:rsidRPr="00257F4C"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eighth </w:t>
      </w:r>
      <w:r w:rsidRPr="009D04DC">
        <w:t>instrument</w:t>
      </w:r>
      <w:r>
        <w:rPr>
          <w:rFonts w:ascii="Calibri" w:eastAsia="Calibri" w:hAnsi="Calibri" w:cs="Calibri"/>
          <w:color w:val="000000"/>
        </w:rPr>
        <w:t xml:space="preserve"> mentioned above, </w:t>
      </w:r>
      <w:r w:rsidRPr="00257F4C">
        <w:rPr>
          <w:rFonts w:ascii="Calibri" w:eastAsia="Calibri" w:hAnsi="Calibri" w:cs="Calibri"/>
          <w:color w:val="000000"/>
        </w:rPr>
        <w:t xml:space="preserve">made under section 96 of the </w:t>
      </w:r>
      <w:r w:rsidRPr="0098427A">
        <w:rPr>
          <w:rFonts w:ascii="Calibri" w:eastAsia="Calibri" w:hAnsi="Calibri" w:cs="Calibri"/>
          <w:i/>
          <w:iCs/>
          <w:color w:val="000000"/>
        </w:rPr>
        <w:t>Road Transport (General) Act 1999</w:t>
      </w:r>
      <w:r w:rsidRPr="0098427A">
        <w:rPr>
          <w:rFonts w:ascii="Calibri" w:eastAsia="Calibri" w:hAnsi="Calibri" w:cs="Calibri"/>
          <w:color w:val="000000"/>
        </w:rPr>
        <w:t>,</w:t>
      </w:r>
      <w:r w:rsidRPr="00257F4C">
        <w:rPr>
          <w:rFonts w:ascii="Calibri" w:eastAsia="Calibri" w:hAnsi="Calibri" w:cs="Calibri"/>
          <w:color w:val="000000"/>
        </w:rPr>
        <w:t xml:space="preserve"> determines fees for transactions relating to vehicle numberplates and the rights to registration numbers issued under the road transport legislation. </w:t>
      </w:r>
    </w:p>
    <w:p w14:paraId="4939BF4A" w14:textId="77777777" w:rsidR="00BA2287" w:rsidRPr="00257F4C"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ninth </w:t>
      </w:r>
      <w:r w:rsidRPr="009D04DC">
        <w:t>instrument</w:t>
      </w:r>
      <w:r>
        <w:rPr>
          <w:rFonts w:ascii="Calibri" w:eastAsia="Calibri" w:hAnsi="Calibri" w:cs="Calibri"/>
          <w:color w:val="000000"/>
        </w:rPr>
        <w:t xml:space="preserve"> mentioned above, </w:t>
      </w:r>
      <w:r w:rsidRPr="00257F4C">
        <w:rPr>
          <w:rFonts w:ascii="Calibri" w:eastAsia="Calibri" w:hAnsi="Calibri" w:cs="Calibri"/>
          <w:color w:val="000000"/>
        </w:rPr>
        <w:t xml:space="preserve">made under s 96 of the </w:t>
      </w:r>
      <w:r w:rsidRPr="0098427A">
        <w:rPr>
          <w:rFonts w:ascii="Calibri" w:eastAsia="Calibri" w:hAnsi="Calibri" w:cs="Calibri"/>
          <w:i/>
          <w:iCs/>
          <w:color w:val="000000"/>
        </w:rPr>
        <w:t>Road Transport (General) Act 1999</w:t>
      </w:r>
      <w:r>
        <w:rPr>
          <w:rFonts w:ascii="Calibri" w:eastAsia="Calibri" w:hAnsi="Calibri" w:cs="Calibri"/>
          <w:color w:val="000000"/>
        </w:rPr>
        <w:t>,</w:t>
      </w:r>
      <w:r w:rsidRPr="00257F4C">
        <w:rPr>
          <w:rFonts w:ascii="Calibri" w:eastAsia="Calibri" w:hAnsi="Calibri" w:cs="Calibri"/>
          <w:color w:val="000000"/>
        </w:rPr>
        <w:t xml:space="preserve"> determines fees for transactions relating to refunds and the handling of dishonoured cheques and credit cards under the road transport legislation.</w:t>
      </w:r>
    </w:p>
    <w:p w14:paraId="476C5658" w14:textId="77777777" w:rsidR="00BA2287"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tenth </w:t>
      </w:r>
      <w:r w:rsidRPr="009D04DC">
        <w:t>instrument</w:t>
      </w:r>
      <w:r>
        <w:rPr>
          <w:rFonts w:ascii="Calibri" w:eastAsia="Calibri" w:hAnsi="Calibri" w:cs="Calibri"/>
          <w:color w:val="000000"/>
        </w:rPr>
        <w:t xml:space="preserve"> mentioned above, </w:t>
      </w:r>
      <w:r w:rsidRPr="00257F4C">
        <w:rPr>
          <w:rFonts w:ascii="Calibri" w:eastAsia="Calibri" w:hAnsi="Calibri" w:cs="Calibri"/>
          <w:color w:val="000000"/>
        </w:rPr>
        <w:t>made under s</w:t>
      </w:r>
      <w:r>
        <w:rPr>
          <w:rFonts w:ascii="Calibri" w:eastAsia="Calibri" w:hAnsi="Calibri" w:cs="Calibri"/>
          <w:color w:val="000000"/>
        </w:rPr>
        <w:t>ection</w:t>
      </w:r>
      <w:r w:rsidRPr="00257F4C">
        <w:rPr>
          <w:rFonts w:ascii="Calibri" w:eastAsia="Calibri" w:hAnsi="Calibri" w:cs="Calibri"/>
          <w:color w:val="000000"/>
        </w:rPr>
        <w:t xml:space="preserve"> 96 of the </w:t>
      </w:r>
      <w:r w:rsidRPr="0098427A">
        <w:rPr>
          <w:rFonts w:ascii="Calibri" w:eastAsia="Calibri" w:hAnsi="Calibri" w:cs="Calibri"/>
          <w:i/>
          <w:iCs/>
          <w:color w:val="000000"/>
        </w:rPr>
        <w:t>Road Transport (General) Act 1999</w:t>
      </w:r>
      <w:r>
        <w:rPr>
          <w:rFonts w:ascii="Calibri" w:eastAsia="Calibri" w:hAnsi="Calibri" w:cs="Calibri"/>
          <w:i/>
          <w:iCs/>
          <w:color w:val="000000"/>
        </w:rPr>
        <w:t xml:space="preserve">, </w:t>
      </w:r>
      <w:r w:rsidRPr="00257F4C">
        <w:rPr>
          <w:rFonts w:ascii="Calibri" w:eastAsia="Calibri" w:hAnsi="Calibri" w:cs="Calibri"/>
          <w:color w:val="000000"/>
        </w:rPr>
        <w:t>determines fees for various kinds of road transport publications.</w:t>
      </w:r>
    </w:p>
    <w:p w14:paraId="22394D5B" w14:textId="77777777" w:rsidR="00BA2287" w:rsidRPr="00241311"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Committee notes </w:t>
      </w:r>
      <w:r w:rsidRPr="009D04DC">
        <w:t>that</w:t>
      </w:r>
      <w:r>
        <w:rPr>
          <w:rFonts w:ascii="Calibri" w:eastAsia="Calibri" w:hAnsi="Calibri" w:cs="Calibri"/>
          <w:color w:val="000000"/>
        </w:rPr>
        <w:t xml:space="preserve"> the explanatory statement for each of the instruments mentioned above contains a statement to the effect that no human rights are engaged by the instrument.</w:t>
      </w:r>
    </w:p>
    <w:p w14:paraId="0B59584E" w14:textId="77777777" w:rsidR="00BA2287" w:rsidRPr="0048639A" w:rsidRDefault="00BA2287" w:rsidP="009C6B01">
      <w:pPr>
        <w:pStyle w:val="ListNumber2"/>
        <w:keepNext/>
        <w:ind w:left="851"/>
        <w:rPr>
          <w:rFonts w:ascii="Calibri" w:eastAsia="Calibri" w:hAnsi="Calibri" w:cs="Calibri"/>
          <w:b/>
          <w:color w:val="000000"/>
        </w:rPr>
      </w:pPr>
      <w:r w:rsidRPr="0048639A">
        <w:rPr>
          <w:rFonts w:ascii="Calibri" w:eastAsia="Calibri" w:hAnsi="Calibri" w:cs="Calibri"/>
          <w:b/>
          <w:color w:val="000000"/>
        </w:rPr>
        <w:lastRenderedPageBreak/>
        <w:t>The Committee draws the attention of the Legislative Assembly to the discussion of human rights issues in the explanatory statement for</w:t>
      </w:r>
      <w:r>
        <w:rPr>
          <w:rFonts w:ascii="Calibri" w:eastAsia="Calibri" w:hAnsi="Calibri" w:cs="Calibri"/>
          <w:b/>
          <w:color w:val="000000"/>
        </w:rPr>
        <w:t xml:space="preserve"> </w:t>
      </w:r>
      <w:r w:rsidRPr="0048639A">
        <w:rPr>
          <w:rFonts w:ascii="Calibri" w:eastAsia="Calibri" w:hAnsi="Calibri" w:cs="Calibri"/>
          <w:b/>
          <w:color w:val="000000"/>
        </w:rPr>
        <w:t>th</w:t>
      </w:r>
      <w:r>
        <w:rPr>
          <w:rFonts w:ascii="Calibri" w:eastAsia="Calibri" w:hAnsi="Calibri" w:cs="Calibri"/>
          <w:b/>
          <w:color w:val="000000"/>
        </w:rPr>
        <w:t>is instrument</w:t>
      </w:r>
      <w:r w:rsidRPr="0048639A">
        <w:rPr>
          <w:rFonts w:ascii="Calibri" w:eastAsia="Calibri" w:hAnsi="Calibri" w:cs="Calibri"/>
          <w:b/>
          <w:color w:val="000000"/>
        </w:rPr>
        <w:t>.</w:t>
      </w:r>
    </w:p>
    <w:p w14:paraId="7D9D5D4F" w14:textId="77777777" w:rsidR="00BA2287" w:rsidRPr="0048639A" w:rsidRDefault="00BA2287" w:rsidP="009D04DC">
      <w:pPr>
        <w:pStyle w:val="ListNumber2"/>
        <w:ind w:left="851"/>
        <w:rPr>
          <w:rFonts w:ascii="Calibri" w:eastAsia="Calibri" w:hAnsi="Calibri" w:cs="Calibri"/>
          <w:b/>
          <w:color w:val="000000"/>
        </w:rPr>
      </w:pPr>
      <w:r w:rsidRPr="0048639A">
        <w:rPr>
          <w:rFonts w:ascii="Calibri" w:eastAsia="Calibri" w:hAnsi="Calibri" w:cs="Calibri"/>
          <w:b/>
          <w:color w:val="000000"/>
        </w:rPr>
        <w:t xml:space="preserve">This comment does not require a response from the </w:t>
      </w:r>
      <w:r>
        <w:rPr>
          <w:rFonts w:ascii="Calibri" w:eastAsia="Calibri" w:hAnsi="Calibri" w:cs="Calibri"/>
          <w:b/>
          <w:color w:val="000000"/>
        </w:rPr>
        <w:t xml:space="preserve">relevant </w:t>
      </w:r>
      <w:r w:rsidRPr="0048639A">
        <w:rPr>
          <w:rFonts w:ascii="Calibri" w:eastAsia="Calibri" w:hAnsi="Calibri" w:cs="Calibri"/>
          <w:b/>
          <w:color w:val="000000"/>
        </w:rPr>
        <w:t>Minister</w:t>
      </w:r>
      <w:r>
        <w:rPr>
          <w:rFonts w:ascii="Calibri" w:eastAsia="Calibri" w:hAnsi="Calibri" w:cs="Calibri"/>
          <w:b/>
          <w:color w:val="000000"/>
        </w:rPr>
        <w:t>s</w:t>
      </w:r>
      <w:r w:rsidRPr="0048639A">
        <w:rPr>
          <w:rFonts w:ascii="Calibri" w:eastAsia="Calibri" w:hAnsi="Calibri" w:cs="Calibri"/>
          <w:b/>
          <w:color w:val="000000"/>
        </w:rPr>
        <w:t>.</w:t>
      </w:r>
    </w:p>
    <w:p w14:paraId="40DA9AAC" w14:textId="3441E94A" w:rsidR="00BA2287" w:rsidRDefault="00BA2287" w:rsidP="00BA2287">
      <w:pPr>
        <w:pStyle w:val="Heading20"/>
      </w:pPr>
      <w:bookmarkStart w:id="129" w:name="_Toc167305546"/>
      <w:bookmarkStart w:id="130" w:name="_Hlk135239681"/>
      <w:bookmarkEnd w:id="125"/>
      <w:r>
        <w:t>Subordinate Laws</w:t>
      </w:r>
      <w:r w:rsidR="006E1CF3" w:rsidRPr="00133AB1">
        <w:rPr>
          <w:rFonts w:eastAsia="Calibri"/>
          <w:lang w:eastAsia="en-AU"/>
        </w:rPr>
        <w:t>—</w:t>
      </w:r>
      <w:r>
        <w:t>Comment</w:t>
      </w:r>
      <w:bookmarkEnd w:id="129"/>
    </w:p>
    <w:p w14:paraId="1D6C8F1B" w14:textId="77777777" w:rsidR="00BA2287" w:rsidRDefault="00BA2287" w:rsidP="009D04DC">
      <w:pPr>
        <w:pStyle w:val="ListNumber2"/>
        <w:ind w:left="851"/>
      </w:pPr>
      <w:r>
        <w:t>The Committee has examined the following subordinate laws and offers these comments on them:</w:t>
      </w:r>
    </w:p>
    <w:p w14:paraId="68BAB162" w14:textId="77777777" w:rsidR="00BA2287" w:rsidRPr="004F62B4" w:rsidRDefault="00BA2287" w:rsidP="00595B29">
      <w:pPr>
        <w:pStyle w:val="Bodycopy"/>
        <w:keepLines/>
        <w:numPr>
          <w:ilvl w:val="0"/>
          <w:numId w:val="12"/>
        </w:numPr>
        <w:spacing w:before="120" w:after="120" w:line="283" w:lineRule="auto"/>
        <w:ind w:left="1208" w:hanging="357"/>
        <w:rPr>
          <w:b/>
        </w:rPr>
      </w:pPr>
      <w:bookmarkStart w:id="131" w:name="_Hlk148269157"/>
      <w:bookmarkStart w:id="132" w:name="_Hlk150700005"/>
      <w:bookmarkStart w:id="133" w:name="_Hlk145849522"/>
      <w:bookmarkStart w:id="134" w:name="_Hlk142829910"/>
      <w:bookmarkEnd w:id="130"/>
      <w:r w:rsidRPr="004F62B4">
        <w:rPr>
          <w:b/>
        </w:rPr>
        <w:t xml:space="preserve">Subordinate Law SL2024-5 being the Dangerous Goods (Road Transport) Amendment Regulation 2024 (No 1) made under section 196 of the </w:t>
      </w:r>
      <w:r w:rsidRPr="004F62B4">
        <w:rPr>
          <w:i/>
        </w:rPr>
        <w:t>Dangerous Goods (Road Transport) Act 2009</w:t>
      </w:r>
      <w:r w:rsidRPr="004F62B4">
        <w:rPr>
          <w:b/>
        </w:rPr>
        <w:t xml:space="preserve"> establishes the formal mechanisms for giving legal effect and enforceability to the detailed provisions governing the transport of dangerous goods in the A</w:t>
      </w:r>
      <w:r>
        <w:rPr>
          <w:b/>
        </w:rPr>
        <w:t xml:space="preserve">ustralian </w:t>
      </w:r>
      <w:r w:rsidRPr="004F62B4">
        <w:rPr>
          <w:b/>
        </w:rPr>
        <w:t>D</w:t>
      </w:r>
      <w:r>
        <w:rPr>
          <w:b/>
        </w:rPr>
        <w:t>angerous Goods Code</w:t>
      </w:r>
      <w:r w:rsidRPr="004F62B4">
        <w:rPr>
          <w:b/>
        </w:rPr>
        <w:t xml:space="preserve">. </w:t>
      </w:r>
    </w:p>
    <w:p w14:paraId="5D33EDBE" w14:textId="77777777" w:rsidR="00BA2287" w:rsidRPr="00301740" w:rsidRDefault="00BA2287" w:rsidP="004F6610">
      <w:pPr>
        <w:pStyle w:val="Heading4"/>
        <w:rPr>
          <w:rFonts w:eastAsia="Calibri"/>
          <w:i/>
          <w:lang w:eastAsia="en-AU"/>
        </w:rPr>
      </w:pPr>
      <w:bookmarkStart w:id="135" w:name="_Toc167305547"/>
      <w:r w:rsidRPr="00301740">
        <w:rPr>
          <w:rFonts w:eastAsia="Calibri"/>
          <w:lang w:eastAsia="en-AU"/>
        </w:rPr>
        <w:t xml:space="preserve">Report under section 38 of the </w:t>
      </w:r>
      <w:r w:rsidRPr="00301740">
        <w:rPr>
          <w:rFonts w:eastAsia="Calibri"/>
          <w:i/>
          <w:lang w:eastAsia="en-AU"/>
        </w:rPr>
        <w:t xml:space="preserve">Human Rights Act 2004 </w:t>
      </w:r>
      <w:r w:rsidRPr="00301740">
        <w:rPr>
          <w:rFonts w:eastAsia="Calibri"/>
          <w:lang w:eastAsia="en-AU"/>
        </w:rPr>
        <w:t>(HRA)</w:t>
      </w:r>
      <w:bookmarkEnd w:id="135"/>
    </w:p>
    <w:p w14:paraId="2C347681" w14:textId="77777777" w:rsidR="00BA2287" w:rsidRDefault="00BA2287" w:rsidP="004F6610">
      <w:pPr>
        <w:pStyle w:val="Heading5"/>
        <w:rPr>
          <w:rFonts w:eastAsia="Times New Roman"/>
        </w:rPr>
      </w:pPr>
      <w:r>
        <w:rPr>
          <w:rFonts w:eastAsia="Times New Roman"/>
        </w:rPr>
        <w:t>Right to life (section 9, HRA)</w:t>
      </w:r>
    </w:p>
    <w:p w14:paraId="73B2FC97" w14:textId="77777777" w:rsidR="00BA2287" w:rsidRPr="00301740" w:rsidRDefault="00BA2287" w:rsidP="004F6610">
      <w:pPr>
        <w:pStyle w:val="Heading5"/>
        <w:rPr>
          <w:rFonts w:eastAsia="Times New Roman" w:cs="Times New Roman"/>
          <w:iCs w:val="0"/>
        </w:rPr>
      </w:pPr>
      <w:r w:rsidRPr="00301740">
        <w:rPr>
          <w:rFonts w:eastAsia="Times New Roman" w:cs="Times New Roman"/>
        </w:rPr>
        <w:t>Rights in criminal proceedings (section 22 HRA)</w:t>
      </w:r>
    </w:p>
    <w:p w14:paraId="349122DE" w14:textId="77777777" w:rsidR="00BA2287" w:rsidRDefault="00BA2287" w:rsidP="009D04DC">
      <w:pPr>
        <w:pStyle w:val="ListNumber2"/>
        <w:ind w:left="851"/>
        <w:rPr>
          <w:rFonts w:ascii="Calibri" w:eastAsia="Calibri" w:hAnsi="Calibri" w:cs="Calibri"/>
          <w:bCs w:val="0"/>
          <w:color w:val="000000"/>
        </w:rPr>
      </w:pPr>
      <w:r>
        <w:rPr>
          <w:rFonts w:ascii="Calibri" w:eastAsia="Calibri" w:hAnsi="Calibri" w:cs="Calibri"/>
          <w:color w:val="000000"/>
        </w:rPr>
        <w:t xml:space="preserve">The </w:t>
      </w:r>
      <w:r w:rsidRPr="009D04DC">
        <w:t>explanatory</w:t>
      </w:r>
      <w:r>
        <w:rPr>
          <w:rFonts w:ascii="Calibri" w:eastAsia="Calibri" w:hAnsi="Calibri" w:cs="Calibri"/>
          <w:color w:val="000000"/>
        </w:rPr>
        <w:t xml:space="preserve"> statement for this subordinate law states:</w:t>
      </w:r>
    </w:p>
    <w:p w14:paraId="3EF37BC9" w14:textId="77777777" w:rsidR="00BA2287" w:rsidRPr="000937D3" w:rsidRDefault="00BA2287" w:rsidP="00595B29">
      <w:pPr>
        <w:pStyle w:val="Quote"/>
      </w:pPr>
      <w:r w:rsidRPr="000937D3">
        <w:t xml:space="preserve">The </w:t>
      </w:r>
      <w:r w:rsidRPr="000937D3">
        <w:rPr>
          <w:i/>
          <w:iCs/>
        </w:rPr>
        <w:t>Dangerous Goods (Road Transport) Amendment Regulation 2024 (No 1)</w:t>
      </w:r>
      <w:r w:rsidRPr="000937D3">
        <w:t xml:space="preserve"> (Regulation) amends the </w:t>
      </w:r>
      <w:r w:rsidRPr="000937D3">
        <w:rPr>
          <w:i/>
          <w:iCs/>
        </w:rPr>
        <w:t>Dangerous Goods (Road Transport) Regulation 2010</w:t>
      </w:r>
      <w:r w:rsidRPr="000937D3">
        <w:t xml:space="preserve"> to bring the regulation of the transport of dangerous goods in the Territory into line with the </w:t>
      </w:r>
      <w:hyperlink r:id="rId17" w:history="1">
        <w:r w:rsidRPr="000937D3">
          <w:rPr>
            <w:i/>
            <w:iCs/>
          </w:rPr>
          <w:t>Model Subordinate Instrument on the Transport of Dangerous Goods by Road or Rail</w:t>
        </w:r>
      </w:hyperlink>
      <w:r w:rsidRPr="000937D3">
        <w:t xml:space="preserve"> which provides for updates to the </w:t>
      </w:r>
      <w:hyperlink r:id="rId18" w:history="1">
        <w:r w:rsidRPr="000937D3">
          <w:rPr>
            <w:i/>
            <w:iCs/>
          </w:rPr>
          <w:t>Australian Code for the Transport of Dangerous Goods by Road and Rail – edition 7.8</w:t>
        </w:r>
      </w:hyperlink>
      <w:r w:rsidRPr="000937D3">
        <w:t>.</w:t>
      </w:r>
    </w:p>
    <w:p w14:paraId="1DE09F65" w14:textId="77777777" w:rsidR="00BA2287" w:rsidRDefault="00BA2287" w:rsidP="009D04DC">
      <w:pPr>
        <w:pStyle w:val="ListNumber2"/>
        <w:ind w:left="851"/>
        <w:rPr>
          <w:rFonts w:ascii="Calibri" w:eastAsia="Calibri" w:hAnsi="Calibri" w:cs="Calibri"/>
          <w:bCs w:val="0"/>
          <w:color w:val="000000"/>
          <w:lang w:eastAsia="en-AU"/>
        </w:rPr>
      </w:pPr>
      <w:r>
        <w:rPr>
          <w:rFonts w:ascii="Calibri" w:eastAsia="Calibri" w:hAnsi="Calibri" w:cs="Calibri"/>
          <w:color w:val="000000"/>
          <w:lang w:eastAsia="en-AU"/>
        </w:rPr>
        <w:t xml:space="preserve">The </w:t>
      </w:r>
      <w:r w:rsidRPr="009D04DC">
        <w:t>explanatory</w:t>
      </w:r>
      <w:r>
        <w:rPr>
          <w:rFonts w:ascii="Calibri" w:eastAsia="Calibri" w:hAnsi="Calibri" w:cs="Calibri"/>
          <w:color w:val="000000"/>
          <w:lang w:eastAsia="en-AU"/>
        </w:rPr>
        <w:t xml:space="preserve"> statement goes on:</w:t>
      </w:r>
    </w:p>
    <w:p w14:paraId="4D4FA335" w14:textId="77777777" w:rsidR="00BA2287" w:rsidRPr="000937D3" w:rsidRDefault="00BA2287" w:rsidP="00595B29">
      <w:pPr>
        <w:pStyle w:val="Quote"/>
        <w:rPr>
          <w:rFonts w:ascii="Calibri" w:eastAsia="Calibri" w:hAnsi="Calibri" w:cs="Calibri"/>
          <w:bCs/>
          <w:color w:val="7F7F7F"/>
          <w:szCs w:val="20"/>
        </w:rPr>
      </w:pPr>
      <w:r w:rsidRPr="00731CE4">
        <w:rPr>
          <w:rFonts w:ascii="Calibri" w:eastAsia="Calibri" w:hAnsi="Calibri" w:cs="Calibri"/>
          <w:bCs/>
          <w:color w:val="7F7F7F"/>
          <w:szCs w:val="20"/>
        </w:rPr>
        <w:t>The</w:t>
      </w:r>
      <w:r w:rsidRPr="000937D3">
        <w:rPr>
          <w:rFonts w:ascii="Calibri" w:eastAsia="Calibri" w:hAnsi="Calibri" w:cs="Calibri"/>
          <w:bCs/>
          <w:color w:val="7F7F7F"/>
          <w:szCs w:val="20"/>
        </w:rPr>
        <w:t xml:space="preserve"> </w:t>
      </w:r>
      <w:r w:rsidRPr="000937D3">
        <w:rPr>
          <w:rFonts w:ascii="Calibri" w:eastAsia="Calibri" w:hAnsi="Calibri" w:cs="Calibri"/>
          <w:bCs/>
          <w:i/>
          <w:iCs/>
          <w:color w:val="7F7F7F"/>
          <w:szCs w:val="20"/>
        </w:rPr>
        <w:t>Dangerous Goods (Road Transport) Act 2009</w:t>
      </w:r>
      <w:r w:rsidRPr="000937D3">
        <w:rPr>
          <w:rFonts w:ascii="Calibri" w:eastAsia="Calibri" w:hAnsi="Calibri" w:cs="Calibri"/>
          <w:bCs/>
          <w:color w:val="7F7F7F"/>
          <w:szCs w:val="20"/>
        </w:rPr>
        <w:t xml:space="preserve"> and the Regulation are intended to be used in conjunction with the </w:t>
      </w:r>
      <w:hyperlink r:id="rId19" w:history="1">
        <w:r w:rsidRPr="000937D3">
          <w:rPr>
            <w:rFonts w:ascii="Calibri" w:eastAsia="Calibri" w:hAnsi="Calibri" w:cs="Calibri"/>
            <w:bCs/>
            <w:i/>
            <w:iCs/>
            <w:color w:val="7F7F7F"/>
            <w:szCs w:val="20"/>
          </w:rPr>
          <w:t>Australian Dangerous Goods Code</w:t>
        </w:r>
      </w:hyperlink>
      <w:r w:rsidRPr="000937D3">
        <w:rPr>
          <w:rFonts w:ascii="Calibri" w:eastAsia="Calibri" w:hAnsi="Calibri" w:cs="Calibri"/>
          <w:bCs/>
          <w:color w:val="7F7F7F"/>
          <w:szCs w:val="20"/>
        </w:rPr>
        <w:t xml:space="preserve"> (</w:t>
      </w:r>
      <w:r w:rsidRPr="00346249">
        <w:rPr>
          <w:rFonts w:ascii="Calibri" w:eastAsia="Calibri" w:hAnsi="Calibri" w:cs="Calibri"/>
          <w:bCs/>
          <w:color w:val="7F7F7F"/>
          <w:szCs w:val="20"/>
        </w:rPr>
        <w:t>the ADG code</w:t>
      </w:r>
      <w:r w:rsidRPr="000937D3">
        <w:rPr>
          <w:rFonts w:ascii="Calibri" w:eastAsia="Calibri" w:hAnsi="Calibri" w:cs="Calibri"/>
          <w:bCs/>
          <w:color w:val="7F7F7F"/>
          <w:szCs w:val="20"/>
        </w:rPr>
        <w:t xml:space="preserve">), which in turn reflects the </w:t>
      </w:r>
      <w:r w:rsidRPr="000937D3">
        <w:rPr>
          <w:rFonts w:ascii="Calibri" w:eastAsia="Calibri" w:hAnsi="Calibri" w:cs="Calibri"/>
          <w:bCs/>
          <w:i/>
          <w:iCs/>
          <w:color w:val="7F7F7F"/>
          <w:szCs w:val="20"/>
        </w:rPr>
        <w:t>United Nations Model Regulations for the Transport of Dangerous Goods</w:t>
      </w:r>
      <w:r w:rsidRPr="000937D3">
        <w:rPr>
          <w:rFonts w:ascii="Calibri" w:eastAsia="Calibri" w:hAnsi="Calibri" w:cs="Calibri"/>
          <w:bCs/>
          <w:color w:val="7F7F7F"/>
          <w:szCs w:val="20"/>
        </w:rPr>
        <w:t xml:space="preserve">.  </w:t>
      </w:r>
    </w:p>
    <w:p w14:paraId="033506F8" w14:textId="77777777" w:rsidR="00BA2287" w:rsidRPr="000937D3" w:rsidRDefault="00BA2287" w:rsidP="00595B29">
      <w:pPr>
        <w:pStyle w:val="Quote"/>
        <w:rPr>
          <w:rFonts w:ascii="Calibri" w:eastAsia="Calibri" w:hAnsi="Calibri" w:cs="Calibri"/>
          <w:bCs/>
          <w:color w:val="7F7F7F"/>
          <w:szCs w:val="20"/>
        </w:rPr>
      </w:pPr>
      <w:r w:rsidRPr="000937D3">
        <w:rPr>
          <w:rFonts w:ascii="Calibri" w:eastAsia="Calibri" w:hAnsi="Calibri" w:cs="Calibri"/>
          <w:bCs/>
          <w:color w:val="7F7F7F"/>
          <w:szCs w:val="20"/>
        </w:rPr>
        <w:t xml:space="preserve">The Act and Regulation establish the formal mechanisms for giving legal effect and enforceability to the detailed provisions governing the transport of dangerous goods in the ADG code.  </w:t>
      </w:r>
    </w:p>
    <w:p w14:paraId="2458FBFD" w14:textId="77777777" w:rsidR="00BA2287" w:rsidRDefault="00BA2287" w:rsidP="009D04DC">
      <w:pPr>
        <w:pStyle w:val="ListNumber2"/>
        <w:ind w:left="851"/>
        <w:rPr>
          <w:rFonts w:ascii="Calibri" w:eastAsia="Calibri" w:hAnsi="Calibri" w:cs="Calibri"/>
          <w:bCs w:val="0"/>
          <w:color w:val="000000"/>
          <w:lang w:eastAsia="en-AU"/>
        </w:rPr>
      </w:pPr>
      <w:r>
        <w:rPr>
          <w:rFonts w:ascii="Calibri" w:eastAsia="Calibri" w:hAnsi="Calibri" w:cs="Calibri"/>
          <w:color w:val="000000"/>
          <w:lang w:eastAsia="en-AU"/>
        </w:rPr>
        <w:t xml:space="preserve">The </w:t>
      </w:r>
      <w:r w:rsidRPr="009D04DC">
        <w:t>explanatory</w:t>
      </w:r>
      <w:r>
        <w:rPr>
          <w:rFonts w:ascii="Calibri" w:eastAsia="Calibri" w:hAnsi="Calibri" w:cs="Calibri"/>
          <w:color w:val="000000"/>
          <w:lang w:eastAsia="en-AU"/>
        </w:rPr>
        <w:t xml:space="preserve"> statement goes on to discuss human rights issues, by reference to the right to life (which is promoted) and the rights in criminal proceedings, protected by sections 9 and 22 of the </w:t>
      </w:r>
      <w:r>
        <w:rPr>
          <w:rFonts w:ascii="Calibri" w:eastAsia="Calibri" w:hAnsi="Calibri" w:cs="Calibri"/>
          <w:i/>
          <w:iCs/>
          <w:color w:val="000000"/>
          <w:lang w:eastAsia="en-AU"/>
        </w:rPr>
        <w:t>Human Rights Act 2004</w:t>
      </w:r>
      <w:r>
        <w:rPr>
          <w:rFonts w:ascii="Calibri" w:eastAsia="Calibri" w:hAnsi="Calibri" w:cs="Calibri"/>
          <w:color w:val="000000"/>
          <w:lang w:eastAsia="en-AU"/>
        </w:rPr>
        <w:t>, respectively.  On the right to life, the explanatory statement states:</w:t>
      </w:r>
    </w:p>
    <w:p w14:paraId="04C7CC9E"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 xml:space="preserve">The Regulation engages and promotes the right to life of workers and members of the public in the ACT.  </w:t>
      </w:r>
    </w:p>
    <w:p w14:paraId="00017A42"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 xml:space="preserve">The </w:t>
      </w:r>
      <w:r w:rsidRPr="00731CE4">
        <w:rPr>
          <w:rFonts w:ascii="Calibri" w:eastAsia="Calibri" w:hAnsi="Calibri" w:cs="Calibri"/>
          <w:bCs/>
          <w:color w:val="7F7F7F"/>
          <w:szCs w:val="20"/>
        </w:rPr>
        <w:t>right</w:t>
      </w:r>
      <w:r w:rsidRPr="000726C1">
        <w:rPr>
          <w:rFonts w:ascii="Calibri" w:eastAsia="Calibri" w:hAnsi="Calibri" w:cs="Calibri"/>
          <w:bCs/>
          <w:color w:val="7F7F7F"/>
          <w:szCs w:val="20"/>
        </w:rPr>
        <w:t xml:space="preserve"> to life imposes duties on the ACT Government to protect life and to take reasonable measures to protect individuals and prevent future injury in workplaces and places of work where members of the public may be present.</w:t>
      </w:r>
    </w:p>
    <w:p w14:paraId="53BBD393" w14:textId="77777777" w:rsidR="00BA2287" w:rsidRPr="000726C1" w:rsidRDefault="00BA2287" w:rsidP="00595B29">
      <w:pPr>
        <w:pStyle w:val="Quote"/>
        <w:rPr>
          <w:rFonts w:ascii="Calibri" w:eastAsia="Calibri" w:hAnsi="Calibri" w:cs="Calibri"/>
          <w:bCs/>
          <w:color w:val="7F7F7F"/>
          <w:szCs w:val="20"/>
        </w:rPr>
      </w:pPr>
      <w:r w:rsidRPr="00731CE4">
        <w:rPr>
          <w:rFonts w:ascii="Calibri" w:eastAsia="Calibri" w:hAnsi="Calibri" w:cs="Calibri"/>
          <w:bCs/>
          <w:color w:val="7F7F7F"/>
          <w:szCs w:val="20"/>
        </w:rPr>
        <w:lastRenderedPageBreak/>
        <w:t>Through</w:t>
      </w:r>
      <w:r w:rsidRPr="000726C1">
        <w:rPr>
          <w:rFonts w:ascii="Calibri" w:eastAsia="Calibri" w:hAnsi="Calibri" w:cs="Calibri"/>
          <w:bCs/>
          <w:color w:val="7F7F7F"/>
          <w:szCs w:val="20"/>
        </w:rPr>
        <w:t xml:space="preserve"> the Regulation, the ACT Government is taking positive steps to satisfy its duty to protect life and prevent future injury and ensure safe and healthy working conditions by ensuring the legal framework under the Dangerous Goods Road Transport Act has appropriate sanctions for unlawful behaviour and unsafe work practices. This will protect the lives of workers and people at a workplace and prevent future injury. </w:t>
      </w:r>
    </w:p>
    <w:p w14:paraId="67B07E93" w14:textId="77777777" w:rsidR="00BA2287" w:rsidRDefault="00BA2287" w:rsidP="009D04DC">
      <w:pPr>
        <w:pStyle w:val="ListNumber2"/>
        <w:ind w:left="851"/>
        <w:rPr>
          <w:rFonts w:ascii="Calibri" w:eastAsia="Times New Roman" w:hAnsi="Calibri" w:cs="Calibri"/>
          <w:iCs/>
        </w:rPr>
      </w:pPr>
      <w:r>
        <w:rPr>
          <w:rFonts w:ascii="Calibri" w:eastAsia="Times New Roman" w:hAnsi="Calibri" w:cs="Calibri"/>
          <w:iCs/>
        </w:rPr>
        <w:t xml:space="preserve">The </w:t>
      </w:r>
      <w:r w:rsidRPr="009D04DC">
        <w:t>discussion</w:t>
      </w:r>
      <w:r>
        <w:rPr>
          <w:rFonts w:ascii="Calibri" w:eastAsia="Times New Roman" w:hAnsi="Calibri" w:cs="Calibri"/>
          <w:iCs/>
        </w:rPr>
        <w:t xml:space="preserve"> in relation to rights in criminal proceedings relates to the reliance on strict liability offences:</w:t>
      </w:r>
    </w:p>
    <w:p w14:paraId="78F4C2BD" w14:textId="77777777" w:rsidR="00BA2287" w:rsidRPr="000726C1" w:rsidRDefault="00BA2287" w:rsidP="009C6B01">
      <w:pPr>
        <w:pStyle w:val="Quote"/>
        <w:spacing w:before="120" w:after="120"/>
        <w:rPr>
          <w:rFonts w:ascii="Calibri" w:eastAsia="Calibri" w:hAnsi="Calibri" w:cs="Calibri"/>
          <w:bCs/>
          <w:color w:val="7F7F7F"/>
          <w:szCs w:val="20"/>
        </w:rPr>
      </w:pPr>
      <w:r w:rsidRPr="000726C1">
        <w:rPr>
          <w:rFonts w:ascii="Calibri" w:eastAsia="Calibri" w:hAnsi="Calibri" w:cs="Calibri"/>
          <w:bCs/>
          <w:color w:val="7F7F7F"/>
          <w:szCs w:val="20"/>
        </w:rPr>
        <w:t xml:space="preserve">Section 22 (1) of the HR Act provides that everyone charged with a criminal offence has the right to be presumed innocent until proved guilty according to law. The amendment engages and limits this right insofar that it maintains the existing MSI offence provisions which apply strict liability to one element of the offence provisions. </w:t>
      </w:r>
    </w:p>
    <w:p w14:paraId="60DFB7BB" w14:textId="77777777" w:rsidR="00BA2287" w:rsidRPr="000726C1" w:rsidRDefault="00BA2287" w:rsidP="009C6B01">
      <w:pPr>
        <w:pStyle w:val="Quote"/>
        <w:spacing w:before="120" w:after="120"/>
        <w:rPr>
          <w:rFonts w:ascii="Calibri" w:eastAsia="Calibri" w:hAnsi="Calibri" w:cs="Calibri"/>
          <w:bCs/>
          <w:color w:val="7F7F7F"/>
          <w:szCs w:val="20"/>
        </w:rPr>
      </w:pPr>
      <w:r w:rsidRPr="000726C1">
        <w:rPr>
          <w:rFonts w:ascii="Calibri" w:eastAsia="Calibri" w:hAnsi="Calibri" w:cs="Calibri"/>
          <w:bCs/>
          <w:color w:val="7F7F7F"/>
          <w:szCs w:val="20"/>
        </w:rPr>
        <w:t xml:space="preserve">Strict liability provisions generally engage and limit the right to be presumed innocent as they remove the need for the prosecution to prove an accused person’s fault (i.e. the mental element of intent or recklessness) in relation to an offence generally or for </w:t>
      </w:r>
      <w:proofErr w:type="gramStart"/>
      <w:r w:rsidRPr="000726C1">
        <w:rPr>
          <w:rFonts w:ascii="Calibri" w:eastAsia="Calibri" w:hAnsi="Calibri" w:cs="Calibri"/>
          <w:bCs/>
          <w:color w:val="7F7F7F"/>
          <w:szCs w:val="20"/>
        </w:rPr>
        <w:t>particular elements</w:t>
      </w:r>
      <w:proofErr w:type="gramEnd"/>
      <w:r w:rsidRPr="000726C1">
        <w:rPr>
          <w:rFonts w:ascii="Calibri" w:eastAsia="Calibri" w:hAnsi="Calibri" w:cs="Calibri"/>
          <w:bCs/>
          <w:color w:val="7F7F7F"/>
          <w:szCs w:val="20"/>
        </w:rPr>
        <w:t xml:space="preserve"> of an offence. </w:t>
      </w:r>
    </w:p>
    <w:p w14:paraId="01987082" w14:textId="77777777" w:rsidR="00BA2287" w:rsidRPr="000726C1" w:rsidRDefault="00BA2287" w:rsidP="009C6B01">
      <w:pPr>
        <w:pStyle w:val="Quote"/>
        <w:spacing w:before="120" w:after="120"/>
        <w:rPr>
          <w:rFonts w:ascii="Calibri" w:eastAsia="Calibri" w:hAnsi="Calibri" w:cs="Calibri"/>
          <w:bCs/>
          <w:color w:val="7F7F7F"/>
          <w:szCs w:val="20"/>
        </w:rPr>
      </w:pPr>
      <w:r w:rsidRPr="000726C1">
        <w:rPr>
          <w:rFonts w:ascii="Calibri" w:eastAsia="Calibri" w:hAnsi="Calibri" w:cs="Calibri"/>
          <w:bCs/>
          <w:color w:val="7F7F7F"/>
          <w:szCs w:val="20"/>
        </w:rPr>
        <w:t xml:space="preserve">As a result, these provisions reverse the onus in criminal proceedings and requires an accused to prove a defence for that element for the offence to which strict liability applies. </w:t>
      </w:r>
    </w:p>
    <w:p w14:paraId="5020CA19" w14:textId="77777777" w:rsidR="00BA2287" w:rsidRPr="000726C1" w:rsidRDefault="00BA2287" w:rsidP="009C6B01">
      <w:pPr>
        <w:pStyle w:val="Quote"/>
        <w:spacing w:before="120" w:after="120"/>
        <w:rPr>
          <w:rFonts w:ascii="Calibri" w:eastAsia="Calibri" w:hAnsi="Calibri" w:cs="Calibri"/>
          <w:bCs/>
          <w:color w:val="7F7F7F"/>
          <w:szCs w:val="20"/>
        </w:rPr>
      </w:pPr>
      <w:r w:rsidRPr="000726C1">
        <w:rPr>
          <w:rFonts w:ascii="Calibri" w:eastAsia="Calibri" w:hAnsi="Calibri" w:cs="Calibri"/>
          <w:bCs/>
          <w:color w:val="7F7F7F"/>
          <w:szCs w:val="20"/>
        </w:rPr>
        <w:t>Noting that the Regulation does not amend the application of strict liability, the legitimate purpose of the limitation is to protect the health and safety of workers and the community, and act as a deterrent from providing unsafe workplaces/work practices in transporting dangerous goods.</w:t>
      </w:r>
    </w:p>
    <w:p w14:paraId="14F5F4A2" w14:textId="77777777" w:rsidR="00BA2287" w:rsidRPr="000726C1" w:rsidRDefault="00BA2287" w:rsidP="009C6B01">
      <w:pPr>
        <w:pStyle w:val="Quote"/>
        <w:spacing w:before="120" w:after="120"/>
        <w:rPr>
          <w:rFonts w:ascii="Calibri" w:eastAsia="Calibri" w:hAnsi="Calibri" w:cs="Calibri"/>
          <w:bCs/>
          <w:color w:val="7F7F7F"/>
          <w:szCs w:val="20"/>
        </w:rPr>
      </w:pPr>
      <w:r w:rsidRPr="000726C1">
        <w:rPr>
          <w:rFonts w:ascii="Calibri" w:eastAsia="Calibri" w:hAnsi="Calibri" w:cs="Calibri"/>
          <w:bCs/>
          <w:color w:val="7F7F7F"/>
          <w:szCs w:val="20"/>
        </w:rPr>
        <w:t xml:space="preserve">Strict liability arises in a regulatory context where, for reasons such as public safety, the public interest in ensuring that regulatory schemes are observed, requires the sanction of criminal penalties. The rationale for maintaining its use in this Regulation is that people who owe work safety duties such as ensuring the packaging, </w:t>
      </w:r>
      <w:proofErr w:type="gramStart"/>
      <w:r w:rsidRPr="000726C1">
        <w:rPr>
          <w:rFonts w:ascii="Calibri" w:eastAsia="Calibri" w:hAnsi="Calibri" w:cs="Calibri"/>
          <w:bCs/>
          <w:color w:val="7F7F7F"/>
          <w:szCs w:val="20"/>
        </w:rPr>
        <w:t>transport</w:t>
      </w:r>
      <w:proofErr w:type="gramEnd"/>
      <w:r w:rsidRPr="000726C1">
        <w:rPr>
          <w:rFonts w:ascii="Calibri" w:eastAsia="Calibri" w:hAnsi="Calibri" w:cs="Calibri"/>
          <w:bCs/>
          <w:color w:val="7F7F7F"/>
          <w:szCs w:val="20"/>
        </w:rPr>
        <w:t xml:space="preserve"> and storage of dangerous goods, as opposed to members of the general public, can be expected to be aware of their duties and obligations. </w:t>
      </w:r>
      <w:proofErr w:type="gramStart"/>
      <w:r w:rsidRPr="000726C1">
        <w:rPr>
          <w:rFonts w:ascii="Calibri" w:eastAsia="Calibri" w:hAnsi="Calibri" w:cs="Calibri"/>
          <w:bCs/>
          <w:color w:val="7F7F7F"/>
          <w:szCs w:val="20"/>
        </w:rPr>
        <w:t>In particular, where</w:t>
      </w:r>
      <w:proofErr w:type="gramEnd"/>
      <w:r w:rsidRPr="000726C1">
        <w:rPr>
          <w:rFonts w:ascii="Calibri" w:eastAsia="Calibri" w:hAnsi="Calibri" w:cs="Calibri"/>
          <w:bCs/>
          <w:color w:val="7F7F7F"/>
          <w:szCs w:val="20"/>
        </w:rPr>
        <w:t xml:space="preserve"> an accused can reasonably be expected, because of his or her professional involvement, to know what the requirements of the law are, the mental (or fault) element can justifiably be excluded. Accordingly, strict liability offences are applied so that every relevant person </w:t>
      </w:r>
      <w:proofErr w:type="gramStart"/>
      <w:r w:rsidRPr="000726C1">
        <w:rPr>
          <w:rFonts w:ascii="Calibri" w:eastAsia="Calibri" w:hAnsi="Calibri" w:cs="Calibri"/>
          <w:bCs/>
          <w:color w:val="7F7F7F"/>
          <w:szCs w:val="20"/>
        </w:rPr>
        <w:t>complies with their obligations at all times</w:t>
      </w:r>
      <w:proofErr w:type="gramEnd"/>
      <w:r w:rsidRPr="000726C1">
        <w:rPr>
          <w:rFonts w:ascii="Calibri" w:eastAsia="Calibri" w:hAnsi="Calibri" w:cs="Calibri"/>
          <w:bCs/>
          <w:color w:val="7F7F7F"/>
          <w:szCs w:val="20"/>
        </w:rPr>
        <w:t xml:space="preserve"> and acts appropriately to secure the health and safety of workers and other at the workplace.</w:t>
      </w:r>
    </w:p>
    <w:p w14:paraId="3AB697BC" w14:textId="77777777" w:rsidR="00BA2287" w:rsidRPr="000726C1" w:rsidRDefault="00BA2287" w:rsidP="009C6B01">
      <w:pPr>
        <w:pStyle w:val="Quote"/>
        <w:spacing w:before="120" w:after="120"/>
        <w:rPr>
          <w:rFonts w:ascii="Calibri" w:eastAsia="Calibri" w:hAnsi="Calibri" w:cs="Calibri"/>
          <w:bCs/>
          <w:color w:val="7F7F7F"/>
          <w:szCs w:val="20"/>
        </w:rPr>
      </w:pPr>
      <w:r w:rsidRPr="000726C1">
        <w:rPr>
          <w:rFonts w:ascii="Calibri" w:eastAsia="Calibri" w:hAnsi="Calibri" w:cs="Calibri"/>
          <w:bCs/>
          <w:color w:val="7F7F7F"/>
          <w:szCs w:val="20"/>
        </w:rPr>
        <w:t xml:space="preserve">In addition, without adoption of the national model legislation, it is likely that the ACT would be seen as reducing the relative value of safety in the Territory as compared to other jurisdictions. </w:t>
      </w:r>
    </w:p>
    <w:p w14:paraId="09E7D992" w14:textId="77777777" w:rsidR="00BA2287" w:rsidRPr="000726C1" w:rsidRDefault="00BA2287" w:rsidP="009C6B01">
      <w:pPr>
        <w:pStyle w:val="Quote"/>
        <w:spacing w:before="120" w:after="120"/>
        <w:rPr>
          <w:rFonts w:ascii="Calibri" w:eastAsia="Calibri" w:hAnsi="Calibri" w:cs="Calibri"/>
          <w:bCs/>
          <w:color w:val="7F7F7F"/>
          <w:szCs w:val="20"/>
        </w:rPr>
      </w:pPr>
      <w:r w:rsidRPr="000726C1">
        <w:rPr>
          <w:rFonts w:ascii="Calibri" w:eastAsia="Calibri" w:hAnsi="Calibri" w:cs="Calibri"/>
          <w:bCs/>
          <w:color w:val="7F7F7F"/>
          <w:szCs w:val="20"/>
        </w:rPr>
        <w:t xml:space="preserve">The offences are essentially of a regulatory nature and are expressly intended to reduce the risks to public health and safety that may arise </w:t>
      </w:r>
      <w:proofErr w:type="gramStart"/>
      <w:r w:rsidRPr="000726C1">
        <w:rPr>
          <w:rFonts w:ascii="Calibri" w:eastAsia="Calibri" w:hAnsi="Calibri" w:cs="Calibri"/>
          <w:bCs/>
          <w:color w:val="7F7F7F"/>
          <w:szCs w:val="20"/>
        </w:rPr>
        <w:t>in the course of</w:t>
      </w:r>
      <w:proofErr w:type="gramEnd"/>
      <w:r w:rsidRPr="000726C1">
        <w:rPr>
          <w:rFonts w:ascii="Calibri" w:eastAsia="Calibri" w:hAnsi="Calibri" w:cs="Calibri"/>
          <w:bCs/>
          <w:color w:val="7F7F7F"/>
          <w:szCs w:val="20"/>
        </w:rPr>
        <w:t xml:space="preserve"> transporting dangerous goods by road.  The use of strict liability offences will substantially assist in protecting the efficiency and integrity of the regulatory scheme for transporting dangerous goods and is consistent with the approach taken in the national model legislation.</w:t>
      </w:r>
    </w:p>
    <w:p w14:paraId="1E927A73" w14:textId="77777777" w:rsidR="00BA2287" w:rsidRDefault="00BA2287" w:rsidP="009D04DC">
      <w:pPr>
        <w:pStyle w:val="ListNumber2"/>
        <w:ind w:left="851"/>
        <w:rPr>
          <w:rFonts w:ascii="Calibri" w:hAnsi="Calibri" w:cs="Calibri"/>
          <w:b/>
          <w:bCs w:val="0"/>
          <w:szCs w:val="22"/>
          <w:lang w:eastAsia="en-AU"/>
        </w:rPr>
      </w:pPr>
      <w:bookmarkStart w:id="136" w:name="_Hlk167099202"/>
      <w:r>
        <w:rPr>
          <w:rFonts w:ascii="Calibri" w:hAnsi="Calibri" w:cs="Calibri"/>
          <w:b/>
          <w:szCs w:val="22"/>
          <w:lang w:eastAsia="en-AU"/>
        </w:rPr>
        <w:lastRenderedPageBreak/>
        <w:t xml:space="preserve">The </w:t>
      </w:r>
      <w:r w:rsidRPr="00E95E87">
        <w:rPr>
          <w:rFonts w:ascii="Calibri" w:hAnsi="Calibri" w:cs="Calibri"/>
          <w:b/>
          <w:szCs w:val="22"/>
          <w:lang w:eastAsia="en-AU"/>
        </w:rPr>
        <w:t>Committee draws the attention of the Legislative Assembly to the discussion of human rights issues in the explanatory statement</w:t>
      </w:r>
      <w:r>
        <w:rPr>
          <w:rFonts w:ascii="Calibri" w:hAnsi="Calibri" w:cs="Calibri"/>
          <w:b/>
          <w:szCs w:val="22"/>
          <w:lang w:eastAsia="en-AU"/>
        </w:rPr>
        <w:t xml:space="preserve"> </w:t>
      </w:r>
      <w:r w:rsidRPr="00E95E87">
        <w:rPr>
          <w:rFonts w:ascii="Calibri" w:hAnsi="Calibri" w:cs="Calibri"/>
          <w:b/>
          <w:szCs w:val="22"/>
          <w:lang w:eastAsia="en-AU"/>
        </w:rPr>
        <w:t>for th</w:t>
      </w:r>
      <w:r>
        <w:rPr>
          <w:rFonts w:ascii="Calibri" w:hAnsi="Calibri" w:cs="Calibri"/>
          <w:b/>
          <w:szCs w:val="22"/>
          <w:lang w:eastAsia="en-AU"/>
        </w:rPr>
        <w:t>is subordinate law</w:t>
      </w:r>
      <w:r w:rsidRPr="00E95E87">
        <w:rPr>
          <w:rFonts w:ascii="Calibri" w:hAnsi="Calibri" w:cs="Calibri"/>
          <w:b/>
          <w:szCs w:val="22"/>
          <w:lang w:eastAsia="en-AU"/>
        </w:rPr>
        <w:t>.</w:t>
      </w:r>
    </w:p>
    <w:p w14:paraId="74706165" w14:textId="77777777" w:rsidR="00BA2287" w:rsidRPr="00817DA7" w:rsidRDefault="00BA2287" w:rsidP="009D04DC">
      <w:pPr>
        <w:pStyle w:val="ListNumber2"/>
        <w:ind w:left="851"/>
        <w:rPr>
          <w:rFonts w:ascii="Calibri" w:hAnsi="Calibri" w:cs="Calibri"/>
          <w:b/>
          <w:bCs w:val="0"/>
          <w:szCs w:val="22"/>
          <w:lang w:eastAsia="en-AU"/>
        </w:rPr>
      </w:pPr>
      <w:r w:rsidRPr="00A66BED">
        <w:rPr>
          <w:rFonts w:ascii="Calibri" w:hAnsi="Calibri" w:cs="Calibri"/>
          <w:b/>
          <w:szCs w:val="22"/>
          <w:lang w:eastAsia="en-AU"/>
        </w:rPr>
        <w:t>Th</w:t>
      </w:r>
      <w:r>
        <w:rPr>
          <w:rFonts w:ascii="Calibri" w:hAnsi="Calibri" w:cs="Calibri"/>
          <w:b/>
          <w:szCs w:val="22"/>
          <w:lang w:eastAsia="en-AU"/>
        </w:rPr>
        <w:t>is</w:t>
      </w:r>
      <w:r w:rsidRPr="00A66BED">
        <w:rPr>
          <w:rFonts w:ascii="Calibri" w:hAnsi="Calibri" w:cs="Calibri"/>
          <w:b/>
          <w:szCs w:val="22"/>
          <w:lang w:eastAsia="en-AU"/>
        </w:rPr>
        <w:t xml:space="preserve"> comment does not require a response from the Minister.</w:t>
      </w:r>
    </w:p>
    <w:bookmarkEnd w:id="136"/>
    <w:p w14:paraId="165554CF" w14:textId="77777777" w:rsidR="00BA2287" w:rsidRPr="004F62B4" w:rsidRDefault="00BA2287" w:rsidP="00731CE4">
      <w:pPr>
        <w:pStyle w:val="Bodycopy"/>
        <w:keepLines/>
        <w:numPr>
          <w:ilvl w:val="0"/>
          <w:numId w:val="12"/>
        </w:numPr>
        <w:spacing w:before="360" w:after="120" w:line="283" w:lineRule="auto"/>
        <w:ind w:left="1208" w:hanging="357"/>
        <w:rPr>
          <w:b/>
        </w:rPr>
      </w:pPr>
      <w:r w:rsidRPr="004F62B4">
        <w:rPr>
          <w:b/>
        </w:rPr>
        <w:t xml:space="preserve">Subordinate Law SL2024-6 being the </w:t>
      </w:r>
      <w:proofErr w:type="gramStart"/>
      <w:r w:rsidRPr="004F62B4">
        <w:rPr>
          <w:b/>
        </w:rPr>
        <w:t>Building</w:t>
      </w:r>
      <w:proofErr w:type="gramEnd"/>
      <w:r w:rsidRPr="004F62B4">
        <w:rPr>
          <w:b/>
        </w:rPr>
        <w:t xml:space="preserve"> (General) Amendment Regulation 2024 (No 1) made under section 152 of the </w:t>
      </w:r>
      <w:r w:rsidRPr="004F62B4">
        <w:rPr>
          <w:i/>
        </w:rPr>
        <w:t>Building Act 2004</w:t>
      </w:r>
      <w:r w:rsidRPr="004F62B4">
        <w:rPr>
          <w:b/>
        </w:rPr>
        <w:t xml:space="preserve"> </w:t>
      </w:r>
      <w:bookmarkStart w:id="137" w:name="_Hlk167099345"/>
      <w:r w:rsidRPr="004F62B4">
        <w:rPr>
          <w:b/>
        </w:rPr>
        <w:t xml:space="preserve">supports the commencement of the </w:t>
      </w:r>
      <w:r w:rsidRPr="0098427A">
        <w:rPr>
          <w:b/>
          <w:i/>
          <w:iCs/>
        </w:rPr>
        <w:t>Building (Swimming Pool Safety) Legislation Amendment Act 2023</w:t>
      </w:r>
      <w:r>
        <w:rPr>
          <w:b/>
          <w:i/>
          <w:iCs/>
        </w:rPr>
        <w:t xml:space="preserve"> </w:t>
      </w:r>
      <w:r w:rsidRPr="004F62B4">
        <w:rPr>
          <w:b/>
        </w:rPr>
        <w:t>on 1 May 2024</w:t>
      </w:r>
      <w:r>
        <w:rPr>
          <w:b/>
        </w:rPr>
        <w:t>.</w:t>
      </w:r>
      <w:r w:rsidRPr="004F62B4">
        <w:rPr>
          <w:b/>
        </w:rPr>
        <w:t xml:space="preserve"> </w:t>
      </w:r>
      <w:bookmarkEnd w:id="137"/>
    </w:p>
    <w:p w14:paraId="62A33914" w14:textId="77777777" w:rsidR="00BA2287" w:rsidRPr="00301740" w:rsidRDefault="00BA2287" w:rsidP="004F6610">
      <w:pPr>
        <w:pStyle w:val="Heading4"/>
        <w:rPr>
          <w:rFonts w:eastAsia="Calibri"/>
          <w:i/>
          <w:lang w:eastAsia="en-AU"/>
        </w:rPr>
      </w:pPr>
      <w:bookmarkStart w:id="138" w:name="_Toc167305548"/>
      <w:r w:rsidRPr="00301740">
        <w:rPr>
          <w:rFonts w:eastAsia="Calibri"/>
          <w:lang w:eastAsia="en-AU"/>
        </w:rPr>
        <w:t xml:space="preserve">Report under section 38 of the </w:t>
      </w:r>
      <w:r w:rsidRPr="00301740">
        <w:rPr>
          <w:rFonts w:eastAsia="Calibri"/>
          <w:i/>
          <w:lang w:eastAsia="en-AU"/>
        </w:rPr>
        <w:t xml:space="preserve">Human Rights Act 2004 </w:t>
      </w:r>
      <w:r w:rsidRPr="00301740">
        <w:rPr>
          <w:rFonts w:eastAsia="Calibri"/>
          <w:lang w:eastAsia="en-AU"/>
        </w:rPr>
        <w:t>(HRA)</w:t>
      </w:r>
      <w:bookmarkEnd w:id="138"/>
    </w:p>
    <w:p w14:paraId="2AD190BB" w14:textId="77777777" w:rsidR="00BA2287" w:rsidRDefault="00BA2287" w:rsidP="004F6610">
      <w:pPr>
        <w:pStyle w:val="Heading5"/>
        <w:rPr>
          <w:rFonts w:eastAsia="Times New Roman" w:cs="Times New Roman"/>
          <w:iCs w:val="0"/>
        </w:rPr>
      </w:pPr>
      <w:r>
        <w:rPr>
          <w:rFonts w:eastAsia="Times New Roman" w:cs="Times New Roman"/>
        </w:rPr>
        <w:t xml:space="preserve">Right to recognition and </w:t>
      </w:r>
      <w:r w:rsidRPr="004F6610">
        <w:rPr>
          <w:rFonts w:eastAsia="Times New Roman"/>
        </w:rPr>
        <w:t>equality</w:t>
      </w:r>
      <w:r>
        <w:rPr>
          <w:rFonts w:eastAsia="Times New Roman" w:cs="Times New Roman"/>
        </w:rPr>
        <w:t xml:space="preserve"> before the law (section 8 HRA)</w:t>
      </w:r>
      <w:r>
        <w:rPr>
          <w:rFonts w:eastAsia="Times New Roman" w:cs="Times New Roman"/>
        </w:rPr>
        <w:br/>
        <w:t xml:space="preserve">Right to privacy and reputation (section 12 HRA) </w:t>
      </w:r>
    </w:p>
    <w:p w14:paraId="44AA0EF4" w14:textId="77777777" w:rsidR="00BA2287" w:rsidRDefault="00BA2287" w:rsidP="009D04DC">
      <w:pPr>
        <w:pStyle w:val="ListNumber2"/>
        <w:ind w:left="851"/>
        <w:rPr>
          <w:rFonts w:eastAsia="Times New Roman"/>
        </w:rPr>
      </w:pPr>
      <w:r>
        <w:rPr>
          <w:rFonts w:eastAsia="Times New Roman"/>
        </w:rPr>
        <w:t xml:space="preserve">This </w:t>
      </w:r>
      <w:r w:rsidRPr="009D04DC">
        <w:t>subordinate</w:t>
      </w:r>
      <w:r>
        <w:rPr>
          <w:rFonts w:eastAsia="Times New Roman"/>
        </w:rPr>
        <w:t xml:space="preserve"> law </w:t>
      </w:r>
      <w:r w:rsidRPr="000726C1">
        <w:rPr>
          <w:rFonts w:eastAsia="Times New Roman"/>
        </w:rPr>
        <w:t xml:space="preserve">supports the commencement of the </w:t>
      </w:r>
      <w:proofErr w:type="gramStart"/>
      <w:r w:rsidRPr="000726C1">
        <w:rPr>
          <w:rFonts w:eastAsia="Times New Roman"/>
          <w:i/>
          <w:iCs/>
        </w:rPr>
        <w:t>Building</w:t>
      </w:r>
      <w:proofErr w:type="gramEnd"/>
      <w:r w:rsidRPr="000726C1">
        <w:rPr>
          <w:rFonts w:eastAsia="Times New Roman"/>
          <w:i/>
          <w:iCs/>
        </w:rPr>
        <w:t xml:space="preserve"> (Swimming Pool Safety) Legislation Amendment Act 2023</w:t>
      </w:r>
      <w:r w:rsidRPr="000726C1">
        <w:rPr>
          <w:rFonts w:eastAsia="Times New Roman"/>
        </w:rPr>
        <w:t xml:space="preserve"> on 1 May 2024.</w:t>
      </w:r>
      <w:r>
        <w:rPr>
          <w:rFonts w:eastAsia="Times New Roman"/>
        </w:rPr>
        <w:t xml:space="preserve">  The explanatory statement for the subordinate law states that it:</w:t>
      </w:r>
    </w:p>
    <w:p w14:paraId="4B0C893F" w14:textId="77777777" w:rsidR="00BA2287" w:rsidRPr="000726C1" w:rsidRDefault="00BA2287" w:rsidP="00731CE4">
      <w:pPr>
        <w:pStyle w:val="Quote"/>
        <w:numPr>
          <w:ilvl w:val="1"/>
          <w:numId w:val="16"/>
        </w:numPr>
        <w:rPr>
          <w:rFonts w:ascii="Calibri" w:eastAsia="Calibri" w:hAnsi="Calibri" w:cs="Calibri"/>
          <w:bCs/>
          <w:color w:val="7F7F7F"/>
          <w:szCs w:val="20"/>
        </w:rPr>
      </w:pPr>
      <w:r w:rsidRPr="000726C1">
        <w:rPr>
          <w:rFonts w:ascii="Calibri" w:eastAsia="Calibri" w:hAnsi="Calibri" w:cs="Calibri"/>
          <w:bCs/>
          <w:color w:val="7F7F7F"/>
          <w:szCs w:val="20"/>
        </w:rPr>
        <w:t>prescribes the considerations as to competency when appointing an authorised person [for the Act]; and</w:t>
      </w:r>
    </w:p>
    <w:p w14:paraId="3AFA113A" w14:textId="77777777" w:rsidR="00BA2287" w:rsidRPr="000726C1" w:rsidRDefault="00BA2287" w:rsidP="00731CE4">
      <w:pPr>
        <w:pStyle w:val="Quote"/>
        <w:numPr>
          <w:ilvl w:val="1"/>
          <w:numId w:val="16"/>
        </w:numPr>
        <w:rPr>
          <w:rFonts w:ascii="Calibri" w:eastAsia="Calibri" w:hAnsi="Calibri" w:cs="Calibri"/>
          <w:bCs/>
          <w:color w:val="7F7F7F"/>
          <w:szCs w:val="20"/>
        </w:rPr>
      </w:pPr>
      <w:r w:rsidRPr="00595B29">
        <w:t>specifies</w:t>
      </w:r>
      <w:r w:rsidRPr="000726C1">
        <w:rPr>
          <w:rFonts w:ascii="Calibri" w:eastAsia="Calibri" w:hAnsi="Calibri" w:cs="Calibri"/>
          <w:bCs/>
          <w:color w:val="7F7F7F"/>
          <w:szCs w:val="20"/>
        </w:rPr>
        <w:t xml:space="preserve"> certifiers as a class of person taken to be appointed as an authorised person.</w:t>
      </w:r>
    </w:p>
    <w:p w14:paraId="2673A1A8" w14:textId="291704F1" w:rsidR="00BA2287" w:rsidRPr="000726C1" w:rsidRDefault="00BA2287" w:rsidP="009D04DC">
      <w:pPr>
        <w:pStyle w:val="ListNumber2"/>
        <w:ind w:left="851"/>
        <w:rPr>
          <w:rFonts w:eastAsia="Times New Roman"/>
          <w:color w:val="000000"/>
          <w:lang w:eastAsia="en-AU"/>
        </w:rPr>
      </w:pPr>
      <w:r w:rsidRPr="000726C1">
        <w:rPr>
          <w:rFonts w:eastAsia="Times New Roman"/>
          <w:color w:val="000000"/>
          <w:lang w:eastAsia="en-AU"/>
        </w:rPr>
        <w:t xml:space="preserve">The explanatory statement indicates that the subordinate law also includes </w:t>
      </w:r>
      <w:r w:rsidR="00633B89">
        <w:rPr>
          <w:rFonts w:eastAsia="Times New Roman"/>
          <w:color w:val="000000"/>
          <w:lang w:eastAsia="en-AU"/>
        </w:rPr>
        <w:t>“</w:t>
      </w:r>
      <w:r w:rsidRPr="000726C1">
        <w:rPr>
          <w:rFonts w:eastAsia="Times New Roman"/>
          <w:color w:val="000000"/>
          <w:lang w:eastAsia="en-AU"/>
        </w:rPr>
        <w:t xml:space="preserve">minor and technical amendments related to commencement of the Swimming Pool Safety Act and other minor and technical </w:t>
      </w:r>
      <w:r w:rsidRPr="009D04DC">
        <w:t>amendments</w:t>
      </w:r>
      <w:r w:rsidRPr="000726C1">
        <w:rPr>
          <w:rFonts w:eastAsia="Times New Roman"/>
          <w:color w:val="000000"/>
          <w:lang w:eastAsia="en-AU"/>
        </w:rPr>
        <w:t xml:space="preserve"> to maintain the currency of the ACT’s building regulatory system by removing outdated references to guidelines and standards</w:t>
      </w:r>
      <w:r w:rsidR="00633B89">
        <w:rPr>
          <w:rFonts w:eastAsia="Times New Roman"/>
          <w:color w:val="000000"/>
          <w:lang w:eastAsia="en-AU"/>
        </w:rPr>
        <w:t>”</w:t>
      </w:r>
      <w:r w:rsidRPr="000726C1">
        <w:rPr>
          <w:rFonts w:eastAsia="Times New Roman"/>
          <w:color w:val="000000"/>
          <w:lang w:eastAsia="en-AU"/>
        </w:rPr>
        <w:t xml:space="preserve">. </w:t>
      </w:r>
    </w:p>
    <w:p w14:paraId="499D1E4A" w14:textId="77777777" w:rsidR="00BA2287" w:rsidRPr="000726C1" w:rsidRDefault="00BA2287" w:rsidP="009D04DC">
      <w:pPr>
        <w:pStyle w:val="ListNumber2"/>
        <w:ind w:left="851"/>
        <w:rPr>
          <w:rFonts w:eastAsia="Times New Roman"/>
          <w:color w:val="000000"/>
          <w:lang w:eastAsia="en-AU"/>
        </w:rPr>
      </w:pPr>
      <w:r>
        <w:rPr>
          <w:rFonts w:eastAsia="Times New Roman"/>
          <w:color w:val="000000"/>
          <w:lang w:eastAsia="en-AU"/>
        </w:rPr>
        <w:t xml:space="preserve">The </w:t>
      </w:r>
      <w:r w:rsidRPr="009D04DC">
        <w:t>explanatory</w:t>
      </w:r>
      <w:r>
        <w:rPr>
          <w:rFonts w:eastAsia="Times New Roman"/>
          <w:color w:val="000000"/>
          <w:lang w:eastAsia="en-AU"/>
        </w:rPr>
        <w:t xml:space="preserve"> statement goes on to discuss human rights issues, by reference to the right to recognition and equality before the law and the right to privacy and reputation, protected by sections 8 and 12 of the </w:t>
      </w:r>
      <w:r>
        <w:rPr>
          <w:rFonts w:eastAsia="Times New Roman"/>
          <w:i/>
          <w:iCs/>
          <w:color w:val="000000"/>
          <w:lang w:eastAsia="en-AU"/>
        </w:rPr>
        <w:t>Human Rights Act 2004</w:t>
      </w:r>
      <w:r>
        <w:rPr>
          <w:rFonts w:eastAsia="Times New Roman"/>
          <w:color w:val="000000"/>
          <w:lang w:eastAsia="en-AU"/>
        </w:rPr>
        <w:t>, respectively.  It states:</w:t>
      </w:r>
    </w:p>
    <w:p w14:paraId="2CD25655"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 xml:space="preserve">Human rights impacts were assessed for the Swimming Pool Safety Act. The detailed human rights assessment is contained in the </w:t>
      </w:r>
      <w:hyperlink r:id="rId20" w:history="1">
        <w:r w:rsidRPr="000726C1">
          <w:rPr>
            <w:rFonts w:ascii="Calibri" w:eastAsia="Calibri" w:hAnsi="Calibri" w:cs="Calibri"/>
            <w:bCs/>
            <w:color w:val="7F7F7F"/>
            <w:szCs w:val="20"/>
          </w:rPr>
          <w:t>Explanatory Statement</w:t>
        </w:r>
      </w:hyperlink>
      <w:r w:rsidRPr="000726C1">
        <w:rPr>
          <w:rFonts w:ascii="Calibri" w:eastAsia="Calibri" w:hAnsi="Calibri" w:cs="Calibri"/>
          <w:bCs/>
          <w:color w:val="7F7F7F"/>
          <w:szCs w:val="20"/>
        </w:rPr>
        <w:t xml:space="preserve"> (</w:t>
      </w:r>
      <w:hyperlink r:id="rId21" w:history="1">
        <w:r w:rsidRPr="000726C1">
          <w:rPr>
            <w:rFonts w:ascii="Calibri" w:eastAsia="Calibri" w:hAnsi="Calibri" w:cs="Calibri"/>
            <w:bCs/>
            <w:color w:val="7F7F7F"/>
            <w:szCs w:val="20"/>
          </w:rPr>
          <w:t>www.legislation.act.gov.au</w:t>
        </w:r>
      </w:hyperlink>
      <w:r w:rsidRPr="000726C1">
        <w:rPr>
          <w:rFonts w:ascii="Calibri" w:eastAsia="Calibri" w:hAnsi="Calibri" w:cs="Calibri"/>
          <w:bCs/>
          <w:color w:val="7F7F7F"/>
          <w:szCs w:val="20"/>
        </w:rPr>
        <w:t xml:space="preserve"> – Building (Swimming Pool Safety) Legislation Amendment Act 2023).</w:t>
      </w:r>
    </w:p>
    <w:p w14:paraId="1C46B480" w14:textId="4351962D" w:rsidR="00BA2287" w:rsidRPr="000726C1" w:rsidRDefault="00BA2287" w:rsidP="009D04DC">
      <w:pPr>
        <w:pStyle w:val="ListNumber2"/>
        <w:ind w:left="851"/>
        <w:rPr>
          <w:rFonts w:ascii="TimesNewRomanPSMT" w:eastAsia="Times New Roman" w:hAnsi="TimesNewRomanPSMT" w:cs="Times New Roman"/>
          <w:color w:val="000000"/>
          <w:sz w:val="24"/>
          <w:szCs w:val="24"/>
          <w:lang w:eastAsia="en-AU"/>
        </w:rPr>
      </w:pPr>
      <w:r w:rsidRPr="000726C1">
        <w:rPr>
          <w:rFonts w:eastAsia="Times New Roman"/>
          <w:color w:val="000000"/>
          <w:lang w:eastAsia="en-AU"/>
        </w:rPr>
        <w:t xml:space="preserve">The explanatory statement indicates that the human rights identified are engaged </w:t>
      </w:r>
      <w:proofErr w:type="gramStart"/>
      <w:r w:rsidRPr="000726C1">
        <w:rPr>
          <w:rFonts w:eastAsia="Times New Roman"/>
          <w:color w:val="000000"/>
          <w:lang w:eastAsia="en-AU"/>
        </w:rPr>
        <w:t>as a</w:t>
      </w:r>
      <w:r w:rsidR="00BA082C">
        <w:rPr>
          <w:rFonts w:eastAsia="Times New Roman"/>
          <w:color w:val="000000"/>
          <w:lang w:eastAsia="en-AU"/>
        </w:rPr>
        <w:t> </w:t>
      </w:r>
      <w:r w:rsidRPr="000726C1">
        <w:rPr>
          <w:rFonts w:eastAsia="Times New Roman"/>
          <w:color w:val="000000"/>
          <w:lang w:eastAsia="en-AU"/>
        </w:rPr>
        <w:t>result of</w:t>
      </w:r>
      <w:proofErr w:type="gramEnd"/>
      <w:r w:rsidRPr="000726C1">
        <w:rPr>
          <w:rFonts w:eastAsia="Times New Roman"/>
          <w:color w:val="000000"/>
          <w:lang w:eastAsia="en-AU"/>
        </w:rPr>
        <w:t xml:space="preserve"> the subordinate law establishing the matters that are taken into consideration when appointing an authorised person</w:t>
      </w:r>
      <w:r>
        <w:rPr>
          <w:rFonts w:eastAsia="Times New Roman"/>
          <w:color w:val="000000"/>
          <w:lang w:eastAsia="en-AU"/>
        </w:rPr>
        <w:t xml:space="preserve"> for the Act.  It states:</w:t>
      </w:r>
    </w:p>
    <w:p w14:paraId="5F876020"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 xml:space="preserve">Suitability information of the type contained in the regulation may engage the right to equality if it permits the consideration of an irrelevant criminal record in determining a person’s eligibility for appointment. It may also engage the right to privacy and reputation through the collection of personal information. The protection of privacy is necessarily relative, and personal information should only be collected where it is in the interests of the community. </w:t>
      </w:r>
    </w:p>
    <w:p w14:paraId="677F8C5B" w14:textId="77777777" w:rsidR="00BA2287" w:rsidRPr="000726C1" w:rsidRDefault="00BA2287" w:rsidP="00731CE4">
      <w:pPr>
        <w:pStyle w:val="ListNumber2"/>
        <w:keepNext/>
        <w:ind w:left="851"/>
        <w:rPr>
          <w:rFonts w:eastAsia="Times New Roman"/>
          <w:color w:val="000000"/>
          <w:lang w:eastAsia="en-AU"/>
        </w:rPr>
      </w:pPr>
      <w:r w:rsidRPr="000726C1">
        <w:rPr>
          <w:rFonts w:eastAsia="Times New Roman"/>
          <w:color w:val="000000"/>
          <w:lang w:eastAsia="en-AU"/>
        </w:rPr>
        <w:lastRenderedPageBreak/>
        <w:t xml:space="preserve">The </w:t>
      </w:r>
      <w:r w:rsidRPr="009D04DC">
        <w:t>explanatory</w:t>
      </w:r>
      <w:r w:rsidRPr="000726C1">
        <w:rPr>
          <w:rFonts w:eastAsia="Times New Roman"/>
          <w:color w:val="000000"/>
          <w:lang w:eastAsia="en-AU"/>
        </w:rPr>
        <w:t xml:space="preserve"> statement goes on:</w:t>
      </w:r>
    </w:p>
    <w:p w14:paraId="46944040" w14:textId="77777777" w:rsidR="00BA2287" w:rsidRPr="000726C1" w:rsidRDefault="00BA2287" w:rsidP="00595B29">
      <w:pPr>
        <w:pStyle w:val="Quote"/>
        <w:rPr>
          <w:rFonts w:ascii="Calibri" w:eastAsia="Calibri" w:hAnsi="Calibri" w:cs="Calibri"/>
          <w:b/>
          <w:i/>
          <w:iCs/>
          <w:color w:val="7F7F7F"/>
          <w:szCs w:val="20"/>
        </w:rPr>
      </w:pPr>
      <w:r w:rsidRPr="000726C1">
        <w:rPr>
          <w:rFonts w:ascii="Calibri" w:eastAsia="Calibri" w:hAnsi="Calibri" w:cs="Calibri"/>
          <w:b/>
          <w:i/>
          <w:iCs/>
          <w:color w:val="7F7F7F"/>
          <w:szCs w:val="20"/>
        </w:rPr>
        <w:t>Nature of the right and the limitation (s28 (a) and (c)</w:t>
      </w:r>
    </w:p>
    <w:p w14:paraId="4071A194"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 xml:space="preserve">This regulation includes matters that the Director-General must consider in being satisfied that a person is competent to exercise the functions of an authorised person under new Part 5A of the </w:t>
      </w:r>
      <w:r w:rsidRPr="000726C1">
        <w:rPr>
          <w:rFonts w:ascii="Calibri" w:eastAsia="Calibri" w:hAnsi="Calibri" w:cs="Calibri"/>
          <w:bCs/>
          <w:i/>
          <w:iCs/>
          <w:color w:val="7F7F7F"/>
          <w:szCs w:val="20"/>
        </w:rPr>
        <w:t>Building Act 2004</w:t>
      </w:r>
      <w:r w:rsidRPr="000726C1">
        <w:rPr>
          <w:rFonts w:ascii="Calibri" w:eastAsia="Calibri" w:hAnsi="Calibri" w:cs="Calibri"/>
          <w:bCs/>
          <w:color w:val="7F7F7F"/>
          <w:szCs w:val="20"/>
        </w:rPr>
        <w:t xml:space="preserve"> enacted by the </w:t>
      </w:r>
      <w:r w:rsidRPr="000726C1">
        <w:rPr>
          <w:rFonts w:ascii="Calibri" w:eastAsia="Calibri" w:hAnsi="Calibri" w:cs="Calibri"/>
          <w:b/>
          <w:color w:val="7F7F7F"/>
          <w:szCs w:val="20"/>
        </w:rPr>
        <w:t>Swimming Pool Safety Act</w:t>
      </w:r>
      <w:r w:rsidRPr="000726C1">
        <w:rPr>
          <w:rFonts w:ascii="Calibri" w:eastAsia="Calibri" w:hAnsi="Calibri" w:cs="Calibri"/>
          <w:bCs/>
          <w:color w:val="7F7F7F"/>
          <w:szCs w:val="20"/>
        </w:rPr>
        <w:t>.</w:t>
      </w:r>
    </w:p>
    <w:p w14:paraId="62508BCC"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Matters that are prescribed in the regulation for consideration of a person’s competency to perform the functions of an authorised person include:</w:t>
      </w:r>
    </w:p>
    <w:p w14:paraId="470FF391" w14:textId="77777777" w:rsidR="00BA2287" w:rsidRPr="000726C1" w:rsidRDefault="00BA2287" w:rsidP="00161D96">
      <w:pPr>
        <w:pStyle w:val="Quote"/>
        <w:numPr>
          <w:ilvl w:val="0"/>
          <w:numId w:val="17"/>
        </w:numPr>
        <w:rPr>
          <w:rFonts w:ascii="Calibri" w:eastAsia="Calibri" w:hAnsi="Calibri" w:cs="Calibri"/>
          <w:bCs/>
          <w:color w:val="7F7F7F"/>
          <w:szCs w:val="20"/>
        </w:rPr>
      </w:pPr>
      <w:r w:rsidRPr="000726C1">
        <w:rPr>
          <w:rFonts w:ascii="Calibri" w:eastAsia="Calibri" w:hAnsi="Calibri" w:cs="Calibri"/>
          <w:bCs/>
          <w:color w:val="7F7F7F"/>
          <w:szCs w:val="20"/>
        </w:rPr>
        <w:t>demonstrated adequate knowledge and experience relevant to the functions of the authorised persons (for example, experience inspecting swimming pool barriers or other building structures against prescribed standards and completion of relevant training)</w:t>
      </w:r>
    </w:p>
    <w:p w14:paraId="2E9BB1AA" w14:textId="7A8A2B94" w:rsidR="00BA2287" w:rsidRPr="00731CE4" w:rsidRDefault="00BA2287" w:rsidP="00161D96">
      <w:pPr>
        <w:pStyle w:val="Quote"/>
        <w:numPr>
          <w:ilvl w:val="0"/>
          <w:numId w:val="17"/>
        </w:numPr>
        <w:rPr>
          <w:rFonts w:ascii="Calibri" w:eastAsia="Calibri" w:hAnsi="Calibri" w:cs="Calibri"/>
          <w:bCs/>
          <w:color w:val="7F7F7F"/>
          <w:szCs w:val="20"/>
        </w:rPr>
      </w:pPr>
      <w:r w:rsidRPr="000726C1">
        <w:rPr>
          <w:rFonts w:ascii="Calibri" w:eastAsia="Calibri" w:hAnsi="Calibri" w:cs="Calibri"/>
          <w:bCs/>
          <w:color w:val="7F7F7F"/>
          <w:szCs w:val="20"/>
        </w:rPr>
        <w:t>citizenship/residency requirements (this is consistent with other regulatory settings where functions are performed by a person who is not a public servant)</w:t>
      </w:r>
      <w:r w:rsidR="00731CE4" w:rsidRPr="00731CE4">
        <w:rPr>
          <w:rFonts w:ascii="Calibri" w:eastAsia="Calibri" w:hAnsi="Calibri" w:cs="Calibri"/>
          <w:bCs/>
          <w:color w:val="7F7F7F"/>
          <w:szCs w:val="20"/>
        </w:rPr>
        <w:t xml:space="preserve"> </w:t>
      </w:r>
      <w:r w:rsidRPr="00731CE4">
        <w:rPr>
          <w:rFonts w:ascii="Calibri" w:eastAsia="Calibri" w:hAnsi="Calibri" w:cs="Calibri"/>
          <w:bCs/>
          <w:color w:val="7F7F7F"/>
          <w:szCs w:val="20"/>
        </w:rPr>
        <w:t>consideration of conviction (s) or finding (s) of guilt in relation to:</w:t>
      </w:r>
    </w:p>
    <w:p w14:paraId="25FBA399" w14:textId="77777777" w:rsidR="00BA2287" w:rsidRPr="000726C1" w:rsidRDefault="00BA2287" w:rsidP="00731CE4">
      <w:pPr>
        <w:pStyle w:val="Quote"/>
        <w:numPr>
          <w:ilvl w:val="1"/>
          <w:numId w:val="15"/>
        </w:numPr>
        <w:ind w:left="1491" w:hanging="357"/>
        <w:rPr>
          <w:rFonts w:ascii="Calibri" w:eastAsia="Calibri" w:hAnsi="Calibri" w:cs="Calibri"/>
          <w:bCs/>
          <w:color w:val="7F7F7F"/>
          <w:szCs w:val="20"/>
        </w:rPr>
      </w:pPr>
      <w:r w:rsidRPr="000726C1">
        <w:rPr>
          <w:rFonts w:ascii="Calibri" w:eastAsia="Calibri" w:hAnsi="Calibri" w:cs="Calibri"/>
          <w:bCs/>
          <w:color w:val="7F7F7F"/>
          <w:szCs w:val="20"/>
        </w:rPr>
        <w:t>an indictable offence under a law of the ACT or the Commonwealth; or</w:t>
      </w:r>
    </w:p>
    <w:p w14:paraId="41BFDA15" w14:textId="77777777" w:rsidR="00BA2287" w:rsidRPr="000726C1" w:rsidRDefault="00BA2287" w:rsidP="00731CE4">
      <w:pPr>
        <w:pStyle w:val="Quote"/>
        <w:numPr>
          <w:ilvl w:val="1"/>
          <w:numId w:val="15"/>
        </w:numPr>
        <w:ind w:left="1491" w:hanging="357"/>
        <w:rPr>
          <w:rFonts w:ascii="Calibri" w:eastAsia="Calibri" w:hAnsi="Calibri" w:cs="Calibri"/>
          <w:bCs/>
          <w:color w:val="7F7F7F"/>
          <w:szCs w:val="20"/>
        </w:rPr>
      </w:pPr>
      <w:r w:rsidRPr="000726C1">
        <w:rPr>
          <w:rFonts w:ascii="Calibri" w:eastAsia="Calibri" w:hAnsi="Calibri" w:cs="Calibri"/>
          <w:bCs/>
          <w:color w:val="7F7F7F"/>
          <w:szCs w:val="20"/>
        </w:rPr>
        <w:t xml:space="preserve">an offence committed outside the ACT that would be an indictable offence against a law of the ACT if committed in the </w:t>
      </w:r>
      <w:proofErr w:type="gramStart"/>
      <w:r w:rsidRPr="000726C1">
        <w:rPr>
          <w:rFonts w:ascii="Calibri" w:eastAsia="Calibri" w:hAnsi="Calibri" w:cs="Calibri"/>
          <w:bCs/>
          <w:color w:val="7F7F7F"/>
          <w:szCs w:val="20"/>
        </w:rPr>
        <w:t>ACT</w:t>
      </w:r>
      <w:proofErr w:type="gramEnd"/>
    </w:p>
    <w:p w14:paraId="781E25A0" w14:textId="77777777" w:rsidR="00BA2287" w:rsidRPr="000726C1" w:rsidRDefault="00BA2287" w:rsidP="00731CE4">
      <w:pPr>
        <w:pStyle w:val="Quote"/>
        <w:numPr>
          <w:ilvl w:val="1"/>
          <w:numId w:val="15"/>
        </w:numPr>
        <w:ind w:left="1491" w:hanging="357"/>
        <w:rPr>
          <w:rFonts w:ascii="Calibri" w:eastAsia="Calibri" w:hAnsi="Calibri" w:cs="Calibri"/>
          <w:bCs/>
          <w:color w:val="7F7F7F"/>
          <w:szCs w:val="20"/>
        </w:rPr>
      </w:pPr>
      <w:r w:rsidRPr="000726C1">
        <w:rPr>
          <w:rFonts w:ascii="Calibri" w:eastAsia="Calibri" w:hAnsi="Calibri" w:cs="Calibri"/>
          <w:bCs/>
          <w:color w:val="7F7F7F"/>
          <w:szCs w:val="20"/>
        </w:rPr>
        <w:t>disciplinary action relating to a construction occupation that involved a finding of guilt.</w:t>
      </w:r>
    </w:p>
    <w:p w14:paraId="37966EB3" w14:textId="77777777" w:rsidR="00BA2287" w:rsidRPr="000726C1" w:rsidRDefault="00BA2287" w:rsidP="00731CE4">
      <w:pPr>
        <w:pStyle w:val="Quote"/>
        <w:numPr>
          <w:ilvl w:val="1"/>
          <w:numId w:val="15"/>
        </w:numPr>
        <w:ind w:left="1491" w:hanging="357"/>
        <w:rPr>
          <w:rFonts w:ascii="Calibri" w:eastAsia="Calibri" w:hAnsi="Calibri" w:cs="Calibri"/>
          <w:bCs/>
          <w:color w:val="7F7F7F"/>
          <w:szCs w:val="20"/>
        </w:rPr>
      </w:pPr>
      <w:r w:rsidRPr="000726C1">
        <w:rPr>
          <w:rFonts w:ascii="Calibri" w:eastAsia="Calibri" w:hAnsi="Calibri" w:cs="Calibri"/>
          <w:bCs/>
          <w:color w:val="7F7F7F"/>
          <w:szCs w:val="20"/>
        </w:rPr>
        <w:t>breach of appointment or functions of an authorised person under the Act or a relevant law.</w:t>
      </w:r>
    </w:p>
    <w:p w14:paraId="2121A15F"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It is anticipated that applications for appointment as an authorised person will include persons working within the building and construction sector or who perform these functions under the law of another jurisdiction, for example, the Swimming Pools Act 1992 (NSW).</w:t>
      </w:r>
    </w:p>
    <w:p w14:paraId="223872E9" w14:textId="77777777" w:rsidR="00BA2287" w:rsidRPr="000726C1" w:rsidRDefault="00BA2287" w:rsidP="009D04DC">
      <w:pPr>
        <w:pStyle w:val="ListNumber2"/>
        <w:ind w:left="851"/>
        <w:rPr>
          <w:rFonts w:eastAsia="Times New Roman"/>
          <w:color w:val="000000"/>
          <w:lang w:eastAsia="en-AU"/>
        </w:rPr>
      </w:pPr>
      <w:r w:rsidRPr="000726C1">
        <w:rPr>
          <w:rFonts w:eastAsia="Times New Roman"/>
          <w:color w:val="000000"/>
          <w:lang w:eastAsia="en-AU"/>
        </w:rPr>
        <w:t xml:space="preserve">The </w:t>
      </w:r>
      <w:r w:rsidRPr="009D04DC">
        <w:t>explanatory</w:t>
      </w:r>
      <w:r w:rsidRPr="000726C1">
        <w:rPr>
          <w:rFonts w:eastAsia="Times New Roman"/>
          <w:color w:val="000000"/>
          <w:lang w:eastAsia="en-AU"/>
        </w:rPr>
        <w:t xml:space="preserve"> statement goes on:</w:t>
      </w:r>
    </w:p>
    <w:p w14:paraId="6A9D0D5D" w14:textId="77777777" w:rsidR="00BA2287" w:rsidRPr="000726C1" w:rsidRDefault="00BA2287" w:rsidP="00595B29">
      <w:pPr>
        <w:pStyle w:val="Quote"/>
        <w:rPr>
          <w:rFonts w:ascii="Calibri" w:eastAsia="Calibri" w:hAnsi="Calibri" w:cs="Calibri"/>
          <w:b/>
          <w:i/>
          <w:iCs/>
          <w:color w:val="7F7F7F"/>
          <w:szCs w:val="20"/>
        </w:rPr>
      </w:pPr>
      <w:r w:rsidRPr="000726C1">
        <w:rPr>
          <w:rFonts w:ascii="Calibri" w:eastAsia="Calibri" w:hAnsi="Calibri" w:cs="Calibri"/>
          <w:b/>
          <w:i/>
          <w:iCs/>
          <w:color w:val="7F7F7F"/>
          <w:szCs w:val="20"/>
        </w:rPr>
        <w:t>Legitimate purpose (s28 (b))</w:t>
      </w:r>
    </w:p>
    <w:p w14:paraId="261695E2" w14:textId="77777777" w:rsidR="00BA2287" w:rsidRPr="000726C1" w:rsidRDefault="00BA2287" w:rsidP="00595B29">
      <w:pPr>
        <w:pStyle w:val="Quote"/>
        <w:rPr>
          <w:rFonts w:ascii="Calibri" w:eastAsia="Calibri" w:hAnsi="Calibri" w:cs="Calibri"/>
          <w:bCs/>
          <w:color w:val="7F7F7F"/>
          <w:szCs w:val="20"/>
        </w:rPr>
      </w:pPr>
      <w:r w:rsidRPr="00595B29">
        <w:t>The</w:t>
      </w:r>
      <w:r w:rsidRPr="000726C1">
        <w:rPr>
          <w:rFonts w:ascii="Calibri" w:eastAsia="Calibri" w:hAnsi="Calibri" w:cs="Calibri"/>
          <w:bCs/>
          <w:color w:val="7F7F7F"/>
          <w:szCs w:val="20"/>
        </w:rPr>
        <w:t xml:space="preserve"> Swimming Pool Safety Act requires authorised persons to be provided with access to premises on which a regulated pool is located and thus access to the individual’s home. Access will be required to:</w:t>
      </w:r>
    </w:p>
    <w:p w14:paraId="4B80C48F" w14:textId="77777777" w:rsidR="00BA2287" w:rsidRPr="00731CE4" w:rsidRDefault="00BA2287" w:rsidP="00731CE4">
      <w:pPr>
        <w:pStyle w:val="Quote"/>
        <w:numPr>
          <w:ilvl w:val="0"/>
          <w:numId w:val="14"/>
        </w:numPr>
        <w:rPr>
          <w:rFonts w:ascii="Calibri" w:eastAsia="Calibri" w:hAnsi="Calibri" w:cs="Calibri"/>
          <w:bCs/>
          <w:color w:val="7F7F7F"/>
          <w:szCs w:val="20"/>
        </w:rPr>
      </w:pPr>
      <w:r w:rsidRPr="00731CE4">
        <w:rPr>
          <w:rFonts w:ascii="Calibri" w:eastAsia="Calibri" w:hAnsi="Calibri" w:cs="Calibri"/>
          <w:bCs/>
          <w:color w:val="7F7F7F"/>
          <w:szCs w:val="20"/>
        </w:rPr>
        <w:t xml:space="preserve">determine the compliance status of a regulated swimming </w:t>
      </w:r>
      <w:proofErr w:type="gramStart"/>
      <w:r w:rsidRPr="00731CE4">
        <w:rPr>
          <w:rFonts w:ascii="Calibri" w:eastAsia="Calibri" w:hAnsi="Calibri" w:cs="Calibri"/>
          <w:bCs/>
          <w:color w:val="7F7F7F"/>
          <w:szCs w:val="20"/>
        </w:rPr>
        <w:t>pool;</w:t>
      </w:r>
      <w:proofErr w:type="gramEnd"/>
    </w:p>
    <w:p w14:paraId="26018A67" w14:textId="77777777" w:rsidR="00BA2287" w:rsidRPr="00731CE4" w:rsidRDefault="00BA2287" w:rsidP="00731CE4">
      <w:pPr>
        <w:pStyle w:val="Quote"/>
        <w:numPr>
          <w:ilvl w:val="0"/>
          <w:numId w:val="14"/>
        </w:numPr>
        <w:rPr>
          <w:rFonts w:ascii="Calibri" w:eastAsia="Calibri" w:hAnsi="Calibri" w:cs="Calibri"/>
          <w:bCs/>
          <w:color w:val="7F7F7F"/>
          <w:szCs w:val="20"/>
        </w:rPr>
      </w:pPr>
      <w:r w:rsidRPr="00731CE4">
        <w:rPr>
          <w:rFonts w:ascii="Calibri" w:eastAsia="Calibri" w:hAnsi="Calibri" w:cs="Calibri"/>
          <w:bCs/>
          <w:color w:val="7F7F7F"/>
          <w:szCs w:val="20"/>
        </w:rPr>
        <w:t>identify any remedial work required to make a regulated swimming pool compliant with the prescribed safety standards; and</w:t>
      </w:r>
    </w:p>
    <w:p w14:paraId="24274CD7" w14:textId="77777777" w:rsidR="00BA2287" w:rsidRPr="00731CE4" w:rsidRDefault="00BA2287" w:rsidP="00731CE4">
      <w:pPr>
        <w:pStyle w:val="Quote"/>
        <w:numPr>
          <w:ilvl w:val="0"/>
          <w:numId w:val="14"/>
        </w:numPr>
        <w:rPr>
          <w:rFonts w:ascii="Calibri" w:eastAsia="Calibri" w:hAnsi="Calibri" w:cs="Calibri"/>
          <w:bCs/>
          <w:color w:val="7F7F7F"/>
          <w:szCs w:val="20"/>
        </w:rPr>
      </w:pPr>
      <w:r w:rsidRPr="00731CE4">
        <w:rPr>
          <w:rFonts w:ascii="Calibri" w:eastAsia="Calibri" w:hAnsi="Calibri" w:cs="Calibri"/>
          <w:bCs/>
          <w:color w:val="7F7F7F"/>
          <w:szCs w:val="20"/>
        </w:rPr>
        <w:t>confirm that the remedial work has been undertaken and the regulated swimming pool is compliant.</w:t>
      </w:r>
    </w:p>
    <w:p w14:paraId="12BB8928"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lastRenderedPageBreak/>
        <w:t xml:space="preserve">Authorised persons may also access an individual’s home to perform an inspection of the regulated pool and property to support an exemption application. Access will only ever be with the consent of the </w:t>
      </w:r>
      <w:proofErr w:type="gramStart"/>
      <w:r w:rsidRPr="000726C1">
        <w:rPr>
          <w:rFonts w:ascii="Calibri" w:eastAsia="Calibri" w:hAnsi="Calibri" w:cs="Calibri"/>
          <w:bCs/>
          <w:color w:val="7F7F7F"/>
          <w:szCs w:val="20"/>
        </w:rPr>
        <w:t>home owner</w:t>
      </w:r>
      <w:proofErr w:type="gramEnd"/>
      <w:r w:rsidRPr="000726C1">
        <w:rPr>
          <w:rFonts w:ascii="Calibri" w:eastAsia="Calibri" w:hAnsi="Calibri" w:cs="Calibri"/>
          <w:bCs/>
          <w:color w:val="7F7F7F"/>
          <w:szCs w:val="20"/>
        </w:rPr>
        <w:t>.</w:t>
      </w:r>
    </w:p>
    <w:p w14:paraId="3F898E16" w14:textId="77777777" w:rsidR="00BA2287" w:rsidRPr="000726C1" w:rsidRDefault="00BA2287" w:rsidP="00595B29">
      <w:pPr>
        <w:pStyle w:val="Quote"/>
        <w:rPr>
          <w:rFonts w:ascii="Calibri" w:eastAsia="Calibri" w:hAnsi="Calibri" w:cs="Calibri"/>
          <w:b/>
          <w:i/>
          <w:iCs/>
          <w:color w:val="7F7F7F"/>
          <w:szCs w:val="20"/>
        </w:rPr>
      </w:pPr>
      <w:r w:rsidRPr="000726C1">
        <w:rPr>
          <w:rFonts w:ascii="Calibri" w:eastAsia="Calibri" w:hAnsi="Calibri" w:cs="Calibri"/>
          <w:b/>
          <w:i/>
          <w:iCs/>
          <w:color w:val="7F7F7F"/>
          <w:szCs w:val="20"/>
        </w:rPr>
        <w:t>Rational connection between the limitation and the purpose (s28 (d))</w:t>
      </w:r>
    </w:p>
    <w:p w14:paraId="1B1CB192"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 xml:space="preserve">Authorised persons will provide an essential function to support the regulatory framework and support the community to have regulated swimming pools that comply with modern safety standards and are effective at reducing the risk of drowning or near drowning. Authorised persons will be engaged directly by the owner of the premises on which the regulated swimming pool is located. </w:t>
      </w:r>
    </w:p>
    <w:p w14:paraId="36D4DDC5"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 xml:space="preserve">As such it is appropriate to consider their criminal record and other information as part of determining suitability as an authorised person. </w:t>
      </w:r>
    </w:p>
    <w:p w14:paraId="1F4C9D18"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The Director-General has discretion in determining whether information obtained makes a person suitable or not for appointment. The Director</w:t>
      </w:r>
      <w:r w:rsidRPr="000726C1">
        <w:rPr>
          <w:rFonts w:ascii="Calibri" w:eastAsia="Calibri" w:hAnsi="Calibri" w:cs="Calibri"/>
          <w:bCs/>
          <w:color w:val="7F7F7F"/>
          <w:szCs w:val="20"/>
        </w:rPr>
        <w:noBreakHyphen/>
        <w:t xml:space="preserve">General is not prohibited from appointing a person who discloses information that relates to criminal history, disciplinary </w:t>
      </w:r>
      <w:proofErr w:type="gramStart"/>
      <w:r w:rsidRPr="000726C1">
        <w:rPr>
          <w:rFonts w:ascii="Calibri" w:eastAsia="Calibri" w:hAnsi="Calibri" w:cs="Calibri"/>
          <w:bCs/>
          <w:color w:val="7F7F7F"/>
          <w:szCs w:val="20"/>
        </w:rPr>
        <w:t>action</w:t>
      </w:r>
      <w:proofErr w:type="gramEnd"/>
      <w:r w:rsidRPr="000726C1">
        <w:rPr>
          <w:rFonts w:ascii="Calibri" w:eastAsia="Calibri" w:hAnsi="Calibri" w:cs="Calibri"/>
          <w:bCs/>
          <w:color w:val="7F7F7F"/>
          <w:szCs w:val="20"/>
        </w:rPr>
        <w:t xml:space="preserve"> or other non</w:t>
      </w:r>
      <w:r w:rsidRPr="000726C1">
        <w:rPr>
          <w:rFonts w:ascii="Calibri" w:eastAsia="Calibri" w:hAnsi="Calibri" w:cs="Calibri"/>
          <w:bCs/>
          <w:color w:val="7F7F7F"/>
          <w:szCs w:val="20"/>
        </w:rPr>
        <w:noBreakHyphen/>
        <w:t>compliance with functions of an authorised person.</w:t>
      </w:r>
    </w:p>
    <w:p w14:paraId="2369190B" w14:textId="77777777" w:rsidR="00BA2287" w:rsidRPr="000726C1" w:rsidRDefault="00BA2287" w:rsidP="00595B29">
      <w:pPr>
        <w:pStyle w:val="Quote"/>
        <w:rPr>
          <w:rFonts w:ascii="Calibri" w:eastAsia="Calibri" w:hAnsi="Calibri" w:cs="Calibri"/>
          <w:bCs/>
          <w:color w:val="7F7F7F"/>
          <w:szCs w:val="20"/>
        </w:rPr>
      </w:pPr>
      <w:r w:rsidRPr="000726C1">
        <w:rPr>
          <w:rFonts w:ascii="Calibri" w:eastAsia="Calibri" w:hAnsi="Calibri" w:cs="Calibri"/>
          <w:bCs/>
          <w:color w:val="7F7F7F"/>
          <w:szCs w:val="20"/>
        </w:rPr>
        <w:t>A further safeguard is that an individual whose application for appointment is refused may seek to have the decision reviewed internally and then seek ACAT review of the review decision.</w:t>
      </w:r>
    </w:p>
    <w:p w14:paraId="11F27704" w14:textId="77777777" w:rsidR="00BA2287" w:rsidRDefault="00BA2287" w:rsidP="009D04DC">
      <w:pPr>
        <w:pStyle w:val="ListNumber2"/>
        <w:ind w:left="851"/>
        <w:rPr>
          <w:rFonts w:ascii="Calibri" w:hAnsi="Calibri" w:cs="Calibri"/>
          <w:b/>
          <w:bCs w:val="0"/>
          <w:szCs w:val="22"/>
          <w:lang w:eastAsia="en-AU"/>
        </w:rPr>
      </w:pPr>
      <w:r>
        <w:rPr>
          <w:rFonts w:ascii="Calibri" w:hAnsi="Calibri" w:cs="Calibri"/>
          <w:b/>
          <w:szCs w:val="22"/>
          <w:lang w:eastAsia="en-AU"/>
        </w:rPr>
        <w:t xml:space="preserve">The </w:t>
      </w:r>
      <w:r w:rsidRPr="00E95E87">
        <w:rPr>
          <w:rFonts w:ascii="Calibri" w:hAnsi="Calibri" w:cs="Calibri"/>
          <w:b/>
          <w:szCs w:val="22"/>
          <w:lang w:eastAsia="en-AU"/>
        </w:rPr>
        <w:t>Committee draws the attention of the Legislative Assembly to the discussion of human rights issues in the explanatory statement</w:t>
      </w:r>
      <w:r>
        <w:rPr>
          <w:rFonts w:ascii="Calibri" w:hAnsi="Calibri" w:cs="Calibri"/>
          <w:b/>
          <w:szCs w:val="22"/>
          <w:lang w:eastAsia="en-AU"/>
        </w:rPr>
        <w:t xml:space="preserve"> </w:t>
      </w:r>
      <w:r w:rsidRPr="00E95E87">
        <w:rPr>
          <w:rFonts w:ascii="Calibri" w:hAnsi="Calibri" w:cs="Calibri"/>
          <w:b/>
          <w:szCs w:val="22"/>
          <w:lang w:eastAsia="en-AU"/>
        </w:rPr>
        <w:t>for th</w:t>
      </w:r>
      <w:r>
        <w:rPr>
          <w:rFonts w:ascii="Calibri" w:hAnsi="Calibri" w:cs="Calibri"/>
          <w:b/>
          <w:szCs w:val="22"/>
          <w:lang w:eastAsia="en-AU"/>
        </w:rPr>
        <w:t>is subordinate law</w:t>
      </w:r>
      <w:r w:rsidRPr="00E95E87">
        <w:rPr>
          <w:rFonts w:ascii="Calibri" w:hAnsi="Calibri" w:cs="Calibri"/>
          <w:b/>
          <w:szCs w:val="22"/>
          <w:lang w:eastAsia="en-AU"/>
        </w:rPr>
        <w:t>.</w:t>
      </w:r>
    </w:p>
    <w:p w14:paraId="6390A3AD" w14:textId="4175CB35" w:rsidR="00FD6464" w:rsidRDefault="00BA2287" w:rsidP="00731CE4">
      <w:pPr>
        <w:pStyle w:val="ListNumber2"/>
        <w:ind w:left="851"/>
        <w:rPr>
          <w:rFonts w:ascii="Calibri" w:hAnsi="Calibri" w:cs="Calibri"/>
          <w:szCs w:val="22"/>
          <w:lang w:eastAsia="en-AU"/>
        </w:rPr>
      </w:pPr>
      <w:r w:rsidRPr="00A66BED">
        <w:rPr>
          <w:rFonts w:ascii="Calibri" w:hAnsi="Calibri" w:cs="Calibri"/>
          <w:b/>
          <w:szCs w:val="22"/>
          <w:lang w:eastAsia="en-AU"/>
        </w:rPr>
        <w:t>Th</w:t>
      </w:r>
      <w:r>
        <w:rPr>
          <w:rFonts w:ascii="Calibri" w:hAnsi="Calibri" w:cs="Calibri"/>
          <w:b/>
          <w:szCs w:val="22"/>
          <w:lang w:eastAsia="en-AU"/>
        </w:rPr>
        <w:t>is</w:t>
      </w:r>
      <w:r w:rsidRPr="00A66BED">
        <w:rPr>
          <w:rFonts w:ascii="Calibri" w:hAnsi="Calibri" w:cs="Calibri"/>
          <w:b/>
          <w:szCs w:val="22"/>
          <w:lang w:eastAsia="en-AU"/>
        </w:rPr>
        <w:t xml:space="preserve"> comment does not require a response from the Minister.</w:t>
      </w:r>
      <w:bookmarkEnd w:id="131"/>
      <w:bookmarkEnd w:id="132"/>
      <w:bookmarkEnd w:id="133"/>
      <w:bookmarkEnd w:id="134"/>
    </w:p>
    <w:p w14:paraId="30B69632" w14:textId="77777777" w:rsidR="00731CE4" w:rsidRDefault="00731CE4" w:rsidP="00CE02FD">
      <w:pPr>
        <w:pStyle w:val="Paper"/>
        <w:spacing w:before="1560" w:after="0" w:line="233" w:lineRule="auto"/>
        <w:rPr>
          <w:rFonts w:ascii="Calibri" w:hAnsi="Calibri" w:cs="Calibri"/>
          <w:sz w:val="22"/>
          <w:szCs w:val="22"/>
          <w:lang w:eastAsia="en-AU"/>
        </w:rPr>
      </w:pPr>
    </w:p>
    <w:p w14:paraId="4E0B2DFC" w14:textId="6B3D7B78" w:rsidR="00354391" w:rsidRDefault="00354391" w:rsidP="00CE02FD">
      <w:pPr>
        <w:pStyle w:val="Paper"/>
        <w:spacing w:before="1560" w:after="0" w:line="233" w:lineRule="auto"/>
        <w:rPr>
          <w:rFonts w:ascii="Calibri" w:hAnsi="Calibri" w:cs="Calibri"/>
          <w:sz w:val="22"/>
          <w:szCs w:val="22"/>
          <w:lang w:eastAsia="en-AU"/>
        </w:rPr>
      </w:pPr>
      <w:r>
        <w:rPr>
          <w:rFonts w:ascii="Calibri" w:hAnsi="Calibri" w:cs="Calibri"/>
          <w:sz w:val="22"/>
          <w:szCs w:val="22"/>
          <w:lang w:eastAsia="en-AU"/>
        </w:rPr>
        <w:t>Peter Cain MLA</w:t>
      </w:r>
    </w:p>
    <w:p w14:paraId="1DEFFB7C" w14:textId="77777777" w:rsidR="00354391" w:rsidRDefault="00354391" w:rsidP="00354391">
      <w:pPr>
        <w:pStyle w:val="Paper"/>
        <w:spacing w:before="60" w:line="233" w:lineRule="auto"/>
        <w:rPr>
          <w:rFonts w:ascii="Calibri" w:hAnsi="Calibri" w:cs="Calibri"/>
          <w:sz w:val="22"/>
          <w:szCs w:val="22"/>
          <w:lang w:eastAsia="en-AU"/>
        </w:rPr>
      </w:pPr>
      <w:r>
        <w:rPr>
          <w:rFonts w:ascii="Calibri" w:hAnsi="Calibri" w:cs="Calibri"/>
          <w:sz w:val="22"/>
          <w:szCs w:val="22"/>
          <w:lang w:eastAsia="en-AU"/>
        </w:rPr>
        <w:t>Chair</w:t>
      </w:r>
    </w:p>
    <w:p w14:paraId="1A8F7CD8" w14:textId="01F045E3" w:rsidR="00354391" w:rsidRDefault="00354391" w:rsidP="00354391">
      <w:pPr>
        <w:pStyle w:val="Paper"/>
        <w:spacing w:before="200" w:line="233" w:lineRule="auto"/>
        <w:rPr>
          <w:rFonts w:ascii="Montserrat" w:eastAsiaTheme="majorEastAsia" w:hAnsi="Montserrat" w:cstheme="majorBidi"/>
          <w:b/>
          <w:color w:val="1A234C"/>
          <w:w w:val="90"/>
          <w:sz w:val="36"/>
          <w:szCs w:val="32"/>
        </w:rPr>
      </w:pPr>
      <w:r>
        <w:rPr>
          <w:rFonts w:ascii="Calibri" w:hAnsi="Calibri" w:cs="Calibri"/>
          <w:sz w:val="22"/>
          <w:szCs w:val="22"/>
          <w:lang w:eastAsia="en-AU"/>
        </w:rPr>
        <w:t xml:space="preserve">  </w:t>
      </w:r>
      <w:r w:rsidR="005E778F">
        <w:rPr>
          <w:rFonts w:ascii="Calibri" w:hAnsi="Calibri" w:cs="Calibri"/>
          <w:sz w:val="22"/>
          <w:szCs w:val="22"/>
          <w:lang w:eastAsia="en-AU"/>
        </w:rPr>
        <w:t>May</w:t>
      </w:r>
      <w:r>
        <w:rPr>
          <w:rFonts w:ascii="Calibri" w:hAnsi="Calibri" w:cs="Calibri"/>
          <w:sz w:val="22"/>
          <w:szCs w:val="22"/>
          <w:lang w:eastAsia="en-AU"/>
        </w:rPr>
        <w:t xml:space="preserve"> 202</w:t>
      </w:r>
      <w:bookmarkStart w:id="139" w:name="_Toc145944788"/>
      <w:bookmarkStart w:id="140" w:name="_Toc148444512"/>
      <w:bookmarkEnd w:id="121"/>
      <w:r>
        <w:rPr>
          <w:rFonts w:ascii="Calibri" w:hAnsi="Calibri" w:cs="Calibri"/>
          <w:sz w:val="22"/>
          <w:szCs w:val="22"/>
          <w:lang w:eastAsia="en-AU"/>
        </w:rPr>
        <w:t>4</w:t>
      </w:r>
      <w:r>
        <w:rPr>
          <w:rFonts w:ascii="Montserrat" w:eastAsiaTheme="majorEastAsia" w:hAnsi="Montserrat" w:cstheme="majorBidi"/>
          <w:b/>
          <w:color w:val="1A234C"/>
          <w:w w:val="90"/>
          <w:sz w:val="36"/>
          <w:szCs w:val="32"/>
        </w:rPr>
        <w:br w:type="page"/>
      </w:r>
    </w:p>
    <w:p w14:paraId="0DB5382C" w14:textId="77777777" w:rsidR="00354391" w:rsidRPr="00C618BF" w:rsidRDefault="00354391" w:rsidP="00354391">
      <w:pPr>
        <w:keepNext/>
        <w:keepLines/>
        <w:spacing w:before="240" w:after="240"/>
        <w:ind w:left="851" w:hanging="851"/>
        <w:outlineLvl w:val="0"/>
        <w:rPr>
          <w:rFonts w:ascii="Montserrat" w:eastAsiaTheme="majorEastAsia" w:hAnsi="Montserrat" w:cstheme="majorBidi"/>
          <w:b/>
          <w:color w:val="1A234C"/>
          <w:w w:val="90"/>
          <w:sz w:val="36"/>
          <w:szCs w:val="32"/>
        </w:rPr>
      </w:pPr>
      <w:bookmarkStart w:id="141" w:name="_Toc167305549"/>
      <w:r w:rsidRPr="00C618BF">
        <w:rPr>
          <w:rFonts w:ascii="Montserrat" w:eastAsiaTheme="majorEastAsia" w:hAnsi="Montserrat" w:cstheme="majorBidi"/>
          <w:b/>
          <w:color w:val="1A234C"/>
          <w:w w:val="90"/>
          <w:sz w:val="36"/>
          <w:szCs w:val="32"/>
        </w:rPr>
        <w:lastRenderedPageBreak/>
        <w:t>Outstanding responses</w:t>
      </w:r>
      <w:bookmarkEnd w:id="139"/>
      <w:bookmarkEnd w:id="140"/>
      <w:bookmarkEnd w:id="141"/>
    </w:p>
    <w:p w14:paraId="7C38B152" w14:textId="77777777" w:rsidR="00354391" w:rsidRDefault="00354391" w:rsidP="000030B4">
      <w:pPr>
        <w:pStyle w:val="Heading20"/>
      </w:pPr>
      <w:bookmarkStart w:id="142" w:name="_Toc167305550"/>
      <w:bookmarkStart w:id="143" w:name="_Toc145944790"/>
      <w:bookmarkStart w:id="144" w:name="_Toc148444514"/>
      <w:r>
        <w:t>Bills/Subordinate Legislation</w:t>
      </w:r>
      <w:bookmarkEnd w:id="142"/>
    </w:p>
    <w:p w14:paraId="25F77F9E" w14:textId="77777777" w:rsidR="00354391" w:rsidRPr="00BC5EBB" w:rsidRDefault="00354391" w:rsidP="000030B4">
      <w:pPr>
        <w:pStyle w:val="Heading3"/>
      </w:pPr>
      <w:bookmarkStart w:id="145" w:name="_Toc160699165"/>
      <w:bookmarkStart w:id="146" w:name="_Toc161141760"/>
      <w:bookmarkStart w:id="147" w:name="_Toc167305551"/>
      <w:r>
        <w:t>Report 28, dated 3 May 2023</w:t>
      </w:r>
      <w:bookmarkEnd w:id="145"/>
      <w:bookmarkEnd w:id="146"/>
      <w:bookmarkEnd w:id="147"/>
    </w:p>
    <w:p w14:paraId="22E7885F"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48" w:name="_Toc160699166"/>
      <w:bookmarkStart w:id="149" w:name="_Toc161141761"/>
      <w:bookmarkStart w:id="150" w:name="_Toc162463782"/>
      <w:bookmarkStart w:id="151" w:name="_Toc165377065"/>
      <w:bookmarkStart w:id="152" w:name="_Toc165454971"/>
      <w:bookmarkStart w:id="153" w:name="_Toc165552887"/>
      <w:bookmarkStart w:id="154" w:name="_Toc167305552"/>
      <w:bookmarkEnd w:id="143"/>
      <w:bookmarkEnd w:id="144"/>
      <w:r w:rsidRPr="00C618BF">
        <w:rPr>
          <w:rFonts w:ascii="Montserrat SemiBold" w:eastAsiaTheme="majorEastAsia" w:hAnsi="Montserrat SemiBold" w:cstheme="majorBidi"/>
          <w:iCs/>
          <w:color w:val="2F5496"/>
          <w:w w:val="90"/>
          <w:sz w:val="24"/>
          <w:szCs w:val="24"/>
        </w:rPr>
        <w:t>Bill</w:t>
      </w:r>
      <w:bookmarkEnd w:id="148"/>
      <w:bookmarkEnd w:id="149"/>
      <w:bookmarkEnd w:id="150"/>
      <w:bookmarkEnd w:id="151"/>
      <w:bookmarkEnd w:id="152"/>
      <w:bookmarkEnd w:id="153"/>
      <w:bookmarkEnd w:id="154"/>
    </w:p>
    <w:p w14:paraId="2767724A" w14:textId="77777777" w:rsidR="00354391" w:rsidRDefault="00354391" w:rsidP="009D04DC">
      <w:pPr>
        <w:numPr>
          <w:ilvl w:val="0"/>
          <w:numId w:val="5"/>
        </w:numPr>
        <w:spacing w:before="120" w:after="120" w:line="280" w:lineRule="auto"/>
      </w:pPr>
      <w:r w:rsidRPr="00C618BF">
        <w:t>Modern Slavery Legislation Amendment Bill 2023</w:t>
      </w:r>
    </w:p>
    <w:p w14:paraId="2CC139C4" w14:textId="77777777" w:rsidR="00354391" w:rsidRDefault="00354391" w:rsidP="000030B4">
      <w:pPr>
        <w:pStyle w:val="Heading3"/>
      </w:pPr>
      <w:bookmarkStart w:id="155" w:name="_Toc160699169"/>
      <w:bookmarkStart w:id="156" w:name="_Toc161141764"/>
      <w:bookmarkStart w:id="157" w:name="_Toc167305553"/>
      <w:r>
        <w:t>Report 38, dated 30 January 2024</w:t>
      </w:r>
      <w:bookmarkEnd w:id="155"/>
      <w:bookmarkEnd w:id="156"/>
      <w:bookmarkEnd w:id="157"/>
    </w:p>
    <w:p w14:paraId="0BD1F264" w14:textId="7DDC4E9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58" w:name="_Toc160699170"/>
      <w:bookmarkStart w:id="159" w:name="_Toc161141765"/>
      <w:bookmarkStart w:id="160" w:name="_Toc162463784"/>
      <w:bookmarkStart w:id="161" w:name="_Toc165377067"/>
      <w:bookmarkStart w:id="162" w:name="_Toc165454973"/>
      <w:bookmarkStart w:id="163" w:name="_Toc165552889"/>
      <w:bookmarkStart w:id="164" w:name="_Toc167305554"/>
      <w:r w:rsidRPr="00C618BF">
        <w:rPr>
          <w:rFonts w:ascii="Montserrat SemiBold" w:eastAsiaTheme="majorEastAsia" w:hAnsi="Montserrat SemiBold" w:cstheme="majorBidi"/>
          <w:iCs/>
          <w:color w:val="2F5496"/>
          <w:w w:val="90"/>
          <w:sz w:val="24"/>
          <w:szCs w:val="24"/>
        </w:rPr>
        <w:t>Bill</w:t>
      </w:r>
      <w:bookmarkEnd w:id="158"/>
      <w:bookmarkEnd w:id="159"/>
      <w:bookmarkEnd w:id="160"/>
      <w:bookmarkEnd w:id="161"/>
      <w:bookmarkEnd w:id="162"/>
      <w:bookmarkEnd w:id="163"/>
      <w:bookmarkEnd w:id="164"/>
    </w:p>
    <w:p w14:paraId="678F902B" w14:textId="77777777" w:rsidR="00354391" w:rsidRDefault="00354391" w:rsidP="009D04DC">
      <w:pPr>
        <w:pStyle w:val="ListParagraph"/>
        <w:numPr>
          <w:ilvl w:val="0"/>
          <w:numId w:val="6"/>
        </w:numPr>
        <w:spacing w:before="120" w:after="120" w:line="281" w:lineRule="auto"/>
        <w:ind w:left="714" w:hanging="357"/>
        <w:contextualSpacing w:val="0"/>
      </w:pPr>
      <w:r>
        <w:t>Property Developers Bill 2023</w:t>
      </w:r>
    </w:p>
    <w:p w14:paraId="2B2741E6" w14:textId="1F55F0E4" w:rsidR="00354391" w:rsidRDefault="00354391" w:rsidP="000030B4">
      <w:pPr>
        <w:pStyle w:val="Heading3"/>
      </w:pPr>
      <w:bookmarkStart w:id="165" w:name="_Toc167305555"/>
      <w:r>
        <w:t>Report 39, dated 12 March 2024</w:t>
      </w:r>
      <w:bookmarkEnd w:id="165"/>
    </w:p>
    <w:p w14:paraId="1C17DD3D"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66" w:name="_Toc162463786"/>
      <w:bookmarkStart w:id="167" w:name="_Toc165377069"/>
      <w:bookmarkStart w:id="168" w:name="_Toc165454975"/>
      <w:bookmarkStart w:id="169" w:name="_Toc165552891"/>
      <w:bookmarkStart w:id="170" w:name="_Toc167305556"/>
      <w:r w:rsidRPr="00C618BF">
        <w:rPr>
          <w:rFonts w:ascii="Montserrat SemiBold" w:eastAsiaTheme="majorEastAsia" w:hAnsi="Montserrat SemiBold" w:cstheme="majorBidi"/>
          <w:iCs/>
          <w:color w:val="2F5496"/>
          <w:w w:val="90"/>
          <w:sz w:val="24"/>
          <w:szCs w:val="24"/>
        </w:rPr>
        <w:t>Bill</w:t>
      </w:r>
      <w:bookmarkEnd w:id="166"/>
      <w:bookmarkEnd w:id="167"/>
      <w:bookmarkEnd w:id="168"/>
      <w:bookmarkEnd w:id="169"/>
      <w:bookmarkEnd w:id="170"/>
    </w:p>
    <w:p w14:paraId="68C6EE69" w14:textId="6A0B27EB" w:rsidR="006F678C" w:rsidRDefault="006F678C" w:rsidP="009D04DC">
      <w:pPr>
        <w:pStyle w:val="ListParagraph"/>
        <w:numPr>
          <w:ilvl w:val="0"/>
          <w:numId w:val="6"/>
        </w:numPr>
        <w:spacing w:before="120" w:after="120" w:line="281" w:lineRule="auto"/>
        <w:ind w:left="714" w:hanging="357"/>
        <w:contextualSpacing w:val="0"/>
      </w:pPr>
      <w:r>
        <w:t>Environment Protection (Fossil Fuel Company Advertising) Amendment Bill 2024</w:t>
      </w:r>
    </w:p>
    <w:p w14:paraId="0A4EA2BE" w14:textId="6686BBD5" w:rsidR="00BA2287" w:rsidRDefault="00BA2287" w:rsidP="00BA2287">
      <w:pPr>
        <w:pStyle w:val="Heading3"/>
      </w:pPr>
      <w:bookmarkStart w:id="171" w:name="_Toc167305557"/>
      <w:r>
        <w:t>Report 41, dated 7 May 2024</w:t>
      </w:r>
      <w:bookmarkEnd w:id="171"/>
    </w:p>
    <w:p w14:paraId="2D55D3BF" w14:textId="77777777" w:rsidR="006E1CF3" w:rsidRPr="00C618BF" w:rsidRDefault="006E1CF3" w:rsidP="006E1CF3">
      <w:pPr>
        <w:keepNext/>
        <w:keepLines/>
        <w:spacing w:before="120" w:after="120"/>
        <w:outlineLvl w:val="3"/>
        <w:rPr>
          <w:rFonts w:ascii="Montserrat SemiBold" w:eastAsiaTheme="majorEastAsia" w:hAnsi="Montserrat SemiBold" w:cstheme="majorBidi"/>
          <w:iCs/>
          <w:color w:val="2F5496"/>
          <w:w w:val="90"/>
          <w:sz w:val="24"/>
          <w:szCs w:val="24"/>
        </w:rPr>
      </w:pPr>
      <w:bookmarkStart w:id="172" w:name="_Toc167305558"/>
      <w:r w:rsidRPr="00C618BF">
        <w:rPr>
          <w:rFonts w:ascii="Montserrat SemiBold" w:eastAsiaTheme="majorEastAsia" w:hAnsi="Montserrat SemiBold" w:cstheme="majorBidi"/>
          <w:iCs/>
          <w:color w:val="2F5496"/>
          <w:w w:val="90"/>
          <w:sz w:val="24"/>
          <w:szCs w:val="24"/>
        </w:rPr>
        <w:t>Bill</w:t>
      </w:r>
      <w:bookmarkEnd w:id="172"/>
    </w:p>
    <w:p w14:paraId="50A91BBB" w14:textId="3F5DE905" w:rsidR="006E1CF3" w:rsidRDefault="006E1CF3" w:rsidP="009D04DC">
      <w:pPr>
        <w:pStyle w:val="ListParagraph"/>
        <w:numPr>
          <w:ilvl w:val="0"/>
          <w:numId w:val="6"/>
        </w:numPr>
        <w:spacing w:before="120" w:after="120" w:line="281" w:lineRule="auto"/>
        <w:ind w:left="714" w:hanging="357"/>
        <w:contextualSpacing w:val="0"/>
      </w:pPr>
      <w:r>
        <w:t>Education Amendment Bill 2024</w:t>
      </w:r>
    </w:p>
    <w:p w14:paraId="643862C2" w14:textId="6273530E" w:rsidR="006E1CF3" w:rsidRDefault="006E1CF3" w:rsidP="009D04DC">
      <w:pPr>
        <w:pStyle w:val="ListParagraph"/>
        <w:numPr>
          <w:ilvl w:val="0"/>
          <w:numId w:val="6"/>
        </w:numPr>
        <w:spacing w:before="120" w:after="120" w:line="281" w:lineRule="auto"/>
        <w:ind w:left="714" w:hanging="357"/>
        <w:contextualSpacing w:val="0"/>
      </w:pPr>
      <w:r>
        <w:t>Nature Conservation Amendment Bill 2024</w:t>
      </w:r>
    </w:p>
    <w:p w14:paraId="75C3B740" w14:textId="507550ED" w:rsidR="00B05B71" w:rsidRPr="00B05B71" w:rsidRDefault="00B05B71" w:rsidP="00B05B71">
      <w:pPr>
        <w:keepNext/>
        <w:keepLines/>
        <w:spacing w:before="240" w:after="120"/>
        <w:outlineLvl w:val="3"/>
        <w:rPr>
          <w:rFonts w:ascii="Montserrat SemiBold" w:eastAsiaTheme="majorEastAsia" w:hAnsi="Montserrat SemiBold" w:cstheme="majorBidi"/>
          <w:iCs/>
          <w:color w:val="2F5496"/>
          <w:w w:val="90"/>
          <w:sz w:val="24"/>
          <w:szCs w:val="24"/>
        </w:rPr>
      </w:pPr>
      <w:bookmarkStart w:id="173" w:name="_Toc167305559"/>
      <w:r>
        <w:rPr>
          <w:rFonts w:ascii="Montserrat SemiBold" w:eastAsiaTheme="majorEastAsia" w:hAnsi="Montserrat SemiBold" w:cstheme="majorBidi"/>
          <w:iCs/>
          <w:color w:val="2F5496"/>
          <w:w w:val="90"/>
          <w:sz w:val="24"/>
          <w:szCs w:val="24"/>
        </w:rPr>
        <w:t>Subordinate legislation</w:t>
      </w:r>
      <w:bookmarkEnd w:id="173"/>
    </w:p>
    <w:p w14:paraId="1F8CF6C6" w14:textId="5C20A92F" w:rsidR="006E1CF3" w:rsidRPr="00B05B71" w:rsidRDefault="006E1CF3" w:rsidP="009D04DC">
      <w:pPr>
        <w:pStyle w:val="ListParagraph"/>
        <w:numPr>
          <w:ilvl w:val="0"/>
          <w:numId w:val="6"/>
        </w:numPr>
        <w:spacing w:before="120" w:after="120" w:line="281" w:lineRule="auto"/>
        <w:ind w:left="714" w:hanging="357"/>
        <w:contextualSpacing w:val="0"/>
      </w:pPr>
      <w:r w:rsidRPr="00B05B71">
        <w:t>Disallowable Instrument DI2024-29 being the Electronic Conveyancing National Law (ACT) Participation Rules 2024</w:t>
      </w:r>
    </w:p>
    <w:p w14:paraId="08AB5292" w14:textId="06A76893" w:rsidR="006E1CF3" w:rsidRPr="00B05B71" w:rsidRDefault="006E1CF3" w:rsidP="009D04DC">
      <w:pPr>
        <w:pStyle w:val="ListParagraph"/>
        <w:numPr>
          <w:ilvl w:val="0"/>
          <w:numId w:val="6"/>
        </w:numPr>
        <w:spacing w:before="120" w:after="120" w:line="281" w:lineRule="auto"/>
        <w:ind w:left="714" w:hanging="357"/>
        <w:contextualSpacing w:val="0"/>
      </w:pPr>
      <w:r w:rsidRPr="00B05B71">
        <w:t>Subordinate Law SL2024-2 being the Magistrates Court (Building Infringement Notices) Amendment Regulation 2024 (No 1)</w:t>
      </w:r>
    </w:p>
    <w:p w14:paraId="66332F6E" w14:textId="0F85DDD3" w:rsidR="006E1CF3" w:rsidRDefault="006E1CF3" w:rsidP="009D04DC">
      <w:pPr>
        <w:pStyle w:val="ListParagraph"/>
        <w:numPr>
          <w:ilvl w:val="0"/>
          <w:numId w:val="6"/>
        </w:numPr>
        <w:spacing w:before="120" w:after="120" w:line="281" w:lineRule="auto"/>
        <w:ind w:left="714" w:hanging="357"/>
        <w:contextualSpacing w:val="0"/>
      </w:pPr>
      <w:r w:rsidRPr="00B05B71">
        <w:t>Subordinate Law SL2024-4 being the Education Amendment Regulation 2024 (No 1)</w:t>
      </w:r>
    </w:p>
    <w:sectPr w:rsidR="006E1CF3" w:rsidSect="00CE02FD">
      <w:footerReference w:type="even" r:id="rId22"/>
      <w:footerReference w:type="default" r:id="rId23"/>
      <w:pgSz w:w="11906" w:h="16838"/>
      <w:pgMar w:top="1134"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19C1" w14:textId="77777777" w:rsidR="00ED2558" w:rsidRDefault="00ED2558" w:rsidP="00D376C4">
      <w:pPr>
        <w:spacing w:after="0" w:line="240" w:lineRule="auto"/>
      </w:pPr>
      <w:r>
        <w:separator/>
      </w:r>
    </w:p>
  </w:endnote>
  <w:endnote w:type="continuationSeparator" w:id="0">
    <w:p w14:paraId="383A381F" w14:textId="77777777" w:rsidR="00ED2558" w:rsidRDefault="00ED255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9D067F-B16A-4D69-9E14-5C5580E29D0B}"/>
    <w:embedBold r:id="rId2" w:fontKey="{A1EC4E12-8582-4317-AF42-6352CD41D5C9}"/>
    <w:embedItalic r:id="rId3" w:fontKey="{BD5128D6-9F6C-4836-B35E-326555E47488}"/>
    <w:embedBoldItalic r:id="rId4" w:fontKey="{D9B92FE7-E019-4EE5-B8D4-634D57BBFDA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embedRegular r:id="rId5" w:fontKey="{97B77E67-B580-4599-8E3C-0DD45813D125}"/>
    <w:embedBold r:id="rId6" w:fontKey="{690F26D6-D144-4227-9EE9-4386E4E774F5}"/>
    <w:embedItalic r:id="rId7" w:fontKey="{919C58AF-E858-4321-972D-6062FD6E0C15}"/>
  </w:font>
  <w:font w:name="Montserrat SemiBold">
    <w:panose1 w:val="00000700000000000000"/>
    <w:charset w:val="00"/>
    <w:family w:val="auto"/>
    <w:pitch w:val="variable"/>
    <w:sig w:usb0="2000020F" w:usb1="00000003" w:usb2="00000000" w:usb3="00000000" w:csb0="00000197" w:csb1="00000000"/>
    <w:embedRegular r:id="rId8" w:fontKey="{AC144933-E7C1-4E57-AF39-9B4A285E1442}"/>
    <w:embedItalic r:id="rId9" w:fontKey="{C3306706-18F3-48B9-B6D2-5ECC0E3E3C08}"/>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58AA84DB-9F7F-47C4-AB16-306636E2B305}"/>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26DEE10F"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421A2C">
      <w:rPr>
        <w:rFonts w:ascii="Montserrat SemiBold" w:hAnsi="Montserrat SemiBold" w:cstheme="majorHAnsi"/>
        <w:noProof/>
        <w:color w:val="2F5496"/>
        <w:w w:val="90"/>
        <w:sz w:val="18"/>
        <w:szCs w:val="18"/>
      </w:rPr>
      <w:t>Scrutiny Report 42</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47A82A3"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07165">
      <w:rPr>
        <w:rFonts w:ascii="Montserrat SemiBold" w:hAnsi="Montserrat SemiBold" w:cstheme="majorHAnsi"/>
        <w:noProof/>
        <w:color w:val="2F5496"/>
        <w:w w:val="90"/>
        <w:sz w:val="18"/>
        <w:szCs w:val="18"/>
      </w:rPr>
      <w:t>Scrutiny Report 42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4CA544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21A2C">
      <w:rPr>
        <w:rFonts w:cstheme="minorHAnsi"/>
        <w:noProof/>
        <w:color w:val="404040" w:themeColor="text1" w:themeTint="BF"/>
      </w:rPr>
      <w:t>Standing Committee on Justice and Community Safety (Legislative Scrutiny Role)</w:t>
    </w:r>
    <w:r w:rsidR="00421A2C">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72CFDBE" w:rsidR="00836FFE" w:rsidRPr="00C8358A" w:rsidRDefault="007C1D03"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7A4320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107165">
      <w:rPr>
        <w:rFonts w:cstheme="minorHAnsi"/>
        <w:noProof/>
        <w:color w:val="404040" w:themeColor="text1" w:themeTint="BF"/>
      </w:rPr>
      <w:t>May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1B166006"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21A2C">
      <w:rPr>
        <w:rFonts w:ascii="Montserrat SemiBold" w:hAnsi="Montserrat SemiBold" w:cstheme="majorHAnsi"/>
        <w:noProof/>
        <w:color w:val="2F5496"/>
        <w:w w:val="90"/>
        <w:sz w:val="18"/>
        <w:szCs w:val="18"/>
      </w:rPr>
      <w:t>Scrutiny Report 42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83F0ADE"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21A2C">
      <w:rPr>
        <w:rFonts w:ascii="Montserrat SemiBold" w:hAnsi="Montserrat SemiBold" w:cstheme="majorHAnsi"/>
        <w:noProof/>
        <w:color w:val="2F5496"/>
        <w:w w:val="90"/>
        <w:sz w:val="18"/>
        <w:szCs w:val="18"/>
      </w:rPr>
      <w:t>Scrutiny Report 42</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54604E2"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21A2C">
      <w:rPr>
        <w:rFonts w:ascii="Montserrat SemiBold" w:hAnsi="Montserrat SemiBold" w:cstheme="majorHAnsi"/>
        <w:noProof/>
        <w:color w:val="2F5496"/>
        <w:w w:val="90"/>
        <w:sz w:val="18"/>
        <w:szCs w:val="18"/>
      </w:rPr>
      <w:t>Scrutiny Report 42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6816" w14:textId="77777777" w:rsidR="00ED2558" w:rsidRDefault="00ED2558" w:rsidP="00D376C4">
      <w:pPr>
        <w:spacing w:after="0" w:line="240" w:lineRule="auto"/>
      </w:pPr>
      <w:r>
        <w:separator/>
      </w:r>
    </w:p>
  </w:footnote>
  <w:footnote w:type="continuationSeparator" w:id="0">
    <w:p w14:paraId="248F1F9F" w14:textId="77777777" w:rsidR="00ED2558" w:rsidRDefault="00ED2558" w:rsidP="00D376C4">
      <w:pPr>
        <w:spacing w:after="0" w:line="240" w:lineRule="auto"/>
      </w:pPr>
      <w:r>
        <w:continuationSeparator/>
      </w:r>
    </w:p>
  </w:footnote>
  <w:footnote w:id="1">
    <w:p w14:paraId="491E731A" w14:textId="77777777" w:rsidR="002A04C9" w:rsidRDefault="002A04C9" w:rsidP="002A04C9">
      <w:pPr>
        <w:pStyle w:val="FootnoteText"/>
      </w:pPr>
      <w:r>
        <w:rPr>
          <w:rStyle w:val="FootnoteReference"/>
        </w:rPr>
        <w:footnoteRef/>
      </w:r>
      <w:r>
        <w:t xml:space="preserve"> The Committee notes that the effect of clause 55 in omitting sections 67 to 69 of the Regulations is incorrectly outlined in the explanatory statement.</w:t>
      </w:r>
    </w:p>
  </w:footnote>
  <w:footnote w:id="2">
    <w:p w14:paraId="3E8059E8" w14:textId="675C0A20" w:rsidR="002D13CB" w:rsidRPr="002D13CB" w:rsidRDefault="002D13CB" w:rsidP="00E0054C">
      <w:pPr>
        <w:pStyle w:val="FootnoteText"/>
        <w:rPr>
          <w:lang w:val="en-US"/>
        </w:rPr>
      </w:pPr>
      <w:r>
        <w:rPr>
          <w:rStyle w:val="FootnoteReference"/>
        </w:rPr>
        <w:footnoteRef/>
      </w:r>
      <w:r>
        <w:t xml:space="preserve"> </w:t>
      </w:r>
      <w:r w:rsidR="00E0054C" w:rsidRPr="006B2534">
        <w:rPr>
          <w:sz w:val="19"/>
          <w:szCs w:val="19"/>
          <w:lang w:val="en-US"/>
        </w:rPr>
        <w:t xml:space="preserve">Available at </w:t>
      </w:r>
      <w:hyperlink r:id="rId1" w:history="1">
        <w:r w:rsidR="00E0054C" w:rsidRPr="006B2534">
          <w:rPr>
            <w:rStyle w:val="Hyperlink"/>
            <w:sz w:val="19"/>
            <w:szCs w:val="19"/>
          </w:rPr>
          <w:t>https://www.parliament.act.gov.au/parliamentary-business/in-committees/committees/JCS_Scrutiny/responses-to-comments-on-bills</w:t>
        </w:r>
      </w:hyperlink>
      <w:r w:rsidR="00E0054C" w:rsidRPr="006B2534">
        <w:rPr>
          <w:sz w:val="19"/>
          <w:szCs w:val="19"/>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23A4A112"/>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993" w:hanging="851"/>
      </w:pPr>
      <w:rPr>
        <w:rFonts w:asciiTheme="minorHAnsi" w:hAnsiTheme="minorHAnsi" w:hint="default"/>
        <w:b w:val="0"/>
        <w:bCs w:val="0"/>
        <w:i w:val="0"/>
        <w:iCs w:val="0"/>
        <w:sz w:val="22"/>
      </w:rPr>
    </w:lvl>
    <w:lvl w:ilvl="2">
      <w:start w:val="1"/>
      <w:numFmt w:val="lowerLetter"/>
      <w:pStyle w:val="ListNumber3"/>
      <w:lvlText w:val="%3)"/>
      <w:lvlJc w:val="left"/>
      <w:pPr>
        <w:ind w:left="1418" w:hanging="567"/>
      </w:pPr>
      <w:rPr>
        <w:rFonts w:hint="default"/>
        <w:i w:val="0"/>
        <w:iCs w:val="0"/>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8054B3C"/>
    <w:multiLevelType w:val="hybridMultilevel"/>
    <w:tmpl w:val="692C18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E64B8E"/>
    <w:multiLevelType w:val="hybridMultilevel"/>
    <w:tmpl w:val="F29C0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AF229C"/>
    <w:multiLevelType w:val="hybridMultilevel"/>
    <w:tmpl w:val="CE902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F84EE2"/>
    <w:multiLevelType w:val="hybridMultilevel"/>
    <w:tmpl w:val="032ABD6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 w15:restartNumberingAfterBreak="0">
    <w:nsid w:val="2B743807"/>
    <w:multiLevelType w:val="hybridMultilevel"/>
    <w:tmpl w:val="4D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825C36"/>
    <w:multiLevelType w:val="hybridMultilevel"/>
    <w:tmpl w:val="B3B4873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D693860"/>
    <w:multiLevelType w:val="hybridMultilevel"/>
    <w:tmpl w:val="360CD700"/>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420E508F"/>
    <w:multiLevelType w:val="hybridMultilevel"/>
    <w:tmpl w:val="C04823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B1F2525"/>
    <w:multiLevelType w:val="hybridMultilevel"/>
    <w:tmpl w:val="DCFE7AC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94A2F5A"/>
    <w:multiLevelType w:val="hybridMultilevel"/>
    <w:tmpl w:val="7FD0D43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7" w15:restartNumberingAfterBreak="0">
    <w:nsid w:val="764F7B5F"/>
    <w:multiLevelType w:val="hybridMultilevel"/>
    <w:tmpl w:val="91A038BA"/>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8" w15:restartNumberingAfterBreak="0">
    <w:nsid w:val="7F7A4DDC"/>
    <w:multiLevelType w:val="hybridMultilevel"/>
    <w:tmpl w:val="A1DC01AA"/>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975600845">
    <w:abstractNumId w:val="0"/>
  </w:num>
  <w:num w:numId="2" w16cid:durableId="1348370003">
    <w:abstractNumId w:val="9"/>
  </w:num>
  <w:num w:numId="3" w16cid:durableId="734426583">
    <w:abstractNumId w:val="10"/>
  </w:num>
  <w:num w:numId="4" w16cid:durableId="164395069">
    <w:abstractNumId w:val="16"/>
  </w:num>
  <w:num w:numId="5" w16cid:durableId="1813056974">
    <w:abstractNumId w:val="5"/>
  </w:num>
  <w:num w:numId="6" w16cid:durableId="1057509707">
    <w:abstractNumId w:val="7"/>
  </w:num>
  <w:num w:numId="7" w16cid:durableId="816413423">
    <w:abstractNumId w:val="1"/>
  </w:num>
  <w:num w:numId="8" w16cid:durableId="672032529">
    <w:abstractNumId w:val="12"/>
  </w:num>
  <w:num w:numId="9" w16cid:durableId="206112101">
    <w:abstractNumId w:val="11"/>
  </w:num>
  <w:num w:numId="10" w16cid:durableId="1221020792">
    <w:abstractNumId w:val="18"/>
  </w:num>
  <w:num w:numId="11" w16cid:durableId="1360160511">
    <w:abstractNumId w:val="4"/>
  </w:num>
  <w:num w:numId="12" w16cid:durableId="1432164493">
    <w:abstractNumId w:val="3"/>
  </w:num>
  <w:num w:numId="13" w16cid:durableId="738794214">
    <w:abstractNumId w:val="6"/>
  </w:num>
  <w:num w:numId="14" w16cid:durableId="634137975">
    <w:abstractNumId w:val="17"/>
  </w:num>
  <w:num w:numId="15" w16cid:durableId="998265656">
    <w:abstractNumId w:val="8"/>
  </w:num>
  <w:num w:numId="16" w16cid:durableId="838734204">
    <w:abstractNumId w:val="13"/>
  </w:num>
  <w:num w:numId="17" w16cid:durableId="88987908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1082A"/>
    <w:rsid w:val="00024F1A"/>
    <w:rsid w:val="000257F7"/>
    <w:rsid w:val="00026854"/>
    <w:rsid w:val="00030FBC"/>
    <w:rsid w:val="00032D3D"/>
    <w:rsid w:val="00034056"/>
    <w:rsid w:val="00047DD3"/>
    <w:rsid w:val="00051C47"/>
    <w:rsid w:val="000523B7"/>
    <w:rsid w:val="00056797"/>
    <w:rsid w:val="00064DFF"/>
    <w:rsid w:val="00066FEB"/>
    <w:rsid w:val="0006752F"/>
    <w:rsid w:val="00070E76"/>
    <w:rsid w:val="00082D9E"/>
    <w:rsid w:val="000A3713"/>
    <w:rsid w:val="000C328F"/>
    <w:rsid w:val="000D032A"/>
    <w:rsid w:val="000D5BCA"/>
    <w:rsid w:val="000D70A2"/>
    <w:rsid w:val="000E556C"/>
    <w:rsid w:val="000E5592"/>
    <w:rsid w:val="000F42DF"/>
    <w:rsid w:val="001028F2"/>
    <w:rsid w:val="00107165"/>
    <w:rsid w:val="00122290"/>
    <w:rsid w:val="00122931"/>
    <w:rsid w:val="00123781"/>
    <w:rsid w:val="0013051B"/>
    <w:rsid w:val="00136FD6"/>
    <w:rsid w:val="00137AEE"/>
    <w:rsid w:val="00146BB2"/>
    <w:rsid w:val="0014714E"/>
    <w:rsid w:val="00156E52"/>
    <w:rsid w:val="00161D96"/>
    <w:rsid w:val="001738A0"/>
    <w:rsid w:val="0018105F"/>
    <w:rsid w:val="00181A84"/>
    <w:rsid w:val="001825E5"/>
    <w:rsid w:val="00182F50"/>
    <w:rsid w:val="00186961"/>
    <w:rsid w:val="0019545D"/>
    <w:rsid w:val="001A1AF9"/>
    <w:rsid w:val="001A2EDD"/>
    <w:rsid w:val="001B13A0"/>
    <w:rsid w:val="001B2622"/>
    <w:rsid w:val="001B3C02"/>
    <w:rsid w:val="001B401C"/>
    <w:rsid w:val="001B692B"/>
    <w:rsid w:val="001C7708"/>
    <w:rsid w:val="001D10CD"/>
    <w:rsid w:val="001D2063"/>
    <w:rsid w:val="001D22FC"/>
    <w:rsid w:val="001D3A47"/>
    <w:rsid w:val="001E6AA1"/>
    <w:rsid w:val="001F30D0"/>
    <w:rsid w:val="001F3EC3"/>
    <w:rsid w:val="00205761"/>
    <w:rsid w:val="002101BE"/>
    <w:rsid w:val="00214315"/>
    <w:rsid w:val="00216BB7"/>
    <w:rsid w:val="00232882"/>
    <w:rsid w:val="00246DE0"/>
    <w:rsid w:val="00250DD6"/>
    <w:rsid w:val="002A04C9"/>
    <w:rsid w:val="002A11C6"/>
    <w:rsid w:val="002A33D1"/>
    <w:rsid w:val="002B04B1"/>
    <w:rsid w:val="002B1016"/>
    <w:rsid w:val="002C0BBA"/>
    <w:rsid w:val="002C12B6"/>
    <w:rsid w:val="002C2F3D"/>
    <w:rsid w:val="002D13CB"/>
    <w:rsid w:val="002E3FE4"/>
    <w:rsid w:val="002E40C7"/>
    <w:rsid w:val="003173D4"/>
    <w:rsid w:val="00320782"/>
    <w:rsid w:val="00321063"/>
    <w:rsid w:val="003360D8"/>
    <w:rsid w:val="003374C0"/>
    <w:rsid w:val="00341B54"/>
    <w:rsid w:val="00343EFF"/>
    <w:rsid w:val="00344DF6"/>
    <w:rsid w:val="00346249"/>
    <w:rsid w:val="00346C40"/>
    <w:rsid w:val="00354391"/>
    <w:rsid w:val="00362801"/>
    <w:rsid w:val="0036775A"/>
    <w:rsid w:val="00384662"/>
    <w:rsid w:val="003871FB"/>
    <w:rsid w:val="00387938"/>
    <w:rsid w:val="0039584B"/>
    <w:rsid w:val="003B5AA8"/>
    <w:rsid w:val="003C3CF9"/>
    <w:rsid w:val="003C3E0B"/>
    <w:rsid w:val="003E2C7C"/>
    <w:rsid w:val="003F0BCC"/>
    <w:rsid w:val="00402758"/>
    <w:rsid w:val="00412E82"/>
    <w:rsid w:val="00421A2C"/>
    <w:rsid w:val="00440E90"/>
    <w:rsid w:val="004508F1"/>
    <w:rsid w:val="00456DCF"/>
    <w:rsid w:val="0045759B"/>
    <w:rsid w:val="004608D6"/>
    <w:rsid w:val="0046189E"/>
    <w:rsid w:val="00471E8B"/>
    <w:rsid w:val="00480A55"/>
    <w:rsid w:val="00483210"/>
    <w:rsid w:val="004A298E"/>
    <w:rsid w:val="004B2147"/>
    <w:rsid w:val="004D6EB4"/>
    <w:rsid w:val="004E5149"/>
    <w:rsid w:val="004F44AC"/>
    <w:rsid w:val="004F6610"/>
    <w:rsid w:val="005004BB"/>
    <w:rsid w:val="0050715F"/>
    <w:rsid w:val="00510D89"/>
    <w:rsid w:val="00511818"/>
    <w:rsid w:val="005141C3"/>
    <w:rsid w:val="0051686C"/>
    <w:rsid w:val="005204E8"/>
    <w:rsid w:val="0052148B"/>
    <w:rsid w:val="005254DB"/>
    <w:rsid w:val="00525ED8"/>
    <w:rsid w:val="005269B6"/>
    <w:rsid w:val="00526CC9"/>
    <w:rsid w:val="005430F9"/>
    <w:rsid w:val="0054639F"/>
    <w:rsid w:val="00552B10"/>
    <w:rsid w:val="005676FF"/>
    <w:rsid w:val="0057740E"/>
    <w:rsid w:val="00581218"/>
    <w:rsid w:val="00584DCB"/>
    <w:rsid w:val="00585320"/>
    <w:rsid w:val="0059268F"/>
    <w:rsid w:val="00595B29"/>
    <w:rsid w:val="005B2F75"/>
    <w:rsid w:val="005C706E"/>
    <w:rsid w:val="005D0971"/>
    <w:rsid w:val="005D1067"/>
    <w:rsid w:val="005D5548"/>
    <w:rsid w:val="005E778F"/>
    <w:rsid w:val="005F21CC"/>
    <w:rsid w:val="00603039"/>
    <w:rsid w:val="00603367"/>
    <w:rsid w:val="006043AE"/>
    <w:rsid w:val="00611D9C"/>
    <w:rsid w:val="006225F0"/>
    <w:rsid w:val="00623507"/>
    <w:rsid w:val="00624316"/>
    <w:rsid w:val="006243AA"/>
    <w:rsid w:val="006323F8"/>
    <w:rsid w:val="00633B89"/>
    <w:rsid w:val="00647E8B"/>
    <w:rsid w:val="006531D6"/>
    <w:rsid w:val="006718E3"/>
    <w:rsid w:val="0068014A"/>
    <w:rsid w:val="00696168"/>
    <w:rsid w:val="006A7A61"/>
    <w:rsid w:val="006A7E35"/>
    <w:rsid w:val="006B2534"/>
    <w:rsid w:val="006B28A8"/>
    <w:rsid w:val="006B48BE"/>
    <w:rsid w:val="006C15B9"/>
    <w:rsid w:val="006C194B"/>
    <w:rsid w:val="006D1243"/>
    <w:rsid w:val="006D363A"/>
    <w:rsid w:val="006E1CF3"/>
    <w:rsid w:val="006E54B5"/>
    <w:rsid w:val="006E7A95"/>
    <w:rsid w:val="006F04A2"/>
    <w:rsid w:val="006F1A93"/>
    <w:rsid w:val="006F678C"/>
    <w:rsid w:val="006F7562"/>
    <w:rsid w:val="00700A3A"/>
    <w:rsid w:val="00706FF2"/>
    <w:rsid w:val="00707154"/>
    <w:rsid w:val="00713B50"/>
    <w:rsid w:val="00714F6B"/>
    <w:rsid w:val="0071654A"/>
    <w:rsid w:val="00716E75"/>
    <w:rsid w:val="00724E68"/>
    <w:rsid w:val="00724EC9"/>
    <w:rsid w:val="0072783D"/>
    <w:rsid w:val="00727B8C"/>
    <w:rsid w:val="00731CE4"/>
    <w:rsid w:val="0074595F"/>
    <w:rsid w:val="007469DE"/>
    <w:rsid w:val="00757C24"/>
    <w:rsid w:val="007661BA"/>
    <w:rsid w:val="00770A26"/>
    <w:rsid w:val="00777CC8"/>
    <w:rsid w:val="0078151A"/>
    <w:rsid w:val="00783B5C"/>
    <w:rsid w:val="00786912"/>
    <w:rsid w:val="00792238"/>
    <w:rsid w:val="00792CC2"/>
    <w:rsid w:val="007959F7"/>
    <w:rsid w:val="007A00D9"/>
    <w:rsid w:val="007A6EB9"/>
    <w:rsid w:val="007A7A8B"/>
    <w:rsid w:val="007B4BD7"/>
    <w:rsid w:val="007C1747"/>
    <w:rsid w:val="007C1D03"/>
    <w:rsid w:val="007C371D"/>
    <w:rsid w:val="007C3F24"/>
    <w:rsid w:val="007D613E"/>
    <w:rsid w:val="007E2BE2"/>
    <w:rsid w:val="007F4C62"/>
    <w:rsid w:val="00804756"/>
    <w:rsid w:val="008068F5"/>
    <w:rsid w:val="00821ABD"/>
    <w:rsid w:val="00824ED1"/>
    <w:rsid w:val="008319F6"/>
    <w:rsid w:val="008361AC"/>
    <w:rsid w:val="00836FFE"/>
    <w:rsid w:val="008379EB"/>
    <w:rsid w:val="00847624"/>
    <w:rsid w:val="00853E99"/>
    <w:rsid w:val="00867574"/>
    <w:rsid w:val="00877A94"/>
    <w:rsid w:val="008942F3"/>
    <w:rsid w:val="008A2C56"/>
    <w:rsid w:val="008A4E88"/>
    <w:rsid w:val="008A4F44"/>
    <w:rsid w:val="008A5C65"/>
    <w:rsid w:val="008A6130"/>
    <w:rsid w:val="008B350E"/>
    <w:rsid w:val="008C491C"/>
    <w:rsid w:val="008D102D"/>
    <w:rsid w:val="008D2249"/>
    <w:rsid w:val="008D331F"/>
    <w:rsid w:val="008D63A1"/>
    <w:rsid w:val="008D72C9"/>
    <w:rsid w:val="008E3B22"/>
    <w:rsid w:val="008E750D"/>
    <w:rsid w:val="008F2EA9"/>
    <w:rsid w:val="008F546F"/>
    <w:rsid w:val="00917B49"/>
    <w:rsid w:val="00925CD6"/>
    <w:rsid w:val="009267E9"/>
    <w:rsid w:val="009276CD"/>
    <w:rsid w:val="009503FE"/>
    <w:rsid w:val="009613DB"/>
    <w:rsid w:val="00965E05"/>
    <w:rsid w:val="009661FD"/>
    <w:rsid w:val="00976637"/>
    <w:rsid w:val="0098200A"/>
    <w:rsid w:val="009950A0"/>
    <w:rsid w:val="009A15B5"/>
    <w:rsid w:val="009A2EDC"/>
    <w:rsid w:val="009B4EFF"/>
    <w:rsid w:val="009C2830"/>
    <w:rsid w:val="009C6B01"/>
    <w:rsid w:val="009D04DC"/>
    <w:rsid w:val="009D251E"/>
    <w:rsid w:val="009D331A"/>
    <w:rsid w:val="009E088A"/>
    <w:rsid w:val="009E08A7"/>
    <w:rsid w:val="009E19D2"/>
    <w:rsid w:val="009F1080"/>
    <w:rsid w:val="009F40CC"/>
    <w:rsid w:val="009F5A83"/>
    <w:rsid w:val="00A070D4"/>
    <w:rsid w:val="00A120B4"/>
    <w:rsid w:val="00A146A0"/>
    <w:rsid w:val="00A1687B"/>
    <w:rsid w:val="00A16C6D"/>
    <w:rsid w:val="00A22811"/>
    <w:rsid w:val="00A23A3E"/>
    <w:rsid w:val="00A53703"/>
    <w:rsid w:val="00A61515"/>
    <w:rsid w:val="00A6597B"/>
    <w:rsid w:val="00A67677"/>
    <w:rsid w:val="00A71946"/>
    <w:rsid w:val="00A71EFF"/>
    <w:rsid w:val="00A850DA"/>
    <w:rsid w:val="00AA3491"/>
    <w:rsid w:val="00AA719E"/>
    <w:rsid w:val="00AC5875"/>
    <w:rsid w:val="00AD3CDA"/>
    <w:rsid w:val="00AE1E06"/>
    <w:rsid w:val="00AE6E38"/>
    <w:rsid w:val="00AF3CB4"/>
    <w:rsid w:val="00AF7746"/>
    <w:rsid w:val="00B0149E"/>
    <w:rsid w:val="00B02BB7"/>
    <w:rsid w:val="00B053AB"/>
    <w:rsid w:val="00B05B71"/>
    <w:rsid w:val="00B129AA"/>
    <w:rsid w:val="00B12EE6"/>
    <w:rsid w:val="00B13310"/>
    <w:rsid w:val="00B15292"/>
    <w:rsid w:val="00B21A37"/>
    <w:rsid w:val="00B36C0F"/>
    <w:rsid w:val="00B4025E"/>
    <w:rsid w:val="00B449C4"/>
    <w:rsid w:val="00B46BE9"/>
    <w:rsid w:val="00B63516"/>
    <w:rsid w:val="00B64D4D"/>
    <w:rsid w:val="00B73DA7"/>
    <w:rsid w:val="00B7515B"/>
    <w:rsid w:val="00B7541C"/>
    <w:rsid w:val="00B806BF"/>
    <w:rsid w:val="00B949D1"/>
    <w:rsid w:val="00B97AC7"/>
    <w:rsid w:val="00BA082C"/>
    <w:rsid w:val="00BA15C5"/>
    <w:rsid w:val="00BA2287"/>
    <w:rsid w:val="00BC0651"/>
    <w:rsid w:val="00BC0F7F"/>
    <w:rsid w:val="00BC35B6"/>
    <w:rsid w:val="00BC3626"/>
    <w:rsid w:val="00BC5EBB"/>
    <w:rsid w:val="00BE0AB2"/>
    <w:rsid w:val="00BE5EF8"/>
    <w:rsid w:val="00BF0851"/>
    <w:rsid w:val="00BF3890"/>
    <w:rsid w:val="00BF72B9"/>
    <w:rsid w:val="00C02510"/>
    <w:rsid w:val="00C034BE"/>
    <w:rsid w:val="00C1016B"/>
    <w:rsid w:val="00C16DCB"/>
    <w:rsid w:val="00C21E49"/>
    <w:rsid w:val="00C24037"/>
    <w:rsid w:val="00C31994"/>
    <w:rsid w:val="00C50818"/>
    <w:rsid w:val="00C53DB8"/>
    <w:rsid w:val="00C57B76"/>
    <w:rsid w:val="00C65340"/>
    <w:rsid w:val="00C75344"/>
    <w:rsid w:val="00C75735"/>
    <w:rsid w:val="00C8358A"/>
    <w:rsid w:val="00C837A0"/>
    <w:rsid w:val="00C849F6"/>
    <w:rsid w:val="00C924CE"/>
    <w:rsid w:val="00C967A5"/>
    <w:rsid w:val="00CA41EF"/>
    <w:rsid w:val="00CC463F"/>
    <w:rsid w:val="00CC4BE7"/>
    <w:rsid w:val="00CC5715"/>
    <w:rsid w:val="00CD73BC"/>
    <w:rsid w:val="00CD7AFC"/>
    <w:rsid w:val="00CE02FD"/>
    <w:rsid w:val="00D039DD"/>
    <w:rsid w:val="00D1197C"/>
    <w:rsid w:val="00D23E3A"/>
    <w:rsid w:val="00D279F3"/>
    <w:rsid w:val="00D35642"/>
    <w:rsid w:val="00D376C4"/>
    <w:rsid w:val="00D556BF"/>
    <w:rsid w:val="00D66DD2"/>
    <w:rsid w:val="00D7092E"/>
    <w:rsid w:val="00D7159D"/>
    <w:rsid w:val="00D776BD"/>
    <w:rsid w:val="00D86F7E"/>
    <w:rsid w:val="00D90E56"/>
    <w:rsid w:val="00D9519E"/>
    <w:rsid w:val="00D97152"/>
    <w:rsid w:val="00DA4C95"/>
    <w:rsid w:val="00DA7289"/>
    <w:rsid w:val="00DD0188"/>
    <w:rsid w:val="00DD1B5F"/>
    <w:rsid w:val="00DE56A4"/>
    <w:rsid w:val="00DF5370"/>
    <w:rsid w:val="00E0054C"/>
    <w:rsid w:val="00E12092"/>
    <w:rsid w:val="00E12E39"/>
    <w:rsid w:val="00E20929"/>
    <w:rsid w:val="00E232A1"/>
    <w:rsid w:val="00E26635"/>
    <w:rsid w:val="00E30B82"/>
    <w:rsid w:val="00E34A48"/>
    <w:rsid w:val="00E36BD9"/>
    <w:rsid w:val="00E463C3"/>
    <w:rsid w:val="00E4679F"/>
    <w:rsid w:val="00E479EA"/>
    <w:rsid w:val="00E53E60"/>
    <w:rsid w:val="00E64B9D"/>
    <w:rsid w:val="00E71138"/>
    <w:rsid w:val="00E84638"/>
    <w:rsid w:val="00E879B9"/>
    <w:rsid w:val="00E917D2"/>
    <w:rsid w:val="00E93618"/>
    <w:rsid w:val="00EB00DE"/>
    <w:rsid w:val="00EB179D"/>
    <w:rsid w:val="00EB3179"/>
    <w:rsid w:val="00EC5581"/>
    <w:rsid w:val="00ED2558"/>
    <w:rsid w:val="00ED2984"/>
    <w:rsid w:val="00ED3906"/>
    <w:rsid w:val="00EE5AEE"/>
    <w:rsid w:val="00EE5B62"/>
    <w:rsid w:val="00EF13C6"/>
    <w:rsid w:val="00EF64D1"/>
    <w:rsid w:val="00F101AB"/>
    <w:rsid w:val="00F1796D"/>
    <w:rsid w:val="00F335D1"/>
    <w:rsid w:val="00F335D3"/>
    <w:rsid w:val="00F4296C"/>
    <w:rsid w:val="00F4391C"/>
    <w:rsid w:val="00F4685A"/>
    <w:rsid w:val="00F55EC1"/>
    <w:rsid w:val="00F64542"/>
    <w:rsid w:val="00F7135D"/>
    <w:rsid w:val="00F746ED"/>
    <w:rsid w:val="00F7656C"/>
    <w:rsid w:val="00F82F18"/>
    <w:rsid w:val="00F873F4"/>
    <w:rsid w:val="00F9280D"/>
    <w:rsid w:val="00FA78F1"/>
    <w:rsid w:val="00FB72F9"/>
    <w:rsid w:val="00FD6464"/>
    <w:rsid w:val="00FE0009"/>
    <w:rsid w:val="00FE3043"/>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0030B4"/>
    <w:pPr>
      <w:numPr>
        <w:numId w:val="0"/>
      </w:num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0030B4"/>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3039"/>
    <w:pPr>
      <w:tabs>
        <w:tab w:val="right" w:pos="9016"/>
      </w:tabs>
      <w:spacing w:before="60" w:after="60"/>
      <w:ind w:left="426"/>
    </w:pPr>
    <w:rPr>
      <w:noProof/>
    </w:rPr>
  </w:style>
  <w:style w:type="paragraph" w:styleId="TOC3">
    <w:name w:val="toc 3"/>
    <w:basedOn w:val="Normal0"/>
    <w:next w:val="Normal0"/>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0"/>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rsid w:val="00B7541C"/>
  </w:style>
  <w:style w:type="paragraph" w:customStyle="1" w:styleId="FrontmatterRecommendationlistbody">
    <w:name w:val="Front matter (Recommendation list body)"/>
    <w:basedOn w:val="Normal0"/>
    <w:rsid w:val="00976637"/>
    <w:pPr>
      <w:spacing w:before="120" w:after="120" w:line="252" w:lineRule="auto"/>
    </w:pPr>
    <w:rPr>
      <w:color w:val="000000" w:themeColor="text1"/>
    </w:rPr>
  </w:style>
  <w:style w:type="paragraph" w:customStyle="1" w:styleId="Recommendationbody">
    <w:name w:val="Recommendation body"/>
    <w:basedOn w:val="Normal0"/>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rsid w:val="00552B10"/>
    <w:pPr>
      <w:numPr>
        <w:numId w:val="2"/>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qFormat/>
    <w:rsid w:val="00552B10"/>
    <w:pPr>
      <w:keepLines w:val="0"/>
      <w:numPr>
        <w:numId w:val="3"/>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qFormat/>
    <w:rsid w:val="00552B10"/>
    <w:pPr>
      <w:numPr>
        <w:numId w:val="4"/>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rsid w:val="00552B10"/>
    <w:pPr>
      <w:outlineLvl w:val="9"/>
    </w:pPr>
  </w:style>
  <w:style w:type="paragraph" w:customStyle="1" w:styleId="Amainreturn">
    <w:name w:val="A main return"/>
    <w:basedOn w:val="Normal0"/>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hyperlink" Target="https://www.ntc.gov.au/sites/default/files/assets/files/D-21-0127174%20-%20Overview%20of%20differences%20between%207.7%20and%207.8.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egislation.act.gov.au" TargetMode="External"/><Relationship Id="rId7" Type="http://schemas.openxmlformats.org/officeDocument/2006/relationships/endnotes" Target="endnotes.xml"/><Relationship Id="rId12" Type="http://schemas.openxmlformats.org/officeDocument/2006/relationships/hyperlink" Target="https://www.parliament.act.gov.au/parliamentary-business/in-committees/committees/resolution-for-committees/resolution-establishing-committees-of-the-tenth-assembly" TargetMode="External"/><Relationship Id="rId17" Type="http://schemas.openxmlformats.org/officeDocument/2006/relationships/hyperlink" Target="https://pcc.gov.au/uniform/2020/Model-Subordinate-Instrument-on-Transport-of-Dangerous-Goods-2020-06-05.pdf"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arliament.act.gov.au/parliamentary-business/in-committees/committees/JCS_Scrutiny/responses-to-comments-on-bills" TargetMode="External"/><Relationship Id="rId20" Type="http://schemas.openxmlformats.org/officeDocument/2006/relationships/hyperlink" Target="https://www.legislation.act.gov.au/View/es/db_68330/20231101-82189/html/db_6833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www.ntc.gov.au/codes-and-guidelines/australian-dangerous-goods-cod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parliament.act.gov.au/parliamentary-business/in-committees/committees/JCS_Scrutiny/responses-to-comments-on-b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666B8"/>
    <w:rsid w:val="00136AD7"/>
    <w:rsid w:val="001C6AE0"/>
    <w:rsid w:val="00243009"/>
    <w:rsid w:val="002E0418"/>
    <w:rsid w:val="003C3B8F"/>
    <w:rsid w:val="003D5F1D"/>
    <w:rsid w:val="00407E18"/>
    <w:rsid w:val="00465034"/>
    <w:rsid w:val="0047394C"/>
    <w:rsid w:val="005A1920"/>
    <w:rsid w:val="005F0866"/>
    <w:rsid w:val="00695922"/>
    <w:rsid w:val="006D2E2B"/>
    <w:rsid w:val="007376EF"/>
    <w:rsid w:val="0077148B"/>
    <w:rsid w:val="00782EDE"/>
    <w:rsid w:val="008170C4"/>
    <w:rsid w:val="0083543A"/>
    <w:rsid w:val="00876FDA"/>
    <w:rsid w:val="008927B5"/>
    <w:rsid w:val="008F75D9"/>
    <w:rsid w:val="0093479E"/>
    <w:rsid w:val="00970294"/>
    <w:rsid w:val="009F6D59"/>
    <w:rsid w:val="00B551B6"/>
    <w:rsid w:val="00C83312"/>
    <w:rsid w:val="00C8550A"/>
    <w:rsid w:val="00DC17BA"/>
    <w:rsid w:val="00ED5EF4"/>
    <w:rsid w:val="00F4175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10792</Words>
  <Characters>61519</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72167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4</cp:revision>
  <cp:lastPrinted>2024-05-28T02:12:00Z</cp:lastPrinted>
  <dcterms:created xsi:type="dcterms:W3CDTF">2024-05-28T02:09:00Z</dcterms:created>
  <dcterms:modified xsi:type="dcterms:W3CDTF">2024-05-28T03:44:00Z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