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p w14:paraId="202E963F" w14:textId="693C4883" w:rsidR="00C61A86" w:rsidRDefault="0008189D" w:rsidP="00E62541">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r w:rsidR="00E62541">
            <w:t>Standing Committee on Justice and Community Safety</w:t>
          </w:r>
        </w:sdtContent>
      </w:sdt>
    </w:p>
    <w:p w14:paraId="6F1D36AD" w14:textId="3280DDE9" w:rsidR="0075417C" w:rsidRPr="00E62541" w:rsidRDefault="00C02510" w:rsidP="00E62541">
      <w:pPr>
        <w:pStyle w:val="Title"/>
        <w:spacing w:before="4000" w:after="160"/>
        <w:ind w:right="-45"/>
        <w:rPr>
          <w:sz w:val="56"/>
          <w:szCs w:val="56"/>
        </w:rPr>
      </w:pPr>
      <w:r w:rsidRPr="00E62541">
        <w:rPr>
          <w:sz w:val="56"/>
          <w:szCs w:val="56"/>
        </w:rPr>
        <w:t xml:space="preserve">Inquiry into </w:t>
      </w:r>
      <w:r w:rsidR="00E62541">
        <w:rPr>
          <w:sz w:val="56"/>
          <w:szCs w:val="56"/>
        </w:rPr>
        <w:t>Sexual, Family and Personal Violence Amendment Bill 2023</w:t>
      </w:r>
    </w:p>
    <w:p w14:paraId="1D81489A" w14:textId="66A5760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236093">
      <w:pPr>
        <w:pStyle w:val="Heading1nonumber"/>
      </w:pPr>
      <w:bookmarkStart w:id="1" w:name="_Toc160446694"/>
      <w:r>
        <w:lastRenderedPageBreak/>
        <w:t>About the</w:t>
      </w:r>
      <w:r w:rsidR="00A23A3E">
        <w:t xml:space="preserve"> committee</w:t>
      </w:r>
      <w:bookmarkEnd w:id="1"/>
    </w:p>
    <w:p w14:paraId="5F0FD841" w14:textId="001984C3" w:rsidR="00123781" w:rsidRDefault="00D23E3A" w:rsidP="00D90ED8">
      <w:pPr>
        <w:pStyle w:val="Heading2"/>
      </w:pPr>
      <w:bookmarkStart w:id="2" w:name="_Toc160446695"/>
      <w:r>
        <w:t>Establishing resolution</w:t>
      </w:r>
      <w:bookmarkEnd w:id="2"/>
    </w:p>
    <w:p w14:paraId="12BE434B" w14:textId="7E342F01" w:rsidR="00024F1A" w:rsidRDefault="00123781" w:rsidP="00123781">
      <w:r>
        <w:t xml:space="preserve">The Assembly established </w:t>
      </w:r>
      <w:r w:rsidR="00024F1A">
        <w:t>the</w:t>
      </w:r>
      <w:r>
        <w:t xml:space="preserve"> </w:t>
      </w:r>
      <w:r w:rsidR="0008189D">
        <w:fldChar w:fldCharType="begin"/>
      </w:r>
      <w:r w:rsidR="0008189D">
        <w:instrText xml:space="preserve"> STYLEREF  "Cover - Committee name"  \* MERGEFORMAT </w:instrText>
      </w:r>
      <w:r w:rsidR="0008189D">
        <w:fldChar w:fldCharType="separate"/>
      </w:r>
      <w:r w:rsidR="006F3488">
        <w:rPr>
          <w:noProof/>
        </w:rPr>
        <w:t>Standing Committee on Justice and Community Safety</w:t>
      </w:r>
      <w:r w:rsidR="0008189D">
        <w:rPr>
          <w:noProof/>
        </w:rPr>
        <w:fldChar w:fldCharType="end"/>
      </w:r>
      <w:r>
        <w:t xml:space="preserve"> on 2</w:t>
      </w:r>
      <w:r w:rsidR="0051712D">
        <w:t> </w:t>
      </w:r>
      <w:r>
        <w:t xml:space="preserve">December 2020. </w:t>
      </w:r>
    </w:p>
    <w:p w14:paraId="64CBB1EF" w14:textId="558984D3" w:rsidR="005D0971" w:rsidRDefault="00024F1A" w:rsidP="005D0971">
      <w:pPr>
        <w:spacing w:after="120"/>
      </w:pPr>
      <w:r>
        <w:t>The Committee is responsible for the following areas</w:t>
      </w:r>
      <w:r w:rsidR="005D0971">
        <w:t>:</w:t>
      </w:r>
    </w:p>
    <w:p w14:paraId="387FFC25" w14:textId="77777777" w:rsidR="00E62541" w:rsidRDefault="00E62541" w:rsidP="00E62541">
      <w:pPr>
        <w:pStyle w:val="ListParagraph"/>
        <w:numPr>
          <w:ilvl w:val="0"/>
          <w:numId w:val="14"/>
        </w:numPr>
        <w:sectPr w:rsidR="00E62541"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43C26EB0" w14:textId="77777777" w:rsidR="00E62541" w:rsidRDefault="00E62541" w:rsidP="00E62541">
      <w:pPr>
        <w:pStyle w:val="ListParagraph"/>
        <w:numPr>
          <w:ilvl w:val="0"/>
          <w:numId w:val="14"/>
        </w:numPr>
      </w:pPr>
      <w:r>
        <w:t>ACT Electoral Commission</w:t>
      </w:r>
    </w:p>
    <w:p w14:paraId="151D3D7E" w14:textId="77777777" w:rsidR="00E62541" w:rsidRDefault="00E62541" w:rsidP="00E62541">
      <w:pPr>
        <w:pStyle w:val="ListParagraph"/>
        <w:numPr>
          <w:ilvl w:val="0"/>
          <w:numId w:val="14"/>
        </w:numPr>
      </w:pPr>
      <w:r>
        <w:t>ACT Integrity Commission</w:t>
      </w:r>
    </w:p>
    <w:p w14:paraId="1DCCCAC4" w14:textId="77777777" w:rsidR="00E62541" w:rsidRDefault="00E62541" w:rsidP="00E62541">
      <w:pPr>
        <w:pStyle w:val="ListParagraph"/>
        <w:numPr>
          <w:ilvl w:val="0"/>
          <w:numId w:val="14"/>
        </w:numPr>
      </w:pPr>
      <w:r>
        <w:t>Gaming</w:t>
      </w:r>
    </w:p>
    <w:p w14:paraId="548B7953" w14:textId="77777777" w:rsidR="00E62541" w:rsidRDefault="00E62541" w:rsidP="00E62541">
      <w:pPr>
        <w:pStyle w:val="ListParagraph"/>
        <w:numPr>
          <w:ilvl w:val="0"/>
          <w:numId w:val="14"/>
        </w:numPr>
      </w:pPr>
      <w:r>
        <w:t>Minister of State (JACS reporting areas)</w:t>
      </w:r>
    </w:p>
    <w:p w14:paraId="05BA40DE" w14:textId="77777777" w:rsidR="00E62541" w:rsidRDefault="00E62541" w:rsidP="00E62541">
      <w:pPr>
        <w:pStyle w:val="ListParagraph"/>
        <w:numPr>
          <w:ilvl w:val="0"/>
          <w:numId w:val="14"/>
        </w:numPr>
      </w:pPr>
      <w:r>
        <w:t>Emergency management and the Emergency Services Agency</w:t>
      </w:r>
    </w:p>
    <w:p w14:paraId="555744B6" w14:textId="77777777" w:rsidR="00E62541" w:rsidRDefault="00E62541" w:rsidP="00E62541">
      <w:pPr>
        <w:pStyle w:val="ListParagraph"/>
        <w:numPr>
          <w:ilvl w:val="0"/>
          <w:numId w:val="14"/>
        </w:numPr>
      </w:pPr>
      <w:r>
        <w:t>Policing and ACT Policing</w:t>
      </w:r>
    </w:p>
    <w:p w14:paraId="0FF3DF93" w14:textId="77777777" w:rsidR="00E62541" w:rsidRDefault="00E62541" w:rsidP="00E62541">
      <w:pPr>
        <w:pStyle w:val="ListParagraph"/>
        <w:numPr>
          <w:ilvl w:val="0"/>
          <w:numId w:val="14"/>
        </w:numPr>
      </w:pPr>
      <w:r>
        <w:t>ACT Ombudsman</w:t>
      </w:r>
    </w:p>
    <w:p w14:paraId="19D4BBA2" w14:textId="77777777" w:rsidR="00E62541" w:rsidRDefault="00E62541" w:rsidP="00E62541">
      <w:pPr>
        <w:pStyle w:val="ListParagraph"/>
        <w:numPr>
          <w:ilvl w:val="0"/>
          <w:numId w:val="14"/>
        </w:numPr>
      </w:pPr>
      <w:r>
        <w:t>Corrective services</w:t>
      </w:r>
    </w:p>
    <w:p w14:paraId="112EF64B" w14:textId="77777777" w:rsidR="00E62541" w:rsidRDefault="00E62541" w:rsidP="00E62541">
      <w:pPr>
        <w:pStyle w:val="ListParagraph"/>
        <w:numPr>
          <w:ilvl w:val="0"/>
          <w:numId w:val="14"/>
        </w:numPr>
      </w:pPr>
      <w:r>
        <w:t>Attorney-General</w:t>
      </w:r>
    </w:p>
    <w:p w14:paraId="51AB56D0" w14:textId="77777777" w:rsidR="00E62541" w:rsidRDefault="00E62541" w:rsidP="00E62541">
      <w:pPr>
        <w:pStyle w:val="ListParagraph"/>
        <w:numPr>
          <w:ilvl w:val="0"/>
          <w:numId w:val="14"/>
        </w:numPr>
      </w:pPr>
      <w:r>
        <w:t>Consumer affairs</w:t>
      </w:r>
    </w:p>
    <w:p w14:paraId="352E52EA" w14:textId="77777777" w:rsidR="00E62541" w:rsidRDefault="00E62541" w:rsidP="00E62541">
      <w:pPr>
        <w:pStyle w:val="ListParagraph"/>
        <w:numPr>
          <w:ilvl w:val="0"/>
          <w:numId w:val="14"/>
        </w:numPr>
      </w:pPr>
      <w:r>
        <w:t>Human rights</w:t>
      </w:r>
    </w:p>
    <w:p w14:paraId="4D2F9D52" w14:textId="77777777" w:rsidR="00E62541" w:rsidRDefault="00E62541" w:rsidP="00E62541">
      <w:pPr>
        <w:pStyle w:val="ListParagraph"/>
        <w:numPr>
          <w:ilvl w:val="0"/>
          <w:numId w:val="14"/>
        </w:numPr>
      </w:pPr>
      <w:r>
        <w:t>Victims of crime</w:t>
      </w:r>
    </w:p>
    <w:p w14:paraId="36B3231D" w14:textId="77777777" w:rsidR="00E62541" w:rsidRDefault="00E62541" w:rsidP="00E62541">
      <w:pPr>
        <w:pStyle w:val="ListParagraph"/>
        <w:numPr>
          <w:ilvl w:val="0"/>
          <w:numId w:val="14"/>
        </w:numPr>
      </w:pPr>
      <w:r>
        <w:t>Access to justice and restorative practice</w:t>
      </w:r>
    </w:p>
    <w:p w14:paraId="2896FBC0" w14:textId="0E43F388" w:rsidR="006718E3" w:rsidRPr="007A7A8B" w:rsidRDefault="00E62541" w:rsidP="00E62541">
      <w:pPr>
        <w:pStyle w:val="ListParagraph"/>
        <w:numPr>
          <w:ilvl w:val="0"/>
          <w:numId w:val="14"/>
        </w:numPr>
        <w:rPr>
          <w:color w:val="FF0000"/>
        </w:rPr>
      </w:pPr>
      <w:r>
        <w:t>Public Trustee and Guardian</w:t>
      </w:r>
    </w:p>
    <w:p w14:paraId="20F8E811" w14:textId="77777777" w:rsidR="00E62541" w:rsidRDefault="00E62541" w:rsidP="007A7A8B">
      <w:pPr>
        <w:spacing w:before="120"/>
        <w:sectPr w:rsidR="00E62541" w:rsidSect="00E62541">
          <w:type w:val="continuous"/>
          <w:pgSz w:w="11906" w:h="16838"/>
          <w:pgMar w:top="1440" w:right="1440" w:bottom="1440" w:left="1440" w:header="708" w:footer="708" w:gutter="0"/>
          <w:pgNumType w:fmt="lowerRoman" w:start="1"/>
          <w:cols w:num="2" w:space="708"/>
          <w:docGrid w:linePitch="360"/>
        </w:sectPr>
      </w:pPr>
    </w:p>
    <w:p w14:paraId="459E064D" w14:textId="59FDF075" w:rsidR="007A7A8B" w:rsidRDefault="007A7A8B" w:rsidP="007A7A8B">
      <w:pPr>
        <w:spacing w:before="120"/>
      </w:pPr>
      <w:r>
        <w:t xml:space="preserve">You can read the full establishing resolution </w:t>
      </w:r>
      <w:hyperlink r:id="rId17" w:history="1">
        <w:r w:rsidRPr="006718E3">
          <w:rPr>
            <w:rStyle w:val="Hyperlink"/>
          </w:rPr>
          <w:t>on our website.</w:t>
        </w:r>
      </w:hyperlink>
    </w:p>
    <w:p w14:paraId="595A8310" w14:textId="3DC77E10" w:rsidR="00A23A3E" w:rsidRDefault="00A23A3E" w:rsidP="00D90ED8">
      <w:pPr>
        <w:pStyle w:val="Heading2"/>
      </w:pPr>
      <w:bookmarkStart w:id="3" w:name="_Toc160446696"/>
      <w:r>
        <w:t>Committee members</w:t>
      </w:r>
      <w:bookmarkEnd w:id="3"/>
    </w:p>
    <w:p w14:paraId="3CAB0EA5" w14:textId="562576C5" w:rsidR="00E62541" w:rsidRDefault="00E62541" w:rsidP="00E62541">
      <w:pPr>
        <w:pStyle w:val="List"/>
      </w:pPr>
      <w:r>
        <w:t>Peter Cain MLA, Chair</w:t>
      </w:r>
    </w:p>
    <w:p w14:paraId="095DA537" w14:textId="583B39D2" w:rsidR="00E62541" w:rsidRDefault="00E62541" w:rsidP="00E62541">
      <w:pPr>
        <w:pStyle w:val="List"/>
      </w:pPr>
      <w:r>
        <w:t>Marisa Paterson MLA, Deputy Chair</w:t>
      </w:r>
    </w:p>
    <w:p w14:paraId="574DBBE9" w14:textId="3445CE50" w:rsidR="00E62541" w:rsidRDefault="00E62541" w:rsidP="00E62541">
      <w:pPr>
        <w:pStyle w:val="List"/>
      </w:pPr>
      <w:r>
        <w:t xml:space="preserve">Andrew Braddock MLA </w:t>
      </w:r>
    </w:p>
    <w:p w14:paraId="4764FEB1" w14:textId="2F1BC47D" w:rsidR="00A23A3E" w:rsidRDefault="00A23A3E" w:rsidP="00E62541">
      <w:pPr>
        <w:pStyle w:val="Heading2"/>
      </w:pPr>
      <w:bookmarkStart w:id="4" w:name="_Toc160446697"/>
      <w:r>
        <w:t>Secretariat</w:t>
      </w:r>
      <w:bookmarkEnd w:id="4"/>
    </w:p>
    <w:p w14:paraId="37A5C9E0" w14:textId="2929E7A6" w:rsidR="00E62541" w:rsidRDefault="00E62541" w:rsidP="00E62541">
      <w:pPr>
        <w:pStyle w:val="List"/>
      </w:pPr>
      <w:r>
        <w:t xml:space="preserve">Kathleen de Kleuver, Committee Secretary </w:t>
      </w:r>
    </w:p>
    <w:p w14:paraId="6E3E620D" w14:textId="697942BC" w:rsidR="00E62541" w:rsidRDefault="00E62541" w:rsidP="00E62541">
      <w:pPr>
        <w:pStyle w:val="List"/>
      </w:pPr>
      <w:r>
        <w:t>Alicia Coupland, Assistant Secretary</w:t>
      </w:r>
    </w:p>
    <w:p w14:paraId="5FC015CC" w14:textId="51950C5A" w:rsidR="00E62541" w:rsidRDefault="00E62541" w:rsidP="00E62541">
      <w:pPr>
        <w:pStyle w:val="List"/>
      </w:pPr>
      <w:r>
        <w:t>Erin Dinneen, Assistant Secretary</w:t>
      </w:r>
    </w:p>
    <w:p w14:paraId="671A7017" w14:textId="034B9F61" w:rsidR="00A23A3E" w:rsidRDefault="00E62541" w:rsidP="00E62541">
      <w:pPr>
        <w:pStyle w:val="List"/>
      </w:pPr>
      <w:r>
        <w:t>Satyen Sharma, Administrative Officer</w:t>
      </w:r>
    </w:p>
    <w:p w14:paraId="5BE4FC1F" w14:textId="77777777" w:rsidR="00A23A3E" w:rsidRDefault="00A23A3E" w:rsidP="00D90ED8">
      <w:pPr>
        <w:pStyle w:val="Heading2"/>
      </w:pPr>
      <w:bookmarkStart w:id="5" w:name="_Toc160446698"/>
      <w:r>
        <w:t>Contact us</w:t>
      </w:r>
      <w:bookmarkEnd w:id="5"/>
    </w:p>
    <w:p w14:paraId="309C2876" w14:textId="0E9B7FA2" w:rsidR="001D22FC" w:rsidRDefault="00A23A3E" w:rsidP="001D22FC">
      <w:pPr>
        <w:ind w:left="1134" w:hanging="1134"/>
      </w:pPr>
      <w:r>
        <w:rPr>
          <w:b/>
          <w:bCs/>
        </w:rPr>
        <w:t>Mail</w:t>
      </w:r>
      <w:r>
        <w:tab/>
      </w:r>
      <w:r w:rsidR="0008189D">
        <w:fldChar w:fldCharType="begin"/>
      </w:r>
      <w:r w:rsidR="0008189D">
        <w:instrText xml:space="preserve"> STYLEREF  "Cover - Committee name"  \* MERGEFORMAT </w:instrText>
      </w:r>
      <w:r w:rsidR="0008189D">
        <w:fldChar w:fldCharType="separate"/>
      </w:r>
      <w:r w:rsidR="006F3488">
        <w:rPr>
          <w:noProof/>
        </w:rPr>
        <w:t>Standing Committee on Justice and Community Safety</w:t>
      </w:r>
      <w:r w:rsidR="0008189D">
        <w:rPr>
          <w:noProof/>
        </w:rPr>
        <w:fldChar w:fldCharType="end"/>
      </w:r>
      <w:r w:rsidR="001D22FC">
        <w:br/>
        <w:t>Legislative Assembly for the Australian Capital Territory</w:t>
      </w:r>
      <w:r w:rsidR="001D22FC">
        <w:br/>
        <w:t>GPO Box 1020</w:t>
      </w:r>
      <w:r w:rsidR="001D22FC">
        <w:br/>
        <w:t>CANBERRA ACT 2601</w:t>
      </w:r>
    </w:p>
    <w:p w14:paraId="664A1C88" w14:textId="3B80D17F" w:rsidR="001D22FC" w:rsidRDefault="001D22FC" w:rsidP="001D22FC">
      <w:pPr>
        <w:ind w:left="1134" w:hanging="1134"/>
      </w:pPr>
      <w:r>
        <w:rPr>
          <w:b/>
          <w:bCs/>
        </w:rPr>
        <w:t>Phone</w:t>
      </w:r>
      <w:r>
        <w:rPr>
          <w:b/>
          <w:bCs/>
        </w:rPr>
        <w:tab/>
      </w:r>
      <w:r>
        <w:t xml:space="preserve">(02) </w:t>
      </w:r>
      <w:r w:rsidRPr="008E750D">
        <w:t>620</w:t>
      </w:r>
      <w:r w:rsidR="00E62541">
        <w:t>7 0524</w:t>
      </w:r>
    </w:p>
    <w:p w14:paraId="3A6B4157" w14:textId="46416B24" w:rsidR="001D22FC" w:rsidRDefault="001D22FC" w:rsidP="001D22FC">
      <w:pPr>
        <w:ind w:left="1134" w:hanging="1134"/>
      </w:pPr>
      <w:r>
        <w:rPr>
          <w:b/>
          <w:bCs/>
        </w:rPr>
        <w:t>Email</w:t>
      </w:r>
      <w:r>
        <w:tab/>
      </w:r>
      <w:r w:rsidR="00E62541">
        <w:t>LACommitteeJCS</w:t>
      </w:r>
      <w:r w:rsidR="008E750D">
        <w:t xml:space="preserve">@parliament.act.gov.au </w:t>
      </w:r>
    </w:p>
    <w:p w14:paraId="27F322AD" w14:textId="2F837CE3" w:rsidR="00ED3906" w:rsidRDefault="001D22FC" w:rsidP="00123781">
      <w:pPr>
        <w:spacing w:line="259" w:lineRule="auto"/>
        <w:ind w:left="1134" w:hanging="1134"/>
      </w:pPr>
      <w:r>
        <w:rPr>
          <w:b/>
          <w:bCs/>
        </w:rPr>
        <w:t>Website</w:t>
      </w:r>
      <w:r w:rsidR="00123781">
        <w:rPr>
          <w:b/>
          <w:bCs/>
        </w:rPr>
        <w:tab/>
      </w:r>
      <w:hyperlink r:id="rId18" w:history="1">
        <w:r w:rsidRPr="001D22FC">
          <w:rPr>
            <w:rStyle w:val="Hyperlink"/>
          </w:rPr>
          <w:t>parliament.act.gov.au/parliamentary-business/in-committees</w:t>
        </w:r>
      </w:hyperlink>
      <w:r w:rsidR="00E62541">
        <w:rPr>
          <w:rStyle w:val="Hyperlink"/>
        </w:rPr>
        <w:t>/jcs</w:t>
      </w:r>
    </w:p>
    <w:p w14:paraId="5BCE2563" w14:textId="074A401E" w:rsidR="00ED3906" w:rsidRDefault="00ED3906">
      <w:pPr>
        <w:spacing w:line="259" w:lineRule="auto"/>
      </w:pPr>
    </w:p>
    <w:p w14:paraId="47F00114" w14:textId="4F6A3A10" w:rsidR="007F0956" w:rsidRDefault="006718E3" w:rsidP="00236093">
      <w:pPr>
        <w:pStyle w:val="Heading1nonumber"/>
      </w:pPr>
      <w:bookmarkStart w:id="6" w:name="_Toc160446699"/>
      <w:r>
        <w:lastRenderedPageBreak/>
        <w:t>About this inquiry</w:t>
      </w:r>
      <w:bookmarkEnd w:id="6"/>
    </w:p>
    <w:p w14:paraId="228149C7" w14:textId="7CAE77F7" w:rsidR="00395552" w:rsidRDefault="00395552" w:rsidP="00395552">
      <w:r>
        <w:br/>
      </w:r>
      <w:r w:rsidR="00133E6C">
        <w:t>The Sexual, Family and Personal Violence Legislation Amendment Bill 2023</w:t>
      </w:r>
      <w:r>
        <w:t xml:space="preserve"> was presented in the Assembly </w:t>
      </w:r>
      <w:r w:rsidR="00133E6C">
        <w:t>on 2 November 2023</w:t>
      </w:r>
      <w:r>
        <w:t xml:space="preserve"> and referred to the </w:t>
      </w:r>
      <w:r w:rsidR="0008189D">
        <w:fldChar w:fldCharType="begin"/>
      </w:r>
      <w:r w:rsidR="0008189D">
        <w:instrText xml:space="preserve"> STYLEREF  "Cover - Committee name"  \* MERGEFORMAT </w:instrText>
      </w:r>
      <w:r w:rsidR="0008189D">
        <w:fldChar w:fldCharType="separate"/>
      </w:r>
      <w:r w:rsidR="006F3488">
        <w:rPr>
          <w:noProof/>
        </w:rPr>
        <w:t>Standing Committee on Justice and Community Safety</w:t>
      </w:r>
      <w:r w:rsidR="0008189D">
        <w:rPr>
          <w:noProof/>
        </w:rPr>
        <w:fldChar w:fldCharType="end"/>
      </w:r>
      <w:r>
        <w:t xml:space="preserve">. </w:t>
      </w:r>
      <w:r>
        <w:rPr>
          <w:rFonts w:eastAsia="Times New Roman"/>
        </w:rPr>
        <w:t>Standing order 174 refers all bills presented to the Assembly to the relevant standing committee for inquiry. A Committee has three weeks from the date of presentation, or one week after the tabling of the relevant scrutiny report, whichever is later, to advise the Speaker on whether it will undertake an inquiry.</w:t>
      </w:r>
    </w:p>
    <w:p w14:paraId="54F81A21" w14:textId="77777777" w:rsidR="00395552" w:rsidRDefault="00395552" w:rsidP="00395552">
      <w:r>
        <w:t xml:space="preserve">If the Committee does decide to undertake an inquiry, it must report within three months from the date of presentation of the bill, with the exception of bills presented in the last sitting period of a calendar year, in which case the Committee has four months to inquire and report. </w:t>
      </w:r>
    </w:p>
    <w:p w14:paraId="5CE63E22" w14:textId="58F9099E" w:rsidR="00395552" w:rsidRPr="00F2069E" w:rsidRDefault="00395552" w:rsidP="00133E6C">
      <w:pPr>
        <w:rPr>
          <w:b/>
          <w:bCs/>
        </w:rPr>
      </w:pPr>
      <w:r>
        <w:t xml:space="preserve">The Committee decided to inquire into the bill </w:t>
      </w:r>
      <w:r w:rsidR="00133E6C">
        <w:t>on 8 November 2023.</w:t>
      </w:r>
    </w:p>
    <w:p w14:paraId="07EA9305" w14:textId="60762FD7" w:rsidR="00395552" w:rsidRDefault="00395552" w:rsidP="00395552">
      <w:r>
        <w:t xml:space="preserve">Committees may seek an extension from the Assembly </w:t>
      </w:r>
      <w:r w:rsidR="00914741">
        <w:t>to</w:t>
      </w:r>
      <w:r>
        <w:t xml:space="preserve"> the reporting date of a Bill inquiry. The Committee sought and was granted an extension for this inquiry </w:t>
      </w:r>
      <w:r w:rsidR="00133E6C">
        <w:t>on 28 November 2023,</w:t>
      </w:r>
      <w:r>
        <w:t xml:space="preserve"> with the new reporting date </w:t>
      </w:r>
      <w:r w:rsidR="006D1392">
        <w:t>of</w:t>
      </w:r>
      <w:r w:rsidR="00133E6C">
        <w:t xml:space="preserve"> 14 March 2024.</w:t>
      </w:r>
      <w:r w:rsidR="00133E6C">
        <w:rPr>
          <w:rStyle w:val="FootnoteReference"/>
        </w:rPr>
        <w:footnoteReference w:id="1"/>
      </w:r>
    </w:p>
    <w:p w14:paraId="40438A1B" w14:textId="77777777" w:rsidR="00395552" w:rsidRDefault="00395552"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F98BEC4" w14:textId="585CFA15" w:rsidR="001F4B26"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60446694" w:history="1">
            <w:r w:rsidR="001F4B26" w:rsidRPr="00985374">
              <w:rPr>
                <w:rStyle w:val="Hyperlink"/>
              </w:rPr>
              <w:t>About the committee</w:t>
            </w:r>
            <w:r w:rsidR="001F4B26">
              <w:rPr>
                <w:webHidden/>
              </w:rPr>
              <w:tab/>
            </w:r>
            <w:r w:rsidR="001F4B26">
              <w:rPr>
                <w:webHidden/>
              </w:rPr>
              <w:fldChar w:fldCharType="begin"/>
            </w:r>
            <w:r w:rsidR="001F4B26">
              <w:rPr>
                <w:webHidden/>
              </w:rPr>
              <w:instrText xml:space="preserve"> PAGEREF _Toc160446694 \h </w:instrText>
            </w:r>
            <w:r w:rsidR="001F4B26">
              <w:rPr>
                <w:webHidden/>
              </w:rPr>
            </w:r>
            <w:r w:rsidR="001F4B26">
              <w:rPr>
                <w:webHidden/>
              </w:rPr>
              <w:fldChar w:fldCharType="separate"/>
            </w:r>
            <w:r w:rsidR="006F3488">
              <w:rPr>
                <w:webHidden/>
              </w:rPr>
              <w:t>i</w:t>
            </w:r>
            <w:r w:rsidR="001F4B26">
              <w:rPr>
                <w:webHidden/>
              </w:rPr>
              <w:fldChar w:fldCharType="end"/>
            </w:r>
          </w:hyperlink>
        </w:p>
        <w:p w14:paraId="31DB4DE1" w14:textId="5FBBC7D4" w:rsidR="001F4B26" w:rsidRDefault="0008189D">
          <w:pPr>
            <w:pStyle w:val="TOC2"/>
            <w:rPr>
              <w:rFonts w:eastAsiaTheme="minorEastAsia"/>
              <w:kern w:val="2"/>
              <w:lang w:eastAsia="en-AU"/>
              <w14:ligatures w14:val="standardContextual"/>
            </w:rPr>
          </w:pPr>
          <w:hyperlink w:anchor="_Toc160446695" w:history="1">
            <w:r w:rsidR="001F4B26" w:rsidRPr="00985374">
              <w:rPr>
                <w:rStyle w:val="Hyperlink"/>
              </w:rPr>
              <w:t>Establishing resolution</w:t>
            </w:r>
            <w:r w:rsidR="001F4B26">
              <w:rPr>
                <w:webHidden/>
              </w:rPr>
              <w:tab/>
            </w:r>
            <w:r w:rsidR="001F4B26">
              <w:rPr>
                <w:webHidden/>
              </w:rPr>
              <w:fldChar w:fldCharType="begin"/>
            </w:r>
            <w:r w:rsidR="001F4B26">
              <w:rPr>
                <w:webHidden/>
              </w:rPr>
              <w:instrText xml:space="preserve"> PAGEREF _Toc160446695 \h </w:instrText>
            </w:r>
            <w:r w:rsidR="001F4B26">
              <w:rPr>
                <w:webHidden/>
              </w:rPr>
            </w:r>
            <w:r w:rsidR="001F4B26">
              <w:rPr>
                <w:webHidden/>
              </w:rPr>
              <w:fldChar w:fldCharType="separate"/>
            </w:r>
            <w:r w:rsidR="006F3488">
              <w:rPr>
                <w:webHidden/>
              </w:rPr>
              <w:t>i</w:t>
            </w:r>
            <w:r w:rsidR="001F4B26">
              <w:rPr>
                <w:webHidden/>
              </w:rPr>
              <w:fldChar w:fldCharType="end"/>
            </w:r>
          </w:hyperlink>
        </w:p>
        <w:p w14:paraId="45478110" w14:textId="5FBB5906" w:rsidR="001F4B26" w:rsidRDefault="0008189D">
          <w:pPr>
            <w:pStyle w:val="TOC2"/>
            <w:rPr>
              <w:rFonts w:eastAsiaTheme="minorEastAsia"/>
              <w:kern w:val="2"/>
              <w:lang w:eastAsia="en-AU"/>
              <w14:ligatures w14:val="standardContextual"/>
            </w:rPr>
          </w:pPr>
          <w:hyperlink w:anchor="_Toc160446696" w:history="1">
            <w:r w:rsidR="001F4B26" w:rsidRPr="00985374">
              <w:rPr>
                <w:rStyle w:val="Hyperlink"/>
              </w:rPr>
              <w:t>Committee members</w:t>
            </w:r>
            <w:r w:rsidR="001F4B26">
              <w:rPr>
                <w:webHidden/>
              </w:rPr>
              <w:tab/>
            </w:r>
            <w:r w:rsidR="001F4B26">
              <w:rPr>
                <w:webHidden/>
              </w:rPr>
              <w:fldChar w:fldCharType="begin"/>
            </w:r>
            <w:r w:rsidR="001F4B26">
              <w:rPr>
                <w:webHidden/>
              </w:rPr>
              <w:instrText xml:space="preserve"> PAGEREF _Toc160446696 \h </w:instrText>
            </w:r>
            <w:r w:rsidR="001F4B26">
              <w:rPr>
                <w:webHidden/>
              </w:rPr>
            </w:r>
            <w:r w:rsidR="001F4B26">
              <w:rPr>
                <w:webHidden/>
              </w:rPr>
              <w:fldChar w:fldCharType="separate"/>
            </w:r>
            <w:r w:rsidR="006F3488">
              <w:rPr>
                <w:webHidden/>
              </w:rPr>
              <w:t>i</w:t>
            </w:r>
            <w:r w:rsidR="001F4B26">
              <w:rPr>
                <w:webHidden/>
              </w:rPr>
              <w:fldChar w:fldCharType="end"/>
            </w:r>
          </w:hyperlink>
        </w:p>
        <w:p w14:paraId="632F11DC" w14:textId="5EC6EB0B" w:rsidR="001F4B26" w:rsidRDefault="0008189D">
          <w:pPr>
            <w:pStyle w:val="TOC2"/>
            <w:rPr>
              <w:rFonts w:eastAsiaTheme="minorEastAsia"/>
              <w:kern w:val="2"/>
              <w:lang w:eastAsia="en-AU"/>
              <w14:ligatures w14:val="standardContextual"/>
            </w:rPr>
          </w:pPr>
          <w:hyperlink w:anchor="_Toc160446697" w:history="1">
            <w:r w:rsidR="001F4B26" w:rsidRPr="00985374">
              <w:rPr>
                <w:rStyle w:val="Hyperlink"/>
              </w:rPr>
              <w:t>Secretariat</w:t>
            </w:r>
            <w:r w:rsidR="001F4B26">
              <w:rPr>
                <w:webHidden/>
              </w:rPr>
              <w:tab/>
            </w:r>
            <w:r w:rsidR="001F4B26">
              <w:rPr>
                <w:webHidden/>
              </w:rPr>
              <w:fldChar w:fldCharType="begin"/>
            </w:r>
            <w:r w:rsidR="001F4B26">
              <w:rPr>
                <w:webHidden/>
              </w:rPr>
              <w:instrText xml:space="preserve"> PAGEREF _Toc160446697 \h </w:instrText>
            </w:r>
            <w:r w:rsidR="001F4B26">
              <w:rPr>
                <w:webHidden/>
              </w:rPr>
            </w:r>
            <w:r w:rsidR="001F4B26">
              <w:rPr>
                <w:webHidden/>
              </w:rPr>
              <w:fldChar w:fldCharType="separate"/>
            </w:r>
            <w:r w:rsidR="006F3488">
              <w:rPr>
                <w:webHidden/>
              </w:rPr>
              <w:t>i</w:t>
            </w:r>
            <w:r w:rsidR="001F4B26">
              <w:rPr>
                <w:webHidden/>
              </w:rPr>
              <w:fldChar w:fldCharType="end"/>
            </w:r>
          </w:hyperlink>
        </w:p>
        <w:p w14:paraId="1FCD16F7" w14:textId="32431A8B" w:rsidR="001F4B26" w:rsidRDefault="0008189D">
          <w:pPr>
            <w:pStyle w:val="TOC2"/>
            <w:rPr>
              <w:rFonts w:eastAsiaTheme="minorEastAsia"/>
              <w:kern w:val="2"/>
              <w:lang w:eastAsia="en-AU"/>
              <w14:ligatures w14:val="standardContextual"/>
            </w:rPr>
          </w:pPr>
          <w:hyperlink w:anchor="_Toc160446698" w:history="1">
            <w:r w:rsidR="001F4B26" w:rsidRPr="00985374">
              <w:rPr>
                <w:rStyle w:val="Hyperlink"/>
              </w:rPr>
              <w:t>Contact us</w:t>
            </w:r>
            <w:r w:rsidR="001F4B26">
              <w:rPr>
                <w:webHidden/>
              </w:rPr>
              <w:tab/>
            </w:r>
            <w:r w:rsidR="001F4B26">
              <w:rPr>
                <w:webHidden/>
              </w:rPr>
              <w:fldChar w:fldCharType="begin"/>
            </w:r>
            <w:r w:rsidR="001F4B26">
              <w:rPr>
                <w:webHidden/>
              </w:rPr>
              <w:instrText xml:space="preserve"> PAGEREF _Toc160446698 \h </w:instrText>
            </w:r>
            <w:r w:rsidR="001F4B26">
              <w:rPr>
                <w:webHidden/>
              </w:rPr>
            </w:r>
            <w:r w:rsidR="001F4B26">
              <w:rPr>
                <w:webHidden/>
              </w:rPr>
              <w:fldChar w:fldCharType="separate"/>
            </w:r>
            <w:r w:rsidR="006F3488">
              <w:rPr>
                <w:webHidden/>
              </w:rPr>
              <w:t>i</w:t>
            </w:r>
            <w:r w:rsidR="001F4B26">
              <w:rPr>
                <w:webHidden/>
              </w:rPr>
              <w:fldChar w:fldCharType="end"/>
            </w:r>
          </w:hyperlink>
        </w:p>
        <w:p w14:paraId="19F6C6BE" w14:textId="5AF1CD19"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699" w:history="1">
            <w:r w:rsidR="001F4B26" w:rsidRPr="00985374">
              <w:rPr>
                <w:rStyle w:val="Hyperlink"/>
              </w:rPr>
              <w:t>About this inquiry</w:t>
            </w:r>
            <w:r w:rsidR="001F4B26">
              <w:rPr>
                <w:webHidden/>
              </w:rPr>
              <w:tab/>
            </w:r>
            <w:r w:rsidR="001F4B26">
              <w:rPr>
                <w:webHidden/>
              </w:rPr>
              <w:fldChar w:fldCharType="begin"/>
            </w:r>
            <w:r w:rsidR="001F4B26">
              <w:rPr>
                <w:webHidden/>
              </w:rPr>
              <w:instrText xml:space="preserve"> PAGEREF _Toc160446699 \h </w:instrText>
            </w:r>
            <w:r w:rsidR="001F4B26">
              <w:rPr>
                <w:webHidden/>
              </w:rPr>
            </w:r>
            <w:r w:rsidR="001F4B26">
              <w:rPr>
                <w:webHidden/>
              </w:rPr>
              <w:fldChar w:fldCharType="separate"/>
            </w:r>
            <w:r w:rsidR="006F3488">
              <w:rPr>
                <w:webHidden/>
              </w:rPr>
              <w:t>ii</w:t>
            </w:r>
            <w:r w:rsidR="001F4B26">
              <w:rPr>
                <w:webHidden/>
              </w:rPr>
              <w:fldChar w:fldCharType="end"/>
            </w:r>
          </w:hyperlink>
        </w:p>
        <w:p w14:paraId="2B3325AA" w14:textId="466A775D"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00" w:history="1">
            <w:r w:rsidR="001F4B26" w:rsidRPr="00985374">
              <w:rPr>
                <w:rStyle w:val="Hyperlink"/>
              </w:rPr>
              <w:t>Acronyms &amp; Abbreviations</w:t>
            </w:r>
            <w:r w:rsidR="001F4B26">
              <w:rPr>
                <w:webHidden/>
              </w:rPr>
              <w:tab/>
            </w:r>
            <w:r w:rsidR="001F4B26">
              <w:rPr>
                <w:webHidden/>
              </w:rPr>
              <w:fldChar w:fldCharType="begin"/>
            </w:r>
            <w:r w:rsidR="001F4B26">
              <w:rPr>
                <w:webHidden/>
              </w:rPr>
              <w:instrText xml:space="preserve"> PAGEREF _Toc160446700 \h </w:instrText>
            </w:r>
            <w:r w:rsidR="001F4B26">
              <w:rPr>
                <w:webHidden/>
              </w:rPr>
            </w:r>
            <w:r w:rsidR="001F4B26">
              <w:rPr>
                <w:webHidden/>
              </w:rPr>
              <w:fldChar w:fldCharType="separate"/>
            </w:r>
            <w:r w:rsidR="006F3488">
              <w:rPr>
                <w:webHidden/>
              </w:rPr>
              <w:t>iv</w:t>
            </w:r>
            <w:r w:rsidR="001F4B26">
              <w:rPr>
                <w:webHidden/>
              </w:rPr>
              <w:fldChar w:fldCharType="end"/>
            </w:r>
          </w:hyperlink>
        </w:p>
        <w:p w14:paraId="6438BEE7" w14:textId="19002D1F"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01" w:history="1">
            <w:r w:rsidR="001F4B26" w:rsidRPr="00985374">
              <w:rPr>
                <w:rStyle w:val="Hyperlink"/>
              </w:rPr>
              <w:t>Glossary</w:t>
            </w:r>
            <w:r w:rsidR="001F4B26">
              <w:rPr>
                <w:webHidden/>
              </w:rPr>
              <w:tab/>
            </w:r>
            <w:r w:rsidR="001F4B26">
              <w:rPr>
                <w:webHidden/>
              </w:rPr>
              <w:fldChar w:fldCharType="begin"/>
            </w:r>
            <w:r w:rsidR="001F4B26">
              <w:rPr>
                <w:webHidden/>
              </w:rPr>
              <w:instrText xml:space="preserve"> PAGEREF _Toc160446701 \h </w:instrText>
            </w:r>
            <w:r w:rsidR="001F4B26">
              <w:rPr>
                <w:webHidden/>
              </w:rPr>
            </w:r>
            <w:r w:rsidR="001F4B26">
              <w:rPr>
                <w:webHidden/>
              </w:rPr>
              <w:fldChar w:fldCharType="separate"/>
            </w:r>
            <w:r w:rsidR="006F3488">
              <w:rPr>
                <w:webHidden/>
              </w:rPr>
              <w:t>iv</w:t>
            </w:r>
            <w:r w:rsidR="001F4B26">
              <w:rPr>
                <w:webHidden/>
              </w:rPr>
              <w:fldChar w:fldCharType="end"/>
            </w:r>
          </w:hyperlink>
        </w:p>
        <w:p w14:paraId="70007D14" w14:textId="5932EDB6"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02" w:history="1">
            <w:r w:rsidR="001F4B26" w:rsidRPr="00985374">
              <w:rPr>
                <w:rStyle w:val="Hyperlink"/>
              </w:rPr>
              <w:t>Recommendations</w:t>
            </w:r>
            <w:r w:rsidR="001F4B26">
              <w:rPr>
                <w:webHidden/>
              </w:rPr>
              <w:tab/>
            </w:r>
            <w:r w:rsidR="001F4B26">
              <w:rPr>
                <w:webHidden/>
              </w:rPr>
              <w:fldChar w:fldCharType="begin"/>
            </w:r>
            <w:r w:rsidR="001F4B26">
              <w:rPr>
                <w:webHidden/>
              </w:rPr>
              <w:instrText xml:space="preserve"> PAGEREF _Toc160446702 \h </w:instrText>
            </w:r>
            <w:r w:rsidR="001F4B26">
              <w:rPr>
                <w:webHidden/>
              </w:rPr>
            </w:r>
            <w:r w:rsidR="001F4B26">
              <w:rPr>
                <w:webHidden/>
              </w:rPr>
              <w:fldChar w:fldCharType="separate"/>
            </w:r>
            <w:r w:rsidR="006F3488">
              <w:rPr>
                <w:webHidden/>
              </w:rPr>
              <w:t>v</w:t>
            </w:r>
            <w:r w:rsidR="001F4B26">
              <w:rPr>
                <w:webHidden/>
              </w:rPr>
              <w:fldChar w:fldCharType="end"/>
            </w:r>
          </w:hyperlink>
        </w:p>
        <w:p w14:paraId="5DCB6E50" w14:textId="623721F8"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03" w:history="1">
            <w:r w:rsidR="001F4B26" w:rsidRPr="00985374">
              <w:rPr>
                <w:rStyle w:val="Hyperlink"/>
              </w:rPr>
              <w:t>1.</w:t>
            </w:r>
            <w:r w:rsidR="001F4B26">
              <w:rPr>
                <w:rFonts w:asciiTheme="minorHAnsi" w:eastAsiaTheme="minorEastAsia" w:hAnsiTheme="minorHAnsi"/>
                <w:b w:val="0"/>
                <w:bCs w:val="0"/>
                <w:color w:val="auto"/>
                <w:w w:val="100"/>
                <w:kern w:val="2"/>
                <w:sz w:val="22"/>
                <w:lang w:eastAsia="en-AU"/>
                <w14:ligatures w14:val="standardContextual"/>
              </w:rPr>
              <w:tab/>
            </w:r>
            <w:r w:rsidR="001F4B26" w:rsidRPr="00985374">
              <w:rPr>
                <w:rStyle w:val="Hyperlink"/>
              </w:rPr>
              <w:t>Conduct of the Inquiry</w:t>
            </w:r>
            <w:r w:rsidR="001F4B26">
              <w:rPr>
                <w:webHidden/>
              </w:rPr>
              <w:tab/>
            </w:r>
            <w:r w:rsidR="001F4B26">
              <w:rPr>
                <w:webHidden/>
              </w:rPr>
              <w:fldChar w:fldCharType="begin"/>
            </w:r>
            <w:r w:rsidR="001F4B26">
              <w:rPr>
                <w:webHidden/>
              </w:rPr>
              <w:instrText xml:space="preserve"> PAGEREF _Toc160446703 \h </w:instrText>
            </w:r>
            <w:r w:rsidR="001F4B26">
              <w:rPr>
                <w:webHidden/>
              </w:rPr>
            </w:r>
            <w:r w:rsidR="001F4B26">
              <w:rPr>
                <w:webHidden/>
              </w:rPr>
              <w:fldChar w:fldCharType="separate"/>
            </w:r>
            <w:r w:rsidR="006F3488">
              <w:rPr>
                <w:webHidden/>
              </w:rPr>
              <w:t>1</w:t>
            </w:r>
            <w:r w:rsidR="001F4B26">
              <w:rPr>
                <w:webHidden/>
              </w:rPr>
              <w:fldChar w:fldCharType="end"/>
            </w:r>
          </w:hyperlink>
        </w:p>
        <w:p w14:paraId="6053CB40" w14:textId="58CF9E5B"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04" w:history="1">
            <w:r w:rsidR="001F4B26" w:rsidRPr="00985374">
              <w:rPr>
                <w:rStyle w:val="Hyperlink"/>
              </w:rPr>
              <w:t>2.</w:t>
            </w:r>
            <w:r w:rsidR="001F4B26">
              <w:rPr>
                <w:rFonts w:asciiTheme="minorHAnsi" w:eastAsiaTheme="minorEastAsia" w:hAnsiTheme="minorHAnsi"/>
                <w:b w:val="0"/>
                <w:bCs w:val="0"/>
                <w:color w:val="auto"/>
                <w:w w:val="100"/>
                <w:kern w:val="2"/>
                <w:sz w:val="22"/>
                <w:lang w:eastAsia="en-AU"/>
                <w14:ligatures w14:val="standardContextual"/>
              </w:rPr>
              <w:tab/>
            </w:r>
            <w:r w:rsidR="001F4B26" w:rsidRPr="00985374">
              <w:rPr>
                <w:rStyle w:val="Hyperlink"/>
              </w:rPr>
              <w:t>Introduction</w:t>
            </w:r>
            <w:r w:rsidR="001F4B26">
              <w:rPr>
                <w:webHidden/>
              </w:rPr>
              <w:tab/>
            </w:r>
            <w:r w:rsidR="001F4B26">
              <w:rPr>
                <w:webHidden/>
              </w:rPr>
              <w:fldChar w:fldCharType="begin"/>
            </w:r>
            <w:r w:rsidR="001F4B26">
              <w:rPr>
                <w:webHidden/>
              </w:rPr>
              <w:instrText xml:space="preserve"> PAGEREF _Toc160446704 \h </w:instrText>
            </w:r>
            <w:r w:rsidR="001F4B26">
              <w:rPr>
                <w:webHidden/>
              </w:rPr>
            </w:r>
            <w:r w:rsidR="001F4B26">
              <w:rPr>
                <w:webHidden/>
              </w:rPr>
              <w:fldChar w:fldCharType="separate"/>
            </w:r>
            <w:r w:rsidR="006F3488">
              <w:rPr>
                <w:webHidden/>
              </w:rPr>
              <w:t>1</w:t>
            </w:r>
            <w:r w:rsidR="001F4B26">
              <w:rPr>
                <w:webHidden/>
              </w:rPr>
              <w:fldChar w:fldCharType="end"/>
            </w:r>
          </w:hyperlink>
        </w:p>
        <w:p w14:paraId="09A94E70" w14:textId="4A0FBE7F" w:rsidR="001F4B26" w:rsidRDefault="0008189D">
          <w:pPr>
            <w:pStyle w:val="TOC2"/>
            <w:rPr>
              <w:rFonts w:eastAsiaTheme="minorEastAsia"/>
              <w:kern w:val="2"/>
              <w:lang w:eastAsia="en-AU"/>
              <w14:ligatures w14:val="standardContextual"/>
            </w:rPr>
          </w:pPr>
          <w:hyperlink w:anchor="_Toc160446705" w:history="1">
            <w:r w:rsidR="001F4B26" w:rsidRPr="00985374">
              <w:rPr>
                <w:rStyle w:val="Hyperlink"/>
              </w:rPr>
              <w:t>Background to the bill</w:t>
            </w:r>
            <w:r w:rsidR="001F4B26">
              <w:rPr>
                <w:webHidden/>
              </w:rPr>
              <w:tab/>
            </w:r>
            <w:r w:rsidR="001F4B26">
              <w:rPr>
                <w:webHidden/>
              </w:rPr>
              <w:fldChar w:fldCharType="begin"/>
            </w:r>
            <w:r w:rsidR="001F4B26">
              <w:rPr>
                <w:webHidden/>
              </w:rPr>
              <w:instrText xml:space="preserve"> PAGEREF _Toc160446705 \h </w:instrText>
            </w:r>
            <w:r w:rsidR="001F4B26">
              <w:rPr>
                <w:webHidden/>
              </w:rPr>
            </w:r>
            <w:r w:rsidR="001F4B26">
              <w:rPr>
                <w:webHidden/>
              </w:rPr>
              <w:fldChar w:fldCharType="separate"/>
            </w:r>
            <w:r w:rsidR="006F3488">
              <w:rPr>
                <w:webHidden/>
              </w:rPr>
              <w:t>1</w:t>
            </w:r>
            <w:r w:rsidR="001F4B26">
              <w:rPr>
                <w:webHidden/>
              </w:rPr>
              <w:fldChar w:fldCharType="end"/>
            </w:r>
          </w:hyperlink>
        </w:p>
        <w:p w14:paraId="3F32DFA7" w14:textId="3B9253AE" w:rsidR="001F4B26" w:rsidRDefault="0008189D">
          <w:pPr>
            <w:pStyle w:val="TOC2"/>
            <w:rPr>
              <w:rFonts w:eastAsiaTheme="minorEastAsia"/>
              <w:kern w:val="2"/>
              <w:lang w:eastAsia="en-AU"/>
              <w14:ligatures w14:val="standardContextual"/>
            </w:rPr>
          </w:pPr>
          <w:hyperlink w:anchor="_Toc160446706" w:history="1">
            <w:r w:rsidR="001F4B26" w:rsidRPr="00985374">
              <w:rPr>
                <w:rStyle w:val="Hyperlink"/>
              </w:rPr>
              <w:t>Legislative Scrutiny</w:t>
            </w:r>
            <w:r w:rsidR="001F4B26">
              <w:rPr>
                <w:webHidden/>
              </w:rPr>
              <w:tab/>
            </w:r>
            <w:r w:rsidR="001F4B26">
              <w:rPr>
                <w:webHidden/>
              </w:rPr>
              <w:fldChar w:fldCharType="begin"/>
            </w:r>
            <w:r w:rsidR="001F4B26">
              <w:rPr>
                <w:webHidden/>
              </w:rPr>
              <w:instrText xml:space="preserve"> PAGEREF _Toc160446706 \h </w:instrText>
            </w:r>
            <w:r w:rsidR="001F4B26">
              <w:rPr>
                <w:webHidden/>
              </w:rPr>
            </w:r>
            <w:r w:rsidR="001F4B26">
              <w:rPr>
                <w:webHidden/>
              </w:rPr>
              <w:fldChar w:fldCharType="separate"/>
            </w:r>
            <w:r w:rsidR="006F3488">
              <w:rPr>
                <w:webHidden/>
              </w:rPr>
              <w:t>2</w:t>
            </w:r>
            <w:r w:rsidR="001F4B26">
              <w:rPr>
                <w:webHidden/>
              </w:rPr>
              <w:fldChar w:fldCharType="end"/>
            </w:r>
          </w:hyperlink>
        </w:p>
        <w:p w14:paraId="1DBACFA7" w14:textId="7707255C"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07" w:history="1">
            <w:r w:rsidR="001F4B26" w:rsidRPr="00985374">
              <w:rPr>
                <w:rStyle w:val="Hyperlink"/>
              </w:rPr>
              <w:t>3.</w:t>
            </w:r>
            <w:r w:rsidR="001F4B26">
              <w:rPr>
                <w:rFonts w:asciiTheme="minorHAnsi" w:eastAsiaTheme="minorEastAsia" w:hAnsiTheme="minorHAnsi"/>
                <w:b w:val="0"/>
                <w:bCs w:val="0"/>
                <w:color w:val="auto"/>
                <w:w w:val="100"/>
                <w:kern w:val="2"/>
                <w:sz w:val="22"/>
                <w:lang w:eastAsia="en-AU"/>
                <w14:ligatures w14:val="standardContextual"/>
              </w:rPr>
              <w:tab/>
            </w:r>
            <w:r w:rsidR="001F4B26" w:rsidRPr="00985374">
              <w:rPr>
                <w:rStyle w:val="Hyperlink"/>
              </w:rPr>
              <w:t>Neutral bail presumptions</w:t>
            </w:r>
            <w:r w:rsidR="001F4B26">
              <w:rPr>
                <w:webHidden/>
              </w:rPr>
              <w:tab/>
            </w:r>
            <w:r w:rsidR="001F4B26">
              <w:rPr>
                <w:webHidden/>
              </w:rPr>
              <w:fldChar w:fldCharType="begin"/>
            </w:r>
            <w:r w:rsidR="001F4B26">
              <w:rPr>
                <w:webHidden/>
              </w:rPr>
              <w:instrText xml:space="preserve"> PAGEREF _Toc160446707 \h </w:instrText>
            </w:r>
            <w:r w:rsidR="001F4B26">
              <w:rPr>
                <w:webHidden/>
              </w:rPr>
            </w:r>
            <w:r w:rsidR="001F4B26">
              <w:rPr>
                <w:webHidden/>
              </w:rPr>
              <w:fldChar w:fldCharType="separate"/>
            </w:r>
            <w:r w:rsidR="006F3488">
              <w:rPr>
                <w:webHidden/>
              </w:rPr>
              <w:t>3</w:t>
            </w:r>
            <w:r w:rsidR="001F4B26">
              <w:rPr>
                <w:webHidden/>
              </w:rPr>
              <w:fldChar w:fldCharType="end"/>
            </w:r>
          </w:hyperlink>
        </w:p>
        <w:p w14:paraId="22BD062C" w14:textId="43F35A40"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08" w:history="1">
            <w:r w:rsidR="001F4B26" w:rsidRPr="00985374">
              <w:rPr>
                <w:rStyle w:val="Hyperlink"/>
              </w:rPr>
              <w:t>4.</w:t>
            </w:r>
            <w:r w:rsidR="001F4B26">
              <w:rPr>
                <w:rFonts w:asciiTheme="minorHAnsi" w:eastAsiaTheme="minorEastAsia" w:hAnsiTheme="minorHAnsi"/>
                <w:b w:val="0"/>
                <w:bCs w:val="0"/>
                <w:color w:val="auto"/>
                <w:w w:val="100"/>
                <w:kern w:val="2"/>
                <w:sz w:val="22"/>
                <w:lang w:eastAsia="en-AU"/>
                <w14:ligatures w14:val="standardContextual"/>
              </w:rPr>
              <w:tab/>
            </w:r>
            <w:r w:rsidR="001F4B26" w:rsidRPr="00985374">
              <w:rPr>
                <w:rStyle w:val="Hyperlink"/>
              </w:rPr>
              <w:t>Continuing protection orders for protected persons turning 18</w:t>
            </w:r>
            <w:r w:rsidR="001F4B26">
              <w:rPr>
                <w:webHidden/>
              </w:rPr>
              <w:tab/>
            </w:r>
            <w:r w:rsidR="001F4B26">
              <w:rPr>
                <w:webHidden/>
              </w:rPr>
              <w:fldChar w:fldCharType="begin"/>
            </w:r>
            <w:r w:rsidR="001F4B26">
              <w:rPr>
                <w:webHidden/>
              </w:rPr>
              <w:instrText xml:space="preserve"> PAGEREF _Toc160446708 \h </w:instrText>
            </w:r>
            <w:r w:rsidR="001F4B26">
              <w:rPr>
                <w:webHidden/>
              </w:rPr>
            </w:r>
            <w:r w:rsidR="001F4B26">
              <w:rPr>
                <w:webHidden/>
              </w:rPr>
              <w:fldChar w:fldCharType="separate"/>
            </w:r>
            <w:r w:rsidR="006F3488">
              <w:rPr>
                <w:webHidden/>
              </w:rPr>
              <w:t>3</w:t>
            </w:r>
            <w:r w:rsidR="001F4B26">
              <w:rPr>
                <w:webHidden/>
              </w:rPr>
              <w:fldChar w:fldCharType="end"/>
            </w:r>
          </w:hyperlink>
        </w:p>
        <w:p w14:paraId="48A28AEB" w14:textId="716F904A"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09" w:history="1">
            <w:r w:rsidR="001F4B26" w:rsidRPr="00985374">
              <w:rPr>
                <w:rStyle w:val="Hyperlink"/>
              </w:rPr>
              <w:t>5.</w:t>
            </w:r>
            <w:r w:rsidR="001F4B26">
              <w:rPr>
                <w:rFonts w:asciiTheme="minorHAnsi" w:eastAsiaTheme="minorEastAsia" w:hAnsiTheme="minorHAnsi"/>
                <w:b w:val="0"/>
                <w:bCs w:val="0"/>
                <w:color w:val="auto"/>
                <w:w w:val="100"/>
                <w:kern w:val="2"/>
                <w:sz w:val="22"/>
                <w:lang w:eastAsia="en-AU"/>
                <w14:ligatures w14:val="standardContextual"/>
              </w:rPr>
              <w:tab/>
            </w:r>
            <w:r w:rsidR="001F4B26" w:rsidRPr="00985374">
              <w:rPr>
                <w:rStyle w:val="Hyperlink"/>
              </w:rPr>
              <w:t>Preliminary conferences</w:t>
            </w:r>
            <w:r w:rsidR="001F4B26">
              <w:rPr>
                <w:webHidden/>
              </w:rPr>
              <w:tab/>
            </w:r>
            <w:r w:rsidR="001F4B26">
              <w:rPr>
                <w:webHidden/>
              </w:rPr>
              <w:fldChar w:fldCharType="begin"/>
            </w:r>
            <w:r w:rsidR="001F4B26">
              <w:rPr>
                <w:webHidden/>
              </w:rPr>
              <w:instrText xml:space="preserve"> PAGEREF _Toc160446709 \h </w:instrText>
            </w:r>
            <w:r w:rsidR="001F4B26">
              <w:rPr>
                <w:webHidden/>
              </w:rPr>
            </w:r>
            <w:r w:rsidR="001F4B26">
              <w:rPr>
                <w:webHidden/>
              </w:rPr>
              <w:fldChar w:fldCharType="separate"/>
            </w:r>
            <w:r w:rsidR="006F3488">
              <w:rPr>
                <w:webHidden/>
              </w:rPr>
              <w:t>4</w:t>
            </w:r>
            <w:r w:rsidR="001F4B26">
              <w:rPr>
                <w:webHidden/>
              </w:rPr>
              <w:fldChar w:fldCharType="end"/>
            </w:r>
          </w:hyperlink>
        </w:p>
        <w:p w14:paraId="1EB83769" w14:textId="648CE3E1"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10" w:history="1">
            <w:r w:rsidR="001F4B26" w:rsidRPr="00985374">
              <w:rPr>
                <w:rStyle w:val="Hyperlink"/>
              </w:rPr>
              <w:t>6.</w:t>
            </w:r>
            <w:r w:rsidR="001F4B26">
              <w:rPr>
                <w:rFonts w:asciiTheme="minorHAnsi" w:eastAsiaTheme="minorEastAsia" w:hAnsiTheme="minorHAnsi"/>
                <w:b w:val="0"/>
                <w:bCs w:val="0"/>
                <w:color w:val="auto"/>
                <w:w w:val="100"/>
                <w:kern w:val="2"/>
                <w:sz w:val="22"/>
                <w:lang w:eastAsia="en-AU"/>
                <w14:ligatures w14:val="standardContextual"/>
              </w:rPr>
              <w:tab/>
            </w:r>
            <w:r w:rsidR="001F4B26" w:rsidRPr="00985374">
              <w:rPr>
                <w:rStyle w:val="Hyperlink"/>
              </w:rPr>
              <w:t>Provisional amendment of protection order in special or exceptional circumstances</w:t>
            </w:r>
            <w:r w:rsidR="001F4B26">
              <w:rPr>
                <w:webHidden/>
              </w:rPr>
              <w:tab/>
            </w:r>
            <w:r w:rsidR="001F4B26">
              <w:rPr>
                <w:webHidden/>
              </w:rPr>
              <w:fldChar w:fldCharType="begin"/>
            </w:r>
            <w:r w:rsidR="001F4B26">
              <w:rPr>
                <w:webHidden/>
              </w:rPr>
              <w:instrText xml:space="preserve"> PAGEREF _Toc160446710 \h </w:instrText>
            </w:r>
            <w:r w:rsidR="001F4B26">
              <w:rPr>
                <w:webHidden/>
              </w:rPr>
            </w:r>
            <w:r w:rsidR="001F4B26">
              <w:rPr>
                <w:webHidden/>
              </w:rPr>
              <w:fldChar w:fldCharType="separate"/>
            </w:r>
            <w:r w:rsidR="006F3488">
              <w:rPr>
                <w:webHidden/>
              </w:rPr>
              <w:t>5</w:t>
            </w:r>
            <w:r w:rsidR="001F4B26">
              <w:rPr>
                <w:webHidden/>
              </w:rPr>
              <w:fldChar w:fldCharType="end"/>
            </w:r>
          </w:hyperlink>
        </w:p>
        <w:p w14:paraId="1C32690D" w14:textId="37DD0688"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11" w:history="1">
            <w:r w:rsidR="001F4B26" w:rsidRPr="00985374">
              <w:rPr>
                <w:rStyle w:val="Hyperlink"/>
              </w:rPr>
              <w:t>7.</w:t>
            </w:r>
            <w:r w:rsidR="001F4B26">
              <w:rPr>
                <w:rFonts w:asciiTheme="minorHAnsi" w:eastAsiaTheme="minorEastAsia" w:hAnsiTheme="minorHAnsi"/>
                <w:b w:val="0"/>
                <w:bCs w:val="0"/>
                <w:color w:val="auto"/>
                <w:w w:val="100"/>
                <w:kern w:val="2"/>
                <w:sz w:val="22"/>
                <w:lang w:eastAsia="en-AU"/>
                <w14:ligatures w14:val="standardContextual"/>
              </w:rPr>
              <w:tab/>
            </w:r>
            <w:r w:rsidR="001F4B26" w:rsidRPr="00985374">
              <w:rPr>
                <w:rStyle w:val="Hyperlink"/>
              </w:rPr>
              <w:t>Magistrate review of registrar and deputy registrar decisions</w:t>
            </w:r>
            <w:r w:rsidR="001F4B26">
              <w:rPr>
                <w:webHidden/>
              </w:rPr>
              <w:tab/>
            </w:r>
            <w:r w:rsidR="001F4B26">
              <w:rPr>
                <w:webHidden/>
              </w:rPr>
              <w:fldChar w:fldCharType="begin"/>
            </w:r>
            <w:r w:rsidR="001F4B26">
              <w:rPr>
                <w:webHidden/>
              </w:rPr>
              <w:instrText xml:space="preserve"> PAGEREF _Toc160446711 \h </w:instrText>
            </w:r>
            <w:r w:rsidR="001F4B26">
              <w:rPr>
                <w:webHidden/>
              </w:rPr>
            </w:r>
            <w:r w:rsidR="001F4B26">
              <w:rPr>
                <w:webHidden/>
              </w:rPr>
              <w:fldChar w:fldCharType="separate"/>
            </w:r>
            <w:r w:rsidR="006F3488">
              <w:rPr>
                <w:webHidden/>
              </w:rPr>
              <w:t>7</w:t>
            </w:r>
            <w:r w:rsidR="001F4B26">
              <w:rPr>
                <w:webHidden/>
              </w:rPr>
              <w:fldChar w:fldCharType="end"/>
            </w:r>
          </w:hyperlink>
        </w:p>
        <w:p w14:paraId="54F4CA26" w14:textId="6A3E37E8"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12" w:history="1">
            <w:r w:rsidR="001F4B26" w:rsidRPr="00985374">
              <w:rPr>
                <w:rStyle w:val="Hyperlink"/>
              </w:rPr>
              <w:t>8.</w:t>
            </w:r>
            <w:r w:rsidR="001F4B26">
              <w:rPr>
                <w:rFonts w:asciiTheme="minorHAnsi" w:eastAsiaTheme="minorEastAsia" w:hAnsiTheme="minorHAnsi"/>
                <w:b w:val="0"/>
                <w:bCs w:val="0"/>
                <w:color w:val="auto"/>
                <w:w w:val="100"/>
                <w:kern w:val="2"/>
                <w:sz w:val="22"/>
                <w:lang w:eastAsia="en-AU"/>
                <w14:ligatures w14:val="standardContextual"/>
              </w:rPr>
              <w:tab/>
            </w:r>
            <w:r w:rsidR="001F4B26" w:rsidRPr="00985374">
              <w:rPr>
                <w:rStyle w:val="Hyperlink"/>
              </w:rPr>
              <w:t>Conclusion</w:t>
            </w:r>
            <w:r w:rsidR="001F4B26">
              <w:rPr>
                <w:webHidden/>
              </w:rPr>
              <w:tab/>
            </w:r>
            <w:r w:rsidR="001F4B26">
              <w:rPr>
                <w:webHidden/>
              </w:rPr>
              <w:fldChar w:fldCharType="begin"/>
            </w:r>
            <w:r w:rsidR="001F4B26">
              <w:rPr>
                <w:webHidden/>
              </w:rPr>
              <w:instrText xml:space="preserve"> PAGEREF _Toc160446712 \h </w:instrText>
            </w:r>
            <w:r w:rsidR="001F4B26">
              <w:rPr>
                <w:webHidden/>
              </w:rPr>
            </w:r>
            <w:r w:rsidR="001F4B26">
              <w:rPr>
                <w:webHidden/>
              </w:rPr>
              <w:fldChar w:fldCharType="separate"/>
            </w:r>
            <w:r w:rsidR="006F3488">
              <w:rPr>
                <w:webHidden/>
              </w:rPr>
              <w:t>8</w:t>
            </w:r>
            <w:r w:rsidR="001F4B26">
              <w:rPr>
                <w:webHidden/>
              </w:rPr>
              <w:fldChar w:fldCharType="end"/>
            </w:r>
          </w:hyperlink>
        </w:p>
        <w:p w14:paraId="4DFBF702" w14:textId="74F76A5D" w:rsidR="001F4B26"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0446713" w:history="1">
            <w:r w:rsidR="001F4B26" w:rsidRPr="00985374">
              <w:rPr>
                <w:rStyle w:val="Hyperlink"/>
              </w:rPr>
              <w:t>Appendix A: Submissions</w:t>
            </w:r>
            <w:r w:rsidR="001F4B26">
              <w:rPr>
                <w:webHidden/>
              </w:rPr>
              <w:tab/>
            </w:r>
            <w:r w:rsidR="001F4B26">
              <w:rPr>
                <w:webHidden/>
              </w:rPr>
              <w:fldChar w:fldCharType="begin"/>
            </w:r>
            <w:r w:rsidR="001F4B26">
              <w:rPr>
                <w:webHidden/>
              </w:rPr>
              <w:instrText xml:space="preserve"> PAGEREF _Toc160446713 \h </w:instrText>
            </w:r>
            <w:r w:rsidR="001F4B26">
              <w:rPr>
                <w:webHidden/>
              </w:rPr>
            </w:r>
            <w:r w:rsidR="001F4B26">
              <w:rPr>
                <w:webHidden/>
              </w:rPr>
              <w:fldChar w:fldCharType="separate"/>
            </w:r>
            <w:r w:rsidR="006F3488">
              <w:rPr>
                <w:webHidden/>
              </w:rPr>
              <w:t>9</w:t>
            </w:r>
            <w:r w:rsidR="001F4B26">
              <w:rPr>
                <w:webHidden/>
              </w:rPr>
              <w:fldChar w:fldCharType="end"/>
            </w:r>
          </w:hyperlink>
        </w:p>
        <w:p w14:paraId="1E1CDF38" w14:textId="563FF472"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22058E20" w:rsidR="0031628A" w:rsidRDefault="0031628A" w:rsidP="00236093">
      <w:pPr>
        <w:pStyle w:val="Heading1nonumber"/>
      </w:pPr>
      <w:bookmarkStart w:id="9" w:name="_Toc160446700"/>
      <w:r>
        <w:lastRenderedPageBreak/>
        <w:t>Acronyms</w:t>
      </w:r>
      <w:r w:rsidR="007F0956">
        <w:t xml:space="preserve"> &amp;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8116C5"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47FEABF9" w:rsidR="008116C5" w:rsidRDefault="008116C5" w:rsidP="008116C5">
            <w:pPr>
              <w:pStyle w:val="Tablebody"/>
            </w:pPr>
            <w:r>
              <w:t>ACT</w:t>
            </w:r>
          </w:p>
        </w:tc>
        <w:tc>
          <w:tcPr>
            <w:tcW w:w="7183" w:type="dxa"/>
          </w:tcPr>
          <w:p w14:paraId="44AB3819" w14:textId="10185763" w:rsidR="008116C5" w:rsidRDefault="008116C5" w:rsidP="008116C5">
            <w:pPr>
              <w:pStyle w:val="Tablebody"/>
            </w:pPr>
            <w:r>
              <w:t>Australian Capital Territory</w:t>
            </w:r>
          </w:p>
        </w:tc>
      </w:tr>
      <w:tr w:rsidR="008116C5"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10DD21F9" w:rsidR="008116C5" w:rsidRDefault="008116C5" w:rsidP="008116C5">
            <w:pPr>
              <w:pStyle w:val="Tablebody"/>
            </w:pPr>
            <w:r>
              <w:t>The Bill</w:t>
            </w:r>
          </w:p>
        </w:tc>
        <w:tc>
          <w:tcPr>
            <w:tcW w:w="7183" w:type="dxa"/>
          </w:tcPr>
          <w:p w14:paraId="057F0D12" w14:textId="0E6CF8FE" w:rsidR="008116C5" w:rsidRDefault="008116C5" w:rsidP="008116C5">
            <w:pPr>
              <w:pStyle w:val="Tablebody"/>
            </w:pPr>
            <w:r>
              <w:t>Sexual, Family and Personal Violence Legislation Amendment Bill 2023</w:t>
            </w:r>
          </w:p>
        </w:tc>
      </w:tr>
      <w:tr w:rsidR="008116C5"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0598F035" w:rsidR="008116C5" w:rsidRDefault="008116C5" w:rsidP="008116C5">
            <w:pPr>
              <w:pStyle w:val="Tablebody"/>
            </w:pPr>
            <w:r>
              <w:t>The Committee</w:t>
            </w:r>
          </w:p>
        </w:tc>
        <w:tc>
          <w:tcPr>
            <w:tcW w:w="7183" w:type="dxa"/>
          </w:tcPr>
          <w:p w14:paraId="218CB5F9" w14:textId="5743E31D" w:rsidR="008116C5" w:rsidRDefault="008116C5" w:rsidP="008116C5">
            <w:pPr>
              <w:pStyle w:val="Tablebody"/>
            </w:pPr>
            <w:r>
              <w:t>Standing Committee on Justice and Community Safety</w:t>
            </w:r>
          </w:p>
        </w:tc>
      </w:tr>
      <w:tr w:rsidR="008116C5"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626CC2C6" w:rsidR="008116C5" w:rsidRDefault="008116C5" w:rsidP="008116C5">
            <w:pPr>
              <w:pStyle w:val="Tablebody"/>
            </w:pPr>
            <w:r>
              <w:t>The Scrutiny Committee</w:t>
            </w:r>
          </w:p>
        </w:tc>
        <w:tc>
          <w:tcPr>
            <w:tcW w:w="7183" w:type="dxa"/>
          </w:tcPr>
          <w:p w14:paraId="7B1C4834" w14:textId="01790DB6" w:rsidR="008116C5" w:rsidRDefault="008116C5" w:rsidP="008116C5">
            <w:pPr>
              <w:pStyle w:val="Tablebody"/>
            </w:pPr>
            <w:r w:rsidRPr="009A09F4">
              <w:t>Standing Committee on Justice and Community Safety (Legislative Scrutiny role)</w:t>
            </w:r>
          </w:p>
        </w:tc>
      </w:tr>
    </w:tbl>
    <w:p w14:paraId="11807AEE" w14:textId="77777777" w:rsidR="00114696" w:rsidRDefault="00114696" w:rsidP="00114696">
      <w:pPr>
        <w:pStyle w:val="List"/>
      </w:pPr>
    </w:p>
    <w:p w14:paraId="3891707B" w14:textId="2C8F536E" w:rsidR="008116C5" w:rsidRDefault="008116C5" w:rsidP="00236093">
      <w:pPr>
        <w:pStyle w:val="Heading1nonumber"/>
      </w:pPr>
      <w:bookmarkStart w:id="10" w:name="_Toc160446701"/>
      <w:r>
        <w:t>Glossary</w:t>
      </w:r>
      <w:bookmarkEnd w:id="10"/>
    </w:p>
    <w:tbl>
      <w:tblPr>
        <w:tblStyle w:val="Assemblystyletable"/>
        <w:tblW w:w="0" w:type="auto"/>
        <w:tblLook w:val="04A0" w:firstRow="1" w:lastRow="0" w:firstColumn="1" w:lastColumn="0" w:noHBand="0" w:noVBand="1"/>
      </w:tblPr>
      <w:tblGrid>
        <w:gridCol w:w="1843"/>
        <w:gridCol w:w="7183"/>
      </w:tblGrid>
      <w:tr w:rsidR="008116C5" w:rsidRPr="008116C5" w14:paraId="171FE99E" w14:textId="77777777" w:rsidTr="009735B5">
        <w:trPr>
          <w:cnfStyle w:val="100000000000" w:firstRow="1" w:lastRow="0" w:firstColumn="0" w:lastColumn="0" w:oddVBand="0" w:evenVBand="0" w:oddHBand="0" w:evenHBand="0" w:firstRowFirstColumn="0" w:firstRowLastColumn="0" w:lastRowFirstColumn="0" w:lastRowLastColumn="0"/>
        </w:trPr>
        <w:tc>
          <w:tcPr>
            <w:tcW w:w="1843" w:type="dxa"/>
          </w:tcPr>
          <w:p w14:paraId="28157A55" w14:textId="77777777" w:rsidR="008116C5" w:rsidRPr="008116C5" w:rsidRDefault="008116C5" w:rsidP="008116C5">
            <w:pPr>
              <w:spacing w:line="240" w:lineRule="auto"/>
              <w:rPr>
                <w:rFonts w:cstheme="minorHAnsi"/>
                <w:b/>
                <w:bCs/>
                <w:szCs w:val="20"/>
              </w:rPr>
            </w:pPr>
            <w:r w:rsidRPr="008116C5">
              <w:rPr>
                <w:rFonts w:cstheme="minorHAnsi"/>
                <w:b/>
                <w:bCs/>
                <w:szCs w:val="20"/>
              </w:rPr>
              <w:t>Acronym</w:t>
            </w:r>
          </w:p>
        </w:tc>
        <w:tc>
          <w:tcPr>
            <w:tcW w:w="7183" w:type="dxa"/>
          </w:tcPr>
          <w:p w14:paraId="5B02D7DC" w14:textId="77777777" w:rsidR="008116C5" w:rsidRPr="008116C5" w:rsidRDefault="008116C5" w:rsidP="008116C5">
            <w:pPr>
              <w:spacing w:line="240" w:lineRule="auto"/>
              <w:rPr>
                <w:rFonts w:cstheme="minorHAnsi"/>
                <w:b/>
                <w:bCs/>
                <w:szCs w:val="20"/>
              </w:rPr>
            </w:pPr>
            <w:r w:rsidRPr="008116C5">
              <w:rPr>
                <w:rFonts w:cstheme="minorHAnsi"/>
                <w:b/>
                <w:bCs/>
                <w:szCs w:val="20"/>
              </w:rPr>
              <w:t>Long form</w:t>
            </w:r>
          </w:p>
        </w:tc>
      </w:tr>
      <w:tr w:rsidR="008116C5" w:rsidRPr="008116C5" w14:paraId="78F90AE4" w14:textId="77777777" w:rsidTr="009735B5">
        <w:trPr>
          <w:cnfStyle w:val="000000100000" w:firstRow="0" w:lastRow="0" w:firstColumn="0" w:lastColumn="0" w:oddVBand="0" w:evenVBand="0" w:oddHBand="1" w:evenHBand="0" w:firstRowFirstColumn="0" w:firstRowLastColumn="0" w:lastRowFirstColumn="0" w:lastRowLastColumn="0"/>
        </w:trPr>
        <w:tc>
          <w:tcPr>
            <w:tcW w:w="1843" w:type="dxa"/>
          </w:tcPr>
          <w:p w14:paraId="3E520BF2" w14:textId="77777777" w:rsidR="008116C5" w:rsidRPr="008116C5" w:rsidRDefault="008116C5" w:rsidP="008116C5">
            <w:pPr>
              <w:spacing w:line="240" w:lineRule="auto"/>
              <w:rPr>
                <w:rFonts w:cstheme="minorHAnsi"/>
                <w:bCs/>
                <w:szCs w:val="20"/>
              </w:rPr>
            </w:pPr>
            <w:r w:rsidRPr="008116C5">
              <w:rPr>
                <w:rFonts w:cstheme="minorHAnsi"/>
                <w:bCs/>
                <w:szCs w:val="20"/>
              </w:rPr>
              <w:t>applicant</w:t>
            </w:r>
          </w:p>
        </w:tc>
        <w:tc>
          <w:tcPr>
            <w:tcW w:w="7183" w:type="dxa"/>
          </w:tcPr>
          <w:p w14:paraId="6CA10992" w14:textId="77777777" w:rsidR="008116C5" w:rsidRPr="008116C5" w:rsidRDefault="008116C5" w:rsidP="008116C5">
            <w:pPr>
              <w:spacing w:line="240" w:lineRule="auto"/>
              <w:rPr>
                <w:rFonts w:cstheme="minorHAnsi"/>
                <w:bCs/>
                <w:szCs w:val="20"/>
              </w:rPr>
            </w:pPr>
            <w:r w:rsidRPr="008116C5">
              <w:rPr>
                <w:rFonts w:cstheme="minorHAnsi"/>
                <w:bCs/>
                <w:szCs w:val="20"/>
              </w:rPr>
              <w:t>The person who makes an application for a family violence order.</w:t>
            </w:r>
          </w:p>
        </w:tc>
      </w:tr>
      <w:tr w:rsidR="008116C5" w:rsidRPr="008116C5" w14:paraId="6EC6C473" w14:textId="77777777" w:rsidTr="009735B5">
        <w:trPr>
          <w:cnfStyle w:val="000000010000" w:firstRow="0" w:lastRow="0" w:firstColumn="0" w:lastColumn="0" w:oddVBand="0" w:evenVBand="0" w:oddHBand="0" w:evenHBand="1" w:firstRowFirstColumn="0" w:firstRowLastColumn="0" w:lastRowFirstColumn="0" w:lastRowLastColumn="0"/>
        </w:trPr>
        <w:tc>
          <w:tcPr>
            <w:tcW w:w="1843" w:type="dxa"/>
          </w:tcPr>
          <w:p w14:paraId="0523B98E" w14:textId="77777777" w:rsidR="008116C5" w:rsidRPr="008116C5" w:rsidRDefault="008116C5" w:rsidP="008116C5">
            <w:pPr>
              <w:spacing w:line="240" w:lineRule="auto"/>
              <w:rPr>
                <w:rFonts w:cstheme="minorHAnsi"/>
                <w:bCs/>
                <w:szCs w:val="20"/>
              </w:rPr>
            </w:pPr>
            <w:r w:rsidRPr="008116C5">
              <w:rPr>
                <w:rFonts w:cstheme="minorHAnsi"/>
                <w:bCs/>
                <w:szCs w:val="20"/>
              </w:rPr>
              <w:t>family violence order</w:t>
            </w:r>
          </w:p>
        </w:tc>
        <w:tc>
          <w:tcPr>
            <w:tcW w:w="7183" w:type="dxa"/>
          </w:tcPr>
          <w:p w14:paraId="46921F47" w14:textId="77777777" w:rsidR="008116C5" w:rsidRPr="008116C5" w:rsidRDefault="008116C5" w:rsidP="008116C5">
            <w:pPr>
              <w:spacing w:line="240" w:lineRule="auto"/>
              <w:rPr>
                <w:rFonts w:cstheme="minorHAnsi"/>
                <w:bCs/>
                <w:szCs w:val="20"/>
              </w:rPr>
            </w:pPr>
            <w:r w:rsidRPr="008116C5">
              <w:rPr>
                <w:rFonts w:cstheme="minorHAnsi"/>
                <w:bCs/>
                <w:szCs w:val="20"/>
              </w:rPr>
              <w:t>An order, made by a court, to ‘prohibit someone from engaging in family violence towards family members’.</w:t>
            </w:r>
            <w:r w:rsidRPr="008116C5">
              <w:rPr>
                <w:rFonts w:cstheme="minorHAnsi"/>
                <w:bCs/>
                <w:szCs w:val="20"/>
                <w:vertAlign w:val="superscript"/>
              </w:rPr>
              <w:footnoteReference w:id="2"/>
            </w:r>
          </w:p>
        </w:tc>
      </w:tr>
      <w:tr w:rsidR="003D3C17" w:rsidRPr="008116C5" w14:paraId="203B0632" w14:textId="77777777" w:rsidTr="009735B5">
        <w:trPr>
          <w:cnfStyle w:val="000000100000" w:firstRow="0" w:lastRow="0" w:firstColumn="0" w:lastColumn="0" w:oddVBand="0" w:evenVBand="0" w:oddHBand="1" w:evenHBand="0" w:firstRowFirstColumn="0" w:firstRowLastColumn="0" w:lastRowFirstColumn="0" w:lastRowLastColumn="0"/>
        </w:trPr>
        <w:tc>
          <w:tcPr>
            <w:tcW w:w="1843" w:type="dxa"/>
          </w:tcPr>
          <w:p w14:paraId="5D53CDFD" w14:textId="7503666C" w:rsidR="003D3C17" w:rsidRPr="008116C5" w:rsidRDefault="003D3C17" w:rsidP="008116C5">
            <w:pPr>
              <w:spacing w:line="240" w:lineRule="auto"/>
              <w:rPr>
                <w:rFonts w:cstheme="minorHAnsi"/>
                <w:bCs/>
                <w:szCs w:val="20"/>
              </w:rPr>
            </w:pPr>
            <w:r>
              <w:rPr>
                <w:rFonts w:cstheme="minorHAnsi"/>
                <w:bCs/>
                <w:szCs w:val="20"/>
              </w:rPr>
              <w:t>perpetrator</w:t>
            </w:r>
          </w:p>
        </w:tc>
        <w:tc>
          <w:tcPr>
            <w:tcW w:w="7183" w:type="dxa"/>
          </w:tcPr>
          <w:p w14:paraId="73124DAE" w14:textId="0B7C9508" w:rsidR="003D3C17" w:rsidRPr="008116C5" w:rsidRDefault="00C408D2" w:rsidP="008116C5">
            <w:pPr>
              <w:spacing w:line="240" w:lineRule="auto"/>
              <w:rPr>
                <w:rFonts w:cstheme="minorHAnsi"/>
                <w:bCs/>
                <w:szCs w:val="20"/>
              </w:rPr>
            </w:pPr>
            <w:r>
              <w:rPr>
                <w:rFonts w:cstheme="minorHAnsi"/>
                <w:bCs/>
                <w:szCs w:val="20"/>
              </w:rPr>
              <w:t>Individual who carries out a harmful act such as violence.</w:t>
            </w:r>
          </w:p>
        </w:tc>
      </w:tr>
      <w:tr w:rsidR="008116C5" w:rsidRPr="008116C5" w14:paraId="4C4A68FA" w14:textId="77777777" w:rsidTr="009735B5">
        <w:trPr>
          <w:cnfStyle w:val="000000010000" w:firstRow="0" w:lastRow="0" w:firstColumn="0" w:lastColumn="0" w:oddVBand="0" w:evenVBand="0" w:oddHBand="0" w:evenHBand="1" w:firstRowFirstColumn="0" w:firstRowLastColumn="0" w:lastRowFirstColumn="0" w:lastRowLastColumn="0"/>
        </w:trPr>
        <w:tc>
          <w:tcPr>
            <w:tcW w:w="1843" w:type="dxa"/>
          </w:tcPr>
          <w:p w14:paraId="5A6B71ED" w14:textId="69053286" w:rsidR="008116C5" w:rsidRPr="008116C5" w:rsidRDefault="00C408D2" w:rsidP="008116C5">
            <w:pPr>
              <w:spacing w:line="240" w:lineRule="auto"/>
              <w:rPr>
                <w:rFonts w:cstheme="minorHAnsi"/>
                <w:bCs/>
                <w:szCs w:val="20"/>
              </w:rPr>
            </w:pPr>
            <w:r>
              <w:rPr>
                <w:rFonts w:cstheme="minorHAnsi"/>
                <w:bCs/>
                <w:szCs w:val="20"/>
              </w:rPr>
              <w:t>p</w:t>
            </w:r>
            <w:r w:rsidR="008116C5" w:rsidRPr="008116C5">
              <w:rPr>
                <w:rFonts w:cstheme="minorHAnsi"/>
                <w:bCs/>
                <w:szCs w:val="20"/>
              </w:rPr>
              <w:t>ersonal protection order</w:t>
            </w:r>
          </w:p>
        </w:tc>
        <w:tc>
          <w:tcPr>
            <w:tcW w:w="7183" w:type="dxa"/>
          </w:tcPr>
          <w:p w14:paraId="66FE7E91" w14:textId="77777777" w:rsidR="008116C5" w:rsidRPr="008116C5" w:rsidRDefault="008116C5" w:rsidP="008116C5">
            <w:pPr>
              <w:spacing w:line="240" w:lineRule="auto"/>
              <w:rPr>
                <w:rFonts w:cstheme="minorHAnsi"/>
                <w:bCs/>
                <w:szCs w:val="20"/>
              </w:rPr>
            </w:pPr>
            <w:r w:rsidRPr="008116C5">
              <w:rPr>
                <w:rFonts w:cstheme="minorHAnsi"/>
                <w:bCs/>
                <w:szCs w:val="20"/>
              </w:rPr>
              <w:t>An order, made by a court, to ‘prohibit someone from engaging in personal violence towards an individual or for a workplace’.</w:t>
            </w:r>
            <w:r w:rsidRPr="008116C5">
              <w:rPr>
                <w:rFonts w:cstheme="minorHAnsi"/>
                <w:bCs/>
                <w:szCs w:val="20"/>
                <w:vertAlign w:val="superscript"/>
              </w:rPr>
              <w:footnoteReference w:id="3"/>
            </w:r>
          </w:p>
        </w:tc>
      </w:tr>
      <w:tr w:rsidR="008116C5" w:rsidRPr="008116C5" w14:paraId="31AC9750" w14:textId="77777777" w:rsidTr="009735B5">
        <w:trPr>
          <w:cnfStyle w:val="000000100000" w:firstRow="0" w:lastRow="0" w:firstColumn="0" w:lastColumn="0" w:oddVBand="0" w:evenVBand="0" w:oddHBand="1" w:evenHBand="0" w:firstRowFirstColumn="0" w:firstRowLastColumn="0" w:lastRowFirstColumn="0" w:lastRowLastColumn="0"/>
        </w:trPr>
        <w:tc>
          <w:tcPr>
            <w:tcW w:w="1843" w:type="dxa"/>
          </w:tcPr>
          <w:p w14:paraId="5DAA12AA" w14:textId="77777777" w:rsidR="008116C5" w:rsidRPr="008116C5" w:rsidRDefault="008116C5" w:rsidP="008116C5">
            <w:pPr>
              <w:spacing w:line="240" w:lineRule="auto"/>
              <w:rPr>
                <w:rFonts w:cstheme="minorHAnsi"/>
                <w:bCs/>
                <w:szCs w:val="20"/>
              </w:rPr>
            </w:pPr>
            <w:r w:rsidRPr="008116C5">
              <w:rPr>
                <w:rFonts w:cstheme="minorHAnsi"/>
                <w:bCs/>
                <w:szCs w:val="20"/>
              </w:rPr>
              <w:t>protected person</w:t>
            </w:r>
          </w:p>
        </w:tc>
        <w:tc>
          <w:tcPr>
            <w:tcW w:w="7183" w:type="dxa"/>
          </w:tcPr>
          <w:p w14:paraId="609AE769" w14:textId="77777777" w:rsidR="008116C5" w:rsidRPr="008116C5" w:rsidRDefault="008116C5" w:rsidP="008116C5">
            <w:pPr>
              <w:spacing w:line="240" w:lineRule="auto"/>
              <w:rPr>
                <w:rFonts w:cstheme="minorHAnsi"/>
                <w:bCs/>
                <w:szCs w:val="20"/>
              </w:rPr>
            </w:pPr>
            <w:r w:rsidRPr="008116C5">
              <w:rPr>
                <w:rFonts w:cstheme="minorHAnsi"/>
                <w:bCs/>
                <w:szCs w:val="20"/>
              </w:rPr>
              <w:t>A person who is protected under a family or personal violence order.</w:t>
            </w:r>
          </w:p>
        </w:tc>
      </w:tr>
      <w:tr w:rsidR="008116C5" w:rsidRPr="008116C5" w14:paraId="09D9FCF3" w14:textId="77777777" w:rsidTr="009735B5">
        <w:trPr>
          <w:cnfStyle w:val="000000010000" w:firstRow="0" w:lastRow="0" w:firstColumn="0" w:lastColumn="0" w:oddVBand="0" w:evenVBand="0" w:oddHBand="0" w:evenHBand="1" w:firstRowFirstColumn="0" w:firstRowLastColumn="0" w:lastRowFirstColumn="0" w:lastRowLastColumn="0"/>
        </w:trPr>
        <w:tc>
          <w:tcPr>
            <w:tcW w:w="1843" w:type="dxa"/>
          </w:tcPr>
          <w:p w14:paraId="4535AEAE" w14:textId="77777777" w:rsidR="008116C5" w:rsidRPr="008116C5" w:rsidRDefault="008116C5" w:rsidP="008116C5">
            <w:pPr>
              <w:spacing w:line="240" w:lineRule="auto"/>
              <w:rPr>
                <w:rFonts w:cstheme="minorHAnsi"/>
                <w:bCs/>
                <w:szCs w:val="20"/>
              </w:rPr>
            </w:pPr>
            <w:r w:rsidRPr="008116C5">
              <w:rPr>
                <w:rFonts w:cstheme="minorHAnsi"/>
                <w:bCs/>
                <w:szCs w:val="20"/>
              </w:rPr>
              <w:t>respondent</w:t>
            </w:r>
          </w:p>
        </w:tc>
        <w:tc>
          <w:tcPr>
            <w:tcW w:w="7183" w:type="dxa"/>
          </w:tcPr>
          <w:p w14:paraId="377B2227" w14:textId="77777777" w:rsidR="008116C5" w:rsidRPr="008116C5" w:rsidRDefault="008116C5" w:rsidP="008116C5">
            <w:pPr>
              <w:spacing w:line="240" w:lineRule="auto"/>
              <w:rPr>
                <w:rFonts w:cstheme="minorHAnsi"/>
                <w:bCs/>
                <w:szCs w:val="20"/>
              </w:rPr>
            </w:pPr>
            <w:r w:rsidRPr="008116C5">
              <w:rPr>
                <w:rFonts w:cstheme="minorHAnsi"/>
                <w:bCs/>
                <w:szCs w:val="20"/>
              </w:rPr>
              <w:t>The person against whom an order is requested or made.</w:t>
            </w:r>
          </w:p>
        </w:tc>
      </w:tr>
      <w:tr w:rsidR="008116C5" w:rsidRPr="008116C5" w14:paraId="478C0EE2" w14:textId="77777777" w:rsidTr="009735B5">
        <w:trPr>
          <w:cnfStyle w:val="000000100000" w:firstRow="0" w:lastRow="0" w:firstColumn="0" w:lastColumn="0" w:oddVBand="0" w:evenVBand="0" w:oddHBand="1" w:evenHBand="0" w:firstRowFirstColumn="0" w:firstRowLastColumn="0" w:lastRowFirstColumn="0" w:lastRowLastColumn="0"/>
        </w:trPr>
        <w:tc>
          <w:tcPr>
            <w:tcW w:w="1843" w:type="dxa"/>
          </w:tcPr>
          <w:p w14:paraId="0AC9B465" w14:textId="77777777" w:rsidR="008116C5" w:rsidRPr="008116C5" w:rsidRDefault="008116C5" w:rsidP="008116C5">
            <w:pPr>
              <w:spacing w:line="240" w:lineRule="auto"/>
              <w:rPr>
                <w:rFonts w:cstheme="minorHAnsi"/>
                <w:bCs/>
                <w:szCs w:val="20"/>
              </w:rPr>
            </w:pPr>
            <w:r w:rsidRPr="008116C5">
              <w:rPr>
                <w:rFonts w:cstheme="minorHAnsi"/>
                <w:bCs/>
                <w:szCs w:val="20"/>
              </w:rPr>
              <w:t>victim-survivor</w:t>
            </w:r>
          </w:p>
        </w:tc>
        <w:tc>
          <w:tcPr>
            <w:tcW w:w="7183" w:type="dxa"/>
          </w:tcPr>
          <w:p w14:paraId="771A506B" w14:textId="77777777" w:rsidR="008116C5" w:rsidRPr="008116C5" w:rsidRDefault="008116C5" w:rsidP="008116C5">
            <w:pPr>
              <w:spacing w:line="240" w:lineRule="auto"/>
              <w:rPr>
                <w:rFonts w:cstheme="minorHAnsi"/>
                <w:bCs/>
                <w:szCs w:val="20"/>
              </w:rPr>
            </w:pPr>
            <w:r w:rsidRPr="008116C5">
              <w:rPr>
                <w:rFonts w:cstheme="minorHAnsi"/>
                <w:bCs/>
                <w:szCs w:val="20"/>
              </w:rPr>
              <w:t>A person who has experienced violence (noting the term ‘does not displace the presumption of innocence or reverse the onus of proof’)</w:t>
            </w:r>
            <w:r w:rsidRPr="008116C5">
              <w:rPr>
                <w:rFonts w:cstheme="minorHAnsi"/>
                <w:bCs/>
                <w:szCs w:val="20"/>
                <w:vertAlign w:val="superscript"/>
              </w:rPr>
              <w:footnoteReference w:id="4"/>
            </w:r>
          </w:p>
        </w:tc>
      </w:tr>
    </w:tbl>
    <w:p w14:paraId="5CC4E2AD" w14:textId="1D97F897" w:rsidR="0031628A" w:rsidRPr="008857F1" w:rsidRDefault="0031628A" w:rsidP="0031628A">
      <w:r>
        <w:br w:type="page"/>
      </w:r>
    </w:p>
    <w:p w14:paraId="4044F508" w14:textId="720603B2" w:rsidR="007A6EB9" w:rsidRDefault="008D72C9" w:rsidP="00236093">
      <w:pPr>
        <w:pStyle w:val="Heading1nonumber"/>
      </w:pPr>
      <w:bookmarkStart w:id="11" w:name="_Toc160446702"/>
      <w:r>
        <w:lastRenderedPageBreak/>
        <w:t>R</w:t>
      </w:r>
      <w:r w:rsidR="007A6EB9" w:rsidRPr="0006752F">
        <w:t>ecommendations</w:t>
      </w:r>
      <w:bookmarkEnd w:id="11"/>
    </w:p>
    <w:p w14:paraId="505ED375" w14:textId="3CC9F1D8" w:rsidR="00A5478A"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61229673" w:history="1">
        <w:r w:rsidR="00A5478A" w:rsidRPr="00263F4C">
          <w:rPr>
            <w:rStyle w:val="Hyperlink"/>
          </w:rPr>
          <w:t>Recommendation 1</w:t>
        </w:r>
      </w:hyperlink>
    </w:p>
    <w:p w14:paraId="60E30E5D" w14:textId="5154193E" w:rsidR="00A5478A" w:rsidRDefault="0008189D">
      <w:pPr>
        <w:pStyle w:val="TOC2"/>
        <w:rPr>
          <w:rFonts w:eastAsiaTheme="minorEastAsia"/>
          <w:kern w:val="2"/>
          <w:lang w:eastAsia="en-AU"/>
          <w14:ligatures w14:val="standardContextual"/>
        </w:rPr>
      </w:pPr>
      <w:hyperlink w:anchor="_Toc161229674" w:history="1">
        <w:r w:rsidR="00A5478A" w:rsidRPr="00263F4C">
          <w:rPr>
            <w:rStyle w:val="Hyperlink"/>
          </w:rPr>
          <w:t>The Committee recommends that the ACT Government puts in place processes to ensure that protected persons who turn 18 and other relevant parties are:</w:t>
        </w:r>
      </w:hyperlink>
    </w:p>
    <w:p w14:paraId="01AADDFB" w14:textId="534B1E58" w:rsidR="00A5478A" w:rsidRDefault="0008189D">
      <w:pPr>
        <w:pStyle w:val="TOC2"/>
        <w:tabs>
          <w:tab w:val="left" w:pos="880"/>
        </w:tabs>
        <w:rPr>
          <w:rFonts w:eastAsiaTheme="minorEastAsia"/>
          <w:kern w:val="2"/>
          <w:lang w:eastAsia="en-AU"/>
          <w14:ligatures w14:val="standardContextual"/>
        </w:rPr>
      </w:pPr>
      <w:hyperlink w:anchor="_Toc161229675" w:history="1">
        <w:r w:rsidR="00A5478A" w:rsidRPr="00263F4C">
          <w:rPr>
            <w:rStyle w:val="Hyperlink"/>
            <w:rFonts w:ascii="Symbol" w:hAnsi="Symbol"/>
          </w:rPr>
          <w:t></w:t>
        </w:r>
        <w:r w:rsidR="00A5478A">
          <w:rPr>
            <w:rFonts w:eastAsiaTheme="minorEastAsia"/>
            <w:kern w:val="2"/>
            <w:lang w:eastAsia="en-AU"/>
            <w14:ligatures w14:val="standardContextual"/>
          </w:rPr>
          <w:tab/>
        </w:r>
        <w:r w:rsidR="00A5478A" w:rsidRPr="00263F4C">
          <w:rPr>
            <w:rStyle w:val="Hyperlink"/>
          </w:rPr>
          <w:t xml:space="preserve">made aware of what the proposed changes will mean in respect of any parenting orders that were in place under the </w:t>
        </w:r>
        <w:r w:rsidR="00A5478A" w:rsidRPr="00263F4C">
          <w:rPr>
            <w:rStyle w:val="Hyperlink"/>
            <w:i/>
            <w:iCs/>
          </w:rPr>
          <w:t>Family Law Act 1975</w:t>
        </w:r>
        <w:r w:rsidR="00A5478A" w:rsidRPr="00263F4C">
          <w:rPr>
            <w:rStyle w:val="Hyperlink"/>
          </w:rPr>
          <w:t xml:space="preserve"> once the protected person turns 18; and</w:t>
        </w:r>
      </w:hyperlink>
    </w:p>
    <w:p w14:paraId="131291A5" w14:textId="1133E60D" w:rsidR="00A5478A" w:rsidRDefault="0008189D">
      <w:pPr>
        <w:pStyle w:val="TOC2"/>
        <w:tabs>
          <w:tab w:val="left" w:pos="880"/>
        </w:tabs>
        <w:rPr>
          <w:rFonts w:eastAsiaTheme="minorEastAsia"/>
          <w:kern w:val="2"/>
          <w:lang w:eastAsia="en-AU"/>
          <w14:ligatures w14:val="standardContextual"/>
        </w:rPr>
      </w:pPr>
      <w:hyperlink w:anchor="_Toc161229676" w:history="1">
        <w:r w:rsidR="00A5478A" w:rsidRPr="00263F4C">
          <w:rPr>
            <w:rStyle w:val="Hyperlink"/>
            <w:rFonts w:ascii="Symbol" w:hAnsi="Symbol"/>
          </w:rPr>
          <w:t></w:t>
        </w:r>
        <w:r w:rsidR="00A5478A">
          <w:rPr>
            <w:rFonts w:eastAsiaTheme="minorEastAsia"/>
            <w:kern w:val="2"/>
            <w:lang w:eastAsia="en-AU"/>
            <w14:ligatures w14:val="standardContextual"/>
          </w:rPr>
          <w:tab/>
        </w:r>
        <w:r w:rsidR="00A5478A" w:rsidRPr="00263F4C">
          <w:rPr>
            <w:rStyle w:val="Hyperlink"/>
          </w:rPr>
          <w:t>advised of what actions are required if they want the contact between the protected person and respondent to continue.</w:t>
        </w:r>
      </w:hyperlink>
    </w:p>
    <w:p w14:paraId="4A6A27E8" w14:textId="09EE6AD0" w:rsidR="00A5478A"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1229677" w:history="1">
        <w:r w:rsidR="00A5478A" w:rsidRPr="00263F4C">
          <w:rPr>
            <w:rStyle w:val="Hyperlink"/>
          </w:rPr>
          <w:t>Recommendation 2</w:t>
        </w:r>
      </w:hyperlink>
    </w:p>
    <w:p w14:paraId="6589CC44" w14:textId="64B960B9" w:rsidR="00A5478A" w:rsidRDefault="0008189D">
      <w:pPr>
        <w:pStyle w:val="TOC2"/>
        <w:rPr>
          <w:rFonts w:eastAsiaTheme="minorEastAsia"/>
          <w:kern w:val="2"/>
          <w:lang w:eastAsia="en-AU"/>
          <w14:ligatures w14:val="standardContextual"/>
        </w:rPr>
      </w:pPr>
      <w:hyperlink w:anchor="_Toc161229678" w:history="1">
        <w:r w:rsidR="00A5478A" w:rsidRPr="00263F4C">
          <w:rPr>
            <w:rStyle w:val="Hyperlink"/>
          </w:rPr>
          <w:t>The Committee recommends that the ACT government develop guidelines for defining what is an ‘unacceptable risk’ for purposes of making decisions on whether to have preliminary conferences.</w:t>
        </w:r>
      </w:hyperlink>
    </w:p>
    <w:p w14:paraId="726E3680" w14:textId="141DD617" w:rsidR="00A5478A"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1229679" w:history="1">
        <w:r w:rsidR="00A5478A" w:rsidRPr="00263F4C">
          <w:rPr>
            <w:rStyle w:val="Hyperlink"/>
          </w:rPr>
          <w:t>Recommendation 3</w:t>
        </w:r>
      </w:hyperlink>
    </w:p>
    <w:p w14:paraId="092DB8A0" w14:textId="51EA9470" w:rsidR="00A5478A" w:rsidRDefault="0008189D">
      <w:pPr>
        <w:pStyle w:val="TOC2"/>
        <w:rPr>
          <w:rFonts w:eastAsiaTheme="minorEastAsia"/>
          <w:kern w:val="2"/>
          <w:lang w:eastAsia="en-AU"/>
          <w14:ligatures w14:val="standardContextual"/>
        </w:rPr>
      </w:pPr>
      <w:hyperlink w:anchor="_Toc161229680" w:history="1">
        <w:r w:rsidR="00A5478A" w:rsidRPr="00263F4C">
          <w:rPr>
            <w:rStyle w:val="Hyperlink"/>
          </w:rPr>
          <w:t>The Committee recommends that the ACT Government further explore the complex issues raised in relation to the misidentification of respondents and victim-survivors.</w:t>
        </w:r>
      </w:hyperlink>
    </w:p>
    <w:p w14:paraId="3A1089CC" w14:textId="492C2627" w:rsidR="00A5478A"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1229681" w:history="1">
        <w:r w:rsidR="00A5478A" w:rsidRPr="00263F4C">
          <w:rPr>
            <w:rStyle w:val="Hyperlink"/>
          </w:rPr>
          <w:t>Recommendation 4</w:t>
        </w:r>
      </w:hyperlink>
    </w:p>
    <w:p w14:paraId="27832F60" w14:textId="1C74847B" w:rsidR="00A5478A" w:rsidRDefault="0008189D">
      <w:pPr>
        <w:pStyle w:val="TOC2"/>
        <w:rPr>
          <w:rFonts w:eastAsiaTheme="minorEastAsia"/>
          <w:kern w:val="2"/>
          <w:lang w:eastAsia="en-AU"/>
          <w14:ligatures w14:val="standardContextual"/>
        </w:rPr>
      </w:pPr>
      <w:hyperlink w:anchor="_Toc161229682" w:history="1">
        <w:r w:rsidR="00A5478A" w:rsidRPr="00263F4C">
          <w:rPr>
            <w:rStyle w:val="Hyperlink"/>
          </w:rPr>
          <w:t>The Committee recommends that the ACT Government introduce amendments to the bill (in proposed subsections 82B(2) and 82B(3)) to make the language consistent in relation to the Magistrates Court making provisional amendments.</w:t>
        </w:r>
      </w:hyperlink>
    </w:p>
    <w:p w14:paraId="6EBD4EAA" w14:textId="6D94921B" w:rsidR="00A5478A"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1229683" w:history="1">
        <w:r w:rsidR="00A5478A" w:rsidRPr="00263F4C">
          <w:rPr>
            <w:rStyle w:val="Hyperlink"/>
          </w:rPr>
          <w:t>Recommendation 5</w:t>
        </w:r>
      </w:hyperlink>
    </w:p>
    <w:p w14:paraId="6F7FB2F6" w14:textId="1F29A641" w:rsidR="00A5478A" w:rsidRDefault="0008189D">
      <w:pPr>
        <w:pStyle w:val="TOC2"/>
        <w:rPr>
          <w:rFonts w:eastAsiaTheme="minorEastAsia"/>
          <w:kern w:val="2"/>
          <w:lang w:eastAsia="en-AU"/>
          <w14:ligatures w14:val="standardContextual"/>
        </w:rPr>
      </w:pPr>
      <w:hyperlink w:anchor="_Toc161229684" w:history="1">
        <w:r w:rsidR="00A5478A" w:rsidRPr="00263F4C">
          <w:rPr>
            <w:rStyle w:val="Hyperlink"/>
          </w:rPr>
          <w:t>The Committee recommends that the ACT Government introduce amendments to the bill that will also allow decisions of a Registrar relating to the refusal of conditions to be reviewed by a Magistrate.</w:t>
        </w:r>
      </w:hyperlink>
    </w:p>
    <w:p w14:paraId="11017417" w14:textId="5D5D6C0E" w:rsidR="00A5478A" w:rsidRDefault="0008189D">
      <w:pPr>
        <w:pStyle w:val="TOC1"/>
        <w:rPr>
          <w:rFonts w:asciiTheme="minorHAnsi" w:eastAsiaTheme="minorEastAsia" w:hAnsiTheme="minorHAnsi"/>
          <w:b w:val="0"/>
          <w:bCs w:val="0"/>
          <w:color w:val="auto"/>
          <w:w w:val="100"/>
          <w:kern w:val="2"/>
          <w:sz w:val="22"/>
          <w:lang w:eastAsia="en-AU"/>
          <w14:ligatures w14:val="standardContextual"/>
        </w:rPr>
      </w:pPr>
      <w:hyperlink w:anchor="_Toc161229685" w:history="1">
        <w:r w:rsidR="00A5478A" w:rsidRPr="00263F4C">
          <w:rPr>
            <w:rStyle w:val="Hyperlink"/>
          </w:rPr>
          <w:t>Recommendation 6</w:t>
        </w:r>
      </w:hyperlink>
    </w:p>
    <w:p w14:paraId="7FCF5F68" w14:textId="02A5CB84" w:rsidR="00A5478A" w:rsidRDefault="0008189D">
      <w:pPr>
        <w:pStyle w:val="TOC2"/>
        <w:rPr>
          <w:rFonts w:eastAsiaTheme="minorEastAsia"/>
          <w:kern w:val="2"/>
          <w:lang w:eastAsia="en-AU"/>
          <w14:ligatures w14:val="standardContextual"/>
        </w:rPr>
      </w:pPr>
      <w:hyperlink w:anchor="_Toc161229686" w:history="1">
        <w:r w:rsidR="00A5478A" w:rsidRPr="00263F4C">
          <w:rPr>
            <w:rStyle w:val="Hyperlink"/>
          </w:rPr>
          <w:t>The Committee recommends that the ACT Government develop guidance for applicants on how to make a request for a review by a Magistrate of a decision by a Registrar.</w:t>
        </w:r>
      </w:hyperlink>
    </w:p>
    <w:p w14:paraId="34234833" w14:textId="518C1CCE" w:rsidR="00B7541C" w:rsidRDefault="006A7A61" w:rsidP="00B7541C">
      <w:r>
        <w:fldChar w:fldCharType="end"/>
      </w:r>
    </w:p>
    <w:p w14:paraId="344C4F63" w14:textId="5C49D60C" w:rsidR="00B7541C" w:rsidRPr="00B7541C" w:rsidRDefault="00B7541C" w:rsidP="00B7541C">
      <w:pPr>
        <w:sectPr w:rsidR="00B7541C" w:rsidRPr="00B7541C" w:rsidSect="00E62541">
          <w:type w:val="continuous"/>
          <w:pgSz w:w="11906" w:h="16838"/>
          <w:pgMar w:top="1440" w:right="1440" w:bottom="1440" w:left="1440" w:header="708" w:footer="708" w:gutter="0"/>
          <w:pgNumType w:fmt="lowerRoman" w:start="1"/>
          <w:cols w:space="708"/>
          <w:docGrid w:linePitch="360"/>
        </w:sectPr>
      </w:pPr>
    </w:p>
    <w:p w14:paraId="53852A67" w14:textId="6DB39107" w:rsidR="0036775A" w:rsidRPr="006323F8" w:rsidRDefault="008116C5" w:rsidP="00EA1704">
      <w:pPr>
        <w:pStyle w:val="Heading1"/>
      </w:pPr>
      <w:bookmarkStart w:id="12" w:name="_Toc160446703"/>
      <w:r w:rsidRPr="008116C5">
        <w:lastRenderedPageBreak/>
        <w:t>Conduct of the Inquiry</w:t>
      </w:r>
      <w:bookmarkEnd w:id="7"/>
      <w:bookmarkEnd w:id="12"/>
    </w:p>
    <w:p w14:paraId="4710EC5E" w14:textId="77777777" w:rsidR="008116C5" w:rsidRDefault="008116C5" w:rsidP="008116C5">
      <w:pPr>
        <w:pStyle w:val="ListNumber2"/>
      </w:pPr>
      <w:r>
        <w:t>The Committee received six submissions to the inquiry. These are listed in Appendix A.</w:t>
      </w:r>
    </w:p>
    <w:p w14:paraId="1ED30FBA" w14:textId="44A3972D" w:rsidR="008116C5" w:rsidRDefault="008116C5" w:rsidP="008116C5">
      <w:pPr>
        <w:pStyle w:val="ListNumber2"/>
      </w:pPr>
      <w:bookmarkStart w:id="13" w:name="_Hlk160104654"/>
      <w:r>
        <w:t>The Committee requested an extension to the required reporting date of 26 January 2024 by motion in the Assembly on 28 November 2023. The Assembly resolved to grant an extension until 14 March 2024</w:t>
      </w:r>
      <w:bookmarkEnd w:id="13"/>
      <w:r>
        <w:t>.</w:t>
      </w:r>
      <w:r>
        <w:rPr>
          <w:rStyle w:val="FootnoteReference"/>
        </w:rPr>
        <w:footnoteReference w:id="5"/>
      </w:r>
    </w:p>
    <w:p w14:paraId="640B0862" w14:textId="77777777" w:rsidR="008116C5" w:rsidRDefault="008116C5" w:rsidP="008116C5">
      <w:pPr>
        <w:pStyle w:val="Heading1"/>
      </w:pPr>
      <w:bookmarkStart w:id="14" w:name="_Toc160095939"/>
      <w:bookmarkStart w:id="15" w:name="_Toc160446704"/>
      <w:bookmarkEnd w:id="8"/>
      <w:r>
        <w:t>Introduction</w:t>
      </w:r>
      <w:bookmarkEnd w:id="14"/>
      <w:bookmarkEnd w:id="15"/>
    </w:p>
    <w:p w14:paraId="3F498FDF" w14:textId="77777777" w:rsidR="008116C5" w:rsidRPr="00E46160" w:rsidRDefault="008116C5" w:rsidP="008116C5">
      <w:pPr>
        <w:pStyle w:val="Heading2"/>
      </w:pPr>
      <w:bookmarkStart w:id="16" w:name="_Toc160095940"/>
      <w:bookmarkStart w:id="17" w:name="_Toc160446705"/>
      <w:r>
        <w:t>Background to the bill</w:t>
      </w:r>
      <w:bookmarkEnd w:id="16"/>
      <w:bookmarkEnd w:id="17"/>
    </w:p>
    <w:p w14:paraId="5116B0B9" w14:textId="77777777" w:rsidR="008116C5" w:rsidRDefault="008116C5" w:rsidP="008116C5">
      <w:pPr>
        <w:pStyle w:val="ListNumber2"/>
      </w:pPr>
      <w:r>
        <w:t xml:space="preserve">The bill has been identified as a Significant Bill, meaning it is considered likely to impact the realisation of human rights. As such, a comprehensive explanation of its compatibility with the </w:t>
      </w:r>
      <w:r w:rsidRPr="005E549C">
        <w:rPr>
          <w:i/>
          <w:iCs/>
        </w:rPr>
        <w:t>Human Rights Act 2004</w:t>
      </w:r>
      <w:r>
        <w:t xml:space="preserve"> was required in the explanatory statement.</w:t>
      </w:r>
      <w:r>
        <w:rPr>
          <w:rStyle w:val="FootnoteReference"/>
        </w:rPr>
        <w:footnoteReference w:id="6"/>
      </w:r>
    </w:p>
    <w:p w14:paraId="6FF2A63C" w14:textId="77777777" w:rsidR="008116C5" w:rsidRDefault="008116C5" w:rsidP="008116C5">
      <w:pPr>
        <w:pStyle w:val="ListNumber2"/>
      </w:pPr>
      <w:r>
        <w:t>This bill proposes amendments to several Acts:</w:t>
      </w:r>
    </w:p>
    <w:p w14:paraId="4AE04AF3" w14:textId="77777777" w:rsidR="008116C5" w:rsidRDefault="008116C5" w:rsidP="008116C5">
      <w:pPr>
        <w:pStyle w:val="ListNumber3"/>
      </w:pPr>
      <w:r w:rsidRPr="005E549C">
        <w:rPr>
          <w:i/>
          <w:iCs/>
        </w:rPr>
        <w:t>Crimes Act 1900</w:t>
      </w:r>
      <w:r>
        <w:t>;</w:t>
      </w:r>
    </w:p>
    <w:p w14:paraId="19A82F8F" w14:textId="77777777" w:rsidR="008116C5" w:rsidRDefault="008116C5" w:rsidP="008116C5">
      <w:pPr>
        <w:pStyle w:val="ListNumber3"/>
      </w:pPr>
      <w:r w:rsidRPr="005E549C">
        <w:rPr>
          <w:i/>
          <w:iCs/>
        </w:rPr>
        <w:t>Bail Act 1992</w:t>
      </w:r>
      <w:r>
        <w:t>;</w:t>
      </w:r>
    </w:p>
    <w:p w14:paraId="64354E46" w14:textId="77777777" w:rsidR="008116C5" w:rsidRDefault="008116C5" w:rsidP="008116C5">
      <w:pPr>
        <w:pStyle w:val="ListNumber3"/>
      </w:pPr>
      <w:r w:rsidRPr="005E549C">
        <w:rPr>
          <w:i/>
          <w:iCs/>
        </w:rPr>
        <w:t>Crimes (Forensic Procedures) Act 2000</w:t>
      </w:r>
      <w:r>
        <w:t>;</w:t>
      </w:r>
    </w:p>
    <w:p w14:paraId="6C08BEA6" w14:textId="77777777" w:rsidR="008116C5" w:rsidRDefault="008116C5" w:rsidP="008116C5">
      <w:pPr>
        <w:pStyle w:val="ListNumber3"/>
      </w:pPr>
      <w:r w:rsidRPr="005E549C">
        <w:rPr>
          <w:i/>
          <w:iCs/>
        </w:rPr>
        <w:t>Family Violence Act 2016</w:t>
      </w:r>
      <w:r>
        <w:t>; and</w:t>
      </w:r>
    </w:p>
    <w:p w14:paraId="2686E3BD" w14:textId="77777777" w:rsidR="008116C5" w:rsidRPr="005E549C" w:rsidRDefault="008116C5" w:rsidP="008116C5">
      <w:pPr>
        <w:pStyle w:val="ListNumber3"/>
        <w:rPr>
          <w:i/>
          <w:iCs/>
        </w:rPr>
      </w:pPr>
      <w:r w:rsidRPr="005E549C">
        <w:rPr>
          <w:i/>
          <w:iCs/>
        </w:rPr>
        <w:t>Personal Violence Act 2016.</w:t>
      </w:r>
      <w:r>
        <w:rPr>
          <w:rStyle w:val="FootnoteReference"/>
          <w:i/>
          <w:iCs/>
        </w:rPr>
        <w:footnoteReference w:id="7"/>
      </w:r>
    </w:p>
    <w:p w14:paraId="29CCE714" w14:textId="77777777" w:rsidR="008116C5" w:rsidRDefault="008116C5" w:rsidP="008116C5">
      <w:pPr>
        <w:pStyle w:val="ListNumber2"/>
      </w:pPr>
      <w:r>
        <w:t>Broadly, these amendments seek to promote safety and access to justice and make proceedings more flexible for victim-survivors of personal, family, and sexual violence.</w:t>
      </w:r>
      <w:r>
        <w:rPr>
          <w:rStyle w:val="FootnoteReference"/>
        </w:rPr>
        <w:footnoteReference w:id="8"/>
      </w:r>
      <w:r>
        <w:t xml:space="preserve"> Several of the amendments to the Family Violence Act and Personal Violence Acts are very similar in nature and seek the same outcome.</w:t>
      </w:r>
      <w:r>
        <w:rPr>
          <w:rStyle w:val="FootnoteReference"/>
        </w:rPr>
        <w:footnoteReference w:id="9"/>
      </w:r>
    </w:p>
    <w:p w14:paraId="34C9B558" w14:textId="77777777" w:rsidR="008116C5" w:rsidRDefault="008116C5" w:rsidP="008116C5">
      <w:pPr>
        <w:pStyle w:val="ListNumber2"/>
      </w:pPr>
      <w:r w:rsidRPr="008D7D86">
        <w:t>The explanatory statement summarises that the bill, if passed, will:</w:t>
      </w:r>
    </w:p>
    <w:p w14:paraId="6011EFFD" w14:textId="1C9A83C4" w:rsidR="00114696" w:rsidRDefault="00114696" w:rsidP="001F4B26">
      <w:pPr>
        <w:pStyle w:val="ListNumber3"/>
      </w:pPr>
      <w:r>
        <w:t>Create a neutral bail presumption for certain sexual offences.</w:t>
      </w:r>
      <w:r>
        <w:rPr>
          <w:rStyle w:val="FootnoteReference"/>
        </w:rPr>
        <w:footnoteReference w:id="10"/>
      </w:r>
      <w:r>
        <w:t xml:space="preserve"> </w:t>
      </w:r>
    </w:p>
    <w:p w14:paraId="2B30A6EF" w14:textId="77777777" w:rsidR="00114696" w:rsidRDefault="00114696" w:rsidP="00114696">
      <w:pPr>
        <w:pStyle w:val="ListNumber3"/>
      </w:pPr>
      <w:r>
        <w:t>Remove aiding and abetting family violence order breaches as an offence for those who are listed as a ‘protected person’ in the order, with the aim of:</w:t>
      </w:r>
    </w:p>
    <w:p w14:paraId="65F9CDFE" w14:textId="450A083C" w:rsidR="008116C5" w:rsidRDefault="00114696" w:rsidP="00114696">
      <w:pPr>
        <w:pStyle w:val="ListNumber4"/>
      </w:pPr>
      <w:r>
        <w:t>Ensuring ‘</w:t>
      </w:r>
      <w:r w:rsidRPr="00FC2884">
        <w:t>responsibility for complying with a family violence order rests with the</w:t>
      </w:r>
      <w:r>
        <w:t xml:space="preserve"> </w:t>
      </w:r>
      <w:r w:rsidRPr="00FC2884">
        <w:t>respondent, rather than the victim-survivor</w:t>
      </w:r>
      <w:r>
        <w:t>’</w:t>
      </w:r>
      <w:r w:rsidR="00BA4102">
        <w:t>;</w:t>
      </w:r>
      <w:r>
        <w:rPr>
          <w:rStyle w:val="FootnoteReference"/>
        </w:rPr>
        <w:footnoteReference w:id="11"/>
      </w:r>
    </w:p>
    <w:p w14:paraId="029402FA" w14:textId="4536D172" w:rsidR="00114696" w:rsidRDefault="00114696" w:rsidP="00114696">
      <w:pPr>
        <w:pStyle w:val="ListNumber4"/>
      </w:pPr>
      <w:r>
        <w:lastRenderedPageBreak/>
        <w:t>Making clear that a protected person cannot aid the breach of an order designed to protect them.</w:t>
      </w:r>
      <w:r>
        <w:rPr>
          <w:rStyle w:val="FootnoteReference"/>
        </w:rPr>
        <w:footnoteReference w:id="12"/>
      </w:r>
    </w:p>
    <w:p w14:paraId="21D1ADE8" w14:textId="6EBDBFA1" w:rsidR="00114696" w:rsidRDefault="00114696" w:rsidP="00114696">
      <w:pPr>
        <w:pStyle w:val="ListNumber3"/>
      </w:pPr>
      <w:r>
        <w:t xml:space="preserve">Streamline proceedings relating to protection orders, and </w:t>
      </w:r>
      <w:r w:rsidR="0019585A">
        <w:t xml:space="preserve">provide </w:t>
      </w:r>
      <w:r>
        <w:t>support for parties to these applications by:</w:t>
      </w:r>
    </w:p>
    <w:p w14:paraId="0409716E" w14:textId="77777777" w:rsidR="00114696" w:rsidRDefault="00114696" w:rsidP="00114696">
      <w:pPr>
        <w:pStyle w:val="ListNumber4"/>
      </w:pPr>
      <w:r>
        <w:t>Adding provisions for review of Registrar decisions;</w:t>
      </w:r>
    </w:p>
    <w:p w14:paraId="79513BC2" w14:textId="77777777" w:rsidR="00114696" w:rsidRDefault="00114696" w:rsidP="00114696">
      <w:pPr>
        <w:pStyle w:val="ListNumber4"/>
      </w:pPr>
      <w:r>
        <w:t xml:space="preserve">Allowing applications for temporary amendments to a family violence order to be heard on an </w:t>
      </w:r>
      <w:r w:rsidRPr="002508A4">
        <w:rPr>
          <w:i/>
          <w:iCs/>
        </w:rPr>
        <w:t>ex parte</w:t>
      </w:r>
      <w:r>
        <w:t xml:space="preserve"> basis (that is, without all parties present);</w:t>
      </w:r>
    </w:p>
    <w:p w14:paraId="3C6E8786" w14:textId="77777777" w:rsidR="00114696" w:rsidRDefault="00114696" w:rsidP="00114696">
      <w:pPr>
        <w:pStyle w:val="ListNumber4"/>
      </w:pPr>
      <w:r>
        <w:t>Allowing interim hearings for changes in circumstance;</w:t>
      </w:r>
    </w:p>
    <w:p w14:paraId="7751F7DE" w14:textId="77777777" w:rsidR="00114696" w:rsidRDefault="00114696" w:rsidP="00114696">
      <w:pPr>
        <w:pStyle w:val="ListNumber4"/>
      </w:pPr>
      <w:r>
        <w:t>Adding additional processes related to protection orders to allow for changes and updates when required; and</w:t>
      </w:r>
    </w:p>
    <w:p w14:paraId="1E9EF7D6" w14:textId="7E5B45E0" w:rsidR="00114696" w:rsidRDefault="00114696" w:rsidP="00114696">
      <w:pPr>
        <w:pStyle w:val="ListNumber4"/>
      </w:pPr>
      <w:r>
        <w:t>Making clear that a protection order still applies if a person turns 18.</w:t>
      </w:r>
      <w:r w:rsidR="00133E6C">
        <w:rPr>
          <w:rStyle w:val="FootnoteReference"/>
        </w:rPr>
        <w:footnoteReference w:id="13"/>
      </w:r>
    </w:p>
    <w:p w14:paraId="53968DB4" w14:textId="77777777" w:rsidR="00114696" w:rsidRDefault="00114696" w:rsidP="00114696">
      <w:pPr>
        <w:pStyle w:val="ListNumber3"/>
      </w:pPr>
      <w:r>
        <w:t>Correct a legislative issue in relation to summary offences that was inadvertently created by the Family violence Legislation Amendment Bill 2022.</w:t>
      </w:r>
      <w:r>
        <w:rPr>
          <w:rStyle w:val="FootnoteReference"/>
        </w:rPr>
        <w:footnoteReference w:id="14"/>
      </w:r>
    </w:p>
    <w:p w14:paraId="3D96B63D" w14:textId="77777777" w:rsidR="00114696" w:rsidRDefault="00114696" w:rsidP="00114696">
      <w:pPr>
        <w:pStyle w:val="Heading2"/>
      </w:pPr>
      <w:bookmarkStart w:id="18" w:name="_Toc160095941"/>
      <w:bookmarkStart w:id="19" w:name="_Toc160446706"/>
      <w:r>
        <w:t>Legislative Scrutiny</w:t>
      </w:r>
      <w:bookmarkEnd w:id="18"/>
      <w:bookmarkEnd w:id="19"/>
    </w:p>
    <w:p w14:paraId="2D260600" w14:textId="77777777" w:rsidR="00114696" w:rsidRDefault="00114696" w:rsidP="00114696">
      <w:pPr>
        <w:pStyle w:val="ListNumber2"/>
      </w:pPr>
      <w:r w:rsidRPr="009A09F4">
        <w:t xml:space="preserve">The Bill was considered by the Standing Committee on Justice and Community Safety (Legislative Scrutiny role) (the Scrutiny Committee) in its Scrutiny Report </w:t>
      </w:r>
      <w:r>
        <w:t>37</w:t>
      </w:r>
      <w:r w:rsidRPr="009A09F4">
        <w:t xml:space="preserve"> of </w:t>
      </w:r>
      <w:r>
        <w:t>21 November 2023.</w:t>
      </w:r>
    </w:p>
    <w:p w14:paraId="1C6B49B3" w14:textId="77777777" w:rsidR="00114696" w:rsidRDefault="00114696" w:rsidP="00114696">
      <w:pPr>
        <w:pStyle w:val="ListNumber2"/>
      </w:pPr>
      <w:r>
        <w:t xml:space="preserve">The Scrutiny Committee noted that the Bill may limit several rights of respondents. The following rights from the </w:t>
      </w:r>
      <w:r w:rsidRPr="00F87053">
        <w:rPr>
          <w:i/>
          <w:iCs/>
        </w:rPr>
        <w:t>Human Rights Act 2004</w:t>
      </w:r>
      <w:r>
        <w:t xml:space="preserve"> were identified as potentially limited:  </w:t>
      </w:r>
    </w:p>
    <w:p w14:paraId="5AF71205" w14:textId="77777777" w:rsidR="00114696" w:rsidRDefault="00114696" w:rsidP="001F4B26">
      <w:pPr>
        <w:pStyle w:val="ListNumber3"/>
        <w:numPr>
          <w:ilvl w:val="2"/>
          <w:numId w:val="25"/>
        </w:numPr>
      </w:pPr>
      <w:r w:rsidRPr="00F87053">
        <w:t xml:space="preserve">Right to recognition and equality before the law (section </w:t>
      </w:r>
      <w:r>
        <w:t>8);</w:t>
      </w:r>
    </w:p>
    <w:p w14:paraId="537B3A48" w14:textId="77777777" w:rsidR="00114696" w:rsidRDefault="00114696" w:rsidP="001F4B26">
      <w:pPr>
        <w:pStyle w:val="ListNumber3"/>
        <w:numPr>
          <w:ilvl w:val="2"/>
          <w:numId w:val="25"/>
        </w:numPr>
      </w:pPr>
      <w:r w:rsidRPr="00F87053">
        <w:t>Right to freedom of movement (section 13)</w:t>
      </w:r>
      <w:r>
        <w:t>;</w:t>
      </w:r>
    </w:p>
    <w:p w14:paraId="3977CEA6" w14:textId="77777777" w:rsidR="00114696" w:rsidRDefault="00114696" w:rsidP="001F4B26">
      <w:pPr>
        <w:pStyle w:val="ListNumber3"/>
        <w:numPr>
          <w:ilvl w:val="2"/>
          <w:numId w:val="25"/>
        </w:numPr>
      </w:pPr>
      <w:r w:rsidRPr="00F87053">
        <w:t>Right to liberty and security of person</w:t>
      </w:r>
      <w:r>
        <w:t xml:space="preserve"> </w:t>
      </w:r>
      <w:r w:rsidRPr="00F87053">
        <w:t>(section 18</w:t>
      </w:r>
      <w:r>
        <w:t>);</w:t>
      </w:r>
      <w:r w:rsidRPr="00F87053">
        <w:t xml:space="preserve"> </w:t>
      </w:r>
    </w:p>
    <w:p w14:paraId="443F7EC3" w14:textId="77777777" w:rsidR="00114696" w:rsidRDefault="00114696" w:rsidP="001F4B26">
      <w:pPr>
        <w:pStyle w:val="ListNumber3"/>
        <w:numPr>
          <w:ilvl w:val="2"/>
          <w:numId w:val="25"/>
        </w:numPr>
      </w:pPr>
      <w:r w:rsidRPr="00F87053">
        <w:t>Right to a fair trial (section 21)</w:t>
      </w:r>
      <w:r>
        <w:t>;</w:t>
      </w:r>
      <w:r w:rsidRPr="00F87053">
        <w:t xml:space="preserve"> </w:t>
      </w:r>
    </w:p>
    <w:p w14:paraId="52EECB1E" w14:textId="77777777" w:rsidR="00114696" w:rsidRDefault="00114696" w:rsidP="001F4B26">
      <w:pPr>
        <w:pStyle w:val="ListNumber3"/>
        <w:numPr>
          <w:ilvl w:val="2"/>
          <w:numId w:val="25"/>
        </w:numPr>
      </w:pPr>
      <w:r w:rsidRPr="00F87053">
        <w:t>Rights in criminal proceedings (section 22)</w:t>
      </w:r>
      <w:r>
        <w:t>;</w:t>
      </w:r>
      <w:r w:rsidRPr="00F87053">
        <w:t xml:space="preserve"> </w:t>
      </w:r>
    </w:p>
    <w:p w14:paraId="2DF3144B" w14:textId="77777777" w:rsidR="00114696" w:rsidRDefault="00114696" w:rsidP="001F4B26">
      <w:pPr>
        <w:pStyle w:val="ListNumber3"/>
        <w:numPr>
          <w:ilvl w:val="2"/>
          <w:numId w:val="25"/>
        </w:numPr>
      </w:pPr>
      <w:r w:rsidRPr="00F87053">
        <w:t>Right to work and other work-related rights (section 27B)</w:t>
      </w:r>
      <w:r>
        <w:t>.</w:t>
      </w:r>
      <w:r>
        <w:rPr>
          <w:rStyle w:val="FootnoteReference"/>
        </w:rPr>
        <w:footnoteReference w:id="15"/>
      </w:r>
    </w:p>
    <w:p w14:paraId="5C436273" w14:textId="77777777" w:rsidR="00114696" w:rsidRDefault="00114696" w:rsidP="00114696">
      <w:pPr>
        <w:pStyle w:val="ListNumber2"/>
      </w:pPr>
      <w:r>
        <w:t>The Scrutiny Committee noted that:</w:t>
      </w:r>
    </w:p>
    <w:p w14:paraId="2024ADF8" w14:textId="77777777" w:rsidR="00114696" w:rsidRDefault="00114696" w:rsidP="00114696">
      <w:pPr>
        <w:pStyle w:val="Quote"/>
      </w:pPr>
      <w:r>
        <w:t>The explanatory statement accompanying the Bill recognises these potential limitations and sets out why they should be considered reasonable using the framework in section 28 of the HRA [</w:t>
      </w:r>
      <w:r w:rsidRPr="00493F28">
        <w:rPr>
          <w:i/>
          <w:iCs/>
        </w:rPr>
        <w:t>Human Rights Act 2004</w:t>
      </w:r>
      <w:r>
        <w:t>]. The Committee refers that statement to the Assembly.</w:t>
      </w:r>
      <w:r>
        <w:rPr>
          <w:rStyle w:val="FootnoteReference"/>
        </w:rPr>
        <w:footnoteReference w:id="16"/>
      </w:r>
    </w:p>
    <w:p w14:paraId="62486585" w14:textId="79C713FE" w:rsidR="00114696" w:rsidRDefault="00114696" w:rsidP="00114696">
      <w:pPr>
        <w:pStyle w:val="ListNumber2"/>
      </w:pPr>
      <w:r>
        <w:lastRenderedPageBreak/>
        <w:t>Although the Scrutiny Committee drew these issues to the attention of the Assembly, it did not require a response from the Minister.</w:t>
      </w:r>
      <w:r>
        <w:rPr>
          <w:rStyle w:val="FootnoteReference"/>
        </w:rPr>
        <w:footnoteReference w:id="17"/>
      </w:r>
    </w:p>
    <w:p w14:paraId="099F7F10" w14:textId="77777777" w:rsidR="00114696" w:rsidRDefault="00114696" w:rsidP="00114696">
      <w:pPr>
        <w:pStyle w:val="Heading1"/>
      </w:pPr>
      <w:bookmarkStart w:id="20" w:name="_Toc160095942"/>
      <w:bookmarkStart w:id="21" w:name="_Toc160446707"/>
      <w:r>
        <w:t>Neutral bail presumptions</w:t>
      </w:r>
      <w:bookmarkEnd w:id="20"/>
      <w:bookmarkEnd w:id="21"/>
    </w:p>
    <w:p w14:paraId="3F3F99E1" w14:textId="2CEABA18" w:rsidR="00114696" w:rsidRDefault="00114696" w:rsidP="00114696">
      <w:pPr>
        <w:pStyle w:val="ListNumber2"/>
      </w:pPr>
      <w:r>
        <w:t>The committee did not receive any submissions that raised concerns regarding the amendments to include additional offences that are subject to a neutral presumption of bail, but notes that the Victims of Crime Commissioner has provided support for the change</w:t>
      </w:r>
      <w:r w:rsidR="00B2278D">
        <w:t>.</w:t>
      </w:r>
      <w:r>
        <w:rPr>
          <w:rStyle w:val="FootnoteReference"/>
        </w:rPr>
        <w:footnoteReference w:id="18"/>
      </w:r>
      <w:r>
        <w:t xml:space="preserve"> </w:t>
      </w:r>
    </w:p>
    <w:p w14:paraId="05FF1FD6" w14:textId="5D1B6321" w:rsidR="00114696" w:rsidRDefault="00114696" w:rsidP="00114696">
      <w:pPr>
        <w:pStyle w:val="ListNumber2"/>
      </w:pPr>
      <w:r>
        <w:t>The committee sought advice from the Attorney-General</w:t>
      </w:r>
      <w:r w:rsidR="00B2278D">
        <w:t>, Mr Shane Rattenbury MLA,</w:t>
      </w:r>
      <w:r>
        <w:t xml:space="preserve"> regarding technical issues about the amendments. Certain offences (culpable driving of a motor vehicle and driving motor vehicle at police) in the existing list of offences that are subject to neutral presumptions do not appear in the bill. The committee received a response confirming that there were some technical errors in the bill and explanatory memorandum that are proposed to be addressed.</w:t>
      </w:r>
      <w:r w:rsidRPr="00E94EF0">
        <w:rPr>
          <w:vertAlign w:val="superscript"/>
        </w:rPr>
        <w:footnoteReference w:id="19"/>
      </w:r>
    </w:p>
    <w:p w14:paraId="70A0F825" w14:textId="046D6E89" w:rsidR="00B2278D" w:rsidRDefault="00114696" w:rsidP="001F4B26">
      <w:pPr>
        <w:pStyle w:val="ListNumber2"/>
        <w:rPr>
          <w:rFonts w:ascii="Montserrat" w:eastAsiaTheme="majorEastAsia" w:hAnsi="Montserrat" w:cstheme="majorBidi"/>
          <w:b/>
          <w:color w:val="1A234C"/>
          <w:w w:val="90"/>
          <w:kern w:val="2"/>
          <w:sz w:val="36"/>
          <w:szCs w:val="32"/>
        </w:rPr>
      </w:pPr>
      <w:r>
        <w:t>Based on this undertaking by the Attorney-General, the committee has not made a recommendation in this regard.</w:t>
      </w:r>
      <w:bookmarkStart w:id="22" w:name="_Toc160095943"/>
    </w:p>
    <w:p w14:paraId="45A635AF" w14:textId="2FD745E4" w:rsidR="00114696" w:rsidRDefault="00114696" w:rsidP="00114696">
      <w:pPr>
        <w:pStyle w:val="Heading1"/>
      </w:pPr>
      <w:bookmarkStart w:id="23" w:name="_Toc160446708"/>
      <w:r>
        <w:t>Continuing protection orders for protected persons turning 18</w:t>
      </w:r>
      <w:bookmarkEnd w:id="22"/>
      <w:bookmarkEnd w:id="23"/>
    </w:p>
    <w:p w14:paraId="29045A7D" w14:textId="77777777" w:rsidR="00114696" w:rsidRDefault="00114696" w:rsidP="00114696">
      <w:pPr>
        <w:pStyle w:val="ListNumber2"/>
      </w:pPr>
      <w:r>
        <w:t xml:space="preserve">Part 4 of the bill proposes amendments to the </w:t>
      </w:r>
      <w:r w:rsidRPr="002F1F1F">
        <w:rPr>
          <w:i/>
          <w:iCs/>
        </w:rPr>
        <w:t>Family Violence Act 2016</w:t>
      </w:r>
      <w:r>
        <w:t>. Under proposed new section 44A, ‘[a] family violence order continues in force when [a] protected person becomes an adult’.</w:t>
      </w:r>
      <w:r>
        <w:rPr>
          <w:rStyle w:val="FootnoteReference"/>
        </w:rPr>
        <w:footnoteReference w:id="20"/>
      </w:r>
      <w:r>
        <w:t xml:space="preserve">  Several submissions supported this proposed amendment.</w:t>
      </w:r>
      <w:r>
        <w:rPr>
          <w:rStyle w:val="FootnoteReference"/>
        </w:rPr>
        <w:footnoteReference w:id="21"/>
      </w:r>
    </w:p>
    <w:p w14:paraId="27102D53" w14:textId="77777777" w:rsidR="00114696" w:rsidRDefault="00114696" w:rsidP="00114696">
      <w:pPr>
        <w:pStyle w:val="ListNumber2"/>
      </w:pPr>
      <w:r>
        <w:t xml:space="preserve">Part 5 of the bill also includes this same amendment to the </w:t>
      </w:r>
      <w:r w:rsidRPr="00433CB6">
        <w:rPr>
          <w:i/>
          <w:iCs/>
        </w:rPr>
        <w:t>Personal Violence Act 2016</w:t>
      </w:r>
      <w:r>
        <w:t xml:space="preserve"> under proposed new section 38A. The Victims of Crime Commissioner and Australian Federal Police Association both noted their support for its inclusion in both Acts.</w:t>
      </w:r>
      <w:r>
        <w:rPr>
          <w:rStyle w:val="FootnoteReference"/>
        </w:rPr>
        <w:footnoteReference w:id="22"/>
      </w:r>
    </w:p>
    <w:p w14:paraId="32A7A0AB" w14:textId="77777777" w:rsidR="00114696" w:rsidRDefault="00114696" w:rsidP="00114696">
      <w:pPr>
        <w:pStyle w:val="ListNumber2"/>
      </w:pPr>
      <w:r>
        <w:t>However, there were practical concerns with this proposed amendment:</w:t>
      </w:r>
    </w:p>
    <w:p w14:paraId="63CB9FF4" w14:textId="30C34492" w:rsidR="00114696" w:rsidRDefault="00114696" w:rsidP="00114696">
      <w:pPr>
        <w:pStyle w:val="ListBullet"/>
      </w:pPr>
      <w:r>
        <w:t>currently, for a respondent to spend time with a child named as a protected person, they generally rely on the exception in the Family Violence Orders - ‘</w:t>
      </w:r>
      <w:r w:rsidRPr="00304F08">
        <w:t xml:space="preserve">except in accordance with an order or parenting plan made under the </w:t>
      </w:r>
      <w:r w:rsidRPr="00572B49">
        <w:rPr>
          <w:i/>
          <w:iCs/>
        </w:rPr>
        <w:t>Family Law Act 1975’</w:t>
      </w:r>
      <w:r>
        <w:t xml:space="preserve"> (A Commonwealth Act);</w:t>
      </w:r>
      <w:r w:rsidR="00246BDD">
        <w:t xml:space="preserve"> </w:t>
      </w:r>
      <w:r>
        <w:t>this means either the protected person who has turned 18 or the respondent will need to make an application to amend the protection order if they wish to continue the contact;</w:t>
      </w:r>
      <w:r>
        <w:rPr>
          <w:rStyle w:val="FootnoteReference"/>
        </w:rPr>
        <w:footnoteReference w:id="23"/>
      </w:r>
      <w:r>
        <w:t xml:space="preserve"> and</w:t>
      </w:r>
    </w:p>
    <w:p w14:paraId="15C439B2" w14:textId="77777777" w:rsidR="00114696" w:rsidRDefault="00114696" w:rsidP="00114696">
      <w:pPr>
        <w:pStyle w:val="ListBullet"/>
      </w:pPr>
      <w:r>
        <w:lastRenderedPageBreak/>
        <w:t>it may not be clear to protected persons who have recently turned 18 that the parenting plan or order no longer applies and that they may need to (and are able to) make a change to the protection order.</w:t>
      </w:r>
      <w:r>
        <w:rPr>
          <w:rStyle w:val="FootnoteReference"/>
        </w:rPr>
        <w:footnoteReference w:id="24"/>
      </w:r>
      <w:r>
        <w:t xml:space="preserve"> </w:t>
      </w:r>
    </w:p>
    <w:p w14:paraId="130AD3DE" w14:textId="6D08DB3D" w:rsidR="00114696" w:rsidRDefault="00114696" w:rsidP="00114696">
      <w:pPr>
        <w:pStyle w:val="ListNumber2"/>
      </w:pPr>
      <w:r>
        <w:t>The ACT Law Society point</w:t>
      </w:r>
      <w:r w:rsidR="00246BDD">
        <w:t>ed</w:t>
      </w:r>
      <w:r>
        <w:t xml:space="preserve"> out that to address these problems, either the respondent or protected person would need to apply to amend the protection order to avoid a breach of the protection order. They also told the committee that:</w:t>
      </w:r>
    </w:p>
    <w:p w14:paraId="216EB874" w14:textId="77777777" w:rsidR="00114696" w:rsidRDefault="00114696" w:rsidP="00114696">
      <w:pPr>
        <w:pStyle w:val="ListBullet"/>
      </w:pPr>
      <w:r>
        <w:t xml:space="preserve"> it is not clear if a protected person who has turned 18 is able to apply for an extension of a final protection order; and </w:t>
      </w:r>
    </w:p>
    <w:p w14:paraId="2FA6F496" w14:textId="5C4A898B" w:rsidR="00114696" w:rsidRDefault="00114696" w:rsidP="00114696">
      <w:pPr>
        <w:pStyle w:val="ListBullet"/>
      </w:pPr>
      <w:r>
        <w:t>the protected person should be entitled to a reverse onus</w:t>
      </w:r>
      <w:r w:rsidR="001F1B11">
        <w:t xml:space="preserve"> – in other words,</w:t>
      </w:r>
      <w:r>
        <w:t xml:space="preserve"> the respondent must satisfy the court that the order is no longer necessary.</w:t>
      </w:r>
      <w:r>
        <w:rPr>
          <w:rStyle w:val="FootnoteReference"/>
        </w:rPr>
        <w:footnoteReference w:id="25"/>
      </w:r>
    </w:p>
    <w:p w14:paraId="3301EC0B" w14:textId="77777777" w:rsidR="00114696" w:rsidRDefault="00114696" w:rsidP="00114696">
      <w:pPr>
        <w:pStyle w:val="ListNumber2"/>
      </w:pPr>
      <w:r>
        <w:t>The Domestic Violence Crisis Centre emphasised that ‘</w:t>
      </w:r>
      <w:r w:rsidRPr="00C44EC8">
        <w:t>when the young person turns 18, the choices and agency of the young adult should be heard, respected and promoted about what contact, if any, they want with their parent</w:t>
      </w:r>
      <w:r>
        <w:t>’.</w:t>
      </w:r>
      <w:r>
        <w:rPr>
          <w:rStyle w:val="FootnoteReference"/>
        </w:rPr>
        <w:footnoteReference w:id="26"/>
      </w:r>
    </w:p>
    <w:tbl>
      <w:tblPr>
        <w:tblStyle w:val="Recommendationbox"/>
        <w:tblW w:w="0" w:type="auto"/>
        <w:tblLook w:val="04A0" w:firstRow="1" w:lastRow="0" w:firstColumn="1" w:lastColumn="0" w:noHBand="0" w:noVBand="1"/>
      </w:tblPr>
      <w:tblGrid>
        <w:gridCol w:w="8175"/>
      </w:tblGrid>
      <w:tr w:rsidR="00BF4F22" w14:paraId="05639192" w14:textId="77777777" w:rsidTr="000B6D93">
        <w:tc>
          <w:tcPr>
            <w:tcW w:w="7891" w:type="dxa"/>
          </w:tcPr>
          <w:p w14:paraId="276E4F68" w14:textId="77777777" w:rsidR="00BF4F22" w:rsidRDefault="00BF4F22" w:rsidP="000B6D93">
            <w:pPr>
              <w:pStyle w:val="Recommendationheading"/>
            </w:pPr>
            <w:bookmarkStart w:id="24" w:name="_Toc149305526"/>
            <w:bookmarkStart w:id="25" w:name="_Toc161229673"/>
            <w:r>
              <w:t xml:space="preserve">Recommendation </w:t>
            </w:r>
            <w:r>
              <w:fldChar w:fldCharType="begin"/>
            </w:r>
            <w:r>
              <w:instrText xml:space="preserve"> AUTONUMLGL \* Arabic\e </w:instrText>
            </w:r>
            <w:r>
              <w:fldChar w:fldCharType="end"/>
            </w:r>
            <w:bookmarkEnd w:id="24"/>
            <w:bookmarkEnd w:id="25"/>
          </w:p>
          <w:p w14:paraId="4DE9156F" w14:textId="5E2028AF" w:rsidR="00BF4F22" w:rsidRDefault="00BF4F22" w:rsidP="000B6D93">
            <w:pPr>
              <w:pStyle w:val="Recommendationbody"/>
            </w:pPr>
            <w:bookmarkStart w:id="26" w:name="_Toc149305527"/>
            <w:bookmarkStart w:id="27" w:name="_Toc161229674"/>
            <w:r>
              <w:t xml:space="preserve">The Committee recommends that the ACT </w:t>
            </w:r>
            <w:bookmarkEnd w:id="26"/>
            <w:r>
              <w:t>Government puts in place processes to ensure that protected persons who turn 18 and other relevant parties are:</w:t>
            </w:r>
            <w:bookmarkEnd w:id="27"/>
          </w:p>
          <w:p w14:paraId="01E81633" w14:textId="086F62E6" w:rsidR="00BF4F22" w:rsidRDefault="00BF4F22" w:rsidP="000B6D93">
            <w:pPr>
              <w:pStyle w:val="Recommendationbody"/>
              <w:numPr>
                <w:ilvl w:val="0"/>
                <w:numId w:val="21"/>
              </w:numPr>
            </w:pPr>
            <w:bookmarkStart w:id="28" w:name="_Toc149305528"/>
            <w:bookmarkStart w:id="29" w:name="_Toc161229675"/>
            <w:r>
              <w:t xml:space="preserve">made aware of what the proposed changes will mean in respect of any parenting orders that were in place under the </w:t>
            </w:r>
            <w:r w:rsidRPr="0002736B">
              <w:rPr>
                <w:i/>
                <w:iCs/>
              </w:rPr>
              <w:t>Family Law Act 1975</w:t>
            </w:r>
            <w:r>
              <w:t xml:space="preserve"> once the protected person turns 18;</w:t>
            </w:r>
            <w:bookmarkEnd w:id="28"/>
            <w:r>
              <w:t xml:space="preserve"> and</w:t>
            </w:r>
            <w:bookmarkEnd w:id="29"/>
          </w:p>
          <w:p w14:paraId="375CFD06" w14:textId="31D30C25" w:rsidR="00BF4F22" w:rsidRPr="000A5577" w:rsidRDefault="00BF4F22" w:rsidP="00BF4F22">
            <w:pPr>
              <w:pStyle w:val="Recommendationbody"/>
              <w:numPr>
                <w:ilvl w:val="0"/>
                <w:numId w:val="21"/>
              </w:numPr>
            </w:pPr>
            <w:bookmarkStart w:id="30" w:name="_Toc161229676"/>
            <w:r>
              <w:t>advised of what actions are required if they want the contact between the protected person and respondent to continue.</w:t>
            </w:r>
            <w:bookmarkEnd w:id="30"/>
          </w:p>
        </w:tc>
      </w:tr>
    </w:tbl>
    <w:p w14:paraId="5E2C3521" w14:textId="58FEA0B9" w:rsidR="00114696" w:rsidRDefault="00114696" w:rsidP="00114696">
      <w:pPr>
        <w:pStyle w:val="Heading1"/>
      </w:pPr>
      <w:bookmarkStart w:id="31" w:name="_Toc160095944"/>
      <w:bookmarkStart w:id="32" w:name="_Toc160446709"/>
      <w:r w:rsidRPr="00916525">
        <w:t>Preliminary conferences</w:t>
      </w:r>
      <w:bookmarkEnd w:id="31"/>
      <w:bookmarkEnd w:id="32"/>
    </w:p>
    <w:p w14:paraId="01202808" w14:textId="141F8BEE" w:rsidR="00114696" w:rsidRDefault="00114696" w:rsidP="00114696">
      <w:pPr>
        <w:pStyle w:val="ListNumber2"/>
      </w:pPr>
      <w:r>
        <w:t>The bill proposes to remove the obligation that a court must have a preliminary conference of an application for family violence or personal protection orders</w:t>
      </w:r>
      <w:r w:rsidR="002F40E5">
        <w:t>. Where</w:t>
      </w:r>
      <w:r>
        <w:t xml:space="preserve"> the preliminary conference would create an unacceptable risk to a person’s safety or would be unlikely to achieve its objectives</w:t>
      </w:r>
      <w:r w:rsidR="002F40E5">
        <w:t xml:space="preserve">, the court is not obliged to hold the conference </w:t>
      </w:r>
      <w:r>
        <w:t>.</w:t>
      </w:r>
      <w:r>
        <w:rPr>
          <w:rStyle w:val="FootnoteReference"/>
        </w:rPr>
        <w:footnoteReference w:id="27"/>
      </w:r>
      <w:r>
        <w:t xml:space="preserve"> </w:t>
      </w:r>
    </w:p>
    <w:p w14:paraId="49AC7041" w14:textId="77777777" w:rsidR="00114696" w:rsidRDefault="00114696" w:rsidP="00114696">
      <w:pPr>
        <w:pStyle w:val="ListNumber2"/>
      </w:pPr>
      <w:r>
        <w:t>Whilst broadly supportive of this amendment, several submissions raised concerns about use of the phrase ‘unacceptable risk’.</w:t>
      </w:r>
      <w:r>
        <w:rPr>
          <w:rStyle w:val="FootnoteReference"/>
        </w:rPr>
        <w:footnoteReference w:id="28"/>
      </w:r>
    </w:p>
    <w:p w14:paraId="775B540A" w14:textId="05BAC0E7" w:rsidR="00114696" w:rsidRPr="007A573B" w:rsidRDefault="00114696" w:rsidP="00114696">
      <w:pPr>
        <w:pStyle w:val="ListNumber2"/>
      </w:pPr>
      <w:r>
        <w:lastRenderedPageBreak/>
        <w:t xml:space="preserve">The ACT Law Society told the </w:t>
      </w:r>
      <w:r w:rsidR="00246BDD">
        <w:t>C</w:t>
      </w:r>
      <w:r>
        <w:t xml:space="preserve">ommittee that the legislation should </w:t>
      </w:r>
      <w:r w:rsidR="00246BDD">
        <w:t xml:space="preserve">provide </w:t>
      </w:r>
      <w:r>
        <w:t>some guidance</w:t>
      </w:r>
      <w:r w:rsidR="00246BDD">
        <w:t xml:space="preserve"> as</w:t>
      </w:r>
      <w:r>
        <w:t xml:space="preserve"> to what </w:t>
      </w:r>
      <w:r w:rsidR="00246BDD">
        <w:t>an ‘unacceptable risk’ is</w:t>
      </w:r>
      <w:r>
        <w:t>, and that people making these decisions need relevant training.’</w:t>
      </w:r>
      <w:r>
        <w:rPr>
          <w:rStyle w:val="FootnoteReference"/>
        </w:rPr>
        <w:footnoteReference w:id="29"/>
      </w:r>
    </w:p>
    <w:p w14:paraId="439B2176" w14:textId="77777777" w:rsidR="00114696" w:rsidRDefault="00114696" w:rsidP="00114696">
      <w:pPr>
        <w:pStyle w:val="ListNumber2"/>
      </w:pPr>
      <w:r>
        <w:t>The Domestic Violence Crisis Service agreed, arguing that there are ‘</w:t>
      </w:r>
      <w:r w:rsidRPr="001B24E8">
        <w:t>differing levels of</w:t>
      </w:r>
      <w:r>
        <w:t xml:space="preserve"> </w:t>
      </w:r>
      <w:r w:rsidRPr="001B24E8">
        <w:t>understanding and expertise within the courts</w:t>
      </w:r>
      <w:r>
        <w:t>’ when it comes to assessing risk, and suggested that the ACT Domestic and Family Violence Risk Assessment and Management Framework</w:t>
      </w:r>
      <w:r>
        <w:rPr>
          <w:rStyle w:val="FootnoteReference"/>
        </w:rPr>
        <w:footnoteReference w:id="30"/>
      </w:r>
      <w:r>
        <w:t xml:space="preserve"> should be used to help consistently define ‘unacceptable risk’ and train court staff.</w:t>
      </w:r>
      <w:r>
        <w:rPr>
          <w:rStyle w:val="FootnoteReference"/>
        </w:rPr>
        <w:footnoteReference w:id="31"/>
      </w:r>
    </w:p>
    <w:p w14:paraId="5AD462A6" w14:textId="77777777" w:rsidR="00114696" w:rsidRDefault="00114696" w:rsidP="00114696">
      <w:pPr>
        <w:pStyle w:val="ListNumber2"/>
      </w:pPr>
      <w:r>
        <w:t>The Women’s Legal Centre also queried how ‘unacceptable risk’ would be defined.</w:t>
      </w:r>
      <w:r>
        <w:rPr>
          <w:rStyle w:val="FootnoteReference"/>
        </w:rPr>
        <w:footnoteReference w:id="32"/>
      </w:r>
      <w:r>
        <w:t xml:space="preserve"> </w:t>
      </w:r>
    </w:p>
    <w:p w14:paraId="20D96022" w14:textId="77777777" w:rsidR="00114696" w:rsidRDefault="00114696" w:rsidP="00114696">
      <w:pPr>
        <w:pStyle w:val="ListNumber2"/>
      </w:pPr>
      <w:r>
        <w:t xml:space="preserve">When addressing proposed section 40 (which would amend the </w:t>
      </w:r>
      <w:r w:rsidRPr="00E94EF0">
        <w:rPr>
          <w:i/>
          <w:iCs/>
        </w:rPr>
        <w:t>Personal Violence Act 2016</w:t>
      </w:r>
      <w:r>
        <w:t>) the explanatory statement refers to a High Court of Australia decision in which the definition of ‘unacceptable risk’ was considered, and stated that this definition was intended for use. The Committee notes however that:</w:t>
      </w:r>
    </w:p>
    <w:p w14:paraId="49E67AE7" w14:textId="77777777" w:rsidR="00114696" w:rsidRDefault="00114696" w:rsidP="00114696">
      <w:pPr>
        <w:pStyle w:val="ListBullet"/>
      </w:pPr>
      <w:r>
        <w:t xml:space="preserve">the requirement to assess ‘unacceptable risk’ in relation to preliminary conferences appears in eight proposed parts of the Bill (in relation to both the </w:t>
      </w:r>
      <w:r w:rsidRPr="00E94EF0">
        <w:rPr>
          <w:i/>
          <w:iCs/>
        </w:rPr>
        <w:t>Family Violence Act 2016</w:t>
      </w:r>
      <w:r>
        <w:t xml:space="preserve"> and the </w:t>
      </w:r>
      <w:r w:rsidRPr="00E94EF0">
        <w:rPr>
          <w:i/>
          <w:iCs/>
        </w:rPr>
        <w:t>Personal Violence Act 2016</w:t>
      </w:r>
      <w:r>
        <w:t>);</w:t>
      </w:r>
      <w:r w:rsidRPr="001A71C0">
        <w:rPr>
          <w:rStyle w:val="FootnoteReference"/>
        </w:rPr>
        <w:t xml:space="preserve"> </w:t>
      </w:r>
      <w:r>
        <w:rPr>
          <w:rStyle w:val="FootnoteReference"/>
        </w:rPr>
        <w:footnoteReference w:id="33"/>
      </w:r>
      <w:r>
        <w:t xml:space="preserve"> and </w:t>
      </w:r>
    </w:p>
    <w:p w14:paraId="2A05D752" w14:textId="77777777" w:rsidR="00114696" w:rsidRDefault="00114696" w:rsidP="00114696">
      <w:pPr>
        <w:pStyle w:val="ListBullet"/>
      </w:pPr>
      <w:r>
        <w:t>clarity in relation to the term was a concern amongst submitters.</w:t>
      </w:r>
      <w:r>
        <w:rPr>
          <w:rStyle w:val="FootnoteReference"/>
        </w:rPr>
        <w:footnoteReference w:id="34"/>
      </w:r>
    </w:p>
    <w:p w14:paraId="4741BAA0" w14:textId="1C9E5216" w:rsidR="001F4B26" w:rsidRPr="0039430B" w:rsidRDefault="001F4B26" w:rsidP="00A5478A">
      <w:pPr>
        <w:pStyle w:val="ListBullet"/>
        <w:numPr>
          <w:ilvl w:val="0"/>
          <w:numId w:val="0"/>
        </w:numPr>
      </w:pPr>
    </w:p>
    <w:tbl>
      <w:tblPr>
        <w:tblStyle w:val="Recommendationbox"/>
        <w:tblW w:w="0" w:type="auto"/>
        <w:tblLook w:val="0600" w:firstRow="0" w:lastRow="0" w:firstColumn="0" w:lastColumn="0" w:noHBand="1" w:noVBand="1"/>
      </w:tblPr>
      <w:tblGrid>
        <w:gridCol w:w="8175"/>
      </w:tblGrid>
      <w:tr w:rsidR="00114696" w14:paraId="63150A53" w14:textId="77777777" w:rsidTr="009735B5">
        <w:trPr>
          <w:cantSplit/>
        </w:trPr>
        <w:tc>
          <w:tcPr>
            <w:tcW w:w="7891" w:type="dxa"/>
          </w:tcPr>
          <w:p w14:paraId="71B9A995" w14:textId="1947DC6A" w:rsidR="00114696" w:rsidRPr="00C90D42" w:rsidRDefault="00114696" w:rsidP="009735B5">
            <w:pPr>
              <w:pStyle w:val="Recommendationheading"/>
            </w:pPr>
            <w:bookmarkStart w:id="33" w:name="_Toc161229677"/>
            <w:r w:rsidRPr="00C90D42">
              <w:t xml:space="preserve">Recommendation </w:t>
            </w:r>
            <w:r w:rsidR="001F4B26">
              <w:fldChar w:fldCharType="begin"/>
            </w:r>
            <w:r w:rsidR="001F4B26">
              <w:instrText xml:space="preserve"> AUTONUMLGL \* Arabic\e </w:instrText>
            </w:r>
            <w:r w:rsidR="001F4B26">
              <w:fldChar w:fldCharType="end"/>
            </w:r>
            <w:bookmarkEnd w:id="33"/>
          </w:p>
          <w:p w14:paraId="4CCCACFB" w14:textId="1BCA11C7" w:rsidR="00114696" w:rsidRPr="000A5577" w:rsidRDefault="00114696" w:rsidP="00114696">
            <w:pPr>
              <w:pStyle w:val="Recommendationbody"/>
            </w:pPr>
            <w:bookmarkStart w:id="34" w:name="_Toc161229678"/>
            <w:r w:rsidRPr="00114696">
              <w:t>The Committee recommends that the ACT government develop guidelines for defining what is an ‘unacceptable risk’ for purposes of making decisions on whether to have preliminary conferences.</w:t>
            </w:r>
            <w:bookmarkEnd w:id="34"/>
          </w:p>
        </w:tc>
      </w:tr>
    </w:tbl>
    <w:p w14:paraId="0795DD57" w14:textId="77777777" w:rsidR="00114696" w:rsidRDefault="00114696" w:rsidP="00114696">
      <w:pPr>
        <w:pStyle w:val="Heading1"/>
      </w:pPr>
      <w:bookmarkStart w:id="35" w:name="_Toc160095945"/>
      <w:bookmarkStart w:id="36" w:name="_Toc160446710"/>
      <w:r>
        <w:t>Provisional amendment of protection order in special or exceptional circumstances</w:t>
      </w:r>
      <w:bookmarkEnd w:id="35"/>
      <w:bookmarkEnd w:id="36"/>
    </w:p>
    <w:p w14:paraId="4A256900" w14:textId="77777777" w:rsidR="00114696" w:rsidRPr="002A4CF1" w:rsidRDefault="00114696" w:rsidP="00114696">
      <w:pPr>
        <w:pStyle w:val="ListNumber2"/>
      </w:pPr>
      <w:r>
        <w:t xml:space="preserve">Proposed section 82B, to amend the </w:t>
      </w:r>
      <w:r w:rsidRPr="00E94EF0">
        <w:rPr>
          <w:i/>
          <w:iCs/>
        </w:rPr>
        <w:t>Family Violence Act 2016</w:t>
      </w:r>
      <w:r>
        <w:rPr>
          <w:i/>
          <w:iCs/>
        </w:rPr>
        <w:t>,</w:t>
      </w:r>
      <w:r>
        <w:t xml:space="preserve"> allows an applicant or protected person to apply for a provisional amendment to a family violence order </w:t>
      </w:r>
      <w:r w:rsidRPr="002A4CF1">
        <w:t>immediately where ‘special and exceptional circumstances exist’.</w:t>
      </w:r>
      <w:r w:rsidRPr="002A4CF1">
        <w:rPr>
          <w:rStyle w:val="FootnoteReference"/>
        </w:rPr>
        <w:footnoteReference w:id="35"/>
      </w:r>
    </w:p>
    <w:p w14:paraId="183A0AFB" w14:textId="562A54D3" w:rsidR="00114696" w:rsidRPr="002A4CF1" w:rsidRDefault="006D1392" w:rsidP="00407B97">
      <w:pPr>
        <w:pStyle w:val="ListNumber2"/>
      </w:pPr>
      <w:r w:rsidRPr="002A4CF1">
        <w:lastRenderedPageBreak/>
        <w:t xml:space="preserve">Several </w:t>
      </w:r>
      <w:r w:rsidR="00114696" w:rsidRPr="002A4CF1">
        <w:t>submissions suppor</w:t>
      </w:r>
      <w:r w:rsidR="001F4B26" w:rsidRPr="002A4CF1">
        <w:t>ted</w:t>
      </w:r>
      <w:r w:rsidR="00114696" w:rsidRPr="002A4CF1">
        <w:t xml:space="preserve"> this amendment but argued that a respondent should also be eligible to seek such an amendment. Legal Aid ACT and the ACT Law Society noted that respondents are not always the perpetrators of family violence, as sometimes people experiencing violence themselves are misidentified as a perpetrator.</w:t>
      </w:r>
      <w:r w:rsidR="00114696" w:rsidRPr="002A4CF1">
        <w:rPr>
          <w:rStyle w:val="FootnoteReference"/>
        </w:rPr>
        <w:footnoteReference w:id="36"/>
      </w:r>
      <w:r w:rsidR="00407B97" w:rsidRPr="002A4CF1">
        <w:t xml:space="preserve"> The ACT Law Society stated that ‘perpetrators can seek protection orders against another person to perpetuate or further perpetuate family violence against that person’.</w:t>
      </w:r>
      <w:r w:rsidR="00407B97" w:rsidRPr="002A4CF1">
        <w:rPr>
          <w:rStyle w:val="FootnoteReference"/>
        </w:rPr>
        <w:footnoteReference w:id="37"/>
      </w:r>
    </w:p>
    <w:p w14:paraId="1672209F" w14:textId="4943B4C5" w:rsidR="003D3C17" w:rsidRPr="002A4CF1" w:rsidRDefault="003D3C17" w:rsidP="00407B97">
      <w:pPr>
        <w:pStyle w:val="ListNumber2"/>
      </w:pPr>
      <w:r w:rsidRPr="002A4CF1">
        <w:t>Legal Aid ACT cited evidenc</w:t>
      </w:r>
      <w:r w:rsidR="00C408D2" w:rsidRPr="002A4CF1">
        <w:t xml:space="preserve">e </w:t>
      </w:r>
      <w:r w:rsidRPr="002A4CF1">
        <w:t>from the Queensland Domestic and Family Violence Death Review and Advisory Board</w:t>
      </w:r>
      <w:r w:rsidR="00C408D2" w:rsidRPr="002A4CF1">
        <w:t xml:space="preserve"> annual report of 2016-2017</w:t>
      </w:r>
      <w:r w:rsidRPr="002A4CF1">
        <w:rPr>
          <w:rStyle w:val="FootnoteReference"/>
        </w:rPr>
        <w:footnoteReference w:id="38"/>
      </w:r>
      <w:r w:rsidR="00C408D2" w:rsidRPr="002A4CF1">
        <w:t xml:space="preserve"> which described the levels of misidentification noted during the review:</w:t>
      </w:r>
    </w:p>
    <w:p w14:paraId="6A211B2F" w14:textId="255021CE" w:rsidR="003D3C17" w:rsidRPr="002A4CF1" w:rsidRDefault="00236093" w:rsidP="00236093">
      <w:pPr>
        <w:pStyle w:val="Quote"/>
      </w:pPr>
      <w:r w:rsidRPr="002A4CF1">
        <w:t xml:space="preserve">… </w:t>
      </w:r>
      <w:r w:rsidR="003D3C17" w:rsidRPr="002A4CF1">
        <w:t>in just under half (44.4%) of all cases of female deaths subject to the review, the woman had been identified as a respondent to a family violence protection order on at least one occasion. Moreover, in nearly all of the domestic and family violence related deaths of a First­Nations person, the deceased had been recorded as both the respondent and aggrieved [victim survivor] prior to their death.</w:t>
      </w:r>
      <w:r w:rsidR="003D3C17" w:rsidRPr="002A4CF1">
        <w:rPr>
          <w:rStyle w:val="FootnoteReference"/>
        </w:rPr>
        <w:footnoteReference w:id="39"/>
      </w:r>
    </w:p>
    <w:p w14:paraId="2CC14661" w14:textId="6268427B" w:rsidR="00114696" w:rsidRPr="002A4CF1" w:rsidRDefault="00114696" w:rsidP="00407B97">
      <w:pPr>
        <w:pStyle w:val="ListNumber2"/>
      </w:pPr>
      <w:r w:rsidRPr="002A4CF1">
        <w:t>The Domestic Violence Crisis Service also addressed the issue of misidentification of perpetrators in their submission, suggesting that a range of problems emerge when a perpetrator is mistakenly identified as a victim-survivor. They emphasised that</w:t>
      </w:r>
      <w:r w:rsidR="00407B97" w:rsidRPr="002A4CF1">
        <w:t xml:space="preserve"> ‘training for police and court staff around identifying the primary aggressor would help prevent them [problems caused by misidentification] from arising at all’</w:t>
      </w:r>
      <w:r w:rsidRPr="002A4CF1">
        <w:t>.</w:t>
      </w:r>
      <w:r w:rsidRPr="002A4CF1">
        <w:rPr>
          <w:rStyle w:val="FootnoteReference"/>
        </w:rPr>
        <w:footnoteReference w:id="40"/>
      </w:r>
    </w:p>
    <w:tbl>
      <w:tblPr>
        <w:tblStyle w:val="Recommendationbox"/>
        <w:tblW w:w="0" w:type="auto"/>
        <w:tblLook w:val="0600" w:firstRow="0" w:lastRow="0" w:firstColumn="0" w:lastColumn="0" w:noHBand="1" w:noVBand="1"/>
      </w:tblPr>
      <w:tblGrid>
        <w:gridCol w:w="8175"/>
      </w:tblGrid>
      <w:tr w:rsidR="00114696" w14:paraId="0EE43469" w14:textId="77777777" w:rsidTr="009735B5">
        <w:trPr>
          <w:cantSplit/>
        </w:trPr>
        <w:tc>
          <w:tcPr>
            <w:tcW w:w="7891" w:type="dxa"/>
          </w:tcPr>
          <w:p w14:paraId="7CEE1255" w14:textId="77777777" w:rsidR="00114696" w:rsidRPr="00C90D42" w:rsidRDefault="00114696" w:rsidP="009735B5">
            <w:pPr>
              <w:pStyle w:val="Recommendationheading"/>
            </w:pPr>
            <w:bookmarkStart w:id="37" w:name="_Toc161229679"/>
            <w:r w:rsidRPr="00C90D42">
              <w:t xml:space="preserve">Recommendation </w:t>
            </w:r>
            <w:r w:rsidRPr="00C90D42">
              <w:fldChar w:fldCharType="begin"/>
            </w:r>
            <w:r w:rsidRPr="00C90D42">
              <w:instrText xml:space="preserve"> AUTONUMLGL \* Arabic\e </w:instrText>
            </w:r>
            <w:r w:rsidRPr="00C90D42">
              <w:fldChar w:fldCharType="end"/>
            </w:r>
            <w:bookmarkEnd w:id="37"/>
          </w:p>
          <w:p w14:paraId="54424F2C" w14:textId="4D9F0278" w:rsidR="00114696" w:rsidRPr="000A5577" w:rsidRDefault="00114696" w:rsidP="009735B5">
            <w:pPr>
              <w:pStyle w:val="Recommendationbody"/>
            </w:pPr>
            <w:bookmarkStart w:id="38" w:name="_Toc161229680"/>
            <w:r w:rsidRPr="00114696">
              <w:t xml:space="preserve">The Committee recommends that the ACT Government </w:t>
            </w:r>
            <w:r w:rsidR="00C0796A">
              <w:t>further explore</w:t>
            </w:r>
            <w:r w:rsidR="00235830">
              <w:t xml:space="preserve"> the complex issues raised in relation to the misidentification of respondents and victim-survivors.</w:t>
            </w:r>
            <w:bookmarkEnd w:id="38"/>
          </w:p>
        </w:tc>
      </w:tr>
    </w:tbl>
    <w:p w14:paraId="55182554" w14:textId="231485F3" w:rsidR="00114696" w:rsidRDefault="00114696" w:rsidP="00114696">
      <w:pPr>
        <w:pStyle w:val="ListNumber2"/>
      </w:pPr>
      <w:r>
        <w:t>The ACT Law Society and Legal Aid ACT also raised concerns about inconsistent language in proposed subsection 82B(2), noting the following:</w:t>
      </w:r>
    </w:p>
    <w:p w14:paraId="1A5CE51B" w14:textId="77777777" w:rsidR="00114696" w:rsidRDefault="00114696" w:rsidP="00114696">
      <w:pPr>
        <w:pStyle w:val="ListNumber3"/>
      </w:pPr>
      <w:r>
        <w:t>proposed subsection 82B(2) –  says ‘</w:t>
      </w:r>
      <w:r w:rsidRPr="000D4128">
        <w:t>The Magistrates Court may </w:t>
      </w:r>
      <w:r w:rsidRPr="000D4128">
        <w:rPr>
          <w:u w:val="single"/>
        </w:rPr>
        <w:t>hear and decide</w:t>
      </w:r>
      <w:r w:rsidRPr="000D4128">
        <w:t xml:space="preserve"> the provisional amendment at any time</w:t>
      </w:r>
      <w:r>
        <w:t>’; whereas</w:t>
      </w:r>
    </w:p>
    <w:p w14:paraId="78CDEB43" w14:textId="77777777" w:rsidR="00114696" w:rsidRDefault="00114696" w:rsidP="00114696">
      <w:pPr>
        <w:pStyle w:val="ListNumber3"/>
      </w:pPr>
      <w:r>
        <w:t>proposed subsection 82B(3) – says ‘</w:t>
      </w:r>
      <w:r w:rsidRPr="000D4128">
        <w:t xml:space="preserve">If the Magistrates Court </w:t>
      </w:r>
      <w:r w:rsidRPr="000D4128">
        <w:rPr>
          <w:u w:val="single"/>
        </w:rPr>
        <w:t>makes</w:t>
      </w:r>
      <w:r w:rsidRPr="000D4128">
        <w:t xml:space="preserve"> a provisional amendment</w:t>
      </w:r>
      <w:r>
        <w:t>’.</w:t>
      </w:r>
      <w:r>
        <w:rPr>
          <w:rStyle w:val="FootnoteReference"/>
        </w:rPr>
        <w:footnoteReference w:id="41"/>
      </w:r>
    </w:p>
    <w:p w14:paraId="5A3FFE8E" w14:textId="77777777" w:rsidR="00114696" w:rsidRDefault="00114696" w:rsidP="00114696">
      <w:pPr>
        <w:pStyle w:val="ListNumber2"/>
      </w:pPr>
      <w:r>
        <w:lastRenderedPageBreak/>
        <w:t>Legal Aid ACT suggested altering 82B(2) to match 82B(3), stating that ‘c</w:t>
      </w:r>
      <w:r w:rsidRPr="00AC25AA">
        <w:t>onsistency in the language of the provision is important and the term 'makes a provisional amendment' is far clearer than 'hear and decide'.</w:t>
      </w:r>
      <w:r>
        <w:t>’</w:t>
      </w:r>
      <w:r>
        <w:rPr>
          <w:rStyle w:val="FootnoteReference"/>
        </w:rPr>
        <w:footnoteReference w:id="42"/>
      </w:r>
    </w:p>
    <w:tbl>
      <w:tblPr>
        <w:tblStyle w:val="Recommendationbox"/>
        <w:tblW w:w="0" w:type="auto"/>
        <w:tblLook w:val="0600" w:firstRow="0" w:lastRow="0" w:firstColumn="0" w:lastColumn="0" w:noHBand="1" w:noVBand="1"/>
      </w:tblPr>
      <w:tblGrid>
        <w:gridCol w:w="8175"/>
      </w:tblGrid>
      <w:tr w:rsidR="00114696" w14:paraId="48332EFB" w14:textId="77777777" w:rsidTr="009735B5">
        <w:trPr>
          <w:cantSplit/>
        </w:trPr>
        <w:tc>
          <w:tcPr>
            <w:tcW w:w="7891" w:type="dxa"/>
          </w:tcPr>
          <w:p w14:paraId="61AF62E5" w14:textId="77777777" w:rsidR="00114696" w:rsidRPr="00C90D42" w:rsidRDefault="00114696" w:rsidP="009735B5">
            <w:pPr>
              <w:pStyle w:val="Recommendationheading"/>
            </w:pPr>
            <w:bookmarkStart w:id="39" w:name="_Toc161229681"/>
            <w:r w:rsidRPr="00C90D42">
              <w:t xml:space="preserve">Recommendation </w:t>
            </w:r>
            <w:r w:rsidRPr="00C90D42">
              <w:fldChar w:fldCharType="begin"/>
            </w:r>
            <w:r w:rsidRPr="00C90D42">
              <w:instrText xml:space="preserve"> AUTONUMLGL \* Arabic\e </w:instrText>
            </w:r>
            <w:r w:rsidRPr="00C90D42">
              <w:fldChar w:fldCharType="end"/>
            </w:r>
            <w:bookmarkEnd w:id="39"/>
          </w:p>
          <w:p w14:paraId="2071C8DB" w14:textId="21E4ABB8" w:rsidR="00114696" w:rsidRPr="000A5577" w:rsidRDefault="00AA27F7" w:rsidP="009735B5">
            <w:pPr>
              <w:pStyle w:val="Recommendationbody"/>
            </w:pPr>
            <w:bookmarkStart w:id="40" w:name="_Toc161229682"/>
            <w:r w:rsidRPr="00AA27F7">
              <w:t>The Committee recommends that the ACT Government introduce amendments to the bill (in proposed subsections 82B(2) and 82B(3)) to make the language consistent in relation to the Magistrates Court making provisional amendments.</w:t>
            </w:r>
            <w:bookmarkEnd w:id="40"/>
          </w:p>
        </w:tc>
      </w:tr>
    </w:tbl>
    <w:p w14:paraId="379247A5" w14:textId="5967B0C7" w:rsidR="00114696" w:rsidRDefault="00114696" w:rsidP="00914741">
      <w:pPr>
        <w:pStyle w:val="Heading1"/>
      </w:pPr>
      <w:bookmarkStart w:id="41" w:name="_Toc160095946"/>
      <w:bookmarkStart w:id="42" w:name="_Toc160446711"/>
      <w:r w:rsidRPr="00AC25AA">
        <w:t>Magistrate review of registrar and deputy registrar decisions</w:t>
      </w:r>
      <w:bookmarkEnd w:id="41"/>
      <w:bookmarkEnd w:id="42"/>
    </w:p>
    <w:p w14:paraId="2C520CB6" w14:textId="77777777" w:rsidR="00114696" w:rsidRDefault="00114696" w:rsidP="00114696">
      <w:pPr>
        <w:pStyle w:val="ListNumber2"/>
      </w:pPr>
      <w:r>
        <w:t xml:space="preserve">The bill introduces changes to allow decisions of a Registrar to be reviewed by a Magistrate in the first instance of orders made pursuant to the </w:t>
      </w:r>
      <w:r w:rsidRPr="00E94EF0">
        <w:rPr>
          <w:i/>
          <w:iCs/>
        </w:rPr>
        <w:t>Family Violence Act 2016</w:t>
      </w:r>
      <w:r>
        <w:t xml:space="preserve"> and </w:t>
      </w:r>
      <w:r w:rsidRPr="00E94EF0">
        <w:rPr>
          <w:i/>
          <w:iCs/>
        </w:rPr>
        <w:t>Personal Violence Act 2016.</w:t>
      </w:r>
      <w:r w:rsidRPr="00F169BC">
        <w:rPr>
          <w:rStyle w:val="FootnoteReference"/>
        </w:rPr>
        <w:footnoteReference w:id="43"/>
      </w:r>
    </w:p>
    <w:p w14:paraId="5E7B91F8" w14:textId="77777777" w:rsidR="00114696" w:rsidRDefault="00114696" w:rsidP="00114696">
      <w:pPr>
        <w:pStyle w:val="ListNumber2"/>
      </w:pPr>
      <w:r>
        <w:t>While there was support for this proposal, the ACT Law Society and Women’s Legal Centre ACT suggested that applicants should also be able to request a review also where there has been a refusal of requested conditions.</w:t>
      </w:r>
      <w:bookmarkStart w:id="43" w:name="_Hlk160105225"/>
      <w:r>
        <w:rPr>
          <w:rStyle w:val="FootnoteReference"/>
        </w:rPr>
        <w:footnoteReference w:id="44"/>
      </w:r>
      <w:r>
        <w:t xml:space="preserve"> </w:t>
      </w:r>
      <w:bookmarkEnd w:id="43"/>
    </w:p>
    <w:p w14:paraId="612A585A" w14:textId="77777777" w:rsidR="00114696" w:rsidRDefault="00114696" w:rsidP="00114696">
      <w:pPr>
        <w:pStyle w:val="ListNumber2"/>
      </w:pPr>
      <w:r>
        <w:t>The Women’s Legal Centre ACT told the committee that:</w:t>
      </w:r>
    </w:p>
    <w:p w14:paraId="1E84BF2E" w14:textId="77777777" w:rsidR="00114696" w:rsidRDefault="00114696" w:rsidP="00114696">
      <w:pPr>
        <w:pStyle w:val="Quote"/>
      </w:pPr>
      <w:r w:rsidRPr="00C815A6">
        <w:t xml:space="preserve">the definition of relevant decision </w:t>
      </w:r>
      <w:r>
        <w:t xml:space="preserve">[should] </w:t>
      </w:r>
      <w:r w:rsidRPr="00C815A6">
        <w:t>also include refusal of requested conditions such as, but not limited to, an exclusion order, not including children on orders or granting a reduced or no distance clause etc. Our reading of the definition only allows for a review to be requested if an interim FVO is refused entirely.</w:t>
      </w:r>
      <w:r>
        <w:rPr>
          <w:rStyle w:val="FootnoteReference"/>
        </w:rPr>
        <w:footnoteReference w:id="45"/>
      </w:r>
    </w:p>
    <w:p w14:paraId="4B225450" w14:textId="77777777" w:rsidR="00114696" w:rsidRDefault="00114696" w:rsidP="00114696">
      <w:pPr>
        <w:pStyle w:val="ListNumber2"/>
      </w:pPr>
      <w:r>
        <w:t>The ACT Law Society also agreed with this position:</w:t>
      </w:r>
    </w:p>
    <w:p w14:paraId="7F0961B7" w14:textId="77777777" w:rsidR="00114696" w:rsidRDefault="00114696" w:rsidP="00114696">
      <w:pPr>
        <w:pStyle w:val="Quote"/>
      </w:pPr>
      <w:r>
        <w:t>The Society suggests the Committee give consideration to whether there should be an avenue for review where a Registrar decides to make an interim order but does not include all of the conditions sought by the applicant in the order.</w:t>
      </w:r>
      <w:r>
        <w:rPr>
          <w:rStyle w:val="FootnoteReference"/>
        </w:rPr>
        <w:footnoteReference w:id="46"/>
      </w:r>
    </w:p>
    <w:tbl>
      <w:tblPr>
        <w:tblStyle w:val="Recommendationbox"/>
        <w:tblW w:w="0" w:type="auto"/>
        <w:tblLook w:val="0600" w:firstRow="0" w:lastRow="0" w:firstColumn="0" w:lastColumn="0" w:noHBand="1" w:noVBand="1"/>
      </w:tblPr>
      <w:tblGrid>
        <w:gridCol w:w="8175"/>
      </w:tblGrid>
      <w:tr w:rsidR="00114696" w14:paraId="1D1E0B4A" w14:textId="77777777" w:rsidTr="009735B5">
        <w:trPr>
          <w:cantSplit/>
        </w:trPr>
        <w:tc>
          <w:tcPr>
            <w:tcW w:w="7891" w:type="dxa"/>
          </w:tcPr>
          <w:p w14:paraId="1A4D714A" w14:textId="77777777" w:rsidR="00114696" w:rsidRPr="00C90D42" w:rsidRDefault="00114696" w:rsidP="009735B5">
            <w:pPr>
              <w:pStyle w:val="Recommendationheading"/>
            </w:pPr>
            <w:bookmarkStart w:id="44" w:name="_Toc161229683"/>
            <w:r w:rsidRPr="00C90D42">
              <w:t xml:space="preserve">Recommendation </w:t>
            </w:r>
            <w:r w:rsidRPr="00C90D42">
              <w:fldChar w:fldCharType="begin"/>
            </w:r>
            <w:r w:rsidRPr="00C90D42">
              <w:instrText xml:space="preserve"> AUTONUMLGL \* Arabic\e </w:instrText>
            </w:r>
            <w:r w:rsidRPr="00C90D42">
              <w:fldChar w:fldCharType="end"/>
            </w:r>
            <w:bookmarkEnd w:id="44"/>
          </w:p>
          <w:p w14:paraId="27FFD869" w14:textId="090E19E7" w:rsidR="00114696" w:rsidRPr="000A5577" w:rsidRDefault="00114696" w:rsidP="009735B5">
            <w:pPr>
              <w:pStyle w:val="Recommendationbody"/>
            </w:pPr>
            <w:bookmarkStart w:id="45" w:name="_Toc161229684"/>
            <w:r w:rsidRPr="00114696">
              <w:t>The Committee recommends that the ACT Government introduce amendments to the bill that will also allow decisions of a Registrar relating to the refusal of conditions to be reviewed by a Magistrate.</w:t>
            </w:r>
            <w:bookmarkEnd w:id="45"/>
          </w:p>
        </w:tc>
      </w:tr>
    </w:tbl>
    <w:p w14:paraId="08E7B509" w14:textId="77777777" w:rsidR="00114696" w:rsidRDefault="00114696" w:rsidP="00114696">
      <w:pPr>
        <w:pStyle w:val="ListNumber2"/>
      </w:pPr>
      <w:r>
        <w:lastRenderedPageBreak/>
        <w:t>In addition, there were concerns about the practical realisation of applying for such a review. Comments included:</w:t>
      </w:r>
    </w:p>
    <w:p w14:paraId="3C18DAB5" w14:textId="77777777" w:rsidR="00114696" w:rsidRDefault="00114696" w:rsidP="00114696">
      <w:pPr>
        <w:pStyle w:val="ListNumber3"/>
      </w:pPr>
      <w:r>
        <w:t>The inclusion of a ‘more formal pathway’ listed in the proposed section would improve clarity;</w:t>
      </w:r>
      <w:r>
        <w:rPr>
          <w:rStyle w:val="FootnoteReference"/>
        </w:rPr>
        <w:footnoteReference w:id="47"/>
      </w:r>
    </w:p>
    <w:p w14:paraId="208B33B0" w14:textId="77777777" w:rsidR="00114696" w:rsidRDefault="00114696" w:rsidP="00114696">
      <w:pPr>
        <w:pStyle w:val="ListNumber3"/>
      </w:pPr>
      <w:r>
        <w:t>The need for guidance to be provided to applicants explaining exactly how to go about requesting a review;</w:t>
      </w:r>
      <w:r>
        <w:rPr>
          <w:rStyle w:val="FootnoteReference"/>
        </w:rPr>
        <w:footnoteReference w:id="48"/>
      </w:r>
    </w:p>
    <w:p w14:paraId="174AA9ED" w14:textId="77777777" w:rsidR="00114696" w:rsidRDefault="00114696" w:rsidP="00114696">
      <w:pPr>
        <w:pStyle w:val="ListNumber3"/>
      </w:pPr>
      <w:r>
        <w:t>Including in such guidance details about exactly where, and with whom, to request a review.</w:t>
      </w:r>
      <w:r>
        <w:rPr>
          <w:rStyle w:val="FootnoteReference"/>
        </w:rPr>
        <w:footnoteReference w:id="49"/>
      </w:r>
    </w:p>
    <w:tbl>
      <w:tblPr>
        <w:tblStyle w:val="Recommendationbox"/>
        <w:tblW w:w="0" w:type="auto"/>
        <w:tblLook w:val="0600" w:firstRow="0" w:lastRow="0" w:firstColumn="0" w:lastColumn="0" w:noHBand="1" w:noVBand="1"/>
      </w:tblPr>
      <w:tblGrid>
        <w:gridCol w:w="8175"/>
      </w:tblGrid>
      <w:tr w:rsidR="00114696" w14:paraId="2F512EC3" w14:textId="77777777" w:rsidTr="009735B5">
        <w:trPr>
          <w:cantSplit/>
        </w:trPr>
        <w:tc>
          <w:tcPr>
            <w:tcW w:w="7891" w:type="dxa"/>
          </w:tcPr>
          <w:p w14:paraId="3714AA43" w14:textId="77777777" w:rsidR="00114696" w:rsidRPr="00C90D42" w:rsidRDefault="00114696" w:rsidP="009735B5">
            <w:pPr>
              <w:pStyle w:val="Recommendationheading"/>
            </w:pPr>
            <w:bookmarkStart w:id="46" w:name="_Toc161229685"/>
            <w:r w:rsidRPr="00C90D42">
              <w:t xml:space="preserve">Recommendation </w:t>
            </w:r>
            <w:r w:rsidRPr="00C90D42">
              <w:fldChar w:fldCharType="begin"/>
            </w:r>
            <w:r w:rsidRPr="00C90D42">
              <w:instrText xml:space="preserve"> AUTONUMLGL \* Arabic\e </w:instrText>
            </w:r>
            <w:r w:rsidRPr="00C90D42">
              <w:fldChar w:fldCharType="end"/>
            </w:r>
            <w:bookmarkEnd w:id="46"/>
          </w:p>
          <w:p w14:paraId="2ED4A881" w14:textId="1F2274D4" w:rsidR="00114696" w:rsidRPr="000A5577" w:rsidRDefault="00114696" w:rsidP="009735B5">
            <w:pPr>
              <w:pStyle w:val="Recommendationbody"/>
            </w:pPr>
            <w:bookmarkStart w:id="47" w:name="_Toc161229686"/>
            <w:r w:rsidRPr="00114696">
              <w:t>The Committee recommends that the ACT Government develop guidance for applicants on how to make a request for a review by a Magistrate of a decision by a Registrar.</w:t>
            </w:r>
            <w:bookmarkEnd w:id="47"/>
          </w:p>
        </w:tc>
      </w:tr>
    </w:tbl>
    <w:p w14:paraId="0733A814" w14:textId="0223C2BA" w:rsidR="00BC0651" w:rsidRDefault="00114696" w:rsidP="001C7708">
      <w:pPr>
        <w:pStyle w:val="ListNumber"/>
      </w:pPr>
      <w:bookmarkStart w:id="48" w:name="_Toc160446712"/>
      <w:r>
        <w:t>Conclusion</w:t>
      </w:r>
      <w:bookmarkEnd w:id="48"/>
    </w:p>
    <w:p w14:paraId="568AF8E7" w14:textId="77777777" w:rsidR="00114696" w:rsidRDefault="00114696" w:rsidP="00114696">
      <w:pPr>
        <w:pStyle w:val="ListNumber2"/>
      </w:pPr>
      <w:r>
        <w:t>The Committee notes that all submissions to this inquiry were generally supportive of the amendments this Bill makes to the five acts.</w:t>
      </w:r>
    </w:p>
    <w:p w14:paraId="6D6E3BB3" w14:textId="2C7BAC75" w:rsidR="00114696" w:rsidRDefault="00114696" w:rsidP="00114696">
      <w:pPr>
        <w:pStyle w:val="ListNumber2"/>
      </w:pPr>
      <w:r>
        <w:t>Despite this, there were several concerns raised about the proposed bill that should be considered by the Government</w:t>
      </w:r>
    </w:p>
    <w:p w14:paraId="7D543D07" w14:textId="1A279F4B" w:rsidR="00114696" w:rsidRPr="006F3488" w:rsidRDefault="00114696" w:rsidP="00114696">
      <w:pPr>
        <w:pStyle w:val="ListNumber2"/>
      </w:pPr>
      <w:r w:rsidRPr="006F3488">
        <w:t xml:space="preserve">The Committee has made </w:t>
      </w:r>
      <w:r w:rsidR="001F4B26" w:rsidRPr="006F3488">
        <w:t>6</w:t>
      </w:r>
      <w:r w:rsidR="00914741" w:rsidRPr="006F3488">
        <w:t xml:space="preserve"> </w:t>
      </w:r>
      <w:r w:rsidRPr="006F3488">
        <w:t>recommendations.</w:t>
      </w:r>
    </w:p>
    <w:p w14:paraId="23B64243" w14:textId="77777777" w:rsidR="00114696" w:rsidRDefault="00114696" w:rsidP="00114696">
      <w:pPr>
        <w:pStyle w:val="ListNumber2"/>
      </w:pPr>
      <w:r>
        <w:t>The Committee wishes to thank all those organisations who made submissions to this Inquiry.</w:t>
      </w:r>
    </w:p>
    <w:p w14:paraId="37D514E4" w14:textId="77777777" w:rsidR="00114696" w:rsidRDefault="00114696" w:rsidP="00114696">
      <w:pPr>
        <w:pStyle w:val="ListNumber2"/>
        <w:numPr>
          <w:ilvl w:val="0"/>
          <w:numId w:val="0"/>
        </w:numPr>
      </w:pPr>
    </w:p>
    <w:p w14:paraId="714F76BB" w14:textId="77777777" w:rsidR="00114696" w:rsidRDefault="00114696" w:rsidP="00114696">
      <w:pPr>
        <w:pStyle w:val="ListNumber2"/>
        <w:numPr>
          <w:ilvl w:val="0"/>
          <w:numId w:val="0"/>
        </w:numPr>
      </w:pPr>
    </w:p>
    <w:p w14:paraId="0F22BF50" w14:textId="77777777" w:rsidR="001F4B26" w:rsidRDefault="001F4B26" w:rsidP="00114696">
      <w:pPr>
        <w:pStyle w:val="ListNumber2"/>
        <w:numPr>
          <w:ilvl w:val="0"/>
          <w:numId w:val="0"/>
        </w:numPr>
      </w:pPr>
    </w:p>
    <w:p w14:paraId="13E04D0E" w14:textId="77777777" w:rsidR="00114696" w:rsidRDefault="00114696" w:rsidP="00114696">
      <w:pPr>
        <w:pStyle w:val="ListNumber2"/>
        <w:numPr>
          <w:ilvl w:val="0"/>
          <w:numId w:val="0"/>
        </w:numPr>
        <w:ind w:left="851" w:hanging="851"/>
      </w:pPr>
      <w:r>
        <w:t>Peter Cain MLA</w:t>
      </w:r>
    </w:p>
    <w:p w14:paraId="1EF8D500" w14:textId="77777777" w:rsidR="00114696" w:rsidRDefault="00114696" w:rsidP="00114696">
      <w:pPr>
        <w:pStyle w:val="ListNumber2"/>
        <w:numPr>
          <w:ilvl w:val="0"/>
          <w:numId w:val="0"/>
        </w:numPr>
        <w:ind w:left="851" w:hanging="851"/>
      </w:pPr>
      <w:r>
        <w:t>Chair</w:t>
      </w:r>
    </w:p>
    <w:p w14:paraId="26B37886" w14:textId="1E4E5F4A" w:rsidR="00114696" w:rsidRDefault="00114696" w:rsidP="00114696">
      <w:pPr>
        <w:pStyle w:val="ListNumber2"/>
        <w:numPr>
          <w:ilvl w:val="0"/>
          <w:numId w:val="0"/>
        </w:numPr>
      </w:pPr>
      <w:r>
        <w:t xml:space="preserve">      </w:t>
      </w:r>
      <w:r w:rsidR="00914741">
        <w:t xml:space="preserve">March </w:t>
      </w:r>
      <w:r>
        <w:t>2024</w:t>
      </w:r>
    </w:p>
    <w:p w14:paraId="65214651" w14:textId="77777777" w:rsidR="00C31E7B" w:rsidRDefault="00C31E7B" w:rsidP="00C31E7B">
      <w:pPr>
        <w:pStyle w:val="ListNumber2"/>
        <w:numPr>
          <w:ilvl w:val="0"/>
          <w:numId w:val="0"/>
        </w:numPr>
        <w:ind w:left="851" w:hanging="851"/>
      </w:pPr>
    </w:p>
    <w:p w14:paraId="1311514F" w14:textId="136B70B5" w:rsidR="00EB3179" w:rsidRDefault="00EB3179">
      <w:pPr>
        <w:spacing w:line="259" w:lineRule="auto"/>
        <w:rPr>
          <w:rFonts w:cstheme="minorHAnsi"/>
          <w:bCs/>
          <w:color w:val="000000" w:themeColor="text1"/>
          <w:szCs w:val="20"/>
        </w:rPr>
      </w:pPr>
      <w:r>
        <w:br w:type="page"/>
      </w:r>
    </w:p>
    <w:p w14:paraId="7127DF32" w14:textId="46B46A6D" w:rsidR="00E833AA" w:rsidRDefault="00E833AA" w:rsidP="00236093">
      <w:pPr>
        <w:pStyle w:val="Heading1nonumber"/>
      </w:pPr>
      <w:bookmarkStart w:id="49" w:name="_Toc160446713"/>
      <w:r>
        <w:lastRenderedPageBreak/>
        <w:t xml:space="preserve">Appendix </w:t>
      </w:r>
      <w:r w:rsidR="00247A37">
        <w:t>A</w:t>
      </w:r>
      <w:r>
        <w:t>: Submissions</w:t>
      </w:r>
      <w:bookmarkEnd w:id="49"/>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114696"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114696" w:rsidRDefault="00114696" w:rsidP="00114696">
            <w:pPr>
              <w:pStyle w:val="Tablebody"/>
            </w:pPr>
            <w:r>
              <w:t>1</w:t>
            </w:r>
          </w:p>
        </w:tc>
        <w:tc>
          <w:tcPr>
            <w:tcW w:w="5665" w:type="dxa"/>
          </w:tcPr>
          <w:p w14:paraId="2309834D" w14:textId="524476D0" w:rsidR="00114696" w:rsidRDefault="00114696" w:rsidP="00114696">
            <w:pPr>
              <w:pStyle w:val="Tablebody"/>
            </w:pPr>
            <w:r>
              <w:t>Legal Aid</w:t>
            </w:r>
          </w:p>
        </w:tc>
        <w:tc>
          <w:tcPr>
            <w:tcW w:w="1346" w:type="dxa"/>
          </w:tcPr>
          <w:p w14:paraId="3EFED712" w14:textId="310708F6" w:rsidR="00114696" w:rsidRDefault="00114696" w:rsidP="00114696">
            <w:pPr>
              <w:pStyle w:val="Tablebody"/>
            </w:pPr>
            <w:r>
              <w:t>28/11/2023</w:t>
            </w:r>
          </w:p>
        </w:tc>
        <w:tc>
          <w:tcPr>
            <w:tcW w:w="1347" w:type="dxa"/>
          </w:tcPr>
          <w:p w14:paraId="07A93217" w14:textId="0165CC57" w:rsidR="00114696" w:rsidRDefault="00114696" w:rsidP="00114696">
            <w:pPr>
              <w:pStyle w:val="Tablebody"/>
            </w:pPr>
            <w:r>
              <w:t>07/12/2023</w:t>
            </w:r>
          </w:p>
        </w:tc>
      </w:tr>
      <w:tr w:rsidR="00114696"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114696" w:rsidRDefault="00114696" w:rsidP="00114696">
            <w:pPr>
              <w:pStyle w:val="Tablebody"/>
            </w:pPr>
            <w:r>
              <w:t>2</w:t>
            </w:r>
          </w:p>
        </w:tc>
        <w:tc>
          <w:tcPr>
            <w:tcW w:w="5665" w:type="dxa"/>
          </w:tcPr>
          <w:p w14:paraId="195930F2" w14:textId="39659349" w:rsidR="00114696" w:rsidRDefault="00114696" w:rsidP="00114696">
            <w:pPr>
              <w:pStyle w:val="Tablebody"/>
            </w:pPr>
            <w:r>
              <w:t>Domestic Violence Crisis Service</w:t>
            </w:r>
          </w:p>
        </w:tc>
        <w:tc>
          <w:tcPr>
            <w:tcW w:w="1346" w:type="dxa"/>
          </w:tcPr>
          <w:p w14:paraId="0DB77781" w14:textId="3683C246" w:rsidR="00114696" w:rsidRDefault="00114696" w:rsidP="00114696">
            <w:pPr>
              <w:pStyle w:val="Tablebody"/>
            </w:pPr>
            <w:r>
              <w:t>29/11/2023</w:t>
            </w:r>
          </w:p>
        </w:tc>
        <w:tc>
          <w:tcPr>
            <w:tcW w:w="1347" w:type="dxa"/>
          </w:tcPr>
          <w:p w14:paraId="128C6192" w14:textId="3C0C2B86" w:rsidR="00114696" w:rsidRDefault="00114696" w:rsidP="00114696">
            <w:pPr>
              <w:pStyle w:val="Tablebody"/>
            </w:pPr>
            <w:r>
              <w:t>07/12/2023</w:t>
            </w:r>
          </w:p>
        </w:tc>
      </w:tr>
      <w:tr w:rsidR="00114696"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114696" w:rsidRDefault="00114696" w:rsidP="00114696">
            <w:pPr>
              <w:pStyle w:val="Tablebody"/>
            </w:pPr>
            <w:r>
              <w:t>3</w:t>
            </w:r>
          </w:p>
        </w:tc>
        <w:tc>
          <w:tcPr>
            <w:tcW w:w="5665" w:type="dxa"/>
          </w:tcPr>
          <w:p w14:paraId="4F659747" w14:textId="0CDDD9D7" w:rsidR="00114696" w:rsidRDefault="00114696" w:rsidP="00114696">
            <w:pPr>
              <w:pStyle w:val="Tablebody"/>
            </w:pPr>
            <w:r>
              <w:t>Women’s Legal Centre ACT</w:t>
            </w:r>
          </w:p>
        </w:tc>
        <w:tc>
          <w:tcPr>
            <w:tcW w:w="1346" w:type="dxa"/>
          </w:tcPr>
          <w:p w14:paraId="07695424" w14:textId="714D53B1" w:rsidR="00114696" w:rsidRDefault="00114696" w:rsidP="00114696">
            <w:pPr>
              <w:pStyle w:val="Tablebody"/>
            </w:pPr>
            <w:r>
              <w:t>29/11/2023</w:t>
            </w:r>
          </w:p>
        </w:tc>
        <w:tc>
          <w:tcPr>
            <w:tcW w:w="1347" w:type="dxa"/>
          </w:tcPr>
          <w:p w14:paraId="2B3E54F9" w14:textId="4F1242F9" w:rsidR="00114696" w:rsidRDefault="00114696" w:rsidP="00114696">
            <w:pPr>
              <w:pStyle w:val="Tablebody"/>
            </w:pPr>
            <w:r>
              <w:t>07/12/2023</w:t>
            </w:r>
          </w:p>
        </w:tc>
      </w:tr>
      <w:tr w:rsidR="00114696" w14:paraId="3EE8AA1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D3C88BD" w14:textId="51FBC3AF" w:rsidR="00114696" w:rsidRDefault="00114696" w:rsidP="00114696">
            <w:pPr>
              <w:pStyle w:val="Tablebody"/>
            </w:pPr>
            <w:r>
              <w:t>4</w:t>
            </w:r>
          </w:p>
        </w:tc>
        <w:tc>
          <w:tcPr>
            <w:tcW w:w="5665" w:type="dxa"/>
          </w:tcPr>
          <w:p w14:paraId="66566824" w14:textId="7ED100C0" w:rsidR="00114696" w:rsidRDefault="00114696" w:rsidP="00114696">
            <w:pPr>
              <w:pStyle w:val="Tablebody"/>
            </w:pPr>
            <w:r>
              <w:t>Victims of Crime Commissioner</w:t>
            </w:r>
          </w:p>
        </w:tc>
        <w:tc>
          <w:tcPr>
            <w:tcW w:w="1346" w:type="dxa"/>
          </w:tcPr>
          <w:p w14:paraId="1BE610BC" w14:textId="3316B6E5" w:rsidR="00114696" w:rsidRDefault="00114696" w:rsidP="00114696">
            <w:pPr>
              <w:pStyle w:val="Tablebody"/>
            </w:pPr>
            <w:r>
              <w:t>29/11/2023</w:t>
            </w:r>
          </w:p>
        </w:tc>
        <w:tc>
          <w:tcPr>
            <w:tcW w:w="1347" w:type="dxa"/>
          </w:tcPr>
          <w:p w14:paraId="641CC619" w14:textId="09732D76" w:rsidR="00114696" w:rsidRDefault="00114696" w:rsidP="00114696">
            <w:pPr>
              <w:pStyle w:val="Tablebody"/>
            </w:pPr>
            <w:r>
              <w:t>07/12/2023</w:t>
            </w:r>
          </w:p>
        </w:tc>
      </w:tr>
      <w:tr w:rsidR="00114696" w14:paraId="6427CEA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F2843D7" w14:textId="35BBFE7E" w:rsidR="00114696" w:rsidRDefault="00114696" w:rsidP="00114696">
            <w:pPr>
              <w:pStyle w:val="Tablebody"/>
            </w:pPr>
            <w:r>
              <w:t>5</w:t>
            </w:r>
          </w:p>
        </w:tc>
        <w:tc>
          <w:tcPr>
            <w:tcW w:w="5665" w:type="dxa"/>
          </w:tcPr>
          <w:p w14:paraId="26BF7130" w14:textId="662EE501" w:rsidR="00114696" w:rsidRDefault="00114696" w:rsidP="00114696">
            <w:pPr>
              <w:pStyle w:val="Tablebody"/>
            </w:pPr>
            <w:r>
              <w:t>Australian Federal Police Association</w:t>
            </w:r>
          </w:p>
        </w:tc>
        <w:tc>
          <w:tcPr>
            <w:tcW w:w="1346" w:type="dxa"/>
          </w:tcPr>
          <w:p w14:paraId="19660F5D" w14:textId="3014547F" w:rsidR="00114696" w:rsidRDefault="00114696" w:rsidP="00114696">
            <w:pPr>
              <w:pStyle w:val="Tablebody"/>
            </w:pPr>
            <w:r>
              <w:t>30/11/2023</w:t>
            </w:r>
          </w:p>
        </w:tc>
        <w:tc>
          <w:tcPr>
            <w:tcW w:w="1347" w:type="dxa"/>
          </w:tcPr>
          <w:p w14:paraId="7B681CDA" w14:textId="16FA4CA7" w:rsidR="00114696" w:rsidRDefault="00114696" w:rsidP="00114696">
            <w:pPr>
              <w:pStyle w:val="Tablebody"/>
            </w:pPr>
            <w:r>
              <w:t>07/12/2023</w:t>
            </w:r>
          </w:p>
        </w:tc>
      </w:tr>
      <w:tr w:rsidR="00114696" w14:paraId="41F89722"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8F79F13" w14:textId="0D59D001" w:rsidR="00114696" w:rsidRDefault="00114696" w:rsidP="00114696">
            <w:pPr>
              <w:pStyle w:val="Tablebody"/>
            </w:pPr>
            <w:r>
              <w:t>6</w:t>
            </w:r>
          </w:p>
        </w:tc>
        <w:tc>
          <w:tcPr>
            <w:tcW w:w="5665" w:type="dxa"/>
          </w:tcPr>
          <w:p w14:paraId="0E9E6975" w14:textId="78CAC82B" w:rsidR="00114696" w:rsidRDefault="00114696" w:rsidP="00114696">
            <w:pPr>
              <w:pStyle w:val="Tablebody"/>
            </w:pPr>
            <w:r>
              <w:t>ACT Law Society</w:t>
            </w:r>
          </w:p>
        </w:tc>
        <w:tc>
          <w:tcPr>
            <w:tcW w:w="1346" w:type="dxa"/>
          </w:tcPr>
          <w:p w14:paraId="6E4060E7" w14:textId="166E0B24" w:rsidR="00114696" w:rsidRDefault="00114696" w:rsidP="00114696">
            <w:pPr>
              <w:pStyle w:val="Tablebody"/>
            </w:pPr>
            <w:r>
              <w:t>04/12/2023</w:t>
            </w:r>
          </w:p>
        </w:tc>
        <w:tc>
          <w:tcPr>
            <w:tcW w:w="1347" w:type="dxa"/>
          </w:tcPr>
          <w:p w14:paraId="36D26EFC" w14:textId="16AE1EC0" w:rsidR="00114696" w:rsidRDefault="00114696" w:rsidP="00114696">
            <w:pPr>
              <w:pStyle w:val="Tablebody"/>
            </w:pPr>
            <w:r>
              <w:t>07/12/2023</w:t>
            </w:r>
          </w:p>
        </w:tc>
      </w:tr>
    </w:tbl>
    <w:p w14:paraId="1180F728" w14:textId="5BAAF0A5" w:rsidR="00E833AA" w:rsidRDefault="00E833AA">
      <w:pPr>
        <w:spacing w:line="259" w:lineRule="auto"/>
      </w:pPr>
    </w:p>
    <w:sectPr w:rsidR="00E833AA"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758B8AA-1CBB-4F64-9A82-CB18B4BDEB83}"/>
    <w:embedBold r:id="rId2" w:fontKey="{57D053E6-EABA-4C95-8EC0-5A2663D83605}"/>
    <w:embedItalic r:id="rId3" w:fontKey="{373F395F-D1EC-455C-94F3-90695C58646D}"/>
    <w:embedBoldItalic r:id="rId4" w:fontKey="{4A9F730A-886C-49C2-A7ED-84046C3BC29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C1BE5689-7670-4433-83E6-156C0966E6DA}"/>
  </w:font>
  <w:font w:name="Montserrat">
    <w:panose1 w:val="00000500000000000000"/>
    <w:charset w:val="00"/>
    <w:family w:val="auto"/>
    <w:pitch w:val="variable"/>
    <w:sig w:usb0="2000020F" w:usb1="00000003" w:usb2="00000000" w:usb3="00000000" w:csb0="00000197" w:csb1="00000000"/>
    <w:embedRegular r:id="rId6" w:fontKey="{1919BF84-03DC-4124-ABAE-1361B6AC14AB}"/>
    <w:embedBold r:id="rId7" w:fontKey="{85DDA304-4503-45CF-895C-944EDAB68DC1}"/>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E2C4D4E1-20B6-4FEC-A35F-D5D01CADF6E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DD88789"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F3488">
      <w:rPr>
        <w:rFonts w:ascii="Montserrat SemiBold" w:hAnsi="Montserrat SemiBold" w:cstheme="majorHAnsi"/>
        <w:noProof/>
        <w:color w:val="2F5496"/>
        <w:w w:val="90"/>
        <w:sz w:val="18"/>
        <w:szCs w:val="18"/>
      </w:rPr>
      <w:t>Inquiry into Sexual, Family and Personal Violence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98148B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08189D">
      <w:rPr>
        <w:rFonts w:cstheme="minorHAnsi"/>
        <w:noProof/>
        <w:color w:val="404040" w:themeColor="text1" w:themeTint="BF"/>
      </w:rPr>
      <w:t>Standing Committee on Justice and Community Safety</w:t>
    </w:r>
    <w:r w:rsidR="0008189D">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2AC4438B" w:rsidR="00836FFE" w:rsidRPr="00C8358A" w:rsidRDefault="00A5478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7BED57C4"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A5478A">
      <w:rPr>
        <w:rFonts w:cstheme="minorHAnsi"/>
        <w:color w:val="404040" w:themeColor="text1" w:themeTint="BF"/>
      </w:rPr>
      <w:t>25</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7BA4CE74" w:rsidR="00836FFE" w:rsidRPr="00C8358A" w:rsidRDefault="0008189D"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A5478A">
          <w:rPr>
            <w:rFonts w:cstheme="minorHAnsi"/>
            <w:color w:val="404040" w:themeColor="text1" w:themeTint="BF"/>
          </w:rPr>
          <w:t>March</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B275689C2E134EE189045C25F1199BA2"/>
        </w:placeholder>
        <w:dropDownList>
          <w:listItem w:value="Choose an item."/>
          <w:listItem w:displayText="2023" w:value="2023"/>
          <w:listItem w:displayText="2024" w:value="2024"/>
          <w:listItem w:displayText="2025" w:value="2025"/>
        </w:dropDownList>
      </w:sdtPr>
      <w:sdtEndPr/>
      <w:sdtContent>
        <w:r w:rsidR="00A5478A">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8D39" w14:textId="04964F3B" w:rsidR="00BF1D56" w:rsidRPr="008116C5" w:rsidRDefault="004245CD" w:rsidP="008116C5">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8189D">
      <w:rPr>
        <w:rFonts w:ascii="Montserrat SemiBold" w:hAnsi="Montserrat SemiBold" w:cstheme="majorHAnsi"/>
        <w:noProof/>
        <w:color w:val="2F5496"/>
        <w:w w:val="90"/>
        <w:sz w:val="18"/>
        <w:szCs w:val="18"/>
      </w:rPr>
      <w:t>Inquiry into Sexual, Family and Personal Violence Amendment Bill 2023</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6D2D7" w14:textId="6C135E67" w:rsidR="00BF1D56" w:rsidRPr="008116C5" w:rsidRDefault="00603367" w:rsidP="008116C5">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8189D">
      <w:rPr>
        <w:rFonts w:ascii="Montserrat SemiBold" w:hAnsi="Montserrat SemiBold" w:cstheme="majorHAnsi"/>
        <w:noProof/>
        <w:color w:val="2F5496"/>
        <w:w w:val="90"/>
        <w:sz w:val="18"/>
        <w:szCs w:val="18"/>
      </w:rPr>
      <w:t>Inquiry into Sexual, Family and Personal Violence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395044C"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8189D">
      <w:rPr>
        <w:rFonts w:ascii="Montserrat SemiBold" w:hAnsi="Montserrat SemiBold" w:cstheme="majorHAnsi"/>
        <w:noProof/>
        <w:color w:val="2F5496"/>
        <w:w w:val="90"/>
        <w:sz w:val="18"/>
        <w:szCs w:val="18"/>
      </w:rPr>
      <w:t>Inquiry into Sexual, Family and Personal Violence Amendment Bill 2023</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4171BAF3"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8189D">
      <w:rPr>
        <w:rFonts w:ascii="Montserrat SemiBold" w:hAnsi="Montserrat SemiBold" w:cstheme="majorHAnsi"/>
        <w:noProof/>
        <w:color w:val="2F5496"/>
        <w:w w:val="90"/>
        <w:sz w:val="18"/>
        <w:szCs w:val="18"/>
      </w:rPr>
      <w:t>Inquiry into Sexual, Family and Personal Violence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719C429" w14:textId="6AF1CE07" w:rsidR="00133E6C" w:rsidRPr="00133E6C" w:rsidRDefault="00133E6C">
      <w:pPr>
        <w:pStyle w:val="FootnoteText"/>
      </w:pPr>
      <w:r>
        <w:rPr>
          <w:rStyle w:val="FootnoteReference"/>
        </w:rPr>
        <w:footnoteRef/>
      </w:r>
      <w:r>
        <w:t xml:space="preserve"> ACT Legislative Assembly, </w:t>
      </w:r>
      <w:r>
        <w:rPr>
          <w:i/>
          <w:iCs/>
        </w:rPr>
        <w:t xml:space="preserve">Minutes of Proceedings, </w:t>
      </w:r>
      <w:r>
        <w:t>no 107, 28 November 2023, pp 1606</w:t>
      </w:r>
      <w:r>
        <w:softHyphen/>
        <w:t>-1607.</w:t>
      </w:r>
    </w:p>
  </w:footnote>
  <w:footnote w:id="2">
    <w:p w14:paraId="6323D13C" w14:textId="77777777" w:rsidR="008116C5" w:rsidRPr="00C76CB8" w:rsidRDefault="008116C5" w:rsidP="008116C5">
      <w:pPr>
        <w:pStyle w:val="FootnoteText"/>
        <w:rPr>
          <w:szCs w:val="18"/>
        </w:rPr>
      </w:pPr>
      <w:r w:rsidRPr="00C76CB8">
        <w:rPr>
          <w:rStyle w:val="FootnoteReference"/>
          <w:szCs w:val="18"/>
        </w:rPr>
        <w:footnoteRef/>
      </w:r>
      <w:r w:rsidRPr="00C76CB8">
        <w:rPr>
          <w:szCs w:val="18"/>
        </w:rPr>
        <w:t xml:space="preserve"> ACT Magistrates Court, </w:t>
      </w:r>
      <w:r w:rsidRPr="00C76CB8">
        <w:rPr>
          <w:i/>
          <w:iCs/>
          <w:szCs w:val="18"/>
        </w:rPr>
        <w:t>Family Violence Orders</w:t>
      </w:r>
      <w:r w:rsidRPr="00C76CB8">
        <w:rPr>
          <w:szCs w:val="18"/>
        </w:rPr>
        <w:t xml:space="preserve">, </w:t>
      </w:r>
      <w:hyperlink r:id="rId1" w:history="1">
        <w:r w:rsidRPr="00C76CB8">
          <w:rPr>
            <w:rStyle w:val="Hyperlink"/>
            <w:szCs w:val="18"/>
          </w:rPr>
          <w:t>https://www.courts.act.gov.au/magistrates/law-and-practice/family-violence-and-protection-orders</w:t>
        </w:r>
      </w:hyperlink>
      <w:r w:rsidRPr="00C76CB8">
        <w:rPr>
          <w:szCs w:val="18"/>
        </w:rPr>
        <w:t xml:space="preserve"> (accessed 17 January 2024).</w:t>
      </w:r>
    </w:p>
  </w:footnote>
  <w:footnote w:id="3">
    <w:p w14:paraId="701EE288" w14:textId="77777777" w:rsidR="008116C5" w:rsidRPr="00E94EF0" w:rsidRDefault="008116C5" w:rsidP="008116C5">
      <w:pPr>
        <w:pStyle w:val="FootnoteText"/>
        <w:rPr>
          <w:b/>
          <w:bCs/>
        </w:rPr>
      </w:pPr>
      <w:r>
        <w:rPr>
          <w:rStyle w:val="FootnoteReference"/>
        </w:rPr>
        <w:footnoteRef/>
      </w:r>
      <w:r>
        <w:t xml:space="preserve"> </w:t>
      </w:r>
      <w:r w:rsidRPr="00E94EF0">
        <w:rPr>
          <w:szCs w:val="18"/>
        </w:rPr>
        <w:t xml:space="preserve">ACT Magistrates Court, </w:t>
      </w:r>
      <w:r w:rsidRPr="00E94EF0">
        <w:rPr>
          <w:i/>
          <w:iCs/>
          <w:szCs w:val="18"/>
        </w:rPr>
        <w:t xml:space="preserve">Personal Protection and Workplace Protection Orders, </w:t>
      </w:r>
      <w:hyperlink r:id="rId2" w:anchor="personal_violence" w:history="1">
        <w:r w:rsidRPr="00E94EF0">
          <w:rPr>
            <w:rStyle w:val="Hyperlink"/>
            <w:i/>
            <w:iCs/>
            <w:szCs w:val="18"/>
          </w:rPr>
          <w:t>https://www.courts.act.gov.au/magistrates/law-and-practice/family-violence-and-protection-orders/personal-protection-and-workplace-orders#personal_violence</w:t>
        </w:r>
      </w:hyperlink>
      <w:r w:rsidRPr="00E94EF0">
        <w:rPr>
          <w:i/>
          <w:iCs/>
          <w:szCs w:val="18"/>
        </w:rPr>
        <w:t xml:space="preserve"> </w:t>
      </w:r>
      <w:r w:rsidRPr="00E94EF0">
        <w:rPr>
          <w:szCs w:val="18"/>
        </w:rPr>
        <w:t>(accessed 27 February 2024).</w:t>
      </w:r>
    </w:p>
  </w:footnote>
  <w:footnote w:id="4">
    <w:p w14:paraId="6BE55F49" w14:textId="77777777" w:rsidR="008116C5" w:rsidRDefault="008116C5" w:rsidP="008116C5">
      <w:pPr>
        <w:pStyle w:val="FootnoteText"/>
      </w:pPr>
      <w:r w:rsidRPr="00C76CB8">
        <w:rPr>
          <w:rStyle w:val="FootnoteReference"/>
          <w:szCs w:val="18"/>
        </w:rPr>
        <w:footnoteRef/>
      </w:r>
      <w:r w:rsidRPr="00C76CB8">
        <w:rPr>
          <w:szCs w:val="18"/>
        </w:rPr>
        <w:t xml:space="preserve"> Sexual, Family and Personal Violence Legislation Amendment Bill 2023, </w:t>
      </w:r>
      <w:r w:rsidRPr="00C76CB8">
        <w:rPr>
          <w:i/>
          <w:iCs/>
          <w:szCs w:val="18"/>
        </w:rPr>
        <w:t>Explanatory Statement,</w:t>
      </w:r>
      <w:r w:rsidRPr="00C76CB8">
        <w:rPr>
          <w:szCs w:val="18"/>
        </w:rPr>
        <w:t xml:space="preserve"> p 4.</w:t>
      </w:r>
    </w:p>
  </w:footnote>
  <w:footnote w:id="5">
    <w:p w14:paraId="36172425" w14:textId="77777777" w:rsidR="008116C5" w:rsidRPr="00AA2D84" w:rsidRDefault="008116C5" w:rsidP="008116C5">
      <w:pPr>
        <w:pStyle w:val="FootnoteText"/>
        <w:rPr>
          <w:szCs w:val="18"/>
        </w:rPr>
      </w:pPr>
      <w:r w:rsidRPr="00AA2D84">
        <w:rPr>
          <w:rStyle w:val="FootnoteReference"/>
          <w:szCs w:val="18"/>
        </w:rPr>
        <w:footnoteRef/>
      </w:r>
      <w:r w:rsidRPr="00AA2D84">
        <w:rPr>
          <w:szCs w:val="18"/>
        </w:rPr>
        <w:t xml:space="preserve"> ACT Legislative Assembly, </w:t>
      </w:r>
      <w:r w:rsidRPr="00AA2D84">
        <w:rPr>
          <w:i/>
          <w:iCs/>
          <w:szCs w:val="18"/>
        </w:rPr>
        <w:t>Minutes of Proceedings</w:t>
      </w:r>
      <w:r w:rsidRPr="00AA2D84">
        <w:rPr>
          <w:szCs w:val="18"/>
        </w:rPr>
        <w:t>, No 107, 28 November 2023, p1606.</w:t>
      </w:r>
    </w:p>
  </w:footnote>
  <w:footnote w:id="6">
    <w:p w14:paraId="6E86855E" w14:textId="77777777" w:rsidR="008116C5" w:rsidRPr="00C76CB8" w:rsidRDefault="008116C5" w:rsidP="008116C5">
      <w:pPr>
        <w:pStyle w:val="FootnoteText"/>
        <w:rPr>
          <w:szCs w:val="18"/>
        </w:rPr>
      </w:pPr>
      <w:r w:rsidRPr="00C76CB8">
        <w:rPr>
          <w:rStyle w:val="FootnoteReference"/>
          <w:szCs w:val="18"/>
        </w:rPr>
        <w:footnoteRef/>
      </w:r>
      <w:r w:rsidRPr="00C76CB8">
        <w:rPr>
          <w:szCs w:val="18"/>
        </w:rPr>
        <w:t xml:space="preserve"> Sexual, Family and Personal Violence Legislation Amendment Bill 2023, </w:t>
      </w:r>
      <w:r w:rsidRPr="00C76CB8">
        <w:rPr>
          <w:i/>
          <w:iCs/>
          <w:szCs w:val="18"/>
        </w:rPr>
        <w:t>Explanatory Statement,</w:t>
      </w:r>
      <w:r w:rsidRPr="00C76CB8">
        <w:rPr>
          <w:szCs w:val="18"/>
        </w:rPr>
        <w:t xml:space="preserve"> p 3.</w:t>
      </w:r>
    </w:p>
  </w:footnote>
  <w:footnote w:id="7">
    <w:p w14:paraId="1FDB7FD6" w14:textId="77777777" w:rsidR="008116C5" w:rsidRPr="00C76CB8" w:rsidRDefault="008116C5" w:rsidP="008116C5">
      <w:pPr>
        <w:pStyle w:val="FootnoteText"/>
        <w:rPr>
          <w:szCs w:val="18"/>
        </w:rPr>
      </w:pPr>
      <w:r w:rsidRPr="00C76CB8">
        <w:rPr>
          <w:rStyle w:val="FootnoteReference"/>
          <w:szCs w:val="18"/>
        </w:rPr>
        <w:footnoteRef/>
      </w:r>
      <w:r w:rsidRPr="00C76CB8">
        <w:rPr>
          <w:szCs w:val="18"/>
        </w:rPr>
        <w:t xml:space="preserve"> Sexual, Family and Personal Violence Legislation Amendment Bill 2023, </w:t>
      </w:r>
      <w:r w:rsidRPr="00C76CB8">
        <w:rPr>
          <w:i/>
          <w:iCs/>
          <w:szCs w:val="18"/>
        </w:rPr>
        <w:t>Explanatory Statement,</w:t>
      </w:r>
      <w:r w:rsidRPr="00C76CB8">
        <w:rPr>
          <w:szCs w:val="18"/>
        </w:rPr>
        <w:t xml:space="preserve"> p 2.</w:t>
      </w:r>
    </w:p>
  </w:footnote>
  <w:footnote w:id="8">
    <w:p w14:paraId="393ECAF5" w14:textId="77777777" w:rsidR="008116C5" w:rsidRPr="00C76CB8" w:rsidRDefault="008116C5" w:rsidP="008116C5">
      <w:pPr>
        <w:pStyle w:val="FootnoteText"/>
        <w:rPr>
          <w:szCs w:val="18"/>
        </w:rPr>
      </w:pPr>
      <w:r w:rsidRPr="00C76CB8">
        <w:rPr>
          <w:rStyle w:val="FootnoteReference"/>
          <w:szCs w:val="18"/>
        </w:rPr>
        <w:footnoteRef/>
      </w:r>
      <w:r w:rsidRPr="00C76CB8">
        <w:rPr>
          <w:szCs w:val="18"/>
        </w:rPr>
        <w:t xml:space="preserve"> Standing Committee on Justice and Community Safety (Legislative Scrutiny role), </w:t>
      </w:r>
      <w:r w:rsidRPr="002508A4">
        <w:rPr>
          <w:i/>
          <w:iCs/>
          <w:szCs w:val="18"/>
        </w:rPr>
        <w:t>Scrutiny Report 37</w:t>
      </w:r>
      <w:r w:rsidRPr="00C76CB8">
        <w:rPr>
          <w:szCs w:val="18"/>
        </w:rPr>
        <w:t>, p 6.</w:t>
      </w:r>
    </w:p>
  </w:footnote>
  <w:footnote w:id="9">
    <w:p w14:paraId="38FCF89D" w14:textId="77777777" w:rsidR="008116C5" w:rsidRPr="00C76CB8" w:rsidRDefault="008116C5" w:rsidP="008116C5">
      <w:pPr>
        <w:pStyle w:val="FootnoteText"/>
        <w:rPr>
          <w:szCs w:val="18"/>
        </w:rPr>
      </w:pPr>
      <w:r w:rsidRPr="00C76CB8">
        <w:rPr>
          <w:rStyle w:val="FootnoteReference"/>
          <w:szCs w:val="18"/>
        </w:rPr>
        <w:footnoteRef/>
      </w:r>
      <w:r w:rsidRPr="00C76CB8">
        <w:rPr>
          <w:szCs w:val="18"/>
        </w:rPr>
        <w:t xml:space="preserve"> See, for example, proposed sections 83A(1)(a) and 91A(1)(a), Sexual Family and Personal Violence Legislation Amendment Bill 2023.</w:t>
      </w:r>
    </w:p>
  </w:footnote>
  <w:footnote w:id="10">
    <w:p w14:paraId="2C89D926"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Standing Committee on Justice and Community Safety (Legislative Scrutiny role), </w:t>
      </w:r>
      <w:r w:rsidRPr="002508A4">
        <w:rPr>
          <w:i/>
          <w:iCs/>
          <w:szCs w:val="18"/>
        </w:rPr>
        <w:t>Scrutiny Report 37</w:t>
      </w:r>
      <w:r w:rsidRPr="00C76CB8">
        <w:rPr>
          <w:szCs w:val="18"/>
        </w:rPr>
        <w:t>, p 7.</w:t>
      </w:r>
    </w:p>
  </w:footnote>
  <w:footnote w:id="11">
    <w:p w14:paraId="3F5C5927" w14:textId="0EAD6A09"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w:t>
      </w:r>
      <w:r w:rsidR="00BA4102">
        <w:rPr>
          <w:szCs w:val="18"/>
        </w:rPr>
        <w:t xml:space="preserve">Mr Shane Rattenbury MLA, </w:t>
      </w:r>
      <w:r w:rsidRPr="00C76CB8">
        <w:rPr>
          <w:szCs w:val="18"/>
        </w:rPr>
        <w:t xml:space="preserve">Attorney-General, ACT Legislative Assembly, </w:t>
      </w:r>
      <w:r w:rsidRPr="00C76CB8">
        <w:rPr>
          <w:i/>
          <w:iCs/>
          <w:szCs w:val="18"/>
        </w:rPr>
        <w:t>Proof Daily Hansard,</w:t>
      </w:r>
      <w:r w:rsidRPr="00C76CB8">
        <w:rPr>
          <w:szCs w:val="18"/>
        </w:rPr>
        <w:t xml:space="preserve"> 2 November 2023, p 3758.</w:t>
      </w:r>
    </w:p>
  </w:footnote>
  <w:footnote w:id="12">
    <w:p w14:paraId="4A2C4F66" w14:textId="77777777" w:rsidR="00114696" w:rsidRDefault="00114696" w:rsidP="00114696">
      <w:pPr>
        <w:pStyle w:val="FootnoteText"/>
      </w:pPr>
      <w:r w:rsidRPr="00C76CB8">
        <w:rPr>
          <w:rStyle w:val="FootnoteReference"/>
          <w:szCs w:val="18"/>
        </w:rPr>
        <w:footnoteRef/>
      </w:r>
      <w:r w:rsidRPr="00C76CB8">
        <w:rPr>
          <w:szCs w:val="18"/>
        </w:rPr>
        <w:t xml:space="preserve"> Sexual, Family and Personal Violence Legislation Amendment Bill 2023, </w:t>
      </w:r>
      <w:r w:rsidRPr="00C76CB8">
        <w:rPr>
          <w:i/>
          <w:iCs/>
          <w:szCs w:val="18"/>
        </w:rPr>
        <w:t>Explanatory Statement,</w:t>
      </w:r>
      <w:r w:rsidRPr="00C76CB8">
        <w:rPr>
          <w:szCs w:val="18"/>
        </w:rPr>
        <w:t xml:space="preserve"> p 34.</w:t>
      </w:r>
    </w:p>
  </w:footnote>
  <w:footnote w:id="13">
    <w:p w14:paraId="0E949F5C" w14:textId="78365C9D" w:rsidR="00133E6C" w:rsidRDefault="00133E6C">
      <w:pPr>
        <w:pStyle w:val="FootnoteText"/>
      </w:pPr>
      <w:r>
        <w:rPr>
          <w:rStyle w:val="FootnoteReference"/>
        </w:rPr>
        <w:footnoteRef/>
      </w:r>
      <w:r>
        <w:t xml:space="preserve"> </w:t>
      </w:r>
      <w:r w:rsidR="001F1B11" w:rsidRPr="00C76CB8">
        <w:rPr>
          <w:szCs w:val="18"/>
        </w:rPr>
        <w:t xml:space="preserve">Sexual, Family and Personal Violence Legislation Amendment Bill 2023, </w:t>
      </w:r>
      <w:r w:rsidR="001F1B11">
        <w:rPr>
          <w:i/>
          <w:iCs/>
          <w:szCs w:val="18"/>
        </w:rPr>
        <w:t>e</w:t>
      </w:r>
      <w:r w:rsidR="001F1B11" w:rsidRPr="00C76CB8">
        <w:rPr>
          <w:i/>
          <w:iCs/>
          <w:szCs w:val="18"/>
        </w:rPr>
        <w:t xml:space="preserve">xplanatory </w:t>
      </w:r>
      <w:r w:rsidR="001F1B11">
        <w:rPr>
          <w:i/>
          <w:iCs/>
          <w:szCs w:val="18"/>
        </w:rPr>
        <w:t>s</w:t>
      </w:r>
      <w:r w:rsidR="001F1B11" w:rsidRPr="00C76CB8">
        <w:rPr>
          <w:i/>
          <w:iCs/>
          <w:szCs w:val="18"/>
        </w:rPr>
        <w:t>tatement,</w:t>
      </w:r>
      <w:r w:rsidR="001F1B11" w:rsidRPr="00C76CB8">
        <w:rPr>
          <w:szCs w:val="18"/>
        </w:rPr>
        <w:t xml:space="preserve"> p 3</w:t>
      </w:r>
      <w:r w:rsidR="001F1B11">
        <w:rPr>
          <w:szCs w:val="18"/>
        </w:rPr>
        <w:t>.</w:t>
      </w:r>
    </w:p>
  </w:footnote>
  <w:footnote w:id="14">
    <w:p w14:paraId="51C71EBC" w14:textId="6EF240C2" w:rsidR="00114696" w:rsidRDefault="00114696" w:rsidP="00114696">
      <w:pPr>
        <w:pStyle w:val="FootnoteText"/>
      </w:pPr>
      <w:r>
        <w:rPr>
          <w:rStyle w:val="FootnoteReference"/>
        </w:rPr>
        <w:footnoteRef/>
      </w:r>
      <w:r>
        <w:t xml:space="preserve"> </w:t>
      </w:r>
      <w:r w:rsidRPr="00C76CB8">
        <w:rPr>
          <w:szCs w:val="18"/>
        </w:rPr>
        <w:t xml:space="preserve">Sexual, Family and Personal Violence Legislation Amendment Bill 2023, </w:t>
      </w:r>
      <w:r w:rsidR="001F1B11">
        <w:rPr>
          <w:i/>
          <w:iCs/>
          <w:szCs w:val="18"/>
        </w:rPr>
        <w:t>e</w:t>
      </w:r>
      <w:r w:rsidRPr="00C76CB8">
        <w:rPr>
          <w:i/>
          <w:iCs/>
          <w:szCs w:val="18"/>
        </w:rPr>
        <w:t xml:space="preserve">xplanatory </w:t>
      </w:r>
      <w:r w:rsidR="001F1B11">
        <w:rPr>
          <w:i/>
          <w:iCs/>
          <w:szCs w:val="18"/>
        </w:rPr>
        <w:t>s</w:t>
      </w:r>
      <w:r w:rsidRPr="00C76CB8">
        <w:rPr>
          <w:i/>
          <w:iCs/>
          <w:szCs w:val="18"/>
        </w:rPr>
        <w:t>tatement,</w:t>
      </w:r>
      <w:r w:rsidRPr="00C76CB8">
        <w:rPr>
          <w:szCs w:val="18"/>
        </w:rPr>
        <w:t xml:space="preserve"> p 32.</w:t>
      </w:r>
    </w:p>
  </w:footnote>
  <w:footnote w:id="15">
    <w:p w14:paraId="615E4547"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Standing Committee on Justice and Community Safety (Legislative Scrutiny role), Scrutiny Report 37. pp 7-8.</w:t>
      </w:r>
    </w:p>
  </w:footnote>
  <w:footnote w:id="16">
    <w:p w14:paraId="4B1EFC55"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Standing Committee on Justice and Community Safety (Legislative Scrutiny role), Scrutiny Report 37, p 8.</w:t>
      </w:r>
    </w:p>
  </w:footnote>
  <w:footnote w:id="17">
    <w:p w14:paraId="7EC33539" w14:textId="77777777" w:rsidR="00114696" w:rsidRDefault="00114696" w:rsidP="00114696">
      <w:pPr>
        <w:pStyle w:val="FootnoteText"/>
      </w:pPr>
      <w:r w:rsidRPr="00C76CB8">
        <w:rPr>
          <w:rStyle w:val="FootnoteReference"/>
          <w:szCs w:val="18"/>
        </w:rPr>
        <w:footnoteRef/>
      </w:r>
      <w:r w:rsidRPr="00C76CB8">
        <w:rPr>
          <w:szCs w:val="18"/>
        </w:rPr>
        <w:t xml:space="preserve"> Standing Committee on Justice and Community Safety (Legislative Scrutiny role), Scrutiny Report 37, p 8.</w:t>
      </w:r>
    </w:p>
  </w:footnote>
  <w:footnote w:id="18">
    <w:p w14:paraId="524FE0EB" w14:textId="77777777" w:rsidR="00114696" w:rsidRDefault="00114696" w:rsidP="00114696">
      <w:pPr>
        <w:pStyle w:val="FootnoteText"/>
      </w:pPr>
      <w:r>
        <w:rPr>
          <w:rStyle w:val="FootnoteReference"/>
        </w:rPr>
        <w:footnoteRef/>
      </w:r>
      <w:r>
        <w:t xml:space="preserve"> </w:t>
      </w:r>
      <w:r w:rsidRPr="00E94EF0">
        <w:rPr>
          <w:szCs w:val="18"/>
        </w:rPr>
        <w:t xml:space="preserve">Victims of Crime Commissioner, </w:t>
      </w:r>
      <w:r w:rsidRPr="00E94EF0">
        <w:rPr>
          <w:i/>
          <w:iCs/>
          <w:szCs w:val="18"/>
        </w:rPr>
        <w:t>Submission 4</w:t>
      </w:r>
      <w:r w:rsidRPr="00E94EF0">
        <w:rPr>
          <w:szCs w:val="18"/>
        </w:rPr>
        <w:t>, p 4.</w:t>
      </w:r>
    </w:p>
  </w:footnote>
  <w:footnote w:id="19">
    <w:p w14:paraId="5D746A3E" w14:textId="5401FD52"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w:t>
      </w:r>
      <w:r w:rsidR="00B2278D">
        <w:rPr>
          <w:szCs w:val="18"/>
        </w:rPr>
        <w:t xml:space="preserve">Mr Shane Rattenbury MLA, </w:t>
      </w:r>
      <w:r w:rsidRPr="00C76CB8">
        <w:rPr>
          <w:szCs w:val="18"/>
        </w:rPr>
        <w:t xml:space="preserve">Attorney-General, </w:t>
      </w:r>
      <w:r w:rsidR="001F1B11">
        <w:rPr>
          <w:szCs w:val="18"/>
        </w:rPr>
        <w:t xml:space="preserve">correspondence received 22 February 2024, </w:t>
      </w:r>
      <w:r w:rsidR="001F1B11">
        <w:rPr>
          <w:i/>
          <w:iCs/>
          <w:szCs w:val="18"/>
        </w:rPr>
        <w:t xml:space="preserve">exhibit 1, </w:t>
      </w:r>
      <w:r w:rsidR="001F1B11">
        <w:rPr>
          <w:szCs w:val="18"/>
        </w:rPr>
        <w:t>p 1.</w:t>
      </w:r>
    </w:p>
  </w:footnote>
  <w:footnote w:id="20">
    <w:p w14:paraId="23E62447"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Part 4, proposed section 44A, Sexual, Personal and Family Violence Legislation Amendment Bill 2023.</w:t>
      </w:r>
    </w:p>
  </w:footnote>
  <w:footnote w:id="21">
    <w:p w14:paraId="4F0A7DA0"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See, for example, Legal Aid ACT, </w:t>
      </w:r>
      <w:r w:rsidRPr="00C76CB8">
        <w:rPr>
          <w:i/>
          <w:iCs/>
          <w:szCs w:val="18"/>
        </w:rPr>
        <w:t>Submission 1</w:t>
      </w:r>
      <w:r w:rsidRPr="00C76CB8">
        <w:rPr>
          <w:szCs w:val="18"/>
        </w:rPr>
        <w:t xml:space="preserve">, p 3, Victims of Crime Commissioner, </w:t>
      </w:r>
      <w:r w:rsidRPr="00C76CB8">
        <w:rPr>
          <w:i/>
          <w:iCs/>
          <w:szCs w:val="18"/>
        </w:rPr>
        <w:t xml:space="preserve">Submission 4, </w:t>
      </w:r>
      <w:r w:rsidRPr="00C76CB8">
        <w:rPr>
          <w:szCs w:val="18"/>
        </w:rPr>
        <w:t xml:space="preserve">p 4, Australian Federal Police Association, </w:t>
      </w:r>
      <w:r w:rsidRPr="00C76CB8">
        <w:rPr>
          <w:i/>
          <w:iCs/>
          <w:szCs w:val="18"/>
        </w:rPr>
        <w:t>Submission 5,</w:t>
      </w:r>
      <w:r w:rsidRPr="00C76CB8">
        <w:rPr>
          <w:szCs w:val="18"/>
        </w:rPr>
        <w:t xml:space="preserve"> p 4.</w:t>
      </w:r>
    </w:p>
  </w:footnote>
  <w:footnote w:id="22">
    <w:p w14:paraId="6082480D" w14:textId="77777777" w:rsidR="00114696" w:rsidRPr="00433CB6" w:rsidRDefault="00114696" w:rsidP="00114696">
      <w:pPr>
        <w:pStyle w:val="FootnoteText"/>
        <w:rPr>
          <w:szCs w:val="18"/>
        </w:rPr>
      </w:pPr>
      <w:r w:rsidRPr="00433CB6">
        <w:rPr>
          <w:rStyle w:val="FootnoteReference"/>
          <w:szCs w:val="18"/>
        </w:rPr>
        <w:footnoteRef/>
      </w:r>
      <w:r w:rsidRPr="00433CB6">
        <w:rPr>
          <w:szCs w:val="18"/>
        </w:rPr>
        <w:t xml:space="preserve"> Victims of Crime Commissioner, </w:t>
      </w:r>
      <w:r w:rsidRPr="00433CB6">
        <w:rPr>
          <w:i/>
          <w:iCs/>
          <w:szCs w:val="18"/>
        </w:rPr>
        <w:t>Submission 4</w:t>
      </w:r>
      <w:r w:rsidRPr="00433CB6">
        <w:rPr>
          <w:szCs w:val="18"/>
        </w:rPr>
        <w:t xml:space="preserve">, p 4 and Australian Federal Police Association, </w:t>
      </w:r>
      <w:r w:rsidRPr="00433CB6">
        <w:rPr>
          <w:i/>
          <w:iCs/>
          <w:szCs w:val="18"/>
        </w:rPr>
        <w:t>Submission 5</w:t>
      </w:r>
      <w:r w:rsidRPr="00433CB6">
        <w:rPr>
          <w:szCs w:val="18"/>
        </w:rPr>
        <w:t>, p 4.</w:t>
      </w:r>
    </w:p>
  </w:footnote>
  <w:footnote w:id="23">
    <w:p w14:paraId="01130E44"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Legal Aid ACT, </w:t>
      </w:r>
      <w:r w:rsidRPr="00C76CB8">
        <w:rPr>
          <w:i/>
          <w:iCs/>
          <w:szCs w:val="18"/>
        </w:rPr>
        <w:t xml:space="preserve">Submission 1, </w:t>
      </w:r>
      <w:r w:rsidRPr="00C76CB8">
        <w:rPr>
          <w:szCs w:val="18"/>
        </w:rPr>
        <w:t xml:space="preserve">p 2, Women’s Legal Centre ACT, </w:t>
      </w:r>
      <w:r w:rsidRPr="00C76CB8">
        <w:rPr>
          <w:i/>
          <w:iCs/>
          <w:szCs w:val="18"/>
        </w:rPr>
        <w:t xml:space="preserve">Submission 3, </w:t>
      </w:r>
      <w:r w:rsidRPr="00C76CB8">
        <w:rPr>
          <w:szCs w:val="18"/>
        </w:rPr>
        <w:t>p 4.</w:t>
      </w:r>
    </w:p>
  </w:footnote>
  <w:footnote w:id="24">
    <w:p w14:paraId="5316FDA0" w14:textId="77777777" w:rsidR="00114696" w:rsidRPr="008E7AA2" w:rsidRDefault="00114696" w:rsidP="00114696">
      <w:pPr>
        <w:pStyle w:val="FootnoteText"/>
      </w:pPr>
      <w:r w:rsidRPr="00C76CB8">
        <w:rPr>
          <w:rStyle w:val="FootnoteReference"/>
          <w:szCs w:val="18"/>
        </w:rPr>
        <w:footnoteRef/>
      </w:r>
      <w:r w:rsidRPr="00C76CB8">
        <w:rPr>
          <w:szCs w:val="18"/>
        </w:rPr>
        <w:t xml:space="preserve"> Domestic Violence Crisis Centre, </w:t>
      </w:r>
      <w:r w:rsidRPr="00C76CB8">
        <w:rPr>
          <w:i/>
          <w:iCs/>
          <w:szCs w:val="18"/>
        </w:rPr>
        <w:t xml:space="preserve">Submission 2, </w:t>
      </w:r>
      <w:r w:rsidRPr="00C76CB8">
        <w:rPr>
          <w:szCs w:val="18"/>
        </w:rPr>
        <w:t>p 3.</w:t>
      </w:r>
    </w:p>
  </w:footnote>
  <w:footnote w:id="25">
    <w:p w14:paraId="6BC93BC2"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w:t>
      </w:r>
      <w:r>
        <w:rPr>
          <w:szCs w:val="18"/>
        </w:rPr>
        <w:t xml:space="preserve">ACT Law Society, </w:t>
      </w:r>
      <w:r w:rsidRPr="00C76CB8">
        <w:rPr>
          <w:i/>
          <w:iCs/>
          <w:szCs w:val="18"/>
        </w:rPr>
        <w:t xml:space="preserve">Submission 6, </w:t>
      </w:r>
      <w:r w:rsidRPr="00C76CB8">
        <w:rPr>
          <w:szCs w:val="18"/>
        </w:rPr>
        <w:t>p 2.</w:t>
      </w:r>
    </w:p>
  </w:footnote>
  <w:footnote w:id="26">
    <w:p w14:paraId="2206728C"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w:t>
      </w:r>
      <w:r>
        <w:rPr>
          <w:szCs w:val="18"/>
        </w:rPr>
        <w:t xml:space="preserve">Domestic Violence Crisis Service, </w:t>
      </w:r>
      <w:r w:rsidRPr="00C76CB8">
        <w:rPr>
          <w:i/>
          <w:iCs/>
          <w:szCs w:val="18"/>
        </w:rPr>
        <w:t xml:space="preserve">Submission 2, </w:t>
      </w:r>
      <w:r w:rsidRPr="00C76CB8">
        <w:rPr>
          <w:szCs w:val="18"/>
        </w:rPr>
        <w:t>p 3.</w:t>
      </w:r>
    </w:p>
  </w:footnote>
  <w:footnote w:id="27">
    <w:p w14:paraId="05B3F48E"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w:t>
      </w:r>
      <w:r>
        <w:rPr>
          <w:szCs w:val="18"/>
        </w:rPr>
        <w:t>Part 4, proposed new paragraphs 46(1)(a), 47(2)(a), 82A(1)(a), and 91A(1)(a) and Part 5, proposed new paragraphs 40(1)(a), 41(2)(a), 76A(1)(a), 83A(1)(a), Sexual, Family and Personal Violence Legislation Amendment Bill 2023.</w:t>
      </w:r>
    </w:p>
  </w:footnote>
  <w:footnote w:id="28">
    <w:p w14:paraId="63B994DF"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See, for example, Women’s Legal Centre ACT, </w:t>
      </w:r>
      <w:r w:rsidRPr="00C76CB8">
        <w:rPr>
          <w:i/>
          <w:iCs/>
          <w:szCs w:val="18"/>
        </w:rPr>
        <w:t>Submission 3</w:t>
      </w:r>
      <w:r w:rsidRPr="00C76CB8">
        <w:rPr>
          <w:szCs w:val="18"/>
        </w:rPr>
        <w:t>, p 5.</w:t>
      </w:r>
    </w:p>
  </w:footnote>
  <w:footnote w:id="29">
    <w:p w14:paraId="61910C12"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w:t>
      </w:r>
      <w:r>
        <w:rPr>
          <w:szCs w:val="18"/>
        </w:rPr>
        <w:t xml:space="preserve">ACT Law Society, </w:t>
      </w:r>
      <w:r w:rsidRPr="00C76CB8">
        <w:rPr>
          <w:i/>
          <w:iCs/>
          <w:szCs w:val="18"/>
        </w:rPr>
        <w:t xml:space="preserve">Submission 6, </w:t>
      </w:r>
      <w:r w:rsidRPr="00C76CB8">
        <w:rPr>
          <w:szCs w:val="18"/>
        </w:rPr>
        <w:t>p 2.</w:t>
      </w:r>
    </w:p>
  </w:footnote>
  <w:footnote w:id="30">
    <w:p w14:paraId="315F7260"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ACT Community Services Directorate, </w:t>
      </w:r>
      <w:r w:rsidRPr="00C76CB8">
        <w:rPr>
          <w:i/>
          <w:iCs/>
          <w:szCs w:val="18"/>
        </w:rPr>
        <w:t xml:space="preserve">ACT Domestic and Family Violence Risk Assessment and Management Framework, </w:t>
      </w:r>
      <w:r w:rsidRPr="00C76CB8">
        <w:rPr>
          <w:szCs w:val="18"/>
        </w:rPr>
        <w:t>July 2022 (accessed 16 January 2024).</w:t>
      </w:r>
    </w:p>
  </w:footnote>
  <w:footnote w:id="31">
    <w:p w14:paraId="35B3A3CB" w14:textId="77777777" w:rsidR="00114696" w:rsidRDefault="00114696" w:rsidP="00114696">
      <w:pPr>
        <w:pStyle w:val="FootnoteText"/>
      </w:pPr>
      <w:r w:rsidRPr="00C76CB8">
        <w:rPr>
          <w:rStyle w:val="FootnoteReference"/>
          <w:szCs w:val="18"/>
        </w:rPr>
        <w:footnoteRef/>
      </w:r>
      <w:r w:rsidRPr="00C76CB8">
        <w:rPr>
          <w:szCs w:val="18"/>
        </w:rPr>
        <w:t xml:space="preserve"> </w:t>
      </w:r>
      <w:r>
        <w:rPr>
          <w:szCs w:val="18"/>
        </w:rPr>
        <w:t xml:space="preserve">Domestic Violence Crisis Service, </w:t>
      </w:r>
      <w:r w:rsidRPr="00C76CB8">
        <w:rPr>
          <w:i/>
          <w:iCs/>
          <w:szCs w:val="18"/>
        </w:rPr>
        <w:t>Submission 2</w:t>
      </w:r>
      <w:r w:rsidRPr="00C76CB8">
        <w:rPr>
          <w:szCs w:val="18"/>
        </w:rPr>
        <w:t>, p 2.</w:t>
      </w:r>
    </w:p>
  </w:footnote>
  <w:footnote w:id="32">
    <w:p w14:paraId="4E49CC6C"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w:t>
      </w:r>
      <w:r>
        <w:rPr>
          <w:szCs w:val="18"/>
        </w:rPr>
        <w:t xml:space="preserve">Women’s Legal Centre ACT, </w:t>
      </w:r>
      <w:r w:rsidRPr="00C76CB8">
        <w:rPr>
          <w:i/>
          <w:iCs/>
          <w:szCs w:val="18"/>
        </w:rPr>
        <w:t>Submission 3</w:t>
      </w:r>
      <w:r w:rsidRPr="00C76CB8">
        <w:rPr>
          <w:szCs w:val="18"/>
        </w:rPr>
        <w:t>, p 5.</w:t>
      </w:r>
    </w:p>
  </w:footnote>
  <w:footnote w:id="33">
    <w:p w14:paraId="3D2231BE" w14:textId="77777777" w:rsidR="00114696" w:rsidRDefault="00114696" w:rsidP="00114696">
      <w:pPr>
        <w:pStyle w:val="FootnoteText"/>
      </w:pPr>
      <w:r>
        <w:rPr>
          <w:rStyle w:val="FootnoteReference"/>
        </w:rPr>
        <w:footnoteRef/>
      </w:r>
      <w:r>
        <w:t xml:space="preserve"> </w:t>
      </w:r>
      <w:r>
        <w:rPr>
          <w:szCs w:val="18"/>
        </w:rPr>
        <w:t>Part 4, proposed new paragraphs 46(1)(a), 47(2)(a), 82A(1)(a), and 91A(1)(a) and Part 5, proposed new paragraphs 40(1)(a), 41(2)(a), 76A(1)(a), 83A(1)(a), Sexual, Family and Personal Violence Legislation Amendment Bill 2023.</w:t>
      </w:r>
    </w:p>
  </w:footnote>
  <w:footnote w:id="34">
    <w:p w14:paraId="63DB0E67" w14:textId="77777777" w:rsidR="00114696" w:rsidRDefault="00114696" w:rsidP="00114696">
      <w:pPr>
        <w:pStyle w:val="FootnoteText"/>
      </w:pPr>
      <w:r>
        <w:rPr>
          <w:rStyle w:val="FootnoteReference"/>
        </w:rPr>
        <w:footnoteRef/>
      </w:r>
      <w:r>
        <w:t xml:space="preserve"> </w:t>
      </w:r>
      <w:r>
        <w:rPr>
          <w:szCs w:val="18"/>
        </w:rPr>
        <w:t xml:space="preserve">Domestic Violence Crisis Service, </w:t>
      </w:r>
      <w:r w:rsidRPr="00C76CB8">
        <w:rPr>
          <w:i/>
          <w:iCs/>
          <w:szCs w:val="18"/>
        </w:rPr>
        <w:t>Submission 2</w:t>
      </w:r>
      <w:r>
        <w:rPr>
          <w:szCs w:val="18"/>
        </w:rPr>
        <w:t>;</w:t>
      </w:r>
      <w:r w:rsidRPr="00C76CB8">
        <w:rPr>
          <w:szCs w:val="18"/>
        </w:rPr>
        <w:t xml:space="preserve"> p 2.</w:t>
      </w:r>
      <w:r w:rsidRPr="001A71C0">
        <w:rPr>
          <w:szCs w:val="18"/>
        </w:rPr>
        <w:t xml:space="preserve"> </w:t>
      </w:r>
      <w:r>
        <w:rPr>
          <w:szCs w:val="18"/>
        </w:rPr>
        <w:t xml:space="preserve">Women’s Legal Centre ACT, </w:t>
      </w:r>
      <w:r w:rsidRPr="00C76CB8">
        <w:rPr>
          <w:i/>
          <w:iCs/>
          <w:szCs w:val="18"/>
        </w:rPr>
        <w:t>Submission 3</w:t>
      </w:r>
      <w:r w:rsidRPr="00C76CB8">
        <w:rPr>
          <w:szCs w:val="18"/>
        </w:rPr>
        <w:t>, p 5</w:t>
      </w:r>
      <w:r>
        <w:rPr>
          <w:szCs w:val="18"/>
        </w:rPr>
        <w:t xml:space="preserve">; and ACT Law Society, </w:t>
      </w:r>
      <w:r w:rsidRPr="00C76CB8">
        <w:rPr>
          <w:i/>
          <w:iCs/>
          <w:szCs w:val="18"/>
        </w:rPr>
        <w:t xml:space="preserve">Submission 6, </w:t>
      </w:r>
      <w:r w:rsidRPr="00C76CB8">
        <w:rPr>
          <w:szCs w:val="18"/>
        </w:rPr>
        <w:t>p 2</w:t>
      </w:r>
      <w:r>
        <w:rPr>
          <w:szCs w:val="18"/>
        </w:rPr>
        <w:t>.</w:t>
      </w:r>
    </w:p>
  </w:footnote>
  <w:footnote w:id="35">
    <w:p w14:paraId="05C3FAD5"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Sexual, Family and Personal Violence Legislation Amendment Bill 2023, </w:t>
      </w:r>
      <w:r>
        <w:rPr>
          <w:i/>
          <w:iCs/>
          <w:szCs w:val="18"/>
        </w:rPr>
        <w:t>e</w:t>
      </w:r>
      <w:r w:rsidRPr="00C76CB8">
        <w:rPr>
          <w:i/>
          <w:iCs/>
          <w:szCs w:val="18"/>
        </w:rPr>
        <w:t xml:space="preserve">xplanatory </w:t>
      </w:r>
      <w:r>
        <w:rPr>
          <w:i/>
          <w:iCs/>
          <w:szCs w:val="18"/>
        </w:rPr>
        <w:t>s</w:t>
      </w:r>
      <w:r w:rsidRPr="00C76CB8">
        <w:rPr>
          <w:i/>
          <w:iCs/>
          <w:szCs w:val="18"/>
        </w:rPr>
        <w:t>tatement,</w:t>
      </w:r>
      <w:r w:rsidRPr="00C76CB8">
        <w:rPr>
          <w:szCs w:val="18"/>
        </w:rPr>
        <w:t xml:space="preserve"> p 37.</w:t>
      </w:r>
    </w:p>
  </w:footnote>
  <w:footnote w:id="36">
    <w:p w14:paraId="4A7A60F8" w14:textId="6104B4D0"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w:t>
      </w:r>
      <w:r>
        <w:rPr>
          <w:szCs w:val="18"/>
        </w:rPr>
        <w:t xml:space="preserve">Legal Aid ACT, </w:t>
      </w:r>
      <w:r w:rsidRPr="00C76CB8">
        <w:rPr>
          <w:i/>
          <w:iCs/>
          <w:szCs w:val="18"/>
        </w:rPr>
        <w:t xml:space="preserve">Submission 1, </w:t>
      </w:r>
      <w:r w:rsidRPr="00C76CB8">
        <w:rPr>
          <w:szCs w:val="18"/>
        </w:rPr>
        <w:t>p 2</w:t>
      </w:r>
      <w:r w:rsidRPr="00C76CB8">
        <w:rPr>
          <w:i/>
          <w:iCs/>
          <w:szCs w:val="18"/>
        </w:rPr>
        <w:t>,</w:t>
      </w:r>
      <w:r>
        <w:rPr>
          <w:i/>
          <w:iCs/>
          <w:szCs w:val="18"/>
        </w:rPr>
        <w:t xml:space="preserve"> </w:t>
      </w:r>
      <w:r>
        <w:rPr>
          <w:szCs w:val="18"/>
        </w:rPr>
        <w:t>Domestic Violence Crisis Service,</w:t>
      </w:r>
      <w:r w:rsidRPr="00C76CB8">
        <w:rPr>
          <w:i/>
          <w:iCs/>
          <w:szCs w:val="18"/>
        </w:rPr>
        <w:t xml:space="preserve"> Submission </w:t>
      </w:r>
      <w:r w:rsidR="002F40E5">
        <w:rPr>
          <w:i/>
          <w:iCs/>
          <w:szCs w:val="18"/>
        </w:rPr>
        <w:t>2</w:t>
      </w:r>
      <w:r w:rsidRPr="00C76CB8">
        <w:rPr>
          <w:szCs w:val="18"/>
        </w:rPr>
        <w:t>, p 5</w:t>
      </w:r>
      <w:r w:rsidR="002F40E5">
        <w:rPr>
          <w:szCs w:val="18"/>
        </w:rPr>
        <w:t xml:space="preserve">, Womens Legal Centre, </w:t>
      </w:r>
      <w:r w:rsidR="002F40E5">
        <w:rPr>
          <w:i/>
          <w:iCs/>
          <w:szCs w:val="18"/>
        </w:rPr>
        <w:t xml:space="preserve">Submission 3, </w:t>
      </w:r>
      <w:r w:rsidR="002F40E5">
        <w:rPr>
          <w:szCs w:val="18"/>
        </w:rPr>
        <w:t>p 6</w:t>
      </w:r>
      <w:r w:rsidRPr="00C76CB8">
        <w:rPr>
          <w:szCs w:val="18"/>
        </w:rPr>
        <w:t xml:space="preserve"> and </w:t>
      </w:r>
      <w:r>
        <w:rPr>
          <w:szCs w:val="18"/>
        </w:rPr>
        <w:t xml:space="preserve">ACT Law Society, </w:t>
      </w:r>
      <w:r w:rsidRPr="00C76CB8">
        <w:rPr>
          <w:i/>
          <w:iCs/>
          <w:szCs w:val="18"/>
        </w:rPr>
        <w:t xml:space="preserve">Submission 6, </w:t>
      </w:r>
      <w:r w:rsidRPr="00C76CB8">
        <w:rPr>
          <w:szCs w:val="18"/>
        </w:rPr>
        <w:t>p 3.</w:t>
      </w:r>
    </w:p>
  </w:footnote>
  <w:footnote w:id="37">
    <w:p w14:paraId="3104FF31" w14:textId="3C9826E3" w:rsidR="00407B97" w:rsidRDefault="00407B97">
      <w:pPr>
        <w:pStyle w:val="FootnoteText"/>
      </w:pPr>
      <w:r>
        <w:rPr>
          <w:rStyle w:val="FootnoteReference"/>
        </w:rPr>
        <w:footnoteRef/>
      </w:r>
      <w:r>
        <w:t xml:space="preserve"> </w:t>
      </w:r>
      <w:r w:rsidR="003D3C17">
        <w:t xml:space="preserve">ACT Law Society, </w:t>
      </w:r>
      <w:r w:rsidR="003D3C17" w:rsidRPr="00236093">
        <w:rPr>
          <w:i/>
          <w:iCs/>
        </w:rPr>
        <w:t>Submission 6</w:t>
      </w:r>
      <w:r w:rsidR="003D3C17">
        <w:t>, p 3.</w:t>
      </w:r>
    </w:p>
  </w:footnote>
  <w:footnote w:id="38">
    <w:p w14:paraId="173913FB" w14:textId="290F15CD" w:rsidR="00C408D2" w:rsidRPr="00C408D2" w:rsidRDefault="003D3C17" w:rsidP="00C408D2">
      <w:pPr>
        <w:pStyle w:val="FootnoteText"/>
      </w:pPr>
      <w:r>
        <w:rPr>
          <w:rStyle w:val="FootnoteReference"/>
        </w:rPr>
        <w:footnoteRef/>
      </w:r>
      <w:r>
        <w:t xml:space="preserve"> </w:t>
      </w:r>
      <w:r w:rsidR="00C408D2">
        <w:t xml:space="preserve">Coroner’s Court of Queensland, </w:t>
      </w:r>
      <w:r w:rsidR="00C408D2" w:rsidRPr="00236093">
        <w:rPr>
          <w:i/>
          <w:iCs/>
        </w:rPr>
        <w:t>Domestic and Family Violence Review and Advisory Board Annual Report 2016-17</w:t>
      </w:r>
      <w:r w:rsidR="00C408D2">
        <w:t xml:space="preserve">, </w:t>
      </w:r>
      <w:hyperlink r:id="rId3" w:history="1">
        <w:r w:rsidR="00C408D2" w:rsidRPr="00BF16ED">
          <w:rPr>
            <w:rStyle w:val="Hyperlink"/>
          </w:rPr>
          <w:t>https://www.coronerscourt.qld.gov.au/dfvdrab/annual-reports-and-government-responses</w:t>
        </w:r>
      </w:hyperlink>
      <w:r w:rsidR="00C408D2">
        <w:t xml:space="preserve"> (accessed 6 March 2023).</w:t>
      </w:r>
    </w:p>
  </w:footnote>
  <w:footnote w:id="39">
    <w:p w14:paraId="7DFC91FC" w14:textId="406BAC41" w:rsidR="003D3C17" w:rsidRDefault="003D3C17">
      <w:pPr>
        <w:pStyle w:val="FootnoteText"/>
      </w:pPr>
      <w:r>
        <w:rPr>
          <w:rStyle w:val="FootnoteReference"/>
        </w:rPr>
        <w:footnoteRef/>
      </w:r>
      <w:r>
        <w:t xml:space="preserve"> Legal Aid ACT, </w:t>
      </w:r>
      <w:r w:rsidRPr="00236093">
        <w:rPr>
          <w:i/>
          <w:iCs/>
        </w:rPr>
        <w:t>Submission 1</w:t>
      </w:r>
      <w:r>
        <w:t>, p 3.</w:t>
      </w:r>
    </w:p>
  </w:footnote>
  <w:footnote w:id="40">
    <w:p w14:paraId="0DB5C0E5"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w:t>
      </w:r>
      <w:r>
        <w:rPr>
          <w:szCs w:val="18"/>
        </w:rPr>
        <w:t xml:space="preserve">Domestic Violence Crisis Service, </w:t>
      </w:r>
      <w:r w:rsidRPr="00C76CB8">
        <w:rPr>
          <w:i/>
          <w:iCs/>
          <w:szCs w:val="18"/>
        </w:rPr>
        <w:t>Submission 2</w:t>
      </w:r>
      <w:r w:rsidRPr="00C76CB8">
        <w:rPr>
          <w:szCs w:val="18"/>
        </w:rPr>
        <w:t>, p 2.</w:t>
      </w:r>
    </w:p>
  </w:footnote>
  <w:footnote w:id="41">
    <w:p w14:paraId="0EC75ADC" w14:textId="77777777" w:rsidR="00114696" w:rsidRDefault="00114696" w:rsidP="00114696">
      <w:pPr>
        <w:pStyle w:val="FootnoteText"/>
      </w:pPr>
      <w:r w:rsidRPr="00C76CB8">
        <w:rPr>
          <w:rStyle w:val="FootnoteReference"/>
          <w:szCs w:val="18"/>
        </w:rPr>
        <w:footnoteRef/>
      </w:r>
      <w:r w:rsidRPr="00C76CB8">
        <w:rPr>
          <w:szCs w:val="18"/>
        </w:rPr>
        <w:t xml:space="preserve"> Part </w:t>
      </w:r>
      <w:r>
        <w:rPr>
          <w:szCs w:val="18"/>
        </w:rPr>
        <w:t>4</w:t>
      </w:r>
      <w:r w:rsidRPr="00C76CB8">
        <w:rPr>
          <w:szCs w:val="18"/>
        </w:rPr>
        <w:t>, Proposed section 82B</w:t>
      </w:r>
      <w:r>
        <w:rPr>
          <w:szCs w:val="18"/>
        </w:rPr>
        <w:t xml:space="preserve">(2) and 82B(3), </w:t>
      </w:r>
      <w:r w:rsidRPr="00C76CB8">
        <w:rPr>
          <w:szCs w:val="18"/>
        </w:rPr>
        <w:t xml:space="preserve"> Sexual, Family and Personal Violence Legislation Amendment Bill 2023.</w:t>
      </w:r>
    </w:p>
  </w:footnote>
  <w:footnote w:id="42">
    <w:p w14:paraId="6415731D" w14:textId="77777777" w:rsidR="00114696" w:rsidRPr="00C76CB8" w:rsidRDefault="00114696" w:rsidP="00114696">
      <w:pPr>
        <w:pStyle w:val="FootnoteText"/>
        <w:rPr>
          <w:i/>
          <w:iCs/>
          <w:szCs w:val="18"/>
        </w:rPr>
      </w:pPr>
      <w:r w:rsidRPr="00C76CB8">
        <w:rPr>
          <w:rStyle w:val="FootnoteReference"/>
          <w:szCs w:val="18"/>
        </w:rPr>
        <w:footnoteRef/>
      </w:r>
      <w:r>
        <w:rPr>
          <w:szCs w:val="18"/>
        </w:rPr>
        <w:t xml:space="preserve"> Legal Aid ACT,</w:t>
      </w:r>
      <w:r w:rsidRPr="00C76CB8">
        <w:rPr>
          <w:szCs w:val="18"/>
        </w:rPr>
        <w:t xml:space="preserve"> </w:t>
      </w:r>
      <w:r w:rsidRPr="00C76CB8">
        <w:rPr>
          <w:i/>
          <w:iCs/>
          <w:szCs w:val="18"/>
        </w:rPr>
        <w:t xml:space="preserve">Submission 1, </w:t>
      </w:r>
      <w:r w:rsidRPr="00C76CB8">
        <w:rPr>
          <w:szCs w:val="18"/>
        </w:rPr>
        <w:t>p 2.</w:t>
      </w:r>
    </w:p>
  </w:footnote>
  <w:footnote w:id="43">
    <w:p w14:paraId="3CBDE4AF" w14:textId="77777777" w:rsidR="00114696" w:rsidRPr="00E94EF0" w:rsidRDefault="00114696" w:rsidP="00114696">
      <w:pPr>
        <w:pStyle w:val="FootnoteText"/>
        <w:rPr>
          <w:szCs w:val="18"/>
        </w:rPr>
      </w:pPr>
      <w:r w:rsidRPr="00E94EF0">
        <w:rPr>
          <w:rStyle w:val="FootnoteReference"/>
          <w:szCs w:val="18"/>
        </w:rPr>
        <w:footnoteRef/>
      </w:r>
      <w:r w:rsidRPr="00E94EF0">
        <w:rPr>
          <w:szCs w:val="18"/>
        </w:rPr>
        <w:t xml:space="preserve"> Part 4, proposed section 91B and Part 5, proposed subsection 83B(3), </w:t>
      </w:r>
      <w:r w:rsidRPr="00261697">
        <w:rPr>
          <w:szCs w:val="18"/>
        </w:rPr>
        <w:t>Sexual, Family and Personal Violence Legislation Amendment Bill 2023.</w:t>
      </w:r>
    </w:p>
  </w:footnote>
  <w:footnote w:id="44">
    <w:p w14:paraId="459BD233" w14:textId="77777777" w:rsidR="00114696" w:rsidRPr="00C76CB8" w:rsidRDefault="00114696" w:rsidP="00114696">
      <w:pPr>
        <w:pStyle w:val="FootnoteText"/>
        <w:rPr>
          <w:szCs w:val="18"/>
        </w:rPr>
      </w:pPr>
      <w:r w:rsidRPr="00261697">
        <w:rPr>
          <w:rStyle w:val="FootnoteReference"/>
          <w:szCs w:val="18"/>
        </w:rPr>
        <w:footnoteRef/>
      </w:r>
      <w:r w:rsidRPr="00261697">
        <w:rPr>
          <w:szCs w:val="18"/>
        </w:rPr>
        <w:t xml:space="preserve"> </w:t>
      </w:r>
      <w:r>
        <w:rPr>
          <w:szCs w:val="18"/>
        </w:rPr>
        <w:t xml:space="preserve">Women’s Legal Centre ACT, </w:t>
      </w:r>
      <w:r w:rsidRPr="00261697">
        <w:rPr>
          <w:i/>
          <w:iCs/>
          <w:szCs w:val="18"/>
        </w:rPr>
        <w:t>Submission 3</w:t>
      </w:r>
      <w:r w:rsidRPr="00261697">
        <w:rPr>
          <w:szCs w:val="18"/>
        </w:rPr>
        <w:t xml:space="preserve">, p 6 and </w:t>
      </w:r>
      <w:r>
        <w:rPr>
          <w:szCs w:val="18"/>
        </w:rPr>
        <w:t xml:space="preserve">ACT Law Society, </w:t>
      </w:r>
      <w:r w:rsidRPr="00261697">
        <w:rPr>
          <w:i/>
          <w:iCs/>
          <w:szCs w:val="18"/>
        </w:rPr>
        <w:t>Submission 6</w:t>
      </w:r>
      <w:r w:rsidRPr="00261697">
        <w:rPr>
          <w:szCs w:val="18"/>
        </w:rPr>
        <w:t>, p 3.</w:t>
      </w:r>
    </w:p>
  </w:footnote>
  <w:footnote w:id="45">
    <w:p w14:paraId="65A6FC02"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w:t>
      </w:r>
      <w:r>
        <w:rPr>
          <w:szCs w:val="18"/>
        </w:rPr>
        <w:t xml:space="preserve">Women’s Legal Centre ACT, </w:t>
      </w:r>
      <w:r w:rsidRPr="00C76CB8">
        <w:rPr>
          <w:i/>
          <w:iCs/>
          <w:szCs w:val="18"/>
        </w:rPr>
        <w:t>Submission 3</w:t>
      </w:r>
      <w:r w:rsidRPr="00C76CB8">
        <w:rPr>
          <w:szCs w:val="18"/>
        </w:rPr>
        <w:t>, p 6.</w:t>
      </w:r>
    </w:p>
  </w:footnote>
  <w:footnote w:id="46">
    <w:p w14:paraId="25F6B5D3" w14:textId="77777777" w:rsidR="00114696" w:rsidRDefault="00114696" w:rsidP="00114696">
      <w:pPr>
        <w:pStyle w:val="FootnoteText"/>
      </w:pPr>
      <w:r w:rsidRPr="00C76CB8">
        <w:rPr>
          <w:rStyle w:val="FootnoteReference"/>
          <w:szCs w:val="18"/>
        </w:rPr>
        <w:footnoteRef/>
      </w:r>
      <w:r w:rsidRPr="00C76CB8">
        <w:rPr>
          <w:szCs w:val="18"/>
        </w:rPr>
        <w:t xml:space="preserve"> </w:t>
      </w:r>
      <w:r>
        <w:rPr>
          <w:szCs w:val="18"/>
        </w:rPr>
        <w:t xml:space="preserve">ACT Law Society, </w:t>
      </w:r>
      <w:r w:rsidRPr="00C76CB8">
        <w:rPr>
          <w:i/>
          <w:iCs/>
          <w:szCs w:val="18"/>
        </w:rPr>
        <w:t>Submission 6</w:t>
      </w:r>
      <w:r w:rsidRPr="00C76CB8">
        <w:rPr>
          <w:szCs w:val="18"/>
        </w:rPr>
        <w:t>, p 3.</w:t>
      </w:r>
    </w:p>
  </w:footnote>
  <w:footnote w:id="47">
    <w:p w14:paraId="2665AB69"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Legal Aid ACT, Submission 1, p 2.</w:t>
      </w:r>
    </w:p>
  </w:footnote>
  <w:footnote w:id="48">
    <w:p w14:paraId="256DAB78" w14:textId="77777777" w:rsidR="00114696" w:rsidRPr="00C76CB8" w:rsidRDefault="00114696" w:rsidP="00114696">
      <w:pPr>
        <w:pStyle w:val="FootnoteText"/>
        <w:rPr>
          <w:szCs w:val="18"/>
        </w:rPr>
      </w:pPr>
      <w:r w:rsidRPr="00C76CB8">
        <w:rPr>
          <w:rStyle w:val="FootnoteReference"/>
          <w:szCs w:val="18"/>
        </w:rPr>
        <w:footnoteRef/>
      </w:r>
      <w:r w:rsidRPr="00C76CB8">
        <w:rPr>
          <w:szCs w:val="18"/>
        </w:rPr>
        <w:t xml:space="preserve"> ACT Law Society, </w:t>
      </w:r>
      <w:r w:rsidRPr="00C76CB8">
        <w:rPr>
          <w:i/>
          <w:iCs/>
          <w:szCs w:val="18"/>
        </w:rPr>
        <w:t>Submission 6</w:t>
      </w:r>
      <w:r w:rsidRPr="00C76CB8">
        <w:rPr>
          <w:szCs w:val="18"/>
        </w:rPr>
        <w:t>, p 3.</w:t>
      </w:r>
    </w:p>
  </w:footnote>
  <w:footnote w:id="49">
    <w:p w14:paraId="7B57E9A4" w14:textId="77777777" w:rsidR="00114696" w:rsidRDefault="00114696" w:rsidP="00114696">
      <w:pPr>
        <w:pStyle w:val="FootnoteText"/>
      </w:pPr>
      <w:r w:rsidRPr="00C76CB8">
        <w:rPr>
          <w:rStyle w:val="FootnoteReference"/>
          <w:szCs w:val="18"/>
        </w:rPr>
        <w:footnoteRef/>
      </w:r>
      <w:r w:rsidRPr="00C76CB8">
        <w:rPr>
          <w:szCs w:val="18"/>
        </w:rPr>
        <w:t xml:space="preserve"> Women’s Legal Centre ACT, </w:t>
      </w:r>
      <w:r w:rsidRPr="00C76CB8">
        <w:rPr>
          <w:i/>
          <w:iCs/>
          <w:szCs w:val="18"/>
        </w:rPr>
        <w:t>Submission 3</w:t>
      </w:r>
      <w:r w:rsidRPr="00C76CB8">
        <w:rPr>
          <w:szCs w:val="18"/>
        </w:rPr>
        <w:t>, p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E35C" w14:textId="77777777" w:rsidR="00A5478A" w:rsidRDefault="00A54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5525" w14:textId="77777777" w:rsidR="00A5478A" w:rsidRDefault="00A547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5DB695A"/>
    <w:multiLevelType w:val="multilevel"/>
    <w:tmpl w:val="E0C0C4C6"/>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9"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1"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2A85713"/>
    <w:multiLevelType w:val="hybridMultilevel"/>
    <w:tmpl w:val="721AA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6"/>
  </w:num>
  <w:num w:numId="12" w16cid:durableId="1055083277">
    <w:abstractNumId w:val="12"/>
  </w:num>
  <w:num w:numId="13" w16cid:durableId="1782914385">
    <w:abstractNumId w:val="21"/>
  </w:num>
  <w:num w:numId="14" w16cid:durableId="1239973112">
    <w:abstractNumId w:val="11"/>
  </w:num>
  <w:num w:numId="15" w16cid:durableId="1843743432">
    <w:abstractNumId w:val="23"/>
  </w:num>
  <w:num w:numId="16" w16cid:durableId="2116971440">
    <w:abstractNumId w:val="10"/>
  </w:num>
  <w:num w:numId="17" w16cid:durableId="1893229063">
    <w:abstractNumId w:val="15"/>
  </w:num>
  <w:num w:numId="18" w16cid:durableId="1059088669">
    <w:abstractNumId w:val="19"/>
  </w:num>
  <w:num w:numId="19" w16cid:durableId="13159911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0"/>
  </w:num>
  <w:num w:numId="21" w16cid:durableId="1399326623">
    <w:abstractNumId w:val="13"/>
  </w:num>
  <w:num w:numId="22" w16cid:durableId="1262448621">
    <w:abstractNumId w:val="14"/>
  </w:num>
  <w:num w:numId="23" w16cid:durableId="555750365">
    <w:abstractNumId w:val="17"/>
  </w:num>
  <w:num w:numId="24" w16cid:durableId="1479027854">
    <w:abstractNumId w:val="22"/>
  </w:num>
  <w:num w:numId="25" w16cid:durableId="16588071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24F1A"/>
    <w:rsid w:val="0002736B"/>
    <w:rsid w:val="00030FBC"/>
    <w:rsid w:val="00034056"/>
    <w:rsid w:val="00047DD3"/>
    <w:rsid w:val="0006752F"/>
    <w:rsid w:val="00070E76"/>
    <w:rsid w:val="0008189D"/>
    <w:rsid w:val="000A5577"/>
    <w:rsid w:val="000B1332"/>
    <w:rsid w:val="000D6381"/>
    <w:rsid w:val="00114696"/>
    <w:rsid w:val="00123781"/>
    <w:rsid w:val="00133E6C"/>
    <w:rsid w:val="0014714E"/>
    <w:rsid w:val="00150531"/>
    <w:rsid w:val="00156E52"/>
    <w:rsid w:val="001738A0"/>
    <w:rsid w:val="0018105F"/>
    <w:rsid w:val="001825E5"/>
    <w:rsid w:val="0019545D"/>
    <w:rsid w:val="0019585A"/>
    <w:rsid w:val="001A2EDD"/>
    <w:rsid w:val="001A3F3B"/>
    <w:rsid w:val="001B13A0"/>
    <w:rsid w:val="001B2622"/>
    <w:rsid w:val="001B3C02"/>
    <w:rsid w:val="001C7708"/>
    <w:rsid w:val="001D10CD"/>
    <w:rsid w:val="001D22FC"/>
    <w:rsid w:val="001E0390"/>
    <w:rsid w:val="001F1B11"/>
    <w:rsid w:val="001F30D0"/>
    <w:rsid w:val="001F4B26"/>
    <w:rsid w:val="00205761"/>
    <w:rsid w:val="002101BE"/>
    <w:rsid w:val="00216BB7"/>
    <w:rsid w:val="00235830"/>
    <w:rsid w:val="00236093"/>
    <w:rsid w:val="00246BDD"/>
    <w:rsid w:val="00247A37"/>
    <w:rsid w:val="002508A4"/>
    <w:rsid w:val="00266BE5"/>
    <w:rsid w:val="00281C83"/>
    <w:rsid w:val="002861BB"/>
    <w:rsid w:val="002A33D1"/>
    <w:rsid w:val="002A4CF1"/>
    <w:rsid w:val="002A6A10"/>
    <w:rsid w:val="002C4E7E"/>
    <w:rsid w:val="002F40E5"/>
    <w:rsid w:val="0031628A"/>
    <w:rsid w:val="003416E2"/>
    <w:rsid w:val="00344DF6"/>
    <w:rsid w:val="00362801"/>
    <w:rsid w:val="003655CA"/>
    <w:rsid w:val="0036775A"/>
    <w:rsid w:val="00387938"/>
    <w:rsid w:val="00395552"/>
    <w:rsid w:val="003B0AC3"/>
    <w:rsid w:val="003C0FFF"/>
    <w:rsid w:val="003C3CF9"/>
    <w:rsid w:val="003C76F0"/>
    <w:rsid w:val="003D3C17"/>
    <w:rsid w:val="003D69C2"/>
    <w:rsid w:val="00402758"/>
    <w:rsid w:val="00407B97"/>
    <w:rsid w:val="004245CD"/>
    <w:rsid w:val="00437AB0"/>
    <w:rsid w:val="004508F1"/>
    <w:rsid w:val="00456DCF"/>
    <w:rsid w:val="0045759B"/>
    <w:rsid w:val="004608D6"/>
    <w:rsid w:val="00460AFC"/>
    <w:rsid w:val="0046189E"/>
    <w:rsid w:val="00471E8B"/>
    <w:rsid w:val="004830DF"/>
    <w:rsid w:val="00483210"/>
    <w:rsid w:val="004976C3"/>
    <w:rsid w:val="004E5149"/>
    <w:rsid w:val="00510D89"/>
    <w:rsid w:val="0051686C"/>
    <w:rsid w:val="0051712D"/>
    <w:rsid w:val="00525ED8"/>
    <w:rsid w:val="00543280"/>
    <w:rsid w:val="00592400"/>
    <w:rsid w:val="005B61A8"/>
    <w:rsid w:val="005C28BD"/>
    <w:rsid w:val="005C4F2A"/>
    <w:rsid w:val="005D0221"/>
    <w:rsid w:val="005D0971"/>
    <w:rsid w:val="005D1067"/>
    <w:rsid w:val="005D7746"/>
    <w:rsid w:val="00603039"/>
    <w:rsid w:val="00603367"/>
    <w:rsid w:val="006043AE"/>
    <w:rsid w:val="00623507"/>
    <w:rsid w:val="00624316"/>
    <w:rsid w:val="006323F8"/>
    <w:rsid w:val="00647E8B"/>
    <w:rsid w:val="006718E3"/>
    <w:rsid w:val="0068014A"/>
    <w:rsid w:val="00696112"/>
    <w:rsid w:val="006A7A61"/>
    <w:rsid w:val="006B28A8"/>
    <w:rsid w:val="006C194B"/>
    <w:rsid w:val="006D1243"/>
    <w:rsid w:val="006D1392"/>
    <w:rsid w:val="006F04A2"/>
    <w:rsid w:val="006F3488"/>
    <w:rsid w:val="006F3FC7"/>
    <w:rsid w:val="00700A3A"/>
    <w:rsid w:val="007114B9"/>
    <w:rsid w:val="00727F06"/>
    <w:rsid w:val="0074595F"/>
    <w:rsid w:val="007469DE"/>
    <w:rsid w:val="0075417C"/>
    <w:rsid w:val="00757C24"/>
    <w:rsid w:val="00777CC8"/>
    <w:rsid w:val="0078151A"/>
    <w:rsid w:val="00783B5C"/>
    <w:rsid w:val="00792238"/>
    <w:rsid w:val="00792CC2"/>
    <w:rsid w:val="007A6EB9"/>
    <w:rsid w:val="007A7A8B"/>
    <w:rsid w:val="007C0C91"/>
    <w:rsid w:val="007C1747"/>
    <w:rsid w:val="007C371D"/>
    <w:rsid w:val="007C3F24"/>
    <w:rsid w:val="007D5F0D"/>
    <w:rsid w:val="007F0956"/>
    <w:rsid w:val="007F4C62"/>
    <w:rsid w:val="00804756"/>
    <w:rsid w:val="008116C5"/>
    <w:rsid w:val="00836FFE"/>
    <w:rsid w:val="008379EB"/>
    <w:rsid w:val="00846C27"/>
    <w:rsid w:val="00870AE1"/>
    <w:rsid w:val="00877A94"/>
    <w:rsid w:val="008857F1"/>
    <w:rsid w:val="008A6130"/>
    <w:rsid w:val="008B350E"/>
    <w:rsid w:val="008C2228"/>
    <w:rsid w:val="008D72C9"/>
    <w:rsid w:val="008E750D"/>
    <w:rsid w:val="00914741"/>
    <w:rsid w:val="00917B49"/>
    <w:rsid w:val="009276CD"/>
    <w:rsid w:val="0095038D"/>
    <w:rsid w:val="009661FD"/>
    <w:rsid w:val="00976637"/>
    <w:rsid w:val="0098373B"/>
    <w:rsid w:val="009A2EDC"/>
    <w:rsid w:val="009A6786"/>
    <w:rsid w:val="009B1910"/>
    <w:rsid w:val="009B4EFF"/>
    <w:rsid w:val="009C2830"/>
    <w:rsid w:val="009C6E7E"/>
    <w:rsid w:val="009F40CC"/>
    <w:rsid w:val="009F5A83"/>
    <w:rsid w:val="00A070D4"/>
    <w:rsid w:val="00A146A0"/>
    <w:rsid w:val="00A167AC"/>
    <w:rsid w:val="00A23A3E"/>
    <w:rsid w:val="00A5475C"/>
    <w:rsid w:val="00A5478A"/>
    <w:rsid w:val="00A67677"/>
    <w:rsid w:val="00A71EFF"/>
    <w:rsid w:val="00AA1CAC"/>
    <w:rsid w:val="00AA27F7"/>
    <w:rsid w:val="00AA719E"/>
    <w:rsid w:val="00AC6161"/>
    <w:rsid w:val="00AE3B01"/>
    <w:rsid w:val="00AE6E38"/>
    <w:rsid w:val="00B053AB"/>
    <w:rsid w:val="00B21A37"/>
    <w:rsid w:val="00B2278D"/>
    <w:rsid w:val="00B24E23"/>
    <w:rsid w:val="00B343A8"/>
    <w:rsid w:val="00B5012A"/>
    <w:rsid w:val="00B55D4E"/>
    <w:rsid w:val="00B567A6"/>
    <w:rsid w:val="00B65E54"/>
    <w:rsid w:val="00B7541C"/>
    <w:rsid w:val="00B949D1"/>
    <w:rsid w:val="00BA4102"/>
    <w:rsid w:val="00BB44FF"/>
    <w:rsid w:val="00BC0651"/>
    <w:rsid w:val="00BC35B6"/>
    <w:rsid w:val="00BD5761"/>
    <w:rsid w:val="00BE0AB2"/>
    <w:rsid w:val="00BF1D56"/>
    <w:rsid w:val="00BF3F0A"/>
    <w:rsid w:val="00BF4F22"/>
    <w:rsid w:val="00C02510"/>
    <w:rsid w:val="00C0796A"/>
    <w:rsid w:val="00C16DCB"/>
    <w:rsid w:val="00C21E49"/>
    <w:rsid w:val="00C31E7B"/>
    <w:rsid w:val="00C364CB"/>
    <w:rsid w:val="00C408D2"/>
    <w:rsid w:val="00C45535"/>
    <w:rsid w:val="00C518F9"/>
    <w:rsid w:val="00C61A86"/>
    <w:rsid w:val="00C8358A"/>
    <w:rsid w:val="00C837A0"/>
    <w:rsid w:val="00C90D42"/>
    <w:rsid w:val="00C924CE"/>
    <w:rsid w:val="00CC4BE7"/>
    <w:rsid w:val="00CD05B9"/>
    <w:rsid w:val="00CD73BC"/>
    <w:rsid w:val="00CE199D"/>
    <w:rsid w:val="00CF75A5"/>
    <w:rsid w:val="00D23E3A"/>
    <w:rsid w:val="00D376C4"/>
    <w:rsid w:val="00D42B03"/>
    <w:rsid w:val="00D7159D"/>
    <w:rsid w:val="00D90ED8"/>
    <w:rsid w:val="00D97152"/>
    <w:rsid w:val="00DA7289"/>
    <w:rsid w:val="00DD0188"/>
    <w:rsid w:val="00DE0306"/>
    <w:rsid w:val="00DE56A4"/>
    <w:rsid w:val="00E06460"/>
    <w:rsid w:val="00E12092"/>
    <w:rsid w:val="00E20388"/>
    <w:rsid w:val="00E20929"/>
    <w:rsid w:val="00E26635"/>
    <w:rsid w:val="00E30B82"/>
    <w:rsid w:val="00E3162C"/>
    <w:rsid w:val="00E62541"/>
    <w:rsid w:val="00E6630F"/>
    <w:rsid w:val="00E833AA"/>
    <w:rsid w:val="00E84638"/>
    <w:rsid w:val="00E879B9"/>
    <w:rsid w:val="00E93618"/>
    <w:rsid w:val="00EA3FCE"/>
    <w:rsid w:val="00EB00DE"/>
    <w:rsid w:val="00EB3179"/>
    <w:rsid w:val="00ED3906"/>
    <w:rsid w:val="00EE5AEE"/>
    <w:rsid w:val="00EE5B62"/>
    <w:rsid w:val="00EF64D1"/>
    <w:rsid w:val="00F101AB"/>
    <w:rsid w:val="00F2069E"/>
    <w:rsid w:val="00F4685A"/>
    <w:rsid w:val="00F64542"/>
    <w:rsid w:val="00F746ED"/>
    <w:rsid w:val="00F7656C"/>
    <w:rsid w:val="00F873F4"/>
    <w:rsid w:val="00F9280D"/>
    <w:rsid w:val="00F93995"/>
    <w:rsid w:val="00FE1710"/>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BF4F2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236093"/>
    <w:pPr>
      <w:numPr>
        <w:numId w:val="0"/>
      </w:numPr>
    </w:pPr>
  </w:style>
  <w:style w:type="character" w:customStyle="1" w:styleId="Heading1nonumberChar">
    <w:name w:val="Heading 1 (no number) Char"/>
    <w:basedOn w:val="Heading1Char"/>
    <w:link w:val="Heading1nonumber"/>
    <w:rsid w:val="00236093"/>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Revision">
    <w:name w:val="Revision"/>
    <w:hidden/>
    <w:uiPriority w:val="99"/>
    <w:semiHidden/>
    <w:rsid w:val="008116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arliament.act.gov.au/parliamentary-business/in-committees"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__data/assets/pdf_file/0009/1980873/Resolution-of-establishment-for-the-committee.pdf" TargetMode="Externa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coronerscourt.qld.gov.au/dfvdrab/annual-reports-and-government-responses" TargetMode="External"/><Relationship Id="rId2" Type="http://schemas.openxmlformats.org/officeDocument/2006/relationships/hyperlink" Target="https://www.courts.act.gov.au/magistrates/law-and-practice/family-violence-and-protection-orders/personal-protection-and-workplace-orders" TargetMode="External"/><Relationship Id="rId1" Type="http://schemas.openxmlformats.org/officeDocument/2006/relationships/hyperlink" Target="https://www.courts.act.gov.au/magistrates/law-and-practice/family-violence-and-protection-orde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0B011D" w:rsidP="000B011D">
          <w:pPr>
            <w:pStyle w:val="8905C70B835B4AB69E525AF2146B972C"/>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B275689C2E134EE189045C25F1199BA2"/>
        <w:category>
          <w:name w:val="General"/>
          <w:gallery w:val="placeholder"/>
        </w:category>
        <w:types>
          <w:type w:val="bbPlcHdr"/>
        </w:types>
        <w:behaviors>
          <w:behavior w:val="content"/>
        </w:behaviors>
        <w:guid w:val="{41A4F215-497E-4457-B228-B20B1F67B1C2}"/>
      </w:docPartPr>
      <w:docPartBody>
        <w:p w:rsidR="000B011D" w:rsidRDefault="000B011D" w:rsidP="000B011D">
          <w:pPr>
            <w:pStyle w:val="B275689C2E134EE189045C25F1199BA2"/>
          </w:pPr>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B011D"/>
    <w:rsid w:val="00243739"/>
    <w:rsid w:val="002565F5"/>
    <w:rsid w:val="002C1D8E"/>
    <w:rsid w:val="00303006"/>
    <w:rsid w:val="00465034"/>
    <w:rsid w:val="005922CE"/>
    <w:rsid w:val="00970294"/>
    <w:rsid w:val="009F5F77"/>
    <w:rsid w:val="00A643AF"/>
    <w:rsid w:val="00BC5886"/>
    <w:rsid w:val="00E75710"/>
    <w:rsid w:val="00E9479A"/>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011D"/>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
    <w:name w:val="8905C70B835B4AB69E525AF2146B972C"/>
    <w:rsid w:val="000B011D"/>
    <w:pPr>
      <w:tabs>
        <w:tab w:val="center" w:pos="4513"/>
        <w:tab w:val="right" w:pos="9026"/>
      </w:tabs>
      <w:spacing w:after="0" w:line="240" w:lineRule="auto"/>
    </w:pPr>
    <w:rPr>
      <w:rFonts w:eastAsiaTheme="minorHAnsi"/>
      <w:lang w:eastAsia="en-US"/>
    </w:rPr>
  </w:style>
  <w:style w:type="paragraph" w:customStyle="1" w:styleId="B275689C2E134EE189045C25F1199BA2">
    <w:name w:val="B275689C2E134EE189045C25F1199BA2"/>
    <w:rsid w:val="000B011D"/>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3325</Words>
  <Characters>18957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22238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Sharma, Satyenx</cp:lastModifiedBy>
  <cp:revision>2</cp:revision>
  <cp:lastPrinted>2024-03-13T02:48:00Z</cp:lastPrinted>
  <dcterms:created xsi:type="dcterms:W3CDTF">2024-03-13T04:57:00Z</dcterms:created>
  <dcterms:modified xsi:type="dcterms:W3CDTF">2024-03-13T04:57:00Z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