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37CD13F6" w:rsidR="00C02510" w:rsidRPr="00C8358A" w:rsidRDefault="00C02510" w:rsidP="00C8358A">
      <w:pPr>
        <w:pStyle w:val="Cover-Committeename"/>
        <w:ind w:left="1701"/>
      </w:pPr>
      <w:bookmarkStart w:id="0" w:name="_Toc79133346"/>
      <w:r w:rsidRPr="00C8358A">
        <w:t xml:space="preserve">Standing Committee on </w:t>
      </w:r>
      <w:r w:rsidR="00925A3D">
        <w:t>Justice and Community Safety</w:t>
      </w:r>
    </w:p>
    <w:p w14:paraId="6F1D36AD" w14:textId="26B16CDA" w:rsidR="0075417C" w:rsidRDefault="00C02510" w:rsidP="0075417C">
      <w:pPr>
        <w:pStyle w:val="Title"/>
        <w:ind w:right="-46"/>
      </w:pPr>
      <w:r w:rsidRPr="00C8358A">
        <w:t>Inquiry into the</w:t>
      </w:r>
      <w:r w:rsidR="0075417C">
        <w:t xml:space="preserve"> </w:t>
      </w:r>
      <w:r w:rsidR="008042C1">
        <w:t>Crimes Legislation Amendment Bill 2023</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F5A83">
      <w:pPr>
        <w:pStyle w:val="Heading1nonumber"/>
      </w:pPr>
      <w:bookmarkStart w:id="1" w:name="_Toc156389680"/>
      <w:r>
        <w:t>About the</w:t>
      </w:r>
      <w:r w:rsidR="00A23A3E">
        <w:t xml:space="preserve"> committee</w:t>
      </w:r>
      <w:bookmarkEnd w:id="1"/>
    </w:p>
    <w:p w14:paraId="5F0FD841" w14:textId="4E43C4A1" w:rsidR="00123781" w:rsidRDefault="00D23E3A" w:rsidP="00D90ED8">
      <w:pPr>
        <w:pStyle w:val="Heading2"/>
      </w:pPr>
      <w:bookmarkStart w:id="2" w:name="_Toc156389681"/>
      <w:r>
        <w:t>Establishing resolution</w:t>
      </w:r>
      <w:bookmarkEnd w:id="2"/>
    </w:p>
    <w:p w14:paraId="4324EC34" w14:textId="77777777" w:rsidR="00925A3D" w:rsidRDefault="00925A3D" w:rsidP="00925A3D">
      <w:r>
        <w:t xml:space="preserve">The Assembly established the </w:t>
      </w:r>
      <w:fldSimple w:instr=" STYLEREF  &quot;Cover - Committee name&quot;  \* MERGEFORMAT ">
        <w:r>
          <w:rPr>
            <w:noProof/>
          </w:rPr>
          <w:t>Standing Committee on Justice and Community Safety</w:t>
        </w:r>
      </w:fldSimple>
      <w:r>
        <w:t xml:space="preserve"> on 2 December 2020. </w:t>
      </w:r>
    </w:p>
    <w:p w14:paraId="7A864D8B" w14:textId="77777777" w:rsidR="00925A3D" w:rsidRDefault="00925A3D" w:rsidP="00925A3D">
      <w:pPr>
        <w:spacing w:after="120"/>
      </w:pPr>
      <w:r>
        <w:t>The Committee is responsible for the following areas:</w:t>
      </w:r>
    </w:p>
    <w:p w14:paraId="6F4BA6A1" w14:textId="77777777" w:rsidR="00925A3D" w:rsidRDefault="00925A3D" w:rsidP="00A44392">
      <w:pPr>
        <w:sectPr w:rsidR="00925A3D" w:rsidSect="009F5A83">
          <w:footerReference w:type="default" r:id="rId15"/>
          <w:pgSz w:w="11906" w:h="16838"/>
          <w:pgMar w:top="1440" w:right="1440" w:bottom="1440" w:left="1440" w:header="708" w:footer="708" w:gutter="0"/>
          <w:pgNumType w:fmt="lowerRoman" w:start="1"/>
          <w:cols w:space="708"/>
          <w:docGrid w:linePitch="360"/>
        </w:sectPr>
      </w:pPr>
    </w:p>
    <w:p w14:paraId="0ECE746A" w14:textId="77777777" w:rsidR="00925A3D" w:rsidRDefault="00925A3D" w:rsidP="00925A3D">
      <w:pPr>
        <w:pStyle w:val="ListParagraph"/>
        <w:numPr>
          <w:ilvl w:val="0"/>
          <w:numId w:val="14"/>
        </w:numPr>
      </w:pPr>
      <w:r>
        <w:t>ACT Electoral Commission</w:t>
      </w:r>
    </w:p>
    <w:p w14:paraId="2154AE39" w14:textId="77777777" w:rsidR="00925A3D" w:rsidRDefault="00925A3D" w:rsidP="00925A3D">
      <w:pPr>
        <w:pStyle w:val="ListParagraph"/>
        <w:numPr>
          <w:ilvl w:val="0"/>
          <w:numId w:val="14"/>
        </w:numPr>
      </w:pPr>
      <w:r>
        <w:t>ACT Integrity Commission</w:t>
      </w:r>
    </w:p>
    <w:p w14:paraId="48AC9587" w14:textId="77777777" w:rsidR="00925A3D" w:rsidRDefault="00925A3D" w:rsidP="00925A3D">
      <w:pPr>
        <w:pStyle w:val="ListParagraph"/>
        <w:numPr>
          <w:ilvl w:val="0"/>
          <w:numId w:val="14"/>
        </w:numPr>
      </w:pPr>
      <w:r>
        <w:t>Gaming</w:t>
      </w:r>
    </w:p>
    <w:p w14:paraId="1FF12733" w14:textId="77777777" w:rsidR="00925A3D" w:rsidRDefault="00925A3D" w:rsidP="00925A3D">
      <w:pPr>
        <w:pStyle w:val="ListParagraph"/>
        <w:numPr>
          <w:ilvl w:val="0"/>
          <w:numId w:val="14"/>
        </w:numPr>
      </w:pPr>
      <w:r>
        <w:t>Minister of State (JACS reporting areas)</w:t>
      </w:r>
    </w:p>
    <w:p w14:paraId="01798A20" w14:textId="77777777" w:rsidR="00925A3D" w:rsidRDefault="00925A3D" w:rsidP="00925A3D">
      <w:pPr>
        <w:pStyle w:val="ListParagraph"/>
        <w:numPr>
          <w:ilvl w:val="0"/>
          <w:numId w:val="14"/>
        </w:numPr>
      </w:pPr>
      <w:r>
        <w:t>Emergency management and the Emergency Services Agency</w:t>
      </w:r>
    </w:p>
    <w:p w14:paraId="2EB4A2C0" w14:textId="77777777" w:rsidR="00925A3D" w:rsidRDefault="00925A3D" w:rsidP="00925A3D">
      <w:pPr>
        <w:pStyle w:val="ListParagraph"/>
        <w:numPr>
          <w:ilvl w:val="0"/>
          <w:numId w:val="14"/>
        </w:numPr>
      </w:pPr>
      <w:r>
        <w:t>Policing and ACT Policing</w:t>
      </w:r>
    </w:p>
    <w:p w14:paraId="1A7706AA" w14:textId="568EC35C" w:rsidR="00925A3D" w:rsidRDefault="00925A3D" w:rsidP="00925A3D">
      <w:pPr>
        <w:pStyle w:val="ListParagraph"/>
        <w:numPr>
          <w:ilvl w:val="0"/>
          <w:numId w:val="14"/>
        </w:numPr>
      </w:pPr>
      <w:r>
        <w:t>ACT Ombudsman</w:t>
      </w:r>
    </w:p>
    <w:p w14:paraId="0B0A6163" w14:textId="77777777" w:rsidR="00925A3D" w:rsidRDefault="00925A3D" w:rsidP="00925A3D">
      <w:pPr>
        <w:pStyle w:val="ListParagraph"/>
        <w:numPr>
          <w:ilvl w:val="0"/>
          <w:numId w:val="14"/>
        </w:numPr>
      </w:pPr>
      <w:r>
        <w:t>Corrective services</w:t>
      </w:r>
    </w:p>
    <w:p w14:paraId="2846D1C2" w14:textId="77777777" w:rsidR="00925A3D" w:rsidRDefault="00925A3D" w:rsidP="00925A3D">
      <w:pPr>
        <w:pStyle w:val="ListParagraph"/>
        <w:numPr>
          <w:ilvl w:val="0"/>
          <w:numId w:val="14"/>
        </w:numPr>
      </w:pPr>
      <w:r>
        <w:t>Attorney-General</w:t>
      </w:r>
    </w:p>
    <w:p w14:paraId="3FE9BB32" w14:textId="77777777" w:rsidR="00925A3D" w:rsidRDefault="00925A3D" w:rsidP="00925A3D">
      <w:pPr>
        <w:pStyle w:val="ListParagraph"/>
        <w:numPr>
          <w:ilvl w:val="0"/>
          <w:numId w:val="14"/>
        </w:numPr>
      </w:pPr>
      <w:r>
        <w:t>Consumer affairs</w:t>
      </w:r>
    </w:p>
    <w:p w14:paraId="04BF3E17" w14:textId="77777777" w:rsidR="00925A3D" w:rsidRDefault="00925A3D" w:rsidP="00925A3D">
      <w:pPr>
        <w:pStyle w:val="ListParagraph"/>
        <w:numPr>
          <w:ilvl w:val="0"/>
          <w:numId w:val="14"/>
        </w:numPr>
      </w:pPr>
      <w:r>
        <w:t>Human rights</w:t>
      </w:r>
    </w:p>
    <w:p w14:paraId="37BDB26D" w14:textId="77777777" w:rsidR="00925A3D" w:rsidRDefault="00925A3D" w:rsidP="00925A3D">
      <w:pPr>
        <w:pStyle w:val="ListParagraph"/>
        <w:numPr>
          <w:ilvl w:val="0"/>
          <w:numId w:val="14"/>
        </w:numPr>
      </w:pPr>
      <w:r>
        <w:t>Victims of crime</w:t>
      </w:r>
    </w:p>
    <w:p w14:paraId="0372D0AD" w14:textId="77777777" w:rsidR="00925A3D" w:rsidRDefault="00925A3D" w:rsidP="00925A3D">
      <w:pPr>
        <w:pStyle w:val="ListParagraph"/>
        <w:numPr>
          <w:ilvl w:val="0"/>
          <w:numId w:val="14"/>
        </w:numPr>
      </w:pPr>
      <w:r>
        <w:t>Access to justice and restorative practice</w:t>
      </w:r>
    </w:p>
    <w:p w14:paraId="6B62A5FE" w14:textId="77777777" w:rsidR="00925A3D" w:rsidRDefault="00925A3D" w:rsidP="00925A3D">
      <w:pPr>
        <w:pStyle w:val="ListParagraph"/>
        <w:numPr>
          <w:ilvl w:val="0"/>
          <w:numId w:val="14"/>
        </w:numPr>
      </w:pPr>
      <w:r>
        <w:t>Public Trustee and Guardian</w:t>
      </w:r>
    </w:p>
    <w:p w14:paraId="0D59D8B7" w14:textId="4CF86A4F" w:rsidR="00925A3D" w:rsidRDefault="00925A3D" w:rsidP="00925A3D">
      <w:pPr>
        <w:sectPr w:rsidR="00925A3D" w:rsidSect="00925A3D">
          <w:type w:val="continuous"/>
          <w:pgSz w:w="11906" w:h="16838"/>
          <w:pgMar w:top="1440" w:right="1440" w:bottom="1440" w:left="1440" w:header="708" w:footer="708" w:gutter="0"/>
          <w:pgNumType w:fmt="lowerRoman" w:start="1"/>
          <w:cols w:num="2" w:space="708"/>
          <w:docGrid w:linePitch="360"/>
        </w:sectPr>
      </w:pPr>
    </w:p>
    <w:p w14:paraId="7D047D85" w14:textId="77777777" w:rsidR="00925A3D" w:rsidRDefault="00925A3D" w:rsidP="00925A3D">
      <w:pPr>
        <w:spacing w:before="120"/>
      </w:pPr>
      <w:r>
        <w:t>You can read the full establishing resolution</w:t>
      </w:r>
      <w:hyperlink r:id="rId16" w:history="1">
        <w:r w:rsidRPr="00633A66">
          <w:t xml:space="preserve"> </w:t>
        </w:r>
        <w:r w:rsidRPr="00633A66">
          <w:rPr>
            <w:rStyle w:val="Hyperlink"/>
          </w:rPr>
          <w:t>on our website</w:t>
        </w:r>
        <w:r w:rsidRPr="006718E3">
          <w:rPr>
            <w:rStyle w:val="Hyperlink"/>
          </w:rPr>
          <w:t>.</w:t>
        </w:r>
      </w:hyperlink>
    </w:p>
    <w:p w14:paraId="6C8ECD5C" w14:textId="283BCC1C" w:rsidR="00925A3D" w:rsidRDefault="00925A3D" w:rsidP="00925A3D">
      <w:pPr>
        <w:pStyle w:val="Heading2"/>
      </w:pPr>
      <w:bookmarkStart w:id="3" w:name="_Toc156389682"/>
      <w:r>
        <w:t>Committee members</w:t>
      </w:r>
      <w:bookmarkEnd w:id="3"/>
    </w:p>
    <w:p w14:paraId="2D27E3AF" w14:textId="77777777" w:rsidR="00A44392" w:rsidRDefault="00A44392" w:rsidP="00A44392">
      <w:pPr>
        <w:pStyle w:val="List"/>
      </w:pPr>
      <w:r>
        <w:t>Mr Peter Cain MLA, Chair</w:t>
      </w:r>
    </w:p>
    <w:p w14:paraId="6E568AEF" w14:textId="77777777" w:rsidR="00A44392" w:rsidRDefault="00A44392" w:rsidP="00A44392">
      <w:pPr>
        <w:pStyle w:val="List"/>
      </w:pPr>
      <w:r>
        <w:t>Dr Marisa Paterson MLA, Deputy Chair</w:t>
      </w:r>
    </w:p>
    <w:p w14:paraId="091CF547" w14:textId="77777777" w:rsidR="00A44392" w:rsidRDefault="00A44392" w:rsidP="00A44392">
      <w:pPr>
        <w:pStyle w:val="List"/>
      </w:pPr>
      <w:r>
        <w:t xml:space="preserve">Mr Andrew Braddock MLA </w:t>
      </w:r>
    </w:p>
    <w:p w14:paraId="78D0C9D5" w14:textId="77777777" w:rsidR="00A44392" w:rsidRDefault="00A44392" w:rsidP="00A44392">
      <w:pPr>
        <w:pStyle w:val="Heading2"/>
      </w:pPr>
      <w:bookmarkStart w:id="4" w:name="_Toc156389683"/>
      <w:r>
        <w:t>Secretariat</w:t>
      </w:r>
      <w:bookmarkEnd w:id="4"/>
    </w:p>
    <w:p w14:paraId="567F8359" w14:textId="14DCD318" w:rsidR="00A44392" w:rsidRPr="00A23A3E" w:rsidRDefault="00A44392" w:rsidP="00A44392">
      <w:pPr>
        <w:pStyle w:val="List"/>
      </w:pPr>
      <w:r>
        <w:t>Ms Kathleen de Kleuver</w:t>
      </w:r>
      <w:r w:rsidRPr="00A23A3E">
        <w:t>, Committee Secretary</w:t>
      </w:r>
      <w:r>
        <w:t xml:space="preserve"> </w:t>
      </w:r>
    </w:p>
    <w:p w14:paraId="74DED614" w14:textId="21BDCB91" w:rsidR="00A44392" w:rsidRPr="00A23A3E" w:rsidRDefault="00A44392" w:rsidP="00A44392">
      <w:pPr>
        <w:pStyle w:val="List"/>
      </w:pPr>
      <w:r>
        <w:t>Ms Alicia Coupland, Assistant Secretary</w:t>
      </w:r>
    </w:p>
    <w:p w14:paraId="23C7BAEC" w14:textId="720821E8" w:rsidR="00A44392" w:rsidRDefault="00A44392" w:rsidP="00A44392">
      <w:pPr>
        <w:pStyle w:val="List"/>
      </w:pPr>
      <w:r>
        <w:t>Mr Peter Materne, Assistant Secretary (until 2</w:t>
      </w:r>
      <w:r w:rsidR="00F4504E">
        <w:t>3</w:t>
      </w:r>
      <w:r>
        <w:t xml:space="preserve"> November 2023)</w:t>
      </w:r>
    </w:p>
    <w:p w14:paraId="450C784C" w14:textId="4CF06A0B" w:rsidR="00A44392" w:rsidRPr="00A23A3E" w:rsidRDefault="00A44392" w:rsidP="00A44392">
      <w:pPr>
        <w:pStyle w:val="List"/>
      </w:pPr>
      <w:r>
        <w:t>Ms Erin Dinneen, Assistant Secretary</w:t>
      </w:r>
    </w:p>
    <w:p w14:paraId="48C86F5A" w14:textId="1403AE6F" w:rsidR="00A44392" w:rsidRDefault="00A44392" w:rsidP="00A44392">
      <w:pPr>
        <w:pStyle w:val="List"/>
      </w:pPr>
      <w:r>
        <w:t>Mr Satyen Sharma,</w:t>
      </w:r>
      <w:r w:rsidRPr="00A23A3E">
        <w:t xml:space="preserve"> Administrative </w:t>
      </w:r>
      <w:r>
        <w:t>Officer</w:t>
      </w:r>
    </w:p>
    <w:p w14:paraId="6311B77C" w14:textId="77777777" w:rsidR="00A44392" w:rsidRDefault="00A44392" w:rsidP="00A44392">
      <w:pPr>
        <w:pStyle w:val="Heading2"/>
      </w:pPr>
      <w:bookmarkStart w:id="5" w:name="_Toc156389684"/>
      <w:r>
        <w:t>Contact us</w:t>
      </w:r>
      <w:bookmarkEnd w:id="5"/>
    </w:p>
    <w:p w14:paraId="39B90C5B" w14:textId="16621147" w:rsidR="00A44392" w:rsidRDefault="00A44392" w:rsidP="00A44392">
      <w:pPr>
        <w:ind w:left="1134" w:hanging="1134"/>
      </w:pPr>
      <w:r>
        <w:rPr>
          <w:b/>
          <w:bCs/>
        </w:rPr>
        <w:t>Mail</w:t>
      </w:r>
      <w:r>
        <w:tab/>
      </w:r>
      <w:fldSimple w:instr=" STYLEREF  &quot;Cover - Committee name&quot;  \* MERGEFORMAT ">
        <w:r>
          <w:rPr>
            <w:noProof/>
          </w:rPr>
          <w:t>Standing Committee on Justice and Community Safety</w:t>
        </w:r>
      </w:fldSimple>
      <w:r>
        <w:br/>
        <w:t>Legislative Assembly for the Australian Capital Territory</w:t>
      </w:r>
      <w:r>
        <w:br/>
        <w:t>GPO Box 1020</w:t>
      </w:r>
      <w:r>
        <w:br/>
        <w:t>CANBERRA ACT 2601</w:t>
      </w:r>
    </w:p>
    <w:p w14:paraId="0B1BBFA6" w14:textId="179E523F" w:rsidR="00A44392" w:rsidRDefault="00A44392" w:rsidP="00A44392">
      <w:pPr>
        <w:ind w:left="1134" w:hanging="1134"/>
      </w:pPr>
      <w:r>
        <w:rPr>
          <w:b/>
          <w:bCs/>
        </w:rPr>
        <w:t>Phone</w:t>
      </w:r>
      <w:r>
        <w:rPr>
          <w:b/>
          <w:bCs/>
        </w:rPr>
        <w:tab/>
      </w:r>
      <w:r>
        <w:t xml:space="preserve">(02) </w:t>
      </w:r>
      <w:r w:rsidRPr="008E750D">
        <w:t>620</w:t>
      </w:r>
      <w:r>
        <w:t>7 0524</w:t>
      </w:r>
    </w:p>
    <w:p w14:paraId="42940CCF" w14:textId="608EFD23" w:rsidR="00A44392" w:rsidRDefault="00A44392" w:rsidP="00A44392">
      <w:pPr>
        <w:ind w:left="1134" w:hanging="1134"/>
      </w:pPr>
      <w:r>
        <w:rPr>
          <w:b/>
          <w:bCs/>
        </w:rPr>
        <w:t>Email</w:t>
      </w:r>
      <w:r>
        <w:tab/>
        <w:t>LACommitteeJCS@parliament.act.gov.au</w:t>
      </w:r>
    </w:p>
    <w:p w14:paraId="70357D76" w14:textId="412F937F" w:rsidR="00A44392" w:rsidRPr="00925A3D" w:rsidRDefault="00A44392" w:rsidP="00A44392">
      <w:pPr>
        <w:spacing w:line="259" w:lineRule="auto"/>
        <w:ind w:left="1134" w:hanging="1134"/>
        <w:sectPr w:rsidR="00A44392" w:rsidRPr="00925A3D" w:rsidSect="00925A3D">
          <w:type w:val="continuous"/>
          <w:pgSz w:w="11906" w:h="16838"/>
          <w:pgMar w:top="1440" w:right="1440" w:bottom="1440" w:left="1440" w:header="708" w:footer="708" w:gutter="0"/>
          <w:pgNumType w:fmt="lowerRoman" w:start="1"/>
          <w:cols w:space="708"/>
          <w:docGrid w:linePitch="360"/>
        </w:sectPr>
      </w:pPr>
      <w:r>
        <w:rPr>
          <w:b/>
          <w:bCs/>
        </w:rPr>
        <w:t>Website</w:t>
      </w:r>
      <w:r>
        <w:rPr>
          <w:b/>
          <w:bCs/>
        </w:rPr>
        <w:tab/>
      </w:r>
      <w:hyperlink r:id="rId17" w:history="1">
        <w:r w:rsidRPr="001D22FC">
          <w:rPr>
            <w:rStyle w:val="Hyperlink"/>
          </w:rPr>
          <w:t>parliament.act.gov.au/parliamentary-business/in-committees</w:t>
        </w:r>
      </w:hyperlink>
    </w:p>
    <w:p w14:paraId="4DCCDF3E" w14:textId="4C31ED97" w:rsidR="00ED3906" w:rsidRDefault="006718E3" w:rsidP="00B013BD">
      <w:pPr>
        <w:pStyle w:val="Heading1nonumber"/>
      </w:pPr>
      <w:bookmarkStart w:id="6" w:name="_Toc156389685"/>
      <w:r>
        <w:t>About this inquiry</w:t>
      </w:r>
      <w:bookmarkEnd w:id="6"/>
    </w:p>
    <w:p w14:paraId="7B2E3922" w14:textId="59A6C476" w:rsidR="00D23E3A" w:rsidRDefault="00D23E3A" w:rsidP="00D23E3A">
      <w:r>
        <w:br/>
      </w:r>
      <w:r w:rsidR="00A835BF">
        <w:t>The Crimes Legislation Amendment Bill 2023</w:t>
      </w:r>
      <w:r>
        <w:t xml:space="preserve"> was presented in the Assembly </w:t>
      </w:r>
      <w:r w:rsidR="00A835BF">
        <w:t>on 26 October 2023.</w:t>
      </w:r>
      <w:r>
        <w:t xml:space="preserve"> It was</w:t>
      </w:r>
      <w:r w:rsidR="004508F1">
        <w:t xml:space="preserve"> then</w:t>
      </w:r>
      <w:r>
        <w:t xml:space="preserve"> referred to the </w:t>
      </w:r>
      <w:fldSimple w:instr=" STYLEREF  &quot;Cover - Committee name&quot;  \* MERGEFORMAT ">
        <w:r>
          <w:rPr>
            <w:noProof/>
          </w:rPr>
          <w:t xml:space="preserve">Standing Committee on </w:t>
        </w:r>
        <w:r w:rsidR="00A835BF">
          <w:rPr>
            <w:noProof/>
          </w:rPr>
          <w:t>Justice and Community Safety</w:t>
        </w:r>
      </w:fldSimple>
      <w:r>
        <w:t xml:space="preserve"> as required by clause 5 of the establishing resolution. </w:t>
      </w:r>
    </w:p>
    <w:p w14:paraId="11FC46F1" w14:textId="4267FC0F" w:rsidR="00D23E3A" w:rsidRDefault="00D23E3A" w:rsidP="00D23E3A">
      <w:r>
        <w:t xml:space="preserve">The committee decided to inquire into the </w:t>
      </w:r>
      <w:r w:rsidR="006954AE">
        <w:t>B</w:t>
      </w:r>
      <w:r>
        <w:t xml:space="preserve">ill </w:t>
      </w:r>
      <w:r w:rsidR="00A835BF">
        <w:t>on 8 November 2023.</w:t>
      </w:r>
      <w:r w:rsidR="00410C4F">
        <w:t xml:space="preserve"> </w:t>
      </w:r>
      <w:r w:rsidR="00410C4F" w:rsidRPr="00410C4F">
        <w:t xml:space="preserve">On 28 November 2023 the Assembly agreed to </w:t>
      </w:r>
      <w:r w:rsidR="008848E5">
        <w:t xml:space="preserve">a </w:t>
      </w:r>
      <w:r w:rsidR="00410C4F" w:rsidRPr="00410C4F">
        <w:t xml:space="preserve">motion allowing the Committee to report on this inquiry </w:t>
      </w:r>
      <w:r w:rsidR="006954AE">
        <w:t>by</w:t>
      </w:r>
      <w:r w:rsidR="00410C4F" w:rsidRPr="00410C4F">
        <w:t xml:space="preserve"> 14 March 202</w:t>
      </w:r>
      <w:r w:rsidR="008848E5">
        <w:t>4</w:t>
      </w:r>
      <w:r w:rsidR="00410C4F" w:rsidRPr="00410C4F">
        <w:t xml:space="preserve">.  </w:t>
      </w:r>
    </w:p>
    <w:p w14:paraId="69B9A2DD" w14:textId="27015F6E" w:rsidR="00623507" w:rsidRDefault="004508F1" w:rsidP="00B013BD">
      <w:r w:rsidRPr="007C371D">
        <w:rPr>
          <w:color w:val="FFFFFF" w:themeColor="background1"/>
          <w:highlight w:val="darkBlue"/>
        </w:rPr>
        <w:t xml:space="preserve"> </w:t>
      </w:r>
      <w:r w:rsidR="00623507">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54C8E13B" w14:textId="013F259A" w:rsidR="00C31701" w:rsidRDefault="008A6130">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"1-3" \h \z \u </w:instrText>
          </w:r>
          <w:r>
            <w:fldChar w:fldCharType="separate"/>
          </w:r>
          <w:hyperlink w:anchor="_Toc156389680" w:history="1">
            <w:r w:rsidR="00C31701" w:rsidRPr="00BF0E9A">
              <w:rPr>
                <w:rStyle w:val="Hyperlink"/>
              </w:rPr>
              <w:t>About the committee</w:t>
            </w:r>
            <w:r w:rsidR="00C31701">
              <w:rPr>
                <w:webHidden/>
              </w:rPr>
              <w:tab/>
            </w:r>
            <w:r w:rsidR="00C31701">
              <w:rPr>
                <w:webHidden/>
              </w:rPr>
              <w:fldChar w:fldCharType="begin"/>
            </w:r>
            <w:r w:rsidR="00C31701">
              <w:rPr>
                <w:webHidden/>
              </w:rPr>
              <w:instrText xml:space="preserve"> PAGEREF _Toc156389680 \h </w:instrText>
            </w:r>
            <w:r w:rsidR="00C31701">
              <w:rPr>
                <w:webHidden/>
              </w:rPr>
            </w:r>
            <w:r w:rsidR="00C31701">
              <w:rPr>
                <w:webHidden/>
              </w:rPr>
              <w:fldChar w:fldCharType="separate"/>
            </w:r>
            <w:r w:rsidR="00C31701">
              <w:rPr>
                <w:webHidden/>
              </w:rPr>
              <w:t>i</w:t>
            </w:r>
            <w:r w:rsidR="00C31701">
              <w:rPr>
                <w:webHidden/>
              </w:rPr>
              <w:fldChar w:fldCharType="end"/>
            </w:r>
          </w:hyperlink>
        </w:p>
        <w:p w14:paraId="39758A99" w14:textId="29E1E853" w:rsidR="00C31701" w:rsidRDefault="00A37EC3" w:rsidP="006954AE">
          <w:pPr>
            <w:pStyle w:val="TOC2"/>
            <w:rPr>
              <w:rFonts w:eastAsiaTheme="minorEastAsia"/>
              <w:kern w:val="2"/>
              <w:lang w:eastAsia="en-AU"/>
              <w14:ligatures w14:val="standardContextual"/>
            </w:rPr>
          </w:pPr>
          <w:hyperlink w:anchor="_Toc156389681" w:history="1">
            <w:r w:rsidR="00C31701" w:rsidRPr="00BF0E9A">
              <w:rPr>
                <w:rStyle w:val="Hyperlink"/>
              </w:rPr>
              <w:t>Establishing resolution</w:t>
            </w:r>
            <w:r w:rsidR="00C31701">
              <w:rPr>
                <w:webHidden/>
              </w:rPr>
              <w:tab/>
            </w:r>
            <w:r w:rsidR="00C31701">
              <w:rPr>
                <w:webHidden/>
              </w:rPr>
              <w:fldChar w:fldCharType="begin"/>
            </w:r>
            <w:r w:rsidR="00C31701">
              <w:rPr>
                <w:webHidden/>
              </w:rPr>
              <w:instrText xml:space="preserve"> PAGEREF _Toc156389681 \h </w:instrText>
            </w:r>
            <w:r w:rsidR="00C31701">
              <w:rPr>
                <w:webHidden/>
              </w:rPr>
            </w:r>
            <w:r w:rsidR="00C31701">
              <w:rPr>
                <w:webHidden/>
              </w:rPr>
              <w:fldChar w:fldCharType="separate"/>
            </w:r>
            <w:r w:rsidR="00C31701">
              <w:rPr>
                <w:webHidden/>
              </w:rPr>
              <w:t>i</w:t>
            </w:r>
            <w:r w:rsidR="00C31701">
              <w:rPr>
                <w:webHidden/>
              </w:rPr>
              <w:fldChar w:fldCharType="end"/>
            </w:r>
          </w:hyperlink>
        </w:p>
        <w:p w14:paraId="6D52D437" w14:textId="0B92A0BD" w:rsidR="00C31701" w:rsidRDefault="00A37EC3" w:rsidP="006954AE">
          <w:pPr>
            <w:pStyle w:val="TOC2"/>
            <w:rPr>
              <w:rFonts w:eastAsiaTheme="minorEastAsia"/>
              <w:kern w:val="2"/>
              <w:lang w:eastAsia="en-AU"/>
              <w14:ligatures w14:val="standardContextual"/>
            </w:rPr>
          </w:pPr>
          <w:hyperlink w:anchor="_Toc156389682" w:history="1">
            <w:r w:rsidR="00C31701" w:rsidRPr="00BF0E9A">
              <w:rPr>
                <w:rStyle w:val="Hyperlink"/>
              </w:rPr>
              <w:t>Committee members</w:t>
            </w:r>
            <w:r w:rsidR="00C31701">
              <w:rPr>
                <w:webHidden/>
              </w:rPr>
              <w:tab/>
            </w:r>
            <w:r w:rsidR="00C31701">
              <w:rPr>
                <w:webHidden/>
              </w:rPr>
              <w:fldChar w:fldCharType="begin"/>
            </w:r>
            <w:r w:rsidR="00C31701">
              <w:rPr>
                <w:webHidden/>
              </w:rPr>
              <w:instrText xml:space="preserve"> PAGEREF _Toc156389682 \h </w:instrText>
            </w:r>
            <w:r w:rsidR="00C31701">
              <w:rPr>
                <w:webHidden/>
              </w:rPr>
            </w:r>
            <w:r w:rsidR="00C31701">
              <w:rPr>
                <w:webHidden/>
              </w:rPr>
              <w:fldChar w:fldCharType="separate"/>
            </w:r>
            <w:r w:rsidR="00C31701">
              <w:rPr>
                <w:webHidden/>
              </w:rPr>
              <w:t>i</w:t>
            </w:r>
            <w:r w:rsidR="00C31701">
              <w:rPr>
                <w:webHidden/>
              </w:rPr>
              <w:fldChar w:fldCharType="end"/>
            </w:r>
          </w:hyperlink>
        </w:p>
        <w:p w14:paraId="1DA42A82" w14:textId="7A4AD561" w:rsidR="00C31701" w:rsidRDefault="00A37EC3" w:rsidP="006954AE">
          <w:pPr>
            <w:pStyle w:val="TOC2"/>
            <w:rPr>
              <w:rFonts w:eastAsiaTheme="minorEastAsia"/>
              <w:kern w:val="2"/>
              <w:lang w:eastAsia="en-AU"/>
              <w14:ligatures w14:val="standardContextual"/>
            </w:rPr>
          </w:pPr>
          <w:hyperlink w:anchor="_Toc156389683" w:history="1">
            <w:r w:rsidR="00C31701" w:rsidRPr="00BF0E9A">
              <w:rPr>
                <w:rStyle w:val="Hyperlink"/>
              </w:rPr>
              <w:t>Secretariat</w:t>
            </w:r>
            <w:r w:rsidR="00C31701">
              <w:rPr>
                <w:webHidden/>
              </w:rPr>
              <w:tab/>
            </w:r>
            <w:r w:rsidR="00C31701">
              <w:rPr>
                <w:webHidden/>
              </w:rPr>
              <w:fldChar w:fldCharType="begin"/>
            </w:r>
            <w:r w:rsidR="00C31701">
              <w:rPr>
                <w:webHidden/>
              </w:rPr>
              <w:instrText xml:space="preserve"> PAGEREF _Toc156389683 \h </w:instrText>
            </w:r>
            <w:r w:rsidR="00C31701">
              <w:rPr>
                <w:webHidden/>
              </w:rPr>
            </w:r>
            <w:r w:rsidR="00C31701">
              <w:rPr>
                <w:webHidden/>
              </w:rPr>
              <w:fldChar w:fldCharType="separate"/>
            </w:r>
            <w:r w:rsidR="00C31701">
              <w:rPr>
                <w:webHidden/>
              </w:rPr>
              <w:t>i</w:t>
            </w:r>
            <w:r w:rsidR="00C31701">
              <w:rPr>
                <w:webHidden/>
              </w:rPr>
              <w:fldChar w:fldCharType="end"/>
            </w:r>
          </w:hyperlink>
        </w:p>
        <w:p w14:paraId="3DFF7FB0" w14:textId="7908F770" w:rsidR="00C31701" w:rsidRDefault="00A37EC3" w:rsidP="006954AE">
          <w:pPr>
            <w:pStyle w:val="TOC2"/>
            <w:rPr>
              <w:rFonts w:eastAsiaTheme="minorEastAsia"/>
              <w:kern w:val="2"/>
              <w:lang w:eastAsia="en-AU"/>
              <w14:ligatures w14:val="standardContextual"/>
            </w:rPr>
          </w:pPr>
          <w:hyperlink w:anchor="_Toc156389684" w:history="1">
            <w:r w:rsidR="00C31701" w:rsidRPr="00BF0E9A">
              <w:rPr>
                <w:rStyle w:val="Hyperlink"/>
              </w:rPr>
              <w:t>Contact us</w:t>
            </w:r>
            <w:r w:rsidR="00C31701">
              <w:rPr>
                <w:webHidden/>
              </w:rPr>
              <w:tab/>
            </w:r>
            <w:r w:rsidR="00C31701">
              <w:rPr>
                <w:webHidden/>
              </w:rPr>
              <w:fldChar w:fldCharType="begin"/>
            </w:r>
            <w:r w:rsidR="00C31701">
              <w:rPr>
                <w:webHidden/>
              </w:rPr>
              <w:instrText xml:space="preserve"> PAGEREF _Toc156389684 \h </w:instrText>
            </w:r>
            <w:r w:rsidR="00C31701">
              <w:rPr>
                <w:webHidden/>
              </w:rPr>
            </w:r>
            <w:r w:rsidR="00C31701">
              <w:rPr>
                <w:webHidden/>
              </w:rPr>
              <w:fldChar w:fldCharType="separate"/>
            </w:r>
            <w:r w:rsidR="00C31701">
              <w:rPr>
                <w:webHidden/>
              </w:rPr>
              <w:t>i</w:t>
            </w:r>
            <w:r w:rsidR="00C31701">
              <w:rPr>
                <w:webHidden/>
              </w:rPr>
              <w:fldChar w:fldCharType="end"/>
            </w:r>
          </w:hyperlink>
        </w:p>
        <w:p w14:paraId="0DD26133" w14:textId="2A221949" w:rsidR="00C31701" w:rsidRDefault="00A37EC3">
          <w:pPr>
            <w:pStyle w:val="TOC1"/>
            <w:rPr>
              <w:rFonts w:asciiTheme="minorHAnsi" w:eastAsiaTheme="minorEastAsia" w:hAnsiTheme="minorHAnsi"/>
              <w:b w:val="0"/>
              <w:bCs w:val="0"/>
              <w:color w:val="auto"/>
              <w:w w:val="100"/>
              <w:kern w:val="2"/>
              <w:sz w:val="22"/>
              <w:lang w:eastAsia="en-AU"/>
              <w14:ligatures w14:val="standardContextual"/>
            </w:rPr>
          </w:pPr>
          <w:hyperlink w:anchor="_Toc156389685" w:history="1">
            <w:r w:rsidR="00C31701" w:rsidRPr="00BF0E9A">
              <w:rPr>
                <w:rStyle w:val="Hyperlink"/>
              </w:rPr>
              <w:t>About this inquiry</w:t>
            </w:r>
            <w:r w:rsidR="00C31701">
              <w:rPr>
                <w:webHidden/>
              </w:rPr>
              <w:tab/>
            </w:r>
            <w:r w:rsidR="00C31701">
              <w:rPr>
                <w:webHidden/>
              </w:rPr>
              <w:fldChar w:fldCharType="begin"/>
            </w:r>
            <w:r w:rsidR="00C31701">
              <w:rPr>
                <w:webHidden/>
              </w:rPr>
              <w:instrText xml:space="preserve"> PAGEREF _Toc156389685 \h </w:instrText>
            </w:r>
            <w:r w:rsidR="00C31701">
              <w:rPr>
                <w:webHidden/>
              </w:rPr>
            </w:r>
            <w:r w:rsidR="00C31701">
              <w:rPr>
                <w:webHidden/>
              </w:rPr>
              <w:fldChar w:fldCharType="separate"/>
            </w:r>
            <w:r w:rsidR="00C31701">
              <w:rPr>
                <w:webHidden/>
              </w:rPr>
              <w:t>i</w:t>
            </w:r>
            <w:r w:rsidR="00C31701">
              <w:rPr>
                <w:webHidden/>
              </w:rPr>
              <w:fldChar w:fldCharType="end"/>
            </w:r>
          </w:hyperlink>
        </w:p>
        <w:p w14:paraId="5AE7A855" w14:textId="78557FDF" w:rsidR="00C31701" w:rsidRDefault="00A37EC3">
          <w:pPr>
            <w:pStyle w:val="TOC1"/>
            <w:rPr>
              <w:rFonts w:asciiTheme="minorHAnsi" w:eastAsiaTheme="minorEastAsia" w:hAnsiTheme="minorHAnsi"/>
              <w:b w:val="0"/>
              <w:bCs w:val="0"/>
              <w:color w:val="auto"/>
              <w:w w:val="100"/>
              <w:kern w:val="2"/>
              <w:sz w:val="22"/>
              <w:lang w:eastAsia="en-AU"/>
              <w14:ligatures w14:val="standardContextual"/>
            </w:rPr>
          </w:pPr>
          <w:hyperlink w:anchor="_Toc156389686" w:history="1">
            <w:r w:rsidR="00C31701" w:rsidRPr="00BF0E9A">
              <w:rPr>
                <w:rStyle w:val="Hyperlink"/>
              </w:rPr>
              <w:t>Acronyms</w:t>
            </w:r>
            <w:r w:rsidR="00C31701">
              <w:rPr>
                <w:webHidden/>
              </w:rPr>
              <w:tab/>
            </w:r>
            <w:r w:rsidR="00C31701">
              <w:rPr>
                <w:webHidden/>
              </w:rPr>
              <w:fldChar w:fldCharType="begin"/>
            </w:r>
            <w:r w:rsidR="00C31701">
              <w:rPr>
                <w:webHidden/>
              </w:rPr>
              <w:instrText xml:space="preserve"> PAGEREF _Toc156389686 \h </w:instrText>
            </w:r>
            <w:r w:rsidR="00C31701">
              <w:rPr>
                <w:webHidden/>
              </w:rPr>
            </w:r>
            <w:r w:rsidR="00C31701">
              <w:rPr>
                <w:webHidden/>
              </w:rPr>
              <w:fldChar w:fldCharType="separate"/>
            </w:r>
            <w:r w:rsidR="00C31701">
              <w:rPr>
                <w:webHidden/>
              </w:rPr>
              <w:t>iii</w:t>
            </w:r>
            <w:r w:rsidR="00C31701">
              <w:rPr>
                <w:webHidden/>
              </w:rPr>
              <w:fldChar w:fldCharType="end"/>
            </w:r>
          </w:hyperlink>
        </w:p>
        <w:p w14:paraId="0431B7AC" w14:textId="1080398A" w:rsidR="00C31701" w:rsidRDefault="00A37EC3">
          <w:pPr>
            <w:pStyle w:val="TOC1"/>
            <w:rPr>
              <w:rFonts w:asciiTheme="minorHAnsi" w:eastAsiaTheme="minorEastAsia" w:hAnsiTheme="minorHAnsi"/>
              <w:b w:val="0"/>
              <w:bCs w:val="0"/>
              <w:color w:val="auto"/>
              <w:w w:val="100"/>
              <w:kern w:val="2"/>
              <w:sz w:val="22"/>
              <w:lang w:eastAsia="en-AU"/>
              <w14:ligatures w14:val="standardContextual"/>
            </w:rPr>
          </w:pPr>
          <w:hyperlink w:anchor="_Toc156389687" w:history="1">
            <w:r w:rsidR="00C31701" w:rsidRPr="00BF0E9A">
              <w:rPr>
                <w:rStyle w:val="Hyperlink"/>
              </w:rPr>
              <w:t>Recommendations</w:t>
            </w:r>
            <w:r w:rsidR="00C31701">
              <w:rPr>
                <w:webHidden/>
              </w:rPr>
              <w:tab/>
            </w:r>
            <w:r w:rsidR="00C31701">
              <w:rPr>
                <w:webHidden/>
              </w:rPr>
              <w:fldChar w:fldCharType="begin"/>
            </w:r>
            <w:r w:rsidR="00C31701">
              <w:rPr>
                <w:webHidden/>
              </w:rPr>
              <w:instrText xml:space="preserve"> PAGEREF _Toc156389687 \h </w:instrText>
            </w:r>
            <w:r w:rsidR="00C31701">
              <w:rPr>
                <w:webHidden/>
              </w:rPr>
            </w:r>
            <w:r w:rsidR="00C31701">
              <w:rPr>
                <w:webHidden/>
              </w:rPr>
              <w:fldChar w:fldCharType="separate"/>
            </w:r>
            <w:r w:rsidR="00C31701">
              <w:rPr>
                <w:webHidden/>
              </w:rPr>
              <w:t>iv</w:t>
            </w:r>
            <w:r w:rsidR="00C31701">
              <w:rPr>
                <w:webHidden/>
              </w:rPr>
              <w:fldChar w:fldCharType="end"/>
            </w:r>
          </w:hyperlink>
        </w:p>
        <w:p w14:paraId="025FFF74" w14:textId="60B3246E" w:rsidR="00C31701" w:rsidRDefault="00A37EC3">
          <w:pPr>
            <w:pStyle w:val="TOC1"/>
            <w:rPr>
              <w:rFonts w:asciiTheme="minorHAnsi" w:eastAsiaTheme="minorEastAsia" w:hAnsiTheme="minorHAnsi"/>
              <w:b w:val="0"/>
              <w:bCs w:val="0"/>
              <w:color w:val="auto"/>
              <w:w w:val="100"/>
              <w:kern w:val="2"/>
              <w:sz w:val="22"/>
              <w:lang w:eastAsia="en-AU"/>
              <w14:ligatures w14:val="standardContextual"/>
            </w:rPr>
          </w:pPr>
          <w:hyperlink w:anchor="_Toc156389688" w:history="1">
            <w:r w:rsidR="00C31701" w:rsidRPr="00BF0E9A">
              <w:rPr>
                <w:rStyle w:val="Hyperlink"/>
              </w:rPr>
              <w:t>1.</w:t>
            </w:r>
            <w:r w:rsidR="00C31701">
              <w:rPr>
                <w:rFonts w:asciiTheme="minorHAnsi" w:eastAsiaTheme="minorEastAsia" w:hAnsiTheme="minorHAnsi"/>
                <w:b w:val="0"/>
                <w:bCs w:val="0"/>
                <w:color w:val="auto"/>
                <w:w w:val="100"/>
                <w:kern w:val="2"/>
                <w:sz w:val="22"/>
                <w:lang w:eastAsia="en-AU"/>
                <w14:ligatures w14:val="standardContextual"/>
              </w:rPr>
              <w:tab/>
            </w:r>
            <w:r w:rsidR="00C31701" w:rsidRPr="00BF0E9A">
              <w:rPr>
                <w:rStyle w:val="Hyperlink"/>
              </w:rPr>
              <w:t>Introduction</w:t>
            </w:r>
            <w:r w:rsidR="00C31701">
              <w:rPr>
                <w:webHidden/>
              </w:rPr>
              <w:tab/>
            </w:r>
            <w:r w:rsidR="00C31701">
              <w:rPr>
                <w:webHidden/>
              </w:rPr>
              <w:fldChar w:fldCharType="begin"/>
            </w:r>
            <w:r w:rsidR="00C31701">
              <w:rPr>
                <w:webHidden/>
              </w:rPr>
              <w:instrText xml:space="preserve"> PAGEREF _Toc156389688 \h </w:instrText>
            </w:r>
            <w:r w:rsidR="00C31701">
              <w:rPr>
                <w:webHidden/>
              </w:rPr>
            </w:r>
            <w:r w:rsidR="00C31701">
              <w:rPr>
                <w:webHidden/>
              </w:rPr>
              <w:fldChar w:fldCharType="separate"/>
            </w:r>
            <w:r w:rsidR="00C31701">
              <w:rPr>
                <w:webHidden/>
              </w:rPr>
              <w:t>1</w:t>
            </w:r>
            <w:r w:rsidR="00C31701">
              <w:rPr>
                <w:webHidden/>
              </w:rPr>
              <w:fldChar w:fldCharType="end"/>
            </w:r>
          </w:hyperlink>
        </w:p>
        <w:p w14:paraId="37D7C0EF" w14:textId="61A7C231" w:rsidR="00C31701" w:rsidRDefault="00A37EC3" w:rsidP="006954AE">
          <w:pPr>
            <w:pStyle w:val="TOC2"/>
            <w:rPr>
              <w:rFonts w:eastAsiaTheme="minorEastAsia"/>
              <w:kern w:val="2"/>
              <w:lang w:eastAsia="en-AU"/>
              <w14:ligatures w14:val="standardContextual"/>
            </w:rPr>
          </w:pPr>
          <w:hyperlink w:anchor="_Toc156389689" w:history="1">
            <w:r w:rsidR="00C31701" w:rsidRPr="00BF0E9A">
              <w:rPr>
                <w:rStyle w:val="Hyperlink"/>
              </w:rPr>
              <w:t>Conduct of the inquiry</w:t>
            </w:r>
            <w:r w:rsidR="00C31701">
              <w:rPr>
                <w:webHidden/>
              </w:rPr>
              <w:tab/>
            </w:r>
            <w:r w:rsidR="00C31701">
              <w:rPr>
                <w:webHidden/>
              </w:rPr>
              <w:fldChar w:fldCharType="begin"/>
            </w:r>
            <w:r w:rsidR="00C31701">
              <w:rPr>
                <w:webHidden/>
              </w:rPr>
              <w:instrText xml:space="preserve"> PAGEREF _Toc156389689 \h </w:instrText>
            </w:r>
            <w:r w:rsidR="00C31701">
              <w:rPr>
                <w:webHidden/>
              </w:rPr>
            </w:r>
            <w:r w:rsidR="00C31701">
              <w:rPr>
                <w:webHidden/>
              </w:rPr>
              <w:fldChar w:fldCharType="separate"/>
            </w:r>
            <w:r w:rsidR="00C31701">
              <w:rPr>
                <w:webHidden/>
              </w:rPr>
              <w:t>1</w:t>
            </w:r>
            <w:r w:rsidR="00C31701">
              <w:rPr>
                <w:webHidden/>
              </w:rPr>
              <w:fldChar w:fldCharType="end"/>
            </w:r>
          </w:hyperlink>
        </w:p>
        <w:p w14:paraId="6B1168B7" w14:textId="78F61B63" w:rsidR="00C31701" w:rsidRDefault="00A37EC3" w:rsidP="006954AE">
          <w:pPr>
            <w:pStyle w:val="TOC2"/>
            <w:rPr>
              <w:rFonts w:eastAsiaTheme="minorEastAsia"/>
              <w:kern w:val="2"/>
              <w:lang w:eastAsia="en-AU"/>
              <w14:ligatures w14:val="standardContextual"/>
            </w:rPr>
          </w:pPr>
          <w:hyperlink w:anchor="_Toc156389690" w:history="1">
            <w:r w:rsidR="00C31701" w:rsidRPr="00BF0E9A">
              <w:rPr>
                <w:rStyle w:val="Hyperlink"/>
              </w:rPr>
              <w:t>Background to the Bill</w:t>
            </w:r>
            <w:r w:rsidR="00C31701">
              <w:rPr>
                <w:webHidden/>
              </w:rPr>
              <w:tab/>
            </w:r>
            <w:r w:rsidR="00C31701">
              <w:rPr>
                <w:webHidden/>
              </w:rPr>
              <w:fldChar w:fldCharType="begin"/>
            </w:r>
            <w:r w:rsidR="00C31701">
              <w:rPr>
                <w:webHidden/>
              </w:rPr>
              <w:instrText xml:space="preserve"> PAGEREF _Toc156389690 \h </w:instrText>
            </w:r>
            <w:r w:rsidR="00C31701">
              <w:rPr>
                <w:webHidden/>
              </w:rPr>
            </w:r>
            <w:r w:rsidR="00C31701">
              <w:rPr>
                <w:webHidden/>
              </w:rPr>
              <w:fldChar w:fldCharType="separate"/>
            </w:r>
            <w:r w:rsidR="00C31701">
              <w:rPr>
                <w:webHidden/>
              </w:rPr>
              <w:t>1</w:t>
            </w:r>
            <w:r w:rsidR="00C31701">
              <w:rPr>
                <w:webHidden/>
              </w:rPr>
              <w:fldChar w:fldCharType="end"/>
            </w:r>
          </w:hyperlink>
        </w:p>
        <w:p w14:paraId="15EB27CC" w14:textId="3C0C1EC5" w:rsidR="00C31701" w:rsidRDefault="00A37EC3">
          <w:pPr>
            <w:pStyle w:val="TOC1"/>
            <w:rPr>
              <w:rFonts w:asciiTheme="minorHAnsi" w:eastAsiaTheme="minorEastAsia" w:hAnsiTheme="minorHAnsi"/>
              <w:b w:val="0"/>
              <w:bCs w:val="0"/>
              <w:color w:val="auto"/>
              <w:w w:val="100"/>
              <w:kern w:val="2"/>
              <w:sz w:val="22"/>
              <w:lang w:eastAsia="en-AU"/>
              <w14:ligatures w14:val="standardContextual"/>
            </w:rPr>
          </w:pPr>
          <w:hyperlink w:anchor="_Toc156389691" w:history="1">
            <w:r w:rsidR="00C31701" w:rsidRPr="00BF0E9A">
              <w:rPr>
                <w:rStyle w:val="Hyperlink"/>
              </w:rPr>
              <w:t>2.</w:t>
            </w:r>
            <w:r w:rsidR="00C31701">
              <w:rPr>
                <w:rFonts w:asciiTheme="minorHAnsi" w:eastAsiaTheme="minorEastAsia" w:hAnsiTheme="minorHAnsi"/>
                <w:b w:val="0"/>
                <w:bCs w:val="0"/>
                <w:color w:val="auto"/>
                <w:w w:val="100"/>
                <w:kern w:val="2"/>
                <w:sz w:val="22"/>
                <w:lang w:eastAsia="en-AU"/>
                <w14:ligatures w14:val="standardContextual"/>
              </w:rPr>
              <w:tab/>
            </w:r>
            <w:r w:rsidR="00C31701" w:rsidRPr="00BF0E9A">
              <w:rPr>
                <w:rStyle w:val="Hyperlink"/>
              </w:rPr>
              <w:t>Legislative Scrutiny</w:t>
            </w:r>
            <w:r w:rsidR="00C31701">
              <w:rPr>
                <w:webHidden/>
              </w:rPr>
              <w:tab/>
            </w:r>
            <w:r w:rsidR="00C31701">
              <w:rPr>
                <w:webHidden/>
              </w:rPr>
              <w:fldChar w:fldCharType="begin"/>
            </w:r>
            <w:r w:rsidR="00C31701">
              <w:rPr>
                <w:webHidden/>
              </w:rPr>
              <w:instrText xml:space="preserve"> PAGEREF _Toc156389691 \h </w:instrText>
            </w:r>
            <w:r w:rsidR="00C31701">
              <w:rPr>
                <w:webHidden/>
              </w:rPr>
            </w:r>
            <w:r w:rsidR="00C31701">
              <w:rPr>
                <w:webHidden/>
              </w:rPr>
              <w:fldChar w:fldCharType="separate"/>
            </w:r>
            <w:r w:rsidR="00C31701">
              <w:rPr>
                <w:webHidden/>
              </w:rPr>
              <w:t>2</w:t>
            </w:r>
            <w:r w:rsidR="00C31701">
              <w:rPr>
                <w:webHidden/>
              </w:rPr>
              <w:fldChar w:fldCharType="end"/>
            </w:r>
          </w:hyperlink>
        </w:p>
        <w:p w14:paraId="79628590" w14:textId="1922FB2D" w:rsidR="00C31701" w:rsidRDefault="00A37EC3">
          <w:pPr>
            <w:pStyle w:val="TOC1"/>
            <w:rPr>
              <w:rFonts w:asciiTheme="minorHAnsi" w:eastAsiaTheme="minorEastAsia" w:hAnsiTheme="minorHAnsi"/>
              <w:b w:val="0"/>
              <w:bCs w:val="0"/>
              <w:color w:val="auto"/>
              <w:w w:val="100"/>
              <w:kern w:val="2"/>
              <w:sz w:val="22"/>
              <w:lang w:eastAsia="en-AU"/>
              <w14:ligatures w14:val="standardContextual"/>
            </w:rPr>
          </w:pPr>
          <w:hyperlink w:anchor="_Toc156389692" w:history="1">
            <w:r w:rsidR="00C31701" w:rsidRPr="00BF0E9A">
              <w:rPr>
                <w:rStyle w:val="Hyperlink"/>
              </w:rPr>
              <w:t>3.</w:t>
            </w:r>
            <w:r w:rsidR="00C31701">
              <w:rPr>
                <w:rFonts w:asciiTheme="minorHAnsi" w:eastAsiaTheme="minorEastAsia" w:hAnsiTheme="minorHAnsi"/>
                <w:b w:val="0"/>
                <w:bCs w:val="0"/>
                <w:color w:val="auto"/>
                <w:w w:val="100"/>
                <w:kern w:val="2"/>
                <w:sz w:val="22"/>
                <w:lang w:eastAsia="en-AU"/>
                <w14:ligatures w14:val="standardContextual"/>
              </w:rPr>
              <w:tab/>
            </w:r>
            <w:r w:rsidR="00C31701" w:rsidRPr="00BF0E9A">
              <w:rPr>
                <w:rStyle w:val="Hyperlink"/>
              </w:rPr>
              <w:t>Issues raised in evidence</w:t>
            </w:r>
            <w:r w:rsidR="00C31701">
              <w:rPr>
                <w:webHidden/>
              </w:rPr>
              <w:tab/>
            </w:r>
            <w:r w:rsidR="00C31701">
              <w:rPr>
                <w:webHidden/>
              </w:rPr>
              <w:fldChar w:fldCharType="begin"/>
            </w:r>
            <w:r w:rsidR="00C31701">
              <w:rPr>
                <w:webHidden/>
              </w:rPr>
              <w:instrText xml:space="preserve"> PAGEREF _Toc156389692 \h </w:instrText>
            </w:r>
            <w:r w:rsidR="00C31701">
              <w:rPr>
                <w:webHidden/>
              </w:rPr>
            </w:r>
            <w:r w:rsidR="00C31701">
              <w:rPr>
                <w:webHidden/>
              </w:rPr>
              <w:fldChar w:fldCharType="separate"/>
            </w:r>
            <w:r w:rsidR="00C31701">
              <w:rPr>
                <w:webHidden/>
              </w:rPr>
              <w:t>3</w:t>
            </w:r>
            <w:r w:rsidR="00C31701">
              <w:rPr>
                <w:webHidden/>
              </w:rPr>
              <w:fldChar w:fldCharType="end"/>
            </w:r>
          </w:hyperlink>
        </w:p>
        <w:p w14:paraId="53AAD7F4" w14:textId="7BAC62DC" w:rsidR="00C31701" w:rsidRDefault="00A37EC3" w:rsidP="006954AE">
          <w:pPr>
            <w:pStyle w:val="TOC2"/>
            <w:rPr>
              <w:rFonts w:eastAsiaTheme="minorEastAsia"/>
              <w:kern w:val="2"/>
              <w:lang w:eastAsia="en-AU"/>
              <w14:ligatures w14:val="standardContextual"/>
            </w:rPr>
          </w:pPr>
          <w:hyperlink w:anchor="_Toc156389693" w:history="1">
            <w:r w:rsidR="00C31701" w:rsidRPr="00BF0E9A">
              <w:rPr>
                <w:rStyle w:val="Hyperlink"/>
              </w:rPr>
              <w:t>Juries Act 1967</w:t>
            </w:r>
            <w:r w:rsidR="00C31701">
              <w:rPr>
                <w:webHidden/>
              </w:rPr>
              <w:tab/>
            </w:r>
            <w:r w:rsidR="00C31701">
              <w:rPr>
                <w:webHidden/>
              </w:rPr>
              <w:fldChar w:fldCharType="begin"/>
            </w:r>
            <w:r w:rsidR="00C31701">
              <w:rPr>
                <w:webHidden/>
              </w:rPr>
              <w:instrText xml:space="preserve"> PAGEREF _Toc156389693 \h </w:instrText>
            </w:r>
            <w:r w:rsidR="00C31701">
              <w:rPr>
                <w:webHidden/>
              </w:rPr>
            </w:r>
            <w:r w:rsidR="00C31701">
              <w:rPr>
                <w:webHidden/>
              </w:rPr>
              <w:fldChar w:fldCharType="separate"/>
            </w:r>
            <w:r w:rsidR="00C31701">
              <w:rPr>
                <w:webHidden/>
              </w:rPr>
              <w:t>3</w:t>
            </w:r>
            <w:r w:rsidR="00C31701">
              <w:rPr>
                <w:webHidden/>
              </w:rPr>
              <w:fldChar w:fldCharType="end"/>
            </w:r>
          </w:hyperlink>
        </w:p>
        <w:p w14:paraId="5C2B822E" w14:textId="5212D8F1" w:rsidR="00C31701" w:rsidRDefault="00A37EC3">
          <w:pPr>
            <w:pStyle w:val="TOC3"/>
            <w:rPr>
              <w:rFonts w:eastAsiaTheme="minorEastAsia"/>
              <w:kern w:val="2"/>
              <w:lang w:eastAsia="en-AU"/>
              <w14:ligatures w14:val="standardContextual"/>
            </w:rPr>
          </w:pPr>
          <w:hyperlink w:anchor="_Toc156389694" w:history="1">
            <w:r w:rsidR="00C31701" w:rsidRPr="00BF0E9A">
              <w:rPr>
                <w:rStyle w:val="Hyperlink"/>
              </w:rPr>
              <w:t xml:space="preserve">Majority verdicts </w:t>
            </w:r>
            <w:r w:rsidR="00C31701">
              <w:rPr>
                <w:webHidden/>
              </w:rPr>
              <w:tab/>
            </w:r>
            <w:r w:rsidR="00C31701">
              <w:rPr>
                <w:webHidden/>
              </w:rPr>
              <w:fldChar w:fldCharType="begin"/>
            </w:r>
            <w:r w:rsidR="00C31701">
              <w:rPr>
                <w:webHidden/>
              </w:rPr>
              <w:instrText xml:space="preserve"> PAGEREF _Toc156389694 \h </w:instrText>
            </w:r>
            <w:r w:rsidR="00C31701">
              <w:rPr>
                <w:webHidden/>
              </w:rPr>
            </w:r>
            <w:r w:rsidR="00C31701">
              <w:rPr>
                <w:webHidden/>
              </w:rPr>
              <w:fldChar w:fldCharType="separate"/>
            </w:r>
            <w:r w:rsidR="00C31701">
              <w:rPr>
                <w:webHidden/>
              </w:rPr>
              <w:t>3</w:t>
            </w:r>
            <w:r w:rsidR="00C31701">
              <w:rPr>
                <w:webHidden/>
              </w:rPr>
              <w:fldChar w:fldCharType="end"/>
            </w:r>
          </w:hyperlink>
        </w:p>
        <w:p w14:paraId="0C2E170D" w14:textId="134BC61C" w:rsidR="00C31701" w:rsidRDefault="00A37EC3">
          <w:pPr>
            <w:pStyle w:val="TOC3"/>
            <w:rPr>
              <w:rFonts w:eastAsiaTheme="minorEastAsia"/>
              <w:kern w:val="2"/>
              <w:lang w:eastAsia="en-AU"/>
              <w14:ligatures w14:val="standardContextual"/>
            </w:rPr>
          </w:pPr>
          <w:hyperlink w:anchor="_Toc156389695" w:history="1">
            <w:r w:rsidR="00C31701" w:rsidRPr="00BF0E9A">
              <w:rPr>
                <w:rStyle w:val="Hyperlink"/>
              </w:rPr>
              <w:t>Improper inquiry by a juror</w:t>
            </w:r>
            <w:r w:rsidR="00C31701">
              <w:rPr>
                <w:webHidden/>
              </w:rPr>
              <w:tab/>
            </w:r>
            <w:r w:rsidR="00C31701">
              <w:rPr>
                <w:webHidden/>
              </w:rPr>
              <w:fldChar w:fldCharType="begin"/>
            </w:r>
            <w:r w:rsidR="00C31701">
              <w:rPr>
                <w:webHidden/>
              </w:rPr>
              <w:instrText xml:space="preserve"> PAGEREF _Toc156389695 \h </w:instrText>
            </w:r>
            <w:r w:rsidR="00C31701">
              <w:rPr>
                <w:webHidden/>
              </w:rPr>
            </w:r>
            <w:r w:rsidR="00C31701">
              <w:rPr>
                <w:webHidden/>
              </w:rPr>
              <w:fldChar w:fldCharType="separate"/>
            </w:r>
            <w:r w:rsidR="00C31701">
              <w:rPr>
                <w:webHidden/>
              </w:rPr>
              <w:t>4</w:t>
            </w:r>
            <w:r w:rsidR="00C31701">
              <w:rPr>
                <w:webHidden/>
              </w:rPr>
              <w:fldChar w:fldCharType="end"/>
            </w:r>
          </w:hyperlink>
        </w:p>
        <w:p w14:paraId="5F36F642" w14:textId="7718A1C3" w:rsidR="00C31701" w:rsidRDefault="00A37EC3" w:rsidP="006954AE">
          <w:pPr>
            <w:pStyle w:val="TOC2"/>
            <w:rPr>
              <w:rFonts w:eastAsiaTheme="minorEastAsia"/>
              <w:kern w:val="2"/>
              <w:lang w:eastAsia="en-AU"/>
              <w14:ligatures w14:val="standardContextual"/>
            </w:rPr>
          </w:pPr>
          <w:hyperlink w:anchor="_Toc156389696" w:history="1">
            <w:r w:rsidR="00C31701" w:rsidRPr="00BF0E9A">
              <w:rPr>
                <w:rStyle w:val="Hyperlink"/>
              </w:rPr>
              <w:t>Crimes (Sentencing) Act 2005</w:t>
            </w:r>
            <w:r w:rsidR="00C31701">
              <w:rPr>
                <w:webHidden/>
              </w:rPr>
              <w:tab/>
            </w:r>
            <w:r w:rsidR="00C31701">
              <w:rPr>
                <w:webHidden/>
              </w:rPr>
              <w:fldChar w:fldCharType="begin"/>
            </w:r>
            <w:r w:rsidR="00C31701">
              <w:rPr>
                <w:webHidden/>
              </w:rPr>
              <w:instrText xml:space="preserve"> PAGEREF _Toc156389696 \h </w:instrText>
            </w:r>
            <w:r w:rsidR="00C31701">
              <w:rPr>
                <w:webHidden/>
              </w:rPr>
            </w:r>
            <w:r w:rsidR="00C31701">
              <w:rPr>
                <w:webHidden/>
              </w:rPr>
              <w:fldChar w:fldCharType="separate"/>
            </w:r>
            <w:r w:rsidR="00C31701">
              <w:rPr>
                <w:webHidden/>
              </w:rPr>
              <w:t>4</w:t>
            </w:r>
            <w:r w:rsidR="00C31701">
              <w:rPr>
                <w:webHidden/>
              </w:rPr>
              <w:fldChar w:fldCharType="end"/>
            </w:r>
          </w:hyperlink>
        </w:p>
        <w:p w14:paraId="5A922614" w14:textId="45768D0F" w:rsidR="00C31701" w:rsidRDefault="00A37EC3">
          <w:pPr>
            <w:pStyle w:val="TOC3"/>
            <w:rPr>
              <w:rFonts w:eastAsiaTheme="minorEastAsia"/>
              <w:kern w:val="2"/>
              <w:lang w:eastAsia="en-AU"/>
              <w14:ligatures w14:val="standardContextual"/>
            </w:rPr>
          </w:pPr>
          <w:hyperlink w:anchor="_Toc156389697" w:history="1">
            <w:r w:rsidR="00C31701" w:rsidRPr="00BF0E9A">
              <w:rPr>
                <w:rStyle w:val="Hyperlink"/>
              </w:rPr>
              <w:t>Non-parole periods for offences committed in custody</w:t>
            </w:r>
            <w:r w:rsidR="00C31701">
              <w:rPr>
                <w:webHidden/>
              </w:rPr>
              <w:tab/>
            </w:r>
            <w:r w:rsidR="00C31701">
              <w:rPr>
                <w:webHidden/>
              </w:rPr>
              <w:fldChar w:fldCharType="begin"/>
            </w:r>
            <w:r w:rsidR="00C31701">
              <w:rPr>
                <w:webHidden/>
              </w:rPr>
              <w:instrText xml:space="preserve"> PAGEREF _Toc156389697 \h </w:instrText>
            </w:r>
            <w:r w:rsidR="00C31701">
              <w:rPr>
                <w:webHidden/>
              </w:rPr>
            </w:r>
            <w:r w:rsidR="00C31701">
              <w:rPr>
                <w:webHidden/>
              </w:rPr>
              <w:fldChar w:fldCharType="separate"/>
            </w:r>
            <w:r w:rsidR="00C31701">
              <w:rPr>
                <w:webHidden/>
              </w:rPr>
              <w:t>4</w:t>
            </w:r>
            <w:r w:rsidR="00C31701">
              <w:rPr>
                <w:webHidden/>
              </w:rPr>
              <w:fldChar w:fldCharType="end"/>
            </w:r>
          </w:hyperlink>
        </w:p>
        <w:p w14:paraId="33CBC0E2" w14:textId="6431A362" w:rsidR="00C31701" w:rsidRDefault="00A37EC3" w:rsidP="006954AE">
          <w:pPr>
            <w:pStyle w:val="TOC2"/>
            <w:rPr>
              <w:rFonts w:eastAsiaTheme="minorEastAsia"/>
              <w:kern w:val="2"/>
              <w:lang w:eastAsia="en-AU"/>
              <w14:ligatures w14:val="standardContextual"/>
            </w:rPr>
          </w:pPr>
          <w:hyperlink w:anchor="_Toc156389698" w:history="1">
            <w:r w:rsidR="00C31701" w:rsidRPr="00BF0E9A">
              <w:rPr>
                <w:rStyle w:val="Hyperlink"/>
              </w:rPr>
              <w:t>Magistrates Act 1930</w:t>
            </w:r>
            <w:r w:rsidR="00C31701">
              <w:rPr>
                <w:webHidden/>
              </w:rPr>
              <w:tab/>
            </w:r>
            <w:r w:rsidR="00C31701">
              <w:rPr>
                <w:webHidden/>
              </w:rPr>
              <w:fldChar w:fldCharType="begin"/>
            </w:r>
            <w:r w:rsidR="00C31701">
              <w:rPr>
                <w:webHidden/>
              </w:rPr>
              <w:instrText xml:space="preserve"> PAGEREF _Toc156389698 \h </w:instrText>
            </w:r>
            <w:r w:rsidR="00C31701">
              <w:rPr>
                <w:webHidden/>
              </w:rPr>
            </w:r>
            <w:r w:rsidR="00C31701">
              <w:rPr>
                <w:webHidden/>
              </w:rPr>
              <w:fldChar w:fldCharType="separate"/>
            </w:r>
            <w:r w:rsidR="00C31701">
              <w:rPr>
                <w:webHidden/>
              </w:rPr>
              <w:t>5</w:t>
            </w:r>
            <w:r w:rsidR="00C31701">
              <w:rPr>
                <w:webHidden/>
              </w:rPr>
              <w:fldChar w:fldCharType="end"/>
            </w:r>
          </w:hyperlink>
        </w:p>
        <w:p w14:paraId="2AB35BFE" w14:textId="3FF6997C" w:rsidR="00C31701" w:rsidRDefault="00A37EC3">
          <w:pPr>
            <w:pStyle w:val="TOC3"/>
            <w:rPr>
              <w:rFonts w:eastAsiaTheme="minorEastAsia"/>
              <w:kern w:val="2"/>
              <w:lang w:eastAsia="en-AU"/>
              <w14:ligatures w14:val="standardContextual"/>
            </w:rPr>
          </w:pPr>
          <w:hyperlink w:anchor="_Toc156389699" w:history="1">
            <w:r w:rsidR="00C31701" w:rsidRPr="00BF0E9A">
              <w:rPr>
                <w:rStyle w:val="Hyperlink"/>
              </w:rPr>
              <w:t>Infringement notice offences</w:t>
            </w:r>
            <w:r w:rsidR="00C31701">
              <w:rPr>
                <w:webHidden/>
              </w:rPr>
              <w:tab/>
            </w:r>
            <w:r w:rsidR="00C31701">
              <w:rPr>
                <w:webHidden/>
              </w:rPr>
              <w:fldChar w:fldCharType="begin"/>
            </w:r>
            <w:r w:rsidR="00C31701">
              <w:rPr>
                <w:webHidden/>
              </w:rPr>
              <w:instrText xml:space="preserve"> PAGEREF _Toc156389699 \h </w:instrText>
            </w:r>
            <w:r w:rsidR="00C31701">
              <w:rPr>
                <w:webHidden/>
              </w:rPr>
            </w:r>
            <w:r w:rsidR="00C31701">
              <w:rPr>
                <w:webHidden/>
              </w:rPr>
              <w:fldChar w:fldCharType="separate"/>
            </w:r>
            <w:r w:rsidR="00C31701">
              <w:rPr>
                <w:webHidden/>
              </w:rPr>
              <w:t>5</w:t>
            </w:r>
            <w:r w:rsidR="00C31701">
              <w:rPr>
                <w:webHidden/>
              </w:rPr>
              <w:fldChar w:fldCharType="end"/>
            </w:r>
          </w:hyperlink>
        </w:p>
        <w:p w14:paraId="3DDCFA76" w14:textId="5B58C854" w:rsidR="00C31701" w:rsidRDefault="00A37EC3">
          <w:pPr>
            <w:pStyle w:val="TOC1"/>
            <w:rPr>
              <w:rFonts w:asciiTheme="minorHAnsi" w:eastAsiaTheme="minorEastAsia" w:hAnsiTheme="minorHAnsi"/>
              <w:b w:val="0"/>
              <w:bCs w:val="0"/>
              <w:color w:val="auto"/>
              <w:w w:val="100"/>
              <w:kern w:val="2"/>
              <w:sz w:val="22"/>
              <w:lang w:eastAsia="en-AU"/>
              <w14:ligatures w14:val="standardContextual"/>
            </w:rPr>
          </w:pPr>
          <w:hyperlink w:anchor="_Toc156389700" w:history="1">
            <w:r w:rsidR="00C31701" w:rsidRPr="00BF0E9A">
              <w:rPr>
                <w:rStyle w:val="Hyperlink"/>
              </w:rPr>
              <w:t>4.</w:t>
            </w:r>
            <w:r w:rsidR="00C31701">
              <w:rPr>
                <w:rFonts w:asciiTheme="minorHAnsi" w:eastAsiaTheme="minorEastAsia" w:hAnsiTheme="minorHAnsi"/>
                <w:b w:val="0"/>
                <w:bCs w:val="0"/>
                <w:color w:val="auto"/>
                <w:w w:val="100"/>
                <w:kern w:val="2"/>
                <w:sz w:val="22"/>
                <w:lang w:eastAsia="en-AU"/>
                <w14:ligatures w14:val="standardContextual"/>
              </w:rPr>
              <w:tab/>
            </w:r>
            <w:r w:rsidR="00C31701" w:rsidRPr="00BF0E9A">
              <w:rPr>
                <w:rStyle w:val="Hyperlink"/>
              </w:rPr>
              <w:t>Conclusion</w:t>
            </w:r>
            <w:r w:rsidR="00C31701">
              <w:rPr>
                <w:webHidden/>
              </w:rPr>
              <w:tab/>
            </w:r>
            <w:r w:rsidR="00C31701">
              <w:rPr>
                <w:webHidden/>
              </w:rPr>
              <w:fldChar w:fldCharType="begin"/>
            </w:r>
            <w:r w:rsidR="00C31701">
              <w:rPr>
                <w:webHidden/>
              </w:rPr>
              <w:instrText xml:space="preserve"> PAGEREF _Toc156389700 \h </w:instrText>
            </w:r>
            <w:r w:rsidR="00C31701">
              <w:rPr>
                <w:webHidden/>
              </w:rPr>
            </w:r>
            <w:r w:rsidR="00C31701">
              <w:rPr>
                <w:webHidden/>
              </w:rPr>
              <w:fldChar w:fldCharType="separate"/>
            </w:r>
            <w:r w:rsidR="00C31701">
              <w:rPr>
                <w:webHidden/>
              </w:rPr>
              <w:t>6</w:t>
            </w:r>
            <w:r w:rsidR="00C31701">
              <w:rPr>
                <w:webHidden/>
              </w:rPr>
              <w:fldChar w:fldCharType="end"/>
            </w:r>
          </w:hyperlink>
        </w:p>
        <w:p w14:paraId="61815CE1" w14:textId="6478EA74" w:rsidR="00C31701" w:rsidRDefault="00A37EC3">
          <w:pPr>
            <w:pStyle w:val="TOC1"/>
            <w:rPr>
              <w:rFonts w:asciiTheme="minorHAnsi" w:eastAsiaTheme="minorEastAsia" w:hAnsiTheme="minorHAnsi"/>
              <w:b w:val="0"/>
              <w:bCs w:val="0"/>
              <w:color w:val="auto"/>
              <w:w w:val="100"/>
              <w:kern w:val="2"/>
              <w:sz w:val="22"/>
              <w:lang w:eastAsia="en-AU"/>
              <w14:ligatures w14:val="standardContextual"/>
            </w:rPr>
          </w:pPr>
          <w:hyperlink w:anchor="_Toc156389701" w:history="1">
            <w:r w:rsidR="00C31701" w:rsidRPr="00BF0E9A">
              <w:rPr>
                <w:rStyle w:val="Hyperlink"/>
              </w:rPr>
              <w:t>Appendix A: Submissions</w:t>
            </w:r>
            <w:r w:rsidR="00C31701">
              <w:rPr>
                <w:webHidden/>
              </w:rPr>
              <w:tab/>
            </w:r>
            <w:r w:rsidR="00C31701">
              <w:rPr>
                <w:webHidden/>
              </w:rPr>
              <w:fldChar w:fldCharType="begin"/>
            </w:r>
            <w:r w:rsidR="00C31701">
              <w:rPr>
                <w:webHidden/>
              </w:rPr>
              <w:instrText xml:space="preserve"> PAGEREF _Toc156389701 \h </w:instrText>
            </w:r>
            <w:r w:rsidR="00C31701">
              <w:rPr>
                <w:webHidden/>
              </w:rPr>
            </w:r>
            <w:r w:rsidR="00C31701">
              <w:rPr>
                <w:webHidden/>
              </w:rPr>
              <w:fldChar w:fldCharType="separate"/>
            </w:r>
            <w:r w:rsidR="00C31701">
              <w:rPr>
                <w:webHidden/>
              </w:rPr>
              <w:t>7</w:t>
            </w:r>
            <w:r w:rsidR="00C31701">
              <w:rPr>
                <w:webHidden/>
              </w:rPr>
              <w:fldChar w:fldCharType="end"/>
            </w:r>
          </w:hyperlink>
        </w:p>
        <w:p w14:paraId="1E1CDF38" w14:textId="3AD4FFAD"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7" w:name="_Toc79133347"/>
      <w:bookmarkStart w:id="8" w:name="_Hlk79475490"/>
      <w:r>
        <w:br w:type="page"/>
      </w:r>
    </w:p>
    <w:p w14:paraId="1F9FD703" w14:textId="6D4FCB90" w:rsidR="0031628A" w:rsidRDefault="0031628A" w:rsidP="0031628A">
      <w:pPr>
        <w:pStyle w:val="Heading1nonumber"/>
      </w:pPr>
      <w:bookmarkStart w:id="9" w:name="_Toc156389686"/>
      <w:r>
        <w:t>Acronyms</w:t>
      </w:r>
      <w:bookmarkEnd w:id="9"/>
      <w:r w:rsidR="006954AE">
        <w:t xml:space="preserve"> and abbreviations</w:t>
      </w:r>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394A1E18" w:rsidR="00727F06" w:rsidRDefault="00727F06" w:rsidP="00727F06">
            <w:pPr>
              <w:pStyle w:val="Tableheading"/>
            </w:pPr>
            <w:r>
              <w:t>Acronym</w:t>
            </w:r>
            <w:r w:rsidR="006954AE">
              <w:t xml:space="preserve"> or abbreviation</w:t>
            </w:r>
          </w:p>
        </w:tc>
        <w:tc>
          <w:tcPr>
            <w:tcW w:w="7183" w:type="dxa"/>
          </w:tcPr>
          <w:p w14:paraId="68C8DDBE" w14:textId="0DF565CC" w:rsidR="00727F06" w:rsidRDefault="00727F06" w:rsidP="00727F06">
            <w:pPr>
              <w:pStyle w:val="Tableheading"/>
            </w:pPr>
            <w:r>
              <w:t>Long form</w:t>
            </w:r>
          </w:p>
        </w:tc>
      </w:tr>
      <w:tr w:rsidR="00112AD1" w14:paraId="7793DFE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49C2103" w14:textId="246246EA" w:rsidR="00112AD1" w:rsidRDefault="00112AD1" w:rsidP="00112AD1">
            <w:pPr>
              <w:pStyle w:val="Tablebody"/>
            </w:pPr>
            <w:r>
              <w:t>ACT</w:t>
            </w:r>
          </w:p>
        </w:tc>
        <w:tc>
          <w:tcPr>
            <w:tcW w:w="7183" w:type="dxa"/>
          </w:tcPr>
          <w:p w14:paraId="44AB3819" w14:textId="694738ED" w:rsidR="00112AD1" w:rsidRDefault="00112AD1" w:rsidP="00112AD1">
            <w:pPr>
              <w:pStyle w:val="Tablebody"/>
            </w:pPr>
            <w:r>
              <w:t>Australian Capital Territory</w:t>
            </w:r>
          </w:p>
        </w:tc>
      </w:tr>
      <w:tr w:rsidR="0052473E" w14:paraId="3A7A744A"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620EE892" w14:textId="22B07BD5" w:rsidR="0052473E" w:rsidRDefault="00DB3F8F" w:rsidP="00112AD1">
            <w:pPr>
              <w:pStyle w:val="Tablebody"/>
            </w:pPr>
            <w:r>
              <w:t xml:space="preserve">AFI </w:t>
            </w:r>
          </w:p>
        </w:tc>
        <w:tc>
          <w:tcPr>
            <w:tcW w:w="7183" w:type="dxa"/>
          </w:tcPr>
          <w:p w14:paraId="70FD24D2" w14:textId="0DDBAE89" w:rsidR="0052473E" w:rsidRDefault="0052473E" w:rsidP="00112AD1">
            <w:pPr>
              <w:pStyle w:val="Tablebody"/>
            </w:pPr>
            <w:r>
              <w:t xml:space="preserve">Advocacy for Inclusion </w:t>
            </w:r>
          </w:p>
        </w:tc>
      </w:tr>
      <w:tr w:rsidR="0052473E" w14:paraId="1197C5ED"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A066203" w14:textId="3C01B7E3" w:rsidR="0052473E" w:rsidRDefault="0052473E" w:rsidP="00112AD1">
            <w:pPr>
              <w:pStyle w:val="Tablebody"/>
            </w:pPr>
            <w:r>
              <w:t>AFPA</w:t>
            </w:r>
          </w:p>
        </w:tc>
        <w:tc>
          <w:tcPr>
            <w:tcW w:w="7183" w:type="dxa"/>
          </w:tcPr>
          <w:p w14:paraId="61EB0E7D" w14:textId="49D6A211" w:rsidR="0052473E" w:rsidRDefault="0052473E" w:rsidP="00112AD1">
            <w:pPr>
              <w:pStyle w:val="Tablebody"/>
            </w:pPr>
            <w:r>
              <w:t xml:space="preserve">Australian Federal Police Association </w:t>
            </w:r>
          </w:p>
        </w:tc>
      </w:tr>
      <w:tr w:rsidR="00112AD1" w14:paraId="2E2DD38C"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735445F" w14:textId="598DC707" w:rsidR="00112AD1" w:rsidRDefault="00C470C7" w:rsidP="00112AD1">
            <w:pPr>
              <w:pStyle w:val="Tablebody"/>
            </w:pPr>
            <w:r>
              <w:t xml:space="preserve">the </w:t>
            </w:r>
            <w:r w:rsidR="00112AD1">
              <w:t>Bill</w:t>
            </w:r>
          </w:p>
        </w:tc>
        <w:tc>
          <w:tcPr>
            <w:tcW w:w="7183" w:type="dxa"/>
          </w:tcPr>
          <w:p w14:paraId="218CB5F9" w14:textId="42263D27" w:rsidR="00112AD1" w:rsidRDefault="00112AD1" w:rsidP="00112AD1">
            <w:pPr>
              <w:pStyle w:val="Tablebody"/>
            </w:pPr>
            <w:r>
              <w:rPr>
                <w:color w:val="auto"/>
              </w:rPr>
              <w:t>Crimes Legislation Amendment Bill 2022</w:t>
            </w:r>
          </w:p>
        </w:tc>
      </w:tr>
      <w:tr w:rsidR="00112AD1" w14:paraId="518D3B98"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7D24BD9" w14:textId="4832BD2F" w:rsidR="00112AD1" w:rsidRDefault="00C470C7" w:rsidP="00112AD1">
            <w:pPr>
              <w:pStyle w:val="Tablebody"/>
            </w:pPr>
            <w:r>
              <w:t xml:space="preserve">the </w:t>
            </w:r>
            <w:r w:rsidR="00112AD1">
              <w:t>Committee</w:t>
            </w:r>
          </w:p>
        </w:tc>
        <w:tc>
          <w:tcPr>
            <w:tcW w:w="7183" w:type="dxa"/>
          </w:tcPr>
          <w:p w14:paraId="69B4A0E4" w14:textId="3F2199EE" w:rsidR="00112AD1" w:rsidRDefault="00112AD1" w:rsidP="00112AD1">
            <w:pPr>
              <w:pStyle w:val="Tablebody"/>
            </w:pPr>
            <w:r>
              <w:t>Standing Committee on Justice and Community Safety</w:t>
            </w:r>
          </w:p>
        </w:tc>
      </w:tr>
      <w:tr w:rsidR="00C470C7" w14:paraId="147CA0F4"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6FD439D" w14:textId="5508D8EE" w:rsidR="00C470C7" w:rsidRDefault="00C470C7" w:rsidP="00112AD1">
            <w:pPr>
              <w:pStyle w:val="Tablebody"/>
            </w:pPr>
            <w:r>
              <w:t>HRA</w:t>
            </w:r>
          </w:p>
        </w:tc>
        <w:tc>
          <w:tcPr>
            <w:tcW w:w="7183" w:type="dxa"/>
          </w:tcPr>
          <w:p w14:paraId="7D17C8BB" w14:textId="79509CFF" w:rsidR="00C470C7" w:rsidRPr="00F966F2" w:rsidRDefault="00C470C7" w:rsidP="00112AD1">
            <w:pPr>
              <w:pStyle w:val="Tablebody"/>
              <w:rPr>
                <w:i/>
                <w:iCs/>
              </w:rPr>
            </w:pPr>
            <w:r w:rsidRPr="00F966F2">
              <w:rPr>
                <w:i/>
                <w:iCs/>
              </w:rPr>
              <w:t xml:space="preserve">Human Rights Act </w:t>
            </w:r>
            <w:r w:rsidR="000623F9" w:rsidRPr="00F966F2">
              <w:rPr>
                <w:i/>
                <w:iCs/>
              </w:rPr>
              <w:t>2004</w:t>
            </w:r>
          </w:p>
        </w:tc>
      </w:tr>
      <w:tr w:rsidR="00F966F2" w14:paraId="41CDFA8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618295D" w14:textId="451159E6" w:rsidR="00F966F2" w:rsidRDefault="00F966F2" w:rsidP="00112AD1">
            <w:pPr>
              <w:pStyle w:val="Tablebody"/>
            </w:pPr>
            <w:r>
              <w:t>MLA</w:t>
            </w:r>
          </w:p>
        </w:tc>
        <w:tc>
          <w:tcPr>
            <w:tcW w:w="7183" w:type="dxa"/>
          </w:tcPr>
          <w:p w14:paraId="07F7A051" w14:textId="6A996DE4" w:rsidR="00F966F2" w:rsidRPr="000623F9" w:rsidRDefault="00F966F2" w:rsidP="00112AD1">
            <w:pPr>
              <w:pStyle w:val="Tablebody"/>
            </w:pPr>
            <w:r>
              <w:t>Member of the Legislative Assembly</w:t>
            </w:r>
          </w:p>
        </w:tc>
      </w:tr>
      <w:tr w:rsidR="00112AD1" w14:paraId="6F7CC435"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B6B8F2C" w14:textId="3FEBD1BB" w:rsidR="00112AD1" w:rsidRDefault="000623F9" w:rsidP="00112AD1">
            <w:pPr>
              <w:pStyle w:val="Tablebody"/>
            </w:pPr>
            <w:r>
              <w:t xml:space="preserve">the </w:t>
            </w:r>
            <w:r w:rsidR="00112AD1">
              <w:t>Scrutiny Committee</w:t>
            </w:r>
          </w:p>
        </w:tc>
        <w:tc>
          <w:tcPr>
            <w:tcW w:w="7183" w:type="dxa"/>
          </w:tcPr>
          <w:p w14:paraId="08603FD0" w14:textId="6F7A47A1" w:rsidR="00112AD1" w:rsidRDefault="00112AD1" w:rsidP="00112AD1">
            <w:pPr>
              <w:pStyle w:val="Tablebody"/>
            </w:pPr>
            <w:r w:rsidRPr="009A20FE">
              <w:t>Standing Committee on Justice and Community Safety (Legislative Scrutiny Role)</w:t>
            </w:r>
          </w:p>
        </w:tc>
      </w:tr>
    </w:tbl>
    <w:p w14:paraId="5CC4E2AD" w14:textId="5BD1EDE2" w:rsidR="0031628A" w:rsidRDefault="0031628A" w:rsidP="0031628A">
      <w:pPr>
        <w:rPr>
          <w:w w:val="90"/>
        </w:rPr>
      </w:pPr>
      <w:r>
        <w:br w:type="page"/>
      </w:r>
    </w:p>
    <w:p w14:paraId="4044F508" w14:textId="6CB782C5" w:rsidR="007A6EB9" w:rsidRDefault="008D72C9" w:rsidP="009F5A83">
      <w:pPr>
        <w:pStyle w:val="Heading1nonumber"/>
      </w:pPr>
      <w:bookmarkStart w:id="10" w:name="_Toc156389687"/>
      <w:r>
        <w:t>R</w:t>
      </w:r>
      <w:r w:rsidR="007A6EB9" w:rsidRPr="0006752F">
        <w:t>ecommendations</w:t>
      </w:r>
      <w:bookmarkEnd w:id="10"/>
    </w:p>
    <w:p w14:paraId="708DDBDE" w14:textId="00CDA747" w:rsidR="0087401B" w:rsidRDefault="006A7A61">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\n \h \z \t "Recommendation heading,1,Recommendation body,2" </w:instrText>
      </w:r>
      <w:r>
        <w:fldChar w:fldCharType="separate"/>
      </w:r>
      <w:hyperlink w:anchor="_Toc153967546" w:history="1">
        <w:r w:rsidR="0087401B" w:rsidRPr="00790001">
          <w:rPr>
            <w:rStyle w:val="Hyperlink"/>
          </w:rPr>
          <w:t>Recommendation 1</w:t>
        </w:r>
      </w:hyperlink>
    </w:p>
    <w:p w14:paraId="0D38C791" w14:textId="77C6282B" w:rsidR="0087401B" w:rsidRDefault="00A37EC3" w:rsidP="006954AE">
      <w:pPr>
        <w:pStyle w:val="TOC2"/>
        <w:rPr>
          <w:rFonts w:eastAsiaTheme="minorEastAsia"/>
          <w:kern w:val="2"/>
          <w:lang w:eastAsia="en-AU"/>
          <w14:ligatures w14:val="standardContextual"/>
        </w:rPr>
      </w:pPr>
      <w:hyperlink w:anchor="_Toc153967547" w:history="1">
        <w:r w:rsidR="0087401B" w:rsidRPr="00790001">
          <w:rPr>
            <w:rStyle w:val="Hyperlink"/>
          </w:rPr>
          <w:t>The Committee recommends that the Assembly pass the Crimes Legislation Amendment Bill 2023.</w:t>
        </w:r>
      </w:hyperlink>
    </w:p>
    <w:p w14:paraId="34234833" w14:textId="564CB927" w:rsidR="00B7541C" w:rsidRDefault="006A7A61" w:rsidP="00B7541C">
      <w:r>
        <w:fldChar w:fldCharType="end"/>
      </w:r>
    </w:p>
    <w:p w14:paraId="344C4F63" w14:textId="5C49D60C" w:rsidR="00B7541C" w:rsidRPr="00B7541C" w:rsidRDefault="00B7541C" w:rsidP="00B7541C">
      <w:pPr>
        <w:sectPr w:rsidR="00B7541C" w:rsidRPr="00B7541C" w:rsidSect="009F5A83">
          <w:footerReference w:type="even" r:id="rId18"/>
          <w:footerReference w:type="default" r:id="rId19"/>
          <w:pgSz w:w="11906" w:h="16838"/>
          <w:pgMar w:top="1440" w:right="1440" w:bottom="1440" w:left="1440" w:header="708" w:footer="708" w:gutter="0"/>
          <w:pgNumType w:fmt="lowerRoman" w:start="1"/>
          <w:cols w:space="708"/>
          <w:docGrid w:linePitch="360"/>
        </w:sectPr>
      </w:pPr>
    </w:p>
    <w:p w14:paraId="3B8F063A" w14:textId="77777777" w:rsidR="00DF34F7" w:rsidRDefault="00DF34F7" w:rsidP="00DF34F7">
      <w:pPr>
        <w:pStyle w:val="Heading1"/>
      </w:pPr>
      <w:bookmarkStart w:id="11" w:name="_Toc156389688"/>
      <w:r>
        <w:t>Introduction</w:t>
      </w:r>
      <w:bookmarkEnd w:id="11"/>
      <w:r>
        <w:t xml:space="preserve"> </w:t>
      </w:r>
    </w:p>
    <w:p w14:paraId="78EEBAA1" w14:textId="77777777" w:rsidR="00DF34F7" w:rsidRPr="00583982" w:rsidRDefault="00DF34F7" w:rsidP="00DF34F7">
      <w:pPr>
        <w:pStyle w:val="Heading2"/>
      </w:pPr>
      <w:bookmarkStart w:id="12" w:name="_Toc156389689"/>
      <w:r>
        <w:t>Conduct of the inquiry</w:t>
      </w:r>
      <w:bookmarkEnd w:id="12"/>
      <w:r>
        <w:t xml:space="preserve"> </w:t>
      </w:r>
    </w:p>
    <w:p w14:paraId="797AB157" w14:textId="3FE6D38F" w:rsidR="00DF34F7" w:rsidRPr="00583982" w:rsidRDefault="00DF34F7" w:rsidP="00DF34F7">
      <w:pPr>
        <w:pStyle w:val="ListNumber2"/>
      </w:pPr>
      <w:r>
        <w:t xml:space="preserve">The Committee received </w:t>
      </w:r>
      <w:r w:rsidR="00306F23">
        <w:t>four</w:t>
      </w:r>
      <w:r>
        <w:t xml:space="preserve"> submissions. These are listed in </w:t>
      </w:r>
      <w:r w:rsidRPr="00583982">
        <w:rPr>
          <w:b/>
          <w:bCs w:val="0"/>
        </w:rPr>
        <w:t xml:space="preserve">Appendix A. </w:t>
      </w:r>
    </w:p>
    <w:p w14:paraId="72F2445F" w14:textId="77777777" w:rsidR="00DF34F7" w:rsidRDefault="00DF34F7" w:rsidP="00DF34F7">
      <w:pPr>
        <w:pStyle w:val="Heading2"/>
      </w:pPr>
      <w:bookmarkStart w:id="13" w:name="_Toc156389690"/>
      <w:r>
        <w:t>Background to the Bill</w:t>
      </w:r>
      <w:bookmarkEnd w:id="13"/>
      <w:r>
        <w:t xml:space="preserve"> </w:t>
      </w:r>
    </w:p>
    <w:p w14:paraId="5335F4C2" w14:textId="3C02059E" w:rsidR="00DF34F7" w:rsidRDefault="00DF34F7" w:rsidP="00DF34F7">
      <w:pPr>
        <w:pStyle w:val="ListNumber2"/>
      </w:pPr>
      <w:r w:rsidRPr="003D0ABA">
        <w:t>The</w:t>
      </w:r>
      <w:r>
        <w:t xml:space="preserve"> Crimes Legislation Amendment</w:t>
      </w:r>
      <w:r w:rsidRPr="003D0ABA">
        <w:t xml:space="preserve"> Bill </w:t>
      </w:r>
      <w:r>
        <w:t xml:space="preserve">2023 (the Bill) has been identified as a Significant Bill. </w:t>
      </w:r>
      <w:r w:rsidRPr="003D0ABA">
        <w:t xml:space="preserve">Significant Bills are bills that have been assessed as likely to have significant engagement of human rights and require more detailed reasoning in relation to </w:t>
      </w:r>
      <w:r w:rsidR="00410C4F">
        <w:t xml:space="preserve">their </w:t>
      </w:r>
      <w:r w:rsidRPr="003D0ABA">
        <w:t>compatibility with the Human Rights Act 2004.</w:t>
      </w:r>
    </w:p>
    <w:bookmarkEnd w:id="7"/>
    <w:p w14:paraId="49CFFC0C" w14:textId="3F44A0C6" w:rsidR="00410C4F" w:rsidRDefault="00410C4F" w:rsidP="00410C4F">
      <w:pPr>
        <w:pStyle w:val="ListNumber2"/>
      </w:pPr>
      <w:r>
        <w:t>The Bill was introduced in the Assembly on 26 October 2023 by Mr Shane Rattenbury</w:t>
      </w:r>
      <w:r w:rsidR="006954AE">
        <w:t xml:space="preserve"> MLA</w:t>
      </w:r>
      <w:r w:rsidR="000E6913">
        <w:t>, Attorney-General</w:t>
      </w:r>
      <w:r>
        <w:t xml:space="preserve">. </w:t>
      </w:r>
      <w:r w:rsidR="00DF34F7">
        <w:t>The Bill is an omnibus bill which amends criminal law legislation</w:t>
      </w:r>
      <w:r>
        <w:t xml:space="preserve">. In his opening statement, Mr Rattenbury stated that the Bill would </w:t>
      </w:r>
      <w:r w:rsidR="000E6913">
        <w:t>‘</w:t>
      </w:r>
      <w:r>
        <w:t>improve the operation of the criminal justice system in the ACT</w:t>
      </w:r>
      <w:r w:rsidR="000E6913">
        <w:t>’</w:t>
      </w:r>
      <w:r>
        <w:t>.</w:t>
      </w:r>
      <w:r>
        <w:rPr>
          <w:rStyle w:val="FootnoteReference"/>
        </w:rPr>
        <w:footnoteReference w:id="1"/>
      </w:r>
      <w:r>
        <w:t xml:space="preserve"> </w:t>
      </w:r>
    </w:p>
    <w:p w14:paraId="0498E363" w14:textId="65C41DED" w:rsidR="00410C4F" w:rsidRDefault="000E6913" w:rsidP="00410C4F">
      <w:pPr>
        <w:pStyle w:val="ListNumber2"/>
      </w:pPr>
      <w:r>
        <w:t>One amendment provide</w:t>
      </w:r>
      <w:r w:rsidR="0038217F">
        <w:t>d</w:t>
      </w:r>
      <w:r>
        <w:t xml:space="preserve"> for in the Bill is the introduction of a criminal offence </w:t>
      </w:r>
      <w:r w:rsidR="00DB5204">
        <w:t>for</w:t>
      </w:r>
      <w:r>
        <w:t xml:space="preserve"> juror misconduct. As noted in Mr Rattenbury’s opening statement, this issue was </w:t>
      </w:r>
      <w:r w:rsidR="0038217F">
        <w:t>identified by</w:t>
      </w:r>
      <w:r>
        <w:t xml:space="preserve"> the Chief Justice as a gap in </w:t>
      </w:r>
      <w:r w:rsidR="00DB5204">
        <w:t xml:space="preserve">the </w:t>
      </w:r>
      <w:r>
        <w:t>current</w:t>
      </w:r>
      <w:r w:rsidR="00DB5204">
        <w:t xml:space="preserve"> ACT</w:t>
      </w:r>
      <w:r>
        <w:t xml:space="preserve"> legal provisions </w:t>
      </w:r>
      <w:r w:rsidR="0038217F">
        <w:t>after</w:t>
      </w:r>
      <w:r w:rsidR="006954AE">
        <w:t xml:space="preserve"> a</w:t>
      </w:r>
      <w:r w:rsidR="0038217F">
        <w:t xml:space="preserve"> </w:t>
      </w:r>
      <w:r>
        <w:t xml:space="preserve">recent </w:t>
      </w:r>
      <w:r w:rsidR="006954AE">
        <w:t xml:space="preserve">instance of </w:t>
      </w:r>
      <w:r>
        <w:t>juror misconduct</w:t>
      </w:r>
      <w:r w:rsidR="0038217F">
        <w:t>.</w:t>
      </w:r>
      <w:r>
        <w:rPr>
          <w:rStyle w:val="FootnoteReference"/>
        </w:rPr>
        <w:footnoteReference w:id="2"/>
      </w:r>
      <w:r>
        <w:t xml:space="preserve"> </w:t>
      </w:r>
      <w:r w:rsidR="0038217F">
        <w:t xml:space="preserve">The introduction of a criminal offence for this behaviour is </w:t>
      </w:r>
      <w:r w:rsidR="006954AE">
        <w:t>intended to</w:t>
      </w:r>
      <w:r w:rsidR="00DB5204">
        <w:t xml:space="preserve"> rectify</w:t>
      </w:r>
      <w:r w:rsidR="0038217F">
        <w:t xml:space="preserve"> this gap</w:t>
      </w:r>
      <w:r w:rsidR="00FA7D5E">
        <w:t xml:space="preserve"> in the legislation</w:t>
      </w:r>
      <w:r w:rsidR="0038217F">
        <w:t xml:space="preserve"> and to impress upon the community the importance of a juror’s obligations.</w:t>
      </w:r>
      <w:r w:rsidR="0038217F">
        <w:rPr>
          <w:rStyle w:val="FootnoteReference"/>
        </w:rPr>
        <w:footnoteReference w:id="3"/>
      </w:r>
      <w:r w:rsidR="0038217F">
        <w:t xml:space="preserve"> </w:t>
      </w:r>
    </w:p>
    <w:p w14:paraId="36787990" w14:textId="42048E03" w:rsidR="008744A1" w:rsidRDefault="00FA7D5E" w:rsidP="001521CA">
      <w:pPr>
        <w:pStyle w:val="ListNumber2"/>
      </w:pPr>
      <w:r>
        <w:t xml:space="preserve">Another significant amendment introduced by the Bill </w:t>
      </w:r>
      <w:r w:rsidR="006954AE">
        <w:t>would allow</w:t>
      </w:r>
      <w:r>
        <w:t xml:space="preserve"> majority verdicts, whereby 11 of</w:t>
      </w:r>
      <w:r w:rsidR="00DB5204">
        <w:t xml:space="preserve"> </w:t>
      </w:r>
      <w:r>
        <w:t xml:space="preserve">12 jurors </w:t>
      </w:r>
      <w:r w:rsidR="006954AE">
        <w:t>could</w:t>
      </w:r>
      <w:r>
        <w:t xml:space="preserve"> agree upon a verdict, rather than all 12. This amendment </w:t>
      </w:r>
      <w:r w:rsidR="00995963">
        <w:t>would</w:t>
      </w:r>
      <w:r>
        <w:t xml:space="preserve"> allow majority verdicts for all territory offences without exception. The intention of this amendment is to reduce the number of hung juries, which </w:t>
      </w:r>
      <w:r w:rsidR="006954AE">
        <w:t>were</w:t>
      </w:r>
      <w:r>
        <w:t xml:space="preserve"> described by Mr Rattenbury as causing delays and ‘increased costs and emotional strain for accused persons, victims and other </w:t>
      </w:r>
      <w:r w:rsidR="008744A1">
        <w:t>witnesses’</w:t>
      </w:r>
      <w:r>
        <w:t>.</w:t>
      </w:r>
      <w:r>
        <w:rPr>
          <w:rStyle w:val="FootnoteReference"/>
        </w:rPr>
        <w:footnoteReference w:id="4"/>
      </w:r>
      <w:r w:rsidR="00DB5204">
        <w:t xml:space="preserve"> T</w:t>
      </w:r>
      <w:r w:rsidR="008744A1">
        <w:t xml:space="preserve">he introduction of majority </w:t>
      </w:r>
      <w:r w:rsidR="0013461A">
        <w:t>verdicts would</w:t>
      </w:r>
      <w:r w:rsidR="006954AE">
        <w:t xml:space="preserve"> </w:t>
      </w:r>
      <w:r w:rsidR="00DB5204">
        <w:t xml:space="preserve">also </w:t>
      </w:r>
      <w:r w:rsidR="008744A1">
        <w:t>bring the ACT in line with other Australian jurisdictions</w:t>
      </w:r>
      <w:r w:rsidR="00DB5204">
        <w:t xml:space="preserve">, which </w:t>
      </w:r>
      <w:r w:rsidR="008744A1">
        <w:t>ha</w:t>
      </w:r>
      <w:r w:rsidR="0013461A">
        <w:t>ve</w:t>
      </w:r>
      <w:r w:rsidR="008744A1">
        <w:t xml:space="preserve"> </w:t>
      </w:r>
      <w:r w:rsidR="00DB5204">
        <w:t xml:space="preserve">all </w:t>
      </w:r>
      <w:r w:rsidR="008744A1">
        <w:t xml:space="preserve">adopted a system </w:t>
      </w:r>
      <w:r w:rsidR="0003521F">
        <w:t>for such</w:t>
      </w:r>
      <w:r w:rsidR="008744A1">
        <w:t xml:space="preserve"> verdicts</w:t>
      </w:r>
      <w:r w:rsidR="0003521F">
        <w:t>.</w:t>
      </w:r>
      <w:r w:rsidR="008744A1">
        <w:rPr>
          <w:rStyle w:val="FootnoteReference"/>
        </w:rPr>
        <w:footnoteReference w:id="5"/>
      </w:r>
      <w:r w:rsidR="008744A1">
        <w:t xml:space="preserve">  </w:t>
      </w:r>
    </w:p>
    <w:p w14:paraId="19140D7A" w14:textId="23329085" w:rsidR="00DF34F7" w:rsidRDefault="0003521F" w:rsidP="00DF34F7">
      <w:pPr>
        <w:pStyle w:val="ListNumber2"/>
      </w:pPr>
      <w:r>
        <w:t xml:space="preserve">According to </w:t>
      </w:r>
      <w:r w:rsidR="0043455E">
        <w:t xml:space="preserve">the </w:t>
      </w:r>
      <w:r w:rsidR="0052473E">
        <w:t>Explanatory Statement and Human Rights Compatibility Statement</w:t>
      </w:r>
      <w:r>
        <w:t>,</w:t>
      </w:r>
      <w:r w:rsidR="0052473E">
        <w:t xml:space="preserve"> the</w:t>
      </w:r>
      <w:r w:rsidR="00812AAD">
        <w:t xml:space="preserve"> </w:t>
      </w:r>
      <w:r>
        <w:t>Bill makes amendments to the following Acts</w:t>
      </w:r>
      <w:r w:rsidR="00DF34F7">
        <w:t xml:space="preserve">:  </w:t>
      </w:r>
    </w:p>
    <w:p w14:paraId="3E4ADC02" w14:textId="7E3E4FD7" w:rsidR="00DF34F7" w:rsidRDefault="00CB7B9A" w:rsidP="00DF34F7">
      <w:pPr>
        <w:pStyle w:val="ListNumber3"/>
      </w:pPr>
      <w:r>
        <w:rPr>
          <w:i/>
          <w:iCs/>
        </w:rPr>
        <w:t>‘</w:t>
      </w:r>
      <w:r w:rsidR="00DF34F7" w:rsidRPr="00DF34F7">
        <w:rPr>
          <w:i/>
          <w:iCs/>
        </w:rPr>
        <w:t>Bail Act 1992</w:t>
      </w:r>
      <w:r w:rsidR="00DF34F7">
        <w:t xml:space="preserve"> to address an anomaly in timeframes in relation to the period for which a bail decision is stayed when an application is made for a review of bail;</w:t>
      </w:r>
    </w:p>
    <w:p w14:paraId="220EECDB" w14:textId="77777777" w:rsidR="00DF34F7" w:rsidRDefault="00DF34F7" w:rsidP="00DF34F7">
      <w:pPr>
        <w:pStyle w:val="ListNumber3"/>
      </w:pPr>
      <w:r w:rsidRPr="00DF34F7">
        <w:rPr>
          <w:i/>
          <w:iCs/>
        </w:rPr>
        <w:t>Confiscation of Criminal Assets Act 2003</w:t>
      </w:r>
      <w:r>
        <w:t xml:space="preserve"> to require a statutory review of the unexplained wealth scheme three years after the 2022 Review;</w:t>
      </w:r>
    </w:p>
    <w:p w14:paraId="403C19E2" w14:textId="77777777" w:rsidR="00DF34F7" w:rsidRDefault="00DF34F7" w:rsidP="00DF34F7">
      <w:pPr>
        <w:pStyle w:val="ListNumber3"/>
      </w:pPr>
      <w:r w:rsidRPr="00DF34F7">
        <w:rPr>
          <w:i/>
          <w:iCs/>
        </w:rPr>
        <w:t>Crimes (Sentencing) Act 2005</w:t>
      </w:r>
      <w:r>
        <w:t xml:space="preserve"> to allow a non-parole period to be set for offences committed in custody.</w:t>
      </w:r>
    </w:p>
    <w:p w14:paraId="301D9A82" w14:textId="77777777" w:rsidR="00DF34F7" w:rsidRDefault="00DF34F7" w:rsidP="00DF34F7">
      <w:pPr>
        <w:pStyle w:val="ListNumber3"/>
      </w:pPr>
      <w:r w:rsidRPr="00DF34F7">
        <w:rPr>
          <w:i/>
          <w:iCs/>
        </w:rPr>
        <w:t>Crimes (Sentencing) Act 2005</w:t>
      </w:r>
      <w:r>
        <w:t xml:space="preserve"> to clarify that the court may impose a fine in addition to, or instead of, any other sentence;</w:t>
      </w:r>
    </w:p>
    <w:p w14:paraId="3A07C1D5" w14:textId="77777777" w:rsidR="00DF34F7" w:rsidRDefault="00DF34F7" w:rsidP="00DF34F7">
      <w:pPr>
        <w:pStyle w:val="ListNumber3"/>
      </w:pPr>
      <w:r w:rsidRPr="00DF34F7">
        <w:rPr>
          <w:i/>
          <w:iCs/>
        </w:rPr>
        <w:t>Crimes Act 1900</w:t>
      </w:r>
      <w:r>
        <w:t xml:space="preserve"> to remove the element requiring the prosecution to prove that damage to property does not exceed $5000 in the minor property damage offence;</w:t>
      </w:r>
    </w:p>
    <w:p w14:paraId="5DE8DC56" w14:textId="77777777" w:rsidR="00DF34F7" w:rsidRDefault="00DF34F7" w:rsidP="00DF34F7">
      <w:pPr>
        <w:pStyle w:val="ListNumber3"/>
      </w:pPr>
      <w:r w:rsidRPr="00DF34F7">
        <w:rPr>
          <w:i/>
          <w:iCs/>
        </w:rPr>
        <w:t>Juries Act 1967</w:t>
      </w:r>
      <w:r>
        <w:t xml:space="preserve"> to introduce an offence for juror misconduct;</w:t>
      </w:r>
    </w:p>
    <w:p w14:paraId="6D6AD809" w14:textId="77777777" w:rsidR="00DF34F7" w:rsidRDefault="00DF34F7" w:rsidP="00DF34F7">
      <w:pPr>
        <w:pStyle w:val="ListNumber3"/>
      </w:pPr>
      <w:r w:rsidRPr="00DF34F7">
        <w:rPr>
          <w:i/>
          <w:iCs/>
        </w:rPr>
        <w:t>Juries Act 1967</w:t>
      </w:r>
      <w:r>
        <w:t xml:space="preserve"> to introduce a model for majority verdicts by juries; and</w:t>
      </w:r>
    </w:p>
    <w:p w14:paraId="7F1176AA" w14:textId="77777777" w:rsidR="00DF34F7" w:rsidRDefault="00DF34F7" w:rsidP="00DF34F7">
      <w:pPr>
        <w:pStyle w:val="ListNumber3"/>
      </w:pPr>
      <w:r w:rsidRPr="00DF34F7">
        <w:rPr>
          <w:i/>
          <w:iCs/>
        </w:rPr>
        <w:t>Magistrates Court Act 1930</w:t>
      </w:r>
      <w:r>
        <w:t xml:space="preserve"> to improve enforceability of infringement notice offences;</w:t>
      </w:r>
    </w:p>
    <w:p w14:paraId="3BA067BF" w14:textId="7FE6B561" w:rsidR="00DF34F7" w:rsidRDefault="00DF34F7" w:rsidP="00DF34F7">
      <w:pPr>
        <w:pStyle w:val="ListNumber3"/>
      </w:pPr>
      <w:r w:rsidRPr="00DF34F7">
        <w:rPr>
          <w:i/>
          <w:iCs/>
        </w:rPr>
        <w:t>Victims of Crime Act 1994</w:t>
      </w:r>
      <w:r>
        <w:t xml:space="preserve"> and C</w:t>
      </w:r>
      <w:r w:rsidRPr="00DF34F7">
        <w:rPr>
          <w:i/>
          <w:iCs/>
        </w:rPr>
        <w:t xml:space="preserve">rimes (Sentencing) Regulation 2006 </w:t>
      </w:r>
      <w:r>
        <w:t>to update relevant references to the new title of Domestic, Family and Sexual Violence Coordinator-General;</w:t>
      </w:r>
      <w:r w:rsidR="00CB7B9A">
        <w:t>’</w:t>
      </w:r>
      <w:r w:rsidR="0013461A" w:rsidRPr="0013461A">
        <w:rPr>
          <w:rStyle w:val="FootnoteReference"/>
        </w:rPr>
        <w:t xml:space="preserve"> </w:t>
      </w:r>
      <w:r w:rsidR="0013461A">
        <w:rPr>
          <w:rStyle w:val="FootnoteReference"/>
        </w:rPr>
        <w:footnoteReference w:id="6"/>
      </w:r>
      <w:r>
        <w:t xml:space="preserve"> </w:t>
      </w:r>
    </w:p>
    <w:p w14:paraId="7EA48E4E" w14:textId="77777777" w:rsidR="00C470C7" w:rsidRDefault="00C470C7" w:rsidP="00C470C7">
      <w:pPr>
        <w:pStyle w:val="ListNumber3"/>
        <w:numPr>
          <w:ilvl w:val="0"/>
          <w:numId w:val="0"/>
        </w:numPr>
        <w:ind w:left="1418"/>
      </w:pPr>
    </w:p>
    <w:p w14:paraId="56040536" w14:textId="77777777" w:rsidR="0003521F" w:rsidRDefault="0003521F">
      <w:pPr>
        <w:spacing w:line="259" w:lineRule="auto"/>
        <w:rPr>
          <w:rFonts w:ascii="Montserrat" w:eastAsiaTheme="majorEastAsia" w:hAnsi="Montserrat" w:cstheme="majorBidi"/>
          <w:b/>
          <w:color w:val="1A234C"/>
          <w:w w:val="90"/>
          <w:kern w:val="2"/>
          <w:sz w:val="36"/>
          <w:szCs w:val="32"/>
        </w:rPr>
      </w:pPr>
      <w:bookmarkStart w:id="14" w:name="_Toc156389691"/>
      <w:r>
        <w:br w:type="page"/>
      </w:r>
    </w:p>
    <w:p w14:paraId="3D13C25C" w14:textId="336F75B9" w:rsidR="00DF34F7" w:rsidRDefault="00653D8D" w:rsidP="00DF34F7">
      <w:pPr>
        <w:pStyle w:val="Heading1"/>
      </w:pPr>
      <w:r>
        <w:t>Legislative Scrutiny</w:t>
      </w:r>
      <w:bookmarkEnd w:id="14"/>
      <w:r>
        <w:t xml:space="preserve"> </w:t>
      </w:r>
    </w:p>
    <w:p w14:paraId="5562187E" w14:textId="534182DE" w:rsidR="00DF34F7" w:rsidRDefault="00653D8D" w:rsidP="00653D8D">
      <w:pPr>
        <w:pStyle w:val="ListNumber2"/>
      </w:pPr>
      <w:r>
        <w:t xml:space="preserve">The Standing Committee on Justice and Community Safety (Legislative Scrutiny Role) (the Scrutiny Committee) considered the Bill in its </w:t>
      </w:r>
      <w:r w:rsidRPr="008D4C91">
        <w:rPr>
          <w:i/>
          <w:iCs/>
        </w:rPr>
        <w:t>Scrutiny Report 3</w:t>
      </w:r>
      <w:r w:rsidR="00042A70" w:rsidRPr="008D4C91">
        <w:rPr>
          <w:i/>
          <w:iCs/>
        </w:rPr>
        <w:t>7</w:t>
      </w:r>
      <w:r>
        <w:t xml:space="preserve"> of 21 November 2023. </w:t>
      </w:r>
    </w:p>
    <w:p w14:paraId="04D3B86B" w14:textId="14BDB342" w:rsidR="00653D8D" w:rsidRDefault="00DF4570" w:rsidP="00B86A4D">
      <w:pPr>
        <w:pStyle w:val="ListNumber2"/>
      </w:pPr>
      <w:r>
        <w:t xml:space="preserve">The report raised a concern regarding the amendment to </w:t>
      </w:r>
      <w:r w:rsidR="00653D8D" w:rsidRPr="00653D8D">
        <w:t xml:space="preserve">the Juries </w:t>
      </w:r>
      <w:r w:rsidR="00653D8D">
        <w:t>Act</w:t>
      </w:r>
      <w:r w:rsidR="00DF4FF0">
        <w:t xml:space="preserve"> </w:t>
      </w:r>
      <w:r w:rsidR="00653D8D">
        <w:t>which would create a</w:t>
      </w:r>
      <w:r>
        <w:t xml:space="preserve"> criminal</w:t>
      </w:r>
      <w:r w:rsidR="00653D8D">
        <w:t xml:space="preserve"> offence of improper inquiry by a juror</w:t>
      </w:r>
      <w:r>
        <w:t xml:space="preserve">. As this amendment </w:t>
      </w:r>
      <w:r w:rsidR="00653D8D">
        <w:t>provid</w:t>
      </w:r>
      <w:r>
        <w:t>es</w:t>
      </w:r>
      <w:r w:rsidR="00653D8D">
        <w:t xml:space="preserve"> for a period of imprisonment</w:t>
      </w:r>
      <w:r>
        <w:t>,</w:t>
      </w:r>
      <w:r w:rsidR="00653D8D">
        <w:t xml:space="preserve"> the Bill may limit the right to liberty in section 18</w:t>
      </w:r>
      <w:r w:rsidR="00DF4FF0">
        <w:t xml:space="preserve"> of the </w:t>
      </w:r>
      <w:r w:rsidR="00DF4FF0" w:rsidRPr="007F17A5">
        <w:rPr>
          <w:i/>
          <w:iCs/>
        </w:rPr>
        <w:t>Human Rights Act</w:t>
      </w:r>
      <w:r w:rsidR="00A624B6" w:rsidRPr="007F17A5">
        <w:rPr>
          <w:i/>
          <w:iCs/>
        </w:rPr>
        <w:t xml:space="preserve"> </w:t>
      </w:r>
      <w:r w:rsidR="007F17A5" w:rsidRPr="007F17A5">
        <w:rPr>
          <w:i/>
          <w:iCs/>
        </w:rPr>
        <w:t>2004</w:t>
      </w:r>
      <w:r w:rsidR="007F17A5">
        <w:t xml:space="preserve"> </w:t>
      </w:r>
      <w:r w:rsidR="00A624B6">
        <w:t>(HRA)</w:t>
      </w:r>
      <w:r w:rsidR="00DF4FF0">
        <w:t xml:space="preserve">. </w:t>
      </w:r>
      <w:r w:rsidR="00592895">
        <w:t xml:space="preserve">The </w:t>
      </w:r>
      <w:r w:rsidR="0003521F">
        <w:t xml:space="preserve">Scrutiny Committee </w:t>
      </w:r>
      <w:r w:rsidR="00BA3644">
        <w:t>suggested</w:t>
      </w:r>
      <w:r w:rsidR="00592895">
        <w:t xml:space="preserve"> that</w:t>
      </w:r>
      <w:r w:rsidR="00341C0C">
        <w:t xml:space="preserve"> by</w:t>
      </w:r>
      <w:r w:rsidR="00592895">
        <w:t xml:space="preserve"> p</w:t>
      </w:r>
      <w:r>
        <w:t xml:space="preserve">lacing the </w:t>
      </w:r>
      <w:r w:rsidR="00653D8D">
        <w:t>evidential burden on the defendant to establish whether the inquiry was authorised by the court</w:t>
      </w:r>
      <w:r w:rsidR="00DF4FF0">
        <w:t xml:space="preserve">, </w:t>
      </w:r>
      <w:r w:rsidR="00653D8D">
        <w:t xml:space="preserve">the Bill </w:t>
      </w:r>
      <w:r>
        <w:t>could</w:t>
      </w:r>
      <w:r w:rsidR="00653D8D">
        <w:t xml:space="preserve"> limit the presumption of innocence protected as a right in criminal proceedings in section 22 of the HRA.</w:t>
      </w:r>
      <w:r w:rsidR="00995963">
        <w:rPr>
          <w:rStyle w:val="FootnoteReference"/>
        </w:rPr>
        <w:footnoteReference w:id="7"/>
      </w:r>
    </w:p>
    <w:p w14:paraId="197DC23A" w14:textId="6A67ABE1" w:rsidR="00A624B6" w:rsidRDefault="00A624B6" w:rsidP="00B86A4D">
      <w:pPr>
        <w:pStyle w:val="ListNumber2"/>
      </w:pPr>
      <w:r>
        <w:t xml:space="preserve">Additionally, the Scrutiny Committee suggested that by providing for a majority, rather than </w:t>
      </w:r>
      <w:r w:rsidR="0003521F">
        <w:t xml:space="preserve">a </w:t>
      </w:r>
      <w:r>
        <w:t>unanimous</w:t>
      </w:r>
      <w:r w:rsidR="0003521F">
        <w:t>,</w:t>
      </w:r>
      <w:r>
        <w:t xml:space="preserve"> verdict, the Bill may limit the right </w:t>
      </w:r>
      <w:r w:rsidRPr="00A624B6">
        <w:t>to fair trial in section 21 of the HRA</w:t>
      </w:r>
      <w:r>
        <w:t>.</w:t>
      </w:r>
      <w:r w:rsidR="00995963">
        <w:rPr>
          <w:rStyle w:val="FootnoteReference"/>
        </w:rPr>
        <w:footnoteReference w:id="8"/>
      </w:r>
      <w:r>
        <w:t xml:space="preserve">  </w:t>
      </w:r>
    </w:p>
    <w:p w14:paraId="1ADAF320" w14:textId="22C60E16" w:rsidR="00CC2195" w:rsidRPr="00DF34F7" w:rsidRDefault="00042A70" w:rsidP="00B86A4D">
      <w:pPr>
        <w:pStyle w:val="ListNumber2"/>
      </w:pPr>
      <w:r>
        <w:t xml:space="preserve">The </w:t>
      </w:r>
      <w:r w:rsidR="00A624B6">
        <w:t xml:space="preserve">Scrutiny </w:t>
      </w:r>
      <w:r>
        <w:t xml:space="preserve">Committee drew this matter to the attention of the Assembly but did not require a response from the Minister. </w:t>
      </w:r>
    </w:p>
    <w:p w14:paraId="6953F475" w14:textId="77777777" w:rsidR="0003521F" w:rsidRDefault="0003521F">
      <w:pPr>
        <w:spacing w:line="259" w:lineRule="auto"/>
        <w:rPr>
          <w:rFonts w:ascii="Montserrat" w:eastAsiaTheme="majorEastAsia" w:hAnsi="Montserrat" w:cstheme="majorBidi"/>
          <w:b/>
          <w:color w:val="1A234C"/>
          <w:w w:val="90"/>
          <w:kern w:val="2"/>
          <w:sz w:val="36"/>
          <w:szCs w:val="32"/>
        </w:rPr>
      </w:pPr>
      <w:bookmarkStart w:id="15" w:name="_Toc156389692"/>
      <w:bookmarkStart w:id="16" w:name="_Hlk79571513"/>
      <w:r>
        <w:br w:type="page"/>
      </w:r>
    </w:p>
    <w:p w14:paraId="67A2C807" w14:textId="6BF9CDAA" w:rsidR="008D72C9" w:rsidRDefault="00E85EFF" w:rsidP="00E85EFF">
      <w:pPr>
        <w:pStyle w:val="Heading1"/>
      </w:pPr>
      <w:r>
        <w:t>Issues raised in evidence</w:t>
      </w:r>
      <w:bookmarkEnd w:id="15"/>
      <w:r>
        <w:t xml:space="preserve"> </w:t>
      </w:r>
    </w:p>
    <w:p w14:paraId="51EFB9F6" w14:textId="77777777" w:rsidR="00BA3644" w:rsidRDefault="00BA3644" w:rsidP="0098074E">
      <w:pPr>
        <w:pStyle w:val="Heading2"/>
        <w:rPr>
          <w:bCs/>
        </w:rPr>
      </w:pPr>
      <w:bookmarkStart w:id="17" w:name="_Toc156389693"/>
      <w:r w:rsidRPr="00BA3644">
        <w:t>Juries Act 1967</w:t>
      </w:r>
      <w:bookmarkEnd w:id="17"/>
    </w:p>
    <w:p w14:paraId="278D0E79" w14:textId="27C83D8A" w:rsidR="00BA3644" w:rsidRDefault="00BA3644" w:rsidP="00BA3644">
      <w:pPr>
        <w:pStyle w:val="Heading3"/>
      </w:pPr>
      <w:bookmarkStart w:id="18" w:name="_Toc156389694"/>
      <w:r>
        <w:t xml:space="preserve">Majority verdicts </w:t>
      </w:r>
      <w:bookmarkEnd w:id="18"/>
    </w:p>
    <w:p w14:paraId="4790E20D" w14:textId="0FA602B7" w:rsidR="000E6366" w:rsidRDefault="000E6366" w:rsidP="00BA3644">
      <w:pPr>
        <w:pStyle w:val="ListNumber2"/>
      </w:pPr>
      <w:r>
        <w:t>Currently in the ACT, jurors are used in cases where a person is accused of a serious crime and the trial is being heard in the Supreme Court. A jury is made</w:t>
      </w:r>
      <w:r w:rsidR="0010027D">
        <w:t xml:space="preserve"> up</w:t>
      </w:r>
      <w:r>
        <w:t xml:space="preserve"> of 12 people, who must reach a unanimous verdict of acquittal or conviction.</w:t>
      </w:r>
      <w:r w:rsidR="00657557">
        <w:rPr>
          <w:rStyle w:val="FootnoteReference"/>
        </w:rPr>
        <w:footnoteReference w:id="9"/>
      </w:r>
      <w:r>
        <w:t xml:space="preserve"> The Bill seeks to change this to allow for majority verdicts, where 11 out of 12 jurors agree. </w:t>
      </w:r>
    </w:p>
    <w:p w14:paraId="74B181C4" w14:textId="74838DF5" w:rsidR="00B71413" w:rsidRDefault="000E6366" w:rsidP="000E6366">
      <w:pPr>
        <w:pStyle w:val="ListNumber2"/>
      </w:pPr>
      <w:r>
        <w:t>The Victims of Crime Commissioner support</w:t>
      </w:r>
      <w:r w:rsidR="0010027D">
        <w:t>ed</w:t>
      </w:r>
      <w:r>
        <w:t xml:space="preserve"> the proposed changes to allow for majority verdicts</w:t>
      </w:r>
      <w:r w:rsidR="00657557">
        <w:t>,</w:t>
      </w:r>
      <w:r>
        <w:t xml:space="preserve"> arguing that </w:t>
      </w:r>
      <w:r w:rsidR="00DC74F5">
        <w:t>this could result in fewer hung juries and therefore fewer retrials which are resource intensive for the courts as well as</w:t>
      </w:r>
      <w:r w:rsidR="008A19F1">
        <w:t xml:space="preserve"> for</w:t>
      </w:r>
      <w:r w:rsidR="00DC74F5">
        <w:t xml:space="preserve"> victims, </w:t>
      </w:r>
      <w:r w:rsidR="00B71413">
        <w:t>survivors,</w:t>
      </w:r>
      <w:r w:rsidR="00DC74F5">
        <w:t xml:space="preserve"> and witnesses</w:t>
      </w:r>
      <w:r w:rsidR="00657557">
        <w:t>.</w:t>
      </w:r>
      <w:r w:rsidR="00DC74F5">
        <w:rPr>
          <w:rStyle w:val="FootnoteReference"/>
        </w:rPr>
        <w:footnoteReference w:id="10"/>
      </w:r>
    </w:p>
    <w:p w14:paraId="37E4E253" w14:textId="4EB0694E" w:rsidR="00B71413" w:rsidRDefault="00B71413" w:rsidP="000E6366">
      <w:pPr>
        <w:pStyle w:val="ListNumber2"/>
      </w:pPr>
      <w:r>
        <w:t>The</w:t>
      </w:r>
      <w:r w:rsidR="008D4C91">
        <w:t xml:space="preserve"> </w:t>
      </w:r>
      <w:r w:rsidR="0010027D">
        <w:t>Commissioner</w:t>
      </w:r>
      <w:r>
        <w:t xml:space="preserve"> also suggested that introducing majority verdicts could reduce the risk of ‘lone jurors’ refusing to come to a compromise with the other jurors due to their own preconceived notions about the verdict.</w:t>
      </w:r>
      <w:r w:rsidR="00FE7BB8">
        <w:rPr>
          <w:rStyle w:val="FootnoteReference"/>
        </w:rPr>
        <w:footnoteReference w:id="11"/>
      </w:r>
      <w:r>
        <w:t xml:space="preserve"> </w:t>
      </w:r>
    </w:p>
    <w:p w14:paraId="222E31E8" w14:textId="100F3C94" w:rsidR="0033513E" w:rsidRDefault="00B71413" w:rsidP="000E6366">
      <w:pPr>
        <w:pStyle w:val="ListNumber2"/>
      </w:pPr>
      <w:r>
        <w:t>Conversely, the ACT Law Society</w:t>
      </w:r>
      <w:r w:rsidR="00657557">
        <w:t xml:space="preserve"> </w:t>
      </w:r>
      <w:r>
        <w:t>believe</w:t>
      </w:r>
      <w:r w:rsidR="0010027D">
        <w:t>d</w:t>
      </w:r>
      <w:r>
        <w:t xml:space="preserve"> that the current model of unanimous verdicts should remain.</w:t>
      </w:r>
      <w:r w:rsidR="00EC262B">
        <w:rPr>
          <w:rStyle w:val="FootnoteReference"/>
        </w:rPr>
        <w:footnoteReference w:id="12"/>
      </w:r>
      <w:r>
        <w:t xml:space="preserve"> </w:t>
      </w:r>
      <w:r w:rsidR="0033513E">
        <w:t>However, they did praise the inclusion of the following safeguar</w:t>
      </w:r>
      <w:r w:rsidR="00F90CFD">
        <w:t>d</w:t>
      </w:r>
      <w:r w:rsidR="004C6814">
        <w:t>s</w:t>
      </w:r>
      <w:r w:rsidR="0033513E">
        <w:t xml:space="preserve">: </w:t>
      </w:r>
    </w:p>
    <w:p w14:paraId="2F97D0EA" w14:textId="537371B6" w:rsidR="00B71413" w:rsidRDefault="0033513E" w:rsidP="0033513E">
      <w:pPr>
        <w:pStyle w:val="ListNumber3"/>
      </w:pPr>
      <w:r>
        <w:t xml:space="preserve">The definition of </w:t>
      </w:r>
      <w:r w:rsidRPr="0033513E">
        <w:rPr>
          <w:i/>
          <w:iCs/>
        </w:rPr>
        <w:t>majority verdict</w:t>
      </w:r>
      <w:r>
        <w:t xml:space="preserve"> </w:t>
      </w:r>
      <w:r w:rsidR="008A19F1">
        <w:t>is</w:t>
      </w:r>
      <w:r>
        <w:t xml:space="preserve"> 11 out of 12 jurors. </w:t>
      </w:r>
      <w:r w:rsidR="00B71413">
        <w:t xml:space="preserve"> </w:t>
      </w:r>
    </w:p>
    <w:p w14:paraId="05B60790" w14:textId="5A202F0E" w:rsidR="00EC262B" w:rsidRDefault="00EC262B" w:rsidP="0033513E">
      <w:pPr>
        <w:pStyle w:val="ListNumber3"/>
      </w:pPr>
      <w:r>
        <w:t>Proposed subsection 38(</w:t>
      </w:r>
      <w:r w:rsidR="001B0799">
        <w:t>2</w:t>
      </w:r>
      <w:r>
        <w:t>) which would require that the judge is satisfied that:</w:t>
      </w:r>
    </w:p>
    <w:p w14:paraId="6ABC9EAA" w14:textId="0AD3DA0B" w:rsidR="0033513E" w:rsidRDefault="0033513E" w:rsidP="00EC262B">
      <w:pPr>
        <w:pStyle w:val="ListNumber4"/>
      </w:pPr>
      <w:r>
        <w:t xml:space="preserve">a period of at least </w:t>
      </w:r>
      <w:r w:rsidR="001B0799">
        <w:t>six</w:t>
      </w:r>
      <w:r>
        <w:t xml:space="preserve"> hours has passed for the jury to deliberate on the verdict</w:t>
      </w:r>
      <w:r w:rsidR="00656331">
        <w:t>.</w:t>
      </w:r>
      <w:r>
        <w:t xml:space="preserve"> </w:t>
      </w:r>
    </w:p>
    <w:p w14:paraId="24FC0BCF" w14:textId="7ACF0DB5" w:rsidR="0033513E" w:rsidRDefault="0033513E" w:rsidP="00EC262B">
      <w:pPr>
        <w:pStyle w:val="ListNumber4"/>
      </w:pPr>
      <w:r>
        <w:t xml:space="preserve">after examination of </w:t>
      </w:r>
      <w:r w:rsidR="001B0799">
        <w:t>one</w:t>
      </w:r>
      <w:r>
        <w:t xml:space="preserve"> or more jurors</w:t>
      </w:r>
      <w:r w:rsidR="001B0799">
        <w:t xml:space="preserve"> under oath</w:t>
      </w:r>
      <w:r>
        <w:t xml:space="preserve">, that the jury is not likely to reach a unanimous </w:t>
      </w:r>
      <w:r w:rsidR="001B0799">
        <w:t>decision</w:t>
      </w:r>
      <w:r w:rsidR="00656331">
        <w:t>.</w:t>
      </w:r>
      <w:r w:rsidR="00657557" w:rsidRPr="00657557">
        <w:rPr>
          <w:rStyle w:val="FootnoteReference"/>
        </w:rPr>
        <w:t xml:space="preserve"> </w:t>
      </w:r>
      <w:r w:rsidR="00657557">
        <w:rPr>
          <w:rStyle w:val="FootnoteReference"/>
        </w:rPr>
        <w:footnoteReference w:id="13"/>
      </w:r>
    </w:p>
    <w:p w14:paraId="3B774941" w14:textId="21D75C23" w:rsidR="0033513E" w:rsidRDefault="00E31712" w:rsidP="0033513E">
      <w:pPr>
        <w:pStyle w:val="ListNumber2"/>
      </w:pPr>
      <w:r>
        <w:t>ACT Law Society</w:t>
      </w:r>
      <w:r w:rsidR="0033513E">
        <w:t xml:space="preserve"> </w:t>
      </w:r>
      <w:r w:rsidR="008D4C91">
        <w:t xml:space="preserve">also </w:t>
      </w:r>
      <w:r w:rsidR="0033513E">
        <w:t>suggest</w:t>
      </w:r>
      <w:r w:rsidR="00657557">
        <w:t>ed</w:t>
      </w:r>
      <w:r w:rsidR="0033513E">
        <w:t xml:space="preserve"> that juries should be given the direction to </w:t>
      </w:r>
      <w:r>
        <w:t>persevere in their attempt</w:t>
      </w:r>
      <w:r w:rsidR="0033513E">
        <w:t xml:space="preserve"> to meet a unanimous verdict before a judge </w:t>
      </w:r>
      <w:r w:rsidR="008D4C91">
        <w:t xml:space="preserve">is </w:t>
      </w:r>
      <w:r w:rsidR="0033513E">
        <w:t>satisfied that the preconditions in section 3</w:t>
      </w:r>
      <w:r w:rsidR="008D4C91">
        <w:t>8</w:t>
      </w:r>
      <w:r w:rsidR="001B0799">
        <w:t xml:space="preserve">(2) </w:t>
      </w:r>
      <w:r w:rsidR="0033513E">
        <w:t>are met.</w:t>
      </w:r>
      <w:r>
        <w:rPr>
          <w:rStyle w:val="FootnoteReference"/>
        </w:rPr>
        <w:footnoteReference w:id="14"/>
      </w:r>
      <w:r w:rsidR="0033513E">
        <w:t xml:space="preserve"> </w:t>
      </w:r>
    </w:p>
    <w:p w14:paraId="7FA9DA2F" w14:textId="71E538C4" w:rsidR="00F90CFD" w:rsidRDefault="0033513E" w:rsidP="0033513E">
      <w:pPr>
        <w:pStyle w:val="ListNumber2"/>
      </w:pPr>
      <w:r>
        <w:t>Additionally, the</w:t>
      </w:r>
      <w:r w:rsidR="00E31712">
        <w:t xml:space="preserve">y </w:t>
      </w:r>
      <w:r>
        <w:t>recommended that the Committee consider whether majority verdicts should not be allowed in court cases where the criminal offence carries a maximum penalty of life imprisonment</w:t>
      </w:r>
      <w:r w:rsidR="00F90CFD">
        <w:t xml:space="preserve">. </w:t>
      </w:r>
      <w:r>
        <w:t>They note</w:t>
      </w:r>
      <w:r w:rsidR="0010027D">
        <w:t>d</w:t>
      </w:r>
      <w:r>
        <w:t xml:space="preserve"> that this would be in </w:t>
      </w:r>
      <w:r w:rsidR="00F90CFD">
        <w:t xml:space="preserve">line with other jurisdictions, such as Queensland, where majority verdicts cannot be used in relation to murder; or Victoria, </w:t>
      </w:r>
      <w:r w:rsidR="0010027D">
        <w:t xml:space="preserve">where they cannot be used </w:t>
      </w:r>
      <w:r w:rsidR="00F90CFD">
        <w:t>in cases of murder, drug trafficking or treason</w:t>
      </w:r>
      <w:r w:rsidR="00657557">
        <w:t>.</w:t>
      </w:r>
      <w:r w:rsidR="00F90CFD">
        <w:rPr>
          <w:rStyle w:val="FootnoteReference"/>
        </w:rPr>
        <w:footnoteReference w:id="15"/>
      </w:r>
    </w:p>
    <w:p w14:paraId="20918205" w14:textId="568A60AE" w:rsidR="00F90CFD" w:rsidRDefault="00F90CFD" w:rsidP="00BA3644">
      <w:pPr>
        <w:pStyle w:val="Heading3"/>
      </w:pPr>
      <w:bookmarkStart w:id="19" w:name="_Toc156389695"/>
      <w:r>
        <w:t>Improper inquiry by a juror</w:t>
      </w:r>
      <w:bookmarkEnd w:id="19"/>
      <w:r>
        <w:t xml:space="preserve"> </w:t>
      </w:r>
    </w:p>
    <w:p w14:paraId="00FF2A01" w14:textId="0820E6F3" w:rsidR="0024276D" w:rsidRPr="00222237" w:rsidRDefault="0024276D" w:rsidP="00ED3DFD">
      <w:pPr>
        <w:pStyle w:val="ListNumber2"/>
      </w:pPr>
      <w:r>
        <w:t xml:space="preserve">Currently, the ACT </w:t>
      </w:r>
      <w:r w:rsidR="0010027D">
        <w:t xml:space="preserve">Supreme Court’s </w:t>
      </w:r>
      <w:r w:rsidR="0010027D" w:rsidRPr="008D4C91">
        <w:rPr>
          <w:i/>
          <w:iCs/>
        </w:rPr>
        <w:t>Jury</w:t>
      </w:r>
      <w:r w:rsidRPr="008D4C91">
        <w:rPr>
          <w:i/>
          <w:iCs/>
        </w:rPr>
        <w:t xml:space="preserve"> </w:t>
      </w:r>
      <w:r w:rsidR="0010027D" w:rsidRPr="008D4C91">
        <w:rPr>
          <w:i/>
          <w:iCs/>
        </w:rPr>
        <w:t>H</w:t>
      </w:r>
      <w:r w:rsidRPr="008D4C91">
        <w:rPr>
          <w:i/>
          <w:iCs/>
        </w:rPr>
        <w:t xml:space="preserve">andbook </w:t>
      </w:r>
      <w:r>
        <w:t xml:space="preserve">states that jurors must not make any </w:t>
      </w:r>
      <w:r w:rsidR="006E59F4">
        <w:t>i</w:t>
      </w:r>
      <w:r>
        <w:t>nquiries</w:t>
      </w:r>
      <w:r w:rsidR="006E59F4">
        <w:t>,</w:t>
      </w:r>
      <w:r>
        <w:t xml:space="preserve"> or conduct any of their own research</w:t>
      </w:r>
      <w:r w:rsidR="006E59F4">
        <w:t>,</w:t>
      </w:r>
      <w:r>
        <w:t xml:space="preserve"> in relation to a trial. </w:t>
      </w:r>
      <w:r w:rsidR="0010027D">
        <w:t>Jurors</w:t>
      </w:r>
      <w:r>
        <w:t xml:space="preserve"> are also encouraged to minimise </w:t>
      </w:r>
      <w:r w:rsidR="006E59F4">
        <w:t xml:space="preserve">their </w:t>
      </w:r>
      <w:r>
        <w:t>social media use</w:t>
      </w:r>
      <w:r w:rsidR="00657557">
        <w:t>.</w:t>
      </w:r>
      <w:r>
        <w:rPr>
          <w:rStyle w:val="FootnoteReference"/>
        </w:rPr>
        <w:footnoteReference w:id="16"/>
      </w:r>
    </w:p>
    <w:p w14:paraId="32D81C16" w14:textId="01F3AB1F" w:rsidR="0024276D" w:rsidRDefault="0024276D" w:rsidP="00F90CFD">
      <w:pPr>
        <w:pStyle w:val="ListNumber2"/>
      </w:pPr>
      <w:r>
        <w:t xml:space="preserve">Section 42BA of the Bill would make it a criminal offence for a juror to make an unauthorised inquiry for the purpose of obtaining information about any matter relating to </w:t>
      </w:r>
      <w:r w:rsidR="006E59F4">
        <w:t>a</w:t>
      </w:r>
      <w:r>
        <w:t xml:space="preserve"> trial. This would bring the ACT in line with </w:t>
      </w:r>
      <w:r w:rsidR="006E59F4">
        <w:t>N</w:t>
      </w:r>
      <w:r w:rsidR="00657557">
        <w:t xml:space="preserve">ew </w:t>
      </w:r>
      <w:r w:rsidR="006E59F4">
        <w:t>S</w:t>
      </w:r>
      <w:r w:rsidR="00657557">
        <w:t>outh Wales</w:t>
      </w:r>
      <w:r w:rsidR="006E59F4">
        <w:t xml:space="preserve"> which makes it a criminal offence for a juror to make their own inquiries</w:t>
      </w:r>
      <w:r w:rsidR="007A4509">
        <w:t xml:space="preserve"> regarding the trial or the accused</w:t>
      </w:r>
      <w:r w:rsidR="00762C3D">
        <w:t>.</w:t>
      </w:r>
      <w:r w:rsidR="006E59F4">
        <w:rPr>
          <w:rStyle w:val="FootnoteReference"/>
        </w:rPr>
        <w:footnoteReference w:id="17"/>
      </w:r>
    </w:p>
    <w:p w14:paraId="13C1C98E" w14:textId="48707199" w:rsidR="006E59F4" w:rsidRDefault="006E59F4" w:rsidP="009830AD">
      <w:pPr>
        <w:pStyle w:val="ListNumber2"/>
      </w:pPr>
      <w:r>
        <w:t>In their submission, t</w:t>
      </w:r>
      <w:r w:rsidR="00F90CFD">
        <w:t>he Australian Federal Police Association (AFPA) strongly support</w:t>
      </w:r>
      <w:r w:rsidR="007A4509">
        <w:t>ed</w:t>
      </w:r>
      <w:r w:rsidR="00F90CFD">
        <w:t xml:space="preserve"> the insertion of Section 42BA into the </w:t>
      </w:r>
      <w:r w:rsidR="0024276D" w:rsidRPr="008D4C91">
        <w:rPr>
          <w:i/>
          <w:iCs/>
        </w:rPr>
        <w:t>Juries</w:t>
      </w:r>
      <w:r w:rsidR="00F90CFD" w:rsidRPr="008D4C91">
        <w:rPr>
          <w:i/>
          <w:iCs/>
        </w:rPr>
        <w:t xml:space="preserve"> Act 1967</w:t>
      </w:r>
      <w:r w:rsidR="00762C3D">
        <w:t>, a</w:t>
      </w:r>
      <w:r>
        <w:t xml:space="preserve">rguing that </w:t>
      </w:r>
      <w:r w:rsidR="007A4509">
        <w:t xml:space="preserve">because </w:t>
      </w:r>
      <w:r>
        <w:t xml:space="preserve">trials are </w:t>
      </w:r>
      <w:r w:rsidR="00974A30">
        <w:t>expensive,</w:t>
      </w:r>
      <w:r w:rsidR="007F540F">
        <w:t xml:space="preserve"> it</w:t>
      </w:r>
      <w:r>
        <w:t xml:space="preserve"> is important to keep jurors accountable. They point</w:t>
      </w:r>
      <w:r w:rsidR="007A4509">
        <w:t>ed</w:t>
      </w:r>
      <w:r>
        <w:t xml:space="preserve"> out that the ACT currently has no criminal offences in place for a juror causing a mistrial, and that this </w:t>
      </w:r>
      <w:r w:rsidR="007A4509">
        <w:t>would</w:t>
      </w:r>
      <w:r>
        <w:t xml:space="preserve"> be addressed by section 42BA.</w:t>
      </w:r>
      <w:r w:rsidR="00762C3D">
        <w:rPr>
          <w:rStyle w:val="FootnoteReference"/>
        </w:rPr>
        <w:footnoteReference w:id="18"/>
      </w:r>
    </w:p>
    <w:p w14:paraId="085F775A" w14:textId="161F9279" w:rsidR="000E6366" w:rsidRDefault="006E59F4" w:rsidP="00755D51">
      <w:pPr>
        <w:pStyle w:val="ListNumber2"/>
      </w:pPr>
      <w:r>
        <w:t>In addition to the maximum penalty of two years imprisonment, AFPA</w:t>
      </w:r>
      <w:r w:rsidR="00974A30">
        <w:t xml:space="preserve"> indicate</w:t>
      </w:r>
      <w:r w:rsidR="007A4509">
        <w:t>d</w:t>
      </w:r>
      <w:r w:rsidR="00974A30">
        <w:t xml:space="preserve"> they would be </w:t>
      </w:r>
      <w:r>
        <w:t>supportive of introducing a financial penalty</w:t>
      </w:r>
      <w:r w:rsidR="008A19F1">
        <w:t>.</w:t>
      </w:r>
      <w:r w:rsidR="002C5BAC">
        <w:rPr>
          <w:rStyle w:val="FootnoteReference"/>
        </w:rPr>
        <w:footnoteReference w:id="19"/>
      </w:r>
    </w:p>
    <w:p w14:paraId="7C108BD8" w14:textId="77777777" w:rsidR="00B33D5C" w:rsidRDefault="00B33D5C" w:rsidP="00B33D5C">
      <w:pPr>
        <w:pStyle w:val="ListNumber2"/>
        <w:numPr>
          <w:ilvl w:val="0"/>
          <w:numId w:val="0"/>
        </w:numPr>
      </w:pPr>
    </w:p>
    <w:p w14:paraId="1E7A23BA" w14:textId="77777777" w:rsidR="00BA3644" w:rsidRPr="00BA3644" w:rsidRDefault="00BA3644" w:rsidP="00BA3644">
      <w:pPr>
        <w:pStyle w:val="Heading2"/>
      </w:pPr>
      <w:bookmarkStart w:id="20" w:name="_Toc156389696"/>
      <w:r w:rsidRPr="00BA3644">
        <w:t>Crimes (Sentencing) Act 2005</w:t>
      </w:r>
      <w:bookmarkEnd w:id="20"/>
      <w:r w:rsidRPr="00BA3644">
        <w:t xml:space="preserve"> </w:t>
      </w:r>
    </w:p>
    <w:p w14:paraId="2F3AC150" w14:textId="45352ADB" w:rsidR="006A5584" w:rsidRPr="006A5584" w:rsidRDefault="007518E4" w:rsidP="00BA3644">
      <w:pPr>
        <w:pStyle w:val="Heading3"/>
      </w:pPr>
      <w:bookmarkStart w:id="21" w:name="_Toc156389697"/>
      <w:r>
        <w:t>Non-parole periods for offences committed in custody</w:t>
      </w:r>
      <w:bookmarkEnd w:id="21"/>
      <w:r>
        <w:t xml:space="preserve"> </w:t>
      </w:r>
    </w:p>
    <w:bookmarkEnd w:id="8"/>
    <w:bookmarkEnd w:id="16"/>
    <w:p w14:paraId="178BA04D" w14:textId="00391E33" w:rsidR="007137A1" w:rsidRDefault="007137A1" w:rsidP="00445C8C">
      <w:pPr>
        <w:pStyle w:val="ListNumber2"/>
      </w:pPr>
      <w:r>
        <w:t xml:space="preserve">Under paragraph 64(2)(e) of the </w:t>
      </w:r>
      <w:r w:rsidRPr="00EC262B">
        <w:rPr>
          <w:i/>
          <w:iCs/>
        </w:rPr>
        <w:t>Crimes (Sentencing) Act 2005</w:t>
      </w:r>
      <w:r>
        <w:t>, a sentence of imprisonment imposed for an offence committed while in custody is excluded</w:t>
      </w:r>
      <w:r w:rsidR="00010110">
        <w:t xml:space="preserve"> from provisions allowing the court to set non-parole periods.</w:t>
      </w:r>
      <w:r>
        <w:t xml:space="preserve"> </w:t>
      </w:r>
      <w:r w:rsidR="00010110">
        <w:t>Section 72 of the Act requires that such a sentence must be served consecutively (that is, immediately following and additional to the current term of custody).</w:t>
      </w:r>
      <w:r w:rsidR="00010110">
        <w:rPr>
          <w:rStyle w:val="FootnoteReference"/>
        </w:rPr>
        <w:footnoteReference w:id="20"/>
      </w:r>
    </w:p>
    <w:p w14:paraId="5FBD2CD7" w14:textId="5367F304" w:rsidR="00445C8C" w:rsidRDefault="00762C3D" w:rsidP="00445C8C">
      <w:pPr>
        <w:pStyle w:val="ListNumber2"/>
      </w:pPr>
      <w:r>
        <w:t xml:space="preserve">The </w:t>
      </w:r>
      <w:r w:rsidR="00445C8C">
        <w:t xml:space="preserve">Bill </w:t>
      </w:r>
      <w:r>
        <w:t xml:space="preserve">would </w:t>
      </w:r>
      <w:r w:rsidR="00445C8C">
        <w:t>repeal</w:t>
      </w:r>
      <w:r w:rsidR="008D4C91">
        <w:t xml:space="preserve"> </w:t>
      </w:r>
      <w:r w:rsidR="00010110">
        <w:t>this paragraph of the Act</w:t>
      </w:r>
      <w:r w:rsidR="00445C8C">
        <w:t>.</w:t>
      </w:r>
      <w:r w:rsidR="00445C8C" w:rsidRPr="00445C8C">
        <w:t xml:space="preserve"> </w:t>
      </w:r>
      <w:r w:rsidR="006A275A">
        <w:t xml:space="preserve">This change would allow the court to set a non-parole period for a </w:t>
      </w:r>
      <w:r w:rsidR="00A67B93">
        <w:t xml:space="preserve">sentence </w:t>
      </w:r>
      <w:r w:rsidR="006A275A">
        <w:t>imposed for an offence committed in custody</w:t>
      </w:r>
      <w:r w:rsidR="00010110">
        <w:t xml:space="preserve">, </w:t>
      </w:r>
      <w:r w:rsidR="001B0799">
        <w:t>giving the</w:t>
      </w:r>
      <w:r w:rsidR="006A275A">
        <w:t xml:space="preserve"> court </w:t>
      </w:r>
      <w:r w:rsidR="00A67B93">
        <w:t>discretion to consider individual circumstances</w:t>
      </w:r>
      <w:r w:rsidR="00010110">
        <w:t>. This</w:t>
      </w:r>
      <w:r w:rsidR="00A67B93">
        <w:t xml:space="preserve"> could allow more opportunities </w:t>
      </w:r>
      <w:r w:rsidR="00C470C7">
        <w:t xml:space="preserve">for </w:t>
      </w:r>
      <w:r w:rsidR="00A67B93">
        <w:t>parole.</w:t>
      </w:r>
      <w:r>
        <w:rPr>
          <w:rStyle w:val="FootnoteReference"/>
        </w:rPr>
        <w:footnoteReference w:id="21"/>
      </w:r>
      <w:r w:rsidR="00A67B93">
        <w:t xml:space="preserve"> </w:t>
      </w:r>
    </w:p>
    <w:p w14:paraId="113B3824" w14:textId="3E09FE46" w:rsidR="00BA3644" w:rsidRDefault="006A275A" w:rsidP="007518E4">
      <w:pPr>
        <w:pStyle w:val="ListNumber2"/>
      </w:pPr>
      <w:r>
        <w:t>Advocacy for Inclusion (AI)</w:t>
      </w:r>
      <w:r w:rsidR="007F17A5">
        <w:t xml:space="preserve"> </w:t>
      </w:r>
      <w:r w:rsidR="00010110">
        <w:t>were</w:t>
      </w:r>
      <w:r>
        <w:t xml:space="preserve"> supportive of this change</w:t>
      </w:r>
      <w:r w:rsidR="00A67B93">
        <w:t>, drawing attention to the perceived behaviour of people with disabilities. They suggest</w:t>
      </w:r>
      <w:r w:rsidR="00010110">
        <w:t>ed</w:t>
      </w:r>
      <w:r w:rsidR="00A67B93">
        <w:t xml:space="preserve"> that inadequate support for people with disabilities </w:t>
      </w:r>
      <w:r w:rsidR="00010110">
        <w:t>could</w:t>
      </w:r>
      <w:r w:rsidR="00A67B93">
        <w:t xml:space="preserve"> increase cycles of offending and reincarceration.</w:t>
      </w:r>
      <w:r w:rsidR="00762C3D" w:rsidRPr="00762C3D">
        <w:rPr>
          <w:rStyle w:val="FootnoteReference"/>
        </w:rPr>
        <w:t xml:space="preserve"> </w:t>
      </w:r>
      <w:r w:rsidR="00A67B93">
        <w:t>They also note</w:t>
      </w:r>
      <w:r w:rsidR="00010110">
        <w:t>d</w:t>
      </w:r>
      <w:r w:rsidR="00A67B93">
        <w:t xml:space="preserve"> that behaviours associated with disability or undiagnosed health conditions may be interpreted as offending behaviour. Therefore, they believe</w:t>
      </w:r>
      <w:r w:rsidR="00010110">
        <w:t>d</w:t>
      </w:r>
      <w:r w:rsidR="00A67B93">
        <w:t xml:space="preserve"> </w:t>
      </w:r>
      <w:r w:rsidR="00010110">
        <w:t xml:space="preserve">that </w:t>
      </w:r>
      <w:r w:rsidR="00A67B93">
        <w:t>this</w:t>
      </w:r>
      <w:r w:rsidR="00010110">
        <w:t xml:space="preserve"> amendment would be</w:t>
      </w:r>
      <w:r w:rsidR="00A67B93">
        <w:t xml:space="preserve"> a welcome step for people with disabilities serving custodial sentences.</w:t>
      </w:r>
      <w:r w:rsidR="00762C3D">
        <w:rPr>
          <w:rStyle w:val="FootnoteReference"/>
        </w:rPr>
        <w:footnoteReference w:id="22"/>
      </w:r>
      <w:r w:rsidR="00A67B93">
        <w:t xml:space="preserve"> </w:t>
      </w:r>
    </w:p>
    <w:p w14:paraId="0733A814" w14:textId="181260DD" w:rsidR="00BC0651" w:rsidRDefault="00BA3644" w:rsidP="00BA3644">
      <w:pPr>
        <w:pStyle w:val="Heading2"/>
      </w:pPr>
      <w:bookmarkStart w:id="22" w:name="_Toc156389698"/>
      <w:r>
        <w:t>Magistrates Act 1930</w:t>
      </w:r>
      <w:bookmarkEnd w:id="22"/>
      <w:r>
        <w:t xml:space="preserve"> </w:t>
      </w:r>
    </w:p>
    <w:p w14:paraId="03E1A3F6" w14:textId="3F1EF3AE" w:rsidR="00BA3644" w:rsidRPr="00BA3644" w:rsidRDefault="00BA3644" w:rsidP="00BA3644">
      <w:pPr>
        <w:pStyle w:val="Heading3"/>
      </w:pPr>
      <w:bookmarkStart w:id="23" w:name="_Toc156389699"/>
      <w:r>
        <w:t>Infringement notice offences</w:t>
      </w:r>
      <w:bookmarkEnd w:id="23"/>
    </w:p>
    <w:p w14:paraId="74C030C5" w14:textId="390E4AE1" w:rsidR="007518E4" w:rsidRDefault="00D45ED7" w:rsidP="007518E4">
      <w:pPr>
        <w:pStyle w:val="ListNumber2"/>
      </w:pPr>
      <w:r>
        <w:t>Several c</w:t>
      </w:r>
      <w:r w:rsidR="007518E4">
        <w:t xml:space="preserve">hanges to the </w:t>
      </w:r>
      <w:r w:rsidR="007518E4" w:rsidRPr="00592895">
        <w:rPr>
          <w:i/>
          <w:iCs/>
        </w:rPr>
        <w:t>Magistrates Act 1930</w:t>
      </w:r>
      <w:r w:rsidR="007518E4">
        <w:t xml:space="preserve"> </w:t>
      </w:r>
      <w:r w:rsidR="001B0799">
        <w:t>are proposed</w:t>
      </w:r>
      <w:r w:rsidR="007518E4">
        <w:t xml:space="preserve"> by the Bill </w:t>
      </w:r>
      <w:r w:rsidR="00010110">
        <w:t xml:space="preserve">with the aim </w:t>
      </w:r>
      <w:r w:rsidR="001B0799">
        <w:t>of improving</w:t>
      </w:r>
      <w:r w:rsidR="007518E4">
        <w:t xml:space="preserve"> the enforceability of infringement notice offences. </w:t>
      </w:r>
      <w:r w:rsidR="00592895">
        <w:t>Th</w:t>
      </w:r>
      <w:r>
        <w:t>ese</w:t>
      </w:r>
      <w:r w:rsidR="00306F23">
        <w:t xml:space="preserve"> changes</w:t>
      </w:r>
      <w:r w:rsidR="00592895">
        <w:t xml:space="preserve"> include making it easier for people to apply for an extension of time to pay a penalty, extending the time to begin a prosecution for an infringement notice offence, and clarifying powers </w:t>
      </w:r>
      <w:r w:rsidR="00306F23">
        <w:t xml:space="preserve">and processes </w:t>
      </w:r>
      <w:r w:rsidR="004C6814">
        <w:t>regarding</w:t>
      </w:r>
      <w:r w:rsidR="00592895">
        <w:t xml:space="preserve"> infringement notice management plans.</w:t>
      </w:r>
      <w:r>
        <w:rPr>
          <w:rStyle w:val="FootnoteReference"/>
        </w:rPr>
        <w:footnoteReference w:id="23"/>
      </w:r>
      <w:r w:rsidR="00592895">
        <w:t xml:space="preserve"> </w:t>
      </w:r>
    </w:p>
    <w:p w14:paraId="79F7576A" w14:textId="464D0EAB" w:rsidR="00D45ED7" w:rsidRDefault="00C52807" w:rsidP="007518E4">
      <w:pPr>
        <w:pStyle w:val="ListNumber2"/>
      </w:pPr>
      <w:r>
        <w:t>For example, t</w:t>
      </w:r>
      <w:r w:rsidR="00445C8C">
        <w:t xml:space="preserve">he amendment clarifies that if a person </w:t>
      </w:r>
      <w:r w:rsidR="00CC2757">
        <w:t>is on an</w:t>
      </w:r>
      <w:r w:rsidR="00445C8C">
        <w:t xml:space="preserve"> infringement notice management plan, they </w:t>
      </w:r>
      <w:r w:rsidR="007F17A5">
        <w:t>would</w:t>
      </w:r>
      <w:r w:rsidR="00445C8C">
        <w:t xml:space="preserve"> </w:t>
      </w:r>
      <w:r w:rsidR="007F17A5">
        <w:t>still be</w:t>
      </w:r>
      <w:r w:rsidR="00445C8C">
        <w:t xml:space="preserve"> liable for prosecution if they do not comply</w:t>
      </w:r>
      <w:r w:rsidR="00D45ED7">
        <w:t xml:space="preserve"> with the plan</w:t>
      </w:r>
      <w:r w:rsidR="00445C8C">
        <w:t>.</w:t>
      </w:r>
      <w:r w:rsidR="007F17A5">
        <w:rPr>
          <w:rStyle w:val="FootnoteReference"/>
        </w:rPr>
        <w:footnoteReference w:id="24"/>
      </w:r>
      <w:r w:rsidR="00445C8C">
        <w:t xml:space="preserve"> </w:t>
      </w:r>
    </w:p>
    <w:p w14:paraId="7005DAEC" w14:textId="50AC20B0" w:rsidR="00CC2757" w:rsidRDefault="00D45ED7" w:rsidP="0052297F">
      <w:pPr>
        <w:pStyle w:val="ListNumber2"/>
      </w:pPr>
      <w:r>
        <w:t>Additionally, i</w:t>
      </w:r>
      <w:r w:rsidR="00CC2757">
        <w:t xml:space="preserve">f a plan is cancelled, time limits on prosecuting the offence </w:t>
      </w:r>
      <w:r w:rsidR="007F17A5">
        <w:t xml:space="preserve">would </w:t>
      </w:r>
      <w:r w:rsidR="00CC2757">
        <w:t xml:space="preserve">extend by one year. In his </w:t>
      </w:r>
      <w:r w:rsidR="00306F23">
        <w:t>presentation speech</w:t>
      </w:r>
      <w:r w:rsidR="00CC2757">
        <w:t xml:space="preserve">, the Attorney General </w:t>
      </w:r>
      <w:r w:rsidR="00306F23">
        <w:t xml:space="preserve">explained </w:t>
      </w:r>
      <w:r w:rsidR="00CC2757">
        <w:t xml:space="preserve">that there are </w:t>
      </w:r>
      <w:r w:rsidR="00306F23">
        <w:t xml:space="preserve">many </w:t>
      </w:r>
      <w:r w:rsidR="00CC2757">
        <w:t>reason</w:t>
      </w:r>
      <w:r w:rsidR="00C52807">
        <w:t>s</w:t>
      </w:r>
      <w:r w:rsidR="00CC2757">
        <w:t xml:space="preserve"> why it might be the best option to cancel an infringement notice management plan: </w:t>
      </w:r>
    </w:p>
    <w:p w14:paraId="37F19E6C" w14:textId="6D7811D6" w:rsidR="00CC2757" w:rsidRDefault="00CC2757" w:rsidP="00CC2757">
      <w:pPr>
        <w:pStyle w:val="Quote"/>
      </w:pPr>
      <w:r>
        <w:t>For example, they might wish to pay the penalty through an approved community work or societal development program instead of continuing with paying the penalty in instalments. The person’s hardship might have become so excessive that waiving the penalty might be appropriate now even though it was not appropriate when the infringement notice management plan was originally agreed</w:t>
      </w:r>
      <w:r w:rsidR="00D45ED7">
        <w:t>.</w:t>
      </w:r>
      <w:r>
        <w:rPr>
          <w:rStyle w:val="FootnoteReference"/>
        </w:rPr>
        <w:footnoteReference w:id="25"/>
      </w:r>
    </w:p>
    <w:p w14:paraId="11298473" w14:textId="5B7A0DB4" w:rsidR="00592895" w:rsidRDefault="00592895" w:rsidP="00241A4C">
      <w:pPr>
        <w:pStyle w:val="ListNumber2"/>
      </w:pPr>
      <w:r>
        <w:t>In their submission, A</w:t>
      </w:r>
      <w:r w:rsidR="008D4C91">
        <w:t>F</w:t>
      </w:r>
      <w:r>
        <w:t>I indicate</w:t>
      </w:r>
      <w:r w:rsidR="00306F23">
        <w:t>d</w:t>
      </w:r>
      <w:r w:rsidR="00D45ED7">
        <w:t xml:space="preserve"> their</w:t>
      </w:r>
      <w:r>
        <w:t xml:space="preserve"> support for allowing </w:t>
      </w:r>
      <w:r w:rsidR="00D45ED7">
        <w:t>individuals to have</w:t>
      </w:r>
      <w:r>
        <w:t xml:space="preserve"> additional time to pay penalties for a wide range of reasons. They also welcome</w:t>
      </w:r>
      <w:r w:rsidR="00306F23">
        <w:t>d</w:t>
      </w:r>
      <w:r>
        <w:t xml:space="preserve"> extending the time to begin a prosecution and offering alternate pathways to paying penalties and </w:t>
      </w:r>
      <w:r w:rsidR="00D45ED7">
        <w:t xml:space="preserve">the </w:t>
      </w:r>
      <w:r>
        <w:t>discretionary waiving of penalties</w:t>
      </w:r>
      <w:r w:rsidR="00D45ED7">
        <w:t>.</w:t>
      </w:r>
      <w:r>
        <w:t xml:space="preserve"> </w:t>
      </w:r>
      <w:r w:rsidR="004C6814">
        <w:t>T</w:t>
      </w:r>
      <w:r>
        <w:t>hey note</w:t>
      </w:r>
      <w:r w:rsidR="00306F23">
        <w:t>d</w:t>
      </w:r>
      <w:r>
        <w:t xml:space="preserve"> that people with disabilities are usually imprisoned in</w:t>
      </w:r>
      <w:r w:rsidR="00C52807">
        <w:t xml:space="preserve"> the</w:t>
      </w:r>
      <w:r>
        <w:t xml:space="preserve"> lowest categories of offences, such as non-violent or traffic offences, and</w:t>
      </w:r>
      <w:r w:rsidR="00306F23">
        <w:t xml:space="preserve"> hoped that</w:t>
      </w:r>
      <w:r>
        <w:t xml:space="preserve"> the courts</w:t>
      </w:r>
      <w:r w:rsidR="00306F23">
        <w:t xml:space="preserve"> would be encouraged</w:t>
      </w:r>
      <w:r>
        <w:t xml:space="preserve"> to show discretion when assessing alternative pathways for people with disabilities</w:t>
      </w:r>
      <w:r w:rsidR="007F17A5">
        <w:t>.</w:t>
      </w:r>
      <w:r w:rsidR="00C52807">
        <w:rPr>
          <w:rStyle w:val="FootnoteReference"/>
        </w:rPr>
        <w:footnoteReference w:id="26"/>
      </w:r>
      <w:r>
        <w:t xml:space="preserve"> </w:t>
      </w:r>
    </w:p>
    <w:p w14:paraId="60056F6E" w14:textId="77777777" w:rsidR="00B33D5C" w:rsidRDefault="00B33D5C" w:rsidP="00B33D5C">
      <w:pPr>
        <w:pStyle w:val="ListNumber2"/>
        <w:numPr>
          <w:ilvl w:val="0"/>
          <w:numId w:val="0"/>
        </w:numPr>
        <w:ind w:left="851"/>
      </w:pPr>
    </w:p>
    <w:p w14:paraId="5182CC08" w14:textId="77777777" w:rsidR="00B33D5C" w:rsidRDefault="00B33D5C" w:rsidP="00B33D5C">
      <w:pPr>
        <w:pStyle w:val="ListNumber2"/>
        <w:numPr>
          <w:ilvl w:val="0"/>
          <w:numId w:val="0"/>
        </w:numPr>
        <w:ind w:left="851"/>
      </w:pPr>
    </w:p>
    <w:p w14:paraId="12DE0952" w14:textId="2EAF1280" w:rsidR="00B33D5C" w:rsidRDefault="00B33D5C" w:rsidP="00B33D5C">
      <w:pPr>
        <w:pStyle w:val="Heading1"/>
      </w:pPr>
      <w:bookmarkStart w:id="24" w:name="_Toc156389700"/>
      <w:r>
        <w:t>Conclusion</w:t>
      </w:r>
      <w:bookmarkEnd w:id="24"/>
      <w:r>
        <w:t xml:space="preserve"> </w:t>
      </w:r>
    </w:p>
    <w:tbl>
      <w:tblPr>
        <w:tblStyle w:val="Recommendationbox"/>
        <w:tblpPr w:leftFromText="180" w:rightFromText="180" w:vertAnchor="text" w:horzAnchor="margin" w:tblpXSpec="right" w:tblpY="818"/>
        <w:tblW w:w="0" w:type="auto"/>
        <w:tblInd w:w="0" w:type="dxa"/>
        <w:tblLook w:val="0600" w:firstRow="0" w:lastRow="0" w:firstColumn="0" w:lastColumn="0" w:noHBand="1" w:noVBand="1"/>
      </w:tblPr>
      <w:tblGrid>
        <w:gridCol w:w="8175"/>
      </w:tblGrid>
      <w:tr w:rsidR="00336D28" w14:paraId="409ABD52" w14:textId="77777777" w:rsidTr="00336D28">
        <w:tc>
          <w:tcPr>
            <w:tcW w:w="7891" w:type="dxa"/>
          </w:tcPr>
          <w:p w14:paraId="3514F863" w14:textId="77777777" w:rsidR="00336D28" w:rsidRDefault="00336D28" w:rsidP="00336D28">
            <w:pPr>
              <w:pStyle w:val="Recommendationheading"/>
            </w:pPr>
            <w:bookmarkStart w:id="25" w:name="_Toc153967546"/>
            <w:r>
              <w:t xml:space="preserve">Recommendation </w:t>
            </w:r>
            <w:r>
              <w:fldChar w:fldCharType="begin"/>
            </w:r>
            <w:r>
              <w:instrText xml:space="preserve"> AUTONUMLGL \* Arabic\e </w:instrText>
            </w:r>
            <w:r>
              <w:fldChar w:fldCharType="end"/>
            </w:r>
            <w:bookmarkEnd w:id="25"/>
          </w:p>
          <w:p w14:paraId="0089C6C2" w14:textId="77777777" w:rsidR="00336D28" w:rsidRPr="00AA719E" w:rsidRDefault="00336D28" w:rsidP="00336D28">
            <w:pPr>
              <w:pStyle w:val="Recommendationbody"/>
            </w:pPr>
            <w:bookmarkStart w:id="26" w:name="_Toc153967547"/>
            <w:r w:rsidRPr="00C52807">
              <w:t>The Committee recommends that t</w:t>
            </w:r>
            <w:r>
              <w:t>he Assembly pass the Crimes Legislation Amendment Bill 2023.</w:t>
            </w:r>
            <w:bookmarkEnd w:id="26"/>
          </w:p>
        </w:tc>
      </w:tr>
    </w:tbl>
    <w:p w14:paraId="43B55919" w14:textId="057D8144" w:rsidR="00B33D5C" w:rsidRDefault="00B33D5C" w:rsidP="0042286B">
      <w:pPr>
        <w:pStyle w:val="ListNumber2"/>
      </w:pPr>
      <w:r>
        <w:t xml:space="preserve">The Committee </w:t>
      </w:r>
      <w:r w:rsidR="00306F23">
        <w:t>makes</w:t>
      </w:r>
      <w:r>
        <w:t xml:space="preserve"> </w:t>
      </w:r>
      <w:r w:rsidR="00306F23">
        <w:t>one</w:t>
      </w:r>
      <w:r>
        <w:t xml:space="preserve"> </w:t>
      </w:r>
      <w:r w:rsidR="00336D28">
        <w:t>recommendation</w:t>
      </w:r>
      <w:r>
        <w:t xml:space="preserve"> </w:t>
      </w:r>
      <w:r w:rsidR="00336D28">
        <w:t xml:space="preserve">in relation to the Crimes Legislation Amendment Bill 2023. </w:t>
      </w:r>
    </w:p>
    <w:p w14:paraId="1B997E3C" w14:textId="77777777" w:rsidR="00E67EF6" w:rsidRDefault="00336D28" w:rsidP="00336D28">
      <w:pPr>
        <w:pStyle w:val="ListNumber2"/>
      </w:pPr>
      <w:r>
        <w:t xml:space="preserve">The Committee wishes to extend its appreciation to all those who made a submission to this inquiry for their valuable contributions in assisting and informing the Committee's deliberations. </w:t>
      </w:r>
    </w:p>
    <w:p w14:paraId="4B4BC514" w14:textId="77777777" w:rsidR="00E67EF6" w:rsidRDefault="00E67EF6" w:rsidP="00E67EF6">
      <w:pPr>
        <w:pStyle w:val="ListNumber2"/>
        <w:numPr>
          <w:ilvl w:val="0"/>
          <w:numId w:val="0"/>
        </w:numPr>
      </w:pPr>
    </w:p>
    <w:p w14:paraId="1149684F" w14:textId="77777777" w:rsidR="00E67EF6" w:rsidRDefault="00E67EF6" w:rsidP="00E67EF6">
      <w:pPr>
        <w:pStyle w:val="ListNumber2"/>
        <w:numPr>
          <w:ilvl w:val="0"/>
          <w:numId w:val="0"/>
        </w:numPr>
      </w:pPr>
    </w:p>
    <w:p w14:paraId="3F17129C" w14:textId="77777777" w:rsidR="00E67EF6" w:rsidRDefault="00E67EF6" w:rsidP="00E67EF6">
      <w:pPr>
        <w:pStyle w:val="ListNumber2"/>
        <w:numPr>
          <w:ilvl w:val="0"/>
          <w:numId w:val="0"/>
        </w:numPr>
      </w:pPr>
    </w:p>
    <w:p w14:paraId="4ECEBF3B" w14:textId="77777777" w:rsidR="00E67EF6" w:rsidRDefault="00E67EF6" w:rsidP="00E67EF6">
      <w:pPr>
        <w:pStyle w:val="ListNumber2"/>
        <w:numPr>
          <w:ilvl w:val="0"/>
          <w:numId w:val="0"/>
        </w:numPr>
      </w:pPr>
      <w:r>
        <w:t>Peter Cain MLA</w:t>
      </w:r>
    </w:p>
    <w:p w14:paraId="47689B9E" w14:textId="7B88FF8B" w:rsidR="00336D28" w:rsidRDefault="00E67EF6" w:rsidP="00E67EF6">
      <w:pPr>
        <w:pStyle w:val="ListNumber2"/>
        <w:numPr>
          <w:ilvl w:val="0"/>
          <w:numId w:val="0"/>
        </w:numPr>
      </w:pPr>
      <w:r>
        <w:t xml:space="preserve">   March 2024</w:t>
      </w:r>
      <w:r w:rsidR="00336D28">
        <w:br/>
      </w:r>
      <w:r w:rsidR="00336D28">
        <w:br/>
      </w:r>
      <w:r w:rsidR="00336D28">
        <w:br/>
      </w:r>
      <w:r w:rsidR="00336D28">
        <w:br/>
      </w:r>
      <w:r w:rsidR="00336D28">
        <w:br/>
      </w:r>
      <w:r w:rsidR="00336D28">
        <w:br/>
      </w:r>
      <w:r w:rsidR="00336D28">
        <w:br/>
      </w:r>
      <w:r w:rsidR="00336D28">
        <w:br/>
      </w:r>
      <w:r w:rsidR="00336D28">
        <w:br/>
      </w:r>
      <w:r w:rsidR="00336D28">
        <w:br/>
      </w:r>
      <w:r w:rsidR="00336D28">
        <w:br/>
      </w:r>
      <w:r w:rsidR="00336D28">
        <w:br/>
      </w:r>
      <w:r w:rsidR="00336D28">
        <w:br/>
      </w:r>
      <w:r w:rsidR="00336D28">
        <w:br/>
      </w:r>
      <w:r w:rsidR="00336D28">
        <w:br/>
      </w:r>
      <w:r w:rsidR="00336D28">
        <w:br/>
      </w:r>
      <w:r w:rsidR="00336D28">
        <w:br/>
      </w:r>
      <w:r w:rsidR="00336D28">
        <w:br/>
      </w:r>
      <w:r w:rsidR="00336D28">
        <w:br/>
      </w:r>
      <w:r w:rsidR="00336D28">
        <w:br/>
      </w:r>
      <w:r w:rsidR="00336D28">
        <w:br/>
      </w:r>
      <w:r w:rsidR="00336D28">
        <w:br/>
      </w:r>
      <w:r w:rsidR="00336D28">
        <w:br/>
      </w:r>
    </w:p>
    <w:p w14:paraId="3714BDE9" w14:textId="2A852E1B" w:rsidR="00EC262B" w:rsidRDefault="00EC262B">
      <w:pPr>
        <w:spacing w:line="259" w:lineRule="auto"/>
        <w:rPr>
          <w:rFonts w:cstheme="minorHAnsi"/>
          <w:bCs/>
          <w:color w:val="000000" w:themeColor="text1"/>
          <w:szCs w:val="20"/>
        </w:rPr>
      </w:pPr>
      <w:r>
        <w:br w:type="page"/>
      </w:r>
    </w:p>
    <w:p w14:paraId="7127DF32" w14:textId="25B75174" w:rsidR="00E833AA" w:rsidRDefault="00E833AA" w:rsidP="00247A37">
      <w:pPr>
        <w:pStyle w:val="Heading1nonumber"/>
      </w:pPr>
      <w:bookmarkStart w:id="27" w:name="_Toc156389701"/>
      <w:r>
        <w:t xml:space="preserve">Appendix </w:t>
      </w:r>
      <w:r w:rsidR="00247A37">
        <w:t>A</w:t>
      </w:r>
      <w:r>
        <w:t>: Submissions</w:t>
      </w:r>
      <w:bookmarkEnd w:id="27"/>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474F7D7C" w14:textId="78F8D10C"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870AE1" w14:paraId="518DACEC" w14:textId="4162D599"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0A44471D" w:rsidR="00870AE1" w:rsidRDefault="00870AE1" w:rsidP="00247A37">
            <w:pPr>
              <w:pStyle w:val="Tablebody"/>
            </w:pPr>
            <w:r>
              <w:t>1</w:t>
            </w:r>
          </w:p>
        </w:tc>
        <w:tc>
          <w:tcPr>
            <w:tcW w:w="5665" w:type="dxa"/>
          </w:tcPr>
          <w:p w14:paraId="2309834D" w14:textId="417A3EE6" w:rsidR="00870AE1" w:rsidRDefault="006D0B00" w:rsidP="00247A37">
            <w:pPr>
              <w:pStyle w:val="Tablebody"/>
            </w:pPr>
            <w:r>
              <w:t>Australian Federal Police Association</w:t>
            </w:r>
          </w:p>
        </w:tc>
        <w:tc>
          <w:tcPr>
            <w:tcW w:w="1346" w:type="dxa"/>
          </w:tcPr>
          <w:p w14:paraId="3EFED712" w14:textId="1F623348" w:rsidR="00870AE1" w:rsidRDefault="006D0B00" w:rsidP="00247A37">
            <w:pPr>
              <w:pStyle w:val="Tablebody"/>
            </w:pPr>
            <w:r>
              <w:t>28/11/2023</w:t>
            </w:r>
          </w:p>
        </w:tc>
        <w:tc>
          <w:tcPr>
            <w:tcW w:w="1347" w:type="dxa"/>
          </w:tcPr>
          <w:p w14:paraId="07A93217" w14:textId="5B83C997" w:rsidR="00870AE1" w:rsidRDefault="00336D28" w:rsidP="00247A37">
            <w:pPr>
              <w:pStyle w:val="Tablebody"/>
            </w:pPr>
            <w:r>
              <w:t>06</w:t>
            </w:r>
            <w:r w:rsidR="00870AE1">
              <w:t>/</w:t>
            </w:r>
            <w:r>
              <w:t>12</w:t>
            </w:r>
            <w:r w:rsidR="00870AE1">
              <w:t>/</w:t>
            </w:r>
            <w:r>
              <w:t>23</w:t>
            </w:r>
          </w:p>
        </w:tc>
      </w:tr>
      <w:tr w:rsidR="00870AE1" w14:paraId="52703D32" w14:textId="00F3583A"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32FBC57" w14:textId="0258696B" w:rsidR="00870AE1" w:rsidRDefault="00870AE1" w:rsidP="00247A37">
            <w:pPr>
              <w:pStyle w:val="Tablebody"/>
            </w:pPr>
            <w:r>
              <w:t>2</w:t>
            </w:r>
          </w:p>
        </w:tc>
        <w:tc>
          <w:tcPr>
            <w:tcW w:w="5665" w:type="dxa"/>
          </w:tcPr>
          <w:p w14:paraId="195930F2" w14:textId="329C36CE" w:rsidR="00870AE1" w:rsidRDefault="002C5BAC" w:rsidP="00247A37">
            <w:pPr>
              <w:pStyle w:val="Tablebody"/>
            </w:pPr>
            <w:r>
              <w:t xml:space="preserve">Advocacy for Inclusion </w:t>
            </w:r>
          </w:p>
        </w:tc>
        <w:tc>
          <w:tcPr>
            <w:tcW w:w="1346" w:type="dxa"/>
          </w:tcPr>
          <w:p w14:paraId="0DB77781" w14:textId="0D087987" w:rsidR="00870AE1" w:rsidRDefault="002C5BAC" w:rsidP="00247A37">
            <w:pPr>
              <w:pStyle w:val="Tablebody"/>
            </w:pPr>
            <w:r>
              <w:t>29/11/2023</w:t>
            </w:r>
          </w:p>
        </w:tc>
        <w:tc>
          <w:tcPr>
            <w:tcW w:w="1347" w:type="dxa"/>
          </w:tcPr>
          <w:p w14:paraId="128C6192" w14:textId="2EBC7F70" w:rsidR="00870AE1" w:rsidRDefault="00336D28" w:rsidP="00247A37">
            <w:pPr>
              <w:pStyle w:val="Tablebody"/>
            </w:pPr>
            <w:r w:rsidRPr="00336D28">
              <w:t>06/12/23</w:t>
            </w:r>
          </w:p>
        </w:tc>
      </w:tr>
      <w:tr w:rsidR="00870AE1" w14:paraId="6ECD9848" w14:textId="2E87CFDE"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89A380F" w14:textId="5770DA68" w:rsidR="00870AE1" w:rsidRDefault="00870AE1" w:rsidP="00247A37">
            <w:pPr>
              <w:pStyle w:val="Tablebody"/>
            </w:pPr>
            <w:r>
              <w:t>3</w:t>
            </w:r>
          </w:p>
        </w:tc>
        <w:tc>
          <w:tcPr>
            <w:tcW w:w="5665" w:type="dxa"/>
          </w:tcPr>
          <w:p w14:paraId="4F659747" w14:textId="7228474D" w:rsidR="00870AE1" w:rsidRDefault="002C5BAC" w:rsidP="00247A37">
            <w:pPr>
              <w:pStyle w:val="Tablebody"/>
            </w:pPr>
            <w:r>
              <w:t xml:space="preserve">Victims of Crime Commissioner </w:t>
            </w:r>
          </w:p>
        </w:tc>
        <w:tc>
          <w:tcPr>
            <w:tcW w:w="1346" w:type="dxa"/>
          </w:tcPr>
          <w:p w14:paraId="07695424" w14:textId="5347DD96" w:rsidR="00870AE1" w:rsidRDefault="002C5BAC" w:rsidP="00247A37">
            <w:pPr>
              <w:pStyle w:val="Tablebody"/>
            </w:pPr>
            <w:r>
              <w:t>29/11/2023</w:t>
            </w:r>
          </w:p>
        </w:tc>
        <w:tc>
          <w:tcPr>
            <w:tcW w:w="1347" w:type="dxa"/>
          </w:tcPr>
          <w:p w14:paraId="2B3E54F9" w14:textId="124D4021" w:rsidR="00870AE1" w:rsidRDefault="00336D28" w:rsidP="00247A37">
            <w:pPr>
              <w:pStyle w:val="Tablebody"/>
            </w:pPr>
            <w:r w:rsidRPr="00336D28">
              <w:t>06/12/23</w:t>
            </w:r>
          </w:p>
        </w:tc>
      </w:tr>
      <w:tr w:rsidR="002C5BAC" w14:paraId="68A2A3B0"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28EC6D2" w14:textId="0890E925" w:rsidR="002C5BAC" w:rsidRDefault="002C5BAC" w:rsidP="00247A37">
            <w:pPr>
              <w:pStyle w:val="Tablebody"/>
            </w:pPr>
            <w:r>
              <w:t>4</w:t>
            </w:r>
          </w:p>
        </w:tc>
        <w:tc>
          <w:tcPr>
            <w:tcW w:w="5665" w:type="dxa"/>
          </w:tcPr>
          <w:p w14:paraId="0A6E10A1" w14:textId="368738A8" w:rsidR="002C5BAC" w:rsidRDefault="002C5BAC" w:rsidP="00247A37">
            <w:pPr>
              <w:pStyle w:val="Tablebody"/>
            </w:pPr>
            <w:r>
              <w:t xml:space="preserve">ACT Law Society </w:t>
            </w:r>
          </w:p>
        </w:tc>
        <w:tc>
          <w:tcPr>
            <w:tcW w:w="1346" w:type="dxa"/>
          </w:tcPr>
          <w:p w14:paraId="3B8095A7" w14:textId="491AFE69" w:rsidR="002C5BAC" w:rsidRDefault="002C5BAC" w:rsidP="00247A37">
            <w:pPr>
              <w:pStyle w:val="Tablebody"/>
            </w:pPr>
            <w:r>
              <w:t>30/11/2023</w:t>
            </w:r>
          </w:p>
        </w:tc>
        <w:tc>
          <w:tcPr>
            <w:tcW w:w="1347" w:type="dxa"/>
          </w:tcPr>
          <w:p w14:paraId="4EFA051A" w14:textId="3D3FBBA7" w:rsidR="002C5BAC" w:rsidRDefault="00336D28" w:rsidP="00247A37">
            <w:pPr>
              <w:pStyle w:val="Tablebody"/>
            </w:pPr>
            <w:r w:rsidRPr="00336D28">
              <w:t>06/12/23</w:t>
            </w:r>
          </w:p>
        </w:tc>
      </w:tr>
    </w:tbl>
    <w:p w14:paraId="679974F4" w14:textId="605E48B6" w:rsidR="00EB3179" w:rsidRPr="00EB3179" w:rsidRDefault="00EB3179" w:rsidP="00247A37">
      <w:pPr>
        <w:spacing w:line="259" w:lineRule="auto"/>
      </w:pPr>
    </w:p>
    <w:sectPr w:rsidR="00EB3179" w:rsidRPr="00EB3179" w:rsidSect="00603367">
      <w:footerReference w:type="even" r:id="rId20"/>
      <w:footerReference w:type="default" r:id="rId21"/>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559F795-67B7-43DB-B26E-C70E1CB6645E}"/>
    <w:embedBold r:id="rId2" w:fontKey="{D58DB0A8-887F-4E81-9AF8-C9A8F78F7DE2}"/>
    <w:embedItalic r:id="rId3" w:fontKey="{9194FA94-D83D-4D38-BF08-8D71DF9E1945}"/>
    <w:embedBoldItalic r:id="rId4" w:fontKey="{6B94FD7C-F3D3-45B0-B0B0-8384C83F445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72E4107C-103E-48C8-9158-8FCBA566AD17}"/>
  </w:font>
  <w:font w:name="Montserrat">
    <w:panose1 w:val="00000500000000000000"/>
    <w:charset w:val="00"/>
    <w:family w:val="auto"/>
    <w:pitch w:val="variable"/>
    <w:sig w:usb0="2000020F" w:usb1="00000003" w:usb2="00000000" w:usb3="00000000" w:csb0="00000197" w:csb1="00000000"/>
    <w:embedRegular r:id="rId6" w:fontKey="{90C278F4-9C78-42F5-96B9-E58359955059}"/>
    <w:embedBold r:id="rId7" w:fontKey="{451B2F81-E9AE-4840-98AE-5B9F8FDDD386}"/>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D91A407D-9C0C-47B0-B5F3-E109957AA999}"/>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4BD39101"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67EF6">
      <w:rPr>
        <w:rFonts w:ascii="Montserrat SemiBold" w:hAnsi="Montserrat SemiBold" w:cstheme="majorHAnsi"/>
        <w:noProof/>
        <w:color w:val="2F5496"/>
        <w:w w:val="90"/>
        <w:sz w:val="18"/>
        <w:szCs w:val="18"/>
      </w:rPr>
      <w:t>Inquiry into the Crimes Legislation Amendment Bill 2023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4EE8D4BF"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A37EC3">
      <w:rPr>
        <w:rFonts w:cstheme="minorHAnsi"/>
        <w:noProof/>
        <w:color w:val="404040" w:themeColor="text1" w:themeTint="BF"/>
      </w:rPr>
      <w:t>Standing Committee on Justice and Community Safety</w:t>
    </w:r>
    <w:r w:rsidR="00A37EC3">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5A79A8FF" w:rsidR="00836FFE" w:rsidRPr="00C8358A" w:rsidRDefault="00E67EF6"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6ED65580"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E67EF6">
      <w:rPr>
        <w:rFonts w:cstheme="minorHAnsi"/>
        <w:color w:val="404040" w:themeColor="text1" w:themeTint="BF"/>
      </w:rPr>
      <w:t>23</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03565C4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A37EC3">
      <w:rPr>
        <w:rFonts w:cstheme="minorHAnsi"/>
        <w:noProof/>
        <w:color w:val="404040" w:themeColor="text1" w:themeTint="BF"/>
      </w:rPr>
      <w:t>March 2024</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F8F1" w14:textId="16CE7211" w:rsidR="00925A3D" w:rsidRPr="007A6EB9" w:rsidRDefault="00925A3D"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67EF6">
      <w:rPr>
        <w:rFonts w:ascii="Montserrat SemiBold" w:hAnsi="Montserrat SemiBold" w:cstheme="majorHAnsi"/>
        <w:noProof/>
        <w:color w:val="2F5496"/>
        <w:w w:val="90"/>
        <w:sz w:val="18"/>
        <w:szCs w:val="18"/>
      </w:rPr>
      <w:t>Inquiry into the Crimes Legislation Amendment Bill 2023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roman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i</w:t>
    </w:r>
    <w:r>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308C4365"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E67EF6">
      <w:rPr>
        <w:rFonts w:ascii="Montserrat SemiBold" w:hAnsi="Montserrat SemiBold" w:cstheme="majorHAnsi"/>
        <w:noProof/>
        <w:color w:val="2F5496"/>
        <w:w w:val="90"/>
        <w:sz w:val="18"/>
        <w:szCs w:val="18"/>
      </w:rPr>
      <w:t>Inquiry into the Crimes Legislation Amendment Bill 2023</w:t>
    </w:r>
    <w:r w:rsidRPr="00EE5B62">
      <w:rPr>
        <w:rFonts w:ascii="Montserrat SemiBold" w:hAnsi="Montserrat SemiBold" w:cstheme="majorHAnsi"/>
        <w:color w:val="2F5496"/>
        <w:w w:val="90"/>
        <w:sz w:val="18"/>
        <w:szCs w:val="18"/>
      </w:rPr>
      <w:fldChar w:fldCharType="end"/>
    </w:r>
  </w:p>
  <w:p w14:paraId="7DD0382B" w14:textId="77777777" w:rsidR="00761928" w:rsidRDefault="00761928"/>
  <w:p w14:paraId="75EE3D85" w14:textId="77777777" w:rsidR="00761928" w:rsidRDefault="0076192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600B98B8"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67EF6">
      <w:rPr>
        <w:rFonts w:ascii="Montserrat SemiBold" w:hAnsi="Montserrat SemiBold" w:cstheme="majorHAnsi"/>
        <w:noProof/>
        <w:color w:val="2F5496"/>
        <w:w w:val="90"/>
        <w:sz w:val="18"/>
        <w:szCs w:val="18"/>
      </w:rPr>
      <w:t>Inquiry into the Crimes Legislation Amendment Bill 2023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p w14:paraId="2B0BF2ED" w14:textId="77777777" w:rsidR="00761928" w:rsidRDefault="00761928"/>
  <w:p w14:paraId="562FBA60" w14:textId="77777777" w:rsidR="00761928" w:rsidRDefault="007619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6E45C206"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E67EF6">
      <w:rPr>
        <w:rFonts w:ascii="Montserrat SemiBold" w:hAnsi="Montserrat SemiBold" w:cstheme="majorHAnsi"/>
        <w:noProof/>
        <w:color w:val="2F5496"/>
        <w:w w:val="90"/>
        <w:sz w:val="18"/>
        <w:szCs w:val="18"/>
      </w:rPr>
      <w:t>Inquiry into the Crimes Legislation Amendment Bill 2023</w:t>
    </w:r>
    <w:r w:rsidRPr="00EE5B62">
      <w:rPr>
        <w:rFonts w:ascii="Montserrat SemiBold" w:hAnsi="Montserrat SemiBold" w:cstheme="majorHAnsi"/>
        <w:color w:val="2F5496"/>
        <w:w w:val="90"/>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0F0153DC"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67EF6">
      <w:rPr>
        <w:rFonts w:ascii="Montserrat SemiBold" w:hAnsi="Montserrat SemiBold" w:cstheme="majorHAnsi"/>
        <w:noProof/>
        <w:color w:val="2F5496"/>
        <w:w w:val="90"/>
        <w:sz w:val="18"/>
        <w:szCs w:val="18"/>
      </w:rPr>
      <w:t>Inquiry into the Crimes Legislation Amendment Bill 2023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46EEB960" w14:textId="2728FB2A" w:rsidR="00410C4F" w:rsidRPr="00F966F2" w:rsidRDefault="00410C4F">
      <w:pPr>
        <w:pStyle w:val="FootnoteText"/>
        <w:rPr>
          <w:sz w:val="18"/>
          <w:szCs w:val="18"/>
        </w:rPr>
      </w:pPr>
      <w:r w:rsidRPr="00762C3D">
        <w:rPr>
          <w:rStyle w:val="FootnoteReference"/>
          <w:sz w:val="18"/>
          <w:szCs w:val="18"/>
        </w:rPr>
        <w:footnoteRef/>
      </w:r>
      <w:r w:rsidRPr="00762C3D">
        <w:rPr>
          <w:sz w:val="18"/>
          <w:szCs w:val="18"/>
        </w:rPr>
        <w:t xml:space="preserve"> </w:t>
      </w:r>
      <w:r w:rsidR="00C52807" w:rsidRPr="00F966F2">
        <w:rPr>
          <w:sz w:val="18"/>
          <w:szCs w:val="18"/>
        </w:rPr>
        <w:t xml:space="preserve">Mr Shane Rattenbury MLA, Attorney-General, </w:t>
      </w:r>
      <w:r w:rsidR="00C52807" w:rsidRPr="00F966F2">
        <w:rPr>
          <w:i/>
          <w:iCs/>
          <w:sz w:val="18"/>
          <w:szCs w:val="18"/>
        </w:rPr>
        <w:t>Hansard</w:t>
      </w:r>
      <w:r w:rsidR="00C52807" w:rsidRPr="00F966F2">
        <w:rPr>
          <w:sz w:val="18"/>
          <w:szCs w:val="18"/>
        </w:rPr>
        <w:t>, 26 October, p 3437</w:t>
      </w:r>
      <w:r w:rsidR="000E6913" w:rsidRPr="00F966F2">
        <w:rPr>
          <w:sz w:val="18"/>
          <w:szCs w:val="18"/>
        </w:rPr>
        <w:t xml:space="preserve">. </w:t>
      </w:r>
    </w:p>
  </w:footnote>
  <w:footnote w:id="2">
    <w:p w14:paraId="62A28DB7" w14:textId="0CC840DC" w:rsidR="000E6913" w:rsidRPr="00F966F2" w:rsidRDefault="000E6913">
      <w:pPr>
        <w:pStyle w:val="FootnoteText"/>
        <w:rPr>
          <w:sz w:val="18"/>
          <w:szCs w:val="18"/>
        </w:rPr>
      </w:pPr>
      <w:r w:rsidRPr="00F966F2">
        <w:rPr>
          <w:rStyle w:val="FootnoteReference"/>
          <w:sz w:val="18"/>
          <w:szCs w:val="18"/>
        </w:rPr>
        <w:footnoteRef/>
      </w:r>
      <w:r w:rsidRPr="00F966F2">
        <w:rPr>
          <w:sz w:val="18"/>
          <w:szCs w:val="18"/>
        </w:rPr>
        <w:t xml:space="preserve"> </w:t>
      </w:r>
      <w:r w:rsidR="00C52807" w:rsidRPr="00F966F2">
        <w:rPr>
          <w:sz w:val="18"/>
          <w:szCs w:val="18"/>
        </w:rPr>
        <w:t xml:space="preserve">Mr Shane Rattenbury MLA, Attorney-General, </w:t>
      </w:r>
      <w:r w:rsidR="00C52807" w:rsidRPr="00F966F2">
        <w:rPr>
          <w:i/>
          <w:iCs/>
          <w:sz w:val="18"/>
          <w:szCs w:val="18"/>
        </w:rPr>
        <w:t>Hansard</w:t>
      </w:r>
      <w:r w:rsidR="00C52807" w:rsidRPr="00F966F2">
        <w:rPr>
          <w:sz w:val="18"/>
          <w:szCs w:val="18"/>
        </w:rPr>
        <w:t>, 26 October, p 3437.</w:t>
      </w:r>
    </w:p>
  </w:footnote>
  <w:footnote w:id="3">
    <w:p w14:paraId="14504704" w14:textId="7E44D581" w:rsidR="0038217F" w:rsidRPr="00F966F2" w:rsidRDefault="0038217F">
      <w:pPr>
        <w:pStyle w:val="FootnoteText"/>
        <w:rPr>
          <w:sz w:val="18"/>
          <w:szCs w:val="18"/>
        </w:rPr>
      </w:pPr>
      <w:r w:rsidRPr="00F966F2">
        <w:rPr>
          <w:rStyle w:val="FootnoteReference"/>
          <w:sz w:val="18"/>
          <w:szCs w:val="18"/>
        </w:rPr>
        <w:footnoteRef/>
      </w:r>
      <w:r w:rsidRPr="00F966F2">
        <w:rPr>
          <w:sz w:val="18"/>
          <w:szCs w:val="18"/>
        </w:rPr>
        <w:t xml:space="preserve"> </w:t>
      </w:r>
      <w:r w:rsidR="00C52807" w:rsidRPr="00F966F2">
        <w:rPr>
          <w:sz w:val="18"/>
          <w:szCs w:val="18"/>
        </w:rPr>
        <w:t xml:space="preserve">Mr Shane Rattenbury MLA, Attorney-General, </w:t>
      </w:r>
      <w:r w:rsidR="00C52807" w:rsidRPr="00F966F2">
        <w:rPr>
          <w:i/>
          <w:iCs/>
          <w:sz w:val="18"/>
          <w:szCs w:val="18"/>
        </w:rPr>
        <w:t>Hansard</w:t>
      </w:r>
      <w:r w:rsidR="00C52807" w:rsidRPr="00F966F2">
        <w:rPr>
          <w:sz w:val="18"/>
          <w:szCs w:val="18"/>
        </w:rPr>
        <w:t>, 26 October, p 3437.</w:t>
      </w:r>
    </w:p>
  </w:footnote>
  <w:footnote w:id="4">
    <w:p w14:paraId="50C445FB" w14:textId="16E8942F" w:rsidR="00FA7D5E" w:rsidRPr="00F966F2" w:rsidRDefault="00FA7D5E">
      <w:pPr>
        <w:pStyle w:val="FootnoteText"/>
        <w:rPr>
          <w:sz w:val="18"/>
          <w:szCs w:val="18"/>
        </w:rPr>
      </w:pPr>
      <w:r w:rsidRPr="00F966F2">
        <w:rPr>
          <w:rStyle w:val="FootnoteReference"/>
          <w:sz w:val="18"/>
          <w:szCs w:val="18"/>
        </w:rPr>
        <w:footnoteRef/>
      </w:r>
      <w:r w:rsidRPr="00F966F2">
        <w:rPr>
          <w:sz w:val="18"/>
          <w:szCs w:val="18"/>
        </w:rPr>
        <w:t xml:space="preserve"> </w:t>
      </w:r>
      <w:r w:rsidR="00C52807" w:rsidRPr="00F966F2">
        <w:rPr>
          <w:sz w:val="18"/>
          <w:szCs w:val="18"/>
        </w:rPr>
        <w:t xml:space="preserve">Mr Shane Rattenbury MLA, Attorney-General, </w:t>
      </w:r>
      <w:r w:rsidR="00C52807" w:rsidRPr="00F966F2">
        <w:rPr>
          <w:i/>
          <w:iCs/>
          <w:sz w:val="18"/>
          <w:szCs w:val="18"/>
        </w:rPr>
        <w:t>Hansard</w:t>
      </w:r>
      <w:r w:rsidR="00C52807" w:rsidRPr="00F966F2">
        <w:rPr>
          <w:sz w:val="18"/>
          <w:szCs w:val="18"/>
        </w:rPr>
        <w:t>, 26 October, p 3438.</w:t>
      </w:r>
    </w:p>
  </w:footnote>
  <w:footnote w:id="5">
    <w:p w14:paraId="155CDAFE" w14:textId="2B5CBB58" w:rsidR="008744A1" w:rsidRPr="00762C3D" w:rsidRDefault="008744A1">
      <w:pPr>
        <w:pStyle w:val="FootnoteText"/>
        <w:rPr>
          <w:sz w:val="18"/>
          <w:szCs w:val="18"/>
        </w:rPr>
      </w:pPr>
      <w:r w:rsidRPr="00F966F2">
        <w:rPr>
          <w:rStyle w:val="FootnoteReference"/>
          <w:sz w:val="18"/>
          <w:szCs w:val="18"/>
        </w:rPr>
        <w:footnoteRef/>
      </w:r>
      <w:r w:rsidRPr="00F966F2">
        <w:rPr>
          <w:sz w:val="18"/>
          <w:szCs w:val="18"/>
        </w:rPr>
        <w:t xml:space="preserve"> </w:t>
      </w:r>
      <w:r w:rsidR="00C52807" w:rsidRPr="00F966F2">
        <w:rPr>
          <w:sz w:val="18"/>
          <w:szCs w:val="18"/>
        </w:rPr>
        <w:t xml:space="preserve">Mr Shane Rattenbury MLA, Attorney-General, </w:t>
      </w:r>
      <w:r w:rsidR="00C52807" w:rsidRPr="00F966F2">
        <w:rPr>
          <w:i/>
          <w:iCs/>
          <w:sz w:val="18"/>
          <w:szCs w:val="18"/>
        </w:rPr>
        <w:t>Hansard</w:t>
      </w:r>
      <w:r w:rsidR="00C52807" w:rsidRPr="00F966F2">
        <w:rPr>
          <w:sz w:val="18"/>
          <w:szCs w:val="18"/>
        </w:rPr>
        <w:t>, 26 October, p 3438.</w:t>
      </w:r>
    </w:p>
  </w:footnote>
  <w:footnote w:id="6">
    <w:p w14:paraId="3A35CDA3" w14:textId="77777777" w:rsidR="0013461A" w:rsidRDefault="0013461A" w:rsidP="0013461A">
      <w:pPr>
        <w:pStyle w:val="FootnoteText"/>
      </w:pPr>
      <w:r w:rsidRPr="00762C3D">
        <w:rPr>
          <w:rStyle w:val="FootnoteReference"/>
          <w:sz w:val="18"/>
          <w:szCs w:val="18"/>
        </w:rPr>
        <w:footnoteRef/>
      </w:r>
      <w:r w:rsidRPr="00762C3D">
        <w:rPr>
          <w:sz w:val="18"/>
          <w:szCs w:val="18"/>
        </w:rPr>
        <w:t xml:space="preserve"> Crimes Legislation Amendment Bill 2023, </w:t>
      </w:r>
      <w:r w:rsidRPr="00762C3D">
        <w:rPr>
          <w:i/>
          <w:iCs/>
          <w:sz w:val="18"/>
          <w:szCs w:val="18"/>
        </w:rPr>
        <w:t>Explanatory Statement and Human Rights Compatibility Statement</w:t>
      </w:r>
      <w:r>
        <w:rPr>
          <w:i/>
          <w:iCs/>
          <w:sz w:val="18"/>
          <w:szCs w:val="18"/>
        </w:rPr>
        <w:t>,</w:t>
      </w:r>
      <w:r w:rsidRPr="00762C3D">
        <w:rPr>
          <w:sz w:val="18"/>
          <w:szCs w:val="18"/>
        </w:rPr>
        <w:t xml:space="preserve"> p 2.</w:t>
      </w:r>
      <w:r>
        <w:t xml:space="preserve"> </w:t>
      </w:r>
    </w:p>
  </w:footnote>
  <w:footnote w:id="7">
    <w:p w14:paraId="600D02A9" w14:textId="7304BFB6" w:rsidR="00995963" w:rsidRPr="00762C3D" w:rsidRDefault="00995963" w:rsidP="00995963">
      <w:pPr>
        <w:pStyle w:val="FootnoteText"/>
        <w:rPr>
          <w:sz w:val="18"/>
          <w:szCs w:val="18"/>
        </w:rPr>
      </w:pPr>
      <w:r w:rsidRPr="00762C3D">
        <w:rPr>
          <w:rStyle w:val="FootnoteReference"/>
          <w:sz w:val="18"/>
          <w:szCs w:val="18"/>
        </w:rPr>
        <w:footnoteRef/>
      </w:r>
      <w:r w:rsidRPr="00762C3D">
        <w:rPr>
          <w:sz w:val="18"/>
          <w:szCs w:val="18"/>
        </w:rPr>
        <w:t xml:space="preserve"> </w:t>
      </w:r>
      <w:r w:rsidR="00AD78AD">
        <w:rPr>
          <w:sz w:val="18"/>
          <w:szCs w:val="18"/>
        </w:rPr>
        <w:t xml:space="preserve">Standing Committee on </w:t>
      </w:r>
      <w:r w:rsidRPr="00762C3D">
        <w:rPr>
          <w:sz w:val="18"/>
          <w:szCs w:val="18"/>
        </w:rPr>
        <w:t>Justice and Community Safety</w:t>
      </w:r>
      <w:r w:rsidR="00D60953">
        <w:rPr>
          <w:sz w:val="18"/>
          <w:szCs w:val="18"/>
        </w:rPr>
        <w:t xml:space="preserve"> </w:t>
      </w:r>
      <w:r w:rsidRPr="00762C3D">
        <w:rPr>
          <w:sz w:val="18"/>
          <w:szCs w:val="18"/>
        </w:rPr>
        <w:t>(Legislative Scrutiny</w:t>
      </w:r>
      <w:r w:rsidR="00AD78AD">
        <w:rPr>
          <w:sz w:val="18"/>
          <w:szCs w:val="18"/>
        </w:rPr>
        <w:t xml:space="preserve"> role</w:t>
      </w:r>
      <w:r w:rsidRPr="00762C3D">
        <w:rPr>
          <w:sz w:val="18"/>
          <w:szCs w:val="18"/>
        </w:rPr>
        <w:t xml:space="preserve">), </w:t>
      </w:r>
      <w:r w:rsidRPr="00762C3D">
        <w:rPr>
          <w:i/>
          <w:iCs/>
          <w:sz w:val="18"/>
          <w:szCs w:val="18"/>
        </w:rPr>
        <w:t>Scrutiny Report 37</w:t>
      </w:r>
      <w:r w:rsidRPr="00762C3D">
        <w:rPr>
          <w:sz w:val="18"/>
          <w:szCs w:val="18"/>
        </w:rPr>
        <w:t xml:space="preserve">, 21 November 2023, p 2. </w:t>
      </w:r>
    </w:p>
  </w:footnote>
  <w:footnote w:id="8">
    <w:p w14:paraId="19094221" w14:textId="49E7BCD0" w:rsidR="00995963" w:rsidRDefault="00995963">
      <w:pPr>
        <w:pStyle w:val="FootnoteText"/>
      </w:pPr>
      <w:r w:rsidRPr="00762C3D">
        <w:rPr>
          <w:rStyle w:val="FootnoteReference"/>
          <w:sz w:val="18"/>
          <w:szCs w:val="18"/>
        </w:rPr>
        <w:footnoteRef/>
      </w:r>
      <w:r w:rsidRPr="00762C3D">
        <w:rPr>
          <w:sz w:val="18"/>
          <w:szCs w:val="18"/>
        </w:rPr>
        <w:t xml:space="preserve"> </w:t>
      </w:r>
      <w:r w:rsidR="00AD78AD">
        <w:rPr>
          <w:sz w:val="18"/>
          <w:szCs w:val="18"/>
        </w:rPr>
        <w:t xml:space="preserve">Standing Committee on </w:t>
      </w:r>
      <w:r w:rsidRPr="00762C3D">
        <w:rPr>
          <w:sz w:val="18"/>
          <w:szCs w:val="18"/>
        </w:rPr>
        <w:t>Justice and Community Safety Committee (Legislative Scrutiny</w:t>
      </w:r>
      <w:r w:rsidR="00AD78AD">
        <w:rPr>
          <w:sz w:val="18"/>
          <w:szCs w:val="18"/>
        </w:rPr>
        <w:t xml:space="preserve"> role</w:t>
      </w:r>
      <w:r w:rsidRPr="00762C3D">
        <w:rPr>
          <w:sz w:val="18"/>
          <w:szCs w:val="18"/>
        </w:rPr>
        <w:t xml:space="preserve">), </w:t>
      </w:r>
      <w:r w:rsidRPr="00762C3D">
        <w:rPr>
          <w:i/>
          <w:iCs/>
          <w:sz w:val="18"/>
          <w:szCs w:val="18"/>
        </w:rPr>
        <w:t>Scrutiny Report 37</w:t>
      </w:r>
      <w:r w:rsidRPr="00762C3D">
        <w:rPr>
          <w:sz w:val="18"/>
          <w:szCs w:val="18"/>
        </w:rPr>
        <w:t>, 21 November 2023, p 2.</w:t>
      </w:r>
    </w:p>
  </w:footnote>
  <w:footnote w:id="9">
    <w:p w14:paraId="180DEE21" w14:textId="086C428A" w:rsidR="00657557" w:rsidRPr="00762C3D" w:rsidRDefault="00657557" w:rsidP="00657557">
      <w:pPr>
        <w:pStyle w:val="FootnoteText"/>
        <w:rPr>
          <w:sz w:val="18"/>
          <w:szCs w:val="18"/>
        </w:rPr>
      </w:pPr>
      <w:r w:rsidRPr="00762C3D">
        <w:rPr>
          <w:rStyle w:val="FootnoteReference"/>
          <w:sz w:val="18"/>
          <w:szCs w:val="18"/>
        </w:rPr>
        <w:footnoteRef/>
      </w:r>
      <w:r w:rsidRPr="00762C3D">
        <w:rPr>
          <w:sz w:val="18"/>
          <w:szCs w:val="18"/>
        </w:rPr>
        <w:t xml:space="preserve"> ACT Supreme Court, </w:t>
      </w:r>
      <w:r w:rsidRPr="00F966F2">
        <w:rPr>
          <w:i/>
          <w:iCs/>
          <w:sz w:val="18"/>
          <w:szCs w:val="18"/>
        </w:rPr>
        <w:t>Jurors</w:t>
      </w:r>
      <w:r w:rsidRPr="00762C3D">
        <w:rPr>
          <w:sz w:val="18"/>
          <w:szCs w:val="18"/>
        </w:rPr>
        <w:t xml:space="preserve">, </w:t>
      </w:r>
      <w:hyperlink r:id="rId1" w:history="1">
        <w:r w:rsidRPr="00762C3D">
          <w:rPr>
            <w:rStyle w:val="Hyperlink"/>
            <w:sz w:val="18"/>
            <w:szCs w:val="18"/>
          </w:rPr>
          <w:t>https://www.courts.act.gov.au/supreme/coming-to-court/jurors</w:t>
        </w:r>
      </w:hyperlink>
      <w:r w:rsidRPr="00762C3D">
        <w:rPr>
          <w:sz w:val="18"/>
          <w:szCs w:val="18"/>
        </w:rPr>
        <w:t xml:space="preserve"> (accessed on 28 November 2023)</w:t>
      </w:r>
      <w:r w:rsidR="00AD78AD">
        <w:rPr>
          <w:sz w:val="18"/>
          <w:szCs w:val="18"/>
        </w:rPr>
        <w:t>.</w:t>
      </w:r>
    </w:p>
  </w:footnote>
  <w:footnote w:id="10">
    <w:p w14:paraId="5AC26199" w14:textId="3CB60138" w:rsidR="00DC74F5" w:rsidRPr="00762C3D" w:rsidRDefault="00DC74F5">
      <w:pPr>
        <w:pStyle w:val="FootnoteText"/>
        <w:rPr>
          <w:sz w:val="18"/>
          <w:szCs w:val="18"/>
        </w:rPr>
      </w:pPr>
      <w:r w:rsidRPr="00762C3D">
        <w:rPr>
          <w:rStyle w:val="FootnoteReference"/>
          <w:sz w:val="18"/>
          <w:szCs w:val="18"/>
        </w:rPr>
        <w:footnoteRef/>
      </w:r>
      <w:r w:rsidRPr="00762C3D">
        <w:rPr>
          <w:sz w:val="18"/>
          <w:szCs w:val="18"/>
        </w:rPr>
        <w:t xml:space="preserve"> </w:t>
      </w:r>
      <w:r w:rsidR="00B71413" w:rsidRPr="00762C3D">
        <w:rPr>
          <w:sz w:val="18"/>
          <w:szCs w:val="18"/>
        </w:rPr>
        <w:t>Victims of Crime Commissioner</w:t>
      </w:r>
      <w:r w:rsidRPr="00762C3D">
        <w:rPr>
          <w:sz w:val="18"/>
          <w:szCs w:val="18"/>
        </w:rPr>
        <w:t>,</w:t>
      </w:r>
      <w:r w:rsidR="00B71413" w:rsidRPr="00762C3D">
        <w:rPr>
          <w:sz w:val="18"/>
          <w:szCs w:val="18"/>
        </w:rPr>
        <w:t xml:space="preserve"> </w:t>
      </w:r>
      <w:r w:rsidR="00B71413" w:rsidRPr="00762C3D">
        <w:rPr>
          <w:i/>
          <w:iCs/>
          <w:sz w:val="18"/>
          <w:szCs w:val="18"/>
        </w:rPr>
        <w:t>Submission 003</w:t>
      </w:r>
      <w:r w:rsidR="00F966F2">
        <w:rPr>
          <w:i/>
          <w:iCs/>
          <w:sz w:val="18"/>
          <w:szCs w:val="18"/>
        </w:rPr>
        <w:t>,</w:t>
      </w:r>
      <w:r w:rsidRPr="00762C3D">
        <w:rPr>
          <w:sz w:val="18"/>
          <w:szCs w:val="18"/>
        </w:rPr>
        <w:t xml:space="preserve"> p</w:t>
      </w:r>
      <w:r w:rsidR="0010027D">
        <w:rPr>
          <w:sz w:val="18"/>
          <w:szCs w:val="18"/>
        </w:rPr>
        <w:t>p</w:t>
      </w:r>
      <w:r w:rsidRPr="00762C3D">
        <w:rPr>
          <w:sz w:val="18"/>
          <w:szCs w:val="18"/>
        </w:rPr>
        <w:t xml:space="preserve"> </w:t>
      </w:r>
      <w:r w:rsidR="00FE7BB8" w:rsidRPr="00762C3D">
        <w:rPr>
          <w:sz w:val="18"/>
          <w:szCs w:val="18"/>
        </w:rPr>
        <w:t>3</w:t>
      </w:r>
      <w:r w:rsidR="00E95BA7">
        <w:rPr>
          <w:sz w:val="18"/>
          <w:szCs w:val="18"/>
        </w:rPr>
        <w:t>–</w:t>
      </w:r>
      <w:r w:rsidR="00FE7BB8" w:rsidRPr="00762C3D">
        <w:rPr>
          <w:sz w:val="18"/>
          <w:szCs w:val="18"/>
        </w:rPr>
        <w:t>4</w:t>
      </w:r>
      <w:r w:rsidRPr="00762C3D">
        <w:rPr>
          <w:sz w:val="18"/>
          <w:szCs w:val="18"/>
        </w:rPr>
        <w:t xml:space="preserve">. </w:t>
      </w:r>
    </w:p>
  </w:footnote>
  <w:footnote w:id="11">
    <w:p w14:paraId="7D32A47B" w14:textId="56825BE1" w:rsidR="00FE7BB8" w:rsidRPr="00762C3D" w:rsidRDefault="00FE7BB8">
      <w:pPr>
        <w:pStyle w:val="FootnoteText"/>
        <w:rPr>
          <w:sz w:val="18"/>
          <w:szCs w:val="18"/>
        </w:rPr>
      </w:pPr>
      <w:r w:rsidRPr="00762C3D">
        <w:rPr>
          <w:rStyle w:val="FootnoteReference"/>
          <w:sz w:val="18"/>
          <w:szCs w:val="18"/>
        </w:rPr>
        <w:footnoteRef/>
      </w:r>
      <w:r w:rsidRPr="00762C3D">
        <w:rPr>
          <w:sz w:val="18"/>
          <w:szCs w:val="18"/>
        </w:rPr>
        <w:t xml:space="preserve"> </w:t>
      </w:r>
      <w:r w:rsidR="00E31712" w:rsidRPr="00762C3D">
        <w:rPr>
          <w:sz w:val="18"/>
          <w:szCs w:val="18"/>
        </w:rPr>
        <w:t>Victims of Crime Commissioner, Submission 003</w:t>
      </w:r>
      <w:r w:rsidR="00F966F2">
        <w:rPr>
          <w:sz w:val="18"/>
          <w:szCs w:val="18"/>
        </w:rPr>
        <w:t>,</w:t>
      </w:r>
      <w:r w:rsidR="00E31712" w:rsidRPr="00762C3D">
        <w:rPr>
          <w:sz w:val="18"/>
          <w:szCs w:val="18"/>
        </w:rPr>
        <w:t xml:space="preserve"> p 4.</w:t>
      </w:r>
    </w:p>
  </w:footnote>
  <w:footnote w:id="12">
    <w:p w14:paraId="10AF2DB0" w14:textId="65E72FD8" w:rsidR="00EC262B" w:rsidRDefault="00EC262B">
      <w:pPr>
        <w:pStyle w:val="FootnoteText"/>
      </w:pPr>
      <w:r>
        <w:rPr>
          <w:rStyle w:val="FootnoteReference"/>
        </w:rPr>
        <w:footnoteRef/>
      </w:r>
      <w:r>
        <w:t xml:space="preserve"> </w:t>
      </w:r>
      <w:r w:rsidRPr="00EC262B">
        <w:rPr>
          <w:sz w:val="18"/>
          <w:szCs w:val="18"/>
        </w:rPr>
        <w:t xml:space="preserve">ACT Law Society, </w:t>
      </w:r>
      <w:r w:rsidRPr="00EC262B">
        <w:rPr>
          <w:i/>
          <w:iCs/>
          <w:sz w:val="18"/>
          <w:szCs w:val="18"/>
        </w:rPr>
        <w:t>Submission 004</w:t>
      </w:r>
      <w:r w:rsidRPr="00EC262B">
        <w:rPr>
          <w:sz w:val="18"/>
          <w:szCs w:val="18"/>
        </w:rPr>
        <w:t>, p 2.</w:t>
      </w:r>
      <w:r>
        <w:t xml:space="preserve"> </w:t>
      </w:r>
    </w:p>
  </w:footnote>
  <w:footnote w:id="13">
    <w:p w14:paraId="13691FFC" w14:textId="77777777" w:rsidR="00657557" w:rsidRPr="00762C3D" w:rsidRDefault="00657557" w:rsidP="00657557">
      <w:pPr>
        <w:pStyle w:val="FootnoteText"/>
        <w:rPr>
          <w:sz w:val="18"/>
          <w:szCs w:val="18"/>
        </w:rPr>
      </w:pPr>
      <w:r w:rsidRPr="00762C3D">
        <w:rPr>
          <w:rStyle w:val="FootnoteReference"/>
          <w:sz w:val="18"/>
          <w:szCs w:val="18"/>
        </w:rPr>
        <w:footnoteRef/>
      </w:r>
      <w:r w:rsidRPr="00762C3D">
        <w:rPr>
          <w:sz w:val="18"/>
          <w:szCs w:val="18"/>
        </w:rPr>
        <w:t xml:space="preserve"> ACT Law Society, </w:t>
      </w:r>
      <w:r w:rsidRPr="00762C3D">
        <w:rPr>
          <w:i/>
          <w:iCs/>
          <w:sz w:val="18"/>
          <w:szCs w:val="18"/>
        </w:rPr>
        <w:t>Submission 004</w:t>
      </w:r>
      <w:r w:rsidRPr="00762C3D">
        <w:rPr>
          <w:sz w:val="18"/>
          <w:szCs w:val="18"/>
        </w:rPr>
        <w:t>, p 2.</w:t>
      </w:r>
    </w:p>
  </w:footnote>
  <w:footnote w:id="14">
    <w:p w14:paraId="4D8AA8E0" w14:textId="31F6637A" w:rsidR="00E31712" w:rsidRPr="00762C3D" w:rsidRDefault="00E31712">
      <w:pPr>
        <w:pStyle w:val="FootnoteText"/>
        <w:rPr>
          <w:sz w:val="18"/>
          <w:szCs w:val="18"/>
        </w:rPr>
      </w:pPr>
      <w:r w:rsidRPr="00762C3D">
        <w:rPr>
          <w:rStyle w:val="FootnoteReference"/>
          <w:sz w:val="18"/>
          <w:szCs w:val="18"/>
        </w:rPr>
        <w:footnoteRef/>
      </w:r>
      <w:r w:rsidRPr="00762C3D">
        <w:rPr>
          <w:sz w:val="18"/>
          <w:szCs w:val="18"/>
        </w:rPr>
        <w:t xml:space="preserve"> ACT Law Society, </w:t>
      </w:r>
      <w:r w:rsidRPr="00762C3D">
        <w:rPr>
          <w:i/>
          <w:iCs/>
          <w:sz w:val="18"/>
          <w:szCs w:val="18"/>
        </w:rPr>
        <w:t>Submission 004</w:t>
      </w:r>
      <w:r w:rsidRPr="00762C3D">
        <w:rPr>
          <w:sz w:val="18"/>
          <w:szCs w:val="18"/>
        </w:rPr>
        <w:t>, p 2.</w:t>
      </w:r>
    </w:p>
  </w:footnote>
  <w:footnote w:id="15">
    <w:p w14:paraId="73CDDA7C" w14:textId="3F6A4BC1" w:rsidR="00F90CFD" w:rsidRDefault="00F90CFD">
      <w:pPr>
        <w:pStyle w:val="FootnoteText"/>
      </w:pPr>
      <w:r w:rsidRPr="00762C3D">
        <w:rPr>
          <w:rStyle w:val="FootnoteReference"/>
          <w:sz w:val="18"/>
          <w:szCs w:val="18"/>
        </w:rPr>
        <w:footnoteRef/>
      </w:r>
      <w:r w:rsidRPr="00762C3D">
        <w:rPr>
          <w:sz w:val="18"/>
          <w:szCs w:val="18"/>
        </w:rPr>
        <w:t xml:space="preserve"> ACT Law Society, </w:t>
      </w:r>
      <w:r w:rsidRPr="00762C3D">
        <w:rPr>
          <w:i/>
          <w:iCs/>
          <w:sz w:val="18"/>
          <w:szCs w:val="18"/>
        </w:rPr>
        <w:t>Submission 004</w:t>
      </w:r>
      <w:r w:rsidRPr="00762C3D">
        <w:rPr>
          <w:sz w:val="18"/>
          <w:szCs w:val="18"/>
        </w:rPr>
        <w:t xml:space="preserve">, p </w:t>
      </w:r>
      <w:r w:rsidR="00E31712" w:rsidRPr="00762C3D">
        <w:rPr>
          <w:sz w:val="18"/>
          <w:szCs w:val="18"/>
        </w:rPr>
        <w:t>3</w:t>
      </w:r>
      <w:r w:rsidRPr="00762C3D">
        <w:rPr>
          <w:sz w:val="18"/>
          <w:szCs w:val="18"/>
        </w:rPr>
        <w:t>.</w:t>
      </w:r>
      <w:r>
        <w:t xml:space="preserve"> </w:t>
      </w:r>
    </w:p>
  </w:footnote>
  <w:footnote w:id="16">
    <w:p w14:paraId="57FB0AC1" w14:textId="046C1B83" w:rsidR="0024276D" w:rsidRPr="00762C3D" w:rsidRDefault="0024276D" w:rsidP="0024276D">
      <w:pPr>
        <w:pStyle w:val="FootnoteText"/>
        <w:rPr>
          <w:sz w:val="18"/>
          <w:szCs w:val="18"/>
        </w:rPr>
      </w:pPr>
      <w:r w:rsidRPr="00762C3D">
        <w:rPr>
          <w:rStyle w:val="FootnoteReference"/>
          <w:sz w:val="18"/>
          <w:szCs w:val="18"/>
        </w:rPr>
        <w:footnoteRef/>
      </w:r>
      <w:r w:rsidRPr="00762C3D">
        <w:rPr>
          <w:sz w:val="18"/>
          <w:szCs w:val="18"/>
        </w:rPr>
        <w:t xml:space="preserve"> ACT Supreme Court, </w:t>
      </w:r>
      <w:hyperlink r:id="rId2" w:history="1">
        <w:r w:rsidRPr="00F966F2">
          <w:rPr>
            <w:rStyle w:val="Hyperlink"/>
            <w:i/>
            <w:iCs/>
            <w:sz w:val="18"/>
            <w:szCs w:val="18"/>
          </w:rPr>
          <w:t>Jury Handbook</w:t>
        </w:r>
      </w:hyperlink>
      <w:r w:rsidRPr="00762C3D">
        <w:rPr>
          <w:sz w:val="18"/>
          <w:szCs w:val="18"/>
        </w:rPr>
        <w:t xml:space="preserve">, </w:t>
      </w:r>
      <w:r w:rsidR="00F966F2">
        <w:rPr>
          <w:sz w:val="18"/>
          <w:szCs w:val="18"/>
        </w:rPr>
        <w:t xml:space="preserve">18 </w:t>
      </w:r>
      <w:r w:rsidRPr="00762C3D">
        <w:rPr>
          <w:sz w:val="18"/>
          <w:szCs w:val="18"/>
        </w:rPr>
        <w:t>July 2023, p 13.</w:t>
      </w:r>
    </w:p>
  </w:footnote>
  <w:footnote w:id="17">
    <w:p w14:paraId="085D7B92" w14:textId="1D0E00DC" w:rsidR="006E59F4" w:rsidRPr="00762C3D" w:rsidRDefault="006E59F4" w:rsidP="006E59F4">
      <w:pPr>
        <w:pStyle w:val="FootnoteText"/>
        <w:rPr>
          <w:sz w:val="18"/>
          <w:szCs w:val="18"/>
        </w:rPr>
      </w:pPr>
      <w:r w:rsidRPr="00762C3D">
        <w:rPr>
          <w:rStyle w:val="FootnoteReference"/>
          <w:sz w:val="18"/>
          <w:szCs w:val="18"/>
        </w:rPr>
        <w:footnoteRef/>
      </w:r>
      <w:r w:rsidRPr="00762C3D">
        <w:rPr>
          <w:sz w:val="18"/>
          <w:szCs w:val="18"/>
        </w:rPr>
        <w:t xml:space="preserve"> </w:t>
      </w:r>
      <w:r w:rsidRPr="00762C3D">
        <w:rPr>
          <w:i/>
          <w:iCs/>
          <w:sz w:val="18"/>
          <w:szCs w:val="18"/>
        </w:rPr>
        <w:t>Jury Act 1977</w:t>
      </w:r>
      <w:r w:rsidRPr="00762C3D">
        <w:rPr>
          <w:sz w:val="18"/>
          <w:szCs w:val="18"/>
        </w:rPr>
        <w:t xml:space="preserve"> (NSW)</w:t>
      </w:r>
      <w:r w:rsidR="00762C3D" w:rsidRPr="00762C3D">
        <w:rPr>
          <w:sz w:val="18"/>
          <w:szCs w:val="18"/>
        </w:rPr>
        <w:t xml:space="preserve">, </w:t>
      </w:r>
      <w:r w:rsidR="00F966F2">
        <w:rPr>
          <w:sz w:val="18"/>
          <w:szCs w:val="18"/>
        </w:rPr>
        <w:t>s</w:t>
      </w:r>
      <w:r w:rsidR="00762C3D" w:rsidRPr="00762C3D">
        <w:rPr>
          <w:sz w:val="18"/>
          <w:szCs w:val="18"/>
        </w:rPr>
        <w:t xml:space="preserve"> 68C</w:t>
      </w:r>
      <w:r w:rsidR="0010027D">
        <w:rPr>
          <w:sz w:val="18"/>
          <w:szCs w:val="18"/>
        </w:rPr>
        <w:t>.</w:t>
      </w:r>
    </w:p>
  </w:footnote>
  <w:footnote w:id="18">
    <w:p w14:paraId="4AB3357F" w14:textId="77777777" w:rsidR="00762C3D" w:rsidRPr="00762C3D" w:rsidRDefault="00762C3D" w:rsidP="00762C3D">
      <w:pPr>
        <w:pStyle w:val="FootnoteText"/>
        <w:rPr>
          <w:sz w:val="18"/>
          <w:szCs w:val="18"/>
        </w:rPr>
      </w:pPr>
      <w:r w:rsidRPr="00762C3D">
        <w:rPr>
          <w:rStyle w:val="FootnoteReference"/>
          <w:sz w:val="18"/>
          <w:szCs w:val="18"/>
        </w:rPr>
        <w:footnoteRef/>
      </w:r>
      <w:r w:rsidRPr="00762C3D">
        <w:rPr>
          <w:sz w:val="18"/>
          <w:szCs w:val="18"/>
        </w:rPr>
        <w:t xml:space="preserve"> AFPA, </w:t>
      </w:r>
      <w:r w:rsidRPr="00762C3D">
        <w:rPr>
          <w:i/>
          <w:iCs/>
          <w:sz w:val="18"/>
          <w:szCs w:val="18"/>
        </w:rPr>
        <w:t>Submission 001</w:t>
      </w:r>
      <w:r w:rsidRPr="00762C3D">
        <w:rPr>
          <w:sz w:val="18"/>
          <w:szCs w:val="18"/>
        </w:rPr>
        <w:t xml:space="preserve">, p 5. </w:t>
      </w:r>
    </w:p>
  </w:footnote>
  <w:footnote w:id="19">
    <w:p w14:paraId="34B6A2E2" w14:textId="7DC244A8" w:rsidR="002C5BAC" w:rsidRPr="00762C3D" w:rsidRDefault="002C5BAC">
      <w:pPr>
        <w:pStyle w:val="FootnoteText"/>
        <w:rPr>
          <w:sz w:val="18"/>
          <w:szCs w:val="18"/>
        </w:rPr>
      </w:pPr>
      <w:r w:rsidRPr="00762C3D">
        <w:rPr>
          <w:rStyle w:val="FootnoteReference"/>
          <w:sz w:val="18"/>
          <w:szCs w:val="18"/>
        </w:rPr>
        <w:footnoteRef/>
      </w:r>
      <w:r w:rsidRPr="00762C3D">
        <w:rPr>
          <w:sz w:val="18"/>
          <w:szCs w:val="18"/>
        </w:rPr>
        <w:t xml:space="preserve"> AFPA, </w:t>
      </w:r>
      <w:r w:rsidRPr="00762C3D">
        <w:rPr>
          <w:i/>
          <w:iCs/>
          <w:sz w:val="18"/>
          <w:szCs w:val="18"/>
        </w:rPr>
        <w:t>Submission 001</w:t>
      </w:r>
      <w:r w:rsidRPr="00762C3D">
        <w:rPr>
          <w:sz w:val="18"/>
          <w:szCs w:val="18"/>
        </w:rPr>
        <w:t>, p 5.</w:t>
      </w:r>
    </w:p>
  </w:footnote>
  <w:footnote w:id="20">
    <w:p w14:paraId="2A483C82" w14:textId="4C6EA04E" w:rsidR="00010110" w:rsidRDefault="00010110">
      <w:pPr>
        <w:pStyle w:val="FootnoteText"/>
      </w:pPr>
      <w:r>
        <w:rPr>
          <w:rStyle w:val="FootnoteReference"/>
        </w:rPr>
        <w:footnoteRef/>
      </w:r>
      <w:r>
        <w:t xml:space="preserve"> </w:t>
      </w:r>
      <w:r w:rsidRPr="00EC262B">
        <w:rPr>
          <w:i/>
          <w:iCs/>
        </w:rPr>
        <w:t>Crimes (Sentencing) Act 2005</w:t>
      </w:r>
      <w:r>
        <w:t>, para 64(2)(e) and s 72.</w:t>
      </w:r>
    </w:p>
  </w:footnote>
  <w:footnote w:id="21">
    <w:p w14:paraId="2D6FDCC3" w14:textId="68927477" w:rsidR="00762C3D" w:rsidRDefault="00762C3D">
      <w:pPr>
        <w:pStyle w:val="FootnoteText"/>
      </w:pPr>
      <w:r>
        <w:rPr>
          <w:rStyle w:val="FootnoteReference"/>
        </w:rPr>
        <w:footnoteRef/>
      </w:r>
      <w:r>
        <w:t xml:space="preserve"> </w:t>
      </w:r>
      <w:r w:rsidRPr="00762C3D">
        <w:rPr>
          <w:sz w:val="18"/>
          <w:szCs w:val="18"/>
        </w:rPr>
        <w:t xml:space="preserve">Crimes Legislation Amendment Bill 2023, </w:t>
      </w:r>
      <w:r w:rsidRPr="00762C3D">
        <w:rPr>
          <w:i/>
          <w:iCs/>
          <w:sz w:val="18"/>
          <w:szCs w:val="18"/>
        </w:rPr>
        <w:t>Explanatory Statement and Human Rights Compatibility Statement</w:t>
      </w:r>
      <w:r w:rsidR="00F966F2">
        <w:rPr>
          <w:i/>
          <w:iCs/>
          <w:sz w:val="18"/>
          <w:szCs w:val="18"/>
        </w:rPr>
        <w:t>,</w:t>
      </w:r>
      <w:r w:rsidRPr="00762C3D">
        <w:rPr>
          <w:sz w:val="18"/>
          <w:szCs w:val="18"/>
        </w:rPr>
        <w:t xml:space="preserve"> p </w:t>
      </w:r>
      <w:r>
        <w:rPr>
          <w:sz w:val="18"/>
          <w:szCs w:val="18"/>
        </w:rPr>
        <w:t>13</w:t>
      </w:r>
      <w:r w:rsidRPr="00762C3D">
        <w:rPr>
          <w:sz w:val="18"/>
          <w:szCs w:val="18"/>
        </w:rPr>
        <w:t>.</w:t>
      </w:r>
    </w:p>
  </w:footnote>
  <w:footnote w:id="22">
    <w:p w14:paraId="3A49F015" w14:textId="77777777" w:rsidR="00762C3D" w:rsidRPr="00762C3D" w:rsidRDefault="00762C3D" w:rsidP="00762C3D">
      <w:pPr>
        <w:pStyle w:val="FootnoteText"/>
        <w:rPr>
          <w:sz w:val="18"/>
          <w:szCs w:val="18"/>
        </w:rPr>
      </w:pPr>
      <w:r w:rsidRPr="00762C3D">
        <w:rPr>
          <w:rStyle w:val="FootnoteReference"/>
          <w:sz w:val="18"/>
          <w:szCs w:val="18"/>
        </w:rPr>
        <w:footnoteRef/>
      </w:r>
      <w:r w:rsidRPr="00762C3D">
        <w:rPr>
          <w:sz w:val="18"/>
          <w:szCs w:val="18"/>
        </w:rPr>
        <w:t xml:space="preserve"> Advocacy for Inclusion, </w:t>
      </w:r>
      <w:r w:rsidRPr="007F17A5">
        <w:rPr>
          <w:i/>
          <w:iCs/>
          <w:sz w:val="18"/>
          <w:szCs w:val="18"/>
        </w:rPr>
        <w:t>Submission 002</w:t>
      </w:r>
      <w:r w:rsidRPr="00762C3D">
        <w:rPr>
          <w:sz w:val="18"/>
          <w:szCs w:val="18"/>
        </w:rPr>
        <w:t xml:space="preserve">, p 2. </w:t>
      </w:r>
    </w:p>
  </w:footnote>
  <w:footnote w:id="23">
    <w:p w14:paraId="5135BEF5" w14:textId="0A00B7B2" w:rsidR="00D45ED7" w:rsidRPr="00762C3D" w:rsidRDefault="00D45ED7">
      <w:pPr>
        <w:pStyle w:val="FootnoteText"/>
        <w:rPr>
          <w:sz w:val="18"/>
          <w:szCs w:val="18"/>
        </w:rPr>
      </w:pPr>
      <w:r w:rsidRPr="00762C3D">
        <w:rPr>
          <w:rStyle w:val="FootnoteReference"/>
          <w:sz w:val="18"/>
          <w:szCs w:val="18"/>
        </w:rPr>
        <w:footnoteRef/>
      </w:r>
      <w:r w:rsidRPr="00762C3D">
        <w:rPr>
          <w:sz w:val="18"/>
          <w:szCs w:val="18"/>
        </w:rPr>
        <w:t xml:space="preserve"> Crimes Legislation Amendment Bill 2023</w:t>
      </w:r>
      <w:r w:rsidRPr="00F966F2">
        <w:rPr>
          <w:i/>
          <w:iCs/>
          <w:sz w:val="18"/>
          <w:szCs w:val="18"/>
        </w:rPr>
        <w:t>, Explanatory Statement and Human Rights Compatibility Statement</w:t>
      </w:r>
      <w:r w:rsidR="00F966F2">
        <w:rPr>
          <w:sz w:val="18"/>
          <w:szCs w:val="18"/>
        </w:rPr>
        <w:t>,</w:t>
      </w:r>
      <w:r w:rsidRPr="00762C3D">
        <w:rPr>
          <w:sz w:val="18"/>
          <w:szCs w:val="18"/>
        </w:rPr>
        <w:t xml:space="preserve"> p</w:t>
      </w:r>
      <w:r w:rsidR="00306F23">
        <w:rPr>
          <w:sz w:val="18"/>
          <w:szCs w:val="18"/>
        </w:rPr>
        <w:t>p</w:t>
      </w:r>
      <w:r w:rsidRPr="00762C3D">
        <w:rPr>
          <w:sz w:val="18"/>
          <w:szCs w:val="18"/>
        </w:rPr>
        <w:t xml:space="preserve"> 17-18.</w:t>
      </w:r>
    </w:p>
  </w:footnote>
  <w:footnote w:id="24">
    <w:p w14:paraId="60258689" w14:textId="05AA17E7" w:rsidR="007F17A5" w:rsidRDefault="007F17A5">
      <w:pPr>
        <w:pStyle w:val="FootnoteText"/>
      </w:pPr>
      <w:r>
        <w:rPr>
          <w:rStyle w:val="FootnoteReference"/>
        </w:rPr>
        <w:footnoteRef/>
      </w:r>
      <w:r>
        <w:t xml:space="preserve"> </w:t>
      </w:r>
      <w:r w:rsidRPr="00762C3D">
        <w:rPr>
          <w:sz w:val="18"/>
          <w:szCs w:val="18"/>
        </w:rPr>
        <w:t xml:space="preserve">Mr Shane Rattenbury MLA, Attorney-General, </w:t>
      </w:r>
      <w:r w:rsidRPr="000623F9">
        <w:rPr>
          <w:i/>
          <w:iCs/>
          <w:sz w:val="18"/>
          <w:szCs w:val="18"/>
        </w:rPr>
        <w:t>Hansard</w:t>
      </w:r>
      <w:r w:rsidRPr="00762C3D">
        <w:rPr>
          <w:sz w:val="18"/>
          <w:szCs w:val="18"/>
        </w:rPr>
        <w:t>, 26 October</w:t>
      </w:r>
      <w:r>
        <w:rPr>
          <w:sz w:val="18"/>
          <w:szCs w:val="18"/>
        </w:rPr>
        <w:t xml:space="preserve"> 2023</w:t>
      </w:r>
      <w:r w:rsidRPr="00762C3D">
        <w:rPr>
          <w:i/>
          <w:iCs/>
          <w:sz w:val="18"/>
          <w:szCs w:val="18"/>
        </w:rPr>
        <w:t>,</w:t>
      </w:r>
      <w:r w:rsidRPr="00762C3D">
        <w:rPr>
          <w:sz w:val="18"/>
          <w:szCs w:val="18"/>
        </w:rPr>
        <w:t xml:space="preserve"> p 3439</w:t>
      </w:r>
      <w:r>
        <w:rPr>
          <w:sz w:val="18"/>
          <w:szCs w:val="18"/>
        </w:rPr>
        <w:t>.</w:t>
      </w:r>
    </w:p>
  </w:footnote>
  <w:footnote w:id="25">
    <w:p w14:paraId="1C97E675" w14:textId="73AEAD21" w:rsidR="00CC2757" w:rsidRPr="00762C3D" w:rsidRDefault="00CC2757">
      <w:pPr>
        <w:pStyle w:val="FootnoteText"/>
        <w:rPr>
          <w:sz w:val="18"/>
          <w:szCs w:val="18"/>
        </w:rPr>
      </w:pPr>
      <w:r w:rsidRPr="00762C3D">
        <w:rPr>
          <w:rStyle w:val="FootnoteReference"/>
          <w:sz w:val="18"/>
          <w:szCs w:val="18"/>
        </w:rPr>
        <w:footnoteRef/>
      </w:r>
      <w:r w:rsidR="00C52807" w:rsidRPr="00762C3D">
        <w:rPr>
          <w:sz w:val="18"/>
          <w:szCs w:val="18"/>
        </w:rPr>
        <w:t xml:space="preserve"> Mr Shane Rattenbury MLA, Attorney-General</w:t>
      </w:r>
      <w:r w:rsidRPr="00762C3D">
        <w:rPr>
          <w:sz w:val="18"/>
          <w:szCs w:val="18"/>
        </w:rPr>
        <w:t>,</w:t>
      </w:r>
      <w:r w:rsidR="00C52807" w:rsidRPr="00762C3D">
        <w:rPr>
          <w:sz w:val="18"/>
          <w:szCs w:val="18"/>
        </w:rPr>
        <w:t xml:space="preserve"> </w:t>
      </w:r>
      <w:r w:rsidR="00C52807" w:rsidRPr="000623F9">
        <w:rPr>
          <w:i/>
          <w:iCs/>
          <w:sz w:val="18"/>
          <w:szCs w:val="18"/>
        </w:rPr>
        <w:t>Hansard</w:t>
      </w:r>
      <w:r w:rsidR="00C52807" w:rsidRPr="00762C3D">
        <w:rPr>
          <w:sz w:val="18"/>
          <w:szCs w:val="18"/>
        </w:rPr>
        <w:t>,</w:t>
      </w:r>
      <w:r w:rsidRPr="00762C3D">
        <w:rPr>
          <w:sz w:val="18"/>
          <w:szCs w:val="18"/>
        </w:rPr>
        <w:t xml:space="preserve"> 26 October</w:t>
      </w:r>
      <w:r w:rsidR="007F17A5">
        <w:rPr>
          <w:sz w:val="18"/>
          <w:szCs w:val="18"/>
        </w:rPr>
        <w:t xml:space="preserve"> 2023</w:t>
      </w:r>
      <w:r w:rsidRPr="00762C3D">
        <w:rPr>
          <w:i/>
          <w:iCs/>
          <w:sz w:val="18"/>
          <w:szCs w:val="18"/>
        </w:rPr>
        <w:t>,</w:t>
      </w:r>
      <w:r w:rsidRPr="00762C3D">
        <w:rPr>
          <w:sz w:val="18"/>
          <w:szCs w:val="18"/>
        </w:rPr>
        <w:t xml:space="preserve"> p 3439</w:t>
      </w:r>
      <w:r w:rsidR="007F17A5">
        <w:rPr>
          <w:sz w:val="18"/>
          <w:szCs w:val="18"/>
        </w:rPr>
        <w:t>.</w:t>
      </w:r>
      <w:r w:rsidRPr="00762C3D">
        <w:rPr>
          <w:sz w:val="18"/>
          <w:szCs w:val="18"/>
        </w:rPr>
        <w:t xml:space="preserve"> </w:t>
      </w:r>
    </w:p>
  </w:footnote>
  <w:footnote w:id="26">
    <w:p w14:paraId="558C2F61" w14:textId="11A86643" w:rsidR="00C52807" w:rsidRDefault="00C52807">
      <w:pPr>
        <w:pStyle w:val="FootnoteText"/>
      </w:pPr>
      <w:r w:rsidRPr="00762C3D">
        <w:rPr>
          <w:rStyle w:val="FootnoteReference"/>
          <w:sz w:val="18"/>
          <w:szCs w:val="18"/>
        </w:rPr>
        <w:footnoteRef/>
      </w:r>
      <w:r w:rsidRPr="00762C3D">
        <w:rPr>
          <w:sz w:val="18"/>
          <w:szCs w:val="18"/>
        </w:rPr>
        <w:t xml:space="preserve"> Advocacy for Inclusion, </w:t>
      </w:r>
      <w:r w:rsidR="007F17A5" w:rsidRPr="007F17A5">
        <w:rPr>
          <w:i/>
          <w:iCs/>
          <w:sz w:val="18"/>
          <w:szCs w:val="18"/>
        </w:rPr>
        <w:t>Submission 002</w:t>
      </w:r>
      <w:r w:rsidR="007F17A5" w:rsidRPr="00762C3D">
        <w:rPr>
          <w:sz w:val="18"/>
          <w:szCs w:val="18"/>
        </w:rPr>
        <w:t xml:space="preserve">, </w:t>
      </w:r>
      <w:r w:rsidRPr="00762C3D">
        <w:rPr>
          <w:sz w:val="18"/>
          <w:szCs w:val="18"/>
        </w:rPr>
        <w:t>p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F50B6" w14:textId="77777777" w:rsidR="00E67EF6" w:rsidRDefault="00E67E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38C36" w14:textId="77777777" w:rsidR="00E67EF6" w:rsidRDefault="00E67E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4"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687827844">
    <w:abstractNumId w:val="9"/>
  </w:num>
  <w:num w:numId="2" w16cid:durableId="383412715">
    <w:abstractNumId w:val="7"/>
  </w:num>
  <w:num w:numId="3" w16cid:durableId="107284909">
    <w:abstractNumId w:val="6"/>
  </w:num>
  <w:num w:numId="4" w16cid:durableId="1518227425">
    <w:abstractNumId w:val="5"/>
  </w:num>
  <w:num w:numId="5" w16cid:durableId="1555003755">
    <w:abstractNumId w:val="4"/>
  </w:num>
  <w:num w:numId="6" w16cid:durableId="307055579">
    <w:abstractNumId w:val="8"/>
  </w:num>
  <w:num w:numId="7" w16cid:durableId="1500198425">
    <w:abstractNumId w:val="3"/>
  </w:num>
  <w:num w:numId="8" w16cid:durableId="1009797655">
    <w:abstractNumId w:val="2"/>
  </w:num>
  <w:num w:numId="9" w16cid:durableId="634913170">
    <w:abstractNumId w:val="1"/>
  </w:num>
  <w:num w:numId="10" w16cid:durableId="463618829">
    <w:abstractNumId w:val="0"/>
  </w:num>
  <w:num w:numId="11" w16cid:durableId="230970196">
    <w:abstractNumId w:val="14"/>
  </w:num>
  <w:num w:numId="12" w16cid:durableId="531845666">
    <w:abstractNumId w:val="12"/>
  </w:num>
  <w:num w:numId="13" w16cid:durableId="341201200">
    <w:abstractNumId w:val="17"/>
  </w:num>
  <w:num w:numId="14" w16cid:durableId="1765876874">
    <w:abstractNumId w:val="11"/>
  </w:num>
  <w:num w:numId="15" w16cid:durableId="1031804039">
    <w:abstractNumId w:val="18"/>
  </w:num>
  <w:num w:numId="16" w16cid:durableId="619192748">
    <w:abstractNumId w:val="10"/>
  </w:num>
  <w:num w:numId="17" w16cid:durableId="221793987">
    <w:abstractNumId w:val="13"/>
  </w:num>
  <w:num w:numId="18" w16cid:durableId="898439662">
    <w:abstractNumId w:val="15"/>
  </w:num>
  <w:num w:numId="19" w16cid:durableId="90691969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80219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10110"/>
    <w:rsid w:val="00024F1A"/>
    <w:rsid w:val="00030FBC"/>
    <w:rsid w:val="00034056"/>
    <w:rsid w:val="0003521F"/>
    <w:rsid w:val="00042A70"/>
    <w:rsid w:val="00047DD3"/>
    <w:rsid w:val="00053FED"/>
    <w:rsid w:val="000623F9"/>
    <w:rsid w:val="0006409A"/>
    <w:rsid w:val="0006752F"/>
    <w:rsid w:val="00070E76"/>
    <w:rsid w:val="000863E5"/>
    <w:rsid w:val="000D14E4"/>
    <w:rsid w:val="000E6366"/>
    <w:rsid w:val="000E6913"/>
    <w:rsid w:val="0010027D"/>
    <w:rsid w:val="00112AD1"/>
    <w:rsid w:val="00123781"/>
    <w:rsid w:val="0013461A"/>
    <w:rsid w:val="0014714E"/>
    <w:rsid w:val="00150531"/>
    <w:rsid w:val="00156E52"/>
    <w:rsid w:val="001738A0"/>
    <w:rsid w:val="0018105F"/>
    <w:rsid w:val="001825E5"/>
    <w:rsid w:val="0019545D"/>
    <w:rsid w:val="001A2EDD"/>
    <w:rsid w:val="001B0799"/>
    <w:rsid w:val="001B13A0"/>
    <w:rsid w:val="001B2622"/>
    <w:rsid w:val="001B3C02"/>
    <w:rsid w:val="001C7708"/>
    <w:rsid w:val="001D10CD"/>
    <w:rsid w:val="001D22FC"/>
    <w:rsid w:val="001F30D0"/>
    <w:rsid w:val="00205761"/>
    <w:rsid w:val="002101BE"/>
    <w:rsid w:val="00216BB7"/>
    <w:rsid w:val="00222237"/>
    <w:rsid w:val="0024276D"/>
    <w:rsid w:val="00247A37"/>
    <w:rsid w:val="002861BB"/>
    <w:rsid w:val="002A33D1"/>
    <w:rsid w:val="002C5BAC"/>
    <w:rsid w:val="00306F23"/>
    <w:rsid w:val="0031628A"/>
    <w:rsid w:val="0033513E"/>
    <w:rsid w:val="00336D28"/>
    <w:rsid w:val="00341C0C"/>
    <w:rsid w:val="00344DF6"/>
    <w:rsid w:val="00362801"/>
    <w:rsid w:val="0036775A"/>
    <w:rsid w:val="0038217F"/>
    <w:rsid w:val="00387938"/>
    <w:rsid w:val="003B21E0"/>
    <w:rsid w:val="003C3CF9"/>
    <w:rsid w:val="003D69C2"/>
    <w:rsid w:val="00402758"/>
    <w:rsid w:val="00410C4F"/>
    <w:rsid w:val="004245CD"/>
    <w:rsid w:val="0043455E"/>
    <w:rsid w:val="00445C8C"/>
    <w:rsid w:val="004508F1"/>
    <w:rsid w:val="0045442F"/>
    <w:rsid w:val="00456DCF"/>
    <w:rsid w:val="0045759B"/>
    <w:rsid w:val="004608D6"/>
    <w:rsid w:val="0046189E"/>
    <w:rsid w:val="004633A3"/>
    <w:rsid w:val="00467904"/>
    <w:rsid w:val="00471E8B"/>
    <w:rsid w:val="00483210"/>
    <w:rsid w:val="004976C3"/>
    <w:rsid w:val="004C6814"/>
    <w:rsid w:val="004E5149"/>
    <w:rsid w:val="00510D89"/>
    <w:rsid w:val="0051686C"/>
    <w:rsid w:val="005226E0"/>
    <w:rsid w:val="0052473E"/>
    <w:rsid w:val="00525ED8"/>
    <w:rsid w:val="005673B4"/>
    <w:rsid w:val="00592895"/>
    <w:rsid w:val="005B61A8"/>
    <w:rsid w:val="005C4F2A"/>
    <w:rsid w:val="005D0971"/>
    <w:rsid w:val="005D1067"/>
    <w:rsid w:val="00603039"/>
    <w:rsid w:val="00603367"/>
    <w:rsid w:val="006043AE"/>
    <w:rsid w:val="00623507"/>
    <w:rsid w:val="00624316"/>
    <w:rsid w:val="006323F8"/>
    <w:rsid w:val="00647E8B"/>
    <w:rsid w:val="00653D8D"/>
    <w:rsid w:val="00656331"/>
    <w:rsid w:val="00657557"/>
    <w:rsid w:val="006718E3"/>
    <w:rsid w:val="0068014A"/>
    <w:rsid w:val="006954AE"/>
    <w:rsid w:val="006A275A"/>
    <w:rsid w:val="006A5584"/>
    <w:rsid w:val="006A7A61"/>
    <w:rsid w:val="006B28A8"/>
    <w:rsid w:val="006C194B"/>
    <w:rsid w:val="006D0B00"/>
    <w:rsid w:val="006D1243"/>
    <w:rsid w:val="006E59F4"/>
    <w:rsid w:val="006F04A2"/>
    <w:rsid w:val="00700A3A"/>
    <w:rsid w:val="0070214E"/>
    <w:rsid w:val="007137A1"/>
    <w:rsid w:val="00727F06"/>
    <w:rsid w:val="0074595F"/>
    <w:rsid w:val="007469DE"/>
    <w:rsid w:val="007518E4"/>
    <w:rsid w:val="00751BD5"/>
    <w:rsid w:val="0075417C"/>
    <w:rsid w:val="00757C24"/>
    <w:rsid w:val="00761928"/>
    <w:rsid w:val="00762C3D"/>
    <w:rsid w:val="00777CC8"/>
    <w:rsid w:val="0078151A"/>
    <w:rsid w:val="007819BA"/>
    <w:rsid w:val="00783B5C"/>
    <w:rsid w:val="00792238"/>
    <w:rsid w:val="00792CC2"/>
    <w:rsid w:val="007A4509"/>
    <w:rsid w:val="007A6EB9"/>
    <w:rsid w:val="007A7A8B"/>
    <w:rsid w:val="007C1747"/>
    <w:rsid w:val="007C371D"/>
    <w:rsid w:val="007C3F24"/>
    <w:rsid w:val="007D408D"/>
    <w:rsid w:val="007F17A5"/>
    <w:rsid w:val="007F4C62"/>
    <w:rsid w:val="007F540F"/>
    <w:rsid w:val="008042C1"/>
    <w:rsid w:val="00804756"/>
    <w:rsid w:val="00812AAD"/>
    <w:rsid w:val="00836FFE"/>
    <w:rsid w:val="008379EB"/>
    <w:rsid w:val="00870AE1"/>
    <w:rsid w:val="0087401B"/>
    <w:rsid w:val="008744A1"/>
    <w:rsid w:val="00877A94"/>
    <w:rsid w:val="008848E5"/>
    <w:rsid w:val="008A19F1"/>
    <w:rsid w:val="008A6130"/>
    <w:rsid w:val="008B350E"/>
    <w:rsid w:val="008C2228"/>
    <w:rsid w:val="008D4C91"/>
    <w:rsid w:val="008D72C9"/>
    <w:rsid w:val="008E750D"/>
    <w:rsid w:val="00917B49"/>
    <w:rsid w:val="00925A3D"/>
    <w:rsid w:val="009276CD"/>
    <w:rsid w:val="009531C8"/>
    <w:rsid w:val="009661FD"/>
    <w:rsid w:val="00974A30"/>
    <w:rsid w:val="00976637"/>
    <w:rsid w:val="0098074E"/>
    <w:rsid w:val="00995963"/>
    <w:rsid w:val="009A2EDC"/>
    <w:rsid w:val="009A6786"/>
    <w:rsid w:val="009B4EFF"/>
    <w:rsid w:val="009C1A34"/>
    <w:rsid w:val="009C2830"/>
    <w:rsid w:val="009F05B9"/>
    <w:rsid w:val="009F40CC"/>
    <w:rsid w:val="009F5A83"/>
    <w:rsid w:val="00A070D4"/>
    <w:rsid w:val="00A0775A"/>
    <w:rsid w:val="00A146A0"/>
    <w:rsid w:val="00A23A3E"/>
    <w:rsid w:val="00A37EC3"/>
    <w:rsid w:val="00A44392"/>
    <w:rsid w:val="00A624B6"/>
    <w:rsid w:val="00A67677"/>
    <w:rsid w:val="00A67B93"/>
    <w:rsid w:val="00A71EFF"/>
    <w:rsid w:val="00A80315"/>
    <w:rsid w:val="00A835BF"/>
    <w:rsid w:val="00AA719E"/>
    <w:rsid w:val="00AD78AD"/>
    <w:rsid w:val="00AE3B01"/>
    <w:rsid w:val="00AE6E38"/>
    <w:rsid w:val="00B013BD"/>
    <w:rsid w:val="00B053AB"/>
    <w:rsid w:val="00B21A37"/>
    <w:rsid w:val="00B24E23"/>
    <w:rsid w:val="00B266DC"/>
    <w:rsid w:val="00B33D5C"/>
    <w:rsid w:val="00B343A8"/>
    <w:rsid w:val="00B55D4E"/>
    <w:rsid w:val="00B65E54"/>
    <w:rsid w:val="00B71413"/>
    <w:rsid w:val="00B7541C"/>
    <w:rsid w:val="00B949D1"/>
    <w:rsid w:val="00BA3644"/>
    <w:rsid w:val="00BC0651"/>
    <w:rsid w:val="00BC35B6"/>
    <w:rsid w:val="00BE0AB2"/>
    <w:rsid w:val="00C02510"/>
    <w:rsid w:val="00C16DCB"/>
    <w:rsid w:val="00C21E49"/>
    <w:rsid w:val="00C31701"/>
    <w:rsid w:val="00C470C7"/>
    <w:rsid w:val="00C52807"/>
    <w:rsid w:val="00C8358A"/>
    <w:rsid w:val="00C837A0"/>
    <w:rsid w:val="00C924CE"/>
    <w:rsid w:val="00CB7B9A"/>
    <w:rsid w:val="00CC2195"/>
    <w:rsid w:val="00CC2757"/>
    <w:rsid w:val="00CC4BE7"/>
    <w:rsid w:val="00CD05B9"/>
    <w:rsid w:val="00CD73BC"/>
    <w:rsid w:val="00CF75A5"/>
    <w:rsid w:val="00D23E3A"/>
    <w:rsid w:val="00D376C4"/>
    <w:rsid w:val="00D42B03"/>
    <w:rsid w:val="00D45ED7"/>
    <w:rsid w:val="00D60953"/>
    <w:rsid w:val="00D7159D"/>
    <w:rsid w:val="00D90ED8"/>
    <w:rsid w:val="00D97152"/>
    <w:rsid w:val="00DA7289"/>
    <w:rsid w:val="00DB3F8F"/>
    <w:rsid w:val="00DB5204"/>
    <w:rsid w:val="00DC49FD"/>
    <w:rsid w:val="00DC74F5"/>
    <w:rsid w:val="00DD0188"/>
    <w:rsid w:val="00DD3CBC"/>
    <w:rsid w:val="00DE56A4"/>
    <w:rsid w:val="00DF34F7"/>
    <w:rsid w:val="00DF4570"/>
    <w:rsid w:val="00DF4FF0"/>
    <w:rsid w:val="00E06460"/>
    <w:rsid w:val="00E12092"/>
    <w:rsid w:val="00E20929"/>
    <w:rsid w:val="00E26635"/>
    <w:rsid w:val="00E30B82"/>
    <w:rsid w:val="00E31712"/>
    <w:rsid w:val="00E6630F"/>
    <w:rsid w:val="00E67EF6"/>
    <w:rsid w:val="00E833AA"/>
    <w:rsid w:val="00E84638"/>
    <w:rsid w:val="00E85EFF"/>
    <w:rsid w:val="00E879B9"/>
    <w:rsid w:val="00E93618"/>
    <w:rsid w:val="00E95BA7"/>
    <w:rsid w:val="00EA3FCE"/>
    <w:rsid w:val="00EB00DE"/>
    <w:rsid w:val="00EB3179"/>
    <w:rsid w:val="00EC1B0D"/>
    <w:rsid w:val="00EC262B"/>
    <w:rsid w:val="00ED3906"/>
    <w:rsid w:val="00EE58AF"/>
    <w:rsid w:val="00EE5AEE"/>
    <w:rsid w:val="00EE5B62"/>
    <w:rsid w:val="00EF64D1"/>
    <w:rsid w:val="00F101AB"/>
    <w:rsid w:val="00F177B2"/>
    <w:rsid w:val="00F44177"/>
    <w:rsid w:val="00F4504E"/>
    <w:rsid w:val="00F4685A"/>
    <w:rsid w:val="00F64542"/>
    <w:rsid w:val="00F722F8"/>
    <w:rsid w:val="00F746ED"/>
    <w:rsid w:val="00F7656C"/>
    <w:rsid w:val="00F873F4"/>
    <w:rsid w:val="00F90CFD"/>
    <w:rsid w:val="00F9280D"/>
    <w:rsid w:val="00F93995"/>
    <w:rsid w:val="00F966F2"/>
    <w:rsid w:val="00FA7D5E"/>
    <w:rsid w:val="00FC55BD"/>
    <w:rsid w:val="00FE1710"/>
    <w:rsid w:val="00FE7BB8"/>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BA3644"/>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BA3644"/>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F4504E"/>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954AE"/>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paragraph" w:styleId="Revision">
    <w:name w:val="Revision"/>
    <w:hidden/>
    <w:uiPriority w:val="99"/>
    <w:semiHidden/>
    <w:rsid w:val="006954AE"/>
    <w:pPr>
      <w:spacing w:after="0" w:line="240" w:lineRule="auto"/>
    </w:pPr>
  </w:style>
  <w:style w:type="character" w:styleId="FollowedHyperlink">
    <w:name w:val="FollowedHyperlink"/>
    <w:basedOn w:val="DefaultParagraphFont"/>
    <w:uiPriority w:val="99"/>
    <w:semiHidden/>
    <w:unhideWhenUsed/>
    <w:rsid w:val="006954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856834">
      <w:bodyDiv w:val="1"/>
      <w:marLeft w:val="0"/>
      <w:marRight w:val="0"/>
      <w:marTop w:val="0"/>
      <w:marBottom w:val="0"/>
      <w:divBdr>
        <w:top w:val="none" w:sz="0" w:space="0" w:color="auto"/>
        <w:left w:val="none" w:sz="0" w:space="0" w:color="auto"/>
        <w:bottom w:val="none" w:sz="0" w:space="0" w:color="auto"/>
        <w:right w:val="none" w:sz="0" w:space="0" w:color="auto"/>
      </w:divBdr>
    </w:div>
    <w:div w:id="722947356">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parliament.act.gov.au/parliamentary-business/in-committees" TargetMode="External"/><Relationship Id="rId2" Type="http://schemas.openxmlformats.org/officeDocument/2006/relationships/customXml" Target="../customXml/item1.xml"/><Relationship Id="rId16" Type="http://schemas.openxmlformats.org/officeDocument/2006/relationships/hyperlink" Target="https://www.parliament.act.gov.au/parliamentary-business/in-committees/committees/jcs" TargetMode="External"/><Relationship Id="rId20" Type="http://schemas.openxmlformats.org/officeDocument/2006/relationships/footer" Target="footer7.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courts.act.gov.au/__data/assets/pdf_file/0005/1374188/Jury-Handbook.pdf" TargetMode="External"/><Relationship Id="rId1" Type="http://schemas.openxmlformats.org/officeDocument/2006/relationships/hyperlink" Target="https://www.courts.act.gov.au/supreme/coming-to-court/juror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187AEF"/>
    <w:rsid w:val="00295754"/>
    <w:rsid w:val="003D529C"/>
    <w:rsid w:val="00465034"/>
    <w:rsid w:val="00602F48"/>
    <w:rsid w:val="00651556"/>
    <w:rsid w:val="006840B5"/>
    <w:rsid w:val="008C1A9A"/>
    <w:rsid w:val="00970294"/>
    <w:rsid w:val="009C78FC"/>
    <w:rsid w:val="00A94116"/>
    <w:rsid w:val="00BC5886"/>
    <w:rsid w:val="00D46540"/>
    <w:rsid w:val="00D54179"/>
    <w:rsid w:val="00D971A5"/>
    <w:rsid w:val="00E75710"/>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2494</Words>
  <Characters>13522</Characters>
  <Application>Microsoft Office Word</Application>
  <DocSecurity>0</DocSecurity>
  <Lines>365</Lines>
  <Paragraphs>216</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15800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Dinneen, Erin</dc:creator>
  <cp:keywords/>
  <dc:description/>
  <cp:lastModifiedBy>Sharma, Satyenx</cp:lastModifiedBy>
  <cp:revision>2</cp:revision>
  <cp:lastPrinted>2021-08-05T22:26:00Z</cp:lastPrinted>
  <dcterms:created xsi:type="dcterms:W3CDTF">2024-03-13T02:57:00Z</dcterms:created>
  <dcterms:modified xsi:type="dcterms:W3CDTF">2024-03-13T02:57:00Z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2023-11-14T01:40:54Z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c9342724-9868-4cc6-84f1-b912e25b89c8</vt:lpwstr>
  </property>
  <property fmtid="{D5CDD505-2E9C-101B-9397-08002B2CF9AE}" pid="8" name="MSIP_Label_69af8531-eb46-4968-8cb3-105d2f5ea87e_ContentBits">
    <vt:lpwstr>0</vt:lpwstr>
  </property>
</Properties>
</file>