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0E5EF83F" w:rsidR="00966F78" w:rsidRPr="00D87726" w:rsidRDefault="00966F78" w:rsidP="00966F78">
      <w:pPr>
        <w:jc w:val="center"/>
        <w:rPr>
          <w:b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>Performance Audit Reports January 2022 – June 2022</w:t>
      </w:r>
    </w:p>
    <w:p w14:paraId="23BD3C62" w14:textId="77777777" w:rsidR="00966F78" w:rsidRPr="00D87726" w:rsidRDefault="00966F78" w:rsidP="00966F78">
      <w:pPr>
        <w:jc w:val="center"/>
        <w:rPr>
          <w:b/>
          <w:sz w:val="36"/>
          <w:szCs w:val="36"/>
        </w:rPr>
      </w:pPr>
    </w:p>
    <w:p w14:paraId="4A61F5A9" w14:textId="63FAB7C9" w:rsidR="00581428" w:rsidRPr="00D87726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E84DBF" w:rsidRPr="00D87726">
        <w:rPr>
          <w:color w:val="auto"/>
        </w:rPr>
        <w:t xml:space="preserve">has announced it will be undertaking </w:t>
      </w:r>
      <w:r w:rsidR="00581428" w:rsidRPr="00D87726">
        <w:rPr>
          <w:color w:val="auto"/>
        </w:rPr>
        <w:t xml:space="preserve">a new inquiry entitled </w:t>
      </w:r>
      <w:r w:rsidR="00581428" w:rsidRPr="00D87726">
        <w:rPr>
          <w:i/>
          <w:iCs/>
          <w:color w:val="auto"/>
        </w:rPr>
        <w:t>Inquiry into Auditor-General’s Performance Audit Reports January 2022 – June 2022</w:t>
      </w:r>
      <w:r w:rsidR="001D7E07" w:rsidRPr="00D87726">
        <w:rPr>
          <w:i/>
          <w:iCs/>
          <w:color w:val="auto"/>
        </w:rPr>
        <w:t>.</w:t>
      </w:r>
    </w:p>
    <w:p w14:paraId="64CBABEE" w14:textId="7341337D" w:rsidR="00581428" w:rsidRPr="00D87726" w:rsidRDefault="00581428" w:rsidP="00581428">
      <w:pPr>
        <w:pStyle w:val="Bodycopy"/>
        <w:rPr>
          <w:color w:val="auto"/>
        </w:rPr>
      </w:pPr>
      <w:r w:rsidRPr="00D87726">
        <w:rPr>
          <w:color w:val="auto"/>
        </w:rPr>
        <w:t>During the course of the inquiry, the Committee will be inquiring into and reporting on all performance audit reports released by the ACT Auditor-General between 1 January 2022 and 30 June 2022.</w:t>
      </w:r>
      <w:r w:rsidR="004E6AA8" w:rsidRPr="00D87726">
        <w:rPr>
          <w:color w:val="auto"/>
        </w:rPr>
        <w:t xml:space="preserve"> The Committee will inquir</w:t>
      </w:r>
      <w:r w:rsidR="00D87726" w:rsidRPr="00D87726">
        <w:rPr>
          <w:color w:val="auto"/>
        </w:rPr>
        <w:t>e</w:t>
      </w:r>
      <w:r w:rsidR="004E6AA8" w:rsidRPr="00D87726">
        <w:rPr>
          <w:color w:val="auto"/>
        </w:rPr>
        <w:t xml:space="preserve"> into the following performance audit reports:</w:t>
      </w:r>
    </w:p>
    <w:p w14:paraId="495E05C5" w14:textId="4267AB03" w:rsidR="00581428" w:rsidRPr="00D87726" w:rsidRDefault="004E6AA8" w:rsidP="00BC34D6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r w:rsidRPr="00D87726">
        <w:rPr>
          <w:color w:val="auto"/>
        </w:rPr>
        <w:t>1/2022 – Management of Detainee Mental Health Services in the Alexander Maconochie Centre</w:t>
      </w:r>
    </w:p>
    <w:p w14:paraId="1BD8919B" w14:textId="32B18479" w:rsidR="004E6AA8" w:rsidRPr="00D87726" w:rsidRDefault="004E6AA8" w:rsidP="00BC34D6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r w:rsidRPr="00D87726">
        <w:rPr>
          <w:color w:val="auto"/>
        </w:rPr>
        <w:t>2/2022 – Fraud Prevention</w:t>
      </w:r>
    </w:p>
    <w:p w14:paraId="1F4B5F50" w14:textId="776F23DA" w:rsidR="004E6AA8" w:rsidRPr="00D87726" w:rsidRDefault="004E6AA8" w:rsidP="00BC34D6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r w:rsidRPr="00D87726">
        <w:rPr>
          <w:color w:val="auto"/>
        </w:rPr>
        <w:t>3/2022 – Taxi Subsidy Scheme</w:t>
      </w:r>
    </w:p>
    <w:p w14:paraId="3919D8C3" w14:textId="2CD863D9" w:rsidR="004E6AA8" w:rsidRPr="00D87726" w:rsidRDefault="004E6AA8" w:rsidP="00BC34D6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r w:rsidRPr="00D87726">
        <w:rPr>
          <w:color w:val="auto"/>
        </w:rPr>
        <w:t>4/2022 – Governance arrangements for the planning of Parkwood, Ginninderry</w:t>
      </w:r>
    </w:p>
    <w:p w14:paraId="017A2A57" w14:textId="1111DAB6" w:rsidR="00581428" w:rsidRPr="00D02A6D" w:rsidRDefault="004E6AA8" w:rsidP="00581428">
      <w:pPr>
        <w:pStyle w:val="Bodycopy"/>
        <w:rPr>
          <w:color w:val="auto"/>
        </w:rPr>
      </w:pPr>
      <w:r w:rsidRPr="00D87726">
        <w:rPr>
          <w:color w:val="auto"/>
        </w:rPr>
        <w:t xml:space="preserve">Until now the Committee has undertaken standalone inquiries into selected reports of the Auditor-General. </w:t>
      </w:r>
      <w:r w:rsidR="009825BF" w:rsidRPr="00D87726">
        <w:rPr>
          <w:color w:val="auto"/>
        </w:rPr>
        <w:t>M</w:t>
      </w:r>
      <w:r w:rsidRPr="00D87726">
        <w:rPr>
          <w:color w:val="auto"/>
        </w:rPr>
        <w:t xml:space="preserve">oving forward, the Committee has resolved </w:t>
      </w:r>
      <w:r w:rsidR="009825BF" w:rsidRPr="00D87726">
        <w:rPr>
          <w:color w:val="auto"/>
        </w:rPr>
        <w:t xml:space="preserve">to inquire into all performance audit reports jointly. The </w:t>
      </w:r>
      <w:r w:rsidR="009825BF" w:rsidRPr="00D02A6D">
        <w:rPr>
          <w:color w:val="auto"/>
        </w:rPr>
        <w:t>Committee does, however, note that it will continue to conduct standalone inquiries into audit reports where it</w:t>
      </w:r>
      <w:r w:rsidR="00D87726" w:rsidRPr="00D02A6D">
        <w:rPr>
          <w:color w:val="auto"/>
        </w:rPr>
        <w:t xml:space="preserve"> deems</w:t>
      </w:r>
      <w:r w:rsidR="009825BF" w:rsidRPr="00D02A6D">
        <w:rPr>
          <w:color w:val="auto"/>
        </w:rPr>
        <w:t xml:space="preserve"> it necessary and in the public interest.</w:t>
      </w:r>
    </w:p>
    <w:p w14:paraId="762BD623" w14:textId="34E1216D" w:rsidR="009825BF" w:rsidRPr="00D02A6D" w:rsidRDefault="009825BF" w:rsidP="00581428">
      <w:pPr>
        <w:pStyle w:val="Bodycopy"/>
        <w:rPr>
          <w:color w:val="auto"/>
        </w:rPr>
      </w:pPr>
      <w:r w:rsidRPr="00D02A6D">
        <w:rPr>
          <w:color w:val="auto"/>
        </w:rPr>
        <w:t xml:space="preserve">The move toward </w:t>
      </w:r>
      <w:r w:rsidR="00BC34D6" w:rsidRPr="00D02A6D">
        <w:rPr>
          <w:color w:val="auto"/>
        </w:rPr>
        <w:t>jointly inquiring into audit reports draws on the established practices of other Australian jurisdictions, and will allow the Committee to undertake more self-referred inquiries into matters of public importance.</w:t>
      </w:r>
      <w:r w:rsidR="003A076B" w:rsidRPr="00D02A6D">
        <w:rPr>
          <w:color w:val="auto"/>
        </w:rPr>
        <w:t xml:space="preserve"> </w:t>
      </w:r>
      <w:r w:rsidR="00D87726" w:rsidRPr="00D02A6D">
        <w:rPr>
          <w:color w:val="auto"/>
        </w:rPr>
        <w:t>T</w:t>
      </w:r>
      <w:r w:rsidR="003A076B" w:rsidRPr="00D02A6D">
        <w:rPr>
          <w:color w:val="auto"/>
        </w:rPr>
        <w:t xml:space="preserve">he Committee </w:t>
      </w:r>
      <w:r w:rsidR="00D87726" w:rsidRPr="00D02A6D">
        <w:rPr>
          <w:color w:val="auto"/>
        </w:rPr>
        <w:t>will continue</w:t>
      </w:r>
      <w:r w:rsidR="003A076B" w:rsidRPr="00D02A6D">
        <w:rPr>
          <w:color w:val="auto"/>
        </w:rPr>
        <w:t xml:space="preserve"> to</w:t>
      </w:r>
      <w:r w:rsidR="00647C91" w:rsidRPr="00D02A6D">
        <w:rPr>
          <w:color w:val="auto"/>
        </w:rPr>
        <w:t xml:space="preserve"> address concerns raised in the </w:t>
      </w:r>
      <w:r w:rsidR="00647C91" w:rsidRPr="00D02A6D">
        <w:rPr>
          <w:i/>
          <w:iCs/>
          <w:color w:val="auto"/>
        </w:rPr>
        <w:t>Latimer House Review Report</w:t>
      </w:r>
      <w:r w:rsidR="00DA597D" w:rsidRPr="00D02A6D">
        <w:rPr>
          <w:color w:val="auto"/>
        </w:rPr>
        <w:t xml:space="preserve"> for the 9</w:t>
      </w:r>
      <w:r w:rsidR="00DA597D" w:rsidRPr="00D02A6D">
        <w:rPr>
          <w:color w:val="auto"/>
          <w:vertAlign w:val="superscript"/>
        </w:rPr>
        <w:t>th</w:t>
      </w:r>
      <w:r w:rsidR="00DA597D" w:rsidRPr="00D02A6D">
        <w:rPr>
          <w:color w:val="auto"/>
        </w:rPr>
        <w:t xml:space="preserve"> Assembly that too few performance audit reports had been inquired into</w:t>
      </w:r>
      <w:r w:rsidR="00D87726" w:rsidRPr="00D02A6D">
        <w:rPr>
          <w:color w:val="auto"/>
        </w:rPr>
        <w:t xml:space="preserve"> previously.</w:t>
      </w:r>
    </w:p>
    <w:p w14:paraId="531EC5A6" w14:textId="70F10974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86519B">
        <w:rPr>
          <w:b/>
          <w:color w:val="auto"/>
        </w:rPr>
        <w:t>Friday,</w:t>
      </w:r>
      <w:r w:rsidR="003B5B9D" w:rsidRPr="00D02A6D">
        <w:rPr>
          <w:b/>
          <w:color w:val="auto"/>
        </w:rPr>
        <w:t xml:space="preserve"> </w:t>
      </w:r>
      <w:r w:rsidR="0086519B">
        <w:rPr>
          <w:b/>
          <w:color w:val="auto"/>
        </w:rPr>
        <w:t>8</w:t>
      </w:r>
      <w:r w:rsidR="003B5B9D" w:rsidRPr="00D02A6D">
        <w:rPr>
          <w:b/>
          <w:color w:val="auto"/>
        </w:rPr>
        <w:t xml:space="preserve"> </w:t>
      </w:r>
      <w:r w:rsidR="00D87726" w:rsidRPr="00D02A6D">
        <w:rPr>
          <w:b/>
          <w:color w:val="auto"/>
        </w:rPr>
        <w:t>July</w:t>
      </w:r>
      <w:r w:rsidR="008267FE" w:rsidRPr="00D02A6D">
        <w:rPr>
          <w:b/>
          <w:color w:val="auto"/>
        </w:rPr>
        <w:t xml:space="preserve"> 202</w:t>
      </w:r>
      <w:r w:rsidR="001D7E07" w:rsidRPr="00D02A6D">
        <w:rPr>
          <w:b/>
          <w:color w:val="auto"/>
        </w:rPr>
        <w:t>2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D87726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 xml:space="preserve">Committee Chair, </w:t>
      </w:r>
      <w:r w:rsidR="008267FE" w:rsidRPr="00D87726">
        <w:rPr>
          <w:rFonts w:ascii="Calibri" w:hAnsi="Calibri"/>
          <w:sz w:val="23"/>
          <w:szCs w:val="23"/>
        </w:rPr>
        <w:t>Mrs Elizabeth Kikkert</w:t>
      </w:r>
      <w:r w:rsidRPr="00D87726">
        <w:rPr>
          <w:rFonts w:ascii="Calibri" w:hAnsi="Calibri"/>
          <w:sz w:val="23"/>
          <w:szCs w:val="23"/>
        </w:rPr>
        <w:t xml:space="preserve"> MLA on 620 5</w:t>
      </w:r>
      <w:r w:rsidR="008267FE" w:rsidRPr="00D87726">
        <w:rPr>
          <w:rFonts w:ascii="Calibri" w:hAnsi="Calibri"/>
          <w:sz w:val="23"/>
          <w:szCs w:val="23"/>
        </w:rPr>
        <w:t>1405</w:t>
      </w:r>
    </w:p>
    <w:p w14:paraId="6FCA5C9A" w14:textId="42E55431" w:rsidR="00E0612E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>Committee Secretary, M</w:t>
      </w:r>
      <w:r w:rsidR="001D7E07" w:rsidRPr="00D87726">
        <w:rPr>
          <w:rFonts w:ascii="Calibri" w:hAnsi="Calibri"/>
          <w:sz w:val="23"/>
          <w:szCs w:val="23"/>
        </w:rPr>
        <w:t>r</w:t>
      </w:r>
      <w:r w:rsidRPr="00D87726">
        <w:rPr>
          <w:rFonts w:ascii="Calibri" w:hAnsi="Calibri"/>
          <w:sz w:val="23"/>
          <w:szCs w:val="23"/>
        </w:rPr>
        <w:t xml:space="preserve"> </w:t>
      </w:r>
      <w:r w:rsidR="001D7E07" w:rsidRPr="00D87726">
        <w:rPr>
          <w:rFonts w:ascii="Calibri" w:hAnsi="Calibri"/>
          <w:sz w:val="23"/>
          <w:szCs w:val="23"/>
        </w:rPr>
        <w:t>Samuel</w:t>
      </w:r>
      <w:r w:rsidRPr="00D87726">
        <w:rPr>
          <w:rFonts w:ascii="Calibri" w:hAnsi="Calibri"/>
          <w:sz w:val="23"/>
          <w:szCs w:val="23"/>
        </w:rPr>
        <w:t xml:space="preserve"> </w:t>
      </w:r>
      <w:r w:rsidR="001D7E07" w:rsidRPr="00D87726">
        <w:rPr>
          <w:rFonts w:ascii="Calibri" w:hAnsi="Calibri"/>
          <w:sz w:val="23"/>
          <w:szCs w:val="23"/>
        </w:rPr>
        <w:t>Thompson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1D7E07" w:rsidRPr="00D87726">
        <w:rPr>
          <w:rFonts w:ascii="Calibri" w:hAnsi="Calibri"/>
          <w:sz w:val="23"/>
          <w:szCs w:val="23"/>
        </w:rPr>
        <w:t>50435</w:t>
      </w:r>
    </w:p>
    <w:sectPr w:rsidR="00E0612E" w:rsidRPr="00D87726" w:rsidSect="00C05681"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86519B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51C14A14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  <w:r w:rsidR="001D7E07">
                  <w:rPr>
                    <w:rFonts w:ascii="Calibri" w:eastAsia="PMingLiU" w:hAnsi="Calibri"/>
                    <w:szCs w:val="22"/>
                    <w:lang w:eastAsia="zh-TW"/>
                  </w:rPr>
                  <w:t>,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4B2BAF"/>
    <w:multiLevelType w:val="multilevel"/>
    <w:tmpl w:val="BCFCBA68"/>
    <w:numStyleLink w:val="Style1"/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4"/>
  </w:num>
  <w:num w:numId="4">
    <w:abstractNumId w:val="21"/>
  </w:num>
  <w:num w:numId="5">
    <w:abstractNumId w:val="11"/>
  </w:num>
  <w:num w:numId="6">
    <w:abstractNumId w:val="19"/>
  </w:num>
  <w:num w:numId="7">
    <w:abstractNumId w:val="5"/>
  </w:num>
  <w:num w:numId="8">
    <w:abstractNumId w:val="2"/>
  </w:num>
  <w:num w:numId="9">
    <w:abstractNumId w:val="22"/>
  </w:num>
  <w:num w:numId="10">
    <w:abstractNumId w:val="9"/>
  </w:num>
  <w:num w:numId="11">
    <w:abstractNumId w:val="10"/>
  </w:num>
  <w:num w:numId="12">
    <w:abstractNumId w:val="12"/>
  </w:num>
  <w:num w:numId="13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3"/>
  </w:num>
  <w:num w:numId="16">
    <w:abstractNumId w:val="1"/>
  </w:num>
  <w:num w:numId="17">
    <w:abstractNumId w:val="16"/>
  </w:num>
  <w:num w:numId="18">
    <w:abstractNumId w:val="20"/>
  </w:num>
  <w:num w:numId="19">
    <w:abstractNumId w:val="17"/>
  </w:num>
  <w:num w:numId="20">
    <w:abstractNumId w:val="8"/>
  </w:num>
  <w:num w:numId="21">
    <w:abstractNumId w:val="18"/>
  </w:num>
  <w:num w:numId="22">
    <w:abstractNumId w:val="15"/>
  </w:num>
  <w:num w:numId="23">
    <w:abstractNumId w:val="6"/>
  </w:num>
  <w:num w:numId="24">
    <w:abstractNumId w:val="14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A076B"/>
    <w:rsid w:val="003B5B9D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0787"/>
    <w:rsid w:val="00D02A6D"/>
    <w:rsid w:val="00D043DC"/>
    <w:rsid w:val="00D2511F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SamuelR Thompson</cp:lastModifiedBy>
  <cp:revision>25</cp:revision>
  <cp:lastPrinted>2022-07-06T04:07:00Z</cp:lastPrinted>
  <dcterms:created xsi:type="dcterms:W3CDTF">2021-05-03T09:03:00Z</dcterms:created>
  <dcterms:modified xsi:type="dcterms:W3CDTF">2022-07-07T22:19:00Z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