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549A38D5" w14:textId="31FD4386" w:rsidR="00A80D2A" w:rsidRDefault="00A80D2A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Hearing on Inquiry into Petition 32-21</w:t>
      </w:r>
    </w:p>
    <w:p w14:paraId="1D1CECF3" w14:textId="77777777" w:rsidR="007162C3" w:rsidRDefault="007162C3" w:rsidP="00AF12AB">
      <w:pPr>
        <w:jc w:val="center"/>
        <w:rPr>
          <w:sz w:val="36"/>
          <w:szCs w:val="36"/>
        </w:rPr>
      </w:pPr>
    </w:p>
    <w:p w14:paraId="1637B3DC" w14:textId="062E8438" w:rsidR="00085A43" w:rsidRDefault="007162C3" w:rsidP="00085A43">
      <w:r>
        <w:t>Today</w:t>
      </w:r>
      <w:r w:rsidR="00085A43">
        <w:t xml:space="preserve"> the Standing Committee on Justice and Community Safety will hold </w:t>
      </w:r>
      <w:r>
        <w:t>a public</w:t>
      </w:r>
      <w:r w:rsidR="00085A43">
        <w:t xml:space="preserve"> hearing for the Inquiry </w:t>
      </w:r>
      <w:r>
        <w:t>into Petition 32-21</w:t>
      </w:r>
      <w:r w:rsidR="00085A43">
        <w:t xml:space="preserve">.  </w:t>
      </w:r>
    </w:p>
    <w:p w14:paraId="41930C7E" w14:textId="415327CC" w:rsidR="009940C6" w:rsidRDefault="009940C6" w:rsidP="00085A43"/>
    <w:p w14:paraId="7E7107C4" w14:textId="77777777" w:rsidR="009940C6" w:rsidRDefault="009940C6" w:rsidP="00085A43">
      <w:r>
        <w:t xml:space="preserve">The petition calls on the Assembly to amend the Human Rights Act 2004 to: </w:t>
      </w:r>
    </w:p>
    <w:p w14:paraId="50B48680" w14:textId="60B10243" w:rsidR="009940C6" w:rsidRDefault="009940C6" w:rsidP="009940C6">
      <w:pPr>
        <w:pStyle w:val="ListParagraph"/>
        <w:numPr>
          <w:ilvl w:val="0"/>
          <w:numId w:val="39"/>
        </w:numPr>
      </w:pPr>
      <w:r>
        <w:t>‘Enable a complaint about any breach of the Human Rights Act to be made to the Human Rights Commission for confidential conciliation, and</w:t>
      </w:r>
    </w:p>
    <w:p w14:paraId="4FFA0FE4" w14:textId="77777777" w:rsidR="009940C6" w:rsidRDefault="009940C6" w:rsidP="009940C6">
      <w:pPr>
        <w:pStyle w:val="ListParagraph"/>
        <w:numPr>
          <w:ilvl w:val="0"/>
          <w:numId w:val="39"/>
        </w:numPr>
      </w:pPr>
      <w:r>
        <w:t xml:space="preserve">if conciliation is unsuccessful, enable a complaint about a breach of the Human Rights Act to be made to the ACT Civil and Administrative Tribunal for resolution.’ </w:t>
      </w:r>
    </w:p>
    <w:p w14:paraId="6F5240A6" w14:textId="77777777" w:rsidR="009940C6" w:rsidRDefault="009940C6" w:rsidP="00085A43"/>
    <w:p w14:paraId="2E2A97C6" w14:textId="01B09BB6" w:rsidR="009940C6" w:rsidRDefault="009940C6" w:rsidP="00085A43">
      <w:r>
        <w:t xml:space="preserve">Such a proposal would supplement the Human Rights </w:t>
      </w:r>
      <w:proofErr w:type="gramStart"/>
      <w:r>
        <w:t>Commission‘</w:t>
      </w:r>
      <w:proofErr w:type="gramEnd"/>
      <w:r>
        <w:t>s existing complaints powers.</w:t>
      </w:r>
    </w:p>
    <w:p w14:paraId="71FBAF8C" w14:textId="77777777" w:rsidR="00085A43" w:rsidRDefault="00085A43" w:rsidP="00085A43"/>
    <w:p w14:paraId="08BE5AE4" w14:textId="0BDB5A67" w:rsidR="00085A43" w:rsidRDefault="00085A43" w:rsidP="00085A43">
      <w:r>
        <w:t xml:space="preserve">Visitors are welcome to observe the proceedings, between </w:t>
      </w:r>
      <w:r w:rsidR="007162C3">
        <w:t>11</w:t>
      </w:r>
      <w:r>
        <w:t xml:space="preserve">am – </w:t>
      </w:r>
      <w:r w:rsidR="005076DD">
        <w:t>5pm</w:t>
      </w:r>
      <w:r>
        <w:t xml:space="preserve">, in the Prince Edward Island Room at the Legislative Assembly building on London Circuit (COVID-Safe restrictions apply).  </w:t>
      </w:r>
    </w:p>
    <w:p w14:paraId="7D5B6219" w14:textId="77777777" w:rsidR="00085A43" w:rsidRDefault="00085A43" w:rsidP="00085A43"/>
    <w:p w14:paraId="5F8A89A4" w14:textId="7F8CB1D1" w:rsidR="00085A43" w:rsidRDefault="00085A43" w:rsidP="00085A43">
      <w:r>
        <w:t xml:space="preserve">A video recording will be available afterwards at </w:t>
      </w:r>
      <w:hyperlink r:id="rId8" w:history="1">
        <w:r w:rsidRPr="003277A0">
          <w:rPr>
            <w:rStyle w:val="Hyperlink"/>
            <w:rFonts w:eastAsiaTheme="majorEastAsia"/>
          </w:rPr>
          <w:t>http://aod.parliament.act.gov.au/</w:t>
        </w:r>
      </w:hyperlink>
      <w:r>
        <w:t xml:space="preserve"> </w:t>
      </w:r>
    </w:p>
    <w:p w14:paraId="60CF351D" w14:textId="77777777" w:rsidR="00085A43" w:rsidRDefault="00085A43" w:rsidP="00085A43"/>
    <w:p w14:paraId="08357FE4" w14:textId="63FADA32" w:rsidR="00085A43" w:rsidRDefault="00085A43" w:rsidP="00085A43">
      <w:r>
        <w:t xml:space="preserve">Appearing at today’s hearing </w:t>
      </w:r>
      <w:r w:rsidR="005076DD">
        <w:t>include</w:t>
      </w:r>
      <w:r>
        <w:t xml:space="preserve"> the following witnesses:</w:t>
      </w:r>
    </w:p>
    <w:p w14:paraId="292F7519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  <w:rPr>
          <w:color w:val="auto"/>
        </w:rPr>
      </w:pPr>
      <w:r w:rsidRPr="005076DD">
        <w:rPr>
          <w:color w:val="auto"/>
        </w:rPr>
        <w:t>Minister for Human Rights</w:t>
      </w:r>
    </w:p>
    <w:p w14:paraId="3DC707D8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  <w:rPr>
          <w:color w:val="auto"/>
        </w:rPr>
      </w:pPr>
      <w:r w:rsidRPr="005076DD">
        <w:rPr>
          <w:color w:val="auto"/>
        </w:rPr>
        <w:t>Australian Lawyers for Human Rights</w:t>
      </w:r>
    </w:p>
    <w:p w14:paraId="74FB9232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  <w:rPr>
          <w:color w:val="auto"/>
        </w:rPr>
      </w:pPr>
      <w:r w:rsidRPr="005076DD">
        <w:rPr>
          <w:color w:val="auto"/>
        </w:rPr>
        <w:t>Canberra Community Law</w:t>
      </w:r>
    </w:p>
    <w:p w14:paraId="0763B98C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</w:pPr>
      <w:r w:rsidRPr="005076DD">
        <w:t>Human Rights Commission</w:t>
      </w:r>
    </w:p>
    <w:p w14:paraId="5BA240D1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  <w:rPr>
          <w:color w:val="auto"/>
        </w:rPr>
      </w:pPr>
      <w:r w:rsidRPr="005076DD">
        <w:rPr>
          <w:color w:val="auto"/>
        </w:rPr>
        <w:t>Civil Liberties Australia</w:t>
      </w:r>
    </w:p>
    <w:p w14:paraId="5967770E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  <w:rPr>
          <w:color w:val="auto"/>
        </w:rPr>
      </w:pPr>
      <w:r w:rsidRPr="005076DD">
        <w:rPr>
          <w:color w:val="auto"/>
        </w:rPr>
        <w:t>ACT Policing</w:t>
      </w:r>
    </w:p>
    <w:p w14:paraId="27802DB1" w14:textId="77777777" w:rsidR="005076DD" w:rsidRPr="005076DD" w:rsidRDefault="005076DD" w:rsidP="005076DD">
      <w:pPr>
        <w:pStyle w:val="Bodycopy"/>
        <w:numPr>
          <w:ilvl w:val="0"/>
          <w:numId w:val="38"/>
        </w:numPr>
        <w:spacing w:before="0" w:after="0"/>
      </w:pPr>
      <w:r w:rsidRPr="005076DD">
        <w:t>ACT Ombudsman</w:t>
      </w:r>
    </w:p>
    <w:p w14:paraId="10125588" w14:textId="2D290603" w:rsidR="00AF12AB" w:rsidRDefault="00AF12AB" w:rsidP="00AF12AB"/>
    <w:p w14:paraId="19D875FC" w14:textId="1B07E0EB" w:rsidR="00BE5960" w:rsidRDefault="0024536B" w:rsidP="00AF12AB">
      <w:r>
        <w:t xml:space="preserve">The hearing schedule is available at: </w:t>
      </w:r>
      <w:hyperlink r:id="rId9" w:history="1">
        <w:r>
          <w:rPr>
            <w:rStyle w:val="Hyperlink"/>
            <w:rFonts w:eastAsiaTheme="minorEastAsia"/>
          </w:rPr>
          <w:t>Public hearings schedule - ACT Legislative Assembly</w:t>
        </w:r>
      </w:hyperlink>
    </w:p>
    <w:p w14:paraId="754802E2" w14:textId="77777777" w:rsidR="009940C6" w:rsidRDefault="009940C6" w:rsidP="00AF12AB"/>
    <w:p w14:paraId="07B6C41F" w14:textId="41870E9A" w:rsidR="00085A43" w:rsidRDefault="005076DD" w:rsidP="00AF12AB">
      <w:r>
        <w:t>Thursday 2</w:t>
      </w:r>
      <w:r w:rsidR="009940C6">
        <w:t>8</w:t>
      </w:r>
      <w:r>
        <w:t xml:space="preserve"> April 2022</w:t>
      </w:r>
      <w:r w:rsidR="00085A43">
        <w:t xml:space="preserve"> </w:t>
      </w:r>
    </w:p>
    <w:p w14:paraId="746805A2" w14:textId="77777777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4B544061" w:rsidR="00AF12AB" w:rsidRDefault="00AF12AB" w:rsidP="00AF12AB">
      <w:r>
        <w:t xml:space="preserve">Committee Chair, Mr </w:t>
      </w:r>
      <w:r w:rsidR="005076DD">
        <w:t>Peter Cain</w:t>
      </w:r>
      <w:r>
        <w:t xml:space="preserve"> MLA on (</w:t>
      </w:r>
      <w:r w:rsidRPr="00651B87">
        <w:t>02</w:t>
      </w:r>
      <w:r w:rsidRPr="005076DD">
        <w:t xml:space="preserve">) </w:t>
      </w:r>
      <w:r w:rsidR="005076DD" w:rsidRPr="005076DD">
        <w:rPr>
          <w:sz w:val="21"/>
          <w:szCs w:val="21"/>
          <w:lang w:eastAsia="en-AU"/>
        </w:rPr>
        <w:t>6205 1927</w:t>
      </w:r>
    </w:p>
    <w:p w14:paraId="5718758B" w14:textId="05E5840C" w:rsidR="00AF12AB" w:rsidRPr="00E76912" w:rsidRDefault="00AF12AB" w:rsidP="00AF12AB">
      <w:r>
        <w:t xml:space="preserve">Committee Secretary, </w:t>
      </w:r>
      <w:r w:rsidR="005076DD">
        <w:t>Kathleen de Kleuver</w:t>
      </w:r>
      <w:r>
        <w:t xml:space="preserve">,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0123" w14:textId="77777777" w:rsidR="004047C5" w:rsidRDefault="00404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4047C5">
          <w:fldChar w:fldCharType="begin"/>
        </w:r>
        <w:r w:rsidR="004047C5">
          <w:instrText xml:space="preserve"> NUMPAGES  </w:instrText>
        </w:r>
        <w:r w:rsidR="004047C5">
          <w:fldChar w:fldCharType="separate"/>
        </w:r>
        <w:r w:rsidR="0046631F">
          <w:rPr>
            <w:noProof/>
          </w:rPr>
          <w:t>2</w:t>
        </w:r>
        <w:r w:rsidR="004047C5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4047C5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82A9" w14:textId="77777777" w:rsidR="004047C5" w:rsidRDefault="00404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D0D3" w14:textId="77777777" w:rsidR="004047C5" w:rsidRDefault="00404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320EEDB7">
              <wp:simplePos x="0" y="0"/>
              <wp:positionH relativeFrom="margin">
                <wp:align>right</wp:align>
              </wp:positionH>
              <wp:positionV relativeFrom="paragraph">
                <wp:posOffset>610870</wp:posOffset>
              </wp:positionV>
              <wp:extent cx="492633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1787ED35" w14:textId="77777777" w:rsidR="004047C5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7162C3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sa Paterson MLA (Deputy Chair), </w:t>
                          </w:r>
                        </w:p>
                        <w:p w14:paraId="459E7004" w14:textId="01C256C8" w:rsidR="0064779A" w:rsidRPr="00C02620" w:rsidRDefault="000546F2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6.7pt;margin-top:48.1pt;width:387.9pt;height:5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1787ED35" w14:textId="77777777" w:rsidR="004047C5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7162C3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sa Paterson MLA (Deputy Chair), </w:t>
                    </w:r>
                  </w:p>
                  <w:p w14:paraId="459E7004" w14:textId="01C256C8" w:rsidR="0064779A" w:rsidRPr="00C02620" w:rsidRDefault="000546F2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73F0DB7"/>
    <w:multiLevelType w:val="hybridMultilevel"/>
    <w:tmpl w:val="B07C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9"/>
  </w:num>
  <w:num w:numId="4">
    <w:abstractNumId w:val="33"/>
  </w:num>
  <w:num w:numId="5">
    <w:abstractNumId w:val="19"/>
  </w:num>
  <w:num w:numId="6">
    <w:abstractNumId w:val="29"/>
  </w:num>
  <w:num w:numId="7">
    <w:abstractNumId w:val="10"/>
  </w:num>
  <w:num w:numId="8">
    <w:abstractNumId w:val="2"/>
  </w:num>
  <w:num w:numId="9">
    <w:abstractNumId w:val="34"/>
  </w:num>
  <w:num w:numId="10">
    <w:abstractNumId w:val="15"/>
  </w:num>
  <w:num w:numId="11">
    <w:abstractNumId w:val="17"/>
  </w:num>
  <w:num w:numId="12">
    <w:abstractNumId w:val="20"/>
  </w:num>
  <w:num w:numId="13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2"/>
  </w:num>
  <w:num w:numId="16">
    <w:abstractNumId w:val="1"/>
  </w:num>
  <w:num w:numId="17">
    <w:abstractNumId w:val="25"/>
  </w:num>
  <w:num w:numId="18">
    <w:abstractNumId w:val="30"/>
  </w:num>
  <w:num w:numId="19">
    <w:abstractNumId w:val="27"/>
  </w:num>
  <w:num w:numId="20">
    <w:abstractNumId w:val="14"/>
  </w:num>
  <w:num w:numId="21">
    <w:abstractNumId w:val="28"/>
  </w:num>
  <w:num w:numId="22">
    <w:abstractNumId w:val="24"/>
  </w:num>
  <w:num w:numId="23">
    <w:abstractNumId w:val="12"/>
  </w:num>
  <w:num w:numId="24">
    <w:abstractNumId w:val="23"/>
  </w:num>
  <w:num w:numId="25">
    <w:abstractNumId w:val="31"/>
  </w:num>
  <w:num w:numId="26">
    <w:abstractNumId w:val="18"/>
  </w:num>
  <w:num w:numId="27">
    <w:abstractNumId w:val="5"/>
  </w:num>
  <w:num w:numId="28">
    <w:abstractNumId w:val="7"/>
  </w:num>
  <w:num w:numId="29">
    <w:abstractNumId w:val="32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6"/>
  </w:num>
  <w:num w:numId="36">
    <w:abstractNumId w:val="35"/>
  </w:num>
  <w:num w:numId="37">
    <w:abstractNumId w:val="0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536B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047C5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076D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162C3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940C6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0D2A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public-hearings-schedul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7</cp:revision>
  <cp:lastPrinted>2012-11-26T23:22:00Z</cp:lastPrinted>
  <dcterms:created xsi:type="dcterms:W3CDTF">2022-04-26T23:06:00Z</dcterms:created>
  <dcterms:modified xsi:type="dcterms:W3CDTF">2022-04-28T05:14:00Z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