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A8525A" w14:textId="77777777" w:rsidR="009517FE" w:rsidRPr="00104A8B" w:rsidRDefault="009517FE" w:rsidP="009517FE">
      <w:pPr>
        <w:spacing w:before="7560" w:after="240" w:line="259" w:lineRule="auto"/>
        <w:jc w:val="right"/>
        <w:rPr>
          <w:rFonts w:ascii="Arial Narrow" w:hAnsi="Arial Narrow"/>
          <w:sz w:val="42"/>
          <w:szCs w:val="42"/>
        </w:rPr>
      </w:pPr>
      <w:bookmarkStart w:id="0" w:name="_Toc500938167"/>
      <w:bookmarkStart w:id="1" w:name="_Toc500947015"/>
      <w:bookmarkStart w:id="2" w:name="_Toc501547024"/>
      <w:bookmarkStart w:id="3" w:name="_Toc501547379"/>
      <w:bookmarkStart w:id="4" w:name="_Toc505005664"/>
      <w:bookmarkStart w:id="5" w:name="_Toc505153755"/>
      <w:bookmarkStart w:id="6" w:name="_Toc508283423"/>
      <w:bookmarkStart w:id="7" w:name="_Toc510081779"/>
      <w:bookmarkStart w:id="8" w:name="_Toc511812216"/>
      <w:bookmarkStart w:id="9" w:name="_Toc512240154"/>
      <w:bookmarkStart w:id="10" w:name="_Toc513192151"/>
      <w:bookmarkStart w:id="11" w:name="_Toc514832413"/>
      <w:bookmarkStart w:id="12" w:name="_Toc514837957"/>
      <w:bookmarkStart w:id="13" w:name="_GoBack"/>
      <w:bookmarkEnd w:id="13"/>
      <w:r w:rsidRPr="00104A8B">
        <w:rPr>
          <w:rFonts w:ascii="Arial Narrow" w:hAnsi="Arial Narrow"/>
          <w:sz w:val="42"/>
          <w:szCs w:val="42"/>
        </w:rPr>
        <w:t>Standing Committee on Justice and Community Safety (Legislative Scrutiny Role)</w:t>
      </w:r>
    </w:p>
    <w:p w14:paraId="426C2747" w14:textId="59A05434" w:rsidR="000B0846" w:rsidRPr="00104A8B" w:rsidRDefault="000B0846" w:rsidP="003F68A7">
      <w:pPr>
        <w:pStyle w:val="Heading1"/>
        <w:spacing w:before="2200"/>
      </w:pPr>
      <w:r w:rsidRPr="00104A8B">
        <w:t>S</w:t>
      </w:r>
      <w:r w:rsidR="00907785" w:rsidRPr="00104A8B">
        <w:t xml:space="preserve">crutiny Report </w:t>
      </w:r>
      <w:bookmarkEnd w:id="0"/>
      <w:bookmarkEnd w:id="1"/>
      <w:bookmarkEnd w:id="2"/>
      <w:bookmarkEnd w:id="3"/>
      <w:bookmarkEnd w:id="4"/>
      <w:bookmarkEnd w:id="5"/>
      <w:bookmarkEnd w:id="6"/>
      <w:bookmarkEnd w:id="7"/>
      <w:bookmarkEnd w:id="8"/>
      <w:bookmarkEnd w:id="9"/>
      <w:bookmarkEnd w:id="10"/>
      <w:bookmarkEnd w:id="11"/>
      <w:bookmarkEnd w:id="12"/>
      <w:r w:rsidR="008E78E0">
        <w:t>14</w:t>
      </w:r>
    </w:p>
    <w:p w14:paraId="4A2BADCD" w14:textId="267E249D" w:rsidR="00D4210F" w:rsidRPr="00104A8B" w:rsidRDefault="008E78E0" w:rsidP="003F68A7">
      <w:pPr>
        <w:spacing w:before="1800" w:after="240"/>
        <w:jc w:val="right"/>
        <w:rPr>
          <w:sz w:val="24"/>
          <w:szCs w:val="24"/>
        </w:rPr>
      </w:pPr>
      <w:r>
        <w:rPr>
          <w:sz w:val="24"/>
          <w:szCs w:val="24"/>
        </w:rPr>
        <w:t>29</w:t>
      </w:r>
      <w:r w:rsidR="00786EE7">
        <w:rPr>
          <w:sz w:val="24"/>
          <w:szCs w:val="24"/>
        </w:rPr>
        <w:t xml:space="preserve"> MARCH</w:t>
      </w:r>
      <w:r w:rsidR="00714CBC">
        <w:rPr>
          <w:sz w:val="24"/>
          <w:szCs w:val="24"/>
        </w:rPr>
        <w:t xml:space="preserve"> 2022</w:t>
      </w:r>
    </w:p>
    <w:p w14:paraId="08B7779B" w14:textId="77777777" w:rsidR="00D4210F" w:rsidRPr="00104A8B" w:rsidRDefault="00D4210F" w:rsidP="00D4210F">
      <w:r w:rsidRPr="00104A8B">
        <w:br w:type="page"/>
      </w:r>
    </w:p>
    <w:p w14:paraId="01741887" w14:textId="77777777" w:rsidR="000B0846" w:rsidRPr="00104A8B" w:rsidRDefault="000B0846" w:rsidP="000B0846">
      <w:pPr>
        <w:spacing w:before="1800" w:after="240"/>
        <w:jc w:val="right"/>
      </w:pPr>
    </w:p>
    <w:p w14:paraId="5DDDB4C1" w14:textId="77777777" w:rsidR="00AE4D51" w:rsidRPr="00104A8B" w:rsidRDefault="00AE4D51" w:rsidP="00BA47E5">
      <w:pPr>
        <w:pStyle w:val="Heading2"/>
        <w:sectPr w:rsidR="00AE4D51" w:rsidRPr="00104A8B">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bookmarkStart w:id="14" w:name="_Toc500938168"/>
      <w:bookmarkStart w:id="15" w:name="_Toc500947016"/>
    </w:p>
    <w:p w14:paraId="1D6C356C" w14:textId="77777777" w:rsidR="002A185D" w:rsidRPr="00104A8B" w:rsidRDefault="002A185D" w:rsidP="00BA47E5">
      <w:pPr>
        <w:pStyle w:val="Heading2"/>
      </w:pPr>
      <w:bookmarkStart w:id="16" w:name="_Toc502671580"/>
      <w:bookmarkStart w:id="17" w:name="_Toc502671759"/>
      <w:bookmarkStart w:id="18" w:name="_Toc502671864"/>
      <w:bookmarkStart w:id="19" w:name="_Toc502672797"/>
      <w:bookmarkStart w:id="20" w:name="_Toc514768035"/>
      <w:bookmarkStart w:id="21" w:name="_Toc514837958"/>
      <w:bookmarkStart w:id="22" w:name="_Toc518297244"/>
      <w:bookmarkStart w:id="23" w:name="_Toc519069302"/>
      <w:bookmarkStart w:id="24" w:name="_Toc519069363"/>
      <w:bookmarkStart w:id="25" w:name="_Toc519520730"/>
      <w:bookmarkStart w:id="26" w:name="_Toc520188709"/>
      <w:bookmarkStart w:id="27" w:name="_Toc521054226"/>
      <w:bookmarkStart w:id="28" w:name="_Toc521054313"/>
      <w:bookmarkStart w:id="29" w:name="_Toc521054385"/>
      <w:bookmarkStart w:id="30" w:name="_Toc523753608"/>
      <w:bookmarkStart w:id="31" w:name="_Toc523814157"/>
      <w:bookmarkStart w:id="32" w:name="_Toc523900448"/>
      <w:bookmarkStart w:id="33" w:name="_Toc526855809"/>
      <w:bookmarkStart w:id="34" w:name="_Toc528155835"/>
      <w:bookmarkStart w:id="35" w:name="_Toc528157194"/>
      <w:bookmarkStart w:id="36" w:name="_Toc528310847"/>
      <w:bookmarkStart w:id="37" w:name="_Toc529974526"/>
      <w:bookmarkStart w:id="38" w:name="_Toc530039421"/>
      <w:bookmarkStart w:id="39" w:name="_Toc536527669"/>
      <w:bookmarkStart w:id="40" w:name="_Toc536527832"/>
      <w:bookmarkStart w:id="41" w:name="_Toc536615370"/>
      <w:bookmarkStart w:id="42" w:name="_Toc172148"/>
      <w:bookmarkStart w:id="43" w:name="_Toc506073"/>
      <w:bookmarkStart w:id="44" w:name="_Toc945917"/>
      <w:bookmarkStart w:id="45" w:name="_Toc965807"/>
      <w:bookmarkStart w:id="46" w:name="_Toc2839571"/>
      <w:bookmarkStart w:id="47" w:name="_Toc2850231"/>
      <w:bookmarkStart w:id="48" w:name="_Toc3271208"/>
      <w:bookmarkStart w:id="49" w:name="_Toc4588269"/>
      <w:bookmarkStart w:id="50" w:name="_Toc4652915"/>
      <w:bookmarkStart w:id="51" w:name="_Toc5003657"/>
      <w:bookmarkStart w:id="52" w:name="_Toc6211030"/>
      <w:bookmarkStart w:id="53" w:name="_Toc9499988"/>
      <w:bookmarkStart w:id="54" w:name="_Toc14266110"/>
      <w:bookmarkStart w:id="55" w:name="_Toc14334599"/>
      <w:bookmarkStart w:id="56" w:name="_Toc14775949"/>
      <w:bookmarkStart w:id="57" w:name="_Toc15285027"/>
      <w:bookmarkStart w:id="58" w:name="_Toc15630647"/>
      <w:bookmarkStart w:id="59" w:name="_Toc18415319"/>
      <w:bookmarkStart w:id="60" w:name="_Toc18487687"/>
      <w:bookmarkStart w:id="61" w:name="_Toc19708390"/>
      <w:bookmarkStart w:id="62" w:name="_Toc20131679"/>
      <w:bookmarkStart w:id="63" w:name="_Toc21595437"/>
      <w:bookmarkStart w:id="64" w:name="_Toc22025438"/>
      <w:bookmarkStart w:id="65" w:name="_Toc24463701"/>
      <w:bookmarkStart w:id="66" w:name="_Toc24617698"/>
      <w:bookmarkStart w:id="67" w:name="_Toc25050770"/>
      <w:bookmarkStart w:id="68" w:name="_Toc31202134"/>
      <w:bookmarkStart w:id="69" w:name="_Toc31202255"/>
      <w:bookmarkStart w:id="70" w:name="_Toc32390195"/>
      <w:bookmarkStart w:id="71" w:name="_Toc32566836"/>
      <w:bookmarkStart w:id="72" w:name="_Toc35437926"/>
      <w:bookmarkStart w:id="73" w:name="_Toc38270536"/>
      <w:bookmarkStart w:id="74" w:name="_Toc38362387"/>
      <w:bookmarkStart w:id="75" w:name="_Toc38441868"/>
      <w:bookmarkStart w:id="76" w:name="_Toc38442375"/>
      <w:bookmarkStart w:id="77" w:name="_Toc38976313"/>
      <w:bookmarkStart w:id="78" w:name="_Toc40693084"/>
      <w:bookmarkStart w:id="79" w:name="_Toc40693225"/>
      <w:bookmarkStart w:id="80" w:name="_Toc41570911"/>
      <w:bookmarkStart w:id="81" w:name="_Toc42874993"/>
      <w:bookmarkStart w:id="82" w:name="_Toc44074210"/>
      <w:bookmarkStart w:id="83" w:name="_Toc44317221"/>
      <w:bookmarkStart w:id="84" w:name="_Toc44323924"/>
      <w:bookmarkStart w:id="85" w:name="_Toc80105323"/>
      <w:bookmarkStart w:id="86" w:name="_Toc80347167"/>
      <w:bookmarkStart w:id="87" w:name="_Toc80613163"/>
      <w:bookmarkStart w:id="88" w:name="_Toc80613253"/>
      <w:bookmarkStart w:id="89" w:name="_Toc80701760"/>
      <w:bookmarkStart w:id="90" w:name="_Toc83302215"/>
      <w:bookmarkStart w:id="91" w:name="_Toc83639595"/>
      <w:bookmarkStart w:id="92" w:name="_Toc86229548"/>
      <w:bookmarkStart w:id="93" w:name="_Toc88029448"/>
      <w:bookmarkStart w:id="94" w:name="_Toc94002920"/>
      <w:bookmarkStart w:id="95" w:name="_Toc97722447"/>
      <w:bookmarkStart w:id="96" w:name="_Toc99010772"/>
      <w:bookmarkStart w:id="97" w:name="_Toc99029461"/>
      <w:bookmarkStart w:id="98" w:name="_Toc500938169"/>
      <w:bookmarkStart w:id="99" w:name="_Toc500947017"/>
      <w:bookmarkStart w:id="100" w:name="_Toc501547026"/>
      <w:bookmarkStart w:id="101" w:name="_Toc501547381"/>
      <w:bookmarkStart w:id="102" w:name="_Toc505005665"/>
      <w:bookmarkStart w:id="103" w:name="_Toc505153756"/>
      <w:bookmarkStart w:id="104" w:name="_Toc508283424"/>
      <w:bookmarkStart w:id="105" w:name="_Toc510081780"/>
      <w:bookmarkStart w:id="106" w:name="_Toc511812217"/>
      <w:bookmarkStart w:id="107" w:name="_Toc512240155"/>
      <w:bookmarkStart w:id="108" w:name="_Toc513192152"/>
      <w:bookmarkStart w:id="109" w:name="_Toc514832414"/>
      <w:bookmarkEnd w:id="14"/>
      <w:bookmarkEnd w:id="15"/>
      <w:r w:rsidRPr="00104A8B">
        <w:lastRenderedPageBreak/>
        <w:t>The Committee</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5B4A1EFD" w14:textId="77777777" w:rsidR="000B0846" w:rsidRPr="00104A8B" w:rsidRDefault="000B0846" w:rsidP="002A185D">
      <w:pPr>
        <w:pStyle w:val="Heading3"/>
        <w:rPr>
          <w:rFonts w:asciiTheme="minorHAnsi" w:hAnsiTheme="minorHAnsi"/>
        </w:rPr>
      </w:pPr>
      <w:bookmarkStart w:id="110" w:name="_Toc514837959"/>
      <w:bookmarkStart w:id="111" w:name="_Toc514943593"/>
      <w:bookmarkStart w:id="112" w:name="_Toc515352036"/>
      <w:bookmarkStart w:id="113" w:name="_Toc518297245"/>
      <w:bookmarkStart w:id="114" w:name="_Toc519069303"/>
      <w:bookmarkStart w:id="115" w:name="_Toc519069364"/>
      <w:bookmarkStart w:id="116" w:name="_Toc519520731"/>
      <w:bookmarkStart w:id="117" w:name="_Toc520188710"/>
      <w:bookmarkStart w:id="118" w:name="_Toc521054227"/>
      <w:bookmarkStart w:id="119" w:name="_Toc521054314"/>
      <w:bookmarkStart w:id="120" w:name="_Toc521054386"/>
      <w:bookmarkStart w:id="121" w:name="_Toc523753609"/>
      <w:bookmarkStart w:id="122" w:name="_Toc523814158"/>
      <w:bookmarkStart w:id="123" w:name="_Toc523900449"/>
      <w:bookmarkStart w:id="124" w:name="_Toc526855810"/>
      <w:bookmarkStart w:id="125" w:name="_Toc528155836"/>
      <w:bookmarkStart w:id="126" w:name="_Toc528157195"/>
      <w:bookmarkStart w:id="127" w:name="_Toc528310848"/>
      <w:bookmarkStart w:id="128" w:name="_Toc529974527"/>
      <w:bookmarkStart w:id="129" w:name="_Toc530039422"/>
      <w:bookmarkStart w:id="130" w:name="_Toc536527670"/>
      <w:bookmarkStart w:id="131" w:name="_Toc536527833"/>
      <w:bookmarkStart w:id="132" w:name="_Toc536615371"/>
      <w:bookmarkStart w:id="133" w:name="_Toc172149"/>
      <w:bookmarkStart w:id="134" w:name="_Toc506074"/>
      <w:bookmarkStart w:id="135" w:name="_Toc945918"/>
      <w:bookmarkStart w:id="136" w:name="_Toc965808"/>
      <w:bookmarkStart w:id="137" w:name="_Toc2839572"/>
      <w:bookmarkStart w:id="138" w:name="_Toc2850232"/>
      <w:bookmarkStart w:id="139" w:name="_Toc3271209"/>
      <w:bookmarkStart w:id="140" w:name="_Toc4588270"/>
      <w:bookmarkStart w:id="141" w:name="_Toc4652916"/>
      <w:bookmarkStart w:id="142" w:name="_Toc5003658"/>
      <w:bookmarkStart w:id="143" w:name="_Toc6211031"/>
      <w:bookmarkStart w:id="144" w:name="_Toc9499989"/>
      <w:bookmarkStart w:id="145" w:name="_Toc14266111"/>
      <w:bookmarkStart w:id="146" w:name="_Toc14334600"/>
      <w:bookmarkStart w:id="147" w:name="_Toc14775950"/>
      <w:bookmarkStart w:id="148" w:name="_Toc15285028"/>
      <w:bookmarkStart w:id="149" w:name="_Toc15630648"/>
      <w:bookmarkStart w:id="150" w:name="_Toc18415320"/>
      <w:bookmarkStart w:id="151" w:name="_Toc18487688"/>
      <w:bookmarkStart w:id="152" w:name="_Toc19708391"/>
      <w:bookmarkStart w:id="153" w:name="_Toc20131680"/>
      <w:bookmarkStart w:id="154" w:name="_Toc21595438"/>
      <w:bookmarkStart w:id="155" w:name="_Toc22025439"/>
      <w:bookmarkStart w:id="156" w:name="_Toc24463702"/>
      <w:bookmarkStart w:id="157" w:name="_Toc24617699"/>
      <w:bookmarkStart w:id="158" w:name="_Toc25050771"/>
      <w:bookmarkStart w:id="159" w:name="_Toc31202135"/>
      <w:bookmarkStart w:id="160" w:name="_Toc31202256"/>
      <w:bookmarkStart w:id="161" w:name="_Toc32390196"/>
      <w:bookmarkStart w:id="162" w:name="_Toc32566837"/>
      <w:bookmarkStart w:id="163" w:name="_Toc35437927"/>
      <w:bookmarkStart w:id="164" w:name="_Toc38270537"/>
      <w:bookmarkStart w:id="165" w:name="_Toc38362388"/>
      <w:bookmarkStart w:id="166" w:name="_Toc38441869"/>
      <w:bookmarkStart w:id="167" w:name="_Toc38442376"/>
      <w:bookmarkStart w:id="168" w:name="_Toc38976314"/>
      <w:bookmarkStart w:id="169" w:name="_Toc40693085"/>
      <w:bookmarkStart w:id="170" w:name="_Toc40693226"/>
      <w:bookmarkStart w:id="171" w:name="_Toc41570912"/>
      <w:bookmarkStart w:id="172" w:name="_Toc42874994"/>
      <w:bookmarkStart w:id="173" w:name="_Toc44074211"/>
      <w:bookmarkStart w:id="174" w:name="_Toc44317222"/>
      <w:bookmarkStart w:id="175" w:name="_Toc44323925"/>
      <w:bookmarkStart w:id="176" w:name="_Toc80105324"/>
      <w:bookmarkStart w:id="177" w:name="_Toc80347168"/>
      <w:bookmarkStart w:id="178" w:name="_Toc80613164"/>
      <w:bookmarkStart w:id="179" w:name="_Toc80613254"/>
      <w:bookmarkStart w:id="180" w:name="_Toc80701761"/>
      <w:bookmarkStart w:id="181" w:name="_Toc83302216"/>
      <w:bookmarkStart w:id="182" w:name="_Toc83639596"/>
      <w:bookmarkStart w:id="183" w:name="_Toc86229549"/>
      <w:bookmarkStart w:id="184" w:name="_Toc88029449"/>
      <w:bookmarkStart w:id="185" w:name="_Toc94002921"/>
      <w:bookmarkStart w:id="186" w:name="_Toc97722448"/>
      <w:bookmarkStart w:id="187" w:name="_Toc99010773"/>
      <w:bookmarkStart w:id="188" w:name="_Toc99029462"/>
      <w:r w:rsidRPr="00104A8B">
        <w:rPr>
          <w:rFonts w:asciiTheme="minorHAnsi" w:hAnsiTheme="minorHAnsi"/>
        </w:rPr>
        <w:t>C</w:t>
      </w:r>
      <w:r w:rsidR="00474136" w:rsidRPr="00104A8B">
        <w:rPr>
          <w:rFonts w:asciiTheme="minorHAnsi" w:hAnsiTheme="minorHAnsi"/>
        </w:rPr>
        <w:t>ommittee Membership</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14:paraId="4593B6F0" w14:textId="624F56CA" w:rsidR="000B0846" w:rsidRPr="00104A8B" w:rsidRDefault="00786EE7" w:rsidP="009C4F5B">
      <w:pPr>
        <w:pStyle w:val="ListParagraph"/>
        <w:ind w:left="0"/>
      </w:pPr>
      <w:r>
        <w:t>Mr Peter Cain</w:t>
      </w:r>
      <w:r w:rsidR="00E41D9C">
        <w:t xml:space="preserve"> MLA</w:t>
      </w:r>
      <w:r w:rsidR="00A919BD" w:rsidRPr="00104A8B">
        <w:t xml:space="preserve"> </w:t>
      </w:r>
      <w:r w:rsidR="000B0846" w:rsidRPr="00104A8B">
        <w:t>(Chair)</w:t>
      </w:r>
    </w:p>
    <w:p w14:paraId="4EDDE5A9" w14:textId="77777777" w:rsidR="000B0846" w:rsidRPr="00104A8B" w:rsidRDefault="00E41D9C" w:rsidP="009C4F5B">
      <w:pPr>
        <w:pStyle w:val="ListParagraph"/>
        <w:ind w:left="0"/>
      </w:pPr>
      <w:r>
        <w:t>Dr Marisa Pa</w:t>
      </w:r>
      <w:r w:rsidR="00F825FE">
        <w:t>t</w:t>
      </w:r>
      <w:r>
        <w:t>erson</w:t>
      </w:r>
      <w:r w:rsidR="0009718B">
        <w:t xml:space="preserve"> MLA</w:t>
      </w:r>
      <w:r w:rsidR="000B0846" w:rsidRPr="00104A8B">
        <w:t xml:space="preserve"> (Deputy Chair)</w:t>
      </w:r>
    </w:p>
    <w:p w14:paraId="31C06162" w14:textId="7499A869" w:rsidR="000B0846" w:rsidRPr="00104A8B" w:rsidRDefault="00714CBC" w:rsidP="009C4F5B">
      <w:pPr>
        <w:pStyle w:val="ListParagraph"/>
        <w:spacing w:after="360"/>
        <w:ind w:left="0"/>
      </w:pPr>
      <w:r>
        <w:t>Mr Andrew Braddock</w:t>
      </w:r>
      <w:r w:rsidR="003C4A44">
        <w:t xml:space="preserve"> ML</w:t>
      </w:r>
      <w:r w:rsidR="000B0846" w:rsidRPr="00104A8B">
        <w:t>A</w:t>
      </w:r>
    </w:p>
    <w:p w14:paraId="3C64B00A" w14:textId="77777777" w:rsidR="000B0846" w:rsidRPr="00104A8B" w:rsidRDefault="000B0846" w:rsidP="002A185D">
      <w:pPr>
        <w:pStyle w:val="Heading3"/>
        <w:rPr>
          <w:rFonts w:asciiTheme="minorHAnsi" w:hAnsiTheme="minorHAnsi"/>
        </w:rPr>
      </w:pPr>
      <w:bookmarkStart w:id="189" w:name="_Toc500938170"/>
      <w:bookmarkStart w:id="190" w:name="_Toc500947018"/>
      <w:bookmarkStart w:id="191" w:name="_Toc501547027"/>
      <w:bookmarkStart w:id="192" w:name="_Toc501547382"/>
      <w:bookmarkStart w:id="193" w:name="_Toc505005666"/>
      <w:bookmarkStart w:id="194" w:name="_Toc505153757"/>
      <w:bookmarkStart w:id="195" w:name="_Toc508283425"/>
      <w:bookmarkStart w:id="196" w:name="_Toc510081781"/>
      <w:bookmarkStart w:id="197" w:name="_Toc511812218"/>
      <w:bookmarkStart w:id="198" w:name="_Toc512240156"/>
      <w:bookmarkStart w:id="199" w:name="_Toc513192153"/>
      <w:bookmarkStart w:id="200" w:name="_Toc514832415"/>
      <w:bookmarkStart w:id="201" w:name="_Toc514837960"/>
      <w:bookmarkStart w:id="202" w:name="_Toc514943594"/>
      <w:bookmarkStart w:id="203" w:name="_Toc515352037"/>
      <w:bookmarkStart w:id="204" w:name="_Toc518297246"/>
      <w:bookmarkStart w:id="205" w:name="_Toc519069304"/>
      <w:bookmarkStart w:id="206" w:name="_Toc519069365"/>
      <w:bookmarkStart w:id="207" w:name="_Toc519520732"/>
      <w:bookmarkStart w:id="208" w:name="_Toc520188711"/>
      <w:bookmarkStart w:id="209" w:name="_Toc521054228"/>
      <w:bookmarkStart w:id="210" w:name="_Toc521054315"/>
      <w:bookmarkStart w:id="211" w:name="_Toc521054387"/>
      <w:bookmarkStart w:id="212" w:name="_Toc523753610"/>
      <w:bookmarkStart w:id="213" w:name="_Toc523814159"/>
      <w:bookmarkStart w:id="214" w:name="_Toc523900450"/>
      <w:bookmarkStart w:id="215" w:name="_Toc526855811"/>
      <w:bookmarkStart w:id="216" w:name="_Toc528155837"/>
      <w:bookmarkStart w:id="217" w:name="_Toc528157196"/>
      <w:bookmarkStart w:id="218" w:name="_Toc528310849"/>
      <w:bookmarkStart w:id="219" w:name="_Toc529974528"/>
      <w:bookmarkStart w:id="220" w:name="_Toc530039423"/>
      <w:bookmarkStart w:id="221" w:name="_Toc536527671"/>
      <w:bookmarkStart w:id="222" w:name="_Toc536527834"/>
      <w:bookmarkStart w:id="223" w:name="_Toc536615372"/>
      <w:bookmarkStart w:id="224" w:name="_Toc172150"/>
      <w:bookmarkStart w:id="225" w:name="_Toc506075"/>
      <w:bookmarkStart w:id="226" w:name="_Toc945919"/>
      <w:bookmarkStart w:id="227" w:name="_Toc965809"/>
      <w:bookmarkStart w:id="228" w:name="_Toc2839573"/>
      <w:bookmarkStart w:id="229" w:name="_Toc2850233"/>
      <w:bookmarkStart w:id="230" w:name="_Toc3271210"/>
      <w:bookmarkStart w:id="231" w:name="_Toc4588271"/>
      <w:bookmarkStart w:id="232" w:name="_Toc4652917"/>
      <w:bookmarkStart w:id="233" w:name="_Toc5003659"/>
      <w:bookmarkStart w:id="234" w:name="_Toc6211032"/>
      <w:bookmarkStart w:id="235" w:name="_Toc9499990"/>
      <w:bookmarkStart w:id="236" w:name="_Toc14266112"/>
      <w:bookmarkStart w:id="237" w:name="_Toc14334601"/>
      <w:bookmarkStart w:id="238" w:name="_Toc14775951"/>
      <w:bookmarkStart w:id="239" w:name="_Toc15285029"/>
      <w:bookmarkStart w:id="240" w:name="_Toc15630649"/>
      <w:bookmarkStart w:id="241" w:name="_Toc18415321"/>
      <w:bookmarkStart w:id="242" w:name="_Toc18487689"/>
      <w:bookmarkStart w:id="243" w:name="_Toc19708392"/>
      <w:bookmarkStart w:id="244" w:name="_Toc20131681"/>
      <w:bookmarkStart w:id="245" w:name="_Toc21595439"/>
      <w:bookmarkStart w:id="246" w:name="_Toc22025440"/>
      <w:bookmarkStart w:id="247" w:name="_Toc24463703"/>
      <w:bookmarkStart w:id="248" w:name="_Toc24617700"/>
      <w:bookmarkStart w:id="249" w:name="_Toc25050772"/>
      <w:bookmarkStart w:id="250" w:name="_Toc31202136"/>
      <w:bookmarkStart w:id="251" w:name="_Toc31202257"/>
      <w:bookmarkStart w:id="252" w:name="_Toc32390197"/>
      <w:bookmarkStart w:id="253" w:name="_Toc32566838"/>
      <w:bookmarkStart w:id="254" w:name="_Toc35437928"/>
      <w:bookmarkStart w:id="255" w:name="_Toc38270538"/>
      <w:bookmarkStart w:id="256" w:name="_Toc38362389"/>
      <w:bookmarkStart w:id="257" w:name="_Toc38441870"/>
      <w:bookmarkStart w:id="258" w:name="_Toc38442377"/>
      <w:bookmarkStart w:id="259" w:name="_Toc38976315"/>
      <w:bookmarkStart w:id="260" w:name="_Toc40693086"/>
      <w:bookmarkStart w:id="261" w:name="_Toc40693227"/>
      <w:bookmarkStart w:id="262" w:name="_Toc41570913"/>
      <w:bookmarkStart w:id="263" w:name="_Toc42874995"/>
      <w:bookmarkStart w:id="264" w:name="_Toc44074212"/>
      <w:bookmarkStart w:id="265" w:name="_Toc44317223"/>
      <w:bookmarkStart w:id="266" w:name="_Toc44323926"/>
      <w:bookmarkStart w:id="267" w:name="_Toc80105325"/>
      <w:bookmarkStart w:id="268" w:name="_Toc80347169"/>
      <w:bookmarkStart w:id="269" w:name="_Toc80613165"/>
      <w:bookmarkStart w:id="270" w:name="_Toc80613255"/>
      <w:bookmarkStart w:id="271" w:name="_Toc80701762"/>
      <w:bookmarkStart w:id="272" w:name="_Toc83302217"/>
      <w:bookmarkStart w:id="273" w:name="_Toc83639597"/>
      <w:bookmarkStart w:id="274" w:name="_Toc86229550"/>
      <w:bookmarkStart w:id="275" w:name="_Toc88029450"/>
      <w:bookmarkStart w:id="276" w:name="_Toc94002922"/>
      <w:bookmarkStart w:id="277" w:name="_Toc97722449"/>
      <w:bookmarkStart w:id="278" w:name="_Toc99010774"/>
      <w:bookmarkStart w:id="279" w:name="_Toc99029463"/>
      <w:r w:rsidRPr="00104A8B">
        <w:rPr>
          <w:rFonts w:asciiTheme="minorHAnsi" w:hAnsiTheme="minorHAnsi"/>
        </w:rPr>
        <w:t>S</w:t>
      </w:r>
      <w:bookmarkEnd w:id="189"/>
      <w:r w:rsidR="00474136" w:rsidRPr="00104A8B">
        <w:rPr>
          <w:rFonts w:asciiTheme="minorHAnsi" w:hAnsiTheme="minorHAnsi"/>
        </w:rPr>
        <w:t>ecretariat</w:t>
      </w:r>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7DC23563" w14:textId="3BC42ACD" w:rsidR="005D7839" w:rsidRDefault="00786EE7" w:rsidP="009C4F5B">
      <w:pPr>
        <w:pStyle w:val="ListParagraph"/>
        <w:ind w:left="0"/>
      </w:pPr>
      <w:r>
        <w:t>Mr Tom Duncan</w:t>
      </w:r>
      <w:r w:rsidR="00E41D9C">
        <w:t xml:space="preserve"> </w:t>
      </w:r>
      <w:r w:rsidR="005D7839">
        <w:t>(</w:t>
      </w:r>
      <w:r>
        <w:t xml:space="preserve">Acting </w:t>
      </w:r>
      <w:r w:rsidR="005D7839">
        <w:t>Secretary)</w:t>
      </w:r>
    </w:p>
    <w:p w14:paraId="1E871B4A" w14:textId="77777777" w:rsidR="000B0846" w:rsidRPr="00104A8B" w:rsidRDefault="00BA64E2" w:rsidP="009C4F5B">
      <w:pPr>
        <w:pStyle w:val="ListParagraph"/>
        <w:ind w:left="0"/>
      </w:pPr>
      <w:r>
        <w:t xml:space="preserve">Ms </w:t>
      </w:r>
      <w:r w:rsidR="00773157">
        <w:t>Anne Shannon</w:t>
      </w:r>
      <w:r>
        <w:t xml:space="preserve"> </w:t>
      </w:r>
      <w:r w:rsidR="000B0846" w:rsidRPr="00104A8B">
        <w:t>(Assistant Secretary)</w:t>
      </w:r>
    </w:p>
    <w:p w14:paraId="402EB755" w14:textId="77777777" w:rsidR="000B0846" w:rsidRPr="00104A8B" w:rsidRDefault="000B0846" w:rsidP="009C4F5B">
      <w:pPr>
        <w:pStyle w:val="ListParagraph"/>
        <w:ind w:left="0"/>
      </w:pPr>
      <w:r w:rsidRPr="00104A8B">
        <w:t>Mr Stephen Argument (Legal Adviser—Subordinate Legislation)</w:t>
      </w:r>
    </w:p>
    <w:p w14:paraId="5B3BFC5D" w14:textId="77777777" w:rsidR="000B0846" w:rsidRDefault="000B0846" w:rsidP="009C4F5B">
      <w:pPr>
        <w:pStyle w:val="ListParagraph"/>
        <w:spacing w:after="360"/>
        <w:ind w:left="0"/>
      </w:pPr>
      <w:r w:rsidRPr="00104A8B">
        <w:t>Mr Daniel Stewart (Legal Adviser—Bills)</w:t>
      </w:r>
    </w:p>
    <w:p w14:paraId="274D5660" w14:textId="77777777" w:rsidR="000B0846" w:rsidRPr="00104A8B" w:rsidRDefault="000B0846" w:rsidP="002A185D">
      <w:pPr>
        <w:pStyle w:val="Heading3"/>
        <w:rPr>
          <w:rFonts w:asciiTheme="minorHAnsi" w:hAnsiTheme="minorHAnsi"/>
        </w:rPr>
      </w:pPr>
      <w:bookmarkStart w:id="280" w:name="_Toc500938171"/>
      <w:bookmarkStart w:id="281" w:name="_Toc500947019"/>
      <w:bookmarkStart w:id="282" w:name="_Toc501547028"/>
      <w:bookmarkStart w:id="283" w:name="_Toc501547383"/>
      <w:bookmarkStart w:id="284" w:name="_Toc505005667"/>
      <w:bookmarkStart w:id="285" w:name="_Toc505153758"/>
      <w:bookmarkStart w:id="286" w:name="_Toc508283426"/>
      <w:bookmarkStart w:id="287" w:name="_Toc510081782"/>
      <w:bookmarkStart w:id="288" w:name="_Toc511812219"/>
      <w:bookmarkStart w:id="289" w:name="_Toc512240157"/>
      <w:bookmarkStart w:id="290" w:name="_Toc513192154"/>
      <w:bookmarkStart w:id="291" w:name="_Toc514832416"/>
      <w:bookmarkStart w:id="292" w:name="_Toc514837961"/>
      <w:bookmarkStart w:id="293" w:name="_Toc514943595"/>
      <w:bookmarkStart w:id="294" w:name="_Toc515352038"/>
      <w:bookmarkStart w:id="295" w:name="_Toc518297247"/>
      <w:bookmarkStart w:id="296" w:name="_Toc519069305"/>
      <w:bookmarkStart w:id="297" w:name="_Toc519069366"/>
      <w:bookmarkStart w:id="298" w:name="_Toc519520733"/>
      <w:bookmarkStart w:id="299" w:name="_Toc520188712"/>
      <w:bookmarkStart w:id="300" w:name="_Toc521054229"/>
      <w:bookmarkStart w:id="301" w:name="_Toc521054316"/>
      <w:bookmarkStart w:id="302" w:name="_Toc521054388"/>
      <w:bookmarkStart w:id="303" w:name="_Toc523753611"/>
      <w:bookmarkStart w:id="304" w:name="_Toc523814160"/>
      <w:bookmarkStart w:id="305" w:name="_Toc523900451"/>
      <w:bookmarkStart w:id="306" w:name="_Toc526855812"/>
      <w:bookmarkStart w:id="307" w:name="_Toc528155838"/>
      <w:bookmarkStart w:id="308" w:name="_Toc528157197"/>
      <w:bookmarkStart w:id="309" w:name="_Toc528310850"/>
      <w:bookmarkStart w:id="310" w:name="_Toc529974529"/>
      <w:bookmarkStart w:id="311" w:name="_Toc530039424"/>
      <w:bookmarkStart w:id="312" w:name="_Toc536527672"/>
      <w:bookmarkStart w:id="313" w:name="_Toc536527835"/>
      <w:bookmarkStart w:id="314" w:name="_Toc536615373"/>
      <w:bookmarkStart w:id="315" w:name="_Toc172151"/>
      <w:bookmarkStart w:id="316" w:name="_Toc506076"/>
      <w:bookmarkStart w:id="317" w:name="_Toc945920"/>
      <w:bookmarkStart w:id="318" w:name="_Toc965810"/>
      <w:bookmarkStart w:id="319" w:name="_Toc2839574"/>
      <w:bookmarkStart w:id="320" w:name="_Toc2850234"/>
      <w:bookmarkStart w:id="321" w:name="_Toc3271211"/>
      <w:bookmarkStart w:id="322" w:name="_Toc4588272"/>
      <w:bookmarkStart w:id="323" w:name="_Toc4652918"/>
      <w:bookmarkStart w:id="324" w:name="_Toc5003660"/>
      <w:bookmarkStart w:id="325" w:name="_Toc6211033"/>
      <w:bookmarkStart w:id="326" w:name="_Toc9499991"/>
      <w:bookmarkStart w:id="327" w:name="_Toc14266113"/>
      <w:bookmarkStart w:id="328" w:name="_Toc14334602"/>
      <w:bookmarkStart w:id="329" w:name="_Toc14775952"/>
      <w:bookmarkStart w:id="330" w:name="_Toc15285030"/>
      <w:bookmarkStart w:id="331" w:name="_Toc15630650"/>
      <w:bookmarkStart w:id="332" w:name="_Toc18415322"/>
      <w:bookmarkStart w:id="333" w:name="_Toc18487690"/>
      <w:bookmarkStart w:id="334" w:name="_Toc19708393"/>
      <w:bookmarkStart w:id="335" w:name="_Toc20131682"/>
      <w:bookmarkStart w:id="336" w:name="_Toc21595440"/>
      <w:bookmarkStart w:id="337" w:name="_Toc22025441"/>
      <w:bookmarkStart w:id="338" w:name="_Toc24463704"/>
      <w:bookmarkStart w:id="339" w:name="_Toc24617701"/>
      <w:bookmarkStart w:id="340" w:name="_Toc25050773"/>
      <w:bookmarkStart w:id="341" w:name="_Toc31202137"/>
      <w:bookmarkStart w:id="342" w:name="_Toc31202258"/>
      <w:bookmarkStart w:id="343" w:name="_Toc32390198"/>
      <w:bookmarkStart w:id="344" w:name="_Toc32566839"/>
      <w:bookmarkStart w:id="345" w:name="_Toc35437929"/>
      <w:bookmarkStart w:id="346" w:name="_Toc38270539"/>
      <w:bookmarkStart w:id="347" w:name="_Toc38362390"/>
      <w:bookmarkStart w:id="348" w:name="_Toc38441871"/>
      <w:bookmarkStart w:id="349" w:name="_Toc38442378"/>
      <w:bookmarkStart w:id="350" w:name="_Toc38976316"/>
      <w:bookmarkStart w:id="351" w:name="_Toc40693087"/>
      <w:bookmarkStart w:id="352" w:name="_Toc40693228"/>
      <w:bookmarkStart w:id="353" w:name="_Toc41570914"/>
      <w:bookmarkStart w:id="354" w:name="_Toc42874996"/>
      <w:bookmarkStart w:id="355" w:name="_Toc44074213"/>
      <w:bookmarkStart w:id="356" w:name="_Toc44317224"/>
      <w:bookmarkStart w:id="357" w:name="_Toc44323927"/>
      <w:bookmarkStart w:id="358" w:name="_Toc80105326"/>
      <w:bookmarkStart w:id="359" w:name="_Toc80347170"/>
      <w:bookmarkStart w:id="360" w:name="_Toc80613166"/>
      <w:bookmarkStart w:id="361" w:name="_Toc80613256"/>
      <w:bookmarkStart w:id="362" w:name="_Toc80701763"/>
      <w:bookmarkStart w:id="363" w:name="_Toc83302218"/>
      <w:bookmarkStart w:id="364" w:name="_Toc83639598"/>
      <w:bookmarkStart w:id="365" w:name="_Toc86229551"/>
      <w:bookmarkStart w:id="366" w:name="_Toc88029451"/>
      <w:bookmarkStart w:id="367" w:name="_Toc94002923"/>
      <w:bookmarkStart w:id="368" w:name="_Toc97722450"/>
      <w:bookmarkStart w:id="369" w:name="_Toc99010775"/>
      <w:bookmarkStart w:id="370" w:name="_Toc99029464"/>
      <w:r w:rsidRPr="00104A8B">
        <w:rPr>
          <w:rFonts w:asciiTheme="minorHAnsi" w:hAnsiTheme="minorHAnsi"/>
        </w:rPr>
        <w:t>C</w:t>
      </w:r>
      <w:r w:rsidR="00474136" w:rsidRPr="00104A8B">
        <w:rPr>
          <w:rFonts w:asciiTheme="minorHAnsi" w:hAnsiTheme="minorHAnsi"/>
        </w:rPr>
        <w:t>ontact Information</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14:paraId="5CF76B81" w14:textId="77777777" w:rsidR="000B0846" w:rsidRPr="00104A8B" w:rsidRDefault="000B0846" w:rsidP="009C4F5B">
      <w:pPr>
        <w:pStyle w:val="ListParagraph"/>
        <w:tabs>
          <w:tab w:val="left" w:pos="1260"/>
        </w:tabs>
        <w:ind w:left="0"/>
      </w:pPr>
      <w:r w:rsidRPr="00104A8B">
        <w:t>Telephone</w:t>
      </w:r>
      <w:r w:rsidRPr="00104A8B">
        <w:tab/>
        <w:t xml:space="preserve">02 6205 </w:t>
      </w:r>
      <w:r w:rsidR="00415478">
        <w:t>0</w:t>
      </w:r>
      <w:r w:rsidR="00BE6460">
        <w:t>171</w:t>
      </w:r>
    </w:p>
    <w:p w14:paraId="1AE40A68" w14:textId="77777777" w:rsidR="000B0846" w:rsidRPr="00104A8B" w:rsidRDefault="000B0846" w:rsidP="009C4F5B">
      <w:pPr>
        <w:pStyle w:val="ListParagraph"/>
        <w:tabs>
          <w:tab w:val="left" w:pos="1260"/>
        </w:tabs>
        <w:ind w:left="0"/>
      </w:pPr>
      <w:r w:rsidRPr="00104A8B">
        <w:t>Facsimile</w:t>
      </w:r>
      <w:r w:rsidRPr="00104A8B">
        <w:tab/>
        <w:t>02 6205 3109</w:t>
      </w:r>
    </w:p>
    <w:p w14:paraId="397009C1" w14:textId="77777777" w:rsidR="000B0846" w:rsidRPr="00104A8B" w:rsidRDefault="000B0846" w:rsidP="009C4F5B">
      <w:pPr>
        <w:pStyle w:val="ListParagraph"/>
        <w:tabs>
          <w:tab w:val="left" w:pos="1260"/>
        </w:tabs>
        <w:ind w:left="0"/>
      </w:pPr>
      <w:r w:rsidRPr="00104A8B">
        <w:t>Post</w:t>
      </w:r>
      <w:r w:rsidRPr="00104A8B">
        <w:tab/>
        <w:t>GPO Box 1020, CANBERRA ACT 2601</w:t>
      </w:r>
    </w:p>
    <w:p w14:paraId="1A330004" w14:textId="77777777" w:rsidR="000B0846" w:rsidRPr="00104A8B" w:rsidRDefault="000B0846" w:rsidP="009C4F5B">
      <w:pPr>
        <w:pStyle w:val="ListParagraph"/>
        <w:tabs>
          <w:tab w:val="left" w:pos="1260"/>
        </w:tabs>
        <w:ind w:left="0"/>
      </w:pPr>
      <w:r w:rsidRPr="00104A8B">
        <w:t>Email</w:t>
      </w:r>
      <w:r w:rsidRPr="00104A8B">
        <w:tab/>
        <w:t>scrutiny@parliament.act.gov.au</w:t>
      </w:r>
    </w:p>
    <w:p w14:paraId="31945732" w14:textId="77777777" w:rsidR="000B0846" w:rsidRPr="00104A8B" w:rsidRDefault="000B0846" w:rsidP="009C4F5B">
      <w:pPr>
        <w:pStyle w:val="ListParagraph"/>
        <w:tabs>
          <w:tab w:val="left" w:pos="1260"/>
        </w:tabs>
        <w:spacing w:after="360"/>
        <w:ind w:left="0"/>
      </w:pPr>
      <w:r w:rsidRPr="00104A8B">
        <w:t>Website</w:t>
      </w:r>
      <w:r w:rsidRPr="00104A8B">
        <w:tab/>
        <w:t>www.parliament.act.gov.au</w:t>
      </w:r>
    </w:p>
    <w:p w14:paraId="22E1E66B" w14:textId="77777777" w:rsidR="000B0846" w:rsidRPr="00104A8B" w:rsidRDefault="000B0846" w:rsidP="002A185D">
      <w:pPr>
        <w:pStyle w:val="Heading3"/>
        <w:rPr>
          <w:rFonts w:asciiTheme="minorHAnsi" w:hAnsiTheme="minorHAnsi"/>
        </w:rPr>
      </w:pPr>
      <w:bookmarkStart w:id="371" w:name="_Toc500938172"/>
      <w:bookmarkStart w:id="372" w:name="_Toc500947020"/>
      <w:bookmarkStart w:id="373" w:name="_Toc501547029"/>
      <w:bookmarkStart w:id="374" w:name="_Toc501547384"/>
      <w:bookmarkStart w:id="375" w:name="_Toc505005668"/>
      <w:bookmarkStart w:id="376" w:name="_Toc505153759"/>
      <w:bookmarkStart w:id="377" w:name="_Toc508283427"/>
      <w:bookmarkStart w:id="378" w:name="_Toc510081783"/>
      <w:bookmarkStart w:id="379" w:name="_Toc511812220"/>
      <w:bookmarkStart w:id="380" w:name="_Toc512240158"/>
      <w:bookmarkStart w:id="381" w:name="_Toc513192155"/>
      <w:bookmarkStart w:id="382" w:name="_Toc514832417"/>
      <w:bookmarkStart w:id="383" w:name="_Toc514837962"/>
      <w:bookmarkStart w:id="384" w:name="_Toc514943596"/>
      <w:bookmarkStart w:id="385" w:name="_Toc515352039"/>
      <w:bookmarkStart w:id="386" w:name="_Toc518297248"/>
      <w:bookmarkStart w:id="387" w:name="_Toc519069306"/>
      <w:bookmarkStart w:id="388" w:name="_Toc519069367"/>
      <w:bookmarkStart w:id="389" w:name="_Toc519520734"/>
      <w:bookmarkStart w:id="390" w:name="_Toc520188713"/>
      <w:bookmarkStart w:id="391" w:name="_Toc521054230"/>
      <w:bookmarkStart w:id="392" w:name="_Toc521054317"/>
      <w:bookmarkStart w:id="393" w:name="_Toc521054389"/>
      <w:bookmarkStart w:id="394" w:name="_Toc523753612"/>
      <w:bookmarkStart w:id="395" w:name="_Toc523814161"/>
      <w:bookmarkStart w:id="396" w:name="_Toc523900452"/>
      <w:bookmarkStart w:id="397" w:name="_Toc526855813"/>
      <w:bookmarkStart w:id="398" w:name="_Toc528155839"/>
      <w:bookmarkStart w:id="399" w:name="_Toc528157198"/>
      <w:bookmarkStart w:id="400" w:name="_Toc528310851"/>
      <w:bookmarkStart w:id="401" w:name="_Toc529974530"/>
      <w:bookmarkStart w:id="402" w:name="_Toc530039425"/>
      <w:bookmarkStart w:id="403" w:name="_Toc536527673"/>
      <w:bookmarkStart w:id="404" w:name="_Toc536527836"/>
      <w:bookmarkStart w:id="405" w:name="_Toc536615374"/>
      <w:bookmarkStart w:id="406" w:name="_Toc172152"/>
      <w:bookmarkStart w:id="407" w:name="_Toc506077"/>
      <w:bookmarkStart w:id="408" w:name="_Toc945921"/>
      <w:bookmarkStart w:id="409" w:name="_Toc965811"/>
      <w:bookmarkStart w:id="410" w:name="_Toc2839575"/>
      <w:bookmarkStart w:id="411" w:name="_Toc2850235"/>
      <w:bookmarkStart w:id="412" w:name="_Toc3271212"/>
      <w:bookmarkStart w:id="413" w:name="_Toc4588273"/>
      <w:bookmarkStart w:id="414" w:name="_Toc4652919"/>
      <w:bookmarkStart w:id="415" w:name="_Toc5003661"/>
      <w:bookmarkStart w:id="416" w:name="_Toc6211034"/>
      <w:bookmarkStart w:id="417" w:name="_Toc9499992"/>
      <w:bookmarkStart w:id="418" w:name="_Toc14266114"/>
      <w:bookmarkStart w:id="419" w:name="_Toc14334603"/>
      <w:bookmarkStart w:id="420" w:name="_Toc14775953"/>
      <w:bookmarkStart w:id="421" w:name="_Toc15285031"/>
      <w:bookmarkStart w:id="422" w:name="_Toc15630651"/>
      <w:bookmarkStart w:id="423" w:name="_Toc18415323"/>
      <w:bookmarkStart w:id="424" w:name="_Toc18487691"/>
      <w:bookmarkStart w:id="425" w:name="_Toc19708394"/>
      <w:bookmarkStart w:id="426" w:name="_Toc20131683"/>
      <w:bookmarkStart w:id="427" w:name="_Toc21595441"/>
      <w:bookmarkStart w:id="428" w:name="_Toc22025442"/>
      <w:bookmarkStart w:id="429" w:name="_Toc24463705"/>
      <w:bookmarkStart w:id="430" w:name="_Toc24617702"/>
      <w:bookmarkStart w:id="431" w:name="_Toc25050774"/>
      <w:bookmarkStart w:id="432" w:name="_Toc31202138"/>
      <w:bookmarkStart w:id="433" w:name="_Toc31202259"/>
      <w:bookmarkStart w:id="434" w:name="_Toc32390199"/>
      <w:bookmarkStart w:id="435" w:name="_Toc32566840"/>
      <w:bookmarkStart w:id="436" w:name="_Toc35437930"/>
      <w:bookmarkStart w:id="437" w:name="_Toc38270540"/>
      <w:bookmarkStart w:id="438" w:name="_Toc38362391"/>
      <w:bookmarkStart w:id="439" w:name="_Toc38441872"/>
      <w:bookmarkStart w:id="440" w:name="_Toc38442379"/>
      <w:bookmarkStart w:id="441" w:name="_Toc38976317"/>
      <w:bookmarkStart w:id="442" w:name="_Toc40693088"/>
      <w:bookmarkStart w:id="443" w:name="_Toc40693229"/>
      <w:bookmarkStart w:id="444" w:name="_Toc41570915"/>
      <w:bookmarkStart w:id="445" w:name="_Toc42874997"/>
      <w:bookmarkStart w:id="446" w:name="_Toc44074214"/>
      <w:bookmarkStart w:id="447" w:name="_Toc44317225"/>
      <w:bookmarkStart w:id="448" w:name="_Toc44323928"/>
      <w:bookmarkStart w:id="449" w:name="_Toc80105327"/>
      <w:bookmarkStart w:id="450" w:name="_Toc80347171"/>
      <w:bookmarkStart w:id="451" w:name="_Toc80613167"/>
      <w:bookmarkStart w:id="452" w:name="_Toc80613257"/>
      <w:bookmarkStart w:id="453" w:name="_Toc80701764"/>
      <w:bookmarkStart w:id="454" w:name="_Toc83302219"/>
      <w:bookmarkStart w:id="455" w:name="_Toc83639599"/>
      <w:bookmarkStart w:id="456" w:name="_Toc86229552"/>
      <w:bookmarkStart w:id="457" w:name="_Toc88029452"/>
      <w:bookmarkStart w:id="458" w:name="_Toc94002924"/>
      <w:bookmarkStart w:id="459" w:name="_Toc97722451"/>
      <w:bookmarkStart w:id="460" w:name="_Toc99010776"/>
      <w:bookmarkStart w:id="461" w:name="_Toc99029465"/>
      <w:r w:rsidRPr="00104A8B">
        <w:rPr>
          <w:rFonts w:asciiTheme="minorHAnsi" w:hAnsiTheme="minorHAnsi"/>
        </w:rPr>
        <w:t>R</w:t>
      </w:r>
      <w:r w:rsidR="00474136" w:rsidRPr="00104A8B">
        <w:rPr>
          <w:rFonts w:asciiTheme="minorHAnsi" w:hAnsiTheme="minorHAnsi"/>
        </w:rPr>
        <w:t>ole of Committee</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14:paraId="4F5154C3" w14:textId="77777777" w:rsidR="000B0846" w:rsidRPr="00104A8B" w:rsidRDefault="000B0846" w:rsidP="000B0846">
      <w:r w:rsidRPr="00104A8B">
        <w:t>The Committee examines all Bills and subordinate legislation presented to the Assembly. It does not make any comments on the policy aspects of the legislation. The Committee’s terms of reference contain principles of scrutiny that enable it to operate in the best traditions of totally non-partisan, non-political technical scrutiny of legislation. These traditions have been adopted, without exception, by all scrutiny committees in Australia. Non-partisan, non-policy scrutiny allows the Committee to help the Assembly pass into law Acts and subordinate legislation which comply with the ideals set out in its terms of reference.</w:t>
      </w:r>
    </w:p>
    <w:p w14:paraId="7E2D9806" w14:textId="77777777" w:rsidR="00045F75" w:rsidRPr="00104A8B" w:rsidRDefault="00652A64" w:rsidP="00BA47E5">
      <w:pPr>
        <w:pStyle w:val="Heading2"/>
      </w:pPr>
      <w:r w:rsidRPr="00104A8B">
        <w:br w:type="page"/>
      </w:r>
      <w:bookmarkStart w:id="462" w:name="_Toc500938173"/>
      <w:bookmarkStart w:id="463" w:name="_Toc500947021"/>
      <w:bookmarkStart w:id="464" w:name="_Toc501547030"/>
      <w:bookmarkStart w:id="465" w:name="_Toc501547385"/>
      <w:bookmarkStart w:id="466" w:name="_Toc505005669"/>
      <w:bookmarkStart w:id="467" w:name="_Toc505153760"/>
      <w:bookmarkStart w:id="468" w:name="_Toc508283428"/>
      <w:bookmarkStart w:id="469" w:name="_Toc510081784"/>
      <w:bookmarkStart w:id="470" w:name="_Toc511812221"/>
      <w:bookmarkStart w:id="471" w:name="_Toc512240159"/>
      <w:bookmarkStart w:id="472" w:name="_Toc513192156"/>
      <w:bookmarkStart w:id="473" w:name="_Toc514832418"/>
      <w:bookmarkStart w:id="474" w:name="_Toc514837963"/>
      <w:bookmarkStart w:id="475" w:name="_Toc518297249"/>
      <w:bookmarkStart w:id="476" w:name="_Toc519069307"/>
      <w:bookmarkStart w:id="477" w:name="_Toc519069368"/>
      <w:bookmarkStart w:id="478" w:name="_Toc519520735"/>
      <w:bookmarkStart w:id="479" w:name="_Toc520188714"/>
      <w:bookmarkStart w:id="480" w:name="_Toc521054231"/>
      <w:bookmarkStart w:id="481" w:name="_Toc521054318"/>
      <w:bookmarkStart w:id="482" w:name="_Toc521054390"/>
      <w:bookmarkStart w:id="483" w:name="_Toc523753613"/>
      <w:bookmarkStart w:id="484" w:name="_Toc523814162"/>
      <w:bookmarkStart w:id="485" w:name="_Toc523900453"/>
      <w:bookmarkStart w:id="486" w:name="_Toc526855814"/>
      <w:bookmarkStart w:id="487" w:name="_Toc528155840"/>
      <w:bookmarkStart w:id="488" w:name="_Toc528157199"/>
      <w:bookmarkStart w:id="489" w:name="_Toc528310852"/>
      <w:bookmarkStart w:id="490" w:name="_Toc529974531"/>
      <w:bookmarkStart w:id="491" w:name="_Toc530039426"/>
      <w:bookmarkStart w:id="492" w:name="_Toc536527674"/>
      <w:bookmarkStart w:id="493" w:name="_Toc536527837"/>
      <w:bookmarkStart w:id="494" w:name="_Toc536615375"/>
      <w:bookmarkStart w:id="495" w:name="_Toc172153"/>
      <w:bookmarkStart w:id="496" w:name="_Toc506078"/>
      <w:bookmarkStart w:id="497" w:name="_Toc945922"/>
      <w:bookmarkStart w:id="498" w:name="_Toc965812"/>
      <w:bookmarkStart w:id="499" w:name="_Toc2839576"/>
      <w:bookmarkStart w:id="500" w:name="_Toc2850236"/>
      <w:bookmarkStart w:id="501" w:name="_Toc3271213"/>
      <w:bookmarkStart w:id="502" w:name="_Toc4588274"/>
      <w:bookmarkStart w:id="503" w:name="_Toc4652920"/>
      <w:bookmarkStart w:id="504" w:name="_Toc5003662"/>
      <w:bookmarkStart w:id="505" w:name="_Toc6211035"/>
      <w:bookmarkStart w:id="506" w:name="_Toc9499993"/>
      <w:bookmarkStart w:id="507" w:name="_Toc14266115"/>
      <w:bookmarkStart w:id="508" w:name="_Toc14334604"/>
      <w:bookmarkStart w:id="509" w:name="_Toc14775954"/>
      <w:bookmarkStart w:id="510" w:name="_Toc15285032"/>
      <w:bookmarkStart w:id="511" w:name="_Toc15630652"/>
      <w:bookmarkStart w:id="512" w:name="_Toc18415324"/>
      <w:bookmarkStart w:id="513" w:name="_Toc18487692"/>
      <w:bookmarkStart w:id="514" w:name="_Toc19708395"/>
      <w:bookmarkStart w:id="515" w:name="_Toc20131684"/>
      <w:bookmarkStart w:id="516" w:name="_Toc21595442"/>
      <w:bookmarkStart w:id="517" w:name="_Toc22025443"/>
      <w:bookmarkStart w:id="518" w:name="_Toc24463706"/>
      <w:bookmarkStart w:id="519" w:name="_Toc24617703"/>
      <w:bookmarkStart w:id="520" w:name="_Toc25050775"/>
      <w:bookmarkStart w:id="521" w:name="_Toc31202139"/>
      <w:bookmarkStart w:id="522" w:name="_Toc31202260"/>
      <w:bookmarkStart w:id="523" w:name="_Toc32390200"/>
      <w:bookmarkStart w:id="524" w:name="_Toc32566841"/>
      <w:bookmarkStart w:id="525" w:name="_Toc35437931"/>
      <w:bookmarkStart w:id="526" w:name="_Toc38270541"/>
      <w:bookmarkStart w:id="527" w:name="_Toc38362392"/>
      <w:bookmarkStart w:id="528" w:name="_Toc38441873"/>
      <w:bookmarkStart w:id="529" w:name="_Toc38442380"/>
      <w:bookmarkStart w:id="530" w:name="_Toc38976318"/>
      <w:bookmarkStart w:id="531" w:name="_Toc40693089"/>
      <w:bookmarkStart w:id="532" w:name="_Toc40693230"/>
      <w:bookmarkStart w:id="533" w:name="_Toc41570916"/>
      <w:bookmarkStart w:id="534" w:name="_Toc42874998"/>
      <w:bookmarkStart w:id="535" w:name="_Toc44074215"/>
      <w:bookmarkStart w:id="536" w:name="_Toc44317226"/>
      <w:bookmarkStart w:id="537" w:name="_Toc44323929"/>
      <w:bookmarkStart w:id="538" w:name="_Toc80105328"/>
      <w:bookmarkStart w:id="539" w:name="_Toc80347172"/>
      <w:bookmarkStart w:id="540" w:name="_Toc80613168"/>
      <w:bookmarkStart w:id="541" w:name="_Toc80613258"/>
      <w:bookmarkStart w:id="542" w:name="_Toc80701765"/>
      <w:bookmarkStart w:id="543" w:name="_Toc83302220"/>
      <w:bookmarkStart w:id="544" w:name="_Toc83639600"/>
      <w:bookmarkStart w:id="545" w:name="_Toc86229553"/>
      <w:bookmarkStart w:id="546" w:name="_Toc88029453"/>
      <w:bookmarkStart w:id="547" w:name="_Toc94002925"/>
      <w:bookmarkStart w:id="548" w:name="_Toc97722452"/>
      <w:bookmarkStart w:id="549" w:name="_Toc99010777"/>
      <w:bookmarkStart w:id="550" w:name="_Toc99029466"/>
      <w:r w:rsidR="00045F75" w:rsidRPr="00104A8B">
        <w:t>Resolution of Appointment</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p>
    <w:p w14:paraId="362E208E" w14:textId="10AB8ACF" w:rsidR="001D271A" w:rsidRPr="00697120" w:rsidRDefault="001D271A" w:rsidP="001D271A">
      <w:pPr>
        <w:keepNext/>
        <w:keepLines/>
        <w:tabs>
          <w:tab w:val="left" w:pos="567"/>
        </w:tabs>
        <w:spacing w:before="60" w:after="60"/>
        <w:ind w:left="1701" w:hanging="567"/>
        <w:rPr>
          <w:rFonts w:ascii="Calibri" w:hAnsi="Calibri"/>
        </w:rPr>
      </w:pPr>
      <w:r w:rsidRPr="00697120">
        <w:rPr>
          <w:rFonts w:ascii="Calibri" w:hAnsi="Calibri"/>
        </w:rPr>
        <w:t>(10)</w:t>
      </w:r>
      <w:r w:rsidRPr="00697120">
        <w:rPr>
          <w:rFonts w:ascii="Calibri" w:hAnsi="Calibri"/>
        </w:rPr>
        <w:tab/>
        <w:t>the Standing Committee on Justice and Community Safety is also to perform a legislative scrutiny role of bills and subordinate legislation by:</w:t>
      </w:r>
    </w:p>
    <w:p w14:paraId="22A3C386" w14:textId="77777777" w:rsidR="001D271A" w:rsidRPr="00697120" w:rsidRDefault="001D271A" w:rsidP="001D271A">
      <w:pPr>
        <w:keepNext/>
        <w:keepLines/>
        <w:tabs>
          <w:tab w:val="left" w:pos="567"/>
        </w:tabs>
        <w:spacing w:before="60" w:after="60"/>
        <w:ind w:left="2268" w:hanging="567"/>
        <w:rPr>
          <w:rFonts w:ascii="Calibri" w:hAnsi="Calibri"/>
        </w:rPr>
      </w:pPr>
      <w:r w:rsidRPr="00697120">
        <w:rPr>
          <w:rFonts w:ascii="Calibri" w:hAnsi="Calibri"/>
        </w:rPr>
        <w:t>(a)</w:t>
      </w:r>
      <w:r w:rsidRPr="00697120">
        <w:rPr>
          <w:rFonts w:ascii="Calibri" w:hAnsi="Calibri"/>
        </w:rPr>
        <w:tab/>
        <w:t>considering whether the clauses of bills (and amendments proposed by the Government to its own bills) introduced into the Assembly:</w:t>
      </w:r>
    </w:p>
    <w:p w14:paraId="7F90C0A5" w14:textId="77777777" w:rsidR="001D271A" w:rsidRPr="00697120" w:rsidRDefault="001D271A" w:rsidP="001D271A">
      <w:pPr>
        <w:keepNext/>
        <w:keepLines/>
        <w:spacing w:before="60" w:after="60"/>
        <w:ind w:left="2835" w:hanging="567"/>
        <w:rPr>
          <w:rFonts w:ascii="Calibri" w:hAnsi="Calibri"/>
        </w:rPr>
      </w:pPr>
      <w:r w:rsidRPr="00697120">
        <w:rPr>
          <w:rFonts w:ascii="Calibri" w:hAnsi="Calibri"/>
        </w:rPr>
        <w:t>(i)</w:t>
      </w:r>
      <w:r w:rsidRPr="00697120">
        <w:rPr>
          <w:rFonts w:ascii="Calibri" w:hAnsi="Calibri"/>
        </w:rPr>
        <w:tab/>
        <w:t>unduly trespass on personal rights and liberties;</w:t>
      </w:r>
    </w:p>
    <w:p w14:paraId="6F3B7964"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make rights, liberties and/or obligations unduly dependent upon insufficiently defined administrative powers;</w:t>
      </w:r>
    </w:p>
    <w:p w14:paraId="57ACF07B"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 rights, liberties and/or obligations unduly dependent upon non-reviewable decisions;</w:t>
      </w:r>
    </w:p>
    <w:p w14:paraId="209281F7"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inappropriately delegate legislative powers; or</w:t>
      </w:r>
    </w:p>
    <w:p w14:paraId="2F90AE0F" w14:textId="77777777" w:rsidR="001D271A" w:rsidRPr="00697120" w:rsidRDefault="001D271A" w:rsidP="001D271A">
      <w:pPr>
        <w:spacing w:before="60" w:after="60"/>
        <w:ind w:left="2835" w:hanging="567"/>
        <w:rPr>
          <w:rFonts w:ascii="Calibri" w:hAnsi="Calibri"/>
        </w:rPr>
      </w:pPr>
      <w:r w:rsidRPr="00697120">
        <w:rPr>
          <w:rFonts w:ascii="Calibri" w:hAnsi="Calibri"/>
        </w:rPr>
        <w:t>(v)</w:t>
      </w:r>
      <w:r w:rsidRPr="00697120">
        <w:rPr>
          <w:rFonts w:ascii="Calibri" w:hAnsi="Calibri"/>
        </w:rPr>
        <w:tab/>
        <w:t>insufficiently subject the exercise of legislative power to parliamentary scrutiny; and</w:t>
      </w:r>
    </w:p>
    <w:p w14:paraId="5C723A4F" w14:textId="77777777" w:rsidR="001D271A" w:rsidRPr="00697120" w:rsidRDefault="001D271A" w:rsidP="001D271A">
      <w:pPr>
        <w:spacing w:before="60" w:after="60"/>
        <w:ind w:left="2835" w:hanging="567"/>
        <w:rPr>
          <w:rFonts w:ascii="Calibri" w:hAnsi="Calibri"/>
        </w:rPr>
      </w:pPr>
      <w:r w:rsidRPr="00697120">
        <w:rPr>
          <w:rFonts w:ascii="Calibri" w:hAnsi="Calibri"/>
        </w:rPr>
        <w:t>(vi)</w:t>
      </w:r>
      <w:r w:rsidRPr="00697120">
        <w:rPr>
          <w:rFonts w:ascii="Calibri" w:hAnsi="Calibri"/>
        </w:rPr>
        <w:tab/>
        <w:t>consider whether any explanatory statement associated with legislation meets the technical or stylistic standards expected by the Assembly;</w:t>
      </w:r>
    </w:p>
    <w:p w14:paraId="2533BFC5"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(b)</w:t>
      </w:r>
      <w:r w:rsidRPr="00697120">
        <w:rPr>
          <w:rFonts w:ascii="Calibri" w:hAnsi="Calibri"/>
        </w:rPr>
        <w:tab/>
        <w:t xml:space="preserve">reporting to the Legislative Assembly about human rights issues raised by bills presented to the Assembly pursuant to section 38 of the </w:t>
      </w:r>
      <w:r w:rsidRPr="00697120">
        <w:rPr>
          <w:rFonts w:ascii="Calibri" w:hAnsi="Calibri"/>
          <w:i/>
        </w:rPr>
        <w:t>Human Rights Act 2004</w:t>
      </w:r>
      <w:r w:rsidRPr="00697120">
        <w:rPr>
          <w:rFonts w:ascii="Calibri" w:hAnsi="Calibri"/>
        </w:rPr>
        <w:t xml:space="preserve">; </w:t>
      </w:r>
    </w:p>
    <w:p w14:paraId="4D509E97"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(c)</w:t>
      </w:r>
      <w:r w:rsidRPr="00697120">
        <w:rPr>
          <w:rFonts w:ascii="Calibri" w:hAnsi="Calibri"/>
        </w:rPr>
        <w:tab/>
        <w:t>considering whether any instrument of a legislative nature made under an Act which is subject to disallowance and/or disapproval by the Assembly (including a regulation, rule or by-law):</w:t>
      </w:r>
    </w:p>
    <w:p w14:paraId="28E0DF46" w14:textId="77777777" w:rsidR="001D271A" w:rsidRPr="00697120" w:rsidRDefault="001D271A" w:rsidP="001D271A">
      <w:pPr>
        <w:spacing w:before="60" w:after="60"/>
        <w:ind w:left="2835" w:hanging="567"/>
        <w:rPr>
          <w:rFonts w:ascii="Calibri" w:hAnsi="Calibri"/>
        </w:rPr>
      </w:pPr>
      <w:r w:rsidRPr="00697120">
        <w:rPr>
          <w:rFonts w:ascii="Calibri" w:hAnsi="Calibri"/>
        </w:rPr>
        <w:t>(i)</w:t>
      </w:r>
      <w:r w:rsidRPr="00697120">
        <w:rPr>
          <w:rFonts w:ascii="Calibri" w:hAnsi="Calibri"/>
        </w:rPr>
        <w:tab/>
        <w:t>is in accord with the general objects of the Act under which it is made;</w:t>
      </w:r>
    </w:p>
    <w:p w14:paraId="55E240CB" w14:textId="77777777" w:rsidR="001D271A" w:rsidRPr="00697120" w:rsidRDefault="001D271A" w:rsidP="001D271A">
      <w:pPr>
        <w:spacing w:before="60" w:after="60"/>
        <w:ind w:left="2835" w:hanging="567"/>
        <w:rPr>
          <w:rFonts w:ascii="Calibri" w:hAnsi="Calibri"/>
        </w:rPr>
      </w:pPr>
      <w:r w:rsidRPr="00697120">
        <w:rPr>
          <w:rFonts w:ascii="Calibri" w:hAnsi="Calibri"/>
        </w:rPr>
        <w:t>(ii)</w:t>
      </w:r>
      <w:r w:rsidRPr="00697120">
        <w:rPr>
          <w:rFonts w:ascii="Calibri" w:hAnsi="Calibri"/>
        </w:rPr>
        <w:tab/>
        <w:t>unduly trespasses on rights previously established by law;</w:t>
      </w:r>
    </w:p>
    <w:p w14:paraId="63DC86B5" w14:textId="77777777" w:rsidR="001D271A" w:rsidRPr="00697120" w:rsidRDefault="001D271A" w:rsidP="001D271A">
      <w:pPr>
        <w:spacing w:before="60" w:after="60"/>
        <w:ind w:left="2835" w:hanging="567"/>
        <w:rPr>
          <w:rFonts w:ascii="Calibri" w:hAnsi="Calibri"/>
        </w:rPr>
      </w:pPr>
      <w:r w:rsidRPr="00697120">
        <w:rPr>
          <w:rFonts w:ascii="Calibri" w:hAnsi="Calibri"/>
        </w:rPr>
        <w:t>(iii)</w:t>
      </w:r>
      <w:r w:rsidRPr="00697120">
        <w:rPr>
          <w:rFonts w:ascii="Calibri" w:hAnsi="Calibri"/>
        </w:rPr>
        <w:tab/>
        <w:t>makes rights, liberties and/or obligations unduly dependent upon non-reviewable decisions; or</w:t>
      </w:r>
    </w:p>
    <w:p w14:paraId="1E28BB3A" w14:textId="77777777" w:rsidR="001D271A" w:rsidRPr="00697120" w:rsidRDefault="001D271A" w:rsidP="001D271A">
      <w:pPr>
        <w:spacing w:before="60" w:after="60"/>
        <w:ind w:left="2835" w:hanging="567"/>
        <w:rPr>
          <w:rFonts w:ascii="Calibri" w:hAnsi="Calibri"/>
        </w:rPr>
      </w:pPr>
      <w:r w:rsidRPr="00697120">
        <w:rPr>
          <w:rFonts w:ascii="Calibri" w:hAnsi="Calibri"/>
        </w:rPr>
        <w:t>(iv)</w:t>
      </w:r>
      <w:r w:rsidRPr="00697120">
        <w:rPr>
          <w:rFonts w:ascii="Calibri" w:hAnsi="Calibri"/>
        </w:rPr>
        <w:tab/>
        <w:t>contains matter which in the opinion of the Committee should properly be dealt with in an Act of the Legislative Assembly; and</w:t>
      </w:r>
    </w:p>
    <w:p w14:paraId="1BA36202" w14:textId="77777777" w:rsidR="001D271A" w:rsidRPr="00697120" w:rsidRDefault="001D271A" w:rsidP="001D271A">
      <w:pPr>
        <w:tabs>
          <w:tab w:val="left" w:pos="567"/>
        </w:tabs>
        <w:spacing w:before="60" w:after="60"/>
        <w:ind w:left="2268" w:hanging="567"/>
        <w:rPr>
          <w:rFonts w:ascii="Calibri" w:hAnsi="Calibri"/>
        </w:rPr>
      </w:pPr>
      <w:r w:rsidRPr="00697120">
        <w:rPr>
          <w:rFonts w:ascii="Calibri" w:hAnsi="Calibri"/>
        </w:rPr>
        <w:t>(d)</w:t>
      </w:r>
      <w:r w:rsidRPr="00697120">
        <w:rPr>
          <w:rFonts w:ascii="Calibri" w:hAnsi="Calibri"/>
        </w:rPr>
        <w:tab/>
        <w:t>consider whether any explanatory statement or explanatory memorandum associated with legislation and any regulatory impact statement meets the technical or stylistic standards expected by the Assembly;</w:t>
      </w:r>
    </w:p>
    <w:p w14:paraId="65F3BA92" w14:textId="77777777" w:rsidR="00126D9A" w:rsidRPr="00104A8B" w:rsidRDefault="00126D9A">
      <w:r w:rsidRPr="00104A8B">
        <w:br w:type="page"/>
      </w:r>
    </w:p>
    <w:p w14:paraId="77FBF88E" w14:textId="77777777" w:rsidR="00D61FC6" w:rsidRDefault="00D447D3" w:rsidP="00ED1562">
      <w:pPr>
        <w:pStyle w:val="TOCHeading"/>
        <w:keepNext w:val="0"/>
        <w:keepLines w:val="0"/>
        <w:spacing w:before="120" w:after="360" w:line="500" w:lineRule="exact"/>
        <w:outlineLvl w:val="1"/>
        <w:rPr>
          <w:noProof/>
        </w:rPr>
      </w:pPr>
      <w:bookmarkStart w:id="551" w:name="_Toc514837964"/>
      <w:r w:rsidRPr="00104A8B">
        <w:rPr>
          <w:rFonts w:asciiTheme="minorHAnsi" w:eastAsia="Times New Roman" w:hAnsiTheme="minorHAnsi" w:cs="Times New Roman"/>
          <w:smallCaps/>
          <w:spacing w:val="20"/>
          <w:kern w:val="42"/>
          <w:sz w:val="44"/>
          <w:szCs w:val="44"/>
        </w:rPr>
        <w:t>Table of Contents</w:t>
      </w:r>
      <w:bookmarkEnd w:id="551"/>
      <w:r w:rsidR="00CD5AD5" w:rsidRPr="00104A8B">
        <w:rPr>
          <w:rFonts w:asciiTheme="minorHAnsi" w:hAnsiTheme="minorHAnsi"/>
        </w:rPr>
        <w:fldChar w:fldCharType="begin"/>
      </w:r>
      <w:r w:rsidR="00562E8A" w:rsidRPr="00104A8B">
        <w:rPr>
          <w:rFonts w:asciiTheme="minorHAnsi" w:hAnsiTheme="minorHAnsi"/>
        </w:rPr>
        <w:instrText xml:space="preserve"> TOC \h \z \u \t "Heading 2,1,Heading 3,2,Heading 4,3" </w:instrText>
      </w:r>
      <w:r w:rsidR="00CD5AD5" w:rsidRPr="00104A8B">
        <w:rPr>
          <w:rFonts w:asciiTheme="minorHAnsi" w:hAnsiTheme="minorHAnsi"/>
        </w:rPr>
        <w:fldChar w:fldCharType="separate"/>
      </w:r>
    </w:p>
    <w:p w14:paraId="01F21426" w14:textId="77777777" w:rsidR="00D61FC6" w:rsidRDefault="008E15DC">
      <w:pPr>
        <w:pStyle w:val="TOC1"/>
        <w:rPr>
          <w:rFonts w:asciiTheme="minorHAnsi" w:eastAsiaTheme="minorEastAsia" w:hAnsiTheme="minorHAnsi" w:cstheme="minorBidi"/>
          <w:bCs w:val="0"/>
          <w:smallCaps w:val="0"/>
          <w:spacing w:val="0"/>
          <w:sz w:val="22"/>
          <w:szCs w:val="22"/>
          <w:lang w:eastAsia="en-AU"/>
        </w:rPr>
      </w:pPr>
      <w:hyperlink w:anchor="_Toc99029467" w:history="1">
        <w:r w:rsidR="00D61FC6" w:rsidRPr="00E44175">
          <w:rPr>
            <w:rStyle w:val="Hyperlink"/>
          </w:rPr>
          <w:t>Bills</w:t>
        </w:r>
        <w:r w:rsidR="00D61FC6">
          <w:rPr>
            <w:webHidden/>
          </w:rPr>
          <w:tab/>
        </w:r>
        <w:r w:rsidR="00D61FC6">
          <w:rPr>
            <w:webHidden/>
          </w:rPr>
          <w:fldChar w:fldCharType="begin"/>
        </w:r>
        <w:r w:rsidR="00D61FC6">
          <w:rPr>
            <w:webHidden/>
          </w:rPr>
          <w:instrText xml:space="preserve"> PAGEREF _Toc99029467 \h </w:instrText>
        </w:r>
        <w:r w:rsidR="00D61FC6">
          <w:rPr>
            <w:webHidden/>
          </w:rPr>
        </w:r>
        <w:r w:rsidR="00D61FC6">
          <w:rPr>
            <w:webHidden/>
          </w:rPr>
          <w:fldChar w:fldCharType="separate"/>
        </w:r>
        <w:r w:rsidR="00522B87">
          <w:rPr>
            <w:webHidden/>
          </w:rPr>
          <w:t>1</w:t>
        </w:r>
        <w:r w:rsidR="00D61FC6">
          <w:rPr>
            <w:webHidden/>
          </w:rPr>
          <w:fldChar w:fldCharType="end"/>
        </w:r>
      </w:hyperlink>
    </w:p>
    <w:p w14:paraId="3EFB9DE4" w14:textId="77777777" w:rsidR="00D61FC6" w:rsidRDefault="008E15DC">
      <w:pPr>
        <w:pStyle w:val="TOC2"/>
        <w:rPr>
          <w:rFonts w:asciiTheme="minorHAnsi" w:eastAsiaTheme="minorEastAsia" w:hAnsiTheme="minorHAnsi" w:cstheme="minorBidi"/>
          <w:b w:val="0"/>
          <w:noProof/>
          <w:sz w:val="22"/>
          <w:szCs w:val="22"/>
          <w:lang w:eastAsia="en-AU"/>
        </w:rPr>
      </w:pPr>
      <w:hyperlink w:anchor="_Toc99029468" w:history="1">
        <w:r w:rsidR="00D61FC6" w:rsidRPr="00E44175">
          <w:rPr>
            <w:rStyle w:val="Hyperlink"/>
            <w:noProof/>
          </w:rPr>
          <w:t xml:space="preserve">Proposed </w:t>
        </w:r>
        <w:r w:rsidR="00D61FC6" w:rsidRPr="00E44175">
          <w:rPr>
            <w:rStyle w:val="Hyperlink"/>
            <w:caps/>
            <w:noProof/>
          </w:rPr>
          <w:t>A</w:t>
        </w:r>
        <w:r w:rsidR="00D61FC6" w:rsidRPr="00E44175">
          <w:rPr>
            <w:rStyle w:val="Hyperlink"/>
            <w:noProof/>
          </w:rPr>
          <w:t>mendments</w:t>
        </w:r>
        <w:r w:rsidR="00D61FC6">
          <w:rPr>
            <w:noProof/>
            <w:webHidden/>
          </w:rPr>
          <w:tab/>
        </w:r>
        <w:r w:rsidR="00D61FC6">
          <w:rPr>
            <w:noProof/>
            <w:webHidden/>
          </w:rPr>
          <w:fldChar w:fldCharType="begin"/>
        </w:r>
        <w:r w:rsidR="00D61FC6">
          <w:rPr>
            <w:noProof/>
            <w:webHidden/>
          </w:rPr>
          <w:instrText xml:space="preserve"> PAGEREF _Toc99029468 \h </w:instrText>
        </w:r>
        <w:r w:rsidR="00D61FC6">
          <w:rPr>
            <w:noProof/>
            <w:webHidden/>
          </w:rPr>
        </w:r>
        <w:r w:rsidR="00D61FC6">
          <w:rPr>
            <w:noProof/>
            <w:webHidden/>
          </w:rPr>
          <w:fldChar w:fldCharType="separate"/>
        </w:r>
        <w:r w:rsidR="00522B87">
          <w:rPr>
            <w:noProof/>
            <w:webHidden/>
          </w:rPr>
          <w:t>1</w:t>
        </w:r>
        <w:r w:rsidR="00D61FC6">
          <w:rPr>
            <w:noProof/>
            <w:webHidden/>
          </w:rPr>
          <w:fldChar w:fldCharType="end"/>
        </w:r>
      </w:hyperlink>
    </w:p>
    <w:p w14:paraId="55E5147D" w14:textId="77777777" w:rsidR="00D61FC6" w:rsidRDefault="008E15DC">
      <w:pPr>
        <w:pStyle w:val="TOC1"/>
        <w:rPr>
          <w:rFonts w:asciiTheme="minorHAnsi" w:eastAsiaTheme="minorEastAsia" w:hAnsiTheme="minorHAnsi" w:cstheme="minorBidi"/>
          <w:bCs w:val="0"/>
          <w:smallCaps w:val="0"/>
          <w:spacing w:val="0"/>
          <w:sz w:val="22"/>
          <w:szCs w:val="22"/>
          <w:lang w:eastAsia="en-AU"/>
        </w:rPr>
      </w:pPr>
      <w:hyperlink w:anchor="_Toc99029469" w:history="1">
        <w:r w:rsidR="00D61FC6" w:rsidRPr="00E44175">
          <w:rPr>
            <w:rStyle w:val="Hyperlink"/>
          </w:rPr>
          <w:t>Subordinate Legislation</w:t>
        </w:r>
        <w:r w:rsidR="00D61FC6">
          <w:rPr>
            <w:webHidden/>
          </w:rPr>
          <w:tab/>
        </w:r>
        <w:r w:rsidR="00D61FC6">
          <w:rPr>
            <w:webHidden/>
          </w:rPr>
          <w:fldChar w:fldCharType="begin"/>
        </w:r>
        <w:r w:rsidR="00D61FC6">
          <w:rPr>
            <w:webHidden/>
          </w:rPr>
          <w:instrText xml:space="preserve"> PAGEREF _Toc99029469 \h </w:instrText>
        </w:r>
        <w:r w:rsidR="00D61FC6">
          <w:rPr>
            <w:webHidden/>
          </w:rPr>
        </w:r>
        <w:r w:rsidR="00D61FC6">
          <w:rPr>
            <w:webHidden/>
          </w:rPr>
          <w:fldChar w:fldCharType="separate"/>
        </w:r>
        <w:r w:rsidR="00522B87">
          <w:rPr>
            <w:webHidden/>
          </w:rPr>
          <w:t>2</w:t>
        </w:r>
        <w:r w:rsidR="00D61FC6">
          <w:rPr>
            <w:webHidden/>
          </w:rPr>
          <w:fldChar w:fldCharType="end"/>
        </w:r>
      </w:hyperlink>
    </w:p>
    <w:p w14:paraId="504FD607" w14:textId="77777777" w:rsidR="00D61FC6" w:rsidRDefault="008E15DC">
      <w:pPr>
        <w:pStyle w:val="TOC2"/>
        <w:rPr>
          <w:rFonts w:asciiTheme="minorHAnsi" w:eastAsiaTheme="minorEastAsia" w:hAnsiTheme="minorHAnsi" w:cstheme="minorBidi"/>
          <w:b w:val="0"/>
          <w:noProof/>
          <w:sz w:val="22"/>
          <w:szCs w:val="22"/>
          <w:lang w:eastAsia="en-AU"/>
        </w:rPr>
      </w:pPr>
      <w:hyperlink w:anchor="_Toc99029470" w:history="1">
        <w:r w:rsidR="00D61FC6" w:rsidRPr="00E44175">
          <w:rPr>
            <w:rStyle w:val="Hyperlink"/>
            <w:noProof/>
          </w:rPr>
          <w:t>Disallowable Instruments—No comment</w:t>
        </w:r>
        <w:r w:rsidR="00D61FC6">
          <w:rPr>
            <w:noProof/>
            <w:webHidden/>
          </w:rPr>
          <w:tab/>
        </w:r>
        <w:r w:rsidR="00D61FC6">
          <w:rPr>
            <w:noProof/>
            <w:webHidden/>
          </w:rPr>
          <w:fldChar w:fldCharType="begin"/>
        </w:r>
        <w:r w:rsidR="00D61FC6">
          <w:rPr>
            <w:noProof/>
            <w:webHidden/>
          </w:rPr>
          <w:instrText xml:space="preserve"> PAGEREF _Toc99029470 \h </w:instrText>
        </w:r>
        <w:r w:rsidR="00D61FC6">
          <w:rPr>
            <w:noProof/>
            <w:webHidden/>
          </w:rPr>
        </w:r>
        <w:r w:rsidR="00D61FC6">
          <w:rPr>
            <w:noProof/>
            <w:webHidden/>
          </w:rPr>
          <w:fldChar w:fldCharType="separate"/>
        </w:r>
        <w:r w:rsidR="00522B87">
          <w:rPr>
            <w:noProof/>
            <w:webHidden/>
          </w:rPr>
          <w:t>2</w:t>
        </w:r>
        <w:r w:rsidR="00D61FC6">
          <w:rPr>
            <w:noProof/>
            <w:webHidden/>
          </w:rPr>
          <w:fldChar w:fldCharType="end"/>
        </w:r>
      </w:hyperlink>
    </w:p>
    <w:p w14:paraId="21D2A37C" w14:textId="77777777" w:rsidR="00D61FC6" w:rsidRDefault="008E15DC">
      <w:pPr>
        <w:pStyle w:val="TOC2"/>
        <w:rPr>
          <w:rFonts w:asciiTheme="minorHAnsi" w:eastAsiaTheme="minorEastAsia" w:hAnsiTheme="minorHAnsi" w:cstheme="minorBidi"/>
          <w:b w:val="0"/>
          <w:noProof/>
          <w:sz w:val="22"/>
          <w:szCs w:val="22"/>
          <w:lang w:eastAsia="en-AU"/>
        </w:rPr>
      </w:pPr>
      <w:hyperlink w:anchor="_Toc99029471" w:history="1">
        <w:r w:rsidR="00D61FC6" w:rsidRPr="00E44175">
          <w:rPr>
            <w:rStyle w:val="Hyperlink"/>
            <w:rFonts w:eastAsia="Calibri"/>
            <w:noProof/>
            <w:lang w:eastAsia="en-AU"/>
          </w:rPr>
          <w:t>Disallowable Instruments—Comment</w:t>
        </w:r>
        <w:r w:rsidR="00D61FC6">
          <w:rPr>
            <w:noProof/>
            <w:webHidden/>
          </w:rPr>
          <w:tab/>
        </w:r>
        <w:r w:rsidR="00D61FC6">
          <w:rPr>
            <w:noProof/>
            <w:webHidden/>
          </w:rPr>
          <w:fldChar w:fldCharType="begin"/>
        </w:r>
        <w:r w:rsidR="00D61FC6">
          <w:rPr>
            <w:noProof/>
            <w:webHidden/>
          </w:rPr>
          <w:instrText xml:space="preserve"> PAGEREF _Toc99029471 \h </w:instrText>
        </w:r>
        <w:r w:rsidR="00D61FC6">
          <w:rPr>
            <w:noProof/>
            <w:webHidden/>
          </w:rPr>
        </w:r>
        <w:r w:rsidR="00D61FC6">
          <w:rPr>
            <w:noProof/>
            <w:webHidden/>
          </w:rPr>
          <w:fldChar w:fldCharType="separate"/>
        </w:r>
        <w:r w:rsidR="00522B87">
          <w:rPr>
            <w:noProof/>
            <w:webHidden/>
          </w:rPr>
          <w:t>2</w:t>
        </w:r>
        <w:r w:rsidR="00D61FC6">
          <w:rPr>
            <w:noProof/>
            <w:webHidden/>
          </w:rPr>
          <w:fldChar w:fldCharType="end"/>
        </w:r>
      </w:hyperlink>
    </w:p>
    <w:p w14:paraId="28D696D4" w14:textId="77777777" w:rsidR="00D61FC6" w:rsidRDefault="008E15DC">
      <w:pPr>
        <w:pStyle w:val="TOC2"/>
        <w:rPr>
          <w:rFonts w:asciiTheme="minorHAnsi" w:eastAsiaTheme="minorEastAsia" w:hAnsiTheme="minorHAnsi" w:cstheme="minorBidi"/>
          <w:b w:val="0"/>
          <w:noProof/>
          <w:sz w:val="22"/>
          <w:szCs w:val="22"/>
          <w:lang w:eastAsia="en-AU"/>
        </w:rPr>
      </w:pPr>
      <w:hyperlink w:anchor="_Toc99029472" w:history="1">
        <w:r w:rsidR="00D61FC6" w:rsidRPr="00E44175">
          <w:rPr>
            <w:rStyle w:val="Hyperlink"/>
            <w:rFonts w:eastAsia="Calibri"/>
            <w:noProof/>
            <w:lang w:eastAsia="en-AU"/>
          </w:rPr>
          <w:t>Subordinate Law—Comment</w:t>
        </w:r>
        <w:r w:rsidR="00D61FC6">
          <w:rPr>
            <w:noProof/>
            <w:webHidden/>
          </w:rPr>
          <w:tab/>
        </w:r>
        <w:r w:rsidR="00D61FC6">
          <w:rPr>
            <w:noProof/>
            <w:webHidden/>
          </w:rPr>
          <w:fldChar w:fldCharType="begin"/>
        </w:r>
        <w:r w:rsidR="00D61FC6">
          <w:rPr>
            <w:noProof/>
            <w:webHidden/>
          </w:rPr>
          <w:instrText xml:space="preserve"> PAGEREF _Toc99029472 \h </w:instrText>
        </w:r>
        <w:r w:rsidR="00D61FC6">
          <w:rPr>
            <w:noProof/>
            <w:webHidden/>
          </w:rPr>
        </w:r>
        <w:r w:rsidR="00D61FC6">
          <w:rPr>
            <w:noProof/>
            <w:webHidden/>
          </w:rPr>
          <w:fldChar w:fldCharType="separate"/>
        </w:r>
        <w:r w:rsidR="00522B87">
          <w:rPr>
            <w:noProof/>
            <w:webHidden/>
          </w:rPr>
          <w:t>10</w:t>
        </w:r>
        <w:r w:rsidR="00D61FC6">
          <w:rPr>
            <w:noProof/>
            <w:webHidden/>
          </w:rPr>
          <w:fldChar w:fldCharType="end"/>
        </w:r>
      </w:hyperlink>
    </w:p>
    <w:p w14:paraId="4B650121" w14:textId="77777777" w:rsidR="00D61FC6" w:rsidRDefault="008E15DC">
      <w:pPr>
        <w:pStyle w:val="TOC1"/>
        <w:rPr>
          <w:rFonts w:asciiTheme="minorHAnsi" w:eastAsiaTheme="minorEastAsia" w:hAnsiTheme="minorHAnsi" w:cstheme="minorBidi"/>
          <w:bCs w:val="0"/>
          <w:smallCaps w:val="0"/>
          <w:spacing w:val="0"/>
          <w:sz w:val="22"/>
          <w:szCs w:val="22"/>
          <w:lang w:eastAsia="en-AU"/>
        </w:rPr>
      </w:pPr>
      <w:hyperlink w:anchor="_Toc99029473" w:history="1">
        <w:r w:rsidR="00D61FC6" w:rsidRPr="00E44175">
          <w:rPr>
            <w:rStyle w:val="Hyperlink"/>
          </w:rPr>
          <w:t>Responses</w:t>
        </w:r>
        <w:r w:rsidR="00D61FC6">
          <w:rPr>
            <w:webHidden/>
          </w:rPr>
          <w:tab/>
        </w:r>
        <w:r w:rsidR="00D61FC6">
          <w:rPr>
            <w:webHidden/>
          </w:rPr>
          <w:fldChar w:fldCharType="begin"/>
        </w:r>
        <w:r w:rsidR="00D61FC6">
          <w:rPr>
            <w:webHidden/>
          </w:rPr>
          <w:instrText xml:space="preserve"> PAGEREF _Toc99029473 \h </w:instrText>
        </w:r>
        <w:r w:rsidR="00D61FC6">
          <w:rPr>
            <w:webHidden/>
          </w:rPr>
        </w:r>
        <w:r w:rsidR="00D61FC6">
          <w:rPr>
            <w:webHidden/>
          </w:rPr>
          <w:fldChar w:fldCharType="separate"/>
        </w:r>
        <w:r w:rsidR="00522B87">
          <w:rPr>
            <w:webHidden/>
          </w:rPr>
          <w:t>11</w:t>
        </w:r>
        <w:r w:rsidR="00D61FC6">
          <w:rPr>
            <w:webHidden/>
          </w:rPr>
          <w:fldChar w:fldCharType="end"/>
        </w:r>
      </w:hyperlink>
    </w:p>
    <w:p w14:paraId="1B25D848" w14:textId="77777777" w:rsidR="00D61FC6" w:rsidRDefault="008E15DC">
      <w:pPr>
        <w:pStyle w:val="TOC1"/>
        <w:rPr>
          <w:rFonts w:asciiTheme="minorHAnsi" w:eastAsiaTheme="minorEastAsia" w:hAnsiTheme="minorHAnsi" w:cstheme="minorBidi"/>
          <w:bCs w:val="0"/>
          <w:smallCaps w:val="0"/>
          <w:spacing w:val="0"/>
          <w:sz w:val="22"/>
          <w:szCs w:val="22"/>
          <w:lang w:eastAsia="en-AU"/>
        </w:rPr>
      </w:pPr>
      <w:hyperlink w:anchor="_Toc99029475" w:history="1">
        <w:r w:rsidR="00D61FC6" w:rsidRPr="00E44175">
          <w:rPr>
            <w:rStyle w:val="Hyperlink"/>
          </w:rPr>
          <w:t>Outstanding Responses</w:t>
        </w:r>
        <w:r w:rsidR="00D61FC6">
          <w:rPr>
            <w:webHidden/>
          </w:rPr>
          <w:tab/>
        </w:r>
        <w:r w:rsidR="00D61FC6">
          <w:rPr>
            <w:webHidden/>
          </w:rPr>
          <w:fldChar w:fldCharType="begin"/>
        </w:r>
        <w:r w:rsidR="00D61FC6">
          <w:rPr>
            <w:webHidden/>
          </w:rPr>
          <w:instrText xml:space="preserve"> PAGEREF _Toc99029475 \h </w:instrText>
        </w:r>
        <w:r w:rsidR="00D61FC6">
          <w:rPr>
            <w:webHidden/>
          </w:rPr>
        </w:r>
        <w:r w:rsidR="00D61FC6">
          <w:rPr>
            <w:webHidden/>
          </w:rPr>
          <w:fldChar w:fldCharType="separate"/>
        </w:r>
        <w:r w:rsidR="00522B87">
          <w:rPr>
            <w:webHidden/>
          </w:rPr>
          <w:t>13</w:t>
        </w:r>
        <w:r w:rsidR="00D61FC6">
          <w:rPr>
            <w:webHidden/>
          </w:rPr>
          <w:fldChar w:fldCharType="end"/>
        </w:r>
      </w:hyperlink>
    </w:p>
    <w:p w14:paraId="303AA9A2" w14:textId="77777777" w:rsidR="00351AD0" w:rsidRPr="00104A8B" w:rsidRDefault="00CD5AD5" w:rsidP="00EF123A">
      <w:pPr>
        <w:pStyle w:val="TOC1"/>
      </w:pPr>
      <w:r w:rsidRPr="00104A8B">
        <w:fldChar w:fldCharType="end"/>
      </w:r>
    </w:p>
    <w:p w14:paraId="558A7308" w14:textId="77777777" w:rsidR="00351AD0" w:rsidRPr="00104A8B" w:rsidRDefault="00351AD0" w:rsidP="00351AD0">
      <w:pPr>
        <w:sectPr w:rsidR="00351AD0" w:rsidRPr="00104A8B" w:rsidSect="00E8247B">
          <w:headerReference w:type="even" r:id="rId15"/>
          <w:headerReference w:type="default" r:id="rId16"/>
          <w:footerReference w:type="even" r:id="rId17"/>
          <w:footerReference w:type="default" r:id="rId18"/>
          <w:headerReference w:type="first" r:id="rId19"/>
          <w:pgSz w:w="11906" w:h="16838"/>
          <w:pgMar w:top="1440" w:right="1440" w:bottom="1440" w:left="1440" w:header="708" w:footer="708" w:gutter="0"/>
          <w:pgNumType w:fmt="lowerRoman" w:start="1"/>
          <w:cols w:space="708"/>
          <w:docGrid w:linePitch="360"/>
        </w:sectPr>
      </w:pPr>
    </w:p>
    <w:p w14:paraId="3B6BE92D" w14:textId="77777777" w:rsidR="00632981" w:rsidRPr="00104A8B" w:rsidRDefault="00632981">
      <w:pPr>
        <w:sectPr w:rsidR="00632981" w:rsidRPr="00104A8B" w:rsidSect="00351AD0">
          <w:headerReference w:type="even" r:id="rId20"/>
          <w:headerReference w:type="default" r:id="rId21"/>
          <w:footerReference w:type="even" r:id="rId22"/>
          <w:headerReference w:type="first" r:id="rId23"/>
          <w:type w:val="continuous"/>
          <w:pgSz w:w="11906" w:h="16838"/>
          <w:pgMar w:top="1440" w:right="1440" w:bottom="1440" w:left="1440" w:header="708" w:footer="708" w:gutter="0"/>
          <w:cols w:space="708"/>
          <w:docGrid w:linePitch="360"/>
        </w:sectPr>
      </w:pPr>
    </w:p>
    <w:p w14:paraId="5FA45C0E" w14:textId="25DD26C4" w:rsidR="00E36E72" w:rsidRDefault="00E36E72" w:rsidP="00E36E72">
      <w:pPr>
        <w:pStyle w:val="Heading2"/>
      </w:pPr>
      <w:bookmarkStart w:id="552" w:name="_Toc99029467"/>
      <w:bookmarkStart w:id="553" w:name="_Toc338841796"/>
      <w:bookmarkStart w:id="554" w:name="_Hlk496454859"/>
      <w:bookmarkStart w:id="555" w:name="_Toc514837978"/>
      <w:bookmarkStart w:id="556" w:name="_Toc526855824"/>
      <w:bookmarkStart w:id="557" w:name="_Toc338841795"/>
      <w:bookmarkStart w:id="558" w:name="_Hlk483295725"/>
      <w:r>
        <w:t>Bills</w:t>
      </w:r>
      <w:bookmarkEnd w:id="552"/>
    </w:p>
    <w:p w14:paraId="59767580" w14:textId="77777777" w:rsidR="00E36E72" w:rsidRPr="005A2D5A" w:rsidRDefault="00E36E72" w:rsidP="00E36E72">
      <w:pPr>
        <w:pStyle w:val="Heading3"/>
        <w:rPr>
          <w:rFonts w:eastAsia="Times New Roman"/>
          <w:caps/>
        </w:rPr>
      </w:pPr>
      <w:bookmarkStart w:id="559" w:name="_Toc63160758"/>
      <w:bookmarkStart w:id="560" w:name="_Toc97722460"/>
      <w:bookmarkStart w:id="561" w:name="_Toc99029468"/>
      <w:r w:rsidRPr="005A2D5A">
        <w:rPr>
          <w:rFonts w:eastAsia="Times New Roman"/>
        </w:rPr>
        <w:t xml:space="preserve">Proposed </w:t>
      </w:r>
      <w:r w:rsidRPr="005A2D5A">
        <w:rPr>
          <w:rFonts w:eastAsia="Times New Roman"/>
          <w:caps/>
        </w:rPr>
        <w:t>A</w:t>
      </w:r>
      <w:r w:rsidRPr="005A2D5A">
        <w:rPr>
          <w:rFonts w:eastAsia="Times New Roman"/>
        </w:rPr>
        <w:t>mendment</w:t>
      </w:r>
      <w:bookmarkEnd w:id="559"/>
      <w:r>
        <w:rPr>
          <w:rFonts w:eastAsia="Times New Roman"/>
        </w:rPr>
        <w:t>s</w:t>
      </w:r>
      <w:bookmarkEnd w:id="560"/>
      <w:bookmarkEnd w:id="561"/>
    </w:p>
    <w:p w14:paraId="30869974" w14:textId="77777777" w:rsidR="00E36E72" w:rsidRPr="00DA4BA2" w:rsidRDefault="00E36E72" w:rsidP="00E36E72">
      <w:pPr>
        <w:pStyle w:val="Heading4nonumber"/>
        <w:pBdr>
          <w:bottom w:val="single" w:sz="4" w:space="1" w:color="auto"/>
        </w:pBdr>
        <w:rPr>
          <w:b/>
        </w:rPr>
      </w:pPr>
      <w:r w:rsidRPr="00DA4BA2">
        <w:rPr>
          <w:b/>
        </w:rPr>
        <w:t>Road Transport Legislation Amendment Bill 2021</w:t>
      </w:r>
    </w:p>
    <w:p w14:paraId="4C1AD59B" w14:textId="60FE48B3" w:rsidR="00706D63" w:rsidRDefault="00706D63" w:rsidP="00706D63">
      <w:pPr>
        <w:rPr>
          <w:lang w:eastAsia="en-AU"/>
        </w:rPr>
      </w:pPr>
      <w:r>
        <w:rPr>
          <w:rFonts w:ascii="Calibri" w:eastAsia="Calibri" w:hAnsi="Calibri" w:cs="Calibri"/>
          <w:color w:val="000000"/>
          <w:szCs w:val="20"/>
          <w:lang w:eastAsia="en-AU"/>
        </w:rPr>
        <w:t xml:space="preserve">On 15 March 2022, the Committee received proposed amendments to the </w:t>
      </w:r>
      <w:r>
        <w:rPr>
          <w:i/>
          <w:iCs/>
          <w:lang w:eastAsia="en-AU"/>
        </w:rPr>
        <w:t>Road Transport Legislation Amendment Bill 2021 [No 1]</w:t>
      </w:r>
      <w:r>
        <w:rPr>
          <w:lang w:eastAsia="en-AU"/>
        </w:rPr>
        <w:t xml:space="preserve"> to be proposed by Jo Clay MLA. These proposed amendments differed slightly from the proposed amendments provided to the Committee on 4 March 2022 and reported on in the Committee’s Report 13. The Bill, as amended by the proposed amendments, was passed by the Assembly on 23 March 2022 and, as of 24 March 2022, is awaiting notification.</w:t>
      </w:r>
    </w:p>
    <w:p w14:paraId="3C81899B" w14:textId="5C3099D2" w:rsidR="00706D63" w:rsidRDefault="00706D63" w:rsidP="00706D63">
      <w:pPr>
        <w:rPr>
          <w:lang w:eastAsia="en-AU"/>
        </w:rPr>
      </w:pPr>
      <w:r>
        <w:rPr>
          <w:lang w:eastAsia="en-AU"/>
        </w:rPr>
        <w:t xml:space="preserve">The Bill will amend the offence of negligent driving in section 6 of the </w:t>
      </w:r>
      <w:r>
        <w:rPr>
          <w:i/>
          <w:iCs/>
          <w:lang w:eastAsia="en-AU"/>
        </w:rPr>
        <w:t>Road Transport (Safety and Traffic Management) Act 1999</w:t>
      </w:r>
      <w:r>
        <w:rPr>
          <w:lang w:eastAsia="en-AU"/>
        </w:rPr>
        <w:t>. The amendment will add an aggravated penalty of 50 p</w:t>
      </w:r>
      <w:r w:rsidR="00FA1E86">
        <w:rPr>
          <w:lang w:eastAsia="en-AU"/>
        </w:rPr>
        <w:t>enalty units, imprisonment for six</w:t>
      </w:r>
      <w:r>
        <w:rPr>
          <w:lang w:eastAsia="en-AU"/>
        </w:rPr>
        <w:t xml:space="preserve"> months or both where the driving in question occasions actual bodily harm. The proposed amendments to the</w:t>
      </w:r>
      <w:r w:rsidR="00FA1E86">
        <w:rPr>
          <w:lang w:eastAsia="en-AU"/>
        </w:rPr>
        <w:t xml:space="preserve"> Bill will remove reference to six</w:t>
      </w:r>
      <w:r>
        <w:rPr>
          <w:lang w:eastAsia="en-AU"/>
        </w:rPr>
        <w:t xml:space="preserve"> month</w:t>
      </w:r>
      <w:r w:rsidR="00C7169B">
        <w:rPr>
          <w:lang w:eastAsia="en-AU"/>
        </w:rPr>
        <w:t>s</w:t>
      </w:r>
      <w:r>
        <w:rPr>
          <w:lang w:eastAsia="en-AU"/>
        </w:rPr>
        <w:t xml:space="preserve"> imprisonment as part of the Bill’s proposed maximum penalty, leaving the maximum penalty of 50 penalty points. The proposed amendment will also amend the </w:t>
      </w:r>
      <w:r>
        <w:rPr>
          <w:i/>
          <w:iCs/>
          <w:lang w:eastAsia="en-AU"/>
        </w:rPr>
        <w:t>Road Transport (Offences) Regulation 2005</w:t>
      </w:r>
      <w:r>
        <w:rPr>
          <w:lang w:eastAsia="en-AU"/>
        </w:rPr>
        <w:t xml:space="preserve"> to provide for an infringement notice penalty in the am</w:t>
      </w:r>
      <w:r w:rsidR="00FA1E86">
        <w:rPr>
          <w:lang w:eastAsia="en-AU"/>
        </w:rPr>
        <w:t>ount of $900 and three</w:t>
      </w:r>
      <w:r>
        <w:rPr>
          <w:lang w:eastAsia="en-AU"/>
        </w:rPr>
        <w:t xml:space="preserve"> demerit points. </w:t>
      </w:r>
    </w:p>
    <w:p w14:paraId="5088C12B" w14:textId="62D72268" w:rsidR="00706D63" w:rsidRDefault="00706D63" w:rsidP="00706D63">
      <w:pPr>
        <w:rPr>
          <w:lang w:eastAsia="en-AU"/>
        </w:rPr>
      </w:pPr>
      <w:r>
        <w:rPr>
          <w:lang w:eastAsia="en-AU"/>
        </w:rPr>
        <w:t xml:space="preserve">The explanatory statement accompanying the proposed amendments recognises how retention of an infringement notice penalty, and the ability to issue that penalty without having to establish criminal guilt, may limit rights in criminal proceedings protected by section 22 of the </w:t>
      </w:r>
      <w:r w:rsidRPr="00FA1E86">
        <w:rPr>
          <w:i/>
          <w:lang w:eastAsia="en-AU"/>
        </w:rPr>
        <w:t>Human Rights Act</w:t>
      </w:r>
      <w:r w:rsidR="00FA1E86" w:rsidRPr="00FA1E86">
        <w:rPr>
          <w:i/>
          <w:lang w:eastAsia="en-AU"/>
        </w:rPr>
        <w:t xml:space="preserve"> 2004</w:t>
      </w:r>
      <w:r w:rsidR="00FA1E86">
        <w:rPr>
          <w:i/>
          <w:lang w:eastAsia="en-AU"/>
        </w:rPr>
        <w:t xml:space="preserve"> </w:t>
      </w:r>
      <w:r w:rsidR="00FA1E86">
        <w:rPr>
          <w:lang w:eastAsia="en-AU"/>
        </w:rPr>
        <w:t>(HRA)</w:t>
      </w:r>
      <w:r>
        <w:rPr>
          <w:lang w:eastAsia="en-AU"/>
        </w:rPr>
        <w:t xml:space="preserve">. As an infringement notice penalty is included in the Bill, an increased infringement notice penalty in the proposed amendment will not impose substantial further limits. </w:t>
      </w:r>
    </w:p>
    <w:p w14:paraId="296781DD" w14:textId="59FD904E" w:rsidR="00706D63" w:rsidRDefault="00706D63" w:rsidP="00706D63">
      <w:pPr>
        <w:rPr>
          <w:lang w:eastAsia="en-AU"/>
        </w:rPr>
      </w:pPr>
      <w:r>
        <w:rPr>
          <w:lang w:eastAsia="en-AU"/>
        </w:rPr>
        <w:t>The explanatory statement does not, however, include discussion of why demerit points is included in the proposed penalty. The Committee recognises that the penalty for negligent driving where the driving in question does not lead to grievous bodily harm or death is 20 penalty units, an infringe</w:t>
      </w:r>
      <w:r w:rsidR="00FA1E86">
        <w:rPr>
          <w:lang w:eastAsia="en-AU"/>
        </w:rPr>
        <w:t>ment penalty of up to $398 and three</w:t>
      </w:r>
      <w:r>
        <w:rPr>
          <w:lang w:eastAsia="en-AU"/>
        </w:rPr>
        <w:t xml:space="preserve"> demerit points. Accumulating demerit points may result in a person having their A</w:t>
      </w:r>
      <w:r w:rsidR="00FA1E86">
        <w:rPr>
          <w:lang w:eastAsia="en-AU"/>
        </w:rPr>
        <w:t>CT licence suspended for up to five</w:t>
      </w:r>
      <w:r>
        <w:rPr>
          <w:lang w:eastAsia="en-AU"/>
        </w:rPr>
        <w:t xml:space="preserve"> months,</w:t>
      </w:r>
      <w:r>
        <w:rPr>
          <w:rStyle w:val="FootnoteReference"/>
          <w:lang w:eastAsia="en-AU"/>
        </w:rPr>
        <w:footnoteReference w:id="1"/>
      </w:r>
      <w:r>
        <w:rPr>
          <w:lang w:eastAsia="en-AU"/>
        </w:rPr>
        <w:t xml:space="preserve"> or may result in similar suspensions in other Australian jurisdictions. By amending the Bill to provide for demerit points to be incurred</w:t>
      </w:r>
      <w:r w:rsidR="00FA1E86">
        <w:rPr>
          <w:lang w:eastAsia="en-AU"/>
        </w:rPr>
        <w:t>,</w:t>
      </w:r>
      <w:r>
        <w:rPr>
          <w:lang w:eastAsia="en-AU"/>
        </w:rPr>
        <w:t xml:space="preserve"> the Bill may limit the freedom to movement protected by section 13 of the HRA or, where having a licence is a qualification for employment, the right to work protected by section 27B of the HRA. </w:t>
      </w:r>
    </w:p>
    <w:p w14:paraId="02EDBCB4" w14:textId="77777777" w:rsidR="00706D63" w:rsidRDefault="00706D63" w:rsidP="00706D63">
      <w:pPr>
        <w:rPr>
          <w:lang w:eastAsia="en-AU"/>
        </w:rPr>
      </w:pPr>
      <w:r>
        <w:rPr>
          <w:lang w:eastAsia="en-AU"/>
        </w:rPr>
        <w:t>Recognising that this proposed amendment has already been passed by the Assembly, the Committee requests further information from the Member for why demerits points were included as part of the amended penalty as soon as possible.</w:t>
      </w:r>
    </w:p>
    <w:p w14:paraId="756CE874" w14:textId="3C7C95D1" w:rsidR="00706D63" w:rsidRDefault="00706D63" w:rsidP="00706D63">
      <w:pPr>
        <w:rPr>
          <w:b/>
          <w:bCs/>
          <w:lang w:eastAsia="en-AU"/>
        </w:rPr>
      </w:pPr>
      <w:r>
        <w:rPr>
          <w:b/>
          <w:bCs/>
          <w:lang w:eastAsia="en-AU"/>
        </w:rPr>
        <w:t>The Committee draws this mat</w:t>
      </w:r>
      <w:r w:rsidR="00FA1E86">
        <w:rPr>
          <w:b/>
          <w:bCs/>
          <w:lang w:eastAsia="en-AU"/>
        </w:rPr>
        <w:t>t</w:t>
      </w:r>
      <w:r>
        <w:rPr>
          <w:b/>
          <w:bCs/>
          <w:lang w:eastAsia="en-AU"/>
        </w:rPr>
        <w:t xml:space="preserve">er to the attention of the Assembly, and requests a response from the Member </w:t>
      </w:r>
      <w:r w:rsidR="009D4C09">
        <w:rPr>
          <w:b/>
          <w:bCs/>
          <w:lang w:eastAsia="en-AU"/>
        </w:rPr>
        <w:t>before the next meeting of this Committee on 26 April 2022.</w:t>
      </w:r>
    </w:p>
    <w:p w14:paraId="481AB9D3" w14:textId="77777777" w:rsidR="008024FC" w:rsidRPr="00104A8B" w:rsidRDefault="008024FC" w:rsidP="00BA47E5">
      <w:pPr>
        <w:pStyle w:val="Heading2"/>
      </w:pPr>
      <w:bookmarkStart w:id="562" w:name="_Toc99029469"/>
      <w:r>
        <w:t>Subordinate Legislation</w:t>
      </w:r>
      <w:bookmarkEnd w:id="562"/>
    </w:p>
    <w:p w14:paraId="4457B6DC" w14:textId="77777777" w:rsidR="003D65DF" w:rsidRPr="00D87E25" w:rsidRDefault="003D65DF" w:rsidP="00861B17">
      <w:pPr>
        <w:pStyle w:val="Heading3"/>
      </w:pPr>
      <w:bookmarkStart w:id="563" w:name="_Toc99029470"/>
      <w:bookmarkStart w:id="564" w:name="_Hlk504463130"/>
      <w:bookmarkEnd w:id="553"/>
      <w:bookmarkEnd w:id="554"/>
      <w:r w:rsidRPr="00D87E25">
        <w:t>Disallowable Instruments—No comment</w:t>
      </w:r>
      <w:bookmarkEnd w:id="563"/>
    </w:p>
    <w:p w14:paraId="740EDC47" w14:textId="77777777" w:rsidR="003D65DF" w:rsidRPr="00755B8A" w:rsidRDefault="003D65DF" w:rsidP="00F97501">
      <w:pPr>
        <w:pStyle w:val="Paper"/>
        <w:spacing w:before="240" w:after="240" w:line="280" w:lineRule="exact"/>
        <w:rPr>
          <w:rFonts w:ascii="Calibri" w:hAnsi="Calibri"/>
          <w:spacing w:val="-2"/>
          <w:sz w:val="22"/>
          <w:szCs w:val="22"/>
        </w:rPr>
      </w:pPr>
      <w:bookmarkStart w:id="565" w:name="_Hlk520740695"/>
      <w:r w:rsidRPr="00755B8A">
        <w:rPr>
          <w:rFonts w:ascii="Calibri" w:hAnsi="Calibri"/>
          <w:spacing w:val="-2"/>
          <w:sz w:val="22"/>
          <w:szCs w:val="22"/>
        </w:rPr>
        <w:t>The Committee has examined the following disallowable instruments and has no comments on them:</w:t>
      </w:r>
      <w:bookmarkEnd w:id="565"/>
    </w:p>
    <w:p w14:paraId="5001BC18" w14:textId="77777777" w:rsidR="00067C68" w:rsidRDefault="00067C68" w:rsidP="00067C68">
      <w:pPr>
        <w:pStyle w:val="Bodycopy"/>
        <w:numPr>
          <w:ilvl w:val="0"/>
          <w:numId w:val="39"/>
        </w:numPr>
        <w:spacing w:before="160" w:after="160" w:line="280" w:lineRule="exact"/>
        <w:ind w:left="360"/>
        <w:rPr>
          <w:b/>
        </w:rPr>
      </w:pPr>
      <w:r>
        <w:rPr>
          <w:b/>
        </w:rPr>
        <w:t xml:space="preserve">Disallowable Instrument DI2022-4 being the Long Service Leave (Portable Schemes) Governing Board Appointment 2022 (No 3) made under section 79E of the </w:t>
      </w:r>
      <w:r>
        <w:rPr>
          <w:i/>
        </w:rPr>
        <w:t xml:space="preserve">Long Service Leave (Portable Schemes) Act 2009 </w:t>
      </w:r>
      <w:r>
        <w:rPr>
          <w:b/>
        </w:rPr>
        <w:t>and section 78 of the</w:t>
      </w:r>
      <w:r>
        <w:rPr>
          <w:i/>
        </w:rPr>
        <w:t xml:space="preserve"> Financial Management Act 1996</w:t>
      </w:r>
      <w:r>
        <w:rPr>
          <w:b/>
        </w:rPr>
        <w:t xml:space="preserve"> appoints a specified person as a member of the Long Service Leave Governing Board, representing employer organisations.</w:t>
      </w:r>
    </w:p>
    <w:p w14:paraId="6D99BF28" w14:textId="77777777" w:rsidR="00067C68" w:rsidRDefault="00067C68" w:rsidP="00067C68">
      <w:pPr>
        <w:pStyle w:val="Bodycopy"/>
        <w:numPr>
          <w:ilvl w:val="0"/>
          <w:numId w:val="39"/>
        </w:numPr>
        <w:spacing w:before="160" w:after="160" w:line="280" w:lineRule="exact"/>
        <w:ind w:left="360"/>
        <w:rPr>
          <w:b/>
        </w:rPr>
      </w:pPr>
      <w:r>
        <w:rPr>
          <w:b/>
        </w:rPr>
        <w:t xml:space="preserve">Disallowable Instrument DI2022-5 being the Long Service Leave (Portable Schemes) Governing Board Appointment 2022 (No 2) made under section 79E of the </w:t>
      </w:r>
      <w:r>
        <w:rPr>
          <w:i/>
        </w:rPr>
        <w:t xml:space="preserve">Long Service Leave (Portable Schemes) Act 2009 </w:t>
      </w:r>
      <w:r>
        <w:rPr>
          <w:b/>
        </w:rPr>
        <w:t xml:space="preserve">and sections 78 and 79 of the </w:t>
      </w:r>
      <w:r>
        <w:rPr>
          <w:i/>
        </w:rPr>
        <w:t>Financial Management Act 1996</w:t>
      </w:r>
      <w:r>
        <w:rPr>
          <w:b/>
        </w:rPr>
        <w:t xml:space="preserve"> appoints a specified person as an independent member and deputy chair of the Long Service Leave Governing Board.</w:t>
      </w:r>
    </w:p>
    <w:p w14:paraId="3E474496" w14:textId="77777777" w:rsidR="00067C68" w:rsidRDefault="00067C68" w:rsidP="00067C68">
      <w:pPr>
        <w:pStyle w:val="Bodycopy"/>
        <w:numPr>
          <w:ilvl w:val="0"/>
          <w:numId w:val="39"/>
        </w:numPr>
        <w:spacing w:before="160" w:after="160" w:line="280" w:lineRule="exact"/>
        <w:ind w:left="360"/>
        <w:rPr>
          <w:b/>
        </w:rPr>
      </w:pPr>
      <w:r>
        <w:rPr>
          <w:b/>
        </w:rPr>
        <w:t xml:space="preserve">Disallowable Instrument DI2022-6 being the Long Service Leave (Portable Schemes) Governing Board Appointment 2022 (No 1) made under section 79E of the </w:t>
      </w:r>
      <w:r>
        <w:rPr>
          <w:i/>
        </w:rPr>
        <w:t xml:space="preserve">Long Service Leave (Portable Schemes) Act 2009 </w:t>
      </w:r>
      <w:r>
        <w:rPr>
          <w:b/>
        </w:rPr>
        <w:t xml:space="preserve">and sections 78 and 79 of the </w:t>
      </w:r>
      <w:r>
        <w:rPr>
          <w:i/>
        </w:rPr>
        <w:t>Financial Management Act 1996</w:t>
      </w:r>
      <w:r>
        <w:rPr>
          <w:b/>
        </w:rPr>
        <w:t xml:space="preserve"> appoints a specified person as an independent member and chair of the Long Service Leave Governing Board.</w:t>
      </w:r>
    </w:p>
    <w:p w14:paraId="4F1F0D6D" w14:textId="77777777" w:rsidR="00067C68" w:rsidRDefault="00067C68" w:rsidP="00067C68">
      <w:pPr>
        <w:pStyle w:val="Bodycopy"/>
        <w:numPr>
          <w:ilvl w:val="0"/>
          <w:numId w:val="39"/>
        </w:numPr>
        <w:spacing w:before="160" w:after="160" w:line="280" w:lineRule="exact"/>
        <w:ind w:left="360"/>
        <w:rPr>
          <w:b/>
        </w:rPr>
      </w:pPr>
      <w:r>
        <w:rPr>
          <w:b/>
        </w:rPr>
        <w:t xml:space="preserve">Disallowable Instrument DI2022-8 being the Nature Conservation (Scientific Committee) Appointment 2022 (No 1) made under sections 36 and 37 of the </w:t>
      </w:r>
      <w:r>
        <w:rPr>
          <w:i/>
        </w:rPr>
        <w:t>Nature Conservation Act 2014</w:t>
      </w:r>
      <w:r>
        <w:rPr>
          <w:b/>
        </w:rPr>
        <w:t xml:space="preserve"> revokes DI2021-256 and appoints various specified persons as members and chair and deputy chair of the Scientific Committee.</w:t>
      </w:r>
    </w:p>
    <w:p w14:paraId="7552EDC1" w14:textId="77777777" w:rsidR="00067C68" w:rsidRDefault="00067C68" w:rsidP="00067C68">
      <w:pPr>
        <w:pStyle w:val="Bodycopy"/>
        <w:keepLines/>
        <w:numPr>
          <w:ilvl w:val="0"/>
          <w:numId w:val="39"/>
        </w:numPr>
        <w:spacing w:before="160" w:after="160" w:line="280" w:lineRule="exact"/>
        <w:ind w:left="360"/>
        <w:rPr>
          <w:b/>
        </w:rPr>
      </w:pPr>
      <w:r>
        <w:rPr>
          <w:b/>
        </w:rPr>
        <w:t xml:space="preserve">Disallowable Instrument DI2022-11 being the Road Transport (General) Application of Road Transport Legislation (Manuka Oval) Declaration 2022 (No 1) made under section 12 of the </w:t>
      </w:r>
      <w:r>
        <w:rPr>
          <w:i/>
        </w:rPr>
        <w:t>Road Transport (General) Act 1999</w:t>
      </w:r>
      <w:r>
        <w:rPr>
          <w:b/>
        </w:rPr>
        <w:t xml:space="preserve"> provides that section 205 of the </w:t>
      </w:r>
      <w:r>
        <w:rPr>
          <w:b/>
          <w:i/>
        </w:rPr>
        <w:t xml:space="preserve">Road Transport (Road Rules) Regulation 2017 </w:t>
      </w:r>
      <w:r>
        <w:rPr>
          <w:b/>
        </w:rPr>
        <w:t>does not apply to a specified area during the Dettol T20 International cricket series for the period 11 to 20 February 2022.</w:t>
      </w:r>
    </w:p>
    <w:p w14:paraId="5BF87FEE" w14:textId="77777777" w:rsidR="00052319" w:rsidRPr="00103E7B" w:rsidRDefault="003379D7" w:rsidP="00861B17">
      <w:pPr>
        <w:pStyle w:val="Heading3"/>
        <w:spacing w:before="360"/>
        <w:rPr>
          <w:rFonts w:eastAsia="Calibri"/>
          <w:lang w:eastAsia="en-AU"/>
        </w:rPr>
      </w:pPr>
      <w:bookmarkStart w:id="566" w:name="_Toc99029471"/>
      <w:r w:rsidRPr="00103E7B">
        <w:rPr>
          <w:rFonts w:eastAsia="Calibri"/>
          <w:lang w:eastAsia="en-AU"/>
        </w:rPr>
        <w:t>Disallowable Instrument</w:t>
      </w:r>
      <w:r w:rsidR="00BA3E19" w:rsidRPr="00103E7B">
        <w:rPr>
          <w:rFonts w:eastAsia="Calibri"/>
          <w:lang w:eastAsia="en-AU"/>
        </w:rPr>
        <w:t>s</w:t>
      </w:r>
      <w:r w:rsidR="00052319" w:rsidRPr="00103E7B">
        <w:rPr>
          <w:rFonts w:eastAsia="Calibri"/>
          <w:lang w:eastAsia="en-AU"/>
        </w:rPr>
        <w:t>—Comment</w:t>
      </w:r>
      <w:bookmarkEnd w:id="566"/>
    </w:p>
    <w:p w14:paraId="6750AC3E" w14:textId="77777777" w:rsidR="00052319" w:rsidRDefault="00052319" w:rsidP="003379D7">
      <w:pPr>
        <w:rPr>
          <w:spacing w:val="-2"/>
        </w:rPr>
      </w:pPr>
      <w:r w:rsidRPr="003C60E7">
        <w:rPr>
          <w:spacing w:val="-2"/>
        </w:rPr>
        <w:t>The Committee has examined the fo</w:t>
      </w:r>
      <w:r w:rsidR="003379D7" w:rsidRPr="003C60E7">
        <w:rPr>
          <w:spacing w:val="-2"/>
        </w:rPr>
        <w:t>llowing disallowable instrument</w:t>
      </w:r>
      <w:r w:rsidR="00BA3E19">
        <w:rPr>
          <w:spacing w:val="-2"/>
        </w:rPr>
        <w:t>s</w:t>
      </w:r>
      <w:r w:rsidRPr="003C60E7">
        <w:rPr>
          <w:spacing w:val="-2"/>
        </w:rPr>
        <w:t xml:space="preserve"> and offers these comments on </w:t>
      </w:r>
      <w:r w:rsidR="00BA3E19">
        <w:rPr>
          <w:spacing w:val="-2"/>
        </w:rPr>
        <w:t>them</w:t>
      </w:r>
      <w:r w:rsidRPr="003C60E7">
        <w:rPr>
          <w:spacing w:val="-2"/>
        </w:rPr>
        <w:t>:</w:t>
      </w:r>
    </w:p>
    <w:bookmarkEnd w:id="564"/>
    <w:p w14:paraId="1A1DB0C7" w14:textId="49E32355" w:rsidR="001D6452" w:rsidRDefault="00067C68" w:rsidP="001D6452">
      <w:pPr>
        <w:pStyle w:val="Heading4nonumber"/>
        <w:spacing w:before="220" w:after="220" w:line="280" w:lineRule="exact"/>
        <w:rPr>
          <w:sz w:val="22"/>
          <w:szCs w:val="22"/>
        </w:rPr>
      </w:pPr>
      <w:r>
        <w:rPr>
          <w:sz w:val="22"/>
          <w:szCs w:val="22"/>
        </w:rPr>
        <w:t>Fees determination</w:t>
      </w:r>
    </w:p>
    <w:p w14:paraId="7873B46A" w14:textId="77777777" w:rsidR="00067C68" w:rsidRDefault="00067C68" w:rsidP="00067C68">
      <w:pPr>
        <w:pStyle w:val="Bodycopy"/>
        <w:numPr>
          <w:ilvl w:val="0"/>
          <w:numId w:val="40"/>
        </w:numPr>
        <w:spacing w:before="160" w:after="160" w:line="280" w:lineRule="exact"/>
        <w:ind w:left="360"/>
        <w:rPr>
          <w:b/>
        </w:rPr>
      </w:pPr>
      <w:r>
        <w:rPr>
          <w:b/>
        </w:rPr>
        <w:t xml:space="preserve">Disallowable Instrument DI2022-1 being the Court Procedures (Fees) Determination 2022 made under section 13 of the </w:t>
      </w:r>
      <w:r>
        <w:rPr>
          <w:i/>
        </w:rPr>
        <w:t>Court Procedures Act 2004</w:t>
      </w:r>
      <w:r>
        <w:rPr>
          <w:b/>
        </w:rPr>
        <w:t xml:space="preserve"> revokes DI2021-154 and determines fees payable for the purposes of the Act.</w:t>
      </w:r>
    </w:p>
    <w:p w14:paraId="09DD2E83" w14:textId="3D4D47E9" w:rsidR="00067C68" w:rsidRDefault="00067C68" w:rsidP="00625891">
      <w:pPr>
        <w:keepLines/>
        <w:widowControl w:val="0"/>
        <w:tabs>
          <w:tab w:val="left" w:pos="1276"/>
        </w:tabs>
        <w:spacing w:line="270" w:lineRule="exact"/>
        <w:rPr>
          <w:rFonts w:eastAsia="Calibri" w:cstheme="minorHAnsi"/>
          <w:lang w:val="en-US"/>
        </w:rPr>
      </w:pPr>
      <w:r>
        <w:rPr>
          <w:rFonts w:cstheme="minorHAnsi"/>
          <w:bCs/>
        </w:rPr>
        <w:t xml:space="preserve">This instrument, made under section 13 of the </w:t>
      </w:r>
      <w:r>
        <w:rPr>
          <w:rFonts w:cstheme="minorHAnsi"/>
          <w:i/>
        </w:rPr>
        <w:t>Court Procedures Act 2004</w:t>
      </w:r>
      <w:r>
        <w:rPr>
          <w:rFonts w:cstheme="minorHAnsi"/>
          <w:iCs/>
        </w:rPr>
        <w:t xml:space="preserve">, determines fees for that Act.  The Committee has a long-standing interest in fees determinations. </w:t>
      </w:r>
      <w:r>
        <w:rPr>
          <w:rFonts w:cstheme="minorHAnsi"/>
          <w:iCs/>
          <w:lang w:val="en-US"/>
        </w:rPr>
        <w:t xml:space="preserve"> The Committee notes that it has consistently required certain things of fees determinations</w:t>
      </w:r>
      <w:bookmarkStart w:id="567" w:name="_Hlk68624682"/>
      <w:r>
        <w:rPr>
          <w:rFonts w:cstheme="minorHAnsi"/>
          <w:iCs/>
          <w:lang w:val="en-US"/>
        </w:rPr>
        <w:t xml:space="preserve">. </w:t>
      </w:r>
      <w:r>
        <w:rPr>
          <w:rFonts w:eastAsia="Calibri" w:cstheme="minorHAnsi"/>
          <w:lang w:val="en-US"/>
        </w:rPr>
        <w:t xml:space="preserve">In its document titled </w:t>
      </w:r>
      <w:hyperlink r:id="rId24" w:history="1">
        <w:r w:rsidRPr="00597933">
          <w:rPr>
            <w:rStyle w:val="Hyperlink"/>
            <w:rFonts w:eastAsia="Calibri" w:cstheme="minorHAnsi"/>
            <w:i/>
            <w:lang w:val="en-US"/>
          </w:rPr>
          <w:t>Subordinate legislation—Technical and stylistic standards—Tips/Traps</w:t>
        </w:r>
      </w:hyperlink>
      <w:r>
        <w:rPr>
          <w:rFonts w:eastAsia="Calibri" w:cstheme="minorHAnsi"/>
          <w:color w:val="000000"/>
          <w:lang w:val="en-US"/>
        </w:rPr>
        <w:t>,</w:t>
      </w:r>
      <w:r>
        <w:rPr>
          <w:rFonts w:eastAsia="Calibri" w:cstheme="minorHAnsi"/>
          <w:vertAlign w:val="superscript"/>
          <w:lang w:val="en-US"/>
        </w:rPr>
        <w:footnoteReference w:id="2"/>
      </w:r>
      <w:r>
        <w:rPr>
          <w:rFonts w:eastAsia="Calibri" w:cstheme="minorHAnsi"/>
          <w:lang w:val="en-US"/>
        </w:rPr>
        <w:t xml:space="preserve"> the Committee stated:</w:t>
      </w:r>
      <w:bookmarkEnd w:id="567"/>
    </w:p>
    <w:p w14:paraId="054E0F91" w14:textId="77777777" w:rsidR="00067C68" w:rsidRDefault="00067C68" w:rsidP="00625891">
      <w:pPr>
        <w:widowControl w:val="0"/>
        <w:tabs>
          <w:tab w:val="left" w:pos="900"/>
          <w:tab w:val="left" w:pos="9000"/>
        </w:tabs>
        <w:spacing w:line="260" w:lineRule="exact"/>
        <w:ind w:left="547"/>
        <w:rPr>
          <w:rFonts w:eastAsia="Calibri" w:cstheme="minorHAnsi"/>
          <w:b/>
          <w:bCs/>
          <w:lang w:val="en-US"/>
        </w:rPr>
      </w:pPr>
      <w:r>
        <w:rPr>
          <w:rFonts w:eastAsia="Calibri" w:cstheme="minorHAnsi"/>
          <w:b/>
          <w:bCs/>
          <w:lang w:val="en-US"/>
        </w:rPr>
        <w:t>FEES DETERMINATIONS</w:t>
      </w:r>
    </w:p>
    <w:p w14:paraId="1EB7D517" w14:textId="77777777" w:rsidR="00067C68" w:rsidRDefault="00067C68" w:rsidP="00625891">
      <w:pPr>
        <w:widowControl w:val="0"/>
        <w:tabs>
          <w:tab w:val="left" w:pos="900"/>
          <w:tab w:val="left" w:pos="9000"/>
        </w:tabs>
        <w:spacing w:line="260" w:lineRule="exact"/>
        <w:ind w:left="547"/>
        <w:rPr>
          <w:rFonts w:eastAsia="Calibri" w:cstheme="minorHAnsi"/>
          <w:lang w:val="en-US"/>
        </w:rPr>
      </w:pPr>
      <w:r>
        <w:rPr>
          <w:rFonts w:eastAsia="Calibri" w:cstheme="minorHAnsi"/>
          <w:lang w:val="en-US"/>
        </w:rPr>
        <w:t>The Committee prefers that instruments that determine fees indicate (either in the instrument itself or in the Explanatory Statement) the amount of the “old” fee, the amount of the new fee, any percentage increase and also the reason for any increase (eg an adjustment based on the CPI).  Given the importance of fees to the administration of the ACT, it assists the Committee (and the Legislative Assembly) if fees determinations expressly identify the magnitude of any fees increases.</w:t>
      </w:r>
    </w:p>
    <w:p w14:paraId="0D769BAA" w14:textId="77777777" w:rsidR="00067C68" w:rsidRDefault="00067C68" w:rsidP="00625891">
      <w:pPr>
        <w:widowControl w:val="0"/>
        <w:tabs>
          <w:tab w:val="left" w:pos="900"/>
          <w:tab w:val="left" w:pos="9000"/>
        </w:tabs>
        <w:spacing w:line="260" w:lineRule="exact"/>
        <w:ind w:left="547"/>
        <w:rPr>
          <w:rFonts w:eastAsia="Calibri" w:cstheme="minorHAnsi"/>
          <w:lang w:val="en-US"/>
        </w:rPr>
      </w:pPr>
      <w:r>
        <w:rPr>
          <w:rFonts w:eastAsia="Calibri" w:cstheme="minorHAnsi"/>
          <w:lang w:val="en-US"/>
        </w:rPr>
        <w:t>The Committee also prefers that fees determinations expressly address the mandatory requirements of subsection 56(5) of the Legislation Act 2001, which provides that a fees determination must provide:</w:t>
      </w:r>
    </w:p>
    <w:p w14:paraId="1A3E871A" w14:textId="77777777" w:rsidR="00067C68" w:rsidRDefault="00067C68" w:rsidP="00625891">
      <w:pPr>
        <w:widowControl w:val="0"/>
        <w:tabs>
          <w:tab w:val="left" w:pos="900"/>
          <w:tab w:val="left" w:pos="9000"/>
        </w:tabs>
        <w:spacing w:line="260" w:lineRule="exact"/>
        <w:ind w:left="547"/>
        <w:rPr>
          <w:rFonts w:eastAsia="Calibri" w:cstheme="minorHAnsi"/>
          <w:lang w:val="en-US"/>
        </w:rPr>
      </w:pPr>
      <w:r>
        <w:rPr>
          <w:rFonts w:eastAsia="Calibri" w:cstheme="minorHAnsi"/>
          <w:lang w:val="en-US"/>
        </w:rPr>
        <w:t>•</w:t>
      </w:r>
      <w:r>
        <w:rPr>
          <w:rFonts w:eastAsia="Calibri" w:cstheme="minorHAnsi"/>
          <w:lang w:val="en-US"/>
        </w:rPr>
        <w:tab/>
        <w:t>by whom the fee is payable; and</w:t>
      </w:r>
    </w:p>
    <w:p w14:paraId="6BD1A8B7" w14:textId="6A14AC87" w:rsidR="00067C68" w:rsidRDefault="00067C68" w:rsidP="00625891">
      <w:pPr>
        <w:widowControl w:val="0"/>
        <w:tabs>
          <w:tab w:val="left" w:pos="900"/>
          <w:tab w:val="left" w:pos="9000"/>
        </w:tabs>
        <w:spacing w:line="260" w:lineRule="exact"/>
        <w:ind w:left="547"/>
        <w:rPr>
          <w:rFonts w:eastAsia="Calibri" w:cstheme="minorHAnsi"/>
          <w:lang w:val="en-US"/>
        </w:rPr>
      </w:pPr>
      <w:r>
        <w:rPr>
          <w:rFonts w:eastAsia="Calibri" w:cstheme="minorHAnsi"/>
          <w:lang w:val="en-US"/>
        </w:rPr>
        <w:t>•</w:t>
      </w:r>
      <w:r>
        <w:rPr>
          <w:rFonts w:eastAsia="Calibri" w:cstheme="minorHAnsi"/>
          <w:lang w:val="en-US"/>
        </w:rPr>
        <w:tab/>
        <w:t>to whom the fee is to be paid.</w:t>
      </w:r>
    </w:p>
    <w:p w14:paraId="65425E21" w14:textId="77777777" w:rsidR="00067C68" w:rsidRDefault="00067C68" w:rsidP="00625891">
      <w:pPr>
        <w:pStyle w:val="Bodycopy"/>
        <w:tabs>
          <w:tab w:val="left" w:pos="720"/>
        </w:tabs>
        <w:spacing w:before="220" w:after="220" w:line="270" w:lineRule="exact"/>
        <w:rPr>
          <w:rFonts w:asciiTheme="minorHAnsi" w:eastAsia="Times New Roman" w:hAnsiTheme="minorHAnsi" w:cstheme="minorHAnsi"/>
          <w:iCs/>
          <w:szCs w:val="22"/>
        </w:rPr>
      </w:pPr>
      <w:r>
        <w:rPr>
          <w:rFonts w:asciiTheme="minorHAnsi" w:hAnsiTheme="minorHAnsi" w:cstheme="minorHAnsi"/>
          <w:iCs/>
          <w:szCs w:val="22"/>
        </w:rPr>
        <w:t>For this instrument, the explanatory statement contains only the following, in relation to the fees determined:</w:t>
      </w:r>
    </w:p>
    <w:p w14:paraId="3E21F653" w14:textId="77777777" w:rsidR="00067C68" w:rsidRDefault="00067C68" w:rsidP="00625891">
      <w:pPr>
        <w:autoSpaceDE w:val="0"/>
        <w:autoSpaceDN w:val="0"/>
        <w:adjustRightInd w:val="0"/>
        <w:spacing w:line="270" w:lineRule="exact"/>
        <w:ind w:left="540"/>
        <w:rPr>
          <w:rFonts w:cstheme="minorHAnsi"/>
        </w:rPr>
      </w:pPr>
      <w:r>
        <w:rPr>
          <w:rFonts w:cstheme="minorHAnsi"/>
        </w:rPr>
        <w:t xml:space="preserve">The new determination updates the fees that applied from 1 July 2021 by including new fees in item 1209.3 and 1209.4 for publication of notice of intention to apply for a grant of probate, letters of administration (with or without a will), reseal of a foreign grant, and an amended or republished notice for this purpose. </w:t>
      </w:r>
    </w:p>
    <w:p w14:paraId="37F39BEE" w14:textId="77777777" w:rsidR="00067C68" w:rsidRDefault="00067C68" w:rsidP="00625891">
      <w:pPr>
        <w:pStyle w:val="Bodycopy"/>
        <w:tabs>
          <w:tab w:val="left" w:pos="720"/>
        </w:tabs>
        <w:spacing w:before="220" w:after="220" w:line="270" w:lineRule="exact"/>
        <w:rPr>
          <w:rFonts w:asciiTheme="minorHAnsi" w:hAnsiTheme="minorHAnsi" w:cstheme="minorHAnsi"/>
          <w:iCs/>
          <w:szCs w:val="22"/>
        </w:rPr>
      </w:pPr>
      <w:r>
        <w:rPr>
          <w:rFonts w:asciiTheme="minorHAnsi" w:hAnsiTheme="minorHAnsi" w:cstheme="minorHAnsi"/>
          <w:iCs/>
          <w:szCs w:val="22"/>
        </w:rPr>
        <w:t xml:space="preserve">There is </w:t>
      </w:r>
      <w:r>
        <w:rPr>
          <w:rFonts w:asciiTheme="minorHAnsi" w:hAnsiTheme="minorHAnsi" w:cstheme="minorHAnsi"/>
          <w:iCs/>
          <w:szCs w:val="22"/>
          <w:u w:val="single"/>
        </w:rPr>
        <w:t>no</w:t>
      </w:r>
      <w:r>
        <w:rPr>
          <w:rFonts w:asciiTheme="minorHAnsi" w:hAnsiTheme="minorHAnsi" w:cstheme="minorHAnsi"/>
          <w:iCs/>
          <w:szCs w:val="22"/>
        </w:rPr>
        <w:t xml:space="preserve"> explanation in relation to the matters that the Committee usually expects to be addressed, in relation to a fees determination.</w:t>
      </w:r>
    </w:p>
    <w:p w14:paraId="17B1C1C5" w14:textId="16EF2C99" w:rsidR="00067C68" w:rsidRDefault="00067C68" w:rsidP="00625891">
      <w:pPr>
        <w:pStyle w:val="NormalWeb"/>
        <w:spacing w:line="270" w:lineRule="exact"/>
        <w:rPr>
          <w:rFonts w:asciiTheme="minorHAnsi" w:hAnsiTheme="minorHAnsi" w:cstheme="minorHAnsi"/>
          <w:b/>
          <w:bCs/>
          <w:color w:val="000000"/>
          <w:sz w:val="22"/>
          <w:szCs w:val="22"/>
        </w:rPr>
      </w:pPr>
      <w:r>
        <w:rPr>
          <w:rFonts w:asciiTheme="minorHAnsi" w:hAnsiTheme="minorHAnsi" w:cstheme="minorHAnsi"/>
          <w:b/>
          <w:bCs/>
          <w:color w:val="000000"/>
          <w:sz w:val="22"/>
          <w:szCs w:val="22"/>
        </w:rPr>
        <w:t xml:space="preserve">The Committee draws the attention of the Legislative Assembly to this instrument under paragraph (10)(d) of the Committee’s Resolution of Appointment, on the basis that the </w:t>
      </w:r>
      <w:r w:rsidR="00BA6857">
        <w:rPr>
          <w:rFonts w:asciiTheme="minorHAnsi" w:hAnsiTheme="minorHAnsi" w:cstheme="minorHAnsi"/>
          <w:b/>
          <w:bCs/>
          <w:color w:val="000000"/>
          <w:sz w:val="22"/>
          <w:szCs w:val="22"/>
        </w:rPr>
        <w:t>p</w:t>
      </w:r>
      <w:r>
        <w:rPr>
          <w:rFonts w:asciiTheme="minorHAnsi" w:hAnsiTheme="minorHAnsi" w:cstheme="minorHAnsi"/>
          <w:b/>
          <w:bCs/>
          <w:color w:val="000000"/>
          <w:sz w:val="22"/>
          <w:szCs w:val="22"/>
        </w:rPr>
        <w:t>explanatory statement for the instrument does not meet the technical or stylistic standards expected by the Committee.</w:t>
      </w:r>
    </w:p>
    <w:p w14:paraId="196360E9" w14:textId="0903D87F" w:rsidR="00067C68" w:rsidRDefault="00067C68" w:rsidP="00625891">
      <w:pPr>
        <w:pStyle w:val="NormalWeb"/>
        <w:spacing w:line="270" w:lineRule="exact"/>
        <w:rPr>
          <w:rFonts w:asciiTheme="minorHAnsi" w:hAnsiTheme="minorHAnsi" w:cstheme="minorHAnsi"/>
          <w:b/>
          <w:bCs/>
          <w:color w:val="000000"/>
          <w:sz w:val="22"/>
          <w:szCs w:val="22"/>
        </w:rPr>
      </w:pPr>
      <w:r>
        <w:rPr>
          <w:rFonts w:asciiTheme="minorHAnsi" w:hAnsiTheme="minorHAnsi" w:cstheme="minorHAnsi"/>
          <w:b/>
          <w:bCs/>
          <w:color w:val="000000"/>
          <w:sz w:val="22"/>
          <w:szCs w:val="22"/>
        </w:rPr>
        <w:t>This comment requires a response from the Minister</w:t>
      </w:r>
      <w:r w:rsidR="009D4C09">
        <w:rPr>
          <w:rFonts w:asciiTheme="minorHAnsi" w:hAnsiTheme="minorHAnsi" w:cstheme="minorHAnsi"/>
          <w:b/>
          <w:bCs/>
          <w:color w:val="000000"/>
          <w:sz w:val="22"/>
          <w:szCs w:val="22"/>
        </w:rPr>
        <w:t>, including an amended explanatory statement</w:t>
      </w:r>
      <w:r>
        <w:rPr>
          <w:rFonts w:asciiTheme="minorHAnsi" w:hAnsiTheme="minorHAnsi" w:cstheme="minorHAnsi"/>
          <w:b/>
          <w:bCs/>
          <w:color w:val="000000"/>
          <w:sz w:val="22"/>
          <w:szCs w:val="22"/>
        </w:rPr>
        <w:t>.</w:t>
      </w:r>
      <w:r>
        <w:t xml:space="preserve"> </w:t>
      </w:r>
      <w:r>
        <w:rPr>
          <w:rFonts w:asciiTheme="minorHAnsi" w:hAnsiTheme="minorHAnsi" w:cstheme="minorHAnsi"/>
          <w:b/>
          <w:bCs/>
          <w:color w:val="000000"/>
          <w:sz w:val="22"/>
          <w:szCs w:val="22"/>
        </w:rPr>
        <w:t>The Committee would be grateful if the Minister could respond before</w:t>
      </w:r>
      <w:r>
        <w:rPr>
          <w:rFonts w:asciiTheme="minorHAnsi" w:hAnsiTheme="minorHAnsi" w:cstheme="minorHAnsi"/>
          <w:b/>
          <w:bCs/>
          <w:color w:val="FF0000"/>
          <w:sz w:val="22"/>
          <w:szCs w:val="22"/>
        </w:rPr>
        <w:t xml:space="preserve"> </w:t>
      </w:r>
      <w:r w:rsidRPr="00067C68">
        <w:rPr>
          <w:rFonts w:asciiTheme="minorHAnsi" w:hAnsiTheme="minorHAnsi" w:cstheme="minorHAnsi"/>
          <w:b/>
          <w:bCs/>
          <w:sz w:val="22"/>
          <w:szCs w:val="22"/>
        </w:rPr>
        <w:t>3 May 2022</w:t>
      </w:r>
      <w:r>
        <w:rPr>
          <w:rFonts w:asciiTheme="minorHAnsi" w:hAnsiTheme="minorHAnsi" w:cstheme="minorHAnsi"/>
          <w:b/>
          <w:bCs/>
          <w:color w:val="000000"/>
          <w:sz w:val="22"/>
          <w:szCs w:val="22"/>
        </w:rPr>
        <w:t xml:space="preserve">, when the Legislative Assembly’s capacity to move to disallow the instrument will expire.  </w:t>
      </w:r>
    </w:p>
    <w:p w14:paraId="2609C0AE" w14:textId="77777777" w:rsidR="00597933" w:rsidRPr="00597933" w:rsidRDefault="00597933" w:rsidP="00597933">
      <w:pPr>
        <w:pStyle w:val="Heading4nonumber"/>
        <w:spacing w:before="220" w:after="220" w:line="280" w:lineRule="exact"/>
        <w:rPr>
          <w:sz w:val="22"/>
          <w:szCs w:val="22"/>
        </w:rPr>
      </w:pPr>
      <w:r w:rsidRPr="00597933">
        <w:rPr>
          <w:sz w:val="22"/>
          <w:szCs w:val="22"/>
        </w:rPr>
        <w:t>COVID-19-related instrument / Human rights issues</w:t>
      </w:r>
    </w:p>
    <w:p w14:paraId="5F31A33C" w14:textId="77777777" w:rsidR="00597933" w:rsidRPr="00824694" w:rsidRDefault="00597933" w:rsidP="00625891">
      <w:pPr>
        <w:pStyle w:val="Bodycopy"/>
        <w:numPr>
          <w:ilvl w:val="0"/>
          <w:numId w:val="41"/>
        </w:numPr>
        <w:spacing w:before="160" w:after="160" w:line="260" w:lineRule="exact"/>
        <w:ind w:left="360"/>
        <w:rPr>
          <w:b/>
        </w:rPr>
      </w:pPr>
      <w:r w:rsidRPr="00824694">
        <w:rPr>
          <w:b/>
        </w:rPr>
        <w:t xml:space="preserve">Disallowable Instrument DI2022-2 being the Road Transport (General) (COVID-19 Emergency Response) Application Order 2022 (No 1) made under </w:t>
      </w:r>
      <w:bookmarkStart w:id="568" w:name="_Hlk98685271"/>
      <w:r w:rsidRPr="00824694">
        <w:rPr>
          <w:b/>
        </w:rPr>
        <w:t xml:space="preserve">section 14 of the </w:t>
      </w:r>
      <w:r w:rsidRPr="00824694">
        <w:rPr>
          <w:i/>
        </w:rPr>
        <w:t>Road Transport (General) Act 1999</w:t>
      </w:r>
      <w:bookmarkEnd w:id="568"/>
      <w:r w:rsidRPr="00824694">
        <w:rPr>
          <w:b/>
        </w:rPr>
        <w:t xml:space="preserve"> varies two sections of the </w:t>
      </w:r>
      <w:r w:rsidRPr="00824694">
        <w:rPr>
          <w:b/>
          <w:i/>
        </w:rPr>
        <w:t xml:space="preserve">Road Transport (Driver Licensing) Regulation 2000 </w:t>
      </w:r>
      <w:r w:rsidRPr="00824694">
        <w:rPr>
          <w:b/>
        </w:rPr>
        <w:t>to extend the expiry date of learner motorcycle licences for six months to ensure that members of the community are not disadvantaged due to the impact of the current health emergency</w:t>
      </w:r>
      <w:r>
        <w:rPr>
          <w:b/>
        </w:rPr>
        <w:t>.</w:t>
      </w:r>
    </w:p>
    <w:p w14:paraId="0E500E57" w14:textId="77777777" w:rsidR="00597933" w:rsidRDefault="00597933" w:rsidP="00597933">
      <w:pPr>
        <w:rPr>
          <w:rFonts w:cstheme="minorHAnsi"/>
        </w:rPr>
      </w:pPr>
      <w:r>
        <w:rPr>
          <w:rFonts w:cstheme="minorHAnsi"/>
        </w:rPr>
        <w:t xml:space="preserve">This instrument is made under </w:t>
      </w:r>
      <w:r w:rsidRPr="000417D8">
        <w:rPr>
          <w:rFonts w:cstheme="minorHAnsi"/>
        </w:rPr>
        <w:t xml:space="preserve">section 14 of the </w:t>
      </w:r>
      <w:r w:rsidRPr="000417D8">
        <w:rPr>
          <w:rFonts w:cstheme="minorHAnsi"/>
          <w:i/>
          <w:iCs/>
        </w:rPr>
        <w:t>Road Transport (General) Act 1999</w:t>
      </w:r>
      <w:r>
        <w:rPr>
          <w:rFonts w:cstheme="minorHAnsi"/>
        </w:rPr>
        <w:t>, which provides, in part:</w:t>
      </w:r>
    </w:p>
    <w:p w14:paraId="3042D568" w14:textId="3A0099DC" w:rsidR="00597933" w:rsidRPr="000417D8" w:rsidRDefault="00817B93" w:rsidP="00817B93">
      <w:pPr>
        <w:tabs>
          <w:tab w:val="left" w:pos="1530"/>
        </w:tabs>
        <w:ind w:left="1530" w:hanging="990"/>
        <w:rPr>
          <w:rFonts w:cstheme="minorHAnsi"/>
        </w:rPr>
      </w:pPr>
      <w:r>
        <w:rPr>
          <w:rFonts w:cstheme="minorHAnsi"/>
          <w:b/>
          <w:bCs/>
        </w:rPr>
        <w:t>14</w:t>
      </w:r>
      <w:r>
        <w:rPr>
          <w:rFonts w:cstheme="minorHAnsi"/>
          <w:b/>
          <w:bCs/>
        </w:rPr>
        <w:tab/>
      </w:r>
      <w:r w:rsidR="00597933" w:rsidRPr="000417D8">
        <w:rPr>
          <w:rFonts w:cstheme="minorHAnsi"/>
          <w:b/>
          <w:bCs/>
        </w:rPr>
        <w:t>Application orders and emergency orders</w:t>
      </w:r>
    </w:p>
    <w:p w14:paraId="0F01BA4C" w14:textId="47F0E6D3" w:rsidR="00597933" w:rsidRPr="000417D8" w:rsidRDefault="00817B93" w:rsidP="00817B93">
      <w:pPr>
        <w:tabs>
          <w:tab w:val="left" w:pos="900"/>
        </w:tabs>
        <w:ind w:left="1530" w:hanging="540"/>
        <w:rPr>
          <w:rFonts w:cstheme="minorHAnsi"/>
        </w:rPr>
      </w:pPr>
      <w:r>
        <w:rPr>
          <w:rFonts w:cstheme="minorHAnsi"/>
        </w:rPr>
        <w:t>(1)</w:t>
      </w:r>
      <w:r>
        <w:rPr>
          <w:rFonts w:cstheme="minorHAnsi"/>
        </w:rPr>
        <w:tab/>
      </w:r>
      <w:r w:rsidR="00597933" w:rsidRPr="000417D8">
        <w:rPr>
          <w:rFonts w:cstheme="minorHAnsi"/>
        </w:rPr>
        <w:t>The Minister may order that the operation of regulations made under the </w:t>
      </w:r>
      <w:hyperlink r:id="rId25" w:anchor="road_transport_legislation" w:history="1">
        <w:r w:rsidR="00597933" w:rsidRPr="000417D8">
          <w:rPr>
            <w:rFonts w:cstheme="minorHAnsi"/>
          </w:rPr>
          <w:t>road transport legislation</w:t>
        </w:r>
      </w:hyperlink>
      <w:r w:rsidR="00597933" w:rsidRPr="000417D8">
        <w:rPr>
          <w:rFonts w:cstheme="minorHAnsi"/>
        </w:rPr>
        <w:t>, or a provision of such regulations—</w:t>
      </w:r>
    </w:p>
    <w:p w14:paraId="50549BF9" w14:textId="27C33F47" w:rsidR="00597933" w:rsidRPr="000417D8" w:rsidRDefault="00817B93" w:rsidP="004C3C19">
      <w:pPr>
        <w:tabs>
          <w:tab w:val="left" w:pos="900"/>
        </w:tabs>
        <w:ind w:left="2070" w:hanging="540"/>
        <w:rPr>
          <w:rFonts w:cstheme="minorHAnsi"/>
        </w:rPr>
      </w:pPr>
      <w:r>
        <w:rPr>
          <w:rFonts w:cstheme="minorHAnsi"/>
        </w:rPr>
        <w:t>(a)</w:t>
      </w:r>
      <w:r>
        <w:rPr>
          <w:rFonts w:cstheme="minorHAnsi"/>
        </w:rPr>
        <w:tab/>
      </w:r>
      <w:r w:rsidR="00597933" w:rsidRPr="000417D8">
        <w:rPr>
          <w:rFonts w:cstheme="minorHAnsi"/>
        </w:rPr>
        <w:t>is suspended for a stated period; or</w:t>
      </w:r>
    </w:p>
    <w:p w14:paraId="58F0794B" w14:textId="4A8A20DF" w:rsidR="00597933" w:rsidRDefault="00817B93" w:rsidP="004C3C19">
      <w:pPr>
        <w:tabs>
          <w:tab w:val="left" w:pos="900"/>
        </w:tabs>
        <w:ind w:left="2070" w:hanging="540"/>
        <w:rPr>
          <w:rFonts w:cstheme="minorHAnsi"/>
        </w:rPr>
      </w:pPr>
      <w:r>
        <w:rPr>
          <w:rFonts w:cstheme="minorHAnsi"/>
        </w:rPr>
        <w:t>(b)</w:t>
      </w:r>
      <w:r>
        <w:rPr>
          <w:rFonts w:cstheme="minorHAnsi"/>
        </w:rPr>
        <w:tab/>
      </w:r>
      <w:r w:rsidR="00597933" w:rsidRPr="000417D8">
        <w:rPr>
          <w:rFonts w:cstheme="minorHAnsi"/>
        </w:rPr>
        <w:t>is varied in the way stated in the order.</w:t>
      </w:r>
    </w:p>
    <w:p w14:paraId="1C6A2A49" w14:textId="77777777" w:rsidR="00597933" w:rsidRDefault="00597933" w:rsidP="004C3C19">
      <w:pPr>
        <w:tabs>
          <w:tab w:val="left" w:pos="900"/>
        </w:tabs>
        <w:ind w:left="1530" w:hanging="540"/>
        <w:rPr>
          <w:rFonts w:cstheme="minorHAnsi"/>
        </w:rPr>
      </w:pPr>
      <w:r>
        <w:rPr>
          <w:rFonts w:cstheme="minorHAnsi"/>
        </w:rPr>
        <w:t>…….</w:t>
      </w:r>
    </w:p>
    <w:p w14:paraId="2FE4E58C" w14:textId="77777777" w:rsidR="00597933" w:rsidRDefault="00597933" w:rsidP="00597933">
      <w:pPr>
        <w:rPr>
          <w:rFonts w:cstheme="minorHAnsi"/>
        </w:rPr>
      </w:pPr>
      <w:r>
        <w:rPr>
          <w:rFonts w:cstheme="minorHAnsi"/>
        </w:rPr>
        <w:t>The instrument relates to the COVID-19 pandemic.  The explanatory statement for the instrument states:</w:t>
      </w:r>
    </w:p>
    <w:p w14:paraId="7B46FA15" w14:textId="77777777" w:rsidR="00597933" w:rsidRDefault="00597933" w:rsidP="004C3C19">
      <w:pPr>
        <w:ind w:left="547"/>
        <w:rPr>
          <w:rFonts w:cstheme="minorHAnsi"/>
        </w:rPr>
      </w:pPr>
      <w:r w:rsidRPr="004F77C9">
        <w:rPr>
          <w:rFonts w:cstheme="minorHAnsi"/>
        </w:rPr>
        <w:t xml:space="preserve">This instrument continues two of the arrangements progressed in the </w:t>
      </w:r>
      <w:r w:rsidRPr="004F77C9">
        <w:rPr>
          <w:rFonts w:cstheme="minorHAnsi"/>
          <w:i/>
          <w:iCs/>
        </w:rPr>
        <w:t xml:space="preserve">Road Transport (General) (COVID-19 Emergency Response) Application Order 2021 (No 1) </w:t>
      </w:r>
      <w:r w:rsidRPr="004F77C9">
        <w:rPr>
          <w:rFonts w:cstheme="minorHAnsi"/>
        </w:rPr>
        <w:t xml:space="preserve">about driver licence expiry dates. This instrument orders that two sections of the </w:t>
      </w:r>
      <w:r w:rsidRPr="004F77C9">
        <w:rPr>
          <w:rFonts w:cstheme="minorHAnsi"/>
          <w:bCs/>
          <w:i/>
          <w:iCs/>
        </w:rPr>
        <w:t>Road Transport (Driver Licensing) Regulation 2000</w:t>
      </w:r>
      <w:r w:rsidRPr="004F77C9">
        <w:rPr>
          <w:rFonts w:cstheme="minorHAnsi"/>
        </w:rPr>
        <w:t xml:space="preserve"> are varied to extend the expiry date of learner licences for six months to ensure that members of the community are not disadvantaged at this time due to the impact of the current health emergency on Government and non-Government services and the community in general.</w:t>
      </w:r>
    </w:p>
    <w:p w14:paraId="6CF4E9BE" w14:textId="77777777" w:rsidR="00597933" w:rsidRDefault="00597933" w:rsidP="00597933">
      <w:pPr>
        <w:rPr>
          <w:rFonts w:cstheme="minorHAnsi"/>
        </w:rPr>
      </w:pPr>
      <w:r>
        <w:rPr>
          <w:rFonts w:cstheme="minorHAnsi"/>
        </w:rPr>
        <w:t xml:space="preserve">The Committee notes that it dealt with the </w:t>
      </w:r>
      <w:r w:rsidRPr="00C11428">
        <w:rPr>
          <w:rFonts w:cstheme="minorHAnsi"/>
        </w:rPr>
        <w:t>Road Transport (General) (COVID-19 Emergency Response) Application Order 2021 (No 1)</w:t>
      </w:r>
      <w:r>
        <w:rPr>
          <w:rFonts w:cstheme="minorHAnsi"/>
        </w:rPr>
        <w:t xml:space="preserve"> in </w:t>
      </w:r>
      <w:r>
        <w:rPr>
          <w:rFonts w:cstheme="minorHAnsi"/>
          <w:i/>
          <w:iCs/>
        </w:rPr>
        <w:t xml:space="preserve">Scrutiny Report 11 </w:t>
      </w:r>
      <w:r>
        <w:rPr>
          <w:rFonts w:cstheme="minorHAnsi"/>
        </w:rPr>
        <w:t xml:space="preserve">of the </w:t>
      </w:r>
      <w:r w:rsidRPr="004C3C19">
        <w:rPr>
          <w:rFonts w:cstheme="minorHAnsi"/>
          <w:i/>
        </w:rPr>
        <w:t>10</w:t>
      </w:r>
      <w:r w:rsidRPr="004C3C19">
        <w:rPr>
          <w:rFonts w:cstheme="minorHAnsi"/>
          <w:i/>
          <w:vertAlign w:val="superscript"/>
        </w:rPr>
        <w:t>th</w:t>
      </w:r>
      <w:r w:rsidRPr="004C3C19">
        <w:rPr>
          <w:rFonts w:cstheme="minorHAnsi"/>
          <w:i/>
        </w:rPr>
        <w:t xml:space="preserve"> Assembly</w:t>
      </w:r>
      <w:r>
        <w:rPr>
          <w:rFonts w:cstheme="minorHAnsi"/>
        </w:rPr>
        <w:t xml:space="preserve"> (</w:t>
      </w:r>
      <w:r w:rsidRPr="00C11428">
        <w:rPr>
          <w:rFonts w:cstheme="minorHAnsi"/>
        </w:rPr>
        <w:t>19 November 2021</w:t>
      </w:r>
      <w:r>
        <w:rPr>
          <w:rFonts w:cstheme="minorHAnsi"/>
        </w:rPr>
        <w:t>), making a comment that required a response only in relation to the retrospective operation of the earlier instrument (which the Minister addressed in his response to the Committee).</w:t>
      </w:r>
    </w:p>
    <w:p w14:paraId="0AB81071" w14:textId="594E4BBA" w:rsidR="00597933" w:rsidRDefault="00597933" w:rsidP="00597933">
      <w:pPr>
        <w:rPr>
          <w:rFonts w:cstheme="minorHAnsi"/>
        </w:rPr>
      </w:pPr>
      <w:r>
        <w:rPr>
          <w:rFonts w:cstheme="minorHAnsi"/>
        </w:rPr>
        <w:t>The Committee notes that the explanatory statement for the instrument also addresses human rights implications of the instrument, indicating that the instrument “</w:t>
      </w:r>
      <w:r w:rsidRPr="00DA1590">
        <w:rPr>
          <w:rFonts w:cstheme="minorHAnsi"/>
        </w:rPr>
        <w:t xml:space="preserve">does not engage any human rights set out in the </w:t>
      </w:r>
      <w:r w:rsidRPr="00DA1590">
        <w:rPr>
          <w:rFonts w:cstheme="minorHAnsi"/>
          <w:i/>
        </w:rPr>
        <w:t>Human Rights Act 2004</w:t>
      </w:r>
      <w:r>
        <w:rPr>
          <w:rFonts w:cstheme="minorHAnsi"/>
        </w:rPr>
        <w:t>”</w:t>
      </w:r>
      <w:r w:rsidR="004C3C19">
        <w:rPr>
          <w:rFonts w:cstheme="minorHAnsi"/>
        </w:rPr>
        <w:t>.</w:t>
      </w:r>
    </w:p>
    <w:p w14:paraId="525B809D" w14:textId="77777777" w:rsidR="00597933" w:rsidRPr="002A3DCD" w:rsidRDefault="00597933" w:rsidP="00597933">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1B61DE67" w14:textId="77777777" w:rsidR="00597933" w:rsidRPr="00CC4FB7"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149DE751" w14:textId="77777777" w:rsidR="00597933" w:rsidRPr="00597933" w:rsidRDefault="00597933" w:rsidP="00597933">
      <w:pPr>
        <w:pStyle w:val="Heading4nonumber"/>
        <w:spacing w:before="220" w:after="220" w:line="280" w:lineRule="exact"/>
        <w:rPr>
          <w:sz w:val="22"/>
          <w:szCs w:val="22"/>
        </w:rPr>
      </w:pPr>
      <w:bookmarkStart w:id="569" w:name="_Hlk97466619"/>
      <w:r w:rsidRPr="00597933">
        <w:rPr>
          <w:sz w:val="22"/>
          <w:szCs w:val="22"/>
        </w:rPr>
        <w:t>Strict liability offences / Human rights issues</w:t>
      </w:r>
    </w:p>
    <w:bookmarkEnd w:id="569"/>
    <w:p w14:paraId="08BFD65C" w14:textId="77777777" w:rsidR="00597933" w:rsidRPr="00824694" w:rsidRDefault="00597933" w:rsidP="00597933">
      <w:pPr>
        <w:pStyle w:val="Bodycopy"/>
        <w:numPr>
          <w:ilvl w:val="0"/>
          <w:numId w:val="37"/>
        </w:numPr>
        <w:spacing w:before="160" w:after="160" w:line="280" w:lineRule="exact"/>
        <w:ind w:left="360"/>
        <w:rPr>
          <w:b/>
        </w:rPr>
      </w:pPr>
      <w:r w:rsidRPr="00824694">
        <w:rPr>
          <w:b/>
        </w:rPr>
        <w:t xml:space="preserve">Disallowable Instrument DI2022-3 being the Plastic Reduction (Public Event) Declaration 2022 (No 1) made under section 15 of the </w:t>
      </w:r>
      <w:r w:rsidRPr="00824694">
        <w:rPr>
          <w:i/>
        </w:rPr>
        <w:t>Plastic Reduction Act 2021</w:t>
      </w:r>
      <w:r w:rsidRPr="00824694">
        <w:rPr>
          <w:b/>
        </w:rPr>
        <w:t xml:space="preserve"> provides that certain single-use plastic products cannot be supplied at specified public events</w:t>
      </w:r>
      <w:r>
        <w:rPr>
          <w:b/>
        </w:rPr>
        <w:t>.</w:t>
      </w:r>
    </w:p>
    <w:p w14:paraId="428F4949" w14:textId="77777777" w:rsidR="00597933" w:rsidRPr="00D11816" w:rsidRDefault="00597933" w:rsidP="00625891">
      <w:pPr>
        <w:pStyle w:val="Heading4nonumber"/>
        <w:spacing w:before="220" w:after="220" w:line="280" w:lineRule="exact"/>
        <w:rPr>
          <w:rFonts w:asciiTheme="minorHAnsi" w:hAnsiTheme="minorHAnsi" w:cstheme="minorHAnsi"/>
          <w:smallCaps w:val="0"/>
          <w:sz w:val="22"/>
          <w:szCs w:val="22"/>
        </w:rPr>
      </w:pPr>
      <w:r w:rsidRPr="00D11816">
        <w:rPr>
          <w:rFonts w:asciiTheme="minorHAnsi" w:hAnsiTheme="minorHAnsi" w:cstheme="minorHAnsi"/>
          <w:smallCaps w:val="0"/>
          <w:sz w:val="22"/>
          <w:szCs w:val="22"/>
        </w:rPr>
        <w:t xml:space="preserve">This instrument is made under section 15 of the </w:t>
      </w:r>
      <w:r w:rsidRPr="00D11816">
        <w:rPr>
          <w:rFonts w:asciiTheme="minorHAnsi" w:hAnsiTheme="minorHAnsi" w:cstheme="minorHAnsi"/>
          <w:i/>
          <w:iCs/>
          <w:smallCaps w:val="0"/>
          <w:sz w:val="22"/>
          <w:szCs w:val="22"/>
        </w:rPr>
        <w:t>Plastic Reduction Act 2021</w:t>
      </w:r>
      <w:r w:rsidRPr="00D11816">
        <w:rPr>
          <w:rFonts w:asciiTheme="minorHAnsi" w:hAnsiTheme="minorHAnsi" w:cstheme="minorHAnsi"/>
          <w:smallCaps w:val="0"/>
          <w:sz w:val="22"/>
          <w:szCs w:val="22"/>
        </w:rPr>
        <w:t>, which provides:</w:t>
      </w:r>
    </w:p>
    <w:p w14:paraId="0DFB4266" w14:textId="77777777" w:rsidR="00597933" w:rsidRPr="00D11816" w:rsidRDefault="00597933" w:rsidP="004C3C19">
      <w:pPr>
        <w:keepNext/>
        <w:ind w:left="1530" w:hanging="990"/>
        <w:rPr>
          <w:rFonts w:cstheme="minorHAnsi"/>
          <w:color w:val="000000" w:themeColor="text1"/>
        </w:rPr>
      </w:pPr>
      <w:r w:rsidRPr="00D11816">
        <w:rPr>
          <w:rFonts w:cstheme="minorHAnsi"/>
          <w:b/>
          <w:bCs/>
          <w:color w:val="000000" w:themeColor="text1"/>
        </w:rPr>
        <w:t>15</w:t>
      </w:r>
      <w:r w:rsidRPr="00D11816">
        <w:rPr>
          <w:rFonts w:cstheme="minorHAnsi"/>
          <w:b/>
          <w:bCs/>
          <w:color w:val="000000" w:themeColor="text1"/>
        </w:rPr>
        <w:tab/>
        <w:t>Declaration of public events</w:t>
      </w:r>
    </w:p>
    <w:p w14:paraId="7B2F0477" w14:textId="77777777" w:rsidR="00597933" w:rsidRPr="00D11816" w:rsidRDefault="00597933" w:rsidP="00E36414">
      <w:pPr>
        <w:tabs>
          <w:tab w:val="left" w:pos="990"/>
          <w:tab w:val="left" w:pos="1530"/>
        </w:tabs>
        <w:spacing w:line="260" w:lineRule="exact"/>
        <w:ind w:left="1530" w:hanging="540"/>
        <w:rPr>
          <w:rFonts w:cstheme="minorHAnsi"/>
          <w:color w:val="000000" w:themeColor="text1"/>
        </w:rPr>
      </w:pPr>
      <w:r w:rsidRPr="00D11816">
        <w:rPr>
          <w:rFonts w:cstheme="minorHAnsi"/>
          <w:color w:val="000000" w:themeColor="text1"/>
        </w:rPr>
        <w:t>(1)</w:t>
      </w:r>
      <w:r w:rsidRPr="00D11816">
        <w:rPr>
          <w:rFonts w:cstheme="minorHAnsi"/>
          <w:color w:val="000000" w:themeColor="text1"/>
        </w:rPr>
        <w:tab/>
        <w:t>The Minister may declare that—</w:t>
      </w:r>
    </w:p>
    <w:p w14:paraId="55CB3906" w14:textId="77777777" w:rsidR="00597933" w:rsidRPr="00D11816" w:rsidRDefault="00597933" w:rsidP="00E36414">
      <w:pPr>
        <w:spacing w:line="260" w:lineRule="exact"/>
        <w:ind w:left="2070" w:hanging="540"/>
        <w:rPr>
          <w:rFonts w:cstheme="minorHAnsi"/>
          <w:color w:val="000000" w:themeColor="text1"/>
        </w:rPr>
      </w:pPr>
      <w:r w:rsidRPr="00D11816">
        <w:rPr>
          <w:rFonts w:cstheme="minorHAnsi"/>
          <w:color w:val="000000" w:themeColor="text1"/>
        </w:rPr>
        <w:t>(a)</w:t>
      </w:r>
      <w:r w:rsidRPr="00D11816">
        <w:rPr>
          <w:rFonts w:cstheme="minorHAnsi"/>
          <w:color w:val="000000" w:themeColor="text1"/>
        </w:rPr>
        <w:tab/>
        <w:t>a public event is an event to which this part applies (a </w:t>
      </w:r>
      <w:r w:rsidRPr="00D11816">
        <w:rPr>
          <w:rFonts w:cstheme="minorHAnsi"/>
          <w:b/>
          <w:bCs/>
          <w:i/>
          <w:iCs/>
          <w:color w:val="000000" w:themeColor="text1"/>
        </w:rPr>
        <w:t>declared public event </w:t>
      </w:r>
      <w:r w:rsidRPr="00D11816">
        <w:rPr>
          <w:rFonts w:cstheme="minorHAnsi"/>
          <w:color w:val="000000" w:themeColor="text1"/>
        </w:rPr>
        <w:t>); and</w:t>
      </w:r>
    </w:p>
    <w:p w14:paraId="70577551" w14:textId="77777777" w:rsidR="00597933" w:rsidRPr="00D11816" w:rsidRDefault="00597933" w:rsidP="00E36414">
      <w:pPr>
        <w:spacing w:line="260" w:lineRule="exact"/>
        <w:ind w:left="2070" w:hanging="540"/>
        <w:rPr>
          <w:rFonts w:cstheme="minorHAnsi"/>
          <w:color w:val="000000" w:themeColor="text1"/>
        </w:rPr>
      </w:pPr>
      <w:r w:rsidRPr="00D11816">
        <w:rPr>
          <w:rFonts w:cstheme="minorHAnsi"/>
          <w:color w:val="000000" w:themeColor="text1"/>
        </w:rPr>
        <w:t>(b)</w:t>
      </w:r>
      <w:r w:rsidRPr="00D11816">
        <w:rPr>
          <w:rFonts w:cstheme="minorHAnsi"/>
          <w:color w:val="000000" w:themeColor="text1"/>
        </w:rPr>
        <w:tab/>
        <w:t>a single-use plastic product other than a </w:t>
      </w:r>
      <w:hyperlink r:id="rId26" w:anchor="prohibited_plastic_product" w:history="1">
        <w:r w:rsidRPr="00D11816">
          <w:rPr>
            <w:rFonts w:cstheme="minorHAnsi"/>
            <w:color w:val="000000" w:themeColor="text1"/>
          </w:rPr>
          <w:t>prohibited plastic product</w:t>
        </w:r>
      </w:hyperlink>
      <w:r w:rsidRPr="00D11816">
        <w:rPr>
          <w:rFonts w:cstheme="minorHAnsi"/>
          <w:color w:val="000000" w:themeColor="text1"/>
        </w:rPr>
        <w:t> (a </w:t>
      </w:r>
      <w:r w:rsidRPr="00D11816">
        <w:rPr>
          <w:rFonts w:cstheme="minorHAnsi"/>
          <w:b/>
          <w:bCs/>
          <w:i/>
          <w:iCs/>
          <w:color w:val="000000" w:themeColor="text1"/>
        </w:rPr>
        <w:t>declared single-use plastic product </w:t>
      </w:r>
      <w:r w:rsidRPr="00D11816">
        <w:rPr>
          <w:rFonts w:cstheme="minorHAnsi"/>
          <w:color w:val="000000" w:themeColor="text1"/>
        </w:rPr>
        <w:t>) must not be supplied at the event.</w:t>
      </w:r>
    </w:p>
    <w:p w14:paraId="663C91F8" w14:textId="36F6FE97" w:rsidR="00597933" w:rsidRPr="004C3C19" w:rsidRDefault="00597933" w:rsidP="00E36414">
      <w:pPr>
        <w:tabs>
          <w:tab w:val="left" w:pos="2520"/>
        </w:tabs>
        <w:spacing w:line="260" w:lineRule="exact"/>
        <w:ind w:left="2520" w:hanging="990"/>
        <w:rPr>
          <w:rFonts w:cstheme="minorHAnsi"/>
          <w:color w:val="000000" w:themeColor="text1"/>
          <w:sz w:val="20"/>
          <w:szCs w:val="20"/>
        </w:rPr>
      </w:pPr>
      <w:r w:rsidRPr="004C3C19">
        <w:rPr>
          <w:rFonts w:cstheme="minorHAnsi"/>
          <w:i/>
          <w:iCs/>
          <w:color w:val="000000" w:themeColor="text1"/>
          <w:sz w:val="20"/>
          <w:szCs w:val="20"/>
        </w:rPr>
        <w:t>Note</w:t>
      </w:r>
      <w:r w:rsidR="004C3C19" w:rsidRPr="004C3C19">
        <w:rPr>
          <w:rFonts w:cstheme="minorHAnsi"/>
          <w:i/>
          <w:iCs/>
          <w:color w:val="000000" w:themeColor="text1"/>
          <w:sz w:val="20"/>
          <w:szCs w:val="20"/>
        </w:rPr>
        <w:tab/>
      </w:r>
      <w:r w:rsidRPr="004C3C19">
        <w:rPr>
          <w:rFonts w:cstheme="minorHAnsi"/>
          <w:color w:val="000000" w:themeColor="text1"/>
          <w:sz w:val="20"/>
          <w:szCs w:val="20"/>
        </w:rPr>
        <w:t>Part 3 deals with the </w:t>
      </w:r>
      <w:hyperlink r:id="rId27" w:anchor="supply" w:history="1">
        <w:r w:rsidRPr="004C3C19">
          <w:rPr>
            <w:rFonts w:cstheme="minorHAnsi"/>
            <w:color w:val="000000" w:themeColor="text1"/>
            <w:sz w:val="20"/>
            <w:szCs w:val="20"/>
          </w:rPr>
          <w:t>supply</w:t>
        </w:r>
      </w:hyperlink>
      <w:r w:rsidRPr="004C3C19">
        <w:rPr>
          <w:rFonts w:cstheme="minorHAnsi"/>
          <w:color w:val="000000" w:themeColor="text1"/>
          <w:sz w:val="20"/>
          <w:szCs w:val="20"/>
        </w:rPr>
        <w:t> of </w:t>
      </w:r>
      <w:hyperlink r:id="rId28" w:anchor="prohibited_plastic_product" w:history="1">
        <w:r w:rsidRPr="004C3C19">
          <w:rPr>
            <w:rFonts w:cstheme="minorHAnsi"/>
            <w:color w:val="000000" w:themeColor="text1"/>
            <w:sz w:val="20"/>
            <w:szCs w:val="20"/>
          </w:rPr>
          <w:t>prohibited plastic</w:t>
        </w:r>
      </w:hyperlink>
      <w:r w:rsidRPr="004C3C19">
        <w:rPr>
          <w:rFonts w:cstheme="minorHAnsi"/>
          <w:color w:val="000000" w:themeColor="text1"/>
          <w:sz w:val="20"/>
          <w:szCs w:val="20"/>
        </w:rPr>
        <w:t> </w:t>
      </w:r>
      <w:hyperlink r:id="rId29" w:anchor="prohibited_plastic_product" w:history="1">
        <w:r w:rsidRPr="004C3C19">
          <w:rPr>
            <w:rFonts w:cstheme="minorHAnsi"/>
            <w:color w:val="000000" w:themeColor="text1"/>
            <w:sz w:val="20"/>
            <w:szCs w:val="20"/>
          </w:rPr>
          <w:t>products</w:t>
        </w:r>
      </w:hyperlink>
      <w:r w:rsidRPr="004C3C19">
        <w:rPr>
          <w:rFonts w:cstheme="minorHAnsi"/>
          <w:color w:val="000000" w:themeColor="text1"/>
          <w:sz w:val="20"/>
          <w:szCs w:val="20"/>
        </w:rPr>
        <w:t>.</w:t>
      </w:r>
    </w:p>
    <w:p w14:paraId="3CB8C683" w14:textId="77777777" w:rsidR="00597933" w:rsidRPr="00D11816" w:rsidRDefault="00597933" w:rsidP="00E36414">
      <w:pPr>
        <w:tabs>
          <w:tab w:val="left" w:pos="990"/>
          <w:tab w:val="left" w:pos="1530"/>
        </w:tabs>
        <w:spacing w:line="260" w:lineRule="exact"/>
        <w:ind w:left="1530" w:hanging="540"/>
        <w:rPr>
          <w:rFonts w:cstheme="minorHAnsi"/>
          <w:color w:val="000000" w:themeColor="text1"/>
        </w:rPr>
      </w:pPr>
      <w:r w:rsidRPr="00D11816">
        <w:rPr>
          <w:rFonts w:cstheme="minorHAnsi"/>
          <w:color w:val="000000" w:themeColor="text1"/>
        </w:rPr>
        <w:t>(2)</w:t>
      </w:r>
      <w:r w:rsidRPr="00D11816">
        <w:rPr>
          <w:rFonts w:cstheme="minorHAnsi"/>
          <w:color w:val="000000" w:themeColor="text1"/>
        </w:rPr>
        <w:tab/>
        <w:t>The Minister may only make a declaration under subsection (1) in relation to a public event that is not a </w:t>
      </w:r>
      <w:hyperlink r:id="rId30" w:anchor="government_event" w:history="1">
        <w:r w:rsidRPr="00D11816">
          <w:rPr>
            <w:rFonts w:cstheme="minorHAnsi"/>
            <w:color w:val="000000" w:themeColor="text1"/>
          </w:rPr>
          <w:t>government event</w:t>
        </w:r>
      </w:hyperlink>
      <w:r w:rsidRPr="00D11816">
        <w:rPr>
          <w:rFonts w:cstheme="minorHAnsi"/>
          <w:color w:val="000000" w:themeColor="text1"/>
        </w:rPr>
        <w:t> if—</w:t>
      </w:r>
    </w:p>
    <w:p w14:paraId="17A46D41" w14:textId="77777777" w:rsidR="00597933" w:rsidRPr="00D11816" w:rsidRDefault="00597933" w:rsidP="00E36414">
      <w:pPr>
        <w:spacing w:line="260" w:lineRule="exact"/>
        <w:ind w:left="2070" w:hanging="540"/>
        <w:rPr>
          <w:rFonts w:cstheme="minorHAnsi"/>
          <w:color w:val="000000" w:themeColor="text1"/>
        </w:rPr>
      </w:pPr>
      <w:r w:rsidRPr="00D11816">
        <w:rPr>
          <w:rFonts w:cstheme="minorHAnsi"/>
          <w:color w:val="000000" w:themeColor="text1"/>
        </w:rPr>
        <w:t>(a)</w:t>
      </w:r>
      <w:r w:rsidRPr="00D11816">
        <w:rPr>
          <w:rFonts w:cstheme="minorHAnsi"/>
          <w:color w:val="000000" w:themeColor="text1"/>
        </w:rPr>
        <w:tab/>
        <w:t>the declaration is made not less than 3 months before the day the event starts; and</w:t>
      </w:r>
    </w:p>
    <w:p w14:paraId="1A000C0A" w14:textId="77777777" w:rsidR="00597933" w:rsidRPr="00D11816" w:rsidRDefault="00597933" w:rsidP="00E36414">
      <w:pPr>
        <w:spacing w:line="260" w:lineRule="exact"/>
        <w:ind w:left="2070" w:hanging="540"/>
        <w:rPr>
          <w:rFonts w:cstheme="minorHAnsi"/>
          <w:color w:val="000000" w:themeColor="text1"/>
        </w:rPr>
      </w:pPr>
      <w:r w:rsidRPr="00D11816">
        <w:rPr>
          <w:rFonts w:cstheme="minorHAnsi"/>
          <w:color w:val="000000" w:themeColor="text1"/>
        </w:rPr>
        <w:t>(b)</w:t>
      </w:r>
      <w:r w:rsidRPr="00D11816">
        <w:rPr>
          <w:rFonts w:cstheme="minorHAnsi"/>
          <w:color w:val="000000" w:themeColor="text1"/>
        </w:rPr>
        <w:tab/>
        <w:t>the Minister is satisfied that—</w:t>
      </w:r>
    </w:p>
    <w:p w14:paraId="0EDAA2AB" w14:textId="6C684B39" w:rsidR="00597933" w:rsidRPr="00D11816" w:rsidRDefault="004C3C19" w:rsidP="00E36414">
      <w:pPr>
        <w:tabs>
          <w:tab w:val="right" w:pos="2340"/>
          <w:tab w:val="left" w:pos="2700"/>
        </w:tabs>
        <w:spacing w:line="260" w:lineRule="exact"/>
        <w:ind w:left="2700" w:hanging="2070"/>
        <w:rPr>
          <w:rFonts w:cstheme="minorHAnsi"/>
          <w:color w:val="000000" w:themeColor="text1"/>
        </w:rPr>
      </w:pPr>
      <w:r>
        <w:rPr>
          <w:rFonts w:cstheme="minorHAnsi"/>
          <w:color w:val="000000" w:themeColor="text1"/>
        </w:rPr>
        <w:tab/>
      </w:r>
      <w:r w:rsidR="00597933" w:rsidRPr="00D11816">
        <w:rPr>
          <w:rFonts w:cstheme="minorHAnsi"/>
          <w:color w:val="000000" w:themeColor="text1"/>
        </w:rPr>
        <w:t>(i)</w:t>
      </w:r>
      <w:r w:rsidR="00597933" w:rsidRPr="00D11816">
        <w:rPr>
          <w:rFonts w:cstheme="minorHAnsi"/>
          <w:color w:val="000000" w:themeColor="text1"/>
        </w:rPr>
        <w:tab/>
        <w:t>there is an alternative product to the declared single-use plastic product reasonably available to the organisers of the declared public event; and</w:t>
      </w:r>
    </w:p>
    <w:p w14:paraId="749F3516" w14:textId="781ACBA1" w:rsidR="00597933" w:rsidRPr="00D11816" w:rsidRDefault="004C3C19" w:rsidP="00E36414">
      <w:pPr>
        <w:tabs>
          <w:tab w:val="right" w:pos="2340"/>
          <w:tab w:val="left" w:pos="2700"/>
        </w:tabs>
        <w:spacing w:line="260" w:lineRule="exact"/>
        <w:ind w:left="2700" w:hanging="2070"/>
        <w:rPr>
          <w:rFonts w:cstheme="minorHAnsi"/>
          <w:color w:val="000000" w:themeColor="text1"/>
        </w:rPr>
      </w:pPr>
      <w:r>
        <w:rPr>
          <w:rFonts w:cstheme="minorHAnsi"/>
          <w:color w:val="000000" w:themeColor="text1"/>
        </w:rPr>
        <w:tab/>
      </w:r>
      <w:r w:rsidR="00597933" w:rsidRPr="00D11816">
        <w:rPr>
          <w:rFonts w:cstheme="minorHAnsi"/>
          <w:color w:val="000000" w:themeColor="text1"/>
        </w:rPr>
        <w:t>(ii)</w:t>
      </w:r>
      <w:r w:rsidR="00597933" w:rsidRPr="00D11816">
        <w:rPr>
          <w:rFonts w:cstheme="minorHAnsi"/>
          <w:color w:val="000000" w:themeColor="text1"/>
        </w:rPr>
        <w:tab/>
        <w:t>the declaration will not have an unreasonable impact on the event.</w:t>
      </w:r>
    </w:p>
    <w:p w14:paraId="1AC48B53" w14:textId="77777777" w:rsidR="00597933" w:rsidRPr="004C3C19" w:rsidRDefault="00597933" w:rsidP="00E36414">
      <w:pPr>
        <w:spacing w:line="260" w:lineRule="exact"/>
        <w:ind w:left="2520" w:hanging="450"/>
        <w:rPr>
          <w:rFonts w:cstheme="minorHAnsi"/>
          <w:color w:val="000000" w:themeColor="text1"/>
          <w:sz w:val="20"/>
          <w:szCs w:val="20"/>
        </w:rPr>
      </w:pPr>
      <w:bookmarkStart w:id="570" w:name="arial"/>
      <w:bookmarkEnd w:id="570"/>
      <w:r w:rsidRPr="004C3C19">
        <w:rPr>
          <w:rFonts w:cstheme="minorHAnsi"/>
          <w:b/>
          <w:bCs/>
          <w:color w:val="000000" w:themeColor="text1"/>
          <w:sz w:val="20"/>
          <w:szCs w:val="20"/>
        </w:rPr>
        <w:t>Examples—unreasonable impact</w:t>
      </w:r>
    </w:p>
    <w:p w14:paraId="0121AC39" w14:textId="77777777" w:rsidR="00597933" w:rsidRPr="004C3C19" w:rsidRDefault="00597933" w:rsidP="00E36414">
      <w:pPr>
        <w:spacing w:line="260" w:lineRule="exact"/>
        <w:ind w:left="2520" w:hanging="450"/>
        <w:rPr>
          <w:rFonts w:cstheme="minorHAnsi"/>
          <w:color w:val="000000" w:themeColor="text1"/>
          <w:sz w:val="20"/>
          <w:szCs w:val="20"/>
        </w:rPr>
      </w:pPr>
      <w:r w:rsidRPr="004C3C19">
        <w:rPr>
          <w:rFonts w:cstheme="minorHAnsi"/>
          <w:color w:val="000000" w:themeColor="text1"/>
          <w:sz w:val="20"/>
          <w:szCs w:val="20"/>
        </w:rPr>
        <w:t>1</w:t>
      </w:r>
      <w:r w:rsidRPr="004C3C19">
        <w:rPr>
          <w:rFonts w:cstheme="minorHAnsi"/>
          <w:color w:val="000000" w:themeColor="text1"/>
          <w:sz w:val="20"/>
          <w:szCs w:val="20"/>
        </w:rPr>
        <w:tab/>
        <w:t>supplies of the declared single-use plastic product have already been purchased by food vendors in advance of the public event</w:t>
      </w:r>
    </w:p>
    <w:p w14:paraId="03D8BB9C" w14:textId="77777777" w:rsidR="00597933" w:rsidRPr="004C3C19" w:rsidRDefault="00597933" w:rsidP="00E36414">
      <w:pPr>
        <w:spacing w:line="260" w:lineRule="exact"/>
        <w:ind w:left="2520" w:hanging="450"/>
        <w:rPr>
          <w:rFonts w:cstheme="minorHAnsi"/>
          <w:color w:val="000000" w:themeColor="text1"/>
          <w:sz w:val="20"/>
          <w:szCs w:val="20"/>
        </w:rPr>
      </w:pPr>
      <w:r w:rsidRPr="004C3C19">
        <w:rPr>
          <w:rFonts w:cstheme="minorHAnsi"/>
          <w:color w:val="000000" w:themeColor="text1"/>
          <w:sz w:val="20"/>
          <w:szCs w:val="20"/>
        </w:rPr>
        <w:t>2</w:t>
      </w:r>
      <w:r w:rsidRPr="004C3C19">
        <w:rPr>
          <w:rFonts w:cstheme="minorHAnsi"/>
          <w:color w:val="000000" w:themeColor="text1"/>
          <w:sz w:val="20"/>
          <w:szCs w:val="20"/>
        </w:rPr>
        <w:tab/>
        <w:t>not having the declared single-use plastic product available for use at the public event would be incompatible with food safety requirements</w:t>
      </w:r>
    </w:p>
    <w:p w14:paraId="2CA20C4B" w14:textId="77777777" w:rsidR="00597933" w:rsidRPr="004C3C19" w:rsidRDefault="00597933" w:rsidP="00E36414">
      <w:pPr>
        <w:spacing w:line="260" w:lineRule="exact"/>
        <w:ind w:left="2520" w:hanging="450"/>
        <w:rPr>
          <w:rFonts w:cstheme="minorHAnsi"/>
          <w:color w:val="000000" w:themeColor="text1"/>
          <w:sz w:val="20"/>
          <w:szCs w:val="20"/>
        </w:rPr>
      </w:pPr>
      <w:r w:rsidRPr="004C3C19">
        <w:rPr>
          <w:rFonts w:cstheme="minorHAnsi"/>
          <w:color w:val="000000" w:themeColor="text1"/>
          <w:sz w:val="20"/>
          <w:szCs w:val="20"/>
        </w:rPr>
        <w:t>3</w:t>
      </w:r>
      <w:r w:rsidRPr="004C3C19">
        <w:rPr>
          <w:rFonts w:cstheme="minorHAnsi"/>
          <w:color w:val="000000" w:themeColor="text1"/>
          <w:sz w:val="20"/>
          <w:szCs w:val="20"/>
        </w:rPr>
        <w:tab/>
        <w:t>the cost of the alternative product will make it unprofitable for food vendors to participate in the public event</w:t>
      </w:r>
    </w:p>
    <w:p w14:paraId="5FBE5632" w14:textId="77777777" w:rsidR="00597933" w:rsidRPr="00D11816" w:rsidRDefault="00597933" w:rsidP="00E36414">
      <w:pPr>
        <w:tabs>
          <w:tab w:val="left" w:pos="990"/>
          <w:tab w:val="left" w:pos="1530"/>
        </w:tabs>
        <w:spacing w:line="260" w:lineRule="exact"/>
        <w:ind w:left="1530" w:hanging="540"/>
        <w:rPr>
          <w:rFonts w:cstheme="minorHAnsi"/>
          <w:color w:val="000000" w:themeColor="text1"/>
        </w:rPr>
      </w:pPr>
      <w:r w:rsidRPr="00D11816">
        <w:rPr>
          <w:rFonts w:cstheme="minorHAnsi"/>
          <w:color w:val="000000" w:themeColor="text1"/>
        </w:rPr>
        <w:t>(3)</w:t>
      </w:r>
      <w:r w:rsidRPr="00D11816">
        <w:rPr>
          <w:rFonts w:cstheme="minorHAnsi"/>
          <w:color w:val="000000" w:themeColor="text1"/>
        </w:rPr>
        <w:tab/>
        <w:t>A declaration is a disallowable instrument.</w:t>
      </w:r>
    </w:p>
    <w:p w14:paraId="23FD9884" w14:textId="77777777" w:rsidR="00597933" w:rsidRPr="004C3C19" w:rsidRDefault="00597933" w:rsidP="00E36414">
      <w:pPr>
        <w:tabs>
          <w:tab w:val="left" w:pos="990"/>
          <w:tab w:val="left" w:pos="2250"/>
        </w:tabs>
        <w:spacing w:line="260" w:lineRule="exact"/>
        <w:ind w:left="2250" w:hanging="720"/>
        <w:rPr>
          <w:rFonts w:cstheme="minorHAnsi"/>
          <w:color w:val="000000" w:themeColor="text1"/>
          <w:sz w:val="20"/>
          <w:szCs w:val="20"/>
        </w:rPr>
      </w:pPr>
      <w:r w:rsidRPr="004C3C19">
        <w:rPr>
          <w:rFonts w:cstheme="minorHAnsi"/>
          <w:i/>
          <w:color w:val="000000" w:themeColor="text1"/>
          <w:sz w:val="20"/>
          <w:szCs w:val="20"/>
        </w:rPr>
        <w:t>Note</w:t>
      </w:r>
      <w:r w:rsidRPr="004C3C19">
        <w:rPr>
          <w:rFonts w:cstheme="minorHAnsi"/>
          <w:color w:val="000000" w:themeColor="text1"/>
          <w:sz w:val="20"/>
          <w:szCs w:val="20"/>
        </w:rPr>
        <w:tab/>
        <w:t>A disallowable instrument must be notified, and presented to the Legislative Assembly, under the Legislation Act.</w:t>
      </w:r>
    </w:p>
    <w:p w14:paraId="52D0C1BD" w14:textId="77777777" w:rsidR="00597933" w:rsidRPr="00D11816" w:rsidRDefault="00597933" w:rsidP="00E36414">
      <w:pPr>
        <w:tabs>
          <w:tab w:val="left" w:pos="990"/>
          <w:tab w:val="left" w:pos="1530"/>
        </w:tabs>
        <w:spacing w:line="260" w:lineRule="exact"/>
        <w:ind w:left="1530" w:hanging="540"/>
        <w:rPr>
          <w:rFonts w:cstheme="minorHAnsi"/>
          <w:color w:val="000000" w:themeColor="text1"/>
        </w:rPr>
      </w:pPr>
      <w:r w:rsidRPr="00D11816">
        <w:rPr>
          <w:rFonts w:cstheme="minorHAnsi"/>
          <w:color w:val="000000" w:themeColor="text1"/>
        </w:rPr>
        <w:t>(4)</w:t>
      </w:r>
      <w:r w:rsidRPr="00D11816">
        <w:rPr>
          <w:rFonts w:cstheme="minorHAnsi"/>
          <w:color w:val="000000" w:themeColor="text1"/>
        </w:rPr>
        <w:tab/>
        <w:t>In this section:</w:t>
      </w:r>
    </w:p>
    <w:p w14:paraId="2DA55BEF" w14:textId="77777777" w:rsidR="00597933" w:rsidRPr="00D11816" w:rsidRDefault="00597933" w:rsidP="00E36414">
      <w:pPr>
        <w:spacing w:line="260" w:lineRule="exact"/>
        <w:ind w:left="1710" w:hanging="180"/>
        <w:rPr>
          <w:rFonts w:cstheme="minorHAnsi"/>
          <w:color w:val="000000" w:themeColor="text1"/>
        </w:rPr>
      </w:pPr>
      <w:bookmarkStart w:id="571" w:name="government_event"/>
      <w:bookmarkEnd w:id="571"/>
      <w:r w:rsidRPr="00D11816">
        <w:rPr>
          <w:rFonts w:cstheme="minorHAnsi"/>
          <w:b/>
          <w:i/>
          <w:color w:val="000000" w:themeColor="text1"/>
        </w:rPr>
        <w:t>government event</w:t>
      </w:r>
      <w:r w:rsidRPr="00D11816">
        <w:rPr>
          <w:rFonts w:cstheme="minorHAnsi"/>
          <w:color w:val="000000" w:themeColor="text1"/>
        </w:rPr>
        <w:t xml:space="preserve"> means an event </w:t>
      </w:r>
      <w:hyperlink r:id="rId31" w:anchor="conduct" w:history="1">
        <w:r w:rsidRPr="00D11816">
          <w:rPr>
            <w:rFonts w:cstheme="minorHAnsi"/>
            <w:color w:val="000000" w:themeColor="text1"/>
          </w:rPr>
          <w:t>conducted</w:t>
        </w:r>
      </w:hyperlink>
      <w:r w:rsidRPr="00D11816">
        <w:rPr>
          <w:rFonts w:cstheme="minorHAnsi"/>
          <w:color w:val="000000" w:themeColor="text1"/>
        </w:rPr>
        <w:t> by the Territory.</w:t>
      </w:r>
    </w:p>
    <w:p w14:paraId="3BC4A55C" w14:textId="77777777" w:rsidR="00597933" w:rsidRPr="00D11816" w:rsidRDefault="00597933" w:rsidP="004C3C19">
      <w:pPr>
        <w:rPr>
          <w:rFonts w:cstheme="minorHAnsi"/>
        </w:rPr>
      </w:pPr>
      <w:r w:rsidRPr="00D11816">
        <w:rPr>
          <w:rFonts w:cstheme="minorHAnsi"/>
        </w:rPr>
        <w:t xml:space="preserve">Section 3 of the instrument, in conjunction with column 1 of table 1 of the Schedule to the instrument, declares various events to be “public events”.  They include </w:t>
      </w:r>
      <w:r>
        <w:rPr>
          <w:rFonts w:cstheme="minorHAnsi"/>
        </w:rPr>
        <w:t xml:space="preserve">Groovin the Moo 2022, Super Rugby and National Rugby League  matches at GIO Stadium and Australian Football League and cricket matches at Manuka Oval, from 24 April 2022.  </w:t>
      </w:r>
      <w:r w:rsidRPr="00D11816">
        <w:rPr>
          <w:rFonts w:cstheme="minorHAnsi"/>
        </w:rPr>
        <w:t>Section 4 of the instrument, in conjunction with column 3 of table 1 of the Schedule to the instrument, prohibits the supply of single-use plastic straws, single-use plastic takeaway containers and single use plastic plates at these events.</w:t>
      </w:r>
    </w:p>
    <w:p w14:paraId="0208837B" w14:textId="77777777" w:rsidR="00597933" w:rsidRPr="00D11816" w:rsidRDefault="00597933" w:rsidP="00625891">
      <w:pPr>
        <w:rPr>
          <w:rFonts w:cstheme="minorHAnsi"/>
        </w:rPr>
      </w:pPr>
      <w:r w:rsidRPr="00D11816">
        <w:rPr>
          <w:rFonts w:cstheme="minorHAnsi"/>
        </w:rPr>
        <w:t>The prohibition is subject to the exemption set out in section 5 of the instrument, which provides:</w:t>
      </w:r>
    </w:p>
    <w:p w14:paraId="1BA8BCFC" w14:textId="77777777" w:rsidR="00597933" w:rsidRPr="00D11816" w:rsidRDefault="00597933" w:rsidP="00E36414">
      <w:pPr>
        <w:keepNext/>
        <w:spacing w:after="200"/>
        <w:ind w:left="1267" w:hanging="720"/>
        <w:rPr>
          <w:rFonts w:cstheme="minorHAnsi"/>
          <w:b/>
          <w:bCs/>
        </w:rPr>
      </w:pPr>
      <w:r w:rsidRPr="00D11816">
        <w:rPr>
          <w:rFonts w:cstheme="minorHAnsi"/>
          <w:b/>
          <w:bCs/>
        </w:rPr>
        <w:t>5</w:t>
      </w:r>
      <w:r w:rsidRPr="00D11816">
        <w:rPr>
          <w:rFonts w:cstheme="minorHAnsi"/>
          <w:b/>
          <w:bCs/>
        </w:rPr>
        <w:tab/>
        <w:t>Exemption</w:t>
      </w:r>
    </w:p>
    <w:p w14:paraId="3366C4F9" w14:textId="77777777" w:rsidR="00597933" w:rsidRDefault="00597933" w:rsidP="00E36414">
      <w:pPr>
        <w:spacing w:before="200"/>
        <w:ind w:left="1267"/>
        <w:rPr>
          <w:rFonts w:cstheme="minorHAnsi"/>
        </w:rPr>
      </w:pPr>
      <w:r w:rsidRPr="00D11816">
        <w:rPr>
          <w:rFonts w:cstheme="minorHAnsi"/>
        </w:rPr>
        <w:t xml:space="preserve">A single-use plastic straw may be supplied upon request for a person who needs it for a medical reason. </w:t>
      </w:r>
      <w:bookmarkStart w:id="572" w:name="_Hlk79410463"/>
      <w:r w:rsidRPr="00D11816">
        <w:rPr>
          <w:rFonts w:cstheme="minorHAnsi"/>
        </w:rPr>
        <w:t>It is not a requirement of this exemption that any form of proof or evidence is required to access a single-use plastic straw.</w:t>
      </w:r>
      <w:bookmarkEnd w:id="572"/>
    </w:p>
    <w:p w14:paraId="089F627F" w14:textId="77777777" w:rsidR="00597933" w:rsidRDefault="00597933" w:rsidP="00597933">
      <w:pPr>
        <w:rPr>
          <w:rFonts w:cstheme="minorHAnsi"/>
        </w:rPr>
      </w:pPr>
      <w:r>
        <w:rPr>
          <w:rFonts w:cstheme="minorHAnsi"/>
        </w:rPr>
        <w:t xml:space="preserve">The Committee notes that it dealt with a similar instrument – </w:t>
      </w:r>
      <w:r w:rsidRPr="00837ADA">
        <w:rPr>
          <w:rFonts w:cstheme="minorHAnsi"/>
        </w:rPr>
        <w:t>the Plastic Reduction (Public Event) Declaration 2021</w:t>
      </w:r>
      <w:r w:rsidRPr="00837ADA">
        <w:t xml:space="preserve"> </w:t>
      </w:r>
      <w:r>
        <w:t>(</w:t>
      </w:r>
      <w:r w:rsidRPr="00837ADA">
        <w:rPr>
          <w:rFonts w:cstheme="minorHAnsi"/>
        </w:rPr>
        <w:t>DI2021-270</w:t>
      </w:r>
      <w:r>
        <w:rPr>
          <w:rFonts w:cstheme="minorHAnsi"/>
        </w:rPr>
        <w:t xml:space="preserve">) – in </w:t>
      </w:r>
      <w:r>
        <w:rPr>
          <w:rFonts w:cstheme="minorHAnsi"/>
          <w:i/>
          <w:iCs/>
        </w:rPr>
        <w:t xml:space="preserve">Scrutiny Report 13 </w:t>
      </w:r>
      <w:r>
        <w:rPr>
          <w:rFonts w:cstheme="minorHAnsi"/>
        </w:rPr>
        <w:t xml:space="preserve">of the </w:t>
      </w:r>
      <w:r w:rsidRPr="00C575EA">
        <w:rPr>
          <w:rFonts w:cstheme="minorHAnsi"/>
          <w:i/>
        </w:rPr>
        <w:t>10</w:t>
      </w:r>
      <w:r w:rsidRPr="00C575EA">
        <w:rPr>
          <w:rFonts w:cstheme="minorHAnsi"/>
          <w:i/>
          <w:vertAlign w:val="superscript"/>
        </w:rPr>
        <w:t>th</w:t>
      </w:r>
      <w:r w:rsidRPr="00C575EA">
        <w:rPr>
          <w:rFonts w:cstheme="minorHAnsi"/>
          <w:i/>
        </w:rPr>
        <w:t xml:space="preserve"> Assembly</w:t>
      </w:r>
      <w:r>
        <w:rPr>
          <w:rFonts w:cstheme="minorHAnsi"/>
        </w:rPr>
        <w:t xml:space="preserve"> (</w:t>
      </w:r>
      <w:r w:rsidRPr="00D54768">
        <w:rPr>
          <w:rFonts w:cstheme="minorHAnsi"/>
        </w:rPr>
        <w:t>15 March 2022</w:t>
      </w:r>
      <w:r>
        <w:rPr>
          <w:rFonts w:cstheme="minorHAnsi"/>
        </w:rPr>
        <w:t>), which declared a series of other events to be “public events”.  The Committee’s comment did not require a response from the Minister.</w:t>
      </w:r>
    </w:p>
    <w:p w14:paraId="65925409" w14:textId="71E4DC13" w:rsidR="00597933" w:rsidRPr="00D54768" w:rsidRDefault="00597933" w:rsidP="00597933">
      <w:pPr>
        <w:rPr>
          <w:rFonts w:cstheme="minorHAnsi"/>
        </w:rPr>
      </w:pPr>
      <w:r>
        <w:rPr>
          <w:rFonts w:cstheme="minorHAnsi"/>
        </w:rPr>
        <w:t>The Committee notes that, under paragraph 15(2)(a) of the Plastic Reduction Act, a declaration must be made</w:t>
      </w:r>
      <w:r w:rsidR="00C575EA">
        <w:rPr>
          <w:rFonts w:cstheme="minorHAnsi"/>
        </w:rPr>
        <w:t xml:space="preserve"> not less than three</w:t>
      </w:r>
      <w:r w:rsidRPr="00837ADA">
        <w:rPr>
          <w:rFonts w:cstheme="minorHAnsi"/>
        </w:rPr>
        <w:t xml:space="preserve"> months before the day the event starts</w:t>
      </w:r>
      <w:r>
        <w:rPr>
          <w:rFonts w:cstheme="minorHAnsi"/>
        </w:rPr>
        <w:t xml:space="preserve"> (unless the event is a government event).  This instrument was made on 21 January 202</w:t>
      </w:r>
      <w:r w:rsidR="00C575EA">
        <w:rPr>
          <w:rFonts w:cstheme="minorHAnsi"/>
        </w:rPr>
        <w:t>2 and relates to events from 24 </w:t>
      </w:r>
      <w:r>
        <w:rPr>
          <w:rFonts w:cstheme="minorHAnsi"/>
        </w:rPr>
        <w:t>April 2022.</w:t>
      </w:r>
    </w:p>
    <w:p w14:paraId="39AEDC6C" w14:textId="77777777" w:rsidR="00597933" w:rsidRPr="00D11816" w:rsidRDefault="00597933" w:rsidP="00597933">
      <w:pPr>
        <w:rPr>
          <w:rFonts w:cstheme="minorHAnsi"/>
        </w:rPr>
      </w:pPr>
      <w:r w:rsidRPr="00D11816">
        <w:rPr>
          <w:rFonts w:cstheme="minorHAnsi"/>
        </w:rPr>
        <w:t xml:space="preserve">The Committee notes that the explanatory statement for the instrument </w:t>
      </w:r>
      <w:r>
        <w:rPr>
          <w:rFonts w:cstheme="minorHAnsi"/>
        </w:rPr>
        <w:t xml:space="preserve">(like the explanatory statement for the earlier instrument) </w:t>
      </w:r>
      <w:r w:rsidRPr="00D11816">
        <w:rPr>
          <w:rFonts w:cstheme="minorHAnsi"/>
        </w:rPr>
        <w:t>contains the following discussion of human rights issues:</w:t>
      </w:r>
    </w:p>
    <w:p w14:paraId="044AFE72" w14:textId="77777777" w:rsidR="00597933" w:rsidRPr="00953699" w:rsidRDefault="00597933" w:rsidP="00C575EA">
      <w:pPr>
        <w:ind w:left="540"/>
        <w:rPr>
          <w:rFonts w:cstheme="minorHAnsi"/>
          <w:b/>
          <w:bCs/>
        </w:rPr>
      </w:pPr>
      <w:r w:rsidRPr="00953699">
        <w:rPr>
          <w:rFonts w:cstheme="minorHAnsi"/>
          <w:b/>
          <w:bCs/>
        </w:rPr>
        <w:t xml:space="preserve">Human rights </w:t>
      </w:r>
    </w:p>
    <w:p w14:paraId="4C0FFB68" w14:textId="77777777" w:rsidR="00597933" w:rsidRPr="00953699" w:rsidRDefault="00597933" w:rsidP="00C575EA">
      <w:pPr>
        <w:ind w:left="540"/>
        <w:rPr>
          <w:rFonts w:cstheme="minorHAnsi"/>
        </w:rPr>
      </w:pPr>
      <w:r w:rsidRPr="00953699">
        <w:rPr>
          <w:rFonts w:cstheme="minorHAnsi"/>
        </w:rPr>
        <w:t xml:space="preserve">As a result of this instrument, certain conduct is made an offence under s 16 of the Act. This is a strict liability offence, which may be seen to engage the presumption of innocence. The Explanatory Statement for the </w:t>
      </w:r>
      <w:r w:rsidRPr="00953699">
        <w:rPr>
          <w:rFonts w:cstheme="minorHAnsi"/>
          <w:i/>
          <w:iCs/>
        </w:rPr>
        <w:t>Plastic Reduction Bill 2020</w:t>
      </w:r>
      <w:r w:rsidRPr="00953699">
        <w:rPr>
          <w:rFonts w:cstheme="minorHAnsi"/>
        </w:rPr>
        <w:t xml:space="preserve"> addressed the human rights considerations related to the creation of the offence.  </w:t>
      </w:r>
    </w:p>
    <w:p w14:paraId="1C2CB421" w14:textId="77777777" w:rsidR="00597933" w:rsidRPr="00E36414" w:rsidRDefault="00597933" w:rsidP="00C575EA">
      <w:pPr>
        <w:ind w:left="540"/>
        <w:rPr>
          <w:rFonts w:cstheme="minorHAnsi"/>
          <w:spacing w:val="-2"/>
        </w:rPr>
      </w:pPr>
      <w:r w:rsidRPr="00E36414">
        <w:rPr>
          <w:rFonts w:cstheme="minorHAnsi"/>
          <w:spacing w:val="-2"/>
        </w:rPr>
        <w:t xml:space="preserve">Plastic straws are required by some people because of a disability or medical need, and alternatives (such as paper or reusable straws) do not have all the same properties as plastic straws. Because of this, prohibiting the supply of single-use plastic straws at an event potentially affects human rights. Under s 8 of the </w:t>
      </w:r>
      <w:r w:rsidRPr="00E36414">
        <w:rPr>
          <w:rFonts w:cstheme="minorHAnsi"/>
          <w:i/>
          <w:iCs/>
          <w:spacing w:val="-2"/>
        </w:rPr>
        <w:t>Human Rights Act 2004</w:t>
      </w:r>
      <w:r w:rsidRPr="00E36414">
        <w:rPr>
          <w:rFonts w:cstheme="minorHAnsi"/>
          <w:spacing w:val="-2"/>
        </w:rPr>
        <w:t xml:space="preserve">, everyone has the right to equal and effective protection from discrimination, including discrimination because of disability. Because plastic straws are required by some people, prohibiting the supply of them could have the effect of limiting access for some people to food and drink services that are otherwise available to people at the event. However, the declaration avoids this outcome by having an exemption that allows a single-use plastic straw to be supplied to those who need them. </w:t>
      </w:r>
    </w:p>
    <w:p w14:paraId="7A070650" w14:textId="77777777" w:rsidR="00597933" w:rsidRPr="00953699" w:rsidRDefault="00597933" w:rsidP="00C575EA">
      <w:pPr>
        <w:ind w:left="540"/>
        <w:rPr>
          <w:rFonts w:cstheme="minorHAnsi"/>
        </w:rPr>
      </w:pPr>
      <w:r w:rsidRPr="00953699">
        <w:rPr>
          <w:rFonts w:cstheme="minorHAnsi"/>
        </w:rPr>
        <w:t>Under s 12 of the Human Rights Act, everyone has the right not to have his or her privacy interfered with unlawfully or arbitrarily. Making an exemption to enable access to straws for those with a disability or medical need has the potential to raise</w:t>
      </w:r>
      <w:r w:rsidRPr="00953699">
        <w:rPr>
          <w:rFonts w:cstheme="minorHAnsi"/>
          <w:strike/>
        </w:rPr>
        <w:t xml:space="preserve"> </w:t>
      </w:r>
      <w:r w:rsidRPr="00953699">
        <w:rPr>
          <w:rFonts w:cstheme="minorHAnsi"/>
        </w:rPr>
        <w:t xml:space="preserve">the question of whether a person has a disability or medical condition. To avoid this, the exemption states that it is not a requirement of the exemption that any form of proof or evidence is required to access a single-use plastic straw. The exemption in the declaration does not prevent those that need plastic straws from being able to access them, while still achieving the aim of reducing the number of single-use plastic straws used at the event. </w:t>
      </w:r>
    </w:p>
    <w:p w14:paraId="7A8A3155" w14:textId="77777777" w:rsidR="00597933" w:rsidRPr="002A3DCD" w:rsidRDefault="00597933" w:rsidP="00597933">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229376E7" w14:textId="77777777" w:rsidR="00597933" w:rsidRPr="00CC4FB7"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0E453A7D" w14:textId="77777777" w:rsidR="00597933" w:rsidRPr="00597933" w:rsidRDefault="00597933" w:rsidP="00597933">
      <w:pPr>
        <w:pStyle w:val="Heading4nonumber"/>
        <w:spacing w:before="220" w:after="220" w:line="280" w:lineRule="exact"/>
        <w:rPr>
          <w:sz w:val="22"/>
          <w:szCs w:val="22"/>
        </w:rPr>
      </w:pPr>
      <w:r w:rsidRPr="00597933">
        <w:rPr>
          <w:sz w:val="22"/>
          <w:szCs w:val="22"/>
        </w:rPr>
        <w:t>Human rights issues</w:t>
      </w:r>
    </w:p>
    <w:p w14:paraId="10E1743A" w14:textId="77777777" w:rsidR="00597933" w:rsidRPr="00824694" w:rsidRDefault="00597933" w:rsidP="00597933">
      <w:pPr>
        <w:pStyle w:val="Bodycopy"/>
        <w:numPr>
          <w:ilvl w:val="0"/>
          <w:numId w:val="41"/>
        </w:numPr>
        <w:spacing w:before="160" w:after="160" w:line="280" w:lineRule="exact"/>
        <w:ind w:left="360"/>
        <w:rPr>
          <w:b/>
        </w:rPr>
      </w:pPr>
      <w:r w:rsidRPr="00824694">
        <w:rPr>
          <w:b/>
        </w:rPr>
        <w:t xml:space="preserve">Disallowable Instrument DI2022-7 being the Road Transport (General) Application of Road Transport Legislation Declaration 2022 (No 1) made under section 13 of the </w:t>
      </w:r>
      <w:r w:rsidRPr="00824694">
        <w:rPr>
          <w:i/>
        </w:rPr>
        <w:t>Road Transport (General) Act 1999</w:t>
      </w:r>
      <w:r w:rsidRPr="00824694">
        <w:rPr>
          <w:b/>
        </w:rPr>
        <w:t xml:space="preserve"> provides that certain parts of the road transport legislation do not apply to a designated vehicle, or the driver of a designated vehicle, participating in a special stage of the White Wolf Racing Test Day</w:t>
      </w:r>
      <w:r>
        <w:rPr>
          <w:b/>
        </w:rPr>
        <w:t>.</w:t>
      </w:r>
    </w:p>
    <w:p w14:paraId="34348BFE" w14:textId="77777777" w:rsidR="00597933" w:rsidRDefault="00597933" w:rsidP="00597933">
      <w:pPr>
        <w:widowControl w:val="0"/>
        <w:tabs>
          <w:tab w:val="left" w:pos="1276"/>
        </w:tabs>
        <w:rPr>
          <w:rFonts w:cstheme="minorHAnsi"/>
          <w:color w:val="000000"/>
          <w:lang w:val="en-US"/>
        </w:rPr>
      </w:pPr>
      <w:r w:rsidRPr="006F4598">
        <w:rPr>
          <w:rFonts w:cstheme="minorHAnsi"/>
          <w:bCs/>
        </w:rPr>
        <w:t>Th</w:t>
      </w:r>
      <w:r>
        <w:rPr>
          <w:rFonts w:cstheme="minorHAnsi"/>
          <w:bCs/>
        </w:rPr>
        <w:t xml:space="preserve">is </w:t>
      </w:r>
      <w:r w:rsidRPr="006F4598">
        <w:rPr>
          <w:rFonts w:cstheme="minorHAnsi"/>
          <w:bCs/>
        </w:rPr>
        <w:t>instrument</w:t>
      </w:r>
      <w:r>
        <w:rPr>
          <w:rFonts w:cstheme="minorHAnsi"/>
          <w:bCs/>
        </w:rPr>
        <w:t xml:space="preserve"> is </w:t>
      </w:r>
      <w:r w:rsidRPr="006F4598">
        <w:rPr>
          <w:rFonts w:cstheme="minorHAnsi"/>
          <w:color w:val="000000"/>
          <w:lang w:val="en-US"/>
        </w:rPr>
        <w:t xml:space="preserve">made under section 13 of the </w:t>
      </w:r>
      <w:r w:rsidRPr="006F4598">
        <w:rPr>
          <w:rFonts w:cstheme="minorHAnsi"/>
          <w:i/>
          <w:iCs/>
          <w:color w:val="000000"/>
          <w:lang w:val="en-US"/>
        </w:rPr>
        <w:t>Road Transport (General) Act 1999</w:t>
      </w:r>
      <w:r w:rsidRPr="006F4598">
        <w:rPr>
          <w:rFonts w:cstheme="minorHAnsi"/>
          <w:color w:val="000000"/>
          <w:lang w:val="en-US"/>
        </w:rPr>
        <w:t xml:space="preserve">, which allows the Minister to declare that the road transport legislation, or a provision of the road transport legislation, does not apply to a vehicle, person or animal in a place or circumstance stated in the declaration. </w:t>
      </w:r>
      <w:r>
        <w:rPr>
          <w:rFonts w:cstheme="minorHAnsi"/>
          <w:color w:val="000000"/>
          <w:lang w:val="en-US"/>
        </w:rPr>
        <w:t xml:space="preserve">The </w:t>
      </w:r>
      <w:r w:rsidRPr="006F4598">
        <w:rPr>
          <w:rFonts w:cstheme="minorHAnsi"/>
          <w:color w:val="000000"/>
          <w:lang w:val="en-US"/>
        </w:rPr>
        <w:t xml:space="preserve">declaration provides that the </w:t>
      </w:r>
      <w:r w:rsidRPr="006F4598">
        <w:rPr>
          <w:rFonts w:cstheme="minorHAnsi"/>
          <w:i/>
          <w:iCs/>
          <w:color w:val="000000"/>
          <w:lang w:val="en-US"/>
        </w:rPr>
        <w:t>Motor Accident Injuries Act 2019</w:t>
      </w:r>
      <w:r>
        <w:rPr>
          <w:rFonts w:cstheme="minorHAnsi"/>
          <w:i/>
          <w:iCs/>
          <w:color w:val="000000"/>
          <w:lang w:val="en-US"/>
        </w:rPr>
        <w:t xml:space="preserve"> </w:t>
      </w:r>
      <w:r w:rsidRPr="00F45A5A">
        <w:rPr>
          <w:rFonts w:cstheme="minorHAnsi"/>
          <w:color w:val="000000"/>
          <w:lang w:val="en-US"/>
        </w:rPr>
        <w:t>and various provisions of various other road transport regulations</w:t>
      </w:r>
      <w:r>
        <w:rPr>
          <w:rFonts w:cstheme="minorHAnsi"/>
          <w:i/>
          <w:iCs/>
          <w:color w:val="000000"/>
          <w:lang w:val="en-US"/>
        </w:rPr>
        <w:t xml:space="preserve"> </w:t>
      </w:r>
      <w:r w:rsidRPr="006F4598">
        <w:rPr>
          <w:rFonts w:cstheme="minorHAnsi"/>
          <w:color w:val="000000"/>
          <w:lang w:val="en-US"/>
        </w:rPr>
        <w:t xml:space="preserve">do not apply in relation to the  </w:t>
      </w:r>
      <w:r>
        <w:rPr>
          <w:rFonts w:cstheme="minorHAnsi"/>
          <w:color w:val="000000"/>
          <w:lang w:val="en-US"/>
        </w:rPr>
        <w:t>White Wolf Racing Test Day</w:t>
      </w:r>
      <w:r w:rsidRPr="006F4598">
        <w:rPr>
          <w:rFonts w:cstheme="minorHAnsi"/>
          <w:color w:val="000000"/>
          <w:lang w:val="en-US"/>
        </w:rPr>
        <w:t xml:space="preserve">, taking place on 9 </w:t>
      </w:r>
      <w:r>
        <w:rPr>
          <w:rFonts w:cstheme="minorHAnsi"/>
          <w:color w:val="000000"/>
          <w:lang w:val="en-US"/>
        </w:rPr>
        <w:t>February 2022.</w:t>
      </w:r>
    </w:p>
    <w:p w14:paraId="5EEB6E95" w14:textId="77777777" w:rsidR="00597933" w:rsidRDefault="00597933" w:rsidP="00597933">
      <w:pPr>
        <w:widowControl w:val="0"/>
        <w:tabs>
          <w:tab w:val="left" w:pos="1276"/>
        </w:tabs>
        <w:rPr>
          <w:rFonts w:cstheme="minorHAnsi"/>
          <w:color w:val="000000"/>
          <w:lang w:val="en-US"/>
        </w:rPr>
      </w:pPr>
      <w:r>
        <w:rPr>
          <w:rFonts w:cstheme="minorHAnsi"/>
          <w:color w:val="000000"/>
          <w:lang w:val="en-US"/>
        </w:rPr>
        <w:t>The Committee notes that the explanatory statement for the instrument contains the following discussion of human rights issues:</w:t>
      </w:r>
    </w:p>
    <w:p w14:paraId="08FE25C5" w14:textId="77777777" w:rsidR="00597933" w:rsidRPr="00F45A5A" w:rsidRDefault="00597933" w:rsidP="00C575EA">
      <w:pPr>
        <w:keepNext/>
        <w:tabs>
          <w:tab w:val="left" w:pos="9000"/>
        </w:tabs>
        <w:ind w:left="540"/>
        <w:rPr>
          <w:rFonts w:cstheme="minorHAnsi"/>
          <w:b/>
          <w:bCs/>
        </w:rPr>
      </w:pPr>
      <w:r w:rsidRPr="00F45A5A">
        <w:rPr>
          <w:rFonts w:cstheme="minorHAnsi"/>
          <w:b/>
          <w:bCs/>
        </w:rPr>
        <w:t xml:space="preserve">Human rights implications </w:t>
      </w:r>
    </w:p>
    <w:p w14:paraId="18FBAFAA" w14:textId="77777777" w:rsidR="00597933" w:rsidRPr="00F45A5A" w:rsidRDefault="00597933" w:rsidP="00C575EA">
      <w:pPr>
        <w:keepNext/>
        <w:tabs>
          <w:tab w:val="left" w:pos="9000"/>
        </w:tabs>
        <w:ind w:left="540"/>
        <w:rPr>
          <w:rFonts w:cstheme="minorHAnsi"/>
        </w:rPr>
      </w:pPr>
      <w:r w:rsidRPr="00F45A5A">
        <w:rPr>
          <w:rFonts w:cstheme="minorHAnsi"/>
        </w:rPr>
        <w:t xml:space="preserve">During the development of this instrument, due regard was given to its effect and the operation of the rally in relation to the compatibility with human rights as set out in the </w:t>
      </w:r>
      <w:r w:rsidRPr="00F45A5A">
        <w:rPr>
          <w:rFonts w:cstheme="minorHAnsi"/>
          <w:i/>
          <w:iCs/>
        </w:rPr>
        <w:t xml:space="preserve">Human Rights Act </w:t>
      </w:r>
      <w:r>
        <w:rPr>
          <w:rFonts w:cstheme="minorHAnsi"/>
          <w:i/>
          <w:iCs/>
        </w:rPr>
        <w:t>2</w:t>
      </w:r>
      <w:r w:rsidRPr="00F45A5A">
        <w:rPr>
          <w:rFonts w:cstheme="minorHAnsi"/>
          <w:i/>
          <w:iCs/>
        </w:rPr>
        <w:t>004</w:t>
      </w:r>
      <w:r w:rsidRPr="00F45A5A">
        <w:rPr>
          <w:rFonts w:cstheme="minorHAnsi"/>
        </w:rPr>
        <w:t xml:space="preserve"> (HRA). </w:t>
      </w:r>
    </w:p>
    <w:p w14:paraId="0A8ECFF9" w14:textId="77777777" w:rsidR="00597933" w:rsidRPr="00F45A5A" w:rsidRDefault="00597933" w:rsidP="00C575EA">
      <w:pPr>
        <w:tabs>
          <w:tab w:val="left" w:pos="9000"/>
        </w:tabs>
        <w:ind w:left="540"/>
        <w:rPr>
          <w:rFonts w:cstheme="minorHAnsi"/>
        </w:rPr>
      </w:pPr>
      <w:r w:rsidRPr="00F45A5A">
        <w:rPr>
          <w:rFonts w:cstheme="minorHAnsi"/>
        </w:rPr>
        <w:t xml:space="preserve">Section 28 of the HRA provides that human rights may be subject only to reasonable limits set by laws that can be demonstrably justified in a free and democratic society. </w:t>
      </w:r>
    </w:p>
    <w:p w14:paraId="23CD3450" w14:textId="77777777" w:rsidR="00597933" w:rsidRPr="00F45A5A" w:rsidRDefault="00597933" w:rsidP="000A408F">
      <w:pPr>
        <w:tabs>
          <w:tab w:val="left" w:pos="9000"/>
        </w:tabs>
        <w:spacing w:after="40"/>
        <w:ind w:left="547"/>
        <w:rPr>
          <w:rFonts w:cstheme="minorHAnsi"/>
        </w:rPr>
      </w:pPr>
      <w:r w:rsidRPr="00F45A5A">
        <w:rPr>
          <w:rFonts w:cstheme="minorHAnsi"/>
        </w:rPr>
        <w:t xml:space="preserve">Section 28 (2) of the HRA provides that in deciding whether a limit on a human right is reasonable, all relevant factors must be considered, including: </w:t>
      </w:r>
    </w:p>
    <w:p w14:paraId="125CA507" w14:textId="6D3748D1" w:rsidR="00597933" w:rsidRPr="00F45A5A" w:rsidRDefault="00597933" w:rsidP="000A408F">
      <w:pPr>
        <w:tabs>
          <w:tab w:val="left" w:pos="9000"/>
        </w:tabs>
        <w:spacing w:before="40" w:after="0"/>
        <w:ind w:left="1541" w:hanging="274"/>
        <w:rPr>
          <w:rFonts w:cstheme="minorHAnsi"/>
        </w:rPr>
      </w:pPr>
      <w:r w:rsidRPr="00F45A5A">
        <w:rPr>
          <w:rFonts w:cstheme="minorHAnsi"/>
        </w:rPr>
        <w:t>a)</w:t>
      </w:r>
      <w:r w:rsidR="00C575EA">
        <w:rPr>
          <w:rFonts w:cstheme="minorHAnsi"/>
        </w:rPr>
        <w:tab/>
      </w:r>
      <w:r w:rsidRPr="00F45A5A">
        <w:rPr>
          <w:rFonts w:cstheme="minorHAnsi"/>
        </w:rPr>
        <w:t xml:space="preserve">the nature of the right affected </w:t>
      </w:r>
    </w:p>
    <w:p w14:paraId="0733A75B" w14:textId="529A2731" w:rsidR="00597933" w:rsidRPr="00F45A5A" w:rsidRDefault="00C575EA" w:rsidP="000A408F">
      <w:pPr>
        <w:tabs>
          <w:tab w:val="left" w:pos="9000"/>
        </w:tabs>
        <w:spacing w:before="40" w:after="0"/>
        <w:ind w:left="1541" w:hanging="274"/>
        <w:rPr>
          <w:rFonts w:cstheme="minorHAnsi"/>
        </w:rPr>
      </w:pPr>
      <w:r>
        <w:rPr>
          <w:rFonts w:cstheme="minorHAnsi"/>
        </w:rPr>
        <w:t>b)</w:t>
      </w:r>
      <w:r>
        <w:rPr>
          <w:rFonts w:cstheme="minorHAnsi"/>
        </w:rPr>
        <w:tab/>
      </w:r>
      <w:r w:rsidR="00597933" w:rsidRPr="00F45A5A">
        <w:rPr>
          <w:rFonts w:cstheme="minorHAnsi"/>
        </w:rPr>
        <w:t xml:space="preserve">the importance of the limitation </w:t>
      </w:r>
    </w:p>
    <w:p w14:paraId="63A80F2B" w14:textId="34584875" w:rsidR="00597933" w:rsidRPr="00F45A5A" w:rsidRDefault="00C575EA" w:rsidP="000A408F">
      <w:pPr>
        <w:tabs>
          <w:tab w:val="left" w:pos="9000"/>
        </w:tabs>
        <w:spacing w:before="40" w:after="0"/>
        <w:ind w:left="1541" w:hanging="274"/>
        <w:rPr>
          <w:rFonts w:cstheme="minorHAnsi"/>
        </w:rPr>
      </w:pPr>
      <w:r>
        <w:rPr>
          <w:rFonts w:cstheme="minorHAnsi"/>
        </w:rPr>
        <w:t>c)</w:t>
      </w:r>
      <w:r>
        <w:rPr>
          <w:rFonts w:cstheme="minorHAnsi"/>
        </w:rPr>
        <w:tab/>
      </w:r>
      <w:r w:rsidR="00597933" w:rsidRPr="00F45A5A">
        <w:rPr>
          <w:rFonts w:cstheme="minorHAnsi"/>
        </w:rPr>
        <w:t xml:space="preserve">the nature and extent of the limitation </w:t>
      </w:r>
    </w:p>
    <w:p w14:paraId="415ADEE8" w14:textId="745C3854" w:rsidR="00597933" w:rsidRPr="00F45A5A" w:rsidRDefault="00C575EA" w:rsidP="000A408F">
      <w:pPr>
        <w:tabs>
          <w:tab w:val="left" w:pos="9000"/>
        </w:tabs>
        <w:spacing w:before="40" w:after="0"/>
        <w:ind w:left="1541" w:hanging="274"/>
        <w:rPr>
          <w:rFonts w:cstheme="minorHAnsi"/>
        </w:rPr>
      </w:pPr>
      <w:r>
        <w:rPr>
          <w:rFonts w:cstheme="minorHAnsi"/>
        </w:rPr>
        <w:t>d)</w:t>
      </w:r>
      <w:r>
        <w:rPr>
          <w:rFonts w:cstheme="minorHAnsi"/>
        </w:rPr>
        <w:tab/>
      </w:r>
      <w:r w:rsidR="00597933" w:rsidRPr="00F45A5A">
        <w:rPr>
          <w:rFonts w:cstheme="minorHAnsi"/>
        </w:rPr>
        <w:t xml:space="preserve">the relationship between the limitation and its purpose </w:t>
      </w:r>
    </w:p>
    <w:p w14:paraId="56262E8A" w14:textId="7A7A8EF3" w:rsidR="00597933" w:rsidRPr="00F45A5A" w:rsidRDefault="00C575EA" w:rsidP="000A408F">
      <w:pPr>
        <w:tabs>
          <w:tab w:val="left" w:pos="9000"/>
        </w:tabs>
        <w:spacing w:before="40" w:after="0"/>
        <w:ind w:left="1541" w:hanging="274"/>
        <w:rPr>
          <w:rFonts w:cstheme="minorHAnsi"/>
        </w:rPr>
      </w:pPr>
      <w:r>
        <w:rPr>
          <w:rFonts w:cstheme="minorHAnsi"/>
        </w:rPr>
        <w:t>e)</w:t>
      </w:r>
      <w:r>
        <w:rPr>
          <w:rFonts w:cstheme="minorHAnsi"/>
        </w:rPr>
        <w:tab/>
      </w:r>
      <w:r w:rsidR="00597933" w:rsidRPr="00F45A5A">
        <w:rPr>
          <w:rFonts w:cstheme="minorHAnsi"/>
        </w:rPr>
        <w:t>any less restrictive means reasonably available to achieve the purpose t</w:t>
      </w:r>
      <w:r>
        <w:rPr>
          <w:rFonts w:cstheme="minorHAnsi"/>
        </w:rPr>
        <w:t>he limitation seeks to achieve.</w:t>
      </w:r>
    </w:p>
    <w:p w14:paraId="11D4502F" w14:textId="77777777" w:rsidR="00597933" w:rsidRPr="00F45A5A" w:rsidRDefault="00597933" w:rsidP="00C575EA">
      <w:pPr>
        <w:tabs>
          <w:tab w:val="left" w:pos="9000"/>
        </w:tabs>
        <w:ind w:left="540"/>
        <w:rPr>
          <w:rFonts w:cstheme="minorHAnsi"/>
        </w:rPr>
      </w:pPr>
      <w:r w:rsidRPr="00F45A5A">
        <w:rPr>
          <w:rFonts w:cstheme="minorHAnsi"/>
        </w:rPr>
        <w:t xml:space="preserve">Section 13 of the HRA provides a right for people to move freely within the ACT. </w:t>
      </w:r>
    </w:p>
    <w:p w14:paraId="1914CBB5" w14:textId="77777777" w:rsidR="00597933" w:rsidRPr="00F45A5A" w:rsidRDefault="00597933" w:rsidP="00C575EA">
      <w:pPr>
        <w:tabs>
          <w:tab w:val="left" w:pos="9000"/>
        </w:tabs>
        <w:ind w:left="540"/>
        <w:rPr>
          <w:rFonts w:cstheme="minorHAnsi"/>
        </w:rPr>
      </w:pPr>
      <w:r w:rsidRPr="00F45A5A">
        <w:rPr>
          <w:rFonts w:cstheme="minorHAnsi"/>
        </w:rPr>
        <w:t>The declarations in this instrument do not of itself restrict a person’s freedom of movement within the Territory, however the operation of the event in closing parts of the forest in which the event will be conducted to members of the public will restrict the free movement of people in that area of the Territory during the event. As parts of the road transport legislation are being disapplied for the event to operate as intended, vehicles will be travelling in parts of the forest in excess of the usual speed limits and in a manner not consistent with the road rules. As such, the restriction on the free movement of people in those parts of the forest at those times is considered reasonable and proportionate to ensure safety of non-participants and represents the least restrictive approach that enables the event to proceed.</w:t>
      </w:r>
    </w:p>
    <w:p w14:paraId="4DD78DCF" w14:textId="77777777" w:rsidR="00597933" w:rsidRPr="002A3DCD" w:rsidRDefault="00597933" w:rsidP="00597933">
      <w:pPr>
        <w:pStyle w:val="Bodycopy"/>
        <w:spacing w:before="220" w:after="220" w:line="280" w:lineRule="exact"/>
        <w:rPr>
          <w:b/>
        </w:rPr>
      </w:pPr>
      <w:bookmarkStart w:id="573" w:name="_Hlk97468436"/>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61681ABC" w14:textId="77777777" w:rsidR="00597933"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71D684A5" w14:textId="77777777" w:rsidR="00597933" w:rsidRPr="00597933" w:rsidRDefault="00597933" w:rsidP="00597933">
      <w:pPr>
        <w:pStyle w:val="Heading4nonumber"/>
        <w:spacing w:before="220" w:after="220" w:line="280" w:lineRule="exact"/>
        <w:rPr>
          <w:sz w:val="22"/>
          <w:szCs w:val="22"/>
        </w:rPr>
      </w:pPr>
      <w:bookmarkStart w:id="574" w:name="_Hlk97468310"/>
      <w:bookmarkEnd w:id="573"/>
      <w:r w:rsidRPr="00597933">
        <w:rPr>
          <w:sz w:val="22"/>
          <w:szCs w:val="22"/>
        </w:rPr>
        <w:t>Human rights Issues</w:t>
      </w:r>
    </w:p>
    <w:p w14:paraId="4DABB2CA" w14:textId="77777777" w:rsidR="00597933" w:rsidRPr="00824694" w:rsidRDefault="00597933" w:rsidP="00597933">
      <w:pPr>
        <w:pStyle w:val="Bodycopy"/>
        <w:keepLines/>
        <w:numPr>
          <w:ilvl w:val="0"/>
          <w:numId w:val="41"/>
        </w:numPr>
        <w:spacing w:before="160" w:after="160" w:line="280" w:lineRule="exact"/>
        <w:ind w:left="360"/>
        <w:rPr>
          <w:b/>
        </w:rPr>
      </w:pPr>
      <w:r w:rsidRPr="00824694">
        <w:rPr>
          <w:b/>
        </w:rPr>
        <w:t xml:space="preserve">Disallowable Instrument DI2022-9 being the Crimes (Surveillance Devices) Body-worn Cameras Guidelines 2022 made under </w:t>
      </w:r>
      <w:bookmarkStart w:id="575" w:name="_Hlk98689388"/>
      <w:r w:rsidRPr="00824694">
        <w:rPr>
          <w:b/>
        </w:rPr>
        <w:t xml:space="preserve">section 43C of the </w:t>
      </w:r>
      <w:r w:rsidRPr="00824694">
        <w:rPr>
          <w:i/>
        </w:rPr>
        <w:t>Crimes (Surveillance Devices) Act 2010</w:t>
      </w:r>
      <w:r w:rsidRPr="00824694">
        <w:rPr>
          <w:b/>
        </w:rPr>
        <w:t xml:space="preserve"> </w:t>
      </w:r>
      <w:bookmarkEnd w:id="575"/>
      <w:r w:rsidRPr="00824694">
        <w:rPr>
          <w:b/>
        </w:rPr>
        <w:t>makes the Body-worn cameras Guidelines 2022 in relation to the use of body-worn cameras by police officers</w:t>
      </w:r>
      <w:r>
        <w:rPr>
          <w:b/>
        </w:rPr>
        <w:t>.</w:t>
      </w:r>
    </w:p>
    <w:p w14:paraId="4EF6CB2B" w14:textId="77777777" w:rsidR="00597933" w:rsidRDefault="00597933" w:rsidP="00597933">
      <w:pPr>
        <w:pStyle w:val="Heading4nonumber"/>
        <w:spacing w:before="220" w:after="220" w:line="280" w:lineRule="exact"/>
        <w:rPr>
          <w:rFonts w:asciiTheme="minorHAnsi" w:hAnsiTheme="minorHAnsi" w:cstheme="minorHAnsi"/>
          <w:smallCaps w:val="0"/>
          <w:sz w:val="22"/>
          <w:szCs w:val="22"/>
        </w:rPr>
      </w:pPr>
      <w:r w:rsidRPr="00A60A80">
        <w:rPr>
          <w:rFonts w:asciiTheme="minorHAnsi" w:hAnsiTheme="minorHAnsi" w:cstheme="minorHAnsi"/>
          <w:smallCaps w:val="0"/>
          <w:sz w:val="22"/>
          <w:szCs w:val="22"/>
        </w:rPr>
        <w:t>This instrument, made under section 43C of the</w:t>
      </w:r>
      <w:r w:rsidRPr="00A60A80">
        <w:rPr>
          <w:rFonts w:asciiTheme="minorHAnsi" w:hAnsiTheme="minorHAnsi" w:cstheme="minorHAnsi"/>
          <w:i/>
          <w:iCs/>
          <w:smallCaps w:val="0"/>
          <w:sz w:val="22"/>
          <w:szCs w:val="22"/>
        </w:rPr>
        <w:t xml:space="preserve"> Crimes (Surveillance Devices) Act 2010</w:t>
      </w:r>
      <w:r>
        <w:rPr>
          <w:rFonts w:asciiTheme="minorHAnsi" w:hAnsiTheme="minorHAnsi" w:cstheme="minorHAnsi"/>
          <w:smallCaps w:val="0"/>
          <w:sz w:val="22"/>
          <w:szCs w:val="22"/>
        </w:rPr>
        <w:t>, makes guidelines for the use of body-worn cameras (</w:t>
      </w:r>
      <w:r>
        <w:rPr>
          <w:rFonts w:asciiTheme="minorHAnsi" w:hAnsiTheme="minorHAnsi" w:cstheme="minorHAnsi"/>
          <w:b/>
          <w:bCs/>
          <w:smallCaps w:val="0"/>
          <w:sz w:val="22"/>
          <w:szCs w:val="22"/>
        </w:rPr>
        <w:t>BWCs</w:t>
      </w:r>
      <w:r>
        <w:rPr>
          <w:rFonts w:asciiTheme="minorHAnsi" w:hAnsiTheme="minorHAnsi" w:cstheme="minorHAnsi"/>
          <w:smallCaps w:val="0"/>
          <w:sz w:val="22"/>
          <w:szCs w:val="22"/>
        </w:rPr>
        <w:t>) by police officers.  The explanatory statement for the instrument states:</w:t>
      </w:r>
    </w:p>
    <w:p w14:paraId="6CDD1E04" w14:textId="77777777" w:rsidR="00597933" w:rsidRPr="002474AD" w:rsidRDefault="00597933" w:rsidP="00C575EA">
      <w:pPr>
        <w:ind w:left="540"/>
        <w:rPr>
          <w:rFonts w:cstheme="minorHAnsi"/>
        </w:rPr>
      </w:pPr>
      <w:r>
        <w:rPr>
          <w:rFonts w:cstheme="minorHAnsi"/>
        </w:rPr>
        <w:t xml:space="preserve"> … </w:t>
      </w:r>
      <w:r w:rsidRPr="002474AD">
        <w:rPr>
          <w:rFonts w:cstheme="minorHAnsi"/>
        </w:rPr>
        <w:t>This is a publicly available guideline issued by the chief police officer in accordance with the Act, and provides guidance on the use of BWCs by police officers in the performance of their duties, and to assist the ACT community in understanding how police use BWCs and their rights involved in their use.</w:t>
      </w:r>
    </w:p>
    <w:p w14:paraId="79D560C8" w14:textId="77777777" w:rsidR="00597933" w:rsidRPr="002474AD" w:rsidRDefault="00597933" w:rsidP="00C575EA">
      <w:pPr>
        <w:shd w:val="clear" w:color="auto" w:fill="FFFFFF"/>
        <w:ind w:left="540"/>
        <w:rPr>
          <w:rFonts w:cstheme="minorHAnsi"/>
        </w:rPr>
      </w:pPr>
      <w:r w:rsidRPr="002474AD">
        <w:rPr>
          <w:rFonts w:cstheme="minorHAnsi"/>
        </w:rPr>
        <w:t>The guidelines detail when a BWC must/may be used, human rights considerations when making a decision to record, as well as storage, use and disposal requirements for BWC recordings.  The guidelines are issued by the Chief Police Officer in consultation with the director-general.  Police officers are required to comply with the requirements of the guidelines.</w:t>
      </w:r>
    </w:p>
    <w:p w14:paraId="09EED710" w14:textId="77777777" w:rsidR="00597933" w:rsidRDefault="00597933" w:rsidP="00597933">
      <w:pPr>
        <w:rPr>
          <w:rFonts w:cstheme="minorHAnsi"/>
        </w:rPr>
      </w:pPr>
      <w:r>
        <w:rPr>
          <w:rFonts w:cstheme="minorHAnsi"/>
        </w:rPr>
        <w:t>The explanatory statement goes on to discuss human rights issues:</w:t>
      </w:r>
    </w:p>
    <w:p w14:paraId="2ABD44C6" w14:textId="77777777" w:rsidR="00597933" w:rsidRPr="002474AD" w:rsidRDefault="00597933" w:rsidP="00C575EA">
      <w:pPr>
        <w:ind w:left="540"/>
        <w:rPr>
          <w:rFonts w:cstheme="minorHAnsi"/>
          <w:i/>
        </w:rPr>
      </w:pPr>
      <w:r w:rsidRPr="002474AD">
        <w:rPr>
          <w:rFonts w:cstheme="minorHAnsi"/>
          <w:i/>
        </w:rPr>
        <w:t>Part 8 – Human Rights</w:t>
      </w:r>
    </w:p>
    <w:p w14:paraId="3A04301B" w14:textId="77777777" w:rsidR="00597933" w:rsidRPr="002474AD" w:rsidRDefault="00597933" w:rsidP="00C575EA">
      <w:pPr>
        <w:ind w:left="540"/>
        <w:rPr>
          <w:rFonts w:cstheme="minorHAnsi"/>
        </w:rPr>
      </w:pPr>
      <w:r w:rsidRPr="002474AD">
        <w:rPr>
          <w:rFonts w:cstheme="minorHAnsi"/>
        </w:rPr>
        <w:t xml:space="preserve">This part addresses how the guidelines have been developed in accordance with the </w:t>
      </w:r>
      <w:r w:rsidRPr="002474AD">
        <w:rPr>
          <w:rFonts w:cstheme="minorHAnsi"/>
          <w:i/>
        </w:rPr>
        <w:t xml:space="preserve">Human Rights Act 2004 </w:t>
      </w:r>
      <w:r w:rsidRPr="002474AD">
        <w:rPr>
          <w:rFonts w:cstheme="minorHAnsi"/>
          <w:iCs/>
        </w:rPr>
        <w:t>(ACT)</w:t>
      </w:r>
      <w:r w:rsidRPr="002474AD">
        <w:rPr>
          <w:rFonts w:cstheme="minorHAnsi"/>
        </w:rPr>
        <w:t xml:space="preserve">. The use of BWCs by police has a number of human rights benefits, including by improved accountability and transparency in police interactions with members of the community, by providing an accurate and detailed record of events and decision making processes by police in the performance of their duties. </w:t>
      </w:r>
    </w:p>
    <w:p w14:paraId="4DB63CEC" w14:textId="77777777" w:rsidR="00597933" w:rsidRPr="002474AD" w:rsidRDefault="00597933" w:rsidP="00C575EA">
      <w:pPr>
        <w:ind w:left="540"/>
        <w:rPr>
          <w:rFonts w:cstheme="minorHAnsi"/>
        </w:rPr>
      </w:pPr>
      <w:r w:rsidRPr="002474AD">
        <w:rPr>
          <w:rFonts w:cstheme="minorHAnsi"/>
        </w:rPr>
        <w:t xml:space="preserve">BWC recordings can provide evidence that assists all parties in criminal proceedings, supporting a person’s right in criminal proceedings. For instance, it is anticipated that the expanded use of BWCs by police inside private premises, within the reasonable limitations as set out in the guidelines, will support the human rights of victim-survivors of family violence by enabling recording in such settings. </w:t>
      </w:r>
    </w:p>
    <w:p w14:paraId="634BFDA7" w14:textId="3456B225" w:rsidR="00597933" w:rsidRPr="002474AD" w:rsidRDefault="00597933" w:rsidP="00C575EA">
      <w:pPr>
        <w:ind w:left="540"/>
        <w:rPr>
          <w:rFonts w:cstheme="minorHAnsi"/>
        </w:rPr>
      </w:pPr>
      <w:r w:rsidRPr="002474AD">
        <w:rPr>
          <w:rFonts w:cstheme="minorHAnsi"/>
        </w:rPr>
        <w:t>This part also explains how a member of the public may make a complaint if they consider that a police officer’s use of a BWC has unreasonably interfered</w:t>
      </w:r>
      <w:r w:rsidR="00C575EA">
        <w:rPr>
          <w:rFonts w:cstheme="minorHAnsi"/>
        </w:rPr>
        <w:t xml:space="preserve"> or limited their human rights.</w:t>
      </w:r>
    </w:p>
    <w:p w14:paraId="754EDA4A" w14:textId="77777777" w:rsidR="00597933" w:rsidRPr="0020516F" w:rsidRDefault="00597933" w:rsidP="00597933">
      <w:pPr>
        <w:rPr>
          <w:rFonts w:cstheme="minorHAnsi"/>
          <w:b/>
          <w:bCs/>
        </w:rPr>
      </w:pPr>
      <w:r>
        <w:rPr>
          <w:rFonts w:cstheme="minorHAnsi"/>
        </w:rPr>
        <w:t>The Committee also notes that a more substantive discussion of the human rights implications is actually set out in Part 8 of the actual guidelines, which states:</w:t>
      </w:r>
    </w:p>
    <w:p w14:paraId="7B106599" w14:textId="1CD1331D" w:rsidR="00597933" w:rsidRPr="00C575EA" w:rsidRDefault="00C575EA" w:rsidP="00C575EA">
      <w:pPr>
        <w:ind w:left="900" w:hanging="360"/>
        <w:rPr>
          <w:b/>
          <w:sz w:val="24"/>
          <w:szCs w:val="24"/>
        </w:rPr>
      </w:pPr>
      <w:r>
        <w:rPr>
          <w:b/>
          <w:bCs/>
          <w:sz w:val="24"/>
          <w:szCs w:val="24"/>
        </w:rPr>
        <w:t>8.</w:t>
      </w:r>
      <w:r>
        <w:rPr>
          <w:b/>
          <w:bCs/>
          <w:sz w:val="24"/>
          <w:szCs w:val="24"/>
        </w:rPr>
        <w:tab/>
      </w:r>
      <w:r w:rsidR="00597933" w:rsidRPr="00C575EA">
        <w:rPr>
          <w:b/>
          <w:bCs/>
          <w:sz w:val="24"/>
          <w:szCs w:val="24"/>
        </w:rPr>
        <w:t>Human Rights</w:t>
      </w:r>
    </w:p>
    <w:p w14:paraId="3F16A860" w14:textId="159E760C" w:rsidR="00597933" w:rsidRDefault="00C575EA" w:rsidP="00C575EA">
      <w:pPr>
        <w:tabs>
          <w:tab w:val="left" w:pos="1170"/>
        </w:tabs>
        <w:ind w:left="1170" w:hanging="630"/>
      </w:pPr>
      <w:r>
        <w:t>8.1</w:t>
      </w:r>
      <w:r w:rsidR="000A408F">
        <w:t>.</w:t>
      </w:r>
      <w:r>
        <w:tab/>
      </w:r>
      <w:r w:rsidR="00597933">
        <w:t xml:space="preserve">These guidelines have been developed in consideration of the </w:t>
      </w:r>
      <w:r w:rsidR="00597933" w:rsidRPr="00C575EA">
        <w:rPr>
          <w:i/>
          <w:iCs/>
        </w:rPr>
        <w:t>Human Rights Act 2004</w:t>
      </w:r>
      <w:r>
        <w:t xml:space="preserve"> (ACT).</w:t>
      </w:r>
    </w:p>
    <w:p w14:paraId="1A006F92" w14:textId="7B23634D" w:rsidR="00597933" w:rsidRDefault="00C575EA" w:rsidP="00C575EA">
      <w:pPr>
        <w:tabs>
          <w:tab w:val="left" w:pos="1170"/>
        </w:tabs>
        <w:ind w:left="1170" w:hanging="630"/>
      </w:pPr>
      <w:r>
        <w:t>8.2</w:t>
      </w:r>
      <w:r w:rsidR="000A408F">
        <w:t>.</w:t>
      </w:r>
      <w:r>
        <w:tab/>
      </w:r>
      <w:r w:rsidR="00597933">
        <w:t xml:space="preserve">As detailed in these guidelines, a decision to use or not use a BWC must be reasonable, necessary and proportionate in the circumstances, on consideration of the requirements under the Act and the human rights of persons impacted by BWC use. </w:t>
      </w:r>
    </w:p>
    <w:p w14:paraId="1DC4E160" w14:textId="17A582FA" w:rsidR="00597933" w:rsidRDefault="00C575EA" w:rsidP="00C575EA">
      <w:pPr>
        <w:tabs>
          <w:tab w:val="left" w:pos="1170"/>
        </w:tabs>
        <w:ind w:left="1170" w:hanging="630"/>
      </w:pPr>
      <w:r>
        <w:t>8.3</w:t>
      </w:r>
      <w:r w:rsidR="000A408F">
        <w:t>.</w:t>
      </w:r>
      <w:r>
        <w:tab/>
      </w:r>
      <w:r w:rsidR="00597933">
        <w:t>The use of BWCs when dealing with members of the public, as well as the storage, access and use of the recordings, can constitute a reasonable, necessary and proportionate limitation to a person’s human rights.</w:t>
      </w:r>
    </w:p>
    <w:p w14:paraId="2506CF3B" w14:textId="439E69FE" w:rsidR="00597933" w:rsidRDefault="00C575EA" w:rsidP="00C575EA">
      <w:pPr>
        <w:tabs>
          <w:tab w:val="left" w:pos="1170"/>
        </w:tabs>
        <w:ind w:left="1170" w:hanging="630"/>
      </w:pPr>
      <w:r>
        <w:t>8.4</w:t>
      </w:r>
      <w:r w:rsidR="000A408F">
        <w:t>.</w:t>
      </w:r>
      <w:r>
        <w:tab/>
      </w:r>
      <w:r w:rsidR="00597933">
        <w:t xml:space="preserve">The use of, or decisions not to use, BWCs by police officers, in accordance with these guidelines and the Act, promotes the following rights: </w:t>
      </w:r>
    </w:p>
    <w:p w14:paraId="1148DC7C" w14:textId="24652F54" w:rsidR="00597933" w:rsidRDefault="00C575EA" w:rsidP="000A408F">
      <w:pPr>
        <w:tabs>
          <w:tab w:val="left" w:pos="1620"/>
        </w:tabs>
        <w:ind w:left="1170" w:hanging="540"/>
      </w:pPr>
      <w:r>
        <w:t>a)</w:t>
      </w:r>
      <w:r>
        <w:tab/>
      </w:r>
      <w:r w:rsidR="00597933">
        <w:t xml:space="preserve">Section 10 – </w:t>
      </w:r>
      <w:r w:rsidR="00597933" w:rsidRPr="0003308D">
        <w:t>protection from torture and cruel, inhuman or degrading treatment</w:t>
      </w:r>
      <w:r w:rsidR="00597933">
        <w:t>;</w:t>
      </w:r>
    </w:p>
    <w:p w14:paraId="333F308D" w14:textId="58D56B74" w:rsidR="00597933" w:rsidRDefault="00C575EA" w:rsidP="000A408F">
      <w:pPr>
        <w:tabs>
          <w:tab w:val="left" w:pos="1620"/>
        </w:tabs>
        <w:ind w:left="1170" w:hanging="540"/>
      </w:pPr>
      <w:r>
        <w:t>b)</w:t>
      </w:r>
      <w:r>
        <w:tab/>
      </w:r>
      <w:r w:rsidR="00597933">
        <w:t xml:space="preserve">Section 18 – </w:t>
      </w:r>
      <w:r w:rsidR="00597933" w:rsidRPr="0003308D">
        <w:t>liberty and security of person</w:t>
      </w:r>
      <w:r w:rsidR="00597933">
        <w:t>; and</w:t>
      </w:r>
    </w:p>
    <w:p w14:paraId="1A367135" w14:textId="0E8814FD" w:rsidR="00597933" w:rsidRDefault="00C575EA" w:rsidP="000A408F">
      <w:pPr>
        <w:tabs>
          <w:tab w:val="left" w:pos="1620"/>
        </w:tabs>
        <w:ind w:left="1170" w:hanging="540"/>
      </w:pPr>
      <w:r>
        <w:t>c)</w:t>
      </w:r>
      <w:r>
        <w:tab/>
      </w:r>
      <w:r w:rsidR="00597933">
        <w:t>Section 22 – rights in criminal proceedings.</w:t>
      </w:r>
    </w:p>
    <w:p w14:paraId="35A1CBE1" w14:textId="2F54FF74" w:rsidR="00597933" w:rsidRDefault="000A408F" w:rsidP="00C575EA">
      <w:pPr>
        <w:tabs>
          <w:tab w:val="left" w:pos="1170"/>
        </w:tabs>
        <w:ind w:left="1170" w:hanging="630"/>
      </w:pPr>
      <w:r>
        <w:t>8.5.</w:t>
      </w:r>
      <w:r>
        <w:tab/>
      </w:r>
      <w:r w:rsidR="00597933">
        <w:t xml:space="preserve">These guidelines promote the above human rights through improved accountability and transparency in police interactions with members of the community, by providing an accurate and detailed record of events and decision making processes by police in the performance of their duties. </w:t>
      </w:r>
    </w:p>
    <w:p w14:paraId="1B175779" w14:textId="6AD8D83C" w:rsidR="00597933" w:rsidRDefault="000A408F" w:rsidP="00C575EA">
      <w:pPr>
        <w:tabs>
          <w:tab w:val="left" w:pos="1170"/>
        </w:tabs>
        <w:ind w:left="1170" w:hanging="630"/>
      </w:pPr>
      <w:r>
        <w:t>8.6.</w:t>
      </w:r>
      <w:r>
        <w:tab/>
      </w:r>
      <w:r w:rsidR="00597933">
        <w:t>Additionally, BWC recordings</w:t>
      </w:r>
      <w:r w:rsidR="00597933" w:rsidRPr="0003308D">
        <w:t xml:space="preserve"> can </w:t>
      </w:r>
      <w:r w:rsidR="00597933">
        <w:t>provide</w:t>
      </w:r>
      <w:r w:rsidR="00597933" w:rsidRPr="0003308D">
        <w:t xml:space="preserve"> evidence that assists all parties in criminal proceedings, including a defendant, </w:t>
      </w:r>
      <w:r w:rsidR="00597933">
        <w:t xml:space="preserve">supporting </w:t>
      </w:r>
      <w:r w:rsidR="00597933" w:rsidRPr="0003308D">
        <w:t>a person’s right in criminal proceedings</w:t>
      </w:r>
      <w:r w:rsidR="00597933">
        <w:t xml:space="preserve">. </w:t>
      </w:r>
    </w:p>
    <w:p w14:paraId="6983838A" w14:textId="1BEC607F" w:rsidR="00597933" w:rsidRPr="005D5DE0" w:rsidRDefault="000A408F" w:rsidP="00C575EA">
      <w:pPr>
        <w:tabs>
          <w:tab w:val="left" w:pos="1170"/>
        </w:tabs>
        <w:ind w:left="1170" w:hanging="630"/>
      </w:pPr>
      <w:r>
        <w:t>8.7.</w:t>
      </w:r>
      <w:r>
        <w:tab/>
      </w:r>
      <w:r w:rsidR="00597933">
        <w:t xml:space="preserve">The use of, or decisions not to use, BWCs by police officers, in accordance with these guidelines and the Act, can engage and limit the following rights: </w:t>
      </w:r>
    </w:p>
    <w:p w14:paraId="755A2304" w14:textId="2D6D9F68" w:rsidR="00597933" w:rsidRPr="000A408F" w:rsidRDefault="000A408F" w:rsidP="000A408F">
      <w:pPr>
        <w:tabs>
          <w:tab w:val="left" w:pos="1620"/>
        </w:tabs>
        <w:ind w:left="1170" w:hanging="540"/>
      </w:pPr>
      <w:r>
        <w:t>a)</w:t>
      </w:r>
      <w:r>
        <w:tab/>
      </w:r>
      <w:r w:rsidR="00597933" w:rsidRPr="000A408F">
        <w:t>Section 12 – Privacy and reputation.</w:t>
      </w:r>
    </w:p>
    <w:p w14:paraId="1DFE4126" w14:textId="578721EA" w:rsidR="00597933" w:rsidRPr="000A408F" w:rsidRDefault="000A408F" w:rsidP="000A408F">
      <w:pPr>
        <w:tabs>
          <w:tab w:val="left" w:pos="1170"/>
        </w:tabs>
        <w:ind w:left="1170" w:hanging="630"/>
      </w:pPr>
      <w:r>
        <w:t>8.8.</w:t>
      </w:r>
      <w:r>
        <w:tab/>
      </w:r>
      <w:r w:rsidR="00597933" w:rsidRPr="000A408F">
        <w:t xml:space="preserve">Police use of a BWC can be reasonably expected to limit a person’s privacy in some circumstances by recording their actions and/or conversations, including in the privacy of their own home. </w:t>
      </w:r>
    </w:p>
    <w:p w14:paraId="3E160979" w14:textId="762CFE79" w:rsidR="00597933" w:rsidRPr="000A408F" w:rsidRDefault="000A408F" w:rsidP="000A408F">
      <w:pPr>
        <w:tabs>
          <w:tab w:val="left" w:pos="1170"/>
        </w:tabs>
        <w:ind w:left="1170" w:hanging="630"/>
      </w:pPr>
      <w:r>
        <w:t>8.9.</w:t>
      </w:r>
      <w:r>
        <w:tab/>
      </w:r>
      <w:r w:rsidR="00597933" w:rsidRPr="000A408F">
        <w:t xml:space="preserve">These guidelines clarify the circumstances in which police may or must use BWCs to ensure that any limitation on the right to privacy arising from the use of BWCs will be reasonable, necessary and proportionate in the circumstances, avoiding disproportionate or arbitrary limitations. </w:t>
      </w:r>
    </w:p>
    <w:p w14:paraId="6E764969" w14:textId="372B5A73" w:rsidR="00597933" w:rsidRPr="000A408F" w:rsidRDefault="000A408F" w:rsidP="000A408F">
      <w:pPr>
        <w:tabs>
          <w:tab w:val="left" w:pos="1170"/>
        </w:tabs>
        <w:ind w:left="1170" w:hanging="630"/>
      </w:pPr>
      <w:r>
        <w:t>8.10.</w:t>
      </w:r>
      <w:r>
        <w:tab/>
      </w:r>
      <w:r w:rsidR="00597933" w:rsidRPr="000A408F">
        <w:t>The limitation of the right to an individuals’ privacy in some circumstances is proportionate to the benefits of using BWCs, including improvements in evidence-gathering, community safety, and accountability and transparency.</w:t>
      </w:r>
    </w:p>
    <w:p w14:paraId="4AEB34E9" w14:textId="1539B63C" w:rsidR="00597933" w:rsidRDefault="000A408F" w:rsidP="000A408F">
      <w:pPr>
        <w:tabs>
          <w:tab w:val="left" w:pos="1170"/>
        </w:tabs>
        <w:ind w:left="1170" w:hanging="630"/>
      </w:pPr>
      <w:r>
        <w:t>8.11.</w:t>
      </w:r>
      <w:r>
        <w:tab/>
      </w:r>
      <w:r w:rsidR="00597933">
        <w:t>If a person considers that a police officer’s use of a BWC has unreasonably interfered with or limited their human rights, they may submit a complaint in writing, by phone, via website, or by attending the relevant office, to the following:</w:t>
      </w:r>
    </w:p>
    <w:p w14:paraId="3C599A8C" w14:textId="5652E2A5" w:rsidR="00597933" w:rsidRDefault="000A408F" w:rsidP="000A408F">
      <w:pPr>
        <w:tabs>
          <w:tab w:val="left" w:pos="1620"/>
        </w:tabs>
        <w:ind w:left="1170" w:hanging="540"/>
      </w:pPr>
      <w:r>
        <w:t>a)</w:t>
      </w:r>
      <w:r>
        <w:tab/>
      </w:r>
      <w:r w:rsidR="00597933">
        <w:t xml:space="preserve">ACT Ombudsman; </w:t>
      </w:r>
    </w:p>
    <w:p w14:paraId="548AC6C6" w14:textId="44CDAB15" w:rsidR="00597933" w:rsidRDefault="000A408F" w:rsidP="000A408F">
      <w:pPr>
        <w:tabs>
          <w:tab w:val="left" w:pos="1620"/>
        </w:tabs>
        <w:ind w:left="1170" w:hanging="540"/>
      </w:pPr>
      <w:r>
        <w:t>b)</w:t>
      </w:r>
      <w:r>
        <w:tab/>
      </w:r>
      <w:r w:rsidR="00597933">
        <w:t>Office of the Australian Information Commissioner; and</w:t>
      </w:r>
    </w:p>
    <w:p w14:paraId="6AF87291" w14:textId="212927FC" w:rsidR="00597933" w:rsidRDefault="000A408F" w:rsidP="000A408F">
      <w:pPr>
        <w:tabs>
          <w:tab w:val="left" w:pos="1620"/>
        </w:tabs>
        <w:ind w:left="1170" w:hanging="540"/>
      </w:pPr>
      <w:r>
        <w:t>c)</w:t>
      </w:r>
      <w:r>
        <w:tab/>
      </w:r>
      <w:r w:rsidR="00597933">
        <w:t xml:space="preserve">AFP (in accordance with Part 7). </w:t>
      </w:r>
    </w:p>
    <w:p w14:paraId="5850204E" w14:textId="77777777" w:rsidR="00597933" w:rsidRPr="002A3DCD" w:rsidRDefault="00597933" w:rsidP="00597933">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14F44574" w14:textId="77777777" w:rsidR="00597933"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7A1922F1" w14:textId="77777777" w:rsidR="00597933" w:rsidRPr="00597933" w:rsidRDefault="00597933" w:rsidP="00597933">
      <w:pPr>
        <w:pStyle w:val="Heading4nonumber"/>
        <w:spacing w:before="220" w:after="220" w:line="280" w:lineRule="exact"/>
        <w:rPr>
          <w:sz w:val="22"/>
          <w:szCs w:val="22"/>
        </w:rPr>
      </w:pPr>
      <w:r w:rsidRPr="00597933">
        <w:rPr>
          <w:sz w:val="22"/>
          <w:szCs w:val="22"/>
        </w:rPr>
        <w:t>Human rights issues</w:t>
      </w:r>
    </w:p>
    <w:p w14:paraId="315E7369" w14:textId="77777777" w:rsidR="00597933" w:rsidRPr="00824694" w:rsidRDefault="00597933" w:rsidP="00597933">
      <w:pPr>
        <w:pStyle w:val="Bodycopy"/>
        <w:numPr>
          <w:ilvl w:val="0"/>
          <w:numId w:val="41"/>
        </w:numPr>
        <w:spacing w:before="160" w:after="160" w:line="280" w:lineRule="exact"/>
        <w:ind w:left="360"/>
        <w:rPr>
          <w:b/>
        </w:rPr>
      </w:pPr>
      <w:r w:rsidRPr="00824694">
        <w:rPr>
          <w:b/>
        </w:rPr>
        <w:t xml:space="preserve">Disallowable Instrument DI2022-10 being the Planning and Development (Canberra Urban Lakes and Ponds) Land Management Plan 2022 made under section 328 of the </w:t>
      </w:r>
      <w:r w:rsidRPr="00824694">
        <w:rPr>
          <w:i/>
        </w:rPr>
        <w:t>Planning and Development Act 2007</w:t>
      </w:r>
      <w:r w:rsidRPr="00824694">
        <w:rPr>
          <w:b/>
        </w:rPr>
        <w:t xml:space="preserve"> revokes DI2001-173 and approves the Canberra Urban Lakes and Ponds Land Management Plan</w:t>
      </w:r>
      <w:r>
        <w:rPr>
          <w:b/>
        </w:rPr>
        <w:t>.</w:t>
      </w:r>
    </w:p>
    <w:p w14:paraId="0F7E405D" w14:textId="4807AD7A" w:rsidR="00597933" w:rsidRDefault="00597933" w:rsidP="00597933">
      <w:pPr>
        <w:pStyle w:val="Heading4nonumber"/>
        <w:spacing w:before="220" w:after="220" w:line="280" w:lineRule="exact"/>
        <w:rPr>
          <w:rFonts w:asciiTheme="minorHAnsi" w:hAnsiTheme="minorHAnsi" w:cstheme="minorHAnsi"/>
          <w:smallCaps w:val="0"/>
          <w:sz w:val="22"/>
          <w:szCs w:val="22"/>
        </w:rPr>
      </w:pPr>
      <w:r>
        <w:rPr>
          <w:rFonts w:asciiTheme="minorHAnsi" w:hAnsiTheme="minorHAnsi" w:cstheme="minorHAnsi"/>
          <w:smallCaps w:val="0"/>
          <w:sz w:val="22"/>
          <w:szCs w:val="22"/>
        </w:rPr>
        <w:t xml:space="preserve">This instrument approves a Canberra Urban Lakes and Ponds Land Management Plan, under </w:t>
      </w:r>
      <w:r w:rsidR="005E2994">
        <w:rPr>
          <w:rFonts w:asciiTheme="minorHAnsi" w:hAnsiTheme="minorHAnsi" w:cstheme="minorHAnsi"/>
          <w:smallCaps w:val="0"/>
          <w:sz w:val="22"/>
          <w:szCs w:val="22"/>
        </w:rPr>
        <w:t>section </w:t>
      </w:r>
      <w:r w:rsidRPr="00DA7418">
        <w:rPr>
          <w:rFonts w:asciiTheme="minorHAnsi" w:hAnsiTheme="minorHAnsi" w:cstheme="minorHAnsi"/>
          <w:smallCaps w:val="0"/>
          <w:sz w:val="22"/>
          <w:szCs w:val="22"/>
        </w:rPr>
        <w:t xml:space="preserve">328 of the </w:t>
      </w:r>
      <w:r w:rsidRPr="00DA7418">
        <w:rPr>
          <w:rFonts w:asciiTheme="minorHAnsi" w:hAnsiTheme="minorHAnsi" w:cstheme="minorHAnsi"/>
          <w:i/>
          <w:iCs/>
          <w:smallCaps w:val="0"/>
          <w:sz w:val="22"/>
          <w:szCs w:val="22"/>
        </w:rPr>
        <w:t>Planning and Development Act 2007</w:t>
      </w:r>
      <w:r>
        <w:rPr>
          <w:rFonts w:asciiTheme="minorHAnsi" w:hAnsiTheme="minorHAnsi" w:cstheme="minorHAnsi"/>
          <w:smallCaps w:val="0"/>
          <w:sz w:val="22"/>
          <w:szCs w:val="22"/>
        </w:rPr>
        <w:t>.  The Committee notes that the explanatory statement for the instrument contains the following discussion of human rights issues:</w:t>
      </w:r>
    </w:p>
    <w:p w14:paraId="7977F29E" w14:textId="77777777" w:rsidR="00597933" w:rsidRPr="00DA7418" w:rsidRDefault="00597933" w:rsidP="000A408F">
      <w:pPr>
        <w:ind w:left="540"/>
        <w:rPr>
          <w:rFonts w:cstheme="minorHAnsi"/>
          <w:b/>
        </w:rPr>
      </w:pPr>
      <w:r w:rsidRPr="00DA7418">
        <w:rPr>
          <w:rFonts w:cstheme="minorHAnsi"/>
          <w:b/>
        </w:rPr>
        <w:t xml:space="preserve">Human Rights </w:t>
      </w:r>
    </w:p>
    <w:p w14:paraId="09A39881" w14:textId="77777777" w:rsidR="00597933" w:rsidRPr="00DA7418" w:rsidRDefault="00597933" w:rsidP="000A408F">
      <w:pPr>
        <w:ind w:left="540"/>
        <w:rPr>
          <w:rFonts w:cstheme="minorHAnsi"/>
        </w:rPr>
      </w:pPr>
      <w:r w:rsidRPr="00DA7418">
        <w:rPr>
          <w:rFonts w:cstheme="minorHAnsi"/>
        </w:rPr>
        <w:t>The Standing Committee on Justice and Community Safety (Legislative Scrutiny Role) terms of reference requires consideration of human rights, among other matters. In this case, no human rights are impacted.</w:t>
      </w:r>
    </w:p>
    <w:p w14:paraId="641E3F23" w14:textId="77777777" w:rsidR="00597933" w:rsidRPr="002A3DCD" w:rsidRDefault="00597933" w:rsidP="00597933">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w:t>
      </w:r>
      <w:r w:rsidRPr="002A3DCD">
        <w:rPr>
          <w:b/>
        </w:rPr>
        <w:t>instrument.</w:t>
      </w:r>
    </w:p>
    <w:p w14:paraId="77691D58" w14:textId="77777777" w:rsidR="00597933"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4745693D" w14:textId="6A182694" w:rsidR="00B932B1" w:rsidRPr="00103E7B" w:rsidRDefault="00B932B1" w:rsidP="00B932B1">
      <w:pPr>
        <w:pStyle w:val="Heading3"/>
        <w:spacing w:before="360"/>
        <w:rPr>
          <w:rFonts w:eastAsia="Calibri"/>
          <w:lang w:eastAsia="en-AU"/>
        </w:rPr>
      </w:pPr>
      <w:bookmarkStart w:id="576" w:name="_Toc99029472"/>
      <w:bookmarkEnd w:id="574"/>
      <w:r>
        <w:rPr>
          <w:rFonts w:eastAsia="Calibri"/>
          <w:lang w:eastAsia="en-AU"/>
        </w:rPr>
        <w:t>Subordinate Law</w:t>
      </w:r>
      <w:r w:rsidRPr="00103E7B">
        <w:rPr>
          <w:rFonts w:eastAsia="Calibri"/>
          <w:lang w:eastAsia="en-AU"/>
        </w:rPr>
        <w:t>—Comment</w:t>
      </w:r>
      <w:bookmarkEnd w:id="576"/>
    </w:p>
    <w:p w14:paraId="4CE32D57" w14:textId="3C172B19" w:rsidR="00B932B1" w:rsidRDefault="00B932B1" w:rsidP="00B932B1">
      <w:pPr>
        <w:rPr>
          <w:spacing w:val="-2"/>
        </w:rPr>
      </w:pPr>
      <w:r w:rsidRPr="003C60E7">
        <w:rPr>
          <w:spacing w:val="-2"/>
        </w:rPr>
        <w:t xml:space="preserve">The Committee has examined the following </w:t>
      </w:r>
      <w:r>
        <w:rPr>
          <w:spacing w:val="-2"/>
        </w:rPr>
        <w:t>subordinate law</w:t>
      </w:r>
      <w:r w:rsidRPr="003C60E7">
        <w:rPr>
          <w:spacing w:val="-2"/>
        </w:rPr>
        <w:t xml:space="preserve"> and offers these comments on </w:t>
      </w:r>
      <w:r>
        <w:rPr>
          <w:spacing w:val="-2"/>
        </w:rPr>
        <w:t>it</w:t>
      </w:r>
      <w:r w:rsidRPr="003C60E7">
        <w:rPr>
          <w:spacing w:val="-2"/>
        </w:rPr>
        <w:t>:</w:t>
      </w:r>
    </w:p>
    <w:p w14:paraId="715970E4" w14:textId="77777777" w:rsidR="00597933" w:rsidRPr="00597933" w:rsidRDefault="00597933" w:rsidP="00597933">
      <w:pPr>
        <w:pStyle w:val="Heading4nonumber"/>
        <w:spacing w:before="220" w:after="220" w:line="280" w:lineRule="exact"/>
        <w:rPr>
          <w:sz w:val="22"/>
          <w:szCs w:val="22"/>
        </w:rPr>
      </w:pPr>
      <w:r w:rsidRPr="00597933">
        <w:rPr>
          <w:sz w:val="22"/>
          <w:szCs w:val="22"/>
        </w:rPr>
        <w:t>Human rights issues</w:t>
      </w:r>
    </w:p>
    <w:p w14:paraId="0F4CD411" w14:textId="77777777" w:rsidR="00597933" w:rsidRPr="00842199" w:rsidRDefault="00597933" w:rsidP="00597933">
      <w:pPr>
        <w:pStyle w:val="Bodycopy"/>
        <w:numPr>
          <w:ilvl w:val="0"/>
          <w:numId w:val="25"/>
        </w:numPr>
        <w:spacing w:before="160" w:after="160" w:line="280" w:lineRule="exact"/>
        <w:ind w:left="360"/>
        <w:rPr>
          <w:b/>
        </w:rPr>
      </w:pPr>
      <w:r w:rsidRPr="00824694">
        <w:rPr>
          <w:b/>
        </w:rPr>
        <w:t xml:space="preserve">Subordinate Law SL2022-1 being the Crimes (Surveillance Devices) Amendment Regulation 2022 (No 1) made under the </w:t>
      </w:r>
      <w:r w:rsidRPr="00824694">
        <w:rPr>
          <w:i/>
        </w:rPr>
        <w:t>Crimes (Surveillance Devices) Act 2010</w:t>
      </w:r>
      <w:r w:rsidRPr="00824694">
        <w:rPr>
          <w:b/>
        </w:rPr>
        <w:t xml:space="preserve"> expands the circumstances in which a surveillance device may lawfully be used by adding the </w:t>
      </w:r>
      <w:r w:rsidRPr="00824694">
        <w:rPr>
          <w:b/>
          <w:i/>
        </w:rPr>
        <w:t>Surveillance Devices Act 2016</w:t>
      </w:r>
      <w:r w:rsidRPr="00824694">
        <w:rPr>
          <w:b/>
        </w:rPr>
        <w:t xml:space="preserve"> (SA) to the list of corresponding laws</w:t>
      </w:r>
      <w:r>
        <w:rPr>
          <w:b/>
        </w:rPr>
        <w:t>.</w:t>
      </w:r>
    </w:p>
    <w:p w14:paraId="11703FC2" w14:textId="77777777" w:rsidR="00597933" w:rsidRDefault="00597933" w:rsidP="00597933">
      <w:pPr>
        <w:rPr>
          <w:rFonts w:cstheme="minorHAnsi"/>
        </w:rPr>
      </w:pPr>
      <w:r w:rsidRPr="00375812">
        <w:rPr>
          <w:rFonts w:cstheme="minorHAnsi"/>
        </w:rPr>
        <w:t>T</w:t>
      </w:r>
      <w:r>
        <w:rPr>
          <w:rFonts w:cstheme="minorHAnsi"/>
        </w:rPr>
        <w:t xml:space="preserve">his subordinate law </w:t>
      </w:r>
      <w:r w:rsidRPr="00375812">
        <w:rPr>
          <w:rFonts w:cstheme="minorHAnsi"/>
        </w:rPr>
        <w:t xml:space="preserve">amends the </w:t>
      </w:r>
      <w:bookmarkStart w:id="577" w:name="_Hlk98691822"/>
      <w:r w:rsidRPr="00375812">
        <w:rPr>
          <w:rFonts w:cstheme="minorHAnsi"/>
          <w:i/>
          <w:iCs/>
        </w:rPr>
        <w:t xml:space="preserve">Crimes (Surveillance Devices) Regulation </w:t>
      </w:r>
      <w:bookmarkEnd w:id="577"/>
      <w:r w:rsidRPr="00375812">
        <w:rPr>
          <w:rFonts w:cstheme="minorHAnsi"/>
          <w:i/>
          <w:iCs/>
        </w:rPr>
        <w:t>2017</w:t>
      </w:r>
      <w:r>
        <w:rPr>
          <w:rFonts w:cstheme="minorHAnsi"/>
        </w:rPr>
        <w:t xml:space="preserve">, </w:t>
      </w:r>
      <w:r w:rsidRPr="00375812">
        <w:rPr>
          <w:rFonts w:cstheme="minorHAnsi"/>
        </w:rPr>
        <w:t xml:space="preserve">which </w:t>
      </w:r>
      <w:r>
        <w:rPr>
          <w:rFonts w:cstheme="minorHAnsi"/>
        </w:rPr>
        <w:t xml:space="preserve">(under the </w:t>
      </w:r>
      <w:r w:rsidRPr="00375812">
        <w:rPr>
          <w:rFonts w:cstheme="minorHAnsi"/>
          <w:i/>
          <w:iCs/>
        </w:rPr>
        <w:t>Crimes (Surveillance Devices) Act 2010</w:t>
      </w:r>
      <w:r w:rsidRPr="00375812">
        <w:rPr>
          <w:rFonts w:cstheme="minorHAnsi"/>
        </w:rPr>
        <w:t>)</w:t>
      </w:r>
      <w:r>
        <w:rPr>
          <w:rFonts w:cstheme="minorHAnsi"/>
        </w:rPr>
        <w:t xml:space="preserve"> is part of </w:t>
      </w:r>
      <w:r w:rsidRPr="00375812">
        <w:rPr>
          <w:rFonts w:cstheme="minorHAnsi"/>
        </w:rPr>
        <w:t>a legal framework for a surveillance device warrant scheme</w:t>
      </w:r>
      <w:r>
        <w:rPr>
          <w:rFonts w:cstheme="minorHAnsi"/>
        </w:rPr>
        <w:t xml:space="preserve"> in the ACT</w:t>
      </w:r>
      <w:r w:rsidRPr="00375812">
        <w:rPr>
          <w:rFonts w:cstheme="minorHAnsi"/>
        </w:rPr>
        <w:t xml:space="preserve">. </w:t>
      </w:r>
      <w:r>
        <w:rPr>
          <w:rFonts w:cstheme="minorHAnsi"/>
        </w:rPr>
        <w:t xml:space="preserve"> According to the explanatory statement for this subordinate law:</w:t>
      </w:r>
    </w:p>
    <w:p w14:paraId="1A4AB611" w14:textId="77777777" w:rsidR="00597933" w:rsidRDefault="00597933" w:rsidP="005E2994">
      <w:pPr>
        <w:ind w:left="540"/>
        <w:rPr>
          <w:rFonts w:cstheme="minorHAnsi"/>
        </w:rPr>
      </w:pPr>
      <w:r w:rsidRPr="00375812">
        <w:rPr>
          <w:rFonts w:cstheme="minorHAnsi"/>
        </w:rPr>
        <w:t xml:space="preserve">The scheme authorises the installation, use and maintenance of surveillance devices by law enforcement officers in the ACT as well as in other jurisdictions with corresponding laws. The </w:t>
      </w:r>
      <w:r>
        <w:rPr>
          <w:rFonts w:cstheme="minorHAnsi"/>
        </w:rPr>
        <w:t>[</w:t>
      </w:r>
      <w:r w:rsidRPr="002244DA">
        <w:rPr>
          <w:rFonts w:cstheme="minorHAnsi"/>
        </w:rPr>
        <w:t>Crimes (Surveillance Devices) Act</w:t>
      </w:r>
      <w:r>
        <w:rPr>
          <w:rFonts w:cstheme="minorHAnsi"/>
        </w:rPr>
        <w:t>]</w:t>
      </w:r>
      <w:r w:rsidRPr="00375812">
        <w:rPr>
          <w:rFonts w:cstheme="minorHAnsi"/>
        </w:rPr>
        <w:t xml:space="preserve"> allows jurisdictions with corresponding laws to use their surveillance devices warrants in the ACT. </w:t>
      </w:r>
      <w:r>
        <w:rPr>
          <w:rFonts w:cstheme="minorHAnsi"/>
        </w:rPr>
        <w:t xml:space="preserve"> </w:t>
      </w:r>
      <w:r w:rsidRPr="00375812">
        <w:rPr>
          <w:rFonts w:cstheme="minorHAnsi"/>
        </w:rPr>
        <w:t xml:space="preserve">Laws in NSW, Victoria, Queensland, Tasmania and the Northern Territory have already been declared to correspond to the </w:t>
      </w:r>
      <w:r>
        <w:rPr>
          <w:rFonts w:cstheme="minorHAnsi"/>
        </w:rPr>
        <w:t>[</w:t>
      </w:r>
      <w:r w:rsidRPr="002244DA">
        <w:rPr>
          <w:rFonts w:cstheme="minorHAnsi"/>
        </w:rPr>
        <w:t>Crimes (Surveillance Devices) Act</w:t>
      </w:r>
      <w:r>
        <w:rPr>
          <w:rFonts w:cstheme="minorHAnsi"/>
        </w:rPr>
        <w:t>]</w:t>
      </w:r>
      <w:r w:rsidRPr="00375812">
        <w:rPr>
          <w:rFonts w:cstheme="minorHAnsi"/>
        </w:rPr>
        <w:t>.</w:t>
      </w:r>
    </w:p>
    <w:p w14:paraId="3F3773AE" w14:textId="15CFB426" w:rsidR="00597933" w:rsidRDefault="00597933" w:rsidP="005E2994">
      <w:pPr>
        <w:keepLines/>
        <w:rPr>
          <w:rFonts w:cstheme="minorHAnsi"/>
        </w:rPr>
      </w:pPr>
      <w:r>
        <w:rPr>
          <w:rFonts w:cstheme="minorHAnsi"/>
        </w:rPr>
        <w:t xml:space="preserve">Section 4 of this subordinate law inserts into the </w:t>
      </w:r>
      <w:r w:rsidRPr="002244DA">
        <w:rPr>
          <w:rFonts w:cstheme="minorHAnsi"/>
        </w:rPr>
        <w:t>Crimes (Surveillance Devices) Regulation</w:t>
      </w:r>
      <w:r>
        <w:rPr>
          <w:rFonts w:cstheme="minorHAnsi"/>
        </w:rPr>
        <w:t xml:space="preserve"> a new paragraph 3(f), the effect of which is to make the </w:t>
      </w:r>
      <w:r w:rsidRPr="005701DA">
        <w:rPr>
          <w:rFonts w:cstheme="minorHAnsi"/>
          <w:i/>
          <w:iCs/>
        </w:rPr>
        <w:t xml:space="preserve">Surveillance Devices Act 2016 </w:t>
      </w:r>
      <w:r w:rsidRPr="005701DA">
        <w:rPr>
          <w:rFonts w:cstheme="minorHAnsi"/>
        </w:rPr>
        <w:t xml:space="preserve">(SA) a </w:t>
      </w:r>
      <w:r>
        <w:rPr>
          <w:rFonts w:cstheme="minorHAnsi"/>
        </w:rPr>
        <w:t>“</w:t>
      </w:r>
      <w:r w:rsidRPr="005701DA">
        <w:rPr>
          <w:rFonts w:cstheme="minorHAnsi"/>
        </w:rPr>
        <w:t>corresponding law</w:t>
      </w:r>
      <w:r>
        <w:rPr>
          <w:rFonts w:cstheme="minorHAnsi"/>
        </w:rPr>
        <w:t>”</w:t>
      </w:r>
      <w:r w:rsidRPr="005701DA">
        <w:rPr>
          <w:rFonts w:cstheme="minorHAnsi"/>
        </w:rPr>
        <w:t xml:space="preserve">, except to the extent that it provides for a </w:t>
      </w:r>
      <w:r>
        <w:rPr>
          <w:rFonts w:cstheme="minorHAnsi"/>
        </w:rPr>
        <w:t>“</w:t>
      </w:r>
      <w:r w:rsidRPr="005701DA">
        <w:rPr>
          <w:rFonts w:cstheme="minorHAnsi"/>
        </w:rPr>
        <w:t>surveillance device (emergency) authority</w:t>
      </w:r>
      <w:r>
        <w:rPr>
          <w:rFonts w:cstheme="minorHAnsi"/>
        </w:rPr>
        <w:t>”</w:t>
      </w:r>
      <w:r w:rsidRPr="005701DA">
        <w:rPr>
          <w:rFonts w:cstheme="minorHAnsi"/>
        </w:rPr>
        <w:t xml:space="preserve"> to be granted in relation to a </w:t>
      </w:r>
      <w:r>
        <w:rPr>
          <w:rFonts w:cstheme="minorHAnsi"/>
        </w:rPr>
        <w:t>“</w:t>
      </w:r>
      <w:r w:rsidRPr="005701DA">
        <w:rPr>
          <w:rFonts w:cstheme="minorHAnsi"/>
        </w:rPr>
        <w:t>serious drug offence</w:t>
      </w:r>
      <w:r>
        <w:rPr>
          <w:rFonts w:cstheme="minorHAnsi"/>
        </w:rPr>
        <w:t>”</w:t>
      </w:r>
      <w:r w:rsidRPr="005701DA">
        <w:rPr>
          <w:rFonts w:cstheme="minorHAnsi"/>
        </w:rPr>
        <w:t>.</w:t>
      </w:r>
      <w:r>
        <w:rPr>
          <w:rFonts w:cstheme="minorHAnsi"/>
        </w:rPr>
        <w:t xml:space="preserve"> </w:t>
      </w:r>
      <w:r w:rsidRPr="005701DA">
        <w:rPr>
          <w:rFonts w:cstheme="minorHAnsi"/>
        </w:rPr>
        <w:t xml:space="preserve"> A note </w:t>
      </w:r>
      <w:r>
        <w:rPr>
          <w:rFonts w:cstheme="minorHAnsi"/>
        </w:rPr>
        <w:t xml:space="preserve">to the new provision </w:t>
      </w:r>
      <w:r w:rsidRPr="005701DA">
        <w:rPr>
          <w:rFonts w:cstheme="minorHAnsi"/>
        </w:rPr>
        <w:t xml:space="preserve">states that a surveillance device (emergency) authority would otherwise </w:t>
      </w:r>
      <w:r w:rsidR="00E36414">
        <w:rPr>
          <w:rFonts w:cstheme="minorHAnsi"/>
        </w:rPr>
        <w:t xml:space="preserve">be </w:t>
      </w:r>
      <w:r w:rsidRPr="005701DA">
        <w:rPr>
          <w:rFonts w:cstheme="minorHAnsi"/>
        </w:rPr>
        <w:t xml:space="preserve">by a corresponding emergency authorisation. </w:t>
      </w:r>
    </w:p>
    <w:p w14:paraId="4D5DBB51" w14:textId="77777777" w:rsidR="00597933" w:rsidRPr="006066F3" w:rsidRDefault="00597933" w:rsidP="00597933">
      <w:pPr>
        <w:rPr>
          <w:rFonts w:cstheme="minorHAnsi"/>
        </w:rPr>
      </w:pPr>
      <w:r>
        <w:rPr>
          <w:rFonts w:cstheme="minorHAnsi"/>
        </w:rPr>
        <w:t xml:space="preserve">As to the effect of making a law a “corresponding law”, according to the explanatory statement for the </w:t>
      </w:r>
      <w:r w:rsidRPr="006066F3">
        <w:rPr>
          <w:rFonts w:cstheme="minorHAnsi"/>
        </w:rPr>
        <w:t xml:space="preserve">Crimes (Surveillance Devices) </w:t>
      </w:r>
      <w:r>
        <w:rPr>
          <w:rFonts w:cstheme="minorHAnsi"/>
        </w:rPr>
        <w:t>Bill</w:t>
      </w:r>
      <w:r w:rsidRPr="006066F3">
        <w:rPr>
          <w:rFonts w:cstheme="minorHAnsi"/>
        </w:rPr>
        <w:t xml:space="preserve"> 2010</w:t>
      </w:r>
      <w:r>
        <w:rPr>
          <w:rFonts w:cstheme="minorHAnsi"/>
        </w:rPr>
        <w:t xml:space="preserve"> (which was enacted as the </w:t>
      </w:r>
      <w:r w:rsidRPr="006066F3">
        <w:rPr>
          <w:rFonts w:cstheme="minorHAnsi"/>
          <w:i/>
          <w:iCs/>
        </w:rPr>
        <w:t>Crimes (Surveillance Devices) Act 2010</w:t>
      </w:r>
      <w:r>
        <w:rPr>
          <w:rFonts w:cstheme="minorHAnsi"/>
        </w:rPr>
        <w:t>):</w:t>
      </w:r>
    </w:p>
    <w:p w14:paraId="1FE7FBDA" w14:textId="77777777" w:rsidR="00597933" w:rsidRDefault="00597933" w:rsidP="001E0240">
      <w:pPr>
        <w:keepNext/>
        <w:keepLines/>
        <w:ind w:left="547"/>
        <w:rPr>
          <w:rFonts w:cstheme="minorHAnsi"/>
        </w:rPr>
      </w:pPr>
      <w:r w:rsidRPr="006066F3">
        <w:rPr>
          <w:rFonts w:cstheme="minorHAnsi"/>
        </w:rPr>
        <w:t xml:space="preserve">The scheme </w:t>
      </w:r>
      <w:r>
        <w:rPr>
          <w:rFonts w:cstheme="minorHAnsi"/>
        </w:rPr>
        <w:t xml:space="preserve">[put in place by the </w:t>
      </w:r>
      <w:r w:rsidRPr="006066F3">
        <w:rPr>
          <w:rFonts w:cstheme="minorHAnsi"/>
        </w:rPr>
        <w:t>Crimes (Surveillance Devices) Act</w:t>
      </w:r>
      <w:r>
        <w:rPr>
          <w:rFonts w:cstheme="minorHAnsi"/>
        </w:rPr>
        <w:t xml:space="preserve">] </w:t>
      </w:r>
      <w:r w:rsidRPr="006066F3">
        <w:rPr>
          <w:rFonts w:cstheme="minorHAnsi"/>
        </w:rPr>
        <w:t>will authorise the use of surveillance devices by law enforcement officer in the ACT that can also be used in other jurisdictions with corresponding law.  Conversely, the Bill will enable other jurisdictions with corresponding law to use their surveillance devices warrants in the ACT.</w:t>
      </w:r>
    </w:p>
    <w:p w14:paraId="21B5A37A" w14:textId="77777777" w:rsidR="00597933" w:rsidRPr="005701DA" w:rsidRDefault="00597933" w:rsidP="00597933">
      <w:pPr>
        <w:rPr>
          <w:rFonts w:cstheme="minorHAnsi"/>
        </w:rPr>
      </w:pPr>
      <w:r>
        <w:rPr>
          <w:rFonts w:cstheme="minorHAnsi"/>
        </w:rPr>
        <w:t>The explanatory statement for this subordinate law states:</w:t>
      </w:r>
    </w:p>
    <w:p w14:paraId="504D4B86" w14:textId="77777777" w:rsidR="00597933" w:rsidRDefault="00597933" w:rsidP="00CB59B2">
      <w:pPr>
        <w:ind w:left="540"/>
        <w:rPr>
          <w:rFonts w:cstheme="minorHAnsi"/>
        </w:rPr>
      </w:pPr>
      <w:r w:rsidRPr="00BD4ACB">
        <w:rPr>
          <w:rFonts w:cstheme="minorHAnsi"/>
        </w:rPr>
        <w:t xml:space="preserve">The </w:t>
      </w:r>
      <w:r w:rsidRPr="00BD4ACB">
        <w:rPr>
          <w:rFonts w:cstheme="minorHAnsi"/>
          <w:i/>
          <w:iCs/>
        </w:rPr>
        <w:t xml:space="preserve">Surveillance Devices Act 2016 </w:t>
      </w:r>
      <w:r w:rsidRPr="00BD4ACB">
        <w:rPr>
          <w:rFonts w:cstheme="minorHAnsi"/>
        </w:rPr>
        <w:t xml:space="preserve">(SA) has been declared as a corresponding law as it is broadly consistent with the ACT legislation and will assist with the facilitation of cross-border criminal investigations. The limitation on surveillance device (emergency) authorities for serious drug offences has been included as under the ACT legislation an emergency authorisation may only be made if a police officer suspects or believes on reasonable grounds that an imminent threat of serious violence to a person or substantial damage to property exists. In SA, a surveillance device emergency authority for drug offences can be granted in broader circumstances, which would not be the case in the ACT. To ensure consistency in the use of emergency authorities for drug offences committed in the ACT, this aspect of the SA law has been specifically excluded. </w:t>
      </w:r>
    </w:p>
    <w:p w14:paraId="4057231B" w14:textId="77777777" w:rsidR="00597933" w:rsidRDefault="00597933" w:rsidP="00597933">
      <w:pPr>
        <w:rPr>
          <w:rFonts w:cstheme="minorHAnsi"/>
        </w:rPr>
      </w:pPr>
      <w:r>
        <w:rPr>
          <w:rFonts w:cstheme="minorHAnsi"/>
        </w:rPr>
        <w:t xml:space="preserve">Section 5 of this subordinate law inserts into section 3 of the </w:t>
      </w:r>
      <w:r w:rsidRPr="00BD4ACB">
        <w:rPr>
          <w:rFonts w:cstheme="minorHAnsi"/>
        </w:rPr>
        <w:t>Crimes (Surveillance Devices) Regulation</w:t>
      </w:r>
      <w:r>
        <w:rPr>
          <w:rFonts w:cstheme="minorHAnsi"/>
        </w:rPr>
        <w:t xml:space="preserve"> a new subsection 3(2), containing definitions of “serious drug offence” and </w:t>
      </w:r>
      <w:r w:rsidRPr="00BD4ACB">
        <w:rPr>
          <w:rFonts w:cstheme="minorHAnsi"/>
        </w:rPr>
        <w:t>“surveillance device (emergency) authority”</w:t>
      </w:r>
      <w:r>
        <w:rPr>
          <w:rFonts w:cstheme="minorHAnsi"/>
        </w:rPr>
        <w:t>, for the purposes of the exception specified in new paragraph 3(f).</w:t>
      </w:r>
    </w:p>
    <w:p w14:paraId="69EA8AF6" w14:textId="77777777" w:rsidR="00597933" w:rsidRDefault="00597933" w:rsidP="00597933">
      <w:pPr>
        <w:rPr>
          <w:rFonts w:cstheme="minorHAnsi"/>
        </w:rPr>
      </w:pPr>
      <w:r>
        <w:rPr>
          <w:rFonts w:cstheme="minorHAnsi"/>
        </w:rPr>
        <w:t>The Committee notes that the explanatory statement for this subordinate law goes on to discuss human rights issues:</w:t>
      </w:r>
    </w:p>
    <w:p w14:paraId="65E1FC7F" w14:textId="77777777" w:rsidR="00597933" w:rsidRPr="00E53DCD" w:rsidRDefault="00597933" w:rsidP="00CB59B2">
      <w:pPr>
        <w:tabs>
          <w:tab w:val="left" w:pos="9000"/>
        </w:tabs>
        <w:ind w:left="540"/>
        <w:rPr>
          <w:rFonts w:cstheme="minorHAnsi"/>
        </w:rPr>
      </w:pPr>
      <w:r w:rsidRPr="00E53DCD">
        <w:rPr>
          <w:rFonts w:cstheme="minorHAnsi"/>
        </w:rPr>
        <w:t xml:space="preserve">The amendments may limit human rights, including the right to privacy, as they expand the circumstances in which a surveillance device may be lawfully used by adding the South Australia legislation to the list of corresponding laws. The amendments are for the legitimate purpose of facilitating law enforcement and any limitation on rights is proportionate to the achievement of that aim. A safeguard has been incorporated to provide that a corresponding emergency authorisation cannot be granted in relation to a surveillance device (emergency) authority issued in South Australia for a serious drug offence as the ACT legislation does not allow emergency authorisations to be made in those circumstances. </w:t>
      </w:r>
      <w:r w:rsidRPr="00E53DCD">
        <w:rPr>
          <w:rFonts w:cstheme="minorHAnsi"/>
          <w:color w:val="000000"/>
          <w:shd w:val="clear" w:color="auto" w:fill="FFFFFF"/>
        </w:rPr>
        <w:t>Section 45 of the Act authorises regulations in relation to the Act.</w:t>
      </w:r>
    </w:p>
    <w:p w14:paraId="29A07B04" w14:textId="77777777" w:rsidR="00597933" w:rsidRPr="002A3DCD" w:rsidRDefault="00597933" w:rsidP="00597933">
      <w:pPr>
        <w:pStyle w:val="Bodycopy"/>
        <w:spacing w:before="220" w:after="220" w:line="280" w:lineRule="exact"/>
        <w:rPr>
          <w:b/>
        </w:rPr>
      </w:pPr>
      <w:r w:rsidRPr="002A3DCD">
        <w:rPr>
          <w:b/>
        </w:rPr>
        <w:t>The Committee draws the attention of the Legislative Assembly to the discussion of human rights issues in the explanatory statement</w:t>
      </w:r>
      <w:r>
        <w:rPr>
          <w:b/>
        </w:rPr>
        <w:t xml:space="preserve"> for this subordinate law</w:t>
      </w:r>
      <w:r w:rsidRPr="002A3DCD">
        <w:rPr>
          <w:b/>
        </w:rPr>
        <w:t>.</w:t>
      </w:r>
    </w:p>
    <w:p w14:paraId="0C9C0AFE" w14:textId="77777777" w:rsidR="00597933" w:rsidRDefault="00597933" w:rsidP="00597933">
      <w:pPr>
        <w:pStyle w:val="Bodycopy"/>
        <w:spacing w:before="220" w:after="220" w:line="280" w:lineRule="exact"/>
        <w:rPr>
          <w:b/>
        </w:rPr>
      </w:pPr>
      <w:r w:rsidRPr="002A3DCD">
        <w:rPr>
          <w:b/>
        </w:rPr>
        <w:t>Th</w:t>
      </w:r>
      <w:r>
        <w:rPr>
          <w:b/>
        </w:rPr>
        <w:t>is</w:t>
      </w:r>
      <w:r w:rsidRPr="002A3DCD">
        <w:rPr>
          <w:b/>
        </w:rPr>
        <w:t xml:space="preserve"> comment does not require a response from the Minister.</w:t>
      </w:r>
    </w:p>
    <w:p w14:paraId="2E8A9526" w14:textId="26312491" w:rsidR="00F753CA" w:rsidRDefault="00C874F7" w:rsidP="00BA47E5">
      <w:pPr>
        <w:pStyle w:val="Heading2"/>
      </w:pPr>
      <w:bookmarkStart w:id="578" w:name="_Toc99029473"/>
      <w:r>
        <w:t>R</w:t>
      </w:r>
      <w:r w:rsidR="00F753CA">
        <w:t>esponses</w:t>
      </w:r>
      <w:bookmarkEnd w:id="578"/>
    </w:p>
    <w:p w14:paraId="7A38772C" w14:textId="6340BD4E" w:rsidR="00C874F7" w:rsidRPr="00C874F7" w:rsidRDefault="00C874F7" w:rsidP="00C874F7">
      <w:pPr>
        <w:pStyle w:val="Heading3"/>
        <w:rPr>
          <w:lang w:eastAsia="en-AU"/>
        </w:rPr>
      </w:pPr>
      <w:bookmarkStart w:id="579" w:name="_Toc88029469"/>
      <w:bookmarkStart w:id="580" w:name="_Toc97722466"/>
      <w:bookmarkStart w:id="581" w:name="_Toc99010783"/>
      <w:bookmarkStart w:id="582" w:name="_Toc99029474"/>
      <w:r>
        <w:rPr>
          <w:lang w:eastAsia="en-AU"/>
        </w:rPr>
        <w:t>Government responses</w:t>
      </w:r>
      <w:bookmarkEnd w:id="579"/>
      <w:bookmarkEnd w:id="580"/>
      <w:bookmarkEnd w:id="581"/>
      <w:bookmarkEnd w:id="582"/>
    </w:p>
    <w:bookmarkEnd w:id="555"/>
    <w:bookmarkEnd w:id="556"/>
    <w:bookmarkEnd w:id="557"/>
    <w:bookmarkEnd w:id="558"/>
    <w:p w14:paraId="2CC37C52" w14:textId="0DB8F44A" w:rsidR="00045B1E" w:rsidRDefault="00045B1E" w:rsidP="00AB560C">
      <w:pPr>
        <w:keepLines/>
        <w:widowControl w:val="0"/>
        <w:numPr>
          <w:ilvl w:val="0"/>
          <w:numId w:val="12"/>
        </w:numPr>
        <w:spacing w:after="200" w:line="270" w:lineRule="exact"/>
      </w:pPr>
      <w:r>
        <w:t xml:space="preserve">The Minister for Transport and City Services, dated </w:t>
      </w:r>
      <w:r w:rsidR="00E56C79">
        <w:t>18 March</w:t>
      </w:r>
      <w:r>
        <w:t xml:space="preserve"> 2</w:t>
      </w:r>
      <w:r w:rsidR="00E23279">
        <w:t xml:space="preserve">022, in relation to comments </w:t>
      </w:r>
      <w:r w:rsidR="00E56C79">
        <w:t xml:space="preserve">made </w:t>
      </w:r>
      <w:r w:rsidR="00E23279">
        <w:t>in </w:t>
      </w:r>
      <w:r>
        <w:t xml:space="preserve">Scrutiny Report </w:t>
      </w:r>
      <w:r w:rsidR="00E56C79">
        <w:t>13</w:t>
      </w:r>
      <w:r>
        <w:t xml:space="preserve"> concerning </w:t>
      </w:r>
      <w:r w:rsidR="00E56C79">
        <w:t>the Domestic Animals Legislation Amendment Bill 2022</w:t>
      </w:r>
      <w:r>
        <w:t>.</w:t>
      </w:r>
    </w:p>
    <w:p w14:paraId="361A4A3A" w14:textId="7C6F315C" w:rsidR="00AB560C" w:rsidRDefault="00AB560C" w:rsidP="00E56C79">
      <w:pPr>
        <w:keepLines/>
        <w:widowControl w:val="0"/>
        <w:numPr>
          <w:ilvl w:val="0"/>
          <w:numId w:val="12"/>
        </w:numPr>
        <w:spacing w:after="200" w:line="270" w:lineRule="exact"/>
      </w:pPr>
      <w:r w:rsidRPr="00AB560C">
        <w:t>The Minister for</w:t>
      </w:r>
      <w:r w:rsidR="00E56C79">
        <w:t xml:space="preserve"> Health</w:t>
      </w:r>
      <w:r w:rsidRPr="00AB560C">
        <w:t xml:space="preserve">, </w:t>
      </w:r>
      <w:r>
        <w:t>dated</w:t>
      </w:r>
      <w:r w:rsidR="00E56C79">
        <w:t xml:space="preserve"> 21 March</w:t>
      </w:r>
      <w:r>
        <w:t xml:space="preserve"> 2022</w:t>
      </w:r>
      <w:r w:rsidRPr="00AB560C">
        <w:t>, in relation to comments made in Scrutiny Report 1</w:t>
      </w:r>
      <w:r w:rsidR="00E56C79">
        <w:t>2</w:t>
      </w:r>
      <w:r>
        <w:t xml:space="preserve"> concerning </w:t>
      </w:r>
      <w:r w:rsidR="00E56C79">
        <w:t>the Public Health Amendment Bill 2021 (No 2).</w:t>
      </w:r>
    </w:p>
    <w:p w14:paraId="7DCFA25D" w14:textId="23A02707" w:rsidR="001E0240" w:rsidRPr="00AB560C" w:rsidRDefault="001E0240" w:rsidP="00E56C79">
      <w:pPr>
        <w:keepLines/>
        <w:widowControl w:val="0"/>
        <w:numPr>
          <w:ilvl w:val="0"/>
          <w:numId w:val="12"/>
        </w:numPr>
        <w:spacing w:after="200" w:line="270" w:lineRule="exact"/>
      </w:pPr>
      <w:r>
        <w:t>The Minister for Transport and City Services, dated 24 March 2022, in relation to comments made in Scrutiny Report 12 concerning the Road Transport Legislation Amendment Bill 2021 (No 2).</w:t>
      </w:r>
    </w:p>
    <w:p w14:paraId="2CF08D09" w14:textId="77777777" w:rsidR="00E56C79" w:rsidRDefault="008E15DC" w:rsidP="00E56C79">
      <w:pPr>
        <w:widowControl w:val="0"/>
        <w:spacing w:before="200" w:after="0" w:line="270" w:lineRule="exact"/>
        <w:ind w:left="360"/>
        <w:rPr>
          <w:rFonts w:ascii="Calibri" w:eastAsia="Calibri" w:hAnsi="Calibri" w:cs="Times New Roman"/>
          <w:b/>
          <w:lang w:eastAsia="en-AU"/>
        </w:rPr>
      </w:pPr>
      <w:hyperlink r:id="rId32" w:history="1">
        <w:r w:rsidR="00E56C79">
          <w:rPr>
            <w:rStyle w:val="Hyperlink"/>
            <w:rFonts w:ascii="Calibri" w:eastAsia="Calibri" w:hAnsi="Calibri" w:cs="Times New Roman"/>
            <w:b/>
            <w:lang w:eastAsia="en-AU"/>
          </w:rPr>
          <w:t>These</w:t>
        </w:r>
        <w:r w:rsidR="00E56C79" w:rsidRPr="00126C48">
          <w:rPr>
            <w:rStyle w:val="Hyperlink"/>
            <w:rFonts w:ascii="Calibri" w:eastAsia="Calibri" w:hAnsi="Calibri" w:cs="Times New Roman"/>
            <w:b/>
            <w:lang w:eastAsia="en-AU"/>
          </w:rPr>
          <w:t xml:space="preserve"> respons</w:t>
        </w:r>
        <w:r w:rsidR="00E56C79">
          <w:rPr>
            <w:rStyle w:val="Hyperlink"/>
            <w:rFonts w:ascii="Calibri" w:eastAsia="Calibri" w:hAnsi="Calibri" w:cs="Times New Roman"/>
            <w:b/>
            <w:lang w:eastAsia="en-AU"/>
          </w:rPr>
          <w:t>es</w:t>
        </w:r>
      </w:hyperlink>
      <w:r w:rsidR="00E56C79" w:rsidRPr="00367B9B">
        <w:rPr>
          <w:rFonts w:ascii="Calibri" w:eastAsia="Calibri" w:hAnsi="Calibri" w:cs="Times New Roman"/>
          <w:b/>
          <w:i/>
          <w:vertAlign w:val="superscript"/>
          <w:lang w:eastAsia="en-AU"/>
        </w:rPr>
        <w:footnoteReference w:id="3"/>
      </w:r>
      <w:r w:rsidR="00E56C79" w:rsidRPr="00367B9B">
        <w:rPr>
          <w:rFonts w:ascii="Calibri" w:eastAsia="Calibri" w:hAnsi="Calibri" w:cs="Times New Roman"/>
          <w:b/>
          <w:i/>
          <w:lang w:eastAsia="en-AU"/>
        </w:rPr>
        <w:t xml:space="preserve"> </w:t>
      </w:r>
      <w:r w:rsidR="00E56C79" w:rsidRPr="00031636">
        <w:rPr>
          <w:rFonts w:ascii="Calibri" w:eastAsia="Calibri" w:hAnsi="Calibri" w:cs="Times New Roman"/>
          <w:b/>
          <w:lang w:eastAsia="en-AU"/>
        </w:rPr>
        <w:t>can be viewed online.</w:t>
      </w:r>
    </w:p>
    <w:p w14:paraId="618F68C4" w14:textId="38EE0AD1" w:rsidR="00E56C79" w:rsidRDefault="00E56C79" w:rsidP="00E56C79">
      <w:pPr>
        <w:keepLines/>
        <w:widowControl w:val="0"/>
        <w:numPr>
          <w:ilvl w:val="0"/>
          <w:numId w:val="12"/>
        </w:numPr>
        <w:spacing w:after="200" w:line="270" w:lineRule="exact"/>
      </w:pPr>
      <w:r>
        <w:t>The Minister for Industrial Relations and Workplace Safety, dated 22 March 2022, in relation to comments made in Scrutiny Report 13 concerning Subordinate Law SL2021-29—Workers Compensation Amendment regulations 2021 (No 1).</w:t>
      </w:r>
    </w:p>
    <w:p w14:paraId="6C8B4881" w14:textId="1D6143D9" w:rsidR="009B00B9" w:rsidRDefault="008E15DC" w:rsidP="009B00B9">
      <w:pPr>
        <w:widowControl w:val="0"/>
        <w:spacing w:before="200" w:after="0" w:line="270" w:lineRule="exact"/>
        <w:ind w:left="360"/>
        <w:rPr>
          <w:rFonts w:ascii="Calibri" w:eastAsia="Calibri" w:hAnsi="Calibri" w:cs="Times New Roman"/>
          <w:b/>
          <w:lang w:eastAsia="en-AU"/>
        </w:rPr>
      </w:pPr>
      <w:hyperlink r:id="rId33" w:history="1">
        <w:r w:rsidR="00E56C79">
          <w:rPr>
            <w:rStyle w:val="Hyperlink"/>
            <w:rFonts w:ascii="Calibri" w:eastAsia="Calibri" w:hAnsi="Calibri" w:cs="Times New Roman"/>
            <w:b/>
            <w:lang w:eastAsia="en-AU"/>
          </w:rPr>
          <w:t>This</w:t>
        </w:r>
        <w:r w:rsidR="009B00B9" w:rsidRPr="00F16A92">
          <w:rPr>
            <w:rStyle w:val="Hyperlink"/>
            <w:rFonts w:ascii="Calibri" w:eastAsia="Calibri" w:hAnsi="Calibri" w:cs="Times New Roman"/>
            <w:b/>
            <w:lang w:eastAsia="en-AU"/>
          </w:rPr>
          <w:t xml:space="preserve"> respons</w:t>
        </w:r>
        <w:r w:rsidR="009B00B9">
          <w:rPr>
            <w:rStyle w:val="Hyperlink"/>
            <w:rFonts w:ascii="Calibri" w:eastAsia="Calibri" w:hAnsi="Calibri" w:cs="Times New Roman"/>
            <w:b/>
            <w:lang w:eastAsia="en-AU"/>
          </w:rPr>
          <w:t>e</w:t>
        </w:r>
      </w:hyperlink>
      <w:r w:rsidR="009B00B9" w:rsidRPr="00B951A8">
        <w:rPr>
          <w:rFonts w:ascii="Calibri" w:eastAsia="Calibri" w:hAnsi="Calibri" w:cs="Times New Roman"/>
          <w:b/>
          <w:vertAlign w:val="superscript"/>
          <w:lang w:eastAsia="en-AU"/>
        </w:rPr>
        <w:footnoteReference w:id="4"/>
      </w:r>
      <w:r w:rsidR="009B00B9" w:rsidRPr="00367B9B">
        <w:rPr>
          <w:rFonts w:ascii="Calibri" w:eastAsia="Calibri" w:hAnsi="Calibri" w:cs="Times New Roman"/>
          <w:b/>
          <w:i/>
          <w:lang w:eastAsia="en-AU"/>
        </w:rPr>
        <w:t xml:space="preserve"> </w:t>
      </w:r>
      <w:r w:rsidR="009B00B9" w:rsidRPr="00031636">
        <w:rPr>
          <w:rFonts w:ascii="Calibri" w:eastAsia="Calibri" w:hAnsi="Calibri" w:cs="Times New Roman"/>
          <w:b/>
          <w:lang w:eastAsia="en-AU"/>
        </w:rPr>
        <w:t>can be viewed online.</w:t>
      </w:r>
    </w:p>
    <w:p w14:paraId="41B14A23" w14:textId="24FE2B27" w:rsidR="00C13B2C" w:rsidRPr="009E4E7C" w:rsidRDefault="00C13B2C" w:rsidP="00964EA9">
      <w:pPr>
        <w:pStyle w:val="Paper"/>
        <w:keepLines/>
        <w:spacing w:before="220" w:after="0" w:line="280" w:lineRule="exact"/>
        <w:rPr>
          <w:rFonts w:ascii="Calibri" w:hAnsi="Calibri"/>
          <w:bCs/>
          <w:sz w:val="22"/>
          <w:szCs w:val="22"/>
        </w:rPr>
      </w:pPr>
      <w:r w:rsidRPr="009E4E7C">
        <w:rPr>
          <w:rFonts w:ascii="Calibri" w:hAnsi="Calibri"/>
          <w:bCs/>
          <w:sz w:val="22"/>
          <w:szCs w:val="22"/>
        </w:rPr>
        <w:t xml:space="preserve">The Committee wishes to thank the </w:t>
      </w:r>
      <w:r w:rsidR="00045B1E">
        <w:rPr>
          <w:rFonts w:ascii="Calibri" w:hAnsi="Calibri"/>
          <w:bCs/>
          <w:sz w:val="22"/>
          <w:szCs w:val="22"/>
        </w:rPr>
        <w:t xml:space="preserve">Minister for Transport and City Services, the Minister for </w:t>
      </w:r>
      <w:r w:rsidR="00E56C79">
        <w:rPr>
          <w:rFonts w:ascii="Calibri" w:hAnsi="Calibri"/>
          <w:bCs/>
          <w:sz w:val="22"/>
          <w:szCs w:val="22"/>
        </w:rPr>
        <w:t>Health</w:t>
      </w:r>
      <w:r w:rsidR="00045B1E">
        <w:rPr>
          <w:rFonts w:ascii="Calibri" w:hAnsi="Calibri"/>
          <w:bCs/>
          <w:sz w:val="22"/>
          <w:szCs w:val="22"/>
        </w:rPr>
        <w:t xml:space="preserve"> and </w:t>
      </w:r>
      <w:r w:rsidR="00E56C79">
        <w:rPr>
          <w:rFonts w:ascii="Calibri" w:hAnsi="Calibri"/>
          <w:bCs/>
          <w:sz w:val="22"/>
          <w:szCs w:val="22"/>
        </w:rPr>
        <w:t xml:space="preserve">the </w:t>
      </w:r>
      <w:r w:rsidR="00045B1E">
        <w:rPr>
          <w:rFonts w:ascii="Calibri" w:hAnsi="Calibri"/>
          <w:bCs/>
          <w:sz w:val="22"/>
          <w:szCs w:val="22"/>
        </w:rPr>
        <w:t xml:space="preserve">Minister for </w:t>
      </w:r>
      <w:r w:rsidR="00E56C79">
        <w:rPr>
          <w:rFonts w:ascii="Calibri" w:hAnsi="Calibri"/>
          <w:bCs/>
          <w:sz w:val="22"/>
          <w:szCs w:val="22"/>
        </w:rPr>
        <w:t>Industrial Relations and Workplace Safety</w:t>
      </w:r>
      <w:r w:rsidR="009E4E7C">
        <w:rPr>
          <w:rFonts w:ascii="Calibri" w:hAnsi="Calibri"/>
          <w:bCs/>
          <w:sz w:val="22"/>
          <w:szCs w:val="22"/>
        </w:rPr>
        <w:t xml:space="preserve"> f</w:t>
      </w:r>
      <w:r w:rsidR="00280D11" w:rsidRPr="009E4E7C">
        <w:rPr>
          <w:rFonts w:ascii="Calibri" w:hAnsi="Calibri"/>
          <w:bCs/>
          <w:sz w:val="22"/>
          <w:szCs w:val="22"/>
        </w:rPr>
        <w:t>or their</w:t>
      </w:r>
      <w:r w:rsidRPr="009E4E7C">
        <w:rPr>
          <w:rFonts w:ascii="Calibri" w:hAnsi="Calibri"/>
          <w:bCs/>
          <w:sz w:val="22"/>
          <w:szCs w:val="22"/>
        </w:rPr>
        <w:t xml:space="preserve"> helpful responses.</w:t>
      </w:r>
    </w:p>
    <w:p w14:paraId="6B379F17" w14:textId="751F6D4A" w:rsidR="00964EA9" w:rsidRDefault="00964EA9" w:rsidP="00964EA9">
      <w:pPr>
        <w:spacing w:before="0" w:after="0" w:line="100" w:lineRule="exact"/>
      </w:pPr>
      <w:r w:rsidRPr="009E4E7C">
        <w:rPr>
          <w:noProof/>
          <w:lang w:eastAsia="en-AU"/>
        </w:rPr>
        <w:drawing>
          <wp:inline distT="0" distB="0" distL="0" distR="0" wp14:anchorId="51B09722" wp14:editId="7EA2D8E0">
            <wp:extent cx="3995455" cy="773723"/>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NSON Signature JPG (2).jpg"/>
                    <pic:cNvPicPr/>
                  </pic:nvPicPr>
                  <pic:blipFill>
                    <a:blip r:embed="rId34">
                      <a:extLst>
                        <a:ext uri="{28A0092B-C50C-407E-A947-70E740481C1C}">
                          <a14:useLocalDpi xmlns:a14="http://schemas.microsoft.com/office/drawing/2010/main" val="0"/>
                        </a:ext>
                      </a:extLst>
                    </a:blip>
                    <a:stretch>
                      <a:fillRect/>
                    </a:stretch>
                  </pic:blipFill>
                  <pic:spPr>
                    <a:xfrm>
                      <a:off x="0" y="0"/>
                      <a:ext cx="4014181" cy="777349"/>
                    </a:xfrm>
                    <a:prstGeom prst="rect">
                      <a:avLst/>
                    </a:prstGeom>
                  </pic:spPr>
                </pic:pic>
              </a:graphicData>
            </a:graphic>
          </wp:inline>
        </w:drawing>
      </w:r>
    </w:p>
    <w:p w14:paraId="4976063E" w14:textId="56201001" w:rsidR="004F019A" w:rsidRPr="00104A8B" w:rsidRDefault="00597933" w:rsidP="00E56C79">
      <w:pPr>
        <w:spacing w:before="840" w:after="0"/>
      </w:pPr>
      <w:r>
        <w:t>Peter Cain</w:t>
      </w:r>
      <w:r w:rsidR="00786EE7">
        <w:t xml:space="preserve"> </w:t>
      </w:r>
      <w:r w:rsidR="004F019A" w:rsidRPr="00104A8B">
        <w:t>MLA</w:t>
      </w:r>
    </w:p>
    <w:p w14:paraId="53D5FC77" w14:textId="2712D72C" w:rsidR="00644242" w:rsidRDefault="004F019A" w:rsidP="00D50DEA">
      <w:pPr>
        <w:spacing w:before="0"/>
      </w:pPr>
      <w:r w:rsidRPr="00104A8B">
        <w:t>Chair</w:t>
      </w:r>
    </w:p>
    <w:p w14:paraId="064BA350" w14:textId="01637279" w:rsidR="003F186C" w:rsidRPr="00FF2947" w:rsidRDefault="00597933" w:rsidP="00D50DEA">
      <w:pPr>
        <w:spacing w:before="0"/>
        <w:sectPr w:rsidR="003F186C" w:rsidRPr="00FF2947" w:rsidSect="005003B8">
          <w:headerReference w:type="even" r:id="rId35"/>
          <w:headerReference w:type="default" r:id="rId36"/>
          <w:footerReference w:type="even" r:id="rId37"/>
          <w:footerReference w:type="default" r:id="rId38"/>
          <w:headerReference w:type="first" r:id="rId39"/>
          <w:pgSz w:w="11906" w:h="16838"/>
          <w:pgMar w:top="1710" w:right="1440" w:bottom="1170" w:left="1440" w:header="708" w:footer="543" w:gutter="0"/>
          <w:pgNumType w:start="1"/>
          <w:cols w:space="708"/>
          <w:docGrid w:linePitch="360"/>
        </w:sectPr>
      </w:pPr>
      <w:r>
        <w:t xml:space="preserve">     </w:t>
      </w:r>
      <w:r w:rsidR="00786EE7">
        <w:t>March</w:t>
      </w:r>
      <w:r w:rsidR="0016031B">
        <w:t xml:space="preserve"> 2022</w:t>
      </w:r>
    </w:p>
    <w:p w14:paraId="1EC4F002" w14:textId="77777777" w:rsidR="003F186C" w:rsidRPr="00104A8B" w:rsidRDefault="003F186C" w:rsidP="00BA47E5">
      <w:pPr>
        <w:pStyle w:val="Heading2"/>
      </w:pPr>
      <w:bookmarkStart w:id="583" w:name="_Toc514837979"/>
      <w:bookmarkStart w:id="584" w:name="_Toc99029475"/>
      <w:r w:rsidRPr="00104A8B">
        <w:t>Outstanding Responses</w:t>
      </w:r>
      <w:bookmarkEnd w:id="583"/>
      <w:bookmarkEnd w:id="584"/>
    </w:p>
    <w:p w14:paraId="04383C32" w14:textId="77777777" w:rsidR="003F186C" w:rsidRPr="00104A8B" w:rsidRDefault="003F186C" w:rsidP="003F186C">
      <w:pPr>
        <w:pStyle w:val="Heading3"/>
        <w:rPr>
          <w:rFonts w:asciiTheme="minorHAnsi" w:hAnsiTheme="minorHAnsi"/>
        </w:rPr>
      </w:pPr>
      <w:bookmarkStart w:id="585" w:name="_Toc505005688"/>
      <w:bookmarkStart w:id="586" w:name="_Toc505153779"/>
      <w:bookmarkStart w:id="587" w:name="_Toc508283444"/>
      <w:bookmarkStart w:id="588" w:name="_Toc510081804"/>
      <w:bookmarkStart w:id="589" w:name="_Toc511812230"/>
      <w:bookmarkStart w:id="590" w:name="_Toc512240173"/>
      <w:bookmarkStart w:id="591" w:name="_Toc513192173"/>
      <w:bookmarkStart w:id="592" w:name="_Toc514832434"/>
      <w:bookmarkStart w:id="593" w:name="_Toc514837980"/>
      <w:bookmarkStart w:id="594" w:name="_Toc514838144"/>
      <w:bookmarkStart w:id="595" w:name="_Toc514943619"/>
      <w:bookmarkStart w:id="596" w:name="_Toc515352064"/>
      <w:bookmarkStart w:id="597" w:name="_Toc518297261"/>
      <w:bookmarkStart w:id="598" w:name="_Toc519520755"/>
      <w:bookmarkStart w:id="599" w:name="_Toc520188735"/>
      <w:bookmarkStart w:id="600" w:name="_Toc521054338"/>
      <w:bookmarkStart w:id="601" w:name="_Toc521054410"/>
      <w:bookmarkStart w:id="602" w:name="_Toc523814181"/>
      <w:bookmarkStart w:id="603" w:name="_Toc523900477"/>
      <w:bookmarkStart w:id="604" w:name="_Toc526855826"/>
      <w:bookmarkStart w:id="605" w:name="_Toc528155854"/>
      <w:bookmarkStart w:id="606" w:name="_Toc528157213"/>
      <w:bookmarkStart w:id="607" w:name="_Toc528310867"/>
      <w:bookmarkStart w:id="608" w:name="_Toc529974547"/>
      <w:bookmarkStart w:id="609" w:name="_Toc530039442"/>
      <w:bookmarkStart w:id="610" w:name="_Toc536527689"/>
      <w:bookmarkStart w:id="611" w:name="_Toc536527863"/>
      <w:bookmarkStart w:id="612" w:name="_Toc536615405"/>
      <w:bookmarkStart w:id="613" w:name="_Toc172184"/>
      <w:bookmarkStart w:id="614" w:name="_Toc506087"/>
      <w:bookmarkStart w:id="615" w:name="_Toc965832"/>
      <w:bookmarkStart w:id="616" w:name="_Toc6211048"/>
      <w:bookmarkStart w:id="617" w:name="_Toc9500017"/>
      <w:bookmarkStart w:id="618" w:name="_Toc14334625"/>
      <w:bookmarkStart w:id="619" w:name="_Toc14775975"/>
      <w:bookmarkStart w:id="620" w:name="_Toc15285040"/>
      <w:bookmarkStart w:id="621" w:name="_Toc15630677"/>
      <w:bookmarkStart w:id="622" w:name="_Toc18415350"/>
      <w:bookmarkStart w:id="623" w:name="_Toc18487717"/>
      <w:bookmarkStart w:id="624" w:name="_Toc19708407"/>
      <w:bookmarkStart w:id="625" w:name="_Toc20131698"/>
      <w:bookmarkStart w:id="626" w:name="_Toc21595465"/>
      <w:bookmarkStart w:id="627" w:name="_Toc22025468"/>
      <w:bookmarkStart w:id="628" w:name="_Toc24463733"/>
      <w:bookmarkStart w:id="629" w:name="_Toc24617731"/>
      <w:bookmarkStart w:id="630" w:name="_Toc25050804"/>
      <w:bookmarkStart w:id="631" w:name="_Toc31202278"/>
      <w:bookmarkStart w:id="632" w:name="_Toc32390211"/>
      <w:bookmarkStart w:id="633" w:name="_Toc32566855"/>
      <w:bookmarkStart w:id="634" w:name="_Toc35437959"/>
      <w:bookmarkStart w:id="635" w:name="_Toc38270552"/>
      <w:bookmarkStart w:id="636" w:name="_Toc38362407"/>
      <w:bookmarkStart w:id="637" w:name="_Toc38442400"/>
      <w:bookmarkStart w:id="638" w:name="_Toc38976339"/>
      <w:bookmarkStart w:id="639" w:name="_Toc40693261"/>
      <w:bookmarkStart w:id="640" w:name="_Toc41570939"/>
      <w:bookmarkStart w:id="641" w:name="_Toc42875016"/>
      <w:bookmarkStart w:id="642" w:name="_Toc44074228"/>
      <w:bookmarkStart w:id="643" w:name="_Toc44323945"/>
      <w:bookmarkStart w:id="644" w:name="_Toc80613276"/>
      <w:bookmarkStart w:id="645" w:name="_Toc80701782"/>
      <w:bookmarkStart w:id="646" w:name="_Toc83302237"/>
      <w:bookmarkStart w:id="647" w:name="_Toc86229569"/>
      <w:bookmarkStart w:id="648" w:name="_Toc88029471"/>
      <w:bookmarkStart w:id="649" w:name="_Toc94002946"/>
      <w:bookmarkStart w:id="650" w:name="_Toc97722468"/>
      <w:bookmarkStart w:id="651" w:name="_Toc99010785"/>
      <w:bookmarkStart w:id="652" w:name="_Toc99029476"/>
      <w:r w:rsidRPr="00104A8B">
        <w:rPr>
          <w:rFonts w:asciiTheme="minorHAnsi" w:hAnsiTheme="minorHAnsi"/>
        </w:rPr>
        <w:t>Bills/Subordinate Legislation</w:t>
      </w:r>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372373EC" w14:textId="77777777" w:rsidR="0081147F" w:rsidRPr="00DA162C" w:rsidRDefault="0081147F" w:rsidP="0081147F">
      <w:pPr>
        <w:pStyle w:val="ListParagraph"/>
        <w:numPr>
          <w:ilvl w:val="0"/>
          <w:numId w:val="11"/>
        </w:numPr>
        <w:spacing w:before="240" w:after="0"/>
        <w:ind w:left="357" w:hanging="357"/>
        <w:contextualSpacing w:val="0"/>
        <w:rPr>
          <w:b/>
        </w:rPr>
      </w:pPr>
      <w:r>
        <w:rPr>
          <w:b/>
        </w:rPr>
        <w:t>Report 2, dated 24 March 2021</w:t>
      </w:r>
    </w:p>
    <w:p w14:paraId="6622F61B" w14:textId="77777777" w:rsidR="0081147F" w:rsidRPr="00595CC0" w:rsidRDefault="0081147F" w:rsidP="005D6E99">
      <w:pPr>
        <w:pStyle w:val="ListParagraph"/>
        <w:numPr>
          <w:ilvl w:val="0"/>
          <w:numId w:val="24"/>
        </w:numPr>
        <w:spacing w:before="120" w:after="0"/>
        <w:ind w:left="720"/>
        <w:contextualSpacing w:val="0"/>
      </w:pPr>
      <w:r w:rsidRPr="00595CC0">
        <w:t>Drugs of Dependence (Personal Use) Amendment Bill 2021</w:t>
      </w:r>
    </w:p>
    <w:p w14:paraId="4FE7AEB0" w14:textId="1050CA1A" w:rsidR="003B2CE9" w:rsidRPr="00DA162C" w:rsidRDefault="003B2CE9" w:rsidP="003B2CE9">
      <w:pPr>
        <w:pStyle w:val="ListParagraph"/>
        <w:numPr>
          <w:ilvl w:val="0"/>
          <w:numId w:val="11"/>
        </w:numPr>
        <w:spacing w:before="240" w:after="0"/>
        <w:ind w:left="357" w:hanging="357"/>
        <w:contextualSpacing w:val="0"/>
        <w:rPr>
          <w:b/>
        </w:rPr>
      </w:pPr>
      <w:r>
        <w:rPr>
          <w:b/>
        </w:rPr>
        <w:t xml:space="preserve">Report </w:t>
      </w:r>
      <w:r w:rsidR="00034175">
        <w:rPr>
          <w:b/>
        </w:rPr>
        <w:t>7</w:t>
      </w:r>
      <w:r>
        <w:rPr>
          <w:b/>
        </w:rPr>
        <w:t>, dated 4 May 2021</w:t>
      </w:r>
    </w:p>
    <w:p w14:paraId="5A544CFE" w14:textId="77777777" w:rsidR="00EB466F" w:rsidRDefault="00034175" w:rsidP="005D6E99">
      <w:pPr>
        <w:pStyle w:val="ListParagraph"/>
        <w:numPr>
          <w:ilvl w:val="0"/>
          <w:numId w:val="24"/>
        </w:numPr>
        <w:spacing w:before="120" w:after="0"/>
        <w:ind w:left="720"/>
        <w:contextualSpacing w:val="0"/>
      </w:pPr>
      <w:r w:rsidRPr="00034175">
        <w:t>Road Transport (Safety and Traffic Management) Amendment Bill 2021 (No 2)</w:t>
      </w:r>
      <w:r w:rsidR="00407FFD">
        <w:t xml:space="preserve"> [response required </w:t>
      </w:r>
      <w:r w:rsidR="005F4B74">
        <w:t>prior to the Bill being</w:t>
      </w:r>
      <w:r w:rsidR="00407FFD" w:rsidRPr="00407FFD">
        <w:t xml:space="preserve"> debated</w:t>
      </w:r>
      <w:r w:rsidR="00407FFD">
        <w:t>]</w:t>
      </w:r>
    </w:p>
    <w:p w14:paraId="628485BB" w14:textId="77777777" w:rsidR="00EB466F" w:rsidRPr="00D12C27" w:rsidRDefault="00EB466F" w:rsidP="00D12C27">
      <w:pPr>
        <w:pStyle w:val="ListParagraph"/>
        <w:numPr>
          <w:ilvl w:val="0"/>
          <w:numId w:val="11"/>
        </w:numPr>
        <w:spacing w:before="240" w:after="0"/>
        <w:ind w:left="357" w:hanging="357"/>
        <w:contextualSpacing w:val="0"/>
        <w:rPr>
          <w:b/>
        </w:rPr>
      </w:pPr>
      <w:r w:rsidRPr="00D12C27">
        <w:rPr>
          <w:b/>
        </w:rPr>
        <w:t>Report 12, dated 1 February 2022</w:t>
      </w:r>
    </w:p>
    <w:p w14:paraId="4560063A" w14:textId="02729DEF" w:rsidR="00EB466F" w:rsidRDefault="00F03ABE" w:rsidP="00D12C27">
      <w:pPr>
        <w:pStyle w:val="ListParagraph"/>
        <w:numPr>
          <w:ilvl w:val="0"/>
          <w:numId w:val="24"/>
        </w:numPr>
        <w:spacing w:before="120" w:after="0"/>
        <w:ind w:left="720"/>
        <w:contextualSpacing w:val="0"/>
      </w:pPr>
      <w:r>
        <w:t>Electoral Amendment Bill 2021</w:t>
      </w:r>
    </w:p>
    <w:p w14:paraId="0FDBB8C3" w14:textId="38A216D9" w:rsidR="00EB466F" w:rsidRDefault="00EB466F" w:rsidP="00D12C27">
      <w:pPr>
        <w:pStyle w:val="ListParagraph"/>
        <w:numPr>
          <w:ilvl w:val="0"/>
          <w:numId w:val="24"/>
        </w:numPr>
        <w:spacing w:before="120" w:after="0"/>
        <w:ind w:left="720"/>
        <w:contextualSpacing w:val="0"/>
      </w:pPr>
      <w:r>
        <w:t>Financial Manage</w:t>
      </w:r>
      <w:r w:rsidR="00D12C27">
        <w:t>ment Amendment Bill 2021 (No 2)</w:t>
      </w:r>
    </w:p>
    <w:p w14:paraId="1619C522" w14:textId="77777777" w:rsidR="00F03ABE" w:rsidRPr="00F03ABE" w:rsidRDefault="00F03ABE" w:rsidP="00F03ABE">
      <w:pPr>
        <w:pStyle w:val="ListParagraph"/>
        <w:numPr>
          <w:ilvl w:val="0"/>
          <w:numId w:val="11"/>
        </w:numPr>
        <w:spacing w:before="240" w:after="0"/>
        <w:ind w:left="357" w:hanging="357"/>
        <w:contextualSpacing w:val="0"/>
        <w:rPr>
          <w:b/>
        </w:rPr>
      </w:pPr>
      <w:r w:rsidRPr="00F03ABE">
        <w:rPr>
          <w:b/>
        </w:rPr>
        <w:t>Report 13, dated 15 March 2022</w:t>
      </w:r>
    </w:p>
    <w:p w14:paraId="3A7C78A0" w14:textId="1F7846EE" w:rsidR="00F03ABE" w:rsidRDefault="00F03ABE" w:rsidP="00F03ABE">
      <w:pPr>
        <w:pStyle w:val="ListParagraph"/>
        <w:numPr>
          <w:ilvl w:val="0"/>
          <w:numId w:val="24"/>
        </w:numPr>
        <w:spacing w:before="120" w:after="0"/>
        <w:ind w:left="720"/>
        <w:contextualSpacing w:val="0"/>
      </w:pPr>
      <w:r>
        <w:t>Crimes (Consent) Amendment Bill 2022</w:t>
      </w:r>
    </w:p>
    <w:sectPr w:rsidR="00F03ABE" w:rsidSect="00613AE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E1F3" w14:textId="77777777" w:rsidR="0018277F" w:rsidRDefault="0018277F" w:rsidP="000B0846">
      <w:pPr>
        <w:spacing w:after="0" w:line="240" w:lineRule="auto"/>
      </w:pPr>
      <w:r>
        <w:separator/>
      </w:r>
    </w:p>
  </w:endnote>
  <w:endnote w:type="continuationSeparator" w:id="0">
    <w:p w14:paraId="1194300C" w14:textId="77777777" w:rsidR="0018277F" w:rsidRDefault="0018277F" w:rsidP="000B08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vantGarde Bk BT">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05A93" w14:textId="77777777" w:rsidR="0018277F" w:rsidRDefault="0018277F">
    <w:pPr>
      <w:pStyle w:val="Footer"/>
    </w:pPr>
  </w:p>
  <w:p w14:paraId="239F8F6C" w14:textId="77777777" w:rsidR="0018277F" w:rsidRDefault="0018277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2663E" w14:textId="77777777" w:rsidR="0018277F" w:rsidRDefault="0018277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1EDDD4" w14:textId="77777777" w:rsidR="0018277F" w:rsidRDefault="0018277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1"/>
      <w:docPartObj>
        <w:docPartGallery w:val="Page Numbers (Bottom of Page)"/>
        <w:docPartUnique/>
      </w:docPartObj>
    </w:sdtPr>
    <w:sdtEndPr>
      <w:rPr>
        <w:noProof/>
      </w:rPr>
    </w:sdtEndPr>
    <w:sdtContent>
      <w:p w14:paraId="1336FCD2" w14:textId="77777777" w:rsidR="0018277F" w:rsidRDefault="0018277F">
        <w:pPr>
          <w:pStyle w:val="Footer"/>
        </w:pPr>
        <w:r>
          <w:rPr>
            <w:noProof/>
          </w:rPr>
          <w:fldChar w:fldCharType="begin"/>
        </w:r>
        <w:r>
          <w:rPr>
            <w:noProof/>
          </w:rPr>
          <w:instrText xml:space="preserve"> PAGE   \* MERGEFORMAT </w:instrText>
        </w:r>
        <w:r>
          <w:rPr>
            <w:noProof/>
          </w:rPr>
          <w:fldChar w:fldCharType="separate"/>
        </w:r>
        <w:r w:rsidR="008E15DC">
          <w:rPr>
            <w:noProof/>
          </w:rPr>
          <w:t>ii</w:t>
        </w:r>
        <w:r>
          <w:rPr>
            <w:noProof/>
          </w:rPr>
          <w:fldChar w:fldCharType="end"/>
        </w:r>
      </w:p>
    </w:sdtContent>
  </w:sdt>
  <w:p w14:paraId="3F8DD25D" w14:textId="77777777" w:rsidR="0018277F" w:rsidRDefault="0018277F">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4575872"/>
      <w:docPartObj>
        <w:docPartGallery w:val="Page Numbers (Bottom of Page)"/>
        <w:docPartUnique/>
      </w:docPartObj>
    </w:sdtPr>
    <w:sdtEndPr>
      <w:rPr>
        <w:noProof/>
      </w:rPr>
    </w:sdtEndPr>
    <w:sdtContent>
      <w:p w14:paraId="37A660F3" w14:textId="77777777" w:rsidR="0018277F" w:rsidRDefault="0018277F">
        <w:pPr>
          <w:pStyle w:val="Footer"/>
          <w:jc w:val="right"/>
        </w:pPr>
        <w:r>
          <w:rPr>
            <w:noProof/>
          </w:rPr>
          <w:fldChar w:fldCharType="begin"/>
        </w:r>
        <w:r>
          <w:rPr>
            <w:noProof/>
          </w:rPr>
          <w:instrText xml:space="preserve"> PAGE   \* MERGEFORMAT </w:instrText>
        </w:r>
        <w:r>
          <w:rPr>
            <w:noProof/>
          </w:rPr>
          <w:fldChar w:fldCharType="separate"/>
        </w:r>
        <w:r w:rsidR="008E15DC">
          <w:rPr>
            <w:noProof/>
          </w:rPr>
          <w:t>iii</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67FAC8" w14:textId="77777777" w:rsidR="0018277F" w:rsidRDefault="0018277F">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E0DA9A" w14:textId="77777777" w:rsidR="0018277F" w:rsidRPr="00EE534B" w:rsidRDefault="0018277F">
    <w:pPr>
      <w:pStyle w:val="Footer"/>
      <w:rPr>
        <w:sz w:val="18"/>
        <w:szCs w:val="18"/>
      </w:rPr>
    </w:pPr>
    <w:r>
      <w:rPr>
        <w:noProof/>
      </w:rPr>
      <w:fldChar w:fldCharType="begin"/>
    </w:r>
    <w:r>
      <w:rPr>
        <w:noProof/>
      </w:rPr>
      <w:instrText xml:space="preserve"> PAGE   \* MERGEFORMAT </w:instrText>
    </w:r>
    <w:r>
      <w:rPr>
        <w:noProof/>
      </w:rPr>
      <w:fldChar w:fldCharType="separate"/>
    </w:r>
    <w:r w:rsidR="008E15DC">
      <w:rPr>
        <w:noProof/>
      </w:rPr>
      <w:t>12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8318489"/>
      <w:docPartObj>
        <w:docPartGallery w:val="Page Numbers (Bottom of Page)"/>
        <w:docPartUnique/>
      </w:docPartObj>
    </w:sdtPr>
    <w:sdtEndPr>
      <w:rPr>
        <w:noProof/>
      </w:rPr>
    </w:sdtEndPr>
    <w:sdtContent>
      <w:p w14:paraId="52920946" w14:textId="77777777" w:rsidR="0018277F" w:rsidRPr="00EE534B" w:rsidRDefault="0018277F">
        <w:pPr>
          <w:pStyle w:val="Footer"/>
          <w:jc w:val="right"/>
          <w:rPr>
            <w:sz w:val="18"/>
            <w:szCs w:val="18"/>
          </w:rPr>
        </w:pPr>
        <w:r>
          <w:rPr>
            <w:noProof/>
          </w:rPr>
          <w:fldChar w:fldCharType="begin"/>
        </w:r>
        <w:r>
          <w:rPr>
            <w:noProof/>
          </w:rPr>
          <w:instrText xml:space="preserve"> PAGE   \* MERGEFORMAT </w:instrText>
        </w:r>
        <w:r>
          <w:rPr>
            <w:noProof/>
          </w:rPr>
          <w:fldChar w:fldCharType="separate"/>
        </w:r>
        <w:r w:rsidR="008E15DC">
          <w:rPr>
            <w:noProof/>
          </w:rPr>
          <w:t>13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8E5188" w14:textId="77777777" w:rsidR="0018277F" w:rsidRDefault="0018277F" w:rsidP="00F80596">
      <w:pPr>
        <w:spacing w:before="80" w:after="0" w:line="240" w:lineRule="auto"/>
      </w:pPr>
      <w:r>
        <w:separator/>
      </w:r>
    </w:p>
  </w:footnote>
  <w:footnote w:type="continuationSeparator" w:id="0">
    <w:p w14:paraId="5CA1592C" w14:textId="77777777" w:rsidR="0018277F" w:rsidRDefault="0018277F" w:rsidP="000B0846">
      <w:pPr>
        <w:spacing w:after="0" w:line="240" w:lineRule="auto"/>
      </w:pPr>
      <w:r>
        <w:continuationSeparator/>
      </w:r>
    </w:p>
  </w:footnote>
  <w:footnote w:id="1">
    <w:p w14:paraId="6E1EAAA4" w14:textId="77777777" w:rsidR="00706D63" w:rsidRDefault="00706D63" w:rsidP="00706D63">
      <w:pPr>
        <w:pStyle w:val="FootnoteText"/>
      </w:pPr>
      <w:r>
        <w:rPr>
          <w:rStyle w:val="FootnoteReference"/>
        </w:rPr>
        <w:footnoteRef/>
      </w:r>
      <w:r>
        <w:t xml:space="preserve"> See </w:t>
      </w:r>
      <w:r>
        <w:rPr>
          <w:i/>
          <w:iCs/>
        </w:rPr>
        <w:t>Road Transport (Driver Licensing) Act 1999</w:t>
      </w:r>
      <w:r>
        <w:t xml:space="preserve"> Div 2.3.</w:t>
      </w:r>
    </w:p>
  </w:footnote>
  <w:footnote w:id="2">
    <w:p w14:paraId="148982EB" w14:textId="02D56280" w:rsidR="00067C68" w:rsidRDefault="00067C68" w:rsidP="00067C68">
      <w:pPr>
        <w:pStyle w:val="FootnoteText"/>
        <w:spacing w:before="120"/>
      </w:pPr>
      <w:r>
        <w:rPr>
          <w:rStyle w:val="FootnoteReference"/>
        </w:rPr>
        <w:footnoteRef/>
      </w:r>
      <w:r>
        <w:t xml:space="preserve"> </w:t>
      </w:r>
      <w:r w:rsidR="00597933" w:rsidRPr="00597933">
        <w:rPr>
          <w:color w:val="000000"/>
          <w:szCs w:val="18"/>
        </w:rPr>
        <w:t>https://www.parliament.act.gov.au/__data/assets/pdf_file/0007/434347/Subordinate-Legislation-Technical-and-Stylistic-Standards-Revised-March-2022.pdf</w:t>
      </w:r>
      <w:r>
        <w:rPr>
          <w:color w:val="000000"/>
          <w:szCs w:val="18"/>
        </w:rPr>
        <w:t>.</w:t>
      </w:r>
    </w:p>
  </w:footnote>
  <w:footnote w:id="3">
    <w:p w14:paraId="235F5C60" w14:textId="77777777" w:rsidR="00E56C79" w:rsidRPr="00B951A8" w:rsidRDefault="00E56C79" w:rsidP="00E56C79">
      <w:pPr>
        <w:pStyle w:val="FootnoteText"/>
        <w:spacing w:before="0"/>
        <w:rPr>
          <w:sz w:val="18"/>
          <w:szCs w:val="18"/>
        </w:rPr>
      </w:pPr>
      <w:r w:rsidRPr="002C6E9B">
        <w:rPr>
          <w:rStyle w:val="FootnoteReference"/>
          <w:sz w:val="19"/>
          <w:szCs w:val="19"/>
        </w:rPr>
        <w:footnoteRef/>
      </w:r>
      <w:r w:rsidRPr="002C6E9B">
        <w:rPr>
          <w:sz w:val="19"/>
          <w:szCs w:val="19"/>
        </w:rPr>
        <w:t xml:space="preserve"> </w:t>
      </w:r>
      <w:hyperlink r:id="rId1" w:history="1">
        <w:r w:rsidRPr="00B951A8">
          <w:rPr>
            <w:rStyle w:val="Hyperlink"/>
            <w:color w:val="auto"/>
            <w:sz w:val="19"/>
            <w:szCs w:val="19"/>
            <w:lang w:eastAsia="en-AU"/>
          </w:rPr>
          <w:t>https://www.parliament.act.gov.au/parliamentary-business/in-committees/committees/JCS_Scrutiny/responses-to-comments-on-bills</w:t>
        </w:r>
      </w:hyperlink>
      <w:r w:rsidRPr="00B951A8">
        <w:rPr>
          <w:sz w:val="19"/>
          <w:szCs w:val="19"/>
          <w:lang w:eastAsia="en-AU"/>
        </w:rPr>
        <w:t>.</w:t>
      </w:r>
    </w:p>
  </w:footnote>
  <w:footnote w:id="4">
    <w:p w14:paraId="36697BA5" w14:textId="29BFE6E8" w:rsidR="0018277F" w:rsidRPr="002C6E9B" w:rsidRDefault="0018277F" w:rsidP="009B00B9">
      <w:pPr>
        <w:pStyle w:val="FootnoteText"/>
        <w:spacing w:before="0"/>
        <w:rPr>
          <w:sz w:val="18"/>
          <w:szCs w:val="18"/>
        </w:rPr>
      </w:pPr>
      <w:r w:rsidRPr="00B951A8">
        <w:rPr>
          <w:rStyle w:val="FootnoteReference"/>
          <w:sz w:val="19"/>
          <w:szCs w:val="19"/>
        </w:rPr>
        <w:footnoteRef/>
      </w:r>
      <w:r w:rsidRPr="00B951A8">
        <w:rPr>
          <w:sz w:val="19"/>
          <w:szCs w:val="19"/>
        </w:rPr>
        <w:t xml:space="preserve"> </w:t>
      </w:r>
      <w:hyperlink r:id="rId2" w:history="1">
        <w:r w:rsidRPr="00B951A8">
          <w:rPr>
            <w:rStyle w:val="Hyperlink"/>
            <w:color w:val="auto"/>
            <w:sz w:val="19"/>
            <w:szCs w:val="19"/>
            <w:lang w:eastAsia="en-AU"/>
          </w:rPr>
          <w:t>https://www.parliament.act.gov.au/parliamentary-business/in-committees/committees/JCS_Scrutiny/response-to-comments-on-subordinate-legislation</w:t>
        </w:r>
      </w:hyperlink>
      <w:r w:rsidRPr="002C6E9B">
        <w:rPr>
          <w:sz w:val="19"/>
          <w:szCs w:val="19"/>
          <w:lang w:eastAsia="en-AU"/>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01C1E" w14:textId="3AD08473" w:rsidR="0018277F" w:rsidRDefault="0018277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CF4A56" w14:textId="1490EA60" w:rsidR="0018277F" w:rsidRPr="003B6A7E" w:rsidRDefault="0018277F" w:rsidP="00FC2EEA">
    <w:pPr>
      <w:pStyle w:val="Header"/>
      <w:pBdr>
        <w:bottom w:val="single" w:sz="4" w:space="1" w:color="auto"/>
      </w:pBdr>
    </w:pPr>
    <w:r w:rsidRPr="009D788E">
      <w:rPr>
        <w:smallCaps/>
      </w:rPr>
      <w:t>Standing Committee on Justice and Community Safety (Legislative Scrutiny Role)</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C9B56" w14:textId="167C1FB2" w:rsidR="0018277F" w:rsidRPr="001B0650" w:rsidRDefault="0018277F" w:rsidP="00F52AA6">
    <w:pPr>
      <w:pStyle w:val="Header"/>
      <w:pBdr>
        <w:bottom w:val="single" w:sz="4" w:space="1" w:color="auto"/>
      </w:pBdr>
      <w:tabs>
        <w:tab w:val="left" w:pos="6216"/>
      </w:tabs>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8E15DC">
      <w:rPr>
        <w:smallCaps/>
        <w:noProof/>
      </w:rPr>
      <w:t>Scrutiny Report 14</w:t>
    </w:r>
    <w:r>
      <w:rPr>
        <w:smallCaps/>
        <w:noProof/>
      </w:rPr>
      <w:fldChar w:fldCharType="end"/>
    </w:r>
  </w:p>
  <w:p w14:paraId="6A301AFD" w14:textId="77777777" w:rsidR="0018277F" w:rsidRDefault="0018277F">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564C6" w14:textId="5C1B0B64" w:rsidR="0018277F" w:rsidRDefault="001827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3515A" w14:textId="6C76099D" w:rsidR="0018277F" w:rsidRDefault="001827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40C0EC" w14:textId="5082890C" w:rsidR="0018277F" w:rsidRDefault="0018277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8307D" w14:textId="667DC014" w:rsidR="0018277F" w:rsidRPr="009D788E" w:rsidRDefault="0018277F" w:rsidP="00911558">
    <w:pPr>
      <w:pStyle w:val="Header"/>
      <w:pBdr>
        <w:bottom w:val="single" w:sz="4" w:space="1" w:color="auto"/>
      </w:pBdr>
      <w:rPr>
        <w:smallCaps/>
      </w:rPr>
    </w:pPr>
    <w:r w:rsidRPr="009D788E">
      <w:rPr>
        <w:smallCaps/>
      </w:rPr>
      <w:t>Standing Committee on Justice and Community Safety (Legislative Scrutiny Role)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5CF586" w14:textId="013E9B6E" w:rsidR="0018277F" w:rsidRPr="001B0650" w:rsidRDefault="0018277F" w:rsidP="00911558">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8E15DC">
      <w:rPr>
        <w:smallCaps/>
        <w:noProof/>
      </w:rPr>
      <w:t>Scrutiny Report 14</w:t>
    </w:r>
    <w:r>
      <w:rPr>
        <w:smallCaps/>
        <w:noProof/>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81D9B4" w14:textId="075BC413" w:rsidR="0018277F" w:rsidRDefault="0018277F">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3B14B" w14:textId="23AF84B0" w:rsidR="0018277F" w:rsidRPr="003B6A7E" w:rsidRDefault="0018277F" w:rsidP="003B6A7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5CACF" w14:textId="1F8212E1" w:rsidR="0018277F" w:rsidRPr="001B0650" w:rsidRDefault="0018277F" w:rsidP="007F580D">
    <w:pPr>
      <w:pStyle w:val="Header"/>
      <w:pBdr>
        <w:bottom w:val="single" w:sz="4" w:space="1" w:color="auto"/>
      </w:pBdr>
      <w:jc w:val="right"/>
      <w:rPr>
        <w:smallCaps/>
      </w:rPr>
    </w:pPr>
    <w:r>
      <w:rPr>
        <w:smallCaps/>
        <w:noProof/>
      </w:rPr>
      <w:fldChar w:fldCharType="begin"/>
    </w:r>
    <w:r>
      <w:rPr>
        <w:smallCaps/>
        <w:noProof/>
      </w:rPr>
      <w:instrText xml:space="preserve"> STYLEREF  "Heading 1"  \* MERGEFORMAT </w:instrText>
    </w:r>
    <w:r>
      <w:rPr>
        <w:smallCaps/>
        <w:noProof/>
      </w:rPr>
      <w:fldChar w:fldCharType="separate"/>
    </w:r>
    <w:r w:rsidR="00522B87">
      <w:rPr>
        <w:smallCaps/>
        <w:noProof/>
      </w:rPr>
      <w:t>Scrutiny Report 14</w:t>
    </w:r>
    <w:r>
      <w:rPr>
        <w:smallCaps/>
        <w:noProof/>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C7F48" w14:textId="59DD8E78" w:rsidR="0018277F" w:rsidRDefault="001827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4B870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12015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31475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532929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B26E9F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056F4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C22F4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26A50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C6D3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C34790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448F5"/>
    <w:multiLevelType w:val="hybridMultilevel"/>
    <w:tmpl w:val="4E4E8F56"/>
    <w:lvl w:ilvl="0" w:tplc="17D6AA5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69A002A"/>
    <w:multiLevelType w:val="multilevel"/>
    <w:tmpl w:val="F6DE2780"/>
    <w:lvl w:ilvl="0">
      <w:start w:val="1"/>
      <w:numFmt w:val="decimal"/>
      <w:lvlText w:val="%1"/>
      <w:lvlJc w:val="left"/>
      <w:pPr>
        <w:ind w:left="432" w:hanging="432"/>
      </w:pPr>
      <w:rPr>
        <w:rFonts w:cs="Times New Roman"/>
      </w:rPr>
    </w:lvl>
    <w:lvl w:ilvl="1">
      <w:start w:val="1"/>
      <w:numFmt w:val="decimal"/>
      <w:pStyle w:val="Recommendationbodycopynumbered"/>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07771A35"/>
    <w:multiLevelType w:val="multilevel"/>
    <w:tmpl w:val="BCFCBA68"/>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0D38485E"/>
    <w:multiLevelType w:val="hybridMultilevel"/>
    <w:tmpl w:val="FFB43E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F64209D"/>
    <w:multiLevelType w:val="hybridMultilevel"/>
    <w:tmpl w:val="73BC5DF0"/>
    <w:lvl w:ilvl="0" w:tplc="4642DB54">
      <w:start w:val="1"/>
      <w:numFmt w:val="bullet"/>
      <w:lvlText w:val=""/>
      <w:lvlJc w:val="left"/>
      <w:pPr>
        <w:ind w:left="360" w:hanging="360"/>
      </w:pPr>
      <w:rPr>
        <w:rFonts w:ascii="Symbol" w:hAnsi="Symbol" w:hint="default"/>
        <w:color w:val="auto"/>
      </w:rPr>
    </w:lvl>
    <w:lvl w:ilvl="1" w:tplc="B2BC8480">
      <w:start w:val="1"/>
      <w:numFmt w:val="bullet"/>
      <w:lvlText w:val="­"/>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1786B89"/>
    <w:multiLevelType w:val="hybridMultilevel"/>
    <w:tmpl w:val="6B5651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21907CB"/>
    <w:multiLevelType w:val="multilevel"/>
    <w:tmpl w:val="4F1C69BA"/>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3A6D6F"/>
    <w:multiLevelType w:val="hybridMultilevel"/>
    <w:tmpl w:val="0CDE1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C2E4544"/>
    <w:multiLevelType w:val="hybridMultilevel"/>
    <w:tmpl w:val="A4CE200E"/>
    <w:lvl w:ilvl="0" w:tplc="437E8904">
      <w:start w:val="1"/>
      <w:numFmt w:val="lowerLetter"/>
      <w:pStyle w:val="Bodycopybulletlevel1alpha"/>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1FE66597"/>
    <w:multiLevelType w:val="hybridMultilevel"/>
    <w:tmpl w:val="2480AB38"/>
    <w:lvl w:ilvl="0" w:tplc="0C090001">
      <w:start w:val="1"/>
      <w:numFmt w:val="bullet"/>
      <w:lvlText w:val=""/>
      <w:lvlJc w:val="left"/>
      <w:pPr>
        <w:ind w:left="770" w:hanging="360"/>
      </w:pPr>
      <w:rPr>
        <w:rFonts w:ascii="Symbol" w:hAnsi="Symbol" w:hint="default"/>
      </w:rPr>
    </w:lvl>
    <w:lvl w:ilvl="1" w:tplc="0C090003">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0" w15:restartNumberingAfterBreak="0">
    <w:nsid w:val="202017D9"/>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2526D8E"/>
    <w:multiLevelType w:val="hybridMultilevel"/>
    <w:tmpl w:val="D1786A2A"/>
    <w:lvl w:ilvl="0" w:tplc="4D449FE6">
      <w:start w:val="1"/>
      <w:numFmt w:val="decimal"/>
      <w:pStyle w:val="Bodycopynumbered2"/>
      <w:lvlText w:val="%1."/>
      <w:lvlJc w:val="left"/>
      <w:pPr>
        <w:ind w:left="720" w:hanging="360"/>
      </w:pPr>
      <w:rPr>
        <w:rFonts w:cs="Times New Roman"/>
      </w:rPr>
    </w:lvl>
    <w:lvl w:ilvl="1" w:tplc="04DA9EF8" w:tentative="1">
      <w:start w:val="1"/>
      <w:numFmt w:val="lowerLetter"/>
      <w:lvlText w:val="%2."/>
      <w:lvlJc w:val="left"/>
      <w:pPr>
        <w:ind w:left="1440" w:hanging="360"/>
      </w:pPr>
      <w:rPr>
        <w:rFonts w:cs="Times New Roman"/>
      </w:rPr>
    </w:lvl>
    <w:lvl w:ilvl="2" w:tplc="3FBC87FA" w:tentative="1">
      <w:start w:val="1"/>
      <w:numFmt w:val="lowerRoman"/>
      <w:lvlText w:val="%3."/>
      <w:lvlJc w:val="right"/>
      <w:pPr>
        <w:ind w:left="2160" w:hanging="180"/>
      </w:pPr>
      <w:rPr>
        <w:rFonts w:cs="Times New Roman"/>
      </w:rPr>
    </w:lvl>
    <w:lvl w:ilvl="3" w:tplc="0FD47DB4" w:tentative="1">
      <w:start w:val="1"/>
      <w:numFmt w:val="decimal"/>
      <w:lvlText w:val="%4."/>
      <w:lvlJc w:val="left"/>
      <w:pPr>
        <w:ind w:left="2880" w:hanging="360"/>
      </w:pPr>
      <w:rPr>
        <w:rFonts w:cs="Times New Roman"/>
      </w:rPr>
    </w:lvl>
    <w:lvl w:ilvl="4" w:tplc="0AA266A4" w:tentative="1">
      <w:start w:val="1"/>
      <w:numFmt w:val="lowerLetter"/>
      <w:lvlText w:val="%5."/>
      <w:lvlJc w:val="left"/>
      <w:pPr>
        <w:ind w:left="3600" w:hanging="360"/>
      </w:pPr>
      <w:rPr>
        <w:rFonts w:cs="Times New Roman"/>
      </w:rPr>
    </w:lvl>
    <w:lvl w:ilvl="5" w:tplc="2ACEA468" w:tentative="1">
      <w:start w:val="1"/>
      <w:numFmt w:val="lowerRoman"/>
      <w:lvlText w:val="%6."/>
      <w:lvlJc w:val="right"/>
      <w:pPr>
        <w:ind w:left="4320" w:hanging="180"/>
      </w:pPr>
      <w:rPr>
        <w:rFonts w:cs="Times New Roman"/>
      </w:rPr>
    </w:lvl>
    <w:lvl w:ilvl="6" w:tplc="A54E173C" w:tentative="1">
      <w:start w:val="1"/>
      <w:numFmt w:val="decimal"/>
      <w:lvlText w:val="%7."/>
      <w:lvlJc w:val="left"/>
      <w:pPr>
        <w:ind w:left="5040" w:hanging="360"/>
      </w:pPr>
      <w:rPr>
        <w:rFonts w:cs="Times New Roman"/>
      </w:rPr>
    </w:lvl>
    <w:lvl w:ilvl="7" w:tplc="AA62F5B2" w:tentative="1">
      <w:start w:val="1"/>
      <w:numFmt w:val="lowerLetter"/>
      <w:lvlText w:val="%8."/>
      <w:lvlJc w:val="left"/>
      <w:pPr>
        <w:ind w:left="5760" w:hanging="360"/>
      </w:pPr>
      <w:rPr>
        <w:rFonts w:cs="Times New Roman"/>
      </w:rPr>
    </w:lvl>
    <w:lvl w:ilvl="8" w:tplc="77F694E0" w:tentative="1">
      <w:start w:val="1"/>
      <w:numFmt w:val="lowerRoman"/>
      <w:lvlText w:val="%9."/>
      <w:lvlJc w:val="right"/>
      <w:pPr>
        <w:ind w:left="6480" w:hanging="180"/>
      </w:pPr>
      <w:rPr>
        <w:rFonts w:cs="Times New Roman"/>
      </w:rPr>
    </w:lvl>
  </w:abstractNum>
  <w:abstractNum w:abstractNumId="22" w15:restartNumberingAfterBreak="0">
    <w:nsid w:val="267A5E70"/>
    <w:multiLevelType w:val="multilevel"/>
    <w:tmpl w:val="E342FCF2"/>
    <w:styleLink w:val="Style3"/>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3" w15:restartNumberingAfterBreak="0">
    <w:nsid w:val="29F675F9"/>
    <w:multiLevelType w:val="hybridMultilevel"/>
    <w:tmpl w:val="A2C60C32"/>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DBA7477"/>
    <w:multiLevelType w:val="hybridMultilevel"/>
    <w:tmpl w:val="B060C3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2EF2355E"/>
    <w:multiLevelType w:val="hybridMultilevel"/>
    <w:tmpl w:val="3EC67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2F35431E"/>
    <w:multiLevelType w:val="hybridMultilevel"/>
    <w:tmpl w:val="7E4CB7A8"/>
    <w:lvl w:ilvl="0" w:tplc="7AF0D8D0">
      <w:start w:val="1"/>
      <w:numFmt w:val="bullet"/>
      <w:pStyle w:val="Bodycopybulletlevel2"/>
      <w:lvlText w:val="o"/>
      <w:lvlJc w:val="left"/>
      <w:pPr>
        <w:ind w:left="703" w:hanging="360"/>
      </w:pPr>
      <w:rPr>
        <w:rFonts w:ascii="Courier New" w:hAnsi="Courier New" w:hint="default"/>
      </w:rPr>
    </w:lvl>
    <w:lvl w:ilvl="1" w:tplc="466E58A0">
      <w:start w:val="1"/>
      <w:numFmt w:val="lowerLetter"/>
      <w:pStyle w:val="Bulletlistalpha"/>
      <w:lvlText w:val="%2."/>
      <w:lvlJc w:val="left"/>
      <w:pPr>
        <w:ind w:left="1423" w:hanging="360"/>
      </w:pPr>
      <w:rPr>
        <w:rFonts w:cs="Times New Roman"/>
      </w:rPr>
    </w:lvl>
    <w:lvl w:ilvl="2" w:tplc="0C09001B" w:tentative="1">
      <w:start w:val="1"/>
      <w:numFmt w:val="lowerRoman"/>
      <w:lvlText w:val="%3."/>
      <w:lvlJc w:val="right"/>
      <w:pPr>
        <w:ind w:left="2143" w:hanging="180"/>
      </w:pPr>
      <w:rPr>
        <w:rFonts w:cs="Times New Roman"/>
      </w:rPr>
    </w:lvl>
    <w:lvl w:ilvl="3" w:tplc="0C09000F" w:tentative="1">
      <w:start w:val="1"/>
      <w:numFmt w:val="decimal"/>
      <w:lvlText w:val="%4."/>
      <w:lvlJc w:val="left"/>
      <w:pPr>
        <w:ind w:left="2863" w:hanging="360"/>
      </w:pPr>
      <w:rPr>
        <w:rFonts w:cs="Times New Roman"/>
      </w:rPr>
    </w:lvl>
    <w:lvl w:ilvl="4" w:tplc="0C090019" w:tentative="1">
      <w:start w:val="1"/>
      <w:numFmt w:val="lowerLetter"/>
      <w:lvlText w:val="%5."/>
      <w:lvlJc w:val="left"/>
      <w:pPr>
        <w:ind w:left="3583" w:hanging="360"/>
      </w:pPr>
      <w:rPr>
        <w:rFonts w:cs="Times New Roman"/>
      </w:rPr>
    </w:lvl>
    <w:lvl w:ilvl="5" w:tplc="0C09001B" w:tentative="1">
      <w:start w:val="1"/>
      <w:numFmt w:val="lowerRoman"/>
      <w:lvlText w:val="%6."/>
      <w:lvlJc w:val="right"/>
      <w:pPr>
        <w:ind w:left="4303" w:hanging="180"/>
      </w:pPr>
      <w:rPr>
        <w:rFonts w:cs="Times New Roman"/>
      </w:rPr>
    </w:lvl>
    <w:lvl w:ilvl="6" w:tplc="0C09000F" w:tentative="1">
      <w:start w:val="1"/>
      <w:numFmt w:val="decimal"/>
      <w:lvlText w:val="%7."/>
      <w:lvlJc w:val="left"/>
      <w:pPr>
        <w:ind w:left="5023" w:hanging="360"/>
      </w:pPr>
      <w:rPr>
        <w:rFonts w:cs="Times New Roman"/>
      </w:rPr>
    </w:lvl>
    <w:lvl w:ilvl="7" w:tplc="0C090019" w:tentative="1">
      <w:start w:val="1"/>
      <w:numFmt w:val="lowerLetter"/>
      <w:lvlText w:val="%8."/>
      <w:lvlJc w:val="left"/>
      <w:pPr>
        <w:ind w:left="5743" w:hanging="360"/>
      </w:pPr>
      <w:rPr>
        <w:rFonts w:cs="Times New Roman"/>
      </w:rPr>
    </w:lvl>
    <w:lvl w:ilvl="8" w:tplc="0C09001B" w:tentative="1">
      <w:start w:val="1"/>
      <w:numFmt w:val="lowerRoman"/>
      <w:lvlText w:val="%9."/>
      <w:lvlJc w:val="right"/>
      <w:pPr>
        <w:ind w:left="6463" w:hanging="180"/>
      </w:pPr>
      <w:rPr>
        <w:rFonts w:cs="Times New Roman"/>
      </w:rPr>
    </w:lvl>
  </w:abstractNum>
  <w:abstractNum w:abstractNumId="27" w15:restartNumberingAfterBreak="0">
    <w:nsid w:val="2FB312FF"/>
    <w:multiLevelType w:val="hybridMultilevel"/>
    <w:tmpl w:val="E3DAA2D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35872B8"/>
    <w:multiLevelType w:val="hybridMultilevel"/>
    <w:tmpl w:val="FA3442F4"/>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4A27359"/>
    <w:multiLevelType w:val="hybridMultilevel"/>
    <w:tmpl w:val="BE2C4B78"/>
    <w:lvl w:ilvl="0" w:tplc="5136D70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51124F"/>
    <w:multiLevelType w:val="hybridMultilevel"/>
    <w:tmpl w:val="0F9E7FDE"/>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1" w15:restartNumberingAfterBreak="0">
    <w:nsid w:val="4FC172EE"/>
    <w:multiLevelType w:val="hybridMultilevel"/>
    <w:tmpl w:val="DA6C0E1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53763F9"/>
    <w:multiLevelType w:val="hybridMultilevel"/>
    <w:tmpl w:val="343C45DE"/>
    <w:lvl w:ilvl="0" w:tplc="0C090001">
      <w:start w:val="1"/>
      <w:numFmt w:val="bullet"/>
      <w:lvlText w:val=""/>
      <w:lvlJc w:val="left"/>
      <w:pPr>
        <w:ind w:left="770" w:hanging="360"/>
      </w:pPr>
      <w:rPr>
        <w:rFonts w:ascii="Symbol" w:hAnsi="Symbol" w:hint="default"/>
      </w:rPr>
    </w:lvl>
    <w:lvl w:ilvl="1" w:tplc="9A40F990">
      <w:start w:val="1"/>
      <w:numFmt w:val="bullet"/>
      <w:lvlText w:val="˗"/>
      <w:lvlJc w:val="left"/>
      <w:pPr>
        <w:ind w:left="1490" w:hanging="360"/>
      </w:pPr>
      <w:rPr>
        <w:rFonts w:ascii="Courier New" w:hAnsi="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59711BA8"/>
    <w:multiLevelType w:val="multilevel"/>
    <w:tmpl w:val="C142AD88"/>
    <w:name w:val="Leg Quote"/>
    <w:lvl w:ilvl="0">
      <w:start w:val="1"/>
      <w:numFmt w:val="decimal"/>
      <w:lvlText w:val="(%1)"/>
      <w:lvlJc w:val="left"/>
      <w:pPr>
        <w:tabs>
          <w:tab w:val="num" w:pos="851"/>
        </w:tabs>
        <w:ind w:left="454" w:firstLine="397"/>
      </w:pPr>
      <w:rPr>
        <w:rFonts w:hint="default"/>
      </w:rPr>
    </w:lvl>
    <w:lvl w:ilvl="1">
      <w:start w:val="1"/>
      <w:numFmt w:val="lowerLetter"/>
      <w:lvlText w:val="(%2)"/>
      <w:lvlJc w:val="left"/>
      <w:pPr>
        <w:tabs>
          <w:tab w:val="num" w:pos="1418"/>
        </w:tabs>
        <w:ind w:left="1021" w:firstLine="397"/>
      </w:pPr>
      <w:rPr>
        <w:rFonts w:hint="default"/>
      </w:rPr>
    </w:lvl>
    <w:lvl w:ilvl="2">
      <w:start w:val="1"/>
      <w:numFmt w:val="lowerRoman"/>
      <w:lvlText w:val="%3)"/>
      <w:lvlJc w:val="left"/>
      <w:pPr>
        <w:tabs>
          <w:tab w:val="num" w:pos="1985"/>
        </w:tabs>
        <w:ind w:left="1588" w:firstLine="397"/>
      </w:pPr>
      <w:rPr>
        <w:rFonts w:hint="default"/>
      </w:rPr>
    </w:lvl>
    <w:lvl w:ilvl="3">
      <w:start w:val="1"/>
      <w:numFmt w:val="decimal"/>
      <w:lvlText w:val="(%4)"/>
      <w:lvlJc w:val="left"/>
      <w:pPr>
        <w:tabs>
          <w:tab w:val="num" w:pos="2552"/>
        </w:tabs>
        <w:ind w:left="2155" w:firstLine="397"/>
      </w:pPr>
      <w:rPr>
        <w:rFonts w:hint="default"/>
      </w:rPr>
    </w:lvl>
    <w:lvl w:ilvl="4">
      <w:start w:val="1"/>
      <w:numFmt w:val="lowerLetter"/>
      <w:lvlText w:val="(%5)"/>
      <w:lvlJc w:val="left"/>
      <w:pPr>
        <w:tabs>
          <w:tab w:val="num" w:pos="3119"/>
        </w:tabs>
        <w:ind w:left="2722" w:firstLine="397"/>
      </w:pPr>
      <w:rPr>
        <w:rFonts w:hint="default"/>
      </w:rPr>
    </w:lvl>
    <w:lvl w:ilvl="5">
      <w:start w:val="1"/>
      <w:numFmt w:val="lowerRoman"/>
      <w:lvlText w:val="(%6)"/>
      <w:lvlJc w:val="left"/>
      <w:pPr>
        <w:tabs>
          <w:tab w:val="num" w:pos="3686"/>
        </w:tabs>
        <w:ind w:left="3289" w:firstLine="397"/>
      </w:pPr>
      <w:rPr>
        <w:rFonts w:hint="default"/>
      </w:rPr>
    </w:lvl>
    <w:lvl w:ilvl="6">
      <w:start w:val="1"/>
      <w:numFmt w:val="decimal"/>
      <w:lvlText w:val="%7."/>
      <w:lvlJc w:val="left"/>
      <w:pPr>
        <w:tabs>
          <w:tab w:val="num" w:pos="4253"/>
        </w:tabs>
        <w:ind w:left="3856" w:firstLine="397"/>
      </w:pPr>
      <w:rPr>
        <w:rFonts w:hint="default"/>
      </w:rPr>
    </w:lvl>
    <w:lvl w:ilvl="7">
      <w:start w:val="1"/>
      <w:numFmt w:val="lowerLetter"/>
      <w:lvlText w:val="%8."/>
      <w:lvlJc w:val="left"/>
      <w:pPr>
        <w:tabs>
          <w:tab w:val="num" w:pos="4820"/>
        </w:tabs>
        <w:ind w:left="4423" w:firstLine="397"/>
      </w:pPr>
      <w:rPr>
        <w:rFonts w:hint="default"/>
      </w:rPr>
    </w:lvl>
    <w:lvl w:ilvl="8">
      <w:start w:val="1"/>
      <w:numFmt w:val="lowerRoman"/>
      <w:lvlText w:val="%9."/>
      <w:lvlJc w:val="left"/>
      <w:pPr>
        <w:tabs>
          <w:tab w:val="num" w:pos="5387"/>
        </w:tabs>
        <w:ind w:left="4990" w:firstLine="397"/>
      </w:pPr>
      <w:rPr>
        <w:rFonts w:hint="default"/>
      </w:rPr>
    </w:lvl>
  </w:abstractNum>
  <w:abstractNum w:abstractNumId="34" w15:restartNumberingAfterBreak="0">
    <w:nsid w:val="64CA5D5C"/>
    <w:multiLevelType w:val="hybridMultilevel"/>
    <w:tmpl w:val="D1F41810"/>
    <w:lvl w:ilvl="0" w:tplc="B2BC8480">
      <w:start w:val="1"/>
      <w:numFmt w:val="bullet"/>
      <w:lvlText w:val="­"/>
      <w:lvlJc w:val="left"/>
      <w:pPr>
        <w:ind w:left="1710" w:hanging="360"/>
      </w:pPr>
      <w:rPr>
        <w:rFonts w:ascii="Courier New" w:hAnsi="Courier New" w:hint="default"/>
      </w:rPr>
    </w:lvl>
    <w:lvl w:ilvl="1" w:tplc="87AC79EC">
      <w:numFmt w:val="bullet"/>
      <w:lvlText w:val="•"/>
      <w:lvlJc w:val="left"/>
      <w:pPr>
        <w:ind w:left="1800" w:hanging="360"/>
      </w:pPr>
      <w:rPr>
        <w:rFonts w:ascii="Calibri" w:eastAsiaTheme="minorHAnsi" w:hAnsi="Calibri" w:cstheme="minorBidi" w:hint="default"/>
        <w:b w:val="0"/>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5" w15:restartNumberingAfterBreak="0">
    <w:nsid w:val="65496197"/>
    <w:multiLevelType w:val="multilevel"/>
    <w:tmpl w:val="6F6A9636"/>
    <w:lvl w:ilvl="0">
      <w:start w:val="1"/>
      <w:numFmt w:val="lowerRoman"/>
      <w:pStyle w:val="Bulletlistroman"/>
      <w:lvlText w:val="%1)"/>
      <w:lvlJc w:val="left"/>
      <w:pPr>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36" w15:restartNumberingAfterBreak="0">
    <w:nsid w:val="68695F52"/>
    <w:multiLevelType w:val="multilevel"/>
    <w:tmpl w:val="3D903C6E"/>
    <w:lvl w:ilvl="0">
      <w:start w:val="1"/>
      <w:numFmt w:val="decimal"/>
      <w:lvlText w:val="%1."/>
      <w:lvlJc w:val="left"/>
      <w:pPr>
        <w:ind w:left="360" w:hanging="360"/>
      </w:pPr>
    </w:lvl>
    <w:lvl w:ilvl="1">
      <w:start w:val="1"/>
      <w:numFmt w:val="lowerLett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C1C30F6"/>
    <w:multiLevelType w:val="multilevel"/>
    <w:tmpl w:val="72E402EC"/>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82771B"/>
    <w:multiLevelType w:val="hybridMultilevel"/>
    <w:tmpl w:val="148207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6E034034"/>
    <w:multiLevelType w:val="multilevel"/>
    <w:tmpl w:val="A5ECBD6A"/>
    <w:styleLink w:val="Style2"/>
    <w:lvl w:ilvl="0">
      <w:start w:val="1"/>
      <w:numFmt w:val="decimal"/>
      <w:lvlText w:val="%1.1"/>
      <w:lvlJc w:val="left"/>
      <w:pPr>
        <w:ind w:left="432" w:hanging="432"/>
      </w:pPr>
      <w:rPr>
        <w:rFonts w:cs="Times New Roman" w:hint="default"/>
      </w:rPr>
    </w:lvl>
    <w:lvl w:ilvl="1">
      <w:start w:val="1"/>
      <w:numFmt w:val="none"/>
      <w:lvlText w:val=""/>
      <w:lvlJc w:val="left"/>
      <w:pPr>
        <w:ind w:left="576" w:hanging="576"/>
      </w:pPr>
      <w:rPr>
        <w:rFonts w:cs="Times New Roman" w:hint="default"/>
      </w:rPr>
    </w:lvl>
    <w:lvl w:ilvl="2">
      <w:start w:val="1"/>
      <w:numFmt w:val="none"/>
      <w:lvlText w:val=""/>
      <w:lvlJc w:val="left"/>
      <w:pPr>
        <w:ind w:left="720" w:hanging="720"/>
      </w:pPr>
      <w:rPr>
        <w:rFonts w:cs="Times New Roman" w:hint="default"/>
      </w:rPr>
    </w:lvl>
    <w:lvl w:ilvl="3">
      <w:start w:val="1"/>
      <w:numFmt w:val="none"/>
      <w:lvlText w:val=""/>
      <w:lvlJc w:val="left"/>
      <w:pPr>
        <w:ind w:left="864" w:hanging="864"/>
      </w:pPr>
      <w:rPr>
        <w:rFonts w:cs="Times New Roman" w:hint="default"/>
      </w:rPr>
    </w:lvl>
    <w:lvl w:ilvl="4">
      <w:start w:val="1"/>
      <w:numFmt w:val="none"/>
      <w:lvlText w:val=""/>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7%1.%21"/>
      <w:lvlJc w:val="left"/>
      <w:pPr>
        <w:ind w:left="1296" w:hanging="1296"/>
      </w:pPr>
      <w:rPr>
        <w:rFonts w:cs="Times New Roman" w:hint="default"/>
      </w:rPr>
    </w:lvl>
    <w:lvl w:ilvl="7">
      <w:start w:val="1"/>
      <w:numFmt w:val="decimal"/>
      <w:lvlText w:val="%8%1.%21.1"/>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40" w15:restartNumberingAfterBreak="0">
    <w:nsid w:val="73961681"/>
    <w:multiLevelType w:val="hybridMultilevel"/>
    <w:tmpl w:val="185618F4"/>
    <w:lvl w:ilvl="0" w:tplc="17D6AA50">
      <w:numFmt w:val="bullet"/>
      <w:lvlText w:val="•"/>
      <w:lvlJc w:val="left"/>
      <w:pPr>
        <w:ind w:left="1440" w:hanging="360"/>
      </w:pPr>
      <w:rPr>
        <w:rFonts w:ascii="Calibri" w:eastAsia="Calibri" w:hAnsi="Calibri" w:cs="Calibr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78756C1C"/>
    <w:multiLevelType w:val="hybridMultilevel"/>
    <w:tmpl w:val="6DD888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AB37F25"/>
    <w:multiLevelType w:val="hybridMultilevel"/>
    <w:tmpl w:val="E46216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D1314E2"/>
    <w:multiLevelType w:val="hybridMultilevel"/>
    <w:tmpl w:val="4D88D650"/>
    <w:lvl w:ilvl="0" w:tplc="3894EE82">
      <w:start w:val="1"/>
      <w:numFmt w:val="bullet"/>
      <w:pStyle w:val="Bulletlistlevel1"/>
      <w:lvlText w:val=""/>
      <w:lvlJc w:val="left"/>
      <w:pPr>
        <w:ind w:left="-414" w:hanging="360"/>
      </w:pPr>
      <w:rPr>
        <w:rFonts w:ascii="Symbol" w:hAnsi="Symbol" w:hint="default"/>
      </w:rPr>
    </w:lvl>
    <w:lvl w:ilvl="1" w:tplc="87D8F8F0" w:tentative="1">
      <w:start w:val="1"/>
      <w:numFmt w:val="lowerLetter"/>
      <w:lvlText w:val="%2."/>
      <w:lvlJc w:val="left"/>
      <w:pPr>
        <w:ind w:left="306" w:hanging="360"/>
      </w:pPr>
      <w:rPr>
        <w:rFonts w:cs="Times New Roman"/>
      </w:rPr>
    </w:lvl>
    <w:lvl w:ilvl="2" w:tplc="B1323CB8" w:tentative="1">
      <w:start w:val="1"/>
      <w:numFmt w:val="lowerRoman"/>
      <w:lvlText w:val="%3."/>
      <w:lvlJc w:val="right"/>
      <w:pPr>
        <w:ind w:left="1026" w:hanging="180"/>
      </w:pPr>
      <w:rPr>
        <w:rFonts w:cs="Times New Roman"/>
      </w:rPr>
    </w:lvl>
    <w:lvl w:ilvl="3" w:tplc="CAE0A252" w:tentative="1">
      <w:start w:val="1"/>
      <w:numFmt w:val="decimal"/>
      <w:lvlText w:val="%4."/>
      <w:lvlJc w:val="left"/>
      <w:pPr>
        <w:ind w:left="1746" w:hanging="360"/>
      </w:pPr>
      <w:rPr>
        <w:rFonts w:cs="Times New Roman"/>
      </w:rPr>
    </w:lvl>
    <w:lvl w:ilvl="4" w:tplc="A496904E" w:tentative="1">
      <w:start w:val="1"/>
      <w:numFmt w:val="lowerLetter"/>
      <w:lvlText w:val="%5."/>
      <w:lvlJc w:val="left"/>
      <w:pPr>
        <w:ind w:left="2466" w:hanging="360"/>
      </w:pPr>
      <w:rPr>
        <w:rFonts w:cs="Times New Roman"/>
      </w:rPr>
    </w:lvl>
    <w:lvl w:ilvl="5" w:tplc="867CAE32" w:tentative="1">
      <w:start w:val="1"/>
      <w:numFmt w:val="lowerRoman"/>
      <w:lvlText w:val="%6."/>
      <w:lvlJc w:val="right"/>
      <w:pPr>
        <w:ind w:left="3186" w:hanging="180"/>
      </w:pPr>
      <w:rPr>
        <w:rFonts w:cs="Times New Roman"/>
      </w:rPr>
    </w:lvl>
    <w:lvl w:ilvl="6" w:tplc="36B64AEE" w:tentative="1">
      <w:start w:val="1"/>
      <w:numFmt w:val="decimal"/>
      <w:lvlText w:val="%7."/>
      <w:lvlJc w:val="left"/>
      <w:pPr>
        <w:ind w:left="3906" w:hanging="360"/>
      </w:pPr>
      <w:rPr>
        <w:rFonts w:cs="Times New Roman"/>
      </w:rPr>
    </w:lvl>
    <w:lvl w:ilvl="7" w:tplc="EB0E0432" w:tentative="1">
      <w:start w:val="1"/>
      <w:numFmt w:val="lowerLetter"/>
      <w:lvlText w:val="%8."/>
      <w:lvlJc w:val="left"/>
      <w:pPr>
        <w:ind w:left="4626" w:hanging="360"/>
      </w:pPr>
      <w:rPr>
        <w:rFonts w:cs="Times New Roman"/>
      </w:rPr>
    </w:lvl>
    <w:lvl w:ilvl="8" w:tplc="4C4454F4" w:tentative="1">
      <w:start w:val="1"/>
      <w:numFmt w:val="lowerRoman"/>
      <w:lvlText w:val="%9."/>
      <w:lvlJc w:val="right"/>
      <w:pPr>
        <w:ind w:left="5346" w:hanging="180"/>
      </w:pPr>
      <w:rPr>
        <w:rFonts w:cs="Times New Roman"/>
      </w:rPr>
    </w:lvl>
  </w:abstractNum>
  <w:abstractNum w:abstractNumId="44"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FE9684D"/>
    <w:multiLevelType w:val="multilevel"/>
    <w:tmpl w:val="155E0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3"/>
  </w:num>
  <w:num w:numId="12">
    <w:abstractNumId w:val="14"/>
  </w:num>
  <w:num w:numId="13">
    <w:abstractNumId w:val="43"/>
  </w:num>
  <w:num w:numId="14">
    <w:abstractNumId w:val="26"/>
  </w:num>
  <w:num w:numId="15">
    <w:abstractNumId w:val="12"/>
  </w:num>
  <w:num w:numId="16">
    <w:abstractNumId w:val="18"/>
  </w:num>
  <w:num w:numId="17">
    <w:abstractNumId w:val="39"/>
  </w:num>
  <w:num w:numId="18">
    <w:abstractNumId w:val="35"/>
  </w:num>
  <w:num w:numId="19">
    <w:abstractNumId w:val="21"/>
  </w:num>
  <w:num w:numId="20">
    <w:abstractNumId w:val="22"/>
  </w:num>
  <w:num w:numId="21">
    <w:abstractNumId w:val="11"/>
  </w:num>
  <w:num w:numId="22">
    <w:abstractNumId w:val="20"/>
  </w:num>
  <w:num w:numId="23">
    <w:abstractNumId w:val="44"/>
  </w:num>
  <w:num w:numId="24">
    <w:abstractNumId w:val="34"/>
  </w:num>
  <w:num w:numId="25">
    <w:abstractNumId w:val="25"/>
  </w:num>
  <w:num w:numId="26">
    <w:abstractNumId w:val="42"/>
  </w:num>
  <w:num w:numId="27">
    <w:abstractNumId w:val="19"/>
  </w:num>
  <w:num w:numId="28">
    <w:abstractNumId w:val="32"/>
  </w:num>
  <w:num w:numId="29">
    <w:abstractNumId w:val="15"/>
  </w:num>
  <w:num w:numId="30">
    <w:abstractNumId w:val="29"/>
  </w:num>
  <w:num w:numId="31">
    <w:abstractNumId w:val="40"/>
  </w:num>
  <w:num w:numId="32">
    <w:abstractNumId w:val="17"/>
  </w:num>
  <w:num w:numId="33">
    <w:abstractNumId w:val="27"/>
  </w:num>
  <w:num w:numId="34">
    <w:abstractNumId w:val="28"/>
  </w:num>
  <w:num w:numId="35">
    <w:abstractNumId w:val="24"/>
  </w:num>
  <w:num w:numId="36">
    <w:abstractNumId w:val="10"/>
  </w:num>
  <w:num w:numId="37">
    <w:abstractNumId w:val="13"/>
  </w:num>
  <w:num w:numId="38">
    <w:abstractNumId w:val="45"/>
  </w:num>
  <w:num w:numId="39">
    <w:abstractNumId w:val="41"/>
  </w:num>
  <w:num w:numId="40">
    <w:abstractNumId w:val="38"/>
  </w:num>
  <w:num w:numId="41">
    <w:abstractNumId w:val="41"/>
  </w:num>
  <w:num w:numId="42">
    <w:abstractNumId w:val="37"/>
  </w:num>
  <w:num w:numId="43">
    <w:abstractNumId w:val="36"/>
  </w:num>
  <w:num w:numId="44">
    <w:abstractNumId w:val="30"/>
  </w:num>
  <w:num w:numId="45">
    <w:abstractNumId w:val="16"/>
  </w:num>
  <w:num w:numId="4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346"/>
  <w:evenAndOddHeaders/>
  <w:characterSpacingControl w:val="doNotCompress"/>
  <w:hdrShapeDefaults>
    <o:shapedefaults v:ext="edit" spidmax="43009" style="mso-position-horizontal:center;mso-position-horizontal-relative:margin;mso-position-vertical:center;mso-position-vertical-relative:margin" o:allowincell="f" fillcolor="silver" stroke="f">
      <v:fill color="silver" opacity=".5"/>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846"/>
    <w:rsid w:val="000011FF"/>
    <w:rsid w:val="000016B7"/>
    <w:rsid w:val="00001839"/>
    <w:rsid w:val="00004BBA"/>
    <w:rsid w:val="00010090"/>
    <w:rsid w:val="00012062"/>
    <w:rsid w:val="00012567"/>
    <w:rsid w:val="000129E3"/>
    <w:rsid w:val="00012C7C"/>
    <w:rsid w:val="00013BA7"/>
    <w:rsid w:val="00014921"/>
    <w:rsid w:val="00015B3E"/>
    <w:rsid w:val="00016CCD"/>
    <w:rsid w:val="00016ECB"/>
    <w:rsid w:val="000171BE"/>
    <w:rsid w:val="0001725A"/>
    <w:rsid w:val="00020720"/>
    <w:rsid w:val="000223B2"/>
    <w:rsid w:val="00022A35"/>
    <w:rsid w:val="000233EA"/>
    <w:rsid w:val="000238D1"/>
    <w:rsid w:val="00024BDA"/>
    <w:rsid w:val="00025A33"/>
    <w:rsid w:val="00026D92"/>
    <w:rsid w:val="00030285"/>
    <w:rsid w:val="0003048A"/>
    <w:rsid w:val="00031176"/>
    <w:rsid w:val="00031636"/>
    <w:rsid w:val="00032058"/>
    <w:rsid w:val="00034175"/>
    <w:rsid w:val="00034823"/>
    <w:rsid w:val="00034ADC"/>
    <w:rsid w:val="00034CCA"/>
    <w:rsid w:val="00036A58"/>
    <w:rsid w:val="00037980"/>
    <w:rsid w:val="00037B25"/>
    <w:rsid w:val="00040028"/>
    <w:rsid w:val="000421E6"/>
    <w:rsid w:val="00042C45"/>
    <w:rsid w:val="000433E0"/>
    <w:rsid w:val="00044012"/>
    <w:rsid w:val="00044194"/>
    <w:rsid w:val="00044B07"/>
    <w:rsid w:val="0004551E"/>
    <w:rsid w:val="00045B1E"/>
    <w:rsid w:val="00045F75"/>
    <w:rsid w:val="00046DE2"/>
    <w:rsid w:val="0005082C"/>
    <w:rsid w:val="0005204D"/>
    <w:rsid w:val="00052319"/>
    <w:rsid w:val="00052A23"/>
    <w:rsid w:val="00052F85"/>
    <w:rsid w:val="00053A61"/>
    <w:rsid w:val="00053DC1"/>
    <w:rsid w:val="0005501E"/>
    <w:rsid w:val="00055077"/>
    <w:rsid w:val="00056859"/>
    <w:rsid w:val="000568AC"/>
    <w:rsid w:val="0005767A"/>
    <w:rsid w:val="00060E04"/>
    <w:rsid w:val="000610EF"/>
    <w:rsid w:val="000618AD"/>
    <w:rsid w:val="00061AB9"/>
    <w:rsid w:val="00061B6D"/>
    <w:rsid w:val="00061D08"/>
    <w:rsid w:val="00062087"/>
    <w:rsid w:val="00063AC0"/>
    <w:rsid w:val="00064C47"/>
    <w:rsid w:val="00064F19"/>
    <w:rsid w:val="00067C68"/>
    <w:rsid w:val="00067FAE"/>
    <w:rsid w:val="0007009F"/>
    <w:rsid w:val="0007136A"/>
    <w:rsid w:val="00073340"/>
    <w:rsid w:val="0007461D"/>
    <w:rsid w:val="0007556D"/>
    <w:rsid w:val="0007600C"/>
    <w:rsid w:val="0007673D"/>
    <w:rsid w:val="0007683A"/>
    <w:rsid w:val="00077835"/>
    <w:rsid w:val="0008186E"/>
    <w:rsid w:val="000823F3"/>
    <w:rsid w:val="00082916"/>
    <w:rsid w:val="000840B5"/>
    <w:rsid w:val="0008663E"/>
    <w:rsid w:val="00086C99"/>
    <w:rsid w:val="000874A9"/>
    <w:rsid w:val="00087C07"/>
    <w:rsid w:val="0009152D"/>
    <w:rsid w:val="000915D1"/>
    <w:rsid w:val="00092119"/>
    <w:rsid w:val="000924FF"/>
    <w:rsid w:val="000927C6"/>
    <w:rsid w:val="00093922"/>
    <w:rsid w:val="000941F6"/>
    <w:rsid w:val="00094472"/>
    <w:rsid w:val="00094D98"/>
    <w:rsid w:val="00095C7A"/>
    <w:rsid w:val="000967E6"/>
    <w:rsid w:val="0009718B"/>
    <w:rsid w:val="000971E6"/>
    <w:rsid w:val="00097985"/>
    <w:rsid w:val="000A14A2"/>
    <w:rsid w:val="000A15A8"/>
    <w:rsid w:val="000A16C9"/>
    <w:rsid w:val="000A2214"/>
    <w:rsid w:val="000A22C6"/>
    <w:rsid w:val="000A33FE"/>
    <w:rsid w:val="000A408F"/>
    <w:rsid w:val="000A52C2"/>
    <w:rsid w:val="000A5891"/>
    <w:rsid w:val="000A5E0A"/>
    <w:rsid w:val="000A65CD"/>
    <w:rsid w:val="000A6724"/>
    <w:rsid w:val="000A78C0"/>
    <w:rsid w:val="000B0846"/>
    <w:rsid w:val="000B0CDE"/>
    <w:rsid w:val="000B0D42"/>
    <w:rsid w:val="000B12AD"/>
    <w:rsid w:val="000B2688"/>
    <w:rsid w:val="000B4BFC"/>
    <w:rsid w:val="000B4D3D"/>
    <w:rsid w:val="000B504D"/>
    <w:rsid w:val="000B510A"/>
    <w:rsid w:val="000B6864"/>
    <w:rsid w:val="000B71DA"/>
    <w:rsid w:val="000C0208"/>
    <w:rsid w:val="000C0965"/>
    <w:rsid w:val="000C1130"/>
    <w:rsid w:val="000C12B1"/>
    <w:rsid w:val="000C12C3"/>
    <w:rsid w:val="000C1C7C"/>
    <w:rsid w:val="000C23FE"/>
    <w:rsid w:val="000C2759"/>
    <w:rsid w:val="000C30A9"/>
    <w:rsid w:val="000C322C"/>
    <w:rsid w:val="000C3653"/>
    <w:rsid w:val="000C49C9"/>
    <w:rsid w:val="000C5573"/>
    <w:rsid w:val="000C59EC"/>
    <w:rsid w:val="000C6DFF"/>
    <w:rsid w:val="000C6FA0"/>
    <w:rsid w:val="000C7916"/>
    <w:rsid w:val="000D3223"/>
    <w:rsid w:val="000D384D"/>
    <w:rsid w:val="000D4F39"/>
    <w:rsid w:val="000D5EDC"/>
    <w:rsid w:val="000D68A2"/>
    <w:rsid w:val="000D6984"/>
    <w:rsid w:val="000D7541"/>
    <w:rsid w:val="000D7EBD"/>
    <w:rsid w:val="000E13B4"/>
    <w:rsid w:val="000E231B"/>
    <w:rsid w:val="000E2F92"/>
    <w:rsid w:val="000E34F7"/>
    <w:rsid w:val="000E440E"/>
    <w:rsid w:val="000E4D77"/>
    <w:rsid w:val="000E5A5A"/>
    <w:rsid w:val="000E66C0"/>
    <w:rsid w:val="000E79A3"/>
    <w:rsid w:val="000F0E3A"/>
    <w:rsid w:val="000F0EFB"/>
    <w:rsid w:val="000F30A0"/>
    <w:rsid w:val="000F3531"/>
    <w:rsid w:val="000F3D5D"/>
    <w:rsid w:val="000F6652"/>
    <w:rsid w:val="000F6785"/>
    <w:rsid w:val="000F7C44"/>
    <w:rsid w:val="00100B5B"/>
    <w:rsid w:val="001013B4"/>
    <w:rsid w:val="00101A1A"/>
    <w:rsid w:val="00103599"/>
    <w:rsid w:val="00103E7B"/>
    <w:rsid w:val="00104A8B"/>
    <w:rsid w:val="00104CBD"/>
    <w:rsid w:val="00105A3D"/>
    <w:rsid w:val="00105E68"/>
    <w:rsid w:val="0010659A"/>
    <w:rsid w:val="00106983"/>
    <w:rsid w:val="001069C1"/>
    <w:rsid w:val="00106A85"/>
    <w:rsid w:val="00107EEA"/>
    <w:rsid w:val="001107D1"/>
    <w:rsid w:val="00112799"/>
    <w:rsid w:val="00115163"/>
    <w:rsid w:val="001154AD"/>
    <w:rsid w:val="00116A46"/>
    <w:rsid w:val="00116E9B"/>
    <w:rsid w:val="00117277"/>
    <w:rsid w:val="001201A6"/>
    <w:rsid w:val="0012051D"/>
    <w:rsid w:val="00120F86"/>
    <w:rsid w:val="00121896"/>
    <w:rsid w:val="00123DBF"/>
    <w:rsid w:val="00125EA4"/>
    <w:rsid w:val="001266E9"/>
    <w:rsid w:val="00126706"/>
    <w:rsid w:val="00126C48"/>
    <w:rsid w:val="00126D9A"/>
    <w:rsid w:val="00127856"/>
    <w:rsid w:val="00131525"/>
    <w:rsid w:val="00132097"/>
    <w:rsid w:val="0013258C"/>
    <w:rsid w:val="00133077"/>
    <w:rsid w:val="00133A87"/>
    <w:rsid w:val="00133AB1"/>
    <w:rsid w:val="00134F41"/>
    <w:rsid w:val="001352E7"/>
    <w:rsid w:val="00135363"/>
    <w:rsid w:val="00137745"/>
    <w:rsid w:val="001409BD"/>
    <w:rsid w:val="001415F9"/>
    <w:rsid w:val="00144032"/>
    <w:rsid w:val="00144967"/>
    <w:rsid w:val="0014536B"/>
    <w:rsid w:val="00145B35"/>
    <w:rsid w:val="00145C9B"/>
    <w:rsid w:val="00147B04"/>
    <w:rsid w:val="00150083"/>
    <w:rsid w:val="001505EB"/>
    <w:rsid w:val="00151365"/>
    <w:rsid w:val="00151C3B"/>
    <w:rsid w:val="0015201D"/>
    <w:rsid w:val="001562EC"/>
    <w:rsid w:val="0016031B"/>
    <w:rsid w:val="0016069D"/>
    <w:rsid w:val="001606A8"/>
    <w:rsid w:val="00163101"/>
    <w:rsid w:val="0016386F"/>
    <w:rsid w:val="00163A08"/>
    <w:rsid w:val="0016463A"/>
    <w:rsid w:val="00165699"/>
    <w:rsid w:val="00166E04"/>
    <w:rsid w:val="00167169"/>
    <w:rsid w:val="00167537"/>
    <w:rsid w:val="00167EE2"/>
    <w:rsid w:val="0017063D"/>
    <w:rsid w:val="00170F9C"/>
    <w:rsid w:val="001712BC"/>
    <w:rsid w:val="001722F9"/>
    <w:rsid w:val="0017558F"/>
    <w:rsid w:val="0017638E"/>
    <w:rsid w:val="001777EE"/>
    <w:rsid w:val="001779EA"/>
    <w:rsid w:val="00180581"/>
    <w:rsid w:val="00180D09"/>
    <w:rsid w:val="001820C5"/>
    <w:rsid w:val="0018277F"/>
    <w:rsid w:val="001829FA"/>
    <w:rsid w:val="00182A2F"/>
    <w:rsid w:val="001839D6"/>
    <w:rsid w:val="00184A7B"/>
    <w:rsid w:val="00184C56"/>
    <w:rsid w:val="00184D61"/>
    <w:rsid w:val="0018598D"/>
    <w:rsid w:val="00187105"/>
    <w:rsid w:val="0019001E"/>
    <w:rsid w:val="0019058B"/>
    <w:rsid w:val="001917B3"/>
    <w:rsid w:val="001917DA"/>
    <w:rsid w:val="00192003"/>
    <w:rsid w:val="00192010"/>
    <w:rsid w:val="001929CA"/>
    <w:rsid w:val="00195221"/>
    <w:rsid w:val="0019559B"/>
    <w:rsid w:val="00195B4C"/>
    <w:rsid w:val="00196028"/>
    <w:rsid w:val="001974F6"/>
    <w:rsid w:val="001A1A54"/>
    <w:rsid w:val="001A28BF"/>
    <w:rsid w:val="001A3394"/>
    <w:rsid w:val="001A46D3"/>
    <w:rsid w:val="001A5269"/>
    <w:rsid w:val="001A5F09"/>
    <w:rsid w:val="001A621A"/>
    <w:rsid w:val="001A6A02"/>
    <w:rsid w:val="001A78B6"/>
    <w:rsid w:val="001B0650"/>
    <w:rsid w:val="001B09FD"/>
    <w:rsid w:val="001B1173"/>
    <w:rsid w:val="001B207B"/>
    <w:rsid w:val="001B22F0"/>
    <w:rsid w:val="001B36FB"/>
    <w:rsid w:val="001B457B"/>
    <w:rsid w:val="001B4892"/>
    <w:rsid w:val="001B4930"/>
    <w:rsid w:val="001B4BE5"/>
    <w:rsid w:val="001B5859"/>
    <w:rsid w:val="001B5C86"/>
    <w:rsid w:val="001B5E58"/>
    <w:rsid w:val="001B5EB3"/>
    <w:rsid w:val="001B5F08"/>
    <w:rsid w:val="001B73A1"/>
    <w:rsid w:val="001C11EA"/>
    <w:rsid w:val="001C2A48"/>
    <w:rsid w:val="001C3269"/>
    <w:rsid w:val="001C3601"/>
    <w:rsid w:val="001C58CE"/>
    <w:rsid w:val="001C5D82"/>
    <w:rsid w:val="001C6D5B"/>
    <w:rsid w:val="001C719C"/>
    <w:rsid w:val="001C7639"/>
    <w:rsid w:val="001C7818"/>
    <w:rsid w:val="001D00FF"/>
    <w:rsid w:val="001D2441"/>
    <w:rsid w:val="001D271A"/>
    <w:rsid w:val="001D2873"/>
    <w:rsid w:val="001D5DBF"/>
    <w:rsid w:val="001D60B6"/>
    <w:rsid w:val="001D6452"/>
    <w:rsid w:val="001D7AD1"/>
    <w:rsid w:val="001E0240"/>
    <w:rsid w:val="001E0B71"/>
    <w:rsid w:val="001E1834"/>
    <w:rsid w:val="001E197A"/>
    <w:rsid w:val="001E2F75"/>
    <w:rsid w:val="001E3462"/>
    <w:rsid w:val="001E3B56"/>
    <w:rsid w:val="001E3BA1"/>
    <w:rsid w:val="001E3ED8"/>
    <w:rsid w:val="001E533E"/>
    <w:rsid w:val="001E56FE"/>
    <w:rsid w:val="001E61F6"/>
    <w:rsid w:val="001E6421"/>
    <w:rsid w:val="001E6B34"/>
    <w:rsid w:val="001E6B45"/>
    <w:rsid w:val="001E7889"/>
    <w:rsid w:val="001F1058"/>
    <w:rsid w:val="001F1D6D"/>
    <w:rsid w:val="001F48AB"/>
    <w:rsid w:val="001F49B7"/>
    <w:rsid w:val="001F5C5F"/>
    <w:rsid w:val="001F622E"/>
    <w:rsid w:val="00202660"/>
    <w:rsid w:val="00202BE1"/>
    <w:rsid w:val="002031BD"/>
    <w:rsid w:val="002032A0"/>
    <w:rsid w:val="00204746"/>
    <w:rsid w:val="002064D0"/>
    <w:rsid w:val="002076F3"/>
    <w:rsid w:val="002103BD"/>
    <w:rsid w:val="00210A63"/>
    <w:rsid w:val="00211156"/>
    <w:rsid w:val="0021195E"/>
    <w:rsid w:val="002128AF"/>
    <w:rsid w:val="00212A72"/>
    <w:rsid w:val="00212F5E"/>
    <w:rsid w:val="002149D9"/>
    <w:rsid w:val="0021614E"/>
    <w:rsid w:val="00216794"/>
    <w:rsid w:val="00220914"/>
    <w:rsid w:val="00221C9C"/>
    <w:rsid w:val="0022278A"/>
    <w:rsid w:val="002230E6"/>
    <w:rsid w:val="00224D59"/>
    <w:rsid w:val="002259AC"/>
    <w:rsid w:val="002264FA"/>
    <w:rsid w:val="00226A15"/>
    <w:rsid w:val="002270B3"/>
    <w:rsid w:val="00227281"/>
    <w:rsid w:val="0023358B"/>
    <w:rsid w:val="00233BF7"/>
    <w:rsid w:val="00234D0C"/>
    <w:rsid w:val="00235070"/>
    <w:rsid w:val="00235C4C"/>
    <w:rsid w:val="00235CF0"/>
    <w:rsid w:val="00235D37"/>
    <w:rsid w:val="002371DB"/>
    <w:rsid w:val="00237B6F"/>
    <w:rsid w:val="00240841"/>
    <w:rsid w:val="002412A4"/>
    <w:rsid w:val="00241F22"/>
    <w:rsid w:val="00243563"/>
    <w:rsid w:val="00243715"/>
    <w:rsid w:val="00243CBE"/>
    <w:rsid w:val="00243DCB"/>
    <w:rsid w:val="00244435"/>
    <w:rsid w:val="0024524F"/>
    <w:rsid w:val="002458C5"/>
    <w:rsid w:val="00245D9F"/>
    <w:rsid w:val="00246AB8"/>
    <w:rsid w:val="00247201"/>
    <w:rsid w:val="00247FE5"/>
    <w:rsid w:val="002502AF"/>
    <w:rsid w:val="00251799"/>
    <w:rsid w:val="00251AC7"/>
    <w:rsid w:val="00252497"/>
    <w:rsid w:val="00252BBC"/>
    <w:rsid w:val="00254B7A"/>
    <w:rsid w:val="00254C30"/>
    <w:rsid w:val="00256D7D"/>
    <w:rsid w:val="00256FBC"/>
    <w:rsid w:val="00262C9C"/>
    <w:rsid w:val="00264222"/>
    <w:rsid w:val="002644BB"/>
    <w:rsid w:val="002649B5"/>
    <w:rsid w:val="002655DA"/>
    <w:rsid w:val="002718FF"/>
    <w:rsid w:val="00271A5B"/>
    <w:rsid w:val="00272B12"/>
    <w:rsid w:val="00275330"/>
    <w:rsid w:val="002753EE"/>
    <w:rsid w:val="002805F4"/>
    <w:rsid w:val="002806E8"/>
    <w:rsid w:val="00280D11"/>
    <w:rsid w:val="00283F5C"/>
    <w:rsid w:val="00285ABC"/>
    <w:rsid w:val="00285E02"/>
    <w:rsid w:val="00286673"/>
    <w:rsid w:val="00287BE8"/>
    <w:rsid w:val="00287FC6"/>
    <w:rsid w:val="00291D83"/>
    <w:rsid w:val="002973FA"/>
    <w:rsid w:val="00297673"/>
    <w:rsid w:val="002A0027"/>
    <w:rsid w:val="002A185D"/>
    <w:rsid w:val="002A24D0"/>
    <w:rsid w:val="002A257A"/>
    <w:rsid w:val="002A5344"/>
    <w:rsid w:val="002A6A9F"/>
    <w:rsid w:val="002B1AC8"/>
    <w:rsid w:val="002B23FF"/>
    <w:rsid w:val="002B388D"/>
    <w:rsid w:val="002B4A3A"/>
    <w:rsid w:val="002B660A"/>
    <w:rsid w:val="002B7D81"/>
    <w:rsid w:val="002C1AB1"/>
    <w:rsid w:val="002C3AC7"/>
    <w:rsid w:val="002C3C37"/>
    <w:rsid w:val="002C3CF7"/>
    <w:rsid w:val="002C548A"/>
    <w:rsid w:val="002C6E9B"/>
    <w:rsid w:val="002D0603"/>
    <w:rsid w:val="002D0702"/>
    <w:rsid w:val="002D0A83"/>
    <w:rsid w:val="002D1047"/>
    <w:rsid w:val="002D3B0A"/>
    <w:rsid w:val="002D485F"/>
    <w:rsid w:val="002D5907"/>
    <w:rsid w:val="002D7840"/>
    <w:rsid w:val="002E0324"/>
    <w:rsid w:val="002E2EB3"/>
    <w:rsid w:val="002E344A"/>
    <w:rsid w:val="002E3ED2"/>
    <w:rsid w:val="002E6EB6"/>
    <w:rsid w:val="002E726C"/>
    <w:rsid w:val="002F04E9"/>
    <w:rsid w:val="002F0D7F"/>
    <w:rsid w:val="002F1119"/>
    <w:rsid w:val="002F13B7"/>
    <w:rsid w:val="002F1D67"/>
    <w:rsid w:val="002F37BA"/>
    <w:rsid w:val="002F44A8"/>
    <w:rsid w:val="002F5386"/>
    <w:rsid w:val="00301635"/>
    <w:rsid w:val="00301F54"/>
    <w:rsid w:val="00302004"/>
    <w:rsid w:val="00302510"/>
    <w:rsid w:val="00302BD1"/>
    <w:rsid w:val="00302DF4"/>
    <w:rsid w:val="00303425"/>
    <w:rsid w:val="003042B1"/>
    <w:rsid w:val="003045B8"/>
    <w:rsid w:val="003045ED"/>
    <w:rsid w:val="00306B22"/>
    <w:rsid w:val="003070C7"/>
    <w:rsid w:val="00307591"/>
    <w:rsid w:val="00310CFA"/>
    <w:rsid w:val="0031203B"/>
    <w:rsid w:val="003127FB"/>
    <w:rsid w:val="00313920"/>
    <w:rsid w:val="00314CF6"/>
    <w:rsid w:val="003155F0"/>
    <w:rsid w:val="0031570D"/>
    <w:rsid w:val="00316B2D"/>
    <w:rsid w:val="00317346"/>
    <w:rsid w:val="00317393"/>
    <w:rsid w:val="0031748B"/>
    <w:rsid w:val="003178C5"/>
    <w:rsid w:val="00317E73"/>
    <w:rsid w:val="003217D0"/>
    <w:rsid w:val="0032291C"/>
    <w:rsid w:val="00326327"/>
    <w:rsid w:val="00327055"/>
    <w:rsid w:val="00330E92"/>
    <w:rsid w:val="00331026"/>
    <w:rsid w:val="00332D86"/>
    <w:rsid w:val="0033431C"/>
    <w:rsid w:val="003345DA"/>
    <w:rsid w:val="00335E54"/>
    <w:rsid w:val="00336013"/>
    <w:rsid w:val="00336217"/>
    <w:rsid w:val="00336E84"/>
    <w:rsid w:val="003379D7"/>
    <w:rsid w:val="00337F40"/>
    <w:rsid w:val="00341320"/>
    <w:rsid w:val="003418C1"/>
    <w:rsid w:val="00341C98"/>
    <w:rsid w:val="00341E3C"/>
    <w:rsid w:val="0034240C"/>
    <w:rsid w:val="003433AB"/>
    <w:rsid w:val="003443EB"/>
    <w:rsid w:val="00344677"/>
    <w:rsid w:val="003446DE"/>
    <w:rsid w:val="003458E5"/>
    <w:rsid w:val="00345A6D"/>
    <w:rsid w:val="003461FC"/>
    <w:rsid w:val="0034635E"/>
    <w:rsid w:val="00346CDE"/>
    <w:rsid w:val="00347618"/>
    <w:rsid w:val="00351015"/>
    <w:rsid w:val="00351A66"/>
    <w:rsid w:val="00351AD0"/>
    <w:rsid w:val="00352024"/>
    <w:rsid w:val="00352A23"/>
    <w:rsid w:val="00352BB3"/>
    <w:rsid w:val="003534F8"/>
    <w:rsid w:val="0035425D"/>
    <w:rsid w:val="00354B0F"/>
    <w:rsid w:val="00354DFF"/>
    <w:rsid w:val="00355704"/>
    <w:rsid w:val="00355DF5"/>
    <w:rsid w:val="00357442"/>
    <w:rsid w:val="003574E8"/>
    <w:rsid w:val="00357A4D"/>
    <w:rsid w:val="00361375"/>
    <w:rsid w:val="0036212E"/>
    <w:rsid w:val="00363392"/>
    <w:rsid w:val="00363511"/>
    <w:rsid w:val="00365970"/>
    <w:rsid w:val="003660F9"/>
    <w:rsid w:val="00367A7B"/>
    <w:rsid w:val="00367B9B"/>
    <w:rsid w:val="0037018E"/>
    <w:rsid w:val="00370335"/>
    <w:rsid w:val="003716A1"/>
    <w:rsid w:val="00372D3F"/>
    <w:rsid w:val="00373080"/>
    <w:rsid w:val="00373BD9"/>
    <w:rsid w:val="00374A59"/>
    <w:rsid w:val="003752E9"/>
    <w:rsid w:val="0037551C"/>
    <w:rsid w:val="0037564D"/>
    <w:rsid w:val="0037659F"/>
    <w:rsid w:val="003823E4"/>
    <w:rsid w:val="00382B8E"/>
    <w:rsid w:val="0038468B"/>
    <w:rsid w:val="00384D92"/>
    <w:rsid w:val="003853BC"/>
    <w:rsid w:val="00385C4E"/>
    <w:rsid w:val="00386C0A"/>
    <w:rsid w:val="00387610"/>
    <w:rsid w:val="0038795E"/>
    <w:rsid w:val="00392C13"/>
    <w:rsid w:val="00393D9F"/>
    <w:rsid w:val="003941DF"/>
    <w:rsid w:val="00395762"/>
    <w:rsid w:val="00396EC3"/>
    <w:rsid w:val="003A1F37"/>
    <w:rsid w:val="003A23E6"/>
    <w:rsid w:val="003A4294"/>
    <w:rsid w:val="003A5E73"/>
    <w:rsid w:val="003A7F93"/>
    <w:rsid w:val="003B2CE9"/>
    <w:rsid w:val="003B3549"/>
    <w:rsid w:val="003B6A7E"/>
    <w:rsid w:val="003B6ED7"/>
    <w:rsid w:val="003B799D"/>
    <w:rsid w:val="003C1078"/>
    <w:rsid w:val="003C1C5D"/>
    <w:rsid w:val="003C4A44"/>
    <w:rsid w:val="003C50E9"/>
    <w:rsid w:val="003C5A05"/>
    <w:rsid w:val="003C60E7"/>
    <w:rsid w:val="003C71A8"/>
    <w:rsid w:val="003C73B2"/>
    <w:rsid w:val="003C7F80"/>
    <w:rsid w:val="003D000F"/>
    <w:rsid w:val="003D0731"/>
    <w:rsid w:val="003D1F10"/>
    <w:rsid w:val="003D2251"/>
    <w:rsid w:val="003D2825"/>
    <w:rsid w:val="003D3A4E"/>
    <w:rsid w:val="003D495F"/>
    <w:rsid w:val="003D4E3B"/>
    <w:rsid w:val="003D5EAE"/>
    <w:rsid w:val="003D65DF"/>
    <w:rsid w:val="003D6C98"/>
    <w:rsid w:val="003E032C"/>
    <w:rsid w:val="003E19C9"/>
    <w:rsid w:val="003E2637"/>
    <w:rsid w:val="003E361F"/>
    <w:rsid w:val="003E4C0B"/>
    <w:rsid w:val="003E5311"/>
    <w:rsid w:val="003E5742"/>
    <w:rsid w:val="003E6B6F"/>
    <w:rsid w:val="003E78F5"/>
    <w:rsid w:val="003E792C"/>
    <w:rsid w:val="003E7E8B"/>
    <w:rsid w:val="003F1627"/>
    <w:rsid w:val="003F186C"/>
    <w:rsid w:val="003F27B3"/>
    <w:rsid w:val="003F2C48"/>
    <w:rsid w:val="003F2D4B"/>
    <w:rsid w:val="003F4177"/>
    <w:rsid w:val="003F44C3"/>
    <w:rsid w:val="003F5C36"/>
    <w:rsid w:val="003F5F5D"/>
    <w:rsid w:val="003F68A7"/>
    <w:rsid w:val="003F6DD6"/>
    <w:rsid w:val="003F738A"/>
    <w:rsid w:val="003F7E53"/>
    <w:rsid w:val="004008C9"/>
    <w:rsid w:val="004039EF"/>
    <w:rsid w:val="00405459"/>
    <w:rsid w:val="00405D16"/>
    <w:rsid w:val="0040642A"/>
    <w:rsid w:val="00406890"/>
    <w:rsid w:val="00407FFD"/>
    <w:rsid w:val="004106A9"/>
    <w:rsid w:val="00410B6A"/>
    <w:rsid w:val="0041216C"/>
    <w:rsid w:val="00412296"/>
    <w:rsid w:val="00412858"/>
    <w:rsid w:val="0041306B"/>
    <w:rsid w:val="00414319"/>
    <w:rsid w:val="00415478"/>
    <w:rsid w:val="004154A3"/>
    <w:rsid w:val="00415EC5"/>
    <w:rsid w:val="004164C1"/>
    <w:rsid w:val="004164EB"/>
    <w:rsid w:val="00416B23"/>
    <w:rsid w:val="00416EB1"/>
    <w:rsid w:val="00417022"/>
    <w:rsid w:val="004170C2"/>
    <w:rsid w:val="0042361E"/>
    <w:rsid w:val="004238FA"/>
    <w:rsid w:val="004242B6"/>
    <w:rsid w:val="00424D0D"/>
    <w:rsid w:val="00424FD2"/>
    <w:rsid w:val="0042643F"/>
    <w:rsid w:val="0043069F"/>
    <w:rsid w:val="00430D98"/>
    <w:rsid w:val="00431098"/>
    <w:rsid w:val="00432423"/>
    <w:rsid w:val="004330A9"/>
    <w:rsid w:val="00433489"/>
    <w:rsid w:val="00433C0F"/>
    <w:rsid w:val="00433C23"/>
    <w:rsid w:val="00434745"/>
    <w:rsid w:val="00435E76"/>
    <w:rsid w:val="00435EFE"/>
    <w:rsid w:val="00436402"/>
    <w:rsid w:val="00437F34"/>
    <w:rsid w:val="004416E8"/>
    <w:rsid w:val="00442440"/>
    <w:rsid w:val="00443DBC"/>
    <w:rsid w:val="004449E4"/>
    <w:rsid w:val="0044555E"/>
    <w:rsid w:val="00445EFF"/>
    <w:rsid w:val="0044629B"/>
    <w:rsid w:val="00451132"/>
    <w:rsid w:val="0045157A"/>
    <w:rsid w:val="00452F37"/>
    <w:rsid w:val="00454870"/>
    <w:rsid w:val="00454D04"/>
    <w:rsid w:val="00457A9B"/>
    <w:rsid w:val="004616E0"/>
    <w:rsid w:val="00461B48"/>
    <w:rsid w:val="004641A0"/>
    <w:rsid w:val="00464752"/>
    <w:rsid w:val="0046526A"/>
    <w:rsid w:val="00465C30"/>
    <w:rsid w:val="0046623E"/>
    <w:rsid w:val="0046775E"/>
    <w:rsid w:val="00470246"/>
    <w:rsid w:val="00470CB9"/>
    <w:rsid w:val="00471620"/>
    <w:rsid w:val="00473CCE"/>
    <w:rsid w:val="00473E22"/>
    <w:rsid w:val="00474136"/>
    <w:rsid w:val="00474EC6"/>
    <w:rsid w:val="004750FD"/>
    <w:rsid w:val="00475385"/>
    <w:rsid w:val="004758C1"/>
    <w:rsid w:val="00475A42"/>
    <w:rsid w:val="00475B8B"/>
    <w:rsid w:val="00477B48"/>
    <w:rsid w:val="00480E59"/>
    <w:rsid w:val="00481446"/>
    <w:rsid w:val="00481F91"/>
    <w:rsid w:val="00482218"/>
    <w:rsid w:val="00484A97"/>
    <w:rsid w:val="00486F69"/>
    <w:rsid w:val="00487421"/>
    <w:rsid w:val="00487FDA"/>
    <w:rsid w:val="004909C8"/>
    <w:rsid w:val="0049252F"/>
    <w:rsid w:val="00492608"/>
    <w:rsid w:val="0049262E"/>
    <w:rsid w:val="00492C1E"/>
    <w:rsid w:val="00492DDF"/>
    <w:rsid w:val="00492EFA"/>
    <w:rsid w:val="00493035"/>
    <w:rsid w:val="00496C40"/>
    <w:rsid w:val="00496F95"/>
    <w:rsid w:val="0049757D"/>
    <w:rsid w:val="004975E9"/>
    <w:rsid w:val="00497A2F"/>
    <w:rsid w:val="004A069D"/>
    <w:rsid w:val="004A10D6"/>
    <w:rsid w:val="004A1224"/>
    <w:rsid w:val="004A21FF"/>
    <w:rsid w:val="004A2365"/>
    <w:rsid w:val="004A2390"/>
    <w:rsid w:val="004A284D"/>
    <w:rsid w:val="004A29A6"/>
    <w:rsid w:val="004A3725"/>
    <w:rsid w:val="004A3FBA"/>
    <w:rsid w:val="004A47B6"/>
    <w:rsid w:val="004A4A2A"/>
    <w:rsid w:val="004A763D"/>
    <w:rsid w:val="004A7AAE"/>
    <w:rsid w:val="004A7DAA"/>
    <w:rsid w:val="004B065D"/>
    <w:rsid w:val="004B1072"/>
    <w:rsid w:val="004B1188"/>
    <w:rsid w:val="004B23EC"/>
    <w:rsid w:val="004B2546"/>
    <w:rsid w:val="004B428C"/>
    <w:rsid w:val="004B4505"/>
    <w:rsid w:val="004B546F"/>
    <w:rsid w:val="004B6287"/>
    <w:rsid w:val="004B6AD2"/>
    <w:rsid w:val="004B7041"/>
    <w:rsid w:val="004B7735"/>
    <w:rsid w:val="004C08E9"/>
    <w:rsid w:val="004C0A90"/>
    <w:rsid w:val="004C0AA7"/>
    <w:rsid w:val="004C1D20"/>
    <w:rsid w:val="004C1F31"/>
    <w:rsid w:val="004C2DF9"/>
    <w:rsid w:val="004C35FA"/>
    <w:rsid w:val="004C3C19"/>
    <w:rsid w:val="004C3CE8"/>
    <w:rsid w:val="004C4925"/>
    <w:rsid w:val="004C6809"/>
    <w:rsid w:val="004C6F1E"/>
    <w:rsid w:val="004C7E95"/>
    <w:rsid w:val="004D2235"/>
    <w:rsid w:val="004D3094"/>
    <w:rsid w:val="004E42BA"/>
    <w:rsid w:val="004E4D9C"/>
    <w:rsid w:val="004E5CC4"/>
    <w:rsid w:val="004E5D8F"/>
    <w:rsid w:val="004E69C7"/>
    <w:rsid w:val="004E7305"/>
    <w:rsid w:val="004E7C1D"/>
    <w:rsid w:val="004F019A"/>
    <w:rsid w:val="004F0366"/>
    <w:rsid w:val="004F40D3"/>
    <w:rsid w:val="004F4BD9"/>
    <w:rsid w:val="004F5121"/>
    <w:rsid w:val="004F67F8"/>
    <w:rsid w:val="004F6AC2"/>
    <w:rsid w:val="004F6C00"/>
    <w:rsid w:val="004F6D09"/>
    <w:rsid w:val="005003B8"/>
    <w:rsid w:val="00500866"/>
    <w:rsid w:val="00500C4A"/>
    <w:rsid w:val="005018F0"/>
    <w:rsid w:val="00501A3F"/>
    <w:rsid w:val="00501CD0"/>
    <w:rsid w:val="005024AF"/>
    <w:rsid w:val="005030F9"/>
    <w:rsid w:val="00503304"/>
    <w:rsid w:val="0050636F"/>
    <w:rsid w:val="0050690B"/>
    <w:rsid w:val="005074A4"/>
    <w:rsid w:val="00510101"/>
    <w:rsid w:val="00510424"/>
    <w:rsid w:val="00511278"/>
    <w:rsid w:val="005114F8"/>
    <w:rsid w:val="0051400D"/>
    <w:rsid w:val="00516733"/>
    <w:rsid w:val="00517EFF"/>
    <w:rsid w:val="00520380"/>
    <w:rsid w:val="00520708"/>
    <w:rsid w:val="00521512"/>
    <w:rsid w:val="00521536"/>
    <w:rsid w:val="00521852"/>
    <w:rsid w:val="005228F6"/>
    <w:rsid w:val="00522B87"/>
    <w:rsid w:val="00523335"/>
    <w:rsid w:val="00525A82"/>
    <w:rsid w:val="0052687F"/>
    <w:rsid w:val="005270C2"/>
    <w:rsid w:val="00527137"/>
    <w:rsid w:val="00527991"/>
    <w:rsid w:val="00530B7A"/>
    <w:rsid w:val="00531AF9"/>
    <w:rsid w:val="00534514"/>
    <w:rsid w:val="00535FA7"/>
    <w:rsid w:val="00542592"/>
    <w:rsid w:val="005427CD"/>
    <w:rsid w:val="00542D7C"/>
    <w:rsid w:val="005433B1"/>
    <w:rsid w:val="00543600"/>
    <w:rsid w:val="00543790"/>
    <w:rsid w:val="00543B59"/>
    <w:rsid w:val="0054459E"/>
    <w:rsid w:val="005445D9"/>
    <w:rsid w:val="00545772"/>
    <w:rsid w:val="00545F82"/>
    <w:rsid w:val="005468A2"/>
    <w:rsid w:val="00546B44"/>
    <w:rsid w:val="00546EA3"/>
    <w:rsid w:val="005478A3"/>
    <w:rsid w:val="005508C6"/>
    <w:rsid w:val="0055198A"/>
    <w:rsid w:val="00551BE9"/>
    <w:rsid w:val="005536C5"/>
    <w:rsid w:val="005543D2"/>
    <w:rsid w:val="00556063"/>
    <w:rsid w:val="00557013"/>
    <w:rsid w:val="00557752"/>
    <w:rsid w:val="00560B7B"/>
    <w:rsid w:val="00562622"/>
    <w:rsid w:val="00562E8A"/>
    <w:rsid w:val="00563B8D"/>
    <w:rsid w:val="005646D0"/>
    <w:rsid w:val="005702E4"/>
    <w:rsid w:val="00570AD2"/>
    <w:rsid w:val="0057279F"/>
    <w:rsid w:val="00572B8C"/>
    <w:rsid w:val="00572C00"/>
    <w:rsid w:val="00573888"/>
    <w:rsid w:val="00573E0C"/>
    <w:rsid w:val="005744D7"/>
    <w:rsid w:val="00575C8E"/>
    <w:rsid w:val="005764C2"/>
    <w:rsid w:val="005771CD"/>
    <w:rsid w:val="005779EB"/>
    <w:rsid w:val="00577B54"/>
    <w:rsid w:val="005809FD"/>
    <w:rsid w:val="00581C79"/>
    <w:rsid w:val="005829CA"/>
    <w:rsid w:val="00583FA9"/>
    <w:rsid w:val="0058445F"/>
    <w:rsid w:val="00590AA6"/>
    <w:rsid w:val="00590E04"/>
    <w:rsid w:val="0059115E"/>
    <w:rsid w:val="00591276"/>
    <w:rsid w:val="005915CD"/>
    <w:rsid w:val="00591A9C"/>
    <w:rsid w:val="005921BF"/>
    <w:rsid w:val="0059274B"/>
    <w:rsid w:val="00594266"/>
    <w:rsid w:val="00594D43"/>
    <w:rsid w:val="00595C04"/>
    <w:rsid w:val="00596296"/>
    <w:rsid w:val="00596DE5"/>
    <w:rsid w:val="00597304"/>
    <w:rsid w:val="00597313"/>
    <w:rsid w:val="005973F1"/>
    <w:rsid w:val="00597933"/>
    <w:rsid w:val="005A0384"/>
    <w:rsid w:val="005A086A"/>
    <w:rsid w:val="005A0F1D"/>
    <w:rsid w:val="005A0F3D"/>
    <w:rsid w:val="005A1831"/>
    <w:rsid w:val="005A1C9B"/>
    <w:rsid w:val="005A4E01"/>
    <w:rsid w:val="005A50F7"/>
    <w:rsid w:val="005A7435"/>
    <w:rsid w:val="005A7BB6"/>
    <w:rsid w:val="005B1D8F"/>
    <w:rsid w:val="005B35FB"/>
    <w:rsid w:val="005B3763"/>
    <w:rsid w:val="005B41CA"/>
    <w:rsid w:val="005B484E"/>
    <w:rsid w:val="005B4AED"/>
    <w:rsid w:val="005B5F65"/>
    <w:rsid w:val="005B68B5"/>
    <w:rsid w:val="005C01C0"/>
    <w:rsid w:val="005C0B5F"/>
    <w:rsid w:val="005C0F24"/>
    <w:rsid w:val="005C176D"/>
    <w:rsid w:val="005C2FD6"/>
    <w:rsid w:val="005C505E"/>
    <w:rsid w:val="005C603D"/>
    <w:rsid w:val="005C7610"/>
    <w:rsid w:val="005D0355"/>
    <w:rsid w:val="005D1BC8"/>
    <w:rsid w:val="005D2B7B"/>
    <w:rsid w:val="005D6E99"/>
    <w:rsid w:val="005D7839"/>
    <w:rsid w:val="005D7920"/>
    <w:rsid w:val="005D79AF"/>
    <w:rsid w:val="005D7B3C"/>
    <w:rsid w:val="005E13B6"/>
    <w:rsid w:val="005E21F5"/>
    <w:rsid w:val="005E2994"/>
    <w:rsid w:val="005E4A19"/>
    <w:rsid w:val="005E4CD6"/>
    <w:rsid w:val="005E56E4"/>
    <w:rsid w:val="005E57F4"/>
    <w:rsid w:val="005E5873"/>
    <w:rsid w:val="005E7298"/>
    <w:rsid w:val="005F072C"/>
    <w:rsid w:val="005F1A7E"/>
    <w:rsid w:val="005F4B74"/>
    <w:rsid w:val="005F4FDA"/>
    <w:rsid w:val="005F5419"/>
    <w:rsid w:val="005F7540"/>
    <w:rsid w:val="00600252"/>
    <w:rsid w:val="00600A32"/>
    <w:rsid w:val="006013DE"/>
    <w:rsid w:val="00601487"/>
    <w:rsid w:val="00603D44"/>
    <w:rsid w:val="0060428D"/>
    <w:rsid w:val="0060529B"/>
    <w:rsid w:val="00606BD8"/>
    <w:rsid w:val="006074ED"/>
    <w:rsid w:val="006101F3"/>
    <w:rsid w:val="00610A2C"/>
    <w:rsid w:val="0061161F"/>
    <w:rsid w:val="00611873"/>
    <w:rsid w:val="00612760"/>
    <w:rsid w:val="006137B1"/>
    <w:rsid w:val="00613AE1"/>
    <w:rsid w:val="0061540B"/>
    <w:rsid w:val="0061673E"/>
    <w:rsid w:val="006174C7"/>
    <w:rsid w:val="006175A7"/>
    <w:rsid w:val="00617F24"/>
    <w:rsid w:val="00621662"/>
    <w:rsid w:val="006220CD"/>
    <w:rsid w:val="00622E2C"/>
    <w:rsid w:val="00624556"/>
    <w:rsid w:val="0062481B"/>
    <w:rsid w:val="006251C9"/>
    <w:rsid w:val="00625891"/>
    <w:rsid w:val="006269A4"/>
    <w:rsid w:val="0062744D"/>
    <w:rsid w:val="00627499"/>
    <w:rsid w:val="00632220"/>
    <w:rsid w:val="00632981"/>
    <w:rsid w:val="006329F0"/>
    <w:rsid w:val="00634118"/>
    <w:rsid w:val="00635EA7"/>
    <w:rsid w:val="00636785"/>
    <w:rsid w:val="00637FB3"/>
    <w:rsid w:val="006421C2"/>
    <w:rsid w:val="00642CEB"/>
    <w:rsid w:val="00643221"/>
    <w:rsid w:val="00644242"/>
    <w:rsid w:val="006449FA"/>
    <w:rsid w:val="006449FD"/>
    <w:rsid w:val="006454A7"/>
    <w:rsid w:val="0064567E"/>
    <w:rsid w:val="006465BB"/>
    <w:rsid w:val="00646941"/>
    <w:rsid w:val="00647F0C"/>
    <w:rsid w:val="00650133"/>
    <w:rsid w:val="006505B3"/>
    <w:rsid w:val="00651094"/>
    <w:rsid w:val="00651F9D"/>
    <w:rsid w:val="006523B3"/>
    <w:rsid w:val="00652A64"/>
    <w:rsid w:val="00652F69"/>
    <w:rsid w:val="006543AB"/>
    <w:rsid w:val="00654E7E"/>
    <w:rsid w:val="00655242"/>
    <w:rsid w:val="006557E9"/>
    <w:rsid w:val="00656B71"/>
    <w:rsid w:val="00661F81"/>
    <w:rsid w:val="006631E8"/>
    <w:rsid w:val="00664473"/>
    <w:rsid w:val="006655D3"/>
    <w:rsid w:val="006665AB"/>
    <w:rsid w:val="00666CA6"/>
    <w:rsid w:val="00670CBD"/>
    <w:rsid w:val="0067133C"/>
    <w:rsid w:val="006721F0"/>
    <w:rsid w:val="0067249C"/>
    <w:rsid w:val="0067269D"/>
    <w:rsid w:val="0067391B"/>
    <w:rsid w:val="00673E3D"/>
    <w:rsid w:val="00674502"/>
    <w:rsid w:val="00674B7E"/>
    <w:rsid w:val="006754C6"/>
    <w:rsid w:val="0067571E"/>
    <w:rsid w:val="0067686A"/>
    <w:rsid w:val="00676D5E"/>
    <w:rsid w:val="006825EA"/>
    <w:rsid w:val="00682746"/>
    <w:rsid w:val="006854B5"/>
    <w:rsid w:val="00685D6D"/>
    <w:rsid w:val="0068665B"/>
    <w:rsid w:val="00686ADD"/>
    <w:rsid w:val="0069017A"/>
    <w:rsid w:val="00691450"/>
    <w:rsid w:val="006920AE"/>
    <w:rsid w:val="00692800"/>
    <w:rsid w:val="006971C2"/>
    <w:rsid w:val="0069757E"/>
    <w:rsid w:val="006A0DEF"/>
    <w:rsid w:val="006A19A4"/>
    <w:rsid w:val="006A2417"/>
    <w:rsid w:val="006A2935"/>
    <w:rsid w:val="006A2C44"/>
    <w:rsid w:val="006A5B02"/>
    <w:rsid w:val="006A5DD1"/>
    <w:rsid w:val="006A68B5"/>
    <w:rsid w:val="006A6C77"/>
    <w:rsid w:val="006A71F8"/>
    <w:rsid w:val="006B1DC1"/>
    <w:rsid w:val="006B24B6"/>
    <w:rsid w:val="006B3542"/>
    <w:rsid w:val="006B3981"/>
    <w:rsid w:val="006B3BAF"/>
    <w:rsid w:val="006B428E"/>
    <w:rsid w:val="006B4705"/>
    <w:rsid w:val="006B48A2"/>
    <w:rsid w:val="006B5DE4"/>
    <w:rsid w:val="006B6B13"/>
    <w:rsid w:val="006B7EEC"/>
    <w:rsid w:val="006C04DF"/>
    <w:rsid w:val="006C0537"/>
    <w:rsid w:val="006C06E1"/>
    <w:rsid w:val="006C0CBD"/>
    <w:rsid w:val="006C1D3D"/>
    <w:rsid w:val="006C1FAF"/>
    <w:rsid w:val="006C35A8"/>
    <w:rsid w:val="006C3EDA"/>
    <w:rsid w:val="006C533C"/>
    <w:rsid w:val="006C5ACB"/>
    <w:rsid w:val="006C742E"/>
    <w:rsid w:val="006D01F3"/>
    <w:rsid w:val="006D14D5"/>
    <w:rsid w:val="006D418E"/>
    <w:rsid w:val="006D712F"/>
    <w:rsid w:val="006E06EE"/>
    <w:rsid w:val="006E0EDD"/>
    <w:rsid w:val="006E1ABB"/>
    <w:rsid w:val="006E1BA7"/>
    <w:rsid w:val="006E1C99"/>
    <w:rsid w:val="006E1FE0"/>
    <w:rsid w:val="006E6910"/>
    <w:rsid w:val="006E7853"/>
    <w:rsid w:val="006F0DB1"/>
    <w:rsid w:val="006F1544"/>
    <w:rsid w:val="006F2384"/>
    <w:rsid w:val="006F245A"/>
    <w:rsid w:val="006F388D"/>
    <w:rsid w:val="006F4484"/>
    <w:rsid w:val="006F4CFB"/>
    <w:rsid w:val="006F5358"/>
    <w:rsid w:val="006F53A8"/>
    <w:rsid w:val="006F609F"/>
    <w:rsid w:val="006F7D94"/>
    <w:rsid w:val="006F7DED"/>
    <w:rsid w:val="007000AB"/>
    <w:rsid w:val="00701D58"/>
    <w:rsid w:val="00701E54"/>
    <w:rsid w:val="007038B1"/>
    <w:rsid w:val="007047E4"/>
    <w:rsid w:val="00704C1C"/>
    <w:rsid w:val="00706014"/>
    <w:rsid w:val="00706D63"/>
    <w:rsid w:val="007072D3"/>
    <w:rsid w:val="00710222"/>
    <w:rsid w:val="0071342C"/>
    <w:rsid w:val="007139F1"/>
    <w:rsid w:val="00713E5C"/>
    <w:rsid w:val="0071432B"/>
    <w:rsid w:val="00714CBC"/>
    <w:rsid w:val="007165BE"/>
    <w:rsid w:val="00716798"/>
    <w:rsid w:val="00716F71"/>
    <w:rsid w:val="00717A2D"/>
    <w:rsid w:val="00717FD1"/>
    <w:rsid w:val="00720331"/>
    <w:rsid w:val="00720BDD"/>
    <w:rsid w:val="00722625"/>
    <w:rsid w:val="00722817"/>
    <w:rsid w:val="00724270"/>
    <w:rsid w:val="007250F5"/>
    <w:rsid w:val="007255CB"/>
    <w:rsid w:val="00725B48"/>
    <w:rsid w:val="00726072"/>
    <w:rsid w:val="00726733"/>
    <w:rsid w:val="007305D4"/>
    <w:rsid w:val="007308F1"/>
    <w:rsid w:val="00731542"/>
    <w:rsid w:val="00733093"/>
    <w:rsid w:val="007337C0"/>
    <w:rsid w:val="0073390D"/>
    <w:rsid w:val="007341A9"/>
    <w:rsid w:val="00735400"/>
    <w:rsid w:val="00735AE4"/>
    <w:rsid w:val="00735C41"/>
    <w:rsid w:val="007373E2"/>
    <w:rsid w:val="007377EC"/>
    <w:rsid w:val="00737ACF"/>
    <w:rsid w:val="00737BD8"/>
    <w:rsid w:val="00741A91"/>
    <w:rsid w:val="00741F31"/>
    <w:rsid w:val="00742019"/>
    <w:rsid w:val="00742447"/>
    <w:rsid w:val="00744FCE"/>
    <w:rsid w:val="00745A30"/>
    <w:rsid w:val="00747B00"/>
    <w:rsid w:val="00747FAE"/>
    <w:rsid w:val="007506A2"/>
    <w:rsid w:val="00750AEE"/>
    <w:rsid w:val="00751327"/>
    <w:rsid w:val="0075192D"/>
    <w:rsid w:val="007519D4"/>
    <w:rsid w:val="00751B6C"/>
    <w:rsid w:val="00751D98"/>
    <w:rsid w:val="00752521"/>
    <w:rsid w:val="00753923"/>
    <w:rsid w:val="00753D4D"/>
    <w:rsid w:val="00754F27"/>
    <w:rsid w:val="00755B8A"/>
    <w:rsid w:val="00755DED"/>
    <w:rsid w:val="00756A18"/>
    <w:rsid w:val="00756C20"/>
    <w:rsid w:val="00760BAB"/>
    <w:rsid w:val="00762179"/>
    <w:rsid w:val="00763A5E"/>
    <w:rsid w:val="00764041"/>
    <w:rsid w:val="0076535F"/>
    <w:rsid w:val="00765D01"/>
    <w:rsid w:val="00766734"/>
    <w:rsid w:val="00766FCE"/>
    <w:rsid w:val="00767D36"/>
    <w:rsid w:val="00770D34"/>
    <w:rsid w:val="007711B3"/>
    <w:rsid w:val="00771C62"/>
    <w:rsid w:val="00772529"/>
    <w:rsid w:val="00773157"/>
    <w:rsid w:val="007751E7"/>
    <w:rsid w:val="007753B8"/>
    <w:rsid w:val="00777340"/>
    <w:rsid w:val="00780B47"/>
    <w:rsid w:val="0078174E"/>
    <w:rsid w:val="00781A65"/>
    <w:rsid w:val="007848D1"/>
    <w:rsid w:val="0078493D"/>
    <w:rsid w:val="00784A75"/>
    <w:rsid w:val="00784A91"/>
    <w:rsid w:val="007861B3"/>
    <w:rsid w:val="0078689A"/>
    <w:rsid w:val="00786EE7"/>
    <w:rsid w:val="0078717B"/>
    <w:rsid w:val="00787F30"/>
    <w:rsid w:val="00793539"/>
    <w:rsid w:val="00794D83"/>
    <w:rsid w:val="00797A2A"/>
    <w:rsid w:val="00797BE5"/>
    <w:rsid w:val="00797F2E"/>
    <w:rsid w:val="007A1799"/>
    <w:rsid w:val="007A4E51"/>
    <w:rsid w:val="007A4ED0"/>
    <w:rsid w:val="007A5009"/>
    <w:rsid w:val="007A6452"/>
    <w:rsid w:val="007A77AC"/>
    <w:rsid w:val="007A7E95"/>
    <w:rsid w:val="007B01C8"/>
    <w:rsid w:val="007B077A"/>
    <w:rsid w:val="007B0AE0"/>
    <w:rsid w:val="007B2889"/>
    <w:rsid w:val="007B2ACE"/>
    <w:rsid w:val="007B3429"/>
    <w:rsid w:val="007B54AC"/>
    <w:rsid w:val="007B5FDC"/>
    <w:rsid w:val="007B6724"/>
    <w:rsid w:val="007C03E5"/>
    <w:rsid w:val="007C050E"/>
    <w:rsid w:val="007C2849"/>
    <w:rsid w:val="007C3449"/>
    <w:rsid w:val="007C3E42"/>
    <w:rsid w:val="007C4EF8"/>
    <w:rsid w:val="007C4FE2"/>
    <w:rsid w:val="007C5602"/>
    <w:rsid w:val="007C5BE4"/>
    <w:rsid w:val="007C693A"/>
    <w:rsid w:val="007C6C59"/>
    <w:rsid w:val="007D0193"/>
    <w:rsid w:val="007D0FB4"/>
    <w:rsid w:val="007D2C2B"/>
    <w:rsid w:val="007D2F1F"/>
    <w:rsid w:val="007D4E4E"/>
    <w:rsid w:val="007D551C"/>
    <w:rsid w:val="007D55EE"/>
    <w:rsid w:val="007D5DB7"/>
    <w:rsid w:val="007D66AE"/>
    <w:rsid w:val="007D6C78"/>
    <w:rsid w:val="007D791B"/>
    <w:rsid w:val="007D791F"/>
    <w:rsid w:val="007E09DF"/>
    <w:rsid w:val="007E14F6"/>
    <w:rsid w:val="007E211A"/>
    <w:rsid w:val="007E2C3D"/>
    <w:rsid w:val="007E3057"/>
    <w:rsid w:val="007E46DC"/>
    <w:rsid w:val="007E6141"/>
    <w:rsid w:val="007E6667"/>
    <w:rsid w:val="007E6AE3"/>
    <w:rsid w:val="007E6BA0"/>
    <w:rsid w:val="007F1A96"/>
    <w:rsid w:val="007F28DF"/>
    <w:rsid w:val="007F4348"/>
    <w:rsid w:val="007F4A8B"/>
    <w:rsid w:val="007F580D"/>
    <w:rsid w:val="007F5B12"/>
    <w:rsid w:val="007F647F"/>
    <w:rsid w:val="007F6563"/>
    <w:rsid w:val="007F6E9B"/>
    <w:rsid w:val="0080041B"/>
    <w:rsid w:val="00801245"/>
    <w:rsid w:val="008024FC"/>
    <w:rsid w:val="008026F8"/>
    <w:rsid w:val="00805AD5"/>
    <w:rsid w:val="008113FF"/>
    <w:rsid w:val="0081147F"/>
    <w:rsid w:val="00811A84"/>
    <w:rsid w:val="00811A8A"/>
    <w:rsid w:val="008125BE"/>
    <w:rsid w:val="00812643"/>
    <w:rsid w:val="00812F03"/>
    <w:rsid w:val="00814AE9"/>
    <w:rsid w:val="00816ABF"/>
    <w:rsid w:val="00816C23"/>
    <w:rsid w:val="00817B93"/>
    <w:rsid w:val="00821ACB"/>
    <w:rsid w:val="0082451D"/>
    <w:rsid w:val="0082538D"/>
    <w:rsid w:val="008305AC"/>
    <w:rsid w:val="00830CE3"/>
    <w:rsid w:val="00831A03"/>
    <w:rsid w:val="00832E2B"/>
    <w:rsid w:val="00832EEB"/>
    <w:rsid w:val="0083331D"/>
    <w:rsid w:val="00833A3B"/>
    <w:rsid w:val="00833E3C"/>
    <w:rsid w:val="0083497F"/>
    <w:rsid w:val="00835411"/>
    <w:rsid w:val="00836234"/>
    <w:rsid w:val="00836786"/>
    <w:rsid w:val="00836C4D"/>
    <w:rsid w:val="008375B2"/>
    <w:rsid w:val="00837B1B"/>
    <w:rsid w:val="00837CD3"/>
    <w:rsid w:val="008414CD"/>
    <w:rsid w:val="00841C69"/>
    <w:rsid w:val="00842084"/>
    <w:rsid w:val="008421FF"/>
    <w:rsid w:val="008435D8"/>
    <w:rsid w:val="00844113"/>
    <w:rsid w:val="008442BF"/>
    <w:rsid w:val="008443DA"/>
    <w:rsid w:val="00844FDA"/>
    <w:rsid w:val="008452D2"/>
    <w:rsid w:val="00845C6F"/>
    <w:rsid w:val="0084607D"/>
    <w:rsid w:val="00846E5E"/>
    <w:rsid w:val="00847247"/>
    <w:rsid w:val="00852612"/>
    <w:rsid w:val="00852741"/>
    <w:rsid w:val="008527F3"/>
    <w:rsid w:val="008571E3"/>
    <w:rsid w:val="008572C2"/>
    <w:rsid w:val="00861B17"/>
    <w:rsid w:val="00862500"/>
    <w:rsid w:val="008626A9"/>
    <w:rsid w:val="00864242"/>
    <w:rsid w:val="00864448"/>
    <w:rsid w:val="008648CC"/>
    <w:rsid w:val="00867110"/>
    <w:rsid w:val="0086795A"/>
    <w:rsid w:val="00867A54"/>
    <w:rsid w:val="00867B99"/>
    <w:rsid w:val="008735AF"/>
    <w:rsid w:val="008751B8"/>
    <w:rsid w:val="00875BF5"/>
    <w:rsid w:val="00875FC6"/>
    <w:rsid w:val="00877BEB"/>
    <w:rsid w:val="008807F2"/>
    <w:rsid w:val="00882057"/>
    <w:rsid w:val="00886169"/>
    <w:rsid w:val="008871F1"/>
    <w:rsid w:val="008901E4"/>
    <w:rsid w:val="008906CF"/>
    <w:rsid w:val="00891275"/>
    <w:rsid w:val="0089208A"/>
    <w:rsid w:val="00893ED2"/>
    <w:rsid w:val="00895774"/>
    <w:rsid w:val="0089670C"/>
    <w:rsid w:val="008A05FB"/>
    <w:rsid w:val="008A0AAA"/>
    <w:rsid w:val="008A143A"/>
    <w:rsid w:val="008A26C5"/>
    <w:rsid w:val="008A4205"/>
    <w:rsid w:val="008A4CD4"/>
    <w:rsid w:val="008A5A1C"/>
    <w:rsid w:val="008A68C9"/>
    <w:rsid w:val="008A6BDF"/>
    <w:rsid w:val="008A6FB5"/>
    <w:rsid w:val="008B0287"/>
    <w:rsid w:val="008B0858"/>
    <w:rsid w:val="008B1000"/>
    <w:rsid w:val="008B1AB9"/>
    <w:rsid w:val="008B1F6C"/>
    <w:rsid w:val="008B27DB"/>
    <w:rsid w:val="008B3114"/>
    <w:rsid w:val="008B3F05"/>
    <w:rsid w:val="008B48A2"/>
    <w:rsid w:val="008B553C"/>
    <w:rsid w:val="008B5709"/>
    <w:rsid w:val="008C164D"/>
    <w:rsid w:val="008C2F43"/>
    <w:rsid w:val="008C5BA1"/>
    <w:rsid w:val="008C70D8"/>
    <w:rsid w:val="008C7B9E"/>
    <w:rsid w:val="008C7CF9"/>
    <w:rsid w:val="008D102E"/>
    <w:rsid w:val="008D2461"/>
    <w:rsid w:val="008D3648"/>
    <w:rsid w:val="008D3D7B"/>
    <w:rsid w:val="008D43AA"/>
    <w:rsid w:val="008D4732"/>
    <w:rsid w:val="008D4B51"/>
    <w:rsid w:val="008D6215"/>
    <w:rsid w:val="008D6C97"/>
    <w:rsid w:val="008E15DC"/>
    <w:rsid w:val="008E1A38"/>
    <w:rsid w:val="008E1BBB"/>
    <w:rsid w:val="008E1F8D"/>
    <w:rsid w:val="008E5488"/>
    <w:rsid w:val="008E5707"/>
    <w:rsid w:val="008E6136"/>
    <w:rsid w:val="008E6202"/>
    <w:rsid w:val="008E77D1"/>
    <w:rsid w:val="008E78E0"/>
    <w:rsid w:val="008F0BAA"/>
    <w:rsid w:val="008F0CBA"/>
    <w:rsid w:val="008F2E30"/>
    <w:rsid w:val="008F424B"/>
    <w:rsid w:val="008F4307"/>
    <w:rsid w:val="008F4A12"/>
    <w:rsid w:val="008F6A6D"/>
    <w:rsid w:val="008F6F47"/>
    <w:rsid w:val="008F7008"/>
    <w:rsid w:val="008F7497"/>
    <w:rsid w:val="009006A5"/>
    <w:rsid w:val="00901231"/>
    <w:rsid w:val="00901791"/>
    <w:rsid w:val="009026EC"/>
    <w:rsid w:val="009031CC"/>
    <w:rsid w:val="009037FF"/>
    <w:rsid w:val="00904BA4"/>
    <w:rsid w:val="00904E84"/>
    <w:rsid w:val="00906CEB"/>
    <w:rsid w:val="00907407"/>
    <w:rsid w:val="00907763"/>
    <w:rsid w:val="00907785"/>
    <w:rsid w:val="00910033"/>
    <w:rsid w:val="00911558"/>
    <w:rsid w:val="00911D5F"/>
    <w:rsid w:val="009142E2"/>
    <w:rsid w:val="00915B62"/>
    <w:rsid w:val="00916524"/>
    <w:rsid w:val="00916A2C"/>
    <w:rsid w:val="009173D6"/>
    <w:rsid w:val="009173F2"/>
    <w:rsid w:val="009179F2"/>
    <w:rsid w:val="00920275"/>
    <w:rsid w:val="009202BD"/>
    <w:rsid w:val="00922B80"/>
    <w:rsid w:val="0092369C"/>
    <w:rsid w:val="00923BE6"/>
    <w:rsid w:val="00924690"/>
    <w:rsid w:val="00924A84"/>
    <w:rsid w:val="00924FD2"/>
    <w:rsid w:val="00925084"/>
    <w:rsid w:val="0092560D"/>
    <w:rsid w:val="009263A5"/>
    <w:rsid w:val="0092643A"/>
    <w:rsid w:val="009268DC"/>
    <w:rsid w:val="0092725D"/>
    <w:rsid w:val="009302F0"/>
    <w:rsid w:val="0093138B"/>
    <w:rsid w:val="0093257E"/>
    <w:rsid w:val="0093399E"/>
    <w:rsid w:val="00934ED8"/>
    <w:rsid w:val="00935094"/>
    <w:rsid w:val="00935DBB"/>
    <w:rsid w:val="009361BB"/>
    <w:rsid w:val="009368E8"/>
    <w:rsid w:val="00936A8B"/>
    <w:rsid w:val="00936EC9"/>
    <w:rsid w:val="00937777"/>
    <w:rsid w:val="0094082D"/>
    <w:rsid w:val="00941D2C"/>
    <w:rsid w:val="00945159"/>
    <w:rsid w:val="00946037"/>
    <w:rsid w:val="00946C51"/>
    <w:rsid w:val="00947768"/>
    <w:rsid w:val="00950535"/>
    <w:rsid w:val="00950DD7"/>
    <w:rsid w:val="009517FB"/>
    <w:rsid w:val="009517FE"/>
    <w:rsid w:val="00951F21"/>
    <w:rsid w:val="00953CDA"/>
    <w:rsid w:val="0095448C"/>
    <w:rsid w:val="00955CD4"/>
    <w:rsid w:val="00956455"/>
    <w:rsid w:val="00956EC1"/>
    <w:rsid w:val="00960440"/>
    <w:rsid w:val="00960956"/>
    <w:rsid w:val="00960A45"/>
    <w:rsid w:val="009630EF"/>
    <w:rsid w:val="00964EA9"/>
    <w:rsid w:val="009656E3"/>
    <w:rsid w:val="00965D0E"/>
    <w:rsid w:val="00965D6C"/>
    <w:rsid w:val="00965EEB"/>
    <w:rsid w:val="00965F38"/>
    <w:rsid w:val="0096634C"/>
    <w:rsid w:val="0096752A"/>
    <w:rsid w:val="00970499"/>
    <w:rsid w:val="009707DD"/>
    <w:rsid w:val="0097161A"/>
    <w:rsid w:val="00971F36"/>
    <w:rsid w:val="009741FD"/>
    <w:rsid w:val="0097476B"/>
    <w:rsid w:val="009764A4"/>
    <w:rsid w:val="00976E57"/>
    <w:rsid w:val="0097778C"/>
    <w:rsid w:val="009777C9"/>
    <w:rsid w:val="00977CC6"/>
    <w:rsid w:val="00977E3A"/>
    <w:rsid w:val="0098006B"/>
    <w:rsid w:val="00980667"/>
    <w:rsid w:val="00980D55"/>
    <w:rsid w:val="0098116B"/>
    <w:rsid w:val="009829A8"/>
    <w:rsid w:val="009830E8"/>
    <w:rsid w:val="00983813"/>
    <w:rsid w:val="00984A1D"/>
    <w:rsid w:val="0098506E"/>
    <w:rsid w:val="00985112"/>
    <w:rsid w:val="00985FCF"/>
    <w:rsid w:val="009869C8"/>
    <w:rsid w:val="0098799C"/>
    <w:rsid w:val="00990762"/>
    <w:rsid w:val="009926EC"/>
    <w:rsid w:val="0099291C"/>
    <w:rsid w:val="00992CAF"/>
    <w:rsid w:val="0099315C"/>
    <w:rsid w:val="00993219"/>
    <w:rsid w:val="00994DC7"/>
    <w:rsid w:val="00994FFF"/>
    <w:rsid w:val="0099564D"/>
    <w:rsid w:val="0099751F"/>
    <w:rsid w:val="00997F73"/>
    <w:rsid w:val="009A1008"/>
    <w:rsid w:val="009A1595"/>
    <w:rsid w:val="009A15A7"/>
    <w:rsid w:val="009A1E8B"/>
    <w:rsid w:val="009A1EC2"/>
    <w:rsid w:val="009A29D0"/>
    <w:rsid w:val="009A4262"/>
    <w:rsid w:val="009A4704"/>
    <w:rsid w:val="009A594B"/>
    <w:rsid w:val="009A63C7"/>
    <w:rsid w:val="009A6CD4"/>
    <w:rsid w:val="009A713F"/>
    <w:rsid w:val="009B00B9"/>
    <w:rsid w:val="009B0D77"/>
    <w:rsid w:val="009B1FDD"/>
    <w:rsid w:val="009B2374"/>
    <w:rsid w:val="009B2F9D"/>
    <w:rsid w:val="009B364C"/>
    <w:rsid w:val="009B4153"/>
    <w:rsid w:val="009B4164"/>
    <w:rsid w:val="009B4974"/>
    <w:rsid w:val="009C0512"/>
    <w:rsid w:val="009C0831"/>
    <w:rsid w:val="009C0D5C"/>
    <w:rsid w:val="009C1828"/>
    <w:rsid w:val="009C2F59"/>
    <w:rsid w:val="009C394B"/>
    <w:rsid w:val="009C3E2B"/>
    <w:rsid w:val="009C447C"/>
    <w:rsid w:val="009C4F5B"/>
    <w:rsid w:val="009C614E"/>
    <w:rsid w:val="009C72E4"/>
    <w:rsid w:val="009C7A35"/>
    <w:rsid w:val="009C7D1D"/>
    <w:rsid w:val="009D0568"/>
    <w:rsid w:val="009D12CA"/>
    <w:rsid w:val="009D13D0"/>
    <w:rsid w:val="009D187A"/>
    <w:rsid w:val="009D1961"/>
    <w:rsid w:val="009D208C"/>
    <w:rsid w:val="009D2815"/>
    <w:rsid w:val="009D47DF"/>
    <w:rsid w:val="009D4A4D"/>
    <w:rsid w:val="009D4C09"/>
    <w:rsid w:val="009D5133"/>
    <w:rsid w:val="009D6129"/>
    <w:rsid w:val="009D733F"/>
    <w:rsid w:val="009D788E"/>
    <w:rsid w:val="009D7BDF"/>
    <w:rsid w:val="009E0166"/>
    <w:rsid w:val="009E0B89"/>
    <w:rsid w:val="009E29B6"/>
    <w:rsid w:val="009E2CEE"/>
    <w:rsid w:val="009E2E18"/>
    <w:rsid w:val="009E30C7"/>
    <w:rsid w:val="009E4976"/>
    <w:rsid w:val="009E4BD7"/>
    <w:rsid w:val="009E4E7C"/>
    <w:rsid w:val="009E5652"/>
    <w:rsid w:val="009E7BB7"/>
    <w:rsid w:val="009F1C02"/>
    <w:rsid w:val="009F1E46"/>
    <w:rsid w:val="009F2665"/>
    <w:rsid w:val="009F341F"/>
    <w:rsid w:val="009F354F"/>
    <w:rsid w:val="009F446A"/>
    <w:rsid w:val="009F46A2"/>
    <w:rsid w:val="009F4F48"/>
    <w:rsid w:val="009F5585"/>
    <w:rsid w:val="009F5805"/>
    <w:rsid w:val="009F74E8"/>
    <w:rsid w:val="009F760C"/>
    <w:rsid w:val="009F7F6E"/>
    <w:rsid w:val="00A003B9"/>
    <w:rsid w:val="00A00BF5"/>
    <w:rsid w:val="00A00C63"/>
    <w:rsid w:val="00A014F1"/>
    <w:rsid w:val="00A02110"/>
    <w:rsid w:val="00A026EC"/>
    <w:rsid w:val="00A03DAF"/>
    <w:rsid w:val="00A0477A"/>
    <w:rsid w:val="00A05589"/>
    <w:rsid w:val="00A0572F"/>
    <w:rsid w:val="00A06311"/>
    <w:rsid w:val="00A0668C"/>
    <w:rsid w:val="00A06A4D"/>
    <w:rsid w:val="00A11221"/>
    <w:rsid w:val="00A11DBC"/>
    <w:rsid w:val="00A13722"/>
    <w:rsid w:val="00A13726"/>
    <w:rsid w:val="00A13BAA"/>
    <w:rsid w:val="00A13C21"/>
    <w:rsid w:val="00A140B0"/>
    <w:rsid w:val="00A143CF"/>
    <w:rsid w:val="00A145A4"/>
    <w:rsid w:val="00A15435"/>
    <w:rsid w:val="00A15B63"/>
    <w:rsid w:val="00A16160"/>
    <w:rsid w:val="00A17BBA"/>
    <w:rsid w:val="00A17F25"/>
    <w:rsid w:val="00A2180D"/>
    <w:rsid w:val="00A218A3"/>
    <w:rsid w:val="00A22CDE"/>
    <w:rsid w:val="00A23C4D"/>
    <w:rsid w:val="00A245D7"/>
    <w:rsid w:val="00A24DDF"/>
    <w:rsid w:val="00A26D36"/>
    <w:rsid w:val="00A27042"/>
    <w:rsid w:val="00A317FB"/>
    <w:rsid w:val="00A34509"/>
    <w:rsid w:val="00A34C2E"/>
    <w:rsid w:val="00A419B4"/>
    <w:rsid w:val="00A41C12"/>
    <w:rsid w:val="00A436B4"/>
    <w:rsid w:val="00A44D7A"/>
    <w:rsid w:val="00A462E6"/>
    <w:rsid w:val="00A469B6"/>
    <w:rsid w:val="00A474EC"/>
    <w:rsid w:val="00A47F9E"/>
    <w:rsid w:val="00A50D8D"/>
    <w:rsid w:val="00A51046"/>
    <w:rsid w:val="00A5283F"/>
    <w:rsid w:val="00A52CAB"/>
    <w:rsid w:val="00A53170"/>
    <w:rsid w:val="00A55029"/>
    <w:rsid w:val="00A55672"/>
    <w:rsid w:val="00A56A70"/>
    <w:rsid w:val="00A5710F"/>
    <w:rsid w:val="00A57EC1"/>
    <w:rsid w:val="00A60A8C"/>
    <w:rsid w:val="00A60EEF"/>
    <w:rsid w:val="00A61304"/>
    <w:rsid w:val="00A61B8E"/>
    <w:rsid w:val="00A63970"/>
    <w:rsid w:val="00A64F4C"/>
    <w:rsid w:val="00A65079"/>
    <w:rsid w:val="00A66C81"/>
    <w:rsid w:val="00A676FA"/>
    <w:rsid w:val="00A7105C"/>
    <w:rsid w:val="00A7179A"/>
    <w:rsid w:val="00A73CC7"/>
    <w:rsid w:val="00A75A97"/>
    <w:rsid w:val="00A75B8B"/>
    <w:rsid w:val="00A76044"/>
    <w:rsid w:val="00A76225"/>
    <w:rsid w:val="00A76622"/>
    <w:rsid w:val="00A80DA1"/>
    <w:rsid w:val="00A833E0"/>
    <w:rsid w:val="00A83871"/>
    <w:rsid w:val="00A83AF4"/>
    <w:rsid w:val="00A845CA"/>
    <w:rsid w:val="00A902E5"/>
    <w:rsid w:val="00A90B50"/>
    <w:rsid w:val="00A919BD"/>
    <w:rsid w:val="00A933DA"/>
    <w:rsid w:val="00A93BB6"/>
    <w:rsid w:val="00A94BE0"/>
    <w:rsid w:val="00A95ED5"/>
    <w:rsid w:val="00A96888"/>
    <w:rsid w:val="00A96BAC"/>
    <w:rsid w:val="00A96EDB"/>
    <w:rsid w:val="00A97724"/>
    <w:rsid w:val="00A97952"/>
    <w:rsid w:val="00AA0175"/>
    <w:rsid w:val="00AA0780"/>
    <w:rsid w:val="00AA0952"/>
    <w:rsid w:val="00AA0A65"/>
    <w:rsid w:val="00AA1948"/>
    <w:rsid w:val="00AA1E14"/>
    <w:rsid w:val="00AA3129"/>
    <w:rsid w:val="00AA3302"/>
    <w:rsid w:val="00AA37B2"/>
    <w:rsid w:val="00AA408C"/>
    <w:rsid w:val="00AA6429"/>
    <w:rsid w:val="00AA6977"/>
    <w:rsid w:val="00AA71BF"/>
    <w:rsid w:val="00AA73E2"/>
    <w:rsid w:val="00AB064C"/>
    <w:rsid w:val="00AB1C65"/>
    <w:rsid w:val="00AB1FFC"/>
    <w:rsid w:val="00AB2447"/>
    <w:rsid w:val="00AB3C5A"/>
    <w:rsid w:val="00AB5343"/>
    <w:rsid w:val="00AB560C"/>
    <w:rsid w:val="00AB75BA"/>
    <w:rsid w:val="00AC094E"/>
    <w:rsid w:val="00AC0B09"/>
    <w:rsid w:val="00AC0C8C"/>
    <w:rsid w:val="00AC0DDB"/>
    <w:rsid w:val="00AC0E5D"/>
    <w:rsid w:val="00AC2769"/>
    <w:rsid w:val="00AC3D8F"/>
    <w:rsid w:val="00AC44A8"/>
    <w:rsid w:val="00AC5051"/>
    <w:rsid w:val="00AC528A"/>
    <w:rsid w:val="00AC5D14"/>
    <w:rsid w:val="00AC6022"/>
    <w:rsid w:val="00AC62AB"/>
    <w:rsid w:val="00AC7C25"/>
    <w:rsid w:val="00AD2B6D"/>
    <w:rsid w:val="00AD4B04"/>
    <w:rsid w:val="00AD53EA"/>
    <w:rsid w:val="00AD66BE"/>
    <w:rsid w:val="00AD6A29"/>
    <w:rsid w:val="00AD6B54"/>
    <w:rsid w:val="00AE0D19"/>
    <w:rsid w:val="00AE4275"/>
    <w:rsid w:val="00AE4564"/>
    <w:rsid w:val="00AE47FB"/>
    <w:rsid w:val="00AE4D51"/>
    <w:rsid w:val="00AE616F"/>
    <w:rsid w:val="00AE636B"/>
    <w:rsid w:val="00AE70FD"/>
    <w:rsid w:val="00AE717C"/>
    <w:rsid w:val="00AE71CC"/>
    <w:rsid w:val="00AE7799"/>
    <w:rsid w:val="00AF1C2E"/>
    <w:rsid w:val="00AF2B41"/>
    <w:rsid w:val="00AF3AA1"/>
    <w:rsid w:val="00AF6181"/>
    <w:rsid w:val="00AF6CB6"/>
    <w:rsid w:val="00AF70DA"/>
    <w:rsid w:val="00AF7645"/>
    <w:rsid w:val="00B006AA"/>
    <w:rsid w:val="00B013C5"/>
    <w:rsid w:val="00B03427"/>
    <w:rsid w:val="00B03E88"/>
    <w:rsid w:val="00B04475"/>
    <w:rsid w:val="00B07A4B"/>
    <w:rsid w:val="00B07F9A"/>
    <w:rsid w:val="00B07FFA"/>
    <w:rsid w:val="00B10352"/>
    <w:rsid w:val="00B10FCC"/>
    <w:rsid w:val="00B110AF"/>
    <w:rsid w:val="00B12A1F"/>
    <w:rsid w:val="00B13710"/>
    <w:rsid w:val="00B13AB0"/>
    <w:rsid w:val="00B142FB"/>
    <w:rsid w:val="00B15E18"/>
    <w:rsid w:val="00B161D2"/>
    <w:rsid w:val="00B17A2A"/>
    <w:rsid w:val="00B21950"/>
    <w:rsid w:val="00B2250F"/>
    <w:rsid w:val="00B22AAD"/>
    <w:rsid w:val="00B22EBE"/>
    <w:rsid w:val="00B233D8"/>
    <w:rsid w:val="00B27573"/>
    <w:rsid w:val="00B276F9"/>
    <w:rsid w:val="00B27C91"/>
    <w:rsid w:val="00B27C9C"/>
    <w:rsid w:val="00B3018B"/>
    <w:rsid w:val="00B32CDA"/>
    <w:rsid w:val="00B32DDB"/>
    <w:rsid w:val="00B332E3"/>
    <w:rsid w:val="00B351D8"/>
    <w:rsid w:val="00B35270"/>
    <w:rsid w:val="00B352D9"/>
    <w:rsid w:val="00B358EB"/>
    <w:rsid w:val="00B35F08"/>
    <w:rsid w:val="00B37A4B"/>
    <w:rsid w:val="00B42165"/>
    <w:rsid w:val="00B42218"/>
    <w:rsid w:val="00B422D9"/>
    <w:rsid w:val="00B42B5A"/>
    <w:rsid w:val="00B439DE"/>
    <w:rsid w:val="00B44A66"/>
    <w:rsid w:val="00B44BC2"/>
    <w:rsid w:val="00B44F2D"/>
    <w:rsid w:val="00B45D0A"/>
    <w:rsid w:val="00B45EDA"/>
    <w:rsid w:val="00B47606"/>
    <w:rsid w:val="00B504D1"/>
    <w:rsid w:val="00B50558"/>
    <w:rsid w:val="00B533E0"/>
    <w:rsid w:val="00B54D6F"/>
    <w:rsid w:val="00B55615"/>
    <w:rsid w:val="00B57967"/>
    <w:rsid w:val="00B57F12"/>
    <w:rsid w:val="00B60298"/>
    <w:rsid w:val="00B60319"/>
    <w:rsid w:val="00B610A1"/>
    <w:rsid w:val="00B6224C"/>
    <w:rsid w:val="00B62440"/>
    <w:rsid w:val="00B626BE"/>
    <w:rsid w:val="00B63371"/>
    <w:rsid w:val="00B638BB"/>
    <w:rsid w:val="00B63947"/>
    <w:rsid w:val="00B64E76"/>
    <w:rsid w:val="00B66A00"/>
    <w:rsid w:val="00B67004"/>
    <w:rsid w:val="00B7139F"/>
    <w:rsid w:val="00B72C3B"/>
    <w:rsid w:val="00B730BA"/>
    <w:rsid w:val="00B74B98"/>
    <w:rsid w:val="00B76B42"/>
    <w:rsid w:val="00B778CF"/>
    <w:rsid w:val="00B807A5"/>
    <w:rsid w:val="00B80906"/>
    <w:rsid w:val="00B81375"/>
    <w:rsid w:val="00B81D54"/>
    <w:rsid w:val="00B835BB"/>
    <w:rsid w:val="00B83F62"/>
    <w:rsid w:val="00B845D3"/>
    <w:rsid w:val="00B85201"/>
    <w:rsid w:val="00B87479"/>
    <w:rsid w:val="00B87B69"/>
    <w:rsid w:val="00B87D53"/>
    <w:rsid w:val="00B91867"/>
    <w:rsid w:val="00B932B1"/>
    <w:rsid w:val="00B93574"/>
    <w:rsid w:val="00B93A89"/>
    <w:rsid w:val="00B93B12"/>
    <w:rsid w:val="00B943D6"/>
    <w:rsid w:val="00B94FD5"/>
    <w:rsid w:val="00B951A8"/>
    <w:rsid w:val="00B9536B"/>
    <w:rsid w:val="00B95D7B"/>
    <w:rsid w:val="00B95EE7"/>
    <w:rsid w:val="00B96A0B"/>
    <w:rsid w:val="00B970EB"/>
    <w:rsid w:val="00BA01A6"/>
    <w:rsid w:val="00BA1DB3"/>
    <w:rsid w:val="00BA2049"/>
    <w:rsid w:val="00BA2555"/>
    <w:rsid w:val="00BA3427"/>
    <w:rsid w:val="00BA3E19"/>
    <w:rsid w:val="00BA46DC"/>
    <w:rsid w:val="00BA474C"/>
    <w:rsid w:val="00BA47E5"/>
    <w:rsid w:val="00BA50BE"/>
    <w:rsid w:val="00BA56D3"/>
    <w:rsid w:val="00BA606E"/>
    <w:rsid w:val="00BA64E2"/>
    <w:rsid w:val="00BA6857"/>
    <w:rsid w:val="00BA6A89"/>
    <w:rsid w:val="00BA6F63"/>
    <w:rsid w:val="00BA7131"/>
    <w:rsid w:val="00BA7FAC"/>
    <w:rsid w:val="00BB03C4"/>
    <w:rsid w:val="00BB0FA9"/>
    <w:rsid w:val="00BB391A"/>
    <w:rsid w:val="00BB4F51"/>
    <w:rsid w:val="00BB721F"/>
    <w:rsid w:val="00BB7F3E"/>
    <w:rsid w:val="00BC0181"/>
    <w:rsid w:val="00BC1AE8"/>
    <w:rsid w:val="00BC1CDC"/>
    <w:rsid w:val="00BC1FB7"/>
    <w:rsid w:val="00BC23C8"/>
    <w:rsid w:val="00BC2E22"/>
    <w:rsid w:val="00BC39FC"/>
    <w:rsid w:val="00BC3D5C"/>
    <w:rsid w:val="00BC4A46"/>
    <w:rsid w:val="00BC4EBB"/>
    <w:rsid w:val="00BC5771"/>
    <w:rsid w:val="00BC61A3"/>
    <w:rsid w:val="00BC7F39"/>
    <w:rsid w:val="00BD02B5"/>
    <w:rsid w:val="00BD09CF"/>
    <w:rsid w:val="00BD0F7B"/>
    <w:rsid w:val="00BD2FDE"/>
    <w:rsid w:val="00BD3539"/>
    <w:rsid w:val="00BD6D9C"/>
    <w:rsid w:val="00BD73C2"/>
    <w:rsid w:val="00BD794E"/>
    <w:rsid w:val="00BD7D20"/>
    <w:rsid w:val="00BE0701"/>
    <w:rsid w:val="00BE16D9"/>
    <w:rsid w:val="00BE27FD"/>
    <w:rsid w:val="00BE2C75"/>
    <w:rsid w:val="00BE46C6"/>
    <w:rsid w:val="00BE58F9"/>
    <w:rsid w:val="00BE5922"/>
    <w:rsid w:val="00BE5FEC"/>
    <w:rsid w:val="00BE6460"/>
    <w:rsid w:val="00BE654A"/>
    <w:rsid w:val="00BE7D92"/>
    <w:rsid w:val="00BE7E69"/>
    <w:rsid w:val="00BE7FE4"/>
    <w:rsid w:val="00BF0732"/>
    <w:rsid w:val="00BF0F66"/>
    <w:rsid w:val="00BF11BD"/>
    <w:rsid w:val="00BF294C"/>
    <w:rsid w:val="00BF4FFC"/>
    <w:rsid w:val="00BF5027"/>
    <w:rsid w:val="00BF5D4C"/>
    <w:rsid w:val="00BF7039"/>
    <w:rsid w:val="00BF7460"/>
    <w:rsid w:val="00C0016C"/>
    <w:rsid w:val="00C0039D"/>
    <w:rsid w:val="00C00560"/>
    <w:rsid w:val="00C011D6"/>
    <w:rsid w:val="00C012BA"/>
    <w:rsid w:val="00C01433"/>
    <w:rsid w:val="00C01717"/>
    <w:rsid w:val="00C01C1C"/>
    <w:rsid w:val="00C01E83"/>
    <w:rsid w:val="00C02700"/>
    <w:rsid w:val="00C027D5"/>
    <w:rsid w:val="00C05363"/>
    <w:rsid w:val="00C057A8"/>
    <w:rsid w:val="00C06197"/>
    <w:rsid w:val="00C0765A"/>
    <w:rsid w:val="00C10D21"/>
    <w:rsid w:val="00C11A22"/>
    <w:rsid w:val="00C11AAF"/>
    <w:rsid w:val="00C12B23"/>
    <w:rsid w:val="00C13B2C"/>
    <w:rsid w:val="00C13B3E"/>
    <w:rsid w:val="00C13C10"/>
    <w:rsid w:val="00C144C6"/>
    <w:rsid w:val="00C14637"/>
    <w:rsid w:val="00C1554E"/>
    <w:rsid w:val="00C16EC9"/>
    <w:rsid w:val="00C17A6F"/>
    <w:rsid w:val="00C20882"/>
    <w:rsid w:val="00C21368"/>
    <w:rsid w:val="00C22F31"/>
    <w:rsid w:val="00C23680"/>
    <w:rsid w:val="00C24E1B"/>
    <w:rsid w:val="00C26D19"/>
    <w:rsid w:val="00C271F5"/>
    <w:rsid w:val="00C27F59"/>
    <w:rsid w:val="00C308CB"/>
    <w:rsid w:val="00C3129D"/>
    <w:rsid w:val="00C31579"/>
    <w:rsid w:val="00C31602"/>
    <w:rsid w:val="00C31D8E"/>
    <w:rsid w:val="00C3273D"/>
    <w:rsid w:val="00C32D5D"/>
    <w:rsid w:val="00C33AD5"/>
    <w:rsid w:val="00C33DD7"/>
    <w:rsid w:val="00C34DAE"/>
    <w:rsid w:val="00C350C8"/>
    <w:rsid w:val="00C3562F"/>
    <w:rsid w:val="00C35DAA"/>
    <w:rsid w:val="00C36418"/>
    <w:rsid w:val="00C36779"/>
    <w:rsid w:val="00C36B1A"/>
    <w:rsid w:val="00C40849"/>
    <w:rsid w:val="00C42A8F"/>
    <w:rsid w:val="00C43740"/>
    <w:rsid w:val="00C43853"/>
    <w:rsid w:val="00C45231"/>
    <w:rsid w:val="00C454BB"/>
    <w:rsid w:val="00C4601D"/>
    <w:rsid w:val="00C46C70"/>
    <w:rsid w:val="00C47AF0"/>
    <w:rsid w:val="00C50102"/>
    <w:rsid w:val="00C504F2"/>
    <w:rsid w:val="00C517A1"/>
    <w:rsid w:val="00C51D95"/>
    <w:rsid w:val="00C53197"/>
    <w:rsid w:val="00C56DC3"/>
    <w:rsid w:val="00C575EA"/>
    <w:rsid w:val="00C6027A"/>
    <w:rsid w:val="00C607C1"/>
    <w:rsid w:val="00C60DAD"/>
    <w:rsid w:val="00C60E86"/>
    <w:rsid w:val="00C619B5"/>
    <w:rsid w:val="00C62270"/>
    <w:rsid w:val="00C62498"/>
    <w:rsid w:val="00C626C1"/>
    <w:rsid w:val="00C63A3B"/>
    <w:rsid w:val="00C64BEE"/>
    <w:rsid w:val="00C65284"/>
    <w:rsid w:val="00C659AB"/>
    <w:rsid w:val="00C65D56"/>
    <w:rsid w:val="00C6628C"/>
    <w:rsid w:val="00C66462"/>
    <w:rsid w:val="00C66A74"/>
    <w:rsid w:val="00C67126"/>
    <w:rsid w:val="00C67A1F"/>
    <w:rsid w:val="00C67FFC"/>
    <w:rsid w:val="00C70013"/>
    <w:rsid w:val="00C70E5C"/>
    <w:rsid w:val="00C7169B"/>
    <w:rsid w:val="00C7382E"/>
    <w:rsid w:val="00C73F0D"/>
    <w:rsid w:val="00C75145"/>
    <w:rsid w:val="00C80D84"/>
    <w:rsid w:val="00C81AD6"/>
    <w:rsid w:val="00C8213C"/>
    <w:rsid w:val="00C8294E"/>
    <w:rsid w:val="00C845D6"/>
    <w:rsid w:val="00C86169"/>
    <w:rsid w:val="00C874F7"/>
    <w:rsid w:val="00C91B80"/>
    <w:rsid w:val="00C9409A"/>
    <w:rsid w:val="00C95BB9"/>
    <w:rsid w:val="00C95FEF"/>
    <w:rsid w:val="00C9619A"/>
    <w:rsid w:val="00C96EB6"/>
    <w:rsid w:val="00C97D9A"/>
    <w:rsid w:val="00CA08ED"/>
    <w:rsid w:val="00CA144D"/>
    <w:rsid w:val="00CA1E99"/>
    <w:rsid w:val="00CA32D5"/>
    <w:rsid w:val="00CA440B"/>
    <w:rsid w:val="00CA4DF7"/>
    <w:rsid w:val="00CA58C5"/>
    <w:rsid w:val="00CA6C3E"/>
    <w:rsid w:val="00CA7509"/>
    <w:rsid w:val="00CA751D"/>
    <w:rsid w:val="00CA7FD5"/>
    <w:rsid w:val="00CB1860"/>
    <w:rsid w:val="00CB2AE5"/>
    <w:rsid w:val="00CB402F"/>
    <w:rsid w:val="00CB4546"/>
    <w:rsid w:val="00CB59B2"/>
    <w:rsid w:val="00CB6294"/>
    <w:rsid w:val="00CB7A34"/>
    <w:rsid w:val="00CB7D01"/>
    <w:rsid w:val="00CB7F46"/>
    <w:rsid w:val="00CC0684"/>
    <w:rsid w:val="00CC099E"/>
    <w:rsid w:val="00CC1542"/>
    <w:rsid w:val="00CC2E7B"/>
    <w:rsid w:val="00CC4A63"/>
    <w:rsid w:val="00CC53BF"/>
    <w:rsid w:val="00CC597E"/>
    <w:rsid w:val="00CC7911"/>
    <w:rsid w:val="00CD0715"/>
    <w:rsid w:val="00CD2FF0"/>
    <w:rsid w:val="00CD37E4"/>
    <w:rsid w:val="00CD4398"/>
    <w:rsid w:val="00CD4E5E"/>
    <w:rsid w:val="00CD571E"/>
    <w:rsid w:val="00CD5AD5"/>
    <w:rsid w:val="00CD6C5C"/>
    <w:rsid w:val="00CD750D"/>
    <w:rsid w:val="00CE114C"/>
    <w:rsid w:val="00CE2180"/>
    <w:rsid w:val="00CE2533"/>
    <w:rsid w:val="00CE2685"/>
    <w:rsid w:val="00CE4FE2"/>
    <w:rsid w:val="00CE5469"/>
    <w:rsid w:val="00CE588C"/>
    <w:rsid w:val="00CE62A3"/>
    <w:rsid w:val="00CE6B10"/>
    <w:rsid w:val="00CE6EEA"/>
    <w:rsid w:val="00CE7075"/>
    <w:rsid w:val="00CE7BEB"/>
    <w:rsid w:val="00CF0406"/>
    <w:rsid w:val="00CF2EBE"/>
    <w:rsid w:val="00CF3231"/>
    <w:rsid w:val="00CF37B2"/>
    <w:rsid w:val="00CF4857"/>
    <w:rsid w:val="00CF5764"/>
    <w:rsid w:val="00CF7B50"/>
    <w:rsid w:val="00CF7DEB"/>
    <w:rsid w:val="00D00142"/>
    <w:rsid w:val="00D009DD"/>
    <w:rsid w:val="00D016D1"/>
    <w:rsid w:val="00D0288E"/>
    <w:rsid w:val="00D04046"/>
    <w:rsid w:val="00D04D26"/>
    <w:rsid w:val="00D04F3D"/>
    <w:rsid w:val="00D05BBA"/>
    <w:rsid w:val="00D06817"/>
    <w:rsid w:val="00D076A8"/>
    <w:rsid w:val="00D112FB"/>
    <w:rsid w:val="00D12A94"/>
    <w:rsid w:val="00D12C27"/>
    <w:rsid w:val="00D14CA9"/>
    <w:rsid w:val="00D16121"/>
    <w:rsid w:val="00D1721B"/>
    <w:rsid w:val="00D20076"/>
    <w:rsid w:val="00D20610"/>
    <w:rsid w:val="00D20D02"/>
    <w:rsid w:val="00D20DDE"/>
    <w:rsid w:val="00D213D7"/>
    <w:rsid w:val="00D24B3D"/>
    <w:rsid w:val="00D25C7D"/>
    <w:rsid w:val="00D26341"/>
    <w:rsid w:val="00D26C83"/>
    <w:rsid w:val="00D27509"/>
    <w:rsid w:val="00D2760C"/>
    <w:rsid w:val="00D30021"/>
    <w:rsid w:val="00D306C2"/>
    <w:rsid w:val="00D3073F"/>
    <w:rsid w:val="00D3161D"/>
    <w:rsid w:val="00D318F1"/>
    <w:rsid w:val="00D32538"/>
    <w:rsid w:val="00D34158"/>
    <w:rsid w:val="00D3424E"/>
    <w:rsid w:val="00D35132"/>
    <w:rsid w:val="00D35D7D"/>
    <w:rsid w:val="00D35EE8"/>
    <w:rsid w:val="00D40022"/>
    <w:rsid w:val="00D40A3C"/>
    <w:rsid w:val="00D4210F"/>
    <w:rsid w:val="00D447D3"/>
    <w:rsid w:val="00D44D86"/>
    <w:rsid w:val="00D450FB"/>
    <w:rsid w:val="00D45B05"/>
    <w:rsid w:val="00D463C3"/>
    <w:rsid w:val="00D467FD"/>
    <w:rsid w:val="00D50DEA"/>
    <w:rsid w:val="00D5112A"/>
    <w:rsid w:val="00D52457"/>
    <w:rsid w:val="00D53E03"/>
    <w:rsid w:val="00D554A2"/>
    <w:rsid w:val="00D56A85"/>
    <w:rsid w:val="00D60AD4"/>
    <w:rsid w:val="00D61FC6"/>
    <w:rsid w:val="00D624A6"/>
    <w:rsid w:val="00D627CD"/>
    <w:rsid w:val="00D63840"/>
    <w:rsid w:val="00D643EF"/>
    <w:rsid w:val="00D6508E"/>
    <w:rsid w:val="00D656F2"/>
    <w:rsid w:val="00D65BD2"/>
    <w:rsid w:val="00D65C31"/>
    <w:rsid w:val="00D66709"/>
    <w:rsid w:val="00D66910"/>
    <w:rsid w:val="00D67B1A"/>
    <w:rsid w:val="00D71D83"/>
    <w:rsid w:val="00D71DE7"/>
    <w:rsid w:val="00D73312"/>
    <w:rsid w:val="00D7348B"/>
    <w:rsid w:val="00D73CD7"/>
    <w:rsid w:val="00D75853"/>
    <w:rsid w:val="00D76B8E"/>
    <w:rsid w:val="00D76E48"/>
    <w:rsid w:val="00D77442"/>
    <w:rsid w:val="00D80857"/>
    <w:rsid w:val="00D81239"/>
    <w:rsid w:val="00D817F1"/>
    <w:rsid w:val="00D81B3B"/>
    <w:rsid w:val="00D81C0D"/>
    <w:rsid w:val="00D8489D"/>
    <w:rsid w:val="00D84CFD"/>
    <w:rsid w:val="00D85697"/>
    <w:rsid w:val="00D85AA2"/>
    <w:rsid w:val="00D862A9"/>
    <w:rsid w:val="00D86F68"/>
    <w:rsid w:val="00D90865"/>
    <w:rsid w:val="00D90EDB"/>
    <w:rsid w:val="00D932F4"/>
    <w:rsid w:val="00D94356"/>
    <w:rsid w:val="00D9488E"/>
    <w:rsid w:val="00D94ABA"/>
    <w:rsid w:val="00D95483"/>
    <w:rsid w:val="00D95927"/>
    <w:rsid w:val="00D95A5D"/>
    <w:rsid w:val="00D97CF1"/>
    <w:rsid w:val="00D97DF4"/>
    <w:rsid w:val="00DA162C"/>
    <w:rsid w:val="00DA202E"/>
    <w:rsid w:val="00DA2505"/>
    <w:rsid w:val="00DA3B8A"/>
    <w:rsid w:val="00DA4BA2"/>
    <w:rsid w:val="00DA6061"/>
    <w:rsid w:val="00DA61E5"/>
    <w:rsid w:val="00DB2A3A"/>
    <w:rsid w:val="00DB2DCC"/>
    <w:rsid w:val="00DB2EB9"/>
    <w:rsid w:val="00DB3F35"/>
    <w:rsid w:val="00DB45B6"/>
    <w:rsid w:val="00DB62F1"/>
    <w:rsid w:val="00DB787C"/>
    <w:rsid w:val="00DB7E49"/>
    <w:rsid w:val="00DC0879"/>
    <w:rsid w:val="00DC173A"/>
    <w:rsid w:val="00DC1742"/>
    <w:rsid w:val="00DC1A00"/>
    <w:rsid w:val="00DC22B8"/>
    <w:rsid w:val="00DC3799"/>
    <w:rsid w:val="00DC38C2"/>
    <w:rsid w:val="00DC420C"/>
    <w:rsid w:val="00DC4394"/>
    <w:rsid w:val="00DC43BC"/>
    <w:rsid w:val="00DC4910"/>
    <w:rsid w:val="00DC4A69"/>
    <w:rsid w:val="00DC4A7D"/>
    <w:rsid w:val="00DC4B7C"/>
    <w:rsid w:val="00DC528C"/>
    <w:rsid w:val="00DC52C8"/>
    <w:rsid w:val="00DC71B1"/>
    <w:rsid w:val="00DD0E86"/>
    <w:rsid w:val="00DD245B"/>
    <w:rsid w:val="00DD3E36"/>
    <w:rsid w:val="00DD4138"/>
    <w:rsid w:val="00DD4D13"/>
    <w:rsid w:val="00DD7049"/>
    <w:rsid w:val="00DE229C"/>
    <w:rsid w:val="00DE23D8"/>
    <w:rsid w:val="00DE2E47"/>
    <w:rsid w:val="00DE62A9"/>
    <w:rsid w:val="00DE6851"/>
    <w:rsid w:val="00DE78FD"/>
    <w:rsid w:val="00DE7F72"/>
    <w:rsid w:val="00DF0499"/>
    <w:rsid w:val="00DF23C5"/>
    <w:rsid w:val="00DF26E7"/>
    <w:rsid w:val="00DF2CC5"/>
    <w:rsid w:val="00DF3D7B"/>
    <w:rsid w:val="00DF4A03"/>
    <w:rsid w:val="00DF4BF9"/>
    <w:rsid w:val="00DF5635"/>
    <w:rsid w:val="00DF57DD"/>
    <w:rsid w:val="00DF5A23"/>
    <w:rsid w:val="00DF5EFF"/>
    <w:rsid w:val="00DF68ED"/>
    <w:rsid w:val="00DF6A6F"/>
    <w:rsid w:val="00E00E14"/>
    <w:rsid w:val="00E01931"/>
    <w:rsid w:val="00E01E87"/>
    <w:rsid w:val="00E043ED"/>
    <w:rsid w:val="00E04E44"/>
    <w:rsid w:val="00E04EF7"/>
    <w:rsid w:val="00E05345"/>
    <w:rsid w:val="00E05372"/>
    <w:rsid w:val="00E05828"/>
    <w:rsid w:val="00E05D4B"/>
    <w:rsid w:val="00E06146"/>
    <w:rsid w:val="00E06528"/>
    <w:rsid w:val="00E06823"/>
    <w:rsid w:val="00E06A60"/>
    <w:rsid w:val="00E06B8F"/>
    <w:rsid w:val="00E07317"/>
    <w:rsid w:val="00E075AA"/>
    <w:rsid w:val="00E0797D"/>
    <w:rsid w:val="00E11EC4"/>
    <w:rsid w:val="00E13074"/>
    <w:rsid w:val="00E13397"/>
    <w:rsid w:val="00E14403"/>
    <w:rsid w:val="00E14ABF"/>
    <w:rsid w:val="00E14C16"/>
    <w:rsid w:val="00E157D4"/>
    <w:rsid w:val="00E162CE"/>
    <w:rsid w:val="00E16EA5"/>
    <w:rsid w:val="00E213EC"/>
    <w:rsid w:val="00E214F3"/>
    <w:rsid w:val="00E21679"/>
    <w:rsid w:val="00E217BA"/>
    <w:rsid w:val="00E2180E"/>
    <w:rsid w:val="00E22EB0"/>
    <w:rsid w:val="00E2301D"/>
    <w:rsid w:val="00E23279"/>
    <w:rsid w:val="00E24A77"/>
    <w:rsid w:val="00E25B59"/>
    <w:rsid w:val="00E2748A"/>
    <w:rsid w:val="00E307DD"/>
    <w:rsid w:val="00E31AA8"/>
    <w:rsid w:val="00E31EFA"/>
    <w:rsid w:val="00E32319"/>
    <w:rsid w:val="00E3264B"/>
    <w:rsid w:val="00E32696"/>
    <w:rsid w:val="00E32F0A"/>
    <w:rsid w:val="00E32FB9"/>
    <w:rsid w:val="00E35C96"/>
    <w:rsid w:val="00E36414"/>
    <w:rsid w:val="00E36686"/>
    <w:rsid w:val="00E36E72"/>
    <w:rsid w:val="00E37AE1"/>
    <w:rsid w:val="00E41D9C"/>
    <w:rsid w:val="00E44D66"/>
    <w:rsid w:val="00E46845"/>
    <w:rsid w:val="00E46D80"/>
    <w:rsid w:val="00E477C3"/>
    <w:rsid w:val="00E52CCD"/>
    <w:rsid w:val="00E53420"/>
    <w:rsid w:val="00E556A0"/>
    <w:rsid w:val="00E56C79"/>
    <w:rsid w:val="00E603AB"/>
    <w:rsid w:val="00E60F1E"/>
    <w:rsid w:val="00E614F4"/>
    <w:rsid w:val="00E61722"/>
    <w:rsid w:val="00E621AB"/>
    <w:rsid w:val="00E63334"/>
    <w:rsid w:val="00E633D8"/>
    <w:rsid w:val="00E636BB"/>
    <w:rsid w:val="00E64170"/>
    <w:rsid w:val="00E6496A"/>
    <w:rsid w:val="00E6627C"/>
    <w:rsid w:val="00E66858"/>
    <w:rsid w:val="00E700A8"/>
    <w:rsid w:val="00E71100"/>
    <w:rsid w:val="00E74A59"/>
    <w:rsid w:val="00E75300"/>
    <w:rsid w:val="00E75EC4"/>
    <w:rsid w:val="00E76009"/>
    <w:rsid w:val="00E77FC9"/>
    <w:rsid w:val="00E8228B"/>
    <w:rsid w:val="00E8247B"/>
    <w:rsid w:val="00E845BB"/>
    <w:rsid w:val="00E84F73"/>
    <w:rsid w:val="00E85AAD"/>
    <w:rsid w:val="00E87196"/>
    <w:rsid w:val="00E90629"/>
    <w:rsid w:val="00E90E97"/>
    <w:rsid w:val="00E90FE6"/>
    <w:rsid w:val="00E91309"/>
    <w:rsid w:val="00E921AB"/>
    <w:rsid w:val="00E93A1E"/>
    <w:rsid w:val="00E94EF9"/>
    <w:rsid w:val="00E958E7"/>
    <w:rsid w:val="00E96A76"/>
    <w:rsid w:val="00EA03F3"/>
    <w:rsid w:val="00EA1227"/>
    <w:rsid w:val="00EA2570"/>
    <w:rsid w:val="00EA3133"/>
    <w:rsid w:val="00EA4487"/>
    <w:rsid w:val="00EA5B91"/>
    <w:rsid w:val="00EA5F4D"/>
    <w:rsid w:val="00EA609A"/>
    <w:rsid w:val="00EA6709"/>
    <w:rsid w:val="00EA78BD"/>
    <w:rsid w:val="00EB0375"/>
    <w:rsid w:val="00EB0872"/>
    <w:rsid w:val="00EB0CB8"/>
    <w:rsid w:val="00EB179B"/>
    <w:rsid w:val="00EB2070"/>
    <w:rsid w:val="00EB2CCF"/>
    <w:rsid w:val="00EB384D"/>
    <w:rsid w:val="00EB3A61"/>
    <w:rsid w:val="00EB3EC6"/>
    <w:rsid w:val="00EB4022"/>
    <w:rsid w:val="00EB462B"/>
    <w:rsid w:val="00EB466F"/>
    <w:rsid w:val="00EB4BD7"/>
    <w:rsid w:val="00EB5874"/>
    <w:rsid w:val="00EB62C5"/>
    <w:rsid w:val="00EB7174"/>
    <w:rsid w:val="00EC1574"/>
    <w:rsid w:val="00EC1837"/>
    <w:rsid w:val="00EC220B"/>
    <w:rsid w:val="00EC273C"/>
    <w:rsid w:val="00EC432A"/>
    <w:rsid w:val="00EC60BA"/>
    <w:rsid w:val="00EC6976"/>
    <w:rsid w:val="00EC6979"/>
    <w:rsid w:val="00EC7DB6"/>
    <w:rsid w:val="00ED0AAB"/>
    <w:rsid w:val="00ED0CC7"/>
    <w:rsid w:val="00ED0E97"/>
    <w:rsid w:val="00ED1562"/>
    <w:rsid w:val="00ED1A75"/>
    <w:rsid w:val="00ED2B9C"/>
    <w:rsid w:val="00ED3041"/>
    <w:rsid w:val="00ED3594"/>
    <w:rsid w:val="00ED38F3"/>
    <w:rsid w:val="00ED4734"/>
    <w:rsid w:val="00ED747B"/>
    <w:rsid w:val="00ED7C96"/>
    <w:rsid w:val="00EE0900"/>
    <w:rsid w:val="00EE0DE0"/>
    <w:rsid w:val="00EE1E11"/>
    <w:rsid w:val="00EE26AA"/>
    <w:rsid w:val="00EE2907"/>
    <w:rsid w:val="00EE37E5"/>
    <w:rsid w:val="00EE3B08"/>
    <w:rsid w:val="00EE48DB"/>
    <w:rsid w:val="00EE534B"/>
    <w:rsid w:val="00EE53D1"/>
    <w:rsid w:val="00EE701F"/>
    <w:rsid w:val="00EE730C"/>
    <w:rsid w:val="00EE770E"/>
    <w:rsid w:val="00EE7D7F"/>
    <w:rsid w:val="00EE7EBD"/>
    <w:rsid w:val="00EF05D1"/>
    <w:rsid w:val="00EF119E"/>
    <w:rsid w:val="00EF123A"/>
    <w:rsid w:val="00EF2553"/>
    <w:rsid w:val="00EF3592"/>
    <w:rsid w:val="00EF655D"/>
    <w:rsid w:val="00EF6815"/>
    <w:rsid w:val="00EF6B87"/>
    <w:rsid w:val="00EF6E8E"/>
    <w:rsid w:val="00EF747E"/>
    <w:rsid w:val="00EF764F"/>
    <w:rsid w:val="00F00824"/>
    <w:rsid w:val="00F00D0F"/>
    <w:rsid w:val="00F039FC"/>
    <w:rsid w:val="00F03ABE"/>
    <w:rsid w:val="00F04C20"/>
    <w:rsid w:val="00F04C92"/>
    <w:rsid w:val="00F0513E"/>
    <w:rsid w:val="00F051EE"/>
    <w:rsid w:val="00F05F6D"/>
    <w:rsid w:val="00F06009"/>
    <w:rsid w:val="00F06F57"/>
    <w:rsid w:val="00F11962"/>
    <w:rsid w:val="00F12968"/>
    <w:rsid w:val="00F12FC0"/>
    <w:rsid w:val="00F13A5D"/>
    <w:rsid w:val="00F13A7E"/>
    <w:rsid w:val="00F143DA"/>
    <w:rsid w:val="00F1456D"/>
    <w:rsid w:val="00F1510E"/>
    <w:rsid w:val="00F16A92"/>
    <w:rsid w:val="00F17567"/>
    <w:rsid w:val="00F179F9"/>
    <w:rsid w:val="00F204EB"/>
    <w:rsid w:val="00F20C70"/>
    <w:rsid w:val="00F21791"/>
    <w:rsid w:val="00F229B4"/>
    <w:rsid w:val="00F23CCD"/>
    <w:rsid w:val="00F24079"/>
    <w:rsid w:val="00F24646"/>
    <w:rsid w:val="00F259A5"/>
    <w:rsid w:val="00F27399"/>
    <w:rsid w:val="00F274F8"/>
    <w:rsid w:val="00F275ED"/>
    <w:rsid w:val="00F30563"/>
    <w:rsid w:val="00F3147D"/>
    <w:rsid w:val="00F31CD4"/>
    <w:rsid w:val="00F322E9"/>
    <w:rsid w:val="00F3319E"/>
    <w:rsid w:val="00F33F95"/>
    <w:rsid w:val="00F348CD"/>
    <w:rsid w:val="00F359CA"/>
    <w:rsid w:val="00F362C8"/>
    <w:rsid w:val="00F3660F"/>
    <w:rsid w:val="00F369D0"/>
    <w:rsid w:val="00F370D1"/>
    <w:rsid w:val="00F4231D"/>
    <w:rsid w:val="00F42923"/>
    <w:rsid w:val="00F43181"/>
    <w:rsid w:val="00F43F2E"/>
    <w:rsid w:val="00F477BB"/>
    <w:rsid w:val="00F477D0"/>
    <w:rsid w:val="00F47E3F"/>
    <w:rsid w:val="00F50385"/>
    <w:rsid w:val="00F51720"/>
    <w:rsid w:val="00F51BE0"/>
    <w:rsid w:val="00F520AA"/>
    <w:rsid w:val="00F52AA6"/>
    <w:rsid w:val="00F537CC"/>
    <w:rsid w:val="00F538BB"/>
    <w:rsid w:val="00F53DBD"/>
    <w:rsid w:val="00F5461D"/>
    <w:rsid w:val="00F554A1"/>
    <w:rsid w:val="00F56071"/>
    <w:rsid w:val="00F56BE1"/>
    <w:rsid w:val="00F57687"/>
    <w:rsid w:val="00F57B2F"/>
    <w:rsid w:val="00F6072C"/>
    <w:rsid w:val="00F612BD"/>
    <w:rsid w:val="00F6153A"/>
    <w:rsid w:val="00F63CBA"/>
    <w:rsid w:val="00F63DEF"/>
    <w:rsid w:val="00F653F1"/>
    <w:rsid w:val="00F65983"/>
    <w:rsid w:val="00F664DE"/>
    <w:rsid w:val="00F674D2"/>
    <w:rsid w:val="00F67D21"/>
    <w:rsid w:val="00F70281"/>
    <w:rsid w:val="00F70E67"/>
    <w:rsid w:val="00F712D3"/>
    <w:rsid w:val="00F72119"/>
    <w:rsid w:val="00F7309A"/>
    <w:rsid w:val="00F735CA"/>
    <w:rsid w:val="00F73BFE"/>
    <w:rsid w:val="00F73DE4"/>
    <w:rsid w:val="00F744BE"/>
    <w:rsid w:val="00F74A55"/>
    <w:rsid w:val="00F753CA"/>
    <w:rsid w:val="00F76655"/>
    <w:rsid w:val="00F769CF"/>
    <w:rsid w:val="00F770B8"/>
    <w:rsid w:val="00F77532"/>
    <w:rsid w:val="00F77C6F"/>
    <w:rsid w:val="00F80596"/>
    <w:rsid w:val="00F817BF"/>
    <w:rsid w:val="00F81836"/>
    <w:rsid w:val="00F81B4A"/>
    <w:rsid w:val="00F825FE"/>
    <w:rsid w:val="00F8329E"/>
    <w:rsid w:val="00F83FAF"/>
    <w:rsid w:val="00F84A9D"/>
    <w:rsid w:val="00F8674A"/>
    <w:rsid w:val="00F9013F"/>
    <w:rsid w:val="00F90469"/>
    <w:rsid w:val="00F9213C"/>
    <w:rsid w:val="00F92426"/>
    <w:rsid w:val="00F92AA0"/>
    <w:rsid w:val="00F95A50"/>
    <w:rsid w:val="00F97084"/>
    <w:rsid w:val="00F971E0"/>
    <w:rsid w:val="00F97501"/>
    <w:rsid w:val="00F9772E"/>
    <w:rsid w:val="00FA0437"/>
    <w:rsid w:val="00FA17AC"/>
    <w:rsid w:val="00FA1A74"/>
    <w:rsid w:val="00FA1D3B"/>
    <w:rsid w:val="00FA1E86"/>
    <w:rsid w:val="00FA3229"/>
    <w:rsid w:val="00FA35ED"/>
    <w:rsid w:val="00FA3D87"/>
    <w:rsid w:val="00FA542A"/>
    <w:rsid w:val="00FA56B6"/>
    <w:rsid w:val="00FA6395"/>
    <w:rsid w:val="00FA6DF6"/>
    <w:rsid w:val="00FA755A"/>
    <w:rsid w:val="00FA7A2E"/>
    <w:rsid w:val="00FA7F57"/>
    <w:rsid w:val="00FB1646"/>
    <w:rsid w:val="00FB305D"/>
    <w:rsid w:val="00FB3DEA"/>
    <w:rsid w:val="00FB4BEB"/>
    <w:rsid w:val="00FB4C42"/>
    <w:rsid w:val="00FB54CE"/>
    <w:rsid w:val="00FB5915"/>
    <w:rsid w:val="00FB5D78"/>
    <w:rsid w:val="00FB6545"/>
    <w:rsid w:val="00FB6B23"/>
    <w:rsid w:val="00FC0510"/>
    <w:rsid w:val="00FC0706"/>
    <w:rsid w:val="00FC0D54"/>
    <w:rsid w:val="00FC1BF1"/>
    <w:rsid w:val="00FC2EEA"/>
    <w:rsid w:val="00FC46AA"/>
    <w:rsid w:val="00FC587B"/>
    <w:rsid w:val="00FC5C22"/>
    <w:rsid w:val="00FC7820"/>
    <w:rsid w:val="00FD17DA"/>
    <w:rsid w:val="00FD1B18"/>
    <w:rsid w:val="00FD233A"/>
    <w:rsid w:val="00FD2E87"/>
    <w:rsid w:val="00FD36B2"/>
    <w:rsid w:val="00FD42B3"/>
    <w:rsid w:val="00FD4C53"/>
    <w:rsid w:val="00FD68FC"/>
    <w:rsid w:val="00FD69FB"/>
    <w:rsid w:val="00FD6E06"/>
    <w:rsid w:val="00FD7B60"/>
    <w:rsid w:val="00FD7EF5"/>
    <w:rsid w:val="00FE0607"/>
    <w:rsid w:val="00FE0925"/>
    <w:rsid w:val="00FE0C4A"/>
    <w:rsid w:val="00FE104C"/>
    <w:rsid w:val="00FE1933"/>
    <w:rsid w:val="00FE1AD6"/>
    <w:rsid w:val="00FE271B"/>
    <w:rsid w:val="00FE2EC2"/>
    <w:rsid w:val="00FE4BCB"/>
    <w:rsid w:val="00FE5B3A"/>
    <w:rsid w:val="00FE5D44"/>
    <w:rsid w:val="00FE61EA"/>
    <w:rsid w:val="00FF1811"/>
    <w:rsid w:val="00FF28F8"/>
    <w:rsid w:val="00FF2947"/>
    <w:rsid w:val="00FF3B2D"/>
    <w:rsid w:val="00FF45A9"/>
    <w:rsid w:val="00FF6D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style="mso-position-horizontal:center;mso-position-horizontal-relative:margin;mso-position-vertical:center;mso-position-vertical-relative:margin" o:allowincell="f" fillcolor="silver" stroke="f">
      <v:fill color="silver" opacity=".5"/>
      <v:stroke on="f"/>
    </o:shapedefaults>
    <o:shapelayout v:ext="edit">
      <o:idmap v:ext="edit" data="1"/>
    </o:shapelayout>
  </w:shapeDefaults>
  <w:decimalSymbol w:val="."/>
  <w:listSeparator w:val=","/>
  <w14:docId w14:val="2D3E1D66"/>
  <w15:docId w15:val="{B6068EC4-1465-4D5C-8677-302D960C4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CDA"/>
    <w:pPr>
      <w:spacing w:before="220" w:after="220" w:line="280" w:lineRule="exact"/>
    </w:pPr>
  </w:style>
  <w:style w:type="paragraph" w:styleId="Heading1">
    <w:name w:val="heading 1"/>
    <w:aliases w:val="numbered"/>
    <w:basedOn w:val="Normal"/>
    <w:next w:val="Normal"/>
    <w:link w:val="Heading1Char"/>
    <w:uiPriority w:val="9"/>
    <w:qFormat/>
    <w:rsid w:val="000B0846"/>
    <w:pPr>
      <w:keepNext/>
      <w:keepLines/>
      <w:spacing w:before="7600" w:after="480"/>
      <w:jc w:val="right"/>
      <w:outlineLvl w:val="0"/>
    </w:pPr>
    <w:rPr>
      <w:rFonts w:ascii="Arial Narrow" w:eastAsiaTheme="majorEastAsia" w:hAnsi="Arial Narrow" w:cstheme="majorBidi"/>
      <w:smallCaps/>
      <w:sz w:val="42"/>
      <w:szCs w:val="32"/>
    </w:rPr>
  </w:style>
  <w:style w:type="paragraph" w:styleId="Heading2">
    <w:name w:val="heading 2"/>
    <w:basedOn w:val="Normal"/>
    <w:next w:val="Normal"/>
    <w:link w:val="Heading2Char"/>
    <w:autoRedefine/>
    <w:uiPriority w:val="9"/>
    <w:unhideWhenUsed/>
    <w:qFormat/>
    <w:rsid w:val="00BA47E5"/>
    <w:pPr>
      <w:keepNext/>
      <w:keepLines/>
      <w:spacing w:before="320" w:after="320" w:line="259" w:lineRule="auto"/>
      <w:outlineLvl w:val="1"/>
    </w:pPr>
    <w:rPr>
      <w:rFonts w:eastAsia="Calibri" w:cstheme="minorHAnsi"/>
      <w:smallCaps/>
      <w:color w:val="000000" w:themeColor="text1"/>
      <w:kern w:val="32"/>
      <w:sz w:val="44"/>
      <w:szCs w:val="44"/>
      <w:lang w:eastAsia="en-AU"/>
    </w:rPr>
  </w:style>
  <w:style w:type="paragraph" w:styleId="Heading3">
    <w:name w:val="heading 3"/>
    <w:basedOn w:val="Normal"/>
    <w:next w:val="Normal"/>
    <w:link w:val="Heading3Char"/>
    <w:uiPriority w:val="9"/>
    <w:unhideWhenUsed/>
    <w:qFormat/>
    <w:rsid w:val="0021195E"/>
    <w:pPr>
      <w:keepNext/>
      <w:keepLines/>
      <w:spacing w:before="240" w:after="240"/>
      <w:outlineLvl w:val="2"/>
    </w:pPr>
    <w:rPr>
      <w:rFonts w:ascii="Arial Narrow" w:eastAsiaTheme="majorEastAsia" w:hAnsi="Arial Narrow" w:cstheme="majorBidi"/>
      <w:smallCaps/>
      <w:sz w:val="30"/>
      <w:szCs w:val="24"/>
    </w:rPr>
  </w:style>
  <w:style w:type="paragraph" w:styleId="Heading4">
    <w:name w:val="heading 4"/>
    <w:aliases w:val="Heading 4 numbered"/>
    <w:basedOn w:val="Normal"/>
    <w:next w:val="Normal"/>
    <w:link w:val="Heading4Char"/>
    <w:uiPriority w:val="9"/>
    <w:unhideWhenUsed/>
    <w:qFormat/>
    <w:rsid w:val="000C30A9"/>
    <w:pPr>
      <w:keepNext/>
      <w:keepLines/>
      <w:spacing w:before="240" w:after="240"/>
      <w:outlineLvl w:val="3"/>
    </w:pPr>
    <w:rPr>
      <w:rFonts w:ascii="Arial Narrow" w:eastAsiaTheme="majorEastAsia" w:hAnsi="Arial Narrow" w:cstheme="majorBidi"/>
      <w:b/>
      <w:iCs/>
      <w:smallCaps/>
      <w:sz w:val="26"/>
    </w:rPr>
  </w:style>
  <w:style w:type="paragraph" w:styleId="Heading5">
    <w:name w:val="heading 5"/>
    <w:basedOn w:val="Heading6"/>
    <w:next w:val="Normal"/>
    <w:link w:val="Heading5Char"/>
    <w:uiPriority w:val="9"/>
    <w:unhideWhenUsed/>
    <w:qFormat/>
    <w:rsid w:val="00FA3D87"/>
    <w:pPr>
      <w:keepLines w:val="0"/>
      <w:outlineLvl w:val="4"/>
    </w:pPr>
    <w:rPr>
      <w:rFonts w:ascii="Arial Narrow" w:eastAsia="Calibri" w:hAnsi="Arial Narrow"/>
      <w:i w:val="0"/>
      <w:iCs w:val="0"/>
      <w:smallCaps/>
      <w:szCs w:val="24"/>
      <w:lang w:eastAsia="en-AU"/>
    </w:rPr>
  </w:style>
  <w:style w:type="paragraph" w:styleId="Heading6">
    <w:name w:val="heading 6"/>
    <w:basedOn w:val="Heading7"/>
    <w:next w:val="Normal"/>
    <w:link w:val="Heading6Char"/>
    <w:uiPriority w:val="9"/>
    <w:unhideWhenUsed/>
    <w:qFormat/>
    <w:rsid w:val="005C7610"/>
    <w:pPr>
      <w:spacing w:before="220" w:after="220"/>
      <w:outlineLvl w:val="5"/>
    </w:pPr>
    <w:rPr>
      <w:rFonts w:ascii="Calibri" w:hAnsi="Calibri"/>
      <w:i/>
      <w:smallCaps w:val="0"/>
    </w:rPr>
  </w:style>
  <w:style w:type="paragraph" w:styleId="Heading7">
    <w:name w:val="heading 7"/>
    <w:basedOn w:val="Normal"/>
    <w:next w:val="Normal"/>
    <w:link w:val="Heading7Char"/>
    <w:uiPriority w:val="9"/>
    <w:unhideWhenUsed/>
    <w:qFormat/>
    <w:rsid w:val="00B27573"/>
    <w:pPr>
      <w:keepNext/>
      <w:keepLines/>
      <w:spacing w:before="240" w:after="240"/>
      <w:outlineLvl w:val="6"/>
    </w:pPr>
    <w:rPr>
      <w:rFonts w:eastAsiaTheme="majorEastAsia" w:cstheme="majorBidi"/>
      <w:iCs/>
      <w:smallCaps/>
    </w:rPr>
  </w:style>
  <w:style w:type="paragraph" w:styleId="Heading8">
    <w:name w:val="heading 8"/>
    <w:basedOn w:val="Normal"/>
    <w:next w:val="Normal"/>
    <w:link w:val="Heading8Char"/>
    <w:uiPriority w:val="9"/>
    <w:unhideWhenUsed/>
    <w:qFormat/>
    <w:rsid w:val="00713E5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13E5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08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846"/>
  </w:style>
  <w:style w:type="paragraph" w:styleId="Footer">
    <w:name w:val="footer"/>
    <w:basedOn w:val="Normal"/>
    <w:link w:val="FooterChar"/>
    <w:uiPriority w:val="99"/>
    <w:unhideWhenUsed/>
    <w:rsid w:val="000B08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846"/>
  </w:style>
  <w:style w:type="character" w:customStyle="1" w:styleId="Heading1Char">
    <w:name w:val="Heading 1 Char"/>
    <w:aliases w:val="numbered Char"/>
    <w:basedOn w:val="DefaultParagraphFont"/>
    <w:link w:val="Heading1"/>
    <w:uiPriority w:val="9"/>
    <w:rsid w:val="000B0846"/>
    <w:rPr>
      <w:rFonts w:ascii="Arial Narrow" w:eastAsiaTheme="majorEastAsia" w:hAnsi="Arial Narrow" w:cstheme="majorBidi"/>
      <w:smallCaps/>
      <w:sz w:val="42"/>
      <w:szCs w:val="32"/>
    </w:rPr>
  </w:style>
  <w:style w:type="character" w:customStyle="1" w:styleId="Heading2Char">
    <w:name w:val="Heading 2 Char"/>
    <w:basedOn w:val="DefaultParagraphFont"/>
    <w:link w:val="Heading2"/>
    <w:uiPriority w:val="9"/>
    <w:rsid w:val="00BA47E5"/>
    <w:rPr>
      <w:rFonts w:eastAsia="Calibri" w:cstheme="minorHAnsi"/>
      <w:smallCaps/>
      <w:color w:val="000000" w:themeColor="text1"/>
      <w:kern w:val="32"/>
      <w:sz w:val="44"/>
      <w:szCs w:val="44"/>
      <w:lang w:eastAsia="en-AU"/>
    </w:rPr>
  </w:style>
  <w:style w:type="character" w:customStyle="1" w:styleId="Heading3Char">
    <w:name w:val="Heading 3 Char"/>
    <w:basedOn w:val="DefaultParagraphFont"/>
    <w:link w:val="Heading3"/>
    <w:uiPriority w:val="9"/>
    <w:rsid w:val="0021195E"/>
    <w:rPr>
      <w:rFonts w:ascii="Arial Narrow" w:eastAsiaTheme="majorEastAsia" w:hAnsi="Arial Narrow" w:cstheme="majorBidi"/>
      <w:smallCaps/>
      <w:sz w:val="30"/>
      <w:szCs w:val="24"/>
    </w:rPr>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列出段,列出,列,lp1"/>
    <w:basedOn w:val="Normal"/>
    <w:link w:val="ListParagraphChar"/>
    <w:uiPriority w:val="34"/>
    <w:qFormat/>
    <w:rsid w:val="00F6072C"/>
    <w:pPr>
      <w:ind w:left="720"/>
      <w:contextualSpacing/>
    </w:pPr>
  </w:style>
  <w:style w:type="paragraph" w:styleId="BalloonText">
    <w:name w:val="Balloon Text"/>
    <w:basedOn w:val="Normal"/>
    <w:link w:val="BalloonTextChar"/>
    <w:semiHidden/>
    <w:unhideWhenUsed/>
    <w:rsid w:val="00713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713E5C"/>
    <w:rPr>
      <w:rFonts w:ascii="Segoe UI" w:hAnsi="Segoe UI" w:cs="Segoe UI"/>
      <w:sz w:val="18"/>
      <w:szCs w:val="18"/>
    </w:rPr>
  </w:style>
  <w:style w:type="paragraph" w:styleId="Bibliography">
    <w:name w:val="Bibliography"/>
    <w:basedOn w:val="Normal"/>
    <w:next w:val="Normal"/>
    <w:uiPriority w:val="37"/>
    <w:semiHidden/>
    <w:unhideWhenUsed/>
    <w:rsid w:val="00713E5C"/>
  </w:style>
  <w:style w:type="paragraph" w:styleId="BlockText">
    <w:name w:val="Block Text"/>
    <w:basedOn w:val="Normal"/>
    <w:uiPriority w:val="99"/>
    <w:semiHidden/>
    <w:unhideWhenUsed/>
    <w:rsid w:val="00713E5C"/>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713E5C"/>
    <w:pPr>
      <w:spacing w:after="120"/>
    </w:pPr>
  </w:style>
  <w:style w:type="character" w:customStyle="1" w:styleId="BodyTextChar">
    <w:name w:val="Body Text Char"/>
    <w:basedOn w:val="DefaultParagraphFont"/>
    <w:link w:val="BodyText"/>
    <w:uiPriority w:val="99"/>
    <w:rsid w:val="00713E5C"/>
  </w:style>
  <w:style w:type="paragraph" w:styleId="BodyText2">
    <w:name w:val="Body Text 2"/>
    <w:basedOn w:val="Normal"/>
    <w:link w:val="BodyText2Char"/>
    <w:uiPriority w:val="99"/>
    <w:semiHidden/>
    <w:unhideWhenUsed/>
    <w:rsid w:val="00713E5C"/>
    <w:pPr>
      <w:spacing w:after="120" w:line="480" w:lineRule="auto"/>
    </w:pPr>
  </w:style>
  <w:style w:type="character" w:customStyle="1" w:styleId="BodyText2Char">
    <w:name w:val="Body Text 2 Char"/>
    <w:basedOn w:val="DefaultParagraphFont"/>
    <w:link w:val="BodyText2"/>
    <w:uiPriority w:val="99"/>
    <w:semiHidden/>
    <w:rsid w:val="00713E5C"/>
  </w:style>
  <w:style w:type="paragraph" w:styleId="BodyText3">
    <w:name w:val="Body Text 3"/>
    <w:basedOn w:val="Normal"/>
    <w:link w:val="BodyText3Char"/>
    <w:uiPriority w:val="99"/>
    <w:semiHidden/>
    <w:unhideWhenUsed/>
    <w:rsid w:val="00713E5C"/>
    <w:pPr>
      <w:spacing w:after="120"/>
    </w:pPr>
    <w:rPr>
      <w:sz w:val="16"/>
      <w:szCs w:val="16"/>
    </w:rPr>
  </w:style>
  <w:style w:type="character" w:customStyle="1" w:styleId="BodyText3Char">
    <w:name w:val="Body Text 3 Char"/>
    <w:basedOn w:val="DefaultParagraphFont"/>
    <w:link w:val="BodyText3"/>
    <w:uiPriority w:val="99"/>
    <w:semiHidden/>
    <w:rsid w:val="00713E5C"/>
    <w:rPr>
      <w:sz w:val="16"/>
      <w:szCs w:val="16"/>
    </w:rPr>
  </w:style>
  <w:style w:type="paragraph" w:styleId="BodyTextFirstIndent">
    <w:name w:val="Body Text First Indent"/>
    <w:basedOn w:val="BodyText"/>
    <w:link w:val="BodyTextFirstIndentChar"/>
    <w:uiPriority w:val="99"/>
    <w:semiHidden/>
    <w:unhideWhenUsed/>
    <w:rsid w:val="00713E5C"/>
    <w:pPr>
      <w:spacing w:after="160"/>
      <w:ind w:firstLine="360"/>
    </w:pPr>
  </w:style>
  <w:style w:type="character" w:customStyle="1" w:styleId="BodyTextFirstIndentChar">
    <w:name w:val="Body Text First Indent Char"/>
    <w:basedOn w:val="BodyTextChar"/>
    <w:link w:val="BodyTextFirstIndent"/>
    <w:uiPriority w:val="99"/>
    <w:semiHidden/>
    <w:rsid w:val="00713E5C"/>
  </w:style>
  <w:style w:type="paragraph" w:styleId="BodyTextIndent">
    <w:name w:val="Body Text Indent"/>
    <w:basedOn w:val="Normal"/>
    <w:link w:val="BodyTextIndentChar"/>
    <w:unhideWhenUsed/>
    <w:rsid w:val="00713E5C"/>
    <w:pPr>
      <w:spacing w:after="120"/>
      <w:ind w:left="283"/>
    </w:pPr>
  </w:style>
  <w:style w:type="character" w:customStyle="1" w:styleId="BodyTextIndentChar">
    <w:name w:val="Body Text Indent Char"/>
    <w:basedOn w:val="DefaultParagraphFont"/>
    <w:link w:val="BodyTextIndent"/>
    <w:rsid w:val="00713E5C"/>
  </w:style>
  <w:style w:type="paragraph" w:styleId="BodyTextFirstIndent2">
    <w:name w:val="Body Text First Indent 2"/>
    <w:basedOn w:val="BodyTextIndent"/>
    <w:link w:val="BodyTextFirstIndent2Char"/>
    <w:uiPriority w:val="99"/>
    <w:semiHidden/>
    <w:unhideWhenUsed/>
    <w:rsid w:val="00713E5C"/>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713E5C"/>
  </w:style>
  <w:style w:type="paragraph" w:styleId="BodyTextIndent2">
    <w:name w:val="Body Text Indent 2"/>
    <w:basedOn w:val="Normal"/>
    <w:link w:val="BodyTextIndent2Char"/>
    <w:uiPriority w:val="99"/>
    <w:semiHidden/>
    <w:unhideWhenUsed/>
    <w:rsid w:val="00713E5C"/>
    <w:pPr>
      <w:spacing w:after="120" w:line="480" w:lineRule="auto"/>
      <w:ind w:left="283"/>
    </w:pPr>
  </w:style>
  <w:style w:type="character" w:customStyle="1" w:styleId="BodyTextIndent2Char">
    <w:name w:val="Body Text Indent 2 Char"/>
    <w:basedOn w:val="DefaultParagraphFont"/>
    <w:link w:val="BodyTextIndent2"/>
    <w:uiPriority w:val="99"/>
    <w:semiHidden/>
    <w:rsid w:val="00713E5C"/>
  </w:style>
  <w:style w:type="paragraph" w:styleId="BodyTextIndent3">
    <w:name w:val="Body Text Indent 3"/>
    <w:basedOn w:val="Normal"/>
    <w:link w:val="BodyTextIndent3Char"/>
    <w:uiPriority w:val="99"/>
    <w:semiHidden/>
    <w:unhideWhenUsed/>
    <w:rsid w:val="00713E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13E5C"/>
    <w:rPr>
      <w:sz w:val="16"/>
      <w:szCs w:val="16"/>
    </w:rPr>
  </w:style>
  <w:style w:type="paragraph" w:styleId="Caption">
    <w:name w:val="caption"/>
    <w:basedOn w:val="Normal"/>
    <w:next w:val="Normal"/>
    <w:unhideWhenUsed/>
    <w:qFormat/>
    <w:rsid w:val="00713E5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713E5C"/>
    <w:pPr>
      <w:spacing w:after="0" w:line="240" w:lineRule="auto"/>
      <w:ind w:left="4252"/>
    </w:pPr>
  </w:style>
  <w:style w:type="character" w:customStyle="1" w:styleId="ClosingChar">
    <w:name w:val="Closing Char"/>
    <w:basedOn w:val="DefaultParagraphFont"/>
    <w:link w:val="Closing"/>
    <w:uiPriority w:val="99"/>
    <w:semiHidden/>
    <w:rsid w:val="00713E5C"/>
  </w:style>
  <w:style w:type="paragraph" w:styleId="CommentText">
    <w:name w:val="annotation text"/>
    <w:basedOn w:val="Normal"/>
    <w:link w:val="CommentTextChar"/>
    <w:uiPriority w:val="99"/>
    <w:unhideWhenUsed/>
    <w:rsid w:val="00713E5C"/>
    <w:pPr>
      <w:spacing w:line="240" w:lineRule="auto"/>
    </w:pPr>
    <w:rPr>
      <w:sz w:val="20"/>
      <w:szCs w:val="20"/>
    </w:rPr>
  </w:style>
  <w:style w:type="character" w:customStyle="1" w:styleId="CommentTextChar">
    <w:name w:val="Comment Text Char"/>
    <w:basedOn w:val="DefaultParagraphFont"/>
    <w:link w:val="CommentText"/>
    <w:uiPriority w:val="99"/>
    <w:rsid w:val="00713E5C"/>
    <w:rPr>
      <w:sz w:val="20"/>
      <w:szCs w:val="20"/>
    </w:rPr>
  </w:style>
  <w:style w:type="paragraph" w:styleId="CommentSubject">
    <w:name w:val="annotation subject"/>
    <w:basedOn w:val="CommentText"/>
    <w:next w:val="CommentText"/>
    <w:link w:val="CommentSubjectChar"/>
    <w:uiPriority w:val="99"/>
    <w:unhideWhenUsed/>
    <w:rsid w:val="00713E5C"/>
    <w:rPr>
      <w:b/>
      <w:bCs/>
    </w:rPr>
  </w:style>
  <w:style w:type="character" w:customStyle="1" w:styleId="CommentSubjectChar">
    <w:name w:val="Comment Subject Char"/>
    <w:basedOn w:val="CommentTextChar"/>
    <w:link w:val="CommentSubject"/>
    <w:uiPriority w:val="99"/>
    <w:rsid w:val="00713E5C"/>
    <w:rPr>
      <w:b/>
      <w:bCs/>
      <w:sz w:val="20"/>
      <w:szCs w:val="20"/>
    </w:rPr>
  </w:style>
  <w:style w:type="paragraph" w:styleId="Date">
    <w:name w:val="Date"/>
    <w:basedOn w:val="Normal"/>
    <w:next w:val="Normal"/>
    <w:link w:val="DateChar"/>
    <w:uiPriority w:val="99"/>
    <w:unhideWhenUsed/>
    <w:rsid w:val="00713E5C"/>
  </w:style>
  <w:style w:type="character" w:customStyle="1" w:styleId="DateChar">
    <w:name w:val="Date Char"/>
    <w:basedOn w:val="DefaultParagraphFont"/>
    <w:link w:val="Date"/>
    <w:uiPriority w:val="99"/>
    <w:rsid w:val="00713E5C"/>
  </w:style>
  <w:style w:type="paragraph" w:styleId="DocumentMap">
    <w:name w:val="Document Map"/>
    <w:basedOn w:val="Normal"/>
    <w:link w:val="DocumentMapChar"/>
    <w:uiPriority w:val="99"/>
    <w:semiHidden/>
    <w:unhideWhenUsed/>
    <w:rsid w:val="00713E5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13E5C"/>
    <w:rPr>
      <w:rFonts w:ascii="Segoe UI" w:hAnsi="Segoe UI" w:cs="Segoe UI"/>
      <w:sz w:val="16"/>
      <w:szCs w:val="16"/>
    </w:rPr>
  </w:style>
  <w:style w:type="paragraph" w:styleId="E-mailSignature">
    <w:name w:val="E-mail Signature"/>
    <w:basedOn w:val="Normal"/>
    <w:link w:val="E-mailSignatureChar"/>
    <w:uiPriority w:val="99"/>
    <w:semiHidden/>
    <w:unhideWhenUsed/>
    <w:rsid w:val="00713E5C"/>
    <w:pPr>
      <w:spacing w:after="0" w:line="240" w:lineRule="auto"/>
    </w:pPr>
  </w:style>
  <w:style w:type="character" w:customStyle="1" w:styleId="E-mailSignatureChar">
    <w:name w:val="E-mail Signature Char"/>
    <w:basedOn w:val="DefaultParagraphFont"/>
    <w:link w:val="E-mailSignature"/>
    <w:uiPriority w:val="99"/>
    <w:semiHidden/>
    <w:rsid w:val="00713E5C"/>
  </w:style>
  <w:style w:type="paragraph" w:styleId="EndnoteText">
    <w:name w:val="endnote text"/>
    <w:basedOn w:val="Normal"/>
    <w:link w:val="EndnoteTextChar"/>
    <w:unhideWhenUsed/>
    <w:rsid w:val="00713E5C"/>
    <w:pPr>
      <w:spacing w:after="0" w:line="240" w:lineRule="auto"/>
    </w:pPr>
    <w:rPr>
      <w:sz w:val="20"/>
      <w:szCs w:val="20"/>
    </w:rPr>
  </w:style>
  <w:style w:type="character" w:customStyle="1" w:styleId="EndnoteTextChar">
    <w:name w:val="Endnote Text Char"/>
    <w:basedOn w:val="DefaultParagraphFont"/>
    <w:link w:val="EndnoteText"/>
    <w:rsid w:val="00713E5C"/>
    <w:rPr>
      <w:sz w:val="20"/>
      <w:szCs w:val="20"/>
    </w:rPr>
  </w:style>
  <w:style w:type="paragraph" w:styleId="EnvelopeAddress">
    <w:name w:val="envelope address"/>
    <w:basedOn w:val="Normal"/>
    <w:uiPriority w:val="99"/>
    <w:semiHidden/>
    <w:unhideWhenUsed/>
    <w:rsid w:val="00713E5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713E5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unhideWhenUsed/>
    <w:rsid w:val="00B32CDA"/>
    <w:pPr>
      <w:spacing w:after="0" w:line="240" w:lineRule="auto"/>
      <w:ind w:left="115" w:hanging="115"/>
    </w:pPr>
    <w:rPr>
      <w:sz w:val="20"/>
      <w:szCs w:val="20"/>
    </w:rPr>
  </w:style>
  <w:style w:type="character" w:customStyle="1" w:styleId="FootnoteTextChar">
    <w:name w:val="Footnote Text Char"/>
    <w:basedOn w:val="DefaultParagraphFont"/>
    <w:link w:val="FootnoteText"/>
    <w:uiPriority w:val="99"/>
    <w:rsid w:val="00B32CDA"/>
    <w:rPr>
      <w:sz w:val="20"/>
      <w:szCs w:val="20"/>
    </w:rPr>
  </w:style>
  <w:style w:type="character" w:customStyle="1" w:styleId="Heading4Char">
    <w:name w:val="Heading 4 Char"/>
    <w:aliases w:val="Heading 4 numbered Char"/>
    <w:basedOn w:val="DefaultParagraphFont"/>
    <w:link w:val="Heading4"/>
    <w:uiPriority w:val="9"/>
    <w:rsid w:val="000C30A9"/>
    <w:rPr>
      <w:rFonts w:ascii="Arial Narrow" w:eastAsiaTheme="majorEastAsia" w:hAnsi="Arial Narrow" w:cstheme="majorBidi"/>
      <w:b/>
      <w:iCs/>
      <w:smallCaps/>
      <w:sz w:val="26"/>
    </w:rPr>
  </w:style>
  <w:style w:type="character" w:customStyle="1" w:styleId="Heading5Char">
    <w:name w:val="Heading 5 Char"/>
    <w:basedOn w:val="DefaultParagraphFont"/>
    <w:link w:val="Heading5"/>
    <w:uiPriority w:val="9"/>
    <w:rsid w:val="00FA3D87"/>
    <w:rPr>
      <w:rFonts w:ascii="Arial Narrow" w:eastAsia="Calibri" w:hAnsi="Arial Narrow" w:cstheme="majorBidi"/>
      <w:smallCaps/>
      <w:szCs w:val="24"/>
      <w:lang w:eastAsia="en-AU"/>
    </w:rPr>
  </w:style>
  <w:style w:type="character" w:customStyle="1" w:styleId="Heading6Char">
    <w:name w:val="Heading 6 Char"/>
    <w:basedOn w:val="DefaultParagraphFont"/>
    <w:link w:val="Heading6"/>
    <w:uiPriority w:val="9"/>
    <w:rsid w:val="005C7610"/>
    <w:rPr>
      <w:rFonts w:ascii="Calibri" w:eastAsiaTheme="majorEastAsia" w:hAnsi="Calibri" w:cstheme="majorBidi"/>
      <w:i/>
      <w:iCs/>
    </w:rPr>
  </w:style>
  <w:style w:type="character" w:customStyle="1" w:styleId="Heading7Char">
    <w:name w:val="Heading 7 Char"/>
    <w:basedOn w:val="DefaultParagraphFont"/>
    <w:link w:val="Heading7"/>
    <w:uiPriority w:val="9"/>
    <w:rsid w:val="00B27573"/>
    <w:rPr>
      <w:rFonts w:eastAsiaTheme="majorEastAsia" w:cstheme="majorBidi"/>
      <w:iCs/>
      <w:smallCaps/>
    </w:rPr>
  </w:style>
  <w:style w:type="character" w:customStyle="1" w:styleId="Heading8Char">
    <w:name w:val="Heading 8 Char"/>
    <w:basedOn w:val="DefaultParagraphFont"/>
    <w:link w:val="Heading8"/>
    <w:semiHidden/>
    <w:rsid w:val="00713E5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713E5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713E5C"/>
    <w:pPr>
      <w:spacing w:after="0" w:line="240" w:lineRule="auto"/>
    </w:pPr>
    <w:rPr>
      <w:i/>
      <w:iCs/>
    </w:rPr>
  </w:style>
  <w:style w:type="character" w:customStyle="1" w:styleId="HTMLAddressChar">
    <w:name w:val="HTML Address Char"/>
    <w:basedOn w:val="DefaultParagraphFont"/>
    <w:link w:val="HTMLAddress"/>
    <w:uiPriority w:val="99"/>
    <w:semiHidden/>
    <w:rsid w:val="00713E5C"/>
    <w:rPr>
      <w:i/>
      <w:iCs/>
    </w:rPr>
  </w:style>
  <w:style w:type="paragraph" w:styleId="HTMLPreformatted">
    <w:name w:val="HTML Preformatted"/>
    <w:basedOn w:val="Normal"/>
    <w:link w:val="HTMLPreformattedChar"/>
    <w:uiPriority w:val="99"/>
    <w:semiHidden/>
    <w:unhideWhenUsed/>
    <w:rsid w:val="00713E5C"/>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713E5C"/>
    <w:rPr>
      <w:rFonts w:ascii="Consolas" w:hAnsi="Consolas" w:cs="Consolas"/>
      <w:sz w:val="20"/>
      <w:szCs w:val="20"/>
    </w:rPr>
  </w:style>
  <w:style w:type="paragraph" w:styleId="Index1">
    <w:name w:val="index 1"/>
    <w:basedOn w:val="Normal"/>
    <w:next w:val="Normal"/>
    <w:autoRedefine/>
    <w:uiPriority w:val="99"/>
    <w:semiHidden/>
    <w:unhideWhenUsed/>
    <w:rsid w:val="00713E5C"/>
    <w:pPr>
      <w:spacing w:after="0" w:line="240" w:lineRule="auto"/>
      <w:ind w:left="220" w:hanging="220"/>
    </w:pPr>
  </w:style>
  <w:style w:type="paragraph" w:styleId="Index2">
    <w:name w:val="index 2"/>
    <w:basedOn w:val="Normal"/>
    <w:next w:val="Normal"/>
    <w:autoRedefine/>
    <w:uiPriority w:val="99"/>
    <w:semiHidden/>
    <w:unhideWhenUsed/>
    <w:rsid w:val="00713E5C"/>
    <w:pPr>
      <w:spacing w:after="0" w:line="240" w:lineRule="auto"/>
      <w:ind w:left="440" w:hanging="220"/>
    </w:pPr>
  </w:style>
  <w:style w:type="paragraph" w:styleId="Index3">
    <w:name w:val="index 3"/>
    <w:basedOn w:val="Normal"/>
    <w:next w:val="Normal"/>
    <w:autoRedefine/>
    <w:uiPriority w:val="99"/>
    <w:semiHidden/>
    <w:unhideWhenUsed/>
    <w:rsid w:val="00713E5C"/>
    <w:pPr>
      <w:spacing w:after="0" w:line="240" w:lineRule="auto"/>
      <w:ind w:left="660" w:hanging="220"/>
    </w:pPr>
  </w:style>
  <w:style w:type="paragraph" w:styleId="Index4">
    <w:name w:val="index 4"/>
    <w:basedOn w:val="Normal"/>
    <w:next w:val="Normal"/>
    <w:autoRedefine/>
    <w:uiPriority w:val="99"/>
    <w:semiHidden/>
    <w:unhideWhenUsed/>
    <w:rsid w:val="00713E5C"/>
    <w:pPr>
      <w:spacing w:after="0" w:line="240" w:lineRule="auto"/>
      <w:ind w:left="880" w:hanging="220"/>
    </w:pPr>
  </w:style>
  <w:style w:type="paragraph" w:styleId="Index5">
    <w:name w:val="index 5"/>
    <w:basedOn w:val="Normal"/>
    <w:next w:val="Normal"/>
    <w:autoRedefine/>
    <w:uiPriority w:val="99"/>
    <w:semiHidden/>
    <w:unhideWhenUsed/>
    <w:rsid w:val="00713E5C"/>
    <w:pPr>
      <w:spacing w:after="0" w:line="240" w:lineRule="auto"/>
      <w:ind w:left="1100" w:hanging="220"/>
    </w:pPr>
  </w:style>
  <w:style w:type="paragraph" w:styleId="Index6">
    <w:name w:val="index 6"/>
    <w:basedOn w:val="Normal"/>
    <w:next w:val="Normal"/>
    <w:autoRedefine/>
    <w:uiPriority w:val="99"/>
    <w:semiHidden/>
    <w:unhideWhenUsed/>
    <w:rsid w:val="00713E5C"/>
    <w:pPr>
      <w:spacing w:after="0" w:line="240" w:lineRule="auto"/>
      <w:ind w:left="1320" w:hanging="220"/>
    </w:pPr>
  </w:style>
  <w:style w:type="paragraph" w:styleId="Index7">
    <w:name w:val="index 7"/>
    <w:basedOn w:val="Normal"/>
    <w:next w:val="Normal"/>
    <w:autoRedefine/>
    <w:uiPriority w:val="99"/>
    <w:semiHidden/>
    <w:unhideWhenUsed/>
    <w:rsid w:val="00713E5C"/>
    <w:pPr>
      <w:spacing w:after="0" w:line="240" w:lineRule="auto"/>
      <w:ind w:left="1540" w:hanging="220"/>
    </w:pPr>
  </w:style>
  <w:style w:type="paragraph" w:styleId="Index8">
    <w:name w:val="index 8"/>
    <w:basedOn w:val="Normal"/>
    <w:next w:val="Normal"/>
    <w:autoRedefine/>
    <w:uiPriority w:val="99"/>
    <w:semiHidden/>
    <w:unhideWhenUsed/>
    <w:rsid w:val="00713E5C"/>
    <w:pPr>
      <w:spacing w:after="0" w:line="240" w:lineRule="auto"/>
      <w:ind w:left="1760" w:hanging="220"/>
    </w:pPr>
  </w:style>
  <w:style w:type="paragraph" w:styleId="Index9">
    <w:name w:val="index 9"/>
    <w:basedOn w:val="Normal"/>
    <w:next w:val="Normal"/>
    <w:autoRedefine/>
    <w:uiPriority w:val="99"/>
    <w:semiHidden/>
    <w:unhideWhenUsed/>
    <w:rsid w:val="00713E5C"/>
    <w:pPr>
      <w:spacing w:after="0" w:line="240" w:lineRule="auto"/>
      <w:ind w:left="1980" w:hanging="220"/>
    </w:pPr>
  </w:style>
  <w:style w:type="paragraph" w:styleId="IndexHeading">
    <w:name w:val="index heading"/>
    <w:basedOn w:val="Normal"/>
    <w:next w:val="Index1"/>
    <w:uiPriority w:val="99"/>
    <w:semiHidden/>
    <w:unhideWhenUsed/>
    <w:rsid w:val="00713E5C"/>
    <w:rPr>
      <w:rFonts w:asciiTheme="majorHAnsi" w:eastAsiaTheme="majorEastAsia" w:hAnsiTheme="majorHAnsi" w:cstheme="majorBidi"/>
      <w:b/>
      <w:bCs/>
    </w:rPr>
  </w:style>
  <w:style w:type="paragraph" w:styleId="IntenseQuote">
    <w:name w:val="Intense Quote"/>
    <w:basedOn w:val="Normal"/>
    <w:next w:val="Normal"/>
    <w:link w:val="IntenseQuoteChar"/>
    <w:uiPriority w:val="30"/>
    <w:rsid w:val="00713E5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713E5C"/>
    <w:rPr>
      <w:i/>
      <w:iCs/>
      <w:color w:val="5B9BD5" w:themeColor="accent1"/>
    </w:rPr>
  </w:style>
  <w:style w:type="paragraph" w:styleId="List">
    <w:name w:val="List"/>
    <w:basedOn w:val="Normal"/>
    <w:uiPriority w:val="99"/>
    <w:semiHidden/>
    <w:unhideWhenUsed/>
    <w:rsid w:val="00713E5C"/>
    <w:pPr>
      <w:ind w:left="283" w:hanging="283"/>
      <w:contextualSpacing/>
    </w:pPr>
  </w:style>
  <w:style w:type="paragraph" w:styleId="List2">
    <w:name w:val="List 2"/>
    <w:basedOn w:val="Normal"/>
    <w:uiPriority w:val="99"/>
    <w:semiHidden/>
    <w:unhideWhenUsed/>
    <w:rsid w:val="00713E5C"/>
    <w:pPr>
      <w:ind w:left="566" w:hanging="283"/>
      <w:contextualSpacing/>
    </w:pPr>
  </w:style>
  <w:style w:type="paragraph" w:styleId="List3">
    <w:name w:val="List 3"/>
    <w:basedOn w:val="Normal"/>
    <w:uiPriority w:val="99"/>
    <w:semiHidden/>
    <w:unhideWhenUsed/>
    <w:rsid w:val="00713E5C"/>
    <w:pPr>
      <w:ind w:left="849" w:hanging="283"/>
      <w:contextualSpacing/>
    </w:pPr>
  </w:style>
  <w:style w:type="paragraph" w:styleId="List4">
    <w:name w:val="List 4"/>
    <w:basedOn w:val="Normal"/>
    <w:uiPriority w:val="99"/>
    <w:semiHidden/>
    <w:unhideWhenUsed/>
    <w:rsid w:val="00713E5C"/>
    <w:pPr>
      <w:ind w:left="1132" w:hanging="283"/>
      <w:contextualSpacing/>
    </w:pPr>
  </w:style>
  <w:style w:type="paragraph" w:styleId="List5">
    <w:name w:val="List 5"/>
    <w:basedOn w:val="Normal"/>
    <w:uiPriority w:val="99"/>
    <w:semiHidden/>
    <w:unhideWhenUsed/>
    <w:rsid w:val="00713E5C"/>
    <w:pPr>
      <w:ind w:left="1415" w:hanging="283"/>
      <w:contextualSpacing/>
    </w:pPr>
  </w:style>
  <w:style w:type="paragraph" w:styleId="ListBullet">
    <w:name w:val="List Bullet"/>
    <w:basedOn w:val="Normal"/>
    <w:uiPriority w:val="99"/>
    <w:unhideWhenUsed/>
    <w:rsid w:val="00713E5C"/>
    <w:pPr>
      <w:numPr>
        <w:numId w:val="1"/>
      </w:numPr>
      <w:contextualSpacing/>
    </w:pPr>
  </w:style>
  <w:style w:type="paragraph" w:styleId="ListBullet2">
    <w:name w:val="List Bullet 2"/>
    <w:basedOn w:val="Normal"/>
    <w:uiPriority w:val="99"/>
    <w:semiHidden/>
    <w:unhideWhenUsed/>
    <w:rsid w:val="00713E5C"/>
    <w:pPr>
      <w:numPr>
        <w:numId w:val="2"/>
      </w:numPr>
      <w:contextualSpacing/>
    </w:pPr>
  </w:style>
  <w:style w:type="paragraph" w:styleId="ListBullet3">
    <w:name w:val="List Bullet 3"/>
    <w:basedOn w:val="Normal"/>
    <w:uiPriority w:val="99"/>
    <w:semiHidden/>
    <w:unhideWhenUsed/>
    <w:rsid w:val="00713E5C"/>
    <w:pPr>
      <w:numPr>
        <w:numId w:val="3"/>
      </w:numPr>
      <w:contextualSpacing/>
    </w:pPr>
  </w:style>
  <w:style w:type="paragraph" w:styleId="ListBullet4">
    <w:name w:val="List Bullet 4"/>
    <w:basedOn w:val="Normal"/>
    <w:uiPriority w:val="99"/>
    <w:semiHidden/>
    <w:unhideWhenUsed/>
    <w:rsid w:val="00713E5C"/>
    <w:pPr>
      <w:numPr>
        <w:numId w:val="4"/>
      </w:numPr>
      <w:contextualSpacing/>
    </w:pPr>
  </w:style>
  <w:style w:type="paragraph" w:styleId="ListBullet5">
    <w:name w:val="List Bullet 5"/>
    <w:basedOn w:val="Normal"/>
    <w:uiPriority w:val="99"/>
    <w:semiHidden/>
    <w:unhideWhenUsed/>
    <w:rsid w:val="00713E5C"/>
    <w:pPr>
      <w:numPr>
        <w:numId w:val="5"/>
      </w:numPr>
      <w:contextualSpacing/>
    </w:pPr>
  </w:style>
  <w:style w:type="paragraph" w:styleId="ListContinue">
    <w:name w:val="List Continue"/>
    <w:basedOn w:val="Normal"/>
    <w:uiPriority w:val="99"/>
    <w:semiHidden/>
    <w:unhideWhenUsed/>
    <w:rsid w:val="00713E5C"/>
    <w:pPr>
      <w:spacing w:after="120"/>
      <w:ind w:left="283"/>
      <w:contextualSpacing/>
    </w:pPr>
  </w:style>
  <w:style w:type="paragraph" w:styleId="ListContinue2">
    <w:name w:val="List Continue 2"/>
    <w:basedOn w:val="Normal"/>
    <w:uiPriority w:val="99"/>
    <w:semiHidden/>
    <w:unhideWhenUsed/>
    <w:rsid w:val="00713E5C"/>
    <w:pPr>
      <w:spacing w:after="120"/>
      <w:ind w:left="566"/>
      <w:contextualSpacing/>
    </w:pPr>
  </w:style>
  <w:style w:type="paragraph" w:styleId="ListContinue3">
    <w:name w:val="List Continue 3"/>
    <w:basedOn w:val="Normal"/>
    <w:uiPriority w:val="99"/>
    <w:semiHidden/>
    <w:unhideWhenUsed/>
    <w:rsid w:val="00713E5C"/>
    <w:pPr>
      <w:spacing w:after="120"/>
      <w:ind w:left="849"/>
      <w:contextualSpacing/>
    </w:pPr>
  </w:style>
  <w:style w:type="paragraph" w:styleId="ListContinue4">
    <w:name w:val="List Continue 4"/>
    <w:basedOn w:val="Normal"/>
    <w:uiPriority w:val="99"/>
    <w:semiHidden/>
    <w:unhideWhenUsed/>
    <w:rsid w:val="00713E5C"/>
    <w:pPr>
      <w:spacing w:after="120"/>
      <w:ind w:left="1132"/>
      <w:contextualSpacing/>
    </w:pPr>
  </w:style>
  <w:style w:type="paragraph" w:styleId="ListContinue5">
    <w:name w:val="List Continue 5"/>
    <w:basedOn w:val="Normal"/>
    <w:uiPriority w:val="99"/>
    <w:semiHidden/>
    <w:unhideWhenUsed/>
    <w:rsid w:val="00713E5C"/>
    <w:pPr>
      <w:spacing w:after="120"/>
      <w:ind w:left="1415"/>
      <w:contextualSpacing/>
    </w:pPr>
  </w:style>
  <w:style w:type="paragraph" w:styleId="ListNumber">
    <w:name w:val="List Number"/>
    <w:aliases w:val="List Alpha"/>
    <w:basedOn w:val="Normal"/>
    <w:uiPriority w:val="99"/>
    <w:unhideWhenUsed/>
    <w:qFormat/>
    <w:rsid w:val="00713E5C"/>
    <w:pPr>
      <w:numPr>
        <w:numId w:val="6"/>
      </w:numPr>
      <w:contextualSpacing/>
    </w:pPr>
  </w:style>
  <w:style w:type="paragraph" w:styleId="ListNumber2">
    <w:name w:val="List Number 2"/>
    <w:basedOn w:val="Normal"/>
    <w:uiPriority w:val="99"/>
    <w:unhideWhenUsed/>
    <w:rsid w:val="00713E5C"/>
    <w:pPr>
      <w:numPr>
        <w:numId w:val="7"/>
      </w:numPr>
      <w:contextualSpacing/>
    </w:pPr>
  </w:style>
  <w:style w:type="paragraph" w:styleId="ListNumber3">
    <w:name w:val="List Number 3"/>
    <w:basedOn w:val="Normal"/>
    <w:uiPriority w:val="99"/>
    <w:semiHidden/>
    <w:unhideWhenUsed/>
    <w:rsid w:val="00713E5C"/>
    <w:pPr>
      <w:numPr>
        <w:numId w:val="8"/>
      </w:numPr>
      <w:contextualSpacing/>
    </w:pPr>
  </w:style>
  <w:style w:type="paragraph" w:styleId="ListNumber4">
    <w:name w:val="List Number 4"/>
    <w:basedOn w:val="Normal"/>
    <w:uiPriority w:val="99"/>
    <w:semiHidden/>
    <w:unhideWhenUsed/>
    <w:rsid w:val="00713E5C"/>
    <w:pPr>
      <w:numPr>
        <w:numId w:val="9"/>
      </w:numPr>
      <w:contextualSpacing/>
    </w:pPr>
  </w:style>
  <w:style w:type="paragraph" w:styleId="ListNumber5">
    <w:name w:val="List Number 5"/>
    <w:basedOn w:val="Normal"/>
    <w:uiPriority w:val="99"/>
    <w:semiHidden/>
    <w:unhideWhenUsed/>
    <w:rsid w:val="00713E5C"/>
    <w:pPr>
      <w:numPr>
        <w:numId w:val="10"/>
      </w:numPr>
      <w:contextualSpacing/>
    </w:pPr>
  </w:style>
  <w:style w:type="paragraph" w:styleId="MacroText">
    <w:name w:val="macro"/>
    <w:link w:val="MacroTextChar"/>
    <w:uiPriority w:val="99"/>
    <w:semiHidden/>
    <w:unhideWhenUsed/>
    <w:rsid w:val="00713E5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713E5C"/>
    <w:rPr>
      <w:rFonts w:ascii="Consolas" w:hAnsi="Consolas" w:cs="Consolas"/>
      <w:sz w:val="20"/>
      <w:szCs w:val="20"/>
    </w:rPr>
  </w:style>
  <w:style w:type="paragraph" w:styleId="MessageHeader">
    <w:name w:val="Message Header"/>
    <w:basedOn w:val="Normal"/>
    <w:link w:val="MessageHeaderChar"/>
    <w:uiPriority w:val="99"/>
    <w:semiHidden/>
    <w:unhideWhenUsed/>
    <w:rsid w:val="00713E5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713E5C"/>
    <w:rPr>
      <w:rFonts w:asciiTheme="majorHAnsi" w:eastAsiaTheme="majorEastAsia" w:hAnsiTheme="majorHAnsi" w:cstheme="majorBidi"/>
      <w:sz w:val="24"/>
      <w:szCs w:val="24"/>
      <w:shd w:val="pct20" w:color="auto" w:fill="auto"/>
    </w:rPr>
  </w:style>
  <w:style w:type="paragraph" w:styleId="NoSpacing">
    <w:name w:val="No Spacing"/>
    <w:uiPriority w:val="1"/>
    <w:qFormat/>
    <w:rsid w:val="00713E5C"/>
    <w:pPr>
      <w:spacing w:after="0" w:line="240" w:lineRule="auto"/>
    </w:pPr>
  </w:style>
  <w:style w:type="paragraph" w:styleId="NormalWeb">
    <w:name w:val="Normal (Web)"/>
    <w:basedOn w:val="Normal"/>
    <w:uiPriority w:val="99"/>
    <w:unhideWhenUsed/>
    <w:rsid w:val="00713E5C"/>
    <w:rPr>
      <w:rFonts w:ascii="Times New Roman" w:hAnsi="Times New Roman" w:cs="Times New Roman"/>
      <w:sz w:val="24"/>
      <w:szCs w:val="24"/>
    </w:rPr>
  </w:style>
  <w:style w:type="paragraph" w:styleId="NormalIndent">
    <w:name w:val="Normal Indent"/>
    <w:basedOn w:val="Normal"/>
    <w:uiPriority w:val="99"/>
    <w:semiHidden/>
    <w:unhideWhenUsed/>
    <w:rsid w:val="00713E5C"/>
    <w:pPr>
      <w:ind w:left="720"/>
    </w:pPr>
  </w:style>
  <w:style w:type="paragraph" w:styleId="NoteHeading">
    <w:name w:val="Note Heading"/>
    <w:basedOn w:val="Normal"/>
    <w:next w:val="Normal"/>
    <w:link w:val="NoteHeadingChar"/>
    <w:uiPriority w:val="99"/>
    <w:semiHidden/>
    <w:unhideWhenUsed/>
    <w:rsid w:val="00713E5C"/>
    <w:pPr>
      <w:spacing w:after="0" w:line="240" w:lineRule="auto"/>
    </w:pPr>
  </w:style>
  <w:style w:type="character" w:customStyle="1" w:styleId="NoteHeadingChar">
    <w:name w:val="Note Heading Char"/>
    <w:basedOn w:val="DefaultParagraphFont"/>
    <w:link w:val="NoteHeading"/>
    <w:uiPriority w:val="99"/>
    <w:semiHidden/>
    <w:rsid w:val="00713E5C"/>
  </w:style>
  <w:style w:type="paragraph" w:styleId="PlainText">
    <w:name w:val="Plain Text"/>
    <w:basedOn w:val="Normal"/>
    <w:link w:val="PlainTextChar"/>
    <w:uiPriority w:val="99"/>
    <w:unhideWhenUsed/>
    <w:rsid w:val="00713E5C"/>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713E5C"/>
    <w:rPr>
      <w:rFonts w:ascii="Consolas" w:hAnsi="Consolas" w:cs="Consolas"/>
      <w:sz w:val="21"/>
      <w:szCs w:val="21"/>
    </w:rPr>
  </w:style>
  <w:style w:type="paragraph" w:styleId="Quote">
    <w:name w:val="Quote"/>
    <w:basedOn w:val="Normal"/>
    <w:next w:val="Normal"/>
    <w:link w:val="QuoteChar"/>
    <w:uiPriority w:val="29"/>
    <w:qFormat/>
    <w:rsid w:val="00ED4734"/>
    <w:pPr>
      <w:ind w:left="709"/>
    </w:pPr>
  </w:style>
  <w:style w:type="character" w:customStyle="1" w:styleId="QuoteChar">
    <w:name w:val="Quote Char"/>
    <w:basedOn w:val="DefaultParagraphFont"/>
    <w:link w:val="Quote"/>
    <w:uiPriority w:val="29"/>
    <w:rsid w:val="00ED4734"/>
  </w:style>
  <w:style w:type="paragraph" w:styleId="Salutation">
    <w:name w:val="Salutation"/>
    <w:basedOn w:val="Normal"/>
    <w:next w:val="Normal"/>
    <w:link w:val="SalutationChar"/>
    <w:uiPriority w:val="99"/>
    <w:semiHidden/>
    <w:unhideWhenUsed/>
    <w:rsid w:val="00713E5C"/>
  </w:style>
  <w:style w:type="character" w:customStyle="1" w:styleId="SalutationChar">
    <w:name w:val="Salutation Char"/>
    <w:basedOn w:val="DefaultParagraphFont"/>
    <w:link w:val="Salutation"/>
    <w:uiPriority w:val="99"/>
    <w:semiHidden/>
    <w:rsid w:val="00713E5C"/>
  </w:style>
  <w:style w:type="paragraph" w:styleId="Signature">
    <w:name w:val="Signature"/>
    <w:basedOn w:val="Normal"/>
    <w:link w:val="SignatureChar"/>
    <w:uiPriority w:val="99"/>
    <w:semiHidden/>
    <w:unhideWhenUsed/>
    <w:rsid w:val="00713E5C"/>
    <w:pPr>
      <w:spacing w:after="0" w:line="240" w:lineRule="auto"/>
      <w:ind w:left="4252"/>
    </w:pPr>
  </w:style>
  <w:style w:type="character" w:customStyle="1" w:styleId="SignatureChar">
    <w:name w:val="Signature Char"/>
    <w:basedOn w:val="DefaultParagraphFont"/>
    <w:link w:val="Signature"/>
    <w:uiPriority w:val="99"/>
    <w:semiHidden/>
    <w:rsid w:val="00713E5C"/>
  </w:style>
  <w:style w:type="paragraph" w:styleId="Subtitle">
    <w:name w:val="Subtitle"/>
    <w:basedOn w:val="Normal"/>
    <w:next w:val="Normal"/>
    <w:link w:val="SubtitleChar"/>
    <w:uiPriority w:val="11"/>
    <w:rsid w:val="00713E5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3E5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713E5C"/>
    <w:pPr>
      <w:spacing w:after="0"/>
      <w:ind w:left="220" w:hanging="220"/>
    </w:pPr>
  </w:style>
  <w:style w:type="paragraph" w:styleId="TableofFigures">
    <w:name w:val="table of figures"/>
    <w:basedOn w:val="Normal"/>
    <w:next w:val="Normal"/>
    <w:uiPriority w:val="99"/>
    <w:semiHidden/>
    <w:unhideWhenUsed/>
    <w:rsid w:val="00713E5C"/>
    <w:pPr>
      <w:spacing w:after="0"/>
    </w:pPr>
  </w:style>
  <w:style w:type="paragraph" w:styleId="Title">
    <w:name w:val="Title"/>
    <w:basedOn w:val="Normal"/>
    <w:next w:val="Normal"/>
    <w:link w:val="TitleChar"/>
    <w:uiPriority w:val="10"/>
    <w:rsid w:val="00713E5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3E5C"/>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713E5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F123A"/>
    <w:pPr>
      <w:tabs>
        <w:tab w:val="right" w:leader="dot" w:pos="9061"/>
      </w:tabs>
      <w:spacing w:before="240" w:after="40" w:line="312" w:lineRule="auto"/>
      <w:ind w:left="288" w:hanging="288"/>
    </w:pPr>
    <w:rPr>
      <w:rFonts w:ascii="Calibri" w:eastAsia="Times New Roman" w:hAnsi="Calibri" w:cs="Times New Roman"/>
      <w:bCs/>
      <w:smallCaps/>
      <w:noProof/>
      <w:spacing w:val="40"/>
      <w:sz w:val="28"/>
      <w:szCs w:val="28"/>
    </w:rPr>
  </w:style>
  <w:style w:type="paragraph" w:styleId="TOC2">
    <w:name w:val="toc 2"/>
    <w:basedOn w:val="Normal"/>
    <w:next w:val="Normal"/>
    <w:autoRedefine/>
    <w:uiPriority w:val="39"/>
    <w:unhideWhenUsed/>
    <w:rsid w:val="00EB384D"/>
    <w:pPr>
      <w:tabs>
        <w:tab w:val="right" w:leader="dot" w:pos="9061"/>
      </w:tabs>
      <w:spacing w:before="120" w:after="0" w:line="240" w:lineRule="auto"/>
      <w:ind w:left="850" w:hanging="562"/>
    </w:pPr>
    <w:rPr>
      <w:rFonts w:ascii="Calibri" w:eastAsia="Times New Roman" w:hAnsi="Calibri" w:cs="Times New Roman"/>
      <w:b/>
      <w:sz w:val="24"/>
      <w:szCs w:val="24"/>
    </w:rPr>
  </w:style>
  <w:style w:type="paragraph" w:styleId="TOC3">
    <w:name w:val="toc 3"/>
    <w:basedOn w:val="Normal"/>
    <w:next w:val="Normal"/>
    <w:autoRedefine/>
    <w:uiPriority w:val="39"/>
    <w:unhideWhenUsed/>
    <w:rsid w:val="00014921"/>
    <w:pPr>
      <w:tabs>
        <w:tab w:val="right" w:leader="dot" w:pos="9016"/>
      </w:tabs>
      <w:spacing w:before="120" w:after="120" w:line="240" w:lineRule="auto"/>
      <w:ind w:left="692"/>
    </w:pPr>
    <w:rPr>
      <w:rFonts w:eastAsia="Times New Roman"/>
      <w:smallCaps/>
      <w:noProof/>
    </w:rPr>
  </w:style>
  <w:style w:type="paragraph" w:styleId="TOC4">
    <w:name w:val="toc 4"/>
    <w:basedOn w:val="Normal"/>
    <w:next w:val="Normal"/>
    <w:autoRedefine/>
    <w:unhideWhenUsed/>
    <w:rsid w:val="0097778C"/>
    <w:pPr>
      <w:tabs>
        <w:tab w:val="right" w:leader="dot" w:pos="9016"/>
      </w:tabs>
      <w:spacing w:beforeLines="100" w:afterLines="100" w:line="240" w:lineRule="auto"/>
      <w:ind w:left="658"/>
    </w:pPr>
    <w:rPr>
      <w:rFonts w:ascii="Arial Narrow" w:hAnsi="Arial Narrow"/>
      <w:b/>
      <w:noProof/>
      <w:sz w:val="24"/>
    </w:rPr>
  </w:style>
  <w:style w:type="paragraph" w:styleId="TOC5">
    <w:name w:val="toc 5"/>
    <w:basedOn w:val="Normal"/>
    <w:next w:val="Normal"/>
    <w:autoRedefine/>
    <w:uiPriority w:val="39"/>
    <w:semiHidden/>
    <w:unhideWhenUsed/>
    <w:rsid w:val="00713E5C"/>
    <w:pPr>
      <w:spacing w:after="100"/>
      <w:ind w:left="880"/>
    </w:pPr>
  </w:style>
  <w:style w:type="paragraph" w:styleId="TOC6">
    <w:name w:val="toc 6"/>
    <w:basedOn w:val="Normal"/>
    <w:next w:val="Normal"/>
    <w:autoRedefine/>
    <w:uiPriority w:val="39"/>
    <w:semiHidden/>
    <w:unhideWhenUsed/>
    <w:rsid w:val="00713E5C"/>
    <w:pPr>
      <w:spacing w:after="100"/>
      <w:ind w:left="1100"/>
    </w:pPr>
  </w:style>
  <w:style w:type="paragraph" w:styleId="TOC7">
    <w:name w:val="toc 7"/>
    <w:basedOn w:val="Normal"/>
    <w:next w:val="Normal"/>
    <w:autoRedefine/>
    <w:uiPriority w:val="39"/>
    <w:semiHidden/>
    <w:unhideWhenUsed/>
    <w:rsid w:val="00713E5C"/>
    <w:pPr>
      <w:spacing w:after="100"/>
      <w:ind w:left="1320"/>
    </w:pPr>
  </w:style>
  <w:style w:type="paragraph" w:styleId="TOC8">
    <w:name w:val="toc 8"/>
    <w:basedOn w:val="Normal"/>
    <w:next w:val="Normal"/>
    <w:autoRedefine/>
    <w:uiPriority w:val="39"/>
    <w:semiHidden/>
    <w:unhideWhenUsed/>
    <w:rsid w:val="00713E5C"/>
    <w:pPr>
      <w:spacing w:after="100"/>
      <w:ind w:left="1540"/>
    </w:pPr>
  </w:style>
  <w:style w:type="paragraph" w:styleId="TOC9">
    <w:name w:val="toc 9"/>
    <w:basedOn w:val="Normal"/>
    <w:next w:val="Normal"/>
    <w:autoRedefine/>
    <w:uiPriority w:val="39"/>
    <w:semiHidden/>
    <w:unhideWhenUsed/>
    <w:rsid w:val="00713E5C"/>
    <w:pPr>
      <w:spacing w:after="100"/>
      <w:ind w:left="1760"/>
    </w:pPr>
  </w:style>
  <w:style w:type="paragraph" w:styleId="TOCHeading">
    <w:name w:val="TOC Heading"/>
    <w:basedOn w:val="Heading1"/>
    <w:next w:val="Normal"/>
    <w:unhideWhenUsed/>
    <w:qFormat/>
    <w:rsid w:val="00116E9B"/>
    <w:pPr>
      <w:spacing w:before="240" w:after="240"/>
      <w:jc w:val="left"/>
      <w:outlineLvl w:val="9"/>
    </w:pPr>
    <w:rPr>
      <w:smallCaps w:val="0"/>
      <w:sz w:val="30"/>
    </w:rPr>
  </w:style>
  <w:style w:type="character" w:styleId="Hyperlink">
    <w:name w:val="Hyperlink"/>
    <w:basedOn w:val="DefaultParagraphFont"/>
    <w:uiPriority w:val="99"/>
    <w:unhideWhenUsed/>
    <w:rsid w:val="00AD53EA"/>
    <w:rPr>
      <w:color w:val="0000FF"/>
    </w:rPr>
  </w:style>
  <w:style w:type="character" w:styleId="FootnoteReference">
    <w:name w:val="footnote reference"/>
    <w:aliases w:val="Footnote number,Footnotes refss"/>
    <w:basedOn w:val="DefaultParagraphFont"/>
    <w:uiPriority w:val="99"/>
    <w:unhideWhenUsed/>
    <w:rsid w:val="006013DE"/>
    <w:rPr>
      <w:vertAlign w:val="superscript"/>
    </w:rPr>
  </w:style>
  <w:style w:type="character" w:styleId="Strong">
    <w:name w:val="Strong"/>
    <w:basedOn w:val="DefaultParagraphFont"/>
    <w:qFormat/>
    <w:rsid w:val="00034ADC"/>
    <w:rPr>
      <w:b/>
      <w:bCs/>
    </w:rPr>
  </w:style>
  <w:style w:type="paragraph" w:customStyle="1" w:styleId="Bodycopy">
    <w:name w:val="Body copy"/>
    <w:qFormat/>
    <w:rsid w:val="00133AB1"/>
    <w:pPr>
      <w:widowControl w:val="0"/>
      <w:tabs>
        <w:tab w:val="left" w:pos="1276"/>
      </w:tabs>
      <w:spacing w:before="240" w:after="240" w:line="300" w:lineRule="exact"/>
    </w:pPr>
    <w:rPr>
      <w:rFonts w:ascii="Calibri" w:eastAsia="Calibri" w:hAnsi="Calibri" w:cs="Calibri"/>
      <w:color w:val="000000"/>
      <w:szCs w:val="20"/>
      <w:lang w:eastAsia="en-AU"/>
    </w:rPr>
  </w:style>
  <w:style w:type="character" w:styleId="FollowedHyperlink">
    <w:name w:val="FollowedHyperlink"/>
    <w:basedOn w:val="DefaultParagraphFont"/>
    <w:unhideWhenUsed/>
    <w:rsid w:val="00670CBD"/>
    <w:rPr>
      <w:color w:val="954F72" w:themeColor="followedHyperlink"/>
      <w:u w:val="single"/>
    </w:rPr>
  </w:style>
  <w:style w:type="paragraph" w:customStyle="1" w:styleId="Amain">
    <w:name w:val="A main"/>
    <w:basedOn w:val="Normal"/>
    <w:link w:val="AmainChar"/>
    <w:rsid w:val="00833A3B"/>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rPr>
  </w:style>
  <w:style w:type="paragraph" w:customStyle="1" w:styleId="Apara">
    <w:name w:val="A para"/>
    <w:basedOn w:val="Normal"/>
    <w:link w:val="AparaChar"/>
    <w:rsid w:val="00833A3B"/>
    <w:pPr>
      <w:tabs>
        <w:tab w:val="right" w:pos="1400"/>
        <w:tab w:val="left" w:pos="1600"/>
      </w:tabs>
      <w:spacing w:before="140" w:after="0" w:line="240" w:lineRule="auto"/>
      <w:ind w:left="1600" w:hanging="1600"/>
      <w:jc w:val="both"/>
      <w:outlineLvl w:val="6"/>
    </w:pPr>
    <w:rPr>
      <w:rFonts w:ascii="Times New Roman" w:eastAsia="Times New Roman" w:hAnsi="Times New Roman" w:cs="Times New Roman"/>
      <w:sz w:val="24"/>
      <w:szCs w:val="20"/>
    </w:rPr>
  </w:style>
  <w:style w:type="paragraph" w:customStyle="1" w:styleId="Asubpara">
    <w:name w:val="A subpara"/>
    <w:basedOn w:val="Normal"/>
    <w:rsid w:val="00833A3B"/>
    <w:pPr>
      <w:tabs>
        <w:tab w:val="right" w:pos="1900"/>
        <w:tab w:val="left" w:pos="2100"/>
      </w:tabs>
      <w:spacing w:before="140" w:after="0" w:line="240" w:lineRule="auto"/>
      <w:ind w:left="2100" w:hanging="2100"/>
      <w:jc w:val="both"/>
      <w:outlineLvl w:val="7"/>
    </w:pPr>
    <w:rPr>
      <w:rFonts w:ascii="Times New Roman" w:eastAsia="Times New Roman" w:hAnsi="Times New Roman" w:cs="Times New Roman"/>
      <w:sz w:val="24"/>
      <w:szCs w:val="20"/>
    </w:rPr>
  </w:style>
  <w:style w:type="character" w:customStyle="1" w:styleId="charItals">
    <w:name w:val="charItals"/>
    <w:basedOn w:val="DefaultParagraphFont"/>
    <w:rsid w:val="00833A3B"/>
    <w:rPr>
      <w:rFonts w:cs="Times New Roman"/>
      <w:i/>
    </w:rPr>
  </w:style>
  <w:style w:type="paragraph" w:customStyle="1" w:styleId="aNotepar">
    <w:name w:val="aNotepar"/>
    <w:basedOn w:val="Normal"/>
    <w:next w:val="Normal"/>
    <w:rsid w:val="00833A3B"/>
    <w:pPr>
      <w:spacing w:before="140" w:after="0" w:line="240" w:lineRule="auto"/>
      <w:ind w:left="2400" w:hanging="800"/>
      <w:jc w:val="both"/>
    </w:pPr>
    <w:rPr>
      <w:rFonts w:ascii="Times New Roman" w:eastAsia="Times New Roman" w:hAnsi="Times New Roman" w:cs="Times New Roman"/>
      <w:sz w:val="20"/>
      <w:szCs w:val="20"/>
    </w:rPr>
  </w:style>
  <w:style w:type="character" w:customStyle="1" w:styleId="charCitHyperlinkAbbrev">
    <w:name w:val="charCitHyperlinkAbbrev"/>
    <w:basedOn w:val="Hyperlink"/>
    <w:uiPriority w:val="1"/>
    <w:rsid w:val="00833A3B"/>
    <w:rPr>
      <w:rFonts w:cs="Times New Roman"/>
      <w:color w:val="0563C1" w:themeColor="hyperlink"/>
      <w:u w:val="none"/>
    </w:rPr>
  </w:style>
  <w:style w:type="paragraph" w:customStyle="1" w:styleId="Amainreturn">
    <w:name w:val="A main return"/>
    <w:basedOn w:val="Normal"/>
    <w:link w:val="AmainreturnChar"/>
    <w:rsid w:val="00BC1FB7"/>
    <w:pPr>
      <w:spacing w:before="140" w:after="0" w:line="240" w:lineRule="auto"/>
      <w:ind w:left="1100"/>
      <w:jc w:val="both"/>
    </w:pPr>
    <w:rPr>
      <w:rFonts w:ascii="Times New Roman" w:eastAsia="Times New Roman" w:hAnsi="Times New Roman" w:cs="Times New Roman"/>
      <w:sz w:val="24"/>
      <w:szCs w:val="20"/>
    </w:rPr>
  </w:style>
  <w:style w:type="paragraph" w:customStyle="1" w:styleId="aNote">
    <w:name w:val="aNote"/>
    <w:basedOn w:val="Normal"/>
    <w:link w:val="aNoteChar"/>
    <w:rsid w:val="00BC1FB7"/>
    <w:pPr>
      <w:spacing w:before="140" w:after="0" w:line="240" w:lineRule="auto"/>
      <w:ind w:left="1900" w:hanging="800"/>
      <w:jc w:val="both"/>
    </w:pPr>
    <w:rPr>
      <w:rFonts w:ascii="Times New Roman" w:eastAsia="Times New Roman" w:hAnsi="Times New Roman" w:cs="Times New Roman"/>
      <w:sz w:val="20"/>
      <w:szCs w:val="20"/>
    </w:rPr>
  </w:style>
  <w:style w:type="paragraph" w:customStyle="1" w:styleId="IH5Sec">
    <w:name w:val="I H5 Sec"/>
    <w:basedOn w:val="Normal"/>
    <w:next w:val="Normal"/>
    <w:rsid w:val="00BC1FB7"/>
    <w:pPr>
      <w:keepNext/>
      <w:tabs>
        <w:tab w:val="left" w:pos="1100"/>
      </w:tabs>
      <w:spacing w:before="240" w:after="0" w:line="240" w:lineRule="auto"/>
      <w:ind w:left="1100" w:hanging="1100"/>
    </w:pPr>
    <w:rPr>
      <w:rFonts w:ascii="Arial" w:eastAsia="Times New Roman" w:hAnsi="Arial" w:cs="Times New Roman"/>
      <w:b/>
      <w:sz w:val="24"/>
      <w:szCs w:val="20"/>
    </w:rPr>
  </w:style>
  <w:style w:type="paragraph" w:customStyle="1" w:styleId="Ipara">
    <w:name w:val="I para"/>
    <w:basedOn w:val="Apara"/>
    <w:rsid w:val="00BC1FB7"/>
    <w:pPr>
      <w:outlineLvl w:val="9"/>
    </w:pPr>
  </w:style>
  <w:style w:type="paragraph" w:customStyle="1" w:styleId="PenaltyPara">
    <w:name w:val="PenaltyPara"/>
    <w:basedOn w:val="Normal"/>
    <w:rsid w:val="00BC1FB7"/>
    <w:pPr>
      <w:tabs>
        <w:tab w:val="left" w:pos="0"/>
        <w:tab w:val="right" w:pos="1360"/>
      </w:tabs>
      <w:spacing w:before="60" w:after="0" w:line="240" w:lineRule="auto"/>
      <w:ind w:left="1600" w:hanging="1600"/>
      <w:jc w:val="both"/>
    </w:pPr>
    <w:rPr>
      <w:rFonts w:ascii="Times New Roman" w:eastAsia="Times New Roman" w:hAnsi="Times New Roman" w:cs="Times New Roman"/>
      <w:sz w:val="24"/>
      <w:szCs w:val="20"/>
    </w:rPr>
  </w:style>
  <w:style w:type="paragraph" w:customStyle="1" w:styleId="Penalty">
    <w:name w:val="Penalty"/>
    <w:basedOn w:val="Amainreturn"/>
    <w:rsid w:val="00BC1FB7"/>
  </w:style>
  <w:style w:type="character" w:customStyle="1" w:styleId="aNoteChar">
    <w:name w:val="aNote Char"/>
    <w:basedOn w:val="DefaultParagraphFont"/>
    <w:link w:val="aNote"/>
    <w:locked/>
    <w:rsid w:val="00BC1FB7"/>
    <w:rPr>
      <w:rFonts w:ascii="Times New Roman" w:eastAsia="Times New Roman" w:hAnsi="Times New Roman" w:cs="Times New Roman"/>
      <w:sz w:val="20"/>
      <w:szCs w:val="20"/>
    </w:rPr>
  </w:style>
  <w:style w:type="character" w:customStyle="1" w:styleId="AmainreturnChar">
    <w:name w:val="A main return Char"/>
    <w:basedOn w:val="DefaultParagraphFont"/>
    <w:link w:val="Amainreturn"/>
    <w:locked/>
    <w:rsid w:val="00BC1FB7"/>
    <w:rPr>
      <w:rFonts w:ascii="Times New Roman" w:eastAsia="Times New Roman" w:hAnsi="Times New Roman" w:cs="Times New Roman"/>
      <w:sz w:val="24"/>
      <w:szCs w:val="20"/>
    </w:rPr>
  </w:style>
  <w:style w:type="paragraph" w:customStyle="1" w:styleId="Headiong5">
    <w:name w:val="Headiong 5"/>
    <w:basedOn w:val="Normal"/>
    <w:rsid w:val="007F6E9B"/>
    <w:pPr>
      <w:keepNext/>
      <w:keepLines/>
      <w:outlineLvl w:val="4"/>
    </w:pPr>
    <w:rPr>
      <w:rFonts w:ascii="Arial Narrow" w:eastAsia="Times New Roman" w:hAnsi="Arial Narrow" w:cs="Times New Roman"/>
      <w:iCs/>
      <w:smallCaps/>
      <w:szCs w:val="24"/>
    </w:rPr>
  </w:style>
  <w:style w:type="paragraph" w:customStyle="1" w:styleId="Paper">
    <w:name w:val="Paper"/>
    <w:rsid w:val="00434745"/>
    <w:pPr>
      <w:spacing w:after="120" w:line="240" w:lineRule="auto"/>
    </w:pPr>
    <w:rPr>
      <w:rFonts w:ascii="Times New Roman" w:eastAsia="Times New Roman" w:hAnsi="Times New Roman" w:cs="Times New Roman"/>
      <w:sz w:val="24"/>
      <w:szCs w:val="20"/>
    </w:rPr>
  </w:style>
  <w:style w:type="paragraph" w:customStyle="1" w:styleId="Hyper">
    <w:name w:val="Hyper"/>
    <w:basedOn w:val="Normal"/>
    <w:rsid w:val="0093399E"/>
    <w:pPr>
      <w:spacing w:line="280" w:lineRule="atLeast"/>
    </w:pPr>
    <w:rPr>
      <w:rFonts w:ascii="Calibri" w:eastAsia="Times New Roman" w:hAnsi="Calibri" w:cs="Calibri"/>
      <w:color w:val="1F3864" w:themeColor="accent5" w:themeShade="80"/>
    </w:rPr>
  </w:style>
  <w:style w:type="paragraph" w:customStyle="1" w:styleId="Bodycopynumbered">
    <w:name w:val="Body copy numbered"/>
    <w:rsid w:val="00196028"/>
    <w:pPr>
      <w:keepNext/>
      <w:widowControl w:val="0"/>
      <w:spacing w:before="240" w:after="100" w:line="300" w:lineRule="exact"/>
      <w:ind w:left="567" w:hanging="567"/>
      <w:outlineLvl w:val="1"/>
    </w:pPr>
    <w:rPr>
      <w:rFonts w:ascii="Calibri" w:eastAsia="Calibri" w:hAnsi="Calibri" w:cs="Arial"/>
      <w:bCs/>
      <w:kern w:val="32"/>
      <w:szCs w:val="20"/>
    </w:rPr>
  </w:style>
  <w:style w:type="paragraph" w:customStyle="1" w:styleId="Body">
    <w:name w:val="Body"/>
    <w:basedOn w:val="Paper"/>
    <w:rsid w:val="00BB4F51"/>
    <w:rPr>
      <w:rFonts w:ascii="Calibri" w:hAnsi="Calibri" w:cs="Calibri"/>
      <w:b/>
    </w:rPr>
  </w:style>
  <w:style w:type="paragraph" w:customStyle="1" w:styleId="headingparagraph">
    <w:name w:val="headingparagraph"/>
    <w:basedOn w:val="Normal"/>
    <w:rsid w:val="00B422D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name">
    <w:name w:val="headingname"/>
    <w:basedOn w:val="DefaultParagraphFont"/>
    <w:rsid w:val="00B422D9"/>
  </w:style>
  <w:style w:type="character" w:customStyle="1" w:styleId="listnumber0">
    <w:name w:val="listnumber"/>
    <w:basedOn w:val="DefaultParagraphFont"/>
    <w:rsid w:val="00B422D9"/>
  </w:style>
  <w:style w:type="character" w:customStyle="1" w:styleId="CharSectNo">
    <w:name w:val="CharSectNo"/>
    <w:rsid w:val="00B76B42"/>
    <w:rPr>
      <w:rFonts w:cs="Times New Roman"/>
    </w:rPr>
  </w:style>
  <w:style w:type="paragraph" w:customStyle="1" w:styleId="Schclauseheading">
    <w:name w:val="Sch clause heading"/>
    <w:basedOn w:val="Normal"/>
    <w:next w:val="Normal"/>
    <w:rsid w:val="00B76B42"/>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paragraph" w:customStyle="1" w:styleId="AH5Sec">
    <w:name w:val="A H5 Sec"/>
    <w:basedOn w:val="Normal"/>
    <w:next w:val="Amain"/>
    <w:link w:val="AH5SecChar"/>
    <w:rsid w:val="004B2546"/>
    <w:pPr>
      <w:keepNext/>
      <w:tabs>
        <w:tab w:val="left" w:pos="1100"/>
      </w:tabs>
      <w:spacing w:before="240" w:after="0" w:line="240" w:lineRule="auto"/>
      <w:ind w:left="1100" w:hanging="1100"/>
      <w:outlineLvl w:val="4"/>
    </w:pPr>
    <w:rPr>
      <w:rFonts w:ascii="Arial" w:eastAsia="Times New Roman" w:hAnsi="Arial" w:cs="Times New Roman"/>
      <w:b/>
      <w:sz w:val="24"/>
      <w:szCs w:val="20"/>
    </w:rPr>
  </w:style>
  <w:style w:type="character" w:customStyle="1" w:styleId="charBoldItals">
    <w:name w:val="charBoldItals"/>
    <w:basedOn w:val="DefaultParagraphFont"/>
    <w:rsid w:val="004B2546"/>
    <w:rPr>
      <w:b/>
      <w:i/>
    </w:rPr>
  </w:style>
  <w:style w:type="character" w:customStyle="1" w:styleId="AH5SecChar">
    <w:name w:val="A H5 Sec Char"/>
    <w:basedOn w:val="DefaultParagraphFont"/>
    <w:link w:val="AH5Sec"/>
    <w:locked/>
    <w:rsid w:val="004B2546"/>
    <w:rPr>
      <w:rFonts w:ascii="Arial" w:eastAsia="Times New Roman" w:hAnsi="Arial" w:cs="Times New Roman"/>
      <w:b/>
      <w:sz w:val="24"/>
      <w:szCs w:val="20"/>
    </w:rPr>
  </w:style>
  <w:style w:type="paragraph" w:customStyle="1" w:styleId="PaperTitle">
    <w:name w:val="PaperTitle"/>
    <w:basedOn w:val="Normal"/>
    <w:rsid w:val="003446DE"/>
    <w:pPr>
      <w:tabs>
        <w:tab w:val="left" w:leader="dot" w:pos="6379"/>
      </w:tabs>
      <w:spacing w:before="0" w:after="0" w:line="240" w:lineRule="auto"/>
      <w:ind w:left="284" w:hanging="284"/>
    </w:pPr>
    <w:rPr>
      <w:rFonts w:ascii="Times New (W1)" w:eastAsia="Times New Roman" w:hAnsi="Times New (W1)" w:cs="Times New Roman"/>
      <w:sz w:val="20"/>
      <w:szCs w:val="20"/>
      <w:lang w:eastAsia="en-AU"/>
    </w:rPr>
  </w:style>
  <w:style w:type="paragraph" w:customStyle="1" w:styleId="aDef">
    <w:name w:val="aDef"/>
    <w:basedOn w:val="Normal"/>
    <w:link w:val="aDefChar"/>
    <w:rsid w:val="009B1FDD"/>
    <w:pPr>
      <w:spacing w:before="140" w:after="0" w:line="240" w:lineRule="auto"/>
      <w:ind w:left="1100"/>
      <w:jc w:val="both"/>
    </w:pPr>
    <w:rPr>
      <w:rFonts w:ascii="Times New Roman" w:eastAsia="Times New Roman" w:hAnsi="Times New Roman" w:cs="Times New Roman"/>
      <w:sz w:val="24"/>
      <w:szCs w:val="20"/>
      <w:lang w:eastAsia="en-AU"/>
    </w:rPr>
  </w:style>
  <w:style w:type="character" w:customStyle="1" w:styleId="aDefChar">
    <w:name w:val="aDef Char"/>
    <w:link w:val="aDef"/>
    <w:locked/>
    <w:rsid w:val="009B1FDD"/>
    <w:rPr>
      <w:rFonts w:ascii="Times New Roman" w:eastAsia="Times New Roman" w:hAnsi="Times New Roman" w:cs="Times New Roman"/>
      <w:sz w:val="24"/>
      <w:szCs w:val="20"/>
      <w:lang w:eastAsia="en-AU"/>
    </w:rPr>
  </w:style>
  <w:style w:type="paragraph" w:customStyle="1" w:styleId="Idefpara">
    <w:name w:val="I def para"/>
    <w:basedOn w:val="Ipara"/>
    <w:rsid w:val="009B1FDD"/>
  </w:style>
  <w:style w:type="paragraph" w:customStyle="1" w:styleId="Idefsubpara">
    <w:name w:val="I def subpara"/>
    <w:basedOn w:val="Normal"/>
    <w:rsid w:val="009B1FDD"/>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copybulletlevel2">
    <w:name w:val="Body copy bullet level 2"/>
    <w:rsid w:val="00DF23C5"/>
    <w:pPr>
      <w:keepNext/>
      <w:widowControl w:val="0"/>
      <w:numPr>
        <w:numId w:val="14"/>
      </w:numPr>
      <w:spacing w:after="0" w:line="240" w:lineRule="auto"/>
      <w:ind w:left="1701" w:hanging="567"/>
    </w:pPr>
    <w:rPr>
      <w:rFonts w:ascii="Calibri" w:eastAsia="Times New Roman" w:hAnsi="Calibri" w:cs="Calibri"/>
      <w:color w:val="000000"/>
      <w:szCs w:val="20"/>
      <w:lang w:eastAsia="en-AU"/>
    </w:rPr>
  </w:style>
  <w:style w:type="paragraph" w:customStyle="1" w:styleId="Titleheading">
    <w:name w:val="Title heading"/>
    <w:next w:val="Bodycopy"/>
    <w:rsid w:val="00DF23C5"/>
    <w:pPr>
      <w:keepNext/>
      <w:pageBreakBefore/>
      <w:widowControl w:val="0"/>
      <w:tabs>
        <w:tab w:val="left" w:pos="9643"/>
      </w:tabs>
      <w:spacing w:afterLines="200" w:after="0" w:line="240" w:lineRule="auto"/>
      <w:outlineLvl w:val="0"/>
    </w:pPr>
    <w:rPr>
      <w:rFonts w:ascii="Arial Narrow" w:eastAsia="Calibri" w:hAnsi="Arial Narrow" w:cs="Arial Narrow"/>
      <w:smallCaps/>
      <w:color w:val="000000"/>
      <w:sz w:val="60"/>
      <w:szCs w:val="60"/>
      <w:lang w:eastAsia="en-AU"/>
    </w:rPr>
  </w:style>
  <w:style w:type="table" w:customStyle="1" w:styleId="LightShading1">
    <w:name w:val="Light Shading1"/>
    <w:rsid w:val="00DF23C5"/>
    <w:pPr>
      <w:spacing w:after="0" w:line="240" w:lineRule="auto"/>
    </w:pPr>
    <w:rPr>
      <w:rFonts w:ascii="Calibri" w:eastAsia="Calibri" w:hAnsi="Calibri" w:cs="Times New Roman"/>
      <w:color w:val="000000"/>
      <w:sz w:val="20"/>
      <w:szCs w:val="20"/>
      <w:lang w:eastAsia="en-AU"/>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ulletlistlevel1">
    <w:name w:val="Bullet list  level 1"/>
    <w:qFormat/>
    <w:rsid w:val="00DF23C5"/>
    <w:pPr>
      <w:keepNext/>
      <w:widowControl w:val="0"/>
      <w:numPr>
        <w:numId w:val="13"/>
      </w:numPr>
      <w:spacing w:before="120" w:after="120" w:line="300" w:lineRule="exact"/>
      <w:ind w:left="1134" w:hanging="567"/>
    </w:pPr>
    <w:rPr>
      <w:rFonts w:ascii="Calibri" w:eastAsia="Times New Roman" w:hAnsi="Calibri" w:cs="Calibri"/>
      <w:color w:val="000000"/>
      <w:szCs w:val="20"/>
      <w:lang w:eastAsia="en-AU"/>
    </w:rPr>
  </w:style>
  <w:style w:type="paragraph" w:customStyle="1" w:styleId="Tableheading">
    <w:name w:val="Table heading"/>
    <w:rsid w:val="00DF23C5"/>
    <w:pPr>
      <w:keepNext/>
      <w:widowControl w:val="0"/>
      <w:spacing w:before="120" w:after="120" w:line="240" w:lineRule="auto"/>
    </w:pPr>
    <w:rPr>
      <w:rFonts w:ascii="Arial Narrow" w:eastAsia="Times New Roman" w:hAnsi="Arial Narrow" w:cs="Calibri"/>
      <w:b/>
      <w:bCs/>
      <w:smallCaps/>
      <w:color w:val="FFFFFF"/>
      <w:szCs w:val="20"/>
      <w:lang w:eastAsia="en-AU"/>
    </w:rPr>
  </w:style>
  <w:style w:type="paragraph" w:customStyle="1" w:styleId="Tablebodycopy">
    <w:name w:val="Table body copy"/>
    <w:rsid w:val="00DF23C5"/>
    <w:pPr>
      <w:keepNext/>
      <w:widowControl w:val="0"/>
      <w:spacing w:before="120" w:after="120" w:line="240" w:lineRule="auto"/>
    </w:pPr>
    <w:rPr>
      <w:rFonts w:ascii="Calibri" w:eastAsia="Times New Roman" w:hAnsi="Calibri" w:cs="Calibri"/>
      <w:bCs/>
      <w:szCs w:val="20"/>
      <w:lang w:eastAsia="en-AU"/>
    </w:rPr>
  </w:style>
  <w:style w:type="paragraph" w:customStyle="1" w:styleId="Bulletlistquote">
    <w:name w:val="Bullet list quote"/>
    <w:rsid w:val="00DF23C5"/>
    <w:pPr>
      <w:keepNext/>
      <w:widowControl w:val="0"/>
      <w:spacing w:after="0" w:line="240" w:lineRule="auto"/>
      <w:ind w:left="1701"/>
    </w:pPr>
    <w:rPr>
      <w:rFonts w:ascii="Calibri" w:eastAsia="Times New Roman" w:hAnsi="Calibri" w:cs="Calibri"/>
      <w:i/>
      <w:color w:val="000000"/>
      <w:szCs w:val="20"/>
      <w:lang w:eastAsia="en-AU"/>
    </w:rPr>
  </w:style>
  <w:style w:type="paragraph" w:customStyle="1" w:styleId="TOCHeading1">
    <w:name w:val="TOC Heading1"/>
    <w:rsid w:val="00DF23C5"/>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paragraph" w:customStyle="1" w:styleId="Heading1nonumber">
    <w:name w:val="Heading 1 no number"/>
    <w:next w:val="Bodycopynumbered"/>
    <w:rsid w:val="00DF23C5"/>
    <w:pPr>
      <w:keepNext/>
      <w:widowControl w:val="0"/>
      <w:spacing w:after="100" w:line="240" w:lineRule="auto"/>
    </w:pPr>
    <w:rPr>
      <w:rFonts w:ascii="Arial Narrow" w:eastAsia="Calibri" w:hAnsi="Arial Narrow" w:cs="Times New Roman"/>
      <w:bCs/>
      <w:smallCaps/>
      <w:color w:val="000000"/>
      <w:sz w:val="44"/>
      <w:szCs w:val="44"/>
    </w:rPr>
  </w:style>
  <w:style w:type="paragraph" w:customStyle="1" w:styleId="Bodycopynumbered2">
    <w:name w:val="Body copy numbered 2"/>
    <w:rsid w:val="00DF23C5"/>
    <w:pPr>
      <w:keepNext/>
      <w:widowControl w:val="0"/>
      <w:numPr>
        <w:numId w:val="19"/>
      </w:numPr>
      <w:spacing w:before="120" w:after="120" w:line="300" w:lineRule="exact"/>
      <w:ind w:left="567" w:hanging="567"/>
    </w:pPr>
    <w:rPr>
      <w:rFonts w:ascii="Calibri" w:eastAsia="Times New Roman" w:hAnsi="Calibri" w:cs="Calibri"/>
      <w:color w:val="000000"/>
      <w:szCs w:val="20"/>
      <w:lang w:eastAsia="en-AU"/>
    </w:rPr>
  </w:style>
  <w:style w:type="paragraph" w:customStyle="1" w:styleId="Committeemembership">
    <w:name w:val="Committee membership"/>
    <w:next w:val="Bodycopy"/>
    <w:rsid w:val="00DF23C5"/>
    <w:pPr>
      <w:keepNext/>
      <w:widowControl w:val="0"/>
      <w:spacing w:beforeLines="100" w:afterLines="100" w:after="0" w:line="240" w:lineRule="auto"/>
      <w:outlineLvl w:val="0"/>
    </w:pPr>
    <w:rPr>
      <w:rFonts w:ascii="Arial Narrow" w:eastAsia="Calibri" w:hAnsi="Arial Narrow" w:cs="Arial Narrow"/>
      <w:smallCaps/>
      <w:sz w:val="44"/>
      <w:szCs w:val="44"/>
    </w:rPr>
  </w:style>
  <w:style w:type="paragraph" w:customStyle="1" w:styleId="Secretariat">
    <w:name w:val="Secretariat"/>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Contactinformation">
    <w:name w:val="Contact information"/>
    <w:next w:val="Bodycopy"/>
    <w:rsid w:val="00DF23C5"/>
    <w:pPr>
      <w:spacing w:beforeLines="400" w:afterLines="100" w:after="0" w:line="240" w:lineRule="auto"/>
      <w:outlineLvl w:val="0"/>
    </w:pPr>
    <w:rPr>
      <w:rFonts w:ascii="Arial Narrow" w:eastAsia="Calibri" w:hAnsi="Arial Narrow" w:cs="Arial Narrow"/>
      <w:smallCaps/>
      <w:sz w:val="44"/>
      <w:szCs w:val="44"/>
    </w:rPr>
  </w:style>
  <w:style w:type="paragraph" w:customStyle="1" w:styleId="Recommendationsheading">
    <w:name w:val="Recommendations heading"/>
    <w:next w:val="Recommendationbodycopy"/>
    <w:rsid w:val="00DF23C5"/>
    <w:pPr>
      <w:keepNext/>
      <w:pageBreakBefore/>
      <w:widowControl w:val="0"/>
      <w:spacing w:after="240" w:line="240" w:lineRule="auto"/>
    </w:pPr>
    <w:rPr>
      <w:rFonts w:ascii="Arial Narrow" w:eastAsia="Calibri" w:hAnsi="Arial Narrow" w:cs="Times New Roman"/>
      <w:bCs/>
      <w:smallCaps/>
      <w:color w:val="000000"/>
      <w:sz w:val="44"/>
      <w:szCs w:val="44"/>
    </w:rPr>
  </w:style>
  <w:style w:type="character" w:styleId="PageNumber">
    <w:name w:val="page number"/>
    <w:rsid w:val="00DF23C5"/>
    <w:rPr>
      <w:rFonts w:ascii="Calibri" w:hAnsi="Calibri" w:cs="Times New Roman"/>
      <w:b/>
      <w:sz w:val="18"/>
      <w:szCs w:val="18"/>
    </w:rPr>
  </w:style>
  <w:style w:type="paragraph" w:customStyle="1" w:styleId="Recommendationbodycopy">
    <w:name w:val="Recommendation body copy"/>
    <w:rsid w:val="00DF23C5"/>
    <w:pPr>
      <w:keepNext/>
      <w:widowControl w:val="0"/>
      <w:spacing w:after="0" w:line="240" w:lineRule="auto"/>
    </w:pPr>
    <w:rPr>
      <w:rFonts w:ascii="Arial Narrow" w:eastAsia="Calibri" w:hAnsi="Arial Narrow" w:cs="Arial"/>
      <w:bCs/>
      <w:kern w:val="32"/>
      <w:szCs w:val="20"/>
    </w:rPr>
  </w:style>
  <w:style w:type="paragraph" w:customStyle="1" w:styleId="Recommendationbodycopynumbered">
    <w:name w:val="Recommendation body copy numbered"/>
    <w:rsid w:val="00DF23C5"/>
    <w:pPr>
      <w:keepNext/>
      <w:widowControl w:val="0"/>
      <w:numPr>
        <w:ilvl w:val="1"/>
        <w:numId w:val="21"/>
      </w:numPr>
      <w:spacing w:before="200" w:after="200" w:line="240" w:lineRule="auto"/>
      <w:ind w:left="578" w:hanging="578"/>
      <w:outlineLvl w:val="7"/>
    </w:pPr>
    <w:rPr>
      <w:rFonts w:ascii="Arial Narrow" w:eastAsia="Calibri" w:hAnsi="Arial Narrow" w:cs="Arial"/>
      <w:b/>
      <w:bCs/>
      <w:kern w:val="32"/>
      <w:szCs w:val="20"/>
    </w:rPr>
  </w:style>
  <w:style w:type="paragraph" w:customStyle="1" w:styleId="Recommendationheadingbody">
    <w:name w:val="Recommendation heading body"/>
    <w:next w:val="Recommendationbodycopynumbered"/>
    <w:rsid w:val="00DF23C5"/>
    <w:pPr>
      <w:keepNext/>
      <w:widowControl w:val="0"/>
      <w:spacing w:beforeLines="150" w:afterLines="100" w:after="0" w:line="240" w:lineRule="auto"/>
      <w:outlineLvl w:val="6"/>
    </w:pPr>
    <w:rPr>
      <w:rFonts w:ascii="Arial Narrow" w:eastAsia="Calibri" w:hAnsi="Arial Narrow" w:cs="Arial Narrow"/>
      <w:b/>
      <w:smallCaps/>
      <w:sz w:val="30"/>
      <w:szCs w:val="30"/>
    </w:rPr>
  </w:style>
  <w:style w:type="paragraph" w:customStyle="1" w:styleId="Bodycopybulletlevel1alpha">
    <w:name w:val="Body copy bullet level 1 alpha"/>
    <w:rsid w:val="00DF23C5"/>
    <w:pPr>
      <w:keepNext/>
      <w:widowControl w:val="0"/>
      <w:numPr>
        <w:numId w:val="16"/>
      </w:numPr>
      <w:spacing w:after="0" w:line="240" w:lineRule="auto"/>
      <w:ind w:left="851" w:hanging="284"/>
    </w:pPr>
    <w:rPr>
      <w:rFonts w:ascii="Calibri" w:eastAsia="Times New Roman" w:hAnsi="Calibri" w:cs="Calibri"/>
      <w:color w:val="000000"/>
      <w:szCs w:val="20"/>
      <w:lang w:eastAsia="en-AU"/>
    </w:rPr>
  </w:style>
  <w:style w:type="paragraph" w:customStyle="1" w:styleId="Headereven">
    <w:name w:val="Header even"/>
    <w:rsid w:val="00DF23C5"/>
    <w:pPr>
      <w:keepNext/>
      <w:widowControl w:val="0"/>
      <w:tabs>
        <w:tab w:val="center" w:pos="4513"/>
        <w:tab w:val="right" w:pos="9026"/>
      </w:tabs>
      <w:spacing w:after="0" w:line="240" w:lineRule="auto"/>
    </w:pPr>
    <w:rPr>
      <w:rFonts w:ascii="Calibri" w:eastAsia="Calibri" w:hAnsi="Calibri" w:cs="Arial Narrow"/>
      <w:smallCaps/>
      <w:szCs w:val="20"/>
    </w:rPr>
  </w:style>
  <w:style w:type="paragraph" w:customStyle="1" w:styleId="Headerodd">
    <w:name w:val="Header odd"/>
    <w:rsid w:val="00DF23C5"/>
    <w:pPr>
      <w:keepNext/>
      <w:widowControl w:val="0"/>
      <w:tabs>
        <w:tab w:val="center" w:pos="4513"/>
        <w:tab w:val="right" w:pos="9026"/>
      </w:tabs>
      <w:spacing w:after="0" w:line="240" w:lineRule="auto"/>
      <w:jc w:val="right"/>
    </w:pPr>
    <w:rPr>
      <w:rFonts w:ascii="Calibri" w:eastAsia="Calibri" w:hAnsi="Calibri" w:cs="Arial Narrow"/>
      <w:smallCaps/>
      <w:szCs w:val="20"/>
    </w:rPr>
  </w:style>
  <w:style w:type="paragraph" w:customStyle="1" w:styleId="Reportcoverfooter">
    <w:name w:val="Report cover footer"/>
    <w:basedOn w:val="Headerodd"/>
    <w:rsid w:val="00DF23C5"/>
    <w:rPr>
      <w:smallCaps w:val="0"/>
      <w:sz w:val="28"/>
      <w:szCs w:val="28"/>
    </w:rPr>
  </w:style>
  <w:style w:type="paragraph" w:customStyle="1" w:styleId="ReportTitle">
    <w:name w:val="Report Title"/>
    <w:rsid w:val="00DF23C5"/>
    <w:pPr>
      <w:keepNext/>
      <w:widowControl w:val="0"/>
      <w:spacing w:after="480" w:line="240" w:lineRule="auto"/>
      <w:jc w:val="right"/>
    </w:pPr>
    <w:rPr>
      <w:rFonts w:ascii="Arial Narrow" w:eastAsia="Calibri" w:hAnsi="Arial Narrow" w:cs="Arial Narrow"/>
      <w:smallCaps/>
      <w:sz w:val="56"/>
      <w:szCs w:val="56"/>
    </w:rPr>
  </w:style>
  <w:style w:type="paragraph" w:customStyle="1" w:styleId="CommitteeName">
    <w:name w:val="Committee Name"/>
    <w:rsid w:val="00DF23C5"/>
    <w:pPr>
      <w:keepNext/>
      <w:widowControl w:val="0"/>
      <w:spacing w:after="480" w:line="240" w:lineRule="auto"/>
      <w:jc w:val="right"/>
    </w:pPr>
    <w:rPr>
      <w:rFonts w:ascii="Arial Narrow" w:eastAsia="Calibri" w:hAnsi="Arial Narrow" w:cs="Arial Narrow"/>
      <w:smallCaps/>
      <w:sz w:val="44"/>
      <w:szCs w:val="44"/>
    </w:rPr>
  </w:style>
  <w:style w:type="paragraph" w:customStyle="1" w:styleId="Bulletlistalpha">
    <w:name w:val="Bullet list alpha"/>
    <w:rsid w:val="00DF23C5"/>
    <w:pPr>
      <w:keepNext/>
      <w:widowControl w:val="0"/>
      <w:numPr>
        <w:ilvl w:val="1"/>
        <w:numId w:val="14"/>
      </w:numPr>
      <w:spacing w:beforeLines="120" w:afterLines="120" w:after="0" w:line="200" w:lineRule="exact"/>
      <w:ind w:left="1701" w:hanging="567"/>
    </w:pPr>
    <w:rPr>
      <w:rFonts w:ascii="Calibri" w:eastAsia="Times New Roman" w:hAnsi="Calibri" w:cs="Calibri"/>
      <w:color w:val="000000"/>
      <w:spacing w:val="-3"/>
      <w:szCs w:val="20"/>
      <w:lang w:eastAsia="en-AU"/>
    </w:rPr>
  </w:style>
  <w:style w:type="paragraph" w:customStyle="1" w:styleId="Bulletlistroman">
    <w:name w:val="Bullet list roman"/>
    <w:rsid w:val="00DF23C5"/>
    <w:pPr>
      <w:keepNext/>
      <w:widowControl w:val="0"/>
      <w:numPr>
        <w:numId w:val="18"/>
      </w:numPr>
      <w:spacing w:beforeLines="120" w:afterLines="120" w:after="0" w:line="200" w:lineRule="exact"/>
      <w:ind w:left="2268" w:hanging="567"/>
    </w:pPr>
    <w:rPr>
      <w:rFonts w:ascii="Calibri" w:eastAsia="Times New Roman" w:hAnsi="Calibri" w:cs="Calibri"/>
      <w:color w:val="000000"/>
      <w:spacing w:val="-3"/>
      <w:szCs w:val="20"/>
      <w:lang w:eastAsia="en-AU"/>
    </w:rPr>
  </w:style>
  <w:style w:type="paragraph" w:customStyle="1" w:styleId="Heading4nonumber">
    <w:name w:val="Heading 4 no number"/>
    <w:next w:val="Bodycopynumbered"/>
    <w:rsid w:val="00DF23C5"/>
    <w:pPr>
      <w:keepNext/>
      <w:widowControl w:val="0"/>
      <w:spacing w:after="0" w:line="240" w:lineRule="auto"/>
    </w:pPr>
    <w:rPr>
      <w:rFonts w:ascii="Arial Narrow" w:eastAsia="Calibri" w:hAnsi="Arial Narrow" w:cs="Arial Narrow"/>
      <w:smallCaps/>
      <w:sz w:val="26"/>
      <w:szCs w:val="26"/>
    </w:rPr>
  </w:style>
  <w:style w:type="paragraph" w:customStyle="1" w:styleId="aIndent">
    <w:name w:val="(a) Indent"/>
    <w:basedOn w:val="Normal"/>
    <w:rsid w:val="00DF23C5"/>
    <w:pPr>
      <w:tabs>
        <w:tab w:val="left" w:pos="560"/>
      </w:tabs>
      <w:spacing w:before="0" w:after="0" w:line="240" w:lineRule="auto"/>
      <w:ind w:left="1120" w:hanging="1120"/>
    </w:pPr>
    <w:rPr>
      <w:rFonts w:ascii="Times" w:eastAsia="Times New Roman" w:hAnsi="Times" w:cs="Times New Roman"/>
      <w:sz w:val="24"/>
      <w:szCs w:val="20"/>
      <w:lang w:val="en-US" w:eastAsia="en-AU"/>
    </w:rPr>
  </w:style>
  <w:style w:type="numbering" w:customStyle="1" w:styleId="Style1">
    <w:name w:val="Style1"/>
    <w:rsid w:val="00DF23C5"/>
    <w:pPr>
      <w:numPr>
        <w:numId w:val="15"/>
      </w:numPr>
    </w:pPr>
  </w:style>
  <w:style w:type="numbering" w:customStyle="1" w:styleId="Style3">
    <w:name w:val="Style3"/>
    <w:rsid w:val="00DF23C5"/>
    <w:pPr>
      <w:numPr>
        <w:numId w:val="20"/>
      </w:numPr>
    </w:pPr>
  </w:style>
  <w:style w:type="numbering" w:customStyle="1" w:styleId="Style2">
    <w:name w:val="Style2"/>
    <w:rsid w:val="00DF23C5"/>
    <w:pPr>
      <w:numPr>
        <w:numId w:val="17"/>
      </w:numPr>
    </w:pPr>
  </w:style>
  <w:style w:type="paragraph" w:customStyle="1" w:styleId="Default">
    <w:name w:val="Default"/>
    <w:rsid w:val="00DF23C5"/>
    <w:pPr>
      <w:autoSpaceDE w:val="0"/>
      <w:autoSpaceDN w:val="0"/>
      <w:adjustRightInd w:val="0"/>
      <w:spacing w:after="0" w:line="240" w:lineRule="auto"/>
    </w:pPr>
    <w:rPr>
      <w:rFonts w:ascii="Arial Narrow" w:eastAsia="Times New Roman" w:hAnsi="Arial Narrow" w:cs="Arial Narrow"/>
      <w:color w:val="000000"/>
      <w:sz w:val="24"/>
      <w:szCs w:val="24"/>
      <w:lang w:eastAsia="en-AU"/>
    </w:rPr>
  </w:style>
  <w:style w:type="table" w:styleId="TableGrid">
    <w:name w:val="Table Grid"/>
    <w:basedOn w:val="TableNormal"/>
    <w:uiPriority w:val="59"/>
    <w:rsid w:val="00DF23C5"/>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BHeading">
    <w:name w:val="GB Heading"/>
    <w:basedOn w:val="Normal"/>
    <w:link w:val="GBHeadingChar"/>
    <w:rsid w:val="00DF23C5"/>
    <w:pPr>
      <w:spacing w:before="0" w:after="0" w:line="240" w:lineRule="auto"/>
      <w:jc w:val="both"/>
    </w:pPr>
    <w:rPr>
      <w:rFonts w:ascii="AvantGarde Bk BT" w:eastAsia="Times New Roman" w:hAnsi="AvantGarde Bk BT" w:cs="Times New Roman"/>
      <w:b/>
      <w:sz w:val="24"/>
      <w:szCs w:val="24"/>
      <w:lang w:eastAsia="en-AU"/>
    </w:rPr>
  </w:style>
  <w:style w:type="character" w:customStyle="1" w:styleId="GBHeadingChar">
    <w:name w:val="GB Heading Char"/>
    <w:link w:val="GBHeading"/>
    <w:locked/>
    <w:rsid w:val="00DF23C5"/>
    <w:rPr>
      <w:rFonts w:ascii="AvantGarde Bk BT" w:eastAsia="Times New Roman" w:hAnsi="AvantGarde Bk BT" w:cs="Times New Roman"/>
      <w:b/>
      <w:sz w:val="24"/>
      <w:szCs w:val="24"/>
      <w:lang w:eastAsia="en-AU"/>
    </w:rPr>
  </w:style>
  <w:style w:type="paragraph" w:customStyle="1" w:styleId="PaperTitleIndent1">
    <w:name w:val="PaperTitleIndent1"/>
    <w:basedOn w:val="Normal"/>
    <w:uiPriority w:val="99"/>
    <w:rsid w:val="00DF23C5"/>
    <w:pPr>
      <w:spacing w:before="0" w:after="120" w:line="240" w:lineRule="auto"/>
      <w:ind w:right="1701"/>
    </w:pPr>
    <w:rPr>
      <w:rFonts w:ascii="Times New Roman" w:eastAsia="Calibri" w:hAnsi="Times New Roman" w:cs="Times New Roman"/>
      <w:sz w:val="24"/>
      <w:szCs w:val="24"/>
      <w:lang w:eastAsia="en-AU"/>
    </w:rPr>
  </w:style>
  <w:style w:type="paragraph" w:customStyle="1" w:styleId="PaperTitleIndent2">
    <w:name w:val="PaperTitleIndent2"/>
    <w:basedOn w:val="Normal"/>
    <w:uiPriority w:val="99"/>
    <w:rsid w:val="00DF23C5"/>
    <w:pPr>
      <w:spacing w:before="0" w:after="120" w:line="240" w:lineRule="auto"/>
      <w:ind w:left="238" w:right="1701"/>
    </w:pPr>
    <w:rPr>
      <w:rFonts w:ascii="Times New Roman" w:eastAsia="Calibri" w:hAnsi="Times New Roman" w:cs="Times New Roman"/>
      <w:sz w:val="24"/>
      <w:szCs w:val="24"/>
      <w:lang w:eastAsia="en-AU"/>
    </w:rPr>
  </w:style>
  <w:style w:type="character" w:styleId="CommentReference">
    <w:name w:val="annotation reference"/>
    <w:uiPriority w:val="99"/>
    <w:rsid w:val="00DF23C5"/>
    <w:rPr>
      <w:sz w:val="16"/>
      <w:szCs w:val="16"/>
    </w:rPr>
  </w:style>
  <w:style w:type="paragraph" w:customStyle="1" w:styleId="IMain">
    <w:name w:val="I Main"/>
    <w:basedOn w:val="Normal"/>
    <w:rsid w:val="00DF23C5"/>
    <w:pPr>
      <w:tabs>
        <w:tab w:val="right" w:pos="900"/>
        <w:tab w:val="left" w:pos="1100"/>
      </w:tabs>
      <w:spacing w:before="140" w:after="0" w:line="240" w:lineRule="auto"/>
      <w:ind w:left="1100" w:hanging="1100"/>
      <w:jc w:val="both"/>
      <w:outlineLvl w:val="5"/>
    </w:pPr>
    <w:rPr>
      <w:rFonts w:ascii="Times New Roman" w:eastAsia="Times New Roman" w:hAnsi="Times New Roman" w:cs="Times New Roman"/>
      <w:sz w:val="24"/>
      <w:szCs w:val="20"/>
      <w:lang w:eastAsia="en-AU"/>
    </w:rPr>
  </w:style>
  <w:style w:type="paragraph" w:customStyle="1" w:styleId="Resol">
    <w:name w:val="Resol"/>
    <w:basedOn w:val="Committeemembership"/>
    <w:rsid w:val="00DF23C5"/>
    <w:pPr>
      <w:spacing w:before="240" w:after="240"/>
    </w:pPr>
    <w:rPr>
      <w:rFonts w:eastAsia="Times New Roman"/>
    </w:rPr>
  </w:style>
  <w:style w:type="character" w:customStyle="1" w:styleId="charCitHyperlinkItal">
    <w:name w:val="charCitHyperlinkItal"/>
    <w:uiPriority w:val="1"/>
    <w:rsid w:val="00DF23C5"/>
    <w:rPr>
      <w:rFonts w:cs="Times New Roman"/>
      <w:i/>
      <w:color w:val="0000FF"/>
      <w:u w:val="none"/>
    </w:rPr>
  </w:style>
  <w:style w:type="paragraph" w:customStyle="1" w:styleId="aDefpara">
    <w:name w:val="aDef para"/>
    <w:basedOn w:val="Apara"/>
    <w:rsid w:val="00DF23C5"/>
    <w:rPr>
      <w:lang w:eastAsia="en-AU"/>
    </w:rPr>
  </w:style>
  <w:style w:type="paragraph" w:customStyle="1" w:styleId="aExamHdgss">
    <w:name w:val="aExamHdgss"/>
    <w:basedOn w:val="Normal"/>
    <w:next w:val="Normal"/>
    <w:rsid w:val="00DF23C5"/>
    <w:pPr>
      <w:keepNext/>
      <w:spacing w:before="140" w:after="0" w:line="240" w:lineRule="auto"/>
      <w:ind w:left="1100"/>
    </w:pPr>
    <w:rPr>
      <w:rFonts w:ascii="Arial" w:eastAsia="Times New Roman" w:hAnsi="Arial" w:cs="Times New Roman"/>
      <w:b/>
      <w:sz w:val="18"/>
      <w:szCs w:val="20"/>
      <w:lang w:eastAsia="en-AU"/>
    </w:rPr>
  </w:style>
  <w:style w:type="paragraph" w:customStyle="1" w:styleId="aExamss">
    <w:name w:val="aExamss"/>
    <w:basedOn w:val="aNote"/>
    <w:rsid w:val="00DF23C5"/>
    <w:pPr>
      <w:spacing w:before="60"/>
      <w:ind w:left="1100" w:firstLine="0"/>
    </w:pPr>
    <w:rPr>
      <w:lang w:eastAsia="en-AU"/>
    </w:rPr>
  </w:style>
  <w:style w:type="character" w:customStyle="1" w:styleId="aNoteCharChar">
    <w:name w:val="aNote Char Char"/>
    <w:locked/>
    <w:rsid w:val="00DF23C5"/>
    <w:rPr>
      <w:rFonts w:cs="Times New Roman"/>
      <w:lang w:val="x-none" w:eastAsia="en-US"/>
    </w:rPr>
  </w:style>
  <w:style w:type="paragraph" w:customStyle="1" w:styleId="CoverActName">
    <w:name w:val="CoverActName"/>
    <w:basedOn w:val="Normal"/>
    <w:rsid w:val="00DF23C5"/>
    <w:pPr>
      <w:tabs>
        <w:tab w:val="left" w:pos="2600"/>
      </w:tabs>
      <w:overflowPunct w:val="0"/>
      <w:autoSpaceDE w:val="0"/>
      <w:autoSpaceDN w:val="0"/>
      <w:adjustRightInd w:val="0"/>
      <w:spacing w:before="200" w:after="60" w:line="240" w:lineRule="auto"/>
      <w:jc w:val="both"/>
    </w:pPr>
    <w:rPr>
      <w:rFonts w:ascii="Arial" w:eastAsia="Times New Roman" w:hAnsi="Arial" w:cs="Arial"/>
      <w:b/>
      <w:bCs/>
      <w:sz w:val="24"/>
      <w:szCs w:val="24"/>
      <w:lang w:eastAsia="en-AU"/>
    </w:rPr>
  </w:style>
  <w:style w:type="character" w:customStyle="1" w:styleId="AparaChar">
    <w:name w:val="A para Char"/>
    <w:link w:val="Apara"/>
    <w:locked/>
    <w:rsid w:val="00DF23C5"/>
    <w:rPr>
      <w:rFonts w:ascii="Times New Roman" w:eastAsia="Times New Roman" w:hAnsi="Times New Roman" w:cs="Times New Roman"/>
      <w:sz w:val="24"/>
      <w:szCs w:val="20"/>
    </w:rPr>
  </w:style>
  <w:style w:type="paragraph" w:customStyle="1" w:styleId="ESText">
    <w:name w:val="ES_Text"/>
    <w:basedOn w:val="Normal"/>
    <w:uiPriority w:val="99"/>
    <w:rsid w:val="00DF23C5"/>
    <w:pPr>
      <w:spacing w:before="0" w:after="0"/>
    </w:pPr>
    <w:rPr>
      <w:rFonts w:ascii="Times New Roman" w:eastAsia="Times New Roman" w:hAnsi="Times New Roman" w:cs="Times New Roman"/>
      <w:sz w:val="24"/>
      <w:szCs w:val="24"/>
      <w:lang w:eastAsia="en-AU"/>
    </w:rPr>
  </w:style>
  <w:style w:type="character" w:customStyle="1" w:styleId="Mention">
    <w:name w:val="Mention"/>
    <w:uiPriority w:val="99"/>
    <w:semiHidden/>
    <w:unhideWhenUsed/>
    <w:rsid w:val="00DF23C5"/>
    <w:rPr>
      <w:color w:val="2B579A"/>
      <w:shd w:val="clear" w:color="auto" w:fill="E6E6E6"/>
    </w:rPr>
  </w:style>
  <w:style w:type="character" w:customStyle="1" w:styleId="UnresolvedMention">
    <w:name w:val="Unresolved Mention"/>
    <w:uiPriority w:val="99"/>
    <w:semiHidden/>
    <w:unhideWhenUsed/>
    <w:rsid w:val="00DF23C5"/>
    <w:rPr>
      <w:color w:val="808080"/>
      <w:shd w:val="clear" w:color="auto" w:fill="E6E6E6"/>
    </w:rPr>
  </w:style>
  <w:style w:type="numbering" w:styleId="1ai">
    <w:name w:val="Outline List 1"/>
    <w:basedOn w:val="NoList"/>
    <w:rsid w:val="00DF23C5"/>
    <w:pPr>
      <w:numPr>
        <w:numId w:val="22"/>
      </w:numPr>
    </w:pPr>
  </w:style>
  <w:style w:type="paragraph" w:customStyle="1" w:styleId="TableHd">
    <w:name w:val="TableHd"/>
    <w:basedOn w:val="Normal"/>
    <w:rsid w:val="00DF23C5"/>
    <w:pPr>
      <w:keepNext/>
      <w:tabs>
        <w:tab w:val="left" w:pos="0"/>
      </w:tabs>
      <w:spacing w:before="300" w:after="0" w:line="240" w:lineRule="auto"/>
      <w:ind w:left="1200" w:hanging="1200"/>
    </w:pPr>
    <w:rPr>
      <w:rFonts w:ascii="Arial" w:eastAsia="Times New Roman" w:hAnsi="Arial" w:cs="Times New Roman"/>
      <w:b/>
      <w:sz w:val="20"/>
      <w:szCs w:val="20"/>
    </w:rPr>
  </w:style>
  <w:style w:type="paragraph" w:customStyle="1" w:styleId="TableColHd">
    <w:name w:val="TableColHd"/>
    <w:basedOn w:val="Normal"/>
    <w:rsid w:val="00DF23C5"/>
    <w:pPr>
      <w:keepNext/>
      <w:tabs>
        <w:tab w:val="left" w:pos="0"/>
      </w:tabs>
      <w:spacing w:before="0" w:after="60" w:line="240" w:lineRule="auto"/>
    </w:pPr>
    <w:rPr>
      <w:rFonts w:ascii="Arial" w:eastAsia="Times New Roman" w:hAnsi="Arial" w:cs="Times New Roman"/>
      <w:b/>
      <w:sz w:val="18"/>
      <w:szCs w:val="20"/>
    </w:rPr>
  </w:style>
  <w:style w:type="paragraph" w:customStyle="1" w:styleId="TableText">
    <w:name w:val="TableText"/>
    <w:basedOn w:val="Normal"/>
    <w:uiPriority w:val="99"/>
    <w:rsid w:val="00DF23C5"/>
    <w:pPr>
      <w:spacing w:before="60" w:after="60" w:line="240" w:lineRule="auto"/>
    </w:pPr>
    <w:rPr>
      <w:rFonts w:ascii="Times New Roman" w:eastAsia="Times New Roman" w:hAnsi="Times New Roman" w:cs="Times New Roman"/>
      <w:sz w:val="24"/>
      <w:szCs w:val="24"/>
    </w:rPr>
  </w:style>
  <w:style w:type="character" w:customStyle="1" w:styleId="AmainChar">
    <w:name w:val="A main Char"/>
    <w:link w:val="Amain"/>
    <w:locked/>
    <w:rsid w:val="007377EC"/>
    <w:rPr>
      <w:rFonts w:ascii="Times New Roman" w:eastAsia="Times New Roman" w:hAnsi="Times New Roman" w:cs="Times New Roman"/>
      <w:sz w:val="24"/>
      <w:szCs w:val="20"/>
    </w:rPr>
  </w:style>
  <w:style w:type="character" w:customStyle="1" w:styleId="Calibri12">
    <w:name w:val="Calibri 12"/>
    <w:basedOn w:val="DefaultParagraphFont"/>
    <w:uiPriority w:val="1"/>
    <w:qFormat/>
    <w:rsid w:val="00B32DDB"/>
    <w:rPr>
      <w:rFonts w:ascii="Calibri" w:hAnsi="Calibri"/>
      <w:sz w:val="24"/>
    </w:rPr>
  </w:style>
  <w:style w:type="paragraph" w:customStyle="1" w:styleId="ref">
    <w:name w:val="ref"/>
    <w:basedOn w:val="Normal"/>
    <w:next w:val="Normal"/>
    <w:rsid w:val="007E46DC"/>
    <w:pPr>
      <w:spacing w:before="60" w:after="0" w:line="240" w:lineRule="auto"/>
      <w:jc w:val="both"/>
    </w:pPr>
    <w:rPr>
      <w:rFonts w:ascii="Times New Roman" w:eastAsia="Times New Roman" w:hAnsi="Times New Roman" w:cs="Times New Roman"/>
      <w:sz w:val="18"/>
      <w:szCs w:val="20"/>
    </w:rPr>
  </w:style>
  <w:style w:type="paragraph" w:customStyle="1" w:styleId="TableText10">
    <w:name w:val="TableText10"/>
    <w:basedOn w:val="TableText"/>
    <w:rsid w:val="007E46DC"/>
    <w:pPr>
      <w:tabs>
        <w:tab w:val="left" w:pos="0"/>
      </w:tabs>
    </w:pPr>
    <w:rPr>
      <w:sz w:val="20"/>
      <w:szCs w:val="20"/>
    </w:rPr>
  </w:style>
  <w:style w:type="paragraph" w:customStyle="1" w:styleId="TableNumbered">
    <w:name w:val="TableNumbered"/>
    <w:basedOn w:val="TableText10"/>
    <w:qFormat/>
    <w:rsid w:val="007E46DC"/>
    <w:pPr>
      <w:numPr>
        <w:numId w:val="23"/>
      </w:numPr>
    </w:pPr>
  </w:style>
  <w:style w:type="paragraph" w:customStyle="1" w:styleId="Sched-heading">
    <w:name w:val="Sched-heading"/>
    <w:basedOn w:val="Normal"/>
    <w:next w:val="Normal"/>
    <w:rsid w:val="007E46DC"/>
    <w:pPr>
      <w:keepNext/>
      <w:tabs>
        <w:tab w:val="left" w:pos="2600"/>
      </w:tabs>
      <w:spacing w:before="380" w:after="0" w:line="240" w:lineRule="auto"/>
      <w:ind w:left="2600" w:hanging="2600"/>
      <w:outlineLvl w:val="0"/>
    </w:pPr>
    <w:rPr>
      <w:rFonts w:ascii="Arial" w:eastAsia="Times New Roman" w:hAnsi="Arial" w:cs="Times New Roman"/>
      <w:b/>
      <w:sz w:val="34"/>
      <w:szCs w:val="20"/>
    </w:rPr>
  </w:style>
  <w:style w:type="character" w:customStyle="1" w:styleId="CharChapNo">
    <w:name w:val="CharChapNo"/>
    <w:rsid w:val="007E46DC"/>
  </w:style>
  <w:style w:type="character" w:customStyle="1" w:styleId="CharChapText">
    <w:name w:val="CharChapText"/>
    <w:rsid w:val="007E46DC"/>
  </w:style>
  <w:style w:type="paragraph" w:customStyle="1" w:styleId="Calibribody">
    <w:name w:val="Calibri body"/>
    <w:basedOn w:val="AH5Sec"/>
    <w:rsid w:val="00452F37"/>
    <w:pPr>
      <w:tabs>
        <w:tab w:val="clear" w:pos="1100"/>
        <w:tab w:val="left" w:pos="360"/>
        <w:tab w:val="left" w:pos="1440"/>
      </w:tabs>
      <w:spacing w:before="220" w:after="220" w:line="280" w:lineRule="atLeast"/>
      <w:ind w:left="360" w:firstLine="0"/>
    </w:pPr>
    <w:rPr>
      <w:rFonts w:ascii="Calibri" w:hAnsi="Calibri" w:cs="Calibri"/>
      <w:sz w:val="22"/>
      <w:szCs w:val="22"/>
    </w:rPr>
  </w:style>
  <w:style w:type="paragraph" w:customStyle="1" w:styleId="TOCHeading2">
    <w:name w:val="TOC Heading2"/>
    <w:rsid w:val="00AF6CB6"/>
    <w:pPr>
      <w:keepNext/>
      <w:pageBreakBefore/>
      <w:widowControl w:val="0"/>
      <w:spacing w:after="480" w:line="240" w:lineRule="auto"/>
    </w:pPr>
    <w:rPr>
      <w:rFonts w:ascii="Arial Narrow" w:eastAsia="Calibri" w:hAnsi="Arial Narrow" w:cs="Arial Narrow"/>
      <w:smallCaps/>
      <w:color w:val="000000"/>
      <w:sz w:val="60"/>
      <w:szCs w:val="60"/>
      <w:lang w:eastAsia="en-AU"/>
    </w:rPr>
  </w:style>
  <w:style w:type="character" w:styleId="EndnoteReference">
    <w:name w:val="endnote reference"/>
    <w:rsid w:val="00AF6CB6"/>
    <w:rPr>
      <w:vertAlign w:val="superscript"/>
    </w:rPr>
  </w:style>
  <w:style w:type="paragraph" w:customStyle="1" w:styleId="LongTitle">
    <w:name w:val="LongTitle"/>
    <w:basedOn w:val="Normal"/>
    <w:rsid w:val="001352E7"/>
    <w:pPr>
      <w:spacing w:before="240" w:after="60" w:line="240" w:lineRule="auto"/>
      <w:jc w:val="both"/>
    </w:pPr>
    <w:rPr>
      <w:rFonts w:ascii="Times New Roman" w:eastAsia="Times New Roman" w:hAnsi="Times New Roman" w:cs="Times New Roman"/>
      <w:sz w:val="24"/>
      <w:szCs w:val="24"/>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link w:val="ListParagraph"/>
    <w:uiPriority w:val="34"/>
    <w:qFormat/>
    <w:locked/>
    <w:rsid w:val="006505B3"/>
  </w:style>
  <w:style w:type="paragraph" w:customStyle="1" w:styleId="tablenormal0">
    <w:name w:val="table normal"/>
    <w:basedOn w:val="Normal"/>
    <w:uiPriority w:val="99"/>
    <w:rsid w:val="006505B3"/>
    <w:pPr>
      <w:spacing w:before="80" w:after="80" w:line="240" w:lineRule="auto"/>
    </w:pPr>
    <w:rPr>
      <w:rFonts w:ascii="Times New Roman" w:eastAsia="Times New Roman" w:hAnsi="Times New Roman" w:cs="Times New Roman"/>
    </w:rPr>
  </w:style>
  <w:style w:type="paragraph" w:customStyle="1" w:styleId="01Contents">
    <w:name w:val="01Contents"/>
    <w:basedOn w:val="Normal"/>
    <w:rsid w:val="006505B3"/>
    <w:pPr>
      <w:tabs>
        <w:tab w:val="left" w:pos="2880"/>
      </w:tabs>
      <w:overflowPunct w:val="0"/>
      <w:autoSpaceDE w:val="0"/>
      <w:autoSpaceDN w:val="0"/>
      <w:adjustRightInd w:val="0"/>
      <w:spacing w:before="0" w:after="0" w:line="240" w:lineRule="auto"/>
      <w:textAlignment w:val="baseline"/>
    </w:pPr>
    <w:rPr>
      <w:rFonts w:ascii="Arial" w:eastAsia="Times New Roman" w:hAnsi="Arial" w:cs="Times New Roman"/>
      <w:sz w:val="24"/>
      <w:szCs w:val="24"/>
    </w:rPr>
  </w:style>
  <w:style w:type="paragraph" w:customStyle="1" w:styleId="Isubpara">
    <w:name w:val="I subpara"/>
    <w:basedOn w:val="Normal"/>
    <w:rsid w:val="006505B3"/>
    <w:pPr>
      <w:tabs>
        <w:tab w:val="right" w:pos="1940"/>
        <w:tab w:val="left" w:pos="2140"/>
      </w:tabs>
      <w:spacing w:before="140" w:after="0" w:line="240" w:lineRule="auto"/>
      <w:ind w:left="2140" w:hanging="2140"/>
      <w:jc w:val="both"/>
    </w:pPr>
    <w:rPr>
      <w:rFonts w:ascii="Times New Roman" w:eastAsia="Times New Roman" w:hAnsi="Times New Roman" w:cs="Times New Roman"/>
      <w:sz w:val="24"/>
      <w:szCs w:val="20"/>
    </w:rPr>
  </w:style>
  <w:style w:type="paragraph" w:customStyle="1" w:styleId="BodySectionSub">
    <w:name w:val="Body Section (Sub)"/>
    <w:next w:val="Normal"/>
    <w:link w:val="BodySectionSubChar"/>
    <w:rsid w:val="00DE6851"/>
    <w:pPr>
      <w:overflowPunct w:val="0"/>
      <w:autoSpaceDE w:val="0"/>
      <w:autoSpaceDN w:val="0"/>
      <w:adjustRightInd w:val="0"/>
      <w:spacing w:before="120" w:after="0" w:line="240" w:lineRule="auto"/>
      <w:ind w:left="1361"/>
      <w:textAlignment w:val="baseline"/>
    </w:pPr>
    <w:rPr>
      <w:rFonts w:ascii="Times New Roman" w:eastAsia="Times New Roman" w:hAnsi="Times New Roman" w:cs="Times New Roman"/>
      <w:sz w:val="24"/>
      <w:szCs w:val="20"/>
    </w:rPr>
  </w:style>
  <w:style w:type="paragraph" w:customStyle="1" w:styleId="DraftHeading3">
    <w:name w:val="Draft Heading 3"/>
    <w:basedOn w:val="Normal"/>
    <w:next w:val="Normal"/>
    <w:rsid w:val="00DE6851"/>
    <w:pPr>
      <w:overflowPunct w:val="0"/>
      <w:autoSpaceDE w:val="0"/>
      <w:autoSpaceDN w:val="0"/>
      <w:adjustRightInd w:val="0"/>
      <w:spacing w:before="120" w:after="0" w:line="240" w:lineRule="auto"/>
      <w:textAlignment w:val="baseline"/>
    </w:pPr>
    <w:rPr>
      <w:rFonts w:ascii="Times New Roman" w:eastAsia="Times New Roman" w:hAnsi="Times New Roman" w:cs="Times New Roman"/>
      <w:sz w:val="24"/>
      <w:szCs w:val="20"/>
    </w:rPr>
  </w:style>
  <w:style w:type="paragraph" w:customStyle="1" w:styleId="DraftHeading1">
    <w:name w:val="Draft Heading 1"/>
    <w:basedOn w:val="Normal"/>
    <w:next w:val="Normal"/>
    <w:link w:val="DraftHeading1Char"/>
    <w:rsid w:val="00DE6851"/>
    <w:pPr>
      <w:overflowPunct w:val="0"/>
      <w:autoSpaceDE w:val="0"/>
      <w:autoSpaceDN w:val="0"/>
      <w:adjustRightInd w:val="0"/>
      <w:spacing w:before="120" w:after="0" w:line="240" w:lineRule="auto"/>
      <w:textAlignment w:val="baseline"/>
      <w:outlineLvl w:val="2"/>
    </w:pPr>
    <w:rPr>
      <w:rFonts w:ascii="Times New Roman" w:eastAsia="Times New Roman" w:hAnsi="Times New Roman" w:cs="Times New Roman"/>
      <w:b/>
      <w:sz w:val="24"/>
      <w:szCs w:val="24"/>
    </w:rPr>
  </w:style>
  <w:style w:type="character" w:customStyle="1" w:styleId="BodySectionSubChar">
    <w:name w:val="Body Section (Sub) Char"/>
    <w:basedOn w:val="DefaultParagraphFont"/>
    <w:link w:val="BodySectionSub"/>
    <w:rsid w:val="00DE6851"/>
    <w:rPr>
      <w:rFonts w:ascii="Times New Roman" w:eastAsia="Times New Roman" w:hAnsi="Times New Roman" w:cs="Times New Roman"/>
      <w:sz w:val="24"/>
      <w:szCs w:val="20"/>
    </w:rPr>
  </w:style>
  <w:style w:type="character" w:customStyle="1" w:styleId="DraftHeading1Char">
    <w:name w:val="Draft Heading 1 Char"/>
    <w:basedOn w:val="DefaultParagraphFont"/>
    <w:link w:val="DraftHeading1"/>
    <w:rsid w:val="00DE6851"/>
    <w:rPr>
      <w:rFonts w:ascii="Times New Roman" w:eastAsia="Times New Roman" w:hAnsi="Times New Roman" w:cs="Times New Roman"/>
      <w:b/>
      <w:sz w:val="24"/>
      <w:szCs w:val="24"/>
    </w:rPr>
  </w:style>
  <w:style w:type="paragraph" w:customStyle="1" w:styleId="aDefsubpara">
    <w:name w:val="aDef subpara"/>
    <w:basedOn w:val="Asubpara"/>
    <w:rsid w:val="000D3223"/>
    <w:pPr>
      <w:tabs>
        <w:tab w:val="clear" w:pos="1900"/>
        <w:tab w:val="clear" w:pos="2100"/>
        <w:tab w:val="num" w:pos="2140"/>
      </w:tabs>
      <w:ind w:left="2140" w:hanging="200"/>
    </w:pPr>
  </w:style>
  <w:style w:type="paragraph" w:customStyle="1" w:styleId="ESText0">
    <w:name w:val="ES Text"/>
    <w:basedOn w:val="Normal"/>
    <w:qFormat/>
    <w:rsid w:val="00F362C8"/>
    <w:pPr>
      <w:spacing w:before="100" w:beforeAutospacing="1" w:after="100" w:afterAutospacing="1" w:line="240" w:lineRule="auto"/>
      <w:contextualSpacing/>
    </w:pPr>
    <w:rPr>
      <w:rFonts w:ascii="Times New Roman" w:eastAsia="Times New Roman" w:hAnsi="Times New Roman" w:cs="Times New Roman"/>
      <w:sz w:val="24"/>
      <w:szCs w:val="24"/>
    </w:rPr>
  </w:style>
  <w:style w:type="character" w:customStyle="1" w:styleId="Style1Char">
    <w:name w:val="Style1 Char"/>
    <w:basedOn w:val="Heading2Char"/>
    <w:rsid w:val="001D6452"/>
    <w:rPr>
      <w:rFonts w:ascii="Calibri" w:eastAsia="Calibri" w:hAnsi="Calibri" w:cs="Arial"/>
      <w:b/>
      <w:bCs/>
      <w:smallCaps w:val="0"/>
      <w:color w:val="2E74B5" w:themeColor="accent1" w:themeShade="BF"/>
      <w:kern w:val="32"/>
      <w:sz w:val="24"/>
      <w:szCs w:val="20"/>
      <w:lang w:val="en-AU" w:eastAsia="en-AU"/>
    </w:rPr>
  </w:style>
  <w:style w:type="paragraph" w:customStyle="1" w:styleId="CS-Paragraphnumbering">
    <w:name w:val="CS - Paragraph numbering"/>
    <w:basedOn w:val="Normal"/>
    <w:rsid w:val="00BA47E5"/>
    <w:pPr>
      <w:numPr>
        <w:numId w:val="34"/>
      </w:numPr>
      <w:spacing w:before="0" w:after="120" w:line="276" w:lineRule="auto"/>
      <w:ind w:right="-45"/>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43566">
      <w:bodyDiv w:val="1"/>
      <w:marLeft w:val="0"/>
      <w:marRight w:val="0"/>
      <w:marTop w:val="0"/>
      <w:marBottom w:val="0"/>
      <w:divBdr>
        <w:top w:val="none" w:sz="0" w:space="0" w:color="auto"/>
        <w:left w:val="none" w:sz="0" w:space="0" w:color="auto"/>
        <w:bottom w:val="none" w:sz="0" w:space="0" w:color="auto"/>
        <w:right w:val="none" w:sz="0" w:space="0" w:color="auto"/>
      </w:divBdr>
    </w:div>
    <w:div w:id="44761495">
      <w:bodyDiv w:val="1"/>
      <w:marLeft w:val="0"/>
      <w:marRight w:val="0"/>
      <w:marTop w:val="0"/>
      <w:marBottom w:val="0"/>
      <w:divBdr>
        <w:top w:val="none" w:sz="0" w:space="0" w:color="auto"/>
        <w:left w:val="none" w:sz="0" w:space="0" w:color="auto"/>
        <w:bottom w:val="none" w:sz="0" w:space="0" w:color="auto"/>
        <w:right w:val="none" w:sz="0" w:space="0" w:color="auto"/>
      </w:divBdr>
    </w:div>
    <w:div w:id="80682419">
      <w:bodyDiv w:val="1"/>
      <w:marLeft w:val="0"/>
      <w:marRight w:val="0"/>
      <w:marTop w:val="0"/>
      <w:marBottom w:val="0"/>
      <w:divBdr>
        <w:top w:val="none" w:sz="0" w:space="0" w:color="auto"/>
        <w:left w:val="none" w:sz="0" w:space="0" w:color="auto"/>
        <w:bottom w:val="none" w:sz="0" w:space="0" w:color="auto"/>
        <w:right w:val="none" w:sz="0" w:space="0" w:color="auto"/>
      </w:divBdr>
    </w:div>
    <w:div w:id="160047176">
      <w:bodyDiv w:val="1"/>
      <w:marLeft w:val="0"/>
      <w:marRight w:val="0"/>
      <w:marTop w:val="0"/>
      <w:marBottom w:val="0"/>
      <w:divBdr>
        <w:top w:val="none" w:sz="0" w:space="0" w:color="auto"/>
        <w:left w:val="none" w:sz="0" w:space="0" w:color="auto"/>
        <w:bottom w:val="none" w:sz="0" w:space="0" w:color="auto"/>
        <w:right w:val="none" w:sz="0" w:space="0" w:color="auto"/>
      </w:divBdr>
    </w:div>
    <w:div w:id="211313724">
      <w:bodyDiv w:val="1"/>
      <w:marLeft w:val="0"/>
      <w:marRight w:val="0"/>
      <w:marTop w:val="0"/>
      <w:marBottom w:val="0"/>
      <w:divBdr>
        <w:top w:val="none" w:sz="0" w:space="0" w:color="auto"/>
        <w:left w:val="none" w:sz="0" w:space="0" w:color="auto"/>
        <w:bottom w:val="none" w:sz="0" w:space="0" w:color="auto"/>
        <w:right w:val="none" w:sz="0" w:space="0" w:color="auto"/>
      </w:divBdr>
    </w:div>
    <w:div w:id="353387201">
      <w:bodyDiv w:val="1"/>
      <w:marLeft w:val="0"/>
      <w:marRight w:val="0"/>
      <w:marTop w:val="0"/>
      <w:marBottom w:val="0"/>
      <w:divBdr>
        <w:top w:val="none" w:sz="0" w:space="0" w:color="auto"/>
        <w:left w:val="none" w:sz="0" w:space="0" w:color="auto"/>
        <w:bottom w:val="none" w:sz="0" w:space="0" w:color="auto"/>
        <w:right w:val="none" w:sz="0" w:space="0" w:color="auto"/>
      </w:divBdr>
    </w:div>
    <w:div w:id="378287222">
      <w:bodyDiv w:val="1"/>
      <w:marLeft w:val="0"/>
      <w:marRight w:val="0"/>
      <w:marTop w:val="0"/>
      <w:marBottom w:val="0"/>
      <w:divBdr>
        <w:top w:val="none" w:sz="0" w:space="0" w:color="auto"/>
        <w:left w:val="none" w:sz="0" w:space="0" w:color="auto"/>
        <w:bottom w:val="none" w:sz="0" w:space="0" w:color="auto"/>
        <w:right w:val="none" w:sz="0" w:space="0" w:color="auto"/>
      </w:divBdr>
    </w:div>
    <w:div w:id="386148917">
      <w:bodyDiv w:val="1"/>
      <w:marLeft w:val="0"/>
      <w:marRight w:val="0"/>
      <w:marTop w:val="0"/>
      <w:marBottom w:val="0"/>
      <w:divBdr>
        <w:top w:val="none" w:sz="0" w:space="0" w:color="auto"/>
        <w:left w:val="none" w:sz="0" w:space="0" w:color="auto"/>
        <w:bottom w:val="none" w:sz="0" w:space="0" w:color="auto"/>
        <w:right w:val="none" w:sz="0" w:space="0" w:color="auto"/>
      </w:divBdr>
    </w:div>
    <w:div w:id="413749720">
      <w:bodyDiv w:val="1"/>
      <w:marLeft w:val="0"/>
      <w:marRight w:val="0"/>
      <w:marTop w:val="0"/>
      <w:marBottom w:val="0"/>
      <w:divBdr>
        <w:top w:val="none" w:sz="0" w:space="0" w:color="auto"/>
        <w:left w:val="none" w:sz="0" w:space="0" w:color="auto"/>
        <w:bottom w:val="none" w:sz="0" w:space="0" w:color="auto"/>
        <w:right w:val="none" w:sz="0" w:space="0" w:color="auto"/>
      </w:divBdr>
    </w:div>
    <w:div w:id="451359759">
      <w:bodyDiv w:val="1"/>
      <w:marLeft w:val="0"/>
      <w:marRight w:val="0"/>
      <w:marTop w:val="0"/>
      <w:marBottom w:val="0"/>
      <w:divBdr>
        <w:top w:val="none" w:sz="0" w:space="0" w:color="auto"/>
        <w:left w:val="none" w:sz="0" w:space="0" w:color="auto"/>
        <w:bottom w:val="none" w:sz="0" w:space="0" w:color="auto"/>
        <w:right w:val="none" w:sz="0" w:space="0" w:color="auto"/>
      </w:divBdr>
    </w:div>
    <w:div w:id="453252857">
      <w:bodyDiv w:val="1"/>
      <w:marLeft w:val="0"/>
      <w:marRight w:val="0"/>
      <w:marTop w:val="0"/>
      <w:marBottom w:val="0"/>
      <w:divBdr>
        <w:top w:val="none" w:sz="0" w:space="0" w:color="auto"/>
        <w:left w:val="none" w:sz="0" w:space="0" w:color="auto"/>
        <w:bottom w:val="none" w:sz="0" w:space="0" w:color="auto"/>
        <w:right w:val="none" w:sz="0" w:space="0" w:color="auto"/>
      </w:divBdr>
    </w:div>
    <w:div w:id="479882438">
      <w:bodyDiv w:val="1"/>
      <w:marLeft w:val="0"/>
      <w:marRight w:val="0"/>
      <w:marTop w:val="0"/>
      <w:marBottom w:val="0"/>
      <w:divBdr>
        <w:top w:val="none" w:sz="0" w:space="0" w:color="auto"/>
        <w:left w:val="none" w:sz="0" w:space="0" w:color="auto"/>
        <w:bottom w:val="none" w:sz="0" w:space="0" w:color="auto"/>
        <w:right w:val="none" w:sz="0" w:space="0" w:color="auto"/>
      </w:divBdr>
    </w:div>
    <w:div w:id="496581886">
      <w:bodyDiv w:val="1"/>
      <w:marLeft w:val="0"/>
      <w:marRight w:val="0"/>
      <w:marTop w:val="0"/>
      <w:marBottom w:val="0"/>
      <w:divBdr>
        <w:top w:val="none" w:sz="0" w:space="0" w:color="auto"/>
        <w:left w:val="none" w:sz="0" w:space="0" w:color="auto"/>
        <w:bottom w:val="none" w:sz="0" w:space="0" w:color="auto"/>
        <w:right w:val="none" w:sz="0" w:space="0" w:color="auto"/>
      </w:divBdr>
    </w:div>
    <w:div w:id="515384351">
      <w:bodyDiv w:val="1"/>
      <w:marLeft w:val="0"/>
      <w:marRight w:val="0"/>
      <w:marTop w:val="0"/>
      <w:marBottom w:val="0"/>
      <w:divBdr>
        <w:top w:val="none" w:sz="0" w:space="0" w:color="auto"/>
        <w:left w:val="none" w:sz="0" w:space="0" w:color="auto"/>
        <w:bottom w:val="none" w:sz="0" w:space="0" w:color="auto"/>
        <w:right w:val="none" w:sz="0" w:space="0" w:color="auto"/>
      </w:divBdr>
    </w:div>
    <w:div w:id="624891158">
      <w:bodyDiv w:val="1"/>
      <w:marLeft w:val="0"/>
      <w:marRight w:val="0"/>
      <w:marTop w:val="0"/>
      <w:marBottom w:val="0"/>
      <w:divBdr>
        <w:top w:val="none" w:sz="0" w:space="0" w:color="auto"/>
        <w:left w:val="none" w:sz="0" w:space="0" w:color="auto"/>
        <w:bottom w:val="none" w:sz="0" w:space="0" w:color="auto"/>
        <w:right w:val="none" w:sz="0" w:space="0" w:color="auto"/>
      </w:divBdr>
    </w:div>
    <w:div w:id="657920229">
      <w:bodyDiv w:val="1"/>
      <w:marLeft w:val="0"/>
      <w:marRight w:val="0"/>
      <w:marTop w:val="0"/>
      <w:marBottom w:val="0"/>
      <w:divBdr>
        <w:top w:val="none" w:sz="0" w:space="0" w:color="auto"/>
        <w:left w:val="none" w:sz="0" w:space="0" w:color="auto"/>
        <w:bottom w:val="none" w:sz="0" w:space="0" w:color="auto"/>
        <w:right w:val="none" w:sz="0" w:space="0" w:color="auto"/>
      </w:divBdr>
    </w:div>
    <w:div w:id="665597187">
      <w:bodyDiv w:val="1"/>
      <w:marLeft w:val="0"/>
      <w:marRight w:val="0"/>
      <w:marTop w:val="0"/>
      <w:marBottom w:val="0"/>
      <w:divBdr>
        <w:top w:val="none" w:sz="0" w:space="0" w:color="auto"/>
        <w:left w:val="none" w:sz="0" w:space="0" w:color="auto"/>
        <w:bottom w:val="none" w:sz="0" w:space="0" w:color="auto"/>
        <w:right w:val="none" w:sz="0" w:space="0" w:color="auto"/>
      </w:divBdr>
    </w:div>
    <w:div w:id="669332373">
      <w:bodyDiv w:val="1"/>
      <w:marLeft w:val="0"/>
      <w:marRight w:val="0"/>
      <w:marTop w:val="0"/>
      <w:marBottom w:val="0"/>
      <w:divBdr>
        <w:top w:val="none" w:sz="0" w:space="0" w:color="auto"/>
        <w:left w:val="none" w:sz="0" w:space="0" w:color="auto"/>
        <w:bottom w:val="none" w:sz="0" w:space="0" w:color="auto"/>
        <w:right w:val="none" w:sz="0" w:space="0" w:color="auto"/>
      </w:divBdr>
    </w:div>
    <w:div w:id="709569828">
      <w:bodyDiv w:val="1"/>
      <w:marLeft w:val="0"/>
      <w:marRight w:val="0"/>
      <w:marTop w:val="0"/>
      <w:marBottom w:val="0"/>
      <w:divBdr>
        <w:top w:val="none" w:sz="0" w:space="0" w:color="auto"/>
        <w:left w:val="none" w:sz="0" w:space="0" w:color="auto"/>
        <w:bottom w:val="none" w:sz="0" w:space="0" w:color="auto"/>
        <w:right w:val="none" w:sz="0" w:space="0" w:color="auto"/>
      </w:divBdr>
    </w:div>
    <w:div w:id="752706501">
      <w:bodyDiv w:val="1"/>
      <w:marLeft w:val="0"/>
      <w:marRight w:val="0"/>
      <w:marTop w:val="0"/>
      <w:marBottom w:val="0"/>
      <w:divBdr>
        <w:top w:val="none" w:sz="0" w:space="0" w:color="auto"/>
        <w:left w:val="none" w:sz="0" w:space="0" w:color="auto"/>
        <w:bottom w:val="none" w:sz="0" w:space="0" w:color="auto"/>
        <w:right w:val="none" w:sz="0" w:space="0" w:color="auto"/>
      </w:divBdr>
    </w:div>
    <w:div w:id="823400820">
      <w:bodyDiv w:val="1"/>
      <w:marLeft w:val="0"/>
      <w:marRight w:val="0"/>
      <w:marTop w:val="0"/>
      <w:marBottom w:val="0"/>
      <w:divBdr>
        <w:top w:val="none" w:sz="0" w:space="0" w:color="auto"/>
        <w:left w:val="none" w:sz="0" w:space="0" w:color="auto"/>
        <w:bottom w:val="none" w:sz="0" w:space="0" w:color="auto"/>
        <w:right w:val="none" w:sz="0" w:space="0" w:color="auto"/>
      </w:divBdr>
    </w:div>
    <w:div w:id="859782865">
      <w:bodyDiv w:val="1"/>
      <w:marLeft w:val="0"/>
      <w:marRight w:val="0"/>
      <w:marTop w:val="0"/>
      <w:marBottom w:val="0"/>
      <w:divBdr>
        <w:top w:val="none" w:sz="0" w:space="0" w:color="auto"/>
        <w:left w:val="none" w:sz="0" w:space="0" w:color="auto"/>
        <w:bottom w:val="none" w:sz="0" w:space="0" w:color="auto"/>
        <w:right w:val="none" w:sz="0" w:space="0" w:color="auto"/>
      </w:divBdr>
    </w:div>
    <w:div w:id="893808291">
      <w:bodyDiv w:val="1"/>
      <w:marLeft w:val="0"/>
      <w:marRight w:val="0"/>
      <w:marTop w:val="0"/>
      <w:marBottom w:val="0"/>
      <w:divBdr>
        <w:top w:val="none" w:sz="0" w:space="0" w:color="auto"/>
        <w:left w:val="none" w:sz="0" w:space="0" w:color="auto"/>
        <w:bottom w:val="none" w:sz="0" w:space="0" w:color="auto"/>
        <w:right w:val="none" w:sz="0" w:space="0" w:color="auto"/>
      </w:divBdr>
    </w:div>
    <w:div w:id="921261751">
      <w:bodyDiv w:val="1"/>
      <w:marLeft w:val="0"/>
      <w:marRight w:val="0"/>
      <w:marTop w:val="0"/>
      <w:marBottom w:val="0"/>
      <w:divBdr>
        <w:top w:val="none" w:sz="0" w:space="0" w:color="auto"/>
        <w:left w:val="none" w:sz="0" w:space="0" w:color="auto"/>
        <w:bottom w:val="none" w:sz="0" w:space="0" w:color="auto"/>
        <w:right w:val="none" w:sz="0" w:space="0" w:color="auto"/>
      </w:divBdr>
    </w:div>
    <w:div w:id="931664524">
      <w:bodyDiv w:val="1"/>
      <w:marLeft w:val="0"/>
      <w:marRight w:val="0"/>
      <w:marTop w:val="0"/>
      <w:marBottom w:val="0"/>
      <w:divBdr>
        <w:top w:val="none" w:sz="0" w:space="0" w:color="auto"/>
        <w:left w:val="none" w:sz="0" w:space="0" w:color="auto"/>
        <w:bottom w:val="none" w:sz="0" w:space="0" w:color="auto"/>
        <w:right w:val="none" w:sz="0" w:space="0" w:color="auto"/>
      </w:divBdr>
    </w:div>
    <w:div w:id="975793566">
      <w:bodyDiv w:val="1"/>
      <w:marLeft w:val="0"/>
      <w:marRight w:val="0"/>
      <w:marTop w:val="0"/>
      <w:marBottom w:val="0"/>
      <w:divBdr>
        <w:top w:val="none" w:sz="0" w:space="0" w:color="auto"/>
        <w:left w:val="none" w:sz="0" w:space="0" w:color="auto"/>
        <w:bottom w:val="none" w:sz="0" w:space="0" w:color="auto"/>
        <w:right w:val="none" w:sz="0" w:space="0" w:color="auto"/>
      </w:divBdr>
    </w:div>
    <w:div w:id="1008602624">
      <w:bodyDiv w:val="1"/>
      <w:marLeft w:val="0"/>
      <w:marRight w:val="0"/>
      <w:marTop w:val="0"/>
      <w:marBottom w:val="0"/>
      <w:divBdr>
        <w:top w:val="none" w:sz="0" w:space="0" w:color="auto"/>
        <w:left w:val="none" w:sz="0" w:space="0" w:color="auto"/>
        <w:bottom w:val="none" w:sz="0" w:space="0" w:color="auto"/>
        <w:right w:val="none" w:sz="0" w:space="0" w:color="auto"/>
      </w:divBdr>
    </w:div>
    <w:div w:id="1012806413">
      <w:bodyDiv w:val="1"/>
      <w:marLeft w:val="0"/>
      <w:marRight w:val="0"/>
      <w:marTop w:val="0"/>
      <w:marBottom w:val="0"/>
      <w:divBdr>
        <w:top w:val="none" w:sz="0" w:space="0" w:color="auto"/>
        <w:left w:val="none" w:sz="0" w:space="0" w:color="auto"/>
        <w:bottom w:val="none" w:sz="0" w:space="0" w:color="auto"/>
        <w:right w:val="none" w:sz="0" w:space="0" w:color="auto"/>
      </w:divBdr>
    </w:div>
    <w:div w:id="1040787363">
      <w:bodyDiv w:val="1"/>
      <w:marLeft w:val="0"/>
      <w:marRight w:val="0"/>
      <w:marTop w:val="0"/>
      <w:marBottom w:val="0"/>
      <w:divBdr>
        <w:top w:val="none" w:sz="0" w:space="0" w:color="auto"/>
        <w:left w:val="none" w:sz="0" w:space="0" w:color="auto"/>
        <w:bottom w:val="none" w:sz="0" w:space="0" w:color="auto"/>
        <w:right w:val="none" w:sz="0" w:space="0" w:color="auto"/>
      </w:divBdr>
    </w:div>
    <w:div w:id="1101681319">
      <w:bodyDiv w:val="1"/>
      <w:marLeft w:val="0"/>
      <w:marRight w:val="0"/>
      <w:marTop w:val="0"/>
      <w:marBottom w:val="0"/>
      <w:divBdr>
        <w:top w:val="none" w:sz="0" w:space="0" w:color="auto"/>
        <w:left w:val="none" w:sz="0" w:space="0" w:color="auto"/>
        <w:bottom w:val="none" w:sz="0" w:space="0" w:color="auto"/>
        <w:right w:val="none" w:sz="0" w:space="0" w:color="auto"/>
      </w:divBdr>
    </w:div>
    <w:div w:id="1140925372">
      <w:bodyDiv w:val="1"/>
      <w:marLeft w:val="0"/>
      <w:marRight w:val="0"/>
      <w:marTop w:val="0"/>
      <w:marBottom w:val="0"/>
      <w:divBdr>
        <w:top w:val="none" w:sz="0" w:space="0" w:color="auto"/>
        <w:left w:val="none" w:sz="0" w:space="0" w:color="auto"/>
        <w:bottom w:val="none" w:sz="0" w:space="0" w:color="auto"/>
        <w:right w:val="none" w:sz="0" w:space="0" w:color="auto"/>
      </w:divBdr>
    </w:div>
    <w:div w:id="1159611574">
      <w:bodyDiv w:val="1"/>
      <w:marLeft w:val="0"/>
      <w:marRight w:val="0"/>
      <w:marTop w:val="0"/>
      <w:marBottom w:val="0"/>
      <w:divBdr>
        <w:top w:val="none" w:sz="0" w:space="0" w:color="auto"/>
        <w:left w:val="none" w:sz="0" w:space="0" w:color="auto"/>
        <w:bottom w:val="none" w:sz="0" w:space="0" w:color="auto"/>
        <w:right w:val="none" w:sz="0" w:space="0" w:color="auto"/>
      </w:divBdr>
    </w:div>
    <w:div w:id="1221866825">
      <w:bodyDiv w:val="1"/>
      <w:marLeft w:val="0"/>
      <w:marRight w:val="0"/>
      <w:marTop w:val="0"/>
      <w:marBottom w:val="0"/>
      <w:divBdr>
        <w:top w:val="none" w:sz="0" w:space="0" w:color="auto"/>
        <w:left w:val="none" w:sz="0" w:space="0" w:color="auto"/>
        <w:bottom w:val="none" w:sz="0" w:space="0" w:color="auto"/>
        <w:right w:val="none" w:sz="0" w:space="0" w:color="auto"/>
      </w:divBdr>
    </w:div>
    <w:div w:id="1272972304">
      <w:bodyDiv w:val="1"/>
      <w:marLeft w:val="0"/>
      <w:marRight w:val="0"/>
      <w:marTop w:val="0"/>
      <w:marBottom w:val="0"/>
      <w:divBdr>
        <w:top w:val="none" w:sz="0" w:space="0" w:color="auto"/>
        <w:left w:val="none" w:sz="0" w:space="0" w:color="auto"/>
        <w:bottom w:val="none" w:sz="0" w:space="0" w:color="auto"/>
        <w:right w:val="none" w:sz="0" w:space="0" w:color="auto"/>
      </w:divBdr>
    </w:div>
    <w:div w:id="1283415181">
      <w:bodyDiv w:val="1"/>
      <w:marLeft w:val="0"/>
      <w:marRight w:val="0"/>
      <w:marTop w:val="0"/>
      <w:marBottom w:val="0"/>
      <w:divBdr>
        <w:top w:val="none" w:sz="0" w:space="0" w:color="auto"/>
        <w:left w:val="none" w:sz="0" w:space="0" w:color="auto"/>
        <w:bottom w:val="none" w:sz="0" w:space="0" w:color="auto"/>
        <w:right w:val="none" w:sz="0" w:space="0" w:color="auto"/>
      </w:divBdr>
    </w:div>
    <w:div w:id="1288320872">
      <w:bodyDiv w:val="1"/>
      <w:marLeft w:val="0"/>
      <w:marRight w:val="0"/>
      <w:marTop w:val="0"/>
      <w:marBottom w:val="0"/>
      <w:divBdr>
        <w:top w:val="none" w:sz="0" w:space="0" w:color="auto"/>
        <w:left w:val="none" w:sz="0" w:space="0" w:color="auto"/>
        <w:bottom w:val="none" w:sz="0" w:space="0" w:color="auto"/>
        <w:right w:val="none" w:sz="0" w:space="0" w:color="auto"/>
      </w:divBdr>
    </w:div>
    <w:div w:id="1288389191">
      <w:bodyDiv w:val="1"/>
      <w:marLeft w:val="0"/>
      <w:marRight w:val="0"/>
      <w:marTop w:val="0"/>
      <w:marBottom w:val="0"/>
      <w:divBdr>
        <w:top w:val="none" w:sz="0" w:space="0" w:color="auto"/>
        <w:left w:val="none" w:sz="0" w:space="0" w:color="auto"/>
        <w:bottom w:val="none" w:sz="0" w:space="0" w:color="auto"/>
        <w:right w:val="none" w:sz="0" w:space="0" w:color="auto"/>
      </w:divBdr>
    </w:div>
    <w:div w:id="1297570248">
      <w:bodyDiv w:val="1"/>
      <w:marLeft w:val="0"/>
      <w:marRight w:val="0"/>
      <w:marTop w:val="0"/>
      <w:marBottom w:val="0"/>
      <w:divBdr>
        <w:top w:val="none" w:sz="0" w:space="0" w:color="auto"/>
        <w:left w:val="none" w:sz="0" w:space="0" w:color="auto"/>
        <w:bottom w:val="none" w:sz="0" w:space="0" w:color="auto"/>
        <w:right w:val="none" w:sz="0" w:space="0" w:color="auto"/>
      </w:divBdr>
    </w:div>
    <w:div w:id="1307322897">
      <w:bodyDiv w:val="1"/>
      <w:marLeft w:val="0"/>
      <w:marRight w:val="0"/>
      <w:marTop w:val="0"/>
      <w:marBottom w:val="0"/>
      <w:divBdr>
        <w:top w:val="none" w:sz="0" w:space="0" w:color="auto"/>
        <w:left w:val="none" w:sz="0" w:space="0" w:color="auto"/>
        <w:bottom w:val="none" w:sz="0" w:space="0" w:color="auto"/>
        <w:right w:val="none" w:sz="0" w:space="0" w:color="auto"/>
      </w:divBdr>
    </w:div>
    <w:div w:id="1311326864">
      <w:bodyDiv w:val="1"/>
      <w:marLeft w:val="0"/>
      <w:marRight w:val="0"/>
      <w:marTop w:val="0"/>
      <w:marBottom w:val="0"/>
      <w:divBdr>
        <w:top w:val="none" w:sz="0" w:space="0" w:color="auto"/>
        <w:left w:val="none" w:sz="0" w:space="0" w:color="auto"/>
        <w:bottom w:val="none" w:sz="0" w:space="0" w:color="auto"/>
        <w:right w:val="none" w:sz="0" w:space="0" w:color="auto"/>
      </w:divBdr>
    </w:div>
    <w:div w:id="1341810655">
      <w:bodyDiv w:val="1"/>
      <w:marLeft w:val="0"/>
      <w:marRight w:val="0"/>
      <w:marTop w:val="0"/>
      <w:marBottom w:val="0"/>
      <w:divBdr>
        <w:top w:val="none" w:sz="0" w:space="0" w:color="auto"/>
        <w:left w:val="none" w:sz="0" w:space="0" w:color="auto"/>
        <w:bottom w:val="none" w:sz="0" w:space="0" w:color="auto"/>
        <w:right w:val="none" w:sz="0" w:space="0" w:color="auto"/>
      </w:divBdr>
    </w:div>
    <w:div w:id="1405562978">
      <w:bodyDiv w:val="1"/>
      <w:marLeft w:val="0"/>
      <w:marRight w:val="0"/>
      <w:marTop w:val="0"/>
      <w:marBottom w:val="0"/>
      <w:divBdr>
        <w:top w:val="none" w:sz="0" w:space="0" w:color="auto"/>
        <w:left w:val="none" w:sz="0" w:space="0" w:color="auto"/>
        <w:bottom w:val="none" w:sz="0" w:space="0" w:color="auto"/>
        <w:right w:val="none" w:sz="0" w:space="0" w:color="auto"/>
      </w:divBdr>
    </w:div>
    <w:div w:id="1413235515">
      <w:bodyDiv w:val="1"/>
      <w:marLeft w:val="0"/>
      <w:marRight w:val="0"/>
      <w:marTop w:val="0"/>
      <w:marBottom w:val="0"/>
      <w:divBdr>
        <w:top w:val="none" w:sz="0" w:space="0" w:color="auto"/>
        <w:left w:val="none" w:sz="0" w:space="0" w:color="auto"/>
        <w:bottom w:val="none" w:sz="0" w:space="0" w:color="auto"/>
        <w:right w:val="none" w:sz="0" w:space="0" w:color="auto"/>
      </w:divBdr>
    </w:div>
    <w:div w:id="1449006435">
      <w:bodyDiv w:val="1"/>
      <w:marLeft w:val="0"/>
      <w:marRight w:val="0"/>
      <w:marTop w:val="0"/>
      <w:marBottom w:val="0"/>
      <w:divBdr>
        <w:top w:val="none" w:sz="0" w:space="0" w:color="auto"/>
        <w:left w:val="none" w:sz="0" w:space="0" w:color="auto"/>
        <w:bottom w:val="none" w:sz="0" w:space="0" w:color="auto"/>
        <w:right w:val="none" w:sz="0" w:space="0" w:color="auto"/>
      </w:divBdr>
    </w:div>
    <w:div w:id="1456174768">
      <w:bodyDiv w:val="1"/>
      <w:marLeft w:val="0"/>
      <w:marRight w:val="0"/>
      <w:marTop w:val="0"/>
      <w:marBottom w:val="0"/>
      <w:divBdr>
        <w:top w:val="none" w:sz="0" w:space="0" w:color="auto"/>
        <w:left w:val="none" w:sz="0" w:space="0" w:color="auto"/>
        <w:bottom w:val="none" w:sz="0" w:space="0" w:color="auto"/>
        <w:right w:val="none" w:sz="0" w:space="0" w:color="auto"/>
      </w:divBdr>
    </w:div>
    <w:div w:id="1484615299">
      <w:bodyDiv w:val="1"/>
      <w:marLeft w:val="0"/>
      <w:marRight w:val="0"/>
      <w:marTop w:val="0"/>
      <w:marBottom w:val="0"/>
      <w:divBdr>
        <w:top w:val="none" w:sz="0" w:space="0" w:color="auto"/>
        <w:left w:val="none" w:sz="0" w:space="0" w:color="auto"/>
        <w:bottom w:val="none" w:sz="0" w:space="0" w:color="auto"/>
        <w:right w:val="none" w:sz="0" w:space="0" w:color="auto"/>
      </w:divBdr>
    </w:div>
    <w:div w:id="1489596434">
      <w:bodyDiv w:val="1"/>
      <w:marLeft w:val="0"/>
      <w:marRight w:val="0"/>
      <w:marTop w:val="0"/>
      <w:marBottom w:val="0"/>
      <w:divBdr>
        <w:top w:val="none" w:sz="0" w:space="0" w:color="auto"/>
        <w:left w:val="none" w:sz="0" w:space="0" w:color="auto"/>
        <w:bottom w:val="none" w:sz="0" w:space="0" w:color="auto"/>
        <w:right w:val="none" w:sz="0" w:space="0" w:color="auto"/>
      </w:divBdr>
    </w:div>
    <w:div w:id="1861891162">
      <w:bodyDiv w:val="1"/>
      <w:marLeft w:val="0"/>
      <w:marRight w:val="0"/>
      <w:marTop w:val="0"/>
      <w:marBottom w:val="0"/>
      <w:divBdr>
        <w:top w:val="none" w:sz="0" w:space="0" w:color="auto"/>
        <w:left w:val="none" w:sz="0" w:space="0" w:color="auto"/>
        <w:bottom w:val="none" w:sz="0" w:space="0" w:color="auto"/>
        <w:right w:val="none" w:sz="0" w:space="0" w:color="auto"/>
      </w:divBdr>
      <w:divsChild>
        <w:div w:id="856774478">
          <w:blockQuote w:val="1"/>
          <w:marLeft w:val="960"/>
          <w:marRight w:val="0"/>
          <w:marTop w:val="120"/>
          <w:marBottom w:val="120"/>
          <w:divBdr>
            <w:top w:val="none" w:sz="0" w:space="0" w:color="auto"/>
            <w:left w:val="none" w:sz="0" w:space="0" w:color="auto"/>
            <w:bottom w:val="none" w:sz="0" w:space="0" w:color="auto"/>
            <w:right w:val="none" w:sz="0" w:space="0" w:color="auto"/>
          </w:divBdr>
          <w:divsChild>
            <w:div w:id="119148265">
              <w:blockQuote w:val="1"/>
              <w:marLeft w:val="480"/>
              <w:marRight w:val="0"/>
              <w:marTop w:val="120"/>
              <w:marBottom w:val="120"/>
              <w:divBdr>
                <w:top w:val="none" w:sz="0" w:space="0" w:color="auto"/>
                <w:left w:val="none" w:sz="0" w:space="0" w:color="auto"/>
                <w:bottom w:val="none" w:sz="0" w:space="0" w:color="auto"/>
                <w:right w:val="none" w:sz="0" w:space="0" w:color="auto"/>
              </w:divBdr>
            </w:div>
            <w:div w:id="445807919">
              <w:blockQuote w:val="1"/>
              <w:marLeft w:val="480"/>
              <w:marRight w:val="0"/>
              <w:marTop w:val="120"/>
              <w:marBottom w:val="120"/>
              <w:divBdr>
                <w:top w:val="none" w:sz="0" w:space="0" w:color="auto"/>
                <w:left w:val="none" w:sz="0" w:space="0" w:color="auto"/>
                <w:bottom w:val="none" w:sz="0" w:space="0" w:color="auto"/>
                <w:right w:val="none" w:sz="0" w:space="0" w:color="auto"/>
              </w:divBdr>
            </w:div>
            <w:div w:id="455835139">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514419143">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652513648">
              <w:blockQuote w:val="1"/>
              <w:marLeft w:val="480"/>
              <w:marRight w:val="0"/>
              <w:marTop w:val="120"/>
              <w:marBottom w:val="120"/>
              <w:divBdr>
                <w:top w:val="none" w:sz="0" w:space="0" w:color="auto"/>
                <w:left w:val="none" w:sz="0" w:space="0" w:color="auto"/>
                <w:bottom w:val="none" w:sz="0" w:space="0" w:color="auto"/>
                <w:right w:val="none" w:sz="0" w:space="0" w:color="auto"/>
              </w:divBdr>
              <w:divsChild>
                <w:div w:id="1783913921">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 w:id="1761950779">
              <w:blockQuote w:val="1"/>
              <w:marLeft w:val="480"/>
              <w:marRight w:val="0"/>
              <w:marTop w:val="120"/>
              <w:marBottom w:val="120"/>
              <w:divBdr>
                <w:top w:val="none" w:sz="0" w:space="0" w:color="auto"/>
                <w:left w:val="none" w:sz="0" w:space="0" w:color="auto"/>
                <w:bottom w:val="none" w:sz="0" w:space="0" w:color="auto"/>
                <w:right w:val="none" w:sz="0" w:space="0" w:color="auto"/>
              </w:divBdr>
            </w:div>
          </w:divsChild>
        </w:div>
      </w:divsChild>
    </w:div>
    <w:div w:id="1941982867">
      <w:bodyDiv w:val="1"/>
      <w:marLeft w:val="0"/>
      <w:marRight w:val="0"/>
      <w:marTop w:val="0"/>
      <w:marBottom w:val="0"/>
      <w:divBdr>
        <w:top w:val="none" w:sz="0" w:space="0" w:color="auto"/>
        <w:left w:val="none" w:sz="0" w:space="0" w:color="auto"/>
        <w:bottom w:val="none" w:sz="0" w:space="0" w:color="auto"/>
        <w:right w:val="none" w:sz="0" w:space="0" w:color="auto"/>
      </w:divBdr>
    </w:div>
    <w:div w:id="2003269818">
      <w:bodyDiv w:val="1"/>
      <w:marLeft w:val="0"/>
      <w:marRight w:val="0"/>
      <w:marTop w:val="0"/>
      <w:marBottom w:val="0"/>
      <w:divBdr>
        <w:top w:val="none" w:sz="0" w:space="0" w:color="auto"/>
        <w:left w:val="none" w:sz="0" w:space="0" w:color="auto"/>
        <w:bottom w:val="none" w:sz="0" w:space="0" w:color="auto"/>
        <w:right w:val="none" w:sz="0" w:space="0" w:color="auto"/>
      </w:divBdr>
    </w:div>
    <w:div w:id="2004315815">
      <w:bodyDiv w:val="1"/>
      <w:marLeft w:val="0"/>
      <w:marRight w:val="0"/>
      <w:marTop w:val="0"/>
      <w:marBottom w:val="0"/>
      <w:divBdr>
        <w:top w:val="none" w:sz="0" w:space="0" w:color="auto"/>
        <w:left w:val="none" w:sz="0" w:space="0" w:color="auto"/>
        <w:bottom w:val="none" w:sz="0" w:space="0" w:color="auto"/>
        <w:right w:val="none" w:sz="0" w:space="0" w:color="auto"/>
      </w:divBdr>
    </w:div>
    <w:div w:id="20046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yperlink" Target="http://classic.austlii.edu.au/au/legis/act/consol_act/pra2021194/s7.html" TargetMode="External"/><Relationship Id="rId39" Type="http://schemas.openxmlformats.org/officeDocument/2006/relationships/header" Target="header12.xml"/><Relationship Id="rId3" Type="http://schemas.openxmlformats.org/officeDocument/2006/relationships/numbering" Target="numbering.xml"/><Relationship Id="rId21" Type="http://schemas.openxmlformats.org/officeDocument/2006/relationships/header" Target="header8.xml"/><Relationship Id="rId34" Type="http://schemas.openxmlformats.org/officeDocument/2006/relationships/image" Target="media/image1.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yperlink" Target="http://classic.austlii.edu.au/au/legis/act/consol_act/rta1999242/s6.html" TargetMode="External"/><Relationship Id="rId33" Type="http://schemas.openxmlformats.org/officeDocument/2006/relationships/hyperlink" Target="https://www.parliament.act.gov.au/parliamentary-business/in-committees/committees/JCS_Scrutiny/response-to-comments-on-subordinate-legislation" TargetMode="External"/><Relationship Id="rId38"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yperlink" Target="http://classic.austlii.edu.au/au/legis/act/consol_act/pra2021194/s7.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parliament.act.gov.au/__data/assets/pdf_file/0007/434347/Subordinate-Legislation-Technical-and-Stylistic-Standards-Revised-March-2022.pdf" TargetMode="External"/><Relationship Id="rId32" Type="http://schemas.openxmlformats.org/officeDocument/2006/relationships/hyperlink" Target="https://www.parliament.act.gov.au/parliamentary-business/in-committees/committees/JCS_Scrutiny/responses-to-comments-on-bills" TargetMode="Externa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yperlink" Target="http://classic.austlii.edu.au/au/legis/act/consol_act/pra2021194/s7.html"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yperlink" Target="http://classic.austlii.edu.au/au/legis/act/consol_act/pra2021194/s5.htm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yperlink" Target="http://classic.austlii.edu.au/au/legis/act/consol_act/pra2021194/s9.html" TargetMode="External"/><Relationship Id="rId30" Type="http://schemas.openxmlformats.org/officeDocument/2006/relationships/hyperlink" Target="http://classic.austlii.edu.au/au/legis/act/consol_act/pra2021194/s15.html" TargetMode="External"/><Relationship Id="rId35" Type="http://schemas.openxmlformats.org/officeDocument/2006/relationships/header" Target="header10.xml"/></Relationships>
</file>

<file path=word/_rels/footnotes.xml.rels><?xml version="1.0" encoding="UTF-8" standalone="yes"?>
<Relationships xmlns="http://schemas.openxmlformats.org/package/2006/relationships"><Relationship Id="rId2" Type="http://schemas.openxmlformats.org/officeDocument/2006/relationships/hyperlink" Target="https://www.parliament.act.gov.au/parliamentary-business/in-committees/committees/JCS_Scrutiny/response-to-comments-on-subordinate-legislation" TargetMode="External"/><Relationship Id="rId1" Type="http://schemas.openxmlformats.org/officeDocument/2006/relationships/hyperlink" Target="https://www.parliament.act.gov.au/parliamentary-business/in-committees/committees/JCS_Scrutiny/responses-to-comments-on-b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B0B-D405-4F95-84A1-A56830AF9D1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957A01EC-0FC5-4738-AC07-0E800679B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19</Pages>
  <Words>5404</Words>
  <Characters>30807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Scrutiny Report 14—29 March 2022</vt:lpstr>
    </vt:vector>
  </TitlesOfParts>
  <Company/>
  <LinksUpToDate>false</LinksUpToDate>
  <CharactersWithSpaces>36139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Scrutiny Report 14—29 March 2022</dc:title>
  <dc:subject/>
  <dc:creator>Shannon, Anne</dc:creator>
  <cp:keywords/>
  <dc:description/>
  <cp:lastModifiedBy>Shannon, Anne</cp:lastModifiedBy>
  <cp:revision>25</cp:revision>
  <cp:lastPrinted>2022-03-29T01:08:00Z</cp:lastPrinted>
  <dcterms:created xsi:type="dcterms:W3CDTF">2022-03-23T02:58:00Z</dcterms:created>
  <dcterms:modified xsi:type="dcterms:W3CDTF">2022-03-29T03:41:00Z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b5416023-e907-4e5c-94a6-d4a6d91d63bb</vt:lpwstr>
  </property>
  <property fmtid="{D5CDD505-2E9C-101B-9397-08002B2CF9AE}" pid="3" name="bjSaver">
    <vt:lpwstr>ZwE+/ToLrPDfvyrx1nh9MyjXnSm5Wksu</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