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02647B" w:rsidRDefault="00AD7D31" w:rsidP="001450DC">
      <w:pPr>
        <w:pStyle w:val="Header"/>
        <w:tabs>
          <w:tab w:val="clear" w:pos="9026"/>
          <w:tab w:val="left" w:pos="7245"/>
        </w:tabs>
        <w:rPr>
          <w:sz w:val="24"/>
          <w:szCs w:val="24"/>
          <w:lang w:val="en-US"/>
        </w:rPr>
      </w:pPr>
      <w:bookmarkStart w:id="0" w:name="_GoBack"/>
      <w:bookmarkEnd w:id="0"/>
      <w:r w:rsidRPr="0002647B">
        <w:rPr>
          <w:sz w:val="24"/>
          <w:szCs w:val="24"/>
          <w:lang w:val="en-US"/>
        </w:rPr>
        <w:tab/>
      </w:r>
      <w:r w:rsidR="001450DC" w:rsidRPr="0002647B">
        <w:rPr>
          <w:sz w:val="24"/>
          <w:szCs w:val="24"/>
          <w:lang w:val="en-US"/>
        </w:rPr>
        <w:tab/>
      </w:r>
    </w:p>
    <w:p w:rsidR="00AD7D31" w:rsidRPr="0002647B" w:rsidRDefault="00AD7D31" w:rsidP="00AD7D31">
      <w:pPr>
        <w:pStyle w:val="Header"/>
        <w:tabs>
          <w:tab w:val="left" w:pos="6930"/>
        </w:tabs>
        <w:rPr>
          <w:sz w:val="24"/>
          <w:szCs w:val="24"/>
          <w:lang w:val="en-US"/>
        </w:rPr>
      </w:pPr>
      <w:r w:rsidRPr="0002647B">
        <w:rPr>
          <w:sz w:val="24"/>
          <w:szCs w:val="24"/>
          <w:lang w:val="en-US"/>
        </w:rPr>
        <w:tab/>
      </w:r>
    </w:p>
    <w:p w:rsidR="008C71B7" w:rsidRPr="0002647B" w:rsidRDefault="008C71B7" w:rsidP="008C71B7">
      <w:pPr>
        <w:spacing w:after="0" w:line="240" w:lineRule="auto"/>
        <w:rPr>
          <w:sz w:val="24"/>
          <w:szCs w:val="24"/>
        </w:rPr>
      </w:pPr>
      <w:r w:rsidRPr="0002647B">
        <w:rPr>
          <w:sz w:val="24"/>
          <w:szCs w:val="24"/>
        </w:rPr>
        <w:t>Mrs G</w:t>
      </w:r>
      <w:r w:rsidR="00C76BAD">
        <w:rPr>
          <w:sz w:val="24"/>
          <w:szCs w:val="24"/>
        </w:rPr>
        <w:t>i</w:t>
      </w:r>
      <w:r w:rsidRPr="0002647B">
        <w:rPr>
          <w:sz w:val="24"/>
          <w:szCs w:val="24"/>
        </w:rPr>
        <w:t>ulia Jones</w:t>
      </w:r>
    </w:p>
    <w:p w:rsidR="008C71B7" w:rsidRPr="0002647B" w:rsidRDefault="008C71B7" w:rsidP="008C71B7">
      <w:pPr>
        <w:spacing w:after="0" w:line="240" w:lineRule="auto"/>
        <w:rPr>
          <w:sz w:val="24"/>
          <w:szCs w:val="24"/>
        </w:rPr>
      </w:pPr>
      <w:r w:rsidRPr="0002647B">
        <w:rPr>
          <w:sz w:val="24"/>
          <w:szCs w:val="24"/>
        </w:rPr>
        <w:t>Chair</w:t>
      </w:r>
    </w:p>
    <w:p w:rsidR="008C71B7" w:rsidRPr="0002647B" w:rsidRDefault="008C71B7" w:rsidP="008C71B7">
      <w:pPr>
        <w:tabs>
          <w:tab w:val="left" w:pos="3420"/>
        </w:tabs>
        <w:spacing w:after="0" w:line="240" w:lineRule="auto"/>
        <w:rPr>
          <w:sz w:val="24"/>
          <w:szCs w:val="24"/>
        </w:rPr>
      </w:pPr>
      <w:r w:rsidRPr="0002647B">
        <w:rPr>
          <w:sz w:val="24"/>
          <w:szCs w:val="24"/>
        </w:rPr>
        <w:t>Standing Committee on Justice and Community Safety (Legislative Scrutiny Role)</w:t>
      </w:r>
    </w:p>
    <w:p w:rsidR="008C71B7" w:rsidRPr="0002647B" w:rsidRDefault="008C71B7" w:rsidP="008C71B7">
      <w:pPr>
        <w:spacing w:after="0" w:line="240" w:lineRule="auto"/>
        <w:rPr>
          <w:sz w:val="24"/>
          <w:szCs w:val="24"/>
          <w:lang w:val="en-US"/>
        </w:rPr>
      </w:pPr>
      <w:r w:rsidRPr="0002647B">
        <w:rPr>
          <w:sz w:val="24"/>
          <w:szCs w:val="24"/>
        </w:rPr>
        <w:t>ACT Legislative Assembly</w:t>
      </w:r>
    </w:p>
    <w:p w:rsidR="008C71B7" w:rsidRPr="0002647B" w:rsidRDefault="008C71B7" w:rsidP="008C71B7">
      <w:pPr>
        <w:spacing w:after="0" w:line="240" w:lineRule="auto"/>
        <w:rPr>
          <w:sz w:val="24"/>
          <w:szCs w:val="24"/>
        </w:rPr>
      </w:pPr>
      <w:r w:rsidRPr="0002647B">
        <w:rPr>
          <w:sz w:val="24"/>
          <w:szCs w:val="24"/>
        </w:rPr>
        <w:t>GPO Box 1020</w:t>
      </w:r>
    </w:p>
    <w:p w:rsidR="008C71B7" w:rsidRPr="0002647B" w:rsidRDefault="008C71B7" w:rsidP="008C71B7">
      <w:pPr>
        <w:spacing w:after="0" w:line="240" w:lineRule="auto"/>
        <w:rPr>
          <w:sz w:val="24"/>
          <w:szCs w:val="24"/>
        </w:rPr>
      </w:pPr>
      <w:r w:rsidRPr="0002647B">
        <w:rPr>
          <w:sz w:val="24"/>
          <w:szCs w:val="24"/>
        </w:rPr>
        <w:t>CANBERRA  ACT  2601</w:t>
      </w:r>
    </w:p>
    <w:p w:rsidR="008C71B7" w:rsidRPr="0002647B" w:rsidRDefault="008C71B7" w:rsidP="008C71B7">
      <w:pPr>
        <w:spacing w:after="0" w:line="240" w:lineRule="auto"/>
        <w:rPr>
          <w:sz w:val="24"/>
          <w:szCs w:val="24"/>
        </w:rPr>
      </w:pPr>
    </w:p>
    <w:p w:rsidR="008C71B7" w:rsidRPr="0002647B" w:rsidRDefault="008C71B7" w:rsidP="008C71B7">
      <w:pPr>
        <w:spacing w:after="0" w:line="240" w:lineRule="auto"/>
        <w:rPr>
          <w:sz w:val="24"/>
          <w:szCs w:val="24"/>
        </w:rPr>
      </w:pPr>
    </w:p>
    <w:p w:rsidR="008C71B7" w:rsidRPr="0002647B" w:rsidRDefault="008C71B7" w:rsidP="008C71B7">
      <w:pPr>
        <w:spacing w:after="0" w:line="240" w:lineRule="auto"/>
        <w:rPr>
          <w:sz w:val="24"/>
          <w:szCs w:val="24"/>
        </w:rPr>
      </w:pPr>
      <w:r w:rsidRPr="0002647B">
        <w:rPr>
          <w:sz w:val="24"/>
          <w:szCs w:val="24"/>
          <w:lang w:val="en-US"/>
        </w:rPr>
        <w:t>Dear Mrs Jones</w:t>
      </w:r>
    </w:p>
    <w:p w:rsidR="00AD7D31" w:rsidRPr="0002647B" w:rsidRDefault="00AD7D31" w:rsidP="00AD7D31">
      <w:pPr>
        <w:pStyle w:val="Header"/>
        <w:tabs>
          <w:tab w:val="left" w:pos="720"/>
        </w:tabs>
        <w:rPr>
          <w:sz w:val="24"/>
          <w:szCs w:val="24"/>
        </w:rPr>
      </w:pPr>
    </w:p>
    <w:p w:rsidR="008C71B7" w:rsidRPr="0002647B" w:rsidRDefault="008C71B7" w:rsidP="008C71B7">
      <w:pPr>
        <w:spacing w:after="0" w:line="240" w:lineRule="auto"/>
        <w:jc w:val="both"/>
        <w:rPr>
          <w:sz w:val="24"/>
          <w:szCs w:val="24"/>
        </w:rPr>
      </w:pPr>
      <w:r w:rsidRPr="0002647B">
        <w:rPr>
          <w:sz w:val="24"/>
          <w:szCs w:val="24"/>
        </w:rPr>
        <w:t xml:space="preserve">I write in response to the Standing Committee on Justice and Community Safety’s (the Committee’s) comments in Report 41 in relation to the </w:t>
      </w:r>
      <w:r w:rsidRPr="0002647B">
        <w:rPr>
          <w:i/>
          <w:iCs/>
          <w:sz w:val="24"/>
          <w:szCs w:val="24"/>
        </w:rPr>
        <w:t>COVID-19 Emergency Response Act 2020</w:t>
      </w:r>
      <w:r w:rsidRPr="0002647B">
        <w:rPr>
          <w:sz w:val="24"/>
          <w:szCs w:val="24"/>
        </w:rPr>
        <w:t xml:space="preserve"> (the </w:t>
      </w:r>
      <w:r w:rsidR="00AC1813" w:rsidRPr="0002647B">
        <w:rPr>
          <w:sz w:val="24"/>
          <w:szCs w:val="24"/>
        </w:rPr>
        <w:t>Act</w:t>
      </w:r>
      <w:r w:rsidRPr="0002647B">
        <w:rPr>
          <w:sz w:val="24"/>
          <w:szCs w:val="24"/>
        </w:rPr>
        <w:t xml:space="preserve">). </w:t>
      </w:r>
    </w:p>
    <w:p w:rsidR="008C71B7" w:rsidRPr="0002647B" w:rsidRDefault="008C71B7" w:rsidP="008C71B7">
      <w:pPr>
        <w:spacing w:after="0" w:line="240" w:lineRule="auto"/>
        <w:rPr>
          <w:sz w:val="24"/>
          <w:szCs w:val="24"/>
        </w:rPr>
      </w:pPr>
    </w:p>
    <w:p w:rsidR="00AC1813" w:rsidRPr="0002647B" w:rsidRDefault="00AC1813" w:rsidP="00AC1813">
      <w:pPr>
        <w:spacing w:after="0" w:line="240" w:lineRule="auto"/>
        <w:rPr>
          <w:b/>
          <w:bCs/>
          <w:sz w:val="24"/>
          <w:szCs w:val="24"/>
        </w:rPr>
      </w:pPr>
      <w:r w:rsidRPr="0002647B">
        <w:rPr>
          <w:b/>
          <w:bCs/>
          <w:sz w:val="24"/>
          <w:szCs w:val="24"/>
        </w:rPr>
        <w:t>Emergency period definition and expiry clauses</w:t>
      </w:r>
      <w:r w:rsidR="006A6EC3">
        <w:rPr>
          <w:b/>
          <w:bCs/>
          <w:sz w:val="24"/>
          <w:szCs w:val="24"/>
        </w:rPr>
        <w:br/>
      </w:r>
    </w:p>
    <w:p w:rsidR="00AC1813" w:rsidRPr="0002647B" w:rsidRDefault="0086278A" w:rsidP="00AC1813">
      <w:pPr>
        <w:spacing w:after="0" w:line="240" w:lineRule="auto"/>
        <w:rPr>
          <w:sz w:val="24"/>
          <w:szCs w:val="24"/>
        </w:rPr>
      </w:pPr>
      <w:r w:rsidRPr="0002647B">
        <w:rPr>
          <w:sz w:val="24"/>
          <w:szCs w:val="24"/>
        </w:rPr>
        <w:t>The Committee asked me to respond</w:t>
      </w:r>
      <w:r w:rsidR="00AC1813" w:rsidRPr="0002647B">
        <w:rPr>
          <w:sz w:val="24"/>
          <w:szCs w:val="24"/>
        </w:rPr>
        <w:t xml:space="preserve"> in relation to the </w:t>
      </w:r>
      <w:r w:rsidR="0003086E" w:rsidRPr="0002647B">
        <w:rPr>
          <w:sz w:val="24"/>
          <w:szCs w:val="24"/>
        </w:rPr>
        <w:t>variety of approaches taken to define ‘COVID</w:t>
      </w:r>
      <w:r w:rsidR="002B4C9B">
        <w:rPr>
          <w:sz w:val="24"/>
          <w:szCs w:val="24"/>
        </w:rPr>
        <w:noBreakHyphen/>
      </w:r>
      <w:r w:rsidR="0003086E" w:rsidRPr="0002647B">
        <w:rPr>
          <w:sz w:val="24"/>
          <w:szCs w:val="24"/>
        </w:rPr>
        <w:t>19 emergency’ and expiration of the provisions.</w:t>
      </w:r>
    </w:p>
    <w:p w:rsidR="0003086E" w:rsidRPr="0002647B" w:rsidRDefault="0003086E" w:rsidP="00AC1813">
      <w:pPr>
        <w:spacing w:after="0" w:line="240" w:lineRule="auto"/>
        <w:rPr>
          <w:sz w:val="24"/>
          <w:szCs w:val="24"/>
        </w:rPr>
      </w:pPr>
    </w:p>
    <w:p w:rsidR="00966954" w:rsidRDefault="006D2235" w:rsidP="006D2235">
      <w:pPr>
        <w:spacing w:after="0" w:line="240" w:lineRule="auto"/>
        <w:rPr>
          <w:sz w:val="24"/>
          <w:szCs w:val="24"/>
        </w:rPr>
      </w:pPr>
      <w:r w:rsidRPr="0002647B">
        <w:rPr>
          <w:sz w:val="24"/>
          <w:szCs w:val="24"/>
        </w:rPr>
        <w:t xml:space="preserve">The amendments were drafted </w:t>
      </w:r>
      <w:r w:rsidR="00D90ED6">
        <w:rPr>
          <w:sz w:val="24"/>
          <w:szCs w:val="24"/>
        </w:rPr>
        <w:t>so as to</w:t>
      </w:r>
      <w:r w:rsidRPr="0002647B">
        <w:rPr>
          <w:sz w:val="24"/>
          <w:szCs w:val="24"/>
        </w:rPr>
        <w:t xml:space="preserve"> be temporary, that is, to operate </w:t>
      </w:r>
      <w:r w:rsidR="00D90ED6">
        <w:rPr>
          <w:sz w:val="24"/>
          <w:szCs w:val="24"/>
        </w:rPr>
        <w:t>in response to</w:t>
      </w:r>
      <w:r w:rsidRPr="0002647B">
        <w:rPr>
          <w:sz w:val="24"/>
          <w:szCs w:val="24"/>
        </w:rPr>
        <w:t xml:space="preserve"> the COVID</w:t>
      </w:r>
      <w:r w:rsidR="002B4C9B">
        <w:rPr>
          <w:sz w:val="24"/>
          <w:szCs w:val="24"/>
        </w:rPr>
        <w:noBreakHyphen/>
      </w:r>
      <w:r w:rsidRPr="0002647B">
        <w:rPr>
          <w:sz w:val="24"/>
          <w:szCs w:val="24"/>
        </w:rPr>
        <w:t xml:space="preserve">19 emergency. </w:t>
      </w:r>
      <w:r w:rsidR="00966954">
        <w:rPr>
          <w:sz w:val="24"/>
          <w:szCs w:val="24"/>
        </w:rPr>
        <w:t xml:space="preserve"> </w:t>
      </w:r>
    </w:p>
    <w:p w:rsidR="00966954" w:rsidRDefault="00966954" w:rsidP="006D2235">
      <w:pPr>
        <w:spacing w:after="0" w:line="240" w:lineRule="auto"/>
        <w:rPr>
          <w:sz w:val="24"/>
          <w:szCs w:val="24"/>
        </w:rPr>
      </w:pPr>
    </w:p>
    <w:p w:rsidR="006D2235" w:rsidRPr="0002647B" w:rsidRDefault="00966954" w:rsidP="006D2235">
      <w:pPr>
        <w:spacing w:after="0" w:line="240" w:lineRule="auto"/>
        <w:rPr>
          <w:sz w:val="24"/>
          <w:szCs w:val="24"/>
        </w:rPr>
      </w:pPr>
      <w:r>
        <w:rPr>
          <w:sz w:val="24"/>
          <w:szCs w:val="24"/>
        </w:rPr>
        <w:t xml:space="preserve">The </w:t>
      </w:r>
      <w:r w:rsidR="006D2235" w:rsidRPr="0002647B">
        <w:rPr>
          <w:sz w:val="24"/>
          <w:szCs w:val="24"/>
        </w:rPr>
        <w:t xml:space="preserve">COVID-19 measures were constructed with </w:t>
      </w:r>
      <w:r w:rsidR="00A10D73">
        <w:rPr>
          <w:sz w:val="24"/>
          <w:szCs w:val="24"/>
        </w:rPr>
        <w:t>various</w:t>
      </w:r>
      <w:r w:rsidR="006D2235" w:rsidRPr="0002647B">
        <w:rPr>
          <w:sz w:val="24"/>
          <w:szCs w:val="24"/>
        </w:rPr>
        <w:t xml:space="preserve"> expiry periods, including</w:t>
      </w:r>
      <w:r w:rsidR="00A10D73">
        <w:rPr>
          <w:sz w:val="24"/>
          <w:szCs w:val="24"/>
        </w:rPr>
        <w:t>,</w:t>
      </w:r>
      <w:r w:rsidR="009C6A1F">
        <w:rPr>
          <w:sz w:val="24"/>
          <w:szCs w:val="24"/>
        </w:rPr>
        <w:t xml:space="preserve"> where appropriate</w:t>
      </w:r>
      <w:r w:rsidR="00A10D73">
        <w:rPr>
          <w:sz w:val="24"/>
          <w:szCs w:val="24"/>
        </w:rPr>
        <w:t>,</w:t>
      </w:r>
      <w:r w:rsidR="009C6A1F">
        <w:rPr>
          <w:sz w:val="24"/>
          <w:szCs w:val="24"/>
        </w:rPr>
        <w:t xml:space="preserve"> </w:t>
      </w:r>
      <w:r>
        <w:rPr>
          <w:sz w:val="24"/>
          <w:szCs w:val="24"/>
        </w:rPr>
        <w:t xml:space="preserve">to allow for </w:t>
      </w:r>
      <w:r w:rsidR="006D2235" w:rsidRPr="0002647B">
        <w:rPr>
          <w:sz w:val="24"/>
          <w:szCs w:val="24"/>
        </w:rPr>
        <w:t xml:space="preserve">transition </w:t>
      </w:r>
      <w:r>
        <w:rPr>
          <w:sz w:val="24"/>
          <w:szCs w:val="24"/>
        </w:rPr>
        <w:t>time</w:t>
      </w:r>
      <w:r w:rsidR="006D2235" w:rsidRPr="0002647B">
        <w:rPr>
          <w:sz w:val="24"/>
          <w:szCs w:val="24"/>
        </w:rPr>
        <w:t>. The main categories of expiry periods in the COVID-19 Acts are:</w:t>
      </w:r>
    </w:p>
    <w:p w:rsidR="006D2235" w:rsidRPr="0002647B" w:rsidRDefault="006D2235" w:rsidP="006D2235">
      <w:pPr>
        <w:pStyle w:val="ListParagraph"/>
        <w:numPr>
          <w:ilvl w:val="0"/>
          <w:numId w:val="1"/>
        </w:numPr>
        <w:spacing w:after="0" w:line="240" w:lineRule="auto"/>
        <w:rPr>
          <w:sz w:val="24"/>
          <w:szCs w:val="24"/>
        </w:rPr>
      </w:pPr>
      <w:r w:rsidRPr="0002647B">
        <w:rPr>
          <w:sz w:val="24"/>
          <w:szCs w:val="24"/>
        </w:rPr>
        <w:t>to expire when the COVID-19 Act expires on 8 April 2021;</w:t>
      </w:r>
    </w:p>
    <w:p w:rsidR="006D2235" w:rsidRPr="00171AE4" w:rsidRDefault="006D2235" w:rsidP="006D2235">
      <w:pPr>
        <w:pStyle w:val="ListParagraph"/>
        <w:numPr>
          <w:ilvl w:val="0"/>
          <w:numId w:val="1"/>
        </w:numPr>
        <w:spacing w:after="0" w:line="240" w:lineRule="auto"/>
        <w:rPr>
          <w:rFonts w:cstheme="minorHAnsi"/>
          <w:sz w:val="24"/>
          <w:szCs w:val="24"/>
        </w:rPr>
      </w:pPr>
      <w:r w:rsidRPr="0002647B">
        <w:rPr>
          <w:sz w:val="24"/>
          <w:szCs w:val="24"/>
        </w:rPr>
        <w:t xml:space="preserve">to expire a period after the COVID-19 </w:t>
      </w:r>
      <w:r w:rsidRPr="00171AE4">
        <w:rPr>
          <w:rFonts w:cstheme="minorHAnsi"/>
          <w:sz w:val="24"/>
          <w:szCs w:val="24"/>
        </w:rPr>
        <w:t>Act commenced or expires;</w:t>
      </w:r>
    </w:p>
    <w:p w:rsidR="006D2235" w:rsidRPr="00171AE4" w:rsidRDefault="006D2235" w:rsidP="006D2235">
      <w:pPr>
        <w:pStyle w:val="ListParagraph"/>
        <w:numPr>
          <w:ilvl w:val="0"/>
          <w:numId w:val="1"/>
        </w:numPr>
        <w:spacing w:after="0" w:line="240" w:lineRule="auto"/>
        <w:rPr>
          <w:rFonts w:cstheme="minorHAnsi"/>
          <w:sz w:val="24"/>
          <w:szCs w:val="24"/>
        </w:rPr>
      </w:pPr>
      <w:r w:rsidRPr="00171AE4">
        <w:rPr>
          <w:rFonts w:cstheme="minorHAnsi"/>
          <w:sz w:val="24"/>
          <w:szCs w:val="24"/>
        </w:rPr>
        <w:t>to expire at the end of a COVID-19 emergency period;</w:t>
      </w:r>
    </w:p>
    <w:p w:rsidR="006D2235" w:rsidRPr="00171AE4" w:rsidRDefault="006D2235" w:rsidP="006D2235">
      <w:pPr>
        <w:pStyle w:val="ListParagraph"/>
        <w:numPr>
          <w:ilvl w:val="0"/>
          <w:numId w:val="1"/>
        </w:numPr>
        <w:spacing w:after="0" w:line="240" w:lineRule="auto"/>
        <w:rPr>
          <w:rFonts w:cstheme="minorHAnsi"/>
          <w:sz w:val="24"/>
          <w:szCs w:val="24"/>
        </w:rPr>
      </w:pPr>
      <w:r w:rsidRPr="00171AE4">
        <w:rPr>
          <w:rFonts w:cstheme="minorHAnsi"/>
          <w:sz w:val="24"/>
          <w:szCs w:val="24"/>
        </w:rPr>
        <w:t>to expire a period after the end of a COVID-19 emergency period; or</w:t>
      </w:r>
    </w:p>
    <w:p w:rsidR="006D2235" w:rsidRPr="00171AE4" w:rsidRDefault="006D2235" w:rsidP="006D2235">
      <w:pPr>
        <w:pStyle w:val="ListParagraph"/>
        <w:numPr>
          <w:ilvl w:val="0"/>
          <w:numId w:val="1"/>
        </w:numPr>
        <w:spacing w:after="0" w:line="240" w:lineRule="auto"/>
        <w:rPr>
          <w:rFonts w:cstheme="minorHAnsi"/>
          <w:sz w:val="24"/>
          <w:szCs w:val="24"/>
        </w:rPr>
      </w:pPr>
      <w:r w:rsidRPr="00171AE4">
        <w:rPr>
          <w:rFonts w:cstheme="minorHAnsi"/>
          <w:sz w:val="24"/>
          <w:szCs w:val="24"/>
        </w:rPr>
        <w:t xml:space="preserve">to </w:t>
      </w:r>
      <w:r w:rsidR="006A6EC3" w:rsidRPr="00171AE4">
        <w:rPr>
          <w:rFonts w:cstheme="minorHAnsi"/>
          <w:sz w:val="24"/>
          <w:szCs w:val="24"/>
        </w:rPr>
        <w:t xml:space="preserve">expire </w:t>
      </w:r>
      <w:r w:rsidR="00D90ED6" w:rsidRPr="00171AE4">
        <w:rPr>
          <w:rFonts w:cstheme="minorHAnsi"/>
          <w:sz w:val="24"/>
          <w:szCs w:val="24"/>
        </w:rPr>
        <w:t>at another fixed time</w:t>
      </w:r>
      <w:r w:rsidRPr="00171AE4">
        <w:rPr>
          <w:rFonts w:cstheme="minorHAnsi"/>
          <w:sz w:val="24"/>
          <w:szCs w:val="24"/>
        </w:rPr>
        <w:t>.</w:t>
      </w:r>
    </w:p>
    <w:p w:rsidR="00A52A2A" w:rsidRPr="00171AE4" w:rsidRDefault="00A52A2A" w:rsidP="00A52A2A">
      <w:pPr>
        <w:spacing w:after="0" w:line="240" w:lineRule="auto"/>
        <w:rPr>
          <w:rFonts w:asciiTheme="minorHAnsi" w:hAnsiTheme="minorHAnsi" w:cstheme="minorHAnsi"/>
          <w:sz w:val="24"/>
          <w:szCs w:val="24"/>
        </w:rPr>
      </w:pPr>
    </w:p>
    <w:p w:rsidR="00CE2F9C" w:rsidRDefault="00CE2F9C" w:rsidP="00CE2F9C">
      <w:pPr>
        <w:pStyle w:val="NormalWeb"/>
        <w:spacing w:before="0" w:beforeAutospacing="0" w:after="180" w:afterAutospacing="0"/>
        <w:rPr>
          <w:rFonts w:asciiTheme="minorHAnsi" w:hAnsiTheme="minorHAnsi" w:cstheme="minorHAnsi"/>
        </w:rPr>
      </w:pPr>
      <w:r w:rsidRPr="00171AE4">
        <w:rPr>
          <w:rFonts w:asciiTheme="minorHAnsi" w:hAnsiTheme="minorHAnsi" w:cstheme="minorHAnsi"/>
        </w:rPr>
        <w:t>‘COVID 19 emergency</w:t>
      </w:r>
      <w:r>
        <w:rPr>
          <w:rFonts w:asciiTheme="minorHAnsi" w:hAnsiTheme="minorHAnsi" w:cstheme="minorHAnsi"/>
        </w:rPr>
        <w:t>’ was intended</w:t>
      </w:r>
      <w:r w:rsidRPr="00171AE4">
        <w:rPr>
          <w:rFonts w:asciiTheme="minorHAnsi" w:hAnsiTheme="minorHAnsi" w:cstheme="minorHAnsi"/>
        </w:rPr>
        <w:t xml:space="preserve"> itself </w:t>
      </w:r>
      <w:r>
        <w:rPr>
          <w:rFonts w:asciiTheme="minorHAnsi" w:hAnsiTheme="minorHAnsi" w:cstheme="minorHAnsi"/>
        </w:rPr>
        <w:t xml:space="preserve">to be </w:t>
      </w:r>
      <w:r w:rsidRPr="00171AE4">
        <w:rPr>
          <w:rFonts w:asciiTheme="minorHAnsi" w:hAnsiTheme="minorHAnsi" w:cstheme="minorHAnsi"/>
        </w:rPr>
        <w:t xml:space="preserve">defined </w:t>
      </w:r>
      <w:r w:rsidRPr="00171AE4">
        <w:rPr>
          <w:rFonts w:asciiTheme="minorHAnsi" w:hAnsiTheme="minorHAnsi" w:cstheme="minorHAnsi"/>
          <w:color w:val="333333"/>
        </w:rPr>
        <w:t> by refer</w:t>
      </w:r>
      <w:r>
        <w:rPr>
          <w:rFonts w:asciiTheme="minorHAnsi" w:hAnsiTheme="minorHAnsi" w:cstheme="minorHAnsi"/>
          <w:color w:val="333333"/>
        </w:rPr>
        <w:t>e</w:t>
      </w:r>
      <w:r w:rsidRPr="00171AE4">
        <w:rPr>
          <w:rFonts w:asciiTheme="minorHAnsi" w:hAnsiTheme="minorHAnsi" w:cstheme="minorHAnsi"/>
          <w:color w:val="333333"/>
        </w:rPr>
        <w:t xml:space="preserve">nce to </w:t>
      </w:r>
      <w:r>
        <w:rPr>
          <w:rFonts w:asciiTheme="minorHAnsi" w:hAnsiTheme="minorHAnsi" w:cstheme="minorHAnsi"/>
          <w:color w:val="333333"/>
        </w:rPr>
        <w:t xml:space="preserve">[states of] </w:t>
      </w:r>
      <w:r w:rsidRPr="00171AE4">
        <w:rPr>
          <w:rFonts w:asciiTheme="minorHAnsi" w:hAnsiTheme="minorHAnsi" w:cstheme="minorHAnsi"/>
          <w:color w:val="333333"/>
        </w:rPr>
        <w:t>emerge</w:t>
      </w:r>
      <w:r>
        <w:rPr>
          <w:rFonts w:asciiTheme="minorHAnsi" w:hAnsiTheme="minorHAnsi" w:cstheme="minorHAnsi"/>
          <w:color w:val="333333"/>
        </w:rPr>
        <w:t>n</w:t>
      </w:r>
      <w:r w:rsidRPr="00171AE4">
        <w:rPr>
          <w:rFonts w:asciiTheme="minorHAnsi" w:hAnsiTheme="minorHAnsi" w:cstheme="minorHAnsi"/>
          <w:color w:val="333333"/>
        </w:rPr>
        <w:t>c</w:t>
      </w:r>
      <w:r>
        <w:rPr>
          <w:rFonts w:asciiTheme="minorHAnsi" w:hAnsiTheme="minorHAnsi" w:cstheme="minorHAnsi"/>
          <w:color w:val="333333"/>
        </w:rPr>
        <w:t>y</w:t>
      </w:r>
      <w:r w:rsidRPr="00171AE4">
        <w:rPr>
          <w:rFonts w:asciiTheme="minorHAnsi" w:hAnsiTheme="minorHAnsi" w:cstheme="minorHAnsi"/>
          <w:color w:val="333333"/>
        </w:rPr>
        <w:t xml:space="preserve"> declared under the </w:t>
      </w:r>
      <w:hyperlink r:id="rId10" w:history="1">
        <w:r w:rsidRPr="00171AE4">
          <w:rPr>
            <w:rStyle w:val="Hyperlink"/>
            <w:rFonts w:asciiTheme="minorHAnsi" w:hAnsiTheme="minorHAnsi" w:cstheme="minorHAnsi"/>
            <w:color w:val="3796CC"/>
          </w:rPr>
          <w:t>Emergencies Act 2004</w:t>
        </w:r>
      </w:hyperlink>
      <w:r w:rsidRPr="00171AE4">
        <w:rPr>
          <w:rFonts w:asciiTheme="minorHAnsi" w:hAnsiTheme="minorHAnsi" w:cstheme="minorHAnsi"/>
          <w:color w:val="333333"/>
        </w:rPr>
        <w:t xml:space="preserve"> or </w:t>
      </w:r>
      <w:hyperlink r:id="rId11" w:history="1">
        <w:r w:rsidRPr="00171AE4">
          <w:rPr>
            <w:rStyle w:val="Hyperlink"/>
            <w:rFonts w:asciiTheme="minorHAnsi" w:hAnsiTheme="minorHAnsi" w:cstheme="minorHAnsi"/>
            <w:color w:val="3796CC"/>
          </w:rPr>
          <w:t>Public Health Act 1997</w:t>
        </w:r>
      </w:hyperlink>
      <w:r w:rsidRPr="00171AE4">
        <w:rPr>
          <w:rFonts w:asciiTheme="minorHAnsi" w:hAnsiTheme="minorHAnsi" w:cstheme="minorHAnsi"/>
          <w:color w:val="333333"/>
        </w:rPr>
        <w:t xml:space="preserve"> </w:t>
      </w:r>
      <w:r>
        <w:rPr>
          <w:rFonts w:asciiTheme="minorHAnsi" w:hAnsiTheme="minorHAnsi" w:cstheme="minorHAnsi"/>
          <w:color w:val="333333"/>
        </w:rPr>
        <w:t>but, regrettably, this approach was not consistently taken.</w:t>
      </w:r>
    </w:p>
    <w:p w:rsidR="0003086E" w:rsidRPr="00E53344" w:rsidRDefault="00AD7C31" w:rsidP="00E53344">
      <w:pPr>
        <w:rPr>
          <w:rFonts w:cs="Calibri"/>
          <w:sz w:val="24"/>
          <w:szCs w:val="24"/>
        </w:rPr>
      </w:pPr>
      <w:r>
        <w:rPr>
          <w:rFonts w:asciiTheme="minorHAnsi" w:hAnsiTheme="minorHAnsi" w:cstheme="minorHAnsi"/>
          <w:sz w:val="24"/>
          <w:szCs w:val="24"/>
        </w:rPr>
        <w:t>Owing to the urgency with which t</w:t>
      </w:r>
      <w:r w:rsidR="00AC03AA">
        <w:rPr>
          <w:rFonts w:cs="Calibri"/>
          <w:sz w:val="24"/>
          <w:szCs w:val="24"/>
        </w:rPr>
        <w:t xml:space="preserve">he Bill was prepared and progressed, </w:t>
      </w:r>
      <w:r w:rsidR="006D2235" w:rsidRPr="00E53344">
        <w:rPr>
          <w:rFonts w:cs="Calibri"/>
          <w:sz w:val="24"/>
          <w:szCs w:val="24"/>
        </w:rPr>
        <w:t>there were some expir</w:t>
      </w:r>
      <w:r w:rsidR="00A10D73">
        <w:rPr>
          <w:rFonts w:cs="Calibri"/>
          <w:sz w:val="24"/>
          <w:szCs w:val="24"/>
        </w:rPr>
        <w:t>y</w:t>
      </w:r>
      <w:r w:rsidR="006D2235" w:rsidRPr="00E53344">
        <w:rPr>
          <w:rFonts w:cs="Calibri"/>
          <w:sz w:val="24"/>
          <w:szCs w:val="24"/>
        </w:rPr>
        <w:t xml:space="preserve"> periods </w:t>
      </w:r>
      <w:r>
        <w:rPr>
          <w:rFonts w:cs="Calibri"/>
          <w:sz w:val="24"/>
          <w:szCs w:val="24"/>
        </w:rPr>
        <w:t>and</w:t>
      </w:r>
      <w:r w:rsidR="00A52A2A" w:rsidRPr="00E53344">
        <w:rPr>
          <w:rFonts w:cs="Calibri"/>
          <w:sz w:val="24"/>
          <w:szCs w:val="24"/>
        </w:rPr>
        <w:t xml:space="preserve"> definitions of ‘COVID-19 emergency’ </w:t>
      </w:r>
      <w:r w:rsidR="006D2235" w:rsidRPr="00E53344">
        <w:rPr>
          <w:rFonts w:cs="Calibri"/>
          <w:sz w:val="24"/>
          <w:szCs w:val="24"/>
        </w:rPr>
        <w:t xml:space="preserve">that did not align with the </w:t>
      </w:r>
      <w:r>
        <w:rPr>
          <w:rFonts w:cs="Calibri"/>
          <w:sz w:val="24"/>
          <w:szCs w:val="24"/>
        </w:rPr>
        <w:t>approach</w:t>
      </w:r>
      <w:r w:rsidR="00CE2F9C">
        <w:rPr>
          <w:rFonts w:cs="Calibri"/>
          <w:sz w:val="24"/>
          <w:szCs w:val="24"/>
        </w:rPr>
        <w:t>es outlined above</w:t>
      </w:r>
      <w:r w:rsidR="00A52A2A" w:rsidRPr="00E53344">
        <w:rPr>
          <w:rFonts w:cs="Calibri"/>
          <w:sz w:val="24"/>
          <w:szCs w:val="24"/>
        </w:rPr>
        <w:t>. These</w:t>
      </w:r>
      <w:r w:rsidR="006D2235" w:rsidRPr="00E53344">
        <w:rPr>
          <w:rFonts w:cs="Calibri"/>
          <w:sz w:val="24"/>
          <w:szCs w:val="24"/>
        </w:rPr>
        <w:t xml:space="preserve"> </w:t>
      </w:r>
      <w:r w:rsidR="00CE2F9C">
        <w:rPr>
          <w:rFonts w:cs="Calibri"/>
          <w:sz w:val="24"/>
          <w:szCs w:val="24"/>
        </w:rPr>
        <w:t xml:space="preserve">inconsistencies </w:t>
      </w:r>
      <w:r w:rsidR="00AC03AA">
        <w:rPr>
          <w:rFonts w:cs="Calibri"/>
          <w:sz w:val="24"/>
          <w:szCs w:val="24"/>
        </w:rPr>
        <w:t>were addressed</w:t>
      </w:r>
      <w:r w:rsidR="0003086E" w:rsidRPr="00E53344">
        <w:rPr>
          <w:rFonts w:cs="Calibri"/>
          <w:sz w:val="24"/>
          <w:szCs w:val="24"/>
        </w:rPr>
        <w:t xml:space="preserve"> as part of the amendments made in </w:t>
      </w:r>
      <w:r w:rsidR="002B4C9B">
        <w:rPr>
          <w:rFonts w:cs="Calibri"/>
          <w:sz w:val="24"/>
          <w:szCs w:val="24"/>
        </w:rPr>
        <w:t xml:space="preserve">the </w:t>
      </w:r>
      <w:r w:rsidR="0003086E" w:rsidRPr="00E53344">
        <w:rPr>
          <w:rFonts w:cs="Calibri"/>
          <w:i/>
          <w:iCs/>
          <w:sz w:val="24"/>
          <w:szCs w:val="24"/>
        </w:rPr>
        <w:lastRenderedPageBreak/>
        <w:t>COVID</w:t>
      </w:r>
      <w:r w:rsidR="002B4C9B">
        <w:rPr>
          <w:rFonts w:cs="Calibri"/>
          <w:i/>
          <w:iCs/>
          <w:sz w:val="24"/>
          <w:szCs w:val="24"/>
        </w:rPr>
        <w:noBreakHyphen/>
      </w:r>
      <w:r w:rsidR="0003086E" w:rsidRPr="00E53344">
        <w:rPr>
          <w:rFonts w:cs="Calibri"/>
          <w:i/>
          <w:iCs/>
          <w:sz w:val="24"/>
          <w:szCs w:val="24"/>
        </w:rPr>
        <w:t>19</w:t>
      </w:r>
      <w:r w:rsidR="002B4C9B">
        <w:rPr>
          <w:rFonts w:cs="Calibri"/>
          <w:i/>
          <w:iCs/>
          <w:sz w:val="24"/>
          <w:szCs w:val="24"/>
        </w:rPr>
        <w:t> </w:t>
      </w:r>
      <w:r w:rsidR="0003086E" w:rsidRPr="00E53344">
        <w:rPr>
          <w:rFonts w:cs="Calibri"/>
          <w:i/>
          <w:iCs/>
          <w:sz w:val="24"/>
          <w:szCs w:val="24"/>
        </w:rPr>
        <w:t>Emergency Response Legislation Amendment Act 2020</w:t>
      </w:r>
      <w:r w:rsidR="00CE2F9C">
        <w:rPr>
          <w:rFonts w:cs="Calibri"/>
          <w:sz w:val="24"/>
          <w:szCs w:val="24"/>
        </w:rPr>
        <w:t>, as set out</w:t>
      </w:r>
      <w:r w:rsidR="009C6A1F">
        <w:rPr>
          <w:rFonts w:cs="Calibri"/>
          <w:sz w:val="24"/>
          <w:szCs w:val="24"/>
        </w:rPr>
        <w:t xml:space="preserve"> in the </w:t>
      </w:r>
      <w:r w:rsidR="00CE2F9C">
        <w:rPr>
          <w:rFonts w:cs="Calibri"/>
          <w:sz w:val="24"/>
          <w:szCs w:val="24"/>
        </w:rPr>
        <w:t xml:space="preserve">relevant </w:t>
      </w:r>
      <w:r w:rsidR="009C6A1F">
        <w:rPr>
          <w:rFonts w:cs="Calibri"/>
          <w:sz w:val="24"/>
          <w:szCs w:val="24"/>
        </w:rPr>
        <w:t>Explanatory Statement presented in the ACT Legislative Assembly on 7 May 2020.</w:t>
      </w:r>
    </w:p>
    <w:p w:rsidR="00AC1813" w:rsidRPr="0002647B" w:rsidRDefault="00AC1813" w:rsidP="00AC1813">
      <w:pPr>
        <w:spacing w:after="0" w:line="240" w:lineRule="auto"/>
        <w:rPr>
          <w:b/>
          <w:bCs/>
          <w:sz w:val="24"/>
          <w:szCs w:val="24"/>
        </w:rPr>
      </w:pPr>
      <w:r w:rsidRPr="0002647B">
        <w:rPr>
          <w:b/>
          <w:bCs/>
          <w:sz w:val="24"/>
          <w:szCs w:val="24"/>
        </w:rPr>
        <w:t xml:space="preserve">Notifiable instruments </w:t>
      </w:r>
      <w:r w:rsidR="00966954">
        <w:rPr>
          <w:b/>
          <w:bCs/>
          <w:sz w:val="24"/>
          <w:szCs w:val="24"/>
        </w:rPr>
        <w:br/>
      </w:r>
    </w:p>
    <w:p w:rsidR="009C6A1F" w:rsidRDefault="000761D2" w:rsidP="0002647B">
      <w:pPr>
        <w:rPr>
          <w:rFonts w:cs="Calibri"/>
          <w:sz w:val="24"/>
          <w:szCs w:val="24"/>
        </w:rPr>
      </w:pPr>
      <w:r w:rsidRPr="0002647B">
        <w:rPr>
          <w:rFonts w:cs="Calibri"/>
          <w:sz w:val="24"/>
          <w:szCs w:val="24"/>
        </w:rPr>
        <w:t>As noted by the Committee, the amendment</w:t>
      </w:r>
      <w:r>
        <w:rPr>
          <w:rFonts w:cs="Calibri"/>
          <w:sz w:val="24"/>
          <w:szCs w:val="24"/>
        </w:rPr>
        <w:t>s</w:t>
      </w:r>
      <w:r w:rsidRPr="0002647B">
        <w:rPr>
          <w:rFonts w:cs="Calibri"/>
          <w:sz w:val="24"/>
          <w:szCs w:val="24"/>
        </w:rPr>
        <w:t xml:space="preserve"> to the </w:t>
      </w:r>
      <w:r w:rsidRPr="00E53344">
        <w:rPr>
          <w:rFonts w:cs="Calibri"/>
          <w:i/>
          <w:iCs/>
          <w:sz w:val="24"/>
          <w:szCs w:val="24"/>
        </w:rPr>
        <w:t>Residential Tenancies Act 1997</w:t>
      </w:r>
      <w:r>
        <w:rPr>
          <w:rFonts w:cs="Calibri"/>
          <w:sz w:val="24"/>
          <w:szCs w:val="24"/>
        </w:rPr>
        <w:t xml:space="preserve">, the </w:t>
      </w:r>
      <w:r w:rsidRPr="009C6A1F">
        <w:rPr>
          <w:rFonts w:cs="Calibri"/>
          <w:i/>
          <w:iCs/>
          <w:sz w:val="24"/>
          <w:szCs w:val="24"/>
        </w:rPr>
        <w:t>Firearms Act 1996</w:t>
      </w:r>
      <w:r>
        <w:rPr>
          <w:rFonts w:cs="Calibri"/>
          <w:sz w:val="24"/>
          <w:szCs w:val="24"/>
        </w:rPr>
        <w:t>, the</w:t>
      </w:r>
      <w:r w:rsidRPr="00E53344">
        <w:rPr>
          <w:rFonts w:cs="Calibri"/>
          <w:sz w:val="24"/>
          <w:szCs w:val="24"/>
        </w:rPr>
        <w:t xml:space="preserve"> </w:t>
      </w:r>
      <w:r w:rsidRPr="00E53344">
        <w:rPr>
          <w:rFonts w:cs="Calibri"/>
          <w:i/>
          <w:iCs/>
          <w:sz w:val="24"/>
          <w:szCs w:val="24"/>
        </w:rPr>
        <w:t>Prohibited Weapons Act 1996</w:t>
      </w:r>
      <w:r>
        <w:rPr>
          <w:rFonts w:cs="Calibri"/>
          <w:sz w:val="24"/>
          <w:szCs w:val="24"/>
        </w:rPr>
        <w:t xml:space="preserve"> and the </w:t>
      </w:r>
      <w:r w:rsidRPr="00E53344">
        <w:rPr>
          <w:rFonts w:cs="Calibri"/>
          <w:i/>
          <w:iCs/>
          <w:sz w:val="24"/>
          <w:szCs w:val="24"/>
        </w:rPr>
        <w:t>Leases (Commercial and Retail) Act 2001</w:t>
      </w:r>
      <w:r>
        <w:rPr>
          <w:rFonts w:cs="Calibri"/>
          <w:sz w:val="24"/>
          <w:szCs w:val="24"/>
        </w:rPr>
        <w:t xml:space="preserve"> create an ability to extend a declaration under those Acts by way of notifiable instrument. The</w:t>
      </w:r>
      <w:r w:rsidR="002C40F0">
        <w:rPr>
          <w:rFonts w:cs="Calibri"/>
          <w:sz w:val="24"/>
          <w:szCs w:val="24"/>
        </w:rPr>
        <w:t xml:space="preserve"> emergency measures provide that the</w:t>
      </w:r>
      <w:r>
        <w:rPr>
          <w:rFonts w:cs="Calibri"/>
          <w:sz w:val="24"/>
          <w:szCs w:val="24"/>
        </w:rPr>
        <w:t xml:space="preserve"> original declaration under each Act is</w:t>
      </w:r>
      <w:r w:rsidRPr="0002647B">
        <w:rPr>
          <w:rFonts w:cs="Calibri"/>
          <w:sz w:val="24"/>
          <w:szCs w:val="24"/>
        </w:rPr>
        <w:t xml:space="preserve"> a disallowable instrument. In this way, the content of any declaration, including the ability to extend the declaration, are already subject to the parliamentary scrutiny process and may be disallowed if they are considered objectionable.</w:t>
      </w:r>
    </w:p>
    <w:p w:rsidR="00AC1813" w:rsidRPr="0002647B" w:rsidRDefault="000761D2" w:rsidP="00A10D73">
      <w:pPr>
        <w:rPr>
          <w:sz w:val="24"/>
          <w:szCs w:val="24"/>
        </w:rPr>
      </w:pPr>
      <w:r w:rsidRPr="0002647B">
        <w:rPr>
          <w:rFonts w:cs="Calibri"/>
          <w:sz w:val="24"/>
          <w:szCs w:val="24"/>
        </w:rPr>
        <w:t>The ability to extend a declaration by way of notifiable instrument gives the Minister a limited power to extend the effect of a declaration for a defined period of time</w:t>
      </w:r>
      <w:r w:rsidR="009C6A1F">
        <w:rPr>
          <w:rFonts w:cs="Calibri"/>
          <w:sz w:val="24"/>
          <w:szCs w:val="24"/>
        </w:rPr>
        <w:t xml:space="preserve"> noting that the substance of the declaration </w:t>
      </w:r>
      <w:r w:rsidRPr="0002647B">
        <w:rPr>
          <w:rFonts w:cs="Calibri"/>
          <w:sz w:val="24"/>
          <w:szCs w:val="24"/>
        </w:rPr>
        <w:t xml:space="preserve">has already been the subject of parliamentary scrutiny. </w:t>
      </w:r>
      <w:r w:rsidR="009C6A1F">
        <w:rPr>
          <w:rFonts w:cs="Calibri"/>
          <w:sz w:val="24"/>
          <w:szCs w:val="24"/>
        </w:rPr>
        <w:t xml:space="preserve">Further, </w:t>
      </w:r>
      <w:r w:rsidRPr="0002647B">
        <w:rPr>
          <w:rFonts w:cs="Calibri"/>
          <w:sz w:val="24"/>
          <w:szCs w:val="24"/>
        </w:rPr>
        <w:t>the ability to extend the declaration is limited to a period of 3 months after the public health emergency declaration end date.</w:t>
      </w:r>
      <w:r>
        <w:rPr>
          <w:rFonts w:cs="Calibri"/>
          <w:sz w:val="24"/>
          <w:szCs w:val="24"/>
        </w:rPr>
        <w:t xml:space="preserve"> </w:t>
      </w:r>
      <w:r>
        <w:rPr>
          <w:sz w:val="24"/>
          <w:szCs w:val="24"/>
        </w:rPr>
        <w:t>T</w:t>
      </w:r>
      <w:r w:rsidR="00E2453A" w:rsidRPr="0002647B">
        <w:rPr>
          <w:sz w:val="24"/>
          <w:szCs w:val="24"/>
        </w:rPr>
        <w:t>his approach</w:t>
      </w:r>
      <w:r w:rsidR="00782C73" w:rsidRPr="0002647B">
        <w:rPr>
          <w:sz w:val="24"/>
          <w:szCs w:val="24"/>
        </w:rPr>
        <w:t xml:space="preserve"> is appropriate as the extension is for the purposes of operational continuity until such measures can be appropriately phased out. </w:t>
      </w:r>
    </w:p>
    <w:p w:rsidR="00AC1813" w:rsidRDefault="00AC1813" w:rsidP="00AC1813">
      <w:pPr>
        <w:spacing w:after="0" w:line="240" w:lineRule="auto"/>
        <w:rPr>
          <w:b/>
          <w:bCs/>
          <w:i/>
          <w:iCs/>
          <w:sz w:val="24"/>
          <w:szCs w:val="24"/>
        </w:rPr>
      </w:pPr>
      <w:r w:rsidRPr="0002647B">
        <w:rPr>
          <w:b/>
          <w:bCs/>
          <w:sz w:val="24"/>
          <w:szCs w:val="24"/>
        </w:rPr>
        <w:t xml:space="preserve">Emergency action under the </w:t>
      </w:r>
      <w:r w:rsidR="00604348" w:rsidRPr="00741C78">
        <w:rPr>
          <w:b/>
          <w:bCs/>
          <w:i/>
          <w:iCs/>
          <w:sz w:val="24"/>
          <w:szCs w:val="24"/>
        </w:rPr>
        <w:t>Children and Young People</w:t>
      </w:r>
      <w:r w:rsidRPr="00741C78">
        <w:rPr>
          <w:b/>
          <w:bCs/>
          <w:i/>
          <w:iCs/>
          <w:sz w:val="24"/>
          <w:szCs w:val="24"/>
        </w:rPr>
        <w:t xml:space="preserve"> Act</w:t>
      </w:r>
      <w:r w:rsidR="00604348" w:rsidRPr="00741C78">
        <w:rPr>
          <w:b/>
          <w:bCs/>
          <w:i/>
          <w:iCs/>
          <w:sz w:val="24"/>
          <w:szCs w:val="24"/>
        </w:rPr>
        <w:t xml:space="preserve"> 2008</w:t>
      </w:r>
    </w:p>
    <w:p w:rsidR="00CE2F9C" w:rsidRPr="0002647B" w:rsidRDefault="00CE2F9C" w:rsidP="00AC1813">
      <w:pPr>
        <w:spacing w:after="0" w:line="240" w:lineRule="auto"/>
        <w:rPr>
          <w:b/>
          <w:bCs/>
          <w:sz w:val="24"/>
          <w:szCs w:val="24"/>
        </w:rPr>
      </w:pPr>
    </w:p>
    <w:p w:rsidR="00966954" w:rsidRDefault="00604348" w:rsidP="00604348">
      <w:pPr>
        <w:spacing w:after="0" w:line="240" w:lineRule="auto"/>
        <w:rPr>
          <w:rFonts w:cs="Calibri"/>
          <w:sz w:val="24"/>
          <w:szCs w:val="24"/>
        </w:rPr>
      </w:pPr>
      <w:r w:rsidRPr="0002647B">
        <w:rPr>
          <w:rFonts w:cs="Calibri"/>
          <w:sz w:val="24"/>
          <w:szCs w:val="24"/>
        </w:rPr>
        <w:t>The Committee has asked me to respond to the questions they raise in relation to the request to extend emergency action under the Children and Young People Act</w:t>
      </w:r>
      <w:r w:rsidR="008701B7" w:rsidRPr="0002647B">
        <w:rPr>
          <w:rFonts w:cs="Calibri"/>
          <w:sz w:val="24"/>
          <w:szCs w:val="24"/>
        </w:rPr>
        <w:t xml:space="preserve"> (the CYP Act)</w:t>
      </w:r>
      <w:r w:rsidRPr="0002647B">
        <w:rPr>
          <w:rFonts w:cs="Calibri"/>
          <w:sz w:val="24"/>
          <w:szCs w:val="24"/>
        </w:rPr>
        <w:t xml:space="preserve">. </w:t>
      </w:r>
    </w:p>
    <w:p w:rsidR="00966954" w:rsidRDefault="00966954" w:rsidP="00604348">
      <w:pPr>
        <w:spacing w:after="0" w:line="240" w:lineRule="auto"/>
        <w:rPr>
          <w:rFonts w:cs="Calibri"/>
          <w:sz w:val="24"/>
          <w:szCs w:val="24"/>
        </w:rPr>
      </w:pPr>
    </w:p>
    <w:p w:rsidR="00604348" w:rsidRPr="0002647B" w:rsidRDefault="00604348" w:rsidP="00604348">
      <w:pPr>
        <w:spacing w:after="0" w:line="240" w:lineRule="auto"/>
        <w:rPr>
          <w:rFonts w:cs="Calibri"/>
          <w:sz w:val="24"/>
          <w:szCs w:val="24"/>
        </w:rPr>
      </w:pPr>
      <w:r w:rsidRPr="0002647B">
        <w:rPr>
          <w:rFonts w:cs="Calibri"/>
          <w:sz w:val="24"/>
          <w:szCs w:val="24"/>
        </w:rPr>
        <w:t xml:space="preserve">The basis on which the director-general </w:t>
      </w:r>
      <w:r w:rsidR="00F55E2A">
        <w:rPr>
          <w:rFonts w:cs="Calibri"/>
          <w:sz w:val="24"/>
          <w:szCs w:val="24"/>
        </w:rPr>
        <w:t xml:space="preserve">under the CYP Act </w:t>
      </w:r>
      <w:r w:rsidRPr="0002647B">
        <w:rPr>
          <w:rFonts w:cs="Calibri"/>
          <w:sz w:val="24"/>
          <w:szCs w:val="24"/>
        </w:rPr>
        <w:t>may seek a two-day extension of the statutory transfer of parental responsibility</w:t>
      </w:r>
      <w:r w:rsidR="00966954">
        <w:rPr>
          <w:rFonts w:cs="Calibri"/>
          <w:sz w:val="24"/>
          <w:szCs w:val="24"/>
        </w:rPr>
        <w:t>,</w:t>
      </w:r>
      <w:r w:rsidRPr="0002647B">
        <w:rPr>
          <w:rFonts w:cs="Calibri"/>
          <w:sz w:val="24"/>
          <w:szCs w:val="24"/>
        </w:rPr>
        <w:t xml:space="preserve"> responds to significant pressure placed on critical health, justice and community services during </w:t>
      </w:r>
      <w:r w:rsidR="00342C80">
        <w:rPr>
          <w:rFonts w:cs="Calibri"/>
          <w:sz w:val="24"/>
          <w:szCs w:val="24"/>
        </w:rPr>
        <w:t>the</w:t>
      </w:r>
      <w:r w:rsidRPr="0002647B">
        <w:rPr>
          <w:rFonts w:cs="Calibri"/>
          <w:sz w:val="24"/>
          <w:szCs w:val="24"/>
        </w:rPr>
        <w:t xml:space="preserve"> public health emergency</w:t>
      </w:r>
      <w:r w:rsidR="00A10D73">
        <w:rPr>
          <w:rFonts w:cs="Calibri"/>
          <w:sz w:val="24"/>
          <w:szCs w:val="24"/>
        </w:rPr>
        <w:t xml:space="preserve"> – factors </w:t>
      </w:r>
      <w:r w:rsidRPr="0002647B">
        <w:rPr>
          <w:rFonts w:cs="Calibri"/>
          <w:sz w:val="24"/>
          <w:szCs w:val="24"/>
        </w:rPr>
        <w:t>outside the control of the director-general.</w:t>
      </w:r>
    </w:p>
    <w:p w:rsidR="00604348" w:rsidRPr="0002647B" w:rsidRDefault="00604348" w:rsidP="00604348">
      <w:pPr>
        <w:spacing w:after="0" w:line="240" w:lineRule="auto"/>
        <w:rPr>
          <w:rFonts w:cs="Calibri"/>
          <w:sz w:val="24"/>
          <w:szCs w:val="24"/>
        </w:rPr>
      </w:pPr>
    </w:p>
    <w:p w:rsidR="00604348" w:rsidRPr="0002647B" w:rsidRDefault="00604348" w:rsidP="00604348">
      <w:pPr>
        <w:spacing w:after="0" w:line="240" w:lineRule="auto"/>
        <w:rPr>
          <w:rFonts w:cs="Calibri"/>
          <w:sz w:val="24"/>
          <w:szCs w:val="24"/>
        </w:rPr>
      </w:pPr>
      <w:r w:rsidRPr="0002647B">
        <w:rPr>
          <w:rFonts w:cs="Calibri"/>
          <w:sz w:val="24"/>
          <w:szCs w:val="24"/>
        </w:rPr>
        <w:t xml:space="preserve">At the time of presenting to court after emergency action, the director-general is required to provide evidence to the court so that the court can make a determination as to whether the child is in need of care and protection, in order to grant an interim order. </w:t>
      </w:r>
      <w:r w:rsidR="001A1BC1">
        <w:rPr>
          <w:rFonts w:cs="Calibri"/>
          <w:sz w:val="24"/>
          <w:szCs w:val="24"/>
        </w:rPr>
        <w:t>During the</w:t>
      </w:r>
      <w:r w:rsidRPr="0002647B">
        <w:rPr>
          <w:rFonts w:cs="Calibri"/>
          <w:sz w:val="24"/>
          <w:szCs w:val="24"/>
        </w:rPr>
        <w:t xml:space="preserve"> public health emergency, it may be more difficult to access all necessary information </w:t>
      </w:r>
      <w:r w:rsidR="00A10D73">
        <w:rPr>
          <w:rFonts w:cs="Calibri"/>
          <w:sz w:val="24"/>
          <w:szCs w:val="24"/>
        </w:rPr>
        <w:t>relevant to</w:t>
      </w:r>
      <w:r w:rsidRPr="0002647B">
        <w:rPr>
          <w:rFonts w:cs="Calibri"/>
          <w:sz w:val="24"/>
          <w:szCs w:val="24"/>
        </w:rPr>
        <w:t xml:space="preserve"> the child</w:t>
      </w:r>
      <w:r w:rsidR="00A10D73">
        <w:rPr>
          <w:rFonts w:cs="Calibri"/>
          <w:sz w:val="24"/>
          <w:szCs w:val="24"/>
        </w:rPr>
        <w:t xml:space="preserve">’s </w:t>
      </w:r>
      <w:r w:rsidRPr="0002647B">
        <w:rPr>
          <w:rFonts w:cs="Calibri"/>
          <w:sz w:val="24"/>
          <w:szCs w:val="24"/>
        </w:rPr>
        <w:t xml:space="preserve">need </w:t>
      </w:r>
      <w:r w:rsidR="00A10D73">
        <w:rPr>
          <w:rFonts w:cs="Calibri"/>
          <w:sz w:val="24"/>
          <w:szCs w:val="24"/>
        </w:rPr>
        <w:t>for</w:t>
      </w:r>
      <w:r w:rsidRPr="0002647B">
        <w:rPr>
          <w:rFonts w:cs="Calibri"/>
          <w:sz w:val="24"/>
          <w:szCs w:val="24"/>
        </w:rPr>
        <w:t xml:space="preserve"> care and protection. If this evidence is not presented, there is a real possibility that a child at risk of harm may be returned to </w:t>
      </w:r>
      <w:r w:rsidR="00342C80">
        <w:rPr>
          <w:rFonts w:cs="Calibri"/>
          <w:sz w:val="24"/>
          <w:szCs w:val="24"/>
        </w:rPr>
        <w:t>an unsafe environment</w:t>
      </w:r>
      <w:r w:rsidRPr="0002647B">
        <w:rPr>
          <w:rFonts w:cs="Calibri"/>
          <w:sz w:val="24"/>
          <w:szCs w:val="24"/>
        </w:rPr>
        <w:t xml:space="preserve">. The two-day extension, if granted by the court, will allow the director-general additional time to obtain the best evidence possible from essential service providers (such as police, hospitals and medical professionals) </w:t>
      </w:r>
      <w:r w:rsidR="00CE2F9C">
        <w:rPr>
          <w:rFonts w:cs="Calibri"/>
          <w:sz w:val="24"/>
          <w:szCs w:val="24"/>
        </w:rPr>
        <w:t>for the court’s consideration</w:t>
      </w:r>
      <w:r w:rsidRPr="0002647B">
        <w:rPr>
          <w:rFonts w:cs="Calibri"/>
          <w:sz w:val="24"/>
          <w:szCs w:val="24"/>
        </w:rPr>
        <w:t>.</w:t>
      </w:r>
      <w:r w:rsidR="00CE2F9C">
        <w:rPr>
          <w:rFonts w:cs="Calibri"/>
          <w:sz w:val="24"/>
          <w:szCs w:val="24"/>
        </w:rPr>
        <w:t xml:space="preserve">  </w:t>
      </w:r>
      <w:r w:rsidRPr="0002647B">
        <w:rPr>
          <w:rFonts w:cs="Calibri"/>
          <w:sz w:val="24"/>
          <w:szCs w:val="24"/>
        </w:rPr>
        <w:t>The director-general will only seek an extension where it is necessary because of the public health emergency</w:t>
      </w:r>
      <w:r w:rsidR="00966954">
        <w:rPr>
          <w:rFonts w:cs="Calibri"/>
          <w:sz w:val="24"/>
          <w:szCs w:val="24"/>
        </w:rPr>
        <w:t xml:space="preserve"> and t</w:t>
      </w:r>
      <w:r w:rsidRPr="0002647B">
        <w:rPr>
          <w:rFonts w:cs="Calibri"/>
          <w:sz w:val="24"/>
          <w:szCs w:val="24"/>
        </w:rPr>
        <w:t>he extension can only be granted by the Children</w:t>
      </w:r>
      <w:r w:rsidR="00A10D73">
        <w:rPr>
          <w:rFonts w:cs="Calibri"/>
          <w:sz w:val="24"/>
          <w:szCs w:val="24"/>
        </w:rPr>
        <w:t>’</w:t>
      </w:r>
      <w:r w:rsidRPr="0002647B">
        <w:rPr>
          <w:rFonts w:cs="Calibri"/>
          <w:sz w:val="24"/>
          <w:szCs w:val="24"/>
        </w:rPr>
        <w:t xml:space="preserve">s Court in exceptional circumstances. </w:t>
      </w:r>
    </w:p>
    <w:p w:rsidR="00604348" w:rsidRPr="0002647B" w:rsidRDefault="00604348" w:rsidP="00604348">
      <w:pPr>
        <w:spacing w:after="0" w:line="240" w:lineRule="auto"/>
        <w:rPr>
          <w:rFonts w:cs="Calibri"/>
          <w:sz w:val="24"/>
          <w:szCs w:val="24"/>
        </w:rPr>
      </w:pPr>
    </w:p>
    <w:p w:rsidR="00604348" w:rsidRPr="0002647B" w:rsidRDefault="00604348" w:rsidP="00604348">
      <w:pPr>
        <w:spacing w:after="0" w:line="240" w:lineRule="auto"/>
        <w:rPr>
          <w:rFonts w:cs="Calibri"/>
          <w:sz w:val="24"/>
          <w:szCs w:val="24"/>
        </w:rPr>
      </w:pPr>
      <w:r w:rsidRPr="0002647B">
        <w:rPr>
          <w:rFonts w:cs="Calibri"/>
          <w:sz w:val="24"/>
          <w:szCs w:val="24"/>
        </w:rPr>
        <w:t xml:space="preserve">Safeguards </w:t>
      </w:r>
      <w:r w:rsidR="00966954">
        <w:rPr>
          <w:rFonts w:cs="Calibri"/>
          <w:sz w:val="24"/>
          <w:szCs w:val="24"/>
        </w:rPr>
        <w:t>are</w:t>
      </w:r>
      <w:r w:rsidRPr="0002647B">
        <w:rPr>
          <w:rFonts w:cs="Calibri"/>
          <w:sz w:val="24"/>
          <w:szCs w:val="24"/>
        </w:rPr>
        <w:t xml:space="preserve"> in place to avoid arbitrary use of this provision. For example, where emergency action is taken, obligations under the CYP Act must continue to be met, including ensuring all parties are informed about the action. The Public Advocate will also be notified of emergency action being taken and has the option to join the proceeding if </w:t>
      </w:r>
      <w:r w:rsidR="001A1BC1">
        <w:rPr>
          <w:rFonts w:cs="Calibri"/>
          <w:sz w:val="24"/>
          <w:szCs w:val="24"/>
        </w:rPr>
        <w:t>they</w:t>
      </w:r>
      <w:r w:rsidRPr="0002647B">
        <w:rPr>
          <w:rFonts w:cs="Calibri"/>
          <w:sz w:val="24"/>
          <w:szCs w:val="24"/>
        </w:rPr>
        <w:t xml:space="preserve"> wish to be heard if the two-day extension is applied for by the director-general.</w:t>
      </w:r>
    </w:p>
    <w:p w:rsidR="00604348" w:rsidRPr="0002647B" w:rsidRDefault="00604348" w:rsidP="00604348">
      <w:pPr>
        <w:spacing w:after="0" w:line="240" w:lineRule="auto"/>
        <w:rPr>
          <w:rFonts w:cs="Calibri"/>
          <w:sz w:val="24"/>
          <w:szCs w:val="24"/>
        </w:rPr>
      </w:pPr>
    </w:p>
    <w:p w:rsidR="00AC1813" w:rsidRPr="0002647B" w:rsidRDefault="00604348" w:rsidP="00604348">
      <w:pPr>
        <w:spacing w:after="0" w:line="240" w:lineRule="auto"/>
        <w:rPr>
          <w:rFonts w:cs="Calibri"/>
          <w:sz w:val="24"/>
          <w:szCs w:val="24"/>
        </w:rPr>
      </w:pPr>
      <w:r w:rsidRPr="0002647B">
        <w:rPr>
          <w:rFonts w:cs="Calibri"/>
          <w:sz w:val="24"/>
          <w:szCs w:val="24"/>
        </w:rPr>
        <w:t xml:space="preserve">If a two-day extension is granted, it will not impact on the capacity of a birth parent or family to </w:t>
      </w:r>
      <w:r w:rsidR="00966954">
        <w:rPr>
          <w:rFonts w:cs="Calibri"/>
          <w:sz w:val="24"/>
          <w:szCs w:val="24"/>
        </w:rPr>
        <w:t>have</w:t>
      </w:r>
      <w:r w:rsidRPr="0002647B">
        <w:rPr>
          <w:rFonts w:cs="Calibri"/>
          <w:sz w:val="24"/>
          <w:szCs w:val="24"/>
        </w:rPr>
        <w:t xml:space="preserve"> contact with their child(ren) if that can be arranged during the extension period.</w:t>
      </w:r>
    </w:p>
    <w:p w:rsidR="008701B7" w:rsidRPr="0002647B" w:rsidRDefault="008701B7" w:rsidP="00604348">
      <w:pPr>
        <w:spacing w:after="0" w:line="240" w:lineRule="auto"/>
        <w:rPr>
          <w:rFonts w:cs="Calibri"/>
          <w:sz w:val="24"/>
          <w:szCs w:val="24"/>
        </w:rPr>
      </w:pPr>
    </w:p>
    <w:p w:rsidR="00EF2095" w:rsidRPr="0002647B" w:rsidRDefault="00EF2095" w:rsidP="00966954">
      <w:pPr>
        <w:keepNext/>
        <w:spacing w:after="0" w:line="240" w:lineRule="auto"/>
        <w:rPr>
          <w:b/>
          <w:bCs/>
          <w:sz w:val="24"/>
          <w:szCs w:val="24"/>
        </w:rPr>
      </w:pPr>
      <w:r w:rsidRPr="0002647B">
        <w:rPr>
          <w:b/>
          <w:bCs/>
          <w:sz w:val="24"/>
          <w:szCs w:val="24"/>
        </w:rPr>
        <w:lastRenderedPageBreak/>
        <w:t>Trial by jury (judge alone amendments)</w:t>
      </w:r>
      <w:r w:rsidR="00966954">
        <w:rPr>
          <w:b/>
          <w:bCs/>
          <w:sz w:val="24"/>
          <w:szCs w:val="24"/>
        </w:rPr>
        <w:br/>
      </w:r>
    </w:p>
    <w:p w:rsidR="00EF2095" w:rsidRDefault="00EF2095" w:rsidP="00EF2095">
      <w:pPr>
        <w:spacing w:after="0" w:line="240" w:lineRule="auto"/>
        <w:rPr>
          <w:rFonts w:cs="Calibri"/>
          <w:sz w:val="24"/>
          <w:szCs w:val="24"/>
        </w:rPr>
      </w:pPr>
      <w:r w:rsidRPr="0002647B">
        <w:rPr>
          <w:rFonts w:cs="Calibri"/>
          <w:sz w:val="24"/>
          <w:szCs w:val="24"/>
        </w:rPr>
        <w:t xml:space="preserve">The Committee has asked me to respond to a number of questions about the amendments to the </w:t>
      </w:r>
      <w:r w:rsidRPr="0002647B">
        <w:rPr>
          <w:rFonts w:cs="Calibri"/>
          <w:i/>
          <w:iCs/>
          <w:sz w:val="24"/>
          <w:szCs w:val="24"/>
        </w:rPr>
        <w:t>Supreme Court Act 1933</w:t>
      </w:r>
      <w:r w:rsidRPr="0002647B">
        <w:rPr>
          <w:rFonts w:cs="Calibri"/>
          <w:sz w:val="24"/>
          <w:szCs w:val="24"/>
        </w:rPr>
        <w:t xml:space="preserve"> which provide that a trial by judge alone may be ordered provided specified criteria are met. </w:t>
      </w:r>
    </w:p>
    <w:p w:rsidR="00EF2095" w:rsidRDefault="00EF2095" w:rsidP="00EF2095">
      <w:pPr>
        <w:spacing w:after="0" w:line="240" w:lineRule="auto"/>
        <w:rPr>
          <w:rFonts w:cs="Calibri"/>
          <w:sz w:val="24"/>
          <w:szCs w:val="24"/>
        </w:rPr>
      </w:pPr>
    </w:p>
    <w:p w:rsidR="00EF2095" w:rsidRPr="0002647B" w:rsidRDefault="00D7642E" w:rsidP="00EF2095">
      <w:pPr>
        <w:spacing w:after="0" w:line="240" w:lineRule="auto"/>
        <w:rPr>
          <w:rFonts w:cs="Calibri"/>
          <w:sz w:val="24"/>
          <w:szCs w:val="24"/>
        </w:rPr>
      </w:pPr>
      <w:r>
        <w:rPr>
          <w:rFonts w:cs="Calibri"/>
          <w:sz w:val="24"/>
          <w:szCs w:val="24"/>
        </w:rPr>
        <w:t>S</w:t>
      </w:r>
      <w:r w:rsidR="00EF2095">
        <w:rPr>
          <w:rFonts w:cs="Calibri"/>
          <w:sz w:val="24"/>
          <w:szCs w:val="24"/>
        </w:rPr>
        <w:t>ection 68BA ha</w:t>
      </w:r>
      <w:r>
        <w:rPr>
          <w:rFonts w:cs="Calibri"/>
          <w:sz w:val="24"/>
          <w:szCs w:val="24"/>
        </w:rPr>
        <w:t>s</w:t>
      </w:r>
      <w:r w:rsidR="00EF2095">
        <w:rPr>
          <w:rFonts w:cs="Calibri"/>
          <w:sz w:val="24"/>
          <w:szCs w:val="24"/>
        </w:rPr>
        <w:t xml:space="preserve"> now been repealed and I refer the committee to the Explanatory Statement for the COVID-19 Emergency Response Legislation Amendment Bill 2020 (No 2)</w:t>
      </w:r>
      <w:r>
        <w:rPr>
          <w:rFonts w:cs="Calibri"/>
          <w:sz w:val="24"/>
          <w:szCs w:val="24"/>
        </w:rPr>
        <w:t xml:space="preserve"> which deals with the importance of the section and the appropriateness of its repeal</w:t>
      </w:r>
      <w:r w:rsidR="00EF2095">
        <w:rPr>
          <w:rFonts w:cs="Calibri"/>
          <w:sz w:val="24"/>
          <w:szCs w:val="24"/>
        </w:rPr>
        <w:t>.</w:t>
      </w:r>
    </w:p>
    <w:p w:rsidR="00EF2095" w:rsidRDefault="00EF2095" w:rsidP="00604348">
      <w:pPr>
        <w:spacing w:after="0" w:line="240" w:lineRule="auto"/>
        <w:rPr>
          <w:rFonts w:cs="Calibri"/>
          <w:sz w:val="24"/>
          <w:szCs w:val="24"/>
        </w:rPr>
      </w:pPr>
    </w:p>
    <w:p w:rsidR="008701B7" w:rsidRPr="0002647B" w:rsidRDefault="008701B7" w:rsidP="00604348">
      <w:pPr>
        <w:spacing w:after="0" w:line="240" w:lineRule="auto"/>
        <w:rPr>
          <w:rFonts w:cs="Calibri"/>
          <w:sz w:val="24"/>
          <w:szCs w:val="24"/>
        </w:rPr>
      </w:pPr>
      <w:r w:rsidRPr="0002647B">
        <w:rPr>
          <w:rFonts w:cs="Calibri"/>
          <w:sz w:val="24"/>
          <w:szCs w:val="24"/>
        </w:rPr>
        <w:t>Thank you for taking the time to consider and respond to this Bill.</w:t>
      </w:r>
    </w:p>
    <w:p w:rsidR="00AD7D31" w:rsidRPr="0002647B" w:rsidRDefault="00AD7D31" w:rsidP="00AD7D31">
      <w:pPr>
        <w:spacing w:after="0" w:line="24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8701B7" w:rsidRPr="0002647B" w:rsidTr="008701B7">
        <w:tc>
          <w:tcPr>
            <w:tcW w:w="4927" w:type="dxa"/>
          </w:tcPr>
          <w:p w:rsidR="008701B7" w:rsidRPr="0002647B" w:rsidRDefault="008701B7" w:rsidP="008701B7">
            <w:pPr>
              <w:spacing w:after="0" w:line="240" w:lineRule="auto"/>
              <w:rPr>
                <w:sz w:val="24"/>
                <w:szCs w:val="24"/>
              </w:rPr>
            </w:pPr>
            <w:r w:rsidRPr="0002647B">
              <w:rPr>
                <w:sz w:val="24"/>
                <w:szCs w:val="24"/>
              </w:rPr>
              <w:t>Yours sincerely</w:t>
            </w:r>
          </w:p>
          <w:p w:rsidR="008701B7" w:rsidRPr="0002647B" w:rsidRDefault="008701B7" w:rsidP="008701B7">
            <w:pPr>
              <w:spacing w:after="0" w:line="240" w:lineRule="auto"/>
              <w:rPr>
                <w:sz w:val="24"/>
                <w:szCs w:val="24"/>
              </w:rPr>
            </w:pPr>
          </w:p>
          <w:p w:rsidR="008701B7" w:rsidRPr="0002647B" w:rsidRDefault="008701B7" w:rsidP="008701B7">
            <w:pPr>
              <w:spacing w:after="0" w:line="240" w:lineRule="auto"/>
              <w:rPr>
                <w:sz w:val="24"/>
                <w:szCs w:val="24"/>
              </w:rPr>
            </w:pPr>
            <w:r w:rsidRPr="0002647B">
              <w:rPr>
                <w:sz w:val="24"/>
                <w:szCs w:val="24"/>
              </w:rPr>
              <w:br/>
            </w:r>
          </w:p>
          <w:p w:rsidR="008701B7" w:rsidRPr="0002647B" w:rsidRDefault="008701B7" w:rsidP="008701B7">
            <w:pPr>
              <w:spacing w:after="0" w:line="240" w:lineRule="auto"/>
              <w:rPr>
                <w:sz w:val="24"/>
                <w:szCs w:val="24"/>
              </w:rPr>
            </w:pPr>
            <w:r w:rsidRPr="0002647B">
              <w:rPr>
                <w:sz w:val="24"/>
                <w:szCs w:val="24"/>
              </w:rPr>
              <w:t>Andrew Barr MLA</w:t>
            </w:r>
          </w:p>
          <w:p w:rsidR="008701B7" w:rsidRPr="0002647B" w:rsidRDefault="008701B7" w:rsidP="008701B7">
            <w:pPr>
              <w:spacing w:after="0" w:line="240" w:lineRule="auto"/>
              <w:rPr>
                <w:sz w:val="24"/>
                <w:szCs w:val="24"/>
                <w:lang w:val="en-US"/>
              </w:rPr>
            </w:pPr>
            <w:r w:rsidRPr="0002647B">
              <w:rPr>
                <w:sz w:val="24"/>
                <w:szCs w:val="24"/>
              </w:rPr>
              <w:t xml:space="preserve">Chief Minister </w:t>
            </w:r>
          </w:p>
          <w:p w:rsidR="008701B7" w:rsidRPr="0002647B" w:rsidRDefault="008701B7" w:rsidP="00E2453A">
            <w:pPr>
              <w:pStyle w:val="Header"/>
              <w:tabs>
                <w:tab w:val="left" w:pos="720"/>
              </w:tabs>
              <w:rPr>
                <w:sz w:val="24"/>
                <w:szCs w:val="24"/>
              </w:rPr>
            </w:pPr>
          </w:p>
        </w:tc>
        <w:tc>
          <w:tcPr>
            <w:tcW w:w="4927" w:type="dxa"/>
          </w:tcPr>
          <w:p w:rsidR="008701B7" w:rsidRPr="0002647B" w:rsidRDefault="008701B7" w:rsidP="008701B7">
            <w:pPr>
              <w:spacing w:after="0" w:line="240" w:lineRule="auto"/>
              <w:rPr>
                <w:sz w:val="24"/>
                <w:szCs w:val="24"/>
              </w:rPr>
            </w:pPr>
            <w:r w:rsidRPr="0002647B">
              <w:rPr>
                <w:sz w:val="24"/>
                <w:szCs w:val="24"/>
              </w:rPr>
              <w:t>Yours sincerely</w:t>
            </w:r>
          </w:p>
          <w:p w:rsidR="008701B7" w:rsidRPr="0002647B" w:rsidRDefault="008701B7" w:rsidP="008701B7">
            <w:pPr>
              <w:spacing w:after="0" w:line="240" w:lineRule="auto"/>
              <w:rPr>
                <w:sz w:val="24"/>
                <w:szCs w:val="24"/>
              </w:rPr>
            </w:pPr>
          </w:p>
          <w:p w:rsidR="008701B7" w:rsidRPr="0002647B" w:rsidRDefault="008701B7" w:rsidP="008701B7">
            <w:pPr>
              <w:spacing w:after="0" w:line="240" w:lineRule="auto"/>
              <w:rPr>
                <w:sz w:val="24"/>
                <w:szCs w:val="24"/>
              </w:rPr>
            </w:pPr>
            <w:r w:rsidRPr="0002647B">
              <w:rPr>
                <w:sz w:val="24"/>
                <w:szCs w:val="24"/>
              </w:rPr>
              <w:br/>
            </w:r>
          </w:p>
          <w:p w:rsidR="008701B7" w:rsidRPr="0002647B" w:rsidRDefault="008701B7" w:rsidP="008701B7">
            <w:pPr>
              <w:spacing w:after="0" w:line="240" w:lineRule="auto"/>
              <w:rPr>
                <w:sz w:val="24"/>
                <w:szCs w:val="24"/>
              </w:rPr>
            </w:pPr>
            <w:r w:rsidRPr="0002647B">
              <w:rPr>
                <w:sz w:val="24"/>
                <w:szCs w:val="24"/>
              </w:rPr>
              <w:t>Gordon Ramsay MLA</w:t>
            </w:r>
          </w:p>
          <w:p w:rsidR="008701B7" w:rsidRPr="0002647B" w:rsidRDefault="008701B7" w:rsidP="008701B7">
            <w:pPr>
              <w:spacing w:after="0" w:line="240" w:lineRule="auto"/>
              <w:rPr>
                <w:sz w:val="24"/>
                <w:szCs w:val="24"/>
                <w:lang w:val="en-US"/>
              </w:rPr>
            </w:pPr>
            <w:r w:rsidRPr="0002647B">
              <w:rPr>
                <w:sz w:val="24"/>
                <w:szCs w:val="24"/>
              </w:rPr>
              <w:t>Attorney-General</w:t>
            </w:r>
          </w:p>
          <w:p w:rsidR="008701B7" w:rsidRPr="0002647B" w:rsidRDefault="008701B7" w:rsidP="00E2453A">
            <w:pPr>
              <w:pStyle w:val="Header"/>
              <w:tabs>
                <w:tab w:val="left" w:pos="720"/>
              </w:tabs>
              <w:rPr>
                <w:sz w:val="24"/>
                <w:szCs w:val="24"/>
              </w:rPr>
            </w:pPr>
          </w:p>
        </w:tc>
      </w:tr>
    </w:tbl>
    <w:p w:rsidR="00AD7D31" w:rsidRPr="0002647B" w:rsidRDefault="00AD7D31" w:rsidP="00AD7D31">
      <w:pPr>
        <w:spacing w:after="0" w:line="240" w:lineRule="auto"/>
        <w:rPr>
          <w:rFonts w:ascii="Times New Roman" w:hAnsi="Times New Roman"/>
          <w:sz w:val="24"/>
          <w:szCs w:val="24"/>
        </w:rPr>
      </w:pPr>
    </w:p>
    <w:p w:rsidR="00AD7D31" w:rsidRPr="0002647B" w:rsidRDefault="00AD7D31" w:rsidP="00AD7D31">
      <w:pPr>
        <w:tabs>
          <w:tab w:val="left" w:pos="3240"/>
        </w:tabs>
        <w:spacing w:after="0" w:line="240" w:lineRule="auto"/>
        <w:rPr>
          <w:sz w:val="24"/>
          <w:szCs w:val="24"/>
        </w:rPr>
      </w:pPr>
      <w:r w:rsidRPr="0002647B">
        <w:rPr>
          <w:sz w:val="24"/>
          <w:szCs w:val="24"/>
        </w:rPr>
        <w:tab/>
      </w:r>
    </w:p>
    <w:p w:rsidR="00AD7D31" w:rsidRPr="0002647B" w:rsidRDefault="00F14007" w:rsidP="00AD7D31">
      <w:pPr>
        <w:spacing w:after="0" w:line="240" w:lineRule="auto"/>
        <w:rPr>
          <w:sz w:val="24"/>
          <w:szCs w:val="24"/>
        </w:rPr>
      </w:pPr>
      <w:r w:rsidRPr="0002647B">
        <w:rPr>
          <w:noProof/>
          <w:sz w:val="24"/>
          <w:szCs w:val="24"/>
          <w:lang w:eastAsia="en-AU"/>
        </w:rPr>
        <mc:AlternateContent>
          <mc:Choice Requires="wps">
            <w:drawing>
              <wp:anchor distT="0" distB="0" distL="114300" distR="114300" simplePos="0" relativeHeight="251666432" behindDoc="1" locked="0" layoutInCell="1" allowOverlap="1" wp14:anchorId="01CD81A9" wp14:editId="43F3E179">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D81A9"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mc:Fallback>
        </mc:AlternateContent>
      </w:r>
    </w:p>
    <w:p w:rsidR="0055749D" w:rsidRPr="0002647B" w:rsidRDefault="0055749D" w:rsidP="000C331E">
      <w:pPr>
        <w:tabs>
          <w:tab w:val="left" w:pos="3543"/>
        </w:tabs>
        <w:spacing w:before="240" w:after="0" w:line="240" w:lineRule="auto"/>
        <w:rPr>
          <w:rFonts w:ascii="Font Awesome 5 Brands Regular" w:hAnsi="Font Awesome 5 Brands Regular"/>
          <w:sz w:val="24"/>
          <w:szCs w:val="24"/>
        </w:rPr>
      </w:pPr>
    </w:p>
    <w:sectPr w:rsidR="0055749D" w:rsidRPr="0002647B" w:rsidSect="00F50739">
      <w:headerReference w:type="first" r:id="rId12"/>
      <w:footerReference w:type="first" r:id="rId13"/>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5F1" w:rsidRDefault="00AC75F1" w:rsidP="00AD7D31">
      <w:pPr>
        <w:spacing w:after="0" w:line="240" w:lineRule="auto"/>
      </w:pPr>
      <w:r>
        <w:separator/>
      </w:r>
    </w:p>
  </w:endnote>
  <w:endnote w:type="continuationSeparator" w:id="0">
    <w:p w:rsidR="00AC75F1" w:rsidRDefault="00AC75F1"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ont Awesome 5 Brands Regular">
    <w:panose1 w:val="00000000000000000000"/>
    <w:charset w:val="00"/>
    <w:family w:val="modern"/>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8A04F4" w:rsidRDefault="00F14007" w:rsidP="001D7389">
    <w:pPr>
      <w:pStyle w:val="Heading5"/>
      <w:tabs>
        <w:tab w:val="left" w:pos="142"/>
        <w:tab w:val="left" w:pos="2068"/>
      </w:tabs>
      <w:spacing w:before="240"/>
      <w:ind w:left="142" w:right="83"/>
      <w:rPr>
        <w:rFonts w:eastAsia="Arial" w:cs="Arial"/>
        <w:b w:val="0"/>
        <w:bCs w:val="0"/>
      </w:rPr>
    </w:pPr>
    <w:r>
      <w:rPr>
        <w:noProof/>
        <w:lang w:val="en-AU" w:eastAsia="en-AU"/>
      </w:rPr>
      <w:drawing>
        <wp:anchor distT="0" distB="1143" distL="114300" distR="114300" simplePos="0" relativeHeight="251660288" behindDoc="1" locked="0" layoutInCell="1" allowOverlap="1" wp14:anchorId="343FFE88" wp14:editId="1614775C">
          <wp:simplePos x="0" y="0"/>
          <wp:positionH relativeFrom="page">
            <wp:align>left</wp:align>
          </wp:positionH>
          <wp:positionV relativeFrom="paragraph">
            <wp:posOffset>112395</wp:posOffset>
          </wp:positionV>
          <wp:extent cx="7559675" cy="1327912"/>
          <wp:effectExtent l="0" t="0" r="3175" b="5715"/>
          <wp:wrapNone/>
          <wp:docPr id="1" name="Picture 198" descr="CBR logo" title="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BR logo" title="CB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sidR="001D7389" w:rsidRPr="008A04F4">
      <w:rPr>
        <w:color w:val="231F20"/>
        <w:spacing w:val="-1"/>
      </w:rPr>
      <w:tab/>
    </w:r>
    <w:r w:rsidR="006A1B70" w:rsidRPr="008A04F4">
      <w:rPr>
        <w:color w:val="231F20"/>
        <w:spacing w:val="-1"/>
      </w:rPr>
      <w:br/>
      <w:t xml:space="preserve">ACT </w:t>
    </w:r>
    <w:r w:rsidR="006A1B70" w:rsidRPr="008A04F4">
      <w:rPr>
        <w:color w:val="231F20"/>
        <w:spacing w:val="-2"/>
      </w:rPr>
      <w:t>Legislative</w:t>
    </w:r>
    <w:r w:rsidR="006A1B70" w:rsidRPr="008A04F4">
      <w:rPr>
        <w:color w:val="231F20"/>
        <w:spacing w:val="-15"/>
      </w:rPr>
      <w:t xml:space="preserve"> </w:t>
    </w:r>
    <w:r w:rsidR="00742013" w:rsidRPr="008A04F4">
      <w:rPr>
        <w:color w:val="231F20"/>
        <w:spacing w:val="-4"/>
      </w:rPr>
      <w:t>A</w:t>
    </w:r>
    <w:r w:rsidR="006A1B70" w:rsidRPr="008A04F4">
      <w:rPr>
        <w:color w:val="231F20"/>
        <w:spacing w:val="-4"/>
      </w:rPr>
      <w:t>ssembl</w:t>
    </w:r>
    <w:r w:rsidR="006A1B70" w:rsidRPr="008A04F4">
      <w:rPr>
        <w:color w:val="231F20"/>
        <w:spacing w:val="-5"/>
      </w:rPr>
      <w:t>y</w:t>
    </w:r>
  </w:p>
  <w:p w:rsidR="0064748B" w:rsidRPr="006A1B70" w:rsidRDefault="00AF2B15" w:rsidP="006A1B70">
    <w:pPr>
      <w:pStyle w:val="BodyText"/>
      <w:tabs>
        <w:tab w:val="left" w:pos="142"/>
        <w:tab w:val="left" w:pos="284"/>
        <w:tab w:val="left" w:pos="3342"/>
        <w:tab w:val="left" w:pos="9070"/>
      </w:tabs>
      <w:spacing w:before="44" w:after="80"/>
      <w:ind w:left="142" w:right="83"/>
    </w:pPr>
    <w:r>
      <w:rPr>
        <w:rFonts w:ascii="Font Awesome 5 Brands Regular" w:hAnsi="Font Awesome 5 Brands Regular"/>
        <w:noProof/>
        <w:sz w:val="56"/>
        <w:szCs w:val="56"/>
        <w:lang w:val="en-AU" w:eastAsia="en-AU"/>
      </w:rPr>
      <mc:AlternateContent>
        <mc:Choice Requires="wps">
          <w:drawing>
            <wp:anchor distT="0" distB="0" distL="114300" distR="114300" simplePos="0" relativeHeight="251670528" behindDoc="0" locked="0" layoutInCell="1" allowOverlap="1" wp14:anchorId="2A33B0A2" wp14:editId="1C0BF0C6">
              <wp:simplePos x="0" y="0"/>
              <wp:positionH relativeFrom="column">
                <wp:posOffset>3100705</wp:posOffset>
              </wp:positionH>
              <wp:positionV relativeFrom="paragraph">
                <wp:posOffset>348615</wp:posOffset>
              </wp:positionV>
              <wp:extent cx="409575" cy="4095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409575" cy="409575"/>
                      </a:xfrm>
                      <a:prstGeom prst="rect">
                        <a:avLst/>
                      </a:prstGeom>
                      <a:noFill/>
                      <a:ln w="6350">
                        <a:noFill/>
                      </a:ln>
                    </wps:spPr>
                    <wps:txbx>
                      <w:txbxContent>
                        <w:p w:rsidR="002E1D40" w:rsidRPr="002E1D40" w:rsidRDefault="002E1D40" w:rsidP="002E1D40">
                          <w:pPr>
                            <w:jc w:val="center"/>
                            <w:rPr>
                              <w:sz w:val="48"/>
                              <w:szCs w:val="48"/>
                            </w:rPr>
                          </w:pPr>
                          <w:r w:rsidRPr="002E1D40">
                            <w:rPr>
                              <w:rFonts w:ascii="Font Awesome 5 Brands Regular" w:hAnsi="Font Awesome 5 Brands Regular"/>
                              <w:sz w:val="48"/>
                              <w:szCs w:val="4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3B0A2" id="_x0000_t202" coordsize="21600,21600" o:spt="202" path="m,l,21600r21600,l21600,xe">
              <v:stroke joinstyle="miter"/>
              <v:path gradientshapeok="t" o:connecttype="rect"/>
            </v:shapetype>
            <v:shape id="Text Box 3" o:spid="_x0000_s1027" type="#_x0000_t202" style="position:absolute;left:0;text-align:left;margin-left:244.15pt;margin-top:27.45pt;width:32.2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" filled="f" stroked="f" strokeweight=".5pt">
              <v:textbox inset="0,0,0,0">
                <w:txbxContent>
                  <w:p w:rsidR="002E1D40" w:rsidRPr="002E1D40" w:rsidRDefault="002E1D40" w:rsidP="002E1D40">
                    <w:pPr>
                      <w:jc w:val="center"/>
                      <w:rPr>
                        <w:sz w:val="48"/>
                        <w:szCs w:val="48"/>
                      </w:rPr>
                    </w:pPr>
                    <w:r w:rsidRPr="002E1D40">
                      <w:rPr>
                        <w:rFonts w:ascii="Font Awesome 5 Brands Regular" w:hAnsi="Font Awesome 5 Brands Regular"/>
                        <w:sz w:val="48"/>
                        <w:szCs w:val="48"/>
                      </w:rPr>
                      <w:t></w:t>
                    </w:r>
                  </w:p>
                </w:txbxContent>
              </v:textbox>
            </v:shape>
          </w:pict>
        </mc:Fallback>
      </mc:AlternateContent>
    </w:r>
    <w:r>
      <w:rPr>
        <w:rFonts w:ascii="Font Awesome 5 Brands Regular" w:hAnsi="Font Awesome 5 Brands Regular"/>
        <w:noProof/>
        <w:sz w:val="56"/>
        <w:szCs w:val="56"/>
        <w:lang w:val="en-AU" w:eastAsia="en-AU"/>
      </w:rPr>
      <mc:AlternateContent>
        <mc:Choice Requires="wps">
          <w:drawing>
            <wp:anchor distT="0" distB="0" distL="114300" distR="114300" simplePos="0" relativeHeight="251673600" behindDoc="0" locked="0" layoutInCell="1" allowOverlap="1" wp14:anchorId="11209F12" wp14:editId="2B831F6D">
              <wp:simplePos x="0" y="0"/>
              <wp:positionH relativeFrom="column">
                <wp:posOffset>1398460</wp:posOffset>
              </wp:positionH>
              <wp:positionV relativeFrom="paragraph">
                <wp:posOffset>351790</wp:posOffset>
              </wp:positionV>
              <wp:extent cx="409575" cy="409575"/>
              <wp:effectExtent l="0" t="0" r="9525" b="9525"/>
              <wp:wrapNone/>
              <wp:docPr id="31" name="Text Box 31"/>
              <wp:cNvGraphicFramePr/>
              <a:graphic xmlns:a="http://schemas.openxmlformats.org/drawingml/2006/main">
                <a:graphicData uri="http://schemas.microsoft.com/office/word/2010/wordprocessingShape">
                  <wps:wsp>
                    <wps:cNvSpPr txBox="1"/>
                    <wps:spPr>
                      <a:xfrm>
                        <a:off x="0" y="0"/>
                        <a:ext cx="409575" cy="409575"/>
                      </a:xfrm>
                      <a:prstGeom prst="rect">
                        <a:avLst/>
                      </a:prstGeom>
                      <a:noFill/>
                      <a:ln w="6350">
                        <a:noFill/>
                      </a:ln>
                    </wps:spPr>
                    <wps:txbx>
                      <w:txbxContent>
                        <w:p w:rsidR="000C331E" w:rsidRPr="002E1D40" w:rsidRDefault="000C331E" w:rsidP="000C331E">
                          <w:pPr>
                            <w:jc w:val="center"/>
                            <w:rPr>
                              <w:sz w:val="48"/>
                              <w:szCs w:val="48"/>
                            </w:rPr>
                          </w:pPr>
                          <w:r>
                            <w:rPr>
                              <w:rFonts w:ascii="Font Awesome 5 Brands Regular" w:hAnsi="Font Awesome 5 Brands Regular"/>
                              <w:sz w:val="48"/>
                              <w:szCs w:val="4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09F12" id="Text Box 31" o:spid="_x0000_s1028" type="#_x0000_t202" style="position:absolute;left:0;text-align:left;margin-left:110.1pt;margin-top:27.7pt;width:32.25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" filled="f" stroked="f" strokeweight=".5pt">
              <v:textbox inset="0,0,0,0">
                <w:txbxContent>
                  <w:p w:rsidR="000C331E" w:rsidRPr="002E1D40" w:rsidRDefault="000C331E" w:rsidP="000C331E">
                    <w:pPr>
                      <w:jc w:val="center"/>
                      <w:rPr>
                        <w:sz w:val="48"/>
                        <w:szCs w:val="48"/>
                      </w:rPr>
                    </w:pPr>
                    <w:r>
                      <w:rPr>
                        <w:rFonts w:ascii="Font Awesome 5 Brands Regular" w:hAnsi="Font Awesome 5 Brands Regular"/>
                        <w:sz w:val="48"/>
                        <w:szCs w:val="48"/>
                      </w:rPr>
                      <w:t></w:t>
                    </w:r>
                  </w:p>
                </w:txbxContent>
              </v:textbox>
            </v:shape>
          </w:pict>
        </mc:Fallback>
      </mc:AlternateContent>
    </w:r>
    <w:r w:rsidR="000C331E">
      <w:rPr>
        <w:rFonts w:ascii="Font Awesome 5 Brands Regular" w:hAnsi="Font Awesome 5 Brands Regular"/>
        <w:noProof/>
        <w:sz w:val="56"/>
        <w:szCs w:val="56"/>
        <w:lang w:val="en-AU" w:eastAsia="en-AU"/>
      </w:rPr>
      <mc:AlternateContent>
        <mc:Choice Requires="wps">
          <w:drawing>
            <wp:anchor distT="0" distB="0" distL="114300" distR="114300" simplePos="0" relativeHeight="251672576" behindDoc="0" locked="0" layoutInCell="1" allowOverlap="1" wp14:anchorId="605960AD" wp14:editId="5FDEC302">
              <wp:simplePos x="0" y="0"/>
              <wp:positionH relativeFrom="column">
                <wp:posOffset>21701</wp:posOffset>
              </wp:positionH>
              <wp:positionV relativeFrom="paragraph">
                <wp:posOffset>354965</wp:posOffset>
              </wp:positionV>
              <wp:extent cx="409575" cy="40957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409575" cy="409575"/>
                      </a:xfrm>
                      <a:prstGeom prst="rect">
                        <a:avLst/>
                      </a:prstGeom>
                      <a:noFill/>
                      <a:ln w="6350">
                        <a:noFill/>
                      </a:ln>
                    </wps:spPr>
                    <wps:txbx>
                      <w:txbxContent>
                        <w:p w:rsidR="000C331E" w:rsidRPr="002E1D40" w:rsidRDefault="000C331E" w:rsidP="000C331E">
                          <w:pPr>
                            <w:jc w:val="center"/>
                            <w:rPr>
                              <w:sz w:val="48"/>
                              <w:szCs w:val="48"/>
                            </w:rPr>
                          </w:pPr>
                          <w:r>
                            <w:rPr>
                              <w:rFonts w:ascii="Font Awesome 5 Brands Regular" w:hAnsi="Font Awesome 5 Brands Regular"/>
                              <w:sz w:val="48"/>
                              <w:szCs w:val="4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960AD" id="Text Box 13" o:spid="_x0000_s1029" type="#_x0000_t202" style="position:absolute;left:0;text-align:left;margin-left:1.7pt;margin-top:27.95pt;width:32.25pt;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" filled="f" stroked="f" strokeweight=".5pt">
              <v:textbox inset="0,0,0,0">
                <w:txbxContent>
                  <w:p w:rsidR="000C331E" w:rsidRPr="002E1D40" w:rsidRDefault="000C331E" w:rsidP="000C331E">
                    <w:pPr>
                      <w:jc w:val="center"/>
                      <w:rPr>
                        <w:sz w:val="48"/>
                        <w:szCs w:val="48"/>
                      </w:rPr>
                    </w:pPr>
                    <w:r>
                      <w:rPr>
                        <w:rFonts w:ascii="Font Awesome 5 Brands Regular" w:hAnsi="Font Awesome 5 Brands Regular"/>
                        <w:sz w:val="48"/>
                        <w:szCs w:val="48"/>
                      </w:rPr>
                      <w:t></w:t>
                    </w:r>
                  </w:p>
                </w:txbxContent>
              </v:textbox>
            </v:shape>
          </w:pict>
        </mc:Fallback>
      </mc:AlternateContent>
    </w:r>
    <w:r w:rsidR="006A1B70" w:rsidRPr="008A04F4">
      <w:rPr>
        <w:color w:val="231F20"/>
        <w:sz w:val="20"/>
        <w:szCs w:val="20"/>
      </w:rPr>
      <w:t>London Circuit, Canberra ACT 2601, Australia        GPO Box 1020, Canberra ACT 2601, Australia</w:t>
    </w:r>
    <w:r w:rsidR="006A1B70" w:rsidRPr="008A04F4">
      <w:rPr>
        <w:color w:val="231F20"/>
        <w:sz w:val="20"/>
        <w:szCs w:val="20"/>
      </w:rPr>
      <w:tab/>
    </w:r>
    <w:r w:rsidR="006A1B70" w:rsidRPr="008A04F4">
      <w:rPr>
        <w:color w:val="231F20"/>
        <w:sz w:val="20"/>
        <w:szCs w:val="20"/>
      </w:rPr>
      <w:br/>
    </w:r>
    <w:r w:rsidR="006A1B70" w:rsidRPr="008A04F4">
      <w:rPr>
        <w:b/>
        <w:color w:val="231F20"/>
        <w:sz w:val="20"/>
        <w:szCs w:val="20"/>
      </w:rPr>
      <w:t>Phone</w:t>
    </w:r>
    <w:r w:rsidR="006A1B70" w:rsidRPr="008A04F4">
      <w:rPr>
        <w:color w:val="231F20"/>
        <w:sz w:val="20"/>
        <w:szCs w:val="20"/>
      </w:rPr>
      <w:t xml:space="preserve"> +61 2 6205 0011</w:t>
    </w:r>
    <w:r w:rsidR="006A1B70" w:rsidRPr="008A04F4">
      <w:rPr>
        <w:sz w:val="20"/>
        <w:szCs w:val="20"/>
      </w:rPr>
      <w:t>    </w:t>
    </w:r>
    <w:r w:rsidR="006A1B70" w:rsidRPr="008A04F4">
      <w:rPr>
        <w:b/>
        <w:color w:val="231F20"/>
        <w:sz w:val="20"/>
        <w:szCs w:val="20"/>
      </w:rPr>
      <w:t xml:space="preserve">Fax </w:t>
    </w:r>
    <w:r w:rsidR="006A1B70" w:rsidRPr="008A04F4">
      <w:rPr>
        <w:color w:val="231F20"/>
        <w:sz w:val="20"/>
        <w:szCs w:val="20"/>
      </w:rPr>
      <w:t xml:space="preserve"> +61 2 6205 0157</w:t>
    </w:r>
    <w:r w:rsidR="006A1B70" w:rsidRPr="008A04F4">
      <w:rPr>
        <w:sz w:val="20"/>
        <w:szCs w:val="20"/>
      </w:rPr>
      <w:t>    </w:t>
    </w:r>
    <w:hyperlink r:id="rId2" w:history="1">
      <w:r w:rsidR="006A1B70" w:rsidRPr="008A04F4">
        <w:rPr>
          <w:rStyle w:val="Hyperlink"/>
          <w:b/>
          <w:color w:val="auto"/>
          <w:sz w:val="20"/>
          <w:szCs w:val="20"/>
          <w:u w:val="none"/>
        </w:rPr>
        <w:t>Email</w:t>
      </w:r>
      <w:r w:rsidR="006A1B70" w:rsidRPr="008A04F4">
        <w:rPr>
          <w:rStyle w:val="Hyperlink"/>
          <w:color w:val="auto"/>
          <w:sz w:val="20"/>
          <w:szCs w:val="20"/>
          <w:u w:val="none"/>
        </w:rPr>
        <w:t xml:space="preserve"> </w:t>
      </w:r>
      <w:r w:rsidR="006A1B70" w:rsidRPr="008A04F4">
        <w:rPr>
          <w:rStyle w:val="Hyperlink"/>
          <w:color w:val="auto"/>
          <w:spacing w:val="-2"/>
          <w:sz w:val="20"/>
          <w:szCs w:val="20"/>
          <w:u w:val="none"/>
        </w:rPr>
        <w:t>barr@act.gov.au</w:t>
      </w:r>
    </w:hyperlink>
    <w:r w:rsidR="0061634E" w:rsidRPr="008A04F4">
      <w:rPr>
        <w:sz w:val="20"/>
        <w:szCs w:val="20"/>
      </w:rPr>
      <w:t xml:space="preserve"> </w:t>
    </w:r>
  </w:p>
  <w:p w:rsidR="005351C5" w:rsidRPr="0064748B" w:rsidRDefault="000C331E" w:rsidP="002E1D40">
    <w:pPr>
      <w:pStyle w:val="BodyText"/>
      <w:tabs>
        <w:tab w:val="left" w:pos="5220"/>
      </w:tabs>
      <w:spacing w:before="44" w:after="80"/>
      <w:ind w:left="0" w:right="83" w:hanging="849"/>
    </w:pPr>
    <w:r>
      <w:rPr>
        <w:noProof/>
        <w:lang w:val="en-AU" w:eastAsia="en-AU"/>
      </w:rPr>
      <mc:AlternateContent>
        <mc:Choice Requires="wps">
          <w:drawing>
            <wp:anchor distT="0" distB="0" distL="114300" distR="114300" simplePos="0" relativeHeight="251666432" behindDoc="1" locked="0" layoutInCell="1" allowOverlap="1" wp14:anchorId="7FEC0EB8" wp14:editId="1DFDB7BC">
              <wp:simplePos x="0" y="0"/>
              <wp:positionH relativeFrom="page">
                <wp:posOffset>2449306</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AndrewBarrMLA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C0EB8" id="Text Box 10" o:spid="_x0000_s1030" type="#_x0000_t202" style="position:absolute;margin-left:192.8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P2OrgIAALI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AndrewBarrMLA</w:t>
                    </w:r>
                  </w:p>
                </w:txbxContent>
              </v:textbox>
              <w10:wrap anchorx="page" anchory="page"/>
            </v:shape>
          </w:pict>
        </mc:Fallback>
      </mc:AlternateContent>
    </w:r>
    <w:r w:rsidR="00F14007">
      <w:rPr>
        <w:noProof/>
        <w:lang w:val="en-AU" w:eastAsia="en-AU"/>
      </w:rPr>
      <mc:AlternateContent>
        <mc:Choice Requires="wps">
          <w:drawing>
            <wp:anchor distT="0" distB="0" distL="114300" distR="114300" simplePos="0" relativeHeight="251668480" behindDoc="1" locked="0" layoutInCell="1" allowOverlap="1" wp14:anchorId="297E69C3" wp14:editId="71AC15BC">
              <wp:simplePos x="0" y="0"/>
              <wp:positionH relativeFrom="page">
                <wp:posOffset>4144010</wp:posOffset>
              </wp:positionH>
              <wp:positionV relativeFrom="page">
                <wp:posOffset>10184765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2E1D40" w:rsidRDefault="002E1D40" w:rsidP="0061634E">
                          <w:pPr>
                            <w:pStyle w:val="BodyText"/>
                            <w:spacing w:line="244" w:lineRule="exact"/>
                            <w:rPr>
                              <w:rFonts w:ascii="Calibri Light" w:eastAsia="Calibri Light" w:hAnsi="Calibri Light" w:cs="Calibri Light"/>
                              <w:sz w:val="24"/>
                              <w:szCs w:val="24"/>
                              <w:lang w:val="en-AU"/>
                            </w:rPr>
                          </w:pPr>
                          <w:r>
                            <w:rPr>
                              <w:rFonts w:ascii="Calibri Light"/>
                              <w:color w:val="231F20"/>
                              <w:sz w:val="24"/>
                              <w:szCs w:val="24"/>
                              <w:lang w:val="en-AU"/>
                            </w:rPr>
                            <w:t>andrewbarrmla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E69C3" id="Text Box 88" o:spid="_x0000_s1031" type="#_x0000_t202" style="position:absolute;margin-left:326.3pt;margin-top:801.9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s/rw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" filled="f" stroked="f">
              <v:textbox inset="0,0,0,0">
                <w:txbxContent>
                  <w:p w:rsidR="0061634E" w:rsidRPr="002E1D40" w:rsidRDefault="002E1D40" w:rsidP="0061634E">
                    <w:pPr>
                      <w:pStyle w:val="BodyText"/>
                      <w:spacing w:line="244" w:lineRule="exact"/>
                      <w:rPr>
                        <w:rFonts w:ascii="Calibri Light" w:eastAsia="Calibri Light" w:hAnsi="Calibri Light" w:cs="Calibri Light"/>
                        <w:sz w:val="24"/>
                        <w:szCs w:val="24"/>
                        <w:lang w:val="en-AU"/>
                      </w:rPr>
                    </w:pPr>
                    <w:r>
                      <w:rPr>
                        <w:rFonts w:ascii="Calibri Light"/>
                        <w:color w:val="231F20"/>
                        <w:sz w:val="24"/>
                        <w:szCs w:val="24"/>
                        <w:lang w:val="en-AU"/>
                      </w:rPr>
                      <w:t>andrewbarrmla</w:t>
                    </w:r>
                  </w:p>
                </w:txbxContent>
              </v:textbox>
              <w10:wrap anchorx="page" anchory="page"/>
            </v:shape>
          </w:pict>
        </mc:Fallback>
      </mc:AlternateContent>
    </w:r>
    <w:r w:rsidR="00F14007">
      <w:rPr>
        <w:noProof/>
        <w:lang w:val="en-AU" w:eastAsia="en-AU"/>
      </w:rPr>
      <mc:AlternateContent>
        <mc:Choice Requires="wps">
          <w:drawing>
            <wp:anchor distT="0" distB="0" distL="114300" distR="114300" simplePos="0" relativeHeight="251665408" behindDoc="1" locked="0" layoutInCell="1" allowOverlap="1" wp14:anchorId="71CABA77" wp14:editId="09605A19">
              <wp:simplePos x="0" y="0"/>
              <wp:positionH relativeFrom="page">
                <wp:posOffset>1036955</wp:posOffset>
              </wp:positionH>
              <wp:positionV relativeFrom="page">
                <wp:posOffset>10173970</wp:posOffset>
              </wp:positionV>
              <wp:extent cx="908050" cy="165100"/>
              <wp:effectExtent l="0" t="0" r="635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@ABarrMLA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ABA77" id="Text Box 11" o:spid="_x0000_s1032" type="#_x0000_t202" style="position:absolute;margin-left:81.65pt;margin-top:801.1pt;width:71.5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@ABarrMLA</w:t>
                    </w:r>
                  </w:p>
                </w:txbxContent>
              </v:textbox>
              <w10:wrap anchorx="page" anchory="page"/>
            </v:shape>
          </w:pict>
        </mc:Fallback>
      </mc:AlternateContent>
    </w:r>
    <w:r w:rsidR="007F5BA8">
      <w:tab/>
    </w:r>
    <w:r w:rsidR="002E1D40">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5F1" w:rsidRDefault="00AC75F1" w:rsidP="00AD7D31">
      <w:pPr>
        <w:spacing w:after="0" w:line="240" w:lineRule="auto"/>
      </w:pPr>
      <w:r>
        <w:separator/>
      </w:r>
    </w:p>
  </w:footnote>
  <w:footnote w:type="continuationSeparator" w:id="0">
    <w:p w:rsidR="00AC75F1" w:rsidRDefault="00AC75F1"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F14007" w:rsidP="00AF08DA">
    <w:pPr>
      <w:tabs>
        <w:tab w:val="left" w:pos="7216"/>
      </w:tabs>
      <w:spacing w:before="120" w:after="80" w:line="240" w:lineRule="auto"/>
      <w:ind w:left="5245" w:right="-626"/>
    </w:pPr>
    <w:r>
      <w:rPr>
        <w:noProof/>
        <w:lang w:eastAsia="en-AU"/>
      </w:rPr>
      <w:drawing>
        <wp:anchor distT="0" distB="0" distL="114300" distR="114300" simplePos="0" relativeHeight="251658240" behindDoc="1" locked="0" layoutInCell="1" allowOverlap="1" wp14:anchorId="50CA331B" wp14:editId="7817630E">
          <wp:simplePos x="0" y="0"/>
          <wp:positionH relativeFrom="margin">
            <wp:posOffset>-648335</wp:posOffset>
          </wp:positionH>
          <wp:positionV relativeFrom="page">
            <wp:posOffset>0</wp:posOffset>
          </wp:positionV>
          <wp:extent cx="7551420" cy="1191895"/>
          <wp:effectExtent l="0" t="0" r="0" b="8255"/>
          <wp:wrapNone/>
          <wp:docPr id="2" name="Picture 197" descr="ACT GOV Logo and purple background" title="ACT GOV Logo and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CT GOV Logo and purple background" title="ACT GOV Logo and purple background"/>
                  <pic:cNvPicPr/>
                </pic:nvPicPr>
                <pic:blipFill>
                  <a:blip r:embed="rId1">
                    <a:extLst>
                      <a:ext uri="{28A0092B-C50C-407E-A947-70E740481C1C}">
                        <a14:useLocalDpi xmlns:a14="http://schemas.microsoft.com/office/drawing/2010/main" val="0"/>
                      </a:ext>
                    </a:extLst>
                  </a:blip>
                  <a:stretch>
                    <a:fillRect/>
                  </a:stretch>
                </pic:blipFill>
                <pic:spPr>
                  <a:xfrm>
                    <a:off x="0" y="0"/>
                    <a:ext cx="7551420" cy="1191895"/>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ED5634" w:rsidRPr="008A04F4">
      <w:rPr>
        <w:rFonts w:ascii="Montserrat" w:hAnsi="Montserrat"/>
        <w:b/>
        <w:color w:val="FFFFFF"/>
        <w:sz w:val="36"/>
      </w:rPr>
      <w:t>Andrew Barr</w:t>
    </w:r>
    <w:r w:rsidR="0064748B" w:rsidRPr="008A04F4">
      <w:rPr>
        <w:rFonts w:ascii="Montserrat" w:hAnsi="Montserrat"/>
        <w:b/>
        <w:color w:val="FFFFFF"/>
        <w:spacing w:val="15"/>
        <w:sz w:val="48"/>
      </w:rPr>
      <w:t xml:space="preserve"> </w:t>
    </w:r>
    <w:r w:rsidR="0064748B" w:rsidRPr="008A04F4">
      <w:rPr>
        <w:rFonts w:ascii="Montserrat" w:hAnsi="Montserrat"/>
        <w:b/>
        <w:color w:val="FFFFFF"/>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64748B" w:rsidRPr="00DD766A">
      <w:rPr>
        <w:b/>
        <w:color w:val="231F20"/>
        <w:spacing w:val="-1"/>
        <w:sz w:val="24"/>
      </w:rPr>
      <w:t>Chief</w:t>
    </w:r>
    <w:r w:rsidR="0064748B" w:rsidRPr="00DD766A">
      <w:rPr>
        <w:b/>
        <w:color w:val="231F20"/>
        <w:spacing w:val="-12"/>
        <w:sz w:val="24"/>
      </w:rPr>
      <w:t xml:space="preserve"> </w:t>
    </w:r>
    <w:r w:rsidR="0064748B" w:rsidRPr="00DD766A">
      <w:rPr>
        <w:b/>
        <w:color w:val="231F20"/>
        <w:sz w:val="24"/>
      </w:rPr>
      <w:t>Minister</w:t>
    </w:r>
    <w:r w:rsidR="0064748B" w:rsidRPr="00DD766A">
      <w:t xml:space="preserve"> </w:t>
    </w:r>
    <w:r w:rsidR="00DD766A">
      <w:br/>
    </w:r>
    <w:r w:rsidR="00AF08DA">
      <w:t>Treasurer</w:t>
    </w:r>
    <w:r w:rsidR="00AF08DA">
      <w:br/>
      <w:t>Minister for Social Inclusion and Equality</w:t>
    </w:r>
    <w:r w:rsidR="00AF08DA">
      <w:br/>
      <w:t>Minister for Tourism and Special Events</w:t>
    </w:r>
    <w:r w:rsidR="00AF08DA">
      <w:br/>
      <w:t>Minister for Trade, Industry and Investment</w:t>
    </w:r>
  </w:p>
  <w:p w:rsidR="00AD7D31" w:rsidRPr="008A04F4" w:rsidRDefault="00DD766A" w:rsidP="00313E4A">
    <w:pPr>
      <w:pStyle w:val="Portfolio"/>
      <w:spacing w:after="80" w:line="240" w:lineRule="exact"/>
      <w:ind w:left="5245" w:right="-626"/>
      <w:rPr>
        <w:rFonts w:ascii="Calibri" w:hAnsi="Calibri"/>
        <w:sz w:val="12"/>
        <w:szCs w:val="20"/>
      </w:rPr>
    </w:pPr>
    <w:r w:rsidRPr="008A04F4">
      <w:rPr>
        <w:rFonts w:ascii="Calibri" w:hAnsi="Calibri"/>
        <w:sz w:val="20"/>
        <w:szCs w:val="20"/>
      </w:rPr>
      <w:t>Member</w:t>
    </w:r>
    <w:r w:rsidRPr="008A04F4">
      <w:rPr>
        <w:rFonts w:ascii="Calibri" w:hAnsi="Calibri"/>
        <w:spacing w:val="-5"/>
        <w:sz w:val="20"/>
        <w:szCs w:val="20"/>
      </w:rPr>
      <w:t xml:space="preserve"> </w:t>
    </w:r>
    <w:r w:rsidRPr="008A04F4">
      <w:rPr>
        <w:rFonts w:ascii="Calibri" w:hAnsi="Calibri"/>
        <w:spacing w:val="-2"/>
        <w:sz w:val="20"/>
        <w:szCs w:val="20"/>
      </w:rPr>
      <w:t>for</w:t>
    </w:r>
    <w:r w:rsidRPr="008A04F4">
      <w:rPr>
        <w:rFonts w:ascii="Calibri" w:hAnsi="Calibri"/>
        <w:spacing w:val="-4"/>
        <w:sz w:val="20"/>
        <w:szCs w:val="20"/>
      </w:rPr>
      <w:t xml:space="preserve"> </w:t>
    </w:r>
    <w:r w:rsidRPr="008A04F4">
      <w:rPr>
        <w:rFonts w:ascii="Calibri" w:hAnsi="Calibri"/>
        <w:sz w:val="20"/>
        <w:szCs w:val="20"/>
      </w:rPr>
      <w:t xml:space="preserve">Kurrajong </w:t>
    </w:r>
    <w:r w:rsidRPr="008A04F4">
      <w:rPr>
        <w:rFonts w:ascii="Calibri" w:hAnsi="Calibr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E621F8"/>
    <w:multiLevelType w:val="hybridMultilevel"/>
    <w:tmpl w:val="BE428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5F1"/>
    <w:rsid w:val="00006B8E"/>
    <w:rsid w:val="0002647B"/>
    <w:rsid w:val="0003086E"/>
    <w:rsid w:val="00030B50"/>
    <w:rsid w:val="00054628"/>
    <w:rsid w:val="000761D2"/>
    <w:rsid w:val="000C331E"/>
    <w:rsid w:val="000E403C"/>
    <w:rsid w:val="001160A8"/>
    <w:rsid w:val="0012573A"/>
    <w:rsid w:val="001450DC"/>
    <w:rsid w:val="00171AE4"/>
    <w:rsid w:val="001804F3"/>
    <w:rsid w:val="001851B2"/>
    <w:rsid w:val="00186BAB"/>
    <w:rsid w:val="00195E2D"/>
    <w:rsid w:val="001A1BC1"/>
    <w:rsid w:val="001D7389"/>
    <w:rsid w:val="002A5B26"/>
    <w:rsid w:val="002B4C9B"/>
    <w:rsid w:val="002C40F0"/>
    <w:rsid w:val="002E1D40"/>
    <w:rsid w:val="002F164D"/>
    <w:rsid w:val="00313E4A"/>
    <w:rsid w:val="00342C80"/>
    <w:rsid w:val="00355345"/>
    <w:rsid w:val="0041104E"/>
    <w:rsid w:val="004517FA"/>
    <w:rsid w:val="00477046"/>
    <w:rsid w:val="004E767C"/>
    <w:rsid w:val="005351C5"/>
    <w:rsid w:val="00550935"/>
    <w:rsid w:val="0055749D"/>
    <w:rsid w:val="00581767"/>
    <w:rsid w:val="005C4787"/>
    <w:rsid w:val="005E7DE1"/>
    <w:rsid w:val="00604348"/>
    <w:rsid w:val="0061634E"/>
    <w:rsid w:val="00634B15"/>
    <w:rsid w:val="0064748B"/>
    <w:rsid w:val="00655CD8"/>
    <w:rsid w:val="00662E81"/>
    <w:rsid w:val="006A1B70"/>
    <w:rsid w:val="006A6EC3"/>
    <w:rsid w:val="006B5C32"/>
    <w:rsid w:val="006D2235"/>
    <w:rsid w:val="00711B91"/>
    <w:rsid w:val="00712BA7"/>
    <w:rsid w:val="00741C78"/>
    <w:rsid w:val="00742013"/>
    <w:rsid w:val="00782C73"/>
    <w:rsid w:val="007D7FAC"/>
    <w:rsid w:val="007E1D4D"/>
    <w:rsid w:val="007F5BA8"/>
    <w:rsid w:val="00806ACB"/>
    <w:rsid w:val="008146EA"/>
    <w:rsid w:val="00834846"/>
    <w:rsid w:val="008355B1"/>
    <w:rsid w:val="00855531"/>
    <w:rsid w:val="0086278A"/>
    <w:rsid w:val="008701B7"/>
    <w:rsid w:val="00870A7E"/>
    <w:rsid w:val="0088556B"/>
    <w:rsid w:val="008A04F4"/>
    <w:rsid w:val="008C6705"/>
    <w:rsid w:val="008C71B7"/>
    <w:rsid w:val="008D15E5"/>
    <w:rsid w:val="00927842"/>
    <w:rsid w:val="00966954"/>
    <w:rsid w:val="009C2877"/>
    <w:rsid w:val="009C6A1F"/>
    <w:rsid w:val="009F1D96"/>
    <w:rsid w:val="00A031A0"/>
    <w:rsid w:val="00A10D73"/>
    <w:rsid w:val="00A23E8A"/>
    <w:rsid w:val="00A2718B"/>
    <w:rsid w:val="00A52A2A"/>
    <w:rsid w:val="00AC03AA"/>
    <w:rsid w:val="00AC1813"/>
    <w:rsid w:val="00AC75F1"/>
    <w:rsid w:val="00AD7C31"/>
    <w:rsid w:val="00AD7D31"/>
    <w:rsid w:val="00AE5EA2"/>
    <w:rsid w:val="00AF08DA"/>
    <w:rsid w:val="00AF2B15"/>
    <w:rsid w:val="00B85096"/>
    <w:rsid w:val="00B95FFE"/>
    <w:rsid w:val="00BF1F4A"/>
    <w:rsid w:val="00BF71C3"/>
    <w:rsid w:val="00C00C29"/>
    <w:rsid w:val="00C319F7"/>
    <w:rsid w:val="00C76BAD"/>
    <w:rsid w:val="00CC77C2"/>
    <w:rsid w:val="00CE2F9C"/>
    <w:rsid w:val="00D10C9E"/>
    <w:rsid w:val="00D14395"/>
    <w:rsid w:val="00D37F4A"/>
    <w:rsid w:val="00D473F1"/>
    <w:rsid w:val="00D71DDA"/>
    <w:rsid w:val="00D75843"/>
    <w:rsid w:val="00D7642E"/>
    <w:rsid w:val="00D82D7B"/>
    <w:rsid w:val="00D90ED6"/>
    <w:rsid w:val="00DB20CA"/>
    <w:rsid w:val="00DD766A"/>
    <w:rsid w:val="00E2453A"/>
    <w:rsid w:val="00E4292D"/>
    <w:rsid w:val="00E53344"/>
    <w:rsid w:val="00EC13CB"/>
    <w:rsid w:val="00ED5634"/>
    <w:rsid w:val="00EF0A8B"/>
    <w:rsid w:val="00EF2095"/>
    <w:rsid w:val="00F14007"/>
    <w:rsid w:val="00F50739"/>
    <w:rsid w:val="00F55E2A"/>
    <w:rsid w:val="00F86336"/>
    <w:rsid w:val="00F870F9"/>
    <w:rsid w:val="00FB6C11"/>
    <w:rsid w:val="00FD2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1E35167-D037-42F4-A89F-0975F137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Calibri Light" w:eastAsia="Times New Roman" w:hAnsi="Calibri Light"/>
      <w:i/>
      <w:iCs/>
      <w:color w:val="2E74B5"/>
    </w:rPr>
  </w:style>
  <w:style w:type="paragraph" w:styleId="Heading5">
    <w:name w:val="heading 5"/>
    <w:basedOn w:val="Normal"/>
    <w:link w:val="Heading5Char"/>
    <w:uiPriority w:val="1"/>
    <w:qFormat/>
    <w:rsid w:val="0064748B"/>
    <w:pPr>
      <w:widowControl w:val="0"/>
      <w:spacing w:after="0" w:line="240" w:lineRule="auto"/>
      <w:ind w:left="1133"/>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lang w:val="en-US"/>
    </w:rPr>
  </w:style>
  <w:style w:type="character" w:customStyle="1" w:styleId="BodyTextChar">
    <w:name w:val="Body Text Char"/>
    <w:link w:val="BodyText"/>
    <w:uiPriority w:val="1"/>
    <w:rsid w:val="0064748B"/>
    <w:rPr>
      <w:rFonts w:ascii="Calibri" w:eastAsia="Calibri" w:hAnsi="Calibri"/>
      <w:lang w:val="en-US"/>
    </w:rPr>
  </w:style>
  <w:style w:type="character" w:styleId="Hyperlink">
    <w:name w:val="Hyperlink"/>
    <w:uiPriority w:val="99"/>
    <w:unhideWhenUsed/>
    <w:rsid w:val="0064748B"/>
    <w:rPr>
      <w:color w:val="0563C1"/>
      <w:u w:val="single"/>
    </w:rPr>
  </w:style>
  <w:style w:type="character" w:customStyle="1" w:styleId="Heading4Char">
    <w:name w:val="Heading 4 Char"/>
    <w:link w:val="Heading4"/>
    <w:uiPriority w:val="9"/>
    <w:semiHidden/>
    <w:rsid w:val="0064748B"/>
    <w:rPr>
      <w:rFonts w:ascii="Calibri Light" w:eastAsia="Times New Roman" w:hAnsi="Calibri Light" w:cs="Times New Roman"/>
      <w:i/>
      <w:iCs/>
      <w:color w:val="2E74B5"/>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eastAsia="Calibri Light"/>
      <w:i w:val="0"/>
      <w:iCs w:val="0"/>
      <w:color w:val="231F20"/>
      <w:spacing w:val="-3"/>
      <w:sz w:val="24"/>
      <w:szCs w:val="24"/>
      <w:lang w:val="en-US"/>
    </w:rPr>
  </w:style>
  <w:style w:type="character" w:customStyle="1" w:styleId="PortfolioChar">
    <w:name w:val="Portfolio Char"/>
    <w:link w:val="Portfolio"/>
    <w:uiPriority w:val="1"/>
    <w:rsid w:val="0064748B"/>
    <w:rPr>
      <w:rFonts w:ascii="Calibri Light" w:eastAsia="Calibri Light" w:hAnsi="Calibri Light" w:cs="Times New Roman"/>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450DC"/>
    <w:rPr>
      <w:rFonts w:ascii="Segoe UI" w:hAnsi="Segoe UI" w:cs="Segoe UI"/>
      <w:sz w:val="18"/>
      <w:szCs w:val="18"/>
    </w:rPr>
  </w:style>
  <w:style w:type="character" w:styleId="CommentReference">
    <w:name w:val="annotation reference"/>
    <w:basedOn w:val="DefaultParagraphFont"/>
    <w:uiPriority w:val="99"/>
    <w:semiHidden/>
    <w:unhideWhenUsed/>
    <w:rsid w:val="00782C73"/>
    <w:rPr>
      <w:sz w:val="16"/>
      <w:szCs w:val="16"/>
    </w:rPr>
  </w:style>
  <w:style w:type="paragraph" w:styleId="CommentText">
    <w:name w:val="annotation text"/>
    <w:basedOn w:val="Normal"/>
    <w:link w:val="CommentTextChar"/>
    <w:uiPriority w:val="99"/>
    <w:semiHidden/>
    <w:unhideWhenUsed/>
    <w:rsid w:val="00782C73"/>
    <w:pPr>
      <w:spacing w:line="240" w:lineRule="auto"/>
    </w:pPr>
    <w:rPr>
      <w:sz w:val="20"/>
      <w:szCs w:val="20"/>
    </w:rPr>
  </w:style>
  <w:style w:type="character" w:customStyle="1" w:styleId="CommentTextChar">
    <w:name w:val="Comment Text Char"/>
    <w:basedOn w:val="DefaultParagraphFont"/>
    <w:link w:val="CommentText"/>
    <w:uiPriority w:val="99"/>
    <w:semiHidden/>
    <w:rsid w:val="00782C73"/>
    <w:rPr>
      <w:lang w:eastAsia="en-US"/>
    </w:rPr>
  </w:style>
  <w:style w:type="paragraph" w:styleId="CommentSubject">
    <w:name w:val="annotation subject"/>
    <w:basedOn w:val="CommentText"/>
    <w:next w:val="CommentText"/>
    <w:link w:val="CommentSubjectChar"/>
    <w:uiPriority w:val="99"/>
    <w:semiHidden/>
    <w:unhideWhenUsed/>
    <w:rsid w:val="00782C73"/>
    <w:rPr>
      <w:b/>
      <w:bCs/>
    </w:rPr>
  </w:style>
  <w:style w:type="character" w:customStyle="1" w:styleId="CommentSubjectChar">
    <w:name w:val="Comment Subject Char"/>
    <w:basedOn w:val="CommentTextChar"/>
    <w:link w:val="CommentSubject"/>
    <w:uiPriority w:val="99"/>
    <w:semiHidden/>
    <w:rsid w:val="00782C73"/>
    <w:rPr>
      <w:b/>
      <w:bCs/>
      <w:lang w:eastAsia="en-US"/>
    </w:rPr>
  </w:style>
  <w:style w:type="table" w:styleId="TableGrid">
    <w:name w:val="Table Grid"/>
    <w:basedOn w:val="TableNormal"/>
    <w:uiPriority w:val="39"/>
    <w:rsid w:val="00870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235"/>
    <w:pPr>
      <w:ind w:left="720"/>
      <w:contextualSpacing/>
    </w:pPr>
    <w:rPr>
      <w:rFonts w:asciiTheme="minorHAnsi" w:eastAsiaTheme="minorHAnsi" w:hAnsiTheme="minorHAnsi" w:cstheme="minorBidi"/>
    </w:rPr>
  </w:style>
  <w:style w:type="paragraph" w:styleId="Revision">
    <w:name w:val="Revision"/>
    <w:hidden/>
    <w:uiPriority w:val="99"/>
    <w:semiHidden/>
    <w:rsid w:val="00EF2095"/>
    <w:rPr>
      <w:sz w:val="22"/>
      <w:szCs w:val="22"/>
      <w:lang w:eastAsia="en-US"/>
    </w:rPr>
  </w:style>
  <w:style w:type="paragraph" w:styleId="NormalWeb">
    <w:name w:val="Normal (Web)"/>
    <w:basedOn w:val="Normal"/>
    <w:uiPriority w:val="99"/>
    <w:unhideWhenUsed/>
    <w:rsid w:val="00171AE4"/>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210219402">
      <w:bodyDiv w:val="1"/>
      <w:marLeft w:val="0"/>
      <w:marRight w:val="0"/>
      <w:marTop w:val="0"/>
      <w:marBottom w:val="0"/>
      <w:divBdr>
        <w:top w:val="none" w:sz="0" w:space="0" w:color="auto"/>
        <w:left w:val="none" w:sz="0" w:space="0" w:color="auto"/>
        <w:bottom w:val="none" w:sz="0" w:space="0" w:color="auto"/>
        <w:right w:val="none" w:sz="0" w:space="0" w:color="auto"/>
      </w:divBdr>
    </w:div>
    <w:div w:id="1561087826">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 w:id="214711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ustlii.edu.au/cgi-bin/viewdoc/au/legis/act/consol_act/pha199712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ustlii.edu.au/cgi-bin/viewdoc/au/legis/act/consol_act/ea200411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barr@act.gov.au"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Props1.xml><?xml version="1.0" encoding="utf-8"?>
<ds:datastoreItem xmlns:ds="http://schemas.openxmlformats.org/officeDocument/2006/customXml" ds:itemID="{BB66C206-801A-4FCA-A3D9-F53038BF10EB}">
  <ds:schemaRefs>
    <ds:schemaRef ds:uri="http://schemas.microsoft.com/sharepoint/v3/contenttype/forms"/>
  </ds:schemaRefs>
</ds:datastoreItem>
</file>

<file path=customXml/itemProps2.xml><?xml version="1.0" encoding="utf-8"?>
<ds:datastoreItem xmlns:ds="http://schemas.openxmlformats.org/officeDocument/2006/customXml" ds:itemID="{B3E0EBB2-FF85-4BEA-A69D-AD8C76A98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733C5-51FF-453B-99D7-6EFDCCE023AD}">
  <ds:schemaRefs>
    <ds:schemaRef ds:uri="http://schemas.openxmlformats.org/package/2006/metadata/core-properties"/>
    <ds:schemaRef ds:uri="http://schemas.microsoft.com/office/2006/documentManagement/types"/>
    <ds:schemaRef ds:uri="http://purl.org/dc/elements/1.1/"/>
    <ds:schemaRef ds:uri="http://purl.org/dc/dcmitype/"/>
    <ds:schemaRef ds:uri="http://www.w3.org/XML/1998/namespace"/>
    <ds:schemaRef ds:uri="http://schemas.microsoft.com/office/2006/metadata/properties"/>
    <ds:schemaRef ds:uri="http://schemas.microsoft.com/office/infopath/2007/PartnerControls"/>
    <ds:schemaRef ds:uri="f6c841be-bb08-4901-87b0-0033aa80d2c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Scrutiny response - COVID-19 Emergency Response Act 2020</vt:lpstr>
    </vt:vector>
  </TitlesOfParts>
  <Company/>
  <LinksUpToDate>false</LinksUpToDate>
  <CharactersWithSpaces>6032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COVID-19 Emergency Response Act 2020</dc:title>
  <dc:subject/>
  <dc:creator/>
  <cp:keywords/>
  <dc:description/>
  <cp:lastModifiedBy>Shannon, Anne</cp:lastModifiedBy>
  <cp:revision>2</cp:revision>
  <cp:lastPrinted>2018-08-24T07:17:00Z</cp:lastPrinted>
  <dcterms:created xsi:type="dcterms:W3CDTF">2020-09-01T22:15:00Z</dcterms:created>
  <dcterms:modified xsi:type="dcterms:W3CDTF">2020-09-01T22:17:00Z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