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17FE" w:rsidRPr="00104A8B" w:rsidRDefault="009517FE" w:rsidP="00D13B4C">
      <w:pPr>
        <w:tabs>
          <w:tab w:val="left" w:pos="4653"/>
        </w:tabs>
        <w:spacing w:before="7560" w:after="240" w:line="259" w:lineRule="auto"/>
        <w:jc w:val="right"/>
        <w:rPr>
          <w:rFonts w:ascii="Arial Narrow" w:hAnsi="Arial Narrow"/>
          <w:sz w:val="42"/>
          <w:szCs w:val="42"/>
        </w:rPr>
      </w:pPr>
      <w:bookmarkStart w:id="0" w:name="_Toc500938167"/>
      <w:bookmarkStart w:id="1" w:name="_Toc500947015"/>
      <w:bookmarkStart w:id="2" w:name="_Toc501547024"/>
      <w:bookmarkStart w:id="3" w:name="_Toc501547379"/>
      <w:bookmarkStart w:id="4" w:name="_Toc505005664"/>
      <w:bookmarkStart w:id="5" w:name="_Toc505153755"/>
      <w:bookmarkStart w:id="6" w:name="_Toc508283423"/>
      <w:bookmarkStart w:id="7" w:name="_Toc510081779"/>
      <w:bookmarkStart w:id="8" w:name="_Toc511812216"/>
      <w:bookmarkStart w:id="9" w:name="_Toc512240154"/>
      <w:bookmarkStart w:id="10" w:name="_Toc513192151"/>
      <w:bookmarkStart w:id="11" w:name="_Toc514832413"/>
      <w:bookmarkStart w:id="12" w:name="_Toc514837957"/>
      <w:r w:rsidRPr="00104A8B">
        <w:rPr>
          <w:rFonts w:ascii="Arial Narrow" w:hAnsi="Arial Narrow"/>
          <w:sz w:val="42"/>
          <w:szCs w:val="42"/>
        </w:rPr>
        <w:t>Standing Committee on Justice and Community Safety (Legislative Scrutiny Role)</w:t>
      </w:r>
    </w:p>
    <w:p w:rsidR="000B0846" w:rsidRPr="00104A8B" w:rsidRDefault="000B0846" w:rsidP="001F1D6D">
      <w:pPr>
        <w:pStyle w:val="Heading1"/>
        <w:spacing w:before="2200"/>
      </w:pPr>
      <w:r w:rsidRPr="00104A8B">
        <w:t>S</w:t>
      </w:r>
      <w:r w:rsidR="00907785" w:rsidRPr="00104A8B">
        <w:t xml:space="preserve">crutiny Report </w:t>
      </w:r>
      <w:bookmarkEnd w:id="0"/>
      <w:bookmarkEnd w:id="1"/>
      <w:bookmarkEnd w:id="2"/>
      <w:bookmarkEnd w:id="3"/>
      <w:bookmarkEnd w:id="4"/>
      <w:bookmarkEnd w:id="5"/>
      <w:bookmarkEnd w:id="6"/>
      <w:bookmarkEnd w:id="7"/>
      <w:bookmarkEnd w:id="8"/>
      <w:bookmarkEnd w:id="9"/>
      <w:bookmarkEnd w:id="10"/>
      <w:bookmarkEnd w:id="11"/>
      <w:bookmarkEnd w:id="12"/>
      <w:r w:rsidR="00A52216">
        <w:t>47</w:t>
      </w:r>
    </w:p>
    <w:p w:rsidR="00D4210F" w:rsidRPr="00104A8B" w:rsidRDefault="009D2F65" w:rsidP="00A014F1">
      <w:pPr>
        <w:spacing w:before="1800" w:after="240"/>
        <w:jc w:val="right"/>
        <w:rPr>
          <w:sz w:val="24"/>
          <w:szCs w:val="24"/>
        </w:rPr>
      </w:pPr>
      <w:r>
        <w:rPr>
          <w:sz w:val="24"/>
          <w:szCs w:val="24"/>
        </w:rPr>
        <w:t>2</w:t>
      </w:r>
      <w:r w:rsidR="00A52216">
        <w:rPr>
          <w:sz w:val="24"/>
          <w:szCs w:val="24"/>
        </w:rPr>
        <w:t>8</w:t>
      </w:r>
      <w:r>
        <w:rPr>
          <w:sz w:val="24"/>
          <w:szCs w:val="24"/>
        </w:rPr>
        <w:t xml:space="preserve"> JULY</w:t>
      </w:r>
      <w:r w:rsidR="00701E54" w:rsidRPr="00C01717">
        <w:rPr>
          <w:sz w:val="24"/>
          <w:szCs w:val="24"/>
        </w:rPr>
        <w:t xml:space="preserve"> 2020</w:t>
      </w:r>
    </w:p>
    <w:p w:rsidR="00D4210F" w:rsidRPr="00104A8B" w:rsidRDefault="00D4210F" w:rsidP="00D4210F">
      <w:r w:rsidRPr="00104A8B">
        <w:br w:type="page"/>
      </w:r>
    </w:p>
    <w:p w:rsidR="000B0846" w:rsidRPr="00104A8B" w:rsidRDefault="000B0846" w:rsidP="000B0846">
      <w:pPr>
        <w:spacing w:before="1800" w:after="240"/>
        <w:jc w:val="right"/>
      </w:pPr>
    </w:p>
    <w:p w:rsidR="00AE4D51" w:rsidRPr="00104A8B" w:rsidRDefault="00AE4D51" w:rsidP="00DF4EFB">
      <w:pPr>
        <w:pStyle w:val="Heading2"/>
        <w:sectPr w:rsidR="00AE4D51" w:rsidRPr="00104A8B">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pPr>
      <w:bookmarkStart w:id="13" w:name="_Toc500938168"/>
      <w:bookmarkStart w:id="14" w:name="_Toc500947016"/>
    </w:p>
    <w:p w:rsidR="002A185D" w:rsidRPr="00104A8B" w:rsidRDefault="002A185D" w:rsidP="00DF4EFB">
      <w:pPr>
        <w:pStyle w:val="Heading2"/>
      </w:pPr>
      <w:bookmarkStart w:id="15" w:name="_Toc502671580"/>
      <w:bookmarkStart w:id="16" w:name="_Toc502671759"/>
      <w:bookmarkStart w:id="17" w:name="_Toc502671864"/>
      <w:bookmarkStart w:id="18" w:name="_Toc502672797"/>
      <w:bookmarkStart w:id="19" w:name="_Toc514768035"/>
      <w:bookmarkStart w:id="20" w:name="_Toc514837958"/>
      <w:bookmarkStart w:id="21" w:name="_Toc518297244"/>
      <w:bookmarkStart w:id="22" w:name="_Toc519069302"/>
      <w:bookmarkStart w:id="23" w:name="_Toc519069363"/>
      <w:bookmarkStart w:id="24" w:name="_Toc519520730"/>
      <w:bookmarkStart w:id="25" w:name="_Toc520188709"/>
      <w:bookmarkStart w:id="26" w:name="_Toc521054226"/>
      <w:bookmarkStart w:id="27" w:name="_Toc521054313"/>
      <w:bookmarkStart w:id="28" w:name="_Toc521054385"/>
      <w:bookmarkStart w:id="29" w:name="_Toc523753608"/>
      <w:bookmarkStart w:id="30" w:name="_Toc523814157"/>
      <w:bookmarkStart w:id="31" w:name="_Toc523900448"/>
      <w:bookmarkStart w:id="32" w:name="_Toc526855809"/>
      <w:bookmarkStart w:id="33" w:name="_Toc528155835"/>
      <w:bookmarkStart w:id="34" w:name="_Toc528157194"/>
      <w:bookmarkStart w:id="35" w:name="_Toc528310847"/>
      <w:bookmarkStart w:id="36" w:name="_Toc529974526"/>
      <w:bookmarkStart w:id="37" w:name="_Toc530039421"/>
      <w:bookmarkStart w:id="38" w:name="_Toc536527669"/>
      <w:bookmarkStart w:id="39" w:name="_Toc536527832"/>
      <w:bookmarkStart w:id="40" w:name="_Toc536615370"/>
      <w:bookmarkStart w:id="41" w:name="_Toc172148"/>
      <w:bookmarkStart w:id="42" w:name="_Toc506073"/>
      <w:bookmarkStart w:id="43" w:name="_Toc945917"/>
      <w:bookmarkStart w:id="44" w:name="_Toc965807"/>
      <w:bookmarkStart w:id="45" w:name="_Toc2839571"/>
      <w:bookmarkStart w:id="46" w:name="_Toc2850231"/>
      <w:bookmarkStart w:id="47" w:name="_Toc3271208"/>
      <w:bookmarkStart w:id="48" w:name="_Toc4588269"/>
      <w:bookmarkStart w:id="49" w:name="_Toc4652915"/>
      <w:bookmarkStart w:id="50" w:name="_Toc5003657"/>
      <w:bookmarkStart w:id="51" w:name="_Toc6211030"/>
      <w:bookmarkStart w:id="52" w:name="_Toc9499988"/>
      <w:bookmarkStart w:id="53" w:name="_Toc14266110"/>
      <w:bookmarkStart w:id="54" w:name="_Toc14334599"/>
      <w:bookmarkStart w:id="55" w:name="_Toc14775949"/>
      <w:bookmarkStart w:id="56" w:name="_Toc15285027"/>
      <w:bookmarkStart w:id="57" w:name="_Toc15630647"/>
      <w:bookmarkStart w:id="58" w:name="_Toc18415319"/>
      <w:bookmarkStart w:id="59" w:name="_Toc18487687"/>
      <w:bookmarkStart w:id="60" w:name="_Toc19708390"/>
      <w:bookmarkStart w:id="61" w:name="_Toc20131679"/>
      <w:bookmarkStart w:id="62" w:name="_Toc21595437"/>
      <w:bookmarkStart w:id="63" w:name="_Toc22025438"/>
      <w:bookmarkStart w:id="64" w:name="_Toc24463701"/>
      <w:bookmarkStart w:id="65" w:name="_Toc24617698"/>
      <w:bookmarkStart w:id="66" w:name="_Toc25050770"/>
      <w:bookmarkStart w:id="67" w:name="_Toc31202134"/>
      <w:bookmarkStart w:id="68" w:name="_Toc31202255"/>
      <w:bookmarkStart w:id="69" w:name="_Toc32390195"/>
      <w:bookmarkStart w:id="70" w:name="_Toc32566836"/>
      <w:bookmarkStart w:id="71" w:name="_Toc35437926"/>
      <w:bookmarkStart w:id="72" w:name="_Toc38270536"/>
      <w:bookmarkStart w:id="73" w:name="_Toc38362387"/>
      <w:bookmarkStart w:id="74" w:name="_Toc38441868"/>
      <w:bookmarkStart w:id="75" w:name="_Toc38442375"/>
      <w:bookmarkStart w:id="76" w:name="_Toc38976313"/>
      <w:bookmarkStart w:id="77" w:name="_Toc40693084"/>
      <w:bookmarkStart w:id="78" w:name="_Toc40693225"/>
      <w:bookmarkStart w:id="79" w:name="_Toc41570911"/>
      <w:bookmarkStart w:id="80" w:name="_Toc42874993"/>
      <w:bookmarkStart w:id="81" w:name="_Toc44074210"/>
      <w:bookmarkStart w:id="82" w:name="_Toc44317221"/>
      <w:bookmarkStart w:id="83" w:name="_Toc44323924"/>
      <w:bookmarkStart w:id="84" w:name="_Toc45878796"/>
      <w:bookmarkStart w:id="85" w:name="_Toc46130600"/>
      <w:bookmarkStart w:id="86" w:name="_Toc46484319"/>
      <w:bookmarkStart w:id="87" w:name="_Toc46734580"/>
      <w:bookmarkStart w:id="88" w:name="_Toc46735460"/>
      <w:bookmarkStart w:id="89" w:name="_Toc500938169"/>
      <w:bookmarkStart w:id="90" w:name="_Toc500947017"/>
      <w:bookmarkStart w:id="91" w:name="_Toc501547026"/>
      <w:bookmarkStart w:id="92" w:name="_Toc501547381"/>
      <w:bookmarkStart w:id="93" w:name="_Toc505005665"/>
      <w:bookmarkStart w:id="94" w:name="_Toc505153756"/>
      <w:bookmarkStart w:id="95" w:name="_Toc508283424"/>
      <w:bookmarkStart w:id="96" w:name="_Toc510081780"/>
      <w:bookmarkStart w:id="97" w:name="_Toc511812217"/>
      <w:bookmarkStart w:id="98" w:name="_Toc512240155"/>
      <w:bookmarkStart w:id="99" w:name="_Toc513192152"/>
      <w:bookmarkStart w:id="100" w:name="_Toc514832414"/>
      <w:bookmarkEnd w:id="13"/>
      <w:bookmarkEnd w:id="14"/>
      <w:r w:rsidRPr="00104A8B">
        <w:lastRenderedPageBreak/>
        <w:t>The Committee</w:t>
      </w:r>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p>
    <w:p w:rsidR="000B0846" w:rsidRPr="00104A8B" w:rsidRDefault="000B0846" w:rsidP="002A185D">
      <w:pPr>
        <w:pStyle w:val="Heading3"/>
        <w:rPr>
          <w:rFonts w:asciiTheme="minorHAnsi" w:hAnsiTheme="minorHAnsi"/>
        </w:rPr>
      </w:pPr>
      <w:bookmarkStart w:id="101" w:name="_Toc514837959"/>
      <w:bookmarkStart w:id="102" w:name="_Toc514943593"/>
      <w:bookmarkStart w:id="103" w:name="_Toc515352036"/>
      <w:bookmarkStart w:id="104" w:name="_Toc518297245"/>
      <w:bookmarkStart w:id="105" w:name="_Toc519069303"/>
      <w:bookmarkStart w:id="106" w:name="_Toc519069364"/>
      <w:bookmarkStart w:id="107" w:name="_Toc519520731"/>
      <w:bookmarkStart w:id="108" w:name="_Toc520188710"/>
      <w:bookmarkStart w:id="109" w:name="_Toc521054227"/>
      <w:bookmarkStart w:id="110" w:name="_Toc521054314"/>
      <w:bookmarkStart w:id="111" w:name="_Toc521054386"/>
      <w:bookmarkStart w:id="112" w:name="_Toc523753609"/>
      <w:bookmarkStart w:id="113" w:name="_Toc523814158"/>
      <w:bookmarkStart w:id="114" w:name="_Toc523900449"/>
      <w:bookmarkStart w:id="115" w:name="_Toc526855810"/>
      <w:bookmarkStart w:id="116" w:name="_Toc528155836"/>
      <w:bookmarkStart w:id="117" w:name="_Toc528157195"/>
      <w:bookmarkStart w:id="118" w:name="_Toc528310848"/>
      <w:bookmarkStart w:id="119" w:name="_Toc529974527"/>
      <w:bookmarkStart w:id="120" w:name="_Toc530039422"/>
      <w:bookmarkStart w:id="121" w:name="_Toc536527670"/>
      <w:bookmarkStart w:id="122" w:name="_Toc536527833"/>
      <w:bookmarkStart w:id="123" w:name="_Toc536615371"/>
      <w:bookmarkStart w:id="124" w:name="_Toc172149"/>
      <w:bookmarkStart w:id="125" w:name="_Toc506074"/>
      <w:bookmarkStart w:id="126" w:name="_Toc945918"/>
      <w:bookmarkStart w:id="127" w:name="_Toc965808"/>
      <w:bookmarkStart w:id="128" w:name="_Toc2839572"/>
      <w:bookmarkStart w:id="129" w:name="_Toc2850232"/>
      <w:bookmarkStart w:id="130" w:name="_Toc3271209"/>
      <w:bookmarkStart w:id="131" w:name="_Toc4588270"/>
      <w:bookmarkStart w:id="132" w:name="_Toc4652916"/>
      <w:bookmarkStart w:id="133" w:name="_Toc5003658"/>
      <w:bookmarkStart w:id="134" w:name="_Toc6211031"/>
      <w:bookmarkStart w:id="135" w:name="_Toc9499989"/>
      <w:bookmarkStart w:id="136" w:name="_Toc14266111"/>
      <w:bookmarkStart w:id="137" w:name="_Toc14334600"/>
      <w:bookmarkStart w:id="138" w:name="_Toc14775950"/>
      <w:bookmarkStart w:id="139" w:name="_Toc15285028"/>
      <w:bookmarkStart w:id="140" w:name="_Toc15630648"/>
      <w:bookmarkStart w:id="141" w:name="_Toc18415320"/>
      <w:bookmarkStart w:id="142" w:name="_Toc18487688"/>
      <w:bookmarkStart w:id="143" w:name="_Toc19708391"/>
      <w:bookmarkStart w:id="144" w:name="_Toc20131680"/>
      <w:bookmarkStart w:id="145" w:name="_Toc21595438"/>
      <w:bookmarkStart w:id="146" w:name="_Toc22025439"/>
      <w:bookmarkStart w:id="147" w:name="_Toc24463702"/>
      <w:bookmarkStart w:id="148" w:name="_Toc24617699"/>
      <w:bookmarkStart w:id="149" w:name="_Toc25050771"/>
      <w:bookmarkStart w:id="150" w:name="_Toc31202135"/>
      <w:bookmarkStart w:id="151" w:name="_Toc31202256"/>
      <w:bookmarkStart w:id="152" w:name="_Toc32390196"/>
      <w:bookmarkStart w:id="153" w:name="_Toc32566837"/>
      <w:bookmarkStart w:id="154" w:name="_Toc35437927"/>
      <w:bookmarkStart w:id="155" w:name="_Toc38270537"/>
      <w:bookmarkStart w:id="156" w:name="_Toc38362388"/>
      <w:bookmarkStart w:id="157" w:name="_Toc38441869"/>
      <w:bookmarkStart w:id="158" w:name="_Toc38442376"/>
      <w:bookmarkStart w:id="159" w:name="_Toc38976314"/>
      <w:bookmarkStart w:id="160" w:name="_Toc40693085"/>
      <w:bookmarkStart w:id="161" w:name="_Toc40693226"/>
      <w:bookmarkStart w:id="162" w:name="_Toc41570912"/>
      <w:bookmarkStart w:id="163" w:name="_Toc42874994"/>
      <w:bookmarkStart w:id="164" w:name="_Toc44074211"/>
      <w:bookmarkStart w:id="165" w:name="_Toc44317222"/>
      <w:bookmarkStart w:id="166" w:name="_Toc44323925"/>
      <w:bookmarkStart w:id="167" w:name="_Toc45878797"/>
      <w:bookmarkStart w:id="168" w:name="_Toc46130601"/>
      <w:bookmarkStart w:id="169" w:name="_Toc46484320"/>
      <w:bookmarkStart w:id="170" w:name="_Toc46734581"/>
      <w:bookmarkStart w:id="171" w:name="_Toc46735461"/>
      <w:r w:rsidRPr="00104A8B">
        <w:rPr>
          <w:rFonts w:asciiTheme="minorHAnsi" w:hAnsiTheme="minorHAnsi"/>
        </w:rPr>
        <w:t>C</w:t>
      </w:r>
      <w:r w:rsidR="00474136" w:rsidRPr="00104A8B">
        <w:rPr>
          <w:rFonts w:asciiTheme="minorHAnsi" w:hAnsiTheme="minorHAnsi"/>
        </w:rPr>
        <w:t>ommittee Membership</w:t>
      </w:r>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p>
    <w:p w:rsidR="000B0846" w:rsidRPr="00104A8B" w:rsidRDefault="00941D2C" w:rsidP="009C4F5B">
      <w:pPr>
        <w:pStyle w:val="ListParagraph"/>
        <w:ind w:left="0"/>
      </w:pPr>
      <w:r w:rsidRPr="00104A8B">
        <w:t>Mrs Giulia Jones</w:t>
      </w:r>
      <w:r w:rsidR="00A919BD" w:rsidRPr="00104A8B">
        <w:t xml:space="preserve"> MLA </w:t>
      </w:r>
      <w:r w:rsidR="000B0846" w:rsidRPr="00104A8B">
        <w:t>(Chair)</w:t>
      </w:r>
    </w:p>
    <w:p w:rsidR="000B0846" w:rsidRPr="00104A8B" w:rsidRDefault="000B0846" w:rsidP="009C4F5B">
      <w:pPr>
        <w:pStyle w:val="ListParagraph"/>
        <w:ind w:left="0"/>
      </w:pPr>
      <w:r w:rsidRPr="00104A8B">
        <w:t>Ms Bec Cody MLA (Deputy Chair)</w:t>
      </w:r>
    </w:p>
    <w:p w:rsidR="000B0846" w:rsidRPr="00104A8B" w:rsidRDefault="003C4A44" w:rsidP="009C4F5B">
      <w:pPr>
        <w:pStyle w:val="ListParagraph"/>
        <w:spacing w:after="360"/>
        <w:ind w:left="0"/>
      </w:pPr>
      <w:r>
        <w:t>Mr Deepak-Raj Gupta ML</w:t>
      </w:r>
      <w:r w:rsidR="000B0846" w:rsidRPr="00104A8B">
        <w:t>A</w:t>
      </w:r>
    </w:p>
    <w:p w:rsidR="000B0846" w:rsidRPr="00104A8B" w:rsidRDefault="000B0846" w:rsidP="002A185D">
      <w:pPr>
        <w:pStyle w:val="Heading3"/>
        <w:rPr>
          <w:rFonts w:asciiTheme="minorHAnsi" w:hAnsiTheme="minorHAnsi"/>
        </w:rPr>
      </w:pPr>
      <w:bookmarkStart w:id="172" w:name="_Toc500938170"/>
      <w:bookmarkStart w:id="173" w:name="_Toc500947018"/>
      <w:bookmarkStart w:id="174" w:name="_Toc501547027"/>
      <w:bookmarkStart w:id="175" w:name="_Toc501547382"/>
      <w:bookmarkStart w:id="176" w:name="_Toc505005666"/>
      <w:bookmarkStart w:id="177" w:name="_Toc505153757"/>
      <w:bookmarkStart w:id="178" w:name="_Toc508283425"/>
      <w:bookmarkStart w:id="179" w:name="_Toc510081781"/>
      <w:bookmarkStart w:id="180" w:name="_Toc511812218"/>
      <w:bookmarkStart w:id="181" w:name="_Toc512240156"/>
      <w:bookmarkStart w:id="182" w:name="_Toc513192153"/>
      <w:bookmarkStart w:id="183" w:name="_Toc514832415"/>
      <w:bookmarkStart w:id="184" w:name="_Toc514837960"/>
      <w:bookmarkStart w:id="185" w:name="_Toc514943594"/>
      <w:bookmarkStart w:id="186" w:name="_Toc515352037"/>
      <w:bookmarkStart w:id="187" w:name="_Toc518297246"/>
      <w:bookmarkStart w:id="188" w:name="_Toc519069304"/>
      <w:bookmarkStart w:id="189" w:name="_Toc519069365"/>
      <w:bookmarkStart w:id="190" w:name="_Toc519520732"/>
      <w:bookmarkStart w:id="191" w:name="_Toc520188711"/>
      <w:bookmarkStart w:id="192" w:name="_Toc521054228"/>
      <w:bookmarkStart w:id="193" w:name="_Toc521054315"/>
      <w:bookmarkStart w:id="194" w:name="_Toc521054387"/>
      <w:bookmarkStart w:id="195" w:name="_Toc523753610"/>
      <w:bookmarkStart w:id="196" w:name="_Toc523814159"/>
      <w:bookmarkStart w:id="197" w:name="_Toc523900450"/>
      <w:bookmarkStart w:id="198" w:name="_Toc526855811"/>
      <w:bookmarkStart w:id="199" w:name="_Toc528155837"/>
      <w:bookmarkStart w:id="200" w:name="_Toc528157196"/>
      <w:bookmarkStart w:id="201" w:name="_Toc528310849"/>
      <w:bookmarkStart w:id="202" w:name="_Toc529974528"/>
      <w:bookmarkStart w:id="203" w:name="_Toc530039423"/>
      <w:bookmarkStart w:id="204" w:name="_Toc536527671"/>
      <w:bookmarkStart w:id="205" w:name="_Toc536527834"/>
      <w:bookmarkStart w:id="206" w:name="_Toc536615372"/>
      <w:bookmarkStart w:id="207" w:name="_Toc172150"/>
      <w:bookmarkStart w:id="208" w:name="_Toc506075"/>
      <w:bookmarkStart w:id="209" w:name="_Toc945919"/>
      <w:bookmarkStart w:id="210" w:name="_Toc965809"/>
      <w:bookmarkStart w:id="211" w:name="_Toc2839573"/>
      <w:bookmarkStart w:id="212" w:name="_Toc2850233"/>
      <w:bookmarkStart w:id="213" w:name="_Toc3271210"/>
      <w:bookmarkStart w:id="214" w:name="_Toc4588271"/>
      <w:bookmarkStart w:id="215" w:name="_Toc4652917"/>
      <w:bookmarkStart w:id="216" w:name="_Toc5003659"/>
      <w:bookmarkStart w:id="217" w:name="_Toc6211032"/>
      <w:bookmarkStart w:id="218" w:name="_Toc9499990"/>
      <w:bookmarkStart w:id="219" w:name="_Toc14266112"/>
      <w:bookmarkStart w:id="220" w:name="_Toc14334601"/>
      <w:bookmarkStart w:id="221" w:name="_Toc14775951"/>
      <w:bookmarkStart w:id="222" w:name="_Toc15285029"/>
      <w:bookmarkStart w:id="223" w:name="_Toc15630649"/>
      <w:bookmarkStart w:id="224" w:name="_Toc18415321"/>
      <w:bookmarkStart w:id="225" w:name="_Toc18487689"/>
      <w:bookmarkStart w:id="226" w:name="_Toc19708392"/>
      <w:bookmarkStart w:id="227" w:name="_Toc20131681"/>
      <w:bookmarkStart w:id="228" w:name="_Toc21595439"/>
      <w:bookmarkStart w:id="229" w:name="_Toc22025440"/>
      <w:bookmarkStart w:id="230" w:name="_Toc24463703"/>
      <w:bookmarkStart w:id="231" w:name="_Toc24617700"/>
      <w:bookmarkStart w:id="232" w:name="_Toc25050772"/>
      <w:bookmarkStart w:id="233" w:name="_Toc31202136"/>
      <w:bookmarkStart w:id="234" w:name="_Toc31202257"/>
      <w:bookmarkStart w:id="235" w:name="_Toc32390197"/>
      <w:bookmarkStart w:id="236" w:name="_Toc32566838"/>
      <w:bookmarkStart w:id="237" w:name="_Toc35437928"/>
      <w:bookmarkStart w:id="238" w:name="_Toc38270538"/>
      <w:bookmarkStart w:id="239" w:name="_Toc38362389"/>
      <w:bookmarkStart w:id="240" w:name="_Toc38441870"/>
      <w:bookmarkStart w:id="241" w:name="_Toc38442377"/>
      <w:bookmarkStart w:id="242" w:name="_Toc38976315"/>
      <w:bookmarkStart w:id="243" w:name="_Toc40693086"/>
      <w:bookmarkStart w:id="244" w:name="_Toc40693227"/>
      <w:bookmarkStart w:id="245" w:name="_Toc41570913"/>
      <w:bookmarkStart w:id="246" w:name="_Toc42874995"/>
      <w:bookmarkStart w:id="247" w:name="_Toc44074212"/>
      <w:bookmarkStart w:id="248" w:name="_Toc44317223"/>
      <w:bookmarkStart w:id="249" w:name="_Toc44323926"/>
      <w:bookmarkStart w:id="250" w:name="_Toc45878798"/>
      <w:bookmarkStart w:id="251" w:name="_Toc46130602"/>
      <w:bookmarkStart w:id="252" w:name="_Toc46484321"/>
      <w:bookmarkStart w:id="253" w:name="_Toc46734582"/>
      <w:bookmarkStart w:id="254" w:name="_Toc46735462"/>
      <w:r w:rsidRPr="00104A8B">
        <w:rPr>
          <w:rFonts w:asciiTheme="minorHAnsi" w:hAnsiTheme="minorHAnsi"/>
        </w:rPr>
        <w:t>S</w:t>
      </w:r>
      <w:bookmarkEnd w:id="172"/>
      <w:r w:rsidR="00474136" w:rsidRPr="00104A8B">
        <w:rPr>
          <w:rFonts w:asciiTheme="minorHAnsi" w:hAnsiTheme="minorHAnsi"/>
        </w:rPr>
        <w:t>ecretariat</w:t>
      </w:r>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p>
    <w:p w:rsidR="005D7839" w:rsidRDefault="00AA0952" w:rsidP="009C4F5B">
      <w:pPr>
        <w:pStyle w:val="ListParagraph"/>
        <w:ind w:left="0"/>
      </w:pPr>
      <w:r>
        <w:t xml:space="preserve">Mr Andrew Snedden </w:t>
      </w:r>
      <w:r w:rsidR="005D7839">
        <w:t>(Secretary)</w:t>
      </w:r>
    </w:p>
    <w:p w:rsidR="000B0846" w:rsidRPr="00104A8B" w:rsidRDefault="00BA64E2" w:rsidP="009C4F5B">
      <w:pPr>
        <w:pStyle w:val="ListParagraph"/>
        <w:ind w:left="0"/>
      </w:pPr>
      <w:r>
        <w:t xml:space="preserve">Ms Anne Shannon </w:t>
      </w:r>
      <w:r w:rsidR="000B0846" w:rsidRPr="00104A8B">
        <w:t>(Assistant Secretary)</w:t>
      </w:r>
    </w:p>
    <w:p w:rsidR="000B0846" w:rsidRPr="00104A8B" w:rsidRDefault="000B0846" w:rsidP="009C4F5B">
      <w:pPr>
        <w:pStyle w:val="ListParagraph"/>
        <w:ind w:left="0"/>
      </w:pPr>
      <w:r w:rsidRPr="00104A8B">
        <w:t>Mr Stephen Argument (Legal Adviser—Subordinate Legislation)</w:t>
      </w:r>
    </w:p>
    <w:p w:rsidR="000B0846" w:rsidRDefault="000B0846" w:rsidP="009C4F5B">
      <w:pPr>
        <w:pStyle w:val="ListParagraph"/>
        <w:spacing w:after="360"/>
        <w:ind w:left="0"/>
      </w:pPr>
      <w:r w:rsidRPr="00104A8B">
        <w:t>Mr Daniel Stewart (Legal Adviser—Bills)</w:t>
      </w:r>
    </w:p>
    <w:p w:rsidR="00C210A9" w:rsidRDefault="00C210A9" w:rsidP="009C4F5B">
      <w:pPr>
        <w:pStyle w:val="ListParagraph"/>
        <w:spacing w:after="360"/>
        <w:ind w:left="0"/>
      </w:pPr>
      <w:r>
        <w:t>Ms Sophie Milne (Chamber Support)</w:t>
      </w:r>
    </w:p>
    <w:p w:rsidR="000B0846" w:rsidRPr="00104A8B" w:rsidRDefault="000B0846" w:rsidP="002A185D">
      <w:pPr>
        <w:pStyle w:val="Heading3"/>
        <w:rPr>
          <w:rFonts w:asciiTheme="minorHAnsi" w:hAnsiTheme="minorHAnsi"/>
        </w:rPr>
      </w:pPr>
      <w:bookmarkStart w:id="255" w:name="_Toc500938171"/>
      <w:bookmarkStart w:id="256" w:name="_Toc500947019"/>
      <w:bookmarkStart w:id="257" w:name="_Toc501547028"/>
      <w:bookmarkStart w:id="258" w:name="_Toc501547383"/>
      <w:bookmarkStart w:id="259" w:name="_Toc505005667"/>
      <w:bookmarkStart w:id="260" w:name="_Toc505153758"/>
      <w:bookmarkStart w:id="261" w:name="_Toc508283426"/>
      <w:bookmarkStart w:id="262" w:name="_Toc510081782"/>
      <w:bookmarkStart w:id="263" w:name="_Toc511812219"/>
      <w:bookmarkStart w:id="264" w:name="_Toc512240157"/>
      <w:bookmarkStart w:id="265" w:name="_Toc513192154"/>
      <w:bookmarkStart w:id="266" w:name="_Toc514832416"/>
      <w:bookmarkStart w:id="267" w:name="_Toc514837961"/>
      <w:bookmarkStart w:id="268" w:name="_Toc514943595"/>
      <w:bookmarkStart w:id="269" w:name="_Toc515352038"/>
      <w:bookmarkStart w:id="270" w:name="_Toc518297247"/>
      <w:bookmarkStart w:id="271" w:name="_Toc519069305"/>
      <w:bookmarkStart w:id="272" w:name="_Toc519069366"/>
      <w:bookmarkStart w:id="273" w:name="_Toc519520733"/>
      <w:bookmarkStart w:id="274" w:name="_Toc520188712"/>
      <w:bookmarkStart w:id="275" w:name="_Toc521054229"/>
      <w:bookmarkStart w:id="276" w:name="_Toc521054316"/>
      <w:bookmarkStart w:id="277" w:name="_Toc521054388"/>
      <w:bookmarkStart w:id="278" w:name="_Toc523753611"/>
      <w:bookmarkStart w:id="279" w:name="_Toc523814160"/>
      <w:bookmarkStart w:id="280" w:name="_Toc523900451"/>
      <w:bookmarkStart w:id="281" w:name="_Toc526855812"/>
      <w:bookmarkStart w:id="282" w:name="_Toc528155838"/>
      <w:bookmarkStart w:id="283" w:name="_Toc528157197"/>
      <w:bookmarkStart w:id="284" w:name="_Toc528310850"/>
      <w:bookmarkStart w:id="285" w:name="_Toc529974529"/>
      <w:bookmarkStart w:id="286" w:name="_Toc530039424"/>
      <w:bookmarkStart w:id="287" w:name="_Toc536527672"/>
      <w:bookmarkStart w:id="288" w:name="_Toc536527835"/>
      <w:bookmarkStart w:id="289" w:name="_Toc536615373"/>
      <w:bookmarkStart w:id="290" w:name="_Toc172151"/>
      <w:bookmarkStart w:id="291" w:name="_Toc506076"/>
      <w:bookmarkStart w:id="292" w:name="_Toc945920"/>
      <w:bookmarkStart w:id="293" w:name="_Toc965810"/>
      <w:bookmarkStart w:id="294" w:name="_Toc2839574"/>
      <w:bookmarkStart w:id="295" w:name="_Toc2850234"/>
      <w:bookmarkStart w:id="296" w:name="_Toc3271211"/>
      <w:bookmarkStart w:id="297" w:name="_Toc4588272"/>
      <w:bookmarkStart w:id="298" w:name="_Toc4652918"/>
      <w:bookmarkStart w:id="299" w:name="_Toc5003660"/>
      <w:bookmarkStart w:id="300" w:name="_Toc6211033"/>
      <w:bookmarkStart w:id="301" w:name="_Toc9499991"/>
      <w:bookmarkStart w:id="302" w:name="_Toc14266113"/>
      <w:bookmarkStart w:id="303" w:name="_Toc14334602"/>
      <w:bookmarkStart w:id="304" w:name="_Toc14775952"/>
      <w:bookmarkStart w:id="305" w:name="_Toc15285030"/>
      <w:bookmarkStart w:id="306" w:name="_Toc15630650"/>
      <w:bookmarkStart w:id="307" w:name="_Toc18415322"/>
      <w:bookmarkStart w:id="308" w:name="_Toc18487690"/>
      <w:bookmarkStart w:id="309" w:name="_Toc19708393"/>
      <w:bookmarkStart w:id="310" w:name="_Toc20131682"/>
      <w:bookmarkStart w:id="311" w:name="_Toc21595440"/>
      <w:bookmarkStart w:id="312" w:name="_Toc22025441"/>
      <w:bookmarkStart w:id="313" w:name="_Toc24463704"/>
      <w:bookmarkStart w:id="314" w:name="_Toc24617701"/>
      <w:bookmarkStart w:id="315" w:name="_Toc25050773"/>
      <w:bookmarkStart w:id="316" w:name="_Toc31202137"/>
      <w:bookmarkStart w:id="317" w:name="_Toc31202258"/>
      <w:bookmarkStart w:id="318" w:name="_Toc32390198"/>
      <w:bookmarkStart w:id="319" w:name="_Toc32566839"/>
      <w:bookmarkStart w:id="320" w:name="_Toc35437929"/>
      <w:bookmarkStart w:id="321" w:name="_Toc38270539"/>
      <w:bookmarkStart w:id="322" w:name="_Toc38362390"/>
      <w:bookmarkStart w:id="323" w:name="_Toc38441871"/>
      <w:bookmarkStart w:id="324" w:name="_Toc38442378"/>
      <w:bookmarkStart w:id="325" w:name="_Toc38976316"/>
      <w:bookmarkStart w:id="326" w:name="_Toc40693087"/>
      <w:bookmarkStart w:id="327" w:name="_Toc40693228"/>
      <w:bookmarkStart w:id="328" w:name="_Toc41570914"/>
      <w:bookmarkStart w:id="329" w:name="_Toc42874996"/>
      <w:bookmarkStart w:id="330" w:name="_Toc44074213"/>
      <w:bookmarkStart w:id="331" w:name="_Toc44317224"/>
      <w:bookmarkStart w:id="332" w:name="_Toc44323927"/>
      <w:bookmarkStart w:id="333" w:name="_Toc45878799"/>
      <w:bookmarkStart w:id="334" w:name="_Toc46130603"/>
      <w:bookmarkStart w:id="335" w:name="_Toc46484322"/>
      <w:bookmarkStart w:id="336" w:name="_Toc46734583"/>
      <w:bookmarkStart w:id="337" w:name="_Toc46735463"/>
      <w:r w:rsidRPr="00104A8B">
        <w:rPr>
          <w:rFonts w:asciiTheme="minorHAnsi" w:hAnsiTheme="minorHAnsi"/>
        </w:rPr>
        <w:t>C</w:t>
      </w:r>
      <w:r w:rsidR="00474136" w:rsidRPr="00104A8B">
        <w:rPr>
          <w:rFonts w:asciiTheme="minorHAnsi" w:hAnsiTheme="minorHAnsi"/>
        </w:rPr>
        <w:t>ontact Information</w:t>
      </w:r>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p>
    <w:p w:rsidR="000B0846" w:rsidRPr="00104A8B" w:rsidRDefault="000B0846" w:rsidP="009C4F5B">
      <w:pPr>
        <w:pStyle w:val="ListParagraph"/>
        <w:tabs>
          <w:tab w:val="left" w:pos="1260"/>
        </w:tabs>
        <w:ind w:left="0"/>
      </w:pPr>
      <w:r w:rsidRPr="00104A8B">
        <w:t>Telephone</w:t>
      </w:r>
      <w:r w:rsidRPr="00104A8B">
        <w:tab/>
        <w:t xml:space="preserve">02 6205 </w:t>
      </w:r>
      <w:r w:rsidR="00415478">
        <w:t>0199</w:t>
      </w:r>
    </w:p>
    <w:p w:rsidR="000B0846" w:rsidRPr="00104A8B" w:rsidRDefault="000B0846" w:rsidP="009C4F5B">
      <w:pPr>
        <w:pStyle w:val="ListParagraph"/>
        <w:tabs>
          <w:tab w:val="left" w:pos="1260"/>
        </w:tabs>
        <w:ind w:left="0"/>
      </w:pPr>
      <w:r w:rsidRPr="00104A8B">
        <w:t>Facsimile</w:t>
      </w:r>
      <w:r w:rsidRPr="00104A8B">
        <w:tab/>
        <w:t>02 6205 3109</w:t>
      </w:r>
    </w:p>
    <w:p w:rsidR="000B0846" w:rsidRPr="00104A8B" w:rsidRDefault="000B0846" w:rsidP="009C4F5B">
      <w:pPr>
        <w:pStyle w:val="ListParagraph"/>
        <w:tabs>
          <w:tab w:val="left" w:pos="1260"/>
        </w:tabs>
        <w:ind w:left="0"/>
      </w:pPr>
      <w:r w:rsidRPr="00104A8B">
        <w:t>Post</w:t>
      </w:r>
      <w:r w:rsidRPr="00104A8B">
        <w:tab/>
        <w:t>GPO Box 1020, CANBERRA ACT 2601</w:t>
      </w:r>
    </w:p>
    <w:p w:rsidR="000B0846" w:rsidRPr="00104A8B" w:rsidRDefault="000B0846" w:rsidP="009C4F5B">
      <w:pPr>
        <w:pStyle w:val="ListParagraph"/>
        <w:tabs>
          <w:tab w:val="left" w:pos="1260"/>
        </w:tabs>
        <w:ind w:left="0"/>
      </w:pPr>
      <w:r w:rsidRPr="00104A8B">
        <w:t>Email</w:t>
      </w:r>
      <w:r w:rsidRPr="00104A8B">
        <w:tab/>
        <w:t>scrutiny@parliament.act.gov.au</w:t>
      </w:r>
    </w:p>
    <w:p w:rsidR="000B0846" w:rsidRPr="00104A8B" w:rsidRDefault="000B0846" w:rsidP="009C4F5B">
      <w:pPr>
        <w:pStyle w:val="ListParagraph"/>
        <w:tabs>
          <w:tab w:val="left" w:pos="1260"/>
        </w:tabs>
        <w:spacing w:after="360"/>
        <w:ind w:left="0"/>
      </w:pPr>
      <w:r w:rsidRPr="00104A8B">
        <w:t>Website</w:t>
      </w:r>
      <w:r w:rsidRPr="00104A8B">
        <w:tab/>
        <w:t>www.parliament.act.gov.au</w:t>
      </w:r>
    </w:p>
    <w:p w:rsidR="000B0846" w:rsidRPr="00104A8B" w:rsidRDefault="000B0846" w:rsidP="002A185D">
      <w:pPr>
        <w:pStyle w:val="Heading3"/>
        <w:rPr>
          <w:rFonts w:asciiTheme="minorHAnsi" w:hAnsiTheme="minorHAnsi"/>
        </w:rPr>
      </w:pPr>
      <w:bookmarkStart w:id="338" w:name="_Toc500938172"/>
      <w:bookmarkStart w:id="339" w:name="_Toc500947020"/>
      <w:bookmarkStart w:id="340" w:name="_Toc501547029"/>
      <w:bookmarkStart w:id="341" w:name="_Toc501547384"/>
      <w:bookmarkStart w:id="342" w:name="_Toc505005668"/>
      <w:bookmarkStart w:id="343" w:name="_Toc505153759"/>
      <w:bookmarkStart w:id="344" w:name="_Toc508283427"/>
      <w:bookmarkStart w:id="345" w:name="_Toc510081783"/>
      <w:bookmarkStart w:id="346" w:name="_Toc511812220"/>
      <w:bookmarkStart w:id="347" w:name="_Toc512240158"/>
      <w:bookmarkStart w:id="348" w:name="_Toc513192155"/>
      <w:bookmarkStart w:id="349" w:name="_Toc514832417"/>
      <w:bookmarkStart w:id="350" w:name="_Toc514837962"/>
      <w:bookmarkStart w:id="351" w:name="_Toc514943596"/>
      <w:bookmarkStart w:id="352" w:name="_Toc515352039"/>
      <w:bookmarkStart w:id="353" w:name="_Toc518297248"/>
      <w:bookmarkStart w:id="354" w:name="_Toc519069306"/>
      <w:bookmarkStart w:id="355" w:name="_Toc519069367"/>
      <w:bookmarkStart w:id="356" w:name="_Toc519520734"/>
      <w:bookmarkStart w:id="357" w:name="_Toc520188713"/>
      <w:bookmarkStart w:id="358" w:name="_Toc521054230"/>
      <w:bookmarkStart w:id="359" w:name="_Toc521054317"/>
      <w:bookmarkStart w:id="360" w:name="_Toc521054389"/>
      <w:bookmarkStart w:id="361" w:name="_Toc523753612"/>
      <w:bookmarkStart w:id="362" w:name="_Toc523814161"/>
      <w:bookmarkStart w:id="363" w:name="_Toc523900452"/>
      <w:bookmarkStart w:id="364" w:name="_Toc526855813"/>
      <w:bookmarkStart w:id="365" w:name="_Toc528155839"/>
      <w:bookmarkStart w:id="366" w:name="_Toc528157198"/>
      <w:bookmarkStart w:id="367" w:name="_Toc528310851"/>
      <w:bookmarkStart w:id="368" w:name="_Toc529974530"/>
      <w:bookmarkStart w:id="369" w:name="_Toc530039425"/>
      <w:bookmarkStart w:id="370" w:name="_Toc536527673"/>
      <w:bookmarkStart w:id="371" w:name="_Toc536527836"/>
      <w:bookmarkStart w:id="372" w:name="_Toc536615374"/>
      <w:bookmarkStart w:id="373" w:name="_Toc172152"/>
      <w:bookmarkStart w:id="374" w:name="_Toc506077"/>
      <w:bookmarkStart w:id="375" w:name="_Toc945921"/>
      <w:bookmarkStart w:id="376" w:name="_Toc965811"/>
      <w:bookmarkStart w:id="377" w:name="_Toc2839575"/>
      <w:bookmarkStart w:id="378" w:name="_Toc2850235"/>
      <w:bookmarkStart w:id="379" w:name="_Toc3271212"/>
      <w:bookmarkStart w:id="380" w:name="_Toc4588273"/>
      <w:bookmarkStart w:id="381" w:name="_Toc4652919"/>
      <w:bookmarkStart w:id="382" w:name="_Toc5003661"/>
      <w:bookmarkStart w:id="383" w:name="_Toc6211034"/>
      <w:bookmarkStart w:id="384" w:name="_Toc9499992"/>
      <w:bookmarkStart w:id="385" w:name="_Toc14266114"/>
      <w:bookmarkStart w:id="386" w:name="_Toc14334603"/>
      <w:bookmarkStart w:id="387" w:name="_Toc14775953"/>
      <w:bookmarkStart w:id="388" w:name="_Toc15285031"/>
      <w:bookmarkStart w:id="389" w:name="_Toc15630651"/>
      <w:bookmarkStart w:id="390" w:name="_Toc18415323"/>
      <w:bookmarkStart w:id="391" w:name="_Toc18487691"/>
      <w:bookmarkStart w:id="392" w:name="_Toc19708394"/>
      <w:bookmarkStart w:id="393" w:name="_Toc20131683"/>
      <w:bookmarkStart w:id="394" w:name="_Toc21595441"/>
      <w:bookmarkStart w:id="395" w:name="_Toc22025442"/>
      <w:bookmarkStart w:id="396" w:name="_Toc24463705"/>
      <w:bookmarkStart w:id="397" w:name="_Toc24617702"/>
      <w:bookmarkStart w:id="398" w:name="_Toc25050774"/>
      <w:bookmarkStart w:id="399" w:name="_Toc31202138"/>
      <w:bookmarkStart w:id="400" w:name="_Toc31202259"/>
      <w:bookmarkStart w:id="401" w:name="_Toc32390199"/>
      <w:bookmarkStart w:id="402" w:name="_Toc32566840"/>
      <w:bookmarkStart w:id="403" w:name="_Toc35437930"/>
      <w:bookmarkStart w:id="404" w:name="_Toc38270540"/>
      <w:bookmarkStart w:id="405" w:name="_Toc38362391"/>
      <w:bookmarkStart w:id="406" w:name="_Toc38441872"/>
      <w:bookmarkStart w:id="407" w:name="_Toc38442379"/>
      <w:bookmarkStart w:id="408" w:name="_Toc38976317"/>
      <w:bookmarkStart w:id="409" w:name="_Toc40693088"/>
      <w:bookmarkStart w:id="410" w:name="_Toc40693229"/>
      <w:bookmarkStart w:id="411" w:name="_Toc41570915"/>
      <w:bookmarkStart w:id="412" w:name="_Toc42874997"/>
      <w:bookmarkStart w:id="413" w:name="_Toc44074214"/>
      <w:bookmarkStart w:id="414" w:name="_Toc44317225"/>
      <w:bookmarkStart w:id="415" w:name="_Toc44323928"/>
      <w:bookmarkStart w:id="416" w:name="_Toc45878800"/>
      <w:bookmarkStart w:id="417" w:name="_Toc46130604"/>
      <w:bookmarkStart w:id="418" w:name="_Toc46484323"/>
      <w:bookmarkStart w:id="419" w:name="_Toc46734584"/>
      <w:bookmarkStart w:id="420" w:name="_Toc46735464"/>
      <w:r w:rsidRPr="00104A8B">
        <w:rPr>
          <w:rFonts w:asciiTheme="minorHAnsi" w:hAnsiTheme="minorHAnsi"/>
        </w:rPr>
        <w:t>R</w:t>
      </w:r>
      <w:r w:rsidR="00474136" w:rsidRPr="00104A8B">
        <w:rPr>
          <w:rFonts w:asciiTheme="minorHAnsi" w:hAnsiTheme="minorHAnsi"/>
        </w:rPr>
        <w:t>ole of Committee</w:t>
      </w:r>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p>
    <w:p w:rsidR="000B0846" w:rsidRPr="00104A8B" w:rsidRDefault="000B0846" w:rsidP="000B0846">
      <w:r w:rsidRPr="00104A8B">
        <w:t>The Committee examines all Bills and subordinate legislation presented to the Assembly. It does not make any comments on the policy aspects of the legislation. The Committee’s terms of reference contain principles of scrutiny that enable it to operate in the best traditions of totally non-partisan, non-political technical scrutiny of legislation. These traditions have been adopted, without exception, by all scrutiny committees in Australia. Non-partisan, non-policy scrutiny allows the Committee to help the Assembly pass into law Acts and subordinate legislation which comply with the ideals set out in its terms of reference.</w:t>
      </w:r>
    </w:p>
    <w:p w:rsidR="00045F75" w:rsidRPr="00104A8B" w:rsidRDefault="00652A64" w:rsidP="00DF4EFB">
      <w:pPr>
        <w:pStyle w:val="Heading2"/>
      </w:pPr>
      <w:r w:rsidRPr="00104A8B">
        <w:br w:type="page"/>
      </w:r>
      <w:bookmarkStart w:id="421" w:name="_Toc500938173"/>
      <w:bookmarkStart w:id="422" w:name="_Toc500947021"/>
      <w:bookmarkStart w:id="423" w:name="_Toc501547030"/>
      <w:bookmarkStart w:id="424" w:name="_Toc501547385"/>
      <w:bookmarkStart w:id="425" w:name="_Toc505005669"/>
      <w:bookmarkStart w:id="426" w:name="_Toc505153760"/>
      <w:bookmarkStart w:id="427" w:name="_Toc508283428"/>
      <w:bookmarkStart w:id="428" w:name="_Toc510081784"/>
      <w:bookmarkStart w:id="429" w:name="_Toc511812221"/>
      <w:bookmarkStart w:id="430" w:name="_Toc512240159"/>
      <w:bookmarkStart w:id="431" w:name="_Toc513192156"/>
      <w:bookmarkStart w:id="432" w:name="_Toc514832418"/>
      <w:bookmarkStart w:id="433" w:name="_Toc514837963"/>
      <w:bookmarkStart w:id="434" w:name="_Toc518297249"/>
      <w:bookmarkStart w:id="435" w:name="_Toc519069307"/>
      <w:bookmarkStart w:id="436" w:name="_Toc519069368"/>
      <w:bookmarkStart w:id="437" w:name="_Toc519520735"/>
      <w:bookmarkStart w:id="438" w:name="_Toc520188714"/>
      <w:bookmarkStart w:id="439" w:name="_Toc521054231"/>
      <w:bookmarkStart w:id="440" w:name="_Toc521054318"/>
      <w:bookmarkStart w:id="441" w:name="_Toc521054390"/>
      <w:bookmarkStart w:id="442" w:name="_Toc523753613"/>
      <w:bookmarkStart w:id="443" w:name="_Toc523814162"/>
      <w:bookmarkStart w:id="444" w:name="_Toc523900453"/>
      <w:bookmarkStart w:id="445" w:name="_Toc526855814"/>
      <w:bookmarkStart w:id="446" w:name="_Toc528155840"/>
      <w:bookmarkStart w:id="447" w:name="_Toc528157199"/>
      <w:bookmarkStart w:id="448" w:name="_Toc528310852"/>
      <w:bookmarkStart w:id="449" w:name="_Toc529974531"/>
      <w:bookmarkStart w:id="450" w:name="_Toc530039426"/>
      <w:bookmarkStart w:id="451" w:name="_Toc536527674"/>
      <w:bookmarkStart w:id="452" w:name="_Toc536527837"/>
      <w:bookmarkStart w:id="453" w:name="_Toc536615375"/>
      <w:bookmarkStart w:id="454" w:name="_Toc172153"/>
      <w:bookmarkStart w:id="455" w:name="_Toc506078"/>
      <w:bookmarkStart w:id="456" w:name="_Toc945922"/>
      <w:bookmarkStart w:id="457" w:name="_Toc965812"/>
      <w:bookmarkStart w:id="458" w:name="_Toc2839576"/>
      <w:bookmarkStart w:id="459" w:name="_Toc2850236"/>
      <w:bookmarkStart w:id="460" w:name="_Toc3271213"/>
      <w:bookmarkStart w:id="461" w:name="_Toc4588274"/>
      <w:bookmarkStart w:id="462" w:name="_Toc4652920"/>
      <w:bookmarkStart w:id="463" w:name="_Toc5003662"/>
      <w:bookmarkStart w:id="464" w:name="_Toc6211035"/>
      <w:bookmarkStart w:id="465" w:name="_Toc9499993"/>
      <w:bookmarkStart w:id="466" w:name="_Toc14266115"/>
      <w:bookmarkStart w:id="467" w:name="_Toc14334604"/>
      <w:bookmarkStart w:id="468" w:name="_Toc14775954"/>
      <w:bookmarkStart w:id="469" w:name="_Toc15285032"/>
      <w:bookmarkStart w:id="470" w:name="_Toc15630652"/>
      <w:bookmarkStart w:id="471" w:name="_Toc18415324"/>
      <w:bookmarkStart w:id="472" w:name="_Toc18487692"/>
      <w:bookmarkStart w:id="473" w:name="_Toc19708395"/>
      <w:bookmarkStart w:id="474" w:name="_Toc20131684"/>
      <w:bookmarkStart w:id="475" w:name="_Toc21595442"/>
      <w:bookmarkStart w:id="476" w:name="_Toc22025443"/>
      <w:bookmarkStart w:id="477" w:name="_Toc24463706"/>
      <w:bookmarkStart w:id="478" w:name="_Toc24617703"/>
      <w:bookmarkStart w:id="479" w:name="_Toc25050775"/>
      <w:bookmarkStart w:id="480" w:name="_Toc31202139"/>
      <w:bookmarkStart w:id="481" w:name="_Toc31202260"/>
      <w:bookmarkStart w:id="482" w:name="_Toc32390200"/>
      <w:bookmarkStart w:id="483" w:name="_Toc32566841"/>
      <w:bookmarkStart w:id="484" w:name="_Toc35437931"/>
      <w:bookmarkStart w:id="485" w:name="_Toc38270541"/>
      <w:bookmarkStart w:id="486" w:name="_Toc38362392"/>
      <w:bookmarkStart w:id="487" w:name="_Toc38441873"/>
      <w:bookmarkStart w:id="488" w:name="_Toc38442380"/>
      <w:bookmarkStart w:id="489" w:name="_Toc38976318"/>
      <w:bookmarkStart w:id="490" w:name="_Toc40693089"/>
      <w:bookmarkStart w:id="491" w:name="_Toc40693230"/>
      <w:bookmarkStart w:id="492" w:name="_Toc41570916"/>
      <w:bookmarkStart w:id="493" w:name="_Toc42874998"/>
      <w:bookmarkStart w:id="494" w:name="_Toc44074215"/>
      <w:bookmarkStart w:id="495" w:name="_Toc44317226"/>
      <w:bookmarkStart w:id="496" w:name="_Toc44323929"/>
      <w:bookmarkStart w:id="497" w:name="_Toc45878801"/>
      <w:bookmarkStart w:id="498" w:name="_Toc46130605"/>
      <w:bookmarkStart w:id="499" w:name="_Toc46484324"/>
      <w:bookmarkStart w:id="500" w:name="_Toc46734585"/>
      <w:bookmarkStart w:id="501" w:name="_Toc46735465"/>
      <w:r w:rsidR="00045F75" w:rsidRPr="00104A8B">
        <w:lastRenderedPageBreak/>
        <w:t>Resolution of Appointment</w:t>
      </w:r>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p>
    <w:p w:rsidR="00045F75" w:rsidRPr="00104A8B" w:rsidRDefault="00045F75" w:rsidP="00045F75">
      <w:r w:rsidRPr="00104A8B">
        <w:t>The Standing Committee on Justice and Community Safety when performing its legislative scrutiny role shall:</w:t>
      </w:r>
    </w:p>
    <w:p w:rsidR="00045F75" w:rsidRPr="00104A8B" w:rsidRDefault="00045F75" w:rsidP="00034823">
      <w:pPr>
        <w:pStyle w:val="ListParagraph"/>
        <w:numPr>
          <w:ilvl w:val="0"/>
          <w:numId w:val="11"/>
        </w:numPr>
        <w:tabs>
          <w:tab w:val="left" w:pos="540"/>
        </w:tabs>
        <w:ind w:left="540" w:hanging="537"/>
        <w:contextualSpacing w:val="0"/>
      </w:pPr>
      <w:r w:rsidRPr="00104A8B">
        <w:t>consider whether any instrument of a legislative nature made under an Act which is subject to disallowance and/or disapproval by the Assembly (including a regulation, rule or by-law):</w:t>
      </w:r>
    </w:p>
    <w:p w:rsidR="00045F75" w:rsidRPr="00104A8B" w:rsidRDefault="00045F75" w:rsidP="00034823">
      <w:pPr>
        <w:pStyle w:val="ListParagraph"/>
        <w:numPr>
          <w:ilvl w:val="1"/>
          <w:numId w:val="11"/>
        </w:numPr>
        <w:ind w:left="1080" w:hanging="540"/>
        <w:contextualSpacing w:val="0"/>
      </w:pPr>
      <w:r w:rsidRPr="00104A8B">
        <w:t xml:space="preserve">is in accord with the general objects of the Act under which it is made; </w:t>
      </w:r>
    </w:p>
    <w:p w:rsidR="00045F75" w:rsidRPr="00104A8B" w:rsidRDefault="00045F75" w:rsidP="00034823">
      <w:pPr>
        <w:pStyle w:val="ListParagraph"/>
        <w:numPr>
          <w:ilvl w:val="1"/>
          <w:numId w:val="11"/>
        </w:numPr>
        <w:ind w:left="1080" w:hanging="540"/>
        <w:contextualSpacing w:val="0"/>
      </w:pPr>
      <w:r w:rsidRPr="00104A8B">
        <w:t xml:space="preserve">unduly trespasses on rights previously established by law; </w:t>
      </w:r>
    </w:p>
    <w:p w:rsidR="00045F75" w:rsidRPr="00104A8B" w:rsidRDefault="00045F75" w:rsidP="00034823">
      <w:pPr>
        <w:pStyle w:val="ListParagraph"/>
        <w:numPr>
          <w:ilvl w:val="1"/>
          <w:numId w:val="11"/>
        </w:numPr>
        <w:ind w:left="1080" w:hanging="540"/>
        <w:contextualSpacing w:val="0"/>
      </w:pPr>
      <w:r w:rsidRPr="00104A8B">
        <w:t>makes rights, liberties and/or obligations unduly dependent upon non reviewable decisions; or</w:t>
      </w:r>
    </w:p>
    <w:p w:rsidR="00045F75" w:rsidRPr="00104A8B" w:rsidRDefault="00045F75" w:rsidP="00034823">
      <w:pPr>
        <w:pStyle w:val="ListParagraph"/>
        <w:numPr>
          <w:ilvl w:val="1"/>
          <w:numId w:val="11"/>
        </w:numPr>
        <w:ind w:left="1080" w:hanging="540"/>
        <w:contextualSpacing w:val="0"/>
      </w:pPr>
      <w:r w:rsidRPr="00104A8B">
        <w:t xml:space="preserve">contains matter which in the opinion of the Committee should properly be dealt with in an Act of the Legislative Assembly; </w:t>
      </w:r>
    </w:p>
    <w:p w:rsidR="00045F75" w:rsidRPr="00104A8B" w:rsidRDefault="00045F75" w:rsidP="00034823">
      <w:pPr>
        <w:pStyle w:val="ListParagraph"/>
        <w:numPr>
          <w:ilvl w:val="0"/>
          <w:numId w:val="11"/>
        </w:numPr>
        <w:ind w:left="540" w:hanging="537"/>
        <w:contextualSpacing w:val="0"/>
      </w:pPr>
      <w:r w:rsidRPr="00104A8B">
        <w:t>consider whether any explanatory statement or explanatory memorandum associated with legislation and any regulatory impact statement meets the technical or stylistic standards expected by the Committee;</w:t>
      </w:r>
    </w:p>
    <w:p w:rsidR="00045F75" w:rsidRPr="00104A8B" w:rsidRDefault="00045F75" w:rsidP="00034823">
      <w:pPr>
        <w:pStyle w:val="ListParagraph"/>
        <w:numPr>
          <w:ilvl w:val="0"/>
          <w:numId w:val="11"/>
        </w:numPr>
        <w:ind w:left="540" w:hanging="537"/>
        <w:contextualSpacing w:val="0"/>
      </w:pPr>
      <w:r w:rsidRPr="00104A8B">
        <w:t xml:space="preserve">consider whether the clauses of bills (and amendments proposed by the Government to its own bills) introduced into the Assembly: </w:t>
      </w:r>
    </w:p>
    <w:p w:rsidR="00045F75" w:rsidRPr="00104A8B" w:rsidRDefault="00045F75" w:rsidP="00034823">
      <w:pPr>
        <w:pStyle w:val="ListParagraph"/>
        <w:numPr>
          <w:ilvl w:val="1"/>
          <w:numId w:val="11"/>
        </w:numPr>
        <w:ind w:left="1080" w:hanging="540"/>
        <w:contextualSpacing w:val="0"/>
      </w:pPr>
      <w:r w:rsidRPr="00104A8B">
        <w:t xml:space="preserve">unduly trespass on personal rights and liberties; </w:t>
      </w:r>
    </w:p>
    <w:p w:rsidR="00045F75" w:rsidRPr="00104A8B" w:rsidRDefault="00045F75" w:rsidP="00034823">
      <w:pPr>
        <w:pStyle w:val="ListParagraph"/>
        <w:numPr>
          <w:ilvl w:val="1"/>
          <w:numId w:val="11"/>
        </w:numPr>
        <w:ind w:left="1080" w:hanging="540"/>
        <w:contextualSpacing w:val="0"/>
      </w:pPr>
      <w:r w:rsidRPr="00104A8B">
        <w:t xml:space="preserve">make rights, liberties and/or obligations unduly dependent upon insufficiently defined administrative powers; </w:t>
      </w:r>
    </w:p>
    <w:p w:rsidR="00045F75" w:rsidRPr="00104A8B" w:rsidRDefault="00045F75" w:rsidP="00034823">
      <w:pPr>
        <w:pStyle w:val="ListParagraph"/>
        <w:numPr>
          <w:ilvl w:val="1"/>
          <w:numId w:val="11"/>
        </w:numPr>
        <w:ind w:left="1080" w:hanging="540"/>
        <w:contextualSpacing w:val="0"/>
      </w:pPr>
      <w:r w:rsidRPr="00104A8B">
        <w:t xml:space="preserve">make rights, liberties and/or obligations unduly dependent upon non-reviewable decisions; </w:t>
      </w:r>
    </w:p>
    <w:p w:rsidR="00045F75" w:rsidRPr="00104A8B" w:rsidRDefault="00045F75" w:rsidP="00034823">
      <w:pPr>
        <w:pStyle w:val="ListParagraph"/>
        <w:numPr>
          <w:ilvl w:val="1"/>
          <w:numId w:val="11"/>
        </w:numPr>
        <w:ind w:left="1080" w:hanging="540"/>
        <w:contextualSpacing w:val="0"/>
      </w:pPr>
      <w:r w:rsidRPr="00104A8B">
        <w:t>inappropriately delegate legislative powers;  or</w:t>
      </w:r>
    </w:p>
    <w:p w:rsidR="00045F75" w:rsidRPr="00104A8B" w:rsidRDefault="00045F75" w:rsidP="00034823">
      <w:pPr>
        <w:pStyle w:val="ListParagraph"/>
        <w:numPr>
          <w:ilvl w:val="1"/>
          <w:numId w:val="11"/>
        </w:numPr>
        <w:ind w:left="1080" w:hanging="540"/>
        <w:contextualSpacing w:val="0"/>
      </w:pPr>
      <w:r w:rsidRPr="00104A8B">
        <w:t xml:space="preserve">insufficiently subject the exercise of legislative power to parliamentary scrutiny; </w:t>
      </w:r>
    </w:p>
    <w:p w:rsidR="00045F75" w:rsidRPr="00104A8B" w:rsidRDefault="00045F75" w:rsidP="00034823">
      <w:pPr>
        <w:pStyle w:val="ListParagraph"/>
        <w:numPr>
          <w:ilvl w:val="0"/>
          <w:numId w:val="11"/>
        </w:numPr>
        <w:ind w:left="540" w:hanging="537"/>
        <w:contextualSpacing w:val="0"/>
      </w:pPr>
      <w:r w:rsidRPr="00104A8B">
        <w:t xml:space="preserve">report to the Legislative Assembly about human rights issues raised by bills presented to the Assembly pursuant to section 38 of the </w:t>
      </w:r>
      <w:r w:rsidRPr="00104A8B">
        <w:rPr>
          <w:i/>
        </w:rPr>
        <w:t>Human Rights Act 2004</w:t>
      </w:r>
      <w:r w:rsidRPr="00104A8B">
        <w:t>; and</w:t>
      </w:r>
    </w:p>
    <w:p w:rsidR="00045F75" w:rsidRPr="00104A8B" w:rsidRDefault="00045F75" w:rsidP="00034823">
      <w:pPr>
        <w:pStyle w:val="ListParagraph"/>
        <w:numPr>
          <w:ilvl w:val="0"/>
          <w:numId w:val="11"/>
        </w:numPr>
        <w:ind w:left="540" w:hanging="537"/>
        <w:contextualSpacing w:val="0"/>
      </w:pPr>
      <w:r w:rsidRPr="00104A8B">
        <w:t>report to the Assembly on these or any related matter and if the Assembly is not sitting when the Committee is ready to report on bills and subordinate legislation, the Committee may send its report to the Speaker, or, in the absence of the Speaker, to the Deputy Speaker, who is authorised to give directions for its printing, publication and circulation.</w:t>
      </w:r>
    </w:p>
    <w:p w:rsidR="00126D9A" w:rsidRPr="00104A8B" w:rsidRDefault="00126D9A">
      <w:r w:rsidRPr="00104A8B">
        <w:br w:type="page"/>
      </w:r>
    </w:p>
    <w:p w:rsidR="00124A0D" w:rsidRDefault="00D447D3" w:rsidP="00124A0D">
      <w:pPr>
        <w:pStyle w:val="TOCHeading"/>
        <w:keepNext w:val="0"/>
        <w:keepLines w:val="0"/>
        <w:spacing w:before="120" w:after="360" w:line="500" w:lineRule="exact"/>
        <w:outlineLvl w:val="1"/>
        <w:rPr>
          <w:rFonts w:asciiTheme="minorHAnsi" w:eastAsiaTheme="minorEastAsia" w:hAnsiTheme="minorHAnsi" w:cstheme="minorBidi"/>
          <w:b/>
          <w:noProof/>
          <w:sz w:val="22"/>
          <w:szCs w:val="22"/>
          <w:lang w:eastAsia="en-AU"/>
        </w:rPr>
      </w:pPr>
      <w:bookmarkStart w:id="502" w:name="_Toc514837964"/>
      <w:r w:rsidRPr="00104A8B">
        <w:rPr>
          <w:rFonts w:asciiTheme="minorHAnsi" w:eastAsia="Times New Roman" w:hAnsiTheme="minorHAnsi" w:cs="Times New Roman"/>
          <w:smallCaps/>
          <w:spacing w:val="20"/>
          <w:kern w:val="42"/>
          <w:sz w:val="44"/>
          <w:szCs w:val="44"/>
        </w:rPr>
        <w:lastRenderedPageBreak/>
        <w:t>Table of Contents</w:t>
      </w:r>
      <w:bookmarkEnd w:id="502"/>
      <w:r w:rsidR="00CD5AD5" w:rsidRPr="00104A8B">
        <w:rPr>
          <w:rFonts w:asciiTheme="minorHAnsi" w:hAnsiTheme="minorHAnsi"/>
        </w:rPr>
        <w:fldChar w:fldCharType="begin"/>
      </w:r>
      <w:r w:rsidR="00562E8A" w:rsidRPr="00104A8B">
        <w:rPr>
          <w:rFonts w:asciiTheme="minorHAnsi" w:hAnsiTheme="minorHAnsi"/>
        </w:rPr>
        <w:instrText xml:space="preserve"> TOC \h \z \u \t "Heading 2,1,Heading 3,2,Heading 4,3" </w:instrText>
      </w:r>
      <w:r w:rsidR="00CD5AD5" w:rsidRPr="00104A8B">
        <w:rPr>
          <w:rFonts w:asciiTheme="minorHAnsi" w:hAnsiTheme="minorHAnsi"/>
        </w:rPr>
        <w:fldChar w:fldCharType="separate"/>
      </w:r>
    </w:p>
    <w:p w:rsidR="00124A0D" w:rsidRDefault="003F4F00">
      <w:pPr>
        <w:pStyle w:val="TOC1"/>
        <w:rPr>
          <w:rFonts w:asciiTheme="minorHAnsi" w:eastAsiaTheme="minorEastAsia" w:hAnsiTheme="minorHAnsi" w:cstheme="minorBidi"/>
          <w:bCs w:val="0"/>
          <w:smallCaps w:val="0"/>
          <w:spacing w:val="0"/>
          <w:sz w:val="22"/>
          <w:szCs w:val="22"/>
          <w:lang w:eastAsia="en-AU"/>
        </w:rPr>
      </w:pPr>
      <w:hyperlink w:anchor="_Toc46735466" w:history="1">
        <w:r w:rsidR="00124A0D" w:rsidRPr="007C03AD">
          <w:rPr>
            <w:rStyle w:val="Hyperlink"/>
            <w:rFonts w:eastAsia="Calibri"/>
            <w:lang w:eastAsia="en-AU"/>
          </w:rPr>
          <w:t>Subordinate Legislation</w:t>
        </w:r>
        <w:r w:rsidR="00124A0D">
          <w:rPr>
            <w:webHidden/>
          </w:rPr>
          <w:tab/>
        </w:r>
        <w:r w:rsidR="00124A0D">
          <w:rPr>
            <w:webHidden/>
          </w:rPr>
          <w:fldChar w:fldCharType="begin"/>
        </w:r>
        <w:r w:rsidR="00124A0D">
          <w:rPr>
            <w:webHidden/>
          </w:rPr>
          <w:instrText xml:space="preserve"> PAGEREF _Toc46735466 \h </w:instrText>
        </w:r>
        <w:r w:rsidR="00124A0D">
          <w:rPr>
            <w:webHidden/>
          </w:rPr>
        </w:r>
        <w:r w:rsidR="00124A0D">
          <w:rPr>
            <w:webHidden/>
          </w:rPr>
          <w:fldChar w:fldCharType="separate"/>
        </w:r>
        <w:r w:rsidR="007B3B07">
          <w:rPr>
            <w:webHidden/>
          </w:rPr>
          <w:t>1</w:t>
        </w:r>
        <w:r w:rsidR="00124A0D">
          <w:rPr>
            <w:webHidden/>
          </w:rPr>
          <w:fldChar w:fldCharType="end"/>
        </w:r>
      </w:hyperlink>
    </w:p>
    <w:p w:rsidR="00124A0D" w:rsidRDefault="003F4F00">
      <w:pPr>
        <w:pStyle w:val="TOC2"/>
        <w:rPr>
          <w:rFonts w:asciiTheme="minorHAnsi" w:eastAsiaTheme="minorEastAsia" w:hAnsiTheme="minorHAnsi" w:cstheme="minorBidi"/>
          <w:b w:val="0"/>
          <w:noProof/>
          <w:sz w:val="22"/>
          <w:szCs w:val="22"/>
          <w:lang w:eastAsia="en-AU"/>
        </w:rPr>
      </w:pPr>
      <w:hyperlink w:anchor="_Toc46735467" w:history="1">
        <w:r w:rsidR="00124A0D" w:rsidRPr="007C03AD">
          <w:rPr>
            <w:rStyle w:val="Hyperlink"/>
            <w:noProof/>
          </w:rPr>
          <w:t>Disallowable Instruments—No comment</w:t>
        </w:r>
        <w:r w:rsidR="00124A0D">
          <w:rPr>
            <w:noProof/>
            <w:webHidden/>
          </w:rPr>
          <w:tab/>
        </w:r>
        <w:r w:rsidR="00124A0D">
          <w:rPr>
            <w:noProof/>
            <w:webHidden/>
          </w:rPr>
          <w:fldChar w:fldCharType="begin"/>
        </w:r>
        <w:r w:rsidR="00124A0D">
          <w:rPr>
            <w:noProof/>
            <w:webHidden/>
          </w:rPr>
          <w:instrText xml:space="preserve"> PAGEREF _Toc46735467 \h </w:instrText>
        </w:r>
        <w:r w:rsidR="00124A0D">
          <w:rPr>
            <w:noProof/>
            <w:webHidden/>
          </w:rPr>
        </w:r>
        <w:r w:rsidR="00124A0D">
          <w:rPr>
            <w:noProof/>
            <w:webHidden/>
          </w:rPr>
          <w:fldChar w:fldCharType="separate"/>
        </w:r>
        <w:r w:rsidR="007B3B07">
          <w:rPr>
            <w:noProof/>
            <w:webHidden/>
          </w:rPr>
          <w:t>1</w:t>
        </w:r>
        <w:r w:rsidR="00124A0D">
          <w:rPr>
            <w:noProof/>
            <w:webHidden/>
          </w:rPr>
          <w:fldChar w:fldCharType="end"/>
        </w:r>
      </w:hyperlink>
    </w:p>
    <w:p w:rsidR="00124A0D" w:rsidRDefault="003F4F00">
      <w:pPr>
        <w:pStyle w:val="TOC2"/>
        <w:rPr>
          <w:rFonts w:asciiTheme="minorHAnsi" w:eastAsiaTheme="minorEastAsia" w:hAnsiTheme="minorHAnsi" w:cstheme="minorBidi"/>
          <w:b w:val="0"/>
          <w:noProof/>
          <w:sz w:val="22"/>
          <w:szCs w:val="22"/>
          <w:lang w:eastAsia="en-AU"/>
        </w:rPr>
      </w:pPr>
      <w:hyperlink w:anchor="_Toc46735468" w:history="1">
        <w:r w:rsidR="00124A0D" w:rsidRPr="007C03AD">
          <w:rPr>
            <w:rStyle w:val="Hyperlink"/>
            <w:rFonts w:eastAsia="Calibri"/>
            <w:noProof/>
            <w:lang w:eastAsia="en-AU"/>
          </w:rPr>
          <w:t>Disallowable Instruments—Comment</w:t>
        </w:r>
        <w:r w:rsidR="00124A0D">
          <w:rPr>
            <w:noProof/>
            <w:webHidden/>
          </w:rPr>
          <w:tab/>
        </w:r>
        <w:r w:rsidR="00124A0D">
          <w:rPr>
            <w:noProof/>
            <w:webHidden/>
          </w:rPr>
          <w:fldChar w:fldCharType="begin"/>
        </w:r>
        <w:r w:rsidR="00124A0D">
          <w:rPr>
            <w:noProof/>
            <w:webHidden/>
          </w:rPr>
          <w:instrText xml:space="preserve"> PAGEREF _Toc46735468 \h </w:instrText>
        </w:r>
        <w:r w:rsidR="00124A0D">
          <w:rPr>
            <w:noProof/>
            <w:webHidden/>
          </w:rPr>
        </w:r>
        <w:r w:rsidR="00124A0D">
          <w:rPr>
            <w:noProof/>
            <w:webHidden/>
          </w:rPr>
          <w:fldChar w:fldCharType="separate"/>
        </w:r>
        <w:r w:rsidR="007B3B07">
          <w:rPr>
            <w:noProof/>
            <w:webHidden/>
          </w:rPr>
          <w:t>5</w:t>
        </w:r>
        <w:r w:rsidR="00124A0D">
          <w:rPr>
            <w:noProof/>
            <w:webHidden/>
          </w:rPr>
          <w:fldChar w:fldCharType="end"/>
        </w:r>
      </w:hyperlink>
    </w:p>
    <w:p w:rsidR="00124A0D" w:rsidRDefault="003F4F00">
      <w:pPr>
        <w:pStyle w:val="TOC2"/>
        <w:rPr>
          <w:rFonts w:asciiTheme="minorHAnsi" w:eastAsiaTheme="minorEastAsia" w:hAnsiTheme="minorHAnsi" w:cstheme="minorBidi"/>
          <w:b w:val="0"/>
          <w:noProof/>
          <w:sz w:val="22"/>
          <w:szCs w:val="22"/>
          <w:lang w:eastAsia="en-AU"/>
        </w:rPr>
      </w:pPr>
      <w:hyperlink w:anchor="_Toc46735469" w:history="1">
        <w:r w:rsidR="00124A0D" w:rsidRPr="007C03AD">
          <w:rPr>
            <w:rStyle w:val="Hyperlink"/>
            <w:noProof/>
          </w:rPr>
          <w:t>Subordinate Laws—Comment</w:t>
        </w:r>
        <w:r w:rsidR="00124A0D">
          <w:rPr>
            <w:noProof/>
            <w:webHidden/>
          </w:rPr>
          <w:tab/>
        </w:r>
        <w:r w:rsidR="00124A0D">
          <w:rPr>
            <w:noProof/>
            <w:webHidden/>
          </w:rPr>
          <w:fldChar w:fldCharType="begin"/>
        </w:r>
        <w:r w:rsidR="00124A0D">
          <w:rPr>
            <w:noProof/>
            <w:webHidden/>
          </w:rPr>
          <w:instrText xml:space="preserve"> PAGEREF _Toc46735469 \h </w:instrText>
        </w:r>
        <w:r w:rsidR="00124A0D">
          <w:rPr>
            <w:noProof/>
            <w:webHidden/>
          </w:rPr>
        </w:r>
        <w:r w:rsidR="00124A0D">
          <w:rPr>
            <w:noProof/>
            <w:webHidden/>
          </w:rPr>
          <w:fldChar w:fldCharType="separate"/>
        </w:r>
        <w:r w:rsidR="007B3B07">
          <w:rPr>
            <w:noProof/>
            <w:webHidden/>
          </w:rPr>
          <w:t>16</w:t>
        </w:r>
        <w:r w:rsidR="00124A0D">
          <w:rPr>
            <w:noProof/>
            <w:webHidden/>
          </w:rPr>
          <w:fldChar w:fldCharType="end"/>
        </w:r>
      </w:hyperlink>
    </w:p>
    <w:p w:rsidR="00124A0D" w:rsidRDefault="003F4F00">
      <w:pPr>
        <w:pStyle w:val="TOC1"/>
        <w:rPr>
          <w:rFonts w:asciiTheme="minorHAnsi" w:eastAsiaTheme="minorEastAsia" w:hAnsiTheme="minorHAnsi" w:cstheme="minorBidi"/>
          <w:bCs w:val="0"/>
          <w:smallCaps w:val="0"/>
          <w:spacing w:val="0"/>
          <w:sz w:val="22"/>
          <w:szCs w:val="22"/>
          <w:lang w:eastAsia="en-AU"/>
        </w:rPr>
      </w:pPr>
      <w:hyperlink w:anchor="_Toc46735470" w:history="1">
        <w:r w:rsidR="00124A0D" w:rsidRPr="007C03AD">
          <w:rPr>
            <w:rStyle w:val="Hyperlink"/>
          </w:rPr>
          <w:t>Fees instruments</w:t>
        </w:r>
        <w:r w:rsidR="00124A0D">
          <w:rPr>
            <w:webHidden/>
          </w:rPr>
          <w:tab/>
        </w:r>
        <w:r w:rsidR="00124A0D">
          <w:rPr>
            <w:webHidden/>
          </w:rPr>
          <w:fldChar w:fldCharType="begin"/>
        </w:r>
        <w:r w:rsidR="00124A0D">
          <w:rPr>
            <w:webHidden/>
          </w:rPr>
          <w:instrText xml:space="preserve"> PAGEREF _Toc46735470 \h </w:instrText>
        </w:r>
        <w:r w:rsidR="00124A0D">
          <w:rPr>
            <w:webHidden/>
          </w:rPr>
        </w:r>
        <w:r w:rsidR="00124A0D">
          <w:rPr>
            <w:webHidden/>
          </w:rPr>
          <w:fldChar w:fldCharType="separate"/>
        </w:r>
        <w:r w:rsidR="007B3B07">
          <w:rPr>
            <w:webHidden/>
          </w:rPr>
          <w:t>20</w:t>
        </w:r>
        <w:r w:rsidR="00124A0D">
          <w:rPr>
            <w:webHidden/>
          </w:rPr>
          <w:fldChar w:fldCharType="end"/>
        </w:r>
      </w:hyperlink>
    </w:p>
    <w:p w:rsidR="00124A0D" w:rsidRDefault="003F4F00">
      <w:pPr>
        <w:pStyle w:val="TOC2"/>
        <w:rPr>
          <w:rFonts w:asciiTheme="minorHAnsi" w:eastAsiaTheme="minorEastAsia" w:hAnsiTheme="minorHAnsi" w:cstheme="minorBidi"/>
          <w:b w:val="0"/>
          <w:noProof/>
          <w:sz w:val="22"/>
          <w:szCs w:val="22"/>
          <w:lang w:eastAsia="en-AU"/>
        </w:rPr>
      </w:pPr>
      <w:hyperlink w:anchor="_Toc46735471" w:history="1">
        <w:r w:rsidR="00124A0D" w:rsidRPr="007C03AD">
          <w:rPr>
            <w:rStyle w:val="Hyperlink"/>
            <w:noProof/>
          </w:rPr>
          <w:t>General comment</w:t>
        </w:r>
        <w:r w:rsidR="00124A0D">
          <w:rPr>
            <w:noProof/>
            <w:webHidden/>
          </w:rPr>
          <w:tab/>
        </w:r>
        <w:r w:rsidR="00124A0D">
          <w:rPr>
            <w:noProof/>
            <w:webHidden/>
          </w:rPr>
          <w:fldChar w:fldCharType="begin"/>
        </w:r>
        <w:r w:rsidR="00124A0D">
          <w:rPr>
            <w:noProof/>
            <w:webHidden/>
          </w:rPr>
          <w:instrText xml:space="preserve"> PAGEREF _Toc46735471 \h </w:instrText>
        </w:r>
        <w:r w:rsidR="00124A0D">
          <w:rPr>
            <w:noProof/>
            <w:webHidden/>
          </w:rPr>
        </w:r>
        <w:r w:rsidR="00124A0D">
          <w:rPr>
            <w:noProof/>
            <w:webHidden/>
          </w:rPr>
          <w:fldChar w:fldCharType="separate"/>
        </w:r>
        <w:r w:rsidR="007B3B07">
          <w:rPr>
            <w:noProof/>
            <w:webHidden/>
          </w:rPr>
          <w:t>20</w:t>
        </w:r>
        <w:r w:rsidR="00124A0D">
          <w:rPr>
            <w:noProof/>
            <w:webHidden/>
          </w:rPr>
          <w:fldChar w:fldCharType="end"/>
        </w:r>
      </w:hyperlink>
    </w:p>
    <w:p w:rsidR="00124A0D" w:rsidRDefault="003F4F00">
      <w:pPr>
        <w:pStyle w:val="TOC2"/>
        <w:rPr>
          <w:rFonts w:asciiTheme="minorHAnsi" w:eastAsiaTheme="minorEastAsia" w:hAnsiTheme="minorHAnsi" w:cstheme="minorBidi"/>
          <w:b w:val="0"/>
          <w:noProof/>
          <w:sz w:val="22"/>
          <w:szCs w:val="22"/>
          <w:lang w:eastAsia="en-AU"/>
        </w:rPr>
      </w:pPr>
      <w:hyperlink w:anchor="_Toc46735472" w:history="1">
        <w:r w:rsidR="00124A0D" w:rsidRPr="007C03AD">
          <w:rPr>
            <w:rStyle w:val="Hyperlink"/>
            <w:noProof/>
          </w:rPr>
          <w:t>Consistency in explanations for fees increases</w:t>
        </w:r>
        <w:r w:rsidR="00124A0D">
          <w:rPr>
            <w:noProof/>
            <w:webHidden/>
          </w:rPr>
          <w:tab/>
        </w:r>
        <w:r w:rsidR="00124A0D">
          <w:rPr>
            <w:noProof/>
            <w:webHidden/>
          </w:rPr>
          <w:fldChar w:fldCharType="begin"/>
        </w:r>
        <w:r w:rsidR="00124A0D">
          <w:rPr>
            <w:noProof/>
            <w:webHidden/>
          </w:rPr>
          <w:instrText xml:space="preserve"> PAGEREF _Toc46735472 \h </w:instrText>
        </w:r>
        <w:r w:rsidR="00124A0D">
          <w:rPr>
            <w:noProof/>
            <w:webHidden/>
          </w:rPr>
        </w:r>
        <w:r w:rsidR="00124A0D">
          <w:rPr>
            <w:noProof/>
            <w:webHidden/>
          </w:rPr>
          <w:fldChar w:fldCharType="separate"/>
        </w:r>
        <w:r w:rsidR="007B3B07">
          <w:rPr>
            <w:noProof/>
            <w:webHidden/>
          </w:rPr>
          <w:t>21</w:t>
        </w:r>
        <w:r w:rsidR="00124A0D">
          <w:rPr>
            <w:noProof/>
            <w:webHidden/>
          </w:rPr>
          <w:fldChar w:fldCharType="end"/>
        </w:r>
      </w:hyperlink>
    </w:p>
    <w:p w:rsidR="00124A0D" w:rsidRDefault="003F4F00">
      <w:pPr>
        <w:pStyle w:val="TOC2"/>
        <w:rPr>
          <w:rFonts w:asciiTheme="minorHAnsi" w:eastAsiaTheme="minorEastAsia" w:hAnsiTheme="minorHAnsi" w:cstheme="minorBidi"/>
          <w:b w:val="0"/>
          <w:noProof/>
          <w:sz w:val="22"/>
          <w:szCs w:val="22"/>
          <w:lang w:eastAsia="en-AU"/>
        </w:rPr>
      </w:pPr>
      <w:hyperlink w:anchor="_Toc46735473" w:history="1">
        <w:r w:rsidR="00124A0D" w:rsidRPr="007C03AD">
          <w:rPr>
            <w:rStyle w:val="Hyperlink"/>
            <w:noProof/>
          </w:rPr>
          <w:t>Act-specific explanations for fees increases</w:t>
        </w:r>
        <w:r w:rsidR="00124A0D">
          <w:rPr>
            <w:noProof/>
            <w:webHidden/>
          </w:rPr>
          <w:tab/>
        </w:r>
        <w:r w:rsidR="00124A0D">
          <w:rPr>
            <w:noProof/>
            <w:webHidden/>
          </w:rPr>
          <w:fldChar w:fldCharType="begin"/>
        </w:r>
        <w:r w:rsidR="00124A0D">
          <w:rPr>
            <w:noProof/>
            <w:webHidden/>
          </w:rPr>
          <w:instrText xml:space="preserve"> PAGEREF _Toc46735473 \h </w:instrText>
        </w:r>
        <w:r w:rsidR="00124A0D">
          <w:rPr>
            <w:noProof/>
            <w:webHidden/>
          </w:rPr>
        </w:r>
        <w:r w:rsidR="00124A0D">
          <w:rPr>
            <w:noProof/>
            <w:webHidden/>
          </w:rPr>
          <w:fldChar w:fldCharType="separate"/>
        </w:r>
        <w:r w:rsidR="007B3B07">
          <w:rPr>
            <w:noProof/>
            <w:webHidden/>
          </w:rPr>
          <w:t>22</w:t>
        </w:r>
        <w:r w:rsidR="00124A0D">
          <w:rPr>
            <w:noProof/>
            <w:webHidden/>
          </w:rPr>
          <w:fldChar w:fldCharType="end"/>
        </w:r>
      </w:hyperlink>
    </w:p>
    <w:p w:rsidR="00124A0D" w:rsidRDefault="003F4F00">
      <w:pPr>
        <w:pStyle w:val="TOC1"/>
        <w:rPr>
          <w:rFonts w:asciiTheme="minorHAnsi" w:eastAsiaTheme="minorEastAsia" w:hAnsiTheme="minorHAnsi" w:cstheme="minorBidi"/>
          <w:bCs w:val="0"/>
          <w:smallCaps w:val="0"/>
          <w:spacing w:val="0"/>
          <w:sz w:val="22"/>
          <w:szCs w:val="22"/>
          <w:lang w:eastAsia="en-AU"/>
        </w:rPr>
      </w:pPr>
      <w:hyperlink w:anchor="_Toc46735474" w:history="1">
        <w:r w:rsidR="00124A0D" w:rsidRPr="007C03AD">
          <w:rPr>
            <w:rStyle w:val="Hyperlink"/>
            <w:rFonts w:eastAsia="Calibri"/>
            <w:lang w:eastAsia="en-AU"/>
          </w:rPr>
          <w:t>Responses</w:t>
        </w:r>
        <w:r w:rsidR="00124A0D">
          <w:rPr>
            <w:webHidden/>
          </w:rPr>
          <w:tab/>
        </w:r>
        <w:r w:rsidR="00124A0D">
          <w:rPr>
            <w:webHidden/>
          </w:rPr>
          <w:fldChar w:fldCharType="begin"/>
        </w:r>
        <w:r w:rsidR="00124A0D">
          <w:rPr>
            <w:webHidden/>
          </w:rPr>
          <w:instrText xml:space="preserve"> PAGEREF _Toc46735474 \h </w:instrText>
        </w:r>
        <w:r w:rsidR="00124A0D">
          <w:rPr>
            <w:webHidden/>
          </w:rPr>
        </w:r>
        <w:r w:rsidR="00124A0D">
          <w:rPr>
            <w:webHidden/>
          </w:rPr>
          <w:fldChar w:fldCharType="separate"/>
        </w:r>
        <w:r w:rsidR="007B3B07">
          <w:rPr>
            <w:webHidden/>
          </w:rPr>
          <w:t>26</w:t>
        </w:r>
        <w:r w:rsidR="00124A0D">
          <w:rPr>
            <w:webHidden/>
          </w:rPr>
          <w:fldChar w:fldCharType="end"/>
        </w:r>
      </w:hyperlink>
    </w:p>
    <w:p w:rsidR="00124A0D" w:rsidRDefault="003F4F00">
      <w:pPr>
        <w:pStyle w:val="TOC2"/>
        <w:rPr>
          <w:rFonts w:asciiTheme="minorHAnsi" w:eastAsiaTheme="minorEastAsia" w:hAnsiTheme="minorHAnsi" w:cstheme="minorBidi"/>
          <w:b w:val="0"/>
          <w:noProof/>
          <w:sz w:val="22"/>
          <w:szCs w:val="22"/>
          <w:lang w:eastAsia="en-AU"/>
        </w:rPr>
      </w:pPr>
      <w:hyperlink w:anchor="_Toc46735475" w:history="1">
        <w:r w:rsidR="00124A0D" w:rsidRPr="007C03AD">
          <w:rPr>
            <w:rStyle w:val="Hyperlink"/>
            <w:noProof/>
            <w:lang w:eastAsia="en-AU"/>
          </w:rPr>
          <w:t>Government responses</w:t>
        </w:r>
        <w:r w:rsidR="00124A0D">
          <w:rPr>
            <w:noProof/>
            <w:webHidden/>
          </w:rPr>
          <w:tab/>
        </w:r>
        <w:r w:rsidR="00124A0D">
          <w:rPr>
            <w:noProof/>
            <w:webHidden/>
          </w:rPr>
          <w:fldChar w:fldCharType="begin"/>
        </w:r>
        <w:r w:rsidR="00124A0D">
          <w:rPr>
            <w:noProof/>
            <w:webHidden/>
          </w:rPr>
          <w:instrText xml:space="preserve"> PAGEREF _Toc46735475 \h </w:instrText>
        </w:r>
        <w:r w:rsidR="00124A0D">
          <w:rPr>
            <w:noProof/>
            <w:webHidden/>
          </w:rPr>
        </w:r>
        <w:r w:rsidR="00124A0D">
          <w:rPr>
            <w:noProof/>
            <w:webHidden/>
          </w:rPr>
          <w:fldChar w:fldCharType="separate"/>
        </w:r>
        <w:r w:rsidR="007B3B07">
          <w:rPr>
            <w:noProof/>
            <w:webHidden/>
          </w:rPr>
          <w:t>26</w:t>
        </w:r>
        <w:r w:rsidR="00124A0D">
          <w:rPr>
            <w:noProof/>
            <w:webHidden/>
          </w:rPr>
          <w:fldChar w:fldCharType="end"/>
        </w:r>
      </w:hyperlink>
    </w:p>
    <w:p w:rsidR="00124A0D" w:rsidRDefault="003F4F00">
      <w:pPr>
        <w:pStyle w:val="TOC1"/>
        <w:rPr>
          <w:rFonts w:asciiTheme="minorHAnsi" w:eastAsiaTheme="minorEastAsia" w:hAnsiTheme="minorHAnsi" w:cstheme="minorBidi"/>
          <w:bCs w:val="0"/>
          <w:smallCaps w:val="0"/>
          <w:spacing w:val="0"/>
          <w:sz w:val="22"/>
          <w:szCs w:val="22"/>
          <w:lang w:eastAsia="en-AU"/>
        </w:rPr>
      </w:pPr>
      <w:hyperlink w:anchor="_Toc46735476" w:history="1">
        <w:r w:rsidR="00124A0D" w:rsidRPr="007C03AD">
          <w:rPr>
            <w:rStyle w:val="Hyperlink"/>
          </w:rPr>
          <w:t>Outstanding Responses</w:t>
        </w:r>
        <w:r w:rsidR="00124A0D">
          <w:rPr>
            <w:webHidden/>
          </w:rPr>
          <w:tab/>
        </w:r>
        <w:r w:rsidR="00124A0D">
          <w:rPr>
            <w:webHidden/>
          </w:rPr>
          <w:fldChar w:fldCharType="begin"/>
        </w:r>
        <w:r w:rsidR="00124A0D">
          <w:rPr>
            <w:webHidden/>
          </w:rPr>
          <w:instrText xml:space="preserve"> PAGEREF _Toc46735476 \h </w:instrText>
        </w:r>
        <w:r w:rsidR="00124A0D">
          <w:rPr>
            <w:webHidden/>
          </w:rPr>
        </w:r>
        <w:r w:rsidR="00124A0D">
          <w:rPr>
            <w:webHidden/>
          </w:rPr>
          <w:fldChar w:fldCharType="separate"/>
        </w:r>
        <w:r w:rsidR="007B3B07">
          <w:rPr>
            <w:webHidden/>
          </w:rPr>
          <w:t>27</w:t>
        </w:r>
        <w:r w:rsidR="00124A0D">
          <w:rPr>
            <w:webHidden/>
          </w:rPr>
          <w:fldChar w:fldCharType="end"/>
        </w:r>
      </w:hyperlink>
    </w:p>
    <w:p w:rsidR="00124A0D" w:rsidRDefault="003F4F00">
      <w:pPr>
        <w:pStyle w:val="TOC2"/>
        <w:rPr>
          <w:rFonts w:asciiTheme="minorHAnsi" w:eastAsiaTheme="minorEastAsia" w:hAnsiTheme="minorHAnsi" w:cstheme="minorBidi"/>
          <w:b w:val="0"/>
          <w:noProof/>
          <w:sz w:val="22"/>
          <w:szCs w:val="22"/>
          <w:lang w:eastAsia="en-AU"/>
        </w:rPr>
      </w:pPr>
      <w:hyperlink w:anchor="_Toc46735477" w:history="1">
        <w:r w:rsidR="00124A0D" w:rsidRPr="007C03AD">
          <w:rPr>
            <w:rStyle w:val="Hyperlink"/>
            <w:noProof/>
          </w:rPr>
          <w:t>Bills/Subordinate Legislation</w:t>
        </w:r>
        <w:r w:rsidR="00124A0D">
          <w:rPr>
            <w:noProof/>
            <w:webHidden/>
          </w:rPr>
          <w:tab/>
        </w:r>
        <w:r w:rsidR="00124A0D">
          <w:rPr>
            <w:noProof/>
            <w:webHidden/>
          </w:rPr>
          <w:fldChar w:fldCharType="begin"/>
        </w:r>
        <w:r w:rsidR="00124A0D">
          <w:rPr>
            <w:noProof/>
            <w:webHidden/>
          </w:rPr>
          <w:instrText xml:space="preserve"> PAGEREF _Toc46735477 \h </w:instrText>
        </w:r>
        <w:r w:rsidR="00124A0D">
          <w:rPr>
            <w:noProof/>
            <w:webHidden/>
          </w:rPr>
        </w:r>
        <w:r w:rsidR="00124A0D">
          <w:rPr>
            <w:noProof/>
            <w:webHidden/>
          </w:rPr>
          <w:fldChar w:fldCharType="separate"/>
        </w:r>
        <w:r w:rsidR="007B3B07">
          <w:rPr>
            <w:noProof/>
            <w:webHidden/>
          </w:rPr>
          <w:t>27</w:t>
        </w:r>
        <w:r w:rsidR="00124A0D">
          <w:rPr>
            <w:noProof/>
            <w:webHidden/>
          </w:rPr>
          <w:fldChar w:fldCharType="end"/>
        </w:r>
      </w:hyperlink>
    </w:p>
    <w:p w:rsidR="00351AD0" w:rsidRPr="00104A8B" w:rsidRDefault="00CD5AD5" w:rsidP="00A0668C">
      <w:pPr>
        <w:pStyle w:val="TOC1"/>
      </w:pPr>
      <w:r w:rsidRPr="00104A8B">
        <w:fldChar w:fldCharType="end"/>
      </w:r>
    </w:p>
    <w:p w:rsidR="00351AD0" w:rsidRPr="00104A8B" w:rsidRDefault="00351AD0" w:rsidP="00351AD0">
      <w:pPr>
        <w:sectPr w:rsidR="00351AD0" w:rsidRPr="00104A8B" w:rsidSect="00E8247B">
          <w:headerReference w:type="even" r:id="rId15"/>
          <w:headerReference w:type="default" r:id="rId16"/>
          <w:footerReference w:type="even" r:id="rId17"/>
          <w:footerReference w:type="default" r:id="rId18"/>
          <w:headerReference w:type="first" r:id="rId19"/>
          <w:pgSz w:w="11906" w:h="16838"/>
          <w:pgMar w:top="1440" w:right="1440" w:bottom="1440" w:left="1440" w:header="708" w:footer="708" w:gutter="0"/>
          <w:pgNumType w:fmt="lowerRoman" w:start="1"/>
          <w:cols w:space="708"/>
          <w:docGrid w:linePitch="360"/>
        </w:sectPr>
      </w:pPr>
    </w:p>
    <w:p w:rsidR="00632981" w:rsidRPr="00104A8B" w:rsidRDefault="00632981">
      <w:pPr>
        <w:sectPr w:rsidR="00632981" w:rsidRPr="00104A8B" w:rsidSect="00351AD0">
          <w:headerReference w:type="even" r:id="rId20"/>
          <w:headerReference w:type="default" r:id="rId21"/>
          <w:footerReference w:type="even" r:id="rId22"/>
          <w:headerReference w:type="first" r:id="rId23"/>
          <w:type w:val="continuous"/>
          <w:pgSz w:w="11906" w:h="16838"/>
          <w:pgMar w:top="1440" w:right="1440" w:bottom="1440" w:left="1440" w:header="708" w:footer="708" w:gutter="0"/>
          <w:cols w:space="708"/>
          <w:docGrid w:linePitch="360"/>
        </w:sectPr>
      </w:pPr>
      <w:bookmarkStart w:id="503" w:name="_GoBack"/>
      <w:bookmarkEnd w:id="503"/>
    </w:p>
    <w:p w:rsidR="008024FC" w:rsidRPr="00104A8B" w:rsidRDefault="008024FC" w:rsidP="00DF4EFB">
      <w:pPr>
        <w:pStyle w:val="Heading2"/>
        <w:rPr>
          <w:rFonts w:eastAsia="Calibri"/>
          <w:lang w:eastAsia="en-AU"/>
        </w:rPr>
      </w:pPr>
      <w:bookmarkStart w:id="504" w:name="_Toc46735466"/>
      <w:bookmarkStart w:id="505" w:name="_Toc338841796"/>
      <w:bookmarkStart w:id="506" w:name="_Hlk496454859"/>
      <w:bookmarkStart w:id="507" w:name="_Toc514837978"/>
      <w:bookmarkStart w:id="508" w:name="_Toc526855824"/>
      <w:bookmarkStart w:id="509" w:name="_Toc338841795"/>
      <w:bookmarkStart w:id="510" w:name="_Hlk483295725"/>
      <w:r>
        <w:rPr>
          <w:rFonts w:eastAsia="Calibri"/>
          <w:lang w:eastAsia="en-AU"/>
        </w:rPr>
        <w:lastRenderedPageBreak/>
        <w:t>Subordinate Legislation</w:t>
      </w:r>
      <w:bookmarkEnd w:id="504"/>
    </w:p>
    <w:p w:rsidR="003443EB" w:rsidRPr="00103E7B" w:rsidRDefault="003379D7" w:rsidP="00103E7B">
      <w:pPr>
        <w:pStyle w:val="Heading3"/>
      </w:pPr>
      <w:bookmarkStart w:id="511" w:name="_Toc46735467"/>
      <w:r w:rsidRPr="00103E7B">
        <w:t>Disallowable Instruments</w:t>
      </w:r>
      <w:r w:rsidR="003443EB" w:rsidRPr="00103E7B">
        <w:t>—</w:t>
      </w:r>
      <w:r w:rsidR="00A52216">
        <w:t>No </w:t>
      </w:r>
      <w:r w:rsidR="003443EB" w:rsidRPr="00103E7B">
        <w:t>comment</w:t>
      </w:r>
      <w:bookmarkEnd w:id="511"/>
    </w:p>
    <w:p w:rsidR="003443EB" w:rsidRDefault="003443EB" w:rsidP="00C517A1">
      <w:pPr>
        <w:widowControl w:val="0"/>
        <w:tabs>
          <w:tab w:val="left" w:pos="1276"/>
        </w:tabs>
        <w:rPr>
          <w:rFonts w:ascii="Calibri" w:hAnsi="Calibri" w:cs="Calibri"/>
          <w:color w:val="000000"/>
        </w:rPr>
      </w:pPr>
      <w:r w:rsidRPr="00987942">
        <w:rPr>
          <w:rFonts w:ascii="Calibri" w:hAnsi="Calibri" w:cs="Calibri"/>
          <w:color w:val="000000"/>
        </w:rPr>
        <w:t xml:space="preserve">The Committee has examined the </w:t>
      </w:r>
      <w:r w:rsidR="008B48A2">
        <w:rPr>
          <w:rFonts w:ascii="Calibri" w:hAnsi="Calibri" w:cs="Calibri"/>
          <w:color w:val="000000"/>
        </w:rPr>
        <w:t xml:space="preserve">following disallowable instruments and offers </w:t>
      </w:r>
      <w:r w:rsidR="00A52216">
        <w:rPr>
          <w:rFonts w:ascii="Calibri" w:hAnsi="Calibri" w:cs="Calibri"/>
          <w:color w:val="000000"/>
        </w:rPr>
        <w:t>No </w:t>
      </w:r>
      <w:r w:rsidR="008B48A2">
        <w:rPr>
          <w:rFonts w:ascii="Calibri" w:hAnsi="Calibri" w:cs="Calibri"/>
          <w:color w:val="000000"/>
        </w:rPr>
        <w:t>comment on them</w:t>
      </w:r>
      <w:r w:rsidRPr="00987942">
        <w:rPr>
          <w:rFonts w:ascii="Calibri" w:hAnsi="Calibri" w:cs="Calibri"/>
          <w:color w:val="000000"/>
        </w:rPr>
        <w:t>:</w:t>
      </w:r>
    </w:p>
    <w:p w:rsidR="00A52216" w:rsidRPr="00B76C99" w:rsidRDefault="00A52216" w:rsidP="00A52216">
      <w:pPr>
        <w:pStyle w:val="Bodycopy"/>
        <w:numPr>
          <w:ilvl w:val="0"/>
          <w:numId w:val="26"/>
        </w:numPr>
        <w:tabs>
          <w:tab w:val="clear" w:pos="1276"/>
          <w:tab w:val="left" w:pos="360"/>
        </w:tabs>
        <w:spacing w:before="160" w:after="160" w:line="260" w:lineRule="exact"/>
        <w:ind w:left="360"/>
        <w:rPr>
          <w:b/>
        </w:rPr>
      </w:pPr>
      <w:bookmarkStart w:id="512" w:name="_Hlk504463130"/>
      <w:bookmarkEnd w:id="505"/>
      <w:bookmarkEnd w:id="506"/>
      <w:r w:rsidRPr="00B76C99">
        <w:rPr>
          <w:b/>
        </w:rPr>
        <w:t xml:space="preserve">Disallowable Instrument DI2020-140 being the Retirement Villages (Fees) Determination 2020 made under section 262 of the </w:t>
      </w:r>
      <w:r w:rsidRPr="00B76C99">
        <w:rPr>
          <w:i/>
        </w:rPr>
        <w:t>Retirement Villages Act 2012</w:t>
      </w:r>
      <w:r w:rsidRPr="00B76C99">
        <w:rPr>
          <w:b/>
        </w:rPr>
        <w:t xml:space="preserve"> revokes DI2019-119 and determines fees payable for the purposes of the Act.</w:t>
      </w:r>
    </w:p>
    <w:p w:rsidR="00A52216" w:rsidRPr="00B76C99" w:rsidRDefault="00A52216" w:rsidP="00A52216">
      <w:pPr>
        <w:pStyle w:val="Bodycopy"/>
        <w:numPr>
          <w:ilvl w:val="0"/>
          <w:numId w:val="26"/>
        </w:numPr>
        <w:tabs>
          <w:tab w:val="clear" w:pos="1276"/>
          <w:tab w:val="left" w:pos="360"/>
        </w:tabs>
        <w:spacing w:before="160" w:after="160" w:line="260" w:lineRule="exact"/>
        <w:ind w:left="360"/>
        <w:rPr>
          <w:b/>
        </w:rPr>
      </w:pPr>
      <w:r w:rsidRPr="00B76C99">
        <w:rPr>
          <w:b/>
        </w:rPr>
        <w:t xml:space="preserve">Disallowable Instrument DI2020-141 being the Co-operatives National Law (ACT) (Fees) Determination 2020 made under schedule 1 of the </w:t>
      </w:r>
      <w:r w:rsidRPr="00B76C99">
        <w:rPr>
          <w:i/>
        </w:rPr>
        <w:t>Co-operatives National Law (ACT) Act 2017</w:t>
      </w:r>
      <w:r w:rsidRPr="00B76C99">
        <w:rPr>
          <w:b/>
        </w:rPr>
        <w:t xml:space="preserve"> revokes DI2019-121 and determines fees payable for the purposes of the Act.</w:t>
      </w:r>
    </w:p>
    <w:p w:rsidR="00A52216" w:rsidRPr="00B76C99" w:rsidRDefault="00A52216" w:rsidP="00A52216">
      <w:pPr>
        <w:pStyle w:val="Bodycopy"/>
        <w:numPr>
          <w:ilvl w:val="0"/>
          <w:numId w:val="26"/>
        </w:numPr>
        <w:tabs>
          <w:tab w:val="clear" w:pos="1276"/>
          <w:tab w:val="left" w:pos="360"/>
        </w:tabs>
        <w:spacing w:before="160" w:after="160" w:line="260" w:lineRule="exact"/>
        <w:ind w:left="360"/>
        <w:rPr>
          <w:b/>
        </w:rPr>
      </w:pPr>
      <w:r w:rsidRPr="00B76C99">
        <w:rPr>
          <w:b/>
        </w:rPr>
        <w:t xml:space="preserve">Disallowable Instrument DI2020-142 being the Classification (Publications, Films and Computer Games) (Enforcement) (Fees) Determination 2020 made under section 67 of the </w:t>
      </w:r>
      <w:r w:rsidRPr="00B76C99">
        <w:rPr>
          <w:i/>
        </w:rPr>
        <w:t>Classification (Publications, Films and Computer Games) (Enforcement) Act 1995</w:t>
      </w:r>
      <w:r w:rsidRPr="00B76C99">
        <w:rPr>
          <w:b/>
        </w:rPr>
        <w:t xml:space="preserve"> revokes DI2018-142 and determines fees payable for the purposes of the Act.</w:t>
      </w:r>
    </w:p>
    <w:p w:rsidR="00A52216" w:rsidRPr="00B76C99" w:rsidRDefault="00A52216" w:rsidP="00A52216">
      <w:pPr>
        <w:pStyle w:val="Bodycopy"/>
        <w:numPr>
          <w:ilvl w:val="0"/>
          <w:numId w:val="26"/>
        </w:numPr>
        <w:tabs>
          <w:tab w:val="clear" w:pos="1276"/>
          <w:tab w:val="left" w:pos="360"/>
        </w:tabs>
        <w:spacing w:before="160" w:after="160" w:line="260" w:lineRule="exact"/>
        <w:ind w:left="360"/>
        <w:rPr>
          <w:b/>
        </w:rPr>
      </w:pPr>
      <w:r w:rsidRPr="00B76C99">
        <w:rPr>
          <w:b/>
        </w:rPr>
        <w:t xml:space="preserve">Disallowable Instrument </w:t>
      </w:r>
      <w:bookmarkStart w:id="513" w:name="_Hlk46330062"/>
      <w:r w:rsidRPr="00B76C99">
        <w:rPr>
          <w:b/>
        </w:rPr>
        <w:t xml:space="preserve">DI2020-143 being the Agents (Fees) Determination 2020 </w:t>
      </w:r>
      <w:bookmarkEnd w:id="513"/>
      <w:r w:rsidRPr="00B76C99">
        <w:rPr>
          <w:b/>
        </w:rPr>
        <w:t xml:space="preserve">made under section 176 of the </w:t>
      </w:r>
      <w:r w:rsidRPr="00B76C99">
        <w:rPr>
          <w:i/>
        </w:rPr>
        <w:t>Agents Act 2003</w:t>
      </w:r>
      <w:r w:rsidRPr="00B76C99">
        <w:rPr>
          <w:b/>
        </w:rPr>
        <w:t xml:space="preserve"> revokes DI2019-123 and determines fees payable for the purposes of the Act.</w:t>
      </w:r>
    </w:p>
    <w:p w:rsidR="00A52216" w:rsidRPr="00842199" w:rsidRDefault="00A52216" w:rsidP="00A52216">
      <w:pPr>
        <w:pStyle w:val="Bodycopy"/>
        <w:numPr>
          <w:ilvl w:val="0"/>
          <w:numId w:val="26"/>
        </w:numPr>
        <w:tabs>
          <w:tab w:val="clear" w:pos="1276"/>
          <w:tab w:val="left" w:pos="360"/>
        </w:tabs>
        <w:spacing w:before="160" w:after="160" w:line="260" w:lineRule="exact"/>
        <w:ind w:left="360"/>
        <w:rPr>
          <w:b/>
        </w:rPr>
      </w:pPr>
      <w:r>
        <w:rPr>
          <w:b/>
        </w:rPr>
        <w:t>Disallowable Instrument</w:t>
      </w:r>
      <w:r w:rsidRPr="00451C85">
        <w:rPr>
          <w:b/>
        </w:rPr>
        <w:t xml:space="preserve"> </w:t>
      </w:r>
      <w:r>
        <w:rPr>
          <w:b/>
        </w:rPr>
        <w:t>DI2020-144</w:t>
      </w:r>
      <w:r w:rsidRPr="00451C85">
        <w:rPr>
          <w:b/>
        </w:rPr>
        <w:t xml:space="preserve"> being the </w:t>
      </w:r>
      <w:r>
        <w:rPr>
          <w:b/>
        </w:rPr>
        <w:t xml:space="preserve">Race and Sports Bookmaking (Sports Bookmaking Venues) Determination 2020 (No 2) made under subsection 21(1) of the </w:t>
      </w:r>
      <w:r>
        <w:rPr>
          <w:i/>
        </w:rPr>
        <w:t>Race and Sports Bookmaking Act 2001</w:t>
      </w:r>
      <w:r w:rsidRPr="00236BDD">
        <w:rPr>
          <w:b/>
        </w:rPr>
        <w:t xml:space="preserve"> </w:t>
      </w:r>
      <w:r>
        <w:rPr>
          <w:b/>
        </w:rPr>
        <w:t>determines the area within one metre of any selling terminal, owned and operated by Tabcorp ACT Pty Ltd and located within the places identified in the Schedule as a sports bookmaking venue.</w:t>
      </w:r>
    </w:p>
    <w:p w:rsidR="00A52216" w:rsidRPr="00842199" w:rsidRDefault="00A52216" w:rsidP="00A52216">
      <w:pPr>
        <w:pStyle w:val="Bodycopy"/>
        <w:numPr>
          <w:ilvl w:val="0"/>
          <w:numId w:val="26"/>
        </w:numPr>
        <w:tabs>
          <w:tab w:val="clear" w:pos="1276"/>
          <w:tab w:val="left" w:pos="360"/>
        </w:tabs>
        <w:spacing w:before="160" w:after="160" w:line="260" w:lineRule="exact"/>
        <w:ind w:left="360"/>
        <w:rPr>
          <w:b/>
        </w:rPr>
      </w:pPr>
      <w:r>
        <w:rPr>
          <w:b/>
        </w:rPr>
        <w:t>Disallowable Instrument</w:t>
      </w:r>
      <w:r w:rsidRPr="00451C85">
        <w:rPr>
          <w:b/>
        </w:rPr>
        <w:t xml:space="preserve"> </w:t>
      </w:r>
      <w:r>
        <w:rPr>
          <w:b/>
        </w:rPr>
        <w:t>DI2020-146</w:t>
      </w:r>
      <w:r w:rsidRPr="00451C85">
        <w:rPr>
          <w:b/>
        </w:rPr>
        <w:t xml:space="preserve"> being the </w:t>
      </w:r>
      <w:r>
        <w:rPr>
          <w:b/>
        </w:rPr>
        <w:t xml:space="preserve">Legislative Assembly (Members' Staff) Members' Salary Cap Determination 2020 (No 2) made under subsections 10(3) and 20(4) of the </w:t>
      </w:r>
      <w:r>
        <w:rPr>
          <w:i/>
        </w:rPr>
        <w:t>Legislative Assembly (Members' Staff) Act 1989</w:t>
      </w:r>
      <w:r w:rsidRPr="00236BDD">
        <w:rPr>
          <w:b/>
        </w:rPr>
        <w:t xml:space="preserve"> </w:t>
      </w:r>
      <w:r>
        <w:rPr>
          <w:b/>
        </w:rPr>
        <w:t>revokes DI2020-149 and determines the conditions under which a non-executive member may employ staff and engage consultants or contractors, including salary allocations for the 2020-2021 financial year.</w:t>
      </w:r>
    </w:p>
    <w:p w:rsidR="00A52216" w:rsidRPr="00B76C99" w:rsidRDefault="00A52216" w:rsidP="00A52216">
      <w:pPr>
        <w:pStyle w:val="Bodycopy"/>
        <w:numPr>
          <w:ilvl w:val="0"/>
          <w:numId w:val="26"/>
        </w:numPr>
        <w:tabs>
          <w:tab w:val="clear" w:pos="1276"/>
          <w:tab w:val="left" w:pos="360"/>
        </w:tabs>
        <w:spacing w:before="160" w:after="160" w:line="260" w:lineRule="exact"/>
        <w:ind w:left="360"/>
        <w:rPr>
          <w:b/>
        </w:rPr>
      </w:pPr>
      <w:r w:rsidRPr="00B76C99">
        <w:rPr>
          <w:b/>
        </w:rPr>
        <w:t xml:space="preserve">Disallowable Instrument DI2020-148 being the Electoral (Fees) Determination 2020 made under section 340B of the </w:t>
      </w:r>
      <w:r w:rsidRPr="00B76C99">
        <w:rPr>
          <w:i/>
        </w:rPr>
        <w:t>Electoral Act 1992</w:t>
      </w:r>
      <w:r w:rsidRPr="00B76C99">
        <w:rPr>
          <w:b/>
        </w:rPr>
        <w:t xml:space="preserve"> revokes DI2019-71 and determines fees payable for the purposes of the Act.</w:t>
      </w:r>
    </w:p>
    <w:p w:rsidR="00A52216" w:rsidRPr="00842199" w:rsidRDefault="00A52216" w:rsidP="00A52216">
      <w:pPr>
        <w:pStyle w:val="Bodycopy"/>
        <w:numPr>
          <w:ilvl w:val="0"/>
          <w:numId w:val="26"/>
        </w:numPr>
        <w:tabs>
          <w:tab w:val="clear" w:pos="1276"/>
          <w:tab w:val="left" w:pos="360"/>
        </w:tabs>
        <w:spacing w:before="160" w:after="160" w:line="260" w:lineRule="exact"/>
        <w:ind w:left="360"/>
        <w:rPr>
          <w:b/>
        </w:rPr>
      </w:pPr>
      <w:r>
        <w:rPr>
          <w:b/>
        </w:rPr>
        <w:t>Disallowable Instrument</w:t>
      </w:r>
      <w:r w:rsidRPr="00451C85">
        <w:rPr>
          <w:b/>
        </w:rPr>
        <w:t xml:space="preserve"> </w:t>
      </w:r>
      <w:r>
        <w:rPr>
          <w:b/>
        </w:rPr>
        <w:t>DI2020-149</w:t>
      </w:r>
      <w:r w:rsidRPr="00451C85">
        <w:rPr>
          <w:b/>
        </w:rPr>
        <w:t xml:space="preserve"> being the </w:t>
      </w:r>
      <w:r>
        <w:rPr>
          <w:b/>
        </w:rPr>
        <w:t xml:space="preserve">Legislative Assembly (Members' Staff) Members' Salary Cap Determination 2020 (No 1) made under subsections 10(3) and 20(4) of the </w:t>
      </w:r>
      <w:r>
        <w:rPr>
          <w:i/>
        </w:rPr>
        <w:t>Legislative Assembly (Members' Staff) Act 1989</w:t>
      </w:r>
      <w:r w:rsidRPr="00236BDD">
        <w:rPr>
          <w:b/>
        </w:rPr>
        <w:t xml:space="preserve"> </w:t>
      </w:r>
      <w:r>
        <w:rPr>
          <w:b/>
        </w:rPr>
        <w:t>revokes DI2019-79 and determines the conditions under which non-executive members may employ staff and engage consultants or contractors, including salary allocations for the 2020-2021 financial year.</w:t>
      </w:r>
    </w:p>
    <w:p w:rsidR="00A52216" w:rsidRPr="00842199" w:rsidRDefault="00A52216" w:rsidP="00A52216">
      <w:pPr>
        <w:pStyle w:val="Bodycopy"/>
        <w:numPr>
          <w:ilvl w:val="0"/>
          <w:numId w:val="26"/>
        </w:numPr>
        <w:tabs>
          <w:tab w:val="clear" w:pos="1276"/>
          <w:tab w:val="left" w:pos="360"/>
        </w:tabs>
        <w:spacing w:before="160" w:after="160" w:line="260" w:lineRule="exact"/>
        <w:ind w:left="360"/>
        <w:rPr>
          <w:b/>
        </w:rPr>
      </w:pPr>
      <w:r>
        <w:rPr>
          <w:b/>
        </w:rPr>
        <w:t>Disallowable Instrument</w:t>
      </w:r>
      <w:r w:rsidRPr="00451C85">
        <w:rPr>
          <w:b/>
        </w:rPr>
        <w:t xml:space="preserve"> </w:t>
      </w:r>
      <w:r>
        <w:rPr>
          <w:b/>
        </w:rPr>
        <w:t>DI2020-150</w:t>
      </w:r>
      <w:r w:rsidRPr="00451C85">
        <w:rPr>
          <w:b/>
        </w:rPr>
        <w:t xml:space="preserve"> being the </w:t>
      </w:r>
      <w:r>
        <w:rPr>
          <w:b/>
        </w:rPr>
        <w:t xml:space="preserve">Legislative Assembly (Members' Staff) Speaker's Salary Cap Determination 2020 (No 1) made under subsections 5(3) and 17(4) of the </w:t>
      </w:r>
      <w:r>
        <w:rPr>
          <w:i/>
        </w:rPr>
        <w:t>Legislative Assembly (Members' Staff) Act 1989</w:t>
      </w:r>
      <w:r w:rsidRPr="00236BDD">
        <w:rPr>
          <w:b/>
        </w:rPr>
        <w:t xml:space="preserve"> </w:t>
      </w:r>
      <w:r>
        <w:rPr>
          <w:b/>
        </w:rPr>
        <w:t>revokes DI2019-80 and determines the conditions under which the Speaker may employ staff and engage consultants or contractors, including a revised salary allocation for the 2020-2021 financial year.</w:t>
      </w:r>
    </w:p>
    <w:p w:rsidR="00A52216" w:rsidRPr="00B76C99" w:rsidRDefault="00A52216" w:rsidP="00A52216">
      <w:pPr>
        <w:pStyle w:val="Bodycopy"/>
        <w:numPr>
          <w:ilvl w:val="0"/>
          <w:numId w:val="26"/>
        </w:numPr>
        <w:tabs>
          <w:tab w:val="clear" w:pos="1276"/>
          <w:tab w:val="left" w:pos="360"/>
        </w:tabs>
        <w:spacing w:before="160" w:after="160" w:line="260" w:lineRule="exact"/>
        <w:ind w:left="360"/>
        <w:rPr>
          <w:b/>
        </w:rPr>
      </w:pPr>
      <w:r w:rsidRPr="00B76C99">
        <w:rPr>
          <w:b/>
        </w:rPr>
        <w:t xml:space="preserve">Disallowable Instrument DI2020-151 being the Public Trustee and Guardian (Fees) Determination 2020 made under section 75 of the </w:t>
      </w:r>
      <w:r w:rsidRPr="00B76C99">
        <w:rPr>
          <w:i/>
        </w:rPr>
        <w:t>Public Trustee and Guardian Act 1985</w:t>
      </w:r>
      <w:r w:rsidRPr="00B76C99">
        <w:rPr>
          <w:b/>
        </w:rPr>
        <w:t xml:space="preserve"> revokes DI2019-162 and determines fees payable for the purposes of the Act.</w:t>
      </w:r>
    </w:p>
    <w:p w:rsidR="00A52216" w:rsidRPr="00B76C99" w:rsidRDefault="00A52216" w:rsidP="00A52216">
      <w:pPr>
        <w:pStyle w:val="Bodycopy"/>
        <w:numPr>
          <w:ilvl w:val="0"/>
          <w:numId w:val="26"/>
        </w:numPr>
        <w:tabs>
          <w:tab w:val="clear" w:pos="1276"/>
          <w:tab w:val="left" w:pos="360"/>
        </w:tabs>
        <w:spacing w:before="160" w:after="160" w:line="260" w:lineRule="exact"/>
        <w:ind w:left="360"/>
        <w:rPr>
          <w:b/>
        </w:rPr>
      </w:pPr>
      <w:r w:rsidRPr="00B76C99">
        <w:rPr>
          <w:b/>
        </w:rPr>
        <w:lastRenderedPageBreak/>
        <w:t xml:space="preserve">Disallowable Instrument DI2020-152 being the Associations Incorporation (Fees) Determination 2020 made under section 125 of the </w:t>
      </w:r>
      <w:r w:rsidRPr="00B76C99">
        <w:rPr>
          <w:i/>
        </w:rPr>
        <w:t>Associations Incorporation Act 1991</w:t>
      </w:r>
      <w:r w:rsidRPr="00B76C99">
        <w:rPr>
          <w:b/>
        </w:rPr>
        <w:t xml:space="preserve"> revokes DI2019-165 and determines fees payable for the purposes of the Act.</w:t>
      </w:r>
    </w:p>
    <w:p w:rsidR="00A52216" w:rsidRPr="00B76C99" w:rsidRDefault="00A52216" w:rsidP="00A52216">
      <w:pPr>
        <w:pStyle w:val="Bodycopy"/>
        <w:numPr>
          <w:ilvl w:val="0"/>
          <w:numId w:val="26"/>
        </w:numPr>
        <w:tabs>
          <w:tab w:val="clear" w:pos="1276"/>
          <w:tab w:val="left" w:pos="360"/>
        </w:tabs>
        <w:spacing w:before="160" w:after="160" w:line="260" w:lineRule="exact"/>
        <w:ind w:left="360"/>
        <w:rPr>
          <w:b/>
        </w:rPr>
      </w:pPr>
      <w:r w:rsidRPr="00B76C99">
        <w:rPr>
          <w:b/>
        </w:rPr>
        <w:t xml:space="preserve">Disallowable Instrument DI2020-153 being the Guardianship and Management of Property (Fees) Determination 2020 made under section 75 of the </w:t>
      </w:r>
      <w:r w:rsidRPr="00B76C99">
        <w:rPr>
          <w:i/>
        </w:rPr>
        <w:t>Guardianship and Management of Property Act 1991</w:t>
      </w:r>
      <w:r w:rsidRPr="00B76C99">
        <w:rPr>
          <w:b/>
        </w:rPr>
        <w:t xml:space="preserve"> revokes DI2019-163 and determines fees payable for the purposes of the Act.</w:t>
      </w:r>
    </w:p>
    <w:p w:rsidR="00A52216" w:rsidRPr="00B76C99" w:rsidRDefault="00A52216" w:rsidP="00A52216">
      <w:pPr>
        <w:pStyle w:val="Bodycopy"/>
        <w:numPr>
          <w:ilvl w:val="0"/>
          <w:numId w:val="26"/>
        </w:numPr>
        <w:tabs>
          <w:tab w:val="clear" w:pos="1276"/>
          <w:tab w:val="left" w:pos="360"/>
        </w:tabs>
        <w:spacing w:before="160" w:after="160" w:line="260" w:lineRule="exact"/>
        <w:ind w:left="360"/>
        <w:rPr>
          <w:b/>
        </w:rPr>
      </w:pPr>
      <w:r w:rsidRPr="00B76C99">
        <w:rPr>
          <w:b/>
        </w:rPr>
        <w:t>Disallowable Instrument DI2020-154 being the Court Procedures (Fees) Determination 2020 (</w:t>
      </w:r>
      <w:r>
        <w:rPr>
          <w:b/>
        </w:rPr>
        <w:t>No </w:t>
      </w:r>
      <w:r w:rsidRPr="00B76C99">
        <w:rPr>
          <w:b/>
        </w:rPr>
        <w:t xml:space="preserve">2) made under section 13 of the </w:t>
      </w:r>
      <w:r w:rsidRPr="00B76C99">
        <w:rPr>
          <w:i/>
        </w:rPr>
        <w:t>Court Procedures Act 2004</w:t>
      </w:r>
      <w:r w:rsidRPr="00B76C99">
        <w:rPr>
          <w:b/>
        </w:rPr>
        <w:t xml:space="preserve"> revokes DI2020-13 and determines fees payable for the purposes of the Act.</w:t>
      </w:r>
    </w:p>
    <w:p w:rsidR="00A52216" w:rsidRPr="00B76C99" w:rsidRDefault="00A52216" w:rsidP="00A52216">
      <w:pPr>
        <w:pStyle w:val="Bodycopy"/>
        <w:numPr>
          <w:ilvl w:val="0"/>
          <w:numId w:val="26"/>
        </w:numPr>
        <w:tabs>
          <w:tab w:val="clear" w:pos="1276"/>
          <w:tab w:val="left" w:pos="360"/>
        </w:tabs>
        <w:spacing w:before="160" w:after="160" w:line="260" w:lineRule="exact"/>
        <w:ind w:left="360"/>
        <w:rPr>
          <w:b/>
        </w:rPr>
      </w:pPr>
      <w:r w:rsidRPr="00B76C99">
        <w:rPr>
          <w:b/>
        </w:rPr>
        <w:t xml:space="preserve">Disallowable Instrument DI2020-155 being the Unit Titles (Management) (Fees) Determination 2020 made under section 119 of the </w:t>
      </w:r>
      <w:r w:rsidRPr="00B76C99">
        <w:rPr>
          <w:i/>
        </w:rPr>
        <w:t>Unit Titles (Management) Act 2011</w:t>
      </w:r>
      <w:r w:rsidRPr="00B76C99">
        <w:rPr>
          <w:b/>
        </w:rPr>
        <w:t xml:space="preserve"> revokes DI2019-168 and determines fees payable for the purposes of the Act.</w:t>
      </w:r>
    </w:p>
    <w:p w:rsidR="00A52216" w:rsidRPr="00B76C99" w:rsidRDefault="00A52216" w:rsidP="00A52216">
      <w:pPr>
        <w:pStyle w:val="Bodycopy"/>
        <w:numPr>
          <w:ilvl w:val="0"/>
          <w:numId w:val="26"/>
        </w:numPr>
        <w:tabs>
          <w:tab w:val="clear" w:pos="1276"/>
          <w:tab w:val="left" w:pos="360"/>
        </w:tabs>
        <w:spacing w:before="160" w:after="160" w:line="260" w:lineRule="exact"/>
        <w:ind w:left="360"/>
        <w:rPr>
          <w:b/>
        </w:rPr>
      </w:pPr>
      <w:r w:rsidRPr="00B76C99">
        <w:rPr>
          <w:b/>
        </w:rPr>
        <w:t xml:space="preserve">Disallowable Instrument DI2020-156 being the Race and Sports Bookmaking (Fees) Determination 2020 made under section 97 of the </w:t>
      </w:r>
      <w:r w:rsidRPr="00B76C99">
        <w:rPr>
          <w:i/>
        </w:rPr>
        <w:t>Race and Sports Bookmaking Act 2001</w:t>
      </w:r>
      <w:r w:rsidRPr="00B76C99">
        <w:rPr>
          <w:b/>
        </w:rPr>
        <w:t xml:space="preserve"> revokes DI2019-160 and determines fees payable for the purposes of the Act.</w:t>
      </w:r>
    </w:p>
    <w:p w:rsidR="00A52216" w:rsidRPr="00B76C99" w:rsidRDefault="00A52216" w:rsidP="00A52216">
      <w:pPr>
        <w:pStyle w:val="Bodycopy"/>
        <w:numPr>
          <w:ilvl w:val="0"/>
          <w:numId w:val="26"/>
        </w:numPr>
        <w:tabs>
          <w:tab w:val="clear" w:pos="1276"/>
          <w:tab w:val="left" w:pos="360"/>
        </w:tabs>
        <w:spacing w:before="160" w:after="160" w:line="260" w:lineRule="exact"/>
        <w:ind w:left="360"/>
        <w:rPr>
          <w:b/>
        </w:rPr>
      </w:pPr>
      <w:bookmarkStart w:id="514" w:name="_Hlk46333223"/>
      <w:r w:rsidRPr="00B76C99">
        <w:rPr>
          <w:b/>
        </w:rPr>
        <w:t>Disallowable Instrument DI2020-157 being the Casi</w:t>
      </w:r>
      <w:r>
        <w:rPr>
          <w:b/>
        </w:rPr>
        <w:t xml:space="preserve">no </w:t>
      </w:r>
      <w:r w:rsidRPr="00B76C99">
        <w:rPr>
          <w:b/>
        </w:rPr>
        <w:t xml:space="preserve">Control (Fees) Determination 2020 made under section 143 of the </w:t>
      </w:r>
      <w:r w:rsidRPr="00B76C99">
        <w:rPr>
          <w:i/>
        </w:rPr>
        <w:t>Casi</w:t>
      </w:r>
      <w:r>
        <w:rPr>
          <w:i/>
        </w:rPr>
        <w:t xml:space="preserve">no </w:t>
      </w:r>
      <w:r w:rsidRPr="00B76C99">
        <w:rPr>
          <w:i/>
        </w:rPr>
        <w:t>Control Act 2006</w:t>
      </w:r>
      <w:r w:rsidRPr="00B76C99">
        <w:rPr>
          <w:b/>
        </w:rPr>
        <w:t xml:space="preserve"> revokes DI2019-157 and determines fees payable for the purposes of the Act.</w:t>
      </w:r>
    </w:p>
    <w:bookmarkEnd w:id="514"/>
    <w:p w:rsidR="00A52216" w:rsidRPr="00B76C99" w:rsidRDefault="00A52216" w:rsidP="00A52216">
      <w:pPr>
        <w:pStyle w:val="Bodycopy"/>
        <w:numPr>
          <w:ilvl w:val="0"/>
          <w:numId w:val="26"/>
        </w:numPr>
        <w:tabs>
          <w:tab w:val="clear" w:pos="1276"/>
          <w:tab w:val="left" w:pos="360"/>
        </w:tabs>
        <w:spacing w:before="160" w:after="160" w:line="260" w:lineRule="exact"/>
        <w:ind w:left="360"/>
        <w:rPr>
          <w:b/>
        </w:rPr>
      </w:pPr>
      <w:r w:rsidRPr="00B76C99">
        <w:rPr>
          <w:b/>
        </w:rPr>
        <w:t xml:space="preserve">Disallowable Instrument DI2020-158 being the Unlawful Gambling (Charitable Gaming Application Fees) Determination 2020 made under section 48 of the </w:t>
      </w:r>
      <w:r w:rsidRPr="00B76C99">
        <w:rPr>
          <w:i/>
        </w:rPr>
        <w:t>Unlawful Gambling Act 2009</w:t>
      </w:r>
      <w:r w:rsidRPr="00B76C99">
        <w:rPr>
          <w:b/>
        </w:rPr>
        <w:t xml:space="preserve"> revokes DI2019-161 and determines the fee to accompany an application by a charitable organisation to conduct charitable gaming for the purposes of the Act.</w:t>
      </w:r>
    </w:p>
    <w:p w:rsidR="00A52216" w:rsidRPr="00B76C99" w:rsidRDefault="00A52216" w:rsidP="00A52216">
      <w:pPr>
        <w:pStyle w:val="Bodycopy"/>
        <w:numPr>
          <w:ilvl w:val="0"/>
          <w:numId w:val="26"/>
        </w:numPr>
        <w:tabs>
          <w:tab w:val="clear" w:pos="1276"/>
          <w:tab w:val="left" w:pos="360"/>
        </w:tabs>
        <w:spacing w:before="160" w:after="160" w:line="260" w:lineRule="exact"/>
        <w:ind w:left="360"/>
        <w:rPr>
          <w:b/>
        </w:rPr>
      </w:pPr>
      <w:r w:rsidRPr="00B76C99">
        <w:rPr>
          <w:b/>
        </w:rPr>
        <w:t>Disallowable Instrument DI2020-159 being the Animal Welfare (Fees) Determination 2020 (</w:t>
      </w:r>
      <w:r>
        <w:rPr>
          <w:b/>
        </w:rPr>
        <w:t>No </w:t>
      </w:r>
      <w:r w:rsidRPr="00B76C99">
        <w:rPr>
          <w:b/>
        </w:rPr>
        <w:t xml:space="preserve">1) made under section 110 of the </w:t>
      </w:r>
      <w:r w:rsidRPr="00B76C99">
        <w:rPr>
          <w:i/>
        </w:rPr>
        <w:t>Animal Welfare Act 1992</w:t>
      </w:r>
      <w:r w:rsidRPr="00B76C99">
        <w:rPr>
          <w:b/>
        </w:rPr>
        <w:t xml:space="preserve"> revokes DI2019-110 and determines fees payable for the purposes of the Act.</w:t>
      </w:r>
    </w:p>
    <w:p w:rsidR="00A52216" w:rsidRPr="00B76C99" w:rsidRDefault="00A52216" w:rsidP="00A52216">
      <w:pPr>
        <w:pStyle w:val="Bodycopy"/>
        <w:numPr>
          <w:ilvl w:val="0"/>
          <w:numId w:val="26"/>
        </w:numPr>
        <w:tabs>
          <w:tab w:val="clear" w:pos="1276"/>
          <w:tab w:val="left" w:pos="360"/>
        </w:tabs>
        <w:spacing w:before="160" w:after="160" w:line="260" w:lineRule="exact"/>
        <w:ind w:left="360"/>
        <w:rPr>
          <w:b/>
        </w:rPr>
      </w:pPr>
      <w:r w:rsidRPr="00B76C99">
        <w:rPr>
          <w:b/>
        </w:rPr>
        <w:t>Disallowable Instrument DI2020-160 being the Domestic Animals (Fees) Determination 2020 (</w:t>
      </w:r>
      <w:r>
        <w:rPr>
          <w:b/>
        </w:rPr>
        <w:t>No </w:t>
      </w:r>
      <w:r w:rsidRPr="00B76C99">
        <w:rPr>
          <w:b/>
        </w:rPr>
        <w:t xml:space="preserve">1) made under section 144 of the </w:t>
      </w:r>
      <w:r w:rsidRPr="00B76C99">
        <w:rPr>
          <w:i/>
        </w:rPr>
        <w:t>Domestic Animals Act 2000</w:t>
      </w:r>
      <w:r w:rsidRPr="00B76C99">
        <w:rPr>
          <w:b/>
        </w:rPr>
        <w:t xml:space="preserve"> determines fees payable under the Act.</w:t>
      </w:r>
    </w:p>
    <w:p w:rsidR="00A52216" w:rsidRPr="00B76C99" w:rsidRDefault="00A52216" w:rsidP="00A52216">
      <w:pPr>
        <w:pStyle w:val="Bodycopy"/>
        <w:numPr>
          <w:ilvl w:val="0"/>
          <w:numId w:val="26"/>
        </w:numPr>
        <w:tabs>
          <w:tab w:val="clear" w:pos="1276"/>
          <w:tab w:val="left" w:pos="360"/>
        </w:tabs>
        <w:spacing w:before="160" w:after="160" w:line="260" w:lineRule="exact"/>
        <w:ind w:left="360"/>
        <w:rPr>
          <w:b/>
        </w:rPr>
      </w:pPr>
      <w:r w:rsidRPr="00B76C99">
        <w:rPr>
          <w:b/>
        </w:rPr>
        <w:t>Disallowable Instrument DI2020-161 being the Public Unleased Land (Fees) Determination 2020 (</w:t>
      </w:r>
      <w:r>
        <w:rPr>
          <w:b/>
        </w:rPr>
        <w:t>No </w:t>
      </w:r>
      <w:r w:rsidRPr="00B76C99">
        <w:rPr>
          <w:b/>
        </w:rPr>
        <w:t xml:space="preserve">2) made under section 130 of the </w:t>
      </w:r>
      <w:r w:rsidRPr="00B76C99">
        <w:rPr>
          <w:i/>
        </w:rPr>
        <w:t>Public Unleased Land Act 2013</w:t>
      </w:r>
      <w:r w:rsidRPr="00B76C99">
        <w:rPr>
          <w:b/>
        </w:rPr>
        <w:t xml:space="preserve"> revokes DI2020-11, determines fees payable under the Act, and allows for some fees to be waived under specific circumstances.</w:t>
      </w:r>
    </w:p>
    <w:p w:rsidR="00A52216" w:rsidRPr="00B76C99" w:rsidRDefault="00A52216" w:rsidP="00A52216">
      <w:pPr>
        <w:pStyle w:val="Bodycopy"/>
        <w:numPr>
          <w:ilvl w:val="0"/>
          <w:numId w:val="26"/>
        </w:numPr>
        <w:tabs>
          <w:tab w:val="clear" w:pos="1276"/>
          <w:tab w:val="left" w:pos="360"/>
        </w:tabs>
        <w:spacing w:before="160" w:after="160" w:line="260" w:lineRule="exact"/>
        <w:ind w:left="360"/>
        <w:rPr>
          <w:b/>
        </w:rPr>
      </w:pPr>
      <w:r w:rsidRPr="00B76C99">
        <w:rPr>
          <w:b/>
        </w:rPr>
        <w:t>Disallowable Instrument DI2020-162 being the Tree Protection (Fees) Determination 2020 (</w:t>
      </w:r>
      <w:r>
        <w:rPr>
          <w:b/>
        </w:rPr>
        <w:t>No </w:t>
      </w:r>
      <w:r w:rsidRPr="00B76C99">
        <w:rPr>
          <w:b/>
        </w:rPr>
        <w:t xml:space="preserve">1) made under section 109 of the </w:t>
      </w:r>
      <w:r w:rsidRPr="00B76C99">
        <w:rPr>
          <w:i/>
        </w:rPr>
        <w:t>Tree Protection Act 2005</w:t>
      </w:r>
      <w:r w:rsidRPr="00B76C99">
        <w:rPr>
          <w:b/>
        </w:rPr>
        <w:t xml:space="preserve"> revokes DI2019-107 and determines fees payable for the purposes of the Act.</w:t>
      </w:r>
    </w:p>
    <w:p w:rsidR="00A52216" w:rsidRPr="00B76C99" w:rsidRDefault="00A52216" w:rsidP="00A52216">
      <w:pPr>
        <w:pStyle w:val="Bodycopy"/>
        <w:numPr>
          <w:ilvl w:val="0"/>
          <w:numId w:val="26"/>
        </w:numPr>
        <w:tabs>
          <w:tab w:val="clear" w:pos="1276"/>
          <w:tab w:val="left" w:pos="360"/>
        </w:tabs>
        <w:spacing w:before="160" w:after="160" w:line="260" w:lineRule="exact"/>
        <w:ind w:left="360"/>
        <w:rPr>
          <w:b/>
        </w:rPr>
      </w:pPr>
      <w:r w:rsidRPr="00B76C99">
        <w:rPr>
          <w:b/>
        </w:rPr>
        <w:t>Disallowable Instrument DI2020-163 being the Waste Management and Resource Recovery (Fees) Determination 2020 (</w:t>
      </w:r>
      <w:r>
        <w:rPr>
          <w:b/>
        </w:rPr>
        <w:t>No </w:t>
      </w:r>
      <w:r w:rsidRPr="00B76C99">
        <w:rPr>
          <w:b/>
        </w:rPr>
        <w:t xml:space="preserve">1) made under section 126 of the </w:t>
      </w:r>
      <w:r w:rsidRPr="00B76C99">
        <w:rPr>
          <w:i/>
        </w:rPr>
        <w:t>Waste Management and Resource Recovery Act 2016</w:t>
      </w:r>
      <w:r w:rsidRPr="00B76C99">
        <w:rPr>
          <w:b/>
        </w:rPr>
        <w:t xml:space="preserve"> revokes DI2019-184 and determines fees payable for the purposes of the Act.</w:t>
      </w:r>
    </w:p>
    <w:p w:rsidR="00A52216" w:rsidRPr="00842199" w:rsidRDefault="00A52216" w:rsidP="00A52216">
      <w:pPr>
        <w:pStyle w:val="Bodycopy"/>
        <w:numPr>
          <w:ilvl w:val="0"/>
          <w:numId w:val="26"/>
        </w:numPr>
        <w:tabs>
          <w:tab w:val="clear" w:pos="1276"/>
          <w:tab w:val="left" w:pos="360"/>
        </w:tabs>
        <w:spacing w:before="160" w:after="160" w:line="260" w:lineRule="exact"/>
        <w:ind w:left="360"/>
        <w:rPr>
          <w:b/>
        </w:rPr>
      </w:pPr>
      <w:r>
        <w:rPr>
          <w:b/>
        </w:rPr>
        <w:t>Disallowable Instrument</w:t>
      </w:r>
      <w:r w:rsidRPr="00451C85">
        <w:rPr>
          <w:b/>
        </w:rPr>
        <w:t xml:space="preserve"> </w:t>
      </w:r>
      <w:r>
        <w:rPr>
          <w:b/>
        </w:rPr>
        <w:t>DI2020-166</w:t>
      </w:r>
      <w:r w:rsidRPr="00451C85">
        <w:rPr>
          <w:b/>
        </w:rPr>
        <w:t xml:space="preserve"> being the </w:t>
      </w:r>
      <w:r>
        <w:rPr>
          <w:b/>
        </w:rPr>
        <w:t xml:space="preserve">City Renewal Authority and Suburban Land Agency (Agency Board Member) Appointment 2020 (No 1) made under section 45 of the </w:t>
      </w:r>
      <w:r>
        <w:rPr>
          <w:i/>
        </w:rPr>
        <w:t>City Renewal Authority and Suburban Land Agency Act 2017</w:t>
      </w:r>
      <w:r w:rsidRPr="00236BDD">
        <w:rPr>
          <w:b/>
        </w:rPr>
        <w:t xml:space="preserve"> </w:t>
      </w:r>
      <w:r>
        <w:rPr>
          <w:b/>
        </w:rPr>
        <w:t>appoints a specified person, an expert in property development, as member of the Suburban Land Agency Board.</w:t>
      </w:r>
    </w:p>
    <w:p w:rsidR="00A52216" w:rsidRPr="00842199" w:rsidRDefault="00A52216" w:rsidP="00A52216">
      <w:pPr>
        <w:pStyle w:val="Bodycopy"/>
        <w:keepLines/>
        <w:numPr>
          <w:ilvl w:val="0"/>
          <w:numId w:val="26"/>
        </w:numPr>
        <w:tabs>
          <w:tab w:val="clear" w:pos="1276"/>
          <w:tab w:val="left" w:pos="360"/>
        </w:tabs>
        <w:spacing w:before="160" w:after="160" w:line="260" w:lineRule="exact"/>
        <w:ind w:left="360"/>
        <w:rPr>
          <w:b/>
        </w:rPr>
      </w:pPr>
      <w:r>
        <w:rPr>
          <w:b/>
        </w:rPr>
        <w:lastRenderedPageBreak/>
        <w:t>Disallowable Instrument</w:t>
      </w:r>
      <w:r w:rsidRPr="00451C85">
        <w:rPr>
          <w:b/>
        </w:rPr>
        <w:t xml:space="preserve"> </w:t>
      </w:r>
      <w:r>
        <w:rPr>
          <w:b/>
        </w:rPr>
        <w:t>DI2020-167</w:t>
      </w:r>
      <w:r w:rsidRPr="00451C85">
        <w:rPr>
          <w:b/>
        </w:rPr>
        <w:t xml:space="preserve"> being the </w:t>
      </w:r>
      <w:r>
        <w:rPr>
          <w:b/>
        </w:rPr>
        <w:t xml:space="preserve">City Renewal Authority and Suburban Land Agency (Agency Board Member) Appointment 2020 (No 2) made under section 45 of the </w:t>
      </w:r>
      <w:r>
        <w:rPr>
          <w:i/>
        </w:rPr>
        <w:t>City Renewal Authority and Suburban Land Agency Act 2017</w:t>
      </w:r>
      <w:r w:rsidRPr="00236BDD">
        <w:rPr>
          <w:b/>
        </w:rPr>
        <w:t xml:space="preserve"> </w:t>
      </w:r>
      <w:r>
        <w:rPr>
          <w:b/>
        </w:rPr>
        <w:t>appoints a specified person, an expert in social inclusion and community building, as member of the Suburban Land Agency Board.</w:t>
      </w:r>
    </w:p>
    <w:p w:rsidR="00A52216" w:rsidRPr="00842199" w:rsidRDefault="00A52216" w:rsidP="00A52216">
      <w:pPr>
        <w:pStyle w:val="Bodycopy"/>
        <w:numPr>
          <w:ilvl w:val="0"/>
          <w:numId w:val="26"/>
        </w:numPr>
        <w:tabs>
          <w:tab w:val="clear" w:pos="1276"/>
          <w:tab w:val="left" w:pos="0"/>
        </w:tabs>
        <w:spacing w:before="160" w:after="160" w:line="260" w:lineRule="exact"/>
        <w:ind w:left="360"/>
        <w:rPr>
          <w:b/>
        </w:rPr>
      </w:pPr>
      <w:r>
        <w:rPr>
          <w:b/>
        </w:rPr>
        <w:t>Disallowable Instrument</w:t>
      </w:r>
      <w:r w:rsidRPr="00451C85">
        <w:rPr>
          <w:b/>
        </w:rPr>
        <w:t xml:space="preserve"> </w:t>
      </w:r>
      <w:r>
        <w:rPr>
          <w:b/>
        </w:rPr>
        <w:t>DI2020-168</w:t>
      </w:r>
      <w:r w:rsidRPr="00451C85">
        <w:rPr>
          <w:b/>
        </w:rPr>
        <w:t xml:space="preserve"> being the </w:t>
      </w:r>
      <w:r>
        <w:rPr>
          <w:b/>
        </w:rPr>
        <w:t xml:space="preserve">City Renewal Authority and Suburban Land Agency (Agency Board Member) Appointment 2020 (No 3) made under section 45 of the </w:t>
      </w:r>
      <w:r>
        <w:rPr>
          <w:i/>
        </w:rPr>
        <w:t>City Renewal Authority and Suburban Land Agency Act 2017</w:t>
      </w:r>
      <w:r w:rsidRPr="00236BDD">
        <w:rPr>
          <w:b/>
        </w:rPr>
        <w:t xml:space="preserve"> </w:t>
      </w:r>
      <w:r>
        <w:rPr>
          <w:b/>
        </w:rPr>
        <w:t>appoints a specified person, an expert in social work and affordable housing, as member of the Suburban Land Agency Board.</w:t>
      </w:r>
    </w:p>
    <w:p w:rsidR="00A52216" w:rsidRPr="00842199" w:rsidRDefault="00A52216" w:rsidP="00A52216">
      <w:pPr>
        <w:pStyle w:val="Bodycopy"/>
        <w:numPr>
          <w:ilvl w:val="0"/>
          <w:numId w:val="26"/>
        </w:numPr>
        <w:tabs>
          <w:tab w:val="clear" w:pos="1276"/>
          <w:tab w:val="left" w:pos="0"/>
        </w:tabs>
        <w:spacing w:before="160" w:after="160" w:line="260" w:lineRule="exact"/>
        <w:ind w:left="360"/>
        <w:rPr>
          <w:b/>
        </w:rPr>
      </w:pPr>
      <w:r>
        <w:rPr>
          <w:b/>
        </w:rPr>
        <w:t>Disallowable Instrument</w:t>
      </w:r>
      <w:r w:rsidRPr="00451C85">
        <w:rPr>
          <w:b/>
        </w:rPr>
        <w:t xml:space="preserve"> </w:t>
      </w:r>
      <w:r>
        <w:rPr>
          <w:b/>
        </w:rPr>
        <w:t>DI2020-169</w:t>
      </w:r>
      <w:r w:rsidRPr="00451C85">
        <w:rPr>
          <w:b/>
        </w:rPr>
        <w:t xml:space="preserve"> being the </w:t>
      </w:r>
      <w:r>
        <w:rPr>
          <w:b/>
        </w:rPr>
        <w:t xml:space="preserve">Domestic Animals (Accredited Assistance Animal Public Access Standards) Determination 2020 made under section 95 of the </w:t>
      </w:r>
      <w:r>
        <w:rPr>
          <w:i/>
        </w:rPr>
        <w:t>Domestic Animals Act 2000</w:t>
      </w:r>
      <w:r w:rsidRPr="00236BDD">
        <w:rPr>
          <w:b/>
        </w:rPr>
        <w:t xml:space="preserve"> </w:t>
      </w:r>
      <w:r>
        <w:rPr>
          <w:b/>
        </w:rPr>
        <w:t>determines the minimum standard of behaviour and hygiene for assistance animals accessing public places in the ACT.</w:t>
      </w:r>
    </w:p>
    <w:p w:rsidR="00A52216" w:rsidRPr="00842199" w:rsidRDefault="00A52216" w:rsidP="00A52216">
      <w:pPr>
        <w:pStyle w:val="Bodycopy"/>
        <w:numPr>
          <w:ilvl w:val="0"/>
          <w:numId w:val="26"/>
        </w:numPr>
        <w:tabs>
          <w:tab w:val="clear" w:pos="1276"/>
          <w:tab w:val="left" w:pos="0"/>
        </w:tabs>
        <w:spacing w:before="160" w:after="160" w:line="260" w:lineRule="exact"/>
        <w:ind w:left="360"/>
        <w:rPr>
          <w:b/>
        </w:rPr>
      </w:pPr>
      <w:r>
        <w:rPr>
          <w:b/>
        </w:rPr>
        <w:t>Disallowable Instrument</w:t>
      </w:r>
      <w:r w:rsidRPr="00451C85">
        <w:rPr>
          <w:b/>
        </w:rPr>
        <w:t xml:space="preserve"> </w:t>
      </w:r>
      <w:r>
        <w:rPr>
          <w:b/>
        </w:rPr>
        <w:t>DI2020-170</w:t>
      </w:r>
      <w:r w:rsidRPr="00451C85">
        <w:rPr>
          <w:b/>
        </w:rPr>
        <w:t xml:space="preserve"> being the </w:t>
      </w:r>
      <w:r>
        <w:rPr>
          <w:b/>
        </w:rPr>
        <w:t xml:space="preserve">Domestic Animals (Assistance Animal Accreditation) Guidelines 2020 made under section 95 of the </w:t>
      </w:r>
      <w:r>
        <w:rPr>
          <w:i/>
        </w:rPr>
        <w:t>Domestic Animals Act 2000</w:t>
      </w:r>
      <w:r w:rsidRPr="00236BDD">
        <w:rPr>
          <w:b/>
        </w:rPr>
        <w:t xml:space="preserve"> </w:t>
      </w:r>
      <w:r>
        <w:rPr>
          <w:b/>
        </w:rPr>
        <w:t>provides guidelines for the accreditation of assistance animals in the ACT, in particular the two year time frame for accreditation, the recognition of existing accreditation by jurisdictions and organisations that meet the ACT's standards, and the requirements for assistance animal trainers and assessors to be registered to accredit assistance animals in the ACT.</w:t>
      </w:r>
    </w:p>
    <w:p w:rsidR="00A52216" w:rsidRDefault="00A52216" w:rsidP="00A52216">
      <w:pPr>
        <w:pStyle w:val="Bodycopy"/>
        <w:widowControl/>
        <w:numPr>
          <w:ilvl w:val="0"/>
          <w:numId w:val="26"/>
        </w:numPr>
        <w:tabs>
          <w:tab w:val="clear" w:pos="1276"/>
          <w:tab w:val="left" w:pos="0"/>
        </w:tabs>
        <w:spacing w:before="160" w:after="160" w:line="260" w:lineRule="exact"/>
        <w:ind w:left="360"/>
        <w:rPr>
          <w:b/>
          <w:bCs/>
          <w:szCs w:val="22"/>
        </w:rPr>
      </w:pPr>
      <w:r>
        <w:rPr>
          <w:b/>
          <w:bCs/>
        </w:rPr>
        <w:t xml:space="preserve">Disallowable Instrument DI2020-172 being the Victims of Crime (Fees) Determination 2020 (No 1) made under section 50(1) of the </w:t>
      </w:r>
      <w:r w:rsidRPr="0000321C">
        <w:rPr>
          <w:i/>
          <w:iCs/>
        </w:rPr>
        <w:t>Victims of Crime Regulation 2000</w:t>
      </w:r>
      <w:r>
        <w:rPr>
          <w:b/>
          <w:bCs/>
        </w:rPr>
        <w:t xml:space="preserve"> revokes DI2019-173 and determines the fees payable for the purposes of the Act. </w:t>
      </w:r>
    </w:p>
    <w:p w:rsidR="00A52216" w:rsidRPr="00842199" w:rsidRDefault="00A52216" w:rsidP="00A52216">
      <w:pPr>
        <w:pStyle w:val="Bodycopy"/>
        <w:numPr>
          <w:ilvl w:val="0"/>
          <w:numId w:val="26"/>
        </w:numPr>
        <w:tabs>
          <w:tab w:val="clear" w:pos="1276"/>
          <w:tab w:val="left" w:pos="0"/>
        </w:tabs>
        <w:spacing w:before="160" w:after="160" w:line="260" w:lineRule="exact"/>
        <w:ind w:left="360"/>
        <w:rPr>
          <w:b/>
        </w:rPr>
      </w:pPr>
      <w:r>
        <w:rPr>
          <w:b/>
        </w:rPr>
        <w:t>Disallowable Instrument</w:t>
      </w:r>
      <w:r w:rsidRPr="00451C85">
        <w:rPr>
          <w:b/>
        </w:rPr>
        <w:t xml:space="preserve"> </w:t>
      </w:r>
      <w:r>
        <w:rPr>
          <w:b/>
        </w:rPr>
        <w:t>DI2020-173</w:t>
      </w:r>
      <w:r w:rsidRPr="00451C85">
        <w:rPr>
          <w:b/>
        </w:rPr>
        <w:t xml:space="preserve"> being the </w:t>
      </w:r>
      <w:r>
        <w:rPr>
          <w:b/>
        </w:rPr>
        <w:t xml:space="preserve">Canberra Institute of Technology (CIT Board Member) Appointment 2020 (No 3) made under section 9 of the and section 78 of the </w:t>
      </w:r>
      <w:r>
        <w:rPr>
          <w:i/>
        </w:rPr>
        <w:t>Canberra Institute of Technology Act 1987 and Financial Management Act 1996</w:t>
      </w:r>
      <w:r w:rsidRPr="00236BDD">
        <w:rPr>
          <w:b/>
        </w:rPr>
        <w:t xml:space="preserve"> </w:t>
      </w:r>
      <w:r>
        <w:rPr>
          <w:b/>
        </w:rPr>
        <w:t>appoints the Chair of the CIT Student Association Council to be the Student Member of the CIT Board.</w:t>
      </w:r>
    </w:p>
    <w:p w:rsidR="00A52216" w:rsidRPr="00842199" w:rsidRDefault="00A52216" w:rsidP="00A52216">
      <w:pPr>
        <w:pStyle w:val="Bodycopy"/>
        <w:numPr>
          <w:ilvl w:val="0"/>
          <w:numId w:val="26"/>
        </w:numPr>
        <w:tabs>
          <w:tab w:val="clear" w:pos="1276"/>
          <w:tab w:val="left" w:pos="0"/>
        </w:tabs>
        <w:spacing w:before="160" w:after="160" w:line="260" w:lineRule="exact"/>
        <w:ind w:left="360"/>
        <w:rPr>
          <w:b/>
        </w:rPr>
      </w:pPr>
      <w:r>
        <w:rPr>
          <w:b/>
        </w:rPr>
        <w:t>Disallowable Instrument</w:t>
      </w:r>
      <w:r w:rsidRPr="00451C85">
        <w:rPr>
          <w:b/>
        </w:rPr>
        <w:t xml:space="preserve"> </w:t>
      </w:r>
      <w:r>
        <w:rPr>
          <w:b/>
        </w:rPr>
        <w:t>DI2020-177</w:t>
      </w:r>
      <w:r w:rsidRPr="00451C85">
        <w:rPr>
          <w:b/>
        </w:rPr>
        <w:t xml:space="preserve"> being the </w:t>
      </w:r>
      <w:r>
        <w:rPr>
          <w:b/>
        </w:rPr>
        <w:t xml:space="preserve">Taxation Administration (Amounts Payable—Land Tax) Determination 2020 made under section 139 of the </w:t>
      </w:r>
      <w:r>
        <w:rPr>
          <w:i/>
        </w:rPr>
        <w:t>Taxation Administration Act 1999</w:t>
      </w:r>
      <w:r w:rsidRPr="00236BDD">
        <w:rPr>
          <w:b/>
        </w:rPr>
        <w:t xml:space="preserve"> </w:t>
      </w:r>
      <w:r>
        <w:rPr>
          <w:b/>
        </w:rPr>
        <w:t>revokes DI2019-145 and determines the fixed charge and percentage rates for land tax and a flat percentage rate for the foreign ownership surcharge.</w:t>
      </w:r>
    </w:p>
    <w:p w:rsidR="00A52216" w:rsidRPr="00842199" w:rsidRDefault="00A52216" w:rsidP="00A52216">
      <w:pPr>
        <w:pStyle w:val="Bodycopy"/>
        <w:numPr>
          <w:ilvl w:val="0"/>
          <w:numId w:val="26"/>
        </w:numPr>
        <w:tabs>
          <w:tab w:val="clear" w:pos="1276"/>
          <w:tab w:val="left" w:pos="0"/>
        </w:tabs>
        <w:spacing w:before="160" w:after="160" w:line="260" w:lineRule="exact"/>
        <w:ind w:left="360"/>
        <w:rPr>
          <w:b/>
        </w:rPr>
      </w:pPr>
      <w:r>
        <w:rPr>
          <w:b/>
        </w:rPr>
        <w:t>Disallowable Instrument</w:t>
      </w:r>
      <w:r w:rsidRPr="00451C85">
        <w:rPr>
          <w:b/>
        </w:rPr>
        <w:t xml:space="preserve"> </w:t>
      </w:r>
      <w:r>
        <w:rPr>
          <w:b/>
        </w:rPr>
        <w:t>DI2020-178</w:t>
      </w:r>
      <w:r w:rsidRPr="00451C85">
        <w:rPr>
          <w:b/>
        </w:rPr>
        <w:t xml:space="preserve"> being the </w:t>
      </w:r>
      <w:r>
        <w:rPr>
          <w:b/>
        </w:rPr>
        <w:t xml:space="preserve">Taxation Administration (Amounts Payable—Pensioner Duty Concession Scheme) Determination 2020 made under section 139 of the </w:t>
      </w:r>
      <w:r>
        <w:rPr>
          <w:i/>
        </w:rPr>
        <w:t>Taxation Administration Act 1999</w:t>
      </w:r>
      <w:r w:rsidRPr="00236BDD">
        <w:rPr>
          <w:b/>
        </w:rPr>
        <w:t xml:space="preserve"> </w:t>
      </w:r>
      <w:r>
        <w:rPr>
          <w:b/>
        </w:rPr>
        <w:t>extends the Pensioner Duty Concession Scheme, which assists eligible pensioners to move accommodation by reducing the duty payable on their new purchase of a residential home, or residential vacant land.</w:t>
      </w:r>
    </w:p>
    <w:p w:rsidR="00A52216" w:rsidRPr="00842199" w:rsidRDefault="00A52216" w:rsidP="00A52216">
      <w:pPr>
        <w:pStyle w:val="Bodycopy"/>
        <w:numPr>
          <w:ilvl w:val="0"/>
          <w:numId w:val="26"/>
        </w:numPr>
        <w:tabs>
          <w:tab w:val="clear" w:pos="1276"/>
          <w:tab w:val="left" w:pos="0"/>
        </w:tabs>
        <w:spacing w:before="160" w:after="160" w:line="260" w:lineRule="exact"/>
        <w:ind w:left="360"/>
        <w:rPr>
          <w:b/>
        </w:rPr>
      </w:pPr>
      <w:r>
        <w:rPr>
          <w:b/>
        </w:rPr>
        <w:t>Disallowable Instrument</w:t>
      </w:r>
      <w:r w:rsidRPr="00451C85">
        <w:rPr>
          <w:b/>
        </w:rPr>
        <w:t xml:space="preserve"> </w:t>
      </w:r>
      <w:r>
        <w:rPr>
          <w:b/>
        </w:rPr>
        <w:t>DI2020-179</w:t>
      </w:r>
      <w:r w:rsidRPr="00451C85">
        <w:rPr>
          <w:b/>
        </w:rPr>
        <w:t xml:space="preserve"> being the </w:t>
      </w:r>
      <w:r>
        <w:rPr>
          <w:b/>
        </w:rPr>
        <w:t xml:space="preserve">Duties (Pensioner Duty Deferral Scheme) Determination 2020 made under section 75AG of the </w:t>
      </w:r>
      <w:r>
        <w:rPr>
          <w:i/>
        </w:rPr>
        <w:t>Duties Act 1999</w:t>
      </w:r>
      <w:r w:rsidRPr="00236BDD">
        <w:rPr>
          <w:b/>
        </w:rPr>
        <w:t xml:space="preserve"> </w:t>
      </w:r>
      <w:r>
        <w:rPr>
          <w:b/>
        </w:rPr>
        <w:t>extends the opportunity to defer the payment of duty to all pensioners acquiring a property as a principal place of residence.</w:t>
      </w:r>
    </w:p>
    <w:p w:rsidR="00A52216" w:rsidRPr="00842199" w:rsidRDefault="00A52216" w:rsidP="00A52216">
      <w:pPr>
        <w:pStyle w:val="Bodycopy"/>
        <w:numPr>
          <w:ilvl w:val="0"/>
          <w:numId w:val="26"/>
        </w:numPr>
        <w:tabs>
          <w:tab w:val="clear" w:pos="1276"/>
          <w:tab w:val="left" w:pos="360"/>
        </w:tabs>
        <w:spacing w:before="160" w:after="160" w:line="260" w:lineRule="exact"/>
        <w:ind w:left="360"/>
        <w:rPr>
          <w:b/>
        </w:rPr>
      </w:pPr>
      <w:r>
        <w:rPr>
          <w:b/>
        </w:rPr>
        <w:t>Disallowable Instrument</w:t>
      </w:r>
      <w:r w:rsidRPr="00451C85">
        <w:rPr>
          <w:b/>
        </w:rPr>
        <w:t xml:space="preserve"> </w:t>
      </w:r>
      <w:r>
        <w:rPr>
          <w:b/>
        </w:rPr>
        <w:t>DI2020-182</w:t>
      </w:r>
      <w:r w:rsidRPr="00451C85">
        <w:rPr>
          <w:b/>
        </w:rPr>
        <w:t xml:space="preserve"> being the </w:t>
      </w:r>
      <w:r>
        <w:rPr>
          <w:b/>
        </w:rPr>
        <w:t xml:space="preserve">Financial Management (Territory Authorities) Guidelines 2020 made under section 133 of the </w:t>
      </w:r>
      <w:r>
        <w:rPr>
          <w:i/>
        </w:rPr>
        <w:t>Financial Management Act 1996</w:t>
      </w:r>
      <w:r w:rsidRPr="00236BDD">
        <w:rPr>
          <w:b/>
        </w:rPr>
        <w:t xml:space="preserve"> </w:t>
      </w:r>
      <w:r>
        <w:rPr>
          <w:b/>
        </w:rPr>
        <w:t>revokes DI2019-257 and prescribes the entities that are Territory authorities for the purposes of the Act.</w:t>
      </w:r>
    </w:p>
    <w:p w:rsidR="00A52216" w:rsidRPr="00842199" w:rsidRDefault="00A52216" w:rsidP="00A52216">
      <w:pPr>
        <w:pStyle w:val="Bodycopy"/>
        <w:numPr>
          <w:ilvl w:val="0"/>
          <w:numId w:val="26"/>
        </w:numPr>
        <w:tabs>
          <w:tab w:val="clear" w:pos="1276"/>
          <w:tab w:val="left" w:pos="360"/>
        </w:tabs>
        <w:spacing w:before="160" w:after="160" w:line="260" w:lineRule="exact"/>
        <w:ind w:left="360"/>
        <w:rPr>
          <w:b/>
        </w:rPr>
      </w:pPr>
      <w:r>
        <w:rPr>
          <w:b/>
        </w:rPr>
        <w:t>Disallowable Instrument</w:t>
      </w:r>
      <w:r w:rsidRPr="00451C85">
        <w:rPr>
          <w:b/>
        </w:rPr>
        <w:t xml:space="preserve"> </w:t>
      </w:r>
      <w:r>
        <w:rPr>
          <w:b/>
        </w:rPr>
        <w:t>DI2020-183</w:t>
      </w:r>
      <w:r w:rsidRPr="00451C85">
        <w:rPr>
          <w:b/>
        </w:rPr>
        <w:t xml:space="preserve"> being the </w:t>
      </w:r>
      <w:r>
        <w:rPr>
          <w:b/>
        </w:rPr>
        <w:t xml:space="preserve">Financial Management (Territory Authorities prescribed for Outputs) Guidelines 2020 made under section 133 of the </w:t>
      </w:r>
      <w:r>
        <w:rPr>
          <w:i/>
        </w:rPr>
        <w:t>Financial Management Act 1996</w:t>
      </w:r>
      <w:r w:rsidRPr="00236BDD">
        <w:rPr>
          <w:b/>
        </w:rPr>
        <w:t xml:space="preserve"> </w:t>
      </w:r>
      <w:r>
        <w:rPr>
          <w:b/>
        </w:rPr>
        <w:t>revokes DI2017-65 and prescribes certain Territory authorities for output reporting for the purposes of the Act.</w:t>
      </w:r>
    </w:p>
    <w:p w:rsidR="00A52216" w:rsidRPr="00B76C99" w:rsidRDefault="00A52216" w:rsidP="00A52216">
      <w:pPr>
        <w:pStyle w:val="Bodycopy"/>
        <w:numPr>
          <w:ilvl w:val="0"/>
          <w:numId w:val="26"/>
        </w:numPr>
        <w:tabs>
          <w:tab w:val="clear" w:pos="1276"/>
          <w:tab w:val="left" w:pos="360"/>
        </w:tabs>
        <w:spacing w:before="160" w:after="160" w:line="260" w:lineRule="exact"/>
        <w:ind w:left="360"/>
        <w:rPr>
          <w:b/>
        </w:rPr>
      </w:pPr>
      <w:r w:rsidRPr="00B76C99">
        <w:rPr>
          <w:b/>
        </w:rPr>
        <w:lastRenderedPageBreak/>
        <w:t xml:space="preserve">Disallowable Instrument DI2020-184 being the Dangerous Goods (Road Transport) Fees and Charges Determination 2020 made under section 194 of the </w:t>
      </w:r>
      <w:r w:rsidRPr="00B76C99">
        <w:rPr>
          <w:i/>
        </w:rPr>
        <w:t>Dangerous Goods (Road Transport) Act 2009</w:t>
      </w:r>
      <w:r w:rsidRPr="00B76C99">
        <w:rPr>
          <w:b/>
        </w:rPr>
        <w:t xml:space="preserve"> revokes DI2019-81 and determines fees payable for the purposes of the Act.</w:t>
      </w:r>
    </w:p>
    <w:p w:rsidR="00A52216" w:rsidRPr="00B76C99" w:rsidRDefault="00A52216" w:rsidP="00A52216">
      <w:pPr>
        <w:pStyle w:val="Bodycopy"/>
        <w:numPr>
          <w:ilvl w:val="0"/>
          <w:numId w:val="26"/>
        </w:numPr>
        <w:tabs>
          <w:tab w:val="clear" w:pos="1276"/>
          <w:tab w:val="left" w:pos="360"/>
        </w:tabs>
        <w:spacing w:before="160" w:after="160" w:line="260" w:lineRule="exact"/>
        <w:ind w:left="360"/>
        <w:rPr>
          <w:b/>
        </w:rPr>
      </w:pPr>
      <w:r w:rsidRPr="00B76C99">
        <w:rPr>
          <w:b/>
        </w:rPr>
        <w:t xml:space="preserve">Disallowable Instrument DI2020-185 being the Dangerous Substances (Fees) Determination 2020 made under section 221 of the </w:t>
      </w:r>
      <w:r w:rsidRPr="00B76C99">
        <w:rPr>
          <w:i/>
        </w:rPr>
        <w:t>Dangerous Substances Act 2004</w:t>
      </w:r>
      <w:r w:rsidRPr="00B76C99">
        <w:rPr>
          <w:b/>
        </w:rPr>
        <w:t xml:space="preserve"> revokes DI2019-83 and determines fees payable for the purposes of the Act.</w:t>
      </w:r>
    </w:p>
    <w:p w:rsidR="00A52216" w:rsidRPr="00B76C99" w:rsidRDefault="00A52216" w:rsidP="00A52216">
      <w:pPr>
        <w:pStyle w:val="Bodycopy"/>
        <w:numPr>
          <w:ilvl w:val="0"/>
          <w:numId w:val="26"/>
        </w:numPr>
        <w:tabs>
          <w:tab w:val="clear" w:pos="1276"/>
          <w:tab w:val="left" w:pos="360"/>
        </w:tabs>
        <w:spacing w:before="160" w:after="160" w:line="260" w:lineRule="exact"/>
        <w:ind w:left="360"/>
        <w:rPr>
          <w:b/>
        </w:rPr>
      </w:pPr>
      <w:r w:rsidRPr="00B76C99">
        <w:rPr>
          <w:b/>
        </w:rPr>
        <w:t xml:space="preserve">Disallowable Instrument DI2020-186 being the Machinery (Fees) Determination 2020 made under section 5 of the </w:t>
      </w:r>
      <w:r w:rsidRPr="00B76C99">
        <w:rPr>
          <w:i/>
        </w:rPr>
        <w:t>Machinery Act 1949</w:t>
      </w:r>
      <w:r w:rsidRPr="00B76C99">
        <w:rPr>
          <w:b/>
        </w:rPr>
        <w:t xml:space="preserve"> revokes DI2019-84 and determines fees payable for the purposes of the Act.</w:t>
      </w:r>
    </w:p>
    <w:p w:rsidR="00A52216" w:rsidRPr="00B76C99" w:rsidRDefault="00A52216" w:rsidP="00A52216">
      <w:pPr>
        <w:pStyle w:val="Bodycopy"/>
        <w:numPr>
          <w:ilvl w:val="0"/>
          <w:numId w:val="26"/>
        </w:numPr>
        <w:tabs>
          <w:tab w:val="clear" w:pos="1276"/>
          <w:tab w:val="left" w:pos="360"/>
        </w:tabs>
        <w:spacing w:before="160" w:after="160" w:line="260" w:lineRule="exact"/>
        <w:ind w:left="360"/>
        <w:rPr>
          <w:b/>
        </w:rPr>
      </w:pPr>
      <w:r w:rsidRPr="00B76C99">
        <w:rPr>
          <w:b/>
        </w:rPr>
        <w:t xml:space="preserve">Disallowable Instrument DI2020-187 being the Scaffolding and Lifts (Fees) Determination 2020 made under section 21 of the </w:t>
      </w:r>
      <w:r w:rsidRPr="00B76C99">
        <w:rPr>
          <w:i/>
        </w:rPr>
        <w:t>Scaffolding and Lifts Act 1912</w:t>
      </w:r>
      <w:r w:rsidRPr="00B76C99">
        <w:rPr>
          <w:b/>
        </w:rPr>
        <w:t xml:space="preserve"> revokes DI2019-85 and determines fees payable for the purposes of the Act.</w:t>
      </w:r>
    </w:p>
    <w:p w:rsidR="00A52216" w:rsidRPr="00B76C99" w:rsidRDefault="00A52216" w:rsidP="00A52216">
      <w:pPr>
        <w:pStyle w:val="Bodycopy"/>
        <w:numPr>
          <w:ilvl w:val="0"/>
          <w:numId w:val="26"/>
        </w:numPr>
        <w:tabs>
          <w:tab w:val="clear" w:pos="1276"/>
          <w:tab w:val="left" w:pos="360"/>
        </w:tabs>
        <w:spacing w:before="160" w:after="160" w:line="260" w:lineRule="exact"/>
        <w:ind w:left="360"/>
        <w:rPr>
          <w:b/>
        </w:rPr>
      </w:pPr>
      <w:r w:rsidRPr="00B76C99">
        <w:rPr>
          <w:b/>
        </w:rPr>
        <w:t xml:space="preserve">Disallowable Instrument DI2020-188 being the Work Health and Safety (Fees) Determination 2020 made under section 278 of the </w:t>
      </w:r>
      <w:r w:rsidRPr="00B76C99">
        <w:rPr>
          <w:i/>
        </w:rPr>
        <w:t>Work Health and Safety Act 2011</w:t>
      </w:r>
      <w:r w:rsidRPr="00B76C99">
        <w:rPr>
          <w:b/>
        </w:rPr>
        <w:t xml:space="preserve"> revokes DI2019-87 and determines fees payable for the purposes of the Act.</w:t>
      </w:r>
    </w:p>
    <w:p w:rsidR="00A52216" w:rsidRPr="00B76C99" w:rsidRDefault="00A52216" w:rsidP="00A52216">
      <w:pPr>
        <w:pStyle w:val="Bodycopy"/>
        <w:numPr>
          <w:ilvl w:val="0"/>
          <w:numId w:val="26"/>
        </w:numPr>
        <w:tabs>
          <w:tab w:val="clear" w:pos="1276"/>
          <w:tab w:val="left" w:pos="360"/>
        </w:tabs>
        <w:spacing w:before="160" w:after="160" w:line="260" w:lineRule="exact"/>
        <w:ind w:left="360"/>
        <w:rPr>
          <w:b/>
        </w:rPr>
      </w:pPr>
      <w:r w:rsidRPr="00B76C99">
        <w:rPr>
          <w:b/>
        </w:rPr>
        <w:t xml:space="preserve">Disallowable Instrument DI2020-189 being the Workers Compensation (Fees) Determination 2020 made under section 221 of the </w:t>
      </w:r>
      <w:r w:rsidRPr="00B76C99">
        <w:rPr>
          <w:i/>
        </w:rPr>
        <w:t>Workers Compensation Act 1951</w:t>
      </w:r>
      <w:r w:rsidRPr="00B76C99">
        <w:rPr>
          <w:b/>
        </w:rPr>
        <w:t xml:space="preserve"> revokes DI2019-88 and determines fees payable for the purposes of the Act.</w:t>
      </w:r>
    </w:p>
    <w:p w:rsidR="00A52216" w:rsidRPr="00B76C99" w:rsidRDefault="00A52216" w:rsidP="00A52216">
      <w:pPr>
        <w:pStyle w:val="Bodycopy"/>
        <w:numPr>
          <w:ilvl w:val="0"/>
          <w:numId w:val="26"/>
        </w:numPr>
        <w:tabs>
          <w:tab w:val="clear" w:pos="1276"/>
          <w:tab w:val="left" w:pos="360"/>
        </w:tabs>
        <w:spacing w:before="160" w:after="160" w:line="260" w:lineRule="exact"/>
        <w:ind w:left="360"/>
        <w:rPr>
          <w:b/>
        </w:rPr>
      </w:pPr>
      <w:r w:rsidRPr="00B76C99">
        <w:rPr>
          <w:b/>
        </w:rPr>
        <w:t>Disallowable Instrument DI2020-190 being the Adoption (Fees) Determination 2020 (</w:t>
      </w:r>
      <w:r>
        <w:rPr>
          <w:b/>
        </w:rPr>
        <w:t>No </w:t>
      </w:r>
      <w:r w:rsidRPr="00B76C99">
        <w:rPr>
          <w:b/>
        </w:rPr>
        <w:t xml:space="preserve">1) made under section 118 of the </w:t>
      </w:r>
      <w:r w:rsidRPr="00B76C99">
        <w:rPr>
          <w:i/>
        </w:rPr>
        <w:t>Adoption Act 1993</w:t>
      </w:r>
      <w:r w:rsidRPr="00B76C99">
        <w:rPr>
          <w:b/>
        </w:rPr>
        <w:t xml:space="preserve"> repeals DI2019-150 and determines fees payable for services provided by Child and Youth Protection Services, Community Services Directorate.</w:t>
      </w:r>
    </w:p>
    <w:p w:rsidR="00A52216" w:rsidRPr="00B76C99" w:rsidRDefault="00A52216" w:rsidP="00A52216">
      <w:pPr>
        <w:pStyle w:val="Bodycopy"/>
        <w:numPr>
          <w:ilvl w:val="0"/>
          <w:numId w:val="26"/>
        </w:numPr>
        <w:tabs>
          <w:tab w:val="clear" w:pos="1276"/>
          <w:tab w:val="left" w:pos="360"/>
        </w:tabs>
        <w:spacing w:before="160" w:after="160" w:line="260" w:lineRule="exact"/>
        <w:ind w:left="360"/>
        <w:rPr>
          <w:b/>
        </w:rPr>
      </w:pPr>
      <w:r w:rsidRPr="00B76C99">
        <w:rPr>
          <w:b/>
        </w:rPr>
        <w:t xml:space="preserve">Disallowable Instrument DI2020-193 being the Rates, Land Tax, Land Rent and Duties (Certificate and Statement Fees) Determination 2020 made under section 252AB of the </w:t>
      </w:r>
      <w:r w:rsidRPr="00B76C99">
        <w:rPr>
          <w:i/>
        </w:rPr>
        <w:t>Duties Act 1999,</w:t>
      </w:r>
      <w:r w:rsidRPr="00B76C99">
        <w:rPr>
          <w:b/>
        </w:rPr>
        <w:t xml:space="preserve"> section 78 of the </w:t>
      </w:r>
      <w:r w:rsidRPr="00B76C99">
        <w:rPr>
          <w:i/>
        </w:rPr>
        <w:t>Rates Act 2004,</w:t>
      </w:r>
      <w:r w:rsidRPr="00B76C99">
        <w:rPr>
          <w:b/>
        </w:rPr>
        <w:t xml:space="preserve"> section 32 of the </w:t>
      </w:r>
      <w:r w:rsidRPr="00B76C99">
        <w:rPr>
          <w:i/>
        </w:rPr>
        <w:t xml:space="preserve">Land Rent Act 2008 </w:t>
      </w:r>
      <w:r w:rsidRPr="00B76C99">
        <w:rPr>
          <w:b/>
        </w:rPr>
        <w:t>and section 43 of the</w:t>
      </w:r>
      <w:r w:rsidRPr="00B76C99">
        <w:rPr>
          <w:i/>
        </w:rPr>
        <w:t xml:space="preserve"> Land Tax Act 2004</w:t>
      </w:r>
      <w:r w:rsidRPr="00B76C99">
        <w:rPr>
          <w:b/>
        </w:rPr>
        <w:t xml:space="preserve"> revokes DI2019-144 and determines the fee payable to the Commissioner for ACT Revenue to apply for a certificate, for the purposes of the Acts.</w:t>
      </w:r>
    </w:p>
    <w:p w:rsidR="00A52216" w:rsidRPr="00B76C99" w:rsidRDefault="00A52216" w:rsidP="00A52216">
      <w:pPr>
        <w:pStyle w:val="Bodycopy"/>
        <w:keepLines/>
        <w:numPr>
          <w:ilvl w:val="0"/>
          <w:numId w:val="26"/>
        </w:numPr>
        <w:tabs>
          <w:tab w:val="clear" w:pos="1276"/>
          <w:tab w:val="left" w:pos="360"/>
        </w:tabs>
        <w:spacing w:before="160" w:after="160" w:line="260" w:lineRule="exact"/>
        <w:ind w:left="360"/>
        <w:rPr>
          <w:b/>
        </w:rPr>
      </w:pPr>
      <w:r w:rsidRPr="00B76C99">
        <w:rPr>
          <w:b/>
        </w:rPr>
        <w:t xml:space="preserve">Disallowable Instrument DI2020-194 being the Taxation Administration (Amounts Payable—Land Tax) Determination 2020 made under section 139 of the </w:t>
      </w:r>
      <w:r w:rsidRPr="00B76C99">
        <w:rPr>
          <w:i/>
        </w:rPr>
        <w:t>Taxation Administration Act 1999</w:t>
      </w:r>
      <w:r w:rsidRPr="00B76C99">
        <w:rPr>
          <w:b/>
        </w:rPr>
        <w:t xml:space="preserve"> revokes DI2019-143 and determines the standard, discount, and relevant percentages, as well as the income threshold amounts, for leases, for the purposes of the Act.</w:t>
      </w:r>
    </w:p>
    <w:p w:rsidR="00A52216" w:rsidRPr="00B76C99" w:rsidRDefault="00A52216" w:rsidP="00A52216">
      <w:pPr>
        <w:pStyle w:val="Bodycopy"/>
        <w:numPr>
          <w:ilvl w:val="0"/>
          <w:numId w:val="26"/>
        </w:numPr>
        <w:tabs>
          <w:tab w:val="clear" w:pos="1276"/>
          <w:tab w:val="left" w:pos="360"/>
        </w:tabs>
        <w:spacing w:before="160" w:after="160" w:line="260" w:lineRule="exact"/>
        <w:ind w:left="360"/>
        <w:rPr>
          <w:b/>
        </w:rPr>
      </w:pPr>
      <w:r w:rsidRPr="00B76C99">
        <w:rPr>
          <w:b/>
        </w:rPr>
        <w:t>Disallowable Instrument DI2020-195 being the Health (Fees) Determination 2020 (</w:t>
      </w:r>
      <w:r>
        <w:rPr>
          <w:b/>
        </w:rPr>
        <w:t>No </w:t>
      </w:r>
      <w:r w:rsidRPr="00B76C99">
        <w:rPr>
          <w:b/>
        </w:rPr>
        <w:t xml:space="preserve">2) made under section 192 of the </w:t>
      </w:r>
      <w:r w:rsidRPr="00B76C99">
        <w:rPr>
          <w:i/>
        </w:rPr>
        <w:t>Health Act 1993</w:t>
      </w:r>
      <w:r w:rsidRPr="00B76C99">
        <w:rPr>
          <w:b/>
        </w:rPr>
        <w:t xml:space="preserve"> repeals DI2020-55 and determines fees payable for the purposes of the Act.</w:t>
      </w:r>
    </w:p>
    <w:p w:rsidR="00A52216" w:rsidRPr="00842199" w:rsidRDefault="00A52216" w:rsidP="00A52216">
      <w:pPr>
        <w:pStyle w:val="Bodycopy"/>
        <w:numPr>
          <w:ilvl w:val="0"/>
          <w:numId w:val="26"/>
        </w:numPr>
        <w:tabs>
          <w:tab w:val="clear" w:pos="1276"/>
          <w:tab w:val="left" w:pos="360"/>
        </w:tabs>
        <w:spacing w:before="160" w:after="160" w:line="260" w:lineRule="exact"/>
        <w:ind w:left="360"/>
        <w:rPr>
          <w:b/>
        </w:rPr>
      </w:pPr>
      <w:r>
        <w:rPr>
          <w:b/>
        </w:rPr>
        <w:t>Disallowable Instrument</w:t>
      </w:r>
      <w:r w:rsidRPr="00451C85">
        <w:rPr>
          <w:b/>
        </w:rPr>
        <w:t xml:space="preserve"> </w:t>
      </w:r>
      <w:r>
        <w:rPr>
          <w:b/>
        </w:rPr>
        <w:t>DI2020-196</w:t>
      </w:r>
      <w:r w:rsidRPr="00451C85">
        <w:rPr>
          <w:b/>
        </w:rPr>
        <w:t xml:space="preserve"> being the </w:t>
      </w:r>
      <w:r>
        <w:rPr>
          <w:b/>
        </w:rPr>
        <w:t xml:space="preserve">Victims of Crime (Victims Advisory Board) Appointment 2020 (No 3) made under section 22D of the </w:t>
      </w:r>
      <w:r>
        <w:rPr>
          <w:i/>
        </w:rPr>
        <w:t>Victims of Crime Act 1994</w:t>
      </w:r>
      <w:r w:rsidRPr="00236BDD">
        <w:rPr>
          <w:b/>
        </w:rPr>
        <w:t xml:space="preserve"> </w:t>
      </w:r>
      <w:r>
        <w:rPr>
          <w:b/>
        </w:rPr>
        <w:t>revokes specified clauses of DI2017-197 and DI2019-148 and appoints specified persons as members of the Victims Advisory Board.</w:t>
      </w:r>
    </w:p>
    <w:p w:rsidR="00A52216" w:rsidRPr="00842199" w:rsidRDefault="00A52216" w:rsidP="00A52216">
      <w:pPr>
        <w:pStyle w:val="Bodycopy"/>
        <w:numPr>
          <w:ilvl w:val="0"/>
          <w:numId w:val="26"/>
        </w:numPr>
        <w:tabs>
          <w:tab w:val="clear" w:pos="1276"/>
          <w:tab w:val="left" w:pos="360"/>
        </w:tabs>
        <w:spacing w:before="160" w:after="160" w:line="260" w:lineRule="exact"/>
        <w:ind w:left="360"/>
        <w:rPr>
          <w:b/>
        </w:rPr>
      </w:pPr>
      <w:r>
        <w:rPr>
          <w:b/>
        </w:rPr>
        <w:t>Disallowable Instrument</w:t>
      </w:r>
      <w:r w:rsidRPr="00451C85">
        <w:rPr>
          <w:b/>
        </w:rPr>
        <w:t xml:space="preserve"> </w:t>
      </w:r>
      <w:r>
        <w:rPr>
          <w:b/>
        </w:rPr>
        <w:t>DI2020-197</w:t>
      </w:r>
      <w:r w:rsidRPr="00451C85">
        <w:rPr>
          <w:b/>
        </w:rPr>
        <w:t xml:space="preserve"> being the </w:t>
      </w:r>
      <w:r>
        <w:rPr>
          <w:b/>
        </w:rPr>
        <w:t xml:space="preserve">Environment Protection (Fees) Determination 2020 made under section 165 of the </w:t>
      </w:r>
      <w:r>
        <w:rPr>
          <w:i/>
        </w:rPr>
        <w:t>Environment Protection Act 1997</w:t>
      </w:r>
      <w:r w:rsidRPr="00236BDD">
        <w:rPr>
          <w:b/>
        </w:rPr>
        <w:t xml:space="preserve"> </w:t>
      </w:r>
      <w:r>
        <w:rPr>
          <w:b/>
        </w:rPr>
        <w:t>revokes DI2019-124 and determines fees payable for the purposes of the Act.</w:t>
      </w:r>
    </w:p>
    <w:p w:rsidR="00052319" w:rsidRPr="00103E7B" w:rsidRDefault="003379D7" w:rsidP="00052319">
      <w:pPr>
        <w:pStyle w:val="Heading3"/>
        <w:rPr>
          <w:rFonts w:eastAsia="Calibri"/>
          <w:lang w:eastAsia="en-AU"/>
        </w:rPr>
      </w:pPr>
      <w:bookmarkStart w:id="515" w:name="_Toc46735468"/>
      <w:r w:rsidRPr="00103E7B">
        <w:rPr>
          <w:rFonts w:eastAsia="Calibri"/>
          <w:lang w:eastAsia="en-AU"/>
        </w:rPr>
        <w:lastRenderedPageBreak/>
        <w:t>Disallowable Instrument</w:t>
      </w:r>
      <w:r w:rsidR="00BA3E19" w:rsidRPr="00103E7B">
        <w:rPr>
          <w:rFonts w:eastAsia="Calibri"/>
          <w:lang w:eastAsia="en-AU"/>
        </w:rPr>
        <w:t>s</w:t>
      </w:r>
      <w:r w:rsidR="00052319" w:rsidRPr="00103E7B">
        <w:rPr>
          <w:rFonts w:eastAsia="Calibri"/>
          <w:lang w:eastAsia="en-AU"/>
        </w:rPr>
        <w:t>—Comment</w:t>
      </w:r>
      <w:bookmarkEnd w:id="515"/>
    </w:p>
    <w:p w:rsidR="00052319" w:rsidRDefault="00052319" w:rsidP="00A52216">
      <w:pPr>
        <w:keepNext/>
        <w:rPr>
          <w:spacing w:val="-2"/>
        </w:rPr>
      </w:pPr>
      <w:r w:rsidRPr="003C60E7">
        <w:rPr>
          <w:spacing w:val="-2"/>
        </w:rPr>
        <w:t>The Committee has examined the fo</w:t>
      </w:r>
      <w:r w:rsidR="003379D7" w:rsidRPr="003C60E7">
        <w:rPr>
          <w:spacing w:val="-2"/>
        </w:rPr>
        <w:t>llowing disallowable instrument</w:t>
      </w:r>
      <w:r w:rsidR="00BA3E19">
        <w:rPr>
          <w:spacing w:val="-2"/>
        </w:rPr>
        <w:t>s</w:t>
      </w:r>
      <w:r w:rsidRPr="003C60E7">
        <w:rPr>
          <w:spacing w:val="-2"/>
        </w:rPr>
        <w:t xml:space="preserve"> and offers these comments on </w:t>
      </w:r>
      <w:r w:rsidR="00BA3E19">
        <w:rPr>
          <w:spacing w:val="-2"/>
        </w:rPr>
        <w:t>them</w:t>
      </w:r>
      <w:r w:rsidRPr="003C60E7">
        <w:rPr>
          <w:spacing w:val="-2"/>
        </w:rPr>
        <w:t>:</w:t>
      </w:r>
    </w:p>
    <w:bookmarkEnd w:id="512"/>
    <w:p w:rsidR="00A52216" w:rsidRPr="00A52216" w:rsidRDefault="00A52216" w:rsidP="00A52216">
      <w:pPr>
        <w:pStyle w:val="Heading4nonumber"/>
        <w:spacing w:before="220" w:after="220" w:line="280" w:lineRule="atLeast"/>
        <w:rPr>
          <w:sz w:val="22"/>
          <w:szCs w:val="22"/>
        </w:rPr>
      </w:pPr>
      <w:r w:rsidRPr="00A52216">
        <w:rPr>
          <w:sz w:val="22"/>
          <w:szCs w:val="22"/>
        </w:rPr>
        <w:t>Is this a disallowable instrument?</w:t>
      </w:r>
    </w:p>
    <w:p w:rsidR="00A52216" w:rsidRPr="00842199" w:rsidRDefault="00A52216" w:rsidP="00A52216">
      <w:pPr>
        <w:pStyle w:val="Bodycopy"/>
        <w:tabs>
          <w:tab w:val="clear" w:pos="1276"/>
          <w:tab w:val="left" w:pos="360"/>
        </w:tabs>
        <w:spacing w:before="160" w:after="160" w:line="280" w:lineRule="exact"/>
        <w:rPr>
          <w:b/>
        </w:rPr>
      </w:pPr>
      <w:r>
        <w:rPr>
          <w:b/>
        </w:rPr>
        <w:t>Disallowable Instrument</w:t>
      </w:r>
      <w:r w:rsidRPr="00451C85">
        <w:rPr>
          <w:b/>
        </w:rPr>
        <w:t xml:space="preserve"> </w:t>
      </w:r>
      <w:r>
        <w:rPr>
          <w:b/>
        </w:rPr>
        <w:t>DI2020-145</w:t>
      </w:r>
      <w:r w:rsidRPr="00451C85">
        <w:rPr>
          <w:b/>
        </w:rPr>
        <w:t xml:space="preserve"> being the </w:t>
      </w:r>
      <w:r>
        <w:rPr>
          <w:b/>
        </w:rPr>
        <w:t xml:space="preserve">Canberra Institute of Technology (CIT Board Member) Appointment 2020 (No 2) made under section 9 of the </w:t>
      </w:r>
      <w:r>
        <w:rPr>
          <w:i/>
        </w:rPr>
        <w:t xml:space="preserve">Canberra Institute of Technology Act 1987 </w:t>
      </w:r>
      <w:r>
        <w:rPr>
          <w:b/>
        </w:rPr>
        <w:t xml:space="preserve">and section 78 of the </w:t>
      </w:r>
      <w:r>
        <w:rPr>
          <w:i/>
        </w:rPr>
        <w:t>Financial Management Act 1996</w:t>
      </w:r>
      <w:r w:rsidRPr="00236BDD">
        <w:rPr>
          <w:b/>
        </w:rPr>
        <w:t xml:space="preserve"> </w:t>
      </w:r>
      <w:r>
        <w:rPr>
          <w:b/>
        </w:rPr>
        <w:t>appoints a specified person as a member of the CIT Board for a period of three years.</w:t>
      </w:r>
    </w:p>
    <w:p w:rsidR="00A52216" w:rsidRPr="001C3BD7" w:rsidRDefault="00A52216" w:rsidP="00F71FB8">
      <w:pPr>
        <w:widowControl w:val="0"/>
        <w:tabs>
          <w:tab w:val="left" w:pos="1276"/>
        </w:tabs>
        <w:spacing w:line="260" w:lineRule="exact"/>
        <w:ind w:left="-14"/>
        <w:rPr>
          <w:rFonts w:ascii="Calibri" w:hAnsi="Calibri" w:cs="Calibri"/>
          <w:color w:val="000000"/>
        </w:rPr>
      </w:pPr>
      <w:r>
        <w:rPr>
          <w:rFonts w:ascii="Calibri" w:hAnsi="Calibri" w:cs="Calibri"/>
          <w:color w:val="000000"/>
        </w:rPr>
        <w:t>This instrument appoints a specified person as a member of the Canberra Institute of Technology Board.  T</w:t>
      </w:r>
      <w:r w:rsidRPr="001C3BD7">
        <w:rPr>
          <w:rFonts w:ascii="Calibri" w:hAnsi="Calibri" w:cs="Calibri"/>
          <w:color w:val="000000"/>
        </w:rPr>
        <w:t>he appointment is made by disallowable instrument.</w:t>
      </w:r>
    </w:p>
    <w:p w:rsidR="00A52216" w:rsidRPr="001C3BD7" w:rsidRDefault="00A52216" w:rsidP="00F71FB8">
      <w:pPr>
        <w:keepLines/>
        <w:spacing w:line="260" w:lineRule="exact"/>
        <w:ind w:left="-14"/>
        <w:rPr>
          <w:rFonts w:ascii="Calibri" w:eastAsia="Calibri" w:hAnsi="Calibri" w:cs="Calibri"/>
        </w:rPr>
      </w:pPr>
      <w:r w:rsidRPr="001C3BD7">
        <w:rPr>
          <w:rFonts w:ascii="Calibri" w:eastAsia="Calibri" w:hAnsi="Calibri" w:cs="Calibri"/>
        </w:rPr>
        <w:t xml:space="preserve">The Committee notes that section 227 of the </w:t>
      </w:r>
      <w:r w:rsidRPr="001C3BD7">
        <w:rPr>
          <w:rFonts w:ascii="Calibri" w:eastAsia="Calibri" w:hAnsi="Calibri" w:cs="Calibri"/>
          <w:i/>
        </w:rPr>
        <w:t>Legislation Act 2001</w:t>
      </w:r>
      <w:r w:rsidRPr="001C3BD7">
        <w:rPr>
          <w:rFonts w:ascii="Calibri" w:eastAsia="Calibri" w:hAnsi="Calibri" w:cs="Calibri"/>
        </w:rPr>
        <w:t xml:space="preserve"> deals generally with the making of appointments to statutory positions, by Ministers.  It provides:</w:t>
      </w:r>
    </w:p>
    <w:p w:rsidR="00A52216" w:rsidRPr="001C3BD7" w:rsidRDefault="00A52216" w:rsidP="00F71FB8">
      <w:pPr>
        <w:keepNext/>
        <w:keepLines/>
        <w:tabs>
          <w:tab w:val="left" w:pos="0"/>
          <w:tab w:val="left" w:pos="1350"/>
        </w:tabs>
        <w:spacing w:before="200" w:after="200" w:line="260" w:lineRule="exact"/>
        <w:ind w:left="1350" w:hanging="990"/>
        <w:rPr>
          <w:rFonts w:ascii="Calibri" w:eastAsia="Calibri" w:hAnsi="Calibri" w:cs="Calibri"/>
          <w:b/>
        </w:rPr>
      </w:pPr>
      <w:r w:rsidRPr="001C3BD7">
        <w:rPr>
          <w:rFonts w:ascii="Calibri" w:eastAsia="Calibri" w:hAnsi="Calibri" w:cs="Calibri"/>
          <w:b/>
        </w:rPr>
        <w:t>227</w:t>
      </w:r>
      <w:r>
        <w:rPr>
          <w:rFonts w:ascii="Calibri" w:eastAsia="Calibri" w:hAnsi="Calibri" w:cs="Calibri"/>
          <w:b/>
        </w:rPr>
        <w:tab/>
      </w:r>
      <w:r w:rsidRPr="001C3BD7">
        <w:rPr>
          <w:rFonts w:ascii="Calibri" w:eastAsia="Calibri" w:hAnsi="Calibri" w:cs="Calibri"/>
          <w:b/>
        </w:rPr>
        <w:t>Application—div 19.3.3</w:t>
      </w:r>
    </w:p>
    <w:p w:rsidR="00A52216" w:rsidRPr="001C3BD7" w:rsidRDefault="00A52216" w:rsidP="00F71FB8">
      <w:pPr>
        <w:keepLines/>
        <w:tabs>
          <w:tab w:val="left" w:pos="810"/>
          <w:tab w:val="left" w:pos="1350"/>
        </w:tabs>
        <w:spacing w:before="200" w:after="200" w:line="260" w:lineRule="exact"/>
        <w:ind w:left="1350" w:hanging="540"/>
        <w:rPr>
          <w:rFonts w:ascii="Calibri" w:eastAsia="Calibri" w:hAnsi="Calibri" w:cs="Calibri"/>
        </w:rPr>
      </w:pPr>
      <w:r>
        <w:rPr>
          <w:rFonts w:ascii="Calibri" w:eastAsia="Calibri" w:hAnsi="Calibri" w:cs="Calibri"/>
        </w:rPr>
        <w:t>(</w:t>
      </w:r>
      <w:r w:rsidRPr="001C3BD7">
        <w:rPr>
          <w:rFonts w:ascii="Calibri" w:eastAsia="Calibri" w:hAnsi="Calibri" w:cs="Calibri"/>
        </w:rPr>
        <w:t>1)</w:t>
      </w:r>
      <w:r>
        <w:rPr>
          <w:rFonts w:ascii="Calibri" w:eastAsia="Calibri" w:hAnsi="Calibri" w:cs="Calibri"/>
        </w:rPr>
        <w:tab/>
        <w:t>T</w:t>
      </w:r>
      <w:r w:rsidRPr="001C3BD7">
        <w:rPr>
          <w:rFonts w:ascii="Calibri" w:eastAsia="Calibri" w:hAnsi="Calibri" w:cs="Calibri"/>
        </w:rPr>
        <w:t>his division applies if a Minister has the power under an Act to appoint a person to a statutory position.</w:t>
      </w:r>
    </w:p>
    <w:p w:rsidR="00A52216" w:rsidRPr="001C3BD7" w:rsidRDefault="00A52216" w:rsidP="00F71FB8">
      <w:pPr>
        <w:keepLines/>
        <w:tabs>
          <w:tab w:val="left" w:pos="810"/>
          <w:tab w:val="left" w:pos="1350"/>
        </w:tabs>
        <w:spacing w:before="200" w:after="200" w:line="260" w:lineRule="exact"/>
        <w:ind w:left="1350" w:hanging="540"/>
        <w:rPr>
          <w:rFonts w:ascii="Calibri" w:eastAsia="Calibri" w:hAnsi="Calibri" w:cs="Calibri"/>
        </w:rPr>
      </w:pPr>
      <w:r w:rsidRPr="001C3BD7">
        <w:rPr>
          <w:rFonts w:ascii="Calibri" w:eastAsia="Calibri" w:hAnsi="Calibri" w:cs="Calibri"/>
        </w:rPr>
        <w:t>(2)</w:t>
      </w:r>
      <w:r>
        <w:rPr>
          <w:rFonts w:ascii="Calibri" w:eastAsia="Calibri" w:hAnsi="Calibri" w:cs="Calibri"/>
        </w:rPr>
        <w:tab/>
      </w:r>
      <w:r w:rsidRPr="001C3BD7">
        <w:rPr>
          <w:rFonts w:ascii="Calibri" w:eastAsia="Calibri" w:hAnsi="Calibri" w:cs="Calibri"/>
        </w:rPr>
        <w:t>However, this division does not apply to an appointment of—</w:t>
      </w:r>
    </w:p>
    <w:p w:rsidR="00A52216" w:rsidRPr="001C3BD7" w:rsidRDefault="00A52216" w:rsidP="00F71FB8">
      <w:pPr>
        <w:tabs>
          <w:tab w:val="left" w:pos="0"/>
          <w:tab w:val="left" w:pos="810"/>
          <w:tab w:val="left" w:pos="1890"/>
        </w:tabs>
        <w:spacing w:before="200" w:after="200" w:line="260" w:lineRule="exact"/>
        <w:ind w:left="1890" w:hanging="540"/>
        <w:rPr>
          <w:rFonts w:ascii="Calibri" w:hAnsi="Calibri" w:cs="Calibri"/>
        </w:rPr>
      </w:pPr>
      <w:r w:rsidRPr="001C3BD7">
        <w:rPr>
          <w:rFonts w:ascii="Calibri" w:hAnsi="Calibri" w:cs="Calibri"/>
        </w:rPr>
        <w:t>(a)</w:t>
      </w:r>
      <w:r>
        <w:rPr>
          <w:rFonts w:ascii="Calibri" w:hAnsi="Calibri" w:cs="Calibri"/>
        </w:rPr>
        <w:tab/>
      </w:r>
      <w:r w:rsidRPr="001C3BD7">
        <w:rPr>
          <w:rFonts w:ascii="Calibri" w:hAnsi="Calibri" w:cs="Calibri"/>
        </w:rPr>
        <w:t>a public servant to a statutory position (whether or not the Act under which the appointment is made requires that the appointee be a public servant); or</w:t>
      </w:r>
    </w:p>
    <w:p w:rsidR="00A52216" w:rsidRPr="001C3BD7" w:rsidRDefault="00A52216" w:rsidP="00F71FB8">
      <w:pPr>
        <w:tabs>
          <w:tab w:val="left" w:pos="0"/>
          <w:tab w:val="left" w:pos="810"/>
          <w:tab w:val="left" w:pos="1890"/>
        </w:tabs>
        <w:spacing w:before="200" w:after="200" w:line="260" w:lineRule="exact"/>
        <w:ind w:left="1890" w:hanging="540"/>
        <w:rPr>
          <w:rFonts w:ascii="Calibri" w:hAnsi="Calibri" w:cs="Calibri"/>
        </w:rPr>
      </w:pPr>
      <w:r w:rsidRPr="001C3BD7">
        <w:rPr>
          <w:rFonts w:ascii="Calibri" w:hAnsi="Calibri" w:cs="Calibri"/>
        </w:rPr>
        <w:t>(b)</w:t>
      </w:r>
      <w:r>
        <w:rPr>
          <w:rFonts w:ascii="Calibri" w:hAnsi="Calibri" w:cs="Calibri"/>
        </w:rPr>
        <w:tab/>
      </w:r>
      <w:r w:rsidRPr="001C3BD7">
        <w:rPr>
          <w:rFonts w:ascii="Calibri" w:hAnsi="Calibri" w:cs="Calibri"/>
        </w:rPr>
        <w:t>person to, or to act in, a statutory position for not longer than 6 months, unless the appointment is of the person to, or to act in, the position for a 2nd or subsequent consecutive period; or</w:t>
      </w:r>
    </w:p>
    <w:p w:rsidR="00A52216" w:rsidRPr="001C3BD7" w:rsidRDefault="00A52216" w:rsidP="00F71FB8">
      <w:pPr>
        <w:tabs>
          <w:tab w:val="left" w:pos="0"/>
          <w:tab w:val="left" w:pos="810"/>
          <w:tab w:val="left" w:pos="1890"/>
        </w:tabs>
        <w:spacing w:before="200" w:after="200" w:line="260" w:lineRule="exact"/>
        <w:ind w:left="1890" w:hanging="540"/>
        <w:rPr>
          <w:rFonts w:ascii="Calibri" w:hAnsi="Calibri" w:cs="Calibri"/>
        </w:rPr>
      </w:pPr>
      <w:r w:rsidRPr="001C3BD7">
        <w:rPr>
          <w:rFonts w:ascii="Calibri" w:hAnsi="Calibri" w:cs="Calibri"/>
        </w:rPr>
        <w:t>(c)</w:t>
      </w:r>
      <w:r>
        <w:rPr>
          <w:rFonts w:ascii="Calibri" w:hAnsi="Calibri" w:cs="Calibri"/>
        </w:rPr>
        <w:tab/>
      </w:r>
      <w:r w:rsidRPr="001C3BD7">
        <w:rPr>
          <w:rFonts w:ascii="Calibri" w:hAnsi="Calibri" w:cs="Calibri"/>
        </w:rPr>
        <w:t>a person to a statutory position if the only function of the position is to advise the Minister.</w:t>
      </w:r>
    </w:p>
    <w:p w:rsidR="00A52216" w:rsidRPr="001C3BD7" w:rsidRDefault="00A52216" w:rsidP="00F71FB8">
      <w:pPr>
        <w:keepLines/>
        <w:spacing w:line="260" w:lineRule="exact"/>
        <w:ind w:left="-11"/>
        <w:rPr>
          <w:rFonts w:ascii="Calibri" w:eastAsia="Calibri" w:hAnsi="Calibri" w:cs="Calibri"/>
        </w:rPr>
      </w:pPr>
      <w:r w:rsidRPr="001C3BD7">
        <w:rPr>
          <w:rFonts w:ascii="Calibri" w:eastAsia="Calibri" w:hAnsi="Calibri" w:cs="Calibri"/>
        </w:rPr>
        <w:t xml:space="preserve">In the light of paragraph 227(2)(a) of the Legislation Act, the Committee has consistently maintained that instruments of appointment should clearly state that the appointee is </w:t>
      </w:r>
      <w:r w:rsidRPr="001C3BD7">
        <w:rPr>
          <w:rFonts w:ascii="Calibri" w:eastAsia="Calibri" w:hAnsi="Calibri" w:cs="Calibri"/>
          <w:b/>
        </w:rPr>
        <w:t>not</w:t>
      </w:r>
      <w:r w:rsidRPr="001C3BD7">
        <w:rPr>
          <w:rFonts w:ascii="Calibri" w:eastAsia="Calibri" w:hAnsi="Calibri" w:cs="Calibri"/>
        </w:rPr>
        <w:t xml:space="preserve"> a public servant, in order to make clear that, in fact, the appointment should be made by way of disallowable instrument.  In its document titled </w:t>
      </w:r>
      <w:hyperlink r:id="rId24" w:history="1">
        <w:r w:rsidRPr="001C3BD7">
          <w:rPr>
            <w:rFonts w:ascii="Calibri" w:eastAsia="Calibri" w:hAnsi="Calibri" w:cs="Calibri"/>
            <w:i/>
            <w:color w:val="0000FF"/>
            <w:u w:val="single"/>
          </w:rPr>
          <w:t>Subordinate legislation—Technical and stylistic standards—Tips/Traps</w:t>
        </w:r>
      </w:hyperlink>
      <w:r w:rsidRPr="001C3BD7">
        <w:rPr>
          <w:rFonts w:ascii="Calibri" w:eastAsia="Calibri" w:hAnsi="Calibri" w:cs="Calibri"/>
          <w:color w:val="000000"/>
        </w:rPr>
        <w:t>,</w:t>
      </w:r>
      <w:r w:rsidRPr="001C3BD7">
        <w:rPr>
          <w:rFonts w:ascii="Calibri" w:eastAsia="Calibri" w:hAnsi="Calibri" w:cs="Calibri"/>
          <w:vertAlign w:val="superscript"/>
        </w:rPr>
        <w:footnoteReference w:id="1"/>
      </w:r>
      <w:r w:rsidRPr="001C3BD7">
        <w:rPr>
          <w:rFonts w:ascii="Calibri" w:eastAsia="Calibri" w:hAnsi="Calibri" w:cs="Calibri"/>
        </w:rPr>
        <w:t xml:space="preserve"> the Committee stated:</w:t>
      </w:r>
    </w:p>
    <w:p w:rsidR="00A52216" w:rsidRPr="001C3BD7" w:rsidRDefault="00A52216" w:rsidP="00F71FB8">
      <w:pPr>
        <w:keepLines/>
        <w:spacing w:line="260" w:lineRule="exact"/>
        <w:ind w:left="360"/>
        <w:rPr>
          <w:rFonts w:ascii="Calibri" w:eastAsia="Calibri" w:hAnsi="Calibri" w:cs="Calibri"/>
        </w:rPr>
      </w:pPr>
      <w:r w:rsidRPr="001C3BD7">
        <w:rPr>
          <w:rFonts w:ascii="Calibri" w:eastAsia="Calibri" w:hAnsi="Calibri" w:cs="Calibri"/>
        </w:rPr>
        <w:t xml:space="preserve">Under paragraph 227(2)(a) of the </w:t>
      </w:r>
      <w:r w:rsidRPr="001C3BD7">
        <w:rPr>
          <w:rFonts w:ascii="Calibri" w:eastAsia="Calibri" w:hAnsi="Calibri" w:cs="Calibri"/>
          <w:i/>
        </w:rPr>
        <w:t>Legislation Act 2001</w:t>
      </w:r>
      <w:r w:rsidRPr="001C3BD7">
        <w:rPr>
          <w:rFonts w:ascii="Calibri" w:eastAsia="Calibri" w:hAnsi="Calibri" w:cs="Calibri"/>
        </w:rPr>
        <w:t>, an instrument of appointment is not disallowable if it appoints a public servant. As a result, it assists the Committee (and the Legislative Assembly), if the explanatory statement for an instrument of appointment contains a statement to the effect that “the person appointed is not a public servant”.</w:t>
      </w:r>
    </w:p>
    <w:p w:rsidR="00A52216" w:rsidRDefault="00A52216" w:rsidP="00F71FB8">
      <w:pPr>
        <w:keepLines/>
        <w:spacing w:line="260" w:lineRule="exact"/>
        <w:ind w:left="-11"/>
        <w:rPr>
          <w:rFonts w:ascii="Calibri" w:eastAsia="Calibri" w:hAnsi="Calibri" w:cs="Calibri"/>
        </w:rPr>
      </w:pPr>
      <w:r w:rsidRPr="001C3BD7">
        <w:rPr>
          <w:rFonts w:ascii="Calibri" w:eastAsia="Calibri" w:hAnsi="Calibri" w:cs="Calibri"/>
        </w:rPr>
        <w:t xml:space="preserve">The Committee notes that </w:t>
      </w:r>
      <w:r>
        <w:rPr>
          <w:rFonts w:ascii="Calibri" w:eastAsia="Calibri" w:hAnsi="Calibri" w:cs="Calibri"/>
        </w:rPr>
        <w:t>there is no such statement, in the explanatory statement for this instrument.</w:t>
      </w:r>
    </w:p>
    <w:p w:rsidR="00A52216" w:rsidRPr="001C3BD7" w:rsidRDefault="00A52216" w:rsidP="00F71FB8">
      <w:pPr>
        <w:ind w:left="-14"/>
        <w:rPr>
          <w:rFonts w:ascii="Calibri" w:eastAsia="Calibri" w:hAnsi="Calibri" w:cs="Calibri"/>
          <w:b/>
          <w:bCs/>
        </w:rPr>
      </w:pPr>
      <w:r>
        <w:rPr>
          <w:rFonts w:ascii="Calibri" w:eastAsia="Calibri" w:hAnsi="Calibri" w:cs="Calibri"/>
          <w:b/>
          <w:bCs/>
        </w:rPr>
        <w:t xml:space="preserve">The Committee seeks the Minister’s confirmation that the specified person appointed by this instrument is </w:t>
      </w:r>
      <w:r>
        <w:rPr>
          <w:rFonts w:ascii="Calibri" w:eastAsia="Calibri" w:hAnsi="Calibri" w:cs="Calibri"/>
          <w:b/>
          <w:bCs/>
          <w:u w:val="single"/>
        </w:rPr>
        <w:t>not</w:t>
      </w:r>
      <w:r>
        <w:rPr>
          <w:rFonts w:ascii="Calibri" w:eastAsia="Calibri" w:hAnsi="Calibri" w:cs="Calibri"/>
          <w:b/>
          <w:bCs/>
        </w:rPr>
        <w:t xml:space="preserve"> a public servant.</w:t>
      </w:r>
    </w:p>
    <w:p w:rsidR="00A52216" w:rsidRPr="00B43DEC" w:rsidRDefault="00A52216" w:rsidP="00A52216">
      <w:pPr>
        <w:keepLines/>
        <w:spacing w:before="120" w:after="120"/>
        <w:ind w:left="-11"/>
        <w:rPr>
          <w:rFonts w:ascii="Calibri" w:eastAsia="Calibri" w:hAnsi="Calibri" w:cs="Calibri"/>
          <w:b/>
        </w:rPr>
      </w:pPr>
      <w:r w:rsidRPr="00B43DEC">
        <w:rPr>
          <w:rFonts w:ascii="Calibri" w:eastAsia="Calibri" w:hAnsi="Calibri" w:cs="Calibri"/>
          <w:b/>
        </w:rPr>
        <w:lastRenderedPageBreak/>
        <w:t xml:space="preserve">The Committee draws the attention of the Legislative Assembly to </w:t>
      </w:r>
      <w:r>
        <w:rPr>
          <w:rFonts w:ascii="Calibri" w:eastAsia="Calibri" w:hAnsi="Calibri" w:cs="Calibri"/>
          <w:b/>
        </w:rPr>
        <w:t xml:space="preserve">the </w:t>
      </w:r>
      <w:r w:rsidRPr="00B43DEC">
        <w:rPr>
          <w:rFonts w:ascii="Calibri" w:eastAsia="Calibri" w:hAnsi="Calibri" w:cs="Calibri"/>
          <w:b/>
        </w:rPr>
        <w:t>instrument</w:t>
      </w:r>
      <w:r w:rsidR="00F71FB8">
        <w:rPr>
          <w:rFonts w:ascii="Calibri" w:eastAsia="Calibri" w:hAnsi="Calibri" w:cs="Calibri"/>
          <w:b/>
        </w:rPr>
        <w:t>, under principle </w:t>
      </w:r>
      <w:r w:rsidRPr="00B43DEC">
        <w:rPr>
          <w:rFonts w:ascii="Calibri" w:eastAsia="Calibri" w:hAnsi="Calibri" w:cs="Calibri"/>
          <w:b/>
        </w:rPr>
        <w:t>(2) of the Committee’s terms of reference, on the basis that the explanatory statement for the instrument do</w:t>
      </w:r>
      <w:r>
        <w:rPr>
          <w:rFonts w:ascii="Calibri" w:eastAsia="Calibri" w:hAnsi="Calibri" w:cs="Calibri"/>
          <w:b/>
        </w:rPr>
        <w:t>es</w:t>
      </w:r>
      <w:r w:rsidRPr="00B43DEC">
        <w:rPr>
          <w:rFonts w:ascii="Calibri" w:eastAsia="Calibri" w:hAnsi="Calibri" w:cs="Calibri"/>
          <w:b/>
        </w:rPr>
        <w:t xml:space="preserve"> not meet the technical or stylistic standards expected by the Committee.</w:t>
      </w:r>
    </w:p>
    <w:p w:rsidR="00A52216" w:rsidRDefault="00A52216" w:rsidP="00A52216">
      <w:pPr>
        <w:widowControl w:val="0"/>
        <w:tabs>
          <w:tab w:val="left" w:pos="1276"/>
        </w:tabs>
        <w:spacing w:before="120" w:after="120" w:line="300" w:lineRule="exact"/>
        <w:ind w:left="-11"/>
        <w:rPr>
          <w:rFonts w:ascii="Calibri" w:hAnsi="Calibri" w:cs="Calibri"/>
          <w:b/>
          <w:bCs/>
          <w:color w:val="000000"/>
        </w:rPr>
      </w:pPr>
      <w:r>
        <w:rPr>
          <w:rFonts w:ascii="Calibri" w:hAnsi="Calibri" w:cs="Calibri"/>
          <w:b/>
          <w:bCs/>
          <w:color w:val="000000"/>
        </w:rPr>
        <w:t>This comment requires a response from the Minister.</w:t>
      </w:r>
    </w:p>
    <w:p w:rsidR="00A52216" w:rsidRPr="00A52216" w:rsidRDefault="00A52216" w:rsidP="00A52216">
      <w:pPr>
        <w:pStyle w:val="Heading4nonumber"/>
        <w:spacing w:before="220" w:after="220" w:line="280" w:lineRule="atLeast"/>
        <w:rPr>
          <w:sz w:val="22"/>
          <w:szCs w:val="22"/>
        </w:rPr>
      </w:pPr>
      <w:r w:rsidRPr="00A52216">
        <w:rPr>
          <w:sz w:val="22"/>
          <w:szCs w:val="22"/>
        </w:rPr>
        <w:t>Instrument addressing issues previously identified by the Committee / Retrospective application</w:t>
      </w:r>
    </w:p>
    <w:p w:rsidR="00A52216" w:rsidRPr="00842199" w:rsidRDefault="00A52216" w:rsidP="00A52216">
      <w:pPr>
        <w:pStyle w:val="Bodycopy"/>
        <w:tabs>
          <w:tab w:val="clear" w:pos="1276"/>
          <w:tab w:val="left" w:pos="360"/>
        </w:tabs>
        <w:spacing w:before="160" w:after="160" w:line="280" w:lineRule="exact"/>
        <w:rPr>
          <w:b/>
        </w:rPr>
      </w:pPr>
      <w:r>
        <w:rPr>
          <w:b/>
        </w:rPr>
        <w:t>Disallowable Instrument</w:t>
      </w:r>
      <w:r w:rsidRPr="00451C85">
        <w:rPr>
          <w:b/>
        </w:rPr>
        <w:t xml:space="preserve"> </w:t>
      </w:r>
      <w:r>
        <w:rPr>
          <w:b/>
        </w:rPr>
        <w:t>DI2020-147</w:t>
      </w:r>
      <w:r w:rsidRPr="00451C85">
        <w:rPr>
          <w:b/>
        </w:rPr>
        <w:t xml:space="preserve"> being the </w:t>
      </w:r>
      <w:r>
        <w:rPr>
          <w:b/>
        </w:rPr>
        <w:t xml:space="preserve">Animal Welfare (Advisory Committee) Establishment 2020 (No 1) made under section 109 of the </w:t>
      </w:r>
      <w:r>
        <w:rPr>
          <w:i/>
        </w:rPr>
        <w:t>Animal Welfare Act 1992</w:t>
      </w:r>
      <w:r w:rsidRPr="00236BDD">
        <w:rPr>
          <w:b/>
        </w:rPr>
        <w:t xml:space="preserve"> </w:t>
      </w:r>
      <w:r>
        <w:rPr>
          <w:b/>
        </w:rPr>
        <w:t>establishes the Animal Welfare Advisory Committee, establishes rules relating to procedures and membership, and revokes NI2015-219.</w:t>
      </w:r>
    </w:p>
    <w:p w:rsidR="00A52216" w:rsidRDefault="00A52216" w:rsidP="00F71FB8">
      <w:pPr>
        <w:spacing w:line="260" w:lineRule="exact"/>
        <w:rPr>
          <w:rFonts w:ascii="Calibri" w:hAnsi="Calibri"/>
        </w:rPr>
      </w:pPr>
      <w:r>
        <w:rPr>
          <w:rFonts w:ascii="Calibri" w:hAnsi="Calibri" w:cs="Calibri"/>
          <w:color w:val="000000"/>
        </w:rPr>
        <w:t xml:space="preserve">This instrument, made under section 109 of the </w:t>
      </w:r>
      <w:r>
        <w:rPr>
          <w:rFonts w:ascii="Calibri" w:hAnsi="Calibri" w:cs="Calibri"/>
          <w:i/>
          <w:iCs/>
          <w:color w:val="000000"/>
        </w:rPr>
        <w:t>Animal Welfare Act 1992</w:t>
      </w:r>
      <w:r>
        <w:rPr>
          <w:rFonts w:ascii="Calibri" w:hAnsi="Calibri" w:cs="Calibri"/>
          <w:color w:val="000000"/>
        </w:rPr>
        <w:t xml:space="preserve">, establishes the Animal Welfare Advisory Committee and, in addition, sets out the rules and procedures for the Committee.  The Committee notes that the establishment, etc is (now) being done by disallowable instrument.  This is being done in the light of issues originally raised by the Committee in </w:t>
      </w:r>
      <w:r w:rsidRPr="00485BD9">
        <w:rPr>
          <w:rFonts w:ascii="Calibri" w:hAnsi="Calibri"/>
          <w:i/>
          <w:iCs/>
        </w:rPr>
        <w:t xml:space="preserve">Scrutiny Report 37 </w:t>
      </w:r>
      <w:r>
        <w:rPr>
          <w:rFonts w:ascii="Calibri" w:hAnsi="Calibri"/>
        </w:rPr>
        <w:t>of the 9</w:t>
      </w:r>
      <w:r w:rsidRPr="00485BD9">
        <w:rPr>
          <w:rFonts w:ascii="Calibri" w:hAnsi="Calibri"/>
          <w:vertAlign w:val="superscript"/>
        </w:rPr>
        <w:t>th</w:t>
      </w:r>
      <w:r>
        <w:rPr>
          <w:rFonts w:ascii="Calibri" w:hAnsi="Calibri"/>
        </w:rPr>
        <w:t xml:space="preserve"> Assembly (19 November 2019), in relation to </w:t>
      </w:r>
      <w:r w:rsidRPr="00485BD9">
        <w:rPr>
          <w:rFonts w:ascii="Calibri" w:hAnsi="Calibri"/>
        </w:rPr>
        <w:t xml:space="preserve">the Animal Welfare (Advisory Committee Member) Appointment 2019 (No 1) </w:t>
      </w:r>
      <w:r>
        <w:rPr>
          <w:rFonts w:ascii="Calibri" w:hAnsi="Calibri"/>
        </w:rPr>
        <w:t>(</w:t>
      </w:r>
      <w:r w:rsidRPr="00485BD9">
        <w:rPr>
          <w:rFonts w:ascii="Calibri" w:hAnsi="Calibri"/>
        </w:rPr>
        <w:t>DI2019-216</w:t>
      </w:r>
      <w:r>
        <w:rPr>
          <w:rFonts w:ascii="Calibri" w:hAnsi="Calibri"/>
        </w:rPr>
        <w:t xml:space="preserve">), then dealt with again in </w:t>
      </w:r>
      <w:r w:rsidRPr="007D07C9">
        <w:rPr>
          <w:rFonts w:ascii="Calibri" w:hAnsi="Calibri"/>
          <w:i/>
          <w:iCs/>
        </w:rPr>
        <w:t>Scrutiny Report 39</w:t>
      </w:r>
      <w:r>
        <w:rPr>
          <w:rFonts w:ascii="Calibri" w:hAnsi="Calibri"/>
        </w:rPr>
        <w:t xml:space="preserve"> of the 9</w:t>
      </w:r>
      <w:r w:rsidRPr="007D07C9">
        <w:rPr>
          <w:rFonts w:ascii="Calibri" w:hAnsi="Calibri"/>
          <w:vertAlign w:val="superscript"/>
        </w:rPr>
        <w:t>th</w:t>
      </w:r>
      <w:r>
        <w:rPr>
          <w:rFonts w:ascii="Calibri" w:hAnsi="Calibri"/>
        </w:rPr>
        <w:t xml:space="preserve"> Assembly (17 February 2020), by reference to a further instrument, </w:t>
      </w:r>
      <w:r w:rsidRPr="007D07C9">
        <w:rPr>
          <w:rFonts w:ascii="Calibri" w:hAnsi="Calibri"/>
        </w:rPr>
        <w:t xml:space="preserve">the Animal Welfare (Advisory Committee Member) Appointment 2019 (No 2) </w:t>
      </w:r>
      <w:r>
        <w:rPr>
          <w:rFonts w:ascii="Calibri" w:hAnsi="Calibri"/>
        </w:rPr>
        <w:t>(</w:t>
      </w:r>
      <w:r w:rsidRPr="007D07C9">
        <w:rPr>
          <w:rFonts w:ascii="Calibri" w:hAnsi="Calibri"/>
        </w:rPr>
        <w:t>DI2019-286).</w:t>
      </w:r>
      <w:r>
        <w:rPr>
          <w:rFonts w:ascii="Calibri" w:hAnsi="Calibri"/>
        </w:rPr>
        <w:t xml:space="preserve">  In short, the issue was that the appointments made by the earlier instruments were made by reference to an “establishment instrument” that was a </w:t>
      </w:r>
      <w:r>
        <w:rPr>
          <w:rFonts w:ascii="Calibri" w:hAnsi="Calibri"/>
          <w:i/>
          <w:iCs/>
        </w:rPr>
        <w:t xml:space="preserve">notifiable </w:t>
      </w:r>
      <w:r>
        <w:rPr>
          <w:rFonts w:ascii="Calibri" w:hAnsi="Calibri"/>
        </w:rPr>
        <w:t xml:space="preserve">instrument, rather than a </w:t>
      </w:r>
      <w:r>
        <w:rPr>
          <w:rFonts w:ascii="Calibri" w:hAnsi="Calibri"/>
          <w:i/>
          <w:iCs/>
        </w:rPr>
        <w:t>disallowab</w:t>
      </w:r>
      <w:r w:rsidRPr="00485BD9">
        <w:rPr>
          <w:rFonts w:ascii="Calibri" w:hAnsi="Calibri"/>
        </w:rPr>
        <w:t xml:space="preserve">le instrument, as </w:t>
      </w:r>
      <w:r>
        <w:rPr>
          <w:rFonts w:ascii="Calibri" w:hAnsi="Calibri"/>
        </w:rPr>
        <w:t>required by subsection 109(4) of the Animal Welfare Act.</w:t>
      </w:r>
    </w:p>
    <w:p w:rsidR="00A52216" w:rsidRDefault="00A52216" w:rsidP="00F71FB8">
      <w:pPr>
        <w:spacing w:line="260" w:lineRule="exact"/>
        <w:rPr>
          <w:rFonts w:ascii="Calibri" w:hAnsi="Calibri"/>
        </w:rPr>
      </w:pPr>
      <w:r>
        <w:rPr>
          <w:rFonts w:ascii="Calibri" w:hAnsi="Calibri"/>
        </w:rPr>
        <w:t xml:space="preserve">In </w:t>
      </w:r>
      <w:r>
        <w:rPr>
          <w:rFonts w:ascii="Calibri" w:hAnsi="Calibri"/>
          <w:i/>
          <w:iCs/>
        </w:rPr>
        <w:t>Scrutiny Report 45</w:t>
      </w:r>
      <w:r>
        <w:rPr>
          <w:rFonts w:ascii="Calibri" w:hAnsi="Calibri"/>
        </w:rPr>
        <w:t xml:space="preserve"> of the </w:t>
      </w:r>
      <w:r w:rsidRPr="00A52216">
        <w:rPr>
          <w:rFonts w:ascii="Calibri" w:hAnsi="Calibri"/>
          <w:i/>
        </w:rPr>
        <w:t>9</w:t>
      </w:r>
      <w:r w:rsidRPr="00A52216">
        <w:rPr>
          <w:rFonts w:ascii="Calibri" w:hAnsi="Calibri"/>
          <w:i/>
          <w:vertAlign w:val="superscript"/>
        </w:rPr>
        <w:t>th</w:t>
      </w:r>
      <w:r w:rsidRPr="00A52216">
        <w:rPr>
          <w:rFonts w:ascii="Calibri" w:hAnsi="Calibri"/>
          <w:i/>
        </w:rPr>
        <w:t xml:space="preserve"> Assembly</w:t>
      </w:r>
      <w:r>
        <w:rPr>
          <w:rFonts w:ascii="Calibri" w:hAnsi="Calibri"/>
        </w:rPr>
        <w:t xml:space="preserve"> (30 June 2020), the Committee noted that a response (undated) had been received from the</w:t>
      </w:r>
      <w:r w:rsidRPr="007D07C9">
        <w:rPr>
          <w:rFonts w:ascii="Calibri" w:hAnsi="Calibri"/>
        </w:rPr>
        <w:t xml:space="preserve"> Minister for City Services, undated, in relation to comments made in </w:t>
      </w:r>
      <w:r w:rsidRPr="003B6DD3">
        <w:rPr>
          <w:rFonts w:ascii="Calibri" w:hAnsi="Calibri"/>
          <w:i/>
          <w:iCs/>
        </w:rPr>
        <w:t>Scrutiny Report 39</w:t>
      </w:r>
      <w:r>
        <w:rPr>
          <w:rFonts w:ascii="Calibri" w:hAnsi="Calibri"/>
        </w:rPr>
        <w:t xml:space="preserve">.  The Committee had earlier received a response from the Minister, in relation to its comments in </w:t>
      </w:r>
      <w:r>
        <w:rPr>
          <w:rFonts w:ascii="Calibri" w:hAnsi="Calibri"/>
          <w:i/>
          <w:iCs/>
        </w:rPr>
        <w:t>Scrutiny Report 37</w:t>
      </w:r>
      <w:r>
        <w:rPr>
          <w:rFonts w:ascii="Calibri" w:hAnsi="Calibri"/>
        </w:rPr>
        <w:t>.  Though the Committee did not comment on the contents of either response, the Committee was pleased that the Minister’s responses addressed its earlier concerns.</w:t>
      </w:r>
    </w:p>
    <w:p w:rsidR="00A52216" w:rsidRDefault="00A52216" w:rsidP="00F71FB8">
      <w:pPr>
        <w:spacing w:line="260" w:lineRule="exact"/>
        <w:rPr>
          <w:rFonts w:ascii="Calibri" w:hAnsi="Calibri"/>
        </w:rPr>
      </w:pPr>
      <w:r>
        <w:rPr>
          <w:rFonts w:ascii="Calibri" w:hAnsi="Calibri"/>
        </w:rPr>
        <w:t>In his most recent response, the Minister stated:</w:t>
      </w:r>
    </w:p>
    <w:p w:rsidR="00A52216" w:rsidRDefault="00A52216" w:rsidP="00F71FB8">
      <w:pPr>
        <w:spacing w:line="260" w:lineRule="exact"/>
        <w:ind w:left="360"/>
        <w:rPr>
          <w:rFonts w:ascii="Calibri" w:hAnsi="Calibri"/>
        </w:rPr>
      </w:pPr>
      <w:r w:rsidRPr="003B6DD3">
        <w:rPr>
          <w:rFonts w:ascii="Calibri" w:hAnsi="Calibri"/>
        </w:rPr>
        <w:t xml:space="preserve">As indicated in my response to </w:t>
      </w:r>
      <w:r w:rsidRPr="003B6DD3">
        <w:rPr>
          <w:rFonts w:ascii="Calibri" w:hAnsi="Calibri"/>
          <w:i/>
          <w:iCs/>
        </w:rPr>
        <w:t>Scrutiny Report 37</w:t>
      </w:r>
      <w:r w:rsidRPr="003B6DD3">
        <w:rPr>
          <w:rFonts w:ascii="Calibri" w:hAnsi="Calibri"/>
        </w:rPr>
        <w:t xml:space="preserve">, the </w:t>
      </w:r>
      <w:r w:rsidRPr="003B6DD3">
        <w:rPr>
          <w:rFonts w:ascii="Calibri" w:hAnsi="Calibri"/>
          <w:i/>
          <w:iCs/>
        </w:rPr>
        <w:t>Animal Welfare Act 1992</w:t>
      </w:r>
      <w:r w:rsidRPr="003B6DD3">
        <w:rPr>
          <w:rFonts w:ascii="Calibri" w:hAnsi="Calibri"/>
        </w:rPr>
        <w:t xml:space="preserve"> was amended in October 2019 to change the instrument of establishment of the Animal Welfare Advisory Committee from a Notifiable Instrument to a Disallowable Instrument. I confirm that NI2015-219 being the Animal Welfare (Advisory Committee) Establishment 2015 will be remade as a disallowable instrument and will include a transitionary clause to ensure that appointments including those made in the instrument continue to apply.</w:t>
      </w:r>
    </w:p>
    <w:p w:rsidR="00A52216" w:rsidRDefault="00A52216" w:rsidP="00F71FB8">
      <w:pPr>
        <w:spacing w:line="260" w:lineRule="exact"/>
        <w:rPr>
          <w:rFonts w:ascii="Calibri" w:hAnsi="Calibri"/>
        </w:rPr>
      </w:pPr>
      <w:r>
        <w:rPr>
          <w:rFonts w:ascii="Calibri" w:hAnsi="Calibri"/>
        </w:rPr>
        <w:t>The current instrument carries out the Minister’s undertaking to re-make the “establishment instrument”.</w:t>
      </w:r>
    </w:p>
    <w:p w:rsidR="00A52216" w:rsidRDefault="00A52216" w:rsidP="00F71FB8">
      <w:pPr>
        <w:spacing w:line="260" w:lineRule="exact"/>
        <w:rPr>
          <w:rFonts w:ascii="Calibri" w:hAnsi="Calibri"/>
        </w:rPr>
      </w:pPr>
      <w:r>
        <w:rPr>
          <w:rFonts w:ascii="Calibri" w:hAnsi="Calibri"/>
        </w:rPr>
        <w:t>The Committee notes that, as foreshadowed by the Minister, this instrument contains a “transitory clause”, the purpose of which is</w:t>
      </w:r>
      <w:r w:rsidRPr="003B6DD3">
        <w:rPr>
          <w:rFonts w:ascii="Calibri" w:hAnsi="Calibri"/>
        </w:rPr>
        <w:t xml:space="preserve"> </w:t>
      </w:r>
      <w:r>
        <w:rPr>
          <w:rFonts w:ascii="Calibri" w:hAnsi="Calibri"/>
        </w:rPr>
        <w:t>“</w:t>
      </w:r>
      <w:r w:rsidRPr="003B6DD3">
        <w:rPr>
          <w:rFonts w:ascii="Calibri" w:hAnsi="Calibri"/>
        </w:rPr>
        <w:t xml:space="preserve">to ensure that appointments including those made in the </w:t>
      </w:r>
      <w:r>
        <w:rPr>
          <w:rFonts w:ascii="Calibri" w:hAnsi="Calibri"/>
        </w:rPr>
        <w:t xml:space="preserve">[earlier] </w:t>
      </w:r>
      <w:r w:rsidRPr="003B6DD3">
        <w:rPr>
          <w:rFonts w:ascii="Calibri" w:hAnsi="Calibri"/>
        </w:rPr>
        <w:t>instrument continue to apply</w:t>
      </w:r>
      <w:r>
        <w:rPr>
          <w:rFonts w:ascii="Calibri" w:hAnsi="Calibri"/>
        </w:rPr>
        <w:t>.  Section 17 of the current instrument provides:</w:t>
      </w:r>
    </w:p>
    <w:p w:rsidR="00A52216" w:rsidRPr="00B76C99" w:rsidRDefault="00A52216" w:rsidP="00F71FB8">
      <w:pPr>
        <w:ind w:left="1080" w:hanging="720"/>
        <w:rPr>
          <w:rFonts w:ascii="Calibri" w:hAnsi="Calibri" w:cs="Calibri"/>
          <w:b/>
        </w:rPr>
      </w:pPr>
      <w:r w:rsidRPr="00B76C99">
        <w:rPr>
          <w:rFonts w:ascii="Calibri" w:hAnsi="Calibri" w:cs="Calibri"/>
          <w:b/>
        </w:rPr>
        <w:t>17</w:t>
      </w:r>
      <w:r w:rsidRPr="00B76C99">
        <w:rPr>
          <w:rFonts w:ascii="Calibri" w:hAnsi="Calibri" w:cs="Calibri"/>
          <w:b/>
        </w:rPr>
        <w:tab/>
        <w:t>Transitional</w:t>
      </w:r>
      <w:r w:rsidRPr="00B76C99">
        <w:rPr>
          <w:rFonts w:ascii="Calibri" w:hAnsi="Calibri" w:cs="Calibri"/>
          <w:b/>
          <w:bCs/>
        </w:rPr>
        <w:t>—members of advisory committee</w:t>
      </w:r>
    </w:p>
    <w:p w:rsidR="00A52216" w:rsidRPr="00B76C99" w:rsidRDefault="00A52216" w:rsidP="00F71FB8">
      <w:pPr>
        <w:ind w:left="1080"/>
        <w:rPr>
          <w:rFonts w:ascii="Calibri" w:hAnsi="Calibri" w:cs="Calibri"/>
        </w:rPr>
      </w:pPr>
      <w:r w:rsidRPr="00B76C99">
        <w:rPr>
          <w:rFonts w:ascii="Calibri" w:hAnsi="Calibri" w:cs="Calibri"/>
        </w:rPr>
        <w:t xml:space="preserve">The </w:t>
      </w:r>
      <w:r w:rsidRPr="00B76C99">
        <w:rPr>
          <w:rFonts w:ascii="Calibri" w:hAnsi="Calibri" w:cs="Calibri"/>
          <w:i/>
          <w:iCs/>
        </w:rPr>
        <w:t>Animal Welfare (Advisory Committee Member) Appointment 2019 (No 1)</w:t>
      </w:r>
      <w:r w:rsidRPr="00B76C99">
        <w:rPr>
          <w:rFonts w:ascii="Calibri" w:hAnsi="Calibri" w:cs="Calibri"/>
        </w:rPr>
        <w:t xml:space="preserve"> DI2019-216 and the </w:t>
      </w:r>
      <w:r w:rsidRPr="00B76C99">
        <w:rPr>
          <w:rFonts w:ascii="Calibri" w:hAnsi="Calibri" w:cs="Calibri"/>
          <w:i/>
          <w:iCs/>
        </w:rPr>
        <w:t>Animal Welfare (Advisory Committee Member) Appointment 2019 (No 2)</w:t>
      </w:r>
      <w:r w:rsidRPr="00B76C99">
        <w:rPr>
          <w:rFonts w:ascii="Calibri" w:hAnsi="Calibri" w:cs="Calibri"/>
        </w:rPr>
        <w:t xml:space="preserve"> DI2019-286 are taken to be made under section 4 of this instrument.</w:t>
      </w:r>
    </w:p>
    <w:p w:rsidR="00A52216" w:rsidRDefault="00A52216" w:rsidP="00A52216">
      <w:pPr>
        <w:rPr>
          <w:rFonts w:ascii="Calibri" w:hAnsi="Calibri"/>
        </w:rPr>
      </w:pPr>
      <w:r>
        <w:rPr>
          <w:rFonts w:ascii="Calibri" w:hAnsi="Calibri"/>
        </w:rPr>
        <w:lastRenderedPageBreak/>
        <w:t xml:space="preserve">The Committee has a minor concern that the transitional provision might be seen as having a retrospective effect, in its application to the earlier appointments.  Of course, any retrospective effect could only be “non-prejudicial” to individuals, etc, or it fall foul of section 76 of the </w:t>
      </w:r>
      <w:r>
        <w:rPr>
          <w:rFonts w:ascii="Calibri" w:hAnsi="Calibri"/>
          <w:i/>
          <w:iCs/>
        </w:rPr>
        <w:t xml:space="preserve">Legislation Act </w:t>
      </w:r>
      <w:r w:rsidRPr="00F36E8D">
        <w:rPr>
          <w:rFonts w:ascii="Calibri" w:hAnsi="Calibri"/>
          <w:i/>
          <w:iCs/>
        </w:rPr>
        <w:t>2001</w:t>
      </w:r>
      <w:r>
        <w:rPr>
          <w:rFonts w:ascii="Calibri" w:hAnsi="Calibri"/>
        </w:rPr>
        <w:t xml:space="preserve">.  </w:t>
      </w:r>
      <w:r w:rsidRPr="00F36E8D">
        <w:rPr>
          <w:rFonts w:ascii="Calibri" w:hAnsi="Calibri"/>
        </w:rPr>
        <w:t>The</w:t>
      </w:r>
      <w:r>
        <w:rPr>
          <w:rFonts w:ascii="Calibri" w:hAnsi="Calibri"/>
        </w:rPr>
        <w:t xml:space="preserve"> Committee considers that, if only out of an abundance of caution, the explanatory statement for this instrument ought to have addressed the issue of the potential retrospective application of the instrument.  It does not.</w:t>
      </w:r>
    </w:p>
    <w:p w:rsidR="00A52216" w:rsidRDefault="00A52216" w:rsidP="00A52216">
      <w:pPr>
        <w:rPr>
          <w:rFonts w:ascii="Calibri" w:hAnsi="Calibri"/>
        </w:rPr>
      </w:pPr>
      <w:r>
        <w:rPr>
          <w:rFonts w:ascii="Calibri" w:hAnsi="Calibri"/>
          <w:b/>
          <w:bCs/>
        </w:rPr>
        <w:t xml:space="preserve">The Committee seeks the Minister’s assurance that there is no (prejudicial) retrospective application of this instrument, contrary section 76 of the </w:t>
      </w:r>
      <w:r>
        <w:rPr>
          <w:rFonts w:ascii="Calibri" w:hAnsi="Calibri"/>
          <w:b/>
          <w:bCs/>
          <w:i/>
          <w:iCs/>
        </w:rPr>
        <w:t>Legislation Act 2001</w:t>
      </w:r>
      <w:r>
        <w:rPr>
          <w:rFonts w:ascii="Calibri" w:hAnsi="Calibri"/>
          <w:b/>
          <w:bCs/>
        </w:rPr>
        <w:t>.</w:t>
      </w:r>
    </w:p>
    <w:p w:rsidR="00A52216" w:rsidRPr="00F36E8D" w:rsidRDefault="00A52216" w:rsidP="00A52216">
      <w:pPr>
        <w:rPr>
          <w:rFonts w:ascii="Calibri" w:hAnsi="Calibri"/>
          <w:b/>
          <w:bCs/>
        </w:rPr>
      </w:pPr>
      <w:r w:rsidRPr="00F36E8D">
        <w:rPr>
          <w:rFonts w:ascii="Calibri" w:hAnsi="Calibri"/>
          <w:b/>
          <w:bCs/>
        </w:rPr>
        <w:t>This comment requires a response from the Minister.</w:t>
      </w:r>
    </w:p>
    <w:p w:rsidR="00A52216" w:rsidRPr="00A52216" w:rsidRDefault="00A52216" w:rsidP="00A52216">
      <w:pPr>
        <w:pStyle w:val="Heading4nonumber"/>
        <w:spacing w:before="220" w:after="220" w:line="280" w:lineRule="atLeast"/>
        <w:rPr>
          <w:sz w:val="22"/>
          <w:szCs w:val="22"/>
        </w:rPr>
      </w:pPr>
      <w:r w:rsidRPr="00A52216">
        <w:rPr>
          <w:sz w:val="22"/>
          <w:szCs w:val="22"/>
        </w:rPr>
        <w:t>Drafting issue</w:t>
      </w:r>
    </w:p>
    <w:p w:rsidR="00A52216" w:rsidRPr="00842199" w:rsidRDefault="00A52216" w:rsidP="00A52216">
      <w:pPr>
        <w:pStyle w:val="Bodycopy"/>
        <w:numPr>
          <w:ilvl w:val="0"/>
          <w:numId w:val="26"/>
        </w:numPr>
        <w:tabs>
          <w:tab w:val="clear" w:pos="1276"/>
          <w:tab w:val="left" w:pos="360"/>
        </w:tabs>
        <w:spacing w:before="160" w:after="160" w:line="280" w:lineRule="exact"/>
        <w:ind w:left="360"/>
        <w:rPr>
          <w:b/>
        </w:rPr>
      </w:pPr>
      <w:r>
        <w:rPr>
          <w:b/>
        </w:rPr>
        <w:t>Disallowable Instrument</w:t>
      </w:r>
      <w:r w:rsidRPr="00451C85">
        <w:rPr>
          <w:b/>
        </w:rPr>
        <w:t xml:space="preserve"> </w:t>
      </w:r>
      <w:r>
        <w:rPr>
          <w:b/>
        </w:rPr>
        <w:t>DI2020-164</w:t>
      </w:r>
      <w:r w:rsidRPr="00451C85">
        <w:rPr>
          <w:b/>
        </w:rPr>
        <w:t xml:space="preserve"> being the </w:t>
      </w:r>
      <w:r>
        <w:rPr>
          <w:b/>
        </w:rPr>
        <w:t xml:space="preserve">City Renewal Authority and Suburban Land Agency (Agency Board Chair) Appointment 2020 made under section 45 of the </w:t>
      </w:r>
      <w:r>
        <w:rPr>
          <w:i/>
        </w:rPr>
        <w:t>City Renewal Authority and Suburban Land Agency Act 2017</w:t>
      </w:r>
      <w:r w:rsidRPr="00236BDD">
        <w:rPr>
          <w:b/>
        </w:rPr>
        <w:t xml:space="preserve"> </w:t>
      </w:r>
      <w:r>
        <w:rPr>
          <w:b/>
        </w:rPr>
        <w:t>appoints a specified as chair of the Suburban Land Agency Board.</w:t>
      </w:r>
    </w:p>
    <w:p w:rsidR="00A52216" w:rsidRPr="00842199" w:rsidRDefault="00A52216" w:rsidP="00A52216">
      <w:pPr>
        <w:pStyle w:val="Bodycopy"/>
        <w:numPr>
          <w:ilvl w:val="0"/>
          <w:numId w:val="26"/>
        </w:numPr>
        <w:tabs>
          <w:tab w:val="clear" w:pos="1276"/>
          <w:tab w:val="left" w:pos="360"/>
        </w:tabs>
        <w:spacing w:before="160" w:after="160" w:line="280" w:lineRule="exact"/>
        <w:ind w:left="360"/>
        <w:rPr>
          <w:b/>
        </w:rPr>
      </w:pPr>
      <w:r>
        <w:rPr>
          <w:b/>
        </w:rPr>
        <w:t>Disallowable Instrument</w:t>
      </w:r>
      <w:r w:rsidRPr="00451C85">
        <w:rPr>
          <w:b/>
        </w:rPr>
        <w:t xml:space="preserve"> </w:t>
      </w:r>
      <w:r>
        <w:rPr>
          <w:b/>
        </w:rPr>
        <w:t>DI2020-165</w:t>
      </w:r>
      <w:r w:rsidRPr="00451C85">
        <w:rPr>
          <w:b/>
        </w:rPr>
        <w:t xml:space="preserve"> being the </w:t>
      </w:r>
      <w:r>
        <w:rPr>
          <w:b/>
        </w:rPr>
        <w:t xml:space="preserve">City Renewal Authority and Suburban Land Agency (Agency Board Deputy Chair) Appointment 2020 made under section 45 of the </w:t>
      </w:r>
      <w:r>
        <w:rPr>
          <w:i/>
        </w:rPr>
        <w:t>City Renewal Authority and Suburban Land Agency Act 2017</w:t>
      </w:r>
      <w:r w:rsidRPr="00236BDD">
        <w:rPr>
          <w:b/>
        </w:rPr>
        <w:t xml:space="preserve"> </w:t>
      </w:r>
      <w:r>
        <w:rPr>
          <w:b/>
        </w:rPr>
        <w:t>appoints a specified person as deputy chair of the Suburban Land Agency Board.</w:t>
      </w:r>
    </w:p>
    <w:p w:rsidR="00A52216" w:rsidRDefault="00A52216" w:rsidP="00BF605B">
      <w:pPr>
        <w:rPr>
          <w:rFonts w:ascii="Calibri" w:hAnsi="Calibri"/>
        </w:rPr>
      </w:pPr>
      <w:r>
        <w:rPr>
          <w:rFonts w:ascii="Calibri" w:hAnsi="Calibri"/>
        </w:rPr>
        <w:t xml:space="preserve">The instruments mentioned above appoint specified persons as chair and deputy chair of the Suburban Land Agency, respectively.  The formal parts of both instruments refer to </w:t>
      </w:r>
      <w:r w:rsidRPr="00277FA2">
        <w:rPr>
          <w:rFonts w:ascii="Calibri" w:hAnsi="Calibri"/>
        </w:rPr>
        <w:t xml:space="preserve">section 45 of the </w:t>
      </w:r>
      <w:r w:rsidRPr="00277FA2">
        <w:rPr>
          <w:rFonts w:ascii="Calibri" w:hAnsi="Calibri"/>
          <w:i/>
          <w:iCs/>
        </w:rPr>
        <w:t>City Renewal Authority and Suburban Land Agency Act 2017</w:t>
      </w:r>
      <w:r>
        <w:rPr>
          <w:rFonts w:ascii="Calibri" w:hAnsi="Calibri"/>
        </w:rPr>
        <w:t>, for legislative authority.  In terms of the establishment of boards, by legislation, section 45 is a relatively “bare” provision.  It provides:</w:t>
      </w:r>
    </w:p>
    <w:p w:rsidR="00A52216" w:rsidRPr="00B76C99" w:rsidRDefault="00BF605B" w:rsidP="00BF605B">
      <w:pPr>
        <w:tabs>
          <w:tab w:val="left" w:pos="1350"/>
        </w:tabs>
        <w:ind w:left="1350" w:hanging="990"/>
        <w:rPr>
          <w:rFonts w:ascii="Calibri" w:hAnsi="Calibri" w:cs="Calibri"/>
          <w:color w:val="000000"/>
        </w:rPr>
      </w:pPr>
      <w:r>
        <w:rPr>
          <w:rFonts w:ascii="Calibri" w:hAnsi="Calibri" w:cs="Calibri"/>
          <w:b/>
          <w:bCs/>
          <w:color w:val="000000"/>
        </w:rPr>
        <w:t>45</w:t>
      </w:r>
      <w:r>
        <w:rPr>
          <w:rFonts w:ascii="Calibri" w:hAnsi="Calibri" w:cs="Calibri"/>
          <w:b/>
          <w:bCs/>
          <w:color w:val="000000"/>
        </w:rPr>
        <w:tab/>
      </w:r>
      <w:r w:rsidR="00A52216" w:rsidRPr="00B76C99">
        <w:rPr>
          <w:rFonts w:ascii="Calibri" w:hAnsi="Calibri" w:cs="Calibri"/>
          <w:b/>
          <w:bCs/>
          <w:color w:val="000000"/>
        </w:rPr>
        <w:t>Establishment of governing board for agency</w:t>
      </w:r>
    </w:p>
    <w:p w:rsidR="00A52216" w:rsidRPr="00B76C99" w:rsidRDefault="00A52216" w:rsidP="00BF605B">
      <w:pPr>
        <w:tabs>
          <w:tab w:val="left" w:pos="1350"/>
        </w:tabs>
        <w:ind w:left="720" w:firstLine="630"/>
        <w:rPr>
          <w:rFonts w:ascii="Calibri" w:hAnsi="Calibri" w:cs="Calibri"/>
          <w:color w:val="000000"/>
        </w:rPr>
      </w:pPr>
      <w:r w:rsidRPr="00B76C99">
        <w:rPr>
          <w:rFonts w:ascii="Calibri" w:hAnsi="Calibri" w:cs="Calibri"/>
          <w:color w:val="000000"/>
        </w:rPr>
        <w:t>The governing board of the agency is established.</w:t>
      </w:r>
    </w:p>
    <w:p w:rsidR="00A52216" w:rsidRPr="00BF605B" w:rsidRDefault="00BF605B" w:rsidP="00BF605B">
      <w:pPr>
        <w:tabs>
          <w:tab w:val="left" w:pos="1350"/>
        </w:tabs>
        <w:ind w:left="2160" w:hanging="810"/>
        <w:rPr>
          <w:rFonts w:ascii="Calibri" w:hAnsi="Calibri" w:cs="Calibri"/>
          <w:color w:val="000000"/>
          <w:sz w:val="20"/>
          <w:szCs w:val="20"/>
        </w:rPr>
      </w:pPr>
      <w:r w:rsidRPr="00BF605B">
        <w:rPr>
          <w:rFonts w:ascii="Calibri" w:hAnsi="Calibri" w:cs="Calibri"/>
          <w:i/>
          <w:iCs/>
          <w:color w:val="000000"/>
          <w:sz w:val="20"/>
          <w:szCs w:val="20"/>
        </w:rPr>
        <w:t>Note 1</w:t>
      </w:r>
      <w:r w:rsidRPr="00BF605B">
        <w:rPr>
          <w:rFonts w:ascii="Calibri" w:hAnsi="Calibri" w:cs="Calibri"/>
          <w:i/>
          <w:iCs/>
          <w:color w:val="000000"/>
          <w:sz w:val="20"/>
          <w:szCs w:val="20"/>
        </w:rPr>
        <w:tab/>
      </w:r>
      <w:r w:rsidR="00A52216" w:rsidRPr="00BF605B">
        <w:rPr>
          <w:rFonts w:ascii="Calibri" w:hAnsi="Calibri" w:cs="Calibri"/>
          <w:color w:val="000000"/>
          <w:sz w:val="20"/>
          <w:szCs w:val="20"/>
        </w:rPr>
        <w:t>An appointment of a governing board member is an appointment under this section (see </w:t>
      </w:r>
      <w:hyperlink r:id="rId25" w:history="1">
        <w:r w:rsidR="00A52216" w:rsidRPr="00BF605B">
          <w:rPr>
            <w:rFonts w:ascii="Calibri" w:hAnsi="Calibri" w:cs="Calibri"/>
            <w:i/>
            <w:iCs/>
            <w:color w:val="000000"/>
            <w:sz w:val="20"/>
            <w:szCs w:val="20"/>
          </w:rPr>
          <w:t>Financial Management Act 1996</w:t>
        </w:r>
      </w:hyperlink>
      <w:r w:rsidR="00A52216" w:rsidRPr="00BF605B">
        <w:rPr>
          <w:rFonts w:ascii="Calibri" w:hAnsi="Calibri" w:cs="Calibri"/>
          <w:color w:val="000000"/>
          <w:sz w:val="20"/>
          <w:szCs w:val="20"/>
        </w:rPr>
        <w:t>, s 78 (7) (b)).</w:t>
      </w:r>
    </w:p>
    <w:p w:rsidR="00A52216" w:rsidRPr="00BF605B" w:rsidRDefault="00BF605B" w:rsidP="00BF605B">
      <w:pPr>
        <w:tabs>
          <w:tab w:val="left" w:pos="1350"/>
        </w:tabs>
        <w:ind w:left="2160" w:hanging="810"/>
        <w:rPr>
          <w:rFonts w:ascii="Calibri" w:hAnsi="Calibri" w:cs="Calibri"/>
          <w:color w:val="000000"/>
          <w:sz w:val="20"/>
          <w:szCs w:val="20"/>
        </w:rPr>
      </w:pPr>
      <w:r w:rsidRPr="00BF605B">
        <w:rPr>
          <w:rFonts w:ascii="Calibri" w:hAnsi="Calibri" w:cs="Calibri"/>
          <w:i/>
          <w:iCs/>
          <w:color w:val="000000"/>
          <w:sz w:val="20"/>
          <w:szCs w:val="20"/>
        </w:rPr>
        <w:t>Note 2</w:t>
      </w:r>
      <w:r w:rsidRPr="00BF605B">
        <w:rPr>
          <w:rFonts w:ascii="Calibri" w:hAnsi="Calibri" w:cs="Calibri"/>
          <w:i/>
          <w:iCs/>
          <w:color w:val="000000"/>
          <w:sz w:val="20"/>
          <w:szCs w:val="20"/>
        </w:rPr>
        <w:tab/>
      </w:r>
      <w:r w:rsidR="00A52216" w:rsidRPr="00BF605B">
        <w:rPr>
          <w:rFonts w:ascii="Calibri" w:hAnsi="Calibri" w:cs="Calibri"/>
          <w:color w:val="000000"/>
          <w:sz w:val="20"/>
          <w:szCs w:val="20"/>
        </w:rPr>
        <w:t>For agency board meeting arrangements see the </w:t>
      </w:r>
      <w:hyperlink r:id="rId26" w:history="1">
        <w:r w:rsidR="00A52216" w:rsidRPr="00BF605B">
          <w:rPr>
            <w:rFonts w:ascii="Calibri" w:hAnsi="Calibri" w:cs="Calibri"/>
            <w:i/>
            <w:iCs/>
            <w:color w:val="000000"/>
            <w:sz w:val="20"/>
            <w:szCs w:val="20"/>
          </w:rPr>
          <w:t>Financial Management Act 1996</w:t>
        </w:r>
      </w:hyperlink>
      <w:r w:rsidR="00A52216" w:rsidRPr="00BF605B">
        <w:rPr>
          <w:rFonts w:ascii="Calibri" w:hAnsi="Calibri" w:cs="Calibri"/>
          <w:color w:val="000000"/>
          <w:sz w:val="20"/>
          <w:szCs w:val="20"/>
        </w:rPr>
        <w:t>, div 9.4.</w:t>
      </w:r>
    </w:p>
    <w:p w:rsidR="00A52216" w:rsidRDefault="00A52216" w:rsidP="00BF605B">
      <w:pPr>
        <w:rPr>
          <w:rFonts w:ascii="Calibri" w:hAnsi="Calibri"/>
        </w:rPr>
      </w:pPr>
      <w:r>
        <w:rPr>
          <w:rFonts w:ascii="Calibri" w:hAnsi="Calibri"/>
        </w:rPr>
        <w:t xml:space="preserve">The provision is relatively “bare”, in the sense that it relies on the over-arching provisions of the </w:t>
      </w:r>
      <w:r>
        <w:rPr>
          <w:rFonts w:ascii="Calibri" w:hAnsi="Calibri"/>
          <w:i/>
          <w:iCs/>
        </w:rPr>
        <w:t>Financial Management Act 1996</w:t>
      </w:r>
      <w:r>
        <w:rPr>
          <w:rFonts w:ascii="Calibri" w:hAnsi="Calibri"/>
        </w:rPr>
        <w:t xml:space="preserve">, which deal in detail with the appointment of members of governing boards of Territory authorities, in the absence of specific provisions in the relevant legislation.  This is reflected in the explanatory statements for both instruments, which refer to section 78 of the Financial Management Act, which deals with the appointment of governing board members, generally.  However, in the case of these particular instruments, the Committee considers that either the formal parts of the instruments </w:t>
      </w:r>
      <w:r w:rsidRPr="004A6FF6">
        <w:rPr>
          <w:rFonts w:ascii="Calibri" w:hAnsi="Calibri"/>
          <w:u w:val="single"/>
        </w:rPr>
        <w:t>or</w:t>
      </w:r>
      <w:r>
        <w:rPr>
          <w:rFonts w:ascii="Calibri" w:hAnsi="Calibri"/>
        </w:rPr>
        <w:t xml:space="preserve"> the explanatory statements for the instruments should also have referred to section 79 of the Financial Management Act, which deals specifically with the appointments of chairs and deputy chairs of boards.</w:t>
      </w:r>
    </w:p>
    <w:p w:rsidR="00A52216" w:rsidRDefault="00A52216" w:rsidP="00BF605B">
      <w:pPr>
        <w:rPr>
          <w:rFonts w:ascii="Calibri" w:hAnsi="Calibri"/>
          <w:b/>
          <w:bCs/>
        </w:rPr>
      </w:pPr>
      <w:r>
        <w:rPr>
          <w:rFonts w:ascii="Calibri" w:hAnsi="Calibri"/>
          <w:b/>
          <w:bCs/>
        </w:rPr>
        <w:t>This comment does not require a response from the Minister.</w:t>
      </w:r>
    </w:p>
    <w:p w:rsidR="00A52216" w:rsidRPr="00A52216" w:rsidRDefault="00A52216" w:rsidP="00A52216">
      <w:pPr>
        <w:pStyle w:val="Heading4nonumber"/>
        <w:spacing w:before="220" w:after="220" w:line="280" w:lineRule="atLeast"/>
        <w:rPr>
          <w:sz w:val="22"/>
          <w:szCs w:val="22"/>
        </w:rPr>
      </w:pPr>
      <w:r w:rsidRPr="00A52216">
        <w:rPr>
          <w:sz w:val="22"/>
          <w:szCs w:val="22"/>
        </w:rPr>
        <w:lastRenderedPageBreak/>
        <w:t>Fees determination / Instrument being re-made soon after being made</w:t>
      </w:r>
    </w:p>
    <w:p w:rsidR="00A52216" w:rsidRPr="00F42334" w:rsidRDefault="00A52216" w:rsidP="00AF2125">
      <w:pPr>
        <w:pStyle w:val="Bodycopy"/>
        <w:tabs>
          <w:tab w:val="clear" w:pos="1276"/>
          <w:tab w:val="left" w:pos="0"/>
        </w:tabs>
        <w:spacing w:before="160" w:after="160" w:line="280" w:lineRule="exact"/>
        <w:rPr>
          <w:b/>
          <w:color w:val="auto"/>
        </w:rPr>
      </w:pPr>
      <w:r w:rsidRPr="00F42334">
        <w:rPr>
          <w:b/>
          <w:color w:val="auto"/>
        </w:rPr>
        <w:t xml:space="preserve">Disallowable Instrument DI2020-171 being the </w:t>
      </w:r>
      <w:bookmarkStart w:id="516" w:name="_Hlk46131729"/>
      <w:r w:rsidRPr="00F42334">
        <w:rPr>
          <w:b/>
          <w:color w:val="auto"/>
        </w:rPr>
        <w:t xml:space="preserve">Lotteries (Fees) Determination 2020 (No 2) </w:t>
      </w:r>
      <w:bookmarkEnd w:id="516"/>
      <w:r w:rsidRPr="00F42334">
        <w:rPr>
          <w:b/>
          <w:color w:val="auto"/>
        </w:rPr>
        <w:t xml:space="preserve">made under section 18A of the </w:t>
      </w:r>
      <w:r w:rsidRPr="00F42334">
        <w:rPr>
          <w:i/>
          <w:color w:val="auto"/>
        </w:rPr>
        <w:t>Lotteries Act 1964</w:t>
      </w:r>
      <w:r w:rsidRPr="00F42334">
        <w:rPr>
          <w:b/>
          <w:color w:val="auto"/>
        </w:rPr>
        <w:t xml:space="preserve"> revokes DI2020-132 and determines fees payable for the purposes of the Act.</w:t>
      </w:r>
    </w:p>
    <w:p w:rsidR="00A52216" w:rsidRDefault="00A52216" w:rsidP="00A52216">
      <w:pPr>
        <w:spacing w:before="120" w:after="120"/>
        <w:rPr>
          <w:rFonts w:ascii="Calibri" w:hAnsi="Calibri"/>
        </w:rPr>
      </w:pPr>
      <w:r>
        <w:rPr>
          <w:rFonts w:ascii="Calibri" w:hAnsi="Calibri"/>
        </w:rPr>
        <w:t xml:space="preserve">This instrument determines fees for the </w:t>
      </w:r>
      <w:r>
        <w:rPr>
          <w:rFonts w:ascii="Calibri" w:hAnsi="Calibri"/>
          <w:i/>
          <w:iCs/>
        </w:rPr>
        <w:t>Lotteries Act 1964</w:t>
      </w:r>
      <w:r>
        <w:rPr>
          <w:rFonts w:ascii="Calibri" w:hAnsi="Calibri"/>
        </w:rPr>
        <w:t xml:space="preserve">.  It revokes and replaces the </w:t>
      </w:r>
      <w:r w:rsidRPr="00C70C5F">
        <w:rPr>
          <w:rFonts w:ascii="Calibri" w:hAnsi="Calibri"/>
        </w:rPr>
        <w:t xml:space="preserve">Lotteries (Fees) Determination 2020 (No </w:t>
      </w:r>
      <w:r>
        <w:rPr>
          <w:rFonts w:ascii="Calibri" w:hAnsi="Calibri"/>
        </w:rPr>
        <w:t>1</w:t>
      </w:r>
      <w:r w:rsidRPr="00C70C5F">
        <w:rPr>
          <w:rFonts w:ascii="Calibri" w:hAnsi="Calibri"/>
        </w:rPr>
        <w:t>)</w:t>
      </w:r>
      <w:r>
        <w:rPr>
          <w:rFonts w:ascii="Calibri" w:hAnsi="Calibri"/>
        </w:rPr>
        <w:t xml:space="preserve"> (DI2020-132), which the Committee commented on in </w:t>
      </w:r>
      <w:r>
        <w:rPr>
          <w:rFonts w:ascii="Calibri" w:hAnsi="Calibri"/>
          <w:i/>
          <w:iCs/>
        </w:rPr>
        <w:t xml:space="preserve">Scrutiny Report 46 </w:t>
      </w:r>
      <w:r>
        <w:rPr>
          <w:rFonts w:ascii="Calibri" w:hAnsi="Calibri"/>
        </w:rPr>
        <w:t xml:space="preserve">of the </w:t>
      </w:r>
      <w:r w:rsidRPr="00AF2125">
        <w:rPr>
          <w:rFonts w:ascii="Calibri" w:hAnsi="Calibri"/>
          <w:i/>
        </w:rPr>
        <w:t>9</w:t>
      </w:r>
      <w:r w:rsidRPr="00AF2125">
        <w:rPr>
          <w:rFonts w:ascii="Calibri" w:hAnsi="Calibri"/>
          <w:i/>
          <w:vertAlign w:val="superscript"/>
        </w:rPr>
        <w:t>th</w:t>
      </w:r>
      <w:r w:rsidRPr="00AF2125">
        <w:rPr>
          <w:rFonts w:ascii="Calibri" w:hAnsi="Calibri"/>
          <w:i/>
        </w:rPr>
        <w:t xml:space="preserve"> Assembly</w:t>
      </w:r>
      <w:r>
        <w:rPr>
          <w:rFonts w:ascii="Calibri" w:hAnsi="Calibri"/>
        </w:rPr>
        <w:t xml:space="preserve"> (21 July 2020).  In that </w:t>
      </w:r>
      <w:r>
        <w:rPr>
          <w:rFonts w:ascii="Calibri" w:hAnsi="Calibri"/>
          <w:i/>
          <w:iCs/>
        </w:rPr>
        <w:t>Scrutiny Report</w:t>
      </w:r>
      <w:r>
        <w:rPr>
          <w:rFonts w:ascii="Calibri" w:hAnsi="Calibri"/>
        </w:rPr>
        <w:t xml:space="preserve">, the Committee drew the attention of the Legislative Assembly to the earlier instrument, </w:t>
      </w:r>
      <w:r w:rsidRPr="00C70C5F">
        <w:rPr>
          <w:rFonts w:ascii="Calibri" w:hAnsi="Calibri"/>
        </w:rPr>
        <w:t>under principle (2) of the Committee’s terms of reference, on the basis that the explanatory statement for the instrument d</w:t>
      </w:r>
      <w:r>
        <w:rPr>
          <w:rFonts w:ascii="Calibri" w:hAnsi="Calibri"/>
        </w:rPr>
        <w:t>id</w:t>
      </w:r>
      <w:r w:rsidRPr="00C70C5F">
        <w:rPr>
          <w:rFonts w:ascii="Calibri" w:hAnsi="Calibri"/>
        </w:rPr>
        <w:t xml:space="preserve"> not meet the technical or stylistic standards expected by the Committee</w:t>
      </w:r>
      <w:r>
        <w:rPr>
          <w:rFonts w:ascii="Calibri" w:hAnsi="Calibri"/>
        </w:rPr>
        <w:t>.  The particular issue was that the explanatory statement for the instrument did not meet the Committee’s expectations for fees determinations, in terms of identifying the “old” fee, the new fee, the percentage of any increase and, also, the reasons for any increase.</w:t>
      </w:r>
    </w:p>
    <w:p w:rsidR="00A52216" w:rsidRDefault="00A52216" w:rsidP="00A52216">
      <w:pPr>
        <w:spacing w:before="120" w:after="120"/>
        <w:rPr>
          <w:rFonts w:ascii="Calibri" w:hAnsi="Calibri"/>
        </w:rPr>
      </w:pPr>
      <w:r>
        <w:rPr>
          <w:rFonts w:ascii="Calibri" w:hAnsi="Calibri"/>
        </w:rPr>
        <w:t>The Committee notes that the earlier instrument was made on 26 May 2020.  The current instrument was made on 16 June 2020.  No explanation is provided as to why it was necessary to revoke and re-make the earlier instrument so soon after it was made.</w:t>
      </w:r>
    </w:p>
    <w:p w:rsidR="00A52216" w:rsidRDefault="00A52216" w:rsidP="00A52216">
      <w:pPr>
        <w:spacing w:before="120" w:after="120"/>
        <w:rPr>
          <w:rFonts w:ascii="Calibri" w:hAnsi="Calibri"/>
        </w:rPr>
      </w:pPr>
      <w:r>
        <w:rPr>
          <w:rFonts w:ascii="Calibri" w:hAnsi="Calibri"/>
        </w:rPr>
        <w:t xml:space="preserve">Unlike the earlier instrument, which appeared to maintain the previous financial year’s level of fees (though, as the Committee observed in </w:t>
      </w:r>
      <w:r>
        <w:rPr>
          <w:rFonts w:ascii="Calibri" w:hAnsi="Calibri"/>
          <w:i/>
          <w:iCs/>
        </w:rPr>
        <w:t>Scrutiny Report 46</w:t>
      </w:r>
      <w:r>
        <w:rPr>
          <w:rFonts w:ascii="Calibri" w:hAnsi="Calibri"/>
        </w:rPr>
        <w:t>, this issue was not addressed in the explanatory statement for the previous instrument), the current instrument increases the relevant fees.  The explanatory statement for the current instrument states:</w:t>
      </w:r>
    </w:p>
    <w:p w:rsidR="00A52216" w:rsidRPr="00B76C99" w:rsidRDefault="00A52216" w:rsidP="00AF2125">
      <w:pPr>
        <w:overflowPunct w:val="0"/>
        <w:autoSpaceDE w:val="0"/>
        <w:autoSpaceDN w:val="0"/>
        <w:adjustRightInd w:val="0"/>
        <w:spacing w:before="120" w:after="120"/>
        <w:ind w:left="360"/>
        <w:textAlignment w:val="baseline"/>
        <w:rPr>
          <w:rFonts w:ascii="Calibri" w:hAnsi="Calibri" w:cs="Calibri"/>
        </w:rPr>
      </w:pPr>
      <w:r w:rsidRPr="00B76C99">
        <w:rPr>
          <w:rFonts w:ascii="Calibri" w:hAnsi="Calibri" w:cs="Calibri"/>
        </w:rPr>
        <w:t>This instrument increases fees by Wage Price Index of 2.0 percent in accordance with Government policy regarding regulatory fee increases for 2020-2021. R</w:t>
      </w:r>
      <w:r w:rsidRPr="00B76C99">
        <w:rPr>
          <w:rFonts w:ascii="Calibri" w:hAnsi="Calibri" w:cs="Calibri"/>
          <w:bCs/>
        </w:rPr>
        <w:t xml:space="preserve">ounding to the nearest dollar has occurred in relation to the increases. </w:t>
      </w:r>
      <w:r w:rsidRPr="00B76C99">
        <w:rPr>
          <w:rFonts w:ascii="Calibri" w:hAnsi="Calibri" w:cs="Calibri"/>
        </w:rPr>
        <w:t>A comparative table indicating the previous and revised fees is included as an Attachment to this Explanatory Statement.</w:t>
      </w:r>
    </w:p>
    <w:p w:rsidR="00A52216" w:rsidRDefault="00A52216" w:rsidP="00A52216">
      <w:pPr>
        <w:spacing w:before="120" w:after="120"/>
        <w:rPr>
          <w:rFonts w:ascii="Calibri" w:hAnsi="Calibri"/>
        </w:rPr>
      </w:pPr>
      <w:r>
        <w:rPr>
          <w:rFonts w:ascii="Calibri" w:hAnsi="Calibri"/>
        </w:rPr>
        <w:t>The Committee notes, with approval, that (unlike the previous instrument) the explanatory statement for the current instrument addresses the Committee’s expectations in relation to fees determinations.  However, the Committee seeks the Minister’s advice as to why it was necessary to revoke and re-make the previous instrument, so soon after it was made.</w:t>
      </w:r>
    </w:p>
    <w:p w:rsidR="00A52216" w:rsidRDefault="00A52216" w:rsidP="00A52216">
      <w:pPr>
        <w:spacing w:before="120" w:after="120"/>
        <w:rPr>
          <w:rFonts w:ascii="Calibri" w:hAnsi="Calibri"/>
          <w:b/>
          <w:bCs/>
        </w:rPr>
      </w:pPr>
      <w:r>
        <w:rPr>
          <w:rFonts w:ascii="Calibri" w:hAnsi="Calibri"/>
          <w:b/>
          <w:bCs/>
        </w:rPr>
        <w:t>This comment requires a response from the Minister.</w:t>
      </w:r>
    </w:p>
    <w:p w:rsidR="00A52216" w:rsidRPr="00A52216" w:rsidRDefault="00A52216" w:rsidP="00A52216">
      <w:pPr>
        <w:pStyle w:val="Heading4nonumber"/>
        <w:spacing w:before="220" w:after="220" w:line="280" w:lineRule="atLeast"/>
        <w:rPr>
          <w:sz w:val="22"/>
          <w:szCs w:val="22"/>
        </w:rPr>
      </w:pPr>
      <w:r w:rsidRPr="00A52216">
        <w:rPr>
          <w:sz w:val="22"/>
          <w:szCs w:val="22"/>
        </w:rPr>
        <w:t>Human rights issues</w:t>
      </w:r>
    </w:p>
    <w:p w:rsidR="00A52216" w:rsidRPr="00842199" w:rsidRDefault="00A52216" w:rsidP="00AF2125">
      <w:pPr>
        <w:pStyle w:val="Bodycopy"/>
        <w:tabs>
          <w:tab w:val="clear" w:pos="1276"/>
          <w:tab w:val="left" w:pos="360"/>
        </w:tabs>
        <w:spacing w:before="160" w:after="160" w:line="280" w:lineRule="exact"/>
        <w:rPr>
          <w:b/>
        </w:rPr>
      </w:pPr>
      <w:r>
        <w:rPr>
          <w:b/>
        </w:rPr>
        <w:t>Disallowable Instrument</w:t>
      </w:r>
      <w:r w:rsidRPr="00451C85">
        <w:rPr>
          <w:b/>
        </w:rPr>
        <w:t xml:space="preserve"> </w:t>
      </w:r>
      <w:r>
        <w:rPr>
          <w:b/>
        </w:rPr>
        <w:t>DI2020-174</w:t>
      </w:r>
      <w:r w:rsidRPr="00451C85">
        <w:rPr>
          <w:b/>
        </w:rPr>
        <w:t xml:space="preserve"> being the </w:t>
      </w:r>
      <w:r>
        <w:rPr>
          <w:b/>
        </w:rPr>
        <w:t xml:space="preserve">Electricity Feed-in (Large-scale Renewable Energy Generation) FiT Support Payment Assessment Method 2020 made under section 17A of the </w:t>
      </w:r>
      <w:r>
        <w:rPr>
          <w:i/>
        </w:rPr>
        <w:t>Electricity Feed-in (Large-scale Renewable Energy Generation) Act 2011</w:t>
      </w:r>
      <w:r w:rsidRPr="00236BDD">
        <w:rPr>
          <w:b/>
        </w:rPr>
        <w:t xml:space="preserve"> </w:t>
      </w:r>
      <w:r>
        <w:rPr>
          <w:b/>
        </w:rPr>
        <w:t>approves an assessment method that sets a payment of zero dollars when spot price values for eligible electricity drop below negative twenty dollars.</w:t>
      </w:r>
    </w:p>
    <w:p w:rsidR="00A52216" w:rsidRDefault="00A52216" w:rsidP="00AF2125">
      <w:pPr>
        <w:rPr>
          <w:rFonts w:ascii="Calibri" w:hAnsi="Calibri"/>
          <w:color w:val="000000"/>
        </w:rPr>
      </w:pPr>
      <w:r w:rsidRPr="00B76C99">
        <w:rPr>
          <w:rFonts w:ascii="Calibri" w:hAnsi="Calibri"/>
          <w:color w:val="000000"/>
        </w:rPr>
        <w:t xml:space="preserve">This instrument approves an “assessment method”, for section 17A of the </w:t>
      </w:r>
      <w:r w:rsidRPr="00B76C99">
        <w:rPr>
          <w:rFonts w:ascii="Calibri" w:hAnsi="Calibri" w:cs="Calibri"/>
          <w:i/>
        </w:rPr>
        <w:t>Electricity Feed-in (Large-scale Renewable Energy Generation) Act 2011</w:t>
      </w:r>
      <w:r w:rsidRPr="00B76C99">
        <w:rPr>
          <w:rFonts w:ascii="Calibri" w:hAnsi="Calibri" w:cs="Calibri"/>
          <w:iCs/>
        </w:rPr>
        <w:t>,</w:t>
      </w:r>
      <w:r w:rsidRPr="00B76C99">
        <w:rPr>
          <w:rFonts w:ascii="Calibri" w:hAnsi="Calibri" w:cs="Calibri"/>
          <w:b/>
        </w:rPr>
        <w:t xml:space="preserve"> </w:t>
      </w:r>
      <w:r w:rsidRPr="00B76C99">
        <w:rPr>
          <w:rFonts w:ascii="Calibri" w:hAnsi="Calibri" w:cs="Calibri"/>
          <w:color w:val="000000"/>
        </w:rPr>
        <w:t>that is to be a</w:t>
      </w:r>
      <w:r w:rsidRPr="00B76C99">
        <w:rPr>
          <w:rFonts w:ascii="Calibri" w:hAnsi="Calibri"/>
          <w:color w:val="000000"/>
        </w:rPr>
        <w:t xml:space="preserve">pplied to “FiT entitlements”.  “FiT” refers to a “feed-in tariff”.  </w:t>
      </w:r>
      <w:r w:rsidRPr="00D361E9">
        <w:rPr>
          <w:rFonts w:ascii="Calibri" w:hAnsi="Calibri"/>
          <w:color w:val="000000"/>
        </w:rPr>
        <w:t xml:space="preserve">FiTs represent a guaranteed price for the energy created by </w:t>
      </w:r>
      <w:r>
        <w:rPr>
          <w:rFonts w:ascii="Calibri" w:hAnsi="Calibri"/>
          <w:color w:val="000000"/>
        </w:rPr>
        <w:t xml:space="preserve">renewable energy </w:t>
      </w:r>
      <w:r w:rsidRPr="00D361E9">
        <w:rPr>
          <w:rFonts w:ascii="Calibri" w:hAnsi="Calibri"/>
          <w:color w:val="000000"/>
        </w:rPr>
        <w:t>generators.</w:t>
      </w:r>
      <w:r>
        <w:rPr>
          <w:rFonts w:ascii="Calibri" w:hAnsi="Calibri"/>
          <w:color w:val="000000"/>
        </w:rPr>
        <w:t xml:space="preserve">  </w:t>
      </w:r>
      <w:r w:rsidRPr="00B76C99">
        <w:rPr>
          <w:rFonts w:ascii="Calibri" w:hAnsi="Calibri"/>
          <w:color w:val="000000"/>
        </w:rPr>
        <w:t>A “</w:t>
      </w:r>
      <w:r w:rsidRPr="00F8724F">
        <w:rPr>
          <w:rFonts w:ascii="Calibri" w:hAnsi="Calibri"/>
          <w:color w:val="000000"/>
        </w:rPr>
        <w:t>FiT entitlement</w:t>
      </w:r>
      <w:r>
        <w:rPr>
          <w:rFonts w:ascii="Calibri" w:hAnsi="Calibri"/>
          <w:color w:val="000000"/>
        </w:rPr>
        <w:t>”</w:t>
      </w:r>
      <w:r w:rsidRPr="00F8724F">
        <w:rPr>
          <w:rFonts w:ascii="Calibri" w:hAnsi="Calibri"/>
          <w:color w:val="000000"/>
        </w:rPr>
        <w:t xml:space="preserve"> </w:t>
      </w:r>
      <w:r>
        <w:rPr>
          <w:rFonts w:ascii="Calibri" w:hAnsi="Calibri"/>
          <w:color w:val="000000"/>
        </w:rPr>
        <w:t xml:space="preserve">is </w:t>
      </w:r>
      <w:r w:rsidRPr="00F8724F">
        <w:rPr>
          <w:rFonts w:ascii="Calibri" w:hAnsi="Calibri"/>
          <w:color w:val="000000"/>
        </w:rPr>
        <w:t xml:space="preserve">a right for the holder of a FiT entitlement to receive FiT support payments under </w:t>
      </w:r>
      <w:r>
        <w:rPr>
          <w:rFonts w:ascii="Calibri" w:hAnsi="Calibri"/>
          <w:color w:val="000000"/>
        </w:rPr>
        <w:t>P</w:t>
      </w:r>
      <w:r w:rsidRPr="00F8724F">
        <w:rPr>
          <w:rFonts w:ascii="Calibri" w:hAnsi="Calibri"/>
          <w:color w:val="000000"/>
        </w:rPr>
        <w:t xml:space="preserve">art 4 </w:t>
      </w:r>
      <w:r>
        <w:rPr>
          <w:rFonts w:ascii="Calibri" w:hAnsi="Calibri"/>
          <w:color w:val="000000"/>
        </w:rPr>
        <w:t>of the</w:t>
      </w:r>
      <w:r w:rsidRPr="00D361E9">
        <w:t xml:space="preserve"> </w:t>
      </w:r>
      <w:r w:rsidRPr="00D361E9">
        <w:rPr>
          <w:rFonts w:ascii="Calibri" w:hAnsi="Calibri"/>
          <w:color w:val="000000"/>
        </w:rPr>
        <w:t>Electricity Feed-in (Large-scale Renewable Energy Generation) Act</w:t>
      </w:r>
      <w:r>
        <w:rPr>
          <w:rFonts w:ascii="Calibri" w:hAnsi="Calibri"/>
          <w:color w:val="000000"/>
        </w:rPr>
        <w:t>.</w:t>
      </w:r>
    </w:p>
    <w:p w:rsidR="00A52216" w:rsidRDefault="00A52216" w:rsidP="00AF2125">
      <w:pPr>
        <w:rPr>
          <w:rFonts w:ascii="Calibri" w:hAnsi="Calibri"/>
          <w:color w:val="000000"/>
        </w:rPr>
      </w:pPr>
      <w:r>
        <w:rPr>
          <w:rFonts w:ascii="Calibri" w:hAnsi="Calibri"/>
          <w:color w:val="000000"/>
        </w:rPr>
        <w:t>The Committee notes that the explanatory statement addresses possible human rights implications of the instrument, stating:</w:t>
      </w:r>
    </w:p>
    <w:p w:rsidR="00A52216" w:rsidRPr="00D361E9" w:rsidRDefault="00A52216" w:rsidP="00AF2125">
      <w:pPr>
        <w:ind w:left="360"/>
        <w:rPr>
          <w:rFonts w:ascii="Calibri" w:hAnsi="Calibri"/>
          <w:b/>
          <w:bCs/>
          <w:color w:val="000000"/>
        </w:rPr>
      </w:pPr>
      <w:r w:rsidRPr="00D361E9">
        <w:rPr>
          <w:rFonts w:ascii="Calibri" w:hAnsi="Calibri"/>
          <w:b/>
          <w:bCs/>
          <w:color w:val="000000"/>
        </w:rPr>
        <w:lastRenderedPageBreak/>
        <w:t>Human Rights</w:t>
      </w:r>
    </w:p>
    <w:p w:rsidR="00A52216" w:rsidRDefault="00A52216" w:rsidP="00AF2125">
      <w:pPr>
        <w:ind w:left="360"/>
        <w:rPr>
          <w:rFonts w:ascii="Calibri" w:hAnsi="Calibri"/>
          <w:color w:val="000000"/>
        </w:rPr>
      </w:pPr>
      <w:r w:rsidRPr="00D361E9">
        <w:rPr>
          <w:rFonts w:ascii="Calibri" w:hAnsi="Calibri"/>
          <w:color w:val="000000"/>
        </w:rPr>
        <w:t>This instrument does not engage with or limit any human rights.</w:t>
      </w:r>
    </w:p>
    <w:p w:rsidR="00A52216" w:rsidRPr="000C60C8" w:rsidRDefault="00A52216" w:rsidP="00AF2125">
      <w:pPr>
        <w:rPr>
          <w:rFonts w:ascii="Calibri" w:hAnsi="Calibri" w:cs="Calibri"/>
        </w:rPr>
      </w:pPr>
      <w:r w:rsidRPr="00A66BED">
        <w:rPr>
          <w:rFonts w:ascii="Calibri" w:hAnsi="Calibri" w:cs="Calibri"/>
          <w:b/>
          <w:bCs/>
        </w:rPr>
        <w:t>The Committee draws the attention of the Legislative Assembly to the discussion of human rights issues in the explanatory statement for th</w:t>
      </w:r>
      <w:r>
        <w:rPr>
          <w:rFonts w:ascii="Calibri" w:hAnsi="Calibri" w:cs="Calibri"/>
          <w:b/>
          <w:bCs/>
        </w:rPr>
        <w:t>is</w:t>
      </w:r>
      <w:r w:rsidRPr="00A66BED">
        <w:rPr>
          <w:rFonts w:ascii="Calibri" w:hAnsi="Calibri" w:cs="Calibri"/>
          <w:b/>
          <w:bCs/>
        </w:rPr>
        <w:t xml:space="preserve"> instrument.</w:t>
      </w:r>
    </w:p>
    <w:p w:rsidR="00A52216" w:rsidRDefault="00A52216" w:rsidP="00AF2125">
      <w:pPr>
        <w:pStyle w:val="Paper"/>
        <w:spacing w:before="220" w:after="220" w:line="280" w:lineRule="exact"/>
        <w:rPr>
          <w:rFonts w:ascii="Calibri" w:hAnsi="Calibri" w:cs="Calibri"/>
          <w:b/>
          <w:bCs/>
          <w:sz w:val="22"/>
          <w:szCs w:val="22"/>
          <w:lang w:eastAsia="en-AU"/>
        </w:rPr>
      </w:pPr>
      <w:r w:rsidRPr="00A66BED">
        <w:rPr>
          <w:rFonts w:ascii="Calibri" w:hAnsi="Calibri" w:cs="Calibri"/>
          <w:b/>
          <w:bCs/>
          <w:sz w:val="22"/>
          <w:szCs w:val="22"/>
          <w:lang w:eastAsia="en-AU"/>
        </w:rPr>
        <w:t>This comment does not require a response from the Minister.</w:t>
      </w:r>
    </w:p>
    <w:p w:rsidR="00A52216" w:rsidRPr="00A52216" w:rsidRDefault="00A52216" w:rsidP="00A52216">
      <w:pPr>
        <w:pStyle w:val="Heading4nonumber"/>
        <w:spacing w:before="220" w:after="220" w:line="280" w:lineRule="atLeast"/>
        <w:rPr>
          <w:sz w:val="22"/>
          <w:szCs w:val="22"/>
        </w:rPr>
      </w:pPr>
      <w:r w:rsidRPr="00A52216">
        <w:rPr>
          <w:sz w:val="22"/>
          <w:szCs w:val="22"/>
        </w:rPr>
        <w:t>COVID-19-related instrument / Retrospectivity</w:t>
      </w:r>
    </w:p>
    <w:p w:rsidR="00A52216" w:rsidRPr="003223DA" w:rsidRDefault="00A52216" w:rsidP="00AF2125">
      <w:pPr>
        <w:spacing w:before="240" w:after="0"/>
        <w:rPr>
          <w:rFonts w:ascii="Calibri" w:eastAsia="Calibri" w:hAnsi="Calibri" w:cs="Calibri"/>
          <w:b/>
          <w:bCs/>
          <w:color w:val="000000"/>
        </w:rPr>
      </w:pPr>
      <w:r w:rsidRPr="003223DA">
        <w:rPr>
          <w:rFonts w:ascii="Calibri" w:eastAsia="Calibri" w:hAnsi="Calibri" w:cs="Calibri"/>
          <w:b/>
          <w:bCs/>
          <w:color w:val="000000"/>
        </w:rPr>
        <w:t xml:space="preserve">Disallowable Instrument DI2020-175 being the Road Transport (General) Certificate of Inspection Application Order 2020 (No 1) made under section 14 of the </w:t>
      </w:r>
      <w:r w:rsidRPr="003223DA">
        <w:rPr>
          <w:rFonts w:ascii="Calibri" w:eastAsia="Calibri" w:hAnsi="Calibri" w:cs="Calibri"/>
          <w:i/>
          <w:iCs/>
          <w:color w:val="000000"/>
        </w:rPr>
        <w:t>Road Transport (General) Act 1999</w:t>
      </w:r>
      <w:r w:rsidRPr="003223DA">
        <w:rPr>
          <w:rFonts w:ascii="Calibri" w:eastAsia="Calibri" w:hAnsi="Calibri" w:cs="Calibri"/>
          <w:b/>
          <w:bCs/>
          <w:color w:val="000000"/>
        </w:rPr>
        <w:t xml:space="preserve"> extends the period for which a certificate of inspection is in force under subsection 146(3) of the </w:t>
      </w:r>
      <w:r w:rsidRPr="003223DA">
        <w:rPr>
          <w:rFonts w:ascii="Calibri" w:eastAsia="Calibri" w:hAnsi="Calibri" w:cs="Calibri"/>
          <w:b/>
          <w:bCs/>
          <w:i/>
          <w:iCs/>
          <w:color w:val="000000"/>
        </w:rPr>
        <w:t>Road Transport (Vehicle Registration) Regulation 2000</w:t>
      </w:r>
      <w:r w:rsidRPr="003223DA">
        <w:rPr>
          <w:rFonts w:ascii="Calibri" w:eastAsia="Calibri" w:hAnsi="Calibri" w:cs="Calibri"/>
          <w:b/>
          <w:bCs/>
          <w:color w:val="000000"/>
        </w:rPr>
        <w:t xml:space="preserve"> from one month to three months. </w:t>
      </w:r>
    </w:p>
    <w:p w:rsidR="00A52216" w:rsidRDefault="00A52216" w:rsidP="00AF2125">
      <w:pPr>
        <w:widowControl w:val="0"/>
        <w:tabs>
          <w:tab w:val="left" w:pos="1276"/>
        </w:tabs>
        <w:rPr>
          <w:rFonts w:ascii="Calibri" w:hAnsi="Calibri"/>
        </w:rPr>
      </w:pPr>
      <w:r w:rsidRPr="00294781">
        <w:rPr>
          <w:rFonts w:ascii="Calibri" w:hAnsi="Calibri"/>
        </w:rPr>
        <w:t>This</w:t>
      </w:r>
      <w:r>
        <w:rPr>
          <w:rFonts w:ascii="Calibri" w:hAnsi="Calibri"/>
        </w:rPr>
        <w:t xml:space="preserve"> instrument is made under section 14 of the </w:t>
      </w:r>
      <w:r>
        <w:rPr>
          <w:rFonts w:ascii="Calibri" w:hAnsi="Calibri"/>
          <w:i/>
          <w:iCs/>
        </w:rPr>
        <w:t>Road Transport (General) Act 1999</w:t>
      </w:r>
      <w:r w:rsidRPr="00294781">
        <w:rPr>
          <w:rFonts w:ascii="Calibri" w:hAnsi="Calibri"/>
        </w:rPr>
        <w:t>, which allows the Minister to order that the operation of regulations made under the road transport legislation, or a provision of such regulations, is suspended for a stated period, or varied in the way stated in the order.  This instrument varies</w:t>
      </w:r>
      <w:r>
        <w:rPr>
          <w:rFonts w:ascii="Calibri" w:hAnsi="Calibri"/>
        </w:rPr>
        <w:t xml:space="preserve"> subsection 146(3) of the </w:t>
      </w:r>
      <w:r>
        <w:rPr>
          <w:rFonts w:ascii="Calibri" w:hAnsi="Calibri"/>
          <w:i/>
          <w:iCs/>
        </w:rPr>
        <w:t>Road Transport (Vehicle Registration) Regulation 2000</w:t>
      </w:r>
      <w:r>
        <w:rPr>
          <w:rFonts w:ascii="Calibri" w:hAnsi="Calibri"/>
        </w:rPr>
        <w:t xml:space="preserve">.  The effect </w:t>
      </w:r>
      <w:r w:rsidR="00AF2125">
        <w:rPr>
          <w:rFonts w:ascii="Calibri" w:hAnsi="Calibri"/>
        </w:rPr>
        <w:t>is to extend the period of time—</w:t>
      </w:r>
      <w:r>
        <w:rPr>
          <w:rFonts w:ascii="Calibri" w:hAnsi="Calibri"/>
        </w:rPr>
        <w:t xml:space="preserve">from </w:t>
      </w:r>
      <w:r w:rsidR="00AF2125">
        <w:rPr>
          <w:rFonts w:ascii="Calibri" w:hAnsi="Calibri"/>
        </w:rPr>
        <w:t>1 month to 3 months—</w:t>
      </w:r>
      <w:r>
        <w:rPr>
          <w:rFonts w:ascii="Calibri" w:hAnsi="Calibri"/>
        </w:rPr>
        <w:t>that a certificate of inspection (for a vehicle) remains in force.  The variation is made retrospect</w:t>
      </w:r>
      <w:r w:rsidR="00AF2125">
        <w:rPr>
          <w:rFonts w:ascii="Calibri" w:hAnsi="Calibri"/>
        </w:rPr>
        <w:t>ively, to 1 </w:t>
      </w:r>
      <w:r>
        <w:rPr>
          <w:rFonts w:ascii="Calibri" w:hAnsi="Calibri"/>
        </w:rPr>
        <w:t>March 2020.</w:t>
      </w:r>
    </w:p>
    <w:p w:rsidR="00A52216" w:rsidRDefault="00A52216" w:rsidP="00AF2125">
      <w:pPr>
        <w:widowControl w:val="0"/>
        <w:tabs>
          <w:tab w:val="left" w:pos="1276"/>
        </w:tabs>
        <w:rPr>
          <w:rFonts w:ascii="Calibri" w:hAnsi="Calibri"/>
        </w:rPr>
      </w:pPr>
      <w:r>
        <w:rPr>
          <w:rFonts w:ascii="Calibri" w:hAnsi="Calibri"/>
        </w:rPr>
        <w:t>The Committee notes that the explanatory statement for the instrument states:</w:t>
      </w:r>
    </w:p>
    <w:p w:rsidR="00A52216" w:rsidRPr="00B76C99" w:rsidRDefault="00A52216" w:rsidP="00AF2125">
      <w:pPr>
        <w:ind w:left="360"/>
        <w:rPr>
          <w:rFonts w:ascii="Calibri" w:hAnsi="Calibri" w:cs="Calibri"/>
        </w:rPr>
      </w:pPr>
      <w:r w:rsidRPr="00B76C99">
        <w:rPr>
          <w:rFonts w:ascii="Calibri" w:hAnsi="Calibri" w:cs="Calibri"/>
        </w:rPr>
        <w:t>This order provides for retrospective application from 1 March 2020.</w:t>
      </w:r>
    </w:p>
    <w:p w:rsidR="00A52216" w:rsidRPr="00B76C99" w:rsidRDefault="00A52216" w:rsidP="00AF2125">
      <w:pPr>
        <w:tabs>
          <w:tab w:val="left" w:pos="2600"/>
        </w:tabs>
        <w:autoSpaceDE w:val="0"/>
        <w:autoSpaceDN w:val="0"/>
        <w:adjustRightInd w:val="0"/>
        <w:ind w:left="360"/>
        <w:rPr>
          <w:rFonts w:ascii="Calibri" w:hAnsi="Calibri" w:cs="Calibri"/>
        </w:rPr>
      </w:pPr>
      <w:r w:rsidRPr="00B76C99">
        <w:rPr>
          <w:rFonts w:ascii="Calibri" w:hAnsi="Calibri" w:cs="Calibri"/>
        </w:rPr>
        <w:t>The retrospective application is non-prejudicial and is necessary to ensure that the holder of a certificate of inspection is not disadvantaged, as a result of the declaration of a public health emergency. The reforms order provides that applicants will not need to obtain another Certificate of Inspection to support registration transactions that are unable to be completed within a month of obtaining a Certificate of Inspection.</w:t>
      </w:r>
    </w:p>
    <w:p w:rsidR="00A52216" w:rsidRPr="00B76C99" w:rsidRDefault="00A52216" w:rsidP="00AF2125">
      <w:pPr>
        <w:rPr>
          <w:rFonts w:ascii="Calibri" w:hAnsi="Calibri" w:cs="Calibri"/>
          <w:bCs/>
        </w:rPr>
      </w:pPr>
      <w:r w:rsidRPr="00B76C99">
        <w:rPr>
          <w:rFonts w:ascii="Calibri" w:hAnsi="Calibri" w:cs="Calibri"/>
          <w:bCs/>
        </w:rPr>
        <w:t xml:space="preserve">The Committee notes, with approval, that the retrospectivity issue has been addressed, in the explanatory statement, in the context of the limitations set out in section 76 of the </w:t>
      </w:r>
      <w:r w:rsidR="00E77EF7">
        <w:rPr>
          <w:rFonts w:ascii="Calibri" w:hAnsi="Calibri" w:cs="Calibri"/>
          <w:bCs/>
          <w:i/>
          <w:iCs/>
        </w:rPr>
        <w:t>L</w:t>
      </w:r>
      <w:r w:rsidRPr="00B76C99">
        <w:rPr>
          <w:rFonts w:ascii="Calibri" w:hAnsi="Calibri" w:cs="Calibri"/>
          <w:bCs/>
          <w:i/>
          <w:iCs/>
        </w:rPr>
        <w:t>egislation Act 2001</w:t>
      </w:r>
      <w:r w:rsidRPr="00B76C99">
        <w:rPr>
          <w:rFonts w:ascii="Calibri" w:hAnsi="Calibri" w:cs="Calibri"/>
          <w:bCs/>
        </w:rPr>
        <w:t>.</w:t>
      </w:r>
    </w:p>
    <w:p w:rsidR="00A52216" w:rsidRPr="00B76C99" w:rsidRDefault="00A52216" w:rsidP="00AF2125">
      <w:pPr>
        <w:rPr>
          <w:rFonts w:ascii="Calibri" w:hAnsi="Calibri" w:cs="Calibri"/>
          <w:b/>
        </w:rPr>
      </w:pPr>
      <w:r w:rsidRPr="00B76C99">
        <w:rPr>
          <w:rFonts w:ascii="Calibri" w:hAnsi="Calibri" w:cs="Calibri"/>
          <w:b/>
        </w:rPr>
        <w:t>This comment does not require a response from the Minister.</w:t>
      </w:r>
    </w:p>
    <w:p w:rsidR="00A52216" w:rsidRDefault="00A52216" w:rsidP="00AF2125">
      <w:pPr>
        <w:rPr>
          <w:rFonts w:ascii="Calibri" w:hAnsi="Calibri"/>
          <w:color w:val="000000"/>
        </w:rPr>
      </w:pPr>
      <w:r>
        <w:rPr>
          <w:rFonts w:ascii="Calibri" w:hAnsi="Calibri"/>
          <w:color w:val="000000"/>
        </w:rPr>
        <w:t>The Committee notes that the explanatory statement also addresses possible human rights implications of the instrument, stating:</w:t>
      </w:r>
    </w:p>
    <w:p w:rsidR="00A52216" w:rsidRPr="00B76C99" w:rsidRDefault="00A52216" w:rsidP="00E77EF7">
      <w:pPr>
        <w:ind w:left="360"/>
        <w:rPr>
          <w:rFonts w:ascii="Calibri" w:hAnsi="Calibri" w:cs="Calibri"/>
          <w:b/>
        </w:rPr>
      </w:pPr>
      <w:r w:rsidRPr="00B76C99">
        <w:rPr>
          <w:rFonts w:ascii="Calibri" w:hAnsi="Calibri" w:cs="Calibri"/>
          <w:b/>
        </w:rPr>
        <w:t>Human rights implications</w:t>
      </w:r>
    </w:p>
    <w:p w:rsidR="00A52216" w:rsidRPr="00B76C99" w:rsidRDefault="00A52216" w:rsidP="00E77EF7">
      <w:pPr>
        <w:ind w:left="360"/>
        <w:rPr>
          <w:rFonts w:ascii="Calibri" w:hAnsi="Calibri" w:cs="Calibri"/>
        </w:rPr>
      </w:pPr>
      <w:r w:rsidRPr="00B76C99">
        <w:rPr>
          <w:rFonts w:ascii="Calibri" w:hAnsi="Calibri" w:cs="Calibri"/>
        </w:rPr>
        <w:t>There are no human rights implications arising from this instrument.</w:t>
      </w:r>
    </w:p>
    <w:p w:rsidR="00A52216" w:rsidRPr="000C60C8" w:rsidRDefault="00A52216" w:rsidP="00AF2125">
      <w:pPr>
        <w:rPr>
          <w:rFonts w:ascii="Calibri" w:hAnsi="Calibri" w:cs="Calibri"/>
        </w:rPr>
      </w:pPr>
      <w:bookmarkStart w:id="517" w:name="_Hlk46063355"/>
      <w:r w:rsidRPr="00A66BED">
        <w:rPr>
          <w:rFonts w:ascii="Calibri" w:hAnsi="Calibri" w:cs="Calibri"/>
          <w:b/>
          <w:bCs/>
        </w:rPr>
        <w:t>The Committee draws the attention of the Legislative Assembly to the discussion of human rights issues in the explanatory statement for th</w:t>
      </w:r>
      <w:r>
        <w:rPr>
          <w:rFonts w:ascii="Calibri" w:hAnsi="Calibri" w:cs="Calibri"/>
          <w:b/>
          <w:bCs/>
        </w:rPr>
        <w:t>is</w:t>
      </w:r>
      <w:r w:rsidRPr="00A66BED">
        <w:rPr>
          <w:rFonts w:ascii="Calibri" w:hAnsi="Calibri" w:cs="Calibri"/>
          <w:b/>
          <w:bCs/>
        </w:rPr>
        <w:t xml:space="preserve"> instrument.</w:t>
      </w:r>
    </w:p>
    <w:p w:rsidR="00A52216" w:rsidRDefault="00A52216" w:rsidP="00AF2125">
      <w:pPr>
        <w:pStyle w:val="Paper"/>
        <w:spacing w:before="220" w:after="220" w:line="280" w:lineRule="exact"/>
        <w:rPr>
          <w:rFonts w:ascii="Calibri" w:hAnsi="Calibri" w:cs="Calibri"/>
          <w:b/>
          <w:bCs/>
          <w:sz w:val="22"/>
          <w:szCs w:val="22"/>
          <w:lang w:eastAsia="en-AU"/>
        </w:rPr>
      </w:pPr>
      <w:r w:rsidRPr="00A66BED">
        <w:rPr>
          <w:rFonts w:ascii="Calibri" w:hAnsi="Calibri" w:cs="Calibri"/>
          <w:b/>
          <w:bCs/>
          <w:sz w:val="22"/>
          <w:szCs w:val="22"/>
          <w:lang w:eastAsia="en-AU"/>
        </w:rPr>
        <w:t>This comment does not require a response from the Minister.</w:t>
      </w:r>
    </w:p>
    <w:bookmarkEnd w:id="517"/>
    <w:p w:rsidR="00A52216" w:rsidRPr="00A52216" w:rsidRDefault="00A52216" w:rsidP="00A52216">
      <w:pPr>
        <w:pStyle w:val="Heading4nonumber"/>
        <w:spacing w:before="220" w:after="220" w:line="280" w:lineRule="atLeast"/>
        <w:rPr>
          <w:sz w:val="22"/>
          <w:szCs w:val="22"/>
        </w:rPr>
      </w:pPr>
      <w:r w:rsidRPr="00A52216">
        <w:rPr>
          <w:sz w:val="22"/>
          <w:szCs w:val="22"/>
        </w:rPr>
        <w:lastRenderedPageBreak/>
        <w:t>COVID-19-related instrument</w:t>
      </w:r>
    </w:p>
    <w:p w:rsidR="00A52216" w:rsidRPr="00842199" w:rsidRDefault="00A52216" w:rsidP="00E77EF7">
      <w:pPr>
        <w:pStyle w:val="Bodycopy"/>
        <w:tabs>
          <w:tab w:val="clear" w:pos="1276"/>
          <w:tab w:val="left" w:pos="360"/>
        </w:tabs>
        <w:spacing w:before="160" w:after="160" w:line="280" w:lineRule="exact"/>
        <w:rPr>
          <w:b/>
        </w:rPr>
      </w:pPr>
      <w:r>
        <w:rPr>
          <w:b/>
        </w:rPr>
        <w:t>Disallowable Instrument</w:t>
      </w:r>
      <w:r w:rsidRPr="00451C85">
        <w:rPr>
          <w:b/>
        </w:rPr>
        <w:t xml:space="preserve"> </w:t>
      </w:r>
      <w:r>
        <w:rPr>
          <w:b/>
        </w:rPr>
        <w:t>DI2020-176</w:t>
      </w:r>
      <w:r w:rsidRPr="00451C85">
        <w:rPr>
          <w:b/>
        </w:rPr>
        <w:t xml:space="preserve"> being the </w:t>
      </w:r>
      <w:r>
        <w:rPr>
          <w:b/>
        </w:rPr>
        <w:t xml:space="preserve">Taxation Administration (Amounts Payable—Rates) Determination 2020 made under paragraph 46(2)(f) of the </w:t>
      </w:r>
      <w:r>
        <w:rPr>
          <w:i/>
        </w:rPr>
        <w:t xml:space="preserve">Rates Act 2004 </w:t>
      </w:r>
      <w:r>
        <w:rPr>
          <w:b/>
        </w:rPr>
        <w:t xml:space="preserve">and section 139 of the </w:t>
      </w:r>
      <w:r>
        <w:rPr>
          <w:i/>
        </w:rPr>
        <w:t>Taxation Administration Act 1999</w:t>
      </w:r>
      <w:r w:rsidRPr="00236BDD">
        <w:rPr>
          <w:b/>
        </w:rPr>
        <w:t xml:space="preserve"> </w:t>
      </w:r>
      <w:r>
        <w:rPr>
          <w:b/>
        </w:rPr>
        <w:t>revokes DI2019-272</w:t>
      </w:r>
      <w:r w:rsidRPr="00073036">
        <w:rPr>
          <w:b/>
        </w:rPr>
        <w:t xml:space="preserve"> to </w:t>
      </w:r>
      <w:r>
        <w:rPr>
          <w:b/>
        </w:rPr>
        <w:t>include</w:t>
      </w:r>
      <w:r w:rsidRPr="00073036">
        <w:rPr>
          <w:b/>
        </w:rPr>
        <w:t xml:space="preserve"> a range of rates relief measures, including </w:t>
      </w:r>
      <w:r>
        <w:rPr>
          <w:b/>
        </w:rPr>
        <w:t>to general rates, the Fire and Emergency Services Levy, the City Centre Marketing and Improvements Levy, and the Safer Families Levy.</w:t>
      </w:r>
    </w:p>
    <w:p w:rsidR="00A52216" w:rsidRPr="00B76C99" w:rsidRDefault="00A52216" w:rsidP="00E77EF7">
      <w:pPr>
        <w:pStyle w:val="Amain"/>
        <w:tabs>
          <w:tab w:val="right" w:pos="-284"/>
          <w:tab w:val="left" w:pos="567"/>
        </w:tabs>
        <w:spacing w:before="220" w:after="220" w:line="280" w:lineRule="exact"/>
        <w:ind w:left="0" w:firstLine="0"/>
        <w:jc w:val="left"/>
        <w:outlineLvl w:val="9"/>
        <w:rPr>
          <w:rFonts w:ascii="Calibri" w:hAnsi="Calibri" w:cs="Calibri"/>
          <w:sz w:val="22"/>
          <w:szCs w:val="22"/>
        </w:rPr>
      </w:pPr>
      <w:r w:rsidRPr="00B76C99">
        <w:rPr>
          <w:rFonts w:ascii="Calibri" w:hAnsi="Calibri" w:cs="Calibri"/>
          <w:sz w:val="22"/>
          <w:szCs w:val="22"/>
        </w:rPr>
        <w:t xml:space="preserve">This instrument is made under section 139 of the </w:t>
      </w:r>
      <w:r w:rsidRPr="00B76C99">
        <w:rPr>
          <w:rFonts w:ascii="Calibri" w:hAnsi="Calibri" w:cs="Calibri"/>
          <w:i/>
          <w:sz w:val="22"/>
          <w:szCs w:val="22"/>
        </w:rPr>
        <w:t xml:space="preserve">Taxation Administration Act 1999 </w:t>
      </w:r>
      <w:r w:rsidRPr="00B76C99">
        <w:rPr>
          <w:rFonts w:ascii="Calibri" w:hAnsi="Calibri" w:cs="Calibri"/>
          <w:iCs/>
          <w:sz w:val="22"/>
          <w:szCs w:val="22"/>
        </w:rPr>
        <w:t xml:space="preserve">and under paragraph 46(2)(f) of the </w:t>
      </w:r>
      <w:r w:rsidRPr="00B76C99">
        <w:rPr>
          <w:rFonts w:ascii="Calibri" w:hAnsi="Calibri" w:cs="Calibri"/>
          <w:i/>
          <w:sz w:val="22"/>
          <w:szCs w:val="22"/>
        </w:rPr>
        <w:t>Rates Act 2004</w:t>
      </w:r>
      <w:r w:rsidRPr="00B76C99">
        <w:rPr>
          <w:rFonts w:ascii="Calibri" w:hAnsi="Calibri" w:cs="Calibri"/>
          <w:iCs/>
          <w:sz w:val="22"/>
          <w:szCs w:val="22"/>
        </w:rPr>
        <w:t xml:space="preserve">.  Under section 139, the </w:t>
      </w:r>
      <w:r w:rsidRPr="00B76C99">
        <w:rPr>
          <w:rFonts w:ascii="Calibri" w:hAnsi="Calibri" w:cs="Calibri"/>
          <w:sz w:val="22"/>
          <w:szCs w:val="22"/>
        </w:rPr>
        <w:t xml:space="preserve">Minister can determine, by disallowable instrument, amounts and rates applicable for the </w:t>
      </w:r>
      <w:r w:rsidRPr="00B76C99">
        <w:rPr>
          <w:rFonts w:ascii="Calibri" w:hAnsi="Calibri" w:cs="Calibri"/>
          <w:iCs/>
          <w:sz w:val="22"/>
          <w:szCs w:val="22"/>
        </w:rPr>
        <w:t xml:space="preserve">Rates Act.  </w:t>
      </w:r>
      <w:r w:rsidRPr="00B76C99">
        <w:rPr>
          <w:rFonts w:ascii="Calibri" w:hAnsi="Calibri" w:cs="Calibri"/>
          <w:sz w:val="22"/>
          <w:szCs w:val="22"/>
        </w:rPr>
        <w:t>Under paragraph 46(2)(f) of the Rates Act, the Minister may also determine, by disallowable instrument, the amounts and rates payable for the deferral of general rates for eligible non-pensioners.</w:t>
      </w:r>
    </w:p>
    <w:p w:rsidR="00A52216" w:rsidRPr="00B76C99" w:rsidRDefault="00A52216" w:rsidP="00E77EF7">
      <w:pPr>
        <w:pStyle w:val="Amain"/>
        <w:tabs>
          <w:tab w:val="right" w:pos="-284"/>
          <w:tab w:val="left" w:pos="567"/>
        </w:tabs>
        <w:spacing w:before="220" w:after="220" w:line="280" w:lineRule="exact"/>
        <w:ind w:left="0" w:firstLine="0"/>
        <w:jc w:val="left"/>
        <w:outlineLvl w:val="9"/>
        <w:rPr>
          <w:rFonts w:ascii="Calibri" w:hAnsi="Calibri" w:cs="Calibri"/>
          <w:sz w:val="22"/>
          <w:szCs w:val="22"/>
        </w:rPr>
      </w:pPr>
      <w:r w:rsidRPr="00B76C99">
        <w:rPr>
          <w:rFonts w:ascii="Calibri" w:hAnsi="Calibri" w:cs="Calibri"/>
          <w:sz w:val="22"/>
          <w:szCs w:val="22"/>
        </w:rPr>
        <w:t>The explanatory statement for the instrument states:</w:t>
      </w:r>
    </w:p>
    <w:p w:rsidR="00A52216" w:rsidRPr="00B76C99" w:rsidRDefault="00A52216" w:rsidP="00E77EF7">
      <w:pPr>
        <w:pStyle w:val="Amain"/>
        <w:tabs>
          <w:tab w:val="clear" w:pos="900"/>
          <w:tab w:val="clear" w:pos="1100"/>
          <w:tab w:val="right" w:pos="-284"/>
          <w:tab w:val="left" w:pos="9000"/>
        </w:tabs>
        <w:spacing w:before="220" w:after="220" w:line="280" w:lineRule="exact"/>
        <w:ind w:left="360" w:firstLine="0"/>
        <w:jc w:val="left"/>
        <w:outlineLvl w:val="9"/>
        <w:rPr>
          <w:rFonts w:ascii="Calibri" w:hAnsi="Calibri" w:cs="Calibri"/>
          <w:sz w:val="22"/>
          <w:szCs w:val="22"/>
        </w:rPr>
      </w:pPr>
      <w:r w:rsidRPr="00B76C99">
        <w:rPr>
          <w:rFonts w:ascii="Calibri" w:hAnsi="Calibri" w:cs="Calibri"/>
          <w:sz w:val="22"/>
          <w:szCs w:val="22"/>
        </w:rPr>
        <w:t xml:space="preserve">The </w:t>
      </w:r>
      <w:r w:rsidRPr="00B76C99">
        <w:rPr>
          <w:rFonts w:ascii="Calibri" w:hAnsi="Calibri" w:cs="Calibri"/>
          <w:i/>
          <w:iCs/>
          <w:sz w:val="22"/>
          <w:szCs w:val="22"/>
        </w:rPr>
        <w:t>Taxation Administration (Amounts Payable – Rates) Determination 2020</w:t>
      </w:r>
      <w:r w:rsidRPr="00B76C99">
        <w:rPr>
          <w:rFonts w:ascii="Calibri" w:hAnsi="Calibri" w:cs="Calibri"/>
          <w:sz w:val="22"/>
          <w:szCs w:val="22"/>
        </w:rPr>
        <w:t xml:space="preserve"> (the Rates Determination) is a consolidated determination of various amounts in relation to the following taxes and levies levied under the Act:</w:t>
      </w:r>
    </w:p>
    <w:p w:rsidR="00A52216" w:rsidRPr="00B76C99" w:rsidRDefault="00A52216" w:rsidP="00E77EF7">
      <w:pPr>
        <w:pStyle w:val="Amain"/>
        <w:numPr>
          <w:ilvl w:val="0"/>
          <w:numId w:val="27"/>
        </w:numPr>
        <w:tabs>
          <w:tab w:val="clear" w:pos="900"/>
          <w:tab w:val="clear" w:pos="1100"/>
          <w:tab w:val="right" w:pos="-284"/>
          <w:tab w:val="left" w:pos="9000"/>
        </w:tabs>
        <w:spacing w:before="220" w:line="280" w:lineRule="exact"/>
        <w:ind w:left="1080"/>
        <w:jc w:val="left"/>
        <w:outlineLvl w:val="9"/>
        <w:rPr>
          <w:rFonts w:ascii="Calibri" w:hAnsi="Calibri" w:cs="Calibri"/>
          <w:sz w:val="22"/>
          <w:szCs w:val="22"/>
        </w:rPr>
      </w:pPr>
      <w:r w:rsidRPr="00B76C99">
        <w:rPr>
          <w:rFonts w:ascii="Calibri" w:hAnsi="Calibri" w:cs="Calibri"/>
          <w:sz w:val="22"/>
          <w:szCs w:val="22"/>
        </w:rPr>
        <w:t>general rates, including deferral and rebate amounts;</w:t>
      </w:r>
    </w:p>
    <w:p w:rsidR="00A52216" w:rsidRPr="00B76C99" w:rsidRDefault="00A52216" w:rsidP="00E77EF7">
      <w:pPr>
        <w:pStyle w:val="Amain"/>
        <w:numPr>
          <w:ilvl w:val="0"/>
          <w:numId w:val="27"/>
        </w:numPr>
        <w:tabs>
          <w:tab w:val="clear" w:pos="900"/>
          <w:tab w:val="clear" w:pos="1100"/>
          <w:tab w:val="right" w:pos="-284"/>
          <w:tab w:val="left" w:pos="9000"/>
        </w:tabs>
        <w:spacing w:before="0" w:line="280" w:lineRule="exact"/>
        <w:ind w:left="1080"/>
        <w:jc w:val="left"/>
        <w:outlineLvl w:val="9"/>
        <w:rPr>
          <w:rFonts w:ascii="Calibri" w:hAnsi="Calibri" w:cs="Calibri"/>
          <w:sz w:val="22"/>
          <w:szCs w:val="22"/>
        </w:rPr>
      </w:pPr>
      <w:r w:rsidRPr="00B76C99">
        <w:rPr>
          <w:rFonts w:ascii="Calibri" w:hAnsi="Calibri" w:cs="Calibri"/>
          <w:sz w:val="22"/>
          <w:szCs w:val="22"/>
        </w:rPr>
        <w:t>Fire and Emergency Services Levy (FESL), including rebate amounts;</w:t>
      </w:r>
    </w:p>
    <w:p w:rsidR="00A52216" w:rsidRPr="00B76C99" w:rsidRDefault="00A52216" w:rsidP="00E77EF7">
      <w:pPr>
        <w:pStyle w:val="Amain"/>
        <w:numPr>
          <w:ilvl w:val="0"/>
          <w:numId w:val="27"/>
        </w:numPr>
        <w:tabs>
          <w:tab w:val="clear" w:pos="900"/>
          <w:tab w:val="clear" w:pos="1100"/>
          <w:tab w:val="right" w:pos="-284"/>
          <w:tab w:val="left" w:pos="9000"/>
        </w:tabs>
        <w:spacing w:before="0" w:line="280" w:lineRule="exact"/>
        <w:ind w:left="1080"/>
        <w:jc w:val="left"/>
        <w:outlineLvl w:val="9"/>
        <w:rPr>
          <w:rFonts w:ascii="Calibri" w:hAnsi="Calibri" w:cs="Calibri"/>
          <w:sz w:val="22"/>
          <w:szCs w:val="22"/>
        </w:rPr>
      </w:pPr>
      <w:r w:rsidRPr="00B76C99">
        <w:rPr>
          <w:rFonts w:ascii="Calibri" w:hAnsi="Calibri" w:cs="Calibri"/>
          <w:sz w:val="22"/>
          <w:szCs w:val="22"/>
        </w:rPr>
        <w:t>City Centre Marketing and Improvements Levy (CCMIL); and</w:t>
      </w:r>
    </w:p>
    <w:p w:rsidR="00A52216" w:rsidRPr="00B76C99" w:rsidRDefault="00A52216" w:rsidP="00E77EF7">
      <w:pPr>
        <w:pStyle w:val="Amain"/>
        <w:numPr>
          <w:ilvl w:val="0"/>
          <w:numId w:val="27"/>
        </w:numPr>
        <w:tabs>
          <w:tab w:val="clear" w:pos="900"/>
          <w:tab w:val="clear" w:pos="1100"/>
          <w:tab w:val="right" w:pos="-284"/>
          <w:tab w:val="left" w:pos="9000"/>
        </w:tabs>
        <w:spacing w:before="0" w:line="280" w:lineRule="exact"/>
        <w:ind w:left="1080"/>
        <w:jc w:val="left"/>
        <w:outlineLvl w:val="9"/>
        <w:rPr>
          <w:rFonts w:ascii="Calibri" w:hAnsi="Calibri" w:cs="Calibri"/>
          <w:sz w:val="22"/>
          <w:szCs w:val="22"/>
        </w:rPr>
      </w:pPr>
      <w:r w:rsidRPr="00B76C99">
        <w:rPr>
          <w:rFonts w:ascii="Calibri" w:hAnsi="Calibri" w:cs="Calibri"/>
          <w:sz w:val="22"/>
          <w:szCs w:val="22"/>
        </w:rPr>
        <w:t>Safer Families Levy.</w:t>
      </w:r>
    </w:p>
    <w:p w:rsidR="00A52216" w:rsidRPr="00B76C99" w:rsidRDefault="00A52216" w:rsidP="00E77EF7">
      <w:pPr>
        <w:pStyle w:val="Amain"/>
        <w:tabs>
          <w:tab w:val="right" w:pos="-284"/>
          <w:tab w:val="left" w:pos="567"/>
        </w:tabs>
        <w:spacing w:before="220" w:after="220" w:line="280" w:lineRule="exact"/>
        <w:jc w:val="left"/>
        <w:outlineLvl w:val="9"/>
        <w:rPr>
          <w:rFonts w:ascii="Calibri" w:hAnsi="Calibri" w:cs="Calibri"/>
          <w:sz w:val="22"/>
          <w:szCs w:val="22"/>
        </w:rPr>
      </w:pPr>
      <w:r w:rsidRPr="00B76C99">
        <w:rPr>
          <w:rFonts w:ascii="Calibri" w:hAnsi="Calibri" w:cs="Calibri"/>
          <w:sz w:val="22"/>
          <w:szCs w:val="22"/>
        </w:rPr>
        <w:t>The Committee notes that the explanatory statement goes on to state:</w:t>
      </w:r>
    </w:p>
    <w:p w:rsidR="00A52216" w:rsidRPr="00B76C99" w:rsidRDefault="00A52216" w:rsidP="00E77EF7">
      <w:pPr>
        <w:ind w:left="360"/>
        <w:rPr>
          <w:rFonts w:ascii="Calibri" w:hAnsi="Calibri" w:cs="Calibri"/>
        </w:rPr>
      </w:pPr>
      <w:r w:rsidRPr="00B76C99">
        <w:rPr>
          <w:rFonts w:ascii="Calibri" w:hAnsi="Calibri" w:cs="Calibri"/>
        </w:rPr>
        <w:t>In March and April 2020, the Government announced two economic stimulus packages to support business, industry and our community affected by the COVID-19 pandemic. As part of the stimulus packages, the Government will provide rates assistance to residential and commercial property owners to provide cashflow support.</w:t>
      </w:r>
    </w:p>
    <w:p w:rsidR="00A52216" w:rsidRPr="00B76C99" w:rsidRDefault="00A52216" w:rsidP="00E77EF7">
      <w:pPr>
        <w:pStyle w:val="Amain"/>
        <w:tabs>
          <w:tab w:val="right" w:pos="-284"/>
          <w:tab w:val="left" w:pos="567"/>
        </w:tabs>
        <w:spacing w:before="220" w:after="220" w:line="280" w:lineRule="exact"/>
        <w:ind w:left="360" w:firstLine="0"/>
        <w:jc w:val="left"/>
        <w:outlineLvl w:val="9"/>
        <w:rPr>
          <w:rFonts w:ascii="Calibri" w:hAnsi="Calibri" w:cs="Calibri"/>
          <w:sz w:val="22"/>
          <w:szCs w:val="22"/>
        </w:rPr>
      </w:pPr>
      <w:r w:rsidRPr="00B76C99">
        <w:rPr>
          <w:rFonts w:ascii="Calibri" w:hAnsi="Calibri" w:cs="Calibri"/>
          <w:sz w:val="22"/>
          <w:szCs w:val="22"/>
        </w:rPr>
        <w:t xml:space="preserve">The Rates Determination replaces the </w:t>
      </w:r>
      <w:r w:rsidRPr="00B76C99">
        <w:rPr>
          <w:rFonts w:ascii="Calibri" w:hAnsi="Calibri" w:cs="Calibri"/>
          <w:i/>
          <w:sz w:val="22"/>
          <w:szCs w:val="22"/>
        </w:rPr>
        <w:t>Taxation Administration (Amounts Payable—Rates) Determination 2019 (No 2)</w:t>
      </w:r>
      <w:r w:rsidRPr="00B76C99">
        <w:rPr>
          <w:rFonts w:ascii="Calibri" w:hAnsi="Calibri" w:cs="Calibri"/>
          <w:iCs/>
          <w:sz w:val="22"/>
          <w:szCs w:val="22"/>
        </w:rPr>
        <w:t>,</w:t>
      </w:r>
      <w:r w:rsidRPr="00B76C99">
        <w:rPr>
          <w:rFonts w:ascii="Calibri" w:hAnsi="Calibri" w:cs="Calibri"/>
          <w:sz w:val="22"/>
          <w:szCs w:val="22"/>
        </w:rPr>
        <w:t xml:space="preserve"> DI2019-272 to include a range of rates relief measures, including: </w:t>
      </w:r>
    </w:p>
    <w:p w:rsidR="00A52216" w:rsidRPr="00B76C99" w:rsidRDefault="00A52216" w:rsidP="00E77EF7">
      <w:pPr>
        <w:pStyle w:val="Amain"/>
        <w:numPr>
          <w:ilvl w:val="0"/>
          <w:numId w:val="27"/>
        </w:numPr>
        <w:tabs>
          <w:tab w:val="clear" w:pos="900"/>
          <w:tab w:val="clear" w:pos="1100"/>
          <w:tab w:val="right" w:pos="-284"/>
          <w:tab w:val="left" w:pos="9000"/>
        </w:tabs>
        <w:spacing w:before="220" w:line="280" w:lineRule="exact"/>
        <w:ind w:left="1080"/>
        <w:jc w:val="left"/>
        <w:outlineLvl w:val="9"/>
        <w:rPr>
          <w:rFonts w:ascii="Calibri" w:hAnsi="Calibri" w:cs="Calibri"/>
          <w:sz w:val="22"/>
          <w:szCs w:val="22"/>
        </w:rPr>
      </w:pPr>
      <w:r w:rsidRPr="00B76C99">
        <w:rPr>
          <w:rFonts w:ascii="Calibri" w:hAnsi="Calibri" w:cs="Calibri"/>
          <w:sz w:val="22"/>
          <w:szCs w:val="22"/>
        </w:rPr>
        <w:t>a $150 rebate to all residential properties;</w:t>
      </w:r>
    </w:p>
    <w:p w:rsidR="00A52216" w:rsidRPr="00B76C99" w:rsidRDefault="00A52216" w:rsidP="00E77EF7">
      <w:pPr>
        <w:pStyle w:val="Amain"/>
        <w:numPr>
          <w:ilvl w:val="0"/>
          <w:numId w:val="27"/>
        </w:numPr>
        <w:tabs>
          <w:tab w:val="clear" w:pos="900"/>
          <w:tab w:val="clear" w:pos="1100"/>
          <w:tab w:val="right" w:pos="-284"/>
          <w:tab w:val="left" w:pos="9000"/>
        </w:tabs>
        <w:spacing w:before="0" w:line="280" w:lineRule="exact"/>
        <w:ind w:left="1080"/>
        <w:jc w:val="left"/>
        <w:outlineLvl w:val="9"/>
        <w:rPr>
          <w:rFonts w:ascii="Calibri" w:hAnsi="Calibri" w:cs="Calibri"/>
          <w:sz w:val="22"/>
          <w:szCs w:val="22"/>
        </w:rPr>
      </w:pPr>
      <w:r w:rsidRPr="00B76C99">
        <w:rPr>
          <w:rFonts w:ascii="Calibri" w:hAnsi="Calibri" w:cs="Calibri"/>
          <w:sz w:val="22"/>
          <w:szCs w:val="22"/>
        </w:rPr>
        <w:t>FESL freeze at the 2019-20 rate; and</w:t>
      </w:r>
    </w:p>
    <w:p w:rsidR="00A52216" w:rsidRPr="00B76C99" w:rsidRDefault="00A52216" w:rsidP="00E77EF7">
      <w:pPr>
        <w:pStyle w:val="Amain"/>
        <w:numPr>
          <w:ilvl w:val="0"/>
          <w:numId w:val="27"/>
        </w:numPr>
        <w:tabs>
          <w:tab w:val="clear" w:pos="900"/>
          <w:tab w:val="clear" w:pos="1100"/>
          <w:tab w:val="right" w:pos="-284"/>
          <w:tab w:val="left" w:pos="9000"/>
        </w:tabs>
        <w:spacing w:before="0" w:line="280" w:lineRule="exact"/>
        <w:ind w:left="1080"/>
        <w:jc w:val="left"/>
        <w:outlineLvl w:val="9"/>
        <w:rPr>
          <w:rFonts w:ascii="Calibri" w:hAnsi="Calibri" w:cs="Calibri"/>
          <w:sz w:val="22"/>
          <w:szCs w:val="22"/>
        </w:rPr>
      </w:pPr>
      <w:r w:rsidRPr="00B76C99">
        <w:rPr>
          <w:rFonts w:ascii="Calibri" w:hAnsi="Calibri" w:cs="Calibri"/>
          <w:sz w:val="22"/>
          <w:szCs w:val="22"/>
        </w:rPr>
        <w:t>a reduction of CCMIL by 50 per cent.</w:t>
      </w:r>
    </w:p>
    <w:p w:rsidR="00A52216" w:rsidRPr="00B76C99" w:rsidRDefault="00A52216" w:rsidP="00E77EF7">
      <w:pPr>
        <w:pStyle w:val="Amain"/>
        <w:tabs>
          <w:tab w:val="clear" w:pos="900"/>
          <w:tab w:val="clear" w:pos="1100"/>
          <w:tab w:val="right" w:pos="-284"/>
          <w:tab w:val="left" w:pos="9000"/>
        </w:tabs>
        <w:spacing w:before="220" w:after="220" w:line="280" w:lineRule="exact"/>
        <w:ind w:left="360" w:firstLine="0"/>
        <w:jc w:val="left"/>
        <w:outlineLvl w:val="9"/>
        <w:rPr>
          <w:rFonts w:ascii="Calibri" w:hAnsi="Calibri" w:cs="Calibri"/>
          <w:sz w:val="22"/>
          <w:szCs w:val="22"/>
        </w:rPr>
      </w:pPr>
      <w:r w:rsidRPr="00B76C99">
        <w:rPr>
          <w:rFonts w:ascii="Calibri" w:hAnsi="Calibri" w:cs="Calibri"/>
          <w:sz w:val="22"/>
          <w:szCs w:val="22"/>
        </w:rPr>
        <w:t xml:space="preserve">Fixed charges and percentage rates (marginal rating factors) are updated for general rates. Different amounts are now specified for commercial rates based on the average unimproved value (AUV) of parcels of land. </w:t>
      </w:r>
    </w:p>
    <w:p w:rsidR="00A52216" w:rsidRPr="00B76C99" w:rsidRDefault="00A52216" w:rsidP="00E77EF7">
      <w:pPr>
        <w:pStyle w:val="Amain"/>
        <w:tabs>
          <w:tab w:val="right" w:pos="-284"/>
          <w:tab w:val="left" w:pos="567"/>
        </w:tabs>
        <w:spacing w:before="220" w:after="220" w:line="280" w:lineRule="exact"/>
        <w:ind w:left="0" w:firstLine="0"/>
        <w:jc w:val="left"/>
        <w:outlineLvl w:val="9"/>
        <w:rPr>
          <w:rFonts w:ascii="Calibri" w:hAnsi="Calibri" w:cs="Calibri"/>
          <w:b/>
          <w:bCs/>
          <w:sz w:val="22"/>
          <w:szCs w:val="22"/>
        </w:rPr>
      </w:pPr>
      <w:r w:rsidRPr="00B76C99">
        <w:rPr>
          <w:rFonts w:ascii="Calibri" w:hAnsi="Calibri" w:cs="Calibri"/>
          <w:b/>
          <w:bCs/>
          <w:sz w:val="22"/>
          <w:szCs w:val="22"/>
        </w:rPr>
        <w:t>This comment does not require a response from the Minister.</w:t>
      </w:r>
    </w:p>
    <w:p w:rsidR="00A52216" w:rsidRPr="00A52216" w:rsidRDefault="00A52216" w:rsidP="00A52216">
      <w:pPr>
        <w:pStyle w:val="Heading4nonumber"/>
        <w:spacing w:before="220" w:after="220" w:line="280" w:lineRule="atLeast"/>
        <w:rPr>
          <w:sz w:val="22"/>
          <w:szCs w:val="22"/>
        </w:rPr>
      </w:pPr>
      <w:r w:rsidRPr="00A52216">
        <w:rPr>
          <w:sz w:val="22"/>
          <w:szCs w:val="22"/>
        </w:rPr>
        <w:t>Human rights issues</w:t>
      </w:r>
    </w:p>
    <w:p w:rsidR="00A52216" w:rsidRPr="00842199" w:rsidRDefault="00A52216" w:rsidP="00A52216">
      <w:pPr>
        <w:pStyle w:val="Bodycopy"/>
        <w:numPr>
          <w:ilvl w:val="0"/>
          <w:numId w:val="26"/>
        </w:numPr>
        <w:tabs>
          <w:tab w:val="clear" w:pos="1276"/>
          <w:tab w:val="left" w:pos="360"/>
        </w:tabs>
        <w:spacing w:before="160" w:after="160" w:line="280" w:lineRule="exact"/>
        <w:ind w:left="360"/>
        <w:rPr>
          <w:b/>
        </w:rPr>
      </w:pPr>
      <w:r>
        <w:rPr>
          <w:b/>
        </w:rPr>
        <w:t>Disallowable Instrument</w:t>
      </w:r>
      <w:r w:rsidRPr="00451C85">
        <w:rPr>
          <w:b/>
        </w:rPr>
        <w:t xml:space="preserve"> </w:t>
      </w:r>
      <w:r>
        <w:rPr>
          <w:b/>
        </w:rPr>
        <w:t>DI2020-180</w:t>
      </w:r>
      <w:r w:rsidRPr="00451C85">
        <w:rPr>
          <w:b/>
        </w:rPr>
        <w:t xml:space="preserve"> being the </w:t>
      </w:r>
      <w:r>
        <w:rPr>
          <w:b/>
        </w:rPr>
        <w:t xml:space="preserve">Clinical Waste (Fees) Determination 2020 made under section 40 of the </w:t>
      </w:r>
      <w:r>
        <w:rPr>
          <w:i/>
        </w:rPr>
        <w:t>Clinical Waste Act 1990</w:t>
      </w:r>
      <w:r w:rsidRPr="00236BDD">
        <w:rPr>
          <w:b/>
        </w:rPr>
        <w:t xml:space="preserve"> </w:t>
      </w:r>
      <w:r>
        <w:rPr>
          <w:b/>
        </w:rPr>
        <w:t>revokes DI2019-103 and determines fees payable for the purposes of the Act.</w:t>
      </w:r>
    </w:p>
    <w:p w:rsidR="00A52216" w:rsidRDefault="00A52216" w:rsidP="00F71FB8">
      <w:pPr>
        <w:pStyle w:val="Bodycopy"/>
        <w:keepLines/>
        <w:numPr>
          <w:ilvl w:val="0"/>
          <w:numId w:val="26"/>
        </w:numPr>
        <w:tabs>
          <w:tab w:val="clear" w:pos="1276"/>
          <w:tab w:val="left" w:pos="360"/>
        </w:tabs>
        <w:spacing w:before="160" w:after="160" w:line="280" w:lineRule="exact"/>
        <w:ind w:left="360"/>
        <w:rPr>
          <w:b/>
        </w:rPr>
      </w:pPr>
      <w:r>
        <w:rPr>
          <w:b/>
        </w:rPr>
        <w:lastRenderedPageBreak/>
        <w:t>Disallowable Instrument</w:t>
      </w:r>
      <w:r w:rsidRPr="00451C85">
        <w:rPr>
          <w:b/>
        </w:rPr>
        <w:t xml:space="preserve"> </w:t>
      </w:r>
      <w:r>
        <w:rPr>
          <w:b/>
        </w:rPr>
        <w:t>DI2020-181</w:t>
      </w:r>
      <w:r w:rsidRPr="00451C85">
        <w:rPr>
          <w:b/>
        </w:rPr>
        <w:t xml:space="preserve"> being the </w:t>
      </w:r>
      <w:r>
        <w:rPr>
          <w:b/>
        </w:rPr>
        <w:t xml:space="preserve">Architects (Fees) Determination 2020 made under section 91 of the </w:t>
      </w:r>
      <w:r>
        <w:rPr>
          <w:i/>
        </w:rPr>
        <w:t>Architects Act 2004</w:t>
      </w:r>
      <w:r w:rsidRPr="00236BDD">
        <w:rPr>
          <w:b/>
        </w:rPr>
        <w:t xml:space="preserve"> </w:t>
      </w:r>
      <w:r>
        <w:rPr>
          <w:b/>
        </w:rPr>
        <w:t>revokes DI2019-111 and determines fees payable for the purposes of the Act.</w:t>
      </w:r>
    </w:p>
    <w:p w:rsidR="00A52216" w:rsidRDefault="00A52216" w:rsidP="00A52216">
      <w:pPr>
        <w:pStyle w:val="Bodycopy"/>
        <w:numPr>
          <w:ilvl w:val="0"/>
          <w:numId w:val="26"/>
        </w:numPr>
        <w:tabs>
          <w:tab w:val="clear" w:pos="1276"/>
          <w:tab w:val="left" w:pos="360"/>
        </w:tabs>
        <w:spacing w:before="160" w:after="160" w:line="280" w:lineRule="exact"/>
        <w:ind w:left="360"/>
        <w:rPr>
          <w:b/>
        </w:rPr>
      </w:pPr>
      <w:r>
        <w:rPr>
          <w:b/>
        </w:rPr>
        <w:t>Disallowable Instrument</w:t>
      </w:r>
      <w:r w:rsidRPr="00451C85">
        <w:rPr>
          <w:b/>
        </w:rPr>
        <w:t xml:space="preserve"> </w:t>
      </w:r>
      <w:r>
        <w:rPr>
          <w:b/>
        </w:rPr>
        <w:t>DI2020-198</w:t>
      </w:r>
      <w:r w:rsidRPr="00451C85">
        <w:rPr>
          <w:b/>
        </w:rPr>
        <w:t xml:space="preserve"> being the </w:t>
      </w:r>
      <w:r>
        <w:rPr>
          <w:b/>
        </w:rPr>
        <w:t xml:space="preserve">Heritage (Fees) Determination 2020 made under section 120 of the </w:t>
      </w:r>
      <w:r>
        <w:rPr>
          <w:i/>
        </w:rPr>
        <w:t>Heritage Act 2004</w:t>
      </w:r>
      <w:r w:rsidRPr="00236BDD">
        <w:rPr>
          <w:b/>
        </w:rPr>
        <w:t xml:space="preserve"> </w:t>
      </w:r>
      <w:r>
        <w:rPr>
          <w:b/>
        </w:rPr>
        <w:t>revokes DI2019-126 and determines fees payable for the purposes of the Act.</w:t>
      </w:r>
    </w:p>
    <w:p w:rsidR="00A52216" w:rsidRDefault="00A52216" w:rsidP="00A52216">
      <w:pPr>
        <w:pStyle w:val="Bodycopy"/>
        <w:numPr>
          <w:ilvl w:val="0"/>
          <w:numId w:val="26"/>
        </w:numPr>
        <w:tabs>
          <w:tab w:val="clear" w:pos="1276"/>
          <w:tab w:val="left" w:pos="360"/>
        </w:tabs>
        <w:spacing w:before="160" w:after="160" w:line="280" w:lineRule="exact"/>
        <w:ind w:left="360"/>
        <w:rPr>
          <w:b/>
        </w:rPr>
      </w:pPr>
      <w:r>
        <w:rPr>
          <w:b/>
        </w:rPr>
        <w:t>Disallowable Instrument</w:t>
      </w:r>
      <w:r w:rsidRPr="00451C85">
        <w:rPr>
          <w:b/>
        </w:rPr>
        <w:t xml:space="preserve"> </w:t>
      </w:r>
      <w:r>
        <w:rPr>
          <w:b/>
        </w:rPr>
        <w:t>DI2020-199</w:t>
      </w:r>
      <w:r w:rsidRPr="00451C85">
        <w:rPr>
          <w:b/>
        </w:rPr>
        <w:t xml:space="preserve"> being the </w:t>
      </w:r>
      <w:r>
        <w:rPr>
          <w:b/>
        </w:rPr>
        <w:t xml:space="preserve">Nature Conservation (Fees) Determination 2020 (No 2) made under section 368 of the </w:t>
      </w:r>
      <w:bookmarkStart w:id="518" w:name="_Hlk46211082"/>
      <w:r>
        <w:rPr>
          <w:i/>
        </w:rPr>
        <w:t>Nature Conservation Act 2014</w:t>
      </w:r>
      <w:r w:rsidRPr="00236BDD">
        <w:rPr>
          <w:b/>
        </w:rPr>
        <w:t xml:space="preserve"> </w:t>
      </w:r>
      <w:bookmarkEnd w:id="518"/>
      <w:r>
        <w:rPr>
          <w:b/>
        </w:rPr>
        <w:t>revokes DI2020-91 and determines fees payable for the purposes of the Act.</w:t>
      </w:r>
    </w:p>
    <w:p w:rsidR="00A52216" w:rsidRPr="00842199" w:rsidRDefault="00A52216" w:rsidP="00A52216">
      <w:pPr>
        <w:pStyle w:val="Bodycopy"/>
        <w:numPr>
          <w:ilvl w:val="0"/>
          <w:numId w:val="26"/>
        </w:numPr>
        <w:tabs>
          <w:tab w:val="clear" w:pos="1276"/>
          <w:tab w:val="left" w:pos="360"/>
        </w:tabs>
        <w:spacing w:before="160" w:after="160" w:line="280" w:lineRule="exact"/>
        <w:ind w:left="360"/>
        <w:rPr>
          <w:b/>
        </w:rPr>
      </w:pPr>
      <w:r>
        <w:rPr>
          <w:b/>
        </w:rPr>
        <w:t>Disallowable Instrument</w:t>
      </w:r>
      <w:r w:rsidRPr="00451C85">
        <w:rPr>
          <w:b/>
        </w:rPr>
        <w:t xml:space="preserve"> </w:t>
      </w:r>
      <w:r>
        <w:rPr>
          <w:b/>
        </w:rPr>
        <w:t>DI2020-200</w:t>
      </w:r>
      <w:r w:rsidRPr="00451C85">
        <w:rPr>
          <w:b/>
        </w:rPr>
        <w:t xml:space="preserve"> being the </w:t>
      </w:r>
      <w:r>
        <w:rPr>
          <w:b/>
        </w:rPr>
        <w:t xml:space="preserve">Water Resources (Fees) Determination 2020 made under section 107 of the </w:t>
      </w:r>
      <w:r>
        <w:rPr>
          <w:i/>
        </w:rPr>
        <w:t>Water Resources Act 2007</w:t>
      </w:r>
      <w:r w:rsidRPr="00236BDD">
        <w:rPr>
          <w:b/>
        </w:rPr>
        <w:t xml:space="preserve"> </w:t>
      </w:r>
      <w:r>
        <w:rPr>
          <w:b/>
        </w:rPr>
        <w:t>revokes DI2019-128 and determines fees payable for the purposes of the Act.</w:t>
      </w:r>
    </w:p>
    <w:p w:rsidR="00A52216" w:rsidRPr="00842199" w:rsidRDefault="00A52216" w:rsidP="00A52216">
      <w:pPr>
        <w:pStyle w:val="Bodycopy"/>
        <w:numPr>
          <w:ilvl w:val="0"/>
          <w:numId w:val="26"/>
        </w:numPr>
        <w:tabs>
          <w:tab w:val="clear" w:pos="1276"/>
          <w:tab w:val="left" w:pos="360"/>
        </w:tabs>
        <w:spacing w:before="160" w:after="160" w:line="280" w:lineRule="exact"/>
        <w:ind w:left="360"/>
        <w:rPr>
          <w:b/>
        </w:rPr>
      </w:pPr>
      <w:r>
        <w:rPr>
          <w:b/>
        </w:rPr>
        <w:t>Disallowable Instrument</w:t>
      </w:r>
      <w:r w:rsidRPr="00451C85">
        <w:rPr>
          <w:b/>
        </w:rPr>
        <w:t xml:space="preserve"> </w:t>
      </w:r>
      <w:r>
        <w:rPr>
          <w:b/>
        </w:rPr>
        <w:t>DI2020-201</w:t>
      </w:r>
      <w:r w:rsidRPr="00451C85">
        <w:rPr>
          <w:b/>
        </w:rPr>
        <w:t xml:space="preserve"> being the </w:t>
      </w:r>
      <w:r>
        <w:rPr>
          <w:b/>
        </w:rPr>
        <w:t xml:space="preserve">Stock (Fees) Determination 2020 made under section 68 of the </w:t>
      </w:r>
      <w:bookmarkStart w:id="519" w:name="_Hlk46324700"/>
      <w:r>
        <w:rPr>
          <w:i/>
        </w:rPr>
        <w:t>Stock Act 2005</w:t>
      </w:r>
      <w:r w:rsidRPr="00236BDD">
        <w:rPr>
          <w:b/>
        </w:rPr>
        <w:t xml:space="preserve"> </w:t>
      </w:r>
      <w:bookmarkEnd w:id="519"/>
      <w:r>
        <w:rPr>
          <w:b/>
        </w:rPr>
        <w:t>revokes DI2019-129 and determines fees payable for the purposes of the Act.</w:t>
      </w:r>
    </w:p>
    <w:p w:rsidR="00A52216" w:rsidRPr="00842199" w:rsidRDefault="00A52216" w:rsidP="00A52216">
      <w:pPr>
        <w:pStyle w:val="Bodycopy"/>
        <w:numPr>
          <w:ilvl w:val="0"/>
          <w:numId w:val="26"/>
        </w:numPr>
        <w:tabs>
          <w:tab w:val="clear" w:pos="1276"/>
          <w:tab w:val="left" w:pos="360"/>
        </w:tabs>
        <w:spacing w:before="160" w:after="160" w:line="280" w:lineRule="exact"/>
        <w:ind w:left="360"/>
        <w:rPr>
          <w:b/>
        </w:rPr>
      </w:pPr>
      <w:r>
        <w:rPr>
          <w:b/>
        </w:rPr>
        <w:t>Disallowable Instrument</w:t>
      </w:r>
      <w:r w:rsidRPr="00451C85">
        <w:rPr>
          <w:b/>
        </w:rPr>
        <w:t xml:space="preserve"> </w:t>
      </w:r>
      <w:r>
        <w:rPr>
          <w:b/>
        </w:rPr>
        <w:t>DI2020-202</w:t>
      </w:r>
      <w:r w:rsidRPr="00451C85">
        <w:rPr>
          <w:b/>
        </w:rPr>
        <w:t xml:space="preserve"> being the </w:t>
      </w:r>
      <w:r>
        <w:rPr>
          <w:b/>
        </w:rPr>
        <w:t xml:space="preserve">Stock (Minimum Stock Levy) Determination 2020 made under section 7A of the </w:t>
      </w:r>
      <w:r>
        <w:rPr>
          <w:i/>
        </w:rPr>
        <w:t>Stock Act 2005</w:t>
      </w:r>
      <w:r w:rsidRPr="00236BDD">
        <w:rPr>
          <w:b/>
        </w:rPr>
        <w:t xml:space="preserve"> </w:t>
      </w:r>
      <w:r>
        <w:rPr>
          <w:b/>
        </w:rPr>
        <w:t>revokes DI2019-130 and sets the minimum stock levy.</w:t>
      </w:r>
    </w:p>
    <w:p w:rsidR="00A52216" w:rsidRPr="00842199" w:rsidRDefault="00A52216" w:rsidP="00A52216">
      <w:pPr>
        <w:pStyle w:val="Bodycopy"/>
        <w:numPr>
          <w:ilvl w:val="0"/>
          <w:numId w:val="26"/>
        </w:numPr>
        <w:tabs>
          <w:tab w:val="clear" w:pos="1276"/>
          <w:tab w:val="left" w:pos="360"/>
        </w:tabs>
        <w:spacing w:before="160" w:after="160" w:line="280" w:lineRule="exact"/>
        <w:ind w:left="360"/>
        <w:rPr>
          <w:b/>
        </w:rPr>
      </w:pPr>
      <w:r>
        <w:rPr>
          <w:b/>
        </w:rPr>
        <w:t>Disallowable Instrument</w:t>
      </w:r>
      <w:r w:rsidRPr="00451C85">
        <w:rPr>
          <w:b/>
        </w:rPr>
        <w:t xml:space="preserve"> </w:t>
      </w:r>
      <w:r>
        <w:rPr>
          <w:b/>
        </w:rPr>
        <w:t>DI2020-203</w:t>
      </w:r>
      <w:r w:rsidRPr="00451C85">
        <w:rPr>
          <w:b/>
        </w:rPr>
        <w:t xml:space="preserve"> being the </w:t>
      </w:r>
      <w:r>
        <w:rPr>
          <w:b/>
        </w:rPr>
        <w:t xml:space="preserve">Stock (Levy) Determination 2020 made under section 6 of the </w:t>
      </w:r>
      <w:r>
        <w:rPr>
          <w:i/>
        </w:rPr>
        <w:t>Stock Act 2005</w:t>
      </w:r>
      <w:r w:rsidRPr="00236BDD">
        <w:rPr>
          <w:b/>
        </w:rPr>
        <w:t xml:space="preserve"> </w:t>
      </w:r>
      <w:r>
        <w:rPr>
          <w:b/>
        </w:rPr>
        <w:t>revokes DI2019-131 and determines the levy amount per stock unit and the number of animals making up a stock unit.</w:t>
      </w:r>
    </w:p>
    <w:p w:rsidR="00A52216" w:rsidRPr="00B074FD" w:rsidRDefault="00A52216" w:rsidP="00A52216">
      <w:pPr>
        <w:pStyle w:val="Bodycopy"/>
        <w:numPr>
          <w:ilvl w:val="0"/>
          <w:numId w:val="26"/>
        </w:numPr>
        <w:tabs>
          <w:tab w:val="clear" w:pos="1276"/>
          <w:tab w:val="left" w:pos="360"/>
        </w:tabs>
        <w:spacing w:before="160" w:after="160" w:line="280" w:lineRule="exact"/>
        <w:ind w:left="360"/>
        <w:rPr>
          <w:b/>
        </w:rPr>
      </w:pPr>
      <w:r>
        <w:rPr>
          <w:b/>
        </w:rPr>
        <w:t>Disallowable Instrument</w:t>
      </w:r>
      <w:r w:rsidRPr="00451C85">
        <w:rPr>
          <w:b/>
        </w:rPr>
        <w:t xml:space="preserve"> </w:t>
      </w:r>
      <w:r>
        <w:rPr>
          <w:b/>
        </w:rPr>
        <w:t>DI2020-204</w:t>
      </w:r>
      <w:r w:rsidRPr="00451C85">
        <w:rPr>
          <w:b/>
        </w:rPr>
        <w:t xml:space="preserve"> being the </w:t>
      </w:r>
      <w:r>
        <w:rPr>
          <w:b/>
        </w:rPr>
        <w:t xml:space="preserve">Surveyors (Fees) Determination 2020 made under section 80 of the </w:t>
      </w:r>
      <w:r>
        <w:rPr>
          <w:i/>
        </w:rPr>
        <w:t>Surveyors Act 2007</w:t>
      </w:r>
      <w:r w:rsidRPr="00236BDD">
        <w:rPr>
          <w:b/>
        </w:rPr>
        <w:t xml:space="preserve"> </w:t>
      </w:r>
      <w:r>
        <w:rPr>
          <w:b/>
        </w:rPr>
        <w:t>revokes DI2019-134 and determines fees payable for the purposes of the Act.</w:t>
      </w:r>
    </w:p>
    <w:p w:rsidR="00A52216" w:rsidRDefault="00A52216" w:rsidP="00E77EF7">
      <w:pPr>
        <w:widowControl w:val="0"/>
        <w:tabs>
          <w:tab w:val="left" w:pos="1276"/>
        </w:tabs>
        <w:rPr>
          <w:rFonts w:ascii="Calibri" w:hAnsi="Calibri"/>
        </w:rPr>
      </w:pPr>
      <w:r>
        <w:rPr>
          <w:rFonts w:ascii="Calibri" w:hAnsi="Calibri"/>
        </w:rPr>
        <w:t xml:space="preserve">The instruments mentioned above determine fees, or levies, for the </w:t>
      </w:r>
      <w:r>
        <w:rPr>
          <w:rFonts w:ascii="Calibri" w:hAnsi="Calibri"/>
          <w:i/>
          <w:iCs/>
        </w:rPr>
        <w:t>Clinical Waste Act 1990</w:t>
      </w:r>
      <w:r>
        <w:rPr>
          <w:rFonts w:ascii="Calibri" w:hAnsi="Calibri"/>
        </w:rPr>
        <w:t xml:space="preserve">, the </w:t>
      </w:r>
      <w:r>
        <w:rPr>
          <w:rFonts w:ascii="Calibri" w:hAnsi="Calibri"/>
          <w:i/>
          <w:iCs/>
        </w:rPr>
        <w:t>Architects Act 2004</w:t>
      </w:r>
      <w:r>
        <w:rPr>
          <w:rFonts w:ascii="Calibri" w:hAnsi="Calibri"/>
        </w:rPr>
        <w:t xml:space="preserve">, the </w:t>
      </w:r>
      <w:r>
        <w:rPr>
          <w:rFonts w:ascii="Calibri" w:hAnsi="Calibri"/>
          <w:i/>
          <w:iCs/>
        </w:rPr>
        <w:t>Heritage Act 2004</w:t>
      </w:r>
      <w:r>
        <w:rPr>
          <w:rFonts w:ascii="Calibri" w:hAnsi="Calibri"/>
        </w:rPr>
        <w:t xml:space="preserve">, the </w:t>
      </w:r>
      <w:r w:rsidRPr="003C147F">
        <w:rPr>
          <w:rFonts w:ascii="Calibri" w:hAnsi="Calibri"/>
          <w:i/>
          <w:iCs/>
        </w:rPr>
        <w:t>Nature Conservation Act 2014</w:t>
      </w:r>
      <w:r>
        <w:rPr>
          <w:rFonts w:ascii="Calibri" w:hAnsi="Calibri"/>
        </w:rPr>
        <w:t>,</w:t>
      </w:r>
      <w:r w:rsidRPr="002E055A">
        <w:t xml:space="preserve"> </w:t>
      </w:r>
      <w:r>
        <w:t xml:space="preserve">the </w:t>
      </w:r>
      <w:r w:rsidRPr="002E055A">
        <w:rPr>
          <w:rFonts w:ascii="Calibri" w:hAnsi="Calibri"/>
          <w:i/>
          <w:iCs/>
        </w:rPr>
        <w:t>Water Resources Act 2007</w:t>
      </w:r>
      <w:r>
        <w:rPr>
          <w:rFonts w:ascii="Calibri" w:hAnsi="Calibri"/>
        </w:rPr>
        <w:t xml:space="preserve">, the </w:t>
      </w:r>
      <w:r w:rsidRPr="00B76C99">
        <w:rPr>
          <w:rFonts w:ascii="Calibri" w:hAnsi="Calibri" w:cs="Calibri"/>
          <w:i/>
        </w:rPr>
        <w:t xml:space="preserve">Stock Act 2005 </w:t>
      </w:r>
      <w:r w:rsidRPr="00B76C99">
        <w:rPr>
          <w:rFonts w:ascii="Calibri" w:hAnsi="Calibri" w:cs="Calibri"/>
          <w:iCs/>
        </w:rPr>
        <w:t>(</w:t>
      </w:r>
      <w:r w:rsidR="00E77EF7">
        <w:rPr>
          <w:rFonts w:ascii="Calibri" w:hAnsi="Calibri" w:cs="Calibri"/>
          <w:iCs/>
        </w:rPr>
        <w:t>three</w:t>
      </w:r>
      <w:r w:rsidRPr="00B76C99">
        <w:rPr>
          <w:rFonts w:ascii="Calibri" w:hAnsi="Calibri" w:cs="Calibri"/>
          <w:iCs/>
        </w:rPr>
        <w:t xml:space="preserve"> instruments) and</w:t>
      </w:r>
      <w:r>
        <w:rPr>
          <w:rFonts w:ascii="Calibri" w:hAnsi="Calibri"/>
        </w:rPr>
        <w:t xml:space="preserve"> the</w:t>
      </w:r>
      <w:r w:rsidRPr="002E055A">
        <w:rPr>
          <w:i/>
        </w:rPr>
        <w:t xml:space="preserve"> </w:t>
      </w:r>
      <w:r w:rsidRPr="002E055A">
        <w:rPr>
          <w:rFonts w:ascii="Calibri" w:hAnsi="Calibri"/>
          <w:i/>
        </w:rPr>
        <w:t>Surveyors Act 2007</w:t>
      </w:r>
      <w:r w:rsidRPr="002E055A">
        <w:rPr>
          <w:rFonts w:ascii="Calibri" w:hAnsi="Calibri"/>
          <w:bCs/>
        </w:rPr>
        <w:t xml:space="preserve">, </w:t>
      </w:r>
      <w:r>
        <w:rPr>
          <w:rFonts w:ascii="Calibri" w:hAnsi="Calibri"/>
        </w:rPr>
        <w:t>respectively.  The Committee notes that the explanatory statement for the first instrument mentioned above contains the following statement:</w:t>
      </w:r>
    </w:p>
    <w:p w:rsidR="00A52216" w:rsidRPr="00B76C99" w:rsidRDefault="00A52216" w:rsidP="00E77EF7">
      <w:pPr>
        <w:autoSpaceDE w:val="0"/>
        <w:autoSpaceDN w:val="0"/>
        <w:adjustRightInd w:val="0"/>
        <w:ind w:left="360"/>
        <w:rPr>
          <w:rFonts w:ascii="Calibri" w:hAnsi="Calibri" w:cs="Calibri"/>
          <w:b/>
          <w:color w:val="000000"/>
        </w:rPr>
      </w:pPr>
      <w:r w:rsidRPr="00B76C99">
        <w:rPr>
          <w:rFonts w:ascii="Calibri" w:hAnsi="Calibri" w:cs="Calibri"/>
          <w:b/>
          <w:color w:val="000000"/>
        </w:rPr>
        <w:t>Human Rights</w:t>
      </w:r>
    </w:p>
    <w:p w:rsidR="00A52216" w:rsidRPr="00B76C99" w:rsidRDefault="00A52216" w:rsidP="00E77EF7">
      <w:pPr>
        <w:widowControl w:val="0"/>
        <w:ind w:left="360"/>
        <w:rPr>
          <w:rFonts w:ascii="Calibri" w:hAnsi="Calibri" w:cs="Calibri"/>
          <w:lang w:val="x-none"/>
        </w:rPr>
      </w:pPr>
      <w:r w:rsidRPr="00B76C99">
        <w:rPr>
          <w:rFonts w:ascii="Calibri" w:hAnsi="Calibri" w:cs="Calibri"/>
          <w:lang w:val="x-none"/>
        </w:rPr>
        <w:t>The Standing Committee on Justice and Community Safety (Legislative Scrutiny Role) terms of reference require consideration of human rights impacts, among other matters. In this case, no human rights are impacted.</w:t>
      </w:r>
    </w:p>
    <w:p w:rsidR="00A52216" w:rsidRDefault="00A52216" w:rsidP="00E77EF7">
      <w:pPr>
        <w:widowControl w:val="0"/>
        <w:tabs>
          <w:tab w:val="left" w:pos="1276"/>
        </w:tabs>
        <w:rPr>
          <w:rFonts w:ascii="Calibri" w:hAnsi="Calibri"/>
        </w:rPr>
      </w:pPr>
      <w:r>
        <w:rPr>
          <w:rFonts w:ascii="Calibri" w:hAnsi="Calibri"/>
        </w:rPr>
        <w:t>The explanatory statements for the second, third, fourth, fifth, sixth, seventh, eighth and ninth instruments mentioned above contain an equivalent statement.</w:t>
      </w:r>
    </w:p>
    <w:p w:rsidR="00A52216" w:rsidRPr="000C60C8" w:rsidRDefault="00A52216" w:rsidP="00E77EF7">
      <w:pPr>
        <w:rPr>
          <w:rFonts w:ascii="Calibri" w:hAnsi="Calibri" w:cs="Calibri"/>
        </w:rPr>
      </w:pPr>
      <w:r w:rsidRPr="00A66BED">
        <w:rPr>
          <w:rFonts w:ascii="Calibri" w:hAnsi="Calibri" w:cs="Calibri"/>
          <w:b/>
          <w:bCs/>
        </w:rPr>
        <w:t>The Committee draws the attention of the Legislative Assembly to the discussion of human rights issues in the explanatory statement</w:t>
      </w:r>
      <w:r>
        <w:rPr>
          <w:rFonts w:ascii="Calibri" w:hAnsi="Calibri" w:cs="Calibri"/>
          <w:b/>
          <w:bCs/>
        </w:rPr>
        <w:t>s</w:t>
      </w:r>
      <w:r w:rsidRPr="00A66BED">
        <w:rPr>
          <w:rFonts w:ascii="Calibri" w:hAnsi="Calibri" w:cs="Calibri"/>
          <w:b/>
          <w:bCs/>
        </w:rPr>
        <w:t xml:space="preserve"> for th</w:t>
      </w:r>
      <w:r>
        <w:rPr>
          <w:rFonts w:ascii="Calibri" w:hAnsi="Calibri" w:cs="Calibri"/>
          <w:b/>
          <w:bCs/>
        </w:rPr>
        <w:t>e</w:t>
      </w:r>
      <w:r w:rsidRPr="00A66BED">
        <w:rPr>
          <w:rFonts w:ascii="Calibri" w:hAnsi="Calibri" w:cs="Calibri"/>
          <w:b/>
          <w:bCs/>
        </w:rPr>
        <w:t xml:space="preserve"> instrument</w:t>
      </w:r>
      <w:r>
        <w:rPr>
          <w:rFonts w:ascii="Calibri" w:hAnsi="Calibri" w:cs="Calibri"/>
          <w:b/>
          <w:bCs/>
        </w:rPr>
        <w:t>s mentioned above</w:t>
      </w:r>
      <w:r w:rsidRPr="00A66BED">
        <w:rPr>
          <w:rFonts w:ascii="Calibri" w:hAnsi="Calibri" w:cs="Calibri"/>
          <w:b/>
          <w:bCs/>
        </w:rPr>
        <w:t>.</w:t>
      </w:r>
    </w:p>
    <w:p w:rsidR="00A52216" w:rsidRDefault="00A52216" w:rsidP="00E77EF7">
      <w:pPr>
        <w:pStyle w:val="Paper"/>
        <w:spacing w:before="220" w:after="220" w:line="280" w:lineRule="exact"/>
        <w:rPr>
          <w:rFonts w:ascii="Calibri" w:hAnsi="Calibri" w:cs="Calibri"/>
          <w:b/>
          <w:bCs/>
          <w:sz w:val="22"/>
          <w:szCs w:val="22"/>
          <w:lang w:eastAsia="en-AU"/>
        </w:rPr>
      </w:pPr>
      <w:r w:rsidRPr="00A66BED">
        <w:rPr>
          <w:rFonts w:ascii="Calibri" w:hAnsi="Calibri" w:cs="Calibri"/>
          <w:b/>
          <w:bCs/>
          <w:sz w:val="22"/>
          <w:szCs w:val="22"/>
          <w:lang w:eastAsia="en-AU"/>
        </w:rPr>
        <w:t>This comment does not require a response from the Minister.</w:t>
      </w:r>
    </w:p>
    <w:p w:rsidR="00A52216" w:rsidRPr="00A52216" w:rsidRDefault="00A52216" w:rsidP="00A52216">
      <w:pPr>
        <w:pStyle w:val="Heading4nonumber"/>
        <w:spacing w:before="220" w:after="220" w:line="280" w:lineRule="atLeast"/>
        <w:rPr>
          <w:sz w:val="22"/>
          <w:szCs w:val="22"/>
        </w:rPr>
      </w:pPr>
      <w:r w:rsidRPr="00A52216">
        <w:rPr>
          <w:sz w:val="22"/>
          <w:szCs w:val="22"/>
        </w:rPr>
        <w:lastRenderedPageBreak/>
        <w:t>Human rights issues</w:t>
      </w:r>
    </w:p>
    <w:p w:rsidR="00A52216" w:rsidRPr="00842199" w:rsidRDefault="00A52216" w:rsidP="00E77EF7">
      <w:pPr>
        <w:pStyle w:val="Bodycopy"/>
        <w:numPr>
          <w:ilvl w:val="0"/>
          <w:numId w:val="26"/>
        </w:numPr>
        <w:tabs>
          <w:tab w:val="clear" w:pos="1276"/>
          <w:tab w:val="left" w:pos="360"/>
        </w:tabs>
        <w:spacing w:before="160" w:after="160" w:line="280" w:lineRule="exact"/>
        <w:ind w:left="360"/>
        <w:rPr>
          <w:b/>
        </w:rPr>
      </w:pPr>
      <w:r>
        <w:rPr>
          <w:b/>
        </w:rPr>
        <w:t>Disallowable Instrument</w:t>
      </w:r>
      <w:r w:rsidRPr="00451C85">
        <w:rPr>
          <w:b/>
        </w:rPr>
        <w:t xml:space="preserve"> </w:t>
      </w:r>
      <w:r>
        <w:rPr>
          <w:b/>
        </w:rPr>
        <w:t>DI2020-191</w:t>
      </w:r>
      <w:r w:rsidRPr="00451C85">
        <w:rPr>
          <w:b/>
        </w:rPr>
        <w:t xml:space="preserve"> being the </w:t>
      </w:r>
      <w:r>
        <w:rPr>
          <w:b/>
        </w:rPr>
        <w:t xml:space="preserve">Road Transport (General) Application of Road Transport Legislation Declaration 2020 (No 4) made under section 13 of the </w:t>
      </w:r>
      <w:bookmarkStart w:id="520" w:name="_Hlk46063632"/>
      <w:r>
        <w:rPr>
          <w:i/>
        </w:rPr>
        <w:t>Road Transport (General) Act 1999</w:t>
      </w:r>
      <w:r w:rsidRPr="00236BDD">
        <w:rPr>
          <w:b/>
        </w:rPr>
        <w:t xml:space="preserve"> </w:t>
      </w:r>
      <w:r>
        <w:rPr>
          <w:b/>
        </w:rPr>
        <w:t>provides that certain parts of the road transport legislation do not apply to a designated vehicle, or the driver of a designated vehicle, while participating in a special stage of the Active Rally Sport Test Day taking place on 2 July 2020.</w:t>
      </w:r>
    </w:p>
    <w:bookmarkEnd w:id="520"/>
    <w:p w:rsidR="00A52216" w:rsidRPr="00842199" w:rsidRDefault="00A52216" w:rsidP="00A52216">
      <w:pPr>
        <w:pStyle w:val="Bodycopy"/>
        <w:numPr>
          <w:ilvl w:val="0"/>
          <w:numId w:val="26"/>
        </w:numPr>
        <w:tabs>
          <w:tab w:val="clear" w:pos="1276"/>
          <w:tab w:val="left" w:pos="360"/>
        </w:tabs>
        <w:spacing w:before="160" w:after="160" w:line="280" w:lineRule="exact"/>
        <w:ind w:left="360"/>
        <w:rPr>
          <w:b/>
        </w:rPr>
      </w:pPr>
      <w:r>
        <w:rPr>
          <w:b/>
        </w:rPr>
        <w:t>Disallowable Instrument</w:t>
      </w:r>
      <w:r w:rsidRPr="00451C85">
        <w:rPr>
          <w:b/>
        </w:rPr>
        <w:t xml:space="preserve"> </w:t>
      </w:r>
      <w:r>
        <w:rPr>
          <w:b/>
        </w:rPr>
        <w:t>DI2020-192</w:t>
      </w:r>
      <w:r w:rsidRPr="00451C85">
        <w:rPr>
          <w:b/>
        </w:rPr>
        <w:t xml:space="preserve"> being the </w:t>
      </w:r>
      <w:r>
        <w:rPr>
          <w:b/>
        </w:rPr>
        <w:t xml:space="preserve">Road Transport (General) Application of Road Transport Legislation Declaration 2020 (No 5) made under section 13 of the </w:t>
      </w:r>
      <w:r>
        <w:rPr>
          <w:i/>
        </w:rPr>
        <w:t>Road Transport (General) Act 1999</w:t>
      </w:r>
      <w:r w:rsidRPr="00236BDD">
        <w:rPr>
          <w:b/>
        </w:rPr>
        <w:t xml:space="preserve"> </w:t>
      </w:r>
      <w:r>
        <w:rPr>
          <w:b/>
        </w:rPr>
        <w:t>provides that certain parts of the road transport legislation do not apply to a designated vehicle, or the driver of a designated vehicle, while participating in a special stage of the High Country Motorsport Rally Test Day taking place on 1 July 2020.</w:t>
      </w:r>
    </w:p>
    <w:p w:rsidR="00A52216" w:rsidRDefault="00A52216" w:rsidP="00E77EF7">
      <w:pPr>
        <w:widowControl w:val="0"/>
        <w:tabs>
          <w:tab w:val="left" w:pos="1276"/>
        </w:tabs>
        <w:rPr>
          <w:rFonts w:ascii="Calibri" w:hAnsi="Calibri"/>
        </w:rPr>
      </w:pPr>
      <w:r>
        <w:rPr>
          <w:rFonts w:ascii="Calibri" w:hAnsi="Calibri"/>
        </w:rPr>
        <w:t>The instruments mentioned above are made under section 13 of the</w:t>
      </w:r>
      <w:r w:rsidRPr="00524819">
        <w:rPr>
          <w:rFonts w:ascii="Calibri" w:hAnsi="Calibri"/>
          <w:i/>
          <w:iCs/>
        </w:rPr>
        <w:t xml:space="preserve"> Road Transport (General) Act 1999</w:t>
      </w:r>
      <w:r>
        <w:rPr>
          <w:rFonts w:ascii="Calibri" w:hAnsi="Calibri"/>
        </w:rPr>
        <w:t xml:space="preserve">.  In each case, the instrument provides </w:t>
      </w:r>
      <w:r w:rsidRPr="00524819">
        <w:rPr>
          <w:rFonts w:ascii="Calibri" w:hAnsi="Calibri"/>
        </w:rPr>
        <w:t xml:space="preserve">that certain parts of the </w:t>
      </w:r>
      <w:r>
        <w:rPr>
          <w:rFonts w:ascii="Calibri" w:hAnsi="Calibri"/>
        </w:rPr>
        <w:t xml:space="preserve">ACT </w:t>
      </w:r>
      <w:r w:rsidRPr="00524819">
        <w:rPr>
          <w:rFonts w:ascii="Calibri" w:hAnsi="Calibri"/>
        </w:rPr>
        <w:t xml:space="preserve">road transport legislation do not apply to a designated vehicle, or the driver of a designated vehicle, while participating in a special stage of the Active Rally Sport Test Day </w:t>
      </w:r>
      <w:r>
        <w:rPr>
          <w:rFonts w:ascii="Calibri" w:hAnsi="Calibri"/>
        </w:rPr>
        <w:t>(</w:t>
      </w:r>
      <w:r w:rsidRPr="00524819">
        <w:rPr>
          <w:rFonts w:ascii="Calibri" w:hAnsi="Calibri"/>
        </w:rPr>
        <w:t>taking place on 2 July 2020</w:t>
      </w:r>
      <w:r>
        <w:rPr>
          <w:rFonts w:ascii="Calibri" w:hAnsi="Calibri"/>
        </w:rPr>
        <w:t xml:space="preserve">) and the </w:t>
      </w:r>
      <w:r w:rsidRPr="00524819">
        <w:rPr>
          <w:rFonts w:ascii="Calibri" w:hAnsi="Calibri"/>
        </w:rPr>
        <w:t xml:space="preserve">High Country Motorsport Rally Test Day </w:t>
      </w:r>
      <w:r>
        <w:rPr>
          <w:rFonts w:ascii="Calibri" w:hAnsi="Calibri"/>
        </w:rPr>
        <w:t>(</w:t>
      </w:r>
      <w:r w:rsidRPr="00524819">
        <w:rPr>
          <w:rFonts w:ascii="Calibri" w:hAnsi="Calibri"/>
        </w:rPr>
        <w:t>taking place on 1 July 2020</w:t>
      </w:r>
      <w:r>
        <w:rPr>
          <w:rFonts w:ascii="Calibri" w:hAnsi="Calibri"/>
        </w:rPr>
        <w:t>), respectively</w:t>
      </w:r>
      <w:r w:rsidRPr="00524819">
        <w:rPr>
          <w:rFonts w:ascii="Calibri" w:hAnsi="Calibri"/>
        </w:rPr>
        <w:t>.</w:t>
      </w:r>
    </w:p>
    <w:p w:rsidR="00A52216" w:rsidRDefault="00A52216" w:rsidP="00E77EF7">
      <w:pPr>
        <w:widowControl w:val="0"/>
        <w:tabs>
          <w:tab w:val="left" w:pos="1276"/>
        </w:tabs>
        <w:rPr>
          <w:rFonts w:ascii="Calibri" w:hAnsi="Calibri"/>
        </w:rPr>
      </w:pPr>
      <w:r>
        <w:rPr>
          <w:rFonts w:ascii="Calibri" w:hAnsi="Calibri"/>
        </w:rPr>
        <w:t xml:space="preserve">The Committee notes that the explanatory statements for both instruments discuss the potential human rights implications of the instrument, by reference to the right to move freely within the ACT, as provided for by section 13 of the </w:t>
      </w:r>
      <w:r>
        <w:rPr>
          <w:rFonts w:ascii="Calibri" w:hAnsi="Calibri"/>
          <w:i/>
          <w:iCs/>
        </w:rPr>
        <w:t>Human Rights Act 2004</w:t>
      </w:r>
      <w:r>
        <w:rPr>
          <w:rFonts w:ascii="Calibri" w:hAnsi="Calibri"/>
        </w:rPr>
        <w:t>.  The Committee notes that the explanatory statement for the first instrument mentioned above states:</w:t>
      </w:r>
    </w:p>
    <w:p w:rsidR="00A52216" w:rsidRDefault="00A52216" w:rsidP="00E77EF7">
      <w:pPr>
        <w:widowControl w:val="0"/>
        <w:tabs>
          <w:tab w:val="left" w:pos="1276"/>
        </w:tabs>
        <w:ind w:left="360"/>
        <w:rPr>
          <w:rFonts w:ascii="Calibri" w:hAnsi="Calibri"/>
        </w:rPr>
      </w:pPr>
      <w:r w:rsidRPr="00FE27B3">
        <w:rPr>
          <w:rFonts w:ascii="Calibri" w:hAnsi="Calibri"/>
        </w:rPr>
        <w:t>The declarations in this instrument do not of itself restrict a person’s freedom of movement within the Territory, however the operation of the rally in closing parts of the forest in which the rally will be conducted to members of the public will restrict the free movement of people in that area of the Territory during the event.  As parts of the road transport law are being disapplied for the event to operate as intended, vehicles will be travelling in parts of the forest in excess of the usual speed limits and in a manner not consistent with the road rules.  As such, the restriction on the free movement of people in those parts of the forest at those times is considered reasonable and proportionate to ensure safety of non-participants and represents the least restrictive approach that enables the event to proceed.</w:t>
      </w:r>
    </w:p>
    <w:p w:rsidR="00A52216" w:rsidRDefault="00A52216" w:rsidP="00E77EF7">
      <w:pPr>
        <w:widowControl w:val="0"/>
        <w:tabs>
          <w:tab w:val="left" w:pos="1276"/>
        </w:tabs>
        <w:rPr>
          <w:rFonts w:ascii="Calibri" w:hAnsi="Calibri"/>
        </w:rPr>
      </w:pPr>
      <w:r>
        <w:rPr>
          <w:rFonts w:ascii="Calibri" w:hAnsi="Calibri"/>
        </w:rPr>
        <w:t>The explanatory statement for the second instrument mentioned above contains a similar statement.</w:t>
      </w:r>
    </w:p>
    <w:p w:rsidR="00A52216" w:rsidRPr="000C60C8" w:rsidRDefault="00A52216" w:rsidP="00E77EF7">
      <w:pPr>
        <w:rPr>
          <w:rFonts w:ascii="Calibri" w:hAnsi="Calibri" w:cs="Calibri"/>
        </w:rPr>
      </w:pPr>
      <w:r w:rsidRPr="00A66BED">
        <w:rPr>
          <w:rFonts w:ascii="Calibri" w:hAnsi="Calibri" w:cs="Calibri"/>
          <w:b/>
          <w:bCs/>
        </w:rPr>
        <w:t>The Committee draws the attention of the Legislative Assembly to the discussion of human rights issues in the explanatory statement</w:t>
      </w:r>
      <w:r>
        <w:rPr>
          <w:rFonts w:ascii="Calibri" w:hAnsi="Calibri" w:cs="Calibri"/>
          <w:b/>
          <w:bCs/>
        </w:rPr>
        <w:t>s</w:t>
      </w:r>
      <w:r w:rsidRPr="00A66BED">
        <w:rPr>
          <w:rFonts w:ascii="Calibri" w:hAnsi="Calibri" w:cs="Calibri"/>
          <w:b/>
          <w:bCs/>
        </w:rPr>
        <w:t xml:space="preserve"> for th</w:t>
      </w:r>
      <w:r>
        <w:rPr>
          <w:rFonts w:ascii="Calibri" w:hAnsi="Calibri" w:cs="Calibri"/>
          <w:b/>
          <w:bCs/>
        </w:rPr>
        <w:t>e</w:t>
      </w:r>
      <w:r w:rsidRPr="00A66BED">
        <w:rPr>
          <w:rFonts w:ascii="Calibri" w:hAnsi="Calibri" w:cs="Calibri"/>
          <w:b/>
          <w:bCs/>
        </w:rPr>
        <w:t xml:space="preserve"> instrument</w:t>
      </w:r>
      <w:r>
        <w:rPr>
          <w:rFonts w:ascii="Calibri" w:hAnsi="Calibri" w:cs="Calibri"/>
          <w:b/>
          <w:bCs/>
        </w:rPr>
        <w:t>s mentioned above</w:t>
      </w:r>
      <w:r w:rsidRPr="00A66BED">
        <w:rPr>
          <w:rFonts w:ascii="Calibri" w:hAnsi="Calibri" w:cs="Calibri"/>
          <w:b/>
          <w:bCs/>
        </w:rPr>
        <w:t>.</w:t>
      </w:r>
    </w:p>
    <w:p w:rsidR="00A52216" w:rsidRDefault="00A52216" w:rsidP="00E77EF7">
      <w:pPr>
        <w:pStyle w:val="Paper"/>
        <w:spacing w:before="220" w:after="220" w:line="280" w:lineRule="exact"/>
        <w:rPr>
          <w:rFonts w:ascii="Calibri" w:hAnsi="Calibri" w:cs="Calibri"/>
          <w:b/>
          <w:bCs/>
          <w:sz w:val="22"/>
          <w:szCs w:val="22"/>
          <w:lang w:eastAsia="en-AU"/>
        </w:rPr>
      </w:pPr>
      <w:r w:rsidRPr="00A66BED">
        <w:rPr>
          <w:rFonts w:ascii="Calibri" w:hAnsi="Calibri" w:cs="Calibri"/>
          <w:b/>
          <w:bCs/>
          <w:sz w:val="22"/>
          <w:szCs w:val="22"/>
          <w:lang w:eastAsia="en-AU"/>
        </w:rPr>
        <w:t>This comment does not require a response from the Minister.</w:t>
      </w:r>
    </w:p>
    <w:p w:rsidR="00A52216" w:rsidRPr="00A52216" w:rsidRDefault="00A52216" w:rsidP="00A52216">
      <w:pPr>
        <w:pStyle w:val="Heading4nonumber"/>
        <w:spacing w:before="220" w:after="220" w:line="280" w:lineRule="atLeast"/>
        <w:rPr>
          <w:sz w:val="22"/>
          <w:szCs w:val="22"/>
        </w:rPr>
      </w:pPr>
      <w:r w:rsidRPr="00A52216">
        <w:rPr>
          <w:sz w:val="22"/>
          <w:szCs w:val="22"/>
        </w:rPr>
        <w:t>COVID-19-related instrument / Retrospectivity / Human rights issues</w:t>
      </w:r>
    </w:p>
    <w:p w:rsidR="00A52216" w:rsidRPr="00842199" w:rsidRDefault="00A52216" w:rsidP="00E77EF7">
      <w:pPr>
        <w:pStyle w:val="Bodycopy"/>
        <w:keepLines/>
        <w:tabs>
          <w:tab w:val="clear" w:pos="1276"/>
          <w:tab w:val="left" w:pos="360"/>
        </w:tabs>
        <w:spacing w:before="160" w:after="160" w:line="280" w:lineRule="exact"/>
        <w:rPr>
          <w:b/>
        </w:rPr>
      </w:pPr>
      <w:r>
        <w:rPr>
          <w:b/>
        </w:rPr>
        <w:t>Disallowable Instrument</w:t>
      </w:r>
      <w:r w:rsidRPr="00451C85">
        <w:rPr>
          <w:b/>
        </w:rPr>
        <w:t xml:space="preserve"> </w:t>
      </w:r>
      <w:r>
        <w:rPr>
          <w:b/>
        </w:rPr>
        <w:t>DI2020-205</w:t>
      </w:r>
      <w:r w:rsidRPr="00451C85">
        <w:rPr>
          <w:b/>
        </w:rPr>
        <w:t xml:space="preserve"> being the </w:t>
      </w:r>
      <w:r>
        <w:rPr>
          <w:b/>
        </w:rPr>
        <w:t xml:space="preserve">Taxation Administration (Owner Occupier Duty) COVID-19 Exemption Scheme Determination 2020 made under section 137E of the </w:t>
      </w:r>
      <w:r>
        <w:rPr>
          <w:i/>
        </w:rPr>
        <w:t>Taxation Administration Act 1999</w:t>
      </w:r>
      <w:r w:rsidRPr="00236BDD">
        <w:rPr>
          <w:b/>
        </w:rPr>
        <w:t xml:space="preserve"> </w:t>
      </w:r>
      <w:r>
        <w:rPr>
          <w:b/>
        </w:rPr>
        <w:t>determines a scheme for concession (by way of exemption) from conveyance duty for eventual owner-occupiers on the purchase of prescribed new homes for agreements entered into during the period 4 June 2020 to 30 June 2021, as part of a plan to support local construction jobs.</w:t>
      </w:r>
    </w:p>
    <w:p w:rsidR="00A52216" w:rsidRDefault="00A52216" w:rsidP="00E77EF7">
      <w:pPr>
        <w:widowControl w:val="0"/>
        <w:tabs>
          <w:tab w:val="left" w:pos="1276"/>
        </w:tabs>
        <w:rPr>
          <w:rFonts w:ascii="Calibri" w:hAnsi="Calibri"/>
        </w:rPr>
      </w:pPr>
      <w:r>
        <w:rPr>
          <w:rFonts w:ascii="Calibri" w:hAnsi="Calibri"/>
        </w:rPr>
        <w:lastRenderedPageBreak/>
        <w:t>The Committee notes that this instrument is part of the legislative response to the COVID-19 pandemic.  The explanatory statement for the instrument states:</w:t>
      </w:r>
    </w:p>
    <w:p w:rsidR="00A52216" w:rsidRPr="00B76C99" w:rsidRDefault="00A52216" w:rsidP="00BF605B">
      <w:pPr>
        <w:ind w:left="360"/>
        <w:rPr>
          <w:rFonts w:ascii="Calibri" w:hAnsi="Calibri" w:cs="Calibri"/>
        </w:rPr>
      </w:pPr>
      <w:r w:rsidRPr="00B76C99">
        <w:rPr>
          <w:rFonts w:ascii="Calibri" w:hAnsi="Calibri" w:cs="Calibri"/>
        </w:rPr>
        <w:t xml:space="preserve">As part of ACT Government’s COVID-19 Recovery Plan to support local construction jobs, the </w:t>
      </w:r>
      <w:r w:rsidRPr="00B76C99">
        <w:rPr>
          <w:rFonts w:ascii="Calibri" w:hAnsi="Calibri" w:cs="Calibri"/>
          <w:i/>
          <w:iCs/>
        </w:rPr>
        <w:t>Taxation Administration (Owner Occupier Duty) COVID-19 Exemption Scheme Determination 2020</w:t>
      </w:r>
      <w:r w:rsidRPr="00B76C99">
        <w:rPr>
          <w:rFonts w:ascii="Calibri" w:hAnsi="Calibri" w:cs="Calibri"/>
        </w:rPr>
        <w:t xml:space="preserve"> (the</w:t>
      </w:r>
      <w:r w:rsidRPr="00B76C99">
        <w:rPr>
          <w:rFonts w:ascii="Calibri" w:hAnsi="Calibri" w:cs="Calibri"/>
          <w:b/>
          <w:bCs/>
        </w:rPr>
        <w:t xml:space="preserve"> Owner Occupier Duty Exemption Determination</w:t>
      </w:r>
      <w:r w:rsidRPr="00B76C99">
        <w:rPr>
          <w:rFonts w:ascii="Calibri" w:hAnsi="Calibri" w:cs="Calibri"/>
        </w:rPr>
        <w:t xml:space="preserve">) determines a scheme for a concession (by way of exemption) from conveyance duty for eventual owner-occupiers on the purchase of prescribed new homes for agreements entered into during the period 4 June 2020 to 30 June 2021. </w:t>
      </w:r>
    </w:p>
    <w:p w:rsidR="00A52216" w:rsidRPr="00B76C99" w:rsidRDefault="00A52216" w:rsidP="00BF605B">
      <w:pPr>
        <w:rPr>
          <w:rFonts w:ascii="Calibri" w:hAnsi="Calibri" w:cs="Calibri"/>
          <w:color w:val="000000"/>
        </w:rPr>
      </w:pPr>
      <w:r w:rsidRPr="00B76C99">
        <w:rPr>
          <w:rFonts w:ascii="Calibri" w:hAnsi="Calibri" w:cs="Calibri"/>
        </w:rPr>
        <w:t xml:space="preserve">The instrument was made on 30 June 2020.  However, section 2 of the instrument provides that it is “taken to have commenced” on 4 June 2020.  This means that it has a retrospective effect.  While the retrospective operation is acknowledged in the explanatory statement for the instrument (see further below), there is no discussion of this retrospective operation, by reference to the </w:t>
      </w:r>
      <w:r w:rsidRPr="00B76C99">
        <w:rPr>
          <w:rFonts w:ascii="Calibri" w:hAnsi="Calibri" w:cs="Calibri"/>
          <w:color w:val="000000"/>
        </w:rPr>
        <w:t xml:space="preserve">prohibition, set out in section 76 of the </w:t>
      </w:r>
      <w:r w:rsidRPr="00B76C99">
        <w:rPr>
          <w:rFonts w:ascii="Calibri" w:hAnsi="Calibri" w:cs="Calibri"/>
          <w:i/>
          <w:iCs/>
          <w:color w:val="000000"/>
        </w:rPr>
        <w:t>Legislation Act 2001</w:t>
      </w:r>
      <w:r w:rsidRPr="00B76C99">
        <w:rPr>
          <w:rFonts w:ascii="Calibri" w:hAnsi="Calibri" w:cs="Calibri"/>
          <w:color w:val="000000"/>
        </w:rPr>
        <w:t>, on all but “non-prejudicial” retrospectivity in “statutory instruments” (defined in section 13 of the Legislation Act to include disallowable instruments, such as this instrument).  The effect of section 76 is that any retrospective operation must not operate to the disadvantage of any person, “other than the Territory or a territory authority or instrumentality”.</w:t>
      </w:r>
    </w:p>
    <w:p w:rsidR="00A52216" w:rsidRPr="00B76C99" w:rsidRDefault="00A52216" w:rsidP="00E77EF7">
      <w:pPr>
        <w:rPr>
          <w:rFonts w:ascii="Calibri" w:eastAsia="Calibri" w:hAnsi="Calibri" w:cs="Calibri"/>
          <w:color w:val="000000"/>
        </w:rPr>
      </w:pPr>
      <w:r w:rsidRPr="00B76C99">
        <w:rPr>
          <w:rFonts w:ascii="Calibri" w:hAnsi="Calibri" w:cs="Calibri"/>
          <w:color w:val="000000"/>
        </w:rPr>
        <w:t>While the Committee notes that it is entitled to assume, given the context of the instrument, that it is actually beneficial to the persons effected (ie because it involves a concession/exemption), this is neither addressed in the explanatory statement for the instrument, nor evident, on the face of the instrument.  The Committee notes that, in its document titled</w:t>
      </w:r>
      <w:r w:rsidRPr="00B76C99">
        <w:rPr>
          <w:rFonts w:ascii="Calibri" w:eastAsia="Calibri" w:hAnsi="Calibri" w:cs="Calibri"/>
        </w:rPr>
        <w:t xml:space="preserve"> </w:t>
      </w:r>
      <w:hyperlink r:id="rId27" w:history="1">
        <w:r w:rsidRPr="00B76C99">
          <w:rPr>
            <w:rFonts w:ascii="Calibri" w:eastAsia="Calibri" w:hAnsi="Calibri" w:cs="Calibri"/>
            <w:i/>
            <w:color w:val="0000FF"/>
            <w:u w:val="single"/>
          </w:rPr>
          <w:t>Subordinate legislation—Technical and stylistic standards—Tips/Traps</w:t>
        </w:r>
      </w:hyperlink>
      <w:r w:rsidRPr="00B76C99">
        <w:rPr>
          <w:rFonts w:ascii="Calibri" w:eastAsia="Calibri" w:hAnsi="Calibri" w:cs="Calibri"/>
          <w:color w:val="000000"/>
        </w:rPr>
        <w:t>,</w:t>
      </w:r>
      <w:r w:rsidRPr="00B76C99">
        <w:rPr>
          <w:rFonts w:ascii="Calibri" w:eastAsia="Calibri" w:hAnsi="Calibri" w:cs="Calibri"/>
          <w:vertAlign w:val="superscript"/>
        </w:rPr>
        <w:footnoteReference w:id="2"/>
      </w:r>
      <w:r w:rsidRPr="00B76C99">
        <w:rPr>
          <w:rFonts w:ascii="Calibri" w:eastAsia="Calibri" w:hAnsi="Calibri" w:cs="Calibri"/>
          <w:color w:val="000000"/>
        </w:rPr>
        <w:t xml:space="preserve"> the Committee stated:</w:t>
      </w:r>
    </w:p>
    <w:p w:rsidR="00A52216" w:rsidRPr="00B76C99" w:rsidRDefault="007D2B14" w:rsidP="00E77EF7">
      <w:pPr>
        <w:ind w:left="360"/>
        <w:rPr>
          <w:rFonts w:ascii="Calibri" w:hAnsi="Calibri" w:cs="Calibri"/>
          <w:b/>
          <w:bCs/>
          <w:color w:val="000000"/>
        </w:rPr>
      </w:pPr>
      <w:r>
        <w:rPr>
          <w:rFonts w:ascii="Calibri" w:hAnsi="Calibri" w:cs="Calibri"/>
          <w:b/>
          <w:bCs/>
          <w:color w:val="000000"/>
        </w:rPr>
        <w:t>RETROSPECTIVITY</w:t>
      </w:r>
    </w:p>
    <w:p w:rsidR="00A52216" w:rsidRPr="00B76C99" w:rsidRDefault="00A52216" w:rsidP="00E77EF7">
      <w:pPr>
        <w:ind w:left="360"/>
        <w:rPr>
          <w:rFonts w:ascii="Calibri" w:hAnsi="Calibri" w:cs="Calibri"/>
          <w:color w:val="000000"/>
        </w:rPr>
      </w:pPr>
      <w:r w:rsidRPr="00B76C99">
        <w:rPr>
          <w:rFonts w:ascii="Calibri" w:hAnsi="Calibri" w:cs="Calibri"/>
          <w:color w:val="000000"/>
        </w:rPr>
        <w:t xml:space="preserve">The Committee would generally prefer that subordinate legislation not have a retrospective operation.  The Committee accepts, however, that retrospective application is occasionally required.  Section 76 of the </w:t>
      </w:r>
      <w:r w:rsidRPr="00B76C99">
        <w:rPr>
          <w:rFonts w:ascii="Calibri" w:hAnsi="Calibri" w:cs="Calibri"/>
          <w:i/>
          <w:iCs/>
          <w:color w:val="000000"/>
        </w:rPr>
        <w:t>Legislation Act 2001</w:t>
      </w:r>
      <w:r w:rsidRPr="00B76C99">
        <w:rPr>
          <w:rFonts w:ascii="Calibri" w:hAnsi="Calibri" w:cs="Calibri"/>
          <w:color w:val="000000"/>
        </w:rPr>
        <w:t xml:space="preserve"> provides (in simple terms) that only “non-prejudicial” retrospectivity is permissible.  Subsection 76(4) provides that a provision is “prejudicial” if it operates adverse to the rights of individuals or if it imposes liabilities on individuals.  Retrospectivity that is prejudicial to the Territory or to a territory authority, etc is permitted. </w:t>
      </w:r>
    </w:p>
    <w:p w:rsidR="00A52216" w:rsidRPr="00B76C99" w:rsidRDefault="00A52216" w:rsidP="00E77EF7">
      <w:pPr>
        <w:ind w:left="360"/>
        <w:rPr>
          <w:rFonts w:ascii="Calibri" w:hAnsi="Calibri" w:cs="Calibri"/>
          <w:color w:val="000000"/>
        </w:rPr>
      </w:pPr>
      <w:r w:rsidRPr="00B76C99">
        <w:rPr>
          <w:rFonts w:ascii="Calibri" w:hAnsi="Calibri" w:cs="Calibri"/>
          <w:color w:val="000000"/>
        </w:rPr>
        <w:t>While the Committee may be entitled to assume that any provision that has a retrospective operation must not have a prejudicial operation (ie on the basis that the Committee is entitled to assume that legislation would not be drafted in breach of section 76), it assists the Committee (and the Legislative Assembly) if that issue is expressly dealt with in the Explanatory Statement.  That is, it assists the Committee if there is a statement to the affect that “this legislation does not have a prejudicial operation”.</w:t>
      </w:r>
    </w:p>
    <w:p w:rsidR="00A52216" w:rsidRDefault="00A52216" w:rsidP="00E77EF7">
      <w:pPr>
        <w:rPr>
          <w:rFonts w:ascii="Calibri" w:eastAsia="Calibri" w:hAnsi="Calibri" w:cs="Calibri"/>
          <w:bCs/>
        </w:rPr>
      </w:pPr>
      <w:r w:rsidRPr="00B76C99">
        <w:rPr>
          <w:rFonts w:ascii="Calibri" w:eastAsia="Calibri" w:hAnsi="Calibri" w:cs="Calibri"/>
          <w:bCs/>
        </w:rPr>
        <w:t xml:space="preserve">The Committee has consistently taken the view that any retrospectivity issue should </w:t>
      </w:r>
      <w:r w:rsidRPr="00B76C99">
        <w:rPr>
          <w:rFonts w:ascii="Calibri" w:eastAsia="Calibri" w:hAnsi="Calibri" w:cs="Calibri"/>
          <w:bCs/>
          <w:u w:val="single"/>
        </w:rPr>
        <w:t>always</w:t>
      </w:r>
      <w:r w:rsidRPr="00B76C99">
        <w:rPr>
          <w:rFonts w:ascii="Calibri" w:eastAsia="Calibri" w:hAnsi="Calibri" w:cs="Calibri"/>
          <w:bCs/>
        </w:rPr>
        <w:t xml:space="preserve"> be addressed, in the explanatory statement for an instrument or subordinate law, as suggested by the Committee’s </w:t>
      </w:r>
      <w:r w:rsidRPr="00B76C99">
        <w:rPr>
          <w:rFonts w:ascii="Calibri" w:eastAsia="Calibri" w:hAnsi="Calibri" w:cs="Calibri"/>
          <w:bCs/>
          <w:i/>
          <w:iCs/>
        </w:rPr>
        <w:t>Tips/Traps</w:t>
      </w:r>
      <w:r w:rsidRPr="00B76C99">
        <w:rPr>
          <w:rFonts w:ascii="Calibri" w:eastAsia="Calibri" w:hAnsi="Calibri" w:cs="Calibri"/>
          <w:bCs/>
        </w:rPr>
        <w:t xml:space="preserve"> document.</w:t>
      </w:r>
    </w:p>
    <w:p w:rsidR="008F4984" w:rsidRPr="00B43DEC" w:rsidRDefault="008F4984" w:rsidP="008F4984">
      <w:pPr>
        <w:keepLines/>
        <w:spacing w:before="120" w:after="120"/>
        <w:ind w:left="-11"/>
        <w:rPr>
          <w:rFonts w:ascii="Calibri" w:eastAsia="Calibri" w:hAnsi="Calibri" w:cs="Calibri"/>
          <w:b/>
        </w:rPr>
      </w:pPr>
      <w:r w:rsidRPr="00B43DEC">
        <w:rPr>
          <w:rFonts w:ascii="Calibri" w:eastAsia="Calibri" w:hAnsi="Calibri" w:cs="Calibri"/>
          <w:b/>
        </w:rPr>
        <w:lastRenderedPageBreak/>
        <w:t xml:space="preserve">The Committee draws the attention of the Legislative Assembly to </w:t>
      </w:r>
      <w:r>
        <w:rPr>
          <w:rFonts w:ascii="Calibri" w:eastAsia="Calibri" w:hAnsi="Calibri" w:cs="Calibri"/>
          <w:b/>
        </w:rPr>
        <w:t xml:space="preserve">the </w:t>
      </w:r>
      <w:r w:rsidRPr="00B43DEC">
        <w:rPr>
          <w:rFonts w:ascii="Calibri" w:eastAsia="Calibri" w:hAnsi="Calibri" w:cs="Calibri"/>
          <w:b/>
        </w:rPr>
        <w:t>instrument</w:t>
      </w:r>
      <w:r>
        <w:rPr>
          <w:rFonts w:ascii="Calibri" w:eastAsia="Calibri" w:hAnsi="Calibri" w:cs="Calibri"/>
          <w:b/>
        </w:rPr>
        <w:t>, under principle </w:t>
      </w:r>
      <w:r w:rsidRPr="00B43DEC">
        <w:rPr>
          <w:rFonts w:ascii="Calibri" w:eastAsia="Calibri" w:hAnsi="Calibri" w:cs="Calibri"/>
          <w:b/>
        </w:rPr>
        <w:t>(2) of the Committee’s terms of reference, on the basis that the explanatory statement for the instrument do</w:t>
      </w:r>
      <w:r>
        <w:rPr>
          <w:rFonts w:ascii="Calibri" w:eastAsia="Calibri" w:hAnsi="Calibri" w:cs="Calibri"/>
          <w:b/>
        </w:rPr>
        <w:t>es</w:t>
      </w:r>
      <w:r w:rsidRPr="00B43DEC">
        <w:rPr>
          <w:rFonts w:ascii="Calibri" w:eastAsia="Calibri" w:hAnsi="Calibri" w:cs="Calibri"/>
          <w:b/>
        </w:rPr>
        <w:t xml:space="preserve"> not meet the technical or stylistic standards expected by the Committee.</w:t>
      </w:r>
    </w:p>
    <w:p w:rsidR="008F4984" w:rsidRDefault="008F4984" w:rsidP="008F4984">
      <w:pPr>
        <w:widowControl w:val="0"/>
        <w:tabs>
          <w:tab w:val="left" w:pos="1276"/>
        </w:tabs>
        <w:spacing w:before="120" w:after="120" w:line="300" w:lineRule="exact"/>
        <w:ind w:left="-11"/>
        <w:rPr>
          <w:rFonts w:ascii="Calibri" w:hAnsi="Calibri" w:cs="Calibri"/>
          <w:b/>
          <w:bCs/>
          <w:color w:val="000000"/>
        </w:rPr>
      </w:pPr>
      <w:r>
        <w:rPr>
          <w:rFonts w:ascii="Calibri" w:hAnsi="Calibri" w:cs="Calibri"/>
          <w:b/>
          <w:bCs/>
          <w:color w:val="000000"/>
        </w:rPr>
        <w:t>This comment requires a response from the Minister.</w:t>
      </w:r>
    </w:p>
    <w:p w:rsidR="00A52216" w:rsidRDefault="00A52216" w:rsidP="00E77EF7">
      <w:pPr>
        <w:widowControl w:val="0"/>
        <w:tabs>
          <w:tab w:val="left" w:pos="1276"/>
        </w:tabs>
        <w:rPr>
          <w:rFonts w:ascii="Calibri" w:hAnsi="Calibri"/>
        </w:rPr>
      </w:pPr>
      <w:r>
        <w:rPr>
          <w:rFonts w:ascii="Calibri" w:hAnsi="Calibri"/>
        </w:rPr>
        <w:t>The Committee notes that the explanatory statement goes on to address the potential human rights implications of the instrument:</w:t>
      </w:r>
    </w:p>
    <w:p w:rsidR="00A52216" w:rsidRPr="00B76C99" w:rsidRDefault="00A52216" w:rsidP="00BF605B">
      <w:pPr>
        <w:keepNext/>
        <w:ind w:left="360"/>
        <w:rPr>
          <w:rFonts w:ascii="Calibri" w:hAnsi="Calibri" w:cs="Calibri"/>
          <w:b/>
        </w:rPr>
      </w:pPr>
      <w:r w:rsidRPr="00B76C99">
        <w:rPr>
          <w:rFonts w:ascii="Calibri" w:hAnsi="Calibri" w:cs="Calibri"/>
          <w:b/>
        </w:rPr>
        <w:t>Human Rights Act 2004</w:t>
      </w:r>
    </w:p>
    <w:p w:rsidR="00A52216" w:rsidRPr="00B76C99" w:rsidRDefault="00A52216" w:rsidP="00BF605B">
      <w:pPr>
        <w:ind w:left="360"/>
        <w:rPr>
          <w:rFonts w:ascii="Calibri" w:hAnsi="Calibri" w:cs="Calibri"/>
        </w:rPr>
      </w:pPr>
      <w:r w:rsidRPr="00B76C99">
        <w:rPr>
          <w:rFonts w:ascii="Calibri" w:hAnsi="Calibri" w:cs="Calibri"/>
        </w:rPr>
        <w:t xml:space="preserve">This instrument provides a concession to conveyance duty and does not limit, and is consistent with, human rights. By providing exemption to purchases of properties that require construction work, it promotes the right to work (section 27B of the </w:t>
      </w:r>
      <w:r w:rsidRPr="00B76C99">
        <w:rPr>
          <w:rFonts w:ascii="Calibri" w:hAnsi="Calibri" w:cs="Calibri"/>
          <w:i/>
          <w:iCs/>
        </w:rPr>
        <w:t>Human Rights Act 2004</w:t>
      </w:r>
      <w:r w:rsidRPr="00B76C99">
        <w:rPr>
          <w:rFonts w:ascii="Calibri" w:hAnsi="Calibri" w:cs="Calibri"/>
        </w:rPr>
        <w:t>) by supporting jobs for the property and construction industry.</w:t>
      </w:r>
    </w:p>
    <w:p w:rsidR="00A52216" w:rsidRPr="00B76C99" w:rsidRDefault="00A52216" w:rsidP="00BF605B">
      <w:pPr>
        <w:ind w:left="360"/>
        <w:rPr>
          <w:rFonts w:ascii="Calibri" w:hAnsi="Calibri" w:cs="Calibri"/>
        </w:rPr>
      </w:pPr>
      <w:r w:rsidRPr="00B76C99">
        <w:rPr>
          <w:rFonts w:ascii="Calibri" w:hAnsi="Calibri" w:cs="Calibri"/>
        </w:rPr>
        <w:t xml:space="preserve">In accordance with the legislation, the Owner Occupier Duty Exemption Determination includes a statement about whether, in my opinion as the Minister, the scheme is consistent with human rights. </w:t>
      </w:r>
    </w:p>
    <w:p w:rsidR="00A52216" w:rsidRPr="00B76C99" w:rsidRDefault="00A52216" w:rsidP="00BF605B">
      <w:pPr>
        <w:ind w:left="360"/>
        <w:rPr>
          <w:rFonts w:ascii="Calibri" w:hAnsi="Calibri" w:cs="Calibri"/>
        </w:rPr>
      </w:pPr>
      <w:r w:rsidRPr="00B76C99">
        <w:rPr>
          <w:rFonts w:ascii="Calibri" w:hAnsi="Calibri" w:cs="Calibri"/>
        </w:rPr>
        <w:t>In addition, the ACT Human Rights Commission has been consulted to ensure the Owner Occupier Duty Exemption Determination is consistent with human rights.</w:t>
      </w:r>
    </w:p>
    <w:p w:rsidR="00A52216" w:rsidRPr="00B76C99" w:rsidRDefault="00A52216" w:rsidP="00BF605B">
      <w:pPr>
        <w:ind w:left="360"/>
        <w:rPr>
          <w:rFonts w:ascii="Calibri" w:hAnsi="Calibri" w:cs="Calibri"/>
        </w:rPr>
      </w:pPr>
      <w:r w:rsidRPr="00B76C99">
        <w:rPr>
          <w:rFonts w:ascii="Calibri" w:hAnsi="Calibri" w:cs="Calibri"/>
        </w:rPr>
        <w:t>The Owner Occupier Duty Exemption Determination is to commence retrospectively on 4 June 2020, to align with the announcement of the initiative and ensure that there is no incentive to delay property purchase decisions.</w:t>
      </w:r>
    </w:p>
    <w:p w:rsidR="00A52216" w:rsidRPr="000C60C8" w:rsidRDefault="00A52216" w:rsidP="00E77EF7">
      <w:pPr>
        <w:rPr>
          <w:rFonts w:ascii="Calibri" w:hAnsi="Calibri" w:cs="Calibri"/>
        </w:rPr>
      </w:pPr>
      <w:bookmarkStart w:id="521" w:name="_Hlk46343202"/>
      <w:r w:rsidRPr="00A66BED">
        <w:rPr>
          <w:rFonts w:ascii="Calibri" w:hAnsi="Calibri" w:cs="Calibri"/>
          <w:b/>
          <w:bCs/>
        </w:rPr>
        <w:t>The Committee draws the attention of the Legislative Assembly to the discussion of human rights issues in the explanatory statement for th</w:t>
      </w:r>
      <w:r>
        <w:rPr>
          <w:rFonts w:ascii="Calibri" w:hAnsi="Calibri" w:cs="Calibri"/>
          <w:b/>
          <w:bCs/>
        </w:rPr>
        <w:t>is</w:t>
      </w:r>
      <w:r w:rsidRPr="00A66BED">
        <w:rPr>
          <w:rFonts w:ascii="Calibri" w:hAnsi="Calibri" w:cs="Calibri"/>
          <w:b/>
          <w:bCs/>
        </w:rPr>
        <w:t xml:space="preserve"> instrument.</w:t>
      </w:r>
    </w:p>
    <w:p w:rsidR="00A52216" w:rsidRDefault="00A52216" w:rsidP="00E77EF7">
      <w:pPr>
        <w:pStyle w:val="Paper"/>
        <w:spacing w:before="220" w:after="220" w:line="280" w:lineRule="exact"/>
        <w:rPr>
          <w:rFonts w:ascii="Calibri" w:hAnsi="Calibri" w:cs="Calibri"/>
          <w:b/>
          <w:bCs/>
          <w:sz w:val="22"/>
          <w:szCs w:val="22"/>
          <w:lang w:eastAsia="en-AU"/>
        </w:rPr>
      </w:pPr>
      <w:r w:rsidRPr="00DF586F">
        <w:rPr>
          <w:rFonts w:ascii="Calibri" w:hAnsi="Calibri" w:cs="Calibri"/>
          <w:b/>
          <w:bCs/>
          <w:sz w:val="22"/>
          <w:szCs w:val="22"/>
          <w:lang w:eastAsia="en-AU"/>
        </w:rPr>
        <w:t>Th</w:t>
      </w:r>
      <w:r w:rsidR="00FF240F">
        <w:rPr>
          <w:rFonts w:ascii="Calibri" w:hAnsi="Calibri" w:cs="Calibri"/>
          <w:b/>
          <w:bCs/>
          <w:sz w:val="22"/>
          <w:szCs w:val="22"/>
          <w:lang w:eastAsia="en-AU"/>
        </w:rPr>
        <w:t>e</w:t>
      </w:r>
      <w:r w:rsidRPr="00DF586F">
        <w:rPr>
          <w:rFonts w:ascii="Calibri" w:hAnsi="Calibri" w:cs="Calibri"/>
          <w:b/>
          <w:bCs/>
          <w:sz w:val="22"/>
          <w:szCs w:val="22"/>
          <w:lang w:eastAsia="en-AU"/>
        </w:rPr>
        <w:t xml:space="preserve"> comment </w:t>
      </w:r>
      <w:r w:rsidR="00DF586F" w:rsidRPr="00DF586F">
        <w:rPr>
          <w:rFonts w:ascii="Calibri" w:hAnsi="Calibri" w:cs="Calibri"/>
          <w:b/>
          <w:bCs/>
          <w:sz w:val="22"/>
          <w:szCs w:val="22"/>
          <w:lang w:eastAsia="en-AU"/>
        </w:rPr>
        <w:t xml:space="preserve">immediately above </w:t>
      </w:r>
      <w:r w:rsidRPr="00DF586F">
        <w:rPr>
          <w:rFonts w:ascii="Calibri" w:hAnsi="Calibri" w:cs="Calibri"/>
          <w:b/>
          <w:bCs/>
          <w:sz w:val="22"/>
          <w:szCs w:val="22"/>
          <w:lang w:eastAsia="en-AU"/>
        </w:rPr>
        <w:t>does not require a response from the Minister.</w:t>
      </w:r>
    </w:p>
    <w:bookmarkEnd w:id="521"/>
    <w:p w:rsidR="00A52216" w:rsidRPr="00A52216" w:rsidRDefault="00A52216" w:rsidP="00A52216">
      <w:pPr>
        <w:pStyle w:val="Heading4nonumber"/>
        <w:spacing w:before="220" w:after="220" w:line="280" w:lineRule="atLeast"/>
        <w:rPr>
          <w:sz w:val="22"/>
          <w:szCs w:val="22"/>
        </w:rPr>
      </w:pPr>
      <w:r w:rsidRPr="00A52216">
        <w:rPr>
          <w:sz w:val="22"/>
          <w:szCs w:val="22"/>
        </w:rPr>
        <w:t>Are these appointments valid</w:t>
      </w:r>
      <w:r>
        <w:rPr>
          <w:sz w:val="22"/>
          <w:szCs w:val="22"/>
        </w:rPr>
        <w:t>ly made?</w:t>
      </w:r>
    </w:p>
    <w:p w:rsidR="00A52216" w:rsidRPr="00842199" w:rsidRDefault="00A52216" w:rsidP="00BF605B">
      <w:pPr>
        <w:pStyle w:val="Bodycopy"/>
        <w:numPr>
          <w:ilvl w:val="0"/>
          <w:numId w:val="26"/>
        </w:numPr>
        <w:tabs>
          <w:tab w:val="clear" w:pos="1276"/>
          <w:tab w:val="left" w:pos="360"/>
        </w:tabs>
        <w:spacing w:before="160" w:after="160" w:line="280" w:lineRule="exact"/>
        <w:ind w:left="360"/>
        <w:rPr>
          <w:b/>
        </w:rPr>
      </w:pPr>
      <w:r>
        <w:rPr>
          <w:b/>
        </w:rPr>
        <w:t>Disallowable Instrument</w:t>
      </w:r>
      <w:r w:rsidRPr="00451C85">
        <w:rPr>
          <w:b/>
        </w:rPr>
        <w:t xml:space="preserve"> </w:t>
      </w:r>
      <w:r>
        <w:rPr>
          <w:b/>
        </w:rPr>
        <w:t>DI2020-206</w:t>
      </w:r>
      <w:r w:rsidRPr="00451C85">
        <w:rPr>
          <w:b/>
        </w:rPr>
        <w:t xml:space="preserve"> being the </w:t>
      </w:r>
      <w:r>
        <w:rPr>
          <w:b/>
        </w:rPr>
        <w:t xml:space="preserve">University of Canberra Council Appointment 2020 (No 1) made under section 11 of the </w:t>
      </w:r>
      <w:r>
        <w:rPr>
          <w:i/>
        </w:rPr>
        <w:t>University of Canberra Act 1989</w:t>
      </w:r>
      <w:r w:rsidRPr="00236BDD">
        <w:rPr>
          <w:b/>
        </w:rPr>
        <w:t xml:space="preserve"> </w:t>
      </w:r>
      <w:r>
        <w:rPr>
          <w:b/>
        </w:rPr>
        <w:t>appoints a specified person as a member of the University of Canberra Council.</w:t>
      </w:r>
    </w:p>
    <w:p w:rsidR="00A52216" w:rsidRPr="00842199" w:rsidRDefault="00A52216" w:rsidP="00A52216">
      <w:pPr>
        <w:pStyle w:val="Bodycopy"/>
        <w:numPr>
          <w:ilvl w:val="0"/>
          <w:numId w:val="26"/>
        </w:numPr>
        <w:tabs>
          <w:tab w:val="clear" w:pos="1276"/>
          <w:tab w:val="left" w:pos="360"/>
        </w:tabs>
        <w:spacing w:before="160" w:after="160" w:line="280" w:lineRule="exact"/>
        <w:ind w:left="360"/>
        <w:rPr>
          <w:b/>
        </w:rPr>
      </w:pPr>
      <w:r>
        <w:rPr>
          <w:b/>
        </w:rPr>
        <w:t>Disallowable Instrument</w:t>
      </w:r>
      <w:r w:rsidRPr="00451C85">
        <w:rPr>
          <w:b/>
        </w:rPr>
        <w:t xml:space="preserve"> </w:t>
      </w:r>
      <w:r>
        <w:rPr>
          <w:b/>
        </w:rPr>
        <w:t>DI2020-207</w:t>
      </w:r>
      <w:r w:rsidRPr="00451C85">
        <w:rPr>
          <w:b/>
        </w:rPr>
        <w:t xml:space="preserve"> being the </w:t>
      </w:r>
      <w:r>
        <w:rPr>
          <w:b/>
        </w:rPr>
        <w:t xml:space="preserve">University of Canberra Council Appointment 2020 (No 2) made under section 11 of the </w:t>
      </w:r>
      <w:r>
        <w:rPr>
          <w:i/>
        </w:rPr>
        <w:t>University of Canberra Act 1989</w:t>
      </w:r>
      <w:r w:rsidRPr="00236BDD">
        <w:rPr>
          <w:b/>
        </w:rPr>
        <w:t xml:space="preserve"> </w:t>
      </w:r>
      <w:r>
        <w:rPr>
          <w:b/>
        </w:rPr>
        <w:t>appoints a specified person as a member of the University of Canberra Council.</w:t>
      </w:r>
    </w:p>
    <w:p w:rsidR="00A52216" w:rsidRPr="00842199" w:rsidRDefault="00A52216" w:rsidP="00A52216">
      <w:pPr>
        <w:pStyle w:val="Bodycopy"/>
        <w:numPr>
          <w:ilvl w:val="0"/>
          <w:numId w:val="26"/>
        </w:numPr>
        <w:tabs>
          <w:tab w:val="clear" w:pos="1276"/>
          <w:tab w:val="left" w:pos="360"/>
        </w:tabs>
        <w:spacing w:before="160" w:after="160" w:line="280" w:lineRule="exact"/>
        <w:ind w:left="360"/>
        <w:rPr>
          <w:b/>
        </w:rPr>
      </w:pPr>
      <w:r>
        <w:rPr>
          <w:b/>
        </w:rPr>
        <w:t>Disallowable Instrument</w:t>
      </w:r>
      <w:r w:rsidRPr="00451C85">
        <w:rPr>
          <w:b/>
        </w:rPr>
        <w:t xml:space="preserve"> </w:t>
      </w:r>
      <w:r>
        <w:rPr>
          <w:b/>
        </w:rPr>
        <w:t>DI2020-208</w:t>
      </w:r>
      <w:r w:rsidRPr="00451C85">
        <w:rPr>
          <w:b/>
        </w:rPr>
        <w:t xml:space="preserve"> being the </w:t>
      </w:r>
      <w:r>
        <w:rPr>
          <w:b/>
        </w:rPr>
        <w:t xml:space="preserve">University of Canberra Council Appointment 2020 (No 3) made under section 11 of the </w:t>
      </w:r>
      <w:r>
        <w:rPr>
          <w:i/>
        </w:rPr>
        <w:t>University of Canberra Act 1989</w:t>
      </w:r>
      <w:r w:rsidRPr="00236BDD">
        <w:rPr>
          <w:b/>
        </w:rPr>
        <w:t xml:space="preserve"> </w:t>
      </w:r>
      <w:r>
        <w:rPr>
          <w:b/>
        </w:rPr>
        <w:t>appoints a specified person as a member of the University of Canberra Council.</w:t>
      </w:r>
    </w:p>
    <w:p w:rsidR="00A52216" w:rsidRPr="00924134" w:rsidRDefault="00A52216" w:rsidP="00BF605B">
      <w:pPr>
        <w:widowControl w:val="0"/>
        <w:tabs>
          <w:tab w:val="left" w:pos="1276"/>
        </w:tabs>
        <w:rPr>
          <w:rFonts w:ascii="Calibri" w:hAnsi="Calibri"/>
        </w:rPr>
      </w:pPr>
      <w:r>
        <w:rPr>
          <w:rFonts w:ascii="Calibri" w:hAnsi="Calibri"/>
        </w:rPr>
        <w:t>The instruments men</w:t>
      </w:r>
      <w:r w:rsidR="003443F0">
        <w:rPr>
          <w:rFonts w:ascii="Calibri" w:hAnsi="Calibri"/>
        </w:rPr>
        <w:t>tioned above appoint three</w:t>
      </w:r>
      <w:r>
        <w:rPr>
          <w:rFonts w:ascii="Calibri" w:hAnsi="Calibri"/>
        </w:rPr>
        <w:t xml:space="preserve"> specified persons as members of the University Council.  The appointments are made under section 11 of the </w:t>
      </w:r>
      <w:r>
        <w:rPr>
          <w:rFonts w:ascii="Calibri" w:hAnsi="Calibri"/>
          <w:i/>
          <w:iCs/>
        </w:rPr>
        <w:t>University of Canberra Act 1989</w:t>
      </w:r>
      <w:r w:rsidR="003443F0">
        <w:rPr>
          <w:rFonts w:ascii="Calibri" w:hAnsi="Calibri"/>
        </w:rPr>
        <w:t>.</w:t>
      </w:r>
    </w:p>
    <w:p w:rsidR="00A52216" w:rsidRDefault="00A52216" w:rsidP="00BF605B">
      <w:pPr>
        <w:widowControl w:val="0"/>
        <w:tabs>
          <w:tab w:val="left" w:pos="1276"/>
        </w:tabs>
        <w:rPr>
          <w:rFonts w:ascii="Calibri" w:hAnsi="Calibri"/>
        </w:rPr>
      </w:pPr>
      <w:r>
        <w:rPr>
          <w:rFonts w:ascii="Calibri" w:hAnsi="Calibri"/>
        </w:rPr>
        <w:t>The Committee notes that subsection 11A(5) of the University of Canberra Act sets out limitations on the appointment of persons to the Council.  It provides:</w:t>
      </w:r>
    </w:p>
    <w:p w:rsidR="00A52216" w:rsidRPr="00B76C99" w:rsidRDefault="00A52216" w:rsidP="0043115C">
      <w:pPr>
        <w:pStyle w:val="NormalWeb"/>
        <w:keepNext/>
        <w:ind w:left="907" w:hanging="547"/>
        <w:rPr>
          <w:rFonts w:ascii="Calibri" w:hAnsi="Calibri" w:cs="Calibri"/>
          <w:color w:val="000000"/>
          <w:sz w:val="22"/>
          <w:szCs w:val="22"/>
        </w:rPr>
      </w:pPr>
      <w:r w:rsidRPr="00B76C99">
        <w:rPr>
          <w:rFonts w:ascii="Calibri" w:hAnsi="Calibri" w:cs="Calibri"/>
          <w:color w:val="000000"/>
          <w:sz w:val="22"/>
          <w:szCs w:val="22"/>
        </w:rPr>
        <w:lastRenderedPageBreak/>
        <w:t>(5)</w:t>
      </w:r>
      <w:r w:rsidR="003443F0">
        <w:rPr>
          <w:rFonts w:ascii="Calibri" w:hAnsi="Calibri" w:cs="Calibri"/>
          <w:color w:val="000000"/>
          <w:sz w:val="22"/>
          <w:szCs w:val="22"/>
        </w:rPr>
        <w:tab/>
      </w:r>
      <w:r w:rsidRPr="00B76C99">
        <w:rPr>
          <w:rFonts w:ascii="Calibri" w:hAnsi="Calibri" w:cs="Calibri"/>
          <w:color w:val="000000"/>
          <w:sz w:val="22"/>
          <w:szCs w:val="22"/>
        </w:rPr>
        <w:t>The Chief Minister must not appoint to the council—</w:t>
      </w:r>
    </w:p>
    <w:p w:rsidR="00A52216" w:rsidRPr="00B76C99" w:rsidRDefault="00A52216" w:rsidP="003443F0">
      <w:pPr>
        <w:pStyle w:val="NormalWeb"/>
        <w:ind w:left="1440" w:hanging="540"/>
        <w:rPr>
          <w:rFonts w:ascii="Calibri" w:hAnsi="Calibri" w:cs="Calibri"/>
          <w:color w:val="000000"/>
          <w:sz w:val="22"/>
          <w:szCs w:val="22"/>
        </w:rPr>
      </w:pPr>
      <w:r w:rsidRPr="00B76C99">
        <w:rPr>
          <w:rFonts w:ascii="Calibri" w:hAnsi="Calibri" w:cs="Calibri"/>
          <w:color w:val="000000"/>
          <w:sz w:val="22"/>
          <w:szCs w:val="22"/>
        </w:rPr>
        <w:t>(a)</w:t>
      </w:r>
      <w:r w:rsidR="003443F0">
        <w:rPr>
          <w:rFonts w:ascii="Calibri" w:hAnsi="Calibri" w:cs="Calibri"/>
          <w:color w:val="000000"/>
          <w:sz w:val="22"/>
          <w:szCs w:val="22"/>
        </w:rPr>
        <w:tab/>
      </w:r>
      <w:r w:rsidRPr="00B76C99">
        <w:rPr>
          <w:rFonts w:ascii="Calibri" w:hAnsi="Calibri" w:cs="Calibri"/>
          <w:color w:val="000000"/>
          <w:sz w:val="22"/>
          <w:szCs w:val="22"/>
        </w:rPr>
        <w:t>a member of—</w:t>
      </w:r>
    </w:p>
    <w:p w:rsidR="00A52216" w:rsidRPr="00B76C99" w:rsidRDefault="003443F0" w:rsidP="003443F0">
      <w:pPr>
        <w:pStyle w:val="NormalWeb"/>
        <w:tabs>
          <w:tab w:val="right" w:pos="1710"/>
          <w:tab w:val="left" w:pos="1980"/>
        </w:tabs>
        <w:ind w:left="720" w:firstLine="180"/>
        <w:rPr>
          <w:rFonts w:ascii="Calibri" w:hAnsi="Calibri" w:cs="Calibri"/>
          <w:color w:val="000000"/>
          <w:sz w:val="22"/>
          <w:szCs w:val="22"/>
        </w:rPr>
      </w:pPr>
      <w:r>
        <w:rPr>
          <w:rFonts w:ascii="Calibri" w:hAnsi="Calibri" w:cs="Calibri"/>
          <w:color w:val="000000"/>
          <w:sz w:val="22"/>
          <w:szCs w:val="22"/>
        </w:rPr>
        <w:tab/>
      </w:r>
      <w:r w:rsidR="00A52216" w:rsidRPr="00B76C99">
        <w:rPr>
          <w:rFonts w:ascii="Calibri" w:hAnsi="Calibri" w:cs="Calibri"/>
          <w:color w:val="000000"/>
          <w:sz w:val="22"/>
          <w:szCs w:val="22"/>
        </w:rPr>
        <w:t>(i)</w:t>
      </w:r>
      <w:r>
        <w:rPr>
          <w:rFonts w:ascii="Calibri" w:hAnsi="Calibri" w:cs="Calibri"/>
          <w:color w:val="000000"/>
          <w:sz w:val="22"/>
          <w:szCs w:val="22"/>
        </w:rPr>
        <w:tab/>
      </w:r>
      <w:r w:rsidR="00A52216" w:rsidRPr="00B76C99">
        <w:rPr>
          <w:rFonts w:ascii="Calibri" w:hAnsi="Calibri" w:cs="Calibri"/>
          <w:color w:val="000000"/>
          <w:sz w:val="22"/>
          <w:szCs w:val="22"/>
        </w:rPr>
        <w:t>the Commonwealth parliament; or</w:t>
      </w:r>
    </w:p>
    <w:p w:rsidR="00A52216" w:rsidRPr="00B76C99" w:rsidRDefault="003443F0" w:rsidP="003443F0">
      <w:pPr>
        <w:pStyle w:val="NormalWeb"/>
        <w:tabs>
          <w:tab w:val="right" w:pos="1710"/>
          <w:tab w:val="left" w:pos="1980"/>
        </w:tabs>
        <w:ind w:left="720" w:firstLine="180"/>
        <w:rPr>
          <w:rFonts w:ascii="Calibri" w:hAnsi="Calibri" w:cs="Calibri"/>
          <w:color w:val="000000"/>
          <w:sz w:val="22"/>
          <w:szCs w:val="22"/>
        </w:rPr>
      </w:pPr>
      <w:r>
        <w:rPr>
          <w:rFonts w:ascii="Calibri" w:hAnsi="Calibri" w:cs="Calibri"/>
          <w:color w:val="000000"/>
          <w:sz w:val="22"/>
          <w:szCs w:val="22"/>
        </w:rPr>
        <w:tab/>
        <w:t>(ii)</w:t>
      </w:r>
      <w:r>
        <w:rPr>
          <w:rFonts w:ascii="Calibri" w:hAnsi="Calibri" w:cs="Calibri"/>
          <w:color w:val="000000"/>
          <w:sz w:val="22"/>
          <w:szCs w:val="22"/>
        </w:rPr>
        <w:tab/>
      </w:r>
      <w:r w:rsidR="00A52216" w:rsidRPr="00B76C99">
        <w:rPr>
          <w:rFonts w:ascii="Calibri" w:hAnsi="Calibri" w:cs="Calibri"/>
          <w:color w:val="000000"/>
          <w:sz w:val="22"/>
          <w:szCs w:val="22"/>
        </w:rPr>
        <w:t>a State parliament; or</w:t>
      </w:r>
    </w:p>
    <w:p w:rsidR="00A52216" w:rsidRPr="00B76C99" w:rsidRDefault="003443F0" w:rsidP="003443F0">
      <w:pPr>
        <w:pStyle w:val="NormalWeb"/>
        <w:tabs>
          <w:tab w:val="right" w:pos="1710"/>
          <w:tab w:val="left" w:pos="1980"/>
        </w:tabs>
        <w:ind w:left="720" w:firstLine="180"/>
        <w:rPr>
          <w:rFonts w:ascii="Calibri" w:hAnsi="Calibri" w:cs="Calibri"/>
          <w:color w:val="000000"/>
          <w:sz w:val="22"/>
          <w:szCs w:val="22"/>
        </w:rPr>
      </w:pPr>
      <w:r>
        <w:rPr>
          <w:rFonts w:ascii="Calibri" w:hAnsi="Calibri" w:cs="Calibri"/>
          <w:color w:val="000000"/>
          <w:sz w:val="22"/>
          <w:szCs w:val="22"/>
        </w:rPr>
        <w:tab/>
      </w:r>
      <w:r w:rsidR="00A52216" w:rsidRPr="00B76C99">
        <w:rPr>
          <w:rFonts w:ascii="Calibri" w:hAnsi="Calibri" w:cs="Calibri"/>
          <w:color w:val="000000"/>
          <w:sz w:val="22"/>
          <w:szCs w:val="22"/>
        </w:rPr>
        <w:t>(iii)</w:t>
      </w:r>
      <w:r>
        <w:rPr>
          <w:rFonts w:ascii="Calibri" w:hAnsi="Calibri" w:cs="Calibri"/>
          <w:color w:val="000000"/>
          <w:sz w:val="22"/>
          <w:szCs w:val="22"/>
        </w:rPr>
        <w:tab/>
      </w:r>
      <w:r w:rsidR="00A52216" w:rsidRPr="00B76C99">
        <w:rPr>
          <w:rFonts w:ascii="Calibri" w:hAnsi="Calibri" w:cs="Calibri"/>
          <w:color w:val="000000"/>
          <w:sz w:val="22"/>
          <w:szCs w:val="22"/>
        </w:rPr>
        <w:t>the Legislative Assembly; or</w:t>
      </w:r>
    </w:p>
    <w:p w:rsidR="00A52216" w:rsidRPr="00B76C99" w:rsidRDefault="003443F0" w:rsidP="003443F0">
      <w:pPr>
        <w:pStyle w:val="NormalWeb"/>
        <w:tabs>
          <w:tab w:val="right" w:pos="1710"/>
          <w:tab w:val="left" w:pos="1980"/>
        </w:tabs>
        <w:ind w:left="720" w:firstLine="180"/>
        <w:rPr>
          <w:rFonts w:ascii="Calibri" w:hAnsi="Calibri" w:cs="Calibri"/>
          <w:color w:val="000000"/>
          <w:sz w:val="22"/>
          <w:szCs w:val="22"/>
        </w:rPr>
      </w:pPr>
      <w:r>
        <w:rPr>
          <w:rFonts w:ascii="Calibri" w:hAnsi="Calibri" w:cs="Calibri"/>
          <w:color w:val="000000"/>
          <w:sz w:val="22"/>
          <w:szCs w:val="22"/>
        </w:rPr>
        <w:tab/>
      </w:r>
      <w:r w:rsidR="00A52216" w:rsidRPr="00B76C99">
        <w:rPr>
          <w:rFonts w:ascii="Calibri" w:hAnsi="Calibri" w:cs="Calibri"/>
          <w:color w:val="000000"/>
          <w:sz w:val="22"/>
          <w:szCs w:val="22"/>
        </w:rPr>
        <w:t>(iv)</w:t>
      </w:r>
      <w:r>
        <w:rPr>
          <w:rFonts w:ascii="Calibri" w:hAnsi="Calibri" w:cs="Calibri"/>
          <w:color w:val="000000"/>
          <w:sz w:val="22"/>
          <w:szCs w:val="22"/>
        </w:rPr>
        <w:tab/>
      </w:r>
      <w:r w:rsidR="00A52216" w:rsidRPr="00B76C99">
        <w:rPr>
          <w:rFonts w:ascii="Calibri" w:hAnsi="Calibri" w:cs="Calibri"/>
          <w:color w:val="000000"/>
          <w:sz w:val="22"/>
          <w:szCs w:val="22"/>
        </w:rPr>
        <w:t>the legislature of another territory; or</w:t>
      </w:r>
    </w:p>
    <w:p w:rsidR="00A52216" w:rsidRPr="00B76C99" w:rsidRDefault="00A52216" w:rsidP="003443F0">
      <w:pPr>
        <w:pStyle w:val="NormalWeb"/>
        <w:ind w:left="1440" w:hanging="540"/>
        <w:rPr>
          <w:rFonts w:ascii="Calibri" w:hAnsi="Calibri" w:cs="Calibri"/>
          <w:color w:val="000000"/>
          <w:sz w:val="22"/>
          <w:szCs w:val="22"/>
        </w:rPr>
      </w:pPr>
      <w:r w:rsidRPr="00B76C99">
        <w:rPr>
          <w:rFonts w:ascii="Calibri" w:hAnsi="Calibri" w:cs="Calibri"/>
          <w:color w:val="000000"/>
          <w:sz w:val="22"/>
          <w:szCs w:val="22"/>
        </w:rPr>
        <w:t>(b)</w:t>
      </w:r>
      <w:r w:rsidR="003443F0">
        <w:rPr>
          <w:rFonts w:ascii="Calibri" w:hAnsi="Calibri" w:cs="Calibri"/>
          <w:color w:val="000000"/>
          <w:sz w:val="22"/>
          <w:szCs w:val="22"/>
        </w:rPr>
        <w:tab/>
      </w:r>
      <w:r w:rsidRPr="00B76C99">
        <w:rPr>
          <w:rFonts w:ascii="Calibri" w:hAnsi="Calibri" w:cs="Calibri"/>
          <w:color w:val="000000"/>
          <w:sz w:val="22"/>
          <w:szCs w:val="22"/>
        </w:rPr>
        <w:t>a member of the academic staff or general staff of the university; or</w:t>
      </w:r>
    </w:p>
    <w:p w:rsidR="00A52216" w:rsidRPr="00B76C99" w:rsidRDefault="00A52216" w:rsidP="003443F0">
      <w:pPr>
        <w:pStyle w:val="NormalWeb"/>
        <w:ind w:left="1440" w:hanging="540"/>
        <w:rPr>
          <w:rFonts w:ascii="Calibri" w:hAnsi="Calibri" w:cs="Calibri"/>
          <w:color w:val="000000"/>
          <w:sz w:val="22"/>
          <w:szCs w:val="22"/>
        </w:rPr>
      </w:pPr>
      <w:r w:rsidRPr="00B76C99">
        <w:rPr>
          <w:rFonts w:ascii="Calibri" w:hAnsi="Calibri" w:cs="Calibri"/>
          <w:color w:val="000000"/>
          <w:sz w:val="22"/>
          <w:szCs w:val="22"/>
        </w:rPr>
        <w:t>(c)</w:t>
      </w:r>
      <w:r w:rsidR="003443F0">
        <w:rPr>
          <w:rFonts w:ascii="Calibri" w:hAnsi="Calibri" w:cs="Calibri"/>
          <w:color w:val="000000"/>
          <w:sz w:val="22"/>
          <w:szCs w:val="22"/>
        </w:rPr>
        <w:tab/>
      </w:r>
      <w:r w:rsidRPr="00B76C99">
        <w:rPr>
          <w:rFonts w:ascii="Calibri" w:hAnsi="Calibri" w:cs="Calibri"/>
          <w:color w:val="000000"/>
          <w:sz w:val="22"/>
          <w:szCs w:val="22"/>
        </w:rPr>
        <w:t>a student of the university.</w:t>
      </w:r>
    </w:p>
    <w:p w:rsidR="00A52216" w:rsidRDefault="00A52216" w:rsidP="00BF605B">
      <w:pPr>
        <w:widowControl w:val="0"/>
        <w:tabs>
          <w:tab w:val="left" w:pos="1276"/>
        </w:tabs>
        <w:rPr>
          <w:rFonts w:ascii="Calibri" w:hAnsi="Calibri"/>
        </w:rPr>
      </w:pPr>
      <w:r>
        <w:rPr>
          <w:rFonts w:ascii="Calibri" w:hAnsi="Calibri"/>
        </w:rPr>
        <w:t>Section 12 of the University of Canberra Act sets out further limitations:</w:t>
      </w:r>
    </w:p>
    <w:p w:rsidR="00A52216" w:rsidRPr="00B76C99" w:rsidRDefault="003443F0" w:rsidP="003443F0">
      <w:pPr>
        <w:ind w:left="1350" w:hanging="990"/>
        <w:rPr>
          <w:rFonts w:ascii="Calibri" w:hAnsi="Calibri" w:cs="Calibri"/>
        </w:rPr>
      </w:pPr>
      <w:r>
        <w:rPr>
          <w:rFonts w:ascii="Calibri" w:hAnsi="Calibri" w:cs="Calibri"/>
          <w:b/>
          <w:bCs/>
          <w:color w:val="000000"/>
        </w:rPr>
        <w:t>12</w:t>
      </w:r>
      <w:r>
        <w:rPr>
          <w:rFonts w:ascii="Calibri" w:hAnsi="Calibri" w:cs="Calibri"/>
          <w:b/>
          <w:bCs/>
          <w:color w:val="000000"/>
        </w:rPr>
        <w:tab/>
      </w:r>
      <w:r w:rsidR="00A52216" w:rsidRPr="00B76C99">
        <w:rPr>
          <w:rFonts w:ascii="Calibri" w:hAnsi="Calibri" w:cs="Calibri"/>
          <w:b/>
          <w:bCs/>
          <w:color w:val="000000"/>
        </w:rPr>
        <w:t>Qualifications for membership of council</w:t>
      </w:r>
    </w:p>
    <w:p w:rsidR="00A52216" w:rsidRPr="00B76C99" w:rsidRDefault="00A52216" w:rsidP="003443F0">
      <w:pPr>
        <w:pStyle w:val="NormalWeb"/>
        <w:ind w:left="1350" w:hanging="540"/>
        <w:rPr>
          <w:rFonts w:ascii="Calibri" w:hAnsi="Calibri" w:cs="Calibri"/>
          <w:color w:val="000000"/>
          <w:sz w:val="22"/>
          <w:szCs w:val="22"/>
        </w:rPr>
      </w:pPr>
      <w:r w:rsidRPr="00B76C99">
        <w:rPr>
          <w:rFonts w:ascii="Calibri" w:hAnsi="Calibri" w:cs="Calibri"/>
          <w:color w:val="000000"/>
          <w:sz w:val="22"/>
          <w:szCs w:val="22"/>
        </w:rPr>
        <w:t>(1)</w:t>
      </w:r>
      <w:r w:rsidR="003443F0">
        <w:rPr>
          <w:rFonts w:ascii="Calibri" w:hAnsi="Calibri" w:cs="Calibri"/>
          <w:color w:val="000000"/>
          <w:sz w:val="22"/>
          <w:szCs w:val="22"/>
        </w:rPr>
        <w:tab/>
      </w:r>
      <w:r w:rsidRPr="00B76C99">
        <w:rPr>
          <w:rFonts w:ascii="Calibri" w:hAnsi="Calibri" w:cs="Calibri"/>
          <w:color w:val="000000"/>
          <w:sz w:val="22"/>
          <w:szCs w:val="22"/>
        </w:rPr>
        <w:t>A person is not qualified to become or remain a member of the council if the person—</w:t>
      </w:r>
    </w:p>
    <w:p w:rsidR="00A52216" w:rsidRPr="00B76C99" w:rsidRDefault="00A52216" w:rsidP="003443F0">
      <w:pPr>
        <w:pStyle w:val="NormalWeb"/>
        <w:ind w:left="1890" w:hanging="540"/>
        <w:rPr>
          <w:rFonts w:ascii="Calibri" w:hAnsi="Calibri" w:cs="Calibri"/>
          <w:color w:val="000000"/>
          <w:sz w:val="22"/>
          <w:szCs w:val="22"/>
        </w:rPr>
      </w:pPr>
      <w:r w:rsidRPr="00B76C99">
        <w:rPr>
          <w:rFonts w:ascii="Calibri" w:hAnsi="Calibri" w:cs="Calibri"/>
          <w:color w:val="000000"/>
          <w:sz w:val="22"/>
          <w:szCs w:val="22"/>
        </w:rPr>
        <w:t>(a)</w:t>
      </w:r>
      <w:r w:rsidR="003443F0">
        <w:rPr>
          <w:rFonts w:ascii="Calibri" w:hAnsi="Calibri" w:cs="Calibri"/>
          <w:color w:val="000000"/>
          <w:sz w:val="22"/>
          <w:szCs w:val="22"/>
        </w:rPr>
        <w:tab/>
      </w:r>
      <w:r w:rsidRPr="00B76C99">
        <w:rPr>
          <w:rFonts w:ascii="Calibri" w:hAnsi="Calibri" w:cs="Calibri"/>
          <w:color w:val="000000"/>
          <w:sz w:val="22"/>
          <w:szCs w:val="22"/>
        </w:rPr>
        <w:t>is under 18 years old; or</w:t>
      </w:r>
    </w:p>
    <w:p w:rsidR="00A52216" w:rsidRPr="00B76C99" w:rsidRDefault="00A52216" w:rsidP="003443F0">
      <w:pPr>
        <w:pStyle w:val="NormalWeb"/>
        <w:ind w:left="1890" w:hanging="540"/>
        <w:rPr>
          <w:rFonts w:ascii="Calibri" w:hAnsi="Calibri" w:cs="Calibri"/>
          <w:color w:val="000000"/>
          <w:sz w:val="22"/>
          <w:szCs w:val="22"/>
        </w:rPr>
      </w:pPr>
      <w:r w:rsidRPr="00B76C99">
        <w:rPr>
          <w:rFonts w:ascii="Calibri" w:hAnsi="Calibri" w:cs="Calibri"/>
          <w:color w:val="000000"/>
          <w:sz w:val="22"/>
          <w:szCs w:val="22"/>
        </w:rPr>
        <w:t>(b)</w:t>
      </w:r>
      <w:r w:rsidR="003443F0">
        <w:rPr>
          <w:rFonts w:ascii="Calibri" w:hAnsi="Calibri" w:cs="Calibri"/>
          <w:color w:val="000000"/>
          <w:sz w:val="22"/>
          <w:szCs w:val="22"/>
        </w:rPr>
        <w:tab/>
      </w:r>
      <w:r w:rsidRPr="00B76C99">
        <w:rPr>
          <w:rFonts w:ascii="Calibri" w:hAnsi="Calibri" w:cs="Calibri"/>
          <w:color w:val="000000"/>
          <w:sz w:val="22"/>
          <w:szCs w:val="22"/>
        </w:rPr>
        <w:t>is disqualified from managing corporations under the Corporations Act, part 2D.6 (Disqualification from managing corporations); or</w:t>
      </w:r>
    </w:p>
    <w:p w:rsidR="00A52216" w:rsidRPr="00B76C99" w:rsidRDefault="00A52216" w:rsidP="003443F0">
      <w:pPr>
        <w:pStyle w:val="NormalWeb"/>
        <w:ind w:left="1890" w:hanging="540"/>
        <w:rPr>
          <w:rFonts w:ascii="Calibri" w:hAnsi="Calibri" w:cs="Calibri"/>
          <w:color w:val="000000"/>
          <w:sz w:val="22"/>
          <w:szCs w:val="22"/>
        </w:rPr>
      </w:pPr>
      <w:r w:rsidRPr="00B76C99">
        <w:rPr>
          <w:rFonts w:ascii="Calibri" w:hAnsi="Calibri" w:cs="Calibri"/>
          <w:color w:val="000000"/>
          <w:sz w:val="22"/>
          <w:szCs w:val="22"/>
        </w:rPr>
        <w:t>(c)</w:t>
      </w:r>
      <w:r w:rsidR="003443F0">
        <w:rPr>
          <w:rFonts w:ascii="Calibri" w:hAnsi="Calibri" w:cs="Calibri"/>
          <w:color w:val="000000"/>
          <w:sz w:val="22"/>
          <w:szCs w:val="22"/>
        </w:rPr>
        <w:tab/>
      </w:r>
      <w:r w:rsidRPr="00B76C99">
        <w:rPr>
          <w:rFonts w:ascii="Calibri" w:hAnsi="Calibri" w:cs="Calibri"/>
          <w:color w:val="000000"/>
          <w:sz w:val="22"/>
          <w:szCs w:val="22"/>
        </w:rPr>
        <w:t>is convicted, in the ACT, of an offence punishable by imprisonment for at least 1 year; or</w:t>
      </w:r>
    </w:p>
    <w:p w:rsidR="00A52216" w:rsidRPr="00B76C99" w:rsidRDefault="00A52216" w:rsidP="003443F0">
      <w:pPr>
        <w:pStyle w:val="NormalWeb"/>
        <w:ind w:left="1890" w:hanging="540"/>
        <w:rPr>
          <w:rFonts w:ascii="Calibri" w:hAnsi="Calibri" w:cs="Calibri"/>
          <w:color w:val="000000"/>
          <w:sz w:val="22"/>
          <w:szCs w:val="22"/>
        </w:rPr>
      </w:pPr>
      <w:r w:rsidRPr="00B76C99">
        <w:rPr>
          <w:rFonts w:ascii="Calibri" w:hAnsi="Calibri" w:cs="Calibri"/>
          <w:color w:val="000000"/>
          <w:sz w:val="22"/>
          <w:szCs w:val="22"/>
        </w:rPr>
        <w:t>(d)</w:t>
      </w:r>
      <w:r w:rsidR="003443F0">
        <w:rPr>
          <w:rFonts w:ascii="Calibri" w:hAnsi="Calibri" w:cs="Calibri"/>
          <w:color w:val="000000"/>
          <w:sz w:val="22"/>
          <w:szCs w:val="22"/>
        </w:rPr>
        <w:tab/>
      </w:r>
      <w:r w:rsidRPr="00B76C99">
        <w:rPr>
          <w:rFonts w:ascii="Calibri" w:hAnsi="Calibri" w:cs="Calibri"/>
          <w:color w:val="000000"/>
          <w:sz w:val="22"/>
          <w:szCs w:val="22"/>
        </w:rPr>
        <w:t>is convicted outside the ACT, in Australia or elsewhere, of an offence that, if it had been committed in the ACT, would be punishable by imprisonment for at least 1 year.</w:t>
      </w:r>
    </w:p>
    <w:p w:rsidR="00A52216" w:rsidRPr="00B76C99" w:rsidRDefault="00A52216" w:rsidP="003443F0">
      <w:pPr>
        <w:pStyle w:val="NormalWeb"/>
        <w:ind w:left="1350" w:hanging="540"/>
        <w:rPr>
          <w:rFonts w:ascii="Calibri" w:hAnsi="Calibri" w:cs="Calibri"/>
          <w:color w:val="000000"/>
          <w:sz w:val="22"/>
          <w:szCs w:val="22"/>
        </w:rPr>
      </w:pPr>
      <w:r w:rsidRPr="00B76C99">
        <w:rPr>
          <w:rFonts w:ascii="Calibri" w:hAnsi="Calibri" w:cs="Calibri"/>
          <w:color w:val="000000"/>
          <w:sz w:val="22"/>
          <w:szCs w:val="22"/>
        </w:rPr>
        <w:t>(2)</w:t>
      </w:r>
      <w:r w:rsidR="003443F0">
        <w:rPr>
          <w:rFonts w:ascii="Calibri" w:hAnsi="Calibri" w:cs="Calibri"/>
          <w:color w:val="000000"/>
          <w:sz w:val="22"/>
          <w:szCs w:val="22"/>
        </w:rPr>
        <w:tab/>
      </w:r>
      <w:r w:rsidRPr="00B76C99">
        <w:rPr>
          <w:rFonts w:ascii="Calibri" w:hAnsi="Calibri" w:cs="Calibri"/>
          <w:color w:val="000000"/>
          <w:sz w:val="22"/>
          <w:szCs w:val="22"/>
        </w:rPr>
        <w:t>Disqualification under subsection (1) (c) or (d) ends on the later of the following:</w:t>
      </w:r>
    </w:p>
    <w:p w:rsidR="00A52216" w:rsidRPr="00B76C99" w:rsidRDefault="00A52216" w:rsidP="003443F0">
      <w:pPr>
        <w:pStyle w:val="NormalWeb"/>
        <w:ind w:left="1890" w:hanging="540"/>
        <w:rPr>
          <w:rFonts w:ascii="Calibri" w:hAnsi="Calibri" w:cs="Calibri"/>
          <w:color w:val="000000"/>
          <w:sz w:val="22"/>
          <w:szCs w:val="22"/>
        </w:rPr>
      </w:pPr>
      <w:r w:rsidRPr="00B76C99">
        <w:rPr>
          <w:rFonts w:ascii="Calibri" w:hAnsi="Calibri" w:cs="Calibri"/>
          <w:color w:val="000000"/>
          <w:sz w:val="22"/>
          <w:szCs w:val="22"/>
        </w:rPr>
        <w:t>(a)</w:t>
      </w:r>
      <w:r w:rsidR="003443F0">
        <w:rPr>
          <w:rFonts w:ascii="Calibri" w:hAnsi="Calibri" w:cs="Calibri"/>
          <w:color w:val="000000"/>
          <w:sz w:val="22"/>
          <w:szCs w:val="22"/>
        </w:rPr>
        <w:tab/>
      </w:r>
      <w:r w:rsidRPr="00B76C99">
        <w:rPr>
          <w:rFonts w:ascii="Calibri" w:hAnsi="Calibri" w:cs="Calibri"/>
          <w:color w:val="000000"/>
          <w:sz w:val="22"/>
          <w:szCs w:val="22"/>
        </w:rPr>
        <w:t>5 years after the date of the person's conviction;</w:t>
      </w:r>
    </w:p>
    <w:p w:rsidR="00A52216" w:rsidRPr="00B76C99" w:rsidRDefault="00A52216" w:rsidP="003443F0">
      <w:pPr>
        <w:pStyle w:val="NormalWeb"/>
        <w:ind w:left="1890" w:hanging="540"/>
        <w:rPr>
          <w:rFonts w:ascii="Calibri" w:hAnsi="Calibri" w:cs="Calibri"/>
          <w:color w:val="000000"/>
          <w:sz w:val="22"/>
          <w:szCs w:val="22"/>
        </w:rPr>
      </w:pPr>
      <w:r w:rsidRPr="00B76C99">
        <w:rPr>
          <w:rFonts w:ascii="Calibri" w:hAnsi="Calibri" w:cs="Calibri"/>
          <w:color w:val="000000"/>
          <w:sz w:val="22"/>
          <w:szCs w:val="22"/>
        </w:rPr>
        <w:t>(b)</w:t>
      </w:r>
      <w:r w:rsidR="003443F0">
        <w:rPr>
          <w:rFonts w:ascii="Calibri" w:hAnsi="Calibri" w:cs="Calibri"/>
          <w:color w:val="000000"/>
          <w:sz w:val="22"/>
          <w:szCs w:val="22"/>
        </w:rPr>
        <w:tab/>
      </w:r>
      <w:r w:rsidRPr="00B76C99">
        <w:rPr>
          <w:rFonts w:ascii="Calibri" w:hAnsi="Calibri" w:cs="Calibri"/>
          <w:color w:val="000000"/>
          <w:sz w:val="22"/>
          <w:szCs w:val="22"/>
        </w:rPr>
        <w:t>5 years after the date of the person's release from prison.</w:t>
      </w:r>
    </w:p>
    <w:p w:rsidR="00A52216" w:rsidRDefault="00A52216" w:rsidP="00BF605B">
      <w:pPr>
        <w:widowControl w:val="0"/>
        <w:tabs>
          <w:tab w:val="left" w:pos="1276"/>
        </w:tabs>
        <w:rPr>
          <w:rFonts w:ascii="Calibri" w:hAnsi="Calibri"/>
        </w:rPr>
      </w:pPr>
      <w:r>
        <w:rPr>
          <w:rFonts w:ascii="Calibri" w:hAnsi="Calibri"/>
        </w:rPr>
        <w:t>Bearing these limitations on appointment in mind, the Committee notes that the explanatory statement for the first instrument mentioned above states:</w:t>
      </w:r>
    </w:p>
    <w:p w:rsidR="00A52216" w:rsidRPr="00003A1A" w:rsidRDefault="00A52216" w:rsidP="003443F0">
      <w:pPr>
        <w:pStyle w:val="BodyText"/>
        <w:kinsoku w:val="0"/>
        <w:overflowPunct w:val="0"/>
        <w:spacing w:after="220"/>
        <w:ind w:left="360"/>
        <w:rPr>
          <w:rFonts w:ascii="Calibri" w:hAnsi="Calibri" w:cs="Calibri"/>
          <w:bCs/>
          <w:color w:val="000000"/>
        </w:rPr>
      </w:pPr>
      <w:r w:rsidRPr="00003A1A">
        <w:rPr>
          <w:rFonts w:ascii="Calibri" w:hAnsi="Calibri" w:cs="Calibri"/>
          <w:bCs/>
          <w:color w:val="000000"/>
        </w:rPr>
        <w:t>Sections 11A(5) and 12 of the UC Act prohibit the appointment of certain persons to the UC Council, to include elected officials, staff and students of UC, persons disqualified from running corporations, and persons convicted of certain offences.</w:t>
      </w:r>
    </w:p>
    <w:p w:rsidR="00A52216" w:rsidRDefault="00A52216" w:rsidP="00BF605B">
      <w:pPr>
        <w:widowControl w:val="0"/>
        <w:tabs>
          <w:tab w:val="left" w:pos="1276"/>
        </w:tabs>
        <w:rPr>
          <w:rFonts w:ascii="Calibri" w:hAnsi="Calibri"/>
        </w:rPr>
      </w:pPr>
      <w:r>
        <w:rPr>
          <w:rFonts w:ascii="Calibri" w:hAnsi="Calibri"/>
        </w:rPr>
        <w:t>The explanatory statements for the second and third statements mentioned abo</w:t>
      </w:r>
      <w:r w:rsidR="003443F0">
        <w:rPr>
          <w:rFonts w:ascii="Calibri" w:hAnsi="Calibri"/>
        </w:rPr>
        <w:t>ve contain similar statements.</w:t>
      </w:r>
    </w:p>
    <w:p w:rsidR="00A52216" w:rsidRDefault="00A52216" w:rsidP="00FF240F">
      <w:pPr>
        <w:keepLines/>
        <w:widowControl w:val="0"/>
        <w:tabs>
          <w:tab w:val="left" w:pos="1276"/>
        </w:tabs>
        <w:rPr>
          <w:rFonts w:ascii="Calibri" w:hAnsi="Calibri"/>
        </w:rPr>
      </w:pPr>
      <w:r w:rsidRPr="00A73DD9">
        <w:rPr>
          <w:rFonts w:ascii="Calibri" w:hAnsi="Calibri"/>
        </w:rPr>
        <w:lastRenderedPageBreak/>
        <w:t xml:space="preserve">While it might be assumed that the appointments would not have been made if the </w:t>
      </w:r>
      <w:r>
        <w:rPr>
          <w:rFonts w:ascii="Calibri" w:hAnsi="Calibri"/>
        </w:rPr>
        <w:t>limitations on appointment did not apply to any of the specified persons (especially given that the explanatory statements for the instruments refer to these limitations and, also, given that the appointments have apparently been considered by the Standing Committee on Education, Employment and Youth Affairs)</w:t>
      </w:r>
      <w:r w:rsidRPr="00A73DD9">
        <w:rPr>
          <w:rFonts w:ascii="Calibri" w:hAnsi="Calibri"/>
        </w:rPr>
        <w:t xml:space="preserve">, the Committee considers that it is preferable that </w:t>
      </w:r>
      <w:r>
        <w:rPr>
          <w:rFonts w:ascii="Calibri" w:hAnsi="Calibri"/>
        </w:rPr>
        <w:t xml:space="preserve">the application or non-application of any </w:t>
      </w:r>
      <w:r w:rsidRPr="00A73DD9">
        <w:rPr>
          <w:rFonts w:ascii="Calibri" w:hAnsi="Calibri"/>
        </w:rPr>
        <w:t xml:space="preserve">statutory requirements </w:t>
      </w:r>
      <w:r>
        <w:rPr>
          <w:rFonts w:ascii="Calibri" w:hAnsi="Calibri"/>
        </w:rPr>
        <w:t>or limitations</w:t>
      </w:r>
      <w:r w:rsidRPr="00A73DD9">
        <w:rPr>
          <w:rFonts w:ascii="Calibri" w:hAnsi="Calibri"/>
        </w:rPr>
        <w:t xml:space="preserve"> be expressly addressed</w:t>
      </w:r>
      <w:r>
        <w:rPr>
          <w:rFonts w:ascii="Calibri" w:hAnsi="Calibri"/>
        </w:rPr>
        <w:t>, in the explanatory statement for an instrument of appointment</w:t>
      </w:r>
      <w:r w:rsidRPr="00A73DD9">
        <w:rPr>
          <w:rFonts w:ascii="Calibri" w:hAnsi="Calibri"/>
        </w:rPr>
        <w:t>.</w:t>
      </w:r>
    </w:p>
    <w:p w:rsidR="00A52216" w:rsidRDefault="00A52216" w:rsidP="00BF605B">
      <w:pPr>
        <w:widowControl w:val="0"/>
        <w:tabs>
          <w:tab w:val="left" w:pos="1276"/>
        </w:tabs>
        <w:rPr>
          <w:rFonts w:ascii="Calibri" w:hAnsi="Calibri"/>
          <w:b/>
          <w:bCs/>
        </w:rPr>
      </w:pPr>
      <w:r>
        <w:rPr>
          <w:rFonts w:ascii="Calibri" w:hAnsi="Calibri"/>
          <w:b/>
          <w:bCs/>
        </w:rPr>
        <w:t>This comment does not require a response from the Minister.</w:t>
      </w:r>
    </w:p>
    <w:p w:rsidR="00F11B0E" w:rsidRDefault="00F11B0E" w:rsidP="00F11B0E">
      <w:pPr>
        <w:pStyle w:val="Heading3"/>
      </w:pPr>
      <w:bookmarkStart w:id="522" w:name="_Hlk489262200"/>
      <w:bookmarkStart w:id="523" w:name="_Toc46735469"/>
      <w:bookmarkStart w:id="524" w:name="_Hlk20217519"/>
      <w:r w:rsidRPr="004D0138">
        <w:t>Subordinate Laws</w:t>
      </w:r>
      <w:bookmarkStart w:id="525" w:name="_Hlk20475358"/>
      <w:r w:rsidRPr="004D0138">
        <w:t>—Comment</w:t>
      </w:r>
      <w:bookmarkEnd w:id="522"/>
      <w:bookmarkEnd w:id="525"/>
      <w:bookmarkEnd w:id="523"/>
    </w:p>
    <w:p w:rsidR="00F11B0E" w:rsidRDefault="00F11B0E" w:rsidP="00F11B0E">
      <w:pPr>
        <w:widowControl w:val="0"/>
        <w:tabs>
          <w:tab w:val="left" w:pos="1276"/>
        </w:tabs>
        <w:spacing w:before="120" w:after="120" w:line="300" w:lineRule="exact"/>
        <w:rPr>
          <w:rFonts w:ascii="Calibri" w:hAnsi="Calibri" w:cs="Calibri"/>
          <w:color w:val="000000"/>
        </w:rPr>
      </w:pPr>
      <w:bookmarkStart w:id="526" w:name="_Hlk494963165"/>
      <w:bookmarkStart w:id="527" w:name="_Hlk22117671"/>
      <w:bookmarkEnd w:id="524"/>
      <w:r w:rsidRPr="00987942">
        <w:rPr>
          <w:rFonts w:ascii="Calibri" w:hAnsi="Calibri" w:cs="Calibri"/>
          <w:color w:val="000000"/>
        </w:rPr>
        <w:t xml:space="preserve">The Committee </w:t>
      </w:r>
      <w:bookmarkEnd w:id="526"/>
      <w:r w:rsidRPr="00987942">
        <w:rPr>
          <w:rFonts w:ascii="Calibri" w:hAnsi="Calibri" w:cs="Calibri"/>
          <w:color w:val="000000"/>
        </w:rPr>
        <w:t>has examined the following subordinate law</w:t>
      </w:r>
      <w:r>
        <w:rPr>
          <w:rFonts w:ascii="Calibri" w:hAnsi="Calibri" w:cs="Calibri"/>
          <w:color w:val="000000"/>
        </w:rPr>
        <w:t>s</w:t>
      </w:r>
      <w:r w:rsidRPr="00987942">
        <w:rPr>
          <w:rFonts w:ascii="Calibri" w:hAnsi="Calibri" w:cs="Calibri"/>
          <w:color w:val="000000"/>
        </w:rPr>
        <w:t xml:space="preserve"> and offers these comments on</w:t>
      </w:r>
      <w:r>
        <w:rPr>
          <w:rFonts w:ascii="Calibri" w:hAnsi="Calibri" w:cs="Calibri"/>
          <w:color w:val="000000"/>
        </w:rPr>
        <w:t xml:space="preserve"> them:</w:t>
      </w:r>
    </w:p>
    <w:p w:rsidR="00F11B0E" w:rsidRPr="00E61403" w:rsidRDefault="00F11B0E" w:rsidP="00F11B0E">
      <w:pPr>
        <w:pStyle w:val="Heading4nonumber"/>
        <w:spacing w:before="220" w:after="220" w:line="280" w:lineRule="atLeast"/>
        <w:rPr>
          <w:sz w:val="22"/>
          <w:szCs w:val="22"/>
        </w:rPr>
      </w:pPr>
      <w:r w:rsidRPr="00E61403">
        <w:rPr>
          <w:sz w:val="22"/>
          <w:szCs w:val="22"/>
        </w:rPr>
        <w:t>Human rights issues</w:t>
      </w:r>
    </w:p>
    <w:bookmarkEnd w:id="527"/>
    <w:p w:rsidR="00F11B0E" w:rsidRPr="00842199" w:rsidRDefault="00F11B0E" w:rsidP="00F11B0E">
      <w:pPr>
        <w:pStyle w:val="Bodycopy"/>
        <w:tabs>
          <w:tab w:val="clear" w:pos="1276"/>
          <w:tab w:val="left" w:pos="360"/>
        </w:tabs>
        <w:spacing w:before="160" w:after="160" w:line="280" w:lineRule="exact"/>
        <w:rPr>
          <w:b/>
        </w:rPr>
      </w:pPr>
      <w:r>
        <w:rPr>
          <w:b/>
        </w:rPr>
        <w:t>Subordinate Law</w:t>
      </w:r>
      <w:r w:rsidRPr="00451C85">
        <w:rPr>
          <w:b/>
        </w:rPr>
        <w:t xml:space="preserve"> </w:t>
      </w:r>
      <w:r>
        <w:rPr>
          <w:b/>
        </w:rPr>
        <w:t>SL2020-21</w:t>
      </w:r>
      <w:r w:rsidRPr="00451C85">
        <w:rPr>
          <w:b/>
        </w:rPr>
        <w:t xml:space="preserve"> being the </w:t>
      </w:r>
      <w:r>
        <w:rPr>
          <w:b/>
        </w:rPr>
        <w:t xml:space="preserve">Medicines, Poisons and Therapeutic Goods Amendment Regulation 2020 (No 2) made under the </w:t>
      </w:r>
      <w:r>
        <w:rPr>
          <w:i/>
        </w:rPr>
        <w:t>Medicines, Poisons and Therapeutic Goods Act 2008</w:t>
      </w:r>
      <w:r w:rsidRPr="00236BDD">
        <w:rPr>
          <w:b/>
        </w:rPr>
        <w:t xml:space="preserve"> </w:t>
      </w:r>
      <w:r>
        <w:rPr>
          <w:b/>
        </w:rPr>
        <w:t>provides clarity on record keeping requirements concerning faxed or electronically su</w:t>
      </w:r>
      <w:r w:rsidR="00830EE0">
        <w:rPr>
          <w:b/>
        </w:rPr>
        <w:t>bmitted prescriptions during a “</w:t>
      </w:r>
      <w:r>
        <w:rPr>
          <w:b/>
        </w:rPr>
        <w:t>C</w:t>
      </w:r>
      <w:r w:rsidR="00830EE0">
        <w:rPr>
          <w:b/>
        </w:rPr>
        <w:t>ommonwealth special arrangement”</w:t>
      </w:r>
      <w:r>
        <w:rPr>
          <w:b/>
        </w:rPr>
        <w:t xml:space="preserve"> as notified under section 100 of the </w:t>
      </w:r>
      <w:r w:rsidRPr="00DB1101">
        <w:rPr>
          <w:b/>
          <w:i/>
          <w:iCs/>
        </w:rPr>
        <w:t>National Health Act 1953</w:t>
      </w:r>
      <w:r>
        <w:rPr>
          <w:b/>
        </w:rPr>
        <w:t xml:space="preserve"> (Cth).</w:t>
      </w:r>
    </w:p>
    <w:p w:rsidR="00F11B0E" w:rsidRDefault="00F11B0E" w:rsidP="00F11B0E">
      <w:pPr>
        <w:widowControl w:val="0"/>
        <w:tabs>
          <w:tab w:val="left" w:pos="1276"/>
        </w:tabs>
        <w:rPr>
          <w:rFonts w:ascii="Calibri" w:hAnsi="Calibri" w:cs="Calibri"/>
          <w:color w:val="000000"/>
        </w:rPr>
      </w:pPr>
      <w:r>
        <w:rPr>
          <w:rFonts w:ascii="Calibri" w:hAnsi="Calibri" w:cs="Calibri"/>
          <w:color w:val="000000"/>
        </w:rPr>
        <w:t xml:space="preserve">This subordinate law amends the </w:t>
      </w:r>
      <w:r>
        <w:rPr>
          <w:rFonts w:ascii="Calibri" w:hAnsi="Calibri" w:cs="Calibri"/>
          <w:i/>
          <w:iCs/>
          <w:color w:val="000000"/>
        </w:rPr>
        <w:t>Medicines, Poisons and Therapeutic Goods Regulation 2008</w:t>
      </w:r>
      <w:r>
        <w:rPr>
          <w:rFonts w:ascii="Calibri" w:hAnsi="Calibri" w:cs="Calibri"/>
          <w:color w:val="000000"/>
        </w:rPr>
        <w:t>.  The explanatory statement for the subordinate law states that the intended effect of the amendments is</w:t>
      </w:r>
    </w:p>
    <w:p w:rsidR="00F11B0E" w:rsidRDefault="00F11B0E" w:rsidP="00F11B0E">
      <w:pPr>
        <w:widowControl w:val="0"/>
        <w:tabs>
          <w:tab w:val="left" w:pos="1276"/>
        </w:tabs>
        <w:ind w:left="360"/>
        <w:rPr>
          <w:rFonts w:ascii="Calibri" w:hAnsi="Calibri" w:cs="Calibri"/>
          <w:color w:val="000000"/>
        </w:rPr>
      </w:pPr>
      <w:r>
        <w:rPr>
          <w:rFonts w:ascii="Calibri" w:hAnsi="Calibri" w:cs="Calibri"/>
          <w:color w:val="000000"/>
        </w:rPr>
        <w:t xml:space="preserve">… </w:t>
      </w:r>
      <w:r w:rsidRPr="00301847">
        <w:rPr>
          <w:rFonts w:ascii="Calibri" w:hAnsi="Calibri" w:cs="Calibri"/>
          <w:color w:val="000000"/>
        </w:rPr>
        <w:t xml:space="preserve">to provide clarity on record keeping requirements concerning faxed or electronically submitted supply authorities (prescriptions) during a ‘Commonwealth special arrangement’ as notified under Section 100 of the </w:t>
      </w:r>
      <w:r w:rsidRPr="00865FFE">
        <w:rPr>
          <w:rFonts w:ascii="Calibri" w:hAnsi="Calibri" w:cs="Calibri"/>
          <w:i/>
          <w:iCs/>
          <w:color w:val="000000"/>
        </w:rPr>
        <w:t>National Health Act 1953</w:t>
      </w:r>
      <w:r w:rsidRPr="00301847">
        <w:rPr>
          <w:rFonts w:ascii="Calibri" w:hAnsi="Calibri" w:cs="Calibri"/>
          <w:color w:val="000000"/>
        </w:rPr>
        <w:t xml:space="preserve"> (Cwth). This amendment regulation seeks to recognise the record keeping obligations of a faxed prescription as detailed by a Commonwealth special arrangement, as in force from time to time. The incorporation of a Commonwealth special arrangement has the effect of varying existing record keeping requirements for pharmacists and prescribers regarding the keeping of an original prescription following its transmission to a pharmacy</w:t>
      </w:r>
      <w:r>
        <w:rPr>
          <w:rFonts w:ascii="Calibri" w:hAnsi="Calibri" w:cs="Calibri"/>
          <w:color w:val="000000"/>
        </w:rPr>
        <w:t>.</w:t>
      </w:r>
    </w:p>
    <w:p w:rsidR="00F11B0E" w:rsidRDefault="00F11B0E" w:rsidP="00F11B0E">
      <w:pPr>
        <w:widowControl w:val="0"/>
        <w:tabs>
          <w:tab w:val="left" w:pos="1276"/>
        </w:tabs>
        <w:rPr>
          <w:rFonts w:ascii="Calibri" w:hAnsi="Calibri" w:cs="Calibri"/>
          <w:color w:val="000000"/>
        </w:rPr>
      </w:pPr>
      <w:r>
        <w:rPr>
          <w:rFonts w:ascii="Calibri" w:hAnsi="Calibri" w:cs="Calibri"/>
          <w:color w:val="000000"/>
        </w:rPr>
        <w:t>The explanatory statement goes on to discuss potential human rights implications of the subordinate law:</w:t>
      </w:r>
    </w:p>
    <w:p w:rsidR="00003A1A" w:rsidRDefault="00F11B0E" w:rsidP="00F11B0E">
      <w:pPr>
        <w:ind w:left="360"/>
        <w:rPr>
          <w:rFonts w:ascii="Calibri" w:hAnsi="Calibri" w:cs="Calibri"/>
          <w:bCs/>
          <w:i/>
          <w:iCs/>
        </w:rPr>
      </w:pPr>
      <w:r w:rsidRPr="00B76C99">
        <w:rPr>
          <w:rFonts w:ascii="Calibri" w:hAnsi="Calibri" w:cs="Calibri"/>
          <w:bCs/>
        </w:rPr>
        <w:t xml:space="preserve">The changes proposed by this amendment regulation are not considered to engage the </w:t>
      </w:r>
      <w:r w:rsidRPr="00B76C99">
        <w:rPr>
          <w:rFonts w:ascii="Calibri" w:hAnsi="Calibri" w:cs="Calibri"/>
          <w:bCs/>
          <w:i/>
          <w:iCs/>
        </w:rPr>
        <w:t xml:space="preserve">Human Rights Act 2004 </w:t>
      </w:r>
      <w:r w:rsidRPr="00B76C99">
        <w:rPr>
          <w:rFonts w:ascii="Calibri" w:hAnsi="Calibri" w:cs="Calibri"/>
          <w:bCs/>
        </w:rPr>
        <w:t xml:space="preserve">as they only seek to adopt or incorporate aspects of the </w:t>
      </w:r>
      <w:r w:rsidRPr="00B76C99">
        <w:rPr>
          <w:rFonts w:ascii="Calibri" w:hAnsi="Calibri" w:cs="Calibri"/>
          <w:bCs/>
          <w:i/>
          <w:iCs/>
        </w:rPr>
        <w:t xml:space="preserve">National Health Act 1953 </w:t>
      </w:r>
      <w:r w:rsidRPr="00B76C99">
        <w:rPr>
          <w:rFonts w:ascii="Calibri" w:hAnsi="Calibri" w:cs="Calibri"/>
          <w:bCs/>
        </w:rPr>
        <w:t>(Cwth) to enable access to pharmaceutical benefits under the PBS</w:t>
      </w:r>
      <w:r w:rsidRPr="00B76C99">
        <w:rPr>
          <w:rFonts w:ascii="Calibri" w:hAnsi="Calibri" w:cs="Calibri"/>
          <w:bCs/>
          <w:i/>
          <w:iCs/>
        </w:rPr>
        <w:t>.</w:t>
      </w:r>
    </w:p>
    <w:p w:rsidR="00F11B0E" w:rsidRPr="007B3B07" w:rsidRDefault="00F11B0E" w:rsidP="00003A1A">
      <w:pPr>
        <w:rPr>
          <w:rFonts w:ascii="Calibri" w:eastAsia="Times New Roman" w:hAnsi="Calibri" w:cs="Calibri"/>
          <w:b/>
          <w:bCs/>
          <w:lang w:eastAsia="en-AU"/>
        </w:rPr>
      </w:pPr>
      <w:r w:rsidRPr="007B3B07">
        <w:rPr>
          <w:rFonts w:ascii="Calibri" w:eastAsia="Times New Roman" w:hAnsi="Calibri" w:cs="Calibri"/>
          <w:b/>
          <w:bCs/>
          <w:lang w:eastAsia="en-AU"/>
        </w:rPr>
        <w:t>The Committee draws the attention of the Legislative Assembly to the discussion of human rights issues in the explanatory statement for this subordinate law.</w:t>
      </w:r>
    </w:p>
    <w:p w:rsidR="00F11B0E" w:rsidRDefault="00F11B0E" w:rsidP="00F11B0E">
      <w:pPr>
        <w:pStyle w:val="Paper"/>
        <w:spacing w:before="220" w:after="220" w:line="280" w:lineRule="exact"/>
        <w:rPr>
          <w:rFonts w:ascii="Calibri" w:hAnsi="Calibri" w:cs="Calibri"/>
          <w:b/>
          <w:bCs/>
          <w:sz w:val="22"/>
          <w:szCs w:val="22"/>
          <w:lang w:eastAsia="en-AU"/>
        </w:rPr>
      </w:pPr>
      <w:r w:rsidRPr="00A66BED">
        <w:rPr>
          <w:rFonts w:ascii="Calibri" w:hAnsi="Calibri" w:cs="Calibri"/>
          <w:b/>
          <w:bCs/>
          <w:sz w:val="22"/>
          <w:szCs w:val="22"/>
          <w:lang w:eastAsia="en-AU"/>
        </w:rPr>
        <w:t>This comment does not require a response from the Minister.</w:t>
      </w:r>
    </w:p>
    <w:p w:rsidR="00F11B0E" w:rsidRPr="00E61403" w:rsidRDefault="00F11B0E" w:rsidP="00F11B0E">
      <w:pPr>
        <w:pStyle w:val="Heading4nonumber"/>
        <w:spacing w:before="220" w:after="220" w:line="280" w:lineRule="atLeast"/>
        <w:rPr>
          <w:sz w:val="22"/>
          <w:szCs w:val="22"/>
        </w:rPr>
      </w:pPr>
      <w:r w:rsidRPr="00E61403">
        <w:rPr>
          <w:sz w:val="22"/>
          <w:szCs w:val="22"/>
        </w:rPr>
        <w:t>Human rights issues</w:t>
      </w:r>
    </w:p>
    <w:p w:rsidR="00F11B0E" w:rsidRPr="00842199" w:rsidRDefault="00F11B0E" w:rsidP="00F11B0E">
      <w:pPr>
        <w:pStyle w:val="Bodycopy"/>
        <w:keepLines/>
        <w:tabs>
          <w:tab w:val="clear" w:pos="1276"/>
          <w:tab w:val="left" w:pos="360"/>
        </w:tabs>
        <w:spacing w:before="160" w:after="160" w:line="280" w:lineRule="exact"/>
        <w:rPr>
          <w:b/>
        </w:rPr>
      </w:pPr>
      <w:r>
        <w:rPr>
          <w:b/>
        </w:rPr>
        <w:t>Subordinate Law</w:t>
      </w:r>
      <w:r w:rsidRPr="00451C85">
        <w:rPr>
          <w:b/>
        </w:rPr>
        <w:t xml:space="preserve"> </w:t>
      </w:r>
      <w:r>
        <w:rPr>
          <w:b/>
        </w:rPr>
        <w:t>SL2020-22</w:t>
      </w:r>
      <w:r w:rsidRPr="00451C85">
        <w:rPr>
          <w:b/>
        </w:rPr>
        <w:t xml:space="preserve"> being the </w:t>
      </w:r>
      <w:r>
        <w:rPr>
          <w:b/>
        </w:rPr>
        <w:t xml:space="preserve">Road Transport (Offences) Amendment Regulation 2020 (No 2) made under sections 23 of the </w:t>
      </w:r>
      <w:r>
        <w:rPr>
          <w:i/>
        </w:rPr>
        <w:t>Road Transport (General) Act 1999</w:t>
      </w:r>
      <w:r w:rsidRPr="00236BDD">
        <w:rPr>
          <w:b/>
        </w:rPr>
        <w:t xml:space="preserve"> </w:t>
      </w:r>
      <w:r>
        <w:rPr>
          <w:b/>
        </w:rPr>
        <w:t>identifies infringement notice penalty amounts for offences under the Heavy Vehicle National Law and associated regulations.</w:t>
      </w:r>
    </w:p>
    <w:p w:rsidR="00F11B0E" w:rsidRDefault="00F11B0E" w:rsidP="00F11B0E">
      <w:pPr>
        <w:widowControl w:val="0"/>
        <w:tabs>
          <w:tab w:val="left" w:pos="1276"/>
        </w:tabs>
        <w:rPr>
          <w:rFonts w:ascii="Calibri" w:hAnsi="Calibri" w:cs="Calibri"/>
          <w:color w:val="000000"/>
        </w:rPr>
      </w:pPr>
      <w:r>
        <w:rPr>
          <w:rFonts w:ascii="Calibri" w:hAnsi="Calibri" w:cs="Calibri"/>
          <w:color w:val="000000"/>
        </w:rPr>
        <w:lastRenderedPageBreak/>
        <w:t xml:space="preserve">This subordinate law amends the </w:t>
      </w:r>
      <w:r>
        <w:rPr>
          <w:rFonts w:ascii="Calibri" w:hAnsi="Calibri" w:cs="Calibri"/>
          <w:i/>
          <w:iCs/>
          <w:color w:val="000000"/>
        </w:rPr>
        <w:t>Road Transport (Offences) Regulation 2005</w:t>
      </w:r>
      <w:r>
        <w:rPr>
          <w:rFonts w:ascii="Calibri" w:hAnsi="Calibri" w:cs="Calibri"/>
          <w:color w:val="000000"/>
        </w:rPr>
        <w:t>, to prescribe</w:t>
      </w:r>
      <w:r w:rsidRPr="00865FFE">
        <w:rPr>
          <w:rFonts w:ascii="Calibri" w:hAnsi="Calibri" w:cs="Calibri"/>
          <w:color w:val="000000"/>
        </w:rPr>
        <w:t xml:space="preserve"> infringement notice penalty amounts for offences under the Heavy Vehicle National Law (</w:t>
      </w:r>
      <w:r w:rsidRPr="00865FFE">
        <w:rPr>
          <w:rFonts w:ascii="Calibri" w:hAnsi="Calibri" w:cs="Calibri"/>
          <w:b/>
          <w:bCs/>
          <w:color w:val="000000"/>
        </w:rPr>
        <w:t>HVNL</w:t>
      </w:r>
      <w:r w:rsidRPr="00865FFE">
        <w:rPr>
          <w:rFonts w:ascii="Calibri" w:hAnsi="Calibri" w:cs="Calibri"/>
          <w:color w:val="000000"/>
        </w:rPr>
        <w:t>) and associated regulations</w:t>
      </w:r>
      <w:r>
        <w:rPr>
          <w:rFonts w:ascii="Calibri" w:hAnsi="Calibri" w:cs="Calibri"/>
          <w:color w:val="000000"/>
        </w:rPr>
        <w:t xml:space="preserve">.  The explanatory statement for the subordinate law discusses </w:t>
      </w:r>
      <w:r w:rsidRPr="00865FFE">
        <w:rPr>
          <w:rFonts w:ascii="Calibri" w:hAnsi="Calibri" w:cs="Calibri"/>
          <w:color w:val="000000"/>
        </w:rPr>
        <w:t>potential human rights implications of the subordinate law:</w:t>
      </w:r>
    </w:p>
    <w:p w:rsidR="00F11B0E" w:rsidRPr="00B76C99" w:rsidRDefault="00F11B0E" w:rsidP="00F11B0E">
      <w:pPr>
        <w:ind w:left="360"/>
        <w:rPr>
          <w:rFonts w:ascii="Calibri" w:hAnsi="Calibri" w:cs="Calibri"/>
          <w:b/>
        </w:rPr>
      </w:pPr>
      <w:r w:rsidRPr="00B76C99">
        <w:rPr>
          <w:rFonts w:ascii="Calibri" w:hAnsi="Calibri" w:cs="Calibri"/>
          <w:b/>
        </w:rPr>
        <w:t>Human rights implications</w:t>
      </w:r>
    </w:p>
    <w:p w:rsidR="00F11B0E" w:rsidRPr="00B76C99" w:rsidRDefault="00F11B0E" w:rsidP="00F11B0E">
      <w:pPr>
        <w:ind w:left="360"/>
        <w:rPr>
          <w:rFonts w:ascii="Calibri" w:hAnsi="Calibri" w:cs="Calibri"/>
        </w:rPr>
      </w:pPr>
      <w:r w:rsidRPr="00B76C99">
        <w:rPr>
          <w:rFonts w:ascii="Calibri" w:hAnsi="Calibri" w:cs="Calibri"/>
        </w:rPr>
        <w:t>There are no human rights implications associated with this regulation.</w:t>
      </w:r>
    </w:p>
    <w:p w:rsidR="00F11B0E" w:rsidRPr="000C60C8" w:rsidRDefault="00F11B0E" w:rsidP="00F11B0E">
      <w:pPr>
        <w:rPr>
          <w:rFonts w:ascii="Calibri" w:hAnsi="Calibri" w:cs="Calibri"/>
        </w:rPr>
      </w:pPr>
      <w:r w:rsidRPr="00A66BED">
        <w:rPr>
          <w:rFonts w:ascii="Calibri" w:hAnsi="Calibri" w:cs="Calibri"/>
          <w:b/>
          <w:bCs/>
        </w:rPr>
        <w:t>The Committee draws the attention of the Legislative Assembly to the discussion of human rights issues in the explanatory statement for th</w:t>
      </w:r>
      <w:r>
        <w:rPr>
          <w:rFonts w:ascii="Calibri" w:hAnsi="Calibri" w:cs="Calibri"/>
          <w:b/>
          <w:bCs/>
        </w:rPr>
        <w:t>is</w:t>
      </w:r>
      <w:r w:rsidRPr="00A66BED">
        <w:rPr>
          <w:rFonts w:ascii="Calibri" w:hAnsi="Calibri" w:cs="Calibri"/>
          <w:b/>
          <w:bCs/>
        </w:rPr>
        <w:t xml:space="preserve"> </w:t>
      </w:r>
      <w:r w:rsidRPr="00B72734">
        <w:rPr>
          <w:rFonts w:ascii="Calibri" w:hAnsi="Calibri" w:cs="Calibri"/>
          <w:b/>
          <w:bCs/>
        </w:rPr>
        <w:t>subordinate law.</w:t>
      </w:r>
    </w:p>
    <w:p w:rsidR="00F11B0E" w:rsidRDefault="00F11B0E" w:rsidP="00F11B0E">
      <w:pPr>
        <w:pStyle w:val="Paper"/>
        <w:spacing w:before="220" w:after="220" w:line="280" w:lineRule="exact"/>
        <w:rPr>
          <w:rFonts w:ascii="Calibri" w:hAnsi="Calibri" w:cs="Calibri"/>
          <w:b/>
          <w:bCs/>
          <w:sz w:val="22"/>
          <w:szCs w:val="22"/>
          <w:lang w:eastAsia="en-AU"/>
        </w:rPr>
      </w:pPr>
      <w:r w:rsidRPr="00A66BED">
        <w:rPr>
          <w:rFonts w:ascii="Calibri" w:hAnsi="Calibri" w:cs="Calibri"/>
          <w:b/>
          <w:bCs/>
          <w:sz w:val="22"/>
          <w:szCs w:val="22"/>
          <w:lang w:eastAsia="en-AU"/>
        </w:rPr>
        <w:t>This comment does not require a response from the Minister.</w:t>
      </w:r>
    </w:p>
    <w:p w:rsidR="00F11B0E" w:rsidRPr="00E61403" w:rsidRDefault="00F11B0E" w:rsidP="00F11B0E">
      <w:pPr>
        <w:pStyle w:val="Heading4nonumber"/>
        <w:spacing w:before="220" w:after="220" w:line="280" w:lineRule="atLeast"/>
        <w:rPr>
          <w:sz w:val="22"/>
          <w:szCs w:val="22"/>
        </w:rPr>
      </w:pPr>
      <w:r w:rsidRPr="00E61403">
        <w:rPr>
          <w:sz w:val="22"/>
          <w:szCs w:val="22"/>
        </w:rPr>
        <w:t>Indexation of certain prescribed amounts / Human rights issues</w:t>
      </w:r>
    </w:p>
    <w:p w:rsidR="00F11B0E" w:rsidRPr="00842199" w:rsidRDefault="00F11B0E" w:rsidP="00F11B0E">
      <w:pPr>
        <w:pStyle w:val="Bodycopy"/>
        <w:tabs>
          <w:tab w:val="clear" w:pos="1276"/>
          <w:tab w:val="left" w:pos="360"/>
        </w:tabs>
        <w:spacing w:before="160" w:after="160" w:line="280" w:lineRule="exact"/>
        <w:rPr>
          <w:b/>
        </w:rPr>
      </w:pPr>
      <w:r>
        <w:rPr>
          <w:b/>
        </w:rPr>
        <w:t>Subordinate Law</w:t>
      </w:r>
      <w:r w:rsidRPr="00451C85">
        <w:rPr>
          <w:b/>
        </w:rPr>
        <w:t xml:space="preserve"> </w:t>
      </w:r>
      <w:r>
        <w:rPr>
          <w:b/>
        </w:rPr>
        <w:t>SL2020-23</w:t>
      </w:r>
      <w:r w:rsidRPr="00451C85">
        <w:rPr>
          <w:b/>
        </w:rPr>
        <w:t xml:space="preserve"> being the </w:t>
      </w:r>
      <w:r>
        <w:rPr>
          <w:b/>
        </w:rPr>
        <w:t xml:space="preserve">Victims of Crime (Financial Assistance) Amendment Regulation 2020 (No 1) made under the </w:t>
      </w:r>
      <w:r>
        <w:rPr>
          <w:i/>
        </w:rPr>
        <w:t>Victims of Crime (Financial Assistance) Act 2016</w:t>
      </w:r>
      <w:r w:rsidRPr="00236BDD">
        <w:rPr>
          <w:b/>
        </w:rPr>
        <w:t xml:space="preserve"> </w:t>
      </w:r>
      <w:r>
        <w:rPr>
          <w:b/>
        </w:rPr>
        <w:t>amends payment amounts provided to victims under specified sections to align the payments with the Consumer Price Index.</w:t>
      </w:r>
    </w:p>
    <w:p w:rsidR="00F11B0E" w:rsidRDefault="00F11B0E" w:rsidP="00F11B0E">
      <w:pPr>
        <w:pStyle w:val="Paper"/>
        <w:spacing w:before="220" w:after="220" w:line="280" w:lineRule="exact"/>
        <w:rPr>
          <w:rFonts w:ascii="Calibri" w:hAnsi="Calibri" w:cs="Calibri"/>
          <w:sz w:val="22"/>
          <w:szCs w:val="22"/>
          <w:lang w:eastAsia="en-AU"/>
        </w:rPr>
      </w:pPr>
      <w:r>
        <w:rPr>
          <w:rFonts w:ascii="Calibri" w:hAnsi="Calibri" w:cs="Calibri"/>
          <w:sz w:val="22"/>
          <w:szCs w:val="22"/>
          <w:lang w:eastAsia="en-AU"/>
        </w:rPr>
        <w:t xml:space="preserve">This subordinate law amends the </w:t>
      </w:r>
      <w:r w:rsidRPr="00B72734">
        <w:rPr>
          <w:rFonts w:ascii="Calibri" w:hAnsi="Calibri" w:cs="Calibri"/>
          <w:i/>
          <w:iCs/>
          <w:sz w:val="22"/>
          <w:szCs w:val="22"/>
          <w:lang w:eastAsia="en-AU"/>
        </w:rPr>
        <w:t>Victims of Crime (Financial Assistance) Regulation 2016</w:t>
      </w:r>
      <w:r>
        <w:rPr>
          <w:rFonts w:ascii="Calibri" w:hAnsi="Calibri" w:cs="Calibri"/>
          <w:sz w:val="22"/>
          <w:szCs w:val="22"/>
          <w:lang w:eastAsia="en-AU"/>
        </w:rPr>
        <w:t xml:space="preserve">, to increase prescribed payment amounts for victims of crime, as provided for by the </w:t>
      </w:r>
      <w:r w:rsidR="008558D6">
        <w:rPr>
          <w:rFonts w:ascii="Calibri" w:hAnsi="Calibri" w:cs="Calibri"/>
          <w:i/>
          <w:iCs/>
          <w:sz w:val="22"/>
          <w:szCs w:val="22"/>
          <w:lang w:eastAsia="en-AU"/>
        </w:rPr>
        <w:t>Victims of Crime (F</w:t>
      </w:r>
      <w:r>
        <w:rPr>
          <w:rFonts w:ascii="Calibri" w:hAnsi="Calibri" w:cs="Calibri"/>
          <w:i/>
          <w:iCs/>
          <w:sz w:val="22"/>
          <w:szCs w:val="22"/>
          <w:lang w:eastAsia="en-AU"/>
        </w:rPr>
        <w:t xml:space="preserve">inancial Assistance) Act 2016.  </w:t>
      </w:r>
      <w:r>
        <w:rPr>
          <w:rFonts w:ascii="Calibri" w:hAnsi="Calibri" w:cs="Calibri"/>
          <w:sz w:val="22"/>
          <w:szCs w:val="22"/>
          <w:lang w:eastAsia="en-AU"/>
        </w:rPr>
        <w:t>The explanatory statement for the subordinate law states:</w:t>
      </w:r>
    </w:p>
    <w:p w:rsidR="00F11B0E" w:rsidRPr="00B76C99" w:rsidRDefault="00F11B0E" w:rsidP="00F11B0E">
      <w:pPr>
        <w:ind w:left="360"/>
        <w:rPr>
          <w:rFonts w:ascii="Calibri" w:hAnsi="Calibri" w:cs="Calibri"/>
          <w:i/>
        </w:rPr>
      </w:pPr>
      <w:r w:rsidRPr="00B76C99">
        <w:rPr>
          <w:rFonts w:ascii="Calibri" w:hAnsi="Calibri" w:cs="Calibri"/>
        </w:rPr>
        <w:t xml:space="preserve">Section 25 of the </w:t>
      </w:r>
      <w:r w:rsidRPr="00B76C99">
        <w:rPr>
          <w:rFonts w:ascii="Calibri" w:hAnsi="Calibri" w:cs="Calibri"/>
          <w:i/>
          <w:iCs/>
        </w:rPr>
        <w:t xml:space="preserve">Victims of Crime (Financial Assistance) Regulation 2016 </w:t>
      </w:r>
      <w:r w:rsidRPr="00B76C99">
        <w:rPr>
          <w:rFonts w:ascii="Calibri" w:hAnsi="Calibri" w:cs="Calibri"/>
        </w:rPr>
        <w:t>requires yearly Consumer Price Index (CPI) increases for payments provided to victims under four sections:</w:t>
      </w:r>
    </w:p>
    <w:p w:rsidR="00F11B0E" w:rsidRPr="00C308F6" w:rsidRDefault="00F11B0E" w:rsidP="00F11B0E">
      <w:pPr>
        <w:pStyle w:val="ListParagraph"/>
        <w:widowControl w:val="0"/>
        <w:numPr>
          <w:ilvl w:val="1"/>
          <w:numId w:val="37"/>
        </w:numPr>
        <w:ind w:left="900" w:right="-45" w:firstLine="0"/>
        <w:contextualSpacing w:val="0"/>
      </w:pPr>
      <w:r w:rsidRPr="00C308F6">
        <w:t>maximum total financial assistance (section 24),</w:t>
      </w:r>
    </w:p>
    <w:p w:rsidR="00F11B0E" w:rsidRPr="00C308F6" w:rsidRDefault="00F11B0E" w:rsidP="00F11B0E">
      <w:pPr>
        <w:pStyle w:val="ListParagraph"/>
        <w:widowControl w:val="0"/>
        <w:numPr>
          <w:ilvl w:val="1"/>
          <w:numId w:val="37"/>
        </w:numPr>
        <w:ind w:left="900" w:right="-45" w:firstLine="0"/>
        <w:contextualSpacing w:val="0"/>
      </w:pPr>
      <w:r w:rsidRPr="00C308F6">
        <w:t>recognition payment for primary victim (section 28),</w:t>
      </w:r>
    </w:p>
    <w:p w:rsidR="00F11B0E" w:rsidRPr="00C308F6" w:rsidRDefault="00F11B0E" w:rsidP="00F11B0E">
      <w:pPr>
        <w:pStyle w:val="ListParagraph"/>
        <w:widowControl w:val="0"/>
        <w:numPr>
          <w:ilvl w:val="1"/>
          <w:numId w:val="37"/>
        </w:numPr>
        <w:ind w:left="900" w:right="-45" w:firstLine="0"/>
        <w:contextualSpacing w:val="0"/>
      </w:pPr>
      <w:r w:rsidRPr="00C308F6">
        <w:t>recognition payment for class A related victim (section 29), and</w:t>
      </w:r>
    </w:p>
    <w:p w:rsidR="00F11B0E" w:rsidRPr="00C308F6" w:rsidRDefault="00F11B0E" w:rsidP="00F11B0E">
      <w:pPr>
        <w:pStyle w:val="ListParagraph"/>
        <w:widowControl w:val="0"/>
        <w:numPr>
          <w:ilvl w:val="1"/>
          <w:numId w:val="37"/>
        </w:numPr>
        <w:ind w:left="900" w:right="-45" w:firstLine="0"/>
        <w:contextualSpacing w:val="0"/>
      </w:pPr>
      <w:r w:rsidRPr="00C308F6">
        <w:t>recognition payment for class B related victim (section 30).</w:t>
      </w:r>
    </w:p>
    <w:p w:rsidR="00F11B0E" w:rsidRPr="00B76C99" w:rsidRDefault="00F11B0E" w:rsidP="00F11B0E">
      <w:pPr>
        <w:widowControl w:val="0"/>
        <w:ind w:left="360" w:right="-45"/>
        <w:rPr>
          <w:rFonts w:ascii="Calibri" w:hAnsi="Calibri" w:cs="Calibri"/>
        </w:rPr>
      </w:pPr>
      <w:r w:rsidRPr="00B76C99">
        <w:rPr>
          <w:rFonts w:ascii="Calibri" w:hAnsi="Calibri" w:cs="Calibri"/>
        </w:rPr>
        <w:t>This regulation will bring payment amounts under these sections in line with the All Groups CPI (Canberra) for March 2019-March 2020 (as issued by the Australian Statistician) at 2%.</w:t>
      </w:r>
    </w:p>
    <w:p w:rsidR="00F11B0E" w:rsidRDefault="00F11B0E" w:rsidP="00F11B0E">
      <w:pPr>
        <w:widowControl w:val="0"/>
        <w:tabs>
          <w:tab w:val="left" w:pos="1276"/>
        </w:tabs>
        <w:rPr>
          <w:rFonts w:ascii="Calibri" w:hAnsi="Calibri" w:cs="Calibri"/>
          <w:color w:val="000000"/>
        </w:rPr>
      </w:pPr>
      <w:r>
        <w:rPr>
          <w:rFonts w:ascii="Calibri" w:hAnsi="Calibri" w:cs="Calibri"/>
          <w:color w:val="000000"/>
        </w:rPr>
        <w:t xml:space="preserve">The explanatory statement for the subordinate law discusses </w:t>
      </w:r>
      <w:r w:rsidRPr="00865FFE">
        <w:rPr>
          <w:rFonts w:ascii="Calibri" w:hAnsi="Calibri" w:cs="Calibri"/>
          <w:color w:val="000000"/>
        </w:rPr>
        <w:t>potential human rights implications of the subordinate law:</w:t>
      </w:r>
    </w:p>
    <w:p w:rsidR="00F11B0E" w:rsidRPr="00B76C99" w:rsidRDefault="00F11B0E" w:rsidP="00F11B0E">
      <w:pPr>
        <w:ind w:left="360"/>
        <w:rPr>
          <w:rFonts w:ascii="Calibri" w:hAnsi="Calibri" w:cs="Calibri"/>
          <w:b/>
          <w:iCs/>
        </w:rPr>
      </w:pPr>
      <w:r w:rsidRPr="00B76C99">
        <w:rPr>
          <w:rFonts w:ascii="Calibri" w:hAnsi="Calibri" w:cs="Calibri"/>
          <w:b/>
          <w:iCs/>
        </w:rPr>
        <w:t>Human rights considerations</w:t>
      </w:r>
    </w:p>
    <w:p w:rsidR="00F11B0E" w:rsidRPr="00B76C99" w:rsidRDefault="00F11B0E" w:rsidP="00F11B0E">
      <w:pPr>
        <w:ind w:left="360"/>
        <w:rPr>
          <w:rFonts w:ascii="Calibri" w:hAnsi="Calibri" w:cs="Calibri"/>
        </w:rPr>
      </w:pPr>
      <w:r w:rsidRPr="00B76C99">
        <w:rPr>
          <w:rFonts w:ascii="Calibri" w:hAnsi="Calibri" w:cs="Calibri"/>
        </w:rPr>
        <w:t>This regulation supports the human rights of victims of crime by bringing financial assistance payments in line with CPI.</w:t>
      </w:r>
    </w:p>
    <w:p w:rsidR="00F11B0E" w:rsidRPr="000C60C8" w:rsidRDefault="00F11B0E" w:rsidP="00F11B0E">
      <w:pPr>
        <w:rPr>
          <w:rFonts w:ascii="Calibri" w:hAnsi="Calibri" w:cs="Calibri"/>
        </w:rPr>
      </w:pPr>
      <w:r w:rsidRPr="00A66BED">
        <w:rPr>
          <w:rFonts w:ascii="Calibri" w:hAnsi="Calibri" w:cs="Calibri"/>
          <w:b/>
          <w:bCs/>
        </w:rPr>
        <w:t>The Committee draws the attention of the Legislative Assembly to the discussion of human rights issues in the explanatory statement for th</w:t>
      </w:r>
      <w:r>
        <w:rPr>
          <w:rFonts w:ascii="Calibri" w:hAnsi="Calibri" w:cs="Calibri"/>
          <w:b/>
          <w:bCs/>
        </w:rPr>
        <w:t>is</w:t>
      </w:r>
      <w:r w:rsidRPr="00A66BED">
        <w:rPr>
          <w:rFonts w:ascii="Calibri" w:hAnsi="Calibri" w:cs="Calibri"/>
          <w:b/>
          <w:bCs/>
        </w:rPr>
        <w:t xml:space="preserve"> </w:t>
      </w:r>
      <w:r w:rsidRPr="00B72734">
        <w:rPr>
          <w:rFonts w:ascii="Calibri" w:hAnsi="Calibri" w:cs="Calibri"/>
          <w:b/>
          <w:bCs/>
        </w:rPr>
        <w:t>subordinate law.</w:t>
      </w:r>
    </w:p>
    <w:p w:rsidR="00F11B0E" w:rsidRDefault="00F11B0E" w:rsidP="00F11B0E">
      <w:pPr>
        <w:pStyle w:val="Paper"/>
        <w:spacing w:before="120" w:line="280" w:lineRule="exact"/>
        <w:rPr>
          <w:rFonts w:ascii="Calibri" w:hAnsi="Calibri" w:cs="Calibri"/>
          <w:b/>
          <w:bCs/>
          <w:sz w:val="22"/>
          <w:szCs w:val="22"/>
          <w:lang w:eastAsia="en-AU"/>
        </w:rPr>
      </w:pPr>
      <w:r w:rsidRPr="00A66BED">
        <w:rPr>
          <w:rFonts w:ascii="Calibri" w:hAnsi="Calibri" w:cs="Calibri"/>
          <w:b/>
          <w:bCs/>
          <w:sz w:val="22"/>
          <w:szCs w:val="22"/>
          <w:lang w:eastAsia="en-AU"/>
        </w:rPr>
        <w:t>This comment does not require a response from the Minister.</w:t>
      </w:r>
    </w:p>
    <w:p w:rsidR="00F11B0E" w:rsidRPr="00E61403" w:rsidRDefault="00F11B0E" w:rsidP="00F11B0E">
      <w:pPr>
        <w:pStyle w:val="Heading4nonumber"/>
        <w:spacing w:before="220" w:after="220" w:line="280" w:lineRule="atLeast"/>
        <w:rPr>
          <w:sz w:val="22"/>
          <w:szCs w:val="22"/>
        </w:rPr>
      </w:pPr>
      <w:r w:rsidRPr="00E61403">
        <w:rPr>
          <w:sz w:val="22"/>
          <w:szCs w:val="22"/>
        </w:rPr>
        <w:lastRenderedPageBreak/>
        <w:t>COVID-19-related legislation</w:t>
      </w:r>
    </w:p>
    <w:p w:rsidR="00F11B0E" w:rsidRPr="00842199" w:rsidRDefault="00F11B0E" w:rsidP="00F11B0E">
      <w:pPr>
        <w:pStyle w:val="Bodycopy"/>
        <w:tabs>
          <w:tab w:val="clear" w:pos="1276"/>
          <w:tab w:val="left" w:pos="360"/>
        </w:tabs>
        <w:spacing w:before="160" w:after="160" w:line="280" w:lineRule="exact"/>
        <w:rPr>
          <w:b/>
        </w:rPr>
      </w:pPr>
      <w:r>
        <w:rPr>
          <w:b/>
        </w:rPr>
        <w:t>Subordinate Law</w:t>
      </w:r>
      <w:r w:rsidRPr="00451C85">
        <w:rPr>
          <w:b/>
        </w:rPr>
        <w:t xml:space="preserve"> </w:t>
      </w:r>
      <w:r>
        <w:rPr>
          <w:b/>
        </w:rPr>
        <w:t>SL2020-24</w:t>
      </w:r>
      <w:r w:rsidRPr="00451C85">
        <w:rPr>
          <w:b/>
        </w:rPr>
        <w:t xml:space="preserve"> being the </w:t>
      </w:r>
      <w:r>
        <w:rPr>
          <w:b/>
        </w:rPr>
        <w:t xml:space="preserve">Medicines, Poisons and Therapeutic Goods Amendment Regulation 2020 (No 3) made under the </w:t>
      </w:r>
      <w:r>
        <w:rPr>
          <w:i/>
        </w:rPr>
        <w:t>Medicines, Poisons and Therapeutic Goods Act 2008</w:t>
      </w:r>
      <w:r w:rsidRPr="00236BDD">
        <w:rPr>
          <w:b/>
        </w:rPr>
        <w:t xml:space="preserve"> </w:t>
      </w:r>
      <w:r>
        <w:rPr>
          <w:b/>
        </w:rPr>
        <w:t>makes amendments to the Act to ensure that persons who are prescribed buprenorphine or methadone for opioid dependency treatment (ODT) are able to access their ODT during emergency situations by allowing an agent to deal with the prescribed ODT on their behalf.</w:t>
      </w:r>
    </w:p>
    <w:p w:rsidR="00F11B0E" w:rsidRPr="00B76C99" w:rsidRDefault="00F11B0E" w:rsidP="00F11B0E">
      <w:pPr>
        <w:spacing w:line="280" w:lineRule="atLeast"/>
        <w:rPr>
          <w:rFonts w:ascii="Calibri" w:hAnsi="Calibri" w:cs="Calibri"/>
          <w:color w:val="000000"/>
        </w:rPr>
      </w:pPr>
      <w:r w:rsidRPr="00B76C99">
        <w:rPr>
          <w:rFonts w:ascii="Calibri" w:hAnsi="Calibri" w:cs="Calibri"/>
          <w:color w:val="000000"/>
        </w:rPr>
        <w:t xml:space="preserve">This subordinate law amends the </w:t>
      </w:r>
      <w:r w:rsidRPr="00B76C99">
        <w:rPr>
          <w:rFonts w:ascii="Calibri" w:hAnsi="Calibri" w:cs="Calibri"/>
          <w:i/>
          <w:iCs/>
          <w:color w:val="000000"/>
        </w:rPr>
        <w:t>Medicines, Poisons and Therapeutic Goods Regulation 2008</w:t>
      </w:r>
      <w:r w:rsidRPr="00B76C99">
        <w:rPr>
          <w:rFonts w:ascii="Calibri" w:hAnsi="Calibri" w:cs="Calibri"/>
          <w:color w:val="000000"/>
        </w:rPr>
        <w:t xml:space="preserve">.  According to the explanatory statement for the subordinate law, the intention of the subordinate law is  </w:t>
      </w:r>
    </w:p>
    <w:p w:rsidR="00F11B0E" w:rsidRPr="00B76C99" w:rsidRDefault="00F11B0E" w:rsidP="00F11B0E">
      <w:pPr>
        <w:spacing w:line="280" w:lineRule="atLeast"/>
        <w:ind w:left="360"/>
        <w:rPr>
          <w:rFonts w:ascii="Calibri" w:hAnsi="Calibri" w:cs="Calibri"/>
          <w:bCs/>
        </w:rPr>
      </w:pPr>
      <w:r w:rsidRPr="00B76C99">
        <w:rPr>
          <w:rFonts w:ascii="Calibri" w:hAnsi="Calibri" w:cs="Calibri"/>
          <w:bCs/>
        </w:rPr>
        <w:t xml:space="preserve"> … to allow the Minister to exempt certain people dealing with buprenorphine or methadone from the MPTG Act. It also exempts certain people from the MPTG Act during the COVID-19 emergency. These exemptions are proposed to ensure that persons who are prescribed buprenorphine or methadone for opioid dependency treatment (ODT, as known as Opioid Maintenance Treatment or OMT) are able to access their ODT during emergency situations by allowing an agent to deal with the prescribed ODT on their behalf. </w:t>
      </w:r>
    </w:p>
    <w:p w:rsidR="00F11B0E" w:rsidRPr="00B76C99" w:rsidRDefault="00F11B0E" w:rsidP="00F11B0E">
      <w:pPr>
        <w:widowControl w:val="0"/>
        <w:tabs>
          <w:tab w:val="left" w:pos="1276"/>
        </w:tabs>
        <w:spacing w:line="280" w:lineRule="atLeast"/>
        <w:rPr>
          <w:rFonts w:ascii="Calibri" w:hAnsi="Calibri" w:cs="Calibri"/>
          <w:color w:val="000000"/>
        </w:rPr>
      </w:pPr>
      <w:r w:rsidRPr="00B76C99">
        <w:rPr>
          <w:rFonts w:ascii="Calibri" w:hAnsi="Calibri" w:cs="Calibri"/>
          <w:color w:val="000000"/>
        </w:rPr>
        <w:t>The Committee notes that subordinate law is made in the context of the COVID-19 pandemic.  The explanatory statement states:</w:t>
      </w:r>
    </w:p>
    <w:p w:rsidR="00F11B0E" w:rsidRPr="00B76C99" w:rsidRDefault="00F11B0E" w:rsidP="00F11B0E">
      <w:pPr>
        <w:tabs>
          <w:tab w:val="left" w:pos="9000"/>
        </w:tabs>
        <w:spacing w:line="280" w:lineRule="atLeast"/>
        <w:ind w:left="360"/>
        <w:rPr>
          <w:rFonts w:ascii="Calibri" w:hAnsi="Calibri" w:cs="Calibri"/>
          <w:bCs/>
        </w:rPr>
      </w:pPr>
      <w:r w:rsidRPr="00B76C99">
        <w:rPr>
          <w:rFonts w:ascii="Calibri" w:hAnsi="Calibri" w:cs="Calibri"/>
          <w:bCs/>
        </w:rPr>
        <w:t xml:space="preserve">During a public health emergency (including the COVID-19 pandemic) or other event ODT patients may be unable to attend their usual ODT centre for supervised doses or to collect take away doses. This may put ODT patients at risk of overdose and, in turn, drug-related death if they are unable to access their ODT and attempt to source other drugs as an alternative. Conversely, without adequate contingency arrangements, ODT patients may seek to attend an ODT centre and thereby create other risks (e.g. if the ODT patient should be in isolation due to a COVID-19 diagnosis, regular attendance at an ODT centre may put the community at increased risk of COVID-19 exposure or transmission). As such, contingency arrangements may provide for an agent to be able to obtain, possess and supply ODT, subject to any conditions.  </w:t>
      </w:r>
    </w:p>
    <w:p w:rsidR="00F11B0E" w:rsidRPr="00B76C99" w:rsidRDefault="00F11B0E" w:rsidP="00F11B0E">
      <w:pPr>
        <w:widowControl w:val="0"/>
        <w:tabs>
          <w:tab w:val="left" w:pos="1276"/>
        </w:tabs>
        <w:spacing w:line="280" w:lineRule="atLeast"/>
        <w:rPr>
          <w:rFonts w:ascii="Calibri" w:hAnsi="Calibri" w:cs="Calibri"/>
          <w:b/>
          <w:bCs/>
          <w:color w:val="000000"/>
        </w:rPr>
      </w:pPr>
      <w:r w:rsidRPr="00B76C99">
        <w:rPr>
          <w:rFonts w:ascii="Calibri" w:hAnsi="Calibri" w:cs="Calibri"/>
          <w:b/>
          <w:bCs/>
          <w:color w:val="000000"/>
        </w:rPr>
        <w:t>This comment does not require a response from the Minister.</w:t>
      </w:r>
    </w:p>
    <w:p w:rsidR="00F11B0E" w:rsidRPr="00E61403" w:rsidRDefault="00F11B0E" w:rsidP="00F11B0E">
      <w:pPr>
        <w:pStyle w:val="Heading4nonumber"/>
        <w:spacing w:before="220" w:after="220" w:line="280" w:lineRule="atLeast"/>
        <w:rPr>
          <w:sz w:val="22"/>
          <w:szCs w:val="22"/>
        </w:rPr>
      </w:pPr>
      <w:r w:rsidRPr="00E61403">
        <w:rPr>
          <w:sz w:val="22"/>
          <w:szCs w:val="22"/>
        </w:rPr>
        <w:t>Human rights issues</w:t>
      </w:r>
    </w:p>
    <w:p w:rsidR="00F11B0E" w:rsidRPr="00842199" w:rsidRDefault="00F11B0E" w:rsidP="00F11B0E">
      <w:pPr>
        <w:pStyle w:val="Bodycopy"/>
        <w:tabs>
          <w:tab w:val="clear" w:pos="1276"/>
          <w:tab w:val="left" w:pos="360"/>
        </w:tabs>
        <w:spacing w:before="160" w:after="160" w:line="280" w:lineRule="exact"/>
        <w:rPr>
          <w:b/>
        </w:rPr>
      </w:pPr>
      <w:r>
        <w:rPr>
          <w:b/>
        </w:rPr>
        <w:t>Subordinate Law</w:t>
      </w:r>
      <w:r w:rsidRPr="00451C85">
        <w:rPr>
          <w:b/>
        </w:rPr>
        <w:t xml:space="preserve"> </w:t>
      </w:r>
      <w:r>
        <w:rPr>
          <w:b/>
        </w:rPr>
        <w:t>SL2020-25</w:t>
      </w:r>
      <w:r w:rsidRPr="00451C85">
        <w:rPr>
          <w:b/>
        </w:rPr>
        <w:t xml:space="preserve"> being the </w:t>
      </w:r>
      <w:r>
        <w:rPr>
          <w:b/>
        </w:rPr>
        <w:t>Security Industry Amendment Regulation 2020 (No</w:t>
      </w:r>
      <w:r w:rsidR="00BC27FB">
        <w:rPr>
          <w:b/>
        </w:rPr>
        <w:t xml:space="preserve"> </w:t>
      </w:r>
      <w:r>
        <w:rPr>
          <w:b/>
        </w:rPr>
        <w:t xml:space="preserve">1) made under the </w:t>
      </w:r>
      <w:r>
        <w:rPr>
          <w:i/>
        </w:rPr>
        <w:t>Security Industry Act 2003</w:t>
      </w:r>
      <w:r w:rsidRPr="00236BDD">
        <w:rPr>
          <w:b/>
        </w:rPr>
        <w:t xml:space="preserve"> </w:t>
      </w:r>
      <w:r>
        <w:rPr>
          <w:b/>
        </w:rPr>
        <w:t>implements new minimum security operations qualification requirements, determined by Australian Skills Quality Authority, for various subclasses of employee licenses.</w:t>
      </w:r>
    </w:p>
    <w:p w:rsidR="00F11B0E" w:rsidRDefault="00F11B0E" w:rsidP="00F11B0E">
      <w:pPr>
        <w:widowControl w:val="0"/>
        <w:tabs>
          <w:tab w:val="left" w:pos="1276"/>
        </w:tabs>
        <w:spacing w:line="280" w:lineRule="atLeast"/>
        <w:rPr>
          <w:rFonts w:ascii="Calibri" w:hAnsi="Calibri" w:cs="Calibri"/>
          <w:color w:val="000000"/>
        </w:rPr>
      </w:pPr>
      <w:r w:rsidRPr="00B76C99">
        <w:rPr>
          <w:rFonts w:ascii="Calibri" w:hAnsi="Calibri" w:cs="Calibri"/>
          <w:color w:val="000000"/>
        </w:rPr>
        <w:t xml:space="preserve">This subordinate law amends the </w:t>
      </w:r>
      <w:r w:rsidRPr="00D62ECA">
        <w:rPr>
          <w:rFonts w:ascii="Calibri" w:hAnsi="Calibri" w:cs="Calibri"/>
          <w:i/>
          <w:iCs/>
          <w:color w:val="000000"/>
        </w:rPr>
        <w:t>Security Industry Regulation 2003</w:t>
      </w:r>
      <w:r w:rsidRPr="00D62ECA">
        <w:rPr>
          <w:rFonts w:ascii="Calibri" w:hAnsi="Calibri" w:cs="Calibri"/>
          <w:color w:val="000000"/>
        </w:rPr>
        <w:t>, “to implement new minimum security operations qualification requirements determined by Australian Skills Quality Authority (</w:t>
      </w:r>
      <w:r w:rsidRPr="00D62ECA">
        <w:rPr>
          <w:rFonts w:ascii="Calibri" w:hAnsi="Calibri" w:cs="Calibri"/>
          <w:b/>
          <w:bCs/>
          <w:color w:val="000000"/>
        </w:rPr>
        <w:t>ASQA</w:t>
      </w:r>
      <w:r w:rsidRPr="00D62ECA">
        <w:rPr>
          <w:rFonts w:ascii="Calibri" w:hAnsi="Calibri" w:cs="Calibri"/>
          <w:color w:val="000000"/>
        </w:rPr>
        <w:t>), the national regulator for Australia’s vocational education and training sector”.</w:t>
      </w:r>
      <w:r>
        <w:rPr>
          <w:rFonts w:ascii="Calibri" w:hAnsi="Calibri" w:cs="Calibri"/>
          <w:color w:val="000000"/>
        </w:rPr>
        <w:t xml:space="preserve">  The explanatory statement for the subordinate law indicates that the new minimum requirements arise from a “strategic review into security training programs” that was initiated by AQSA in 2016.</w:t>
      </w:r>
    </w:p>
    <w:p w:rsidR="00F11B0E" w:rsidRDefault="00F11B0E" w:rsidP="00F11B0E">
      <w:pPr>
        <w:widowControl w:val="0"/>
        <w:tabs>
          <w:tab w:val="left" w:pos="1276"/>
        </w:tabs>
        <w:spacing w:line="280" w:lineRule="atLeast"/>
        <w:rPr>
          <w:rFonts w:ascii="Calibri" w:hAnsi="Calibri" w:cs="Calibri"/>
          <w:color w:val="000000"/>
        </w:rPr>
      </w:pPr>
      <w:r>
        <w:rPr>
          <w:rFonts w:ascii="Calibri" w:hAnsi="Calibri" w:cs="Calibri"/>
          <w:color w:val="000000"/>
        </w:rPr>
        <w:t>The explanatory statement for the subordinate law contains a detailed discussion of potential human rights implications of the subordinate law, by reference to the right to life and the right to r</w:t>
      </w:r>
      <w:r w:rsidRPr="00D62ECA">
        <w:rPr>
          <w:rFonts w:ascii="Calibri" w:hAnsi="Calibri" w:cs="Calibri"/>
          <w:color w:val="000000"/>
        </w:rPr>
        <w:t>ecognition and equality before the law</w:t>
      </w:r>
      <w:r>
        <w:rPr>
          <w:rFonts w:ascii="Calibri" w:hAnsi="Calibri" w:cs="Calibri"/>
          <w:color w:val="000000"/>
        </w:rPr>
        <w:t xml:space="preserve">, protected by sections 9 and 8 of the </w:t>
      </w:r>
      <w:r>
        <w:rPr>
          <w:rFonts w:ascii="Calibri" w:hAnsi="Calibri" w:cs="Calibri"/>
          <w:i/>
          <w:iCs/>
          <w:color w:val="000000"/>
        </w:rPr>
        <w:t xml:space="preserve">Human Rights </w:t>
      </w:r>
      <w:r w:rsidRPr="00D62ECA">
        <w:rPr>
          <w:rFonts w:ascii="Calibri" w:hAnsi="Calibri" w:cs="Calibri"/>
          <w:i/>
          <w:iCs/>
          <w:color w:val="000000"/>
        </w:rPr>
        <w:t>Act 2004</w:t>
      </w:r>
      <w:r>
        <w:rPr>
          <w:rFonts w:ascii="Calibri" w:hAnsi="Calibri" w:cs="Calibri"/>
          <w:color w:val="000000"/>
        </w:rPr>
        <w:t>, respectively.</w:t>
      </w:r>
    </w:p>
    <w:p w:rsidR="00F11B0E" w:rsidRPr="000C60C8" w:rsidRDefault="00F11B0E" w:rsidP="00F11B0E">
      <w:pPr>
        <w:spacing w:line="280" w:lineRule="atLeast"/>
        <w:rPr>
          <w:rFonts w:ascii="Calibri" w:hAnsi="Calibri" w:cs="Calibri"/>
        </w:rPr>
      </w:pPr>
      <w:r w:rsidRPr="00A66BED">
        <w:rPr>
          <w:rFonts w:ascii="Calibri" w:hAnsi="Calibri" w:cs="Calibri"/>
          <w:b/>
          <w:bCs/>
        </w:rPr>
        <w:lastRenderedPageBreak/>
        <w:t>The Committee draws the attention of the Legislative Assembly to the discussion of human rights issues in the explanatory statement for th</w:t>
      </w:r>
      <w:r>
        <w:rPr>
          <w:rFonts w:ascii="Calibri" w:hAnsi="Calibri" w:cs="Calibri"/>
          <w:b/>
          <w:bCs/>
        </w:rPr>
        <w:t>is</w:t>
      </w:r>
      <w:r w:rsidRPr="00A66BED">
        <w:rPr>
          <w:rFonts w:ascii="Calibri" w:hAnsi="Calibri" w:cs="Calibri"/>
          <w:b/>
          <w:bCs/>
        </w:rPr>
        <w:t xml:space="preserve"> </w:t>
      </w:r>
      <w:r w:rsidRPr="00B72734">
        <w:rPr>
          <w:rFonts w:ascii="Calibri" w:hAnsi="Calibri" w:cs="Calibri"/>
          <w:b/>
          <w:bCs/>
        </w:rPr>
        <w:t>subordinate law.</w:t>
      </w:r>
    </w:p>
    <w:p w:rsidR="00F11B0E" w:rsidRDefault="00F11B0E" w:rsidP="00F11B0E">
      <w:pPr>
        <w:pStyle w:val="Paper"/>
        <w:spacing w:before="220" w:after="220" w:line="280" w:lineRule="atLeast"/>
        <w:rPr>
          <w:rFonts w:ascii="Calibri" w:hAnsi="Calibri" w:cs="Calibri"/>
          <w:b/>
          <w:bCs/>
          <w:sz w:val="22"/>
          <w:szCs w:val="22"/>
          <w:lang w:eastAsia="en-AU"/>
        </w:rPr>
      </w:pPr>
      <w:r w:rsidRPr="00A66BED">
        <w:rPr>
          <w:rFonts w:ascii="Calibri" w:hAnsi="Calibri" w:cs="Calibri"/>
          <w:b/>
          <w:bCs/>
          <w:sz w:val="22"/>
          <w:szCs w:val="22"/>
          <w:lang w:eastAsia="en-AU"/>
        </w:rPr>
        <w:t>This comment does not require a response from the Minister.</w:t>
      </w:r>
    </w:p>
    <w:p w:rsidR="00F11B0E" w:rsidRPr="00E61403" w:rsidRDefault="00F11B0E" w:rsidP="00F11B0E">
      <w:pPr>
        <w:pStyle w:val="Heading4nonumber"/>
        <w:spacing w:before="220" w:after="220" w:line="280" w:lineRule="atLeast"/>
        <w:rPr>
          <w:sz w:val="22"/>
          <w:szCs w:val="22"/>
        </w:rPr>
      </w:pPr>
      <w:r w:rsidRPr="00E61403">
        <w:rPr>
          <w:sz w:val="22"/>
          <w:szCs w:val="22"/>
        </w:rPr>
        <w:t>Human rights issues</w:t>
      </w:r>
    </w:p>
    <w:p w:rsidR="00F11B0E" w:rsidRPr="00842199" w:rsidRDefault="00F11B0E" w:rsidP="00F11B0E">
      <w:pPr>
        <w:pStyle w:val="Bodycopy"/>
        <w:keepLines/>
        <w:tabs>
          <w:tab w:val="clear" w:pos="1276"/>
          <w:tab w:val="left" w:pos="360"/>
        </w:tabs>
        <w:spacing w:before="160" w:after="160" w:line="280" w:lineRule="exact"/>
        <w:rPr>
          <w:b/>
        </w:rPr>
      </w:pPr>
      <w:r>
        <w:rPr>
          <w:b/>
        </w:rPr>
        <w:t>Subordinate Law</w:t>
      </w:r>
      <w:r w:rsidRPr="00451C85">
        <w:rPr>
          <w:b/>
        </w:rPr>
        <w:t xml:space="preserve"> </w:t>
      </w:r>
      <w:r>
        <w:rPr>
          <w:b/>
        </w:rPr>
        <w:t>SL2020-26</w:t>
      </w:r>
      <w:r w:rsidRPr="00451C85">
        <w:rPr>
          <w:b/>
        </w:rPr>
        <w:t xml:space="preserve"> being the </w:t>
      </w:r>
      <w:r>
        <w:rPr>
          <w:b/>
        </w:rPr>
        <w:t xml:space="preserve">Building (General) Amendment Regulation 2020 (No 1) made under the </w:t>
      </w:r>
      <w:r>
        <w:rPr>
          <w:i/>
        </w:rPr>
        <w:t>Building Act 2004</w:t>
      </w:r>
      <w:r w:rsidRPr="00236BDD">
        <w:rPr>
          <w:b/>
        </w:rPr>
        <w:t xml:space="preserve"> </w:t>
      </w:r>
      <w:r>
        <w:rPr>
          <w:b/>
        </w:rPr>
        <w:t>enacts regulations which requires building surveyors to provide the Constructions Occupations Registrar with stage inspection information shortly after the inspection is complete.</w:t>
      </w:r>
    </w:p>
    <w:p w:rsidR="00F11B0E" w:rsidRDefault="00F11B0E" w:rsidP="00F11B0E">
      <w:pPr>
        <w:widowControl w:val="0"/>
        <w:tabs>
          <w:tab w:val="left" w:pos="1276"/>
        </w:tabs>
        <w:rPr>
          <w:rFonts w:ascii="Calibri" w:hAnsi="Calibri" w:cs="Calibri"/>
          <w:color w:val="000000"/>
        </w:rPr>
      </w:pPr>
      <w:r w:rsidRPr="00B76C99">
        <w:rPr>
          <w:rFonts w:ascii="Calibri" w:hAnsi="Calibri" w:cs="Calibri"/>
          <w:color w:val="000000"/>
        </w:rPr>
        <w:t xml:space="preserve">This subordinate law amends the </w:t>
      </w:r>
      <w:r w:rsidRPr="00B76C99">
        <w:rPr>
          <w:rFonts w:ascii="Calibri" w:hAnsi="Calibri" w:cs="Calibri"/>
          <w:i/>
          <w:iCs/>
          <w:color w:val="000000"/>
        </w:rPr>
        <w:t>Building (General) Regulation 2008</w:t>
      </w:r>
      <w:r w:rsidRPr="00B76C99">
        <w:rPr>
          <w:rFonts w:ascii="Calibri" w:hAnsi="Calibri" w:cs="Calibri"/>
          <w:color w:val="000000"/>
        </w:rPr>
        <w:t xml:space="preserve">.  The amendments </w:t>
      </w:r>
      <w:r w:rsidRPr="005E55CF">
        <w:rPr>
          <w:rFonts w:ascii="Calibri" w:hAnsi="Calibri" w:cs="Calibri"/>
          <w:color w:val="000000"/>
        </w:rPr>
        <w:t xml:space="preserve">give effect to </w:t>
      </w:r>
      <w:r>
        <w:rPr>
          <w:rFonts w:ascii="Calibri" w:hAnsi="Calibri" w:cs="Calibri"/>
          <w:color w:val="000000"/>
        </w:rPr>
        <w:t xml:space="preserve">a recommendation of the ACT Government’s </w:t>
      </w:r>
      <w:r w:rsidRPr="005E55CF">
        <w:rPr>
          <w:rFonts w:ascii="Calibri" w:hAnsi="Calibri" w:cs="Calibri"/>
          <w:i/>
          <w:iCs/>
          <w:color w:val="000000"/>
        </w:rPr>
        <w:t xml:space="preserve">Improving the ACT Building Regulatory System </w:t>
      </w:r>
      <w:r w:rsidRPr="005E55CF">
        <w:rPr>
          <w:rFonts w:ascii="Calibri" w:hAnsi="Calibri" w:cs="Calibri"/>
          <w:color w:val="000000"/>
        </w:rPr>
        <w:t>reforms</w:t>
      </w:r>
      <w:r>
        <w:rPr>
          <w:rFonts w:ascii="Calibri" w:hAnsi="Calibri" w:cs="Calibri"/>
          <w:color w:val="000000"/>
        </w:rPr>
        <w:t xml:space="preserve">, announced in 2016.  The amendment </w:t>
      </w:r>
      <w:r w:rsidRPr="005E55CF">
        <w:rPr>
          <w:rFonts w:ascii="Calibri" w:hAnsi="Calibri" w:cs="Calibri"/>
          <w:color w:val="000000"/>
        </w:rPr>
        <w:t>require</w:t>
      </w:r>
      <w:r>
        <w:rPr>
          <w:rFonts w:ascii="Calibri" w:hAnsi="Calibri" w:cs="Calibri"/>
          <w:color w:val="000000"/>
        </w:rPr>
        <w:t>s</w:t>
      </w:r>
      <w:r w:rsidRPr="005E55CF">
        <w:rPr>
          <w:rFonts w:ascii="Calibri" w:hAnsi="Calibri" w:cs="Calibri"/>
          <w:color w:val="000000"/>
        </w:rPr>
        <w:t xml:space="preserve"> </w:t>
      </w:r>
      <w:r>
        <w:rPr>
          <w:rFonts w:ascii="Calibri" w:hAnsi="Calibri" w:cs="Calibri"/>
          <w:color w:val="000000"/>
        </w:rPr>
        <w:t>“</w:t>
      </w:r>
      <w:r w:rsidRPr="005E55CF">
        <w:rPr>
          <w:rFonts w:ascii="Calibri" w:hAnsi="Calibri" w:cs="Calibri"/>
          <w:color w:val="000000"/>
        </w:rPr>
        <w:t>stage inspection information</w:t>
      </w:r>
      <w:r>
        <w:rPr>
          <w:rFonts w:ascii="Calibri" w:hAnsi="Calibri" w:cs="Calibri"/>
          <w:color w:val="000000"/>
        </w:rPr>
        <w:t>”</w:t>
      </w:r>
      <w:r w:rsidRPr="005E55CF">
        <w:rPr>
          <w:rFonts w:ascii="Calibri" w:hAnsi="Calibri" w:cs="Calibri"/>
          <w:color w:val="000000"/>
        </w:rPr>
        <w:t xml:space="preserve"> to be given to the Constructions Occupations Registrar</w:t>
      </w:r>
      <w:r>
        <w:rPr>
          <w:rFonts w:ascii="Calibri" w:hAnsi="Calibri" w:cs="Calibri"/>
          <w:color w:val="000000"/>
        </w:rPr>
        <w:t>,</w:t>
      </w:r>
      <w:r w:rsidRPr="005E55CF">
        <w:rPr>
          <w:rFonts w:ascii="Calibri" w:hAnsi="Calibri" w:cs="Calibri"/>
          <w:color w:val="000000"/>
        </w:rPr>
        <w:t xml:space="preserve"> shortly after the inspection is complete. The intent is for building surveyors who undertake building certification work to supply information to the Registrar quickly</w:t>
      </w:r>
      <w:r>
        <w:rPr>
          <w:rFonts w:ascii="Calibri" w:hAnsi="Calibri" w:cs="Calibri"/>
          <w:color w:val="000000"/>
        </w:rPr>
        <w:t>,</w:t>
      </w:r>
      <w:r w:rsidRPr="005E55CF">
        <w:rPr>
          <w:rFonts w:ascii="Calibri" w:hAnsi="Calibri" w:cs="Calibri"/>
          <w:color w:val="000000"/>
        </w:rPr>
        <w:t xml:space="preserve"> following staged inspections. </w:t>
      </w:r>
    </w:p>
    <w:p w:rsidR="00F11B0E" w:rsidRPr="00B76C99" w:rsidRDefault="00F11B0E" w:rsidP="00F11B0E">
      <w:pPr>
        <w:widowControl w:val="0"/>
        <w:tabs>
          <w:tab w:val="left" w:pos="1276"/>
        </w:tabs>
        <w:rPr>
          <w:rFonts w:ascii="Calibri" w:hAnsi="Calibri" w:cs="Calibri"/>
          <w:color w:val="000000"/>
        </w:rPr>
      </w:pPr>
      <w:r>
        <w:rPr>
          <w:rFonts w:ascii="Calibri" w:hAnsi="Calibri" w:cs="Calibri"/>
          <w:color w:val="000000"/>
        </w:rPr>
        <w:t xml:space="preserve">The Committee notes that the explanatory statement for the subordinate law </w:t>
      </w:r>
      <w:r w:rsidRPr="00B41625">
        <w:rPr>
          <w:rFonts w:ascii="Calibri" w:hAnsi="Calibri" w:cs="Calibri"/>
          <w:color w:val="000000"/>
        </w:rPr>
        <w:t>discusses potential human rights implications of the subordinate law:</w:t>
      </w:r>
    </w:p>
    <w:p w:rsidR="00F11B0E" w:rsidRPr="00B76C99" w:rsidRDefault="00F11B0E" w:rsidP="00F11B0E">
      <w:pPr>
        <w:ind w:left="360"/>
        <w:rPr>
          <w:rFonts w:ascii="Calibri" w:hAnsi="Calibri" w:cs="Calibri"/>
          <w:b/>
        </w:rPr>
      </w:pPr>
      <w:r w:rsidRPr="00B76C99">
        <w:rPr>
          <w:rFonts w:ascii="Calibri" w:hAnsi="Calibri" w:cs="Calibri"/>
          <w:b/>
        </w:rPr>
        <w:t xml:space="preserve">Human Rights </w:t>
      </w:r>
    </w:p>
    <w:p w:rsidR="00F11B0E" w:rsidRPr="00B76C99" w:rsidRDefault="00F11B0E" w:rsidP="00F11B0E">
      <w:pPr>
        <w:autoSpaceDE w:val="0"/>
        <w:autoSpaceDN w:val="0"/>
        <w:adjustRightInd w:val="0"/>
        <w:ind w:left="360"/>
        <w:rPr>
          <w:rFonts w:ascii="Calibri" w:hAnsi="Calibri" w:cs="Calibri"/>
        </w:rPr>
      </w:pPr>
      <w:r w:rsidRPr="00B76C99">
        <w:rPr>
          <w:rFonts w:ascii="Calibri" w:hAnsi="Calibri" w:cs="Calibri"/>
        </w:rPr>
        <w:t xml:space="preserve">The Standing Committee on Justice and Community Safety (Legislative Scrutiny Role) terms of reference require consideration of human rights impacts, among other matters. There are no human rights impacts related to this regulation. The regulation does not engage with human rights under the </w:t>
      </w:r>
      <w:r w:rsidRPr="00B76C99">
        <w:rPr>
          <w:rFonts w:ascii="Calibri" w:hAnsi="Calibri" w:cs="Calibri"/>
          <w:i/>
          <w:iCs/>
        </w:rPr>
        <w:t>Human Rights Act 2004</w:t>
      </w:r>
      <w:r w:rsidRPr="00B76C99">
        <w:rPr>
          <w:rFonts w:ascii="Calibri" w:hAnsi="Calibri" w:cs="Calibri"/>
        </w:rPr>
        <w:t>.</w:t>
      </w:r>
    </w:p>
    <w:p w:rsidR="00F11B0E" w:rsidRPr="00B76C99" w:rsidRDefault="00F11B0E" w:rsidP="00F11B0E">
      <w:pPr>
        <w:autoSpaceDE w:val="0"/>
        <w:autoSpaceDN w:val="0"/>
        <w:adjustRightInd w:val="0"/>
        <w:rPr>
          <w:rFonts w:ascii="Calibri" w:hAnsi="Calibri" w:cs="Calibri"/>
          <w:b/>
          <w:bCs/>
        </w:rPr>
      </w:pPr>
      <w:r w:rsidRPr="00B76C99">
        <w:rPr>
          <w:rFonts w:ascii="Calibri" w:hAnsi="Calibri" w:cs="Calibri"/>
        </w:rPr>
        <w:t>The Committee notes that the explanatory statement for the subordinate law goes on to address the consistency of the subordinate law with the scrutiny principles against which the Committee scrutinises legislation:</w:t>
      </w:r>
    </w:p>
    <w:p w:rsidR="00F11B0E" w:rsidRPr="00B76C99" w:rsidRDefault="00F11B0E" w:rsidP="00F11B0E">
      <w:pPr>
        <w:autoSpaceDE w:val="0"/>
        <w:autoSpaceDN w:val="0"/>
        <w:adjustRightInd w:val="0"/>
        <w:ind w:left="360"/>
        <w:rPr>
          <w:rFonts w:ascii="Calibri" w:hAnsi="Calibri" w:cs="Calibri"/>
          <w:b/>
          <w:bCs/>
        </w:rPr>
      </w:pPr>
      <w:r w:rsidRPr="00B76C99">
        <w:rPr>
          <w:rFonts w:ascii="Calibri" w:hAnsi="Calibri" w:cs="Calibri"/>
          <w:b/>
          <w:bCs/>
        </w:rPr>
        <w:t>Scrutiny Committee Principles</w:t>
      </w:r>
    </w:p>
    <w:p w:rsidR="00F11B0E" w:rsidRPr="00B76C99" w:rsidRDefault="00F11B0E" w:rsidP="00F11B0E">
      <w:pPr>
        <w:autoSpaceDE w:val="0"/>
        <w:autoSpaceDN w:val="0"/>
        <w:adjustRightInd w:val="0"/>
        <w:ind w:left="360"/>
        <w:rPr>
          <w:rFonts w:ascii="Calibri" w:hAnsi="Calibri" w:cs="Calibri"/>
        </w:rPr>
      </w:pPr>
      <w:r w:rsidRPr="00B76C99">
        <w:rPr>
          <w:rFonts w:ascii="Calibri" w:hAnsi="Calibri" w:cs="Calibri"/>
        </w:rPr>
        <w:t>The regulation is consistent with Scrutiny Committee (the Committee) principles.</w:t>
      </w:r>
    </w:p>
    <w:p w:rsidR="00F11B0E" w:rsidRPr="00B76C99" w:rsidRDefault="00F11B0E" w:rsidP="00F11B0E">
      <w:pPr>
        <w:numPr>
          <w:ilvl w:val="0"/>
          <w:numId w:val="26"/>
        </w:numPr>
        <w:autoSpaceDE w:val="0"/>
        <w:autoSpaceDN w:val="0"/>
        <w:adjustRightInd w:val="0"/>
        <w:rPr>
          <w:rFonts w:ascii="Calibri" w:hAnsi="Calibri" w:cs="Calibri"/>
        </w:rPr>
      </w:pPr>
      <w:r w:rsidRPr="00B76C99">
        <w:rPr>
          <w:rFonts w:ascii="Calibri" w:hAnsi="Calibri" w:cs="Calibri"/>
        </w:rPr>
        <w:t xml:space="preserve">Although the Building Act does not include objects, the regulation accords with the general purpose of the Act by matching the intention of the law regarding advancing safety in building and construction in the Territory. </w:t>
      </w:r>
    </w:p>
    <w:p w:rsidR="00F11B0E" w:rsidRPr="00B76C99" w:rsidRDefault="00F11B0E" w:rsidP="00F11B0E">
      <w:pPr>
        <w:pStyle w:val="ListParagraph"/>
        <w:numPr>
          <w:ilvl w:val="0"/>
          <w:numId w:val="38"/>
        </w:numPr>
        <w:autoSpaceDE w:val="0"/>
        <w:autoSpaceDN w:val="0"/>
        <w:adjustRightInd w:val="0"/>
        <w:contextualSpacing w:val="0"/>
        <w:rPr>
          <w:rFonts w:cs="Calibri"/>
          <w:lang w:eastAsia="en-AU"/>
        </w:rPr>
      </w:pPr>
      <w:r w:rsidRPr="00B76C99">
        <w:rPr>
          <w:rFonts w:cs="Calibri"/>
          <w:lang w:eastAsia="en-AU"/>
        </w:rPr>
        <w:t>The regulation does not unduly trespass on rights previously established by law. The regulation improves information available to the Registrar to support safety in building and construction in the Territory.</w:t>
      </w:r>
    </w:p>
    <w:p w:rsidR="00F11B0E" w:rsidRPr="00FF0CAE" w:rsidRDefault="00F11B0E" w:rsidP="00F11B0E">
      <w:pPr>
        <w:pStyle w:val="ListParagraph"/>
        <w:numPr>
          <w:ilvl w:val="0"/>
          <w:numId w:val="38"/>
        </w:numPr>
        <w:autoSpaceDE w:val="0"/>
        <w:autoSpaceDN w:val="0"/>
        <w:adjustRightInd w:val="0"/>
        <w:contextualSpacing w:val="0"/>
        <w:rPr>
          <w:rFonts w:cs="Calibri"/>
          <w:lang w:eastAsia="en-AU"/>
        </w:rPr>
      </w:pPr>
      <w:r w:rsidRPr="00FF0CAE">
        <w:rPr>
          <w:rFonts w:cs="Calibri"/>
          <w:lang w:eastAsia="en-AU"/>
        </w:rPr>
        <w:t>The regulation does not contain matters which should properly be dealt with in an Act of the Legislative Assembly. The Act includes powers to provide for information to be provided by a certifier following a stage inspection.</w:t>
      </w:r>
    </w:p>
    <w:p w:rsidR="00F11B0E" w:rsidRPr="000C60C8" w:rsidRDefault="00F11B0E" w:rsidP="00F11B0E">
      <w:pPr>
        <w:rPr>
          <w:rFonts w:ascii="Calibri" w:hAnsi="Calibri" w:cs="Calibri"/>
        </w:rPr>
      </w:pPr>
      <w:bookmarkStart w:id="528" w:name="_Hlk46347295"/>
      <w:r w:rsidRPr="00A66BED">
        <w:rPr>
          <w:rFonts w:ascii="Calibri" w:hAnsi="Calibri" w:cs="Calibri"/>
          <w:b/>
          <w:bCs/>
        </w:rPr>
        <w:t>The Committee draws the attention of the Legislative Assembly to the discussion of human rights issues in the explanatory statement for th</w:t>
      </w:r>
      <w:r>
        <w:rPr>
          <w:rFonts w:ascii="Calibri" w:hAnsi="Calibri" w:cs="Calibri"/>
          <w:b/>
          <w:bCs/>
        </w:rPr>
        <w:t>is</w:t>
      </w:r>
      <w:r w:rsidRPr="00A66BED">
        <w:rPr>
          <w:rFonts w:ascii="Calibri" w:hAnsi="Calibri" w:cs="Calibri"/>
          <w:b/>
          <w:bCs/>
        </w:rPr>
        <w:t xml:space="preserve"> </w:t>
      </w:r>
      <w:r w:rsidRPr="00B72734">
        <w:rPr>
          <w:rFonts w:ascii="Calibri" w:hAnsi="Calibri" w:cs="Calibri"/>
          <w:b/>
          <w:bCs/>
        </w:rPr>
        <w:t>subordinate law.</w:t>
      </w:r>
    </w:p>
    <w:p w:rsidR="00F11B0E" w:rsidRDefault="00F11B0E" w:rsidP="00F11B0E">
      <w:pPr>
        <w:pStyle w:val="Paper"/>
        <w:spacing w:before="220" w:after="220" w:line="280" w:lineRule="exact"/>
        <w:rPr>
          <w:rFonts w:ascii="Calibri" w:hAnsi="Calibri" w:cs="Calibri"/>
          <w:b/>
          <w:bCs/>
          <w:sz w:val="22"/>
          <w:szCs w:val="22"/>
          <w:lang w:eastAsia="en-AU"/>
        </w:rPr>
      </w:pPr>
      <w:r w:rsidRPr="00A66BED">
        <w:rPr>
          <w:rFonts w:ascii="Calibri" w:hAnsi="Calibri" w:cs="Calibri"/>
          <w:b/>
          <w:bCs/>
          <w:sz w:val="22"/>
          <w:szCs w:val="22"/>
          <w:lang w:eastAsia="en-AU"/>
        </w:rPr>
        <w:t>This comment does not require a response from the Minister.</w:t>
      </w:r>
    </w:p>
    <w:bookmarkEnd w:id="528"/>
    <w:p w:rsidR="00F11B0E" w:rsidRPr="00E61403" w:rsidRDefault="00F11B0E" w:rsidP="00F11B0E">
      <w:pPr>
        <w:pStyle w:val="Heading4nonumber"/>
        <w:spacing w:before="220" w:after="220" w:line="280" w:lineRule="atLeast"/>
        <w:rPr>
          <w:sz w:val="22"/>
          <w:szCs w:val="22"/>
        </w:rPr>
      </w:pPr>
      <w:r w:rsidRPr="00E61403">
        <w:rPr>
          <w:sz w:val="22"/>
          <w:szCs w:val="22"/>
        </w:rPr>
        <w:lastRenderedPageBreak/>
        <w:t>Human rights issues</w:t>
      </w:r>
    </w:p>
    <w:p w:rsidR="00F11B0E" w:rsidRDefault="00F11B0E" w:rsidP="00F11B0E">
      <w:pPr>
        <w:pStyle w:val="Bodycopy"/>
        <w:keepLines/>
        <w:numPr>
          <w:ilvl w:val="0"/>
          <w:numId w:val="26"/>
        </w:numPr>
        <w:tabs>
          <w:tab w:val="clear" w:pos="1276"/>
          <w:tab w:val="left" w:pos="360"/>
        </w:tabs>
        <w:spacing w:before="160" w:after="160" w:line="280" w:lineRule="exact"/>
        <w:ind w:left="360"/>
        <w:rPr>
          <w:b/>
        </w:rPr>
      </w:pPr>
      <w:r>
        <w:rPr>
          <w:b/>
        </w:rPr>
        <w:t>Subordinate Law</w:t>
      </w:r>
      <w:r w:rsidRPr="00451C85">
        <w:rPr>
          <w:b/>
        </w:rPr>
        <w:t xml:space="preserve"> </w:t>
      </w:r>
      <w:r>
        <w:rPr>
          <w:b/>
        </w:rPr>
        <w:t>SL2020-27</w:t>
      </w:r>
      <w:r w:rsidRPr="00451C85">
        <w:rPr>
          <w:b/>
        </w:rPr>
        <w:t xml:space="preserve"> being the </w:t>
      </w:r>
      <w:r>
        <w:rPr>
          <w:b/>
        </w:rPr>
        <w:t xml:space="preserve">Work Health and Safety Amendment Regulations 2020 (No 1) made under the </w:t>
      </w:r>
      <w:r>
        <w:rPr>
          <w:i/>
        </w:rPr>
        <w:t>Work Health and Safety Act 2011</w:t>
      </w:r>
      <w:r w:rsidRPr="00236BDD">
        <w:rPr>
          <w:b/>
        </w:rPr>
        <w:t xml:space="preserve"> </w:t>
      </w:r>
      <w:r>
        <w:rPr>
          <w:b/>
        </w:rPr>
        <w:t>adopts amendments to the nationally agreed model Work Health and Safety laws.</w:t>
      </w:r>
    </w:p>
    <w:p w:rsidR="00F11B0E" w:rsidRDefault="00F11B0E" w:rsidP="00F11B0E">
      <w:pPr>
        <w:rPr>
          <w:rFonts w:ascii="Calibri" w:hAnsi="Calibri" w:cs="Calibri"/>
        </w:rPr>
      </w:pPr>
      <w:r w:rsidRPr="0096042E">
        <w:rPr>
          <w:rFonts w:ascii="Calibri" w:hAnsi="Calibri" w:cs="Calibri"/>
        </w:rPr>
        <w:t>Th</w:t>
      </w:r>
      <w:r>
        <w:rPr>
          <w:rFonts w:ascii="Calibri" w:hAnsi="Calibri" w:cs="Calibri"/>
        </w:rPr>
        <w:t xml:space="preserve">is subordinate law </w:t>
      </w:r>
      <w:r w:rsidRPr="0096042E">
        <w:rPr>
          <w:rFonts w:ascii="Calibri" w:hAnsi="Calibri" w:cs="Calibri"/>
        </w:rPr>
        <w:t>amend</w:t>
      </w:r>
      <w:r>
        <w:rPr>
          <w:rFonts w:ascii="Calibri" w:hAnsi="Calibri" w:cs="Calibri"/>
        </w:rPr>
        <w:t>s</w:t>
      </w:r>
      <w:r w:rsidRPr="0096042E">
        <w:rPr>
          <w:rFonts w:ascii="Calibri" w:hAnsi="Calibri" w:cs="Calibri"/>
        </w:rPr>
        <w:t xml:space="preserve"> the </w:t>
      </w:r>
      <w:r w:rsidRPr="0096042E">
        <w:rPr>
          <w:rFonts w:ascii="Calibri" w:hAnsi="Calibri" w:cs="Calibri"/>
          <w:i/>
          <w:iCs/>
        </w:rPr>
        <w:t>Work Health Safety Regulation 2011</w:t>
      </w:r>
      <w:r>
        <w:rPr>
          <w:rFonts w:ascii="Calibri" w:hAnsi="Calibri" w:cs="Calibri"/>
        </w:rPr>
        <w:t xml:space="preserve">, </w:t>
      </w:r>
      <w:r w:rsidRPr="0096042E">
        <w:rPr>
          <w:rFonts w:ascii="Calibri" w:hAnsi="Calibri" w:cs="Calibri"/>
        </w:rPr>
        <w:t xml:space="preserve">to adopt recent amendments made to the </w:t>
      </w:r>
      <w:r>
        <w:rPr>
          <w:rFonts w:ascii="Calibri" w:hAnsi="Calibri" w:cs="Calibri"/>
        </w:rPr>
        <w:t>N</w:t>
      </w:r>
      <w:r w:rsidRPr="0096042E">
        <w:rPr>
          <w:rFonts w:ascii="Calibri" w:hAnsi="Calibri" w:cs="Calibri"/>
        </w:rPr>
        <w:t>ational model W</w:t>
      </w:r>
      <w:r>
        <w:rPr>
          <w:rFonts w:ascii="Calibri" w:hAnsi="Calibri" w:cs="Calibri"/>
        </w:rPr>
        <w:t xml:space="preserve">ork </w:t>
      </w:r>
      <w:r w:rsidRPr="0096042E">
        <w:rPr>
          <w:rFonts w:ascii="Calibri" w:hAnsi="Calibri" w:cs="Calibri"/>
        </w:rPr>
        <w:t>H</w:t>
      </w:r>
      <w:r>
        <w:rPr>
          <w:rFonts w:ascii="Calibri" w:hAnsi="Calibri" w:cs="Calibri"/>
        </w:rPr>
        <w:t xml:space="preserve">ealth and </w:t>
      </w:r>
      <w:r w:rsidRPr="0096042E">
        <w:rPr>
          <w:rFonts w:ascii="Calibri" w:hAnsi="Calibri" w:cs="Calibri"/>
        </w:rPr>
        <w:t>S</w:t>
      </w:r>
      <w:r>
        <w:rPr>
          <w:rFonts w:ascii="Calibri" w:hAnsi="Calibri" w:cs="Calibri"/>
        </w:rPr>
        <w:t>afety R</w:t>
      </w:r>
      <w:r w:rsidRPr="0096042E">
        <w:rPr>
          <w:rFonts w:ascii="Calibri" w:hAnsi="Calibri" w:cs="Calibri"/>
        </w:rPr>
        <w:t>egulations and make other amendments.</w:t>
      </w:r>
      <w:r>
        <w:rPr>
          <w:rFonts w:ascii="Calibri" w:hAnsi="Calibri" w:cs="Calibri"/>
        </w:rPr>
        <w:t xml:space="preserve">  The explanatory statement for the subordinate law states:</w:t>
      </w:r>
    </w:p>
    <w:p w:rsidR="00F11B0E" w:rsidRPr="0096042E" w:rsidRDefault="00F11B0E" w:rsidP="00F11B0E">
      <w:pPr>
        <w:spacing w:line="260" w:lineRule="exact"/>
        <w:ind w:left="360"/>
        <w:rPr>
          <w:rFonts w:ascii="Calibri" w:hAnsi="Calibri" w:cs="Calibri"/>
        </w:rPr>
      </w:pPr>
      <w:r w:rsidRPr="0096042E">
        <w:rPr>
          <w:rFonts w:ascii="Calibri" w:hAnsi="Calibri" w:cs="Calibri"/>
        </w:rPr>
        <w:t>This Amendment Regulation makes amendments to the WHS Regulation to:</w:t>
      </w:r>
    </w:p>
    <w:p w:rsidR="00F11B0E" w:rsidRPr="0096042E" w:rsidRDefault="00F11B0E" w:rsidP="00F11B0E">
      <w:pPr>
        <w:pStyle w:val="ListParagraph"/>
        <w:numPr>
          <w:ilvl w:val="0"/>
          <w:numId w:val="39"/>
        </w:numPr>
        <w:spacing w:line="260" w:lineRule="exact"/>
        <w:ind w:left="1080"/>
        <w:contextualSpacing w:val="0"/>
        <w:rPr>
          <w:rFonts w:cs="Calibri"/>
        </w:rPr>
      </w:pPr>
      <w:r w:rsidRPr="0096042E">
        <w:rPr>
          <w:rFonts w:cs="Calibri"/>
        </w:rPr>
        <w:t xml:space="preserve">facilitate the adoption of the recent republication of exposure limits published by Safe Work Australia in the </w:t>
      </w:r>
      <w:r w:rsidRPr="0096042E">
        <w:rPr>
          <w:rFonts w:cs="Calibri"/>
          <w:i/>
          <w:iCs/>
        </w:rPr>
        <w:t>Workplace Exposure Standard for Airborne Contaminants</w:t>
      </w:r>
      <w:r w:rsidRPr="0096042E">
        <w:rPr>
          <w:rFonts w:cs="Calibri"/>
        </w:rPr>
        <w:t xml:space="preserve"> as agreed by jurisdictions under the model WHS framework;</w:t>
      </w:r>
    </w:p>
    <w:p w:rsidR="00F11B0E" w:rsidRPr="0096042E" w:rsidRDefault="00F11B0E" w:rsidP="00F11B0E">
      <w:pPr>
        <w:pStyle w:val="ListParagraph"/>
        <w:numPr>
          <w:ilvl w:val="0"/>
          <w:numId w:val="39"/>
        </w:numPr>
        <w:spacing w:line="260" w:lineRule="exact"/>
        <w:ind w:left="1080"/>
        <w:contextualSpacing w:val="0"/>
        <w:rPr>
          <w:rFonts w:cs="Calibri"/>
        </w:rPr>
      </w:pPr>
      <w:r w:rsidRPr="0096042E">
        <w:rPr>
          <w:rFonts w:cs="Calibri"/>
        </w:rPr>
        <w:t>align the WHS Regulation with recent amendments to the blood lead level thresholds adopted in the nationally agreed model WHS laws;</w:t>
      </w:r>
    </w:p>
    <w:p w:rsidR="00F11B0E" w:rsidRPr="0096042E" w:rsidRDefault="00F11B0E" w:rsidP="00F11B0E">
      <w:pPr>
        <w:pStyle w:val="ListParagraph"/>
        <w:numPr>
          <w:ilvl w:val="0"/>
          <w:numId w:val="39"/>
        </w:numPr>
        <w:spacing w:line="260" w:lineRule="exact"/>
        <w:ind w:left="1080"/>
        <w:contextualSpacing w:val="0"/>
        <w:rPr>
          <w:rFonts w:cs="Calibri"/>
        </w:rPr>
      </w:pPr>
      <w:r w:rsidRPr="0096042E">
        <w:rPr>
          <w:rFonts w:cs="Calibri"/>
        </w:rPr>
        <w:t>align the WHS Regulation with technical amendments to diving provisions to correct outdated references to training courses as adopted in the nationally agreed model WHS laws; and</w:t>
      </w:r>
    </w:p>
    <w:p w:rsidR="00F11B0E" w:rsidRPr="0096042E" w:rsidRDefault="00F11B0E" w:rsidP="00F11B0E">
      <w:pPr>
        <w:pStyle w:val="ListParagraph"/>
        <w:numPr>
          <w:ilvl w:val="0"/>
          <w:numId w:val="39"/>
        </w:numPr>
        <w:spacing w:line="260" w:lineRule="exact"/>
        <w:ind w:left="1080"/>
        <w:contextualSpacing w:val="0"/>
        <w:rPr>
          <w:rFonts w:cs="Calibri"/>
        </w:rPr>
      </w:pPr>
      <w:r w:rsidRPr="0096042E">
        <w:rPr>
          <w:rFonts w:cs="Calibri"/>
        </w:rPr>
        <w:t>establish a public register of infringement notices issued on WHS licence holders under the WHS laws.</w:t>
      </w:r>
    </w:p>
    <w:p w:rsidR="00F11B0E" w:rsidRPr="0096042E" w:rsidRDefault="00F11B0E" w:rsidP="00F11B0E">
      <w:pPr>
        <w:pStyle w:val="Bodycopy"/>
        <w:tabs>
          <w:tab w:val="clear" w:pos="1276"/>
          <w:tab w:val="left" w:pos="360"/>
        </w:tabs>
        <w:spacing w:before="220" w:after="220" w:line="280" w:lineRule="exact"/>
        <w:rPr>
          <w:bCs/>
        </w:rPr>
      </w:pPr>
      <w:r w:rsidRPr="0096042E">
        <w:rPr>
          <w:bCs/>
        </w:rPr>
        <w:t xml:space="preserve">The Committee notes that the explanatory statement for the subordinate law contains a detailed discussion of potential human rights issues </w:t>
      </w:r>
      <w:r>
        <w:rPr>
          <w:bCs/>
        </w:rPr>
        <w:t xml:space="preserve">arising from the subordinate law, by reference to rights in criminal proceedings (and the use of strict liability offences) and the right to privacy and reputation, protected by sections 22 and 12 of the </w:t>
      </w:r>
      <w:r>
        <w:rPr>
          <w:bCs/>
          <w:i/>
          <w:iCs/>
        </w:rPr>
        <w:t>Human Rights Act 2004</w:t>
      </w:r>
      <w:r>
        <w:rPr>
          <w:bCs/>
        </w:rPr>
        <w:t xml:space="preserve">, respectively. </w:t>
      </w:r>
    </w:p>
    <w:p w:rsidR="00F11B0E" w:rsidRPr="000C60C8" w:rsidRDefault="00F11B0E" w:rsidP="00F11B0E">
      <w:pPr>
        <w:rPr>
          <w:rFonts w:ascii="Calibri" w:hAnsi="Calibri" w:cs="Calibri"/>
        </w:rPr>
      </w:pPr>
      <w:r w:rsidRPr="00A66BED">
        <w:rPr>
          <w:rFonts w:ascii="Calibri" w:hAnsi="Calibri" w:cs="Calibri"/>
          <w:b/>
          <w:bCs/>
        </w:rPr>
        <w:t>The Committee draws the attention of the Legislative Assembly to the discussion of human rights issues in the explanatory statement for th</w:t>
      </w:r>
      <w:r>
        <w:rPr>
          <w:rFonts w:ascii="Calibri" w:hAnsi="Calibri" w:cs="Calibri"/>
          <w:b/>
          <w:bCs/>
        </w:rPr>
        <w:t>is</w:t>
      </w:r>
      <w:r w:rsidRPr="00A66BED">
        <w:rPr>
          <w:rFonts w:ascii="Calibri" w:hAnsi="Calibri" w:cs="Calibri"/>
          <w:b/>
          <w:bCs/>
        </w:rPr>
        <w:t xml:space="preserve"> </w:t>
      </w:r>
      <w:r w:rsidRPr="00B72734">
        <w:rPr>
          <w:rFonts w:ascii="Calibri" w:hAnsi="Calibri" w:cs="Calibri"/>
          <w:b/>
          <w:bCs/>
        </w:rPr>
        <w:t>subordinate law.</w:t>
      </w:r>
    </w:p>
    <w:p w:rsidR="00F11B0E" w:rsidRDefault="00F11B0E" w:rsidP="00F11B0E">
      <w:pPr>
        <w:pStyle w:val="Paper"/>
        <w:spacing w:before="220" w:after="220" w:line="280" w:lineRule="exact"/>
        <w:rPr>
          <w:rFonts w:ascii="Calibri" w:hAnsi="Calibri" w:cs="Calibri"/>
          <w:b/>
          <w:bCs/>
          <w:sz w:val="22"/>
          <w:szCs w:val="22"/>
          <w:lang w:eastAsia="en-AU"/>
        </w:rPr>
      </w:pPr>
      <w:r w:rsidRPr="00A66BED">
        <w:rPr>
          <w:rFonts w:ascii="Calibri" w:hAnsi="Calibri" w:cs="Calibri"/>
          <w:b/>
          <w:bCs/>
          <w:sz w:val="22"/>
          <w:szCs w:val="22"/>
          <w:lang w:eastAsia="en-AU"/>
        </w:rPr>
        <w:t>This comment does not require a response from the Minister.</w:t>
      </w:r>
    </w:p>
    <w:p w:rsidR="00885BD3" w:rsidRDefault="00932B67" w:rsidP="000F6E03">
      <w:pPr>
        <w:pStyle w:val="Heading2"/>
      </w:pPr>
      <w:bookmarkStart w:id="529" w:name="_Toc46735470"/>
      <w:r w:rsidRPr="00932B67">
        <w:t>Fees instruments</w:t>
      </w:r>
      <w:bookmarkEnd w:id="529"/>
    </w:p>
    <w:p w:rsidR="00932B67" w:rsidRPr="00885BD3" w:rsidRDefault="00932B67" w:rsidP="000F6E03">
      <w:pPr>
        <w:pStyle w:val="Heading3"/>
      </w:pPr>
      <w:bookmarkStart w:id="530" w:name="_Toc46735471"/>
      <w:r w:rsidRPr="00885BD3">
        <w:t>General comment</w:t>
      </w:r>
      <w:bookmarkEnd w:id="530"/>
    </w:p>
    <w:p w:rsidR="00932B67" w:rsidRPr="00760E8A" w:rsidRDefault="00932B67" w:rsidP="00885BD3">
      <w:pPr>
        <w:keepLines/>
        <w:spacing w:line="260" w:lineRule="atLeast"/>
        <w:rPr>
          <w:rFonts w:ascii="Calibri" w:eastAsia="Calibri" w:hAnsi="Calibri" w:cs="Calibri"/>
        </w:rPr>
      </w:pPr>
      <w:r w:rsidRPr="00760E8A">
        <w:rPr>
          <w:rFonts w:ascii="Calibri" w:eastAsia="Calibri" w:hAnsi="Calibri" w:cs="Calibri"/>
        </w:rPr>
        <w:t xml:space="preserve">As is to be expected at this time of the year, the Committee has considered, for this Scrutiny Report, over </w:t>
      </w:r>
      <w:r>
        <w:rPr>
          <w:rFonts w:ascii="Calibri" w:eastAsia="Calibri" w:hAnsi="Calibri" w:cs="Calibri"/>
        </w:rPr>
        <w:t>30</w:t>
      </w:r>
      <w:r w:rsidRPr="00760E8A">
        <w:rPr>
          <w:rFonts w:ascii="Calibri" w:eastAsia="Calibri" w:hAnsi="Calibri" w:cs="Calibri"/>
        </w:rPr>
        <w:t xml:space="preserve"> instruments that determine fees, for the purposes of various Acts.  The Committee’s expectations, in relation to fees determinations (and other matters)</w:t>
      </w:r>
      <w:r>
        <w:rPr>
          <w:rFonts w:ascii="Calibri" w:eastAsia="Calibri" w:hAnsi="Calibri" w:cs="Calibri"/>
        </w:rPr>
        <w:t>,</w:t>
      </w:r>
      <w:r w:rsidRPr="00760E8A">
        <w:rPr>
          <w:rFonts w:ascii="Calibri" w:eastAsia="Calibri" w:hAnsi="Calibri" w:cs="Calibri"/>
        </w:rPr>
        <w:t xml:space="preserve"> are set out </w:t>
      </w:r>
      <w:r>
        <w:rPr>
          <w:rFonts w:ascii="Calibri" w:eastAsia="Calibri" w:hAnsi="Calibri" w:cs="Calibri"/>
        </w:rPr>
        <w:t>i</w:t>
      </w:r>
      <w:r w:rsidRPr="001C3BD7">
        <w:rPr>
          <w:rFonts w:ascii="Calibri" w:eastAsia="Calibri" w:hAnsi="Calibri" w:cs="Calibri"/>
        </w:rPr>
        <w:t xml:space="preserve">n its document titled </w:t>
      </w:r>
      <w:hyperlink r:id="rId28" w:history="1">
        <w:r w:rsidRPr="001C3BD7">
          <w:rPr>
            <w:rFonts w:ascii="Calibri" w:eastAsia="Calibri" w:hAnsi="Calibri" w:cs="Calibri"/>
            <w:i/>
            <w:color w:val="0000FF"/>
            <w:u w:val="single"/>
          </w:rPr>
          <w:t>Subordinate legislation—Technical and stylistic standards—Tips/Traps</w:t>
        </w:r>
      </w:hyperlink>
      <w:r>
        <w:rPr>
          <w:rFonts w:ascii="Calibri" w:eastAsia="Calibri" w:hAnsi="Calibri" w:cs="Calibri"/>
          <w:color w:val="000000"/>
        </w:rPr>
        <w:t>.</w:t>
      </w:r>
      <w:r w:rsidRPr="001C3BD7">
        <w:rPr>
          <w:rFonts w:ascii="Calibri" w:eastAsia="Calibri" w:hAnsi="Calibri" w:cs="Calibri"/>
          <w:vertAlign w:val="superscript"/>
        </w:rPr>
        <w:footnoteReference w:id="3"/>
      </w:r>
      <w:r>
        <w:rPr>
          <w:rFonts w:ascii="Calibri" w:eastAsia="Calibri" w:hAnsi="Calibri" w:cs="Calibri"/>
          <w:color w:val="000000"/>
        </w:rPr>
        <w:t xml:space="preserve">  </w:t>
      </w:r>
      <w:r w:rsidRPr="00760E8A">
        <w:rPr>
          <w:rFonts w:ascii="Calibri" w:eastAsia="Calibri" w:hAnsi="Calibri" w:cs="Calibri"/>
        </w:rPr>
        <w:t>In that document, the Committee states:</w:t>
      </w:r>
    </w:p>
    <w:p w:rsidR="00932B67" w:rsidRPr="00760E8A" w:rsidRDefault="00932B67" w:rsidP="00F11B0E">
      <w:pPr>
        <w:keepNext/>
        <w:spacing w:before="200" w:after="200" w:line="260" w:lineRule="atLeast"/>
        <w:ind w:left="360"/>
        <w:rPr>
          <w:rFonts w:ascii="Calibri" w:hAnsi="Calibri" w:cs="Calibri"/>
          <w:b/>
        </w:rPr>
      </w:pPr>
      <w:r w:rsidRPr="00760E8A">
        <w:rPr>
          <w:rFonts w:ascii="Calibri" w:hAnsi="Calibri" w:cs="Calibri"/>
          <w:b/>
        </w:rPr>
        <w:lastRenderedPageBreak/>
        <w:t>FEES DETERMINATIONS</w:t>
      </w:r>
    </w:p>
    <w:p w:rsidR="00932B67" w:rsidRPr="00760E8A" w:rsidRDefault="00932B67" w:rsidP="00885BD3">
      <w:pPr>
        <w:keepLines/>
        <w:spacing w:before="200" w:after="200" w:line="260" w:lineRule="atLeast"/>
        <w:ind w:left="360"/>
        <w:rPr>
          <w:rFonts w:ascii="Calibri" w:eastAsia="Calibri" w:hAnsi="Calibri" w:cs="Calibri"/>
        </w:rPr>
      </w:pPr>
      <w:r w:rsidRPr="00760E8A">
        <w:rPr>
          <w:rFonts w:ascii="Calibri" w:eastAsia="Calibri" w:hAnsi="Calibri" w:cs="Calibri"/>
        </w:rPr>
        <w:t>The Committee prefers that instruments that determine fees indicate (either in the instrument itself or in the Explanatory Statement) the amount of the “old” fee, the amount of the new fee, any percentage increase and also the reason for any increase (eg an adjustment based on the CPI).  Given the importance of fees to the administration of the ACT, it assists the Committee (and the Legislative Assembly) if fees determinations expressly identify the magnitude of any fees increases.</w:t>
      </w:r>
    </w:p>
    <w:p w:rsidR="00932B67" w:rsidRPr="00760E8A" w:rsidRDefault="00932B67" w:rsidP="00885BD3">
      <w:pPr>
        <w:keepLines/>
        <w:spacing w:before="200" w:after="200" w:line="260" w:lineRule="atLeast"/>
        <w:ind w:left="360"/>
        <w:rPr>
          <w:rFonts w:ascii="Calibri" w:eastAsia="Calibri" w:hAnsi="Calibri" w:cs="Calibri"/>
        </w:rPr>
      </w:pPr>
      <w:r w:rsidRPr="00760E8A">
        <w:rPr>
          <w:rFonts w:ascii="Calibri" w:eastAsia="Calibri" w:hAnsi="Calibri" w:cs="Calibri"/>
        </w:rPr>
        <w:t xml:space="preserve">The Committee also prefers that fees determinations expressly address the mandatory requirements of subsection 56(5) of the </w:t>
      </w:r>
      <w:r w:rsidRPr="00760E8A">
        <w:rPr>
          <w:rFonts w:ascii="Calibri" w:eastAsia="Calibri" w:hAnsi="Calibri" w:cs="Calibri"/>
          <w:i/>
        </w:rPr>
        <w:t>Legislation Act 2001</w:t>
      </w:r>
      <w:r w:rsidRPr="00760E8A">
        <w:rPr>
          <w:rFonts w:ascii="Calibri" w:eastAsia="Calibri" w:hAnsi="Calibri" w:cs="Calibri"/>
        </w:rPr>
        <w:t>, which provides that a fees determination must provide:</w:t>
      </w:r>
    </w:p>
    <w:p w:rsidR="00932B67" w:rsidRPr="00760E8A" w:rsidRDefault="00932B67" w:rsidP="00885BD3">
      <w:pPr>
        <w:keepLines/>
        <w:spacing w:before="200" w:after="200" w:line="260" w:lineRule="atLeast"/>
        <w:ind w:left="360"/>
        <w:rPr>
          <w:rFonts w:ascii="Calibri" w:eastAsia="Calibri" w:hAnsi="Calibri" w:cs="Calibri"/>
        </w:rPr>
      </w:pPr>
      <w:r w:rsidRPr="00760E8A">
        <w:rPr>
          <w:rFonts w:ascii="Calibri" w:eastAsia="Calibri" w:hAnsi="Calibri" w:cs="Calibri"/>
        </w:rPr>
        <w:t>•</w:t>
      </w:r>
      <w:r w:rsidRPr="00760E8A">
        <w:rPr>
          <w:rFonts w:ascii="Calibri" w:eastAsia="Calibri" w:hAnsi="Calibri" w:cs="Calibri"/>
        </w:rPr>
        <w:tab/>
        <w:t>by whom the fee is payable; and</w:t>
      </w:r>
    </w:p>
    <w:p w:rsidR="00932B67" w:rsidRPr="00760E8A" w:rsidRDefault="00932B67" w:rsidP="00885BD3">
      <w:pPr>
        <w:keepLines/>
        <w:spacing w:before="200" w:after="200" w:line="260" w:lineRule="atLeast"/>
        <w:ind w:left="360"/>
        <w:rPr>
          <w:rFonts w:ascii="Calibri" w:eastAsia="Calibri" w:hAnsi="Calibri" w:cs="Calibri"/>
        </w:rPr>
      </w:pPr>
      <w:r w:rsidRPr="00760E8A">
        <w:rPr>
          <w:rFonts w:ascii="Calibri" w:eastAsia="Calibri" w:hAnsi="Calibri" w:cs="Calibri"/>
        </w:rPr>
        <w:t>•</w:t>
      </w:r>
      <w:r w:rsidRPr="00760E8A">
        <w:rPr>
          <w:rFonts w:ascii="Calibri" w:eastAsia="Calibri" w:hAnsi="Calibri" w:cs="Calibri"/>
        </w:rPr>
        <w:tab/>
        <w:t>to whom the fee is to be paid</w:t>
      </w:r>
    </w:p>
    <w:p w:rsidR="00932B67" w:rsidRPr="00760E8A" w:rsidRDefault="00932B67" w:rsidP="00885BD3">
      <w:pPr>
        <w:keepLines/>
        <w:spacing w:line="260" w:lineRule="atLeast"/>
        <w:rPr>
          <w:rFonts w:ascii="Calibri" w:eastAsia="Calibri" w:hAnsi="Calibri" w:cs="Calibri"/>
        </w:rPr>
      </w:pPr>
      <w:r w:rsidRPr="00760E8A">
        <w:rPr>
          <w:rFonts w:ascii="Calibri" w:eastAsia="Calibri" w:hAnsi="Calibri" w:cs="Calibri"/>
        </w:rPr>
        <w:t xml:space="preserve">In recent years, the Committee has been pleased to observe that the standard of fees determinations (and their explanatory statements) is much-improved (in terms of them meeting the Committee’s long-held views about fees determinations) from, say, 10 years ago.  This improvement is, again, evident, in this batch of instruments.  However, there is still a </w:t>
      </w:r>
      <w:r>
        <w:rPr>
          <w:rFonts w:ascii="Calibri" w:eastAsia="Calibri" w:hAnsi="Calibri" w:cs="Calibri"/>
        </w:rPr>
        <w:t xml:space="preserve">(relatively minor) </w:t>
      </w:r>
      <w:r w:rsidRPr="00760E8A">
        <w:rPr>
          <w:rFonts w:ascii="Calibri" w:eastAsia="Calibri" w:hAnsi="Calibri" w:cs="Calibri"/>
        </w:rPr>
        <w:t xml:space="preserve">level of inconsistency, in the explanations provided, for the various fees increases.  In addition, there are </w:t>
      </w:r>
      <w:r>
        <w:rPr>
          <w:rFonts w:ascii="Calibri" w:eastAsia="Calibri" w:hAnsi="Calibri" w:cs="Calibri"/>
        </w:rPr>
        <w:t>some instruments that provide different increases/explanations, in the circumstances of particular Acts</w:t>
      </w:r>
      <w:r w:rsidRPr="00760E8A">
        <w:rPr>
          <w:rFonts w:ascii="Calibri" w:eastAsia="Calibri" w:hAnsi="Calibri" w:cs="Calibri"/>
        </w:rPr>
        <w:t>.  These issues are discussed below.</w:t>
      </w:r>
    </w:p>
    <w:p w:rsidR="00932B67" w:rsidRPr="00760E8A" w:rsidRDefault="00932B67" w:rsidP="000F6E03">
      <w:pPr>
        <w:pStyle w:val="Heading3"/>
      </w:pPr>
      <w:bookmarkStart w:id="531" w:name="_Toc46735472"/>
      <w:bookmarkStart w:id="532" w:name="_Hlk46337471"/>
      <w:r w:rsidRPr="00760E8A">
        <w:t>Consistency in explanations for fees increases</w:t>
      </w:r>
      <w:bookmarkEnd w:id="531"/>
      <w:r w:rsidRPr="00760E8A">
        <w:t xml:space="preserve"> </w:t>
      </w:r>
    </w:p>
    <w:bookmarkEnd w:id="532"/>
    <w:p w:rsidR="00932B67" w:rsidRPr="00760E8A" w:rsidRDefault="00932B67" w:rsidP="00885BD3">
      <w:pPr>
        <w:keepLines/>
        <w:spacing w:line="260" w:lineRule="atLeast"/>
        <w:rPr>
          <w:rFonts w:ascii="Calibri" w:eastAsia="Calibri" w:hAnsi="Calibri" w:cs="Calibri"/>
        </w:rPr>
      </w:pPr>
      <w:r w:rsidRPr="00760E8A">
        <w:rPr>
          <w:rFonts w:ascii="Calibri" w:eastAsia="Calibri" w:hAnsi="Calibri" w:cs="Calibri"/>
        </w:rPr>
        <w:t>In the explanatory statements for this year’s batch of fees determinations, the Committee has identified the following examples of what might be regarded as “standard” wording</w:t>
      </w:r>
      <w:r>
        <w:rPr>
          <w:rFonts w:ascii="Calibri" w:eastAsia="Calibri" w:hAnsi="Calibri" w:cs="Calibri"/>
        </w:rPr>
        <w:t>, appearing in multiple instruments, explaining the reasons for the relevant fees increases</w:t>
      </w:r>
      <w:r w:rsidRPr="00760E8A">
        <w:rPr>
          <w:rFonts w:ascii="Calibri" w:eastAsia="Calibri" w:hAnsi="Calibri" w:cs="Calibri"/>
        </w:rPr>
        <w:t>:</w:t>
      </w:r>
    </w:p>
    <w:p w:rsidR="00932B67" w:rsidRPr="00F71FB8" w:rsidRDefault="00932B67" w:rsidP="00F71FB8">
      <w:pPr>
        <w:pStyle w:val="ListParagraph"/>
        <w:keepLines/>
        <w:numPr>
          <w:ilvl w:val="0"/>
          <w:numId w:val="31"/>
        </w:numPr>
        <w:spacing w:line="280" w:lineRule="atLeast"/>
        <w:ind w:left="360"/>
        <w:contextualSpacing w:val="0"/>
        <w:rPr>
          <w:rFonts w:cs="Calibri"/>
          <w:b/>
        </w:rPr>
      </w:pPr>
      <w:r w:rsidRPr="00F71FB8">
        <w:rPr>
          <w:rFonts w:cs="Calibri"/>
          <w:b/>
        </w:rPr>
        <w:t>Retirement Villages (Fees) Determination 2020</w:t>
      </w:r>
      <w:r w:rsidRPr="00760E8A">
        <w:rPr>
          <w:rFonts w:cs="Calibri"/>
          <w:b/>
        </w:rPr>
        <w:t>—</w:t>
      </w:r>
      <w:r w:rsidRPr="00F71FB8">
        <w:rPr>
          <w:rFonts w:cs="Calibri"/>
          <w:b/>
        </w:rPr>
        <w:t>DI2020-140</w:t>
      </w:r>
    </w:p>
    <w:p w:rsidR="00932B67" w:rsidRPr="008A3A63" w:rsidRDefault="00932B67" w:rsidP="00885BD3">
      <w:pPr>
        <w:spacing w:after="120" w:line="260" w:lineRule="atLeast"/>
        <w:ind w:left="360"/>
        <w:rPr>
          <w:rFonts w:ascii="Calibri" w:eastAsia="Calibri" w:hAnsi="Calibri" w:cs="Calibri"/>
          <w:bCs/>
        </w:rPr>
      </w:pPr>
      <w:r w:rsidRPr="008A3A63">
        <w:rPr>
          <w:rFonts w:ascii="Calibri" w:eastAsia="Calibri" w:hAnsi="Calibri" w:cs="Calibri"/>
          <w:bCs/>
        </w:rPr>
        <w:t>Fees in the 2020-21 financial year have been increased from fees in the previous financial year by a Wage Price Index (WPI) forecast of 2.0%. Calculations are rounded down to the nearest dollar, with the exception of fees that have remained static for over three years, in which case calculations are rounded up to the nearest dollar. This gives effect to the Government’s policy decision to limit growth in government fees and charges for households to no more than the ACT’s forecast Wage Price Index for 2020-21. This approach also aligns with the 2018 Treasury Fees and Charges Policy and Guidelines.</w:t>
      </w:r>
    </w:p>
    <w:p w:rsidR="00932B67" w:rsidRPr="00760E8A" w:rsidRDefault="00932B67" w:rsidP="00F71FB8">
      <w:pPr>
        <w:pStyle w:val="ListParagraph"/>
        <w:keepLines/>
        <w:numPr>
          <w:ilvl w:val="0"/>
          <w:numId w:val="31"/>
        </w:numPr>
        <w:spacing w:line="280" w:lineRule="atLeast"/>
        <w:ind w:left="360"/>
        <w:contextualSpacing w:val="0"/>
        <w:rPr>
          <w:rFonts w:cs="Calibri"/>
        </w:rPr>
      </w:pPr>
      <w:r w:rsidRPr="0000656B">
        <w:rPr>
          <w:rFonts w:cs="Calibri"/>
          <w:b/>
        </w:rPr>
        <w:t>Agents (Fees) Determination 2020</w:t>
      </w:r>
      <w:r w:rsidRPr="00760E8A">
        <w:rPr>
          <w:rFonts w:cs="Calibri"/>
          <w:b/>
        </w:rPr>
        <w:t>—</w:t>
      </w:r>
      <w:r>
        <w:rPr>
          <w:rFonts w:cs="Calibri"/>
          <w:b/>
        </w:rPr>
        <w:t>D</w:t>
      </w:r>
      <w:r w:rsidRPr="00760E8A">
        <w:rPr>
          <w:rFonts w:cs="Calibri"/>
          <w:b/>
        </w:rPr>
        <w:t>I20</w:t>
      </w:r>
      <w:r>
        <w:rPr>
          <w:rFonts w:cs="Calibri"/>
          <w:b/>
        </w:rPr>
        <w:t>20</w:t>
      </w:r>
      <w:r w:rsidRPr="00760E8A">
        <w:rPr>
          <w:rFonts w:cs="Calibri"/>
          <w:b/>
        </w:rPr>
        <w:t>-</w:t>
      </w:r>
      <w:r>
        <w:rPr>
          <w:rFonts w:cs="Calibri"/>
          <w:b/>
        </w:rPr>
        <w:t>143</w:t>
      </w:r>
    </w:p>
    <w:p w:rsidR="00932B67" w:rsidRPr="001462CB" w:rsidRDefault="00932B67" w:rsidP="00F71FB8">
      <w:pPr>
        <w:pStyle w:val="Header"/>
        <w:spacing w:after="220" w:line="260" w:lineRule="atLeast"/>
        <w:ind w:left="360"/>
      </w:pPr>
      <w:r w:rsidRPr="00B76C99">
        <w:rPr>
          <w:rFonts w:ascii="Calibri" w:hAnsi="Calibri" w:cs="Calibri"/>
        </w:rPr>
        <w:t>Fees for the 2020-21 financial year have been increased from fees in the previous financial year by a Wage Price Index (WPI) forecast of 2.0%. Calculations are rounded down to the nearest dollar, with the exception of fees that have remained static for over three years, in which case calculations are rounded up to the nearest dollar. This gives effect to the Government’s policy decision to limit growth in government fees and charges for households to no more than the ACT’s forecast Wage Price Index for 2020-21</w:t>
      </w:r>
      <w:r>
        <w:t>.</w:t>
      </w:r>
    </w:p>
    <w:p w:rsidR="00932B67" w:rsidRPr="00F71FB8" w:rsidRDefault="00932B67" w:rsidP="00F71FB8">
      <w:pPr>
        <w:pStyle w:val="ListParagraph"/>
        <w:keepLines/>
        <w:numPr>
          <w:ilvl w:val="0"/>
          <w:numId w:val="31"/>
        </w:numPr>
        <w:spacing w:line="260" w:lineRule="atLeast"/>
        <w:ind w:left="360"/>
        <w:contextualSpacing w:val="0"/>
        <w:rPr>
          <w:rFonts w:cs="Calibri"/>
          <w:b/>
        </w:rPr>
      </w:pPr>
      <w:r w:rsidRPr="0000656B">
        <w:rPr>
          <w:rFonts w:cs="Calibri"/>
          <w:b/>
        </w:rPr>
        <w:t>Animal Welfare (Fees) Determination 2020 (No 1)</w:t>
      </w:r>
      <w:bookmarkStart w:id="533" w:name="_Hlk46331892"/>
      <w:r w:rsidRPr="00760E8A">
        <w:rPr>
          <w:rFonts w:cs="Calibri"/>
          <w:b/>
        </w:rPr>
        <w:t>—</w:t>
      </w:r>
      <w:bookmarkEnd w:id="533"/>
      <w:r w:rsidRPr="00760E8A">
        <w:rPr>
          <w:rFonts w:cs="Calibri"/>
          <w:b/>
        </w:rPr>
        <w:t>DI20</w:t>
      </w:r>
      <w:r>
        <w:rPr>
          <w:rFonts w:cs="Calibri"/>
          <w:b/>
        </w:rPr>
        <w:t>20</w:t>
      </w:r>
      <w:r w:rsidRPr="00760E8A">
        <w:rPr>
          <w:rFonts w:cs="Calibri"/>
          <w:b/>
        </w:rPr>
        <w:t>-1</w:t>
      </w:r>
      <w:r>
        <w:rPr>
          <w:rFonts w:cs="Calibri"/>
          <w:b/>
        </w:rPr>
        <w:t>5</w:t>
      </w:r>
      <w:r w:rsidRPr="00760E8A">
        <w:rPr>
          <w:rFonts w:cs="Calibri"/>
          <w:b/>
        </w:rPr>
        <w:t>9</w:t>
      </w:r>
    </w:p>
    <w:p w:rsidR="00932B67" w:rsidRDefault="00932B67" w:rsidP="00F71FB8">
      <w:pPr>
        <w:pStyle w:val="ListParagraph"/>
        <w:keepLines/>
        <w:spacing w:line="260" w:lineRule="atLeast"/>
        <w:ind w:left="360"/>
        <w:contextualSpacing w:val="0"/>
        <w:rPr>
          <w:rFonts w:cs="Calibri"/>
          <w:lang w:eastAsia="en-AU"/>
        </w:rPr>
      </w:pPr>
      <w:r w:rsidRPr="0000656B">
        <w:rPr>
          <w:rFonts w:cs="Calibri"/>
          <w:lang w:eastAsia="en-AU"/>
        </w:rPr>
        <w:t xml:space="preserve">This determination increases fees contained in DI2019-110 by forecast Wage Price index (WPI) 2% as per Budget Memo 2020/07, rounded for cash handling and other purposes. </w:t>
      </w:r>
    </w:p>
    <w:p w:rsidR="00932B67" w:rsidRDefault="00932B67" w:rsidP="00F71FB8">
      <w:pPr>
        <w:pStyle w:val="ListParagraph"/>
        <w:keepLines/>
        <w:numPr>
          <w:ilvl w:val="0"/>
          <w:numId w:val="31"/>
        </w:numPr>
        <w:spacing w:line="260" w:lineRule="atLeast"/>
        <w:ind w:left="360"/>
        <w:contextualSpacing w:val="0"/>
        <w:rPr>
          <w:rFonts w:cs="Calibri"/>
          <w:b/>
        </w:rPr>
      </w:pPr>
      <w:r w:rsidRPr="00840CD0">
        <w:rPr>
          <w:rFonts w:cs="Calibri"/>
          <w:b/>
        </w:rPr>
        <w:lastRenderedPageBreak/>
        <w:t>Clinical Waste (Fees) Determination 2020</w:t>
      </w:r>
      <w:r w:rsidRPr="00760E8A">
        <w:rPr>
          <w:rFonts w:cs="Calibri"/>
          <w:b/>
        </w:rPr>
        <w:t>—</w:t>
      </w:r>
      <w:r w:rsidRPr="00840CD0">
        <w:rPr>
          <w:rFonts w:cs="Calibri"/>
          <w:b/>
        </w:rPr>
        <w:t>DI2020-180</w:t>
      </w:r>
    </w:p>
    <w:p w:rsidR="00932B67" w:rsidRPr="00840CD0" w:rsidRDefault="00932B67" w:rsidP="00F71FB8">
      <w:pPr>
        <w:pStyle w:val="ListParagraph"/>
        <w:keepLines/>
        <w:spacing w:line="260" w:lineRule="atLeast"/>
        <w:ind w:left="360"/>
        <w:contextualSpacing w:val="0"/>
        <w:rPr>
          <w:rFonts w:cs="Calibri"/>
          <w:bCs/>
        </w:rPr>
      </w:pPr>
      <w:r w:rsidRPr="00840CD0">
        <w:rPr>
          <w:rFonts w:cs="Calibri"/>
          <w:bCs/>
        </w:rPr>
        <w:t>The regulatory fees in the determination have been increased by 2% for the 2020-21 financial year based on the wage price index as per government’s advice, appropriate rounding has been made in relation to increases.</w:t>
      </w:r>
    </w:p>
    <w:p w:rsidR="00932B67" w:rsidRPr="00760E8A" w:rsidRDefault="00932B67" w:rsidP="00F71FB8">
      <w:pPr>
        <w:pStyle w:val="ListParagraph"/>
        <w:keepLines/>
        <w:numPr>
          <w:ilvl w:val="0"/>
          <w:numId w:val="31"/>
        </w:numPr>
        <w:spacing w:line="260" w:lineRule="atLeast"/>
        <w:ind w:left="360"/>
        <w:contextualSpacing w:val="0"/>
        <w:rPr>
          <w:rFonts w:cs="Calibri"/>
          <w:b/>
        </w:rPr>
      </w:pPr>
      <w:r w:rsidRPr="00840CD0">
        <w:rPr>
          <w:rFonts w:cs="Calibri"/>
          <w:b/>
        </w:rPr>
        <w:t>Architects (Fees) Determination 2020</w:t>
      </w:r>
      <w:r w:rsidRPr="00760E8A">
        <w:rPr>
          <w:rFonts w:cs="Calibri"/>
          <w:b/>
        </w:rPr>
        <w:t>—DI20</w:t>
      </w:r>
      <w:r>
        <w:rPr>
          <w:rFonts w:cs="Calibri"/>
          <w:b/>
        </w:rPr>
        <w:t>20</w:t>
      </w:r>
      <w:r w:rsidRPr="00760E8A">
        <w:rPr>
          <w:rFonts w:cs="Calibri"/>
          <w:b/>
        </w:rPr>
        <w:t>-1</w:t>
      </w:r>
      <w:r>
        <w:rPr>
          <w:rFonts w:cs="Calibri"/>
          <w:b/>
        </w:rPr>
        <w:t>81</w:t>
      </w:r>
    </w:p>
    <w:p w:rsidR="00932B67" w:rsidRDefault="00932B67" w:rsidP="00F71FB8">
      <w:pPr>
        <w:keepLines/>
        <w:spacing w:line="260" w:lineRule="atLeast"/>
        <w:ind w:left="360"/>
        <w:rPr>
          <w:rFonts w:ascii="Calibri" w:eastAsia="Calibri" w:hAnsi="Calibri" w:cs="Calibri"/>
        </w:rPr>
      </w:pPr>
      <w:r w:rsidRPr="00840CD0">
        <w:rPr>
          <w:rFonts w:ascii="Calibri" w:eastAsia="Calibri" w:hAnsi="Calibri" w:cs="Calibri"/>
        </w:rPr>
        <w:t>The regulatory fees in the determination have been increased by 2% for the 2020-21 financial year, based on the wage price index as per government’s advice, Administration fees relating to refunds are increased by 2% (the Wage Price Index), as per the government’s Fees and Charges Policy and Guidelines. Appropriate rounding has been made in relation to increases.</w:t>
      </w:r>
    </w:p>
    <w:p w:rsidR="00932B67" w:rsidRPr="00760E8A" w:rsidRDefault="00932B67" w:rsidP="00932B67">
      <w:pPr>
        <w:keepLines/>
        <w:spacing w:line="280" w:lineRule="atLeast"/>
        <w:rPr>
          <w:rFonts w:ascii="Calibri" w:eastAsia="Calibri" w:hAnsi="Calibri" w:cs="Calibri"/>
        </w:rPr>
      </w:pPr>
      <w:r w:rsidRPr="00760E8A">
        <w:rPr>
          <w:rFonts w:ascii="Calibri" w:eastAsia="Calibri" w:hAnsi="Calibri" w:cs="Calibri"/>
        </w:rPr>
        <w:t>The Committee understands that “</w:t>
      </w:r>
      <w:r w:rsidRPr="00906E13">
        <w:rPr>
          <w:rFonts w:ascii="Calibri" w:eastAsia="Calibri" w:hAnsi="Calibri" w:cs="Calibri"/>
        </w:rPr>
        <w:t>Budget Memo 2020/07</w:t>
      </w:r>
      <w:r w:rsidRPr="00760E8A">
        <w:rPr>
          <w:rFonts w:ascii="Calibri" w:eastAsia="Calibri" w:hAnsi="Calibri" w:cs="Calibri"/>
        </w:rPr>
        <w:t xml:space="preserve">”, “the </w:t>
      </w:r>
      <w:r>
        <w:rPr>
          <w:rFonts w:ascii="Calibri" w:eastAsia="Calibri" w:hAnsi="Calibri" w:cs="Calibri"/>
        </w:rPr>
        <w:t>g</w:t>
      </w:r>
      <w:r w:rsidRPr="00760E8A">
        <w:rPr>
          <w:rFonts w:ascii="Calibri" w:eastAsia="Calibri" w:hAnsi="Calibri" w:cs="Calibri"/>
        </w:rPr>
        <w:t xml:space="preserve">overnment’s Fees and Charges Policy and Guidelines” and “the 2018 Treasury Fees and Charges Policy and Guidelines” are all documents that are “internal” Government documents and are not publicly available.  </w:t>
      </w:r>
      <w:r>
        <w:rPr>
          <w:rFonts w:ascii="Calibri" w:eastAsia="Calibri" w:hAnsi="Calibri" w:cs="Calibri"/>
        </w:rPr>
        <w:t xml:space="preserve">As the Committee also observed in </w:t>
      </w:r>
      <w:r>
        <w:rPr>
          <w:rFonts w:ascii="Calibri" w:eastAsia="Calibri" w:hAnsi="Calibri" w:cs="Calibri"/>
          <w:i/>
          <w:iCs/>
        </w:rPr>
        <w:t xml:space="preserve">Scrutiny Report 33 </w:t>
      </w:r>
      <w:r>
        <w:rPr>
          <w:rFonts w:ascii="Calibri" w:eastAsia="Calibri" w:hAnsi="Calibri" w:cs="Calibri"/>
        </w:rPr>
        <w:t>of the 9</w:t>
      </w:r>
      <w:r w:rsidRPr="005944D0">
        <w:rPr>
          <w:rFonts w:ascii="Calibri" w:eastAsia="Calibri" w:hAnsi="Calibri" w:cs="Calibri"/>
          <w:vertAlign w:val="superscript"/>
        </w:rPr>
        <w:t>th</w:t>
      </w:r>
      <w:r>
        <w:rPr>
          <w:rFonts w:ascii="Calibri" w:eastAsia="Calibri" w:hAnsi="Calibri" w:cs="Calibri"/>
        </w:rPr>
        <w:t xml:space="preserve"> Assembly (6 August 2019), in relation to last year’s batch of fees instruments, w</w:t>
      </w:r>
      <w:r w:rsidRPr="00760E8A">
        <w:rPr>
          <w:rFonts w:ascii="Calibri" w:eastAsia="Calibri" w:hAnsi="Calibri" w:cs="Calibri"/>
        </w:rPr>
        <w:t xml:space="preserve">hile a greater consistency in wording, ie in referring to these sources of authority, would be preferable, the </w:t>
      </w:r>
      <w:r>
        <w:rPr>
          <w:rFonts w:ascii="Calibri" w:eastAsia="Calibri" w:hAnsi="Calibri" w:cs="Calibri"/>
        </w:rPr>
        <w:t xml:space="preserve">Committee notes that the </w:t>
      </w:r>
      <w:r w:rsidRPr="00760E8A">
        <w:rPr>
          <w:rFonts w:ascii="Calibri" w:eastAsia="Calibri" w:hAnsi="Calibri" w:cs="Calibri"/>
        </w:rPr>
        <w:t xml:space="preserve">gist of the explanations, </w:t>
      </w:r>
      <w:r>
        <w:rPr>
          <w:rFonts w:ascii="Calibri" w:eastAsia="Calibri" w:hAnsi="Calibri" w:cs="Calibri"/>
        </w:rPr>
        <w:t xml:space="preserve">quoted </w:t>
      </w:r>
      <w:r w:rsidRPr="00760E8A">
        <w:rPr>
          <w:rFonts w:ascii="Calibri" w:eastAsia="Calibri" w:hAnsi="Calibri" w:cs="Calibri"/>
        </w:rPr>
        <w:t>above, is that the relevant fees have been increased (as in previous years) on the basis of a Budget</w:t>
      </w:r>
      <w:r>
        <w:rPr>
          <w:rFonts w:ascii="Calibri" w:eastAsia="Calibri" w:hAnsi="Calibri" w:cs="Calibri"/>
        </w:rPr>
        <w:t>-related</w:t>
      </w:r>
      <w:r w:rsidRPr="00760E8A">
        <w:rPr>
          <w:rFonts w:ascii="Calibri" w:eastAsia="Calibri" w:hAnsi="Calibri" w:cs="Calibri"/>
        </w:rPr>
        <w:t xml:space="preserve"> decision, referencing changes to the Wage Price Index.  The Committee considers these explanations to be acceptable.</w:t>
      </w:r>
    </w:p>
    <w:p w:rsidR="00932B67" w:rsidRDefault="00932B67" w:rsidP="00932B67">
      <w:pPr>
        <w:keepLines/>
        <w:spacing w:line="280" w:lineRule="atLeast"/>
        <w:rPr>
          <w:rFonts w:ascii="Calibri" w:eastAsia="Calibri" w:hAnsi="Calibri" w:cs="Calibri"/>
        </w:rPr>
      </w:pPr>
      <w:r>
        <w:rPr>
          <w:rFonts w:ascii="Calibri" w:eastAsia="Calibri" w:hAnsi="Calibri" w:cs="Calibri"/>
        </w:rPr>
        <w:t>The Committee also notes that another “standard</w:t>
      </w:r>
      <w:r w:rsidRPr="00760E8A">
        <w:rPr>
          <w:rFonts w:ascii="Calibri" w:eastAsia="Calibri" w:hAnsi="Calibri" w:cs="Calibri"/>
        </w:rPr>
        <w:t>” explanation</w:t>
      </w:r>
      <w:r>
        <w:rPr>
          <w:rFonts w:ascii="Calibri" w:eastAsia="Calibri" w:hAnsi="Calibri" w:cs="Calibri"/>
        </w:rPr>
        <w:t xml:space="preserve">, appearing in a small number of instruments, actually indicates that certain fees are </w:t>
      </w:r>
      <w:r w:rsidRPr="0027440E">
        <w:rPr>
          <w:rFonts w:ascii="Calibri" w:eastAsia="Calibri" w:hAnsi="Calibri" w:cs="Calibri"/>
          <w:u w:val="single"/>
        </w:rPr>
        <w:t>not</w:t>
      </w:r>
      <w:r>
        <w:rPr>
          <w:rFonts w:ascii="Calibri" w:eastAsia="Calibri" w:hAnsi="Calibri" w:cs="Calibri"/>
        </w:rPr>
        <w:t xml:space="preserve"> being increased:</w:t>
      </w:r>
    </w:p>
    <w:p w:rsidR="00932B67" w:rsidRPr="00D568D7" w:rsidRDefault="00932B67" w:rsidP="007731C0">
      <w:pPr>
        <w:pStyle w:val="ListParagraph"/>
        <w:keepLines/>
        <w:numPr>
          <w:ilvl w:val="0"/>
          <w:numId w:val="31"/>
        </w:numPr>
        <w:spacing w:line="260" w:lineRule="atLeast"/>
        <w:ind w:left="360"/>
        <w:contextualSpacing w:val="0"/>
        <w:rPr>
          <w:rFonts w:cs="Calibri"/>
          <w:b/>
        </w:rPr>
      </w:pPr>
      <w:r w:rsidRPr="00D568D7">
        <w:rPr>
          <w:rFonts w:cs="Calibri"/>
          <w:b/>
        </w:rPr>
        <w:t>Domestic Animals (Fees) Determination 2020 (No 1)—DI2020-160</w:t>
      </w:r>
    </w:p>
    <w:p w:rsidR="00932B67" w:rsidRPr="00D568D7" w:rsidRDefault="00932B67" w:rsidP="007731C0">
      <w:pPr>
        <w:keepLines/>
        <w:spacing w:line="280" w:lineRule="atLeast"/>
        <w:ind w:left="360"/>
        <w:rPr>
          <w:rFonts w:ascii="Calibri" w:eastAsia="Calibri" w:hAnsi="Calibri" w:cs="Calibri"/>
        </w:rPr>
      </w:pPr>
      <w:r w:rsidRPr="00D568D7">
        <w:rPr>
          <w:rFonts w:ascii="Calibri" w:eastAsia="Calibri" w:hAnsi="Calibri" w:cs="Calibri"/>
        </w:rPr>
        <w:t>This determination maintains 2019-20 fees as per Budget Memo 2020/07.</w:t>
      </w:r>
      <w:r>
        <w:rPr>
          <w:rStyle w:val="FootnoteReference"/>
          <w:rFonts w:ascii="Calibri" w:eastAsia="Calibri" w:hAnsi="Calibri"/>
        </w:rPr>
        <w:footnoteReference w:id="4"/>
      </w:r>
    </w:p>
    <w:p w:rsidR="00932B67" w:rsidRPr="00F71FB8" w:rsidRDefault="00932B67" w:rsidP="000F6E03">
      <w:pPr>
        <w:pStyle w:val="Heading3"/>
      </w:pPr>
      <w:bookmarkStart w:id="534" w:name="_Toc46735473"/>
      <w:r w:rsidRPr="00F71FB8">
        <w:t>Act-specific explanations for fees increases</w:t>
      </w:r>
      <w:bookmarkEnd w:id="534"/>
      <w:r w:rsidRPr="00F71FB8">
        <w:t xml:space="preserve"> </w:t>
      </w:r>
    </w:p>
    <w:p w:rsidR="00932B67" w:rsidRPr="00760E8A" w:rsidRDefault="00932B67" w:rsidP="00F71FB8">
      <w:pPr>
        <w:spacing w:line="280" w:lineRule="atLeast"/>
        <w:rPr>
          <w:rFonts w:ascii="Calibri" w:eastAsia="Calibri" w:hAnsi="Calibri" w:cs="Calibri"/>
        </w:rPr>
      </w:pPr>
      <w:r>
        <w:rPr>
          <w:rFonts w:ascii="Calibri" w:eastAsia="Calibri" w:hAnsi="Calibri" w:cs="Calibri"/>
        </w:rPr>
        <w:t>In addition to the explanations discussed above</w:t>
      </w:r>
      <w:r w:rsidRPr="00760E8A">
        <w:rPr>
          <w:rFonts w:ascii="Calibri" w:eastAsia="Calibri" w:hAnsi="Calibri" w:cs="Calibri"/>
        </w:rPr>
        <w:t xml:space="preserve">, </w:t>
      </w:r>
      <w:r>
        <w:rPr>
          <w:rFonts w:ascii="Calibri" w:eastAsia="Calibri" w:hAnsi="Calibri" w:cs="Calibri"/>
        </w:rPr>
        <w:t xml:space="preserve">the Committee notes that </w:t>
      </w:r>
      <w:r w:rsidRPr="00760E8A">
        <w:rPr>
          <w:rFonts w:ascii="Calibri" w:eastAsia="Calibri" w:hAnsi="Calibri" w:cs="Calibri"/>
        </w:rPr>
        <w:t>what appear to be subject-matter-specific justifications for fees increases appear, for example, in the following fees determinations:</w:t>
      </w:r>
    </w:p>
    <w:p w:rsidR="00932B67" w:rsidRPr="00F71FB8" w:rsidRDefault="00932B67" w:rsidP="00932B67">
      <w:pPr>
        <w:pStyle w:val="ListParagraph"/>
        <w:keepLines/>
        <w:numPr>
          <w:ilvl w:val="0"/>
          <w:numId w:val="31"/>
        </w:numPr>
        <w:spacing w:line="280" w:lineRule="atLeast"/>
        <w:ind w:left="360"/>
        <w:contextualSpacing w:val="0"/>
        <w:rPr>
          <w:rFonts w:cs="Calibri"/>
          <w:b/>
        </w:rPr>
      </w:pPr>
      <w:bookmarkStart w:id="535" w:name="_Hlk46331354"/>
      <w:r w:rsidRPr="00F71FB8">
        <w:rPr>
          <w:rFonts w:cs="Calibri"/>
          <w:b/>
        </w:rPr>
        <w:t>Classification (Publications, Films and Computer Games) (Enforcement) (Fees) Determination 2020—</w:t>
      </w:r>
      <w:bookmarkEnd w:id="535"/>
      <w:r w:rsidRPr="00F71FB8">
        <w:rPr>
          <w:rFonts w:cs="Calibri"/>
          <w:b/>
        </w:rPr>
        <w:t>DI2020-142</w:t>
      </w:r>
    </w:p>
    <w:p w:rsidR="00932B67" w:rsidRPr="00906E13" w:rsidRDefault="00932B67" w:rsidP="00D568D7">
      <w:pPr>
        <w:pStyle w:val="ListParagraph"/>
        <w:keepLines/>
        <w:spacing w:line="280" w:lineRule="atLeast"/>
        <w:ind w:left="360"/>
        <w:contextualSpacing w:val="0"/>
        <w:rPr>
          <w:rFonts w:cs="Calibri"/>
          <w:lang w:eastAsia="en-AU"/>
        </w:rPr>
      </w:pPr>
      <w:r w:rsidRPr="00906E13">
        <w:rPr>
          <w:rFonts w:cs="Calibri"/>
          <w:lang w:eastAsia="en-AU"/>
        </w:rPr>
        <w:t xml:space="preserve">The fee structure has changed to reduce the annual fee for each license category and the monthly license fees have been reduced in line with this change. </w:t>
      </w:r>
    </w:p>
    <w:p w:rsidR="00932B67" w:rsidRPr="00906E13" w:rsidRDefault="00932B67" w:rsidP="00D568D7">
      <w:pPr>
        <w:pStyle w:val="ListParagraph"/>
        <w:keepLines/>
        <w:spacing w:line="280" w:lineRule="atLeast"/>
        <w:ind w:left="360"/>
        <w:contextualSpacing w:val="0"/>
        <w:rPr>
          <w:rFonts w:cs="Calibri"/>
          <w:lang w:eastAsia="en-AU"/>
        </w:rPr>
      </w:pPr>
      <w:r w:rsidRPr="00906E13">
        <w:rPr>
          <w:rFonts w:cs="Calibri"/>
          <w:lang w:eastAsia="en-AU"/>
        </w:rPr>
        <w:t>Fees in the 2020-21 Financial Year have been reduced to:</w:t>
      </w:r>
    </w:p>
    <w:p w:rsidR="00932B67" w:rsidRPr="00906E13" w:rsidRDefault="00932B67" w:rsidP="00D568D7">
      <w:pPr>
        <w:pStyle w:val="ListParagraph"/>
        <w:keepLines/>
        <w:numPr>
          <w:ilvl w:val="6"/>
          <w:numId w:val="36"/>
        </w:numPr>
        <w:spacing w:line="280" w:lineRule="atLeast"/>
        <w:ind w:left="720"/>
        <w:contextualSpacing w:val="0"/>
        <w:rPr>
          <w:rFonts w:cs="Calibri"/>
          <w:lang w:eastAsia="en-AU"/>
        </w:rPr>
      </w:pPr>
      <w:r w:rsidRPr="00906E13">
        <w:rPr>
          <w:rFonts w:cs="Calibri"/>
          <w:lang w:eastAsia="en-AU"/>
        </w:rPr>
        <w:t>ensure that a regulatory framework continues to exist to ensure safe distribution of X 18+ films to adult consumers and to filter content that is harmful and offensive;</w:t>
      </w:r>
    </w:p>
    <w:p w:rsidR="00932B67" w:rsidRPr="00906E13" w:rsidRDefault="00932B67" w:rsidP="00DF4EFB">
      <w:pPr>
        <w:pStyle w:val="ListParagraph"/>
        <w:keepNext/>
        <w:keepLines/>
        <w:numPr>
          <w:ilvl w:val="6"/>
          <w:numId w:val="36"/>
        </w:numPr>
        <w:spacing w:line="280" w:lineRule="atLeast"/>
        <w:ind w:left="720"/>
        <w:contextualSpacing w:val="0"/>
        <w:rPr>
          <w:rFonts w:cs="Calibri"/>
          <w:lang w:eastAsia="en-AU"/>
        </w:rPr>
      </w:pPr>
      <w:r w:rsidRPr="00906E13">
        <w:rPr>
          <w:rFonts w:cs="Calibri"/>
          <w:lang w:eastAsia="en-AU"/>
        </w:rPr>
        <w:lastRenderedPageBreak/>
        <w:t xml:space="preserve">assist to minimise the risk of an underground DVD and video pornographic market, which distributes unclassified films that potentially contain very high impact content; </w:t>
      </w:r>
    </w:p>
    <w:p w:rsidR="00932B67" w:rsidRPr="00906E13" w:rsidRDefault="00932B67" w:rsidP="00D568D7">
      <w:pPr>
        <w:pStyle w:val="ListParagraph"/>
        <w:keepLines/>
        <w:numPr>
          <w:ilvl w:val="6"/>
          <w:numId w:val="36"/>
        </w:numPr>
        <w:spacing w:line="280" w:lineRule="atLeast"/>
        <w:ind w:left="720"/>
        <w:contextualSpacing w:val="0"/>
        <w:rPr>
          <w:rFonts w:cs="Calibri"/>
          <w:lang w:eastAsia="en-AU"/>
        </w:rPr>
      </w:pPr>
      <w:r w:rsidRPr="00906E13">
        <w:rPr>
          <w:rFonts w:cs="Calibri"/>
          <w:lang w:eastAsia="en-AU"/>
        </w:rPr>
        <w:t>ensure the ACT Government continues to accrue some revenue from the X 18+ film industry despite industry decline; and</w:t>
      </w:r>
    </w:p>
    <w:p w:rsidR="00932B67" w:rsidRPr="00906E13" w:rsidRDefault="00932B67" w:rsidP="00D568D7">
      <w:pPr>
        <w:pStyle w:val="ListParagraph"/>
        <w:keepLines/>
        <w:numPr>
          <w:ilvl w:val="6"/>
          <w:numId w:val="36"/>
        </w:numPr>
        <w:spacing w:line="280" w:lineRule="atLeast"/>
        <w:ind w:left="720"/>
        <w:contextualSpacing w:val="0"/>
        <w:rPr>
          <w:rFonts w:cs="Calibri"/>
          <w:lang w:eastAsia="en-AU"/>
        </w:rPr>
      </w:pPr>
      <w:r w:rsidRPr="00906E13">
        <w:rPr>
          <w:rFonts w:cs="Calibri"/>
          <w:lang w:eastAsia="en-AU"/>
        </w:rPr>
        <w:t>support growth in the industry and potentially encourage new licensees.</w:t>
      </w:r>
    </w:p>
    <w:p w:rsidR="00932B67" w:rsidRPr="00906E13" w:rsidRDefault="00932B67" w:rsidP="00D568D7">
      <w:pPr>
        <w:pStyle w:val="ListParagraph"/>
        <w:keepLines/>
        <w:spacing w:line="280" w:lineRule="atLeast"/>
        <w:ind w:left="360"/>
        <w:contextualSpacing w:val="0"/>
        <w:rPr>
          <w:rFonts w:cs="Calibri"/>
          <w:lang w:eastAsia="en-AU"/>
        </w:rPr>
      </w:pPr>
      <w:r w:rsidRPr="00906E13">
        <w:rPr>
          <w:rFonts w:cs="Calibri"/>
          <w:lang w:eastAsia="en-AU"/>
        </w:rPr>
        <w:t xml:space="preserve">The licence fees allow for the recovery of costs associated with the licensing and regulation of the industry and also for some additional revenue to be collected. </w:t>
      </w:r>
    </w:p>
    <w:p w:rsidR="00932B67" w:rsidRPr="00906E13" w:rsidRDefault="00932B67" w:rsidP="00D568D7">
      <w:pPr>
        <w:pStyle w:val="ListParagraph"/>
        <w:keepLines/>
        <w:spacing w:line="280" w:lineRule="atLeast"/>
        <w:ind w:left="360"/>
        <w:contextualSpacing w:val="0"/>
        <w:rPr>
          <w:rFonts w:cs="Calibri"/>
          <w:b/>
        </w:rPr>
      </w:pPr>
      <w:r w:rsidRPr="00906E13">
        <w:rPr>
          <w:rFonts w:cs="Calibri"/>
          <w:lang w:eastAsia="en-AU"/>
        </w:rPr>
        <w:t xml:space="preserve">The reduced licence fees allow some financial relief to current licensees thereby supporting the operation and sustainability of their businesses, while also making it viable for new business owners to enter the market, in line with the ACT Government priority of economic development and diversification. </w:t>
      </w:r>
    </w:p>
    <w:p w:rsidR="00932B67" w:rsidRPr="00F71FB8" w:rsidRDefault="00932B67" w:rsidP="00932B67">
      <w:pPr>
        <w:pStyle w:val="ListParagraph"/>
        <w:keepLines/>
        <w:numPr>
          <w:ilvl w:val="0"/>
          <w:numId w:val="31"/>
        </w:numPr>
        <w:spacing w:line="280" w:lineRule="atLeast"/>
        <w:ind w:left="360"/>
        <w:contextualSpacing w:val="0"/>
        <w:rPr>
          <w:rFonts w:cs="Calibri"/>
          <w:b/>
        </w:rPr>
      </w:pPr>
      <w:r>
        <w:rPr>
          <w:rFonts w:cs="Calibri"/>
          <w:b/>
        </w:rPr>
        <w:t xml:space="preserve">Electoral (Fees) </w:t>
      </w:r>
      <w:r w:rsidRPr="00760E8A">
        <w:rPr>
          <w:rFonts w:cs="Calibri"/>
          <w:b/>
        </w:rPr>
        <w:t>Determination 20</w:t>
      </w:r>
      <w:r>
        <w:rPr>
          <w:rFonts w:cs="Calibri"/>
          <w:b/>
        </w:rPr>
        <w:t>20</w:t>
      </w:r>
      <w:r w:rsidRPr="00760E8A">
        <w:rPr>
          <w:rFonts w:cs="Calibri"/>
          <w:b/>
        </w:rPr>
        <w:t>—DI20</w:t>
      </w:r>
      <w:r>
        <w:rPr>
          <w:rFonts w:cs="Calibri"/>
          <w:b/>
        </w:rPr>
        <w:t>20</w:t>
      </w:r>
      <w:r w:rsidRPr="00760E8A">
        <w:rPr>
          <w:rFonts w:cs="Calibri"/>
          <w:b/>
        </w:rPr>
        <w:t>-1</w:t>
      </w:r>
      <w:r>
        <w:rPr>
          <w:rFonts w:cs="Calibri"/>
          <w:b/>
        </w:rPr>
        <w:t>4</w:t>
      </w:r>
      <w:r w:rsidRPr="00760E8A">
        <w:rPr>
          <w:rFonts w:cs="Calibri"/>
          <w:b/>
        </w:rPr>
        <w:t>8</w:t>
      </w:r>
    </w:p>
    <w:p w:rsidR="00932B67" w:rsidRPr="00B76C99" w:rsidRDefault="00932B67" w:rsidP="00932B67">
      <w:pPr>
        <w:spacing w:line="280" w:lineRule="atLeast"/>
        <w:ind w:left="360"/>
        <w:rPr>
          <w:rFonts w:ascii="Calibri" w:hAnsi="Calibri" w:cs="Calibri"/>
          <w:iCs/>
        </w:rPr>
      </w:pPr>
      <w:r w:rsidRPr="00B76C99">
        <w:rPr>
          <w:rFonts w:ascii="Calibri" w:hAnsi="Calibri" w:cs="Calibri"/>
          <w:iCs/>
        </w:rPr>
        <w:t>These fees are revoked and remade at the beginning of ev</w:t>
      </w:r>
      <w:r w:rsidR="008558D6">
        <w:rPr>
          <w:rFonts w:ascii="Calibri" w:hAnsi="Calibri" w:cs="Calibri"/>
          <w:iCs/>
        </w:rPr>
        <w:t>ery financial year.</w:t>
      </w:r>
    </w:p>
    <w:p w:rsidR="00932B67" w:rsidRPr="00B76C99" w:rsidRDefault="00932B67" w:rsidP="00932B67">
      <w:pPr>
        <w:spacing w:line="280" w:lineRule="atLeast"/>
        <w:ind w:left="360"/>
        <w:rPr>
          <w:rFonts w:ascii="Calibri" w:hAnsi="Calibri" w:cs="Calibri"/>
          <w:iCs/>
        </w:rPr>
      </w:pPr>
      <w:r w:rsidRPr="00B76C99">
        <w:rPr>
          <w:rFonts w:ascii="Calibri" w:hAnsi="Calibri" w:cs="Calibri"/>
          <w:iCs/>
        </w:rPr>
        <w:t>Revenue received by the Electoral Commission is a function of client demand for services and fluctuates from year to year.</w:t>
      </w:r>
    </w:p>
    <w:p w:rsidR="00932B67" w:rsidRPr="00B76C99" w:rsidRDefault="00932B67" w:rsidP="00932B67">
      <w:pPr>
        <w:spacing w:line="280" w:lineRule="atLeast"/>
        <w:ind w:left="360"/>
        <w:rPr>
          <w:rFonts w:ascii="Calibri" w:hAnsi="Calibri" w:cs="Calibri"/>
          <w:iCs/>
        </w:rPr>
      </w:pPr>
      <w:r w:rsidRPr="00B76C99">
        <w:rPr>
          <w:rFonts w:ascii="Calibri" w:hAnsi="Calibri" w:cs="Calibri"/>
          <w:iCs/>
        </w:rPr>
        <w:t>The fees for 2020/2021 financial year are determined by increasing the 2019/2020 fees, determined by DI2019-71, by the Wage Price Index (WPI) of 2%, rounded down to the nearest $0.05.</w:t>
      </w:r>
    </w:p>
    <w:p w:rsidR="00932B67" w:rsidRPr="00B76C99" w:rsidRDefault="00932B67" w:rsidP="00932B67">
      <w:pPr>
        <w:spacing w:line="280" w:lineRule="atLeast"/>
        <w:ind w:left="360"/>
        <w:rPr>
          <w:rFonts w:ascii="Calibri" w:hAnsi="Calibri" w:cs="Calibri"/>
          <w:iCs/>
        </w:rPr>
      </w:pPr>
      <w:r w:rsidRPr="00B76C99">
        <w:rPr>
          <w:rFonts w:ascii="Calibri" w:hAnsi="Calibri" w:cs="Calibri"/>
        </w:rPr>
        <w:t xml:space="preserve">This determination of fees revokes and replaces </w:t>
      </w:r>
      <w:r w:rsidRPr="00B76C99">
        <w:rPr>
          <w:rFonts w:ascii="Calibri" w:hAnsi="Calibri" w:cs="Calibri"/>
          <w:iCs/>
        </w:rPr>
        <w:t>the determination of electoral fees made under DI2019-71.</w:t>
      </w:r>
    </w:p>
    <w:p w:rsidR="00932B67" w:rsidRPr="00D568D7" w:rsidRDefault="00D568D7" w:rsidP="00932B67">
      <w:pPr>
        <w:spacing w:line="280" w:lineRule="atLeast"/>
        <w:ind w:left="360"/>
        <w:rPr>
          <w:rFonts w:ascii="Calibri" w:hAnsi="Calibri" w:cs="Calibri"/>
          <w:i/>
          <w:iCs/>
        </w:rPr>
      </w:pPr>
      <w:r w:rsidRPr="00D568D7">
        <w:rPr>
          <w:rFonts w:ascii="Calibri" w:hAnsi="Calibri" w:cs="Calibri"/>
          <w:i/>
          <w:iCs/>
        </w:rPr>
        <w:t>Electoral Officer Services—</w:t>
      </w:r>
      <w:r w:rsidR="00932B67" w:rsidRPr="00D568D7">
        <w:rPr>
          <w:rFonts w:ascii="Calibri" w:hAnsi="Calibri" w:cs="Calibri"/>
          <w:i/>
          <w:iCs/>
        </w:rPr>
        <w:t>salary component</w:t>
      </w:r>
    </w:p>
    <w:p w:rsidR="00932B67" w:rsidRPr="00B76C99" w:rsidRDefault="00932B67" w:rsidP="00932B67">
      <w:pPr>
        <w:spacing w:line="280" w:lineRule="atLeast"/>
        <w:ind w:left="360"/>
        <w:rPr>
          <w:rFonts w:ascii="Calibri" w:hAnsi="Calibri" w:cs="Calibri"/>
          <w:iCs/>
        </w:rPr>
      </w:pPr>
      <w:r w:rsidRPr="00B76C99">
        <w:rPr>
          <w:rFonts w:ascii="Calibri" w:hAnsi="Calibri" w:cs="Calibri"/>
          <w:iCs/>
        </w:rPr>
        <w:t>Paragraph 7(1)(g) of the Electoral Act empowers the Electoral Commission to provide services to persons or organisations for a determined fee. The provision of services includes assisting bodies such as universities and government agencies to conduct elections. The Commission is empowered to determine fees for these services under section 340B of the Electoral Act.</w:t>
      </w:r>
    </w:p>
    <w:p w:rsidR="00932B67" w:rsidRPr="00B76C99" w:rsidRDefault="00932B67" w:rsidP="00932B67">
      <w:pPr>
        <w:spacing w:line="280" w:lineRule="atLeast"/>
        <w:ind w:left="360"/>
        <w:rPr>
          <w:rFonts w:ascii="Calibri" w:hAnsi="Calibri" w:cs="Calibri"/>
          <w:iCs/>
        </w:rPr>
      </w:pPr>
      <w:r w:rsidRPr="00B76C99">
        <w:rPr>
          <w:rFonts w:ascii="Calibri" w:hAnsi="Calibri" w:cs="Calibri"/>
          <w:iCs/>
        </w:rPr>
        <w:t>This instrument determines hourly fees for servi</w:t>
      </w:r>
      <w:r w:rsidR="00D568D7">
        <w:rPr>
          <w:rFonts w:ascii="Calibri" w:hAnsi="Calibri" w:cs="Calibri"/>
          <w:iCs/>
        </w:rPr>
        <w:t>ces provided by four</w:t>
      </w:r>
      <w:r w:rsidRPr="00B76C99">
        <w:rPr>
          <w:rFonts w:ascii="Calibri" w:hAnsi="Calibri" w:cs="Calibri"/>
          <w:iCs/>
        </w:rPr>
        <w:t xml:space="preserve"> categories of electoral officers:</w:t>
      </w:r>
    </w:p>
    <w:p w:rsidR="00932B67" w:rsidRPr="00D568D7" w:rsidRDefault="00932B67" w:rsidP="00D568D7">
      <w:pPr>
        <w:pStyle w:val="ListParagraph"/>
        <w:keepNext/>
        <w:keepLines/>
        <w:numPr>
          <w:ilvl w:val="6"/>
          <w:numId w:val="36"/>
        </w:numPr>
        <w:spacing w:line="280" w:lineRule="atLeast"/>
        <w:ind w:left="720"/>
        <w:contextualSpacing w:val="0"/>
        <w:rPr>
          <w:rFonts w:cs="Calibri"/>
          <w:lang w:eastAsia="en-AU"/>
        </w:rPr>
      </w:pPr>
      <w:r w:rsidRPr="00D568D7">
        <w:rPr>
          <w:rFonts w:cs="Calibri"/>
          <w:lang w:eastAsia="en-AU"/>
        </w:rPr>
        <w:t>Electoral Officer (equivalent to Administrative Service Officer Class 5 employed under the Public Sector Management Act 1994)</w:t>
      </w:r>
      <w:r w:rsidR="00D568D7">
        <w:rPr>
          <w:rFonts w:cs="Calibri"/>
          <w:lang w:eastAsia="en-AU"/>
        </w:rPr>
        <w:t>;</w:t>
      </w:r>
    </w:p>
    <w:p w:rsidR="00932B67" w:rsidRPr="00D568D7" w:rsidRDefault="00932B67" w:rsidP="00D568D7">
      <w:pPr>
        <w:pStyle w:val="ListParagraph"/>
        <w:keepLines/>
        <w:numPr>
          <w:ilvl w:val="6"/>
          <w:numId w:val="36"/>
        </w:numPr>
        <w:spacing w:line="280" w:lineRule="atLeast"/>
        <w:ind w:left="720"/>
        <w:contextualSpacing w:val="0"/>
        <w:rPr>
          <w:rFonts w:cs="Calibri"/>
          <w:lang w:eastAsia="en-AU"/>
        </w:rPr>
      </w:pPr>
      <w:r w:rsidRPr="00D568D7">
        <w:rPr>
          <w:rFonts w:cs="Calibri"/>
          <w:lang w:eastAsia="en-AU"/>
        </w:rPr>
        <w:t>Senior Electoral Officer (equivalent to Senior Officer Grade C employed under the Public Sector Management Act)</w:t>
      </w:r>
      <w:r w:rsidR="00D568D7">
        <w:rPr>
          <w:rFonts w:cs="Calibri"/>
          <w:lang w:eastAsia="en-AU"/>
        </w:rPr>
        <w:t>;</w:t>
      </w:r>
    </w:p>
    <w:p w:rsidR="00932B67" w:rsidRPr="00D568D7" w:rsidRDefault="00932B67" w:rsidP="00D568D7">
      <w:pPr>
        <w:pStyle w:val="ListParagraph"/>
        <w:keepLines/>
        <w:numPr>
          <w:ilvl w:val="6"/>
          <w:numId w:val="36"/>
        </w:numPr>
        <w:spacing w:line="280" w:lineRule="atLeast"/>
        <w:ind w:left="720"/>
        <w:contextualSpacing w:val="0"/>
        <w:rPr>
          <w:rFonts w:cs="Calibri"/>
          <w:lang w:eastAsia="en-AU"/>
        </w:rPr>
      </w:pPr>
      <w:r w:rsidRPr="00D568D7">
        <w:rPr>
          <w:rFonts w:cs="Calibri"/>
          <w:lang w:eastAsia="en-AU"/>
        </w:rPr>
        <w:t>Electoral Casual Officer (equivalent to a casual officer employed under the Electoral Act)</w:t>
      </w:r>
      <w:r w:rsidR="00D568D7">
        <w:rPr>
          <w:rFonts w:cs="Calibri"/>
          <w:lang w:eastAsia="en-AU"/>
        </w:rPr>
        <w:t>; and</w:t>
      </w:r>
    </w:p>
    <w:p w:rsidR="00932B67" w:rsidRPr="00D568D7" w:rsidRDefault="00932B67" w:rsidP="00D568D7">
      <w:pPr>
        <w:pStyle w:val="ListParagraph"/>
        <w:keepLines/>
        <w:numPr>
          <w:ilvl w:val="6"/>
          <w:numId w:val="36"/>
        </w:numPr>
        <w:spacing w:line="280" w:lineRule="atLeast"/>
        <w:ind w:left="720"/>
        <w:contextualSpacing w:val="0"/>
        <w:rPr>
          <w:rFonts w:cs="Calibri"/>
          <w:lang w:eastAsia="en-AU"/>
        </w:rPr>
      </w:pPr>
      <w:r w:rsidRPr="00D568D7">
        <w:rPr>
          <w:rFonts w:cs="Calibri"/>
          <w:lang w:eastAsia="en-AU"/>
        </w:rPr>
        <w:t>Senior Electoral Casual Officer (equivalent to a casual officer in charge employed under the Electoral Act)</w:t>
      </w:r>
      <w:r w:rsidR="00D568D7">
        <w:rPr>
          <w:rFonts w:cs="Calibri"/>
          <w:lang w:eastAsia="en-AU"/>
        </w:rPr>
        <w:t>.</w:t>
      </w:r>
    </w:p>
    <w:p w:rsidR="00932B67" w:rsidRPr="00B76C99" w:rsidRDefault="00932B67" w:rsidP="00932B67">
      <w:pPr>
        <w:spacing w:line="280" w:lineRule="atLeast"/>
        <w:ind w:left="360"/>
        <w:rPr>
          <w:rFonts w:ascii="Calibri" w:hAnsi="Calibri" w:cs="Calibri"/>
          <w:iCs/>
        </w:rPr>
      </w:pPr>
      <w:r w:rsidRPr="00B76C99">
        <w:rPr>
          <w:rFonts w:ascii="Calibri" w:hAnsi="Calibri" w:cs="Calibri"/>
          <w:iCs/>
        </w:rPr>
        <w:lastRenderedPageBreak/>
        <w:t xml:space="preserve">The fees include different hourly rates for the above 4 categories of officers depending on the time of the provision of services, and reflect the various applicable standard and overtime rates applying to officers employed to assist the Electoral Commissioner under the Public Sector Management Act and the Electoral Act. The hourly fees incorporate overhead costs and salary costs. </w:t>
      </w:r>
    </w:p>
    <w:p w:rsidR="00932B67" w:rsidRPr="00D568D7" w:rsidRDefault="00932B67" w:rsidP="00932B67">
      <w:pPr>
        <w:spacing w:line="280" w:lineRule="atLeast"/>
        <w:ind w:left="360"/>
        <w:rPr>
          <w:rFonts w:ascii="Calibri" w:hAnsi="Calibri" w:cs="Calibri"/>
          <w:i/>
          <w:iCs/>
        </w:rPr>
      </w:pPr>
      <w:r w:rsidRPr="00D568D7">
        <w:rPr>
          <w:rFonts w:ascii="Calibri" w:hAnsi="Calibri" w:cs="Calibri"/>
          <w:i/>
          <w:iCs/>
        </w:rPr>
        <w:t>Electoral goods and services</w:t>
      </w:r>
    </w:p>
    <w:p w:rsidR="00932B67" w:rsidRPr="00B76C99" w:rsidRDefault="00932B67" w:rsidP="00932B67">
      <w:pPr>
        <w:spacing w:line="280" w:lineRule="atLeast"/>
        <w:ind w:left="360"/>
        <w:rPr>
          <w:rFonts w:ascii="Calibri" w:hAnsi="Calibri" w:cs="Calibri"/>
          <w:iCs/>
        </w:rPr>
      </w:pPr>
      <w:r w:rsidRPr="00B76C99">
        <w:rPr>
          <w:rFonts w:ascii="Calibri" w:hAnsi="Calibri" w:cs="Calibri"/>
          <w:iCs/>
        </w:rPr>
        <w:t>The instrument also determines a fee for goods purchased by the Electoral Commission for the purposes of providing goods to persons or organisations under paragraph 7(1)(g) of the Electoral Act. This fee simply allows the Commission to be reimbursed for any costs incurred by the Commission in providing goods such as printing ballot papers for an election. These costs could also include postage and mailing house costs, for example.</w:t>
      </w:r>
    </w:p>
    <w:p w:rsidR="00932B67" w:rsidRPr="00B76C99" w:rsidRDefault="00932B67" w:rsidP="00932B67">
      <w:pPr>
        <w:spacing w:line="280" w:lineRule="atLeast"/>
        <w:ind w:left="360"/>
        <w:rPr>
          <w:rFonts w:ascii="Calibri" w:hAnsi="Calibri" w:cs="Calibri"/>
          <w:iCs/>
        </w:rPr>
      </w:pPr>
      <w:r w:rsidRPr="00B76C99">
        <w:rPr>
          <w:rFonts w:ascii="Calibri" w:hAnsi="Calibri" w:cs="Calibri"/>
          <w:iCs/>
        </w:rPr>
        <w:t>In addition, this instrument determines a fee for the provision of electronic voting services to organisations under paragraph 7(1)(g) of the Electoral Act. This fee allows for the development and maintenance cost of electronic voting services software incurred by the Electoral Commission to be passed on to purchasers of services.</w:t>
      </w:r>
    </w:p>
    <w:p w:rsidR="00932B67" w:rsidRPr="00D568D7" w:rsidRDefault="00932B67" w:rsidP="00932B67">
      <w:pPr>
        <w:spacing w:line="280" w:lineRule="atLeast"/>
        <w:ind w:left="360"/>
        <w:rPr>
          <w:rFonts w:ascii="Calibri" w:hAnsi="Calibri" w:cs="Calibri"/>
          <w:i/>
          <w:iCs/>
        </w:rPr>
      </w:pPr>
      <w:r w:rsidRPr="00D568D7">
        <w:rPr>
          <w:rFonts w:ascii="Calibri" w:hAnsi="Calibri" w:cs="Calibri"/>
          <w:i/>
          <w:iCs/>
        </w:rPr>
        <w:t>Provision of copies of documents</w:t>
      </w:r>
    </w:p>
    <w:p w:rsidR="00932B67" w:rsidRPr="00B76C99" w:rsidRDefault="00932B67" w:rsidP="00932B67">
      <w:pPr>
        <w:spacing w:line="280" w:lineRule="atLeast"/>
        <w:ind w:left="360"/>
        <w:rPr>
          <w:rFonts w:ascii="Calibri" w:hAnsi="Calibri" w:cs="Calibri"/>
          <w:iCs/>
        </w:rPr>
      </w:pPr>
      <w:r w:rsidRPr="00B76C99">
        <w:rPr>
          <w:rFonts w:ascii="Calibri" w:hAnsi="Calibri" w:cs="Calibri"/>
          <w:iCs/>
        </w:rPr>
        <w:t>This instrument sets fees for obtaining copies of the specified categories of documents.</w:t>
      </w:r>
    </w:p>
    <w:p w:rsidR="00932B67" w:rsidRPr="00B76C99" w:rsidRDefault="00932B67" w:rsidP="00932B67">
      <w:pPr>
        <w:spacing w:line="280" w:lineRule="atLeast"/>
        <w:ind w:left="360"/>
        <w:rPr>
          <w:rFonts w:ascii="Calibri" w:hAnsi="Calibri" w:cs="Calibri"/>
          <w:iCs/>
        </w:rPr>
      </w:pPr>
      <w:r w:rsidRPr="00B76C99">
        <w:rPr>
          <w:rFonts w:ascii="Calibri" w:hAnsi="Calibri" w:cs="Calibri"/>
          <w:iCs/>
        </w:rPr>
        <w:t>Subsection 243(4) of the Electoral Act provides that a person is entitled, on payment of a determined fee, to obtain a copy of a return referred to in subsection 243(1). These returns include returns showing disclosure of donations, returns showing disclosure of electoral expenditure and annual returns submitted by registered political parties, MLAs, associated entities and donors.</w:t>
      </w:r>
    </w:p>
    <w:p w:rsidR="00932B67" w:rsidRPr="00B76C99" w:rsidRDefault="00932B67" w:rsidP="00932B67">
      <w:pPr>
        <w:spacing w:line="280" w:lineRule="atLeast"/>
        <w:ind w:left="360"/>
        <w:rPr>
          <w:rFonts w:ascii="Calibri" w:hAnsi="Calibri" w:cs="Calibri"/>
          <w:iCs/>
        </w:rPr>
      </w:pPr>
      <w:r w:rsidRPr="00B76C99">
        <w:rPr>
          <w:rFonts w:ascii="Calibri" w:hAnsi="Calibri" w:cs="Calibri"/>
          <w:iCs/>
        </w:rPr>
        <w:t>Sections 88 and 91 of the Electoral Act provide that various documents related to registration of political parties are required to be made available for public inspection. From time to time members of the public have asked for copies of these documents. To cover the costs of providing such copies, this instrument provides that the Electoral Commission may provide persons with copies of these documents for the determined fee.</w:t>
      </w:r>
    </w:p>
    <w:p w:rsidR="00932B67" w:rsidRPr="00B76C99" w:rsidRDefault="00932B67" w:rsidP="00932B67">
      <w:pPr>
        <w:spacing w:line="280" w:lineRule="atLeast"/>
        <w:ind w:left="360"/>
        <w:rPr>
          <w:rFonts w:ascii="Calibri" w:hAnsi="Calibri" w:cs="Calibri"/>
          <w:iCs/>
        </w:rPr>
      </w:pPr>
      <w:r w:rsidRPr="00B76C99">
        <w:rPr>
          <w:rFonts w:ascii="Calibri" w:hAnsi="Calibri" w:cs="Calibri"/>
          <w:iCs/>
        </w:rPr>
        <w:t>Section 333 of the Electoral Act states that voting statistics shall be published and that a person may obtain copies of the statistics in electronic form for a fee.</w:t>
      </w:r>
    </w:p>
    <w:p w:rsidR="00932B67" w:rsidRPr="00760E8A" w:rsidRDefault="00932B67" w:rsidP="00D568D7">
      <w:pPr>
        <w:pStyle w:val="ListParagraph"/>
        <w:keepNext/>
        <w:keepLines/>
        <w:numPr>
          <w:ilvl w:val="0"/>
          <w:numId w:val="31"/>
        </w:numPr>
        <w:spacing w:line="280" w:lineRule="atLeast"/>
        <w:ind w:left="360"/>
        <w:contextualSpacing w:val="0"/>
        <w:rPr>
          <w:rFonts w:cs="Calibri"/>
          <w:u w:val="single"/>
        </w:rPr>
      </w:pPr>
      <w:r>
        <w:rPr>
          <w:rFonts w:cs="Calibri"/>
          <w:b/>
        </w:rPr>
        <w:t>Guardianship and Management of Property (Fees) Determination 2020</w:t>
      </w:r>
      <w:r w:rsidRPr="00760E8A">
        <w:rPr>
          <w:rFonts w:cs="Calibri"/>
          <w:b/>
        </w:rPr>
        <w:t>—DI20</w:t>
      </w:r>
      <w:r>
        <w:rPr>
          <w:rFonts w:cs="Calibri"/>
          <w:b/>
        </w:rPr>
        <w:t>20</w:t>
      </w:r>
      <w:r w:rsidRPr="00760E8A">
        <w:rPr>
          <w:rFonts w:cs="Calibri"/>
          <w:b/>
        </w:rPr>
        <w:t>-1</w:t>
      </w:r>
      <w:r>
        <w:rPr>
          <w:rFonts w:cs="Calibri"/>
          <w:b/>
        </w:rPr>
        <w:t>5</w:t>
      </w:r>
      <w:r w:rsidRPr="00760E8A">
        <w:rPr>
          <w:rFonts w:cs="Calibri"/>
          <w:b/>
        </w:rPr>
        <w:t>3</w:t>
      </w:r>
    </w:p>
    <w:p w:rsidR="00932B67" w:rsidRPr="00D568D7" w:rsidRDefault="00932B67" w:rsidP="00D568D7">
      <w:pPr>
        <w:spacing w:line="280" w:lineRule="atLeast"/>
        <w:ind w:left="360"/>
        <w:rPr>
          <w:rFonts w:ascii="Calibri" w:hAnsi="Calibri" w:cs="Calibri"/>
          <w:iCs/>
        </w:rPr>
      </w:pPr>
      <w:r w:rsidRPr="00D568D7">
        <w:rPr>
          <w:rFonts w:ascii="Calibri" w:hAnsi="Calibri" w:cs="Calibri"/>
          <w:iCs/>
        </w:rPr>
        <w:t>Fees in the 2020-21 financial year have been increased from fees in the previous financial year by a Wage Price Index (WPI) forecast of 2.0%. Calculations are rounded down to the nearest dollar. This gives effect to the Government’s policy decision to limit growth in government fees and charges for households to no more than the ACT’s forecast Wage Price Index for 2020-21. This approach also aligns with the 2018 Treasury Guidelines for Fees and Charges.</w:t>
      </w:r>
    </w:p>
    <w:p w:rsidR="00932B67" w:rsidRPr="00B76C99" w:rsidRDefault="00932B67" w:rsidP="00932B67">
      <w:pPr>
        <w:spacing w:line="280" w:lineRule="atLeast"/>
        <w:ind w:left="360"/>
        <w:rPr>
          <w:rFonts w:ascii="Calibri" w:hAnsi="Calibri" w:cs="Calibri"/>
        </w:rPr>
      </w:pPr>
      <w:r w:rsidRPr="00B76C99">
        <w:rPr>
          <w:rFonts w:ascii="Calibri" w:hAnsi="Calibri" w:cs="Calibri"/>
        </w:rPr>
        <w:t>The fee for the hourly rate for the examination of accounts maintained by an external financial manager is GST exempt and, when rounded, would have been $265. As this service is subsidised by Community Service Obligation funding, the Public Trustee and Guardian applies a 25% rebate to the fee. With the rebate applied, the fee would be $198.00. Adjustments to this rebate can be made by the Public Trustee and Guardian under fee reductions and waivers provision in the [</w:t>
      </w:r>
      <w:r w:rsidRPr="00B76C99">
        <w:rPr>
          <w:rFonts w:ascii="Calibri" w:hAnsi="Calibri" w:cs="Calibri"/>
          <w:i/>
          <w:iCs/>
        </w:rPr>
        <w:t>Public Trustee and Guardian Act 1985</w:t>
      </w:r>
      <w:r w:rsidRPr="00B76C99">
        <w:rPr>
          <w:rFonts w:ascii="Calibri" w:hAnsi="Calibri" w:cs="Calibri"/>
        </w:rPr>
        <w:t>].</w:t>
      </w:r>
    </w:p>
    <w:p w:rsidR="00932B67" w:rsidRPr="006D299A" w:rsidRDefault="00932B67" w:rsidP="00DF4EFB">
      <w:pPr>
        <w:keepNext/>
        <w:numPr>
          <w:ilvl w:val="0"/>
          <w:numId w:val="30"/>
        </w:numPr>
        <w:spacing w:line="280" w:lineRule="atLeast"/>
        <w:ind w:left="360"/>
        <w:rPr>
          <w:rFonts w:ascii="Calibri" w:hAnsi="Calibri" w:cs="Calibri"/>
          <w:bCs/>
        </w:rPr>
      </w:pPr>
      <w:bookmarkStart w:id="536" w:name="_Hlk46335906"/>
      <w:r w:rsidRPr="006D299A">
        <w:rPr>
          <w:rFonts w:ascii="Calibri" w:hAnsi="Calibri" w:cs="Calibri"/>
          <w:b/>
          <w:color w:val="000000"/>
        </w:rPr>
        <w:lastRenderedPageBreak/>
        <w:t>Victims of Crime (Fees) Determination 2020 (No 1)—DI2020-172</w:t>
      </w:r>
    </w:p>
    <w:p w:rsidR="00932B67" w:rsidRPr="00B76C99" w:rsidRDefault="00932B67" w:rsidP="00932B67">
      <w:pPr>
        <w:spacing w:line="280" w:lineRule="atLeast"/>
        <w:ind w:left="360"/>
        <w:rPr>
          <w:rFonts w:ascii="Calibri" w:hAnsi="Calibri" w:cs="Calibri"/>
        </w:rPr>
      </w:pPr>
      <w:r w:rsidRPr="00B76C99">
        <w:rPr>
          <w:rFonts w:ascii="Calibri" w:hAnsi="Calibri" w:cs="Calibri"/>
        </w:rPr>
        <w:t xml:space="preserve">Under section 50 of the </w:t>
      </w:r>
      <w:r w:rsidRPr="00B76C99">
        <w:rPr>
          <w:rFonts w:ascii="Calibri" w:hAnsi="Calibri" w:cs="Calibri"/>
          <w:i/>
          <w:iCs/>
        </w:rPr>
        <w:t>Victims of Crime Regulation 2000</w:t>
      </w:r>
      <w:r w:rsidRPr="00B76C99">
        <w:rPr>
          <w:rFonts w:ascii="Calibri" w:hAnsi="Calibri" w:cs="Calibri"/>
        </w:rPr>
        <w:t>, the Minister may, in writing, determine fees that are payable for services provided to an eligible victim under the regulation by a service provider.</w:t>
      </w:r>
    </w:p>
    <w:p w:rsidR="00932B67" w:rsidRPr="00B76C99" w:rsidRDefault="00932B67" w:rsidP="00932B67">
      <w:pPr>
        <w:spacing w:line="280" w:lineRule="atLeast"/>
        <w:ind w:left="360"/>
        <w:rPr>
          <w:rFonts w:ascii="Calibri" w:hAnsi="Calibri" w:cs="Calibri"/>
        </w:rPr>
      </w:pPr>
      <w:r w:rsidRPr="00B76C99">
        <w:rPr>
          <w:rFonts w:ascii="Calibri" w:hAnsi="Calibri" w:cs="Calibri"/>
        </w:rPr>
        <w:t xml:space="preserve">The Minister delegated this function to the Director-General under his express delegation power in section 254A of the </w:t>
      </w:r>
      <w:r w:rsidRPr="00B76C99">
        <w:rPr>
          <w:rFonts w:ascii="Calibri" w:hAnsi="Calibri" w:cs="Calibri"/>
          <w:i/>
          <w:iCs/>
        </w:rPr>
        <w:t>Legislation Act 2001</w:t>
      </w:r>
      <w:r w:rsidRPr="00B76C99">
        <w:rPr>
          <w:rFonts w:ascii="Calibri" w:hAnsi="Calibri" w:cs="Calibri"/>
        </w:rPr>
        <w:t>, limited to the extent that the Director-General may determine fees only as commensurate with the Consumer Price Index (CP</w:t>
      </w:r>
      <w:r w:rsidR="00D568D7">
        <w:rPr>
          <w:rFonts w:ascii="Calibri" w:hAnsi="Calibri" w:cs="Calibri"/>
        </w:rPr>
        <w:t>I) (instrument NI2018</w:t>
      </w:r>
      <w:r w:rsidR="00D568D7">
        <w:rPr>
          <w:rFonts w:ascii="Calibri" w:hAnsi="Calibri" w:cs="Calibri"/>
        </w:rPr>
        <w:noBreakHyphen/>
      </w:r>
      <w:r w:rsidRPr="00B76C99">
        <w:rPr>
          <w:rFonts w:ascii="Calibri" w:hAnsi="Calibri" w:cs="Calibri"/>
        </w:rPr>
        <w:t xml:space="preserve">337). </w:t>
      </w:r>
    </w:p>
    <w:p w:rsidR="00932B67" w:rsidRPr="00B76C99" w:rsidRDefault="00932B67" w:rsidP="00932B67">
      <w:pPr>
        <w:spacing w:line="280" w:lineRule="atLeast"/>
        <w:ind w:left="360"/>
        <w:rPr>
          <w:rFonts w:ascii="Calibri" w:hAnsi="Calibri" w:cs="Calibri"/>
        </w:rPr>
      </w:pPr>
      <w:r w:rsidRPr="00B76C99">
        <w:rPr>
          <w:rFonts w:ascii="Calibri" w:hAnsi="Calibri" w:cs="Calibri"/>
        </w:rPr>
        <w:t xml:space="preserve">The fees payable which applied previously are listed in italic in Schedule 1, column 3 of the instrument. ACT Treasury has forecast a CPI increase of 1.5% for 2020-21. This rate has been applied to calculate the fees payable for the 2020-21 period. The new amounts for 2020-21 are set out in Schedule 1, column 4 of the instrument. </w:t>
      </w:r>
    </w:p>
    <w:p w:rsidR="00932B67" w:rsidRPr="00B76C99" w:rsidRDefault="00932B67" w:rsidP="00932B67">
      <w:pPr>
        <w:spacing w:line="280" w:lineRule="atLeast"/>
        <w:ind w:left="360"/>
        <w:rPr>
          <w:rFonts w:ascii="Calibri" w:hAnsi="Calibri" w:cs="Calibri"/>
        </w:rPr>
      </w:pPr>
      <w:r w:rsidRPr="00B76C99">
        <w:rPr>
          <w:rFonts w:ascii="Calibri" w:hAnsi="Calibri" w:cs="Calibri"/>
        </w:rPr>
        <w:t>Fees payable have been increased based on the aforementioned CPI rate and rounded to the nearest dollar.</w:t>
      </w:r>
    </w:p>
    <w:p w:rsidR="00932B67" w:rsidRPr="00760E8A" w:rsidRDefault="00932B67" w:rsidP="00932B67">
      <w:pPr>
        <w:pStyle w:val="ListParagraph"/>
        <w:keepLines/>
        <w:numPr>
          <w:ilvl w:val="0"/>
          <w:numId w:val="31"/>
        </w:numPr>
        <w:spacing w:line="280" w:lineRule="atLeast"/>
        <w:ind w:left="360"/>
        <w:contextualSpacing w:val="0"/>
        <w:rPr>
          <w:rFonts w:cs="Calibri"/>
          <w:u w:val="single"/>
        </w:rPr>
      </w:pPr>
      <w:r>
        <w:rPr>
          <w:rFonts w:cs="Calibri"/>
          <w:b/>
        </w:rPr>
        <w:t xml:space="preserve">Health </w:t>
      </w:r>
      <w:r w:rsidRPr="00760E8A">
        <w:rPr>
          <w:rFonts w:cs="Calibri"/>
          <w:b/>
        </w:rPr>
        <w:t>(Fees) Determination 20</w:t>
      </w:r>
      <w:r>
        <w:rPr>
          <w:rFonts w:cs="Calibri"/>
          <w:b/>
        </w:rPr>
        <w:t>20</w:t>
      </w:r>
      <w:bookmarkStart w:id="537" w:name="_Hlk46336542"/>
      <w:r w:rsidRPr="00760E8A">
        <w:rPr>
          <w:rFonts w:cs="Calibri"/>
          <w:b/>
        </w:rPr>
        <w:t>—</w:t>
      </w:r>
      <w:bookmarkEnd w:id="537"/>
      <w:r w:rsidRPr="00760E8A">
        <w:rPr>
          <w:rFonts w:cs="Calibri"/>
          <w:b/>
        </w:rPr>
        <w:t>DI20</w:t>
      </w:r>
      <w:r>
        <w:rPr>
          <w:rFonts w:cs="Calibri"/>
          <w:b/>
        </w:rPr>
        <w:t>20</w:t>
      </w:r>
      <w:r w:rsidRPr="00760E8A">
        <w:rPr>
          <w:rFonts w:cs="Calibri"/>
          <w:b/>
        </w:rPr>
        <w:t>-1</w:t>
      </w:r>
      <w:r>
        <w:rPr>
          <w:rFonts w:cs="Calibri"/>
          <w:b/>
        </w:rPr>
        <w:t>95</w:t>
      </w:r>
    </w:p>
    <w:bookmarkEnd w:id="536"/>
    <w:p w:rsidR="00932B67" w:rsidRPr="00B76C99" w:rsidRDefault="00932B67" w:rsidP="00932B67">
      <w:pPr>
        <w:spacing w:line="280" w:lineRule="atLeast"/>
        <w:ind w:left="360"/>
        <w:rPr>
          <w:rFonts w:ascii="Calibri" w:hAnsi="Calibri" w:cs="Calibri"/>
        </w:rPr>
      </w:pPr>
      <w:r w:rsidRPr="00B76C99">
        <w:rPr>
          <w:rFonts w:ascii="Calibri" w:hAnsi="Calibri" w:cs="Calibri"/>
        </w:rPr>
        <w:t>This Determination of Fees revokes and replaces the Determination of Fees DI2020-55, dated 23</w:t>
      </w:r>
      <w:r w:rsidR="00D568D7">
        <w:rPr>
          <w:rFonts w:ascii="Calibri" w:hAnsi="Calibri" w:cs="Calibri"/>
        </w:rPr>
        <w:t> </w:t>
      </w:r>
      <w:r w:rsidRPr="00B76C99">
        <w:rPr>
          <w:rFonts w:ascii="Calibri" w:hAnsi="Calibri" w:cs="Calibri"/>
        </w:rPr>
        <w:t>April 2020.</w:t>
      </w:r>
    </w:p>
    <w:p w:rsidR="00932B67" w:rsidRPr="00B76C99" w:rsidRDefault="00932B67" w:rsidP="00D568D7">
      <w:pPr>
        <w:tabs>
          <w:tab w:val="left" w:pos="851"/>
          <w:tab w:val="left" w:pos="1135"/>
          <w:tab w:val="right" w:pos="6521"/>
          <w:tab w:val="right" w:pos="8222"/>
        </w:tabs>
        <w:spacing w:line="280" w:lineRule="atLeast"/>
        <w:ind w:left="360"/>
        <w:rPr>
          <w:rFonts w:ascii="Calibri" w:hAnsi="Calibri" w:cs="Calibri"/>
        </w:rPr>
      </w:pPr>
      <w:r w:rsidRPr="00B76C99">
        <w:rPr>
          <w:rFonts w:ascii="Calibri" w:hAnsi="Calibri" w:cs="Calibri"/>
        </w:rPr>
        <w:t>The Determination comes into effect on 1 July 2020 and reproduces Determination DI2020-55 except for:</w:t>
      </w:r>
    </w:p>
    <w:p w:rsidR="00932B67" w:rsidRPr="00D568D7" w:rsidRDefault="00932B67" w:rsidP="00D568D7">
      <w:pPr>
        <w:pStyle w:val="ListParagraph"/>
        <w:keepLines/>
        <w:numPr>
          <w:ilvl w:val="6"/>
          <w:numId w:val="36"/>
        </w:numPr>
        <w:spacing w:line="280" w:lineRule="atLeast"/>
        <w:ind w:left="720"/>
        <w:contextualSpacing w:val="0"/>
        <w:rPr>
          <w:rFonts w:cs="Calibri"/>
          <w:lang w:eastAsia="en-AU"/>
        </w:rPr>
      </w:pPr>
      <w:r w:rsidRPr="00B76C99">
        <w:rPr>
          <w:rFonts w:ascii="Calibri" w:hAnsi="Calibri" w:cs="Calibri"/>
        </w:rPr>
        <w:t>i</w:t>
      </w:r>
      <w:r w:rsidRPr="00D568D7">
        <w:rPr>
          <w:rFonts w:cs="Calibri"/>
          <w:lang w:eastAsia="en-AU"/>
        </w:rPr>
        <w:t>tems on Attachment A, which have increased by the Wage Price Index of 2.0% (subject to rounding);</w:t>
      </w:r>
    </w:p>
    <w:p w:rsidR="00932B67" w:rsidRPr="00D568D7" w:rsidRDefault="00932B67" w:rsidP="00D568D7">
      <w:pPr>
        <w:pStyle w:val="ListParagraph"/>
        <w:keepLines/>
        <w:numPr>
          <w:ilvl w:val="6"/>
          <w:numId w:val="36"/>
        </w:numPr>
        <w:spacing w:line="280" w:lineRule="atLeast"/>
        <w:ind w:left="720"/>
        <w:contextualSpacing w:val="0"/>
        <w:rPr>
          <w:rFonts w:cs="Calibri"/>
          <w:lang w:eastAsia="en-AU"/>
        </w:rPr>
      </w:pPr>
      <w:r w:rsidRPr="00D568D7">
        <w:rPr>
          <w:rFonts w:cs="Calibri"/>
          <w:lang w:eastAsia="en-AU"/>
        </w:rPr>
        <w:t>items on Attachment B, which have increased by indexation rates as advised by the Commonwealth;</w:t>
      </w:r>
    </w:p>
    <w:p w:rsidR="00932B67" w:rsidRPr="00D568D7" w:rsidRDefault="00932B67" w:rsidP="00D568D7">
      <w:pPr>
        <w:pStyle w:val="ListParagraph"/>
        <w:keepLines/>
        <w:numPr>
          <w:ilvl w:val="6"/>
          <w:numId w:val="36"/>
        </w:numPr>
        <w:spacing w:line="280" w:lineRule="atLeast"/>
        <w:ind w:left="720"/>
        <w:contextualSpacing w:val="0"/>
        <w:rPr>
          <w:rFonts w:cs="Calibri"/>
          <w:lang w:eastAsia="en-AU"/>
        </w:rPr>
      </w:pPr>
      <w:r w:rsidRPr="00D568D7">
        <w:rPr>
          <w:rFonts w:cs="Calibri"/>
          <w:lang w:eastAsia="en-AU"/>
        </w:rPr>
        <w:t>items on Attachment C, which have either been removed or added to the fee determination;</w:t>
      </w:r>
    </w:p>
    <w:p w:rsidR="00932B67" w:rsidRPr="00D568D7" w:rsidRDefault="00932B67" w:rsidP="00E61403">
      <w:pPr>
        <w:pStyle w:val="ListParagraph"/>
        <w:keepNext/>
        <w:keepLines/>
        <w:numPr>
          <w:ilvl w:val="6"/>
          <w:numId w:val="36"/>
        </w:numPr>
        <w:spacing w:line="280" w:lineRule="atLeast"/>
        <w:ind w:left="720"/>
        <w:contextualSpacing w:val="0"/>
        <w:rPr>
          <w:rFonts w:cs="Calibri"/>
          <w:lang w:eastAsia="en-AU"/>
        </w:rPr>
      </w:pPr>
      <w:r w:rsidRPr="00D568D7">
        <w:rPr>
          <w:rFonts w:cs="Calibri"/>
          <w:lang w:eastAsia="en-AU"/>
        </w:rPr>
        <w:t>minor wording and numbering changes; and</w:t>
      </w:r>
    </w:p>
    <w:p w:rsidR="00932B67" w:rsidRPr="00D568D7" w:rsidRDefault="00932B67" w:rsidP="00E61403">
      <w:pPr>
        <w:pStyle w:val="ListParagraph"/>
        <w:keepNext/>
        <w:keepLines/>
        <w:numPr>
          <w:ilvl w:val="6"/>
          <w:numId w:val="36"/>
        </w:numPr>
        <w:spacing w:line="280" w:lineRule="atLeast"/>
        <w:ind w:left="720"/>
        <w:contextualSpacing w:val="0"/>
        <w:rPr>
          <w:rFonts w:cs="Calibri"/>
          <w:lang w:eastAsia="en-AU"/>
        </w:rPr>
      </w:pPr>
      <w:r w:rsidRPr="00D568D7">
        <w:rPr>
          <w:rFonts w:cs="Calibri"/>
          <w:lang w:eastAsia="en-AU"/>
        </w:rPr>
        <w:t>the date of effect.</w:t>
      </w:r>
    </w:p>
    <w:p w:rsidR="00932B67" w:rsidRPr="00760E8A" w:rsidRDefault="00932B67" w:rsidP="00932B67">
      <w:pPr>
        <w:pStyle w:val="ListParagraph"/>
        <w:keepLines/>
        <w:numPr>
          <w:ilvl w:val="0"/>
          <w:numId w:val="34"/>
        </w:numPr>
        <w:spacing w:line="280" w:lineRule="atLeast"/>
        <w:contextualSpacing w:val="0"/>
        <w:rPr>
          <w:rFonts w:cs="Calibri"/>
          <w:u w:val="single"/>
        </w:rPr>
      </w:pPr>
      <w:r>
        <w:rPr>
          <w:rFonts w:cs="Calibri"/>
          <w:b/>
        </w:rPr>
        <w:t xml:space="preserve">Water Resources </w:t>
      </w:r>
      <w:r w:rsidRPr="00760E8A">
        <w:rPr>
          <w:rFonts w:cs="Calibri"/>
          <w:b/>
        </w:rPr>
        <w:t>(Fees) Determination 20</w:t>
      </w:r>
      <w:r>
        <w:rPr>
          <w:rFonts w:cs="Calibri"/>
          <w:b/>
        </w:rPr>
        <w:t>20</w:t>
      </w:r>
      <w:r w:rsidRPr="00760E8A">
        <w:rPr>
          <w:rFonts w:cs="Calibri"/>
          <w:b/>
        </w:rPr>
        <w:t>—DI20</w:t>
      </w:r>
      <w:r>
        <w:rPr>
          <w:rFonts w:cs="Calibri"/>
          <w:b/>
        </w:rPr>
        <w:t>20</w:t>
      </w:r>
      <w:r w:rsidRPr="00760E8A">
        <w:rPr>
          <w:rFonts w:cs="Calibri"/>
          <w:b/>
        </w:rPr>
        <w:t>-</w:t>
      </w:r>
      <w:r>
        <w:rPr>
          <w:rFonts w:cs="Calibri"/>
          <w:b/>
        </w:rPr>
        <w:t>200</w:t>
      </w:r>
    </w:p>
    <w:p w:rsidR="00932B67" w:rsidRPr="00B76C99" w:rsidRDefault="00932B67" w:rsidP="00932B67">
      <w:pPr>
        <w:spacing w:line="280" w:lineRule="atLeast"/>
        <w:ind w:left="360"/>
        <w:rPr>
          <w:rFonts w:ascii="Calibri" w:hAnsi="Calibri" w:cs="Calibri"/>
        </w:rPr>
      </w:pPr>
      <w:r w:rsidRPr="000C7D0A">
        <w:rPr>
          <w:rFonts w:ascii="Calibri" w:hAnsi="Calibri" w:cs="Calibri"/>
        </w:rPr>
        <w:t>The regulatory fees (excluding water abstraction charge) in the determination have been increased by 2% for the 2020-21 financial year based on the wage price index and then appropriate rounding has been applied in relation to increases. The Government will index the Water Abstraction Charge (WAC) by 3% as per the decision in the 2016-17 Budget.</w:t>
      </w:r>
    </w:p>
    <w:p w:rsidR="00932B67" w:rsidRDefault="00932B67" w:rsidP="00932B67">
      <w:pPr>
        <w:keepLines/>
        <w:spacing w:line="280" w:lineRule="atLeast"/>
        <w:rPr>
          <w:rFonts w:ascii="Calibri" w:eastAsia="Calibri" w:hAnsi="Calibri" w:cs="Calibri"/>
        </w:rPr>
      </w:pPr>
      <w:r w:rsidRPr="00760E8A">
        <w:rPr>
          <w:rFonts w:ascii="Calibri" w:eastAsia="Calibri" w:hAnsi="Calibri" w:cs="Calibri"/>
        </w:rPr>
        <w:t>The Committee considers th</w:t>
      </w:r>
      <w:r>
        <w:rPr>
          <w:rFonts w:ascii="Calibri" w:eastAsia="Calibri" w:hAnsi="Calibri" w:cs="Calibri"/>
        </w:rPr>
        <w:t>e</w:t>
      </w:r>
      <w:r w:rsidRPr="00760E8A">
        <w:rPr>
          <w:rFonts w:ascii="Calibri" w:eastAsia="Calibri" w:hAnsi="Calibri" w:cs="Calibri"/>
        </w:rPr>
        <w:t xml:space="preserve"> </w:t>
      </w:r>
      <w:r>
        <w:rPr>
          <w:rFonts w:ascii="Calibri" w:eastAsia="Calibri" w:hAnsi="Calibri" w:cs="Calibri"/>
        </w:rPr>
        <w:t xml:space="preserve">Act-specific </w:t>
      </w:r>
      <w:r w:rsidRPr="00760E8A">
        <w:rPr>
          <w:rFonts w:ascii="Calibri" w:eastAsia="Calibri" w:hAnsi="Calibri" w:cs="Calibri"/>
        </w:rPr>
        <w:t xml:space="preserve">explanations </w:t>
      </w:r>
      <w:r>
        <w:rPr>
          <w:rFonts w:ascii="Calibri" w:eastAsia="Calibri" w:hAnsi="Calibri" w:cs="Calibri"/>
        </w:rPr>
        <w:t xml:space="preserve">mentioned above </w:t>
      </w:r>
      <w:r w:rsidRPr="00760E8A">
        <w:rPr>
          <w:rFonts w:ascii="Calibri" w:eastAsia="Calibri" w:hAnsi="Calibri" w:cs="Calibri"/>
        </w:rPr>
        <w:t>to be both informative and acceptable.</w:t>
      </w:r>
    </w:p>
    <w:p w:rsidR="00932B67" w:rsidRPr="00865FFE" w:rsidRDefault="00932B67" w:rsidP="00932B67">
      <w:pPr>
        <w:keepLines/>
        <w:spacing w:line="280" w:lineRule="atLeast"/>
        <w:rPr>
          <w:rFonts w:ascii="Calibri" w:eastAsia="Calibri" w:hAnsi="Calibri" w:cs="Calibri"/>
          <w:b/>
          <w:bCs/>
        </w:rPr>
      </w:pPr>
      <w:r>
        <w:rPr>
          <w:rFonts w:ascii="Calibri" w:eastAsia="Calibri" w:hAnsi="Calibri" w:cs="Calibri"/>
          <w:b/>
          <w:bCs/>
        </w:rPr>
        <w:t>This comment does not require a response from any Minister.</w:t>
      </w:r>
    </w:p>
    <w:p w:rsidR="00F753CA" w:rsidRDefault="00F753CA" w:rsidP="00DF4EFB">
      <w:pPr>
        <w:pStyle w:val="Heading2"/>
        <w:rPr>
          <w:rFonts w:eastAsia="Calibri"/>
          <w:lang w:eastAsia="en-AU"/>
        </w:rPr>
      </w:pPr>
      <w:bookmarkStart w:id="538" w:name="_Toc46735474"/>
      <w:r>
        <w:rPr>
          <w:rFonts w:eastAsia="Calibri"/>
          <w:lang w:eastAsia="en-AU"/>
        </w:rPr>
        <w:lastRenderedPageBreak/>
        <w:t>Response</w:t>
      </w:r>
      <w:r w:rsidR="00450167">
        <w:rPr>
          <w:rFonts w:eastAsia="Calibri"/>
          <w:lang w:eastAsia="en-AU"/>
        </w:rPr>
        <w:t>s</w:t>
      </w:r>
      <w:bookmarkEnd w:id="538"/>
    </w:p>
    <w:p w:rsidR="00D9488E" w:rsidRPr="00D9488E" w:rsidRDefault="00D9488E" w:rsidP="00D9488E">
      <w:pPr>
        <w:pStyle w:val="Heading3"/>
        <w:rPr>
          <w:lang w:eastAsia="en-AU"/>
        </w:rPr>
      </w:pPr>
      <w:bookmarkStart w:id="539" w:name="_Toc44074226"/>
      <w:bookmarkStart w:id="540" w:name="_Toc44323943"/>
      <w:bookmarkStart w:id="541" w:name="_Toc46484331"/>
      <w:bookmarkStart w:id="542" w:name="_Toc46735475"/>
      <w:r>
        <w:rPr>
          <w:lang w:eastAsia="en-AU"/>
        </w:rPr>
        <w:t>Government response</w:t>
      </w:r>
      <w:bookmarkEnd w:id="539"/>
      <w:bookmarkEnd w:id="540"/>
      <w:r w:rsidR="00450167">
        <w:rPr>
          <w:lang w:eastAsia="en-AU"/>
        </w:rPr>
        <w:t>s</w:t>
      </w:r>
      <w:bookmarkEnd w:id="541"/>
      <w:bookmarkEnd w:id="542"/>
    </w:p>
    <w:bookmarkEnd w:id="507"/>
    <w:bookmarkEnd w:id="508"/>
    <w:p w:rsidR="00F65983" w:rsidRPr="00F65983" w:rsidRDefault="00F65983" w:rsidP="002F4F36">
      <w:pPr>
        <w:spacing w:line="280" w:lineRule="atLeast"/>
        <w:rPr>
          <w:rFonts w:ascii="Calibri" w:eastAsia="Calibri" w:hAnsi="Calibri" w:cs="Times New Roman"/>
        </w:rPr>
      </w:pPr>
      <w:r w:rsidRPr="00F65983">
        <w:rPr>
          <w:rFonts w:ascii="Calibri" w:eastAsia="Calibri" w:hAnsi="Calibri" w:cs="Times New Roman"/>
        </w:rPr>
        <w:t>The Committee has received</w:t>
      </w:r>
      <w:r w:rsidR="00450167">
        <w:rPr>
          <w:rFonts w:ascii="Calibri" w:eastAsia="Calibri" w:hAnsi="Calibri" w:cs="Times New Roman"/>
        </w:rPr>
        <w:t xml:space="preserve"> </w:t>
      </w:r>
      <w:r w:rsidR="003379D7">
        <w:rPr>
          <w:rFonts w:ascii="Calibri" w:eastAsia="Calibri" w:hAnsi="Calibri" w:cs="Times New Roman"/>
        </w:rPr>
        <w:t>response</w:t>
      </w:r>
      <w:r w:rsidR="00450167">
        <w:rPr>
          <w:rFonts w:ascii="Calibri" w:eastAsia="Calibri" w:hAnsi="Calibri" w:cs="Times New Roman"/>
        </w:rPr>
        <w:t>s</w:t>
      </w:r>
      <w:r w:rsidRPr="00F65983">
        <w:rPr>
          <w:rFonts w:ascii="Calibri" w:eastAsia="Calibri" w:hAnsi="Calibri" w:cs="Times New Roman"/>
        </w:rPr>
        <w:t xml:space="preserve"> from:</w:t>
      </w:r>
    </w:p>
    <w:p w:rsidR="00461B48" w:rsidRDefault="00450167" w:rsidP="002F4F36">
      <w:pPr>
        <w:keepLines/>
        <w:widowControl w:val="0"/>
        <w:numPr>
          <w:ilvl w:val="0"/>
          <w:numId w:val="13"/>
        </w:numPr>
        <w:spacing w:line="280" w:lineRule="atLeast"/>
      </w:pPr>
      <w:r>
        <w:t>The Minister for Justice, Consumer Affairs and Road Safety, dated 22 July 2020, in relation to com</w:t>
      </w:r>
      <w:r w:rsidR="00C100B5">
        <w:t>ments made in Scrutiny Report 45</w:t>
      </w:r>
      <w:r>
        <w:t xml:space="preserve"> concerning the</w:t>
      </w:r>
      <w:r w:rsidR="00C100B5">
        <w:t xml:space="preserve"> Justice Legislation Amendment Bill 2020</w:t>
      </w:r>
      <w:r w:rsidR="00461B48" w:rsidRPr="00AE47FB">
        <w:t>.</w:t>
      </w:r>
    </w:p>
    <w:p w:rsidR="00C100B5" w:rsidRDefault="00C100B5" w:rsidP="002F4F36">
      <w:pPr>
        <w:keepLines/>
        <w:widowControl w:val="0"/>
        <w:numPr>
          <w:ilvl w:val="0"/>
          <w:numId w:val="13"/>
        </w:numPr>
        <w:spacing w:line="280" w:lineRule="atLeast"/>
      </w:pPr>
      <w:r>
        <w:t>The Minister for Justice, Consumer Affairs and Road Safety, dated 23 July 2020, in relation to comments made in Scrutiny Report 46 concerning the Victims Rights Legislation Amendment Bill 2020.</w:t>
      </w:r>
    </w:p>
    <w:p w:rsidR="00C100B5" w:rsidRDefault="00C100B5" w:rsidP="002F4F36">
      <w:pPr>
        <w:keepLines/>
        <w:widowControl w:val="0"/>
        <w:numPr>
          <w:ilvl w:val="0"/>
          <w:numId w:val="13"/>
        </w:numPr>
        <w:spacing w:line="280" w:lineRule="atLeast"/>
      </w:pPr>
      <w:r>
        <w:t>The Attorney-General, dated 23 July 2020, in relation to comments made in Scrutiny Report 46 concerning the Royal Commission Criminal Justice Legislation Amendment Bill 2020.</w:t>
      </w:r>
    </w:p>
    <w:p w:rsidR="006A6C77" w:rsidRDefault="003F4F00" w:rsidP="002F4F36">
      <w:pPr>
        <w:widowControl w:val="0"/>
        <w:spacing w:line="280" w:lineRule="atLeast"/>
        <w:ind w:left="360"/>
        <w:rPr>
          <w:rFonts w:ascii="Calibri" w:eastAsia="Calibri" w:hAnsi="Calibri" w:cs="Times New Roman"/>
          <w:b/>
          <w:lang w:eastAsia="en-AU"/>
        </w:rPr>
      </w:pPr>
      <w:hyperlink r:id="rId29" w:history="1">
        <w:r w:rsidR="00C100B5">
          <w:rPr>
            <w:rStyle w:val="Hyperlink"/>
            <w:rFonts w:ascii="Calibri" w:eastAsia="Calibri" w:hAnsi="Calibri" w:cs="Times New Roman"/>
            <w:b/>
            <w:lang w:eastAsia="en-AU"/>
          </w:rPr>
          <w:t>The</w:t>
        </w:r>
        <w:r w:rsidR="00694B9D">
          <w:rPr>
            <w:rStyle w:val="Hyperlink"/>
            <w:rFonts w:ascii="Calibri" w:eastAsia="Calibri" w:hAnsi="Calibri" w:cs="Times New Roman"/>
            <w:b/>
            <w:lang w:eastAsia="en-AU"/>
          </w:rPr>
          <w:t>s</w:t>
        </w:r>
        <w:r w:rsidR="00C100B5">
          <w:rPr>
            <w:rStyle w:val="Hyperlink"/>
            <w:rFonts w:ascii="Calibri" w:eastAsia="Calibri" w:hAnsi="Calibri" w:cs="Times New Roman"/>
            <w:b/>
            <w:lang w:eastAsia="en-AU"/>
          </w:rPr>
          <w:t>e</w:t>
        </w:r>
        <w:r w:rsidR="006A6C77" w:rsidRPr="006971C2">
          <w:rPr>
            <w:rStyle w:val="Hyperlink"/>
            <w:rFonts w:ascii="Calibri" w:eastAsia="Calibri" w:hAnsi="Calibri" w:cs="Times New Roman"/>
            <w:b/>
            <w:lang w:eastAsia="en-AU"/>
          </w:rPr>
          <w:t xml:space="preserve"> response</w:t>
        </w:r>
      </w:hyperlink>
      <w:r w:rsidR="00C100B5">
        <w:rPr>
          <w:rStyle w:val="Hyperlink"/>
          <w:rFonts w:ascii="Calibri" w:eastAsia="Calibri" w:hAnsi="Calibri" w:cs="Times New Roman"/>
          <w:b/>
          <w:lang w:eastAsia="en-AU"/>
        </w:rPr>
        <w:t>s</w:t>
      </w:r>
      <w:r w:rsidR="006A6C77">
        <w:rPr>
          <w:rFonts w:ascii="Calibri" w:eastAsia="Calibri" w:hAnsi="Calibri" w:cs="Times New Roman"/>
          <w:b/>
          <w:i/>
          <w:vertAlign w:val="superscript"/>
          <w:lang w:eastAsia="en-AU"/>
        </w:rPr>
        <w:footnoteReference w:id="5"/>
      </w:r>
      <w:r w:rsidR="006A6C77">
        <w:rPr>
          <w:rFonts w:ascii="Calibri" w:eastAsia="Calibri" w:hAnsi="Calibri" w:cs="Times New Roman"/>
          <w:b/>
          <w:i/>
          <w:lang w:eastAsia="en-AU"/>
        </w:rPr>
        <w:t xml:space="preserve"> </w:t>
      </w:r>
      <w:r w:rsidR="006A6C77">
        <w:rPr>
          <w:rFonts w:ascii="Calibri" w:eastAsia="Calibri" w:hAnsi="Calibri" w:cs="Times New Roman"/>
          <w:b/>
          <w:lang w:eastAsia="en-AU"/>
        </w:rPr>
        <w:t>can be viewed online.</w:t>
      </w:r>
    </w:p>
    <w:bookmarkEnd w:id="509"/>
    <w:bookmarkEnd w:id="510"/>
    <w:p w:rsidR="00C13B2C" w:rsidRDefault="00C13B2C" w:rsidP="002F4F36">
      <w:pPr>
        <w:pStyle w:val="Paper"/>
        <w:keepLines/>
        <w:spacing w:before="220" w:after="220" w:line="280" w:lineRule="atLeast"/>
        <w:rPr>
          <w:rFonts w:ascii="Calibri" w:hAnsi="Calibri"/>
          <w:bCs/>
          <w:sz w:val="22"/>
          <w:szCs w:val="22"/>
        </w:rPr>
      </w:pPr>
      <w:r>
        <w:rPr>
          <w:rFonts w:ascii="Calibri" w:hAnsi="Calibri"/>
          <w:bCs/>
          <w:sz w:val="22"/>
          <w:szCs w:val="22"/>
        </w:rPr>
        <w:t xml:space="preserve">The Committee wishes to thank the </w:t>
      </w:r>
      <w:r w:rsidR="004E5D8F">
        <w:rPr>
          <w:rFonts w:ascii="Calibri" w:hAnsi="Calibri"/>
          <w:bCs/>
          <w:sz w:val="22"/>
          <w:szCs w:val="22"/>
        </w:rPr>
        <w:t xml:space="preserve">Minister for </w:t>
      </w:r>
      <w:r w:rsidR="00C100B5">
        <w:rPr>
          <w:rFonts w:ascii="Calibri" w:hAnsi="Calibri"/>
          <w:bCs/>
          <w:sz w:val="22"/>
          <w:szCs w:val="22"/>
        </w:rPr>
        <w:t>Justice, Consumer Affairs and Road Safety</w:t>
      </w:r>
      <w:r w:rsidR="00D96491">
        <w:rPr>
          <w:rFonts w:ascii="Calibri" w:hAnsi="Calibri"/>
          <w:bCs/>
          <w:sz w:val="22"/>
          <w:szCs w:val="22"/>
        </w:rPr>
        <w:t>,</w:t>
      </w:r>
      <w:r w:rsidR="00280D11">
        <w:rPr>
          <w:rFonts w:ascii="Calibri" w:hAnsi="Calibri"/>
          <w:bCs/>
          <w:sz w:val="22"/>
          <w:szCs w:val="22"/>
        </w:rPr>
        <w:t xml:space="preserve"> </w:t>
      </w:r>
      <w:r w:rsidR="00C100B5">
        <w:rPr>
          <w:rFonts w:ascii="Calibri" w:hAnsi="Calibri"/>
          <w:bCs/>
          <w:sz w:val="22"/>
          <w:szCs w:val="22"/>
        </w:rPr>
        <w:t xml:space="preserve">and the Attorney-General, </w:t>
      </w:r>
      <w:r w:rsidR="00280D11">
        <w:rPr>
          <w:rFonts w:ascii="Calibri" w:hAnsi="Calibri"/>
          <w:bCs/>
          <w:sz w:val="22"/>
          <w:szCs w:val="22"/>
        </w:rPr>
        <w:t xml:space="preserve">for </w:t>
      </w:r>
      <w:r w:rsidR="00C100B5">
        <w:rPr>
          <w:rFonts w:ascii="Calibri" w:hAnsi="Calibri"/>
          <w:bCs/>
          <w:sz w:val="22"/>
          <w:szCs w:val="22"/>
        </w:rPr>
        <w:t>thei</w:t>
      </w:r>
      <w:r w:rsidR="0093790A">
        <w:rPr>
          <w:rFonts w:ascii="Calibri" w:hAnsi="Calibri"/>
          <w:bCs/>
          <w:sz w:val="22"/>
          <w:szCs w:val="22"/>
        </w:rPr>
        <w:t>r response</w:t>
      </w:r>
      <w:r w:rsidR="00C100B5">
        <w:rPr>
          <w:rFonts w:ascii="Calibri" w:hAnsi="Calibri"/>
          <w:bCs/>
          <w:sz w:val="22"/>
          <w:szCs w:val="22"/>
        </w:rPr>
        <w:t>s</w:t>
      </w:r>
      <w:r>
        <w:rPr>
          <w:rFonts w:ascii="Calibri" w:hAnsi="Calibri"/>
          <w:bCs/>
          <w:sz w:val="22"/>
          <w:szCs w:val="22"/>
        </w:rPr>
        <w:t>.</w:t>
      </w:r>
    </w:p>
    <w:p w:rsidR="00A978C9" w:rsidRDefault="00A978C9" w:rsidP="002F4F36">
      <w:pPr>
        <w:pStyle w:val="Paper"/>
        <w:keepLines/>
        <w:spacing w:before="220" w:after="220" w:line="280" w:lineRule="atLeast"/>
        <w:rPr>
          <w:rFonts w:ascii="Calibri" w:hAnsi="Calibri"/>
          <w:bCs/>
          <w:sz w:val="22"/>
          <w:szCs w:val="22"/>
        </w:rPr>
      </w:pPr>
      <w:r>
        <w:rPr>
          <w:rFonts w:ascii="Calibri" w:hAnsi="Calibri"/>
          <w:bCs/>
          <w:sz w:val="22"/>
          <w:szCs w:val="22"/>
        </w:rPr>
        <w:t>These responses will be considered by the Committee as its next meeting.</w:t>
      </w:r>
    </w:p>
    <w:p w:rsidR="00A978C9" w:rsidRDefault="00A978C9" w:rsidP="00A978C9">
      <w:pPr>
        <w:pStyle w:val="Paper"/>
        <w:keepLines/>
        <w:spacing w:after="0"/>
        <w:rPr>
          <w:rFonts w:ascii="Calibri" w:hAnsi="Calibri"/>
          <w:bCs/>
          <w:sz w:val="22"/>
          <w:szCs w:val="22"/>
        </w:rPr>
      </w:pPr>
    </w:p>
    <w:p w:rsidR="004F019A" w:rsidRPr="00104A8B" w:rsidRDefault="006E1ABB" w:rsidP="008C7B9E">
      <w:pPr>
        <w:spacing w:before="720" w:after="0"/>
      </w:pPr>
      <w:r>
        <w:t>G</w:t>
      </w:r>
      <w:r w:rsidR="00941D2C" w:rsidRPr="00104A8B">
        <w:t>iulia Jones</w:t>
      </w:r>
      <w:r w:rsidR="004F019A" w:rsidRPr="00104A8B">
        <w:t xml:space="preserve"> MLA</w:t>
      </w:r>
    </w:p>
    <w:p w:rsidR="00393D9F" w:rsidRDefault="004F019A" w:rsidP="00D50DEA">
      <w:pPr>
        <w:spacing w:before="0"/>
      </w:pPr>
      <w:r w:rsidRPr="00104A8B">
        <w:t>Chair</w:t>
      </w:r>
    </w:p>
    <w:p w:rsidR="003F186C" w:rsidRPr="00FF2947" w:rsidRDefault="00B44038" w:rsidP="00D50DEA">
      <w:pPr>
        <w:spacing w:before="0"/>
        <w:sectPr w:rsidR="003F186C" w:rsidRPr="00FF2947" w:rsidSect="00685D6D">
          <w:headerReference w:type="even" r:id="rId30"/>
          <w:headerReference w:type="default" r:id="rId31"/>
          <w:footerReference w:type="even" r:id="rId32"/>
          <w:footerReference w:type="default" r:id="rId33"/>
          <w:headerReference w:type="first" r:id="rId34"/>
          <w:pgSz w:w="11906" w:h="16838"/>
          <w:pgMar w:top="1710" w:right="1440" w:bottom="1170" w:left="1440" w:header="708" w:footer="543" w:gutter="0"/>
          <w:pgNumType w:start="1"/>
          <w:cols w:space="708"/>
          <w:docGrid w:linePitch="360"/>
        </w:sectPr>
      </w:pPr>
      <w:r>
        <w:t>28</w:t>
      </w:r>
      <w:r w:rsidR="00F75135">
        <w:t xml:space="preserve"> </w:t>
      </w:r>
      <w:r w:rsidR="00D96491">
        <w:t>July</w:t>
      </w:r>
      <w:r w:rsidR="006F388D">
        <w:t xml:space="preserve"> </w:t>
      </w:r>
      <w:r w:rsidR="00053DC1" w:rsidRPr="00FF2947">
        <w:t>2020</w:t>
      </w:r>
    </w:p>
    <w:p w:rsidR="003F186C" w:rsidRPr="00104A8B" w:rsidRDefault="003F186C" w:rsidP="00DF4EFB">
      <w:pPr>
        <w:pStyle w:val="Heading2"/>
      </w:pPr>
      <w:bookmarkStart w:id="543" w:name="_Toc514837979"/>
      <w:bookmarkStart w:id="544" w:name="_Toc46735476"/>
      <w:r w:rsidRPr="00104A8B">
        <w:lastRenderedPageBreak/>
        <w:t>Outstanding Responses</w:t>
      </w:r>
      <w:bookmarkEnd w:id="543"/>
      <w:bookmarkEnd w:id="544"/>
    </w:p>
    <w:p w:rsidR="003F186C" w:rsidRPr="00104A8B" w:rsidRDefault="003F186C" w:rsidP="003F186C">
      <w:pPr>
        <w:pStyle w:val="Heading3"/>
        <w:rPr>
          <w:rFonts w:asciiTheme="minorHAnsi" w:hAnsiTheme="minorHAnsi"/>
        </w:rPr>
      </w:pPr>
      <w:bookmarkStart w:id="545" w:name="_Toc505005688"/>
      <w:bookmarkStart w:id="546" w:name="_Toc505153779"/>
      <w:bookmarkStart w:id="547" w:name="_Toc508283444"/>
      <w:bookmarkStart w:id="548" w:name="_Toc510081804"/>
      <w:bookmarkStart w:id="549" w:name="_Toc511812230"/>
      <w:bookmarkStart w:id="550" w:name="_Toc512240173"/>
      <w:bookmarkStart w:id="551" w:name="_Toc513192173"/>
      <w:bookmarkStart w:id="552" w:name="_Toc514832434"/>
      <w:bookmarkStart w:id="553" w:name="_Toc514837980"/>
      <w:bookmarkStart w:id="554" w:name="_Toc514838144"/>
      <w:bookmarkStart w:id="555" w:name="_Toc514943619"/>
      <w:bookmarkStart w:id="556" w:name="_Toc515352064"/>
      <w:bookmarkStart w:id="557" w:name="_Toc518297261"/>
      <w:bookmarkStart w:id="558" w:name="_Toc519520755"/>
      <w:bookmarkStart w:id="559" w:name="_Toc520188735"/>
      <w:bookmarkStart w:id="560" w:name="_Toc521054338"/>
      <w:bookmarkStart w:id="561" w:name="_Toc521054410"/>
      <w:bookmarkStart w:id="562" w:name="_Toc523814181"/>
      <w:bookmarkStart w:id="563" w:name="_Toc523900477"/>
      <w:bookmarkStart w:id="564" w:name="_Toc526855826"/>
      <w:bookmarkStart w:id="565" w:name="_Toc528155854"/>
      <w:bookmarkStart w:id="566" w:name="_Toc528157213"/>
      <w:bookmarkStart w:id="567" w:name="_Toc528310867"/>
      <w:bookmarkStart w:id="568" w:name="_Toc529974547"/>
      <w:bookmarkStart w:id="569" w:name="_Toc530039442"/>
      <w:bookmarkStart w:id="570" w:name="_Toc536527689"/>
      <w:bookmarkStart w:id="571" w:name="_Toc536527863"/>
      <w:bookmarkStart w:id="572" w:name="_Toc536615405"/>
      <w:bookmarkStart w:id="573" w:name="_Toc172184"/>
      <w:bookmarkStart w:id="574" w:name="_Toc506087"/>
      <w:bookmarkStart w:id="575" w:name="_Toc965832"/>
      <w:bookmarkStart w:id="576" w:name="_Toc6211048"/>
      <w:bookmarkStart w:id="577" w:name="_Toc9500017"/>
      <w:bookmarkStart w:id="578" w:name="_Toc14334625"/>
      <w:bookmarkStart w:id="579" w:name="_Toc14775975"/>
      <w:bookmarkStart w:id="580" w:name="_Toc15285040"/>
      <w:bookmarkStart w:id="581" w:name="_Toc15630677"/>
      <w:bookmarkStart w:id="582" w:name="_Toc18415350"/>
      <w:bookmarkStart w:id="583" w:name="_Toc18487717"/>
      <w:bookmarkStart w:id="584" w:name="_Toc19708407"/>
      <w:bookmarkStart w:id="585" w:name="_Toc20131698"/>
      <w:bookmarkStart w:id="586" w:name="_Toc21595465"/>
      <w:bookmarkStart w:id="587" w:name="_Toc22025468"/>
      <w:bookmarkStart w:id="588" w:name="_Toc24463733"/>
      <w:bookmarkStart w:id="589" w:name="_Toc24617731"/>
      <w:bookmarkStart w:id="590" w:name="_Toc25050804"/>
      <w:bookmarkStart w:id="591" w:name="_Toc31202278"/>
      <w:bookmarkStart w:id="592" w:name="_Toc32390211"/>
      <w:bookmarkStart w:id="593" w:name="_Toc32566855"/>
      <w:bookmarkStart w:id="594" w:name="_Toc35437959"/>
      <w:bookmarkStart w:id="595" w:name="_Toc38270552"/>
      <w:bookmarkStart w:id="596" w:name="_Toc38362407"/>
      <w:bookmarkStart w:id="597" w:name="_Toc38442400"/>
      <w:bookmarkStart w:id="598" w:name="_Toc38976339"/>
      <w:bookmarkStart w:id="599" w:name="_Toc40693261"/>
      <w:bookmarkStart w:id="600" w:name="_Toc41570939"/>
      <w:bookmarkStart w:id="601" w:name="_Toc42875016"/>
      <w:bookmarkStart w:id="602" w:name="_Toc44074228"/>
      <w:bookmarkStart w:id="603" w:name="_Toc44323945"/>
      <w:bookmarkStart w:id="604" w:name="_Toc46484333"/>
      <w:bookmarkStart w:id="605" w:name="_Toc46735477"/>
      <w:r w:rsidRPr="00104A8B">
        <w:rPr>
          <w:rFonts w:asciiTheme="minorHAnsi" w:hAnsiTheme="minorHAnsi"/>
        </w:rPr>
        <w:t>Bills/Subordinate Legislation</w:t>
      </w:r>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p>
    <w:p w:rsidR="009B2F9D" w:rsidRPr="00DA162C" w:rsidRDefault="009B2F9D" w:rsidP="009A594B">
      <w:pPr>
        <w:pStyle w:val="ListParagraph"/>
        <w:numPr>
          <w:ilvl w:val="0"/>
          <w:numId w:val="12"/>
        </w:numPr>
        <w:spacing w:before="240" w:after="0"/>
        <w:ind w:left="357" w:hanging="357"/>
        <w:contextualSpacing w:val="0"/>
        <w:rPr>
          <w:b/>
        </w:rPr>
      </w:pPr>
      <w:r>
        <w:rPr>
          <w:b/>
        </w:rPr>
        <w:t>Report 27, dated 18</w:t>
      </w:r>
      <w:r w:rsidRPr="00DA162C">
        <w:rPr>
          <w:b/>
        </w:rPr>
        <w:t xml:space="preserve"> February 2019</w:t>
      </w:r>
    </w:p>
    <w:p w:rsidR="00302510" w:rsidRDefault="00302510" w:rsidP="00052A23">
      <w:pPr>
        <w:pStyle w:val="ListParagraph"/>
        <w:numPr>
          <w:ilvl w:val="0"/>
          <w:numId w:val="14"/>
        </w:numPr>
        <w:spacing w:before="120" w:after="0"/>
        <w:ind w:left="720"/>
        <w:contextualSpacing w:val="0"/>
      </w:pPr>
      <w:r>
        <w:t>Electoral Amendment Bill 2018 (Government Response)</w:t>
      </w:r>
      <w:r w:rsidR="00C504F2">
        <w:t>.</w:t>
      </w:r>
    </w:p>
    <w:p w:rsidR="00797F2E" w:rsidRPr="00DA162C" w:rsidRDefault="00797F2E" w:rsidP="00797F2E">
      <w:pPr>
        <w:pStyle w:val="ListParagraph"/>
        <w:numPr>
          <w:ilvl w:val="0"/>
          <w:numId w:val="12"/>
        </w:numPr>
        <w:spacing w:before="240" w:after="0"/>
        <w:ind w:left="357" w:hanging="357"/>
        <w:contextualSpacing w:val="0"/>
        <w:rPr>
          <w:b/>
        </w:rPr>
      </w:pPr>
      <w:r>
        <w:rPr>
          <w:b/>
        </w:rPr>
        <w:t>Report 28, dated 12 March</w:t>
      </w:r>
      <w:r w:rsidRPr="00DA162C">
        <w:rPr>
          <w:b/>
        </w:rPr>
        <w:t xml:space="preserve"> 2019</w:t>
      </w:r>
    </w:p>
    <w:p w:rsidR="00797F2E" w:rsidRDefault="00797F2E" w:rsidP="00797F2E">
      <w:pPr>
        <w:pStyle w:val="ListParagraph"/>
        <w:numPr>
          <w:ilvl w:val="0"/>
          <w:numId w:val="14"/>
        </w:numPr>
        <w:spacing w:before="120" w:after="0"/>
        <w:ind w:left="720"/>
        <w:contextualSpacing w:val="0"/>
      </w:pPr>
      <w:r>
        <w:t>Electoral Amendment Bill 2018 (Private Member’s amendments).</w:t>
      </w:r>
    </w:p>
    <w:p w:rsidR="00F477BB" w:rsidRPr="00501CD0" w:rsidRDefault="00F477BB" w:rsidP="00F477BB">
      <w:pPr>
        <w:pStyle w:val="ListParagraph"/>
        <w:numPr>
          <w:ilvl w:val="0"/>
          <w:numId w:val="12"/>
        </w:numPr>
        <w:spacing w:before="240" w:after="0"/>
        <w:ind w:left="357" w:hanging="357"/>
        <w:contextualSpacing w:val="0"/>
        <w:rPr>
          <w:b/>
        </w:rPr>
      </w:pPr>
      <w:r w:rsidRPr="00501CD0">
        <w:rPr>
          <w:b/>
        </w:rPr>
        <w:t>Report 3</w:t>
      </w:r>
      <w:r>
        <w:rPr>
          <w:b/>
        </w:rPr>
        <w:t>7</w:t>
      </w:r>
      <w:r w:rsidRPr="00501CD0">
        <w:rPr>
          <w:b/>
        </w:rPr>
        <w:t xml:space="preserve">, dated </w:t>
      </w:r>
      <w:r>
        <w:rPr>
          <w:b/>
        </w:rPr>
        <w:t>19 November</w:t>
      </w:r>
      <w:r w:rsidRPr="00501CD0">
        <w:rPr>
          <w:b/>
        </w:rPr>
        <w:t xml:space="preserve"> 2019</w:t>
      </w:r>
    </w:p>
    <w:p w:rsidR="00F477BB" w:rsidRDefault="00F477BB" w:rsidP="00F477BB">
      <w:pPr>
        <w:pStyle w:val="ListParagraph"/>
        <w:numPr>
          <w:ilvl w:val="0"/>
          <w:numId w:val="14"/>
        </w:numPr>
        <w:spacing w:before="120" w:after="0"/>
        <w:ind w:left="720"/>
        <w:contextualSpacing w:val="0"/>
      </w:pPr>
      <w:r>
        <w:t>Domestic Animals (Disqualified Keepers Register) Amendment Bill 2019</w:t>
      </w:r>
      <w:r w:rsidR="00F73BFE">
        <w:t xml:space="preserve"> (PMB)</w:t>
      </w:r>
      <w:r>
        <w:t>.</w:t>
      </w:r>
    </w:p>
    <w:p w:rsidR="00F477BB" w:rsidRDefault="00254B7A" w:rsidP="00F477BB">
      <w:pPr>
        <w:pStyle w:val="ListParagraph"/>
        <w:numPr>
          <w:ilvl w:val="0"/>
          <w:numId w:val="14"/>
        </w:numPr>
        <w:spacing w:before="120" w:after="0"/>
        <w:ind w:left="720"/>
        <w:contextualSpacing w:val="0"/>
      </w:pPr>
      <w:r>
        <w:t>Planning and Development (Controlled Activities) Amendment Bill 2019 (Private Member’s amendments)</w:t>
      </w:r>
      <w:r w:rsidR="000F6652">
        <w:t>.</w:t>
      </w:r>
    </w:p>
    <w:p w:rsidR="00901791" w:rsidRPr="00901791" w:rsidRDefault="00901791" w:rsidP="00901791">
      <w:pPr>
        <w:pStyle w:val="ListParagraph"/>
        <w:numPr>
          <w:ilvl w:val="0"/>
          <w:numId w:val="12"/>
        </w:numPr>
        <w:spacing w:before="240" w:after="0"/>
        <w:ind w:left="357" w:hanging="357"/>
        <w:contextualSpacing w:val="0"/>
        <w:rPr>
          <w:b/>
        </w:rPr>
      </w:pPr>
      <w:r w:rsidRPr="00901791">
        <w:rPr>
          <w:b/>
        </w:rPr>
        <w:t>Report 38, dated 4 February 2020</w:t>
      </w:r>
    </w:p>
    <w:p w:rsidR="00901791" w:rsidRDefault="00901791" w:rsidP="00901791">
      <w:pPr>
        <w:pStyle w:val="ListParagraph"/>
        <w:numPr>
          <w:ilvl w:val="0"/>
          <w:numId w:val="14"/>
        </w:numPr>
        <w:spacing w:before="120" w:after="0"/>
        <w:ind w:left="720"/>
        <w:contextualSpacing w:val="0"/>
      </w:pPr>
      <w:r>
        <w:t>Electoral Legislation Amendment Bill 2019 (Private Member’s amendments).</w:t>
      </w:r>
    </w:p>
    <w:p w:rsidR="000F6652" w:rsidRPr="000F6652" w:rsidRDefault="000F6652" w:rsidP="000F6652">
      <w:pPr>
        <w:pStyle w:val="ListParagraph"/>
        <w:numPr>
          <w:ilvl w:val="0"/>
          <w:numId w:val="12"/>
        </w:numPr>
        <w:spacing w:before="240" w:after="0"/>
        <w:ind w:left="357" w:hanging="357"/>
        <w:contextualSpacing w:val="0"/>
        <w:rPr>
          <w:b/>
        </w:rPr>
      </w:pPr>
      <w:r w:rsidRPr="000F6652">
        <w:rPr>
          <w:b/>
        </w:rPr>
        <w:t>R</w:t>
      </w:r>
      <w:r w:rsidR="00FF2947">
        <w:rPr>
          <w:b/>
        </w:rPr>
        <w:t>eport 39, dated 17 February 2020</w:t>
      </w:r>
    </w:p>
    <w:p w:rsidR="007848D1" w:rsidRDefault="000F6652" w:rsidP="00E25B59">
      <w:pPr>
        <w:pStyle w:val="ListParagraph"/>
        <w:numPr>
          <w:ilvl w:val="0"/>
          <w:numId w:val="14"/>
        </w:numPr>
        <w:spacing w:before="120" w:after="0"/>
        <w:ind w:left="720"/>
        <w:contextualSpacing w:val="0"/>
      </w:pPr>
      <w:r>
        <w:t>Unit Titles Amendment Bill 2019 (Private Member’s amendments).</w:t>
      </w:r>
    </w:p>
    <w:p w:rsidR="00E84F73" w:rsidRPr="00E84F73" w:rsidRDefault="00E84F73" w:rsidP="00E84F73">
      <w:pPr>
        <w:pStyle w:val="ListParagraph"/>
        <w:numPr>
          <w:ilvl w:val="0"/>
          <w:numId w:val="12"/>
        </w:numPr>
        <w:spacing w:before="240" w:after="0"/>
        <w:ind w:left="357" w:hanging="357"/>
        <w:contextualSpacing w:val="0"/>
        <w:rPr>
          <w:b/>
        </w:rPr>
      </w:pPr>
      <w:r w:rsidRPr="00E84F73">
        <w:rPr>
          <w:b/>
        </w:rPr>
        <w:t>Report 41, dated 28 April 2020</w:t>
      </w:r>
    </w:p>
    <w:p w:rsidR="00E84F73" w:rsidRDefault="00E84F73" w:rsidP="00E84F73">
      <w:pPr>
        <w:pStyle w:val="ListParagraph"/>
        <w:numPr>
          <w:ilvl w:val="0"/>
          <w:numId w:val="14"/>
        </w:numPr>
        <w:spacing w:before="120" w:after="0"/>
        <w:ind w:left="720"/>
        <w:contextualSpacing w:val="0"/>
      </w:pPr>
      <w:r>
        <w:t>COVID-19 Emergency Response</w:t>
      </w:r>
      <w:r w:rsidR="009D5133">
        <w:t xml:space="preserve"> Bill 2020</w:t>
      </w:r>
      <w:r w:rsidR="006F388D">
        <w:t>.</w:t>
      </w:r>
    </w:p>
    <w:p w:rsidR="006F388D" w:rsidRPr="006F388D" w:rsidRDefault="006F388D" w:rsidP="006F388D">
      <w:pPr>
        <w:pStyle w:val="ListParagraph"/>
        <w:numPr>
          <w:ilvl w:val="0"/>
          <w:numId w:val="12"/>
        </w:numPr>
        <w:spacing w:before="240" w:after="0"/>
        <w:ind w:left="357" w:hanging="357"/>
        <w:contextualSpacing w:val="0"/>
        <w:rPr>
          <w:b/>
        </w:rPr>
      </w:pPr>
      <w:r w:rsidRPr="006F388D">
        <w:rPr>
          <w:b/>
        </w:rPr>
        <w:t>Report 42, dated 19 May 2020</w:t>
      </w:r>
    </w:p>
    <w:p w:rsidR="006F388D" w:rsidRDefault="006F388D" w:rsidP="006F388D">
      <w:pPr>
        <w:pStyle w:val="ListParagraph"/>
        <w:numPr>
          <w:ilvl w:val="0"/>
          <w:numId w:val="14"/>
        </w:numPr>
        <w:spacing w:before="120" w:after="0"/>
        <w:ind w:left="720"/>
        <w:contextualSpacing w:val="0"/>
      </w:pPr>
      <w:r>
        <w:t>Crimes (Offences Against Vulnerable People) Amendment Bill 2020.</w:t>
      </w:r>
    </w:p>
    <w:p w:rsidR="00094472" w:rsidRPr="00094472" w:rsidRDefault="00094472" w:rsidP="00094472">
      <w:pPr>
        <w:pStyle w:val="ListParagraph"/>
        <w:numPr>
          <w:ilvl w:val="0"/>
          <w:numId w:val="12"/>
        </w:numPr>
        <w:spacing w:before="240" w:after="0"/>
        <w:ind w:left="357" w:hanging="357"/>
        <w:contextualSpacing w:val="0"/>
        <w:rPr>
          <w:b/>
        </w:rPr>
      </w:pPr>
      <w:r w:rsidRPr="00094472">
        <w:rPr>
          <w:b/>
        </w:rPr>
        <w:t>Report 44, dated 16 June 2020</w:t>
      </w:r>
    </w:p>
    <w:p w:rsidR="00094472" w:rsidRDefault="00094472" w:rsidP="00094472">
      <w:pPr>
        <w:pStyle w:val="ListParagraph"/>
        <w:numPr>
          <w:ilvl w:val="0"/>
          <w:numId w:val="14"/>
        </w:numPr>
        <w:spacing w:before="120" w:after="0"/>
        <w:ind w:left="720"/>
        <w:contextualSpacing w:val="0"/>
      </w:pPr>
      <w:r>
        <w:t>Disallowable Instrument DI2020-93 Veterinary Practice (Fees) Determination 2020 (</w:t>
      </w:r>
      <w:r w:rsidR="00A52216">
        <w:t>No </w:t>
      </w:r>
      <w:r>
        <w:t>2).</w:t>
      </w:r>
    </w:p>
    <w:p w:rsidR="00094472" w:rsidRDefault="00094472" w:rsidP="00094472">
      <w:pPr>
        <w:pStyle w:val="ListParagraph"/>
        <w:numPr>
          <w:ilvl w:val="0"/>
          <w:numId w:val="14"/>
        </w:numPr>
        <w:spacing w:before="120" w:after="0"/>
        <w:ind w:left="720"/>
        <w:contextualSpacing w:val="0"/>
      </w:pPr>
      <w:r>
        <w:t>Disallowable Instrument DI2020-98 Crimes (Sentence Administration) (Sentence Administration Board) Appointment 2020 (</w:t>
      </w:r>
      <w:r w:rsidR="00A52216">
        <w:t>No </w:t>
      </w:r>
      <w:r>
        <w:t>1).</w:t>
      </w:r>
    </w:p>
    <w:p w:rsidR="00094472" w:rsidRDefault="00094472" w:rsidP="00094472">
      <w:pPr>
        <w:pStyle w:val="ListParagraph"/>
        <w:numPr>
          <w:ilvl w:val="0"/>
          <w:numId w:val="14"/>
        </w:numPr>
        <w:spacing w:before="120" w:after="0"/>
        <w:ind w:left="720"/>
        <w:contextualSpacing w:val="0"/>
      </w:pPr>
      <w:r>
        <w:t>Disallowable Instrument DI2020-99 Crimes (Sentence Administration) (Sentence Administration Board) Appointment 2020 (</w:t>
      </w:r>
      <w:r w:rsidR="00A52216">
        <w:t>No </w:t>
      </w:r>
      <w:r>
        <w:t>2).</w:t>
      </w:r>
    </w:p>
    <w:p w:rsidR="00094472" w:rsidRDefault="00094472" w:rsidP="00094472">
      <w:pPr>
        <w:pStyle w:val="ListParagraph"/>
        <w:numPr>
          <w:ilvl w:val="0"/>
          <w:numId w:val="14"/>
        </w:numPr>
        <w:spacing w:before="120" w:after="0"/>
        <w:ind w:left="720"/>
        <w:contextualSpacing w:val="0"/>
      </w:pPr>
      <w:r>
        <w:t>Disallowable Instrument DI2020-100 Crimes (Sentence Administration) (Sentence Administration Board) Appointment 2020 (</w:t>
      </w:r>
      <w:r w:rsidR="00A52216">
        <w:t>No </w:t>
      </w:r>
      <w:r>
        <w:t>3).</w:t>
      </w:r>
    </w:p>
    <w:p w:rsidR="00094472" w:rsidRDefault="00094472" w:rsidP="00094472">
      <w:pPr>
        <w:pStyle w:val="ListParagraph"/>
        <w:numPr>
          <w:ilvl w:val="0"/>
          <w:numId w:val="14"/>
        </w:numPr>
        <w:spacing w:before="120" w:after="0"/>
        <w:ind w:left="720"/>
        <w:contextualSpacing w:val="0"/>
      </w:pPr>
      <w:r>
        <w:t>Disallowable Instrument DI2020-108 Crimes (Sentence Administration) (Sentence Administration Board) Appointment 2020 (</w:t>
      </w:r>
      <w:r w:rsidR="00A52216">
        <w:t>No </w:t>
      </w:r>
      <w:r>
        <w:t>10).</w:t>
      </w:r>
    </w:p>
    <w:p w:rsidR="00094472" w:rsidRDefault="00094472" w:rsidP="00094472">
      <w:pPr>
        <w:pStyle w:val="ListParagraph"/>
        <w:numPr>
          <w:ilvl w:val="0"/>
          <w:numId w:val="14"/>
        </w:numPr>
        <w:spacing w:before="120" w:after="0"/>
        <w:ind w:left="720"/>
        <w:contextualSpacing w:val="0"/>
      </w:pPr>
      <w:r>
        <w:t>Residential Tenancies Amendment Bill 2020 (Private Member</w:t>
      </w:r>
      <w:r w:rsidR="009027F8">
        <w:t>’s amendments</w:t>
      </w:r>
      <w:r>
        <w:t>).</w:t>
      </w:r>
    </w:p>
    <w:p w:rsidR="008767A8" w:rsidRPr="008767A8" w:rsidRDefault="008767A8" w:rsidP="008767A8">
      <w:pPr>
        <w:pStyle w:val="ListParagraph"/>
        <w:numPr>
          <w:ilvl w:val="0"/>
          <w:numId w:val="12"/>
        </w:numPr>
        <w:spacing w:before="240" w:after="0"/>
        <w:ind w:left="357" w:hanging="357"/>
        <w:contextualSpacing w:val="0"/>
        <w:rPr>
          <w:b/>
        </w:rPr>
      </w:pPr>
      <w:r w:rsidRPr="008767A8">
        <w:rPr>
          <w:b/>
        </w:rPr>
        <w:t>Report 45, dated 30 June 2020</w:t>
      </w:r>
    </w:p>
    <w:p w:rsidR="008767A8" w:rsidRDefault="008767A8" w:rsidP="008767A8">
      <w:pPr>
        <w:pStyle w:val="ListParagraph"/>
        <w:numPr>
          <w:ilvl w:val="0"/>
          <w:numId w:val="14"/>
        </w:numPr>
        <w:spacing w:before="120" w:after="0"/>
        <w:ind w:left="720"/>
        <w:contextualSpacing w:val="0"/>
      </w:pPr>
      <w:r>
        <w:t>Disallowable Instrument DI2020-109 Electronic Conveyancing National Law (ACT) Participation Rules 2020.</w:t>
      </w:r>
    </w:p>
    <w:p w:rsidR="008767A8" w:rsidRDefault="008767A8" w:rsidP="008767A8">
      <w:pPr>
        <w:pStyle w:val="ListParagraph"/>
        <w:numPr>
          <w:ilvl w:val="0"/>
          <w:numId w:val="14"/>
        </w:numPr>
        <w:spacing w:before="120" w:after="0"/>
        <w:ind w:left="720"/>
        <w:contextualSpacing w:val="0"/>
      </w:pPr>
      <w:r>
        <w:lastRenderedPageBreak/>
        <w:t>Disallowable Instrument DI2020-110 Electronic Conveyancing National Law (ACT) Operating Requirements 2020.</w:t>
      </w:r>
    </w:p>
    <w:p w:rsidR="008767A8" w:rsidRDefault="008767A8" w:rsidP="008767A8">
      <w:pPr>
        <w:pStyle w:val="ListParagraph"/>
        <w:numPr>
          <w:ilvl w:val="0"/>
          <w:numId w:val="14"/>
        </w:numPr>
        <w:spacing w:before="120" w:after="0"/>
        <w:ind w:left="720"/>
        <w:contextualSpacing w:val="0"/>
      </w:pPr>
      <w:r>
        <w:t>Disallowable Instrument DI2020-117 Liquor (Fees) Determination 2020.</w:t>
      </w:r>
    </w:p>
    <w:p w:rsidR="008767A8" w:rsidRDefault="008767A8" w:rsidP="008767A8">
      <w:pPr>
        <w:pStyle w:val="ListParagraph"/>
        <w:numPr>
          <w:ilvl w:val="0"/>
          <w:numId w:val="14"/>
        </w:numPr>
        <w:spacing w:before="120" w:after="0"/>
        <w:ind w:left="720"/>
        <w:contextualSpacing w:val="0"/>
      </w:pPr>
      <w:r>
        <w:t>Disallowable Instrument DI2020-119 Liquor (COVID-19 Emergency Response—Licence Fee Waiver) Declaration 2020.</w:t>
      </w:r>
    </w:p>
    <w:p w:rsidR="008767A8" w:rsidRDefault="008767A8" w:rsidP="008767A8">
      <w:pPr>
        <w:pStyle w:val="ListParagraph"/>
        <w:numPr>
          <w:ilvl w:val="0"/>
          <w:numId w:val="14"/>
        </w:numPr>
        <w:spacing w:before="120" w:after="0"/>
        <w:ind w:left="720"/>
        <w:contextualSpacing w:val="0"/>
      </w:pPr>
      <w:r>
        <w:t>Disallowable Instrument DI2020-120 Liquor (COVID-19 Emergency Response—Permit Fee Waiver) Declaration 2020.</w:t>
      </w:r>
    </w:p>
    <w:p w:rsidR="00FF0CAE" w:rsidRPr="00FF0CAE" w:rsidRDefault="00FF0CAE" w:rsidP="00FF0CAE">
      <w:pPr>
        <w:pStyle w:val="ListParagraph"/>
        <w:numPr>
          <w:ilvl w:val="0"/>
          <w:numId w:val="12"/>
        </w:numPr>
        <w:spacing w:before="240" w:after="0"/>
        <w:ind w:left="357" w:hanging="357"/>
        <w:contextualSpacing w:val="0"/>
        <w:rPr>
          <w:b/>
        </w:rPr>
      </w:pPr>
      <w:r w:rsidRPr="00FF0CAE">
        <w:rPr>
          <w:b/>
        </w:rPr>
        <w:t>Report 46, dated 21 July 2020</w:t>
      </w:r>
    </w:p>
    <w:p w:rsidR="00FF0CAE" w:rsidRDefault="00FF0CAE" w:rsidP="00FF0CAE">
      <w:pPr>
        <w:pStyle w:val="ListParagraph"/>
        <w:numPr>
          <w:ilvl w:val="0"/>
          <w:numId w:val="14"/>
        </w:numPr>
        <w:spacing w:before="120" w:after="0"/>
        <w:ind w:left="720"/>
        <w:contextualSpacing w:val="0"/>
      </w:pPr>
      <w:r>
        <w:t>Disallowable Instrument DI2020-130 Gambling and Racing Control (Governing Board) Appointment 2020 (No 2).</w:t>
      </w:r>
      <w:r>
        <w:tab/>
      </w:r>
    </w:p>
    <w:p w:rsidR="00FF0CAE" w:rsidRDefault="00FF0CAE" w:rsidP="00FF0CAE">
      <w:pPr>
        <w:pStyle w:val="ListParagraph"/>
        <w:numPr>
          <w:ilvl w:val="0"/>
          <w:numId w:val="14"/>
        </w:numPr>
        <w:spacing w:before="120" w:after="0"/>
        <w:ind w:left="720"/>
        <w:contextualSpacing w:val="0"/>
      </w:pPr>
      <w:r>
        <w:t>Disallowable Instrument DI2020-131 Gambling and Racing Control (Governing Board) Appointment 2020 (No 1)</w:t>
      </w:r>
      <w:r>
        <w:tab/>
        <w:t>.</w:t>
      </w:r>
    </w:p>
    <w:p w:rsidR="00FF0CAE" w:rsidRDefault="00FF0CAE" w:rsidP="00FF0CAE">
      <w:pPr>
        <w:pStyle w:val="ListParagraph"/>
        <w:numPr>
          <w:ilvl w:val="0"/>
          <w:numId w:val="14"/>
        </w:numPr>
        <w:spacing w:before="120" w:after="0"/>
        <w:ind w:left="720"/>
        <w:contextualSpacing w:val="0"/>
      </w:pPr>
      <w:r>
        <w:t>Disallowable Instrument DI2020-132 Lotteries (Fees) Determination 2020 (No 1).</w:t>
      </w:r>
      <w:r>
        <w:tab/>
      </w:r>
    </w:p>
    <w:p w:rsidR="00FF0CAE" w:rsidRDefault="00FF0CAE" w:rsidP="00FF0CAE">
      <w:pPr>
        <w:pStyle w:val="ListParagraph"/>
        <w:numPr>
          <w:ilvl w:val="0"/>
          <w:numId w:val="14"/>
        </w:numPr>
        <w:spacing w:before="120" w:after="0"/>
        <w:ind w:left="720"/>
        <w:contextualSpacing w:val="0"/>
      </w:pPr>
      <w:r>
        <w:t>Subordinate Law SL2020-20 Court Procedures Amendment Rules 2020 (No 3)</w:t>
      </w:r>
      <w:r>
        <w:tab/>
        <w:t>.</w:t>
      </w:r>
    </w:p>
    <w:sectPr w:rsidR="00FF0CAE" w:rsidSect="00613AE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3A1A" w:rsidRDefault="00003A1A" w:rsidP="000B0846">
      <w:pPr>
        <w:spacing w:after="0" w:line="240" w:lineRule="auto"/>
      </w:pPr>
      <w:r>
        <w:separator/>
      </w:r>
    </w:p>
  </w:endnote>
  <w:endnote w:type="continuationSeparator" w:id="0">
    <w:p w:rsidR="00003A1A" w:rsidRDefault="00003A1A" w:rsidP="000B08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vantGarde Bk BT">
    <w:altName w:val="Century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3A1A" w:rsidRDefault="00003A1A">
    <w:pPr>
      <w:pStyle w:val="Footer"/>
    </w:pPr>
  </w:p>
  <w:p w:rsidR="00003A1A" w:rsidRDefault="00003A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3A1A" w:rsidRDefault="00003A1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3A1A" w:rsidRDefault="00003A1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4575871"/>
      <w:docPartObj>
        <w:docPartGallery w:val="Page Numbers (Bottom of Page)"/>
        <w:docPartUnique/>
      </w:docPartObj>
    </w:sdtPr>
    <w:sdtEndPr>
      <w:rPr>
        <w:noProof/>
      </w:rPr>
    </w:sdtEndPr>
    <w:sdtContent>
      <w:p w:rsidR="00003A1A" w:rsidRDefault="00003A1A">
        <w:pPr>
          <w:pStyle w:val="Footer"/>
        </w:pPr>
        <w:r>
          <w:rPr>
            <w:noProof/>
          </w:rPr>
          <w:fldChar w:fldCharType="begin"/>
        </w:r>
        <w:r>
          <w:rPr>
            <w:noProof/>
          </w:rPr>
          <w:instrText xml:space="preserve"> PAGE   \* MERGEFORMAT </w:instrText>
        </w:r>
        <w:r>
          <w:rPr>
            <w:noProof/>
          </w:rPr>
          <w:fldChar w:fldCharType="separate"/>
        </w:r>
        <w:r w:rsidR="003F4F00">
          <w:rPr>
            <w:noProof/>
          </w:rPr>
          <w:t>ii</w:t>
        </w:r>
        <w:r>
          <w:rPr>
            <w:noProof/>
          </w:rPr>
          <w:fldChar w:fldCharType="end"/>
        </w:r>
      </w:p>
    </w:sdtContent>
  </w:sdt>
  <w:p w:rsidR="00003A1A" w:rsidRDefault="00003A1A">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4575872"/>
      <w:docPartObj>
        <w:docPartGallery w:val="Page Numbers (Bottom of Page)"/>
        <w:docPartUnique/>
      </w:docPartObj>
    </w:sdtPr>
    <w:sdtEndPr>
      <w:rPr>
        <w:noProof/>
      </w:rPr>
    </w:sdtEndPr>
    <w:sdtContent>
      <w:p w:rsidR="00003A1A" w:rsidRDefault="00003A1A">
        <w:pPr>
          <w:pStyle w:val="Footer"/>
          <w:jc w:val="right"/>
        </w:pPr>
        <w:r>
          <w:rPr>
            <w:noProof/>
          </w:rPr>
          <w:fldChar w:fldCharType="begin"/>
        </w:r>
        <w:r>
          <w:rPr>
            <w:noProof/>
          </w:rPr>
          <w:instrText xml:space="preserve"> PAGE   \* MERGEFORMAT </w:instrText>
        </w:r>
        <w:r>
          <w:rPr>
            <w:noProof/>
          </w:rPr>
          <w:fldChar w:fldCharType="separate"/>
        </w:r>
        <w:r w:rsidR="003F4F00">
          <w:rPr>
            <w:noProof/>
          </w:rPr>
          <w:t>iii</w:t>
        </w:r>
        <w:r>
          <w:rPr>
            <w:noProof/>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3A1A" w:rsidRDefault="00003A1A">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3A1A" w:rsidRPr="00EE534B" w:rsidRDefault="00003A1A">
    <w:pPr>
      <w:pStyle w:val="Footer"/>
      <w:rPr>
        <w:sz w:val="18"/>
        <w:szCs w:val="18"/>
      </w:rPr>
    </w:pPr>
    <w:r>
      <w:rPr>
        <w:noProof/>
      </w:rPr>
      <w:fldChar w:fldCharType="begin"/>
    </w:r>
    <w:r>
      <w:rPr>
        <w:noProof/>
      </w:rPr>
      <w:instrText xml:space="preserve"> PAGE   \* MERGEFORMAT </w:instrText>
    </w:r>
    <w:r>
      <w:rPr>
        <w:noProof/>
      </w:rPr>
      <w:fldChar w:fldCharType="separate"/>
    </w:r>
    <w:r w:rsidR="003F4F00">
      <w:rPr>
        <w:noProof/>
      </w:rPr>
      <w:t>16</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8172407"/>
      <w:docPartObj>
        <w:docPartGallery w:val="Page Numbers (Bottom of Page)"/>
        <w:docPartUnique/>
      </w:docPartObj>
    </w:sdtPr>
    <w:sdtEndPr>
      <w:rPr>
        <w:noProof/>
      </w:rPr>
    </w:sdtEndPr>
    <w:sdtContent>
      <w:p w:rsidR="00003A1A" w:rsidRPr="00EE534B" w:rsidRDefault="00003A1A">
        <w:pPr>
          <w:pStyle w:val="Footer"/>
          <w:jc w:val="right"/>
          <w:rPr>
            <w:sz w:val="18"/>
            <w:szCs w:val="18"/>
          </w:rPr>
        </w:pPr>
        <w:r>
          <w:rPr>
            <w:noProof/>
          </w:rPr>
          <w:fldChar w:fldCharType="begin"/>
        </w:r>
        <w:r>
          <w:rPr>
            <w:noProof/>
          </w:rPr>
          <w:instrText xml:space="preserve"> PAGE   \* MERGEFORMAT </w:instrText>
        </w:r>
        <w:r>
          <w:rPr>
            <w:noProof/>
          </w:rPr>
          <w:fldChar w:fldCharType="separate"/>
        </w:r>
        <w:r w:rsidR="003F4F00">
          <w:rPr>
            <w:noProof/>
          </w:rPr>
          <w:t>15</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3A1A" w:rsidRDefault="00003A1A" w:rsidP="00685D6D">
      <w:pPr>
        <w:spacing w:before="80" w:after="0" w:line="240" w:lineRule="auto"/>
      </w:pPr>
      <w:r>
        <w:separator/>
      </w:r>
    </w:p>
  </w:footnote>
  <w:footnote w:type="continuationSeparator" w:id="0">
    <w:p w:rsidR="00003A1A" w:rsidRDefault="00003A1A" w:rsidP="000B0846">
      <w:pPr>
        <w:spacing w:after="0" w:line="240" w:lineRule="auto"/>
      </w:pPr>
      <w:r>
        <w:continuationSeparator/>
      </w:r>
    </w:p>
  </w:footnote>
  <w:footnote w:id="1">
    <w:p w:rsidR="00003A1A" w:rsidRPr="00A52216" w:rsidRDefault="00003A1A" w:rsidP="00F71FB8">
      <w:pPr>
        <w:pStyle w:val="FootnoteText"/>
        <w:spacing w:before="120"/>
        <w:rPr>
          <w:sz w:val="19"/>
          <w:szCs w:val="19"/>
        </w:rPr>
      </w:pPr>
      <w:r>
        <w:rPr>
          <w:rStyle w:val="FootnoteReference"/>
        </w:rPr>
        <w:footnoteRef/>
      </w:r>
      <w:r>
        <w:t xml:space="preserve"> </w:t>
      </w:r>
      <w:r w:rsidRPr="00A52216">
        <w:rPr>
          <w:color w:val="000000"/>
          <w:sz w:val="19"/>
          <w:szCs w:val="19"/>
        </w:rPr>
        <w:t>https://www.parliament.act.gov.au/__data/assets/pdf_file/0007/434347/Subordinate-Legislation-Technical-and-Stylistic-Standards.pdf.</w:t>
      </w:r>
    </w:p>
  </w:footnote>
  <w:footnote w:id="2">
    <w:p w:rsidR="00003A1A" w:rsidRDefault="00003A1A" w:rsidP="00A52216">
      <w:pPr>
        <w:pStyle w:val="FootnoteText"/>
      </w:pPr>
      <w:r>
        <w:rPr>
          <w:rStyle w:val="FootnoteReference"/>
        </w:rPr>
        <w:footnoteRef/>
      </w:r>
      <w:r>
        <w:t xml:space="preserve"> </w:t>
      </w:r>
      <w:r>
        <w:rPr>
          <w:color w:val="000000"/>
          <w:szCs w:val="18"/>
        </w:rPr>
        <w:t>https://www.parliament.act.gov.au/__data/assets/pdf_file/0007/434347/Subordinate-Legislation-Technical-and-Stylistic-Standards.pdf.</w:t>
      </w:r>
    </w:p>
  </w:footnote>
  <w:footnote w:id="3">
    <w:p w:rsidR="00003A1A" w:rsidRDefault="00003A1A" w:rsidP="00885BD3">
      <w:pPr>
        <w:pStyle w:val="FootnoteText"/>
        <w:spacing w:before="120"/>
      </w:pPr>
      <w:r>
        <w:rPr>
          <w:rStyle w:val="FootnoteReference"/>
        </w:rPr>
        <w:footnoteRef/>
      </w:r>
      <w:r>
        <w:t xml:space="preserve"> </w:t>
      </w:r>
      <w:r>
        <w:rPr>
          <w:color w:val="000000"/>
          <w:szCs w:val="18"/>
        </w:rPr>
        <w:t>https://www.parliament.act.gov.au/__data/assets/pdf_file/0007/434347/Subordinate-Legislation-Technical-and-Stylistic-Standards.pdf.</w:t>
      </w:r>
    </w:p>
  </w:footnote>
  <w:footnote w:id="4">
    <w:p w:rsidR="00003A1A" w:rsidRDefault="00003A1A" w:rsidP="00932B67">
      <w:pPr>
        <w:pStyle w:val="FootnoteText"/>
      </w:pPr>
      <w:r>
        <w:rPr>
          <w:rStyle w:val="FootnoteReference"/>
        </w:rPr>
        <w:footnoteRef/>
      </w:r>
      <w:r>
        <w:t xml:space="preserve"> This statement also appears in the explanatory statement for DI2020-163.</w:t>
      </w:r>
    </w:p>
  </w:footnote>
  <w:footnote w:id="5">
    <w:p w:rsidR="00003A1A" w:rsidRPr="002F4F36" w:rsidRDefault="00003A1A" w:rsidP="002F4F36">
      <w:pPr>
        <w:pStyle w:val="FootnoteText"/>
        <w:spacing w:before="0"/>
        <w:ind w:left="180" w:hanging="180"/>
      </w:pPr>
      <w:r>
        <w:rPr>
          <w:rStyle w:val="FootnoteReference"/>
          <w:sz w:val="19"/>
          <w:szCs w:val="19"/>
        </w:rPr>
        <w:footnoteRef/>
      </w:r>
      <w:r>
        <w:rPr>
          <w:sz w:val="19"/>
          <w:szCs w:val="19"/>
        </w:rPr>
        <w:t xml:space="preserve"> </w:t>
      </w:r>
      <w:r w:rsidRPr="002F4F36">
        <w:rPr>
          <w:lang w:eastAsia="en-AU"/>
        </w:rPr>
        <w:t>https://www.parliament.act.gov.au/in-committees/standing-committees-current-assembly/standing-committee-on-justice-and-community-safety-legislative-scrutiny-role/responses-to-comments-on-bills.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3A1A" w:rsidRDefault="00003A1A">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3A1A" w:rsidRPr="003B6A7E" w:rsidRDefault="00003A1A" w:rsidP="00FC2EEA">
    <w:pPr>
      <w:pStyle w:val="Header"/>
      <w:pBdr>
        <w:bottom w:val="single" w:sz="4" w:space="1" w:color="auto"/>
      </w:pBdr>
    </w:pPr>
    <w:r w:rsidRPr="009D788E">
      <w:rPr>
        <w:smallCaps/>
      </w:rPr>
      <w:t>Standing Committee on Justice and Community Safety (Legislative Scrutiny Role)</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3A1A" w:rsidRPr="001B0650" w:rsidRDefault="00003A1A" w:rsidP="00F52AA6">
    <w:pPr>
      <w:pStyle w:val="Header"/>
      <w:pBdr>
        <w:bottom w:val="single" w:sz="4" w:space="1" w:color="auto"/>
      </w:pBdr>
      <w:tabs>
        <w:tab w:val="left" w:pos="6216"/>
      </w:tabs>
      <w:jc w:val="right"/>
      <w:rPr>
        <w:smallCaps/>
      </w:rPr>
    </w:pPr>
    <w:r>
      <w:rPr>
        <w:smallCaps/>
        <w:noProof/>
      </w:rPr>
      <w:fldChar w:fldCharType="begin"/>
    </w:r>
    <w:r>
      <w:rPr>
        <w:smallCaps/>
        <w:noProof/>
      </w:rPr>
      <w:instrText xml:space="preserve"> STYLEREF  "Heading 1"  \* MERGEFORMAT </w:instrText>
    </w:r>
    <w:r>
      <w:rPr>
        <w:smallCaps/>
        <w:noProof/>
      </w:rPr>
      <w:fldChar w:fldCharType="separate"/>
    </w:r>
    <w:r w:rsidR="003F4F00">
      <w:rPr>
        <w:smallCaps/>
        <w:noProof/>
      </w:rPr>
      <w:t>Scrutiny Report 47</w:t>
    </w:r>
    <w:r>
      <w:rPr>
        <w:smallCaps/>
        <w:noProof/>
      </w:rPr>
      <w:fldChar w:fldCharType="end"/>
    </w:r>
  </w:p>
  <w:p w:rsidR="00003A1A" w:rsidRDefault="00003A1A">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3A1A" w:rsidRDefault="003F4F0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051536" o:spid="_x0000_s2108" type="#_x0000_t136" style="position:absolute;margin-left:0;margin-top:0;width:520.6pt;height:115.65pt;rotation:315;z-index:-251638784;mso-position-horizontal:center;mso-position-horizontal-relative:margin;mso-position-vertical:center;mso-position-vertical-relative:margin" o:allowincell="f" fillcolor="silver" stroked="f">
          <v:fill opacity=".5"/>
          <v:textpath style="font-family:&quot;Arial Rounded MT Bold&quot;;font-size:1pt" string="D R A F 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3A1A" w:rsidRDefault="00003A1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3A1A" w:rsidRDefault="003F4F0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051527" o:spid="_x0000_s2099" type="#_x0000_t136" style="position:absolute;margin-left:0;margin-top:0;width:520.6pt;height:115.65pt;rotation:315;z-index:-251657216;mso-position-horizontal:center;mso-position-horizontal-relative:margin;mso-position-vertical:center;mso-position-vertical-relative:margin" o:allowincell="f" fillcolor="silver" stroked="f">
          <v:fill opacity=".5"/>
          <v:textpath style="font-family:&quot;Arial Rounded MT Bold&quot;;font-size:1pt" string="D R A F T"/>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3A1A" w:rsidRPr="009D788E" w:rsidRDefault="00003A1A" w:rsidP="00911558">
    <w:pPr>
      <w:pStyle w:val="Header"/>
      <w:pBdr>
        <w:bottom w:val="single" w:sz="4" w:space="1" w:color="auto"/>
      </w:pBdr>
      <w:rPr>
        <w:smallCaps/>
      </w:rPr>
    </w:pPr>
    <w:r w:rsidRPr="009D788E">
      <w:rPr>
        <w:smallCaps/>
      </w:rPr>
      <w:t>Standing Committee on Justice and Community Safety (Legislative Scrutiny Role)</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3A1A" w:rsidRPr="001B0650" w:rsidRDefault="00003A1A" w:rsidP="00911558">
    <w:pPr>
      <w:pStyle w:val="Header"/>
      <w:pBdr>
        <w:bottom w:val="single" w:sz="4" w:space="1" w:color="auto"/>
      </w:pBdr>
      <w:jc w:val="right"/>
      <w:rPr>
        <w:smallCaps/>
      </w:rPr>
    </w:pPr>
    <w:r>
      <w:rPr>
        <w:smallCaps/>
        <w:noProof/>
      </w:rPr>
      <w:fldChar w:fldCharType="begin"/>
    </w:r>
    <w:r>
      <w:rPr>
        <w:smallCaps/>
        <w:noProof/>
      </w:rPr>
      <w:instrText xml:space="preserve"> STYLEREF  "Heading 1"  \* MERGEFORMAT </w:instrText>
    </w:r>
    <w:r>
      <w:rPr>
        <w:smallCaps/>
        <w:noProof/>
      </w:rPr>
      <w:fldChar w:fldCharType="separate"/>
    </w:r>
    <w:r w:rsidR="003F4F00">
      <w:rPr>
        <w:smallCaps/>
        <w:noProof/>
      </w:rPr>
      <w:t>Scrutiny Report 47</w:t>
    </w:r>
    <w:r>
      <w:rPr>
        <w:smallCaps/>
        <w:noProof/>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3A1A" w:rsidRDefault="003F4F0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051530" o:spid="_x0000_s2102" type="#_x0000_t136" style="position:absolute;margin-left:0;margin-top:0;width:520.6pt;height:115.65pt;rotation:315;z-index:-251651072;mso-position-horizontal:center;mso-position-horizontal-relative:margin;mso-position-vertical:center;mso-position-vertical-relative:margin" o:allowincell="f" fillcolor="silver" stroked="f">
          <v:fill opacity=".5"/>
          <v:textpath style="font-family:&quot;Arial Rounded MT Bold&quot;;font-size:1pt" string="D R A F T"/>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3A1A" w:rsidRPr="003B6A7E" w:rsidRDefault="003F4F00" w:rsidP="003B6A7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051534" o:spid="_x0000_s2106" type="#_x0000_t136" style="position:absolute;margin-left:0;margin-top:0;width:520.6pt;height:115.65pt;rotation:315;z-index:-251642880;mso-position-horizontal:center;mso-position-horizontal-relative:margin;mso-position-vertical:center;mso-position-vertical-relative:margin" o:allowincell="f" fillcolor="silver" stroked="f">
          <v:fill opacity=".5"/>
          <v:textpath style="font-family:&quot;Arial Rounded MT Bold&quot;;font-size:1pt" string="D R A F T"/>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3A1A" w:rsidRPr="001B0650" w:rsidRDefault="003F4F00" w:rsidP="007F580D">
    <w:pPr>
      <w:pStyle w:val="Header"/>
      <w:pBdr>
        <w:bottom w:val="single" w:sz="4" w:space="1" w:color="auto"/>
      </w:pBdr>
      <w:jc w:val="right"/>
      <w:rPr>
        <w:smallCaps/>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051535" o:spid="_x0000_s2107" type="#_x0000_t136" style="position:absolute;left:0;text-align:left;margin-left:0;margin-top:0;width:520.6pt;height:115.65pt;rotation:315;z-index:-251640832;mso-position-horizontal:center;mso-position-horizontal-relative:margin;mso-position-vertical:center;mso-position-vertical-relative:margin" o:allowincell="f" fillcolor="silver" stroked="f">
          <v:fill opacity=".5"/>
          <v:textpath style="font-family:&quot;Arial Rounded MT Bold&quot;;font-size:1pt" string="D R A F T"/>
          <w10:wrap anchorx="margin" anchory="margin"/>
        </v:shape>
      </w:pict>
    </w:r>
    <w:r w:rsidR="00003A1A">
      <w:rPr>
        <w:smallCaps/>
        <w:noProof/>
      </w:rPr>
      <w:fldChar w:fldCharType="begin"/>
    </w:r>
    <w:r w:rsidR="00003A1A">
      <w:rPr>
        <w:smallCaps/>
        <w:noProof/>
      </w:rPr>
      <w:instrText xml:space="preserve"> STYLEREF  "Heading 1"  \* MERGEFORMAT </w:instrText>
    </w:r>
    <w:r w:rsidR="00003A1A">
      <w:rPr>
        <w:smallCaps/>
        <w:noProof/>
      </w:rPr>
      <w:fldChar w:fldCharType="separate"/>
    </w:r>
    <w:r w:rsidR="007B3B07">
      <w:rPr>
        <w:smallCaps/>
        <w:noProof/>
      </w:rPr>
      <w:t>Scrutiny Report 47</w:t>
    </w:r>
    <w:r w:rsidR="00003A1A">
      <w:rPr>
        <w:smallCaps/>
        <w:noProof/>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3A1A" w:rsidRDefault="003F4F0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051533" o:spid="_x0000_s2105" type="#_x0000_t136" style="position:absolute;margin-left:0;margin-top:0;width:520.6pt;height:115.65pt;rotation:315;z-index:-251644928;mso-position-horizontal:center;mso-position-horizontal-relative:margin;mso-position-vertical:center;mso-position-vertical-relative:margin" o:allowincell="f" fillcolor="silver" stroked="f">
          <v:fill opacity=".5"/>
          <v:textpath style="font-family:&quot;Arial Rounded MT Bold&quot;;font-size:1pt" string="D R A F 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4B8702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012015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314752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532929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B26E9F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056F42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C22F4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026A50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5C6D3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C34790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9A002A"/>
    <w:multiLevelType w:val="multilevel"/>
    <w:tmpl w:val="F6DE2780"/>
    <w:lvl w:ilvl="0">
      <w:start w:val="1"/>
      <w:numFmt w:val="decimal"/>
      <w:lvlText w:val="%1"/>
      <w:lvlJc w:val="left"/>
      <w:pPr>
        <w:ind w:left="432" w:hanging="432"/>
      </w:pPr>
      <w:rPr>
        <w:rFonts w:cs="Times New Roman"/>
      </w:rPr>
    </w:lvl>
    <w:lvl w:ilvl="1">
      <w:start w:val="1"/>
      <w:numFmt w:val="decimal"/>
      <w:pStyle w:val="Recommendationbodycopynumbered"/>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1" w15:restartNumberingAfterBreak="0">
    <w:nsid w:val="07771A35"/>
    <w:multiLevelType w:val="multilevel"/>
    <w:tmpl w:val="BCFCBA68"/>
    <w:styleLink w:val="Style1"/>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2" w15:restartNumberingAfterBreak="0">
    <w:nsid w:val="0AF16C2D"/>
    <w:multiLevelType w:val="hybridMultilevel"/>
    <w:tmpl w:val="ABE889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0D43757F"/>
    <w:multiLevelType w:val="hybridMultilevel"/>
    <w:tmpl w:val="AE72E5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0F64209D"/>
    <w:multiLevelType w:val="hybridMultilevel"/>
    <w:tmpl w:val="73BC5DF0"/>
    <w:lvl w:ilvl="0" w:tplc="4642DB54">
      <w:start w:val="1"/>
      <w:numFmt w:val="bullet"/>
      <w:lvlText w:val=""/>
      <w:lvlJc w:val="left"/>
      <w:pPr>
        <w:ind w:left="360" w:hanging="360"/>
      </w:pPr>
      <w:rPr>
        <w:rFonts w:ascii="Symbol" w:hAnsi="Symbol" w:hint="default"/>
        <w:color w:val="auto"/>
      </w:rPr>
    </w:lvl>
    <w:lvl w:ilvl="1" w:tplc="B2BC8480">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C2E4544"/>
    <w:multiLevelType w:val="hybridMultilevel"/>
    <w:tmpl w:val="A4CE200E"/>
    <w:lvl w:ilvl="0" w:tplc="437E8904">
      <w:start w:val="1"/>
      <w:numFmt w:val="lowerLetter"/>
      <w:pStyle w:val="Bodycopybulletlevel1alpha"/>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6" w15:restartNumberingAfterBreak="0">
    <w:nsid w:val="1E6422F9"/>
    <w:multiLevelType w:val="hybridMultilevel"/>
    <w:tmpl w:val="EA3EF50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202017D9"/>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2526D8E"/>
    <w:multiLevelType w:val="hybridMultilevel"/>
    <w:tmpl w:val="D1786A2A"/>
    <w:lvl w:ilvl="0" w:tplc="4D449FE6">
      <w:start w:val="1"/>
      <w:numFmt w:val="decimal"/>
      <w:pStyle w:val="Bodycopynumbered2"/>
      <w:lvlText w:val="%1."/>
      <w:lvlJc w:val="left"/>
      <w:pPr>
        <w:ind w:left="720" w:hanging="360"/>
      </w:pPr>
      <w:rPr>
        <w:rFonts w:cs="Times New Roman"/>
      </w:rPr>
    </w:lvl>
    <w:lvl w:ilvl="1" w:tplc="04DA9EF8" w:tentative="1">
      <w:start w:val="1"/>
      <w:numFmt w:val="lowerLetter"/>
      <w:lvlText w:val="%2."/>
      <w:lvlJc w:val="left"/>
      <w:pPr>
        <w:ind w:left="1440" w:hanging="360"/>
      </w:pPr>
      <w:rPr>
        <w:rFonts w:cs="Times New Roman"/>
      </w:rPr>
    </w:lvl>
    <w:lvl w:ilvl="2" w:tplc="3FBC87FA" w:tentative="1">
      <w:start w:val="1"/>
      <w:numFmt w:val="lowerRoman"/>
      <w:lvlText w:val="%3."/>
      <w:lvlJc w:val="right"/>
      <w:pPr>
        <w:ind w:left="2160" w:hanging="180"/>
      </w:pPr>
      <w:rPr>
        <w:rFonts w:cs="Times New Roman"/>
      </w:rPr>
    </w:lvl>
    <w:lvl w:ilvl="3" w:tplc="0FD47DB4" w:tentative="1">
      <w:start w:val="1"/>
      <w:numFmt w:val="decimal"/>
      <w:lvlText w:val="%4."/>
      <w:lvlJc w:val="left"/>
      <w:pPr>
        <w:ind w:left="2880" w:hanging="360"/>
      </w:pPr>
      <w:rPr>
        <w:rFonts w:cs="Times New Roman"/>
      </w:rPr>
    </w:lvl>
    <w:lvl w:ilvl="4" w:tplc="0AA266A4" w:tentative="1">
      <w:start w:val="1"/>
      <w:numFmt w:val="lowerLetter"/>
      <w:lvlText w:val="%5."/>
      <w:lvlJc w:val="left"/>
      <w:pPr>
        <w:ind w:left="3600" w:hanging="360"/>
      </w:pPr>
      <w:rPr>
        <w:rFonts w:cs="Times New Roman"/>
      </w:rPr>
    </w:lvl>
    <w:lvl w:ilvl="5" w:tplc="2ACEA468" w:tentative="1">
      <w:start w:val="1"/>
      <w:numFmt w:val="lowerRoman"/>
      <w:lvlText w:val="%6."/>
      <w:lvlJc w:val="right"/>
      <w:pPr>
        <w:ind w:left="4320" w:hanging="180"/>
      </w:pPr>
      <w:rPr>
        <w:rFonts w:cs="Times New Roman"/>
      </w:rPr>
    </w:lvl>
    <w:lvl w:ilvl="6" w:tplc="A54E173C" w:tentative="1">
      <w:start w:val="1"/>
      <w:numFmt w:val="decimal"/>
      <w:lvlText w:val="%7."/>
      <w:lvlJc w:val="left"/>
      <w:pPr>
        <w:ind w:left="5040" w:hanging="360"/>
      </w:pPr>
      <w:rPr>
        <w:rFonts w:cs="Times New Roman"/>
      </w:rPr>
    </w:lvl>
    <w:lvl w:ilvl="7" w:tplc="AA62F5B2" w:tentative="1">
      <w:start w:val="1"/>
      <w:numFmt w:val="lowerLetter"/>
      <w:lvlText w:val="%8."/>
      <w:lvlJc w:val="left"/>
      <w:pPr>
        <w:ind w:left="5760" w:hanging="360"/>
      </w:pPr>
      <w:rPr>
        <w:rFonts w:cs="Times New Roman"/>
      </w:rPr>
    </w:lvl>
    <w:lvl w:ilvl="8" w:tplc="77F694E0" w:tentative="1">
      <w:start w:val="1"/>
      <w:numFmt w:val="lowerRoman"/>
      <w:lvlText w:val="%9."/>
      <w:lvlJc w:val="right"/>
      <w:pPr>
        <w:ind w:left="6480" w:hanging="180"/>
      </w:pPr>
      <w:rPr>
        <w:rFonts w:cs="Times New Roman"/>
      </w:rPr>
    </w:lvl>
  </w:abstractNum>
  <w:abstractNum w:abstractNumId="19" w15:restartNumberingAfterBreak="0">
    <w:nsid w:val="267A5E70"/>
    <w:multiLevelType w:val="multilevel"/>
    <w:tmpl w:val="E342FCF2"/>
    <w:styleLink w:val="Style3"/>
    <w:lvl w:ilvl="0">
      <w:start w:val="1"/>
      <w:numFmt w:val="decimal"/>
      <w:lvlText w:val="%1)"/>
      <w:lvlJc w:val="left"/>
      <w:pPr>
        <w:ind w:left="360" w:hanging="360"/>
      </w:pPr>
      <w:rPr>
        <w:rFonts w:ascii="Calibri" w:hAnsi="Calibri"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0" w15:restartNumberingAfterBreak="0">
    <w:nsid w:val="29F675F9"/>
    <w:multiLevelType w:val="hybridMultilevel"/>
    <w:tmpl w:val="A2C60C32"/>
    <w:lvl w:ilvl="0" w:tplc="0C090001">
      <w:start w:val="1"/>
      <w:numFmt w:val="bullet"/>
      <w:lvlText w:val=""/>
      <w:lvlJc w:val="left"/>
      <w:pPr>
        <w:ind w:left="720" w:hanging="360"/>
      </w:pPr>
      <w:rPr>
        <w:rFonts w:ascii="Symbol" w:hAnsi="Symbol" w:hint="default"/>
      </w:rPr>
    </w:lvl>
    <w:lvl w:ilvl="1" w:tplc="0C090005">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F35431E"/>
    <w:multiLevelType w:val="hybridMultilevel"/>
    <w:tmpl w:val="7E4CB7A8"/>
    <w:lvl w:ilvl="0" w:tplc="7AF0D8D0">
      <w:start w:val="1"/>
      <w:numFmt w:val="bullet"/>
      <w:pStyle w:val="Bodycopybulletlevel2"/>
      <w:lvlText w:val="o"/>
      <w:lvlJc w:val="left"/>
      <w:pPr>
        <w:ind w:left="703" w:hanging="360"/>
      </w:pPr>
      <w:rPr>
        <w:rFonts w:ascii="Courier New" w:hAnsi="Courier New" w:hint="default"/>
      </w:rPr>
    </w:lvl>
    <w:lvl w:ilvl="1" w:tplc="466E58A0">
      <w:start w:val="1"/>
      <w:numFmt w:val="lowerLetter"/>
      <w:pStyle w:val="Bulletlistalpha"/>
      <w:lvlText w:val="%2."/>
      <w:lvlJc w:val="left"/>
      <w:pPr>
        <w:ind w:left="1423" w:hanging="360"/>
      </w:pPr>
      <w:rPr>
        <w:rFonts w:cs="Times New Roman"/>
      </w:rPr>
    </w:lvl>
    <w:lvl w:ilvl="2" w:tplc="0C09001B" w:tentative="1">
      <w:start w:val="1"/>
      <w:numFmt w:val="lowerRoman"/>
      <w:lvlText w:val="%3."/>
      <w:lvlJc w:val="right"/>
      <w:pPr>
        <w:ind w:left="2143" w:hanging="180"/>
      </w:pPr>
      <w:rPr>
        <w:rFonts w:cs="Times New Roman"/>
      </w:rPr>
    </w:lvl>
    <w:lvl w:ilvl="3" w:tplc="0C09000F" w:tentative="1">
      <w:start w:val="1"/>
      <w:numFmt w:val="decimal"/>
      <w:lvlText w:val="%4."/>
      <w:lvlJc w:val="left"/>
      <w:pPr>
        <w:ind w:left="2863" w:hanging="360"/>
      </w:pPr>
      <w:rPr>
        <w:rFonts w:cs="Times New Roman"/>
      </w:rPr>
    </w:lvl>
    <w:lvl w:ilvl="4" w:tplc="0C090019" w:tentative="1">
      <w:start w:val="1"/>
      <w:numFmt w:val="lowerLetter"/>
      <w:lvlText w:val="%5."/>
      <w:lvlJc w:val="left"/>
      <w:pPr>
        <w:ind w:left="3583" w:hanging="360"/>
      </w:pPr>
      <w:rPr>
        <w:rFonts w:cs="Times New Roman"/>
      </w:rPr>
    </w:lvl>
    <w:lvl w:ilvl="5" w:tplc="0C09001B" w:tentative="1">
      <w:start w:val="1"/>
      <w:numFmt w:val="lowerRoman"/>
      <w:lvlText w:val="%6."/>
      <w:lvlJc w:val="right"/>
      <w:pPr>
        <w:ind w:left="4303" w:hanging="180"/>
      </w:pPr>
      <w:rPr>
        <w:rFonts w:cs="Times New Roman"/>
      </w:rPr>
    </w:lvl>
    <w:lvl w:ilvl="6" w:tplc="0C09000F" w:tentative="1">
      <w:start w:val="1"/>
      <w:numFmt w:val="decimal"/>
      <w:lvlText w:val="%7."/>
      <w:lvlJc w:val="left"/>
      <w:pPr>
        <w:ind w:left="5023" w:hanging="360"/>
      </w:pPr>
      <w:rPr>
        <w:rFonts w:cs="Times New Roman"/>
      </w:rPr>
    </w:lvl>
    <w:lvl w:ilvl="7" w:tplc="0C090019" w:tentative="1">
      <w:start w:val="1"/>
      <w:numFmt w:val="lowerLetter"/>
      <w:lvlText w:val="%8."/>
      <w:lvlJc w:val="left"/>
      <w:pPr>
        <w:ind w:left="5743" w:hanging="360"/>
      </w:pPr>
      <w:rPr>
        <w:rFonts w:cs="Times New Roman"/>
      </w:rPr>
    </w:lvl>
    <w:lvl w:ilvl="8" w:tplc="0C09001B" w:tentative="1">
      <w:start w:val="1"/>
      <w:numFmt w:val="lowerRoman"/>
      <w:lvlText w:val="%9."/>
      <w:lvlJc w:val="right"/>
      <w:pPr>
        <w:ind w:left="6463" w:hanging="180"/>
      </w:pPr>
      <w:rPr>
        <w:rFonts w:cs="Times New Roman"/>
      </w:rPr>
    </w:lvl>
  </w:abstractNum>
  <w:abstractNum w:abstractNumId="22" w15:restartNumberingAfterBreak="0">
    <w:nsid w:val="36B219BD"/>
    <w:multiLevelType w:val="hybridMultilevel"/>
    <w:tmpl w:val="3BCA2A7A"/>
    <w:lvl w:ilvl="0" w:tplc="9A40F990">
      <w:start w:val="1"/>
      <w:numFmt w:val="bullet"/>
      <w:lvlText w:val="˗"/>
      <w:lvlJc w:val="left"/>
      <w:pPr>
        <w:ind w:left="1080" w:hanging="360"/>
      </w:pPr>
      <w:rPr>
        <w:rFonts w:ascii="Courier New" w:hAnsi="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9A40F990">
      <w:start w:val="1"/>
      <w:numFmt w:val="bullet"/>
      <w:lvlText w:val="˗"/>
      <w:lvlJc w:val="left"/>
      <w:pPr>
        <w:ind w:left="5400" w:hanging="360"/>
      </w:pPr>
      <w:rPr>
        <w:rFonts w:ascii="Courier New" w:hAnsi="Courier New"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15:restartNumberingAfterBreak="0">
    <w:nsid w:val="3A0F1718"/>
    <w:multiLevelType w:val="hybridMultilevel"/>
    <w:tmpl w:val="68761822"/>
    <w:lvl w:ilvl="0" w:tplc="0C090001">
      <w:numFmt w:val="bulle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EDB617F"/>
    <w:multiLevelType w:val="hybridMultilevel"/>
    <w:tmpl w:val="118C81C6"/>
    <w:lvl w:ilvl="0" w:tplc="9A40F990">
      <w:start w:val="1"/>
      <w:numFmt w:val="bullet"/>
      <w:lvlText w:val="˗"/>
      <w:lvlJc w:val="left"/>
      <w:pPr>
        <w:ind w:left="1080" w:hanging="360"/>
      </w:pPr>
      <w:rPr>
        <w:rFonts w:ascii="Courier New" w:hAnsi="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50947158"/>
    <w:multiLevelType w:val="hybridMultilevel"/>
    <w:tmpl w:val="6EF64A6C"/>
    <w:lvl w:ilvl="0" w:tplc="B2BC8480">
      <w:start w:val="1"/>
      <w:numFmt w:val="bullet"/>
      <w:lvlText w:val="­"/>
      <w:lvlJc w:val="left"/>
      <w:pPr>
        <w:ind w:left="1710" w:hanging="360"/>
      </w:pPr>
      <w:rPr>
        <w:rFonts w:ascii="Courier New" w:hAnsi="Courier New" w:hint="default"/>
      </w:rPr>
    </w:lvl>
    <w:lvl w:ilvl="1" w:tplc="87AC79EC">
      <w:numFmt w:val="bullet"/>
      <w:lvlText w:val="•"/>
      <w:lvlJc w:val="left"/>
      <w:pPr>
        <w:ind w:left="1800" w:hanging="360"/>
      </w:pPr>
      <w:rPr>
        <w:rFonts w:ascii="Calibri" w:eastAsiaTheme="minorHAnsi" w:hAnsi="Calibri" w:cstheme="minorBidi" w:hint="default"/>
        <w:b w:val="0"/>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15:restartNumberingAfterBreak="0">
    <w:nsid w:val="529E448C"/>
    <w:multiLevelType w:val="hybridMultilevel"/>
    <w:tmpl w:val="671E5590"/>
    <w:lvl w:ilvl="0" w:tplc="0C090019">
      <w:start w:val="1"/>
      <w:numFmt w:val="lowerLetter"/>
      <w:lvlText w:val="%1."/>
      <w:lvlJc w:val="left"/>
      <w:pPr>
        <w:ind w:left="1287" w:hanging="360"/>
      </w:pPr>
    </w:lvl>
    <w:lvl w:ilvl="1" w:tplc="CA023198">
      <w:start w:val="1"/>
      <w:numFmt w:val="lowerLetter"/>
      <w:lvlText w:val="%2)"/>
      <w:lvlJc w:val="left"/>
      <w:pPr>
        <w:ind w:left="1068" w:hanging="360"/>
      </w:pPr>
      <w:rPr>
        <w:rFonts w:ascii="Times New Roman" w:eastAsia="Calibri" w:hAnsi="Times New Roman" w:cs="Times New Roman"/>
      </w:rPr>
    </w:lvl>
    <w:lvl w:ilvl="2" w:tplc="0C09001B">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7" w15:restartNumberingAfterBreak="0">
    <w:nsid w:val="52D615F3"/>
    <w:multiLevelType w:val="multilevel"/>
    <w:tmpl w:val="487C0F2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59711BA8"/>
    <w:multiLevelType w:val="multilevel"/>
    <w:tmpl w:val="C142AD88"/>
    <w:name w:val="Leg Quote"/>
    <w:lvl w:ilvl="0">
      <w:start w:val="1"/>
      <w:numFmt w:val="decimal"/>
      <w:lvlText w:val="(%1)"/>
      <w:lvlJc w:val="left"/>
      <w:pPr>
        <w:tabs>
          <w:tab w:val="num" w:pos="851"/>
        </w:tabs>
        <w:ind w:left="454" w:firstLine="397"/>
      </w:pPr>
      <w:rPr>
        <w:rFonts w:hint="default"/>
      </w:rPr>
    </w:lvl>
    <w:lvl w:ilvl="1">
      <w:start w:val="1"/>
      <w:numFmt w:val="lowerLetter"/>
      <w:lvlText w:val="(%2)"/>
      <w:lvlJc w:val="left"/>
      <w:pPr>
        <w:tabs>
          <w:tab w:val="num" w:pos="1418"/>
        </w:tabs>
        <w:ind w:left="1021" w:firstLine="397"/>
      </w:pPr>
      <w:rPr>
        <w:rFonts w:hint="default"/>
      </w:rPr>
    </w:lvl>
    <w:lvl w:ilvl="2">
      <w:start w:val="1"/>
      <w:numFmt w:val="lowerRoman"/>
      <w:lvlText w:val="%3)"/>
      <w:lvlJc w:val="left"/>
      <w:pPr>
        <w:tabs>
          <w:tab w:val="num" w:pos="1985"/>
        </w:tabs>
        <w:ind w:left="1588" w:firstLine="397"/>
      </w:pPr>
      <w:rPr>
        <w:rFonts w:hint="default"/>
      </w:rPr>
    </w:lvl>
    <w:lvl w:ilvl="3">
      <w:start w:val="1"/>
      <w:numFmt w:val="decimal"/>
      <w:lvlText w:val="(%4)"/>
      <w:lvlJc w:val="left"/>
      <w:pPr>
        <w:tabs>
          <w:tab w:val="num" w:pos="2552"/>
        </w:tabs>
        <w:ind w:left="2155" w:firstLine="397"/>
      </w:pPr>
      <w:rPr>
        <w:rFonts w:hint="default"/>
      </w:rPr>
    </w:lvl>
    <w:lvl w:ilvl="4">
      <w:start w:val="1"/>
      <w:numFmt w:val="lowerLetter"/>
      <w:lvlText w:val="(%5)"/>
      <w:lvlJc w:val="left"/>
      <w:pPr>
        <w:tabs>
          <w:tab w:val="num" w:pos="3119"/>
        </w:tabs>
        <w:ind w:left="2722" w:firstLine="397"/>
      </w:pPr>
      <w:rPr>
        <w:rFonts w:hint="default"/>
      </w:rPr>
    </w:lvl>
    <w:lvl w:ilvl="5">
      <w:start w:val="1"/>
      <w:numFmt w:val="lowerRoman"/>
      <w:lvlText w:val="(%6)"/>
      <w:lvlJc w:val="left"/>
      <w:pPr>
        <w:tabs>
          <w:tab w:val="num" w:pos="3686"/>
        </w:tabs>
        <w:ind w:left="3289" w:firstLine="397"/>
      </w:pPr>
      <w:rPr>
        <w:rFonts w:hint="default"/>
      </w:rPr>
    </w:lvl>
    <w:lvl w:ilvl="6">
      <w:start w:val="1"/>
      <w:numFmt w:val="decimal"/>
      <w:lvlText w:val="%7."/>
      <w:lvlJc w:val="left"/>
      <w:pPr>
        <w:tabs>
          <w:tab w:val="num" w:pos="4253"/>
        </w:tabs>
        <w:ind w:left="3856" w:firstLine="397"/>
      </w:pPr>
      <w:rPr>
        <w:rFonts w:hint="default"/>
      </w:rPr>
    </w:lvl>
    <w:lvl w:ilvl="7">
      <w:start w:val="1"/>
      <w:numFmt w:val="lowerLetter"/>
      <w:lvlText w:val="%8."/>
      <w:lvlJc w:val="left"/>
      <w:pPr>
        <w:tabs>
          <w:tab w:val="num" w:pos="4820"/>
        </w:tabs>
        <w:ind w:left="4423" w:firstLine="397"/>
      </w:pPr>
      <w:rPr>
        <w:rFonts w:hint="default"/>
      </w:rPr>
    </w:lvl>
    <w:lvl w:ilvl="8">
      <w:start w:val="1"/>
      <w:numFmt w:val="lowerRoman"/>
      <w:lvlText w:val="%9."/>
      <w:lvlJc w:val="left"/>
      <w:pPr>
        <w:tabs>
          <w:tab w:val="num" w:pos="5387"/>
        </w:tabs>
        <w:ind w:left="4990" w:firstLine="397"/>
      </w:pPr>
      <w:rPr>
        <w:rFonts w:hint="default"/>
      </w:rPr>
    </w:lvl>
  </w:abstractNum>
  <w:abstractNum w:abstractNumId="29" w15:restartNumberingAfterBreak="0">
    <w:nsid w:val="634C1399"/>
    <w:multiLevelType w:val="hybridMultilevel"/>
    <w:tmpl w:val="D4A666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5496197"/>
    <w:multiLevelType w:val="multilevel"/>
    <w:tmpl w:val="6F6A9636"/>
    <w:lvl w:ilvl="0">
      <w:start w:val="1"/>
      <w:numFmt w:val="lowerRoman"/>
      <w:pStyle w:val="Bulletlistroman"/>
      <w:lvlText w:val="%1)"/>
      <w:lvlJc w:val="left"/>
      <w:pPr>
        <w:ind w:left="720" w:hanging="360"/>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1" w15:restartNumberingAfterBreak="0">
    <w:nsid w:val="65BB0470"/>
    <w:multiLevelType w:val="hybridMultilevel"/>
    <w:tmpl w:val="ADD67B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6BD2FF2"/>
    <w:multiLevelType w:val="multilevel"/>
    <w:tmpl w:val="A2422628"/>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3" w15:restartNumberingAfterBreak="0">
    <w:nsid w:val="6E034034"/>
    <w:multiLevelType w:val="multilevel"/>
    <w:tmpl w:val="A5ECBD6A"/>
    <w:styleLink w:val="Style2"/>
    <w:lvl w:ilvl="0">
      <w:start w:val="1"/>
      <w:numFmt w:val="decimal"/>
      <w:lvlText w:val="%1.1"/>
      <w:lvlJc w:val="left"/>
      <w:pPr>
        <w:ind w:left="432" w:hanging="432"/>
      </w:pPr>
      <w:rPr>
        <w:rFonts w:cs="Times New Roman" w:hint="default"/>
      </w:rPr>
    </w:lvl>
    <w:lvl w:ilvl="1">
      <w:start w:val="1"/>
      <w:numFmt w:val="none"/>
      <w:lvlText w:val=""/>
      <w:lvlJc w:val="left"/>
      <w:pPr>
        <w:ind w:left="576" w:hanging="576"/>
      </w:pPr>
      <w:rPr>
        <w:rFonts w:cs="Times New Roman" w:hint="default"/>
      </w:rPr>
    </w:lvl>
    <w:lvl w:ilvl="2">
      <w:start w:val="1"/>
      <w:numFmt w:val="none"/>
      <w:lvlText w:val=""/>
      <w:lvlJc w:val="left"/>
      <w:pPr>
        <w:ind w:left="720" w:hanging="720"/>
      </w:pPr>
      <w:rPr>
        <w:rFonts w:cs="Times New Roman" w:hint="default"/>
      </w:rPr>
    </w:lvl>
    <w:lvl w:ilvl="3">
      <w:start w:val="1"/>
      <w:numFmt w:val="none"/>
      <w:lvlText w:val=""/>
      <w:lvlJc w:val="left"/>
      <w:pPr>
        <w:ind w:left="864" w:hanging="864"/>
      </w:pPr>
      <w:rPr>
        <w:rFonts w:cs="Times New Roman" w:hint="default"/>
      </w:rPr>
    </w:lvl>
    <w:lvl w:ilvl="4">
      <w:start w:val="1"/>
      <w:numFmt w:val="none"/>
      <w:lvlText w:val=""/>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7%1.%21"/>
      <w:lvlJc w:val="left"/>
      <w:pPr>
        <w:ind w:left="1296" w:hanging="1296"/>
      </w:pPr>
      <w:rPr>
        <w:rFonts w:cs="Times New Roman" w:hint="default"/>
      </w:rPr>
    </w:lvl>
    <w:lvl w:ilvl="7">
      <w:start w:val="1"/>
      <w:numFmt w:val="decimal"/>
      <w:lvlText w:val="%8%1.%21.1"/>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34" w15:restartNumberingAfterBreak="0">
    <w:nsid w:val="6E19725E"/>
    <w:multiLevelType w:val="multilevel"/>
    <w:tmpl w:val="93408BC6"/>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5" w15:restartNumberingAfterBreak="0">
    <w:nsid w:val="6EB90F0D"/>
    <w:multiLevelType w:val="hybridMultilevel"/>
    <w:tmpl w:val="205A85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30B4A42"/>
    <w:multiLevelType w:val="hybridMultilevel"/>
    <w:tmpl w:val="BEC655C4"/>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7" w15:restartNumberingAfterBreak="0">
    <w:nsid w:val="7D1314E2"/>
    <w:multiLevelType w:val="hybridMultilevel"/>
    <w:tmpl w:val="4D88D650"/>
    <w:lvl w:ilvl="0" w:tplc="3894EE82">
      <w:start w:val="1"/>
      <w:numFmt w:val="bullet"/>
      <w:pStyle w:val="Bulletlistlevel1"/>
      <w:lvlText w:val=""/>
      <w:lvlJc w:val="left"/>
      <w:pPr>
        <w:ind w:left="-414" w:hanging="360"/>
      </w:pPr>
      <w:rPr>
        <w:rFonts w:ascii="Symbol" w:hAnsi="Symbol" w:hint="default"/>
      </w:rPr>
    </w:lvl>
    <w:lvl w:ilvl="1" w:tplc="87D8F8F0" w:tentative="1">
      <w:start w:val="1"/>
      <w:numFmt w:val="lowerLetter"/>
      <w:lvlText w:val="%2."/>
      <w:lvlJc w:val="left"/>
      <w:pPr>
        <w:ind w:left="306" w:hanging="360"/>
      </w:pPr>
      <w:rPr>
        <w:rFonts w:cs="Times New Roman"/>
      </w:rPr>
    </w:lvl>
    <w:lvl w:ilvl="2" w:tplc="B1323CB8" w:tentative="1">
      <w:start w:val="1"/>
      <w:numFmt w:val="lowerRoman"/>
      <w:lvlText w:val="%3."/>
      <w:lvlJc w:val="right"/>
      <w:pPr>
        <w:ind w:left="1026" w:hanging="180"/>
      </w:pPr>
      <w:rPr>
        <w:rFonts w:cs="Times New Roman"/>
      </w:rPr>
    </w:lvl>
    <w:lvl w:ilvl="3" w:tplc="CAE0A252" w:tentative="1">
      <w:start w:val="1"/>
      <w:numFmt w:val="decimal"/>
      <w:lvlText w:val="%4."/>
      <w:lvlJc w:val="left"/>
      <w:pPr>
        <w:ind w:left="1746" w:hanging="360"/>
      </w:pPr>
      <w:rPr>
        <w:rFonts w:cs="Times New Roman"/>
      </w:rPr>
    </w:lvl>
    <w:lvl w:ilvl="4" w:tplc="A496904E" w:tentative="1">
      <w:start w:val="1"/>
      <w:numFmt w:val="lowerLetter"/>
      <w:lvlText w:val="%5."/>
      <w:lvlJc w:val="left"/>
      <w:pPr>
        <w:ind w:left="2466" w:hanging="360"/>
      </w:pPr>
      <w:rPr>
        <w:rFonts w:cs="Times New Roman"/>
      </w:rPr>
    </w:lvl>
    <w:lvl w:ilvl="5" w:tplc="867CAE32" w:tentative="1">
      <w:start w:val="1"/>
      <w:numFmt w:val="lowerRoman"/>
      <w:lvlText w:val="%6."/>
      <w:lvlJc w:val="right"/>
      <w:pPr>
        <w:ind w:left="3186" w:hanging="180"/>
      </w:pPr>
      <w:rPr>
        <w:rFonts w:cs="Times New Roman"/>
      </w:rPr>
    </w:lvl>
    <w:lvl w:ilvl="6" w:tplc="36B64AEE" w:tentative="1">
      <w:start w:val="1"/>
      <w:numFmt w:val="decimal"/>
      <w:lvlText w:val="%7."/>
      <w:lvlJc w:val="left"/>
      <w:pPr>
        <w:ind w:left="3906" w:hanging="360"/>
      </w:pPr>
      <w:rPr>
        <w:rFonts w:cs="Times New Roman"/>
      </w:rPr>
    </w:lvl>
    <w:lvl w:ilvl="7" w:tplc="EB0E0432" w:tentative="1">
      <w:start w:val="1"/>
      <w:numFmt w:val="lowerLetter"/>
      <w:lvlText w:val="%8."/>
      <w:lvlJc w:val="left"/>
      <w:pPr>
        <w:ind w:left="4626" w:hanging="360"/>
      </w:pPr>
      <w:rPr>
        <w:rFonts w:cs="Times New Roman"/>
      </w:rPr>
    </w:lvl>
    <w:lvl w:ilvl="8" w:tplc="4C4454F4" w:tentative="1">
      <w:start w:val="1"/>
      <w:numFmt w:val="lowerRoman"/>
      <w:lvlText w:val="%9."/>
      <w:lvlJc w:val="right"/>
      <w:pPr>
        <w:ind w:left="5346" w:hanging="180"/>
      </w:pPr>
      <w:rPr>
        <w:rFonts w:cs="Times New Roman"/>
      </w:rPr>
    </w:lvl>
  </w:abstractNum>
  <w:abstractNum w:abstractNumId="38"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7"/>
  </w:num>
  <w:num w:numId="12">
    <w:abstractNumId w:val="20"/>
  </w:num>
  <w:num w:numId="13">
    <w:abstractNumId w:val="14"/>
  </w:num>
  <w:num w:numId="14">
    <w:abstractNumId w:val="25"/>
  </w:num>
  <w:num w:numId="15">
    <w:abstractNumId w:val="37"/>
  </w:num>
  <w:num w:numId="16">
    <w:abstractNumId w:val="21"/>
  </w:num>
  <w:num w:numId="17">
    <w:abstractNumId w:val="11"/>
  </w:num>
  <w:num w:numId="18">
    <w:abstractNumId w:val="15"/>
  </w:num>
  <w:num w:numId="19">
    <w:abstractNumId w:val="33"/>
  </w:num>
  <w:num w:numId="20">
    <w:abstractNumId w:val="30"/>
  </w:num>
  <w:num w:numId="21">
    <w:abstractNumId w:val="18"/>
  </w:num>
  <w:num w:numId="22">
    <w:abstractNumId w:val="19"/>
  </w:num>
  <w:num w:numId="23">
    <w:abstractNumId w:val="10"/>
  </w:num>
  <w:num w:numId="24">
    <w:abstractNumId w:val="17"/>
  </w:num>
  <w:num w:numId="25">
    <w:abstractNumId w:val="38"/>
  </w:num>
  <w:num w:numId="26">
    <w:abstractNumId w:val="29"/>
  </w:num>
  <w:num w:numId="27">
    <w:abstractNumId w:val="23"/>
  </w:num>
  <w:num w:numId="28">
    <w:abstractNumId w:val="34"/>
  </w:num>
  <w:num w:numId="2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36"/>
  </w:num>
  <w:num w:numId="32">
    <w:abstractNumId w:val="16"/>
  </w:num>
  <w:num w:numId="33">
    <w:abstractNumId w:val="12"/>
  </w:num>
  <w:num w:numId="34">
    <w:abstractNumId w:val="32"/>
  </w:num>
  <w:num w:numId="35">
    <w:abstractNumId w:val="24"/>
  </w:num>
  <w:num w:numId="36">
    <w:abstractNumId w:val="22"/>
  </w:num>
  <w:num w:numId="37">
    <w:abstractNumId w:val="26"/>
  </w:num>
  <w:num w:numId="38">
    <w:abstractNumId w:val="31"/>
  </w:num>
  <w:num w:numId="39">
    <w:abstractNumId w:val="3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346"/>
  <w:evenAndOddHeaders/>
  <w:characterSpacingControl w:val="doNotCompress"/>
  <w:hdrShapeDefaults>
    <o:shapedefaults v:ext="edit" spidmax="2109" style="mso-position-horizontal:center;mso-position-horizontal-relative:margin;mso-position-vertical:center;mso-position-vertical-relative:margin" o:allowincell="f" fillcolor="silver" stroke="f">
      <v:fill color="silver" opacity=".5"/>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846"/>
    <w:rsid w:val="000011FF"/>
    <w:rsid w:val="000016B7"/>
    <w:rsid w:val="00001839"/>
    <w:rsid w:val="00003A1A"/>
    <w:rsid w:val="00004BBA"/>
    <w:rsid w:val="00010090"/>
    <w:rsid w:val="00012062"/>
    <w:rsid w:val="00012567"/>
    <w:rsid w:val="00012C7C"/>
    <w:rsid w:val="00013BA7"/>
    <w:rsid w:val="00015B3E"/>
    <w:rsid w:val="00016CCD"/>
    <w:rsid w:val="00016ECB"/>
    <w:rsid w:val="000171BE"/>
    <w:rsid w:val="0001725A"/>
    <w:rsid w:val="000223B2"/>
    <w:rsid w:val="00022A35"/>
    <w:rsid w:val="000233EA"/>
    <w:rsid w:val="000238D1"/>
    <w:rsid w:val="00024BDA"/>
    <w:rsid w:val="00025A33"/>
    <w:rsid w:val="00025B30"/>
    <w:rsid w:val="00026D92"/>
    <w:rsid w:val="00030285"/>
    <w:rsid w:val="0003048A"/>
    <w:rsid w:val="00031176"/>
    <w:rsid w:val="00031636"/>
    <w:rsid w:val="00032058"/>
    <w:rsid w:val="00034823"/>
    <w:rsid w:val="00034ADC"/>
    <w:rsid w:val="00034CCA"/>
    <w:rsid w:val="00036A58"/>
    <w:rsid w:val="00037980"/>
    <w:rsid w:val="00037B25"/>
    <w:rsid w:val="00040028"/>
    <w:rsid w:val="000421E6"/>
    <w:rsid w:val="00042C45"/>
    <w:rsid w:val="00044012"/>
    <w:rsid w:val="00044194"/>
    <w:rsid w:val="0004551E"/>
    <w:rsid w:val="00045F75"/>
    <w:rsid w:val="00046DE2"/>
    <w:rsid w:val="00051DA3"/>
    <w:rsid w:val="0005204D"/>
    <w:rsid w:val="00052319"/>
    <w:rsid w:val="00052A23"/>
    <w:rsid w:val="00052F85"/>
    <w:rsid w:val="00053DC1"/>
    <w:rsid w:val="00055077"/>
    <w:rsid w:val="00056859"/>
    <w:rsid w:val="00060E04"/>
    <w:rsid w:val="000618AD"/>
    <w:rsid w:val="00061AB9"/>
    <w:rsid w:val="00061B6D"/>
    <w:rsid w:val="00061D08"/>
    <w:rsid w:val="00062087"/>
    <w:rsid w:val="00064F19"/>
    <w:rsid w:val="00067FAE"/>
    <w:rsid w:val="0007009F"/>
    <w:rsid w:val="0007136A"/>
    <w:rsid w:val="00073340"/>
    <w:rsid w:val="0007461D"/>
    <w:rsid w:val="0007556D"/>
    <w:rsid w:val="0007683A"/>
    <w:rsid w:val="00077835"/>
    <w:rsid w:val="0008186E"/>
    <w:rsid w:val="000823F3"/>
    <w:rsid w:val="000840B5"/>
    <w:rsid w:val="0008663E"/>
    <w:rsid w:val="00086C99"/>
    <w:rsid w:val="000874A9"/>
    <w:rsid w:val="0009152D"/>
    <w:rsid w:val="000915D1"/>
    <w:rsid w:val="00092119"/>
    <w:rsid w:val="000927C6"/>
    <w:rsid w:val="00093922"/>
    <w:rsid w:val="000941F6"/>
    <w:rsid w:val="00094472"/>
    <w:rsid w:val="00094D98"/>
    <w:rsid w:val="00095AC5"/>
    <w:rsid w:val="00095C7A"/>
    <w:rsid w:val="000967E6"/>
    <w:rsid w:val="000971E6"/>
    <w:rsid w:val="00097985"/>
    <w:rsid w:val="000A14A2"/>
    <w:rsid w:val="000A16C9"/>
    <w:rsid w:val="000A2214"/>
    <w:rsid w:val="000A33FE"/>
    <w:rsid w:val="000A5891"/>
    <w:rsid w:val="000A5E0A"/>
    <w:rsid w:val="000A6724"/>
    <w:rsid w:val="000A78C0"/>
    <w:rsid w:val="000B0846"/>
    <w:rsid w:val="000B0CDE"/>
    <w:rsid w:val="000B12AD"/>
    <w:rsid w:val="000B2688"/>
    <w:rsid w:val="000B4BFC"/>
    <w:rsid w:val="000B504D"/>
    <w:rsid w:val="000B510A"/>
    <w:rsid w:val="000B71DA"/>
    <w:rsid w:val="000C0208"/>
    <w:rsid w:val="000C06B0"/>
    <w:rsid w:val="000C0965"/>
    <w:rsid w:val="000C1130"/>
    <w:rsid w:val="000C12B1"/>
    <w:rsid w:val="000C12C3"/>
    <w:rsid w:val="000C2759"/>
    <w:rsid w:val="000C30A9"/>
    <w:rsid w:val="000C3653"/>
    <w:rsid w:val="000C49C9"/>
    <w:rsid w:val="000C5573"/>
    <w:rsid w:val="000C59EC"/>
    <w:rsid w:val="000C6DFF"/>
    <w:rsid w:val="000C6FA0"/>
    <w:rsid w:val="000C7916"/>
    <w:rsid w:val="000D384D"/>
    <w:rsid w:val="000D4F39"/>
    <w:rsid w:val="000D5EDC"/>
    <w:rsid w:val="000D68A2"/>
    <w:rsid w:val="000D6984"/>
    <w:rsid w:val="000D7541"/>
    <w:rsid w:val="000D7EBD"/>
    <w:rsid w:val="000E13B4"/>
    <w:rsid w:val="000E231B"/>
    <w:rsid w:val="000E2F92"/>
    <w:rsid w:val="000E440E"/>
    <w:rsid w:val="000E5A5A"/>
    <w:rsid w:val="000E66C0"/>
    <w:rsid w:val="000E79A3"/>
    <w:rsid w:val="000F0EFB"/>
    <w:rsid w:val="000F30A0"/>
    <w:rsid w:val="000F3D5D"/>
    <w:rsid w:val="000F6652"/>
    <w:rsid w:val="000F6785"/>
    <w:rsid w:val="000F6E03"/>
    <w:rsid w:val="00100B5B"/>
    <w:rsid w:val="001013B4"/>
    <w:rsid w:val="00101A1A"/>
    <w:rsid w:val="00103599"/>
    <w:rsid w:val="00103E7B"/>
    <w:rsid w:val="00104A8B"/>
    <w:rsid w:val="00104CBD"/>
    <w:rsid w:val="00105A3D"/>
    <w:rsid w:val="0010659A"/>
    <w:rsid w:val="001069C1"/>
    <w:rsid w:val="00106A85"/>
    <w:rsid w:val="001107D1"/>
    <w:rsid w:val="00112799"/>
    <w:rsid w:val="00115163"/>
    <w:rsid w:val="001154AD"/>
    <w:rsid w:val="00116A46"/>
    <w:rsid w:val="00116E9B"/>
    <w:rsid w:val="001201A6"/>
    <w:rsid w:val="0012051D"/>
    <w:rsid w:val="00120F86"/>
    <w:rsid w:val="00121896"/>
    <w:rsid w:val="00123DBF"/>
    <w:rsid w:val="00124A0D"/>
    <w:rsid w:val="00125EA4"/>
    <w:rsid w:val="001266E9"/>
    <w:rsid w:val="00126C48"/>
    <w:rsid w:val="00126D9A"/>
    <w:rsid w:val="00127856"/>
    <w:rsid w:val="00131525"/>
    <w:rsid w:val="00132097"/>
    <w:rsid w:val="0013258C"/>
    <w:rsid w:val="00133077"/>
    <w:rsid w:val="00133A87"/>
    <w:rsid w:val="00133AB1"/>
    <w:rsid w:val="00134F41"/>
    <w:rsid w:val="001352E7"/>
    <w:rsid w:val="00137745"/>
    <w:rsid w:val="001409BD"/>
    <w:rsid w:val="001415F9"/>
    <w:rsid w:val="00144967"/>
    <w:rsid w:val="0014536B"/>
    <w:rsid w:val="00145B35"/>
    <w:rsid w:val="00145C9B"/>
    <w:rsid w:val="00147B04"/>
    <w:rsid w:val="00150083"/>
    <w:rsid w:val="001505EB"/>
    <w:rsid w:val="00151C3B"/>
    <w:rsid w:val="0015201D"/>
    <w:rsid w:val="001562EC"/>
    <w:rsid w:val="0016069D"/>
    <w:rsid w:val="001606A8"/>
    <w:rsid w:val="00163101"/>
    <w:rsid w:val="00163A08"/>
    <w:rsid w:val="0016463A"/>
    <w:rsid w:val="00165699"/>
    <w:rsid w:val="00166E04"/>
    <w:rsid w:val="00167169"/>
    <w:rsid w:val="00167537"/>
    <w:rsid w:val="00167EE2"/>
    <w:rsid w:val="0017063D"/>
    <w:rsid w:val="00170F9C"/>
    <w:rsid w:val="001712BC"/>
    <w:rsid w:val="001722F9"/>
    <w:rsid w:val="0017558F"/>
    <w:rsid w:val="0017638E"/>
    <w:rsid w:val="001777EE"/>
    <w:rsid w:val="001779EA"/>
    <w:rsid w:val="00180581"/>
    <w:rsid w:val="00180D09"/>
    <w:rsid w:val="001820C5"/>
    <w:rsid w:val="001829FA"/>
    <w:rsid w:val="00182A2F"/>
    <w:rsid w:val="001839D6"/>
    <w:rsid w:val="00184A7B"/>
    <w:rsid w:val="00184C56"/>
    <w:rsid w:val="00184D61"/>
    <w:rsid w:val="0018598D"/>
    <w:rsid w:val="00187105"/>
    <w:rsid w:val="0019001E"/>
    <w:rsid w:val="001917B3"/>
    <w:rsid w:val="001917DA"/>
    <w:rsid w:val="00192003"/>
    <w:rsid w:val="00192010"/>
    <w:rsid w:val="00195221"/>
    <w:rsid w:val="0019559B"/>
    <w:rsid w:val="00195B4C"/>
    <w:rsid w:val="00196028"/>
    <w:rsid w:val="001974F6"/>
    <w:rsid w:val="001A1A54"/>
    <w:rsid w:val="001A28BF"/>
    <w:rsid w:val="001A3B59"/>
    <w:rsid w:val="001A46D3"/>
    <w:rsid w:val="001A5269"/>
    <w:rsid w:val="001A5F09"/>
    <w:rsid w:val="001A6A02"/>
    <w:rsid w:val="001A78B6"/>
    <w:rsid w:val="001B0650"/>
    <w:rsid w:val="001B09FD"/>
    <w:rsid w:val="001B1173"/>
    <w:rsid w:val="001B207B"/>
    <w:rsid w:val="001B22F0"/>
    <w:rsid w:val="001B3400"/>
    <w:rsid w:val="001B36FB"/>
    <w:rsid w:val="001B457B"/>
    <w:rsid w:val="001B4892"/>
    <w:rsid w:val="001B4930"/>
    <w:rsid w:val="001B5859"/>
    <w:rsid w:val="001B5C86"/>
    <w:rsid w:val="001B5E58"/>
    <w:rsid w:val="001B5EB3"/>
    <w:rsid w:val="001B5F08"/>
    <w:rsid w:val="001B73A1"/>
    <w:rsid w:val="001C11EA"/>
    <w:rsid w:val="001C2A48"/>
    <w:rsid w:val="001C3269"/>
    <w:rsid w:val="001C3601"/>
    <w:rsid w:val="001C5D82"/>
    <w:rsid w:val="001C6D5B"/>
    <w:rsid w:val="001C719C"/>
    <w:rsid w:val="001C7639"/>
    <w:rsid w:val="001C7818"/>
    <w:rsid w:val="001D00FF"/>
    <w:rsid w:val="001D2441"/>
    <w:rsid w:val="001D2873"/>
    <w:rsid w:val="001D5DBF"/>
    <w:rsid w:val="001D60B6"/>
    <w:rsid w:val="001D6A6A"/>
    <w:rsid w:val="001E0B71"/>
    <w:rsid w:val="001E197A"/>
    <w:rsid w:val="001E2F75"/>
    <w:rsid w:val="001E3462"/>
    <w:rsid w:val="001E3B56"/>
    <w:rsid w:val="001E3BA1"/>
    <w:rsid w:val="001E3ED8"/>
    <w:rsid w:val="001E533E"/>
    <w:rsid w:val="001E56FE"/>
    <w:rsid w:val="001E61F6"/>
    <w:rsid w:val="001E6B34"/>
    <w:rsid w:val="001E6B45"/>
    <w:rsid w:val="001F1058"/>
    <w:rsid w:val="001F1D6D"/>
    <w:rsid w:val="001F48AB"/>
    <w:rsid w:val="001F49B7"/>
    <w:rsid w:val="001F622E"/>
    <w:rsid w:val="00202660"/>
    <w:rsid w:val="00202BE1"/>
    <w:rsid w:val="002031BD"/>
    <w:rsid w:val="002032A0"/>
    <w:rsid w:val="002064D0"/>
    <w:rsid w:val="002076F3"/>
    <w:rsid w:val="002103BD"/>
    <w:rsid w:val="00210A63"/>
    <w:rsid w:val="00211156"/>
    <w:rsid w:val="0021195E"/>
    <w:rsid w:val="002128AF"/>
    <w:rsid w:val="00212F5E"/>
    <w:rsid w:val="0021614E"/>
    <w:rsid w:val="00216794"/>
    <w:rsid w:val="00220914"/>
    <w:rsid w:val="002212CD"/>
    <w:rsid w:val="00221C9C"/>
    <w:rsid w:val="0022278A"/>
    <w:rsid w:val="002230E6"/>
    <w:rsid w:val="00224D59"/>
    <w:rsid w:val="002259AC"/>
    <w:rsid w:val="002264FA"/>
    <w:rsid w:val="00226A15"/>
    <w:rsid w:val="002270B3"/>
    <w:rsid w:val="00227281"/>
    <w:rsid w:val="0023358B"/>
    <w:rsid w:val="00233BF7"/>
    <w:rsid w:val="00235CF0"/>
    <w:rsid w:val="00235D37"/>
    <w:rsid w:val="002371DB"/>
    <w:rsid w:val="00237B6F"/>
    <w:rsid w:val="00240841"/>
    <w:rsid w:val="002412A4"/>
    <w:rsid w:val="00241F22"/>
    <w:rsid w:val="00243563"/>
    <w:rsid w:val="00243715"/>
    <w:rsid w:val="00243CBE"/>
    <w:rsid w:val="00243DCB"/>
    <w:rsid w:val="0024524F"/>
    <w:rsid w:val="002458C5"/>
    <w:rsid w:val="00245D9F"/>
    <w:rsid w:val="00247FE5"/>
    <w:rsid w:val="002502AF"/>
    <w:rsid w:val="00251AC7"/>
    <w:rsid w:val="00252497"/>
    <w:rsid w:val="00252BBC"/>
    <w:rsid w:val="00254B7A"/>
    <w:rsid w:val="00256D7D"/>
    <w:rsid w:val="00256FBC"/>
    <w:rsid w:val="00262C9C"/>
    <w:rsid w:val="00264222"/>
    <w:rsid w:val="002644BB"/>
    <w:rsid w:val="002649B5"/>
    <w:rsid w:val="002718FF"/>
    <w:rsid w:val="00271A5B"/>
    <w:rsid w:val="00275330"/>
    <w:rsid w:val="002753EE"/>
    <w:rsid w:val="00275FC8"/>
    <w:rsid w:val="002805F4"/>
    <w:rsid w:val="002806E8"/>
    <w:rsid w:val="00280D11"/>
    <w:rsid w:val="00283F5C"/>
    <w:rsid w:val="00285ABC"/>
    <w:rsid w:val="00286673"/>
    <w:rsid w:val="00287FC6"/>
    <w:rsid w:val="00291D83"/>
    <w:rsid w:val="002973FA"/>
    <w:rsid w:val="00297673"/>
    <w:rsid w:val="002A0027"/>
    <w:rsid w:val="002A185D"/>
    <w:rsid w:val="002A24D0"/>
    <w:rsid w:val="002A257A"/>
    <w:rsid w:val="002A5344"/>
    <w:rsid w:val="002B1AC8"/>
    <w:rsid w:val="002B23FF"/>
    <w:rsid w:val="002B388D"/>
    <w:rsid w:val="002B4A3A"/>
    <w:rsid w:val="002B660A"/>
    <w:rsid w:val="002B7D81"/>
    <w:rsid w:val="002C1AB1"/>
    <w:rsid w:val="002C1FB5"/>
    <w:rsid w:val="002C3AC7"/>
    <w:rsid w:val="002C3C37"/>
    <w:rsid w:val="002C3CF7"/>
    <w:rsid w:val="002C548A"/>
    <w:rsid w:val="002D0603"/>
    <w:rsid w:val="002D0702"/>
    <w:rsid w:val="002D0A83"/>
    <w:rsid w:val="002D1047"/>
    <w:rsid w:val="002D3B0A"/>
    <w:rsid w:val="002D485F"/>
    <w:rsid w:val="002D5907"/>
    <w:rsid w:val="002D7840"/>
    <w:rsid w:val="002E0324"/>
    <w:rsid w:val="002E2EB3"/>
    <w:rsid w:val="002E344A"/>
    <w:rsid w:val="002E3ED2"/>
    <w:rsid w:val="002E6EB6"/>
    <w:rsid w:val="002E726C"/>
    <w:rsid w:val="002F04E9"/>
    <w:rsid w:val="002F0D7F"/>
    <w:rsid w:val="002F1119"/>
    <w:rsid w:val="002F13B7"/>
    <w:rsid w:val="002F1D67"/>
    <w:rsid w:val="002F37BA"/>
    <w:rsid w:val="002F4F36"/>
    <w:rsid w:val="002F5386"/>
    <w:rsid w:val="00301635"/>
    <w:rsid w:val="00301F54"/>
    <w:rsid w:val="00302004"/>
    <w:rsid w:val="00302510"/>
    <w:rsid w:val="00302BD1"/>
    <w:rsid w:val="00302DF4"/>
    <w:rsid w:val="00303425"/>
    <w:rsid w:val="003042B1"/>
    <w:rsid w:val="003045B8"/>
    <w:rsid w:val="003045ED"/>
    <w:rsid w:val="003059ED"/>
    <w:rsid w:val="00306B22"/>
    <w:rsid w:val="00307591"/>
    <w:rsid w:val="0031203B"/>
    <w:rsid w:val="003127FB"/>
    <w:rsid w:val="00314CF6"/>
    <w:rsid w:val="003155F0"/>
    <w:rsid w:val="0031570D"/>
    <w:rsid w:val="00316B2D"/>
    <w:rsid w:val="00317346"/>
    <w:rsid w:val="00317393"/>
    <w:rsid w:val="0031748B"/>
    <w:rsid w:val="00317E73"/>
    <w:rsid w:val="0032291C"/>
    <w:rsid w:val="00326327"/>
    <w:rsid w:val="00330E92"/>
    <w:rsid w:val="00331026"/>
    <w:rsid w:val="00332D86"/>
    <w:rsid w:val="0033431C"/>
    <w:rsid w:val="003345DA"/>
    <w:rsid w:val="00336217"/>
    <w:rsid w:val="00336E84"/>
    <w:rsid w:val="003379D7"/>
    <w:rsid w:val="00337F40"/>
    <w:rsid w:val="00341320"/>
    <w:rsid w:val="003418C1"/>
    <w:rsid w:val="00341C98"/>
    <w:rsid w:val="00342C38"/>
    <w:rsid w:val="003433AB"/>
    <w:rsid w:val="003443EB"/>
    <w:rsid w:val="003443F0"/>
    <w:rsid w:val="00344677"/>
    <w:rsid w:val="003446DE"/>
    <w:rsid w:val="003458E5"/>
    <w:rsid w:val="00345A6D"/>
    <w:rsid w:val="003461FC"/>
    <w:rsid w:val="0034635E"/>
    <w:rsid w:val="00346CDE"/>
    <w:rsid w:val="00347618"/>
    <w:rsid w:val="00347B37"/>
    <w:rsid w:val="00351015"/>
    <w:rsid w:val="00351A66"/>
    <w:rsid w:val="00351AD0"/>
    <w:rsid w:val="00352A23"/>
    <w:rsid w:val="00352BB3"/>
    <w:rsid w:val="003534F8"/>
    <w:rsid w:val="0035425D"/>
    <w:rsid w:val="00354B0F"/>
    <w:rsid w:val="00354DFF"/>
    <w:rsid w:val="00355DF5"/>
    <w:rsid w:val="003574E8"/>
    <w:rsid w:val="00357A4D"/>
    <w:rsid w:val="00361375"/>
    <w:rsid w:val="0036212E"/>
    <w:rsid w:val="00365970"/>
    <w:rsid w:val="003660F9"/>
    <w:rsid w:val="00367A7B"/>
    <w:rsid w:val="00367B9B"/>
    <w:rsid w:val="0037018E"/>
    <w:rsid w:val="003716A1"/>
    <w:rsid w:val="00372D3F"/>
    <w:rsid w:val="00373BD9"/>
    <w:rsid w:val="00374A59"/>
    <w:rsid w:val="003752E9"/>
    <w:rsid w:val="0037551C"/>
    <w:rsid w:val="0037659F"/>
    <w:rsid w:val="0038065E"/>
    <w:rsid w:val="003823E4"/>
    <w:rsid w:val="00382B8E"/>
    <w:rsid w:val="0038468B"/>
    <w:rsid w:val="00384D92"/>
    <w:rsid w:val="003853BC"/>
    <w:rsid w:val="00385C4E"/>
    <w:rsid w:val="00386C0A"/>
    <w:rsid w:val="00387610"/>
    <w:rsid w:val="0038795E"/>
    <w:rsid w:val="00392C13"/>
    <w:rsid w:val="00393D9F"/>
    <w:rsid w:val="003941DF"/>
    <w:rsid w:val="00395762"/>
    <w:rsid w:val="003A1F37"/>
    <w:rsid w:val="003A23E6"/>
    <w:rsid w:val="003A4294"/>
    <w:rsid w:val="003A5E73"/>
    <w:rsid w:val="003A7F93"/>
    <w:rsid w:val="003B3549"/>
    <w:rsid w:val="003B6A7E"/>
    <w:rsid w:val="003B6ED7"/>
    <w:rsid w:val="003C1078"/>
    <w:rsid w:val="003C1C5D"/>
    <w:rsid w:val="003C4A44"/>
    <w:rsid w:val="003C5A05"/>
    <w:rsid w:val="003C60E7"/>
    <w:rsid w:val="003C71A8"/>
    <w:rsid w:val="003C73B2"/>
    <w:rsid w:val="003D0731"/>
    <w:rsid w:val="003D1F10"/>
    <w:rsid w:val="003D2825"/>
    <w:rsid w:val="003D3A4E"/>
    <w:rsid w:val="003D495F"/>
    <w:rsid w:val="003D4E3B"/>
    <w:rsid w:val="003D5EAE"/>
    <w:rsid w:val="003D6C98"/>
    <w:rsid w:val="003E032C"/>
    <w:rsid w:val="003E102A"/>
    <w:rsid w:val="003E19C9"/>
    <w:rsid w:val="003E2637"/>
    <w:rsid w:val="003E361F"/>
    <w:rsid w:val="003E4C0B"/>
    <w:rsid w:val="003E5311"/>
    <w:rsid w:val="003E5742"/>
    <w:rsid w:val="003E78F5"/>
    <w:rsid w:val="003E792C"/>
    <w:rsid w:val="003E7E8B"/>
    <w:rsid w:val="003F186C"/>
    <w:rsid w:val="003F27B3"/>
    <w:rsid w:val="003F2C48"/>
    <w:rsid w:val="003F2D4B"/>
    <w:rsid w:val="003F4177"/>
    <w:rsid w:val="003F44C3"/>
    <w:rsid w:val="003F4F00"/>
    <w:rsid w:val="003F5C36"/>
    <w:rsid w:val="003F5F5D"/>
    <w:rsid w:val="003F6DD6"/>
    <w:rsid w:val="004008C9"/>
    <w:rsid w:val="00405459"/>
    <w:rsid w:val="00405D16"/>
    <w:rsid w:val="0040642A"/>
    <w:rsid w:val="00406890"/>
    <w:rsid w:val="004106A9"/>
    <w:rsid w:val="00410B6A"/>
    <w:rsid w:val="0041216C"/>
    <w:rsid w:val="00412296"/>
    <w:rsid w:val="00412858"/>
    <w:rsid w:val="00414319"/>
    <w:rsid w:val="00415478"/>
    <w:rsid w:val="004154A3"/>
    <w:rsid w:val="00415EC5"/>
    <w:rsid w:val="004164EB"/>
    <w:rsid w:val="00416EB1"/>
    <w:rsid w:val="00417022"/>
    <w:rsid w:val="004170C2"/>
    <w:rsid w:val="0042361E"/>
    <w:rsid w:val="004238FA"/>
    <w:rsid w:val="00424D0D"/>
    <w:rsid w:val="00424FD2"/>
    <w:rsid w:val="0042643F"/>
    <w:rsid w:val="0043069F"/>
    <w:rsid w:val="00430D98"/>
    <w:rsid w:val="00431098"/>
    <w:rsid w:val="0043115C"/>
    <w:rsid w:val="00432423"/>
    <w:rsid w:val="004330A9"/>
    <w:rsid w:val="00433489"/>
    <w:rsid w:val="00433C0F"/>
    <w:rsid w:val="00433C23"/>
    <w:rsid w:val="00434745"/>
    <w:rsid w:val="00435E76"/>
    <w:rsid w:val="00435EFE"/>
    <w:rsid w:val="00436402"/>
    <w:rsid w:val="00437F34"/>
    <w:rsid w:val="004416E8"/>
    <w:rsid w:val="00442440"/>
    <w:rsid w:val="00443DBC"/>
    <w:rsid w:val="004449E4"/>
    <w:rsid w:val="0044555E"/>
    <w:rsid w:val="00445EFF"/>
    <w:rsid w:val="0044629B"/>
    <w:rsid w:val="00450167"/>
    <w:rsid w:val="00451132"/>
    <w:rsid w:val="00452F37"/>
    <w:rsid w:val="00454870"/>
    <w:rsid w:val="00454D04"/>
    <w:rsid w:val="00457A9B"/>
    <w:rsid w:val="004616E0"/>
    <w:rsid w:val="004618FC"/>
    <w:rsid w:val="00461B48"/>
    <w:rsid w:val="004641A0"/>
    <w:rsid w:val="00464752"/>
    <w:rsid w:val="0046526A"/>
    <w:rsid w:val="00465C30"/>
    <w:rsid w:val="0046623E"/>
    <w:rsid w:val="0046775E"/>
    <w:rsid w:val="00470CB9"/>
    <w:rsid w:val="00471620"/>
    <w:rsid w:val="00473CCE"/>
    <w:rsid w:val="00473E22"/>
    <w:rsid w:val="00474136"/>
    <w:rsid w:val="00474EC6"/>
    <w:rsid w:val="004750FD"/>
    <w:rsid w:val="00475385"/>
    <w:rsid w:val="004758C1"/>
    <w:rsid w:val="00475A42"/>
    <w:rsid w:val="00475B8B"/>
    <w:rsid w:val="00477B48"/>
    <w:rsid w:val="00480E59"/>
    <w:rsid w:val="00481446"/>
    <w:rsid w:val="00481F91"/>
    <w:rsid w:val="00484A97"/>
    <w:rsid w:val="00486F69"/>
    <w:rsid w:val="00487421"/>
    <w:rsid w:val="00487FDA"/>
    <w:rsid w:val="004909C8"/>
    <w:rsid w:val="0049262E"/>
    <w:rsid w:val="00492C1E"/>
    <w:rsid w:val="00492DDF"/>
    <w:rsid w:val="00492EFA"/>
    <w:rsid w:val="00496C40"/>
    <w:rsid w:val="00496F95"/>
    <w:rsid w:val="004975E9"/>
    <w:rsid w:val="00497A2F"/>
    <w:rsid w:val="004A069D"/>
    <w:rsid w:val="004A1224"/>
    <w:rsid w:val="004A21FF"/>
    <w:rsid w:val="004A2390"/>
    <w:rsid w:val="004A284D"/>
    <w:rsid w:val="004A3FBA"/>
    <w:rsid w:val="004A43F5"/>
    <w:rsid w:val="004A47B6"/>
    <w:rsid w:val="004A4A2A"/>
    <w:rsid w:val="004A763D"/>
    <w:rsid w:val="004A7AAE"/>
    <w:rsid w:val="004A7DAA"/>
    <w:rsid w:val="004B065D"/>
    <w:rsid w:val="004B1072"/>
    <w:rsid w:val="004B1188"/>
    <w:rsid w:val="004B23EC"/>
    <w:rsid w:val="004B2546"/>
    <w:rsid w:val="004B428C"/>
    <w:rsid w:val="004B4505"/>
    <w:rsid w:val="004B546F"/>
    <w:rsid w:val="004B6287"/>
    <w:rsid w:val="004B6AD2"/>
    <w:rsid w:val="004B7735"/>
    <w:rsid w:val="004C08E9"/>
    <w:rsid w:val="004C0A90"/>
    <w:rsid w:val="004C0AA7"/>
    <w:rsid w:val="004C1D20"/>
    <w:rsid w:val="004C1F31"/>
    <w:rsid w:val="004C35FA"/>
    <w:rsid w:val="004C3CE8"/>
    <w:rsid w:val="004C6809"/>
    <w:rsid w:val="004C6F1E"/>
    <w:rsid w:val="004C7E95"/>
    <w:rsid w:val="004D2235"/>
    <w:rsid w:val="004D3094"/>
    <w:rsid w:val="004E42BA"/>
    <w:rsid w:val="004E4D9C"/>
    <w:rsid w:val="004E5CC4"/>
    <w:rsid w:val="004E5D8F"/>
    <w:rsid w:val="004E69C7"/>
    <w:rsid w:val="004E7305"/>
    <w:rsid w:val="004E79AA"/>
    <w:rsid w:val="004E7C1D"/>
    <w:rsid w:val="004F019A"/>
    <w:rsid w:val="004F0366"/>
    <w:rsid w:val="004F4BD9"/>
    <w:rsid w:val="004F5121"/>
    <w:rsid w:val="004F6AC2"/>
    <w:rsid w:val="004F6D09"/>
    <w:rsid w:val="00500866"/>
    <w:rsid w:val="00500C4A"/>
    <w:rsid w:val="00501A3F"/>
    <w:rsid w:val="00501CD0"/>
    <w:rsid w:val="005024AF"/>
    <w:rsid w:val="00502FC9"/>
    <w:rsid w:val="005030F9"/>
    <w:rsid w:val="00503304"/>
    <w:rsid w:val="0050636F"/>
    <w:rsid w:val="005074A4"/>
    <w:rsid w:val="00510424"/>
    <w:rsid w:val="00511278"/>
    <w:rsid w:val="005114F8"/>
    <w:rsid w:val="0051400D"/>
    <w:rsid w:val="00516733"/>
    <w:rsid w:val="00517EFF"/>
    <w:rsid w:val="00520380"/>
    <w:rsid w:val="00520708"/>
    <w:rsid w:val="00521512"/>
    <w:rsid w:val="00521536"/>
    <w:rsid w:val="005228F6"/>
    <w:rsid w:val="00523335"/>
    <w:rsid w:val="00525A82"/>
    <w:rsid w:val="0052687F"/>
    <w:rsid w:val="005270C2"/>
    <w:rsid w:val="00527137"/>
    <w:rsid w:val="00527991"/>
    <w:rsid w:val="00530B7A"/>
    <w:rsid w:val="00534514"/>
    <w:rsid w:val="00535FA7"/>
    <w:rsid w:val="005427CD"/>
    <w:rsid w:val="00542D7C"/>
    <w:rsid w:val="005433B1"/>
    <w:rsid w:val="00543600"/>
    <w:rsid w:val="00543790"/>
    <w:rsid w:val="00543B59"/>
    <w:rsid w:val="0054459E"/>
    <w:rsid w:val="005445D9"/>
    <w:rsid w:val="00545F82"/>
    <w:rsid w:val="005468A2"/>
    <w:rsid w:val="00546EA3"/>
    <w:rsid w:val="005478A3"/>
    <w:rsid w:val="005508C6"/>
    <w:rsid w:val="00551BE9"/>
    <w:rsid w:val="005543D2"/>
    <w:rsid w:val="00556063"/>
    <w:rsid w:val="00557013"/>
    <w:rsid w:val="00560B7B"/>
    <w:rsid w:val="00562622"/>
    <w:rsid w:val="00562E8A"/>
    <w:rsid w:val="005646D0"/>
    <w:rsid w:val="00570AD2"/>
    <w:rsid w:val="0057279F"/>
    <w:rsid w:val="00572B8C"/>
    <w:rsid w:val="00572C00"/>
    <w:rsid w:val="00573888"/>
    <w:rsid w:val="00573E0C"/>
    <w:rsid w:val="005744D7"/>
    <w:rsid w:val="005764C2"/>
    <w:rsid w:val="005771CD"/>
    <w:rsid w:val="005779EB"/>
    <w:rsid w:val="00577B54"/>
    <w:rsid w:val="005809FD"/>
    <w:rsid w:val="00581C79"/>
    <w:rsid w:val="005829CA"/>
    <w:rsid w:val="00583FA9"/>
    <w:rsid w:val="0058445F"/>
    <w:rsid w:val="00585117"/>
    <w:rsid w:val="00590AA6"/>
    <w:rsid w:val="00590E04"/>
    <w:rsid w:val="0059115E"/>
    <w:rsid w:val="00591276"/>
    <w:rsid w:val="005915CD"/>
    <w:rsid w:val="00591A9C"/>
    <w:rsid w:val="005921BF"/>
    <w:rsid w:val="0059274B"/>
    <w:rsid w:val="00594266"/>
    <w:rsid w:val="00594D43"/>
    <w:rsid w:val="00595C04"/>
    <w:rsid w:val="00596DE5"/>
    <w:rsid w:val="00597304"/>
    <w:rsid w:val="00597313"/>
    <w:rsid w:val="005A0384"/>
    <w:rsid w:val="005A086A"/>
    <w:rsid w:val="005A0F1D"/>
    <w:rsid w:val="005A1831"/>
    <w:rsid w:val="005A1C9B"/>
    <w:rsid w:val="005A4E01"/>
    <w:rsid w:val="005A7435"/>
    <w:rsid w:val="005A7BB6"/>
    <w:rsid w:val="005B1D8F"/>
    <w:rsid w:val="005B20FA"/>
    <w:rsid w:val="005B35FB"/>
    <w:rsid w:val="005B3763"/>
    <w:rsid w:val="005B41CA"/>
    <w:rsid w:val="005B5F65"/>
    <w:rsid w:val="005B68B5"/>
    <w:rsid w:val="005C01C0"/>
    <w:rsid w:val="005C0B5F"/>
    <w:rsid w:val="005C0F24"/>
    <w:rsid w:val="005C176D"/>
    <w:rsid w:val="005C505E"/>
    <w:rsid w:val="005C603D"/>
    <w:rsid w:val="005C7610"/>
    <w:rsid w:val="005D0355"/>
    <w:rsid w:val="005D0C98"/>
    <w:rsid w:val="005D0D7C"/>
    <w:rsid w:val="005D1BC8"/>
    <w:rsid w:val="005D2B7B"/>
    <w:rsid w:val="005D5271"/>
    <w:rsid w:val="005D761B"/>
    <w:rsid w:val="005D7839"/>
    <w:rsid w:val="005D79AF"/>
    <w:rsid w:val="005D7B3C"/>
    <w:rsid w:val="005E13B6"/>
    <w:rsid w:val="005E21F5"/>
    <w:rsid w:val="005E4A19"/>
    <w:rsid w:val="005E4CD6"/>
    <w:rsid w:val="005E56E4"/>
    <w:rsid w:val="005E7298"/>
    <w:rsid w:val="005F072C"/>
    <w:rsid w:val="005F1A7E"/>
    <w:rsid w:val="005F4FDA"/>
    <w:rsid w:val="005F5419"/>
    <w:rsid w:val="005F7540"/>
    <w:rsid w:val="00600252"/>
    <w:rsid w:val="00600A32"/>
    <w:rsid w:val="006013DE"/>
    <w:rsid w:val="006035F1"/>
    <w:rsid w:val="0060428D"/>
    <w:rsid w:val="00606BD8"/>
    <w:rsid w:val="006074ED"/>
    <w:rsid w:val="006101F3"/>
    <w:rsid w:val="00610A2C"/>
    <w:rsid w:val="0061161F"/>
    <w:rsid w:val="00611873"/>
    <w:rsid w:val="006137B1"/>
    <w:rsid w:val="00613AE1"/>
    <w:rsid w:val="0061540B"/>
    <w:rsid w:val="0061673E"/>
    <w:rsid w:val="006174C7"/>
    <w:rsid w:val="006175A7"/>
    <w:rsid w:val="00617F24"/>
    <w:rsid w:val="00621662"/>
    <w:rsid w:val="00622E2C"/>
    <w:rsid w:val="00624556"/>
    <w:rsid w:val="0062481B"/>
    <w:rsid w:val="006251C9"/>
    <w:rsid w:val="006269A4"/>
    <w:rsid w:val="0062744D"/>
    <w:rsid w:val="00627499"/>
    <w:rsid w:val="00627B5E"/>
    <w:rsid w:val="00632981"/>
    <w:rsid w:val="00634118"/>
    <w:rsid w:val="00635EA7"/>
    <w:rsid w:val="00636785"/>
    <w:rsid w:val="00637FB3"/>
    <w:rsid w:val="006421C2"/>
    <w:rsid w:val="00642CEB"/>
    <w:rsid w:val="00643221"/>
    <w:rsid w:val="006449FA"/>
    <w:rsid w:val="006449FD"/>
    <w:rsid w:val="006454A7"/>
    <w:rsid w:val="0064567E"/>
    <w:rsid w:val="006465BB"/>
    <w:rsid w:val="00646941"/>
    <w:rsid w:val="00647F0C"/>
    <w:rsid w:val="00650133"/>
    <w:rsid w:val="00651F9D"/>
    <w:rsid w:val="006523B3"/>
    <w:rsid w:val="00652A64"/>
    <w:rsid w:val="00652F69"/>
    <w:rsid w:val="00654E7E"/>
    <w:rsid w:val="006557E9"/>
    <w:rsid w:val="00656B71"/>
    <w:rsid w:val="00661F81"/>
    <w:rsid w:val="006631E8"/>
    <w:rsid w:val="00664473"/>
    <w:rsid w:val="006655D3"/>
    <w:rsid w:val="006665AB"/>
    <w:rsid w:val="00666CA6"/>
    <w:rsid w:val="00670CBD"/>
    <w:rsid w:val="0067133C"/>
    <w:rsid w:val="0067249C"/>
    <w:rsid w:val="0067269D"/>
    <w:rsid w:val="00673E3D"/>
    <w:rsid w:val="00674502"/>
    <w:rsid w:val="00674B7E"/>
    <w:rsid w:val="006751D3"/>
    <w:rsid w:val="006754C6"/>
    <w:rsid w:val="0067571E"/>
    <w:rsid w:val="0067686A"/>
    <w:rsid w:val="00676E70"/>
    <w:rsid w:val="006825EA"/>
    <w:rsid w:val="00682746"/>
    <w:rsid w:val="006854B5"/>
    <w:rsid w:val="00685D6D"/>
    <w:rsid w:val="0068665B"/>
    <w:rsid w:val="00686ADD"/>
    <w:rsid w:val="0069017A"/>
    <w:rsid w:val="00691450"/>
    <w:rsid w:val="00692800"/>
    <w:rsid w:val="00694B9D"/>
    <w:rsid w:val="006971C2"/>
    <w:rsid w:val="006A0DEF"/>
    <w:rsid w:val="006A19A4"/>
    <w:rsid w:val="006A2417"/>
    <w:rsid w:val="006A2C44"/>
    <w:rsid w:val="006A4C61"/>
    <w:rsid w:val="006A5B02"/>
    <w:rsid w:val="006A5DD1"/>
    <w:rsid w:val="006A68B5"/>
    <w:rsid w:val="006A6C77"/>
    <w:rsid w:val="006A71F8"/>
    <w:rsid w:val="006B1DC1"/>
    <w:rsid w:val="006B24B6"/>
    <w:rsid w:val="006B3981"/>
    <w:rsid w:val="006B3BAF"/>
    <w:rsid w:val="006B4705"/>
    <w:rsid w:val="006B48A2"/>
    <w:rsid w:val="006B5DE4"/>
    <w:rsid w:val="006B6B13"/>
    <w:rsid w:val="006C04DF"/>
    <w:rsid w:val="006C0537"/>
    <w:rsid w:val="006C06E1"/>
    <w:rsid w:val="006C0CBD"/>
    <w:rsid w:val="006C1D3D"/>
    <w:rsid w:val="006C1FAF"/>
    <w:rsid w:val="006C35A8"/>
    <w:rsid w:val="006C3EDA"/>
    <w:rsid w:val="006C533C"/>
    <w:rsid w:val="006C5ACB"/>
    <w:rsid w:val="006C60D5"/>
    <w:rsid w:val="006C742E"/>
    <w:rsid w:val="006D01F3"/>
    <w:rsid w:val="006D0261"/>
    <w:rsid w:val="006D14D5"/>
    <w:rsid w:val="006D1554"/>
    <w:rsid w:val="006D418E"/>
    <w:rsid w:val="006D712F"/>
    <w:rsid w:val="006E06EE"/>
    <w:rsid w:val="006E0EDD"/>
    <w:rsid w:val="006E1ABB"/>
    <w:rsid w:val="006E1BA7"/>
    <w:rsid w:val="006E1FE0"/>
    <w:rsid w:val="006E6910"/>
    <w:rsid w:val="006E7853"/>
    <w:rsid w:val="006F0DB1"/>
    <w:rsid w:val="006F1544"/>
    <w:rsid w:val="006F2384"/>
    <w:rsid w:val="006F388D"/>
    <w:rsid w:val="006F4484"/>
    <w:rsid w:val="006F4CFB"/>
    <w:rsid w:val="006F5358"/>
    <w:rsid w:val="006F53A8"/>
    <w:rsid w:val="007000AB"/>
    <w:rsid w:val="00701E54"/>
    <w:rsid w:val="007047E4"/>
    <w:rsid w:val="00704C1C"/>
    <w:rsid w:val="00706014"/>
    <w:rsid w:val="007072D3"/>
    <w:rsid w:val="00710222"/>
    <w:rsid w:val="0071342C"/>
    <w:rsid w:val="007135E1"/>
    <w:rsid w:val="00713E5C"/>
    <w:rsid w:val="0071432B"/>
    <w:rsid w:val="007165BE"/>
    <w:rsid w:val="00716798"/>
    <w:rsid w:val="00716F71"/>
    <w:rsid w:val="00717A2D"/>
    <w:rsid w:val="00717FD1"/>
    <w:rsid w:val="00720331"/>
    <w:rsid w:val="00720BDD"/>
    <w:rsid w:val="00722625"/>
    <w:rsid w:val="00722817"/>
    <w:rsid w:val="00724270"/>
    <w:rsid w:val="007250F5"/>
    <w:rsid w:val="007255CB"/>
    <w:rsid w:val="00725B48"/>
    <w:rsid w:val="00726072"/>
    <w:rsid w:val="00726733"/>
    <w:rsid w:val="007305D4"/>
    <w:rsid w:val="007308F1"/>
    <w:rsid w:val="00731542"/>
    <w:rsid w:val="007337C0"/>
    <w:rsid w:val="0073390D"/>
    <w:rsid w:val="007341A9"/>
    <w:rsid w:val="00735400"/>
    <w:rsid w:val="00735AE4"/>
    <w:rsid w:val="00735C41"/>
    <w:rsid w:val="007377EC"/>
    <w:rsid w:val="00737ACF"/>
    <w:rsid w:val="00737BD8"/>
    <w:rsid w:val="00741A91"/>
    <w:rsid w:val="00741F31"/>
    <w:rsid w:val="00742019"/>
    <w:rsid w:val="00742447"/>
    <w:rsid w:val="00744FCE"/>
    <w:rsid w:val="00745A30"/>
    <w:rsid w:val="00747B00"/>
    <w:rsid w:val="00747FAE"/>
    <w:rsid w:val="007506A2"/>
    <w:rsid w:val="00751327"/>
    <w:rsid w:val="0075192D"/>
    <w:rsid w:val="007519D4"/>
    <w:rsid w:val="00751B6C"/>
    <w:rsid w:val="00752521"/>
    <w:rsid w:val="00753923"/>
    <w:rsid w:val="00753D4D"/>
    <w:rsid w:val="00754F27"/>
    <w:rsid w:val="00755DED"/>
    <w:rsid w:val="00756A18"/>
    <w:rsid w:val="00756C20"/>
    <w:rsid w:val="00760BAB"/>
    <w:rsid w:val="00762179"/>
    <w:rsid w:val="00763A5E"/>
    <w:rsid w:val="00764041"/>
    <w:rsid w:val="0076535F"/>
    <w:rsid w:val="00766734"/>
    <w:rsid w:val="00767D36"/>
    <w:rsid w:val="00770D34"/>
    <w:rsid w:val="007711B3"/>
    <w:rsid w:val="00771C62"/>
    <w:rsid w:val="00772529"/>
    <w:rsid w:val="007731C0"/>
    <w:rsid w:val="007751E7"/>
    <w:rsid w:val="007753B8"/>
    <w:rsid w:val="00777340"/>
    <w:rsid w:val="00780B47"/>
    <w:rsid w:val="0078174E"/>
    <w:rsid w:val="00781A65"/>
    <w:rsid w:val="007848D1"/>
    <w:rsid w:val="0078493D"/>
    <w:rsid w:val="00784A75"/>
    <w:rsid w:val="00784A91"/>
    <w:rsid w:val="007861B3"/>
    <w:rsid w:val="0078689A"/>
    <w:rsid w:val="0078717B"/>
    <w:rsid w:val="00787F30"/>
    <w:rsid w:val="00794D83"/>
    <w:rsid w:val="00797A2A"/>
    <w:rsid w:val="00797BE5"/>
    <w:rsid w:val="00797F2E"/>
    <w:rsid w:val="007A1799"/>
    <w:rsid w:val="007A4E51"/>
    <w:rsid w:val="007A4ED0"/>
    <w:rsid w:val="007A5009"/>
    <w:rsid w:val="007A6452"/>
    <w:rsid w:val="007A77AC"/>
    <w:rsid w:val="007A7E95"/>
    <w:rsid w:val="007B01C8"/>
    <w:rsid w:val="007B077A"/>
    <w:rsid w:val="007B0AE0"/>
    <w:rsid w:val="007B2889"/>
    <w:rsid w:val="007B2ACE"/>
    <w:rsid w:val="007B3429"/>
    <w:rsid w:val="007B3B07"/>
    <w:rsid w:val="007B54AC"/>
    <w:rsid w:val="007B6724"/>
    <w:rsid w:val="007C03E5"/>
    <w:rsid w:val="007C2849"/>
    <w:rsid w:val="007C3449"/>
    <w:rsid w:val="007C4EF8"/>
    <w:rsid w:val="007C4FE2"/>
    <w:rsid w:val="007C5602"/>
    <w:rsid w:val="007C5BE4"/>
    <w:rsid w:val="007C693A"/>
    <w:rsid w:val="007C6C59"/>
    <w:rsid w:val="007D0193"/>
    <w:rsid w:val="007D0FB4"/>
    <w:rsid w:val="007D2B14"/>
    <w:rsid w:val="007D2C2B"/>
    <w:rsid w:val="007D2F1F"/>
    <w:rsid w:val="007D4E4E"/>
    <w:rsid w:val="007D551C"/>
    <w:rsid w:val="007D55EE"/>
    <w:rsid w:val="007D66AE"/>
    <w:rsid w:val="007D6C78"/>
    <w:rsid w:val="007D791B"/>
    <w:rsid w:val="007D791F"/>
    <w:rsid w:val="007E09DF"/>
    <w:rsid w:val="007E14F6"/>
    <w:rsid w:val="007E211A"/>
    <w:rsid w:val="007E2C3D"/>
    <w:rsid w:val="007E3057"/>
    <w:rsid w:val="007E46DC"/>
    <w:rsid w:val="007E6141"/>
    <w:rsid w:val="007E6667"/>
    <w:rsid w:val="007E6AE3"/>
    <w:rsid w:val="007E6BA0"/>
    <w:rsid w:val="007F1A96"/>
    <w:rsid w:val="007F28DF"/>
    <w:rsid w:val="007F4348"/>
    <w:rsid w:val="007F4A8B"/>
    <w:rsid w:val="007F580D"/>
    <w:rsid w:val="007F5A21"/>
    <w:rsid w:val="007F5B12"/>
    <w:rsid w:val="007F647F"/>
    <w:rsid w:val="007F6563"/>
    <w:rsid w:val="007F6E9B"/>
    <w:rsid w:val="0080041B"/>
    <w:rsid w:val="00801245"/>
    <w:rsid w:val="008024FC"/>
    <w:rsid w:val="008026F8"/>
    <w:rsid w:val="008113FF"/>
    <w:rsid w:val="00811A84"/>
    <w:rsid w:val="008125BE"/>
    <w:rsid w:val="00812643"/>
    <w:rsid w:val="00812F03"/>
    <w:rsid w:val="00814AE9"/>
    <w:rsid w:val="00816ABF"/>
    <w:rsid w:val="00816C23"/>
    <w:rsid w:val="00821885"/>
    <w:rsid w:val="00821ACB"/>
    <w:rsid w:val="00823D6D"/>
    <w:rsid w:val="0082451D"/>
    <w:rsid w:val="0082538D"/>
    <w:rsid w:val="008305AC"/>
    <w:rsid w:val="00830CE3"/>
    <w:rsid w:val="00830EE0"/>
    <w:rsid w:val="00831A03"/>
    <w:rsid w:val="00832E2B"/>
    <w:rsid w:val="00832EEB"/>
    <w:rsid w:val="00833A3B"/>
    <w:rsid w:val="0083497F"/>
    <w:rsid w:val="00835411"/>
    <w:rsid w:val="00836234"/>
    <w:rsid w:val="00836786"/>
    <w:rsid w:val="008375B2"/>
    <w:rsid w:val="00837B1B"/>
    <w:rsid w:val="00837CD3"/>
    <w:rsid w:val="008414CD"/>
    <w:rsid w:val="00841C69"/>
    <w:rsid w:val="00842084"/>
    <w:rsid w:val="008421FF"/>
    <w:rsid w:val="008435D8"/>
    <w:rsid w:val="00844113"/>
    <w:rsid w:val="008442BF"/>
    <w:rsid w:val="008443DA"/>
    <w:rsid w:val="00844FDA"/>
    <w:rsid w:val="008452D2"/>
    <w:rsid w:val="0084607D"/>
    <w:rsid w:val="00846E5E"/>
    <w:rsid w:val="00847247"/>
    <w:rsid w:val="00852612"/>
    <w:rsid w:val="008527F3"/>
    <w:rsid w:val="00853D93"/>
    <w:rsid w:val="008558D6"/>
    <w:rsid w:val="008571E3"/>
    <w:rsid w:val="008572C2"/>
    <w:rsid w:val="00862500"/>
    <w:rsid w:val="008626A9"/>
    <w:rsid w:val="00864242"/>
    <w:rsid w:val="008648CC"/>
    <w:rsid w:val="00867110"/>
    <w:rsid w:val="0086795A"/>
    <w:rsid w:val="00867A54"/>
    <w:rsid w:val="00867B99"/>
    <w:rsid w:val="008735AF"/>
    <w:rsid w:val="008751B8"/>
    <w:rsid w:val="00875BF5"/>
    <w:rsid w:val="00875FC6"/>
    <w:rsid w:val="008767A8"/>
    <w:rsid w:val="00877BEB"/>
    <w:rsid w:val="008807F2"/>
    <w:rsid w:val="00882057"/>
    <w:rsid w:val="00885BD3"/>
    <w:rsid w:val="00885E2B"/>
    <w:rsid w:val="00886169"/>
    <w:rsid w:val="008901E4"/>
    <w:rsid w:val="008906CF"/>
    <w:rsid w:val="00891275"/>
    <w:rsid w:val="0089208A"/>
    <w:rsid w:val="00893ED2"/>
    <w:rsid w:val="00895774"/>
    <w:rsid w:val="0089670C"/>
    <w:rsid w:val="008A05FB"/>
    <w:rsid w:val="008A0AAA"/>
    <w:rsid w:val="008A143A"/>
    <w:rsid w:val="008A26C5"/>
    <w:rsid w:val="008A4205"/>
    <w:rsid w:val="008A4CD4"/>
    <w:rsid w:val="008A5A1C"/>
    <w:rsid w:val="008A68C9"/>
    <w:rsid w:val="008A6BDF"/>
    <w:rsid w:val="008A6FB5"/>
    <w:rsid w:val="008B0287"/>
    <w:rsid w:val="008B0858"/>
    <w:rsid w:val="008B1000"/>
    <w:rsid w:val="008B1AB9"/>
    <w:rsid w:val="008B1F6C"/>
    <w:rsid w:val="008B27DB"/>
    <w:rsid w:val="008B3114"/>
    <w:rsid w:val="008B3F05"/>
    <w:rsid w:val="008B48A2"/>
    <w:rsid w:val="008B5709"/>
    <w:rsid w:val="008C164D"/>
    <w:rsid w:val="008C2F43"/>
    <w:rsid w:val="008C5BA1"/>
    <w:rsid w:val="008C70D8"/>
    <w:rsid w:val="008C7B9E"/>
    <w:rsid w:val="008C7CF9"/>
    <w:rsid w:val="008D102E"/>
    <w:rsid w:val="008D2461"/>
    <w:rsid w:val="008D3648"/>
    <w:rsid w:val="008D43AA"/>
    <w:rsid w:val="008D4B51"/>
    <w:rsid w:val="008D6215"/>
    <w:rsid w:val="008D6C97"/>
    <w:rsid w:val="008E1A38"/>
    <w:rsid w:val="008E1BBB"/>
    <w:rsid w:val="008E1F8D"/>
    <w:rsid w:val="008E5488"/>
    <w:rsid w:val="008E5707"/>
    <w:rsid w:val="008E6136"/>
    <w:rsid w:val="008E6202"/>
    <w:rsid w:val="008E77D1"/>
    <w:rsid w:val="008F0CBA"/>
    <w:rsid w:val="008F2E30"/>
    <w:rsid w:val="008F424B"/>
    <w:rsid w:val="008F4307"/>
    <w:rsid w:val="008F4984"/>
    <w:rsid w:val="008F4A12"/>
    <w:rsid w:val="008F6F47"/>
    <w:rsid w:val="008F7008"/>
    <w:rsid w:val="009006A5"/>
    <w:rsid w:val="00901231"/>
    <w:rsid w:val="00901791"/>
    <w:rsid w:val="009026EC"/>
    <w:rsid w:val="009027F8"/>
    <w:rsid w:val="009037FF"/>
    <w:rsid w:val="00904BA4"/>
    <w:rsid w:val="00904E84"/>
    <w:rsid w:val="00906CEB"/>
    <w:rsid w:val="00907407"/>
    <w:rsid w:val="009075AB"/>
    <w:rsid w:val="00907763"/>
    <w:rsid w:val="00907785"/>
    <w:rsid w:val="00910033"/>
    <w:rsid w:val="00911558"/>
    <w:rsid w:val="00911CD6"/>
    <w:rsid w:val="00911D5F"/>
    <w:rsid w:val="009142E2"/>
    <w:rsid w:val="00915B62"/>
    <w:rsid w:val="00916524"/>
    <w:rsid w:val="00916A2C"/>
    <w:rsid w:val="009173D6"/>
    <w:rsid w:val="009173F2"/>
    <w:rsid w:val="009179F2"/>
    <w:rsid w:val="00920275"/>
    <w:rsid w:val="009202BD"/>
    <w:rsid w:val="00922B80"/>
    <w:rsid w:val="0092369C"/>
    <w:rsid w:val="00923BE6"/>
    <w:rsid w:val="00924690"/>
    <w:rsid w:val="00924A84"/>
    <w:rsid w:val="00924FD2"/>
    <w:rsid w:val="00925084"/>
    <w:rsid w:val="0092560D"/>
    <w:rsid w:val="009263A5"/>
    <w:rsid w:val="0092643A"/>
    <w:rsid w:val="009268DC"/>
    <w:rsid w:val="0092725D"/>
    <w:rsid w:val="009302F0"/>
    <w:rsid w:val="009318A7"/>
    <w:rsid w:val="0093257E"/>
    <w:rsid w:val="00932B67"/>
    <w:rsid w:val="0093399E"/>
    <w:rsid w:val="00935094"/>
    <w:rsid w:val="00935DBB"/>
    <w:rsid w:val="009361BB"/>
    <w:rsid w:val="009368E8"/>
    <w:rsid w:val="00936A8B"/>
    <w:rsid w:val="00936EC9"/>
    <w:rsid w:val="0093790A"/>
    <w:rsid w:val="0094082D"/>
    <w:rsid w:val="00941D2C"/>
    <w:rsid w:val="00945159"/>
    <w:rsid w:val="00946037"/>
    <w:rsid w:val="00946C51"/>
    <w:rsid w:val="00950535"/>
    <w:rsid w:val="009517FB"/>
    <w:rsid w:val="009517FE"/>
    <w:rsid w:val="00951F21"/>
    <w:rsid w:val="0095448C"/>
    <w:rsid w:val="00955CD4"/>
    <w:rsid w:val="00956455"/>
    <w:rsid w:val="00960440"/>
    <w:rsid w:val="00960956"/>
    <w:rsid w:val="00960A45"/>
    <w:rsid w:val="00962259"/>
    <w:rsid w:val="00963897"/>
    <w:rsid w:val="009656E3"/>
    <w:rsid w:val="00965D0E"/>
    <w:rsid w:val="00965D6C"/>
    <w:rsid w:val="00965EEB"/>
    <w:rsid w:val="00965F38"/>
    <w:rsid w:val="0096634C"/>
    <w:rsid w:val="0096752A"/>
    <w:rsid w:val="00970499"/>
    <w:rsid w:val="009707DD"/>
    <w:rsid w:val="0097161A"/>
    <w:rsid w:val="00971F36"/>
    <w:rsid w:val="009741FD"/>
    <w:rsid w:val="0097476B"/>
    <w:rsid w:val="009764A4"/>
    <w:rsid w:val="00976E57"/>
    <w:rsid w:val="0097778C"/>
    <w:rsid w:val="009777C9"/>
    <w:rsid w:val="00977CC6"/>
    <w:rsid w:val="0098006B"/>
    <w:rsid w:val="00980667"/>
    <w:rsid w:val="00980D55"/>
    <w:rsid w:val="0098116B"/>
    <w:rsid w:val="00981CBE"/>
    <w:rsid w:val="009829A8"/>
    <w:rsid w:val="009830E8"/>
    <w:rsid w:val="00984A1D"/>
    <w:rsid w:val="0098506E"/>
    <w:rsid w:val="00985112"/>
    <w:rsid w:val="00985FCF"/>
    <w:rsid w:val="009869C8"/>
    <w:rsid w:val="0098799C"/>
    <w:rsid w:val="009926EC"/>
    <w:rsid w:val="0099291C"/>
    <w:rsid w:val="00992CAF"/>
    <w:rsid w:val="0099315C"/>
    <w:rsid w:val="00993219"/>
    <w:rsid w:val="00994DC7"/>
    <w:rsid w:val="0099564D"/>
    <w:rsid w:val="0099751F"/>
    <w:rsid w:val="00997F73"/>
    <w:rsid w:val="009A1008"/>
    <w:rsid w:val="009A1595"/>
    <w:rsid w:val="009A15A7"/>
    <w:rsid w:val="009A1EC2"/>
    <w:rsid w:val="009A29D0"/>
    <w:rsid w:val="009A4262"/>
    <w:rsid w:val="009A594B"/>
    <w:rsid w:val="009A63C7"/>
    <w:rsid w:val="009A6CD4"/>
    <w:rsid w:val="009A713F"/>
    <w:rsid w:val="009B0D77"/>
    <w:rsid w:val="009B1FDD"/>
    <w:rsid w:val="009B2374"/>
    <w:rsid w:val="009B2F9D"/>
    <w:rsid w:val="009B364C"/>
    <w:rsid w:val="009B4153"/>
    <w:rsid w:val="009B4164"/>
    <w:rsid w:val="009B4974"/>
    <w:rsid w:val="009C0831"/>
    <w:rsid w:val="009C0D5C"/>
    <w:rsid w:val="009C1828"/>
    <w:rsid w:val="009C2F59"/>
    <w:rsid w:val="009C394B"/>
    <w:rsid w:val="009C3E2B"/>
    <w:rsid w:val="009C447C"/>
    <w:rsid w:val="009C4F5B"/>
    <w:rsid w:val="009C614E"/>
    <w:rsid w:val="009C72E4"/>
    <w:rsid w:val="009C7A35"/>
    <w:rsid w:val="009C7D1D"/>
    <w:rsid w:val="009D0568"/>
    <w:rsid w:val="009D13D0"/>
    <w:rsid w:val="009D187A"/>
    <w:rsid w:val="009D1961"/>
    <w:rsid w:val="009D208C"/>
    <w:rsid w:val="009D2815"/>
    <w:rsid w:val="009D2F65"/>
    <w:rsid w:val="009D47DF"/>
    <w:rsid w:val="009D4A4D"/>
    <w:rsid w:val="009D5133"/>
    <w:rsid w:val="009D788E"/>
    <w:rsid w:val="009D7BDF"/>
    <w:rsid w:val="009E0166"/>
    <w:rsid w:val="009E0B89"/>
    <w:rsid w:val="009E29B6"/>
    <w:rsid w:val="009E2CEE"/>
    <w:rsid w:val="009E2E18"/>
    <w:rsid w:val="009E30C7"/>
    <w:rsid w:val="009E4976"/>
    <w:rsid w:val="009E4BD7"/>
    <w:rsid w:val="009E5652"/>
    <w:rsid w:val="009E7BB7"/>
    <w:rsid w:val="009F1C02"/>
    <w:rsid w:val="009F1E46"/>
    <w:rsid w:val="009F2665"/>
    <w:rsid w:val="009F354F"/>
    <w:rsid w:val="009F46A2"/>
    <w:rsid w:val="009F5585"/>
    <w:rsid w:val="009F5805"/>
    <w:rsid w:val="009F74E8"/>
    <w:rsid w:val="009F760C"/>
    <w:rsid w:val="009F7F6E"/>
    <w:rsid w:val="00A003B9"/>
    <w:rsid w:val="00A00BF5"/>
    <w:rsid w:val="00A00C63"/>
    <w:rsid w:val="00A014F1"/>
    <w:rsid w:val="00A026EC"/>
    <w:rsid w:val="00A0477A"/>
    <w:rsid w:val="00A05589"/>
    <w:rsid w:val="00A0572F"/>
    <w:rsid w:val="00A05732"/>
    <w:rsid w:val="00A06311"/>
    <w:rsid w:val="00A0668C"/>
    <w:rsid w:val="00A11221"/>
    <w:rsid w:val="00A11DBC"/>
    <w:rsid w:val="00A13722"/>
    <w:rsid w:val="00A13726"/>
    <w:rsid w:val="00A13BAA"/>
    <w:rsid w:val="00A13C21"/>
    <w:rsid w:val="00A143CF"/>
    <w:rsid w:val="00A145A4"/>
    <w:rsid w:val="00A15B63"/>
    <w:rsid w:val="00A16160"/>
    <w:rsid w:val="00A17F25"/>
    <w:rsid w:val="00A2180D"/>
    <w:rsid w:val="00A218A3"/>
    <w:rsid w:val="00A23C4D"/>
    <w:rsid w:val="00A245D7"/>
    <w:rsid w:val="00A26D36"/>
    <w:rsid w:val="00A27042"/>
    <w:rsid w:val="00A317FB"/>
    <w:rsid w:val="00A33999"/>
    <w:rsid w:val="00A419B4"/>
    <w:rsid w:val="00A436B4"/>
    <w:rsid w:val="00A44D7A"/>
    <w:rsid w:val="00A469B6"/>
    <w:rsid w:val="00A474EC"/>
    <w:rsid w:val="00A52216"/>
    <w:rsid w:val="00A5283F"/>
    <w:rsid w:val="00A52CAB"/>
    <w:rsid w:val="00A53170"/>
    <w:rsid w:val="00A55029"/>
    <w:rsid w:val="00A55672"/>
    <w:rsid w:val="00A56A70"/>
    <w:rsid w:val="00A5710F"/>
    <w:rsid w:val="00A57EC1"/>
    <w:rsid w:val="00A60A8C"/>
    <w:rsid w:val="00A60EEF"/>
    <w:rsid w:val="00A61304"/>
    <w:rsid w:val="00A61B8E"/>
    <w:rsid w:val="00A63970"/>
    <w:rsid w:val="00A64F4C"/>
    <w:rsid w:val="00A65079"/>
    <w:rsid w:val="00A66C81"/>
    <w:rsid w:val="00A676FA"/>
    <w:rsid w:val="00A7105C"/>
    <w:rsid w:val="00A7179A"/>
    <w:rsid w:val="00A73CC7"/>
    <w:rsid w:val="00A75A97"/>
    <w:rsid w:val="00A75B8B"/>
    <w:rsid w:val="00A76044"/>
    <w:rsid w:val="00A76225"/>
    <w:rsid w:val="00A76622"/>
    <w:rsid w:val="00A80DA1"/>
    <w:rsid w:val="00A833E0"/>
    <w:rsid w:val="00A83871"/>
    <w:rsid w:val="00A845CA"/>
    <w:rsid w:val="00A902E5"/>
    <w:rsid w:val="00A90B50"/>
    <w:rsid w:val="00A919BD"/>
    <w:rsid w:val="00A933DA"/>
    <w:rsid w:val="00A93BB6"/>
    <w:rsid w:val="00A95ED5"/>
    <w:rsid w:val="00A96888"/>
    <w:rsid w:val="00A96BAC"/>
    <w:rsid w:val="00A96EDB"/>
    <w:rsid w:val="00A97724"/>
    <w:rsid w:val="00A978C9"/>
    <w:rsid w:val="00A97952"/>
    <w:rsid w:val="00AA0175"/>
    <w:rsid w:val="00AA0780"/>
    <w:rsid w:val="00AA0952"/>
    <w:rsid w:val="00AA0A65"/>
    <w:rsid w:val="00AA1E14"/>
    <w:rsid w:val="00AA3302"/>
    <w:rsid w:val="00AA37B2"/>
    <w:rsid w:val="00AA408C"/>
    <w:rsid w:val="00AA6429"/>
    <w:rsid w:val="00AA6977"/>
    <w:rsid w:val="00AA71BF"/>
    <w:rsid w:val="00AA73E2"/>
    <w:rsid w:val="00AB064C"/>
    <w:rsid w:val="00AB1C65"/>
    <w:rsid w:val="00AB1FFC"/>
    <w:rsid w:val="00AB2447"/>
    <w:rsid w:val="00AB3C5A"/>
    <w:rsid w:val="00AB5343"/>
    <w:rsid w:val="00AB75BA"/>
    <w:rsid w:val="00AC094E"/>
    <w:rsid w:val="00AC0B09"/>
    <w:rsid w:val="00AC0DDB"/>
    <w:rsid w:val="00AC0E5D"/>
    <w:rsid w:val="00AC2769"/>
    <w:rsid w:val="00AC3D8F"/>
    <w:rsid w:val="00AC44A8"/>
    <w:rsid w:val="00AC5051"/>
    <w:rsid w:val="00AC528A"/>
    <w:rsid w:val="00AC5D14"/>
    <w:rsid w:val="00AD2B6D"/>
    <w:rsid w:val="00AD4B04"/>
    <w:rsid w:val="00AD53EA"/>
    <w:rsid w:val="00AD66BE"/>
    <w:rsid w:val="00AD6A29"/>
    <w:rsid w:val="00AD6B54"/>
    <w:rsid w:val="00AE0D19"/>
    <w:rsid w:val="00AE4564"/>
    <w:rsid w:val="00AE47FB"/>
    <w:rsid w:val="00AE4D51"/>
    <w:rsid w:val="00AE616F"/>
    <w:rsid w:val="00AE636B"/>
    <w:rsid w:val="00AE70FD"/>
    <w:rsid w:val="00AE717C"/>
    <w:rsid w:val="00AE71CC"/>
    <w:rsid w:val="00AE7799"/>
    <w:rsid w:val="00AF1C2E"/>
    <w:rsid w:val="00AF2125"/>
    <w:rsid w:val="00AF2B41"/>
    <w:rsid w:val="00AF3AA1"/>
    <w:rsid w:val="00AF6181"/>
    <w:rsid w:val="00AF6CB6"/>
    <w:rsid w:val="00AF70DA"/>
    <w:rsid w:val="00AF7645"/>
    <w:rsid w:val="00B006AA"/>
    <w:rsid w:val="00B013C5"/>
    <w:rsid w:val="00B03427"/>
    <w:rsid w:val="00B04475"/>
    <w:rsid w:val="00B07FFA"/>
    <w:rsid w:val="00B10352"/>
    <w:rsid w:val="00B10FCC"/>
    <w:rsid w:val="00B110AF"/>
    <w:rsid w:val="00B1171B"/>
    <w:rsid w:val="00B12A1F"/>
    <w:rsid w:val="00B13710"/>
    <w:rsid w:val="00B13AB0"/>
    <w:rsid w:val="00B142FB"/>
    <w:rsid w:val="00B15E18"/>
    <w:rsid w:val="00B161D2"/>
    <w:rsid w:val="00B17A2A"/>
    <w:rsid w:val="00B21950"/>
    <w:rsid w:val="00B2250F"/>
    <w:rsid w:val="00B22AAD"/>
    <w:rsid w:val="00B233D8"/>
    <w:rsid w:val="00B27573"/>
    <w:rsid w:val="00B27C91"/>
    <w:rsid w:val="00B27C9C"/>
    <w:rsid w:val="00B3018B"/>
    <w:rsid w:val="00B32CDA"/>
    <w:rsid w:val="00B32DDB"/>
    <w:rsid w:val="00B332E3"/>
    <w:rsid w:val="00B351D8"/>
    <w:rsid w:val="00B35270"/>
    <w:rsid w:val="00B352D9"/>
    <w:rsid w:val="00B358EB"/>
    <w:rsid w:val="00B35F08"/>
    <w:rsid w:val="00B37A4B"/>
    <w:rsid w:val="00B42165"/>
    <w:rsid w:val="00B42218"/>
    <w:rsid w:val="00B422D9"/>
    <w:rsid w:val="00B42B5A"/>
    <w:rsid w:val="00B44038"/>
    <w:rsid w:val="00B44BC2"/>
    <w:rsid w:val="00B44F2D"/>
    <w:rsid w:val="00B45D0A"/>
    <w:rsid w:val="00B45EDA"/>
    <w:rsid w:val="00B47606"/>
    <w:rsid w:val="00B50558"/>
    <w:rsid w:val="00B50A48"/>
    <w:rsid w:val="00B533E0"/>
    <w:rsid w:val="00B54D6F"/>
    <w:rsid w:val="00B55615"/>
    <w:rsid w:val="00B57F12"/>
    <w:rsid w:val="00B60298"/>
    <w:rsid w:val="00B60319"/>
    <w:rsid w:val="00B6224C"/>
    <w:rsid w:val="00B62440"/>
    <w:rsid w:val="00B626BE"/>
    <w:rsid w:val="00B63371"/>
    <w:rsid w:val="00B638BB"/>
    <w:rsid w:val="00B63947"/>
    <w:rsid w:val="00B64E76"/>
    <w:rsid w:val="00B66A00"/>
    <w:rsid w:val="00B70E09"/>
    <w:rsid w:val="00B7139F"/>
    <w:rsid w:val="00B72C3B"/>
    <w:rsid w:val="00B72E06"/>
    <w:rsid w:val="00B730BA"/>
    <w:rsid w:val="00B74B98"/>
    <w:rsid w:val="00B76B42"/>
    <w:rsid w:val="00B778CF"/>
    <w:rsid w:val="00B807A5"/>
    <w:rsid w:val="00B81375"/>
    <w:rsid w:val="00B81D54"/>
    <w:rsid w:val="00B835BB"/>
    <w:rsid w:val="00B83F62"/>
    <w:rsid w:val="00B845D3"/>
    <w:rsid w:val="00B85201"/>
    <w:rsid w:val="00B87479"/>
    <w:rsid w:val="00B87B69"/>
    <w:rsid w:val="00B87D00"/>
    <w:rsid w:val="00B87D53"/>
    <w:rsid w:val="00B93574"/>
    <w:rsid w:val="00B93A89"/>
    <w:rsid w:val="00B93B12"/>
    <w:rsid w:val="00B943D6"/>
    <w:rsid w:val="00B94FD5"/>
    <w:rsid w:val="00B9536B"/>
    <w:rsid w:val="00B95D7B"/>
    <w:rsid w:val="00B95EE7"/>
    <w:rsid w:val="00B9651E"/>
    <w:rsid w:val="00B96A0B"/>
    <w:rsid w:val="00BA01A6"/>
    <w:rsid w:val="00BA2049"/>
    <w:rsid w:val="00BA3E19"/>
    <w:rsid w:val="00BA474C"/>
    <w:rsid w:val="00BA50BE"/>
    <w:rsid w:val="00BA56D3"/>
    <w:rsid w:val="00BA606E"/>
    <w:rsid w:val="00BA64E2"/>
    <w:rsid w:val="00BA6A89"/>
    <w:rsid w:val="00BA6F63"/>
    <w:rsid w:val="00BA7131"/>
    <w:rsid w:val="00BA7FAC"/>
    <w:rsid w:val="00BB03C4"/>
    <w:rsid w:val="00BB0FA9"/>
    <w:rsid w:val="00BB391A"/>
    <w:rsid w:val="00BB4F51"/>
    <w:rsid w:val="00BB5E5E"/>
    <w:rsid w:val="00BB66E9"/>
    <w:rsid w:val="00BB721F"/>
    <w:rsid w:val="00BB7F3E"/>
    <w:rsid w:val="00BC0181"/>
    <w:rsid w:val="00BC0E10"/>
    <w:rsid w:val="00BC1AE8"/>
    <w:rsid w:val="00BC1FB7"/>
    <w:rsid w:val="00BC23C8"/>
    <w:rsid w:val="00BC27FB"/>
    <w:rsid w:val="00BC39FC"/>
    <w:rsid w:val="00BC3D5C"/>
    <w:rsid w:val="00BC4A46"/>
    <w:rsid w:val="00BC4EBB"/>
    <w:rsid w:val="00BC5771"/>
    <w:rsid w:val="00BC61A3"/>
    <w:rsid w:val="00BD02B5"/>
    <w:rsid w:val="00BD2FDE"/>
    <w:rsid w:val="00BD3539"/>
    <w:rsid w:val="00BD6D9C"/>
    <w:rsid w:val="00BD794E"/>
    <w:rsid w:val="00BE0701"/>
    <w:rsid w:val="00BE16D9"/>
    <w:rsid w:val="00BE27FD"/>
    <w:rsid w:val="00BE2C75"/>
    <w:rsid w:val="00BE46C6"/>
    <w:rsid w:val="00BE58F9"/>
    <w:rsid w:val="00BE5922"/>
    <w:rsid w:val="00BE5FEC"/>
    <w:rsid w:val="00BE654A"/>
    <w:rsid w:val="00BE7D92"/>
    <w:rsid w:val="00BE7E69"/>
    <w:rsid w:val="00BE7FE4"/>
    <w:rsid w:val="00BF0F66"/>
    <w:rsid w:val="00BF294C"/>
    <w:rsid w:val="00BF4FFC"/>
    <w:rsid w:val="00BF5027"/>
    <w:rsid w:val="00BF5D4C"/>
    <w:rsid w:val="00BF605B"/>
    <w:rsid w:val="00BF7039"/>
    <w:rsid w:val="00BF7460"/>
    <w:rsid w:val="00C0039D"/>
    <w:rsid w:val="00C00560"/>
    <w:rsid w:val="00C011D6"/>
    <w:rsid w:val="00C012BA"/>
    <w:rsid w:val="00C01433"/>
    <w:rsid w:val="00C01717"/>
    <w:rsid w:val="00C01C1C"/>
    <w:rsid w:val="00C01E83"/>
    <w:rsid w:val="00C02700"/>
    <w:rsid w:val="00C05363"/>
    <w:rsid w:val="00C057A8"/>
    <w:rsid w:val="00C06197"/>
    <w:rsid w:val="00C0765A"/>
    <w:rsid w:val="00C100B5"/>
    <w:rsid w:val="00C10D21"/>
    <w:rsid w:val="00C11A22"/>
    <w:rsid w:val="00C11AAF"/>
    <w:rsid w:val="00C12B23"/>
    <w:rsid w:val="00C13B2C"/>
    <w:rsid w:val="00C13B3E"/>
    <w:rsid w:val="00C144C6"/>
    <w:rsid w:val="00C14637"/>
    <w:rsid w:val="00C1554E"/>
    <w:rsid w:val="00C20882"/>
    <w:rsid w:val="00C210A9"/>
    <w:rsid w:val="00C21368"/>
    <w:rsid w:val="00C22F31"/>
    <w:rsid w:val="00C23680"/>
    <w:rsid w:val="00C24E1B"/>
    <w:rsid w:val="00C26D19"/>
    <w:rsid w:val="00C271F5"/>
    <w:rsid w:val="00C308CB"/>
    <w:rsid w:val="00C308F6"/>
    <w:rsid w:val="00C3129D"/>
    <w:rsid w:val="00C31579"/>
    <w:rsid w:val="00C31602"/>
    <w:rsid w:val="00C31D8E"/>
    <w:rsid w:val="00C3273D"/>
    <w:rsid w:val="00C32D5D"/>
    <w:rsid w:val="00C33DD7"/>
    <w:rsid w:val="00C34DAE"/>
    <w:rsid w:val="00C350C8"/>
    <w:rsid w:val="00C3562F"/>
    <w:rsid w:val="00C35DAA"/>
    <w:rsid w:val="00C36418"/>
    <w:rsid w:val="00C36779"/>
    <w:rsid w:val="00C36B1A"/>
    <w:rsid w:val="00C40849"/>
    <w:rsid w:val="00C42A8F"/>
    <w:rsid w:val="00C43740"/>
    <w:rsid w:val="00C43853"/>
    <w:rsid w:val="00C45231"/>
    <w:rsid w:val="00C454BB"/>
    <w:rsid w:val="00C4601D"/>
    <w:rsid w:val="00C46C70"/>
    <w:rsid w:val="00C47AF0"/>
    <w:rsid w:val="00C50102"/>
    <w:rsid w:val="00C504F2"/>
    <w:rsid w:val="00C517A1"/>
    <w:rsid w:val="00C51D95"/>
    <w:rsid w:val="00C53197"/>
    <w:rsid w:val="00C56DC3"/>
    <w:rsid w:val="00C6027A"/>
    <w:rsid w:val="00C607C1"/>
    <w:rsid w:val="00C60DAD"/>
    <w:rsid w:val="00C60E86"/>
    <w:rsid w:val="00C619B5"/>
    <w:rsid w:val="00C62270"/>
    <w:rsid w:val="00C623F2"/>
    <w:rsid w:val="00C62498"/>
    <w:rsid w:val="00C63A3B"/>
    <w:rsid w:val="00C64BEE"/>
    <w:rsid w:val="00C65284"/>
    <w:rsid w:val="00C659AB"/>
    <w:rsid w:val="00C65D56"/>
    <w:rsid w:val="00C6628C"/>
    <w:rsid w:val="00C66462"/>
    <w:rsid w:val="00C67126"/>
    <w:rsid w:val="00C67A1F"/>
    <w:rsid w:val="00C67FFC"/>
    <w:rsid w:val="00C70013"/>
    <w:rsid w:val="00C70E5C"/>
    <w:rsid w:val="00C7382E"/>
    <w:rsid w:val="00C73F0D"/>
    <w:rsid w:val="00C75145"/>
    <w:rsid w:val="00C80D84"/>
    <w:rsid w:val="00C81AD6"/>
    <w:rsid w:val="00C8213C"/>
    <w:rsid w:val="00C8294E"/>
    <w:rsid w:val="00C83ABB"/>
    <w:rsid w:val="00C845D6"/>
    <w:rsid w:val="00C86169"/>
    <w:rsid w:val="00C91B80"/>
    <w:rsid w:val="00C95BB9"/>
    <w:rsid w:val="00C95FEF"/>
    <w:rsid w:val="00C9619A"/>
    <w:rsid w:val="00C97D9A"/>
    <w:rsid w:val="00CA08ED"/>
    <w:rsid w:val="00CA1E99"/>
    <w:rsid w:val="00CA32D5"/>
    <w:rsid w:val="00CA440B"/>
    <w:rsid w:val="00CA4DF7"/>
    <w:rsid w:val="00CA58C5"/>
    <w:rsid w:val="00CA6C3E"/>
    <w:rsid w:val="00CA751D"/>
    <w:rsid w:val="00CB1860"/>
    <w:rsid w:val="00CB2AE5"/>
    <w:rsid w:val="00CB402F"/>
    <w:rsid w:val="00CB4546"/>
    <w:rsid w:val="00CB6294"/>
    <w:rsid w:val="00CB7A34"/>
    <w:rsid w:val="00CB7D01"/>
    <w:rsid w:val="00CB7F46"/>
    <w:rsid w:val="00CC0684"/>
    <w:rsid w:val="00CC2E7B"/>
    <w:rsid w:val="00CC53BF"/>
    <w:rsid w:val="00CC597E"/>
    <w:rsid w:val="00CC7911"/>
    <w:rsid w:val="00CD0715"/>
    <w:rsid w:val="00CD2FF0"/>
    <w:rsid w:val="00CD4398"/>
    <w:rsid w:val="00CD4E5E"/>
    <w:rsid w:val="00CD571E"/>
    <w:rsid w:val="00CD5AD5"/>
    <w:rsid w:val="00CD6C5C"/>
    <w:rsid w:val="00CE0631"/>
    <w:rsid w:val="00CE2180"/>
    <w:rsid w:val="00CE2533"/>
    <w:rsid w:val="00CE2685"/>
    <w:rsid w:val="00CE4FE2"/>
    <w:rsid w:val="00CE5469"/>
    <w:rsid w:val="00CE588C"/>
    <w:rsid w:val="00CE6B10"/>
    <w:rsid w:val="00CE6EEA"/>
    <w:rsid w:val="00CE7BEB"/>
    <w:rsid w:val="00CF0406"/>
    <w:rsid w:val="00CF2053"/>
    <w:rsid w:val="00CF2EBE"/>
    <w:rsid w:val="00CF3231"/>
    <w:rsid w:val="00CF37B2"/>
    <w:rsid w:val="00CF4857"/>
    <w:rsid w:val="00CF4F9A"/>
    <w:rsid w:val="00CF7B50"/>
    <w:rsid w:val="00CF7DEB"/>
    <w:rsid w:val="00D00142"/>
    <w:rsid w:val="00D009DD"/>
    <w:rsid w:val="00D016D1"/>
    <w:rsid w:val="00D0288E"/>
    <w:rsid w:val="00D04046"/>
    <w:rsid w:val="00D04D26"/>
    <w:rsid w:val="00D04F3D"/>
    <w:rsid w:val="00D05BBA"/>
    <w:rsid w:val="00D06817"/>
    <w:rsid w:val="00D076A8"/>
    <w:rsid w:val="00D12A94"/>
    <w:rsid w:val="00D13B4C"/>
    <w:rsid w:val="00D16121"/>
    <w:rsid w:val="00D1721B"/>
    <w:rsid w:val="00D20076"/>
    <w:rsid w:val="00D20610"/>
    <w:rsid w:val="00D20D02"/>
    <w:rsid w:val="00D20DDE"/>
    <w:rsid w:val="00D24B3D"/>
    <w:rsid w:val="00D25C7D"/>
    <w:rsid w:val="00D26341"/>
    <w:rsid w:val="00D27509"/>
    <w:rsid w:val="00D2760C"/>
    <w:rsid w:val="00D30021"/>
    <w:rsid w:val="00D306C2"/>
    <w:rsid w:val="00D3073F"/>
    <w:rsid w:val="00D32538"/>
    <w:rsid w:val="00D34158"/>
    <w:rsid w:val="00D3424E"/>
    <w:rsid w:val="00D35132"/>
    <w:rsid w:val="00D35D7D"/>
    <w:rsid w:val="00D35EE8"/>
    <w:rsid w:val="00D40022"/>
    <w:rsid w:val="00D40A3C"/>
    <w:rsid w:val="00D4210F"/>
    <w:rsid w:val="00D447D3"/>
    <w:rsid w:val="00D44D86"/>
    <w:rsid w:val="00D450FB"/>
    <w:rsid w:val="00D45B05"/>
    <w:rsid w:val="00D463C3"/>
    <w:rsid w:val="00D467FD"/>
    <w:rsid w:val="00D50DEA"/>
    <w:rsid w:val="00D5112A"/>
    <w:rsid w:val="00D52457"/>
    <w:rsid w:val="00D554A2"/>
    <w:rsid w:val="00D568D7"/>
    <w:rsid w:val="00D56A85"/>
    <w:rsid w:val="00D60AD4"/>
    <w:rsid w:val="00D624A6"/>
    <w:rsid w:val="00D627CD"/>
    <w:rsid w:val="00D63840"/>
    <w:rsid w:val="00D643EF"/>
    <w:rsid w:val="00D6508E"/>
    <w:rsid w:val="00D65BD2"/>
    <w:rsid w:val="00D65C31"/>
    <w:rsid w:val="00D66709"/>
    <w:rsid w:val="00D67B1A"/>
    <w:rsid w:val="00D71D83"/>
    <w:rsid w:val="00D71DE7"/>
    <w:rsid w:val="00D73312"/>
    <w:rsid w:val="00D7348B"/>
    <w:rsid w:val="00D73CD7"/>
    <w:rsid w:val="00D76B8E"/>
    <w:rsid w:val="00D76E48"/>
    <w:rsid w:val="00D77442"/>
    <w:rsid w:val="00D80857"/>
    <w:rsid w:val="00D81239"/>
    <w:rsid w:val="00D817F1"/>
    <w:rsid w:val="00D81B3B"/>
    <w:rsid w:val="00D81C0D"/>
    <w:rsid w:val="00D8489D"/>
    <w:rsid w:val="00D85697"/>
    <w:rsid w:val="00D862A9"/>
    <w:rsid w:val="00D86F68"/>
    <w:rsid w:val="00D90865"/>
    <w:rsid w:val="00D94356"/>
    <w:rsid w:val="00D9488E"/>
    <w:rsid w:val="00D94ABA"/>
    <w:rsid w:val="00D95483"/>
    <w:rsid w:val="00D95927"/>
    <w:rsid w:val="00D95A5D"/>
    <w:rsid w:val="00D95D10"/>
    <w:rsid w:val="00D96491"/>
    <w:rsid w:val="00D97CF1"/>
    <w:rsid w:val="00D97DF4"/>
    <w:rsid w:val="00DA162C"/>
    <w:rsid w:val="00DA202E"/>
    <w:rsid w:val="00DA2505"/>
    <w:rsid w:val="00DA3B8A"/>
    <w:rsid w:val="00DA6061"/>
    <w:rsid w:val="00DA61E5"/>
    <w:rsid w:val="00DB1F7A"/>
    <w:rsid w:val="00DB2A3A"/>
    <w:rsid w:val="00DB2EB9"/>
    <w:rsid w:val="00DB3F35"/>
    <w:rsid w:val="00DB45B6"/>
    <w:rsid w:val="00DB62F1"/>
    <w:rsid w:val="00DB787C"/>
    <w:rsid w:val="00DB7E49"/>
    <w:rsid w:val="00DC0879"/>
    <w:rsid w:val="00DC173A"/>
    <w:rsid w:val="00DC1742"/>
    <w:rsid w:val="00DC1A00"/>
    <w:rsid w:val="00DC22B8"/>
    <w:rsid w:val="00DC38C2"/>
    <w:rsid w:val="00DC420C"/>
    <w:rsid w:val="00DC4394"/>
    <w:rsid w:val="00DC43BC"/>
    <w:rsid w:val="00DC4910"/>
    <w:rsid w:val="00DC4A69"/>
    <w:rsid w:val="00DC4A7D"/>
    <w:rsid w:val="00DC4B7C"/>
    <w:rsid w:val="00DC528C"/>
    <w:rsid w:val="00DC52C8"/>
    <w:rsid w:val="00DC71B1"/>
    <w:rsid w:val="00DD245B"/>
    <w:rsid w:val="00DD4D13"/>
    <w:rsid w:val="00DD7049"/>
    <w:rsid w:val="00DE229C"/>
    <w:rsid w:val="00DE23D8"/>
    <w:rsid w:val="00DE62A9"/>
    <w:rsid w:val="00DE78FD"/>
    <w:rsid w:val="00DE7F72"/>
    <w:rsid w:val="00DF0499"/>
    <w:rsid w:val="00DF23C5"/>
    <w:rsid w:val="00DF26E7"/>
    <w:rsid w:val="00DF2CC5"/>
    <w:rsid w:val="00DF3D7B"/>
    <w:rsid w:val="00DF4A03"/>
    <w:rsid w:val="00DF4BF9"/>
    <w:rsid w:val="00DF4EFB"/>
    <w:rsid w:val="00DF57DD"/>
    <w:rsid w:val="00DF586F"/>
    <w:rsid w:val="00DF5A23"/>
    <w:rsid w:val="00DF6A6F"/>
    <w:rsid w:val="00E01931"/>
    <w:rsid w:val="00E01E87"/>
    <w:rsid w:val="00E043ED"/>
    <w:rsid w:val="00E04E44"/>
    <w:rsid w:val="00E04EF7"/>
    <w:rsid w:val="00E05345"/>
    <w:rsid w:val="00E05372"/>
    <w:rsid w:val="00E05D4B"/>
    <w:rsid w:val="00E06146"/>
    <w:rsid w:val="00E06528"/>
    <w:rsid w:val="00E06823"/>
    <w:rsid w:val="00E06A60"/>
    <w:rsid w:val="00E06B8F"/>
    <w:rsid w:val="00E07317"/>
    <w:rsid w:val="00E075AA"/>
    <w:rsid w:val="00E0797D"/>
    <w:rsid w:val="00E11EC4"/>
    <w:rsid w:val="00E13074"/>
    <w:rsid w:val="00E13397"/>
    <w:rsid w:val="00E14403"/>
    <w:rsid w:val="00E14ABF"/>
    <w:rsid w:val="00E14C16"/>
    <w:rsid w:val="00E162CE"/>
    <w:rsid w:val="00E16EA5"/>
    <w:rsid w:val="00E213EC"/>
    <w:rsid w:val="00E21679"/>
    <w:rsid w:val="00E2180E"/>
    <w:rsid w:val="00E22149"/>
    <w:rsid w:val="00E22EB0"/>
    <w:rsid w:val="00E2301D"/>
    <w:rsid w:val="00E24A77"/>
    <w:rsid w:val="00E25B59"/>
    <w:rsid w:val="00E2748A"/>
    <w:rsid w:val="00E307DD"/>
    <w:rsid w:val="00E31AA8"/>
    <w:rsid w:val="00E31EFA"/>
    <w:rsid w:val="00E32319"/>
    <w:rsid w:val="00E3264B"/>
    <w:rsid w:val="00E32696"/>
    <w:rsid w:val="00E35C96"/>
    <w:rsid w:val="00E36686"/>
    <w:rsid w:val="00E37AE1"/>
    <w:rsid w:val="00E44D66"/>
    <w:rsid w:val="00E46845"/>
    <w:rsid w:val="00E46D80"/>
    <w:rsid w:val="00E477C3"/>
    <w:rsid w:val="00E52CCD"/>
    <w:rsid w:val="00E53420"/>
    <w:rsid w:val="00E556A0"/>
    <w:rsid w:val="00E60F1E"/>
    <w:rsid w:val="00E61403"/>
    <w:rsid w:val="00E614F4"/>
    <w:rsid w:val="00E61722"/>
    <w:rsid w:val="00E621AB"/>
    <w:rsid w:val="00E633D8"/>
    <w:rsid w:val="00E64170"/>
    <w:rsid w:val="00E6496A"/>
    <w:rsid w:val="00E6627C"/>
    <w:rsid w:val="00E66858"/>
    <w:rsid w:val="00E700A8"/>
    <w:rsid w:val="00E71100"/>
    <w:rsid w:val="00E74A59"/>
    <w:rsid w:val="00E75300"/>
    <w:rsid w:val="00E75EC4"/>
    <w:rsid w:val="00E76009"/>
    <w:rsid w:val="00E7635C"/>
    <w:rsid w:val="00E77EF7"/>
    <w:rsid w:val="00E77FC9"/>
    <w:rsid w:val="00E8228B"/>
    <w:rsid w:val="00E8247B"/>
    <w:rsid w:val="00E845BB"/>
    <w:rsid w:val="00E84F73"/>
    <w:rsid w:val="00E85AAD"/>
    <w:rsid w:val="00E87196"/>
    <w:rsid w:val="00E90629"/>
    <w:rsid w:val="00E90E97"/>
    <w:rsid w:val="00E90FE6"/>
    <w:rsid w:val="00E91309"/>
    <w:rsid w:val="00E921AB"/>
    <w:rsid w:val="00E958E7"/>
    <w:rsid w:val="00E96A76"/>
    <w:rsid w:val="00EA03F3"/>
    <w:rsid w:val="00EA1227"/>
    <w:rsid w:val="00EA2570"/>
    <w:rsid w:val="00EA3133"/>
    <w:rsid w:val="00EA4487"/>
    <w:rsid w:val="00EA5B91"/>
    <w:rsid w:val="00EA5F4D"/>
    <w:rsid w:val="00EA609A"/>
    <w:rsid w:val="00EA6709"/>
    <w:rsid w:val="00EA78BD"/>
    <w:rsid w:val="00EB0375"/>
    <w:rsid w:val="00EB0872"/>
    <w:rsid w:val="00EB0CB8"/>
    <w:rsid w:val="00EB2070"/>
    <w:rsid w:val="00EB2CCF"/>
    <w:rsid w:val="00EB384D"/>
    <w:rsid w:val="00EB3EC6"/>
    <w:rsid w:val="00EB4022"/>
    <w:rsid w:val="00EB462B"/>
    <w:rsid w:val="00EB4BD7"/>
    <w:rsid w:val="00EB5874"/>
    <w:rsid w:val="00EB62C5"/>
    <w:rsid w:val="00EC220B"/>
    <w:rsid w:val="00EC32DA"/>
    <w:rsid w:val="00EC432A"/>
    <w:rsid w:val="00EC60BA"/>
    <w:rsid w:val="00EC6979"/>
    <w:rsid w:val="00EC7DB6"/>
    <w:rsid w:val="00ED0AAB"/>
    <w:rsid w:val="00ED0CC7"/>
    <w:rsid w:val="00ED1A75"/>
    <w:rsid w:val="00ED2B9C"/>
    <w:rsid w:val="00ED3041"/>
    <w:rsid w:val="00ED3594"/>
    <w:rsid w:val="00ED38F3"/>
    <w:rsid w:val="00ED4734"/>
    <w:rsid w:val="00ED7C96"/>
    <w:rsid w:val="00EE0900"/>
    <w:rsid w:val="00EE0DE0"/>
    <w:rsid w:val="00EE1E11"/>
    <w:rsid w:val="00EE2907"/>
    <w:rsid w:val="00EE37E5"/>
    <w:rsid w:val="00EE3B08"/>
    <w:rsid w:val="00EE534B"/>
    <w:rsid w:val="00EE53D1"/>
    <w:rsid w:val="00EE701F"/>
    <w:rsid w:val="00EE730C"/>
    <w:rsid w:val="00EE770E"/>
    <w:rsid w:val="00EE7D7F"/>
    <w:rsid w:val="00EE7EBD"/>
    <w:rsid w:val="00EF05D1"/>
    <w:rsid w:val="00EF119E"/>
    <w:rsid w:val="00EF2553"/>
    <w:rsid w:val="00EF3592"/>
    <w:rsid w:val="00EF6815"/>
    <w:rsid w:val="00EF6B87"/>
    <w:rsid w:val="00EF6E8E"/>
    <w:rsid w:val="00EF747E"/>
    <w:rsid w:val="00EF764F"/>
    <w:rsid w:val="00F039FC"/>
    <w:rsid w:val="00F04C20"/>
    <w:rsid w:val="00F04C92"/>
    <w:rsid w:val="00F0513E"/>
    <w:rsid w:val="00F051EE"/>
    <w:rsid w:val="00F05F6D"/>
    <w:rsid w:val="00F11962"/>
    <w:rsid w:val="00F11B0E"/>
    <w:rsid w:val="00F12968"/>
    <w:rsid w:val="00F12FC0"/>
    <w:rsid w:val="00F13A5D"/>
    <w:rsid w:val="00F13A7E"/>
    <w:rsid w:val="00F143DA"/>
    <w:rsid w:val="00F1456D"/>
    <w:rsid w:val="00F179F9"/>
    <w:rsid w:val="00F204EB"/>
    <w:rsid w:val="00F20C70"/>
    <w:rsid w:val="00F21791"/>
    <w:rsid w:val="00F21DAB"/>
    <w:rsid w:val="00F229B4"/>
    <w:rsid w:val="00F23CCD"/>
    <w:rsid w:val="00F24079"/>
    <w:rsid w:val="00F24646"/>
    <w:rsid w:val="00F259A5"/>
    <w:rsid w:val="00F27399"/>
    <w:rsid w:val="00F274F8"/>
    <w:rsid w:val="00F275ED"/>
    <w:rsid w:val="00F30563"/>
    <w:rsid w:val="00F3147D"/>
    <w:rsid w:val="00F31CD4"/>
    <w:rsid w:val="00F322E9"/>
    <w:rsid w:val="00F3319E"/>
    <w:rsid w:val="00F33F95"/>
    <w:rsid w:val="00F348CD"/>
    <w:rsid w:val="00F359CA"/>
    <w:rsid w:val="00F3660F"/>
    <w:rsid w:val="00F369D0"/>
    <w:rsid w:val="00F370D1"/>
    <w:rsid w:val="00F4231D"/>
    <w:rsid w:val="00F42923"/>
    <w:rsid w:val="00F43181"/>
    <w:rsid w:val="00F477BB"/>
    <w:rsid w:val="00F47E3F"/>
    <w:rsid w:val="00F51720"/>
    <w:rsid w:val="00F51BE0"/>
    <w:rsid w:val="00F520AA"/>
    <w:rsid w:val="00F52AA6"/>
    <w:rsid w:val="00F537CC"/>
    <w:rsid w:val="00F538BB"/>
    <w:rsid w:val="00F53DBD"/>
    <w:rsid w:val="00F5461D"/>
    <w:rsid w:val="00F554A1"/>
    <w:rsid w:val="00F56071"/>
    <w:rsid w:val="00F57687"/>
    <w:rsid w:val="00F57B2F"/>
    <w:rsid w:val="00F6072C"/>
    <w:rsid w:val="00F612BD"/>
    <w:rsid w:val="00F6153A"/>
    <w:rsid w:val="00F63CBA"/>
    <w:rsid w:val="00F64E63"/>
    <w:rsid w:val="00F653F1"/>
    <w:rsid w:val="00F65983"/>
    <w:rsid w:val="00F674D2"/>
    <w:rsid w:val="00F67D21"/>
    <w:rsid w:val="00F70281"/>
    <w:rsid w:val="00F712D3"/>
    <w:rsid w:val="00F71FB8"/>
    <w:rsid w:val="00F72119"/>
    <w:rsid w:val="00F7309A"/>
    <w:rsid w:val="00F735CA"/>
    <w:rsid w:val="00F73BFE"/>
    <w:rsid w:val="00F73DE4"/>
    <w:rsid w:val="00F744BE"/>
    <w:rsid w:val="00F74A55"/>
    <w:rsid w:val="00F75135"/>
    <w:rsid w:val="00F753CA"/>
    <w:rsid w:val="00F77C6F"/>
    <w:rsid w:val="00F817BF"/>
    <w:rsid w:val="00F81836"/>
    <w:rsid w:val="00F81B4A"/>
    <w:rsid w:val="00F8329E"/>
    <w:rsid w:val="00F83FAF"/>
    <w:rsid w:val="00F84A9D"/>
    <w:rsid w:val="00F8674A"/>
    <w:rsid w:val="00F9013F"/>
    <w:rsid w:val="00F90469"/>
    <w:rsid w:val="00F9213C"/>
    <w:rsid w:val="00F92426"/>
    <w:rsid w:val="00F92AA0"/>
    <w:rsid w:val="00F95A50"/>
    <w:rsid w:val="00F971E0"/>
    <w:rsid w:val="00F9772E"/>
    <w:rsid w:val="00FA0437"/>
    <w:rsid w:val="00FA17AC"/>
    <w:rsid w:val="00FA1A74"/>
    <w:rsid w:val="00FA1D3B"/>
    <w:rsid w:val="00FA3229"/>
    <w:rsid w:val="00FA35ED"/>
    <w:rsid w:val="00FA3D87"/>
    <w:rsid w:val="00FA542A"/>
    <w:rsid w:val="00FA56B6"/>
    <w:rsid w:val="00FA6395"/>
    <w:rsid w:val="00FA755A"/>
    <w:rsid w:val="00FA7F57"/>
    <w:rsid w:val="00FB1646"/>
    <w:rsid w:val="00FB4BEB"/>
    <w:rsid w:val="00FB4C42"/>
    <w:rsid w:val="00FB54CE"/>
    <w:rsid w:val="00FB5915"/>
    <w:rsid w:val="00FB6545"/>
    <w:rsid w:val="00FB6B23"/>
    <w:rsid w:val="00FC0510"/>
    <w:rsid w:val="00FC0706"/>
    <w:rsid w:val="00FC0D54"/>
    <w:rsid w:val="00FC1BF1"/>
    <w:rsid w:val="00FC2EEA"/>
    <w:rsid w:val="00FC46AA"/>
    <w:rsid w:val="00FC587B"/>
    <w:rsid w:val="00FC5C22"/>
    <w:rsid w:val="00FC7820"/>
    <w:rsid w:val="00FD17DA"/>
    <w:rsid w:val="00FD1B18"/>
    <w:rsid w:val="00FD233A"/>
    <w:rsid w:val="00FD2E87"/>
    <w:rsid w:val="00FD36B2"/>
    <w:rsid w:val="00FD4C53"/>
    <w:rsid w:val="00FD68FC"/>
    <w:rsid w:val="00FD6E06"/>
    <w:rsid w:val="00FD7B60"/>
    <w:rsid w:val="00FE0607"/>
    <w:rsid w:val="00FE0925"/>
    <w:rsid w:val="00FE0C4A"/>
    <w:rsid w:val="00FE104C"/>
    <w:rsid w:val="00FE1933"/>
    <w:rsid w:val="00FE1AD6"/>
    <w:rsid w:val="00FE271B"/>
    <w:rsid w:val="00FE2D4A"/>
    <w:rsid w:val="00FE4BCB"/>
    <w:rsid w:val="00FE61EA"/>
    <w:rsid w:val="00FF0CAE"/>
    <w:rsid w:val="00FF1811"/>
    <w:rsid w:val="00FF240F"/>
    <w:rsid w:val="00FF28F8"/>
    <w:rsid w:val="00FF2947"/>
    <w:rsid w:val="00FF45A9"/>
    <w:rsid w:val="00FF6D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109" style="mso-position-horizontal:center;mso-position-horizontal-relative:margin;mso-position-vertical:center;mso-position-vertical-relative:margin" o:allowincell="f" fillcolor="silver" stroke="f">
      <v:fill color="silver" opacity=".5"/>
      <v:stroke on="f"/>
    </o:shapedefaults>
    <o:shapelayout v:ext="edit">
      <o:idmap v:ext="edit" data="1"/>
    </o:shapelayout>
  </w:shapeDefaults>
  <w:decimalSymbol w:val="."/>
  <w:listSeparator w:val=","/>
  <w15:docId w15:val="{939BB826-6528-4AB3-B13F-860F39C90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2CDA"/>
    <w:pPr>
      <w:spacing w:before="220" w:after="220" w:line="280" w:lineRule="exact"/>
    </w:pPr>
  </w:style>
  <w:style w:type="paragraph" w:styleId="Heading1">
    <w:name w:val="heading 1"/>
    <w:aliases w:val="numbered"/>
    <w:basedOn w:val="Normal"/>
    <w:next w:val="Normal"/>
    <w:link w:val="Heading1Char"/>
    <w:qFormat/>
    <w:rsid w:val="000B0846"/>
    <w:pPr>
      <w:keepNext/>
      <w:keepLines/>
      <w:spacing w:before="7600" w:after="480"/>
      <w:jc w:val="right"/>
      <w:outlineLvl w:val="0"/>
    </w:pPr>
    <w:rPr>
      <w:rFonts w:ascii="Arial Narrow" w:eastAsiaTheme="majorEastAsia" w:hAnsi="Arial Narrow" w:cstheme="majorBidi"/>
      <w:smallCaps/>
      <w:sz w:val="42"/>
      <w:szCs w:val="32"/>
    </w:rPr>
  </w:style>
  <w:style w:type="paragraph" w:styleId="Heading2">
    <w:name w:val="heading 2"/>
    <w:basedOn w:val="Normal"/>
    <w:next w:val="Normal"/>
    <w:link w:val="Heading2Char"/>
    <w:autoRedefine/>
    <w:unhideWhenUsed/>
    <w:qFormat/>
    <w:rsid w:val="00DF4EFB"/>
    <w:pPr>
      <w:keepNext/>
      <w:keepLines/>
      <w:spacing w:before="320" w:after="320" w:line="280" w:lineRule="atLeast"/>
      <w:outlineLvl w:val="1"/>
    </w:pPr>
    <w:rPr>
      <w:rFonts w:ascii="Arial Narrow" w:eastAsia="Times New Roman" w:hAnsi="Arial Narrow" w:cstheme="majorBidi"/>
      <w:smallCaps/>
      <w:kern w:val="32"/>
      <w:sz w:val="44"/>
      <w:szCs w:val="44"/>
    </w:rPr>
  </w:style>
  <w:style w:type="paragraph" w:styleId="Heading3">
    <w:name w:val="heading 3"/>
    <w:basedOn w:val="Normal"/>
    <w:next w:val="Normal"/>
    <w:link w:val="Heading3Char"/>
    <w:unhideWhenUsed/>
    <w:qFormat/>
    <w:rsid w:val="0021195E"/>
    <w:pPr>
      <w:keepNext/>
      <w:keepLines/>
      <w:spacing w:before="240" w:after="240"/>
      <w:outlineLvl w:val="2"/>
    </w:pPr>
    <w:rPr>
      <w:rFonts w:ascii="Arial Narrow" w:eastAsiaTheme="majorEastAsia" w:hAnsi="Arial Narrow" w:cstheme="majorBidi"/>
      <w:smallCaps/>
      <w:sz w:val="30"/>
      <w:szCs w:val="24"/>
    </w:rPr>
  </w:style>
  <w:style w:type="paragraph" w:styleId="Heading4">
    <w:name w:val="heading 4"/>
    <w:aliases w:val="Heading 4 numbered"/>
    <w:basedOn w:val="Normal"/>
    <w:next w:val="Normal"/>
    <w:link w:val="Heading4Char"/>
    <w:unhideWhenUsed/>
    <w:qFormat/>
    <w:rsid w:val="000C30A9"/>
    <w:pPr>
      <w:keepNext/>
      <w:keepLines/>
      <w:spacing w:before="240" w:after="240"/>
      <w:outlineLvl w:val="3"/>
    </w:pPr>
    <w:rPr>
      <w:rFonts w:ascii="Arial Narrow" w:eastAsiaTheme="majorEastAsia" w:hAnsi="Arial Narrow" w:cstheme="majorBidi"/>
      <w:b/>
      <w:iCs/>
      <w:smallCaps/>
      <w:sz w:val="26"/>
    </w:rPr>
  </w:style>
  <w:style w:type="paragraph" w:styleId="Heading5">
    <w:name w:val="heading 5"/>
    <w:basedOn w:val="Heading6"/>
    <w:next w:val="Normal"/>
    <w:link w:val="Heading5Char"/>
    <w:unhideWhenUsed/>
    <w:qFormat/>
    <w:rsid w:val="00FA3D87"/>
    <w:pPr>
      <w:keepLines w:val="0"/>
      <w:outlineLvl w:val="4"/>
    </w:pPr>
    <w:rPr>
      <w:rFonts w:ascii="Arial Narrow" w:eastAsia="Calibri" w:hAnsi="Arial Narrow"/>
      <w:i w:val="0"/>
      <w:iCs w:val="0"/>
      <w:smallCaps/>
      <w:szCs w:val="24"/>
      <w:lang w:eastAsia="en-AU"/>
    </w:rPr>
  </w:style>
  <w:style w:type="paragraph" w:styleId="Heading6">
    <w:name w:val="heading 6"/>
    <w:basedOn w:val="Heading7"/>
    <w:next w:val="Normal"/>
    <w:link w:val="Heading6Char"/>
    <w:unhideWhenUsed/>
    <w:qFormat/>
    <w:rsid w:val="005C7610"/>
    <w:pPr>
      <w:spacing w:before="220" w:after="220"/>
      <w:outlineLvl w:val="5"/>
    </w:pPr>
    <w:rPr>
      <w:rFonts w:ascii="Calibri" w:hAnsi="Calibri"/>
      <w:i/>
      <w:smallCaps w:val="0"/>
    </w:rPr>
  </w:style>
  <w:style w:type="paragraph" w:styleId="Heading7">
    <w:name w:val="heading 7"/>
    <w:basedOn w:val="Normal"/>
    <w:next w:val="Normal"/>
    <w:link w:val="Heading7Char"/>
    <w:unhideWhenUsed/>
    <w:qFormat/>
    <w:rsid w:val="00B27573"/>
    <w:pPr>
      <w:keepNext/>
      <w:keepLines/>
      <w:spacing w:before="240" w:after="240"/>
      <w:outlineLvl w:val="6"/>
    </w:pPr>
    <w:rPr>
      <w:rFonts w:eastAsiaTheme="majorEastAsia" w:cstheme="majorBidi"/>
      <w:iCs/>
      <w:smallCaps/>
    </w:rPr>
  </w:style>
  <w:style w:type="paragraph" w:styleId="Heading8">
    <w:name w:val="heading 8"/>
    <w:basedOn w:val="Normal"/>
    <w:next w:val="Normal"/>
    <w:link w:val="Heading8Char"/>
    <w:uiPriority w:val="9"/>
    <w:unhideWhenUsed/>
    <w:qFormat/>
    <w:rsid w:val="00713E5C"/>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713E5C"/>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08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0846"/>
  </w:style>
  <w:style w:type="paragraph" w:styleId="Footer">
    <w:name w:val="footer"/>
    <w:basedOn w:val="Normal"/>
    <w:link w:val="FooterChar"/>
    <w:uiPriority w:val="99"/>
    <w:unhideWhenUsed/>
    <w:rsid w:val="000B08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0846"/>
  </w:style>
  <w:style w:type="character" w:customStyle="1" w:styleId="Heading1Char">
    <w:name w:val="Heading 1 Char"/>
    <w:aliases w:val="numbered Char"/>
    <w:basedOn w:val="DefaultParagraphFont"/>
    <w:link w:val="Heading1"/>
    <w:rsid w:val="000B0846"/>
    <w:rPr>
      <w:rFonts w:ascii="Arial Narrow" w:eastAsiaTheme="majorEastAsia" w:hAnsi="Arial Narrow" w:cstheme="majorBidi"/>
      <w:smallCaps/>
      <w:sz w:val="42"/>
      <w:szCs w:val="32"/>
    </w:rPr>
  </w:style>
  <w:style w:type="character" w:customStyle="1" w:styleId="Heading2Char">
    <w:name w:val="Heading 2 Char"/>
    <w:basedOn w:val="DefaultParagraphFont"/>
    <w:link w:val="Heading2"/>
    <w:rsid w:val="00DF4EFB"/>
    <w:rPr>
      <w:rFonts w:ascii="Arial Narrow" w:eastAsia="Times New Roman" w:hAnsi="Arial Narrow" w:cstheme="majorBidi"/>
      <w:smallCaps/>
      <w:kern w:val="32"/>
      <w:sz w:val="44"/>
      <w:szCs w:val="44"/>
    </w:rPr>
  </w:style>
  <w:style w:type="character" w:customStyle="1" w:styleId="Heading3Char">
    <w:name w:val="Heading 3 Char"/>
    <w:basedOn w:val="DefaultParagraphFont"/>
    <w:link w:val="Heading3"/>
    <w:rsid w:val="0021195E"/>
    <w:rPr>
      <w:rFonts w:ascii="Arial Narrow" w:eastAsiaTheme="majorEastAsia" w:hAnsi="Arial Narrow" w:cstheme="majorBidi"/>
      <w:smallCaps/>
      <w:sz w:val="30"/>
      <w:szCs w:val="24"/>
    </w:rPr>
  </w:style>
  <w:style w:type="paragraph" w:styleId="ListParagraph">
    <w:name w:val="List Paragraph"/>
    <w:aliases w:val="List Paragraph1,List Paragraph11,Recommendation,Bullet point,L,1 Recommendation"/>
    <w:basedOn w:val="Normal"/>
    <w:link w:val="ListParagraphChar"/>
    <w:uiPriority w:val="34"/>
    <w:qFormat/>
    <w:rsid w:val="00F6072C"/>
    <w:pPr>
      <w:ind w:left="720"/>
      <w:contextualSpacing/>
    </w:pPr>
  </w:style>
  <w:style w:type="paragraph" w:styleId="BalloonText">
    <w:name w:val="Balloon Text"/>
    <w:basedOn w:val="Normal"/>
    <w:link w:val="BalloonTextChar"/>
    <w:semiHidden/>
    <w:unhideWhenUsed/>
    <w:rsid w:val="00713E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713E5C"/>
    <w:rPr>
      <w:rFonts w:ascii="Segoe UI" w:hAnsi="Segoe UI" w:cs="Segoe UI"/>
      <w:sz w:val="18"/>
      <w:szCs w:val="18"/>
    </w:rPr>
  </w:style>
  <w:style w:type="paragraph" w:styleId="Bibliography">
    <w:name w:val="Bibliography"/>
    <w:basedOn w:val="Normal"/>
    <w:next w:val="Normal"/>
    <w:uiPriority w:val="37"/>
    <w:semiHidden/>
    <w:unhideWhenUsed/>
    <w:rsid w:val="00713E5C"/>
  </w:style>
  <w:style w:type="paragraph" w:styleId="BlockText">
    <w:name w:val="Block Text"/>
    <w:basedOn w:val="Normal"/>
    <w:uiPriority w:val="99"/>
    <w:semiHidden/>
    <w:unhideWhenUsed/>
    <w:rsid w:val="00713E5C"/>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eastAsiaTheme="minorEastAsia"/>
      <w:i/>
      <w:iCs/>
      <w:color w:val="5B9BD5" w:themeColor="accent1"/>
    </w:rPr>
  </w:style>
  <w:style w:type="paragraph" w:styleId="BodyText">
    <w:name w:val="Body Text"/>
    <w:basedOn w:val="Normal"/>
    <w:link w:val="BodyTextChar"/>
    <w:unhideWhenUsed/>
    <w:rsid w:val="00713E5C"/>
    <w:pPr>
      <w:spacing w:after="120"/>
    </w:pPr>
  </w:style>
  <w:style w:type="character" w:customStyle="1" w:styleId="BodyTextChar">
    <w:name w:val="Body Text Char"/>
    <w:basedOn w:val="DefaultParagraphFont"/>
    <w:link w:val="BodyText"/>
    <w:rsid w:val="00713E5C"/>
  </w:style>
  <w:style w:type="paragraph" w:styleId="BodyText2">
    <w:name w:val="Body Text 2"/>
    <w:basedOn w:val="Normal"/>
    <w:link w:val="BodyText2Char"/>
    <w:uiPriority w:val="99"/>
    <w:semiHidden/>
    <w:unhideWhenUsed/>
    <w:rsid w:val="00713E5C"/>
    <w:pPr>
      <w:spacing w:after="120" w:line="480" w:lineRule="auto"/>
    </w:pPr>
  </w:style>
  <w:style w:type="character" w:customStyle="1" w:styleId="BodyText2Char">
    <w:name w:val="Body Text 2 Char"/>
    <w:basedOn w:val="DefaultParagraphFont"/>
    <w:link w:val="BodyText2"/>
    <w:uiPriority w:val="99"/>
    <w:semiHidden/>
    <w:rsid w:val="00713E5C"/>
  </w:style>
  <w:style w:type="paragraph" w:styleId="BodyText3">
    <w:name w:val="Body Text 3"/>
    <w:basedOn w:val="Normal"/>
    <w:link w:val="BodyText3Char"/>
    <w:uiPriority w:val="99"/>
    <w:semiHidden/>
    <w:unhideWhenUsed/>
    <w:rsid w:val="00713E5C"/>
    <w:pPr>
      <w:spacing w:after="120"/>
    </w:pPr>
    <w:rPr>
      <w:sz w:val="16"/>
      <w:szCs w:val="16"/>
    </w:rPr>
  </w:style>
  <w:style w:type="character" w:customStyle="1" w:styleId="BodyText3Char">
    <w:name w:val="Body Text 3 Char"/>
    <w:basedOn w:val="DefaultParagraphFont"/>
    <w:link w:val="BodyText3"/>
    <w:uiPriority w:val="99"/>
    <w:semiHidden/>
    <w:rsid w:val="00713E5C"/>
    <w:rPr>
      <w:sz w:val="16"/>
      <w:szCs w:val="16"/>
    </w:rPr>
  </w:style>
  <w:style w:type="paragraph" w:styleId="BodyTextFirstIndent">
    <w:name w:val="Body Text First Indent"/>
    <w:basedOn w:val="BodyText"/>
    <w:link w:val="BodyTextFirstIndentChar"/>
    <w:uiPriority w:val="99"/>
    <w:semiHidden/>
    <w:unhideWhenUsed/>
    <w:rsid w:val="00713E5C"/>
    <w:pPr>
      <w:spacing w:after="160"/>
      <w:ind w:firstLine="360"/>
    </w:pPr>
  </w:style>
  <w:style w:type="character" w:customStyle="1" w:styleId="BodyTextFirstIndentChar">
    <w:name w:val="Body Text First Indent Char"/>
    <w:basedOn w:val="BodyTextChar"/>
    <w:link w:val="BodyTextFirstIndent"/>
    <w:uiPriority w:val="99"/>
    <w:semiHidden/>
    <w:rsid w:val="00713E5C"/>
  </w:style>
  <w:style w:type="paragraph" w:styleId="BodyTextIndent">
    <w:name w:val="Body Text Indent"/>
    <w:basedOn w:val="Normal"/>
    <w:link w:val="BodyTextIndentChar"/>
    <w:unhideWhenUsed/>
    <w:rsid w:val="00713E5C"/>
    <w:pPr>
      <w:spacing w:after="120"/>
      <w:ind w:left="283"/>
    </w:pPr>
  </w:style>
  <w:style w:type="character" w:customStyle="1" w:styleId="BodyTextIndentChar">
    <w:name w:val="Body Text Indent Char"/>
    <w:basedOn w:val="DefaultParagraphFont"/>
    <w:link w:val="BodyTextIndent"/>
    <w:rsid w:val="00713E5C"/>
  </w:style>
  <w:style w:type="paragraph" w:styleId="BodyTextFirstIndent2">
    <w:name w:val="Body Text First Indent 2"/>
    <w:basedOn w:val="BodyTextIndent"/>
    <w:link w:val="BodyTextFirstIndent2Char"/>
    <w:uiPriority w:val="99"/>
    <w:semiHidden/>
    <w:unhideWhenUsed/>
    <w:rsid w:val="00713E5C"/>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713E5C"/>
  </w:style>
  <w:style w:type="paragraph" w:styleId="BodyTextIndent2">
    <w:name w:val="Body Text Indent 2"/>
    <w:basedOn w:val="Normal"/>
    <w:link w:val="BodyTextIndent2Char"/>
    <w:uiPriority w:val="99"/>
    <w:semiHidden/>
    <w:unhideWhenUsed/>
    <w:rsid w:val="00713E5C"/>
    <w:pPr>
      <w:spacing w:after="120" w:line="480" w:lineRule="auto"/>
      <w:ind w:left="283"/>
    </w:pPr>
  </w:style>
  <w:style w:type="character" w:customStyle="1" w:styleId="BodyTextIndent2Char">
    <w:name w:val="Body Text Indent 2 Char"/>
    <w:basedOn w:val="DefaultParagraphFont"/>
    <w:link w:val="BodyTextIndent2"/>
    <w:uiPriority w:val="99"/>
    <w:semiHidden/>
    <w:rsid w:val="00713E5C"/>
  </w:style>
  <w:style w:type="paragraph" w:styleId="BodyTextIndent3">
    <w:name w:val="Body Text Indent 3"/>
    <w:basedOn w:val="Normal"/>
    <w:link w:val="BodyTextIndent3Char"/>
    <w:uiPriority w:val="99"/>
    <w:semiHidden/>
    <w:unhideWhenUsed/>
    <w:rsid w:val="00713E5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13E5C"/>
    <w:rPr>
      <w:sz w:val="16"/>
      <w:szCs w:val="16"/>
    </w:rPr>
  </w:style>
  <w:style w:type="paragraph" w:styleId="Caption">
    <w:name w:val="caption"/>
    <w:basedOn w:val="Normal"/>
    <w:next w:val="Normal"/>
    <w:unhideWhenUsed/>
    <w:qFormat/>
    <w:rsid w:val="00713E5C"/>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713E5C"/>
    <w:pPr>
      <w:spacing w:after="0" w:line="240" w:lineRule="auto"/>
      <w:ind w:left="4252"/>
    </w:pPr>
  </w:style>
  <w:style w:type="character" w:customStyle="1" w:styleId="ClosingChar">
    <w:name w:val="Closing Char"/>
    <w:basedOn w:val="DefaultParagraphFont"/>
    <w:link w:val="Closing"/>
    <w:uiPriority w:val="99"/>
    <w:semiHidden/>
    <w:rsid w:val="00713E5C"/>
  </w:style>
  <w:style w:type="paragraph" w:styleId="CommentText">
    <w:name w:val="annotation text"/>
    <w:basedOn w:val="Normal"/>
    <w:link w:val="CommentTextChar"/>
    <w:unhideWhenUsed/>
    <w:rsid w:val="00713E5C"/>
    <w:pPr>
      <w:spacing w:line="240" w:lineRule="auto"/>
    </w:pPr>
    <w:rPr>
      <w:sz w:val="20"/>
      <w:szCs w:val="20"/>
    </w:rPr>
  </w:style>
  <w:style w:type="character" w:customStyle="1" w:styleId="CommentTextChar">
    <w:name w:val="Comment Text Char"/>
    <w:basedOn w:val="DefaultParagraphFont"/>
    <w:link w:val="CommentText"/>
    <w:rsid w:val="00713E5C"/>
    <w:rPr>
      <w:sz w:val="20"/>
      <w:szCs w:val="20"/>
    </w:rPr>
  </w:style>
  <w:style w:type="paragraph" w:styleId="CommentSubject">
    <w:name w:val="annotation subject"/>
    <w:basedOn w:val="CommentText"/>
    <w:next w:val="CommentText"/>
    <w:link w:val="CommentSubjectChar"/>
    <w:unhideWhenUsed/>
    <w:rsid w:val="00713E5C"/>
    <w:rPr>
      <w:b/>
      <w:bCs/>
    </w:rPr>
  </w:style>
  <w:style w:type="character" w:customStyle="1" w:styleId="CommentSubjectChar">
    <w:name w:val="Comment Subject Char"/>
    <w:basedOn w:val="CommentTextChar"/>
    <w:link w:val="CommentSubject"/>
    <w:rsid w:val="00713E5C"/>
    <w:rPr>
      <w:b/>
      <w:bCs/>
      <w:sz w:val="20"/>
      <w:szCs w:val="20"/>
    </w:rPr>
  </w:style>
  <w:style w:type="paragraph" w:styleId="Date">
    <w:name w:val="Date"/>
    <w:basedOn w:val="Normal"/>
    <w:next w:val="Normal"/>
    <w:link w:val="DateChar"/>
    <w:uiPriority w:val="99"/>
    <w:semiHidden/>
    <w:unhideWhenUsed/>
    <w:rsid w:val="00713E5C"/>
  </w:style>
  <w:style w:type="character" w:customStyle="1" w:styleId="DateChar">
    <w:name w:val="Date Char"/>
    <w:basedOn w:val="DefaultParagraphFont"/>
    <w:link w:val="Date"/>
    <w:uiPriority w:val="99"/>
    <w:semiHidden/>
    <w:rsid w:val="00713E5C"/>
  </w:style>
  <w:style w:type="paragraph" w:styleId="DocumentMap">
    <w:name w:val="Document Map"/>
    <w:basedOn w:val="Normal"/>
    <w:link w:val="DocumentMapChar"/>
    <w:uiPriority w:val="99"/>
    <w:semiHidden/>
    <w:unhideWhenUsed/>
    <w:rsid w:val="00713E5C"/>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13E5C"/>
    <w:rPr>
      <w:rFonts w:ascii="Segoe UI" w:hAnsi="Segoe UI" w:cs="Segoe UI"/>
      <w:sz w:val="16"/>
      <w:szCs w:val="16"/>
    </w:rPr>
  </w:style>
  <w:style w:type="paragraph" w:styleId="E-mailSignature">
    <w:name w:val="E-mail Signature"/>
    <w:basedOn w:val="Normal"/>
    <w:link w:val="E-mailSignatureChar"/>
    <w:uiPriority w:val="99"/>
    <w:semiHidden/>
    <w:unhideWhenUsed/>
    <w:rsid w:val="00713E5C"/>
    <w:pPr>
      <w:spacing w:after="0" w:line="240" w:lineRule="auto"/>
    </w:pPr>
  </w:style>
  <w:style w:type="character" w:customStyle="1" w:styleId="E-mailSignatureChar">
    <w:name w:val="E-mail Signature Char"/>
    <w:basedOn w:val="DefaultParagraphFont"/>
    <w:link w:val="E-mailSignature"/>
    <w:uiPriority w:val="99"/>
    <w:semiHidden/>
    <w:rsid w:val="00713E5C"/>
  </w:style>
  <w:style w:type="paragraph" w:styleId="EndnoteText">
    <w:name w:val="endnote text"/>
    <w:basedOn w:val="Normal"/>
    <w:link w:val="EndnoteTextChar"/>
    <w:unhideWhenUsed/>
    <w:rsid w:val="00713E5C"/>
    <w:pPr>
      <w:spacing w:after="0" w:line="240" w:lineRule="auto"/>
    </w:pPr>
    <w:rPr>
      <w:sz w:val="20"/>
      <w:szCs w:val="20"/>
    </w:rPr>
  </w:style>
  <w:style w:type="character" w:customStyle="1" w:styleId="EndnoteTextChar">
    <w:name w:val="Endnote Text Char"/>
    <w:basedOn w:val="DefaultParagraphFont"/>
    <w:link w:val="EndnoteText"/>
    <w:rsid w:val="00713E5C"/>
    <w:rPr>
      <w:sz w:val="20"/>
      <w:szCs w:val="20"/>
    </w:rPr>
  </w:style>
  <w:style w:type="paragraph" w:styleId="EnvelopeAddress">
    <w:name w:val="envelope address"/>
    <w:basedOn w:val="Normal"/>
    <w:uiPriority w:val="99"/>
    <w:semiHidden/>
    <w:unhideWhenUsed/>
    <w:rsid w:val="00713E5C"/>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713E5C"/>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unhideWhenUsed/>
    <w:rsid w:val="00B32CDA"/>
    <w:pPr>
      <w:spacing w:after="0" w:line="240" w:lineRule="auto"/>
      <w:ind w:left="115" w:hanging="115"/>
    </w:pPr>
    <w:rPr>
      <w:sz w:val="20"/>
      <w:szCs w:val="20"/>
    </w:rPr>
  </w:style>
  <w:style w:type="character" w:customStyle="1" w:styleId="FootnoteTextChar">
    <w:name w:val="Footnote Text Char"/>
    <w:basedOn w:val="DefaultParagraphFont"/>
    <w:link w:val="FootnoteText"/>
    <w:uiPriority w:val="99"/>
    <w:rsid w:val="00B32CDA"/>
    <w:rPr>
      <w:sz w:val="20"/>
      <w:szCs w:val="20"/>
    </w:rPr>
  </w:style>
  <w:style w:type="character" w:customStyle="1" w:styleId="Heading4Char">
    <w:name w:val="Heading 4 Char"/>
    <w:aliases w:val="Heading 4 numbered Char"/>
    <w:basedOn w:val="DefaultParagraphFont"/>
    <w:link w:val="Heading4"/>
    <w:rsid w:val="000C30A9"/>
    <w:rPr>
      <w:rFonts w:ascii="Arial Narrow" w:eastAsiaTheme="majorEastAsia" w:hAnsi="Arial Narrow" w:cstheme="majorBidi"/>
      <w:b/>
      <w:iCs/>
      <w:smallCaps/>
      <w:sz w:val="26"/>
    </w:rPr>
  </w:style>
  <w:style w:type="character" w:customStyle="1" w:styleId="Heading5Char">
    <w:name w:val="Heading 5 Char"/>
    <w:basedOn w:val="DefaultParagraphFont"/>
    <w:link w:val="Heading5"/>
    <w:rsid w:val="00FA3D87"/>
    <w:rPr>
      <w:rFonts w:ascii="Arial Narrow" w:eastAsia="Calibri" w:hAnsi="Arial Narrow" w:cstheme="majorBidi"/>
      <w:smallCaps/>
      <w:szCs w:val="24"/>
      <w:lang w:eastAsia="en-AU"/>
    </w:rPr>
  </w:style>
  <w:style w:type="character" w:customStyle="1" w:styleId="Heading6Char">
    <w:name w:val="Heading 6 Char"/>
    <w:basedOn w:val="DefaultParagraphFont"/>
    <w:link w:val="Heading6"/>
    <w:rsid w:val="005C7610"/>
    <w:rPr>
      <w:rFonts w:ascii="Calibri" w:eastAsiaTheme="majorEastAsia" w:hAnsi="Calibri" w:cstheme="majorBidi"/>
      <w:i/>
      <w:iCs/>
    </w:rPr>
  </w:style>
  <w:style w:type="character" w:customStyle="1" w:styleId="Heading7Char">
    <w:name w:val="Heading 7 Char"/>
    <w:basedOn w:val="DefaultParagraphFont"/>
    <w:link w:val="Heading7"/>
    <w:rsid w:val="00B27573"/>
    <w:rPr>
      <w:rFonts w:eastAsiaTheme="majorEastAsia" w:cstheme="majorBidi"/>
      <w:iCs/>
      <w:smallCaps/>
    </w:rPr>
  </w:style>
  <w:style w:type="character" w:customStyle="1" w:styleId="Heading8Char">
    <w:name w:val="Heading 8 Char"/>
    <w:basedOn w:val="DefaultParagraphFont"/>
    <w:link w:val="Heading8"/>
    <w:semiHidden/>
    <w:rsid w:val="00713E5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713E5C"/>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713E5C"/>
    <w:pPr>
      <w:spacing w:after="0" w:line="240" w:lineRule="auto"/>
    </w:pPr>
    <w:rPr>
      <w:i/>
      <w:iCs/>
    </w:rPr>
  </w:style>
  <w:style w:type="character" w:customStyle="1" w:styleId="HTMLAddressChar">
    <w:name w:val="HTML Address Char"/>
    <w:basedOn w:val="DefaultParagraphFont"/>
    <w:link w:val="HTMLAddress"/>
    <w:uiPriority w:val="99"/>
    <w:semiHidden/>
    <w:rsid w:val="00713E5C"/>
    <w:rPr>
      <w:i/>
      <w:iCs/>
    </w:rPr>
  </w:style>
  <w:style w:type="paragraph" w:styleId="HTMLPreformatted">
    <w:name w:val="HTML Preformatted"/>
    <w:basedOn w:val="Normal"/>
    <w:link w:val="HTMLPreformattedChar"/>
    <w:uiPriority w:val="99"/>
    <w:semiHidden/>
    <w:unhideWhenUsed/>
    <w:rsid w:val="00713E5C"/>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713E5C"/>
    <w:rPr>
      <w:rFonts w:ascii="Consolas" w:hAnsi="Consolas" w:cs="Consolas"/>
      <w:sz w:val="20"/>
      <w:szCs w:val="20"/>
    </w:rPr>
  </w:style>
  <w:style w:type="paragraph" w:styleId="Index1">
    <w:name w:val="index 1"/>
    <w:basedOn w:val="Normal"/>
    <w:next w:val="Normal"/>
    <w:autoRedefine/>
    <w:uiPriority w:val="99"/>
    <w:semiHidden/>
    <w:unhideWhenUsed/>
    <w:rsid w:val="00713E5C"/>
    <w:pPr>
      <w:spacing w:after="0" w:line="240" w:lineRule="auto"/>
      <w:ind w:left="220" w:hanging="220"/>
    </w:pPr>
  </w:style>
  <w:style w:type="paragraph" w:styleId="Index2">
    <w:name w:val="index 2"/>
    <w:basedOn w:val="Normal"/>
    <w:next w:val="Normal"/>
    <w:autoRedefine/>
    <w:uiPriority w:val="99"/>
    <w:semiHidden/>
    <w:unhideWhenUsed/>
    <w:rsid w:val="00713E5C"/>
    <w:pPr>
      <w:spacing w:after="0" w:line="240" w:lineRule="auto"/>
      <w:ind w:left="440" w:hanging="220"/>
    </w:pPr>
  </w:style>
  <w:style w:type="paragraph" w:styleId="Index3">
    <w:name w:val="index 3"/>
    <w:basedOn w:val="Normal"/>
    <w:next w:val="Normal"/>
    <w:autoRedefine/>
    <w:uiPriority w:val="99"/>
    <w:semiHidden/>
    <w:unhideWhenUsed/>
    <w:rsid w:val="00713E5C"/>
    <w:pPr>
      <w:spacing w:after="0" w:line="240" w:lineRule="auto"/>
      <w:ind w:left="660" w:hanging="220"/>
    </w:pPr>
  </w:style>
  <w:style w:type="paragraph" w:styleId="Index4">
    <w:name w:val="index 4"/>
    <w:basedOn w:val="Normal"/>
    <w:next w:val="Normal"/>
    <w:autoRedefine/>
    <w:uiPriority w:val="99"/>
    <w:semiHidden/>
    <w:unhideWhenUsed/>
    <w:rsid w:val="00713E5C"/>
    <w:pPr>
      <w:spacing w:after="0" w:line="240" w:lineRule="auto"/>
      <w:ind w:left="880" w:hanging="220"/>
    </w:pPr>
  </w:style>
  <w:style w:type="paragraph" w:styleId="Index5">
    <w:name w:val="index 5"/>
    <w:basedOn w:val="Normal"/>
    <w:next w:val="Normal"/>
    <w:autoRedefine/>
    <w:uiPriority w:val="99"/>
    <w:semiHidden/>
    <w:unhideWhenUsed/>
    <w:rsid w:val="00713E5C"/>
    <w:pPr>
      <w:spacing w:after="0" w:line="240" w:lineRule="auto"/>
      <w:ind w:left="1100" w:hanging="220"/>
    </w:pPr>
  </w:style>
  <w:style w:type="paragraph" w:styleId="Index6">
    <w:name w:val="index 6"/>
    <w:basedOn w:val="Normal"/>
    <w:next w:val="Normal"/>
    <w:autoRedefine/>
    <w:uiPriority w:val="99"/>
    <w:semiHidden/>
    <w:unhideWhenUsed/>
    <w:rsid w:val="00713E5C"/>
    <w:pPr>
      <w:spacing w:after="0" w:line="240" w:lineRule="auto"/>
      <w:ind w:left="1320" w:hanging="220"/>
    </w:pPr>
  </w:style>
  <w:style w:type="paragraph" w:styleId="Index7">
    <w:name w:val="index 7"/>
    <w:basedOn w:val="Normal"/>
    <w:next w:val="Normal"/>
    <w:autoRedefine/>
    <w:uiPriority w:val="99"/>
    <w:semiHidden/>
    <w:unhideWhenUsed/>
    <w:rsid w:val="00713E5C"/>
    <w:pPr>
      <w:spacing w:after="0" w:line="240" w:lineRule="auto"/>
      <w:ind w:left="1540" w:hanging="220"/>
    </w:pPr>
  </w:style>
  <w:style w:type="paragraph" w:styleId="Index8">
    <w:name w:val="index 8"/>
    <w:basedOn w:val="Normal"/>
    <w:next w:val="Normal"/>
    <w:autoRedefine/>
    <w:uiPriority w:val="99"/>
    <w:semiHidden/>
    <w:unhideWhenUsed/>
    <w:rsid w:val="00713E5C"/>
    <w:pPr>
      <w:spacing w:after="0" w:line="240" w:lineRule="auto"/>
      <w:ind w:left="1760" w:hanging="220"/>
    </w:pPr>
  </w:style>
  <w:style w:type="paragraph" w:styleId="Index9">
    <w:name w:val="index 9"/>
    <w:basedOn w:val="Normal"/>
    <w:next w:val="Normal"/>
    <w:autoRedefine/>
    <w:uiPriority w:val="99"/>
    <w:semiHidden/>
    <w:unhideWhenUsed/>
    <w:rsid w:val="00713E5C"/>
    <w:pPr>
      <w:spacing w:after="0" w:line="240" w:lineRule="auto"/>
      <w:ind w:left="1980" w:hanging="220"/>
    </w:pPr>
  </w:style>
  <w:style w:type="paragraph" w:styleId="IndexHeading">
    <w:name w:val="index heading"/>
    <w:basedOn w:val="Normal"/>
    <w:next w:val="Index1"/>
    <w:uiPriority w:val="99"/>
    <w:semiHidden/>
    <w:unhideWhenUsed/>
    <w:rsid w:val="00713E5C"/>
    <w:rPr>
      <w:rFonts w:asciiTheme="majorHAnsi" w:eastAsiaTheme="majorEastAsia" w:hAnsiTheme="majorHAnsi" w:cstheme="majorBidi"/>
      <w:b/>
      <w:bCs/>
    </w:rPr>
  </w:style>
  <w:style w:type="paragraph" w:styleId="IntenseQuote">
    <w:name w:val="Intense Quote"/>
    <w:basedOn w:val="Normal"/>
    <w:next w:val="Normal"/>
    <w:link w:val="IntenseQuoteChar"/>
    <w:uiPriority w:val="30"/>
    <w:rsid w:val="00713E5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713E5C"/>
    <w:rPr>
      <w:i/>
      <w:iCs/>
      <w:color w:val="5B9BD5" w:themeColor="accent1"/>
    </w:rPr>
  </w:style>
  <w:style w:type="paragraph" w:styleId="List">
    <w:name w:val="List"/>
    <w:basedOn w:val="Normal"/>
    <w:uiPriority w:val="99"/>
    <w:semiHidden/>
    <w:unhideWhenUsed/>
    <w:rsid w:val="00713E5C"/>
    <w:pPr>
      <w:ind w:left="283" w:hanging="283"/>
      <w:contextualSpacing/>
    </w:pPr>
  </w:style>
  <w:style w:type="paragraph" w:styleId="List2">
    <w:name w:val="List 2"/>
    <w:basedOn w:val="Normal"/>
    <w:uiPriority w:val="99"/>
    <w:semiHidden/>
    <w:unhideWhenUsed/>
    <w:rsid w:val="00713E5C"/>
    <w:pPr>
      <w:ind w:left="566" w:hanging="283"/>
      <w:contextualSpacing/>
    </w:pPr>
  </w:style>
  <w:style w:type="paragraph" w:styleId="List3">
    <w:name w:val="List 3"/>
    <w:basedOn w:val="Normal"/>
    <w:uiPriority w:val="99"/>
    <w:semiHidden/>
    <w:unhideWhenUsed/>
    <w:rsid w:val="00713E5C"/>
    <w:pPr>
      <w:ind w:left="849" w:hanging="283"/>
      <w:contextualSpacing/>
    </w:pPr>
  </w:style>
  <w:style w:type="paragraph" w:styleId="List4">
    <w:name w:val="List 4"/>
    <w:basedOn w:val="Normal"/>
    <w:uiPriority w:val="99"/>
    <w:semiHidden/>
    <w:unhideWhenUsed/>
    <w:rsid w:val="00713E5C"/>
    <w:pPr>
      <w:ind w:left="1132" w:hanging="283"/>
      <w:contextualSpacing/>
    </w:pPr>
  </w:style>
  <w:style w:type="paragraph" w:styleId="List5">
    <w:name w:val="List 5"/>
    <w:basedOn w:val="Normal"/>
    <w:uiPriority w:val="99"/>
    <w:semiHidden/>
    <w:unhideWhenUsed/>
    <w:rsid w:val="00713E5C"/>
    <w:pPr>
      <w:ind w:left="1415" w:hanging="283"/>
      <w:contextualSpacing/>
    </w:pPr>
  </w:style>
  <w:style w:type="paragraph" w:styleId="ListBullet">
    <w:name w:val="List Bullet"/>
    <w:basedOn w:val="Normal"/>
    <w:uiPriority w:val="99"/>
    <w:semiHidden/>
    <w:unhideWhenUsed/>
    <w:rsid w:val="00713E5C"/>
    <w:pPr>
      <w:numPr>
        <w:numId w:val="1"/>
      </w:numPr>
      <w:contextualSpacing/>
    </w:pPr>
  </w:style>
  <w:style w:type="paragraph" w:styleId="ListBullet2">
    <w:name w:val="List Bullet 2"/>
    <w:basedOn w:val="Normal"/>
    <w:uiPriority w:val="99"/>
    <w:semiHidden/>
    <w:unhideWhenUsed/>
    <w:rsid w:val="00713E5C"/>
    <w:pPr>
      <w:numPr>
        <w:numId w:val="2"/>
      </w:numPr>
      <w:contextualSpacing/>
    </w:pPr>
  </w:style>
  <w:style w:type="paragraph" w:styleId="ListBullet3">
    <w:name w:val="List Bullet 3"/>
    <w:basedOn w:val="Normal"/>
    <w:uiPriority w:val="99"/>
    <w:semiHidden/>
    <w:unhideWhenUsed/>
    <w:rsid w:val="00713E5C"/>
    <w:pPr>
      <w:numPr>
        <w:numId w:val="3"/>
      </w:numPr>
      <w:contextualSpacing/>
    </w:pPr>
  </w:style>
  <w:style w:type="paragraph" w:styleId="ListBullet4">
    <w:name w:val="List Bullet 4"/>
    <w:basedOn w:val="Normal"/>
    <w:uiPriority w:val="99"/>
    <w:semiHidden/>
    <w:unhideWhenUsed/>
    <w:rsid w:val="00713E5C"/>
    <w:pPr>
      <w:numPr>
        <w:numId w:val="4"/>
      </w:numPr>
      <w:contextualSpacing/>
    </w:pPr>
  </w:style>
  <w:style w:type="paragraph" w:styleId="ListBullet5">
    <w:name w:val="List Bullet 5"/>
    <w:basedOn w:val="Normal"/>
    <w:uiPriority w:val="99"/>
    <w:semiHidden/>
    <w:unhideWhenUsed/>
    <w:rsid w:val="00713E5C"/>
    <w:pPr>
      <w:numPr>
        <w:numId w:val="5"/>
      </w:numPr>
      <w:contextualSpacing/>
    </w:pPr>
  </w:style>
  <w:style w:type="paragraph" w:styleId="ListContinue">
    <w:name w:val="List Continue"/>
    <w:basedOn w:val="Normal"/>
    <w:uiPriority w:val="99"/>
    <w:semiHidden/>
    <w:unhideWhenUsed/>
    <w:rsid w:val="00713E5C"/>
    <w:pPr>
      <w:spacing w:after="120"/>
      <w:ind w:left="283"/>
      <w:contextualSpacing/>
    </w:pPr>
  </w:style>
  <w:style w:type="paragraph" w:styleId="ListContinue2">
    <w:name w:val="List Continue 2"/>
    <w:basedOn w:val="Normal"/>
    <w:uiPriority w:val="99"/>
    <w:semiHidden/>
    <w:unhideWhenUsed/>
    <w:rsid w:val="00713E5C"/>
    <w:pPr>
      <w:spacing w:after="120"/>
      <w:ind w:left="566"/>
      <w:contextualSpacing/>
    </w:pPr>
  </w:style>
  <w:style w:type="paragraph" w:styleId="ListContinue3">
    <w:name w:val="List Continue 3"/>
    <w:basedOn w:val="Normal"/>
    <w:uiPriority w:val="99"/>
    <w:semiHidden/>
    <w:unhideWhenUsed/>
    <w:rsid w:val="00713E5C"/>
    <w:pPr>
      <w:spacing w:after="120"/>
      <w:ind w:left="849"/>
      <w:contextualSpacing/>
    </w:pPr>
  </w:style>
  <w:style w:type="paragraph" w:styleId="ListContinue4">
    <w:name w:val="List Continue 4"/>
    <w:basedOn w:val="Normal"/>
    <w:uiPriority w:val="99"/>
    <w:semiHidden/>
    <w:unhideWhenUsed/>
    <w:rsid w:val="00713E5C"/>
    <w:pPr>
      <w:spacing w:after="120"/>
      <w:ind w:left="1132"/>
      <w:contextualSpacing/>
    </w:pPr>
  </w:style>
  <w:style w:type="paragraph" w:styleId="ListContinue5">
    <w:name w:val="List Continue 5"/>
    <w:basedOn w:val="Normal"/>
    <w:uiPriority w:val="99"/>
    <w:semiHidden/>
    <w:unhideWhenUsed/>
    <w:rsid w:val="00713E5C"/>
    <w:pPr>
      <w:spacing w:after="120"/>
      <w:ind w:left="1415"/>
      <w:contextualSpacing/>
    </w:pPr>
  </w:style>
  <w:style w:type="paragraph" w:styleId="ListNumber">
    <w:name w:val="List Number"/>
    <w:basedOn w:val="Normal"/>
    <w:uiPriority w:val="99"/>
    <w:semiHidden/>
    <w:unhideWhenUsed/>
    <w:rsid w:val="00713E5C"/>
    <w:pPr>
      <w:numPr>
        <w:numId w:val="6"/>
      </w:numPr>
      <w:contextualSpacing/>
    </w:pPr>
  </w:style>
  <w:style w:type="paragraph" w:styleId="ListNumber2">
    <w:name w:val="List Number 2"/>
    <w:basedOn w:val="Normal"/>
    <w:uiPriority w:val="99"/>
    <w:unhideWhenUsed/>
    <w:rsid w:val="00713E5C"/>
    <w:pPr>
      <w:numPr>
        <w:numId w:val="7"/>
      </w:numPr>
      <w:contextualSpacing/>
    </w:pPr>
  </w:style>
  <w:style w:type="paragraph" w:styleId="ListNumber3">
    <w:name w:val="List Number 3"/>
    <w:basedOn w:val="Normal"/>
    <w:uiPriority w:val="99"/>
    <w:semiHidden/>
    <w:unhideWhenUsed/>
    <w:rsid w:val="00713E5C"/>
    <w:pPr>
      <w:numPr>
        <w:numId w:val="8"/>
      </w:numPr>
      <w:contextualSpacing/>
    </w:pPr>
  </w:style>
  <w:style w:type="paragraph" w:styleId="ListNumber4">
    <w:name w:val="List Number 4"/>
    <w:basedOn w:val="Normal"/>
    <w:uiPriority w:val="99"/>
    <w:semiHidden/>
    <w:unhideWhenUsed/>
    <w:rsid w:val="00713E5C"/>
    <w:pPr>
      <w:numPr>
        <w:numId w:val="9"/>
      </w:numPr>
      <w:contextualSpacing/>
    </w:pPr>
  </w:style>
  <w:style w:type="paragraph" w:styleId="ListNumber5">
    <w:name w:val="List Number 5"/>
    <w:basedOn w:val="Normal"/>
    <w:uiPriority w:val="99"/>
    <w:semiHidden/>
    <w:unhideWhenUsed/>
    <w:rsid w:val="00713E5C"/>
    <w:pPr>
      <w:numPr>
        <w:numId w:val="10"/>
      </w:numPr>
      <w:contextualSpacing/>
    </w:pPr>
  </w:style>
  <w:style w:type="paragraph" w:styleId="MacroText">
    <w:name w:val="macro"/>
    <w:link w:val="MacroTextChar"/>
    <w:uiPriority w:val="99"/>
    <w:semiHidden/>
    <w:unhideWhenUsed/>
    <w:rsid w:val="00713E5C"/>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713E5C"/>
    <w:rPr>
      <w:rFonts w:ascii="Consolas" w:hAnsi="Consolas" w:cs="Consolas"/>
      <w:sz w:val="20"/>
      <w:szCs w:val="20"/>
    </w:rPr>
  </w:style>
  <w:style w:type="paragraph" w:styleId="MessageHeader">
    <w:name w:val="Message Header"/>
    <w:basedOn w:val="Normal"/>
    <w:link w:val="MessageHeaderChar"/>
    <w:uiPriority w:val="99"/>
    <w:semiHidden/>
    <w:unhideWhenUsed/>
    <w:rsid w:val="00713E5C"/>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713E5C"/>
    <w:rPr>
      <w:rFonts w:asciiTheme="majorHAnsi" w:eastAsiaTheme="majorEastAsia" w:hAnsiTheme="majorHAnsi" w:cstheme="majorBidi"/>
      <w:sz w:val="24"/>
      <w:szCs w:val="24"/>
      <w:shd w:val="pct20" w:color="auto" w:fill="auto"/>
    </w:rPr>
  </w:style>
  <w:style w:type="paragraph" w:styleId="NoSpacing">
    <w:name w:val="No Spacing"/>
    <w:uiPriority w:val="1"/>
    <w:qFormat/>
    <w:rsid w:val="00713E5C"/>
    <w:pPr>
      <w:spacing w:after="0" w:line="240" w:lineRule="auto"/>
    </w:pPr>
  </w:style>
  <w:style w:type="paragraph" w:styleId="NormalWeb">
    <w:name w:val="Normal (Web)"/>
    <w:basedOn w:val="Normal"/>
    <w:uiPriority w:val="99"/>
    <w:unhideWhenUsed/>
    <w:rsid w:val="00713E5C"/>
    <w:rPr>
      <w:rFonts w:ascii="Times New Roman" w:hAnsi="Times New Roman" w:cs="Times New Roman"/>
      <w:sz w:val="24"/>
      <w:szCs w:val="24"/>
    </w:rPr>
  </w:style>
  <w:style w:type="paragraph" w:styleId="NormalIndent">
    <w:name w:val="Normal Indent"/>
    <w:basedOn w:val="Normal"/>
    <w:uiPriority w:val="99"/>
    <w:semiHidden/>
    <w:unhideWhenUsed/>
    <w:rsid w:val="00713E5C"/>
    <w:pPr>
      <w:ind w:left="720"/>
    </w:pPr>
  </w:style>
  <w:style w:type="paragraph" w:styleId="NoteHeading">
    <w:name w:val="Note Heading"/>
    <w:basedOn w:val="Normal"/>
    <w:next w:val="Normal"/>
    <w:link w:val="NoteHeadingChar"/>
    <w:uiPriority w:val="99"/>
    <w:semiHidden/>
    <w:unhideWhenUsed/>
    <w:rsid w:val="00713E5C"/>
    <w:pPr>
      <w:spacing w:after="0" w:line="240" w:lineRule="auto"/>
    </w:pPr>
  </w:style>
  <w:style w:type="character" w:customStyle="1" w:styleId="NoteHeadingChar">
    <w:name w:val="Note Heading Char"/>
    <w:basedOn w:val="DefaultParagraphFont"/>
    <w:link w:val="NoteHeading"/>
    <w:uiPriority w:val="99"/>
    <w:semiHidden/>
    <w:rsid w:val="00713E5C"/>
  </w:style>
  <w:style w:type="paragraph" w:styleId="PlainText">
    <w:name w:val="Plain Text"/>
    <w:basedOn w:val="Normal"/>
    <w:link w:val="PlainTextChar"/>
    <w:uiPriority w:val="99"/>
    <w:unhideWhenUsed/>
    <w:rsid w:val="00713E5C"/>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713E5C"/>
    <w:rPr>
      <w:rFonts w:ascii="Consolas" w:hAnsi="Consolas" w:cs="Consolas"/>
      <w:sz w:val="21"/>
      <w:szCs w:val="21"/>
    </w:rPr>
  </w:style>
  <w:style w:type="paragraph" w:styleId="Quote">
    <w:name w:val="Quote"/>
    <w:basedOn w:val="Normal"/>
    <w:next w:val="Normal"/>
    <w:link w:val="QuoteChar"/>
    <w:uiPriority w:val="29"/>
    <w:qFormat/>
    <w:rsid w:val="00ED4734"/>
    <w:pPr>
      <w:ind w:left="709"/>
    </w:pPr>
  </w:style>
  <w:style w:type="character" w:customStyle="1" w:styleId="QuoteChar">
    <w:name w:val="Quote Char"/>
    <w:basedOn w:val="DefaultParagraphFont"/>
    <w:link w:val="Quote"/>
    <w:uiPriority w:val="29"/>
    <w:rsid w:val="00ED4734"/>
  </w:style>
  <w:style w:type="paragraph" w:styleId="Salutation">
    <w:name w:val="Salutation"/>
    <w:basedOn w:val="Normal"/>
    <w:next w:val="Normal"/>
    <w:link w:val="SalutationChar"/>
    <w:uiPriority w:val="99"/>
    <w:semiHidden/>
    <w:unhideWhenUsed/>
    <w:rsid w:val="00713E5C"/>
  </w:style>
  <w:style w:type="character" w:customStyle="1" w:styleId="SalutationChar">
    <w:name w:val="Salutation Char"/>
    <w:basedOn w:val="DefaultParagraphFont"/>
    <w:link w:val="Salutation"/>
    <w:uiPriority w:val="99"/>
    <w:semiHidden/>
    <w:rsid w:val="00713E5C"/>
  </w:style>
  <w:style w:type="paragraph" w:styleId="Signature">
    <w:name w:val="Signature"/>
    <w:basedOn w:val="Normal"/>
    <w:link w:val="SignatureChar"/>
    <w:uiPriority w:val="99"/>
    <w:semiHidden/>
    <w:unhideWhenUsed/>
    <w:rsid w:val="00713E5C"/>
    <w:pPr>
      <w:spacing w:after="0" w:line="240" w:lineRule="auto"/>
      <w:ind w:left="4252"/>
    </w:pPr>
  </w:style>
  <w:style w:type="character" w:customStyle="1" w:styleId="SignatureChar">
    <w:name w:val="Signature Char"/>
    <w:basedOn w:val="DefaultParagraphFont"/>
    <w:link w:val="Signature"/>
    <w:uiPriority w:val="99"/>
    <w:semiHidden/>
    <w:rsid w:val="00713E5C"/>
  </w:style>
  <w:style w:type="paragraph" w:styleId="Subtitle">
    <w:name w:val="Subtitle"/>
    <w:basedOn w:val="Normal"/>
    <w:next w:val="Normal"/>
    <w:link w:val="SubtitleChar"/>
    <w:uiPriority w:val="11"/>
    <w:rsid w:val="00713E5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13E5C"/>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713E5C"/>
    <w:pPr>
      <w:spacing w:after="0"/>
      <w:ind w:left="220" w:hanging="220"/>
    </w:pPr>
  </w:style>
  <w:style w:type="paragraph" w:styleId="TableofFigures">
    <w:name w:val="table of figures"/>
    <w:basedOn w:val="Normal"/>
    <w:next w:val="Normal"/>
    <w:uiPriority w:val="99"/>
    <w:semiHidden/>
    <w:unhideWhenUsed/>
    <w:rsid w:val="00713E5C"/>
    <w:pPr>
      <w:spacing w:after="0"/>
    </w:pPr>
  </w:style>
  <w:style w:type="paragraph" w:styleId="Title">
    <w:name w:val="Title"/>
    <w:basedOn w:val="Normal"/>
    <w:next w:val="Normal"/>
    <w:link w:val="TitleChar"/>
    <w:uiPriority w:val="10"/>
    <w:rsid w:val="00713E5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13E5C"/>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713E5C"/>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unhideWhenUsed/>
    <w:rsid w:val="00A0668C"/>
    <w:pPr>
      <w:keepNext/>
      <w:tabs>
        <w:tab w:val="right" w:leader="dot" w:pos="9061"/>
      </w:tabs>
      <w:spacing w:before="240" w:after="40" w:line="312" w:lineRule="auto"/>
      <w:ind w:left="288" w:hanging="288"/>
    </w:pPr>
    <w:rPr>
      <w:rFonts w:ascii="Calibri" w:eastAsia="Times New Roman" w:hAnsi="Calibri" w:cs="Times New Roman"/>
      <w:bCs/>
      <w:smallCaps/>
      <w:noProof/>
      <w:spacing w:val="40"/>
      <w:sz w:val="28"/>
      <w:szCs w:val="28"/>
    </w:rPr>
  </w:style>
  <w:style w:type="paragraph" w:styleId="TOC2">
    <w:name w:val="toc 2"/>
    <w:basedOn w:val="Normal"/>
    <w:next w:val="Normal"/>
    <w:autoRedefine/>
    <w:uiPriority w:val="39"/>
    <w:unhideWhenUsed/>
    <w:rsid w:val="00EB384D"/>
    <w:pPr>
      <w:tabs>
        <w:tab w:val="right" w:leader="dot" w:pos="9061"/>
      </w:tabs>
      <w:spacing w:before="120" w:after="0" w:line="240" w:lineRule="auto"/>
      <w:ind w:left="850" w:hanging="562"/>
    </w:pPr>
    <w:rPr>
      <w:rFonts w:ascii="Calibri" w:eastAsia="Times New Roman" w:hAnsi="Calibri" w:cs="Times New Roman"/>
      <w:b/>
      <w:sz w:val="24"/>
      <w:szCs w:val="24"/>
    </w:rPr>
  </w:style>
  <w:style w:type="paragraph" w:styleId="TOC3">
    <w:name w:val="toc 3"/>
    <w:basedOn w:val="Normal"/>
    <w:next w:val="Normal"/>
    <w:autoRedefine/>
    <w:unhideWhenUsed/>
    <w:rsid w:val="007D6C78"/>
    <w:pPr>
      <w:tabs>
        <w:tab w:val="right" w:leader="dot" w:pos="9016"/>
      </w:tabs>
      <w:spacing w:before="120" w:after="120" w:line="240" w:lineRule="auto"/>
      <w:ind w:left="692"/>
    </w:pPr>
    <w:rPr>
      <w:rFonts w:eastAsia="Times New Roman"/>
      <w:b/>
      <w:smallCaps/>
      <w:noProof/>
    </w:rPr>
  </w:style>
  <w:style w:type="paragraph" w:styleId="TOC4">
    <w:name w:val="toc 4"/>
    <w:basedOn w:val="Normal"/>
    <w:next w:val="Normal"/>
    <w:autoRedefine/>
    <w:unhideWhenUsed/>
    <w:rsid w:val="0097778C"/>
    <w:pPr>
      <w:tabs>
        <w:tab w:val="right" w:leader="dot" w:pos="9016"/>
      </w:tabs>
      <w:spacing w:beforeLines="100" w:afterLines="100" w:line="240" w:lineRule="auto"/>
      <w:ind w:left="658"/>
    </w:pPr>
    <w:rPr>
      <w:rFonts w:ascii="Arial Narrow" w:hAnsi="Arial Narrow"/>
      <w:b/>
      <w:noProof/>
      <w:sz w:val="24"/>
    </w:rPr>
  </w:style>
  <w:style w:type="paragraph" w:styleId="TOC5">
    <w:name w:val="toc 5"/>
    <w:basedOn w:val="Normal"/>
    <w:next w:val="Normal"/>
    <w:autoRedefine/>
    <w:uiPriority w:val="39"/>
    <w:semiHidden/>
    <w:unhideWhenUsed/>
    <w:rsid w:val="00713E5C"/>
    <w:pPr>
      <w:spacing w:after="100"/>
      <w:ind w:left="880"/>
    </w:pPr>
  </w:style>
  <w:style w:type="paragraph" w:styleId="TOC6">
    <w:name w:val="toc 6"/>
    <w:basedOn w:val="Normal"/>
    <w:next w:val="Normal"/>
    <w:autoRedefine/>
    <w:uiPriority w:val="39"/>
    <w:semiHidden/>
    <w:unhideWhenUsed/>
    <w:rsid w:val="00713E5C"/>
    <w:pPr>
      <w:spacing w:after="100"/>
      <w:ind w:left="1100"/>
    </w:pPr>
  </w:style>
  <w:style w:type="paragraph" w:styleId="TOC7">
    <w:name w:val="toc 7"/>
    <w:basedOn w:val="Normal"/>
    <w:next w:val="Normal"/>
    <w:autoRedefine/>
    <w:uiPriority w:val="39"/>
    <w:semiHidden/>
    <w:unhideWhenUsed/>
    <w:rsid w:val="00713E5C"/>
    <w:pPr>
      <w:spacing w:after="100"/>
      <w:ind w:left="1320"/>
    </w:pPr>
  </w:style>
  <w:style w:type="paragraph" w:styleId="TOC8">
    <w:name w:val="toc 8"/>
    <w:basedOn w:val="Normal"/>
    <w:next w:val="Normal"/>
    <w:autoRedefine/>
    <w:uiPriority w:val="39"/>
    <w:semiHidden/>
    <w:unhideWhenUsed/>
    <w:rsid w:val="00713E5C"/>
    <w:pPr>
      <w:spacing w:after="100"/>
      <w:ind w:left="1540"/>
    </w:pPr>
  </w:style>
  <w:style w:type="paragraph" w:styleId="TOC9">
    <w:name w:val="toc 9"/>
    <w:basedOn w:val="Normal"/>
    <w:next w:val="Normal"/>
    <w:autoRedefine/>
    <w:uiPriority w:val="39"/>
    <w:semiHidden/>
    <w:unhideWhenUsed/>
    <w:rsid w:val="00713E5C"/>
    <w:pPr>
      <w:spacing w:after="100"/>
      <w:ind w:left="1760"/>
    </w:pPr>
  </w:style>
  <w:style w:type="paragraph" w:styleId="TOCHeading">
    <w:name w:val="TOC Heading"/>
    <w:basedOn w:val="Heading1"/>
    <w:next w:val="Normal"/>
    <w:unhideWhenUsed/>
    <w:qFormat/>
    <w:rsid w:val="00116E9B"/>
    <w:pPr>
      <w:spacing w:before="240" w:after="240"/>
      <w:jc w:val="left"/>
      <w:outlineLvl w:val="9"/>
    </w:pPr>
    <w:rPr>
      <w:smallCaps w:val="0"/>
      <w:sz w:val="30"/>
    </w:rPr>
  </w:style>
  <w:style w:type="character" w:styleId="Hyperlink">
    <w:name w:val="Hyperlink"/>
    <w:basedOn w:val="DefaultParagraphFont"/>
    <w:uiPriority w:val="99"/>
    <w:unhideWhenUsed/>
    <w:rsid w:val="00AD53EA"/>
    <w:rPr>
      <w:color w:val="0000FF"/>
    </w:rPr>
  </w:style>
  <w:style w:type="character" w:styleId="FootnoteReference">
    <w:name w:val="footnote reference"/>
    <w:aliases w:val="Footnote number,Footnotes refss"/>
    <w:basedOn w:val="DefaultParagraphFont"/>
    <w:uiPriority w:val="99"/>
    <w:unhideWhenUsed/>
    <w:rsid w:val="006013DE"/>
    <w:rPr>
      <w:vertAlign w:val="superscript"/>
    </w:rPr>
  </w:style>
  <w:style w:type="character" w:styleId="Strong">
    <w:name w:val="Strong"/>
    <w:basedOn w:val="DefaultParagraphFont"/>
    <w:uiPriority w:val="22"/>
    <w:qFormat/>
    <w:rsid w:val="00034ADC"/>
    <w:rPr>
      <w:b/>
      <w:bCs/>
    </w:rPr>
  </w:style>
  <w:style w:type="paragraph" w:customStyle="1" w:styleId="Bodycopy">
    <w:name w:val="Body copy"/>
    <w:qFormat/>
    <w:rsid w:val="00133AB1"/>
    <w:pPr>
      <w:widowControl w:val="0"/>
      <w:tabs>
        <w:tab w:val="left" w:pos="1276"/>
      </w:tabs>
      <w:spacing w:before="240" w:after="240" w:line="300" w:lineRule="exact"/>
    </w:pPr>
    <w:rPr>
      <w:rFonts w:ascii="Calibri" w:eastAsia="Calibri" w:hAnsi="Calibri" w:cs="Calibri"/>
      <w:color w:val="000000"/>
      <w:szCs w:val="20"/>
      <w:lang w:eastAsia="en-AU"/>
    </w:rPr>
  </w:style>
  <w:style w:type="character" w:styleId="FollowedHyperlink">
    <w:name w:val="FollowedHyperlink"/>
    <w:basedOn w:val="DefaultParagraphFont"/>
    <w:unhideWhenUsed/>
    <w:rsid w:val="00670CBD"/>
    <w:rPr>
      <w:color w:val="954F72" w:themeColor="followedHyperlink"/>
      <w:u w:val="single"/>
    </w:rPr>
  </w:style>
  <w:style w:type="paragraph" w:customStyle="1" w:styleId="Amain">
    <w:name w:val="A main"/>
    <w:basedOn w:val="Normal"/>
    <w:link w:val="AmainChar"/>
    <w:uiPriority w:val="99"/>
    <w:rsid w:val="00833A3B"/>
    <w:pPr>
      <w:tabs>
        <w:tab w:val="right" w:pos="900"/>
        <w:tab w:val="left" w:pos="1100"/>
      </w:tabs>
      <w:spacing w:before="140" w:after="0" w:line="240" w:lineRule="auto"/>
      <w:ind w:left="1100" w:hanging="1100"/>
      <w:jc w:val="both"/>
      <w:outlineLvl w:val="5"/>
    </w:pPr>
    <w:rPr>
      <w:rFonts w:ascii="Times New Roman" w:eastAsia="Times New Roman" w:hAnsi="Times New Roman" w:cs="Times New Roman"/>
      <w:sz w:val="24"/>
      <w:szCs w:val="20"/>
    </w:rPr>
  </w:style>
  <w:style w:type="paragraph" w:customStyle="1" w:styleId="Apara">
    <w:name w:val="A para"/>
    <w:basedOn w:val="Normal"/>
    <w:link w:val="AparaChar"/>
    <w:rsid w:val="00833A3B"/>
    <w:pPr>
      <w:tabs>
        <w:tab w:val="right" w:pos="1400"/>
        <w:tab w:val="left" w:pos="1600"/>
      </w:tabs>
      <w:spacing w:before="140" w:after="0" w:line="240" w:lineRule="auto"/>
      <w:ind w:left="1600" w:hanging="1600"/>
      <w:jc w:val="both"/>
      <w:outlineLvl w:val="6"/>
    </w:pPr>
    <w:rPr>
      <w:rFonts w:ascii="Times New Roman" w:eastAsia="Times New Roman" w:hAnsi="Times New Roman" w:cs="Times New Roman"/>
      <w:sz w:val="24"/>
      <w:szCs w:val="20"/>
    </w:rPr>
  </w:style>
  <w:style w:type="paragraph" w:customStyle="1" w:styleId="Asubpara">
    <w:name w:val="A subpara"/>
    <w:basedOn w:val="Normal"/>
    <w:rsid w:val="00833A3B"/>
    <w:pPr>
      <w:tabs>
        <w:tab w:val="right" w:pos="1900"/>
        <w:tab w:val="left" w:pos="2100"/>
      </w:tabs>
      <w:spacing w:before="140" w:after="0" w:line="240" w:lineRule="auto"/>
      <w:ind w:left="2100" w:hanging="2100"/>
      <w:jc w:val="both"/>
      <w:outlineLvl w:val="7"/>
    </w:pPr>
    <w:rPr>
      <w:rFonts w:ascii="Times New Roman" w:eastAsia="Times New Roman" w:hAnsi="Times New Roman" w:cs="Times New Roman"/>
      <w:sz w:val="24"/>
      <w:szCs w:val="20"/>
    </w:rPr>
  </w:style>
  <w:style w:type="character" w:customStyle="1" w:styleId="charItals">
    <w:name w:val="charItals"/>
    <w:basedOn w:val="DefaultParagraphFont"/>
    <w:rsid w:val="00833A3B"/>
    <w:rPr>
      <w:rFonts w:cs="Times New Roman"/>
      <w:i/>
    </w:rPr>
  </w:style>
  <w:style w:type="paragraph" w:customStyle="1" w:styleId="aNotepar">
    <w:name w:val="aNotepar"/>
    <w:basedOn w:val="Normal"/>
    <w:next w:val="Normal"/>
    <w:rsid w:val="00833A3B"/>
    <w:pPr>
      <w:spacing w:before="140" w:after="0" w:line="240" w:lineRule="auto"/>
      <w:ind w:left="2400" w:hanging="800"/>
      <w:jc w:val="both"/>
    </w:pPr>
    <w:rPr>
      <w:rFonts w:ascii="Times New Roman" w:eastAsia="Times New Roman" w:hAnsi="Times New Roman" w:cs="Times New Roman"/>
      <w:sz w:val="20"/>
      <w:szCs w:val="20"/>
    </w:rPr>
  </w:style>
  <w:style w:type="character" w:customStyle="1" w:styleId="charCitHyperlinkAbbrev">
    <w:name w:val="charCitHyperlinkAbbrev"/>
    <w:basedOn w:val="Hyperlink"/>
    <w:uiPriority w:val="1"/>
    <w:rsid w:val="00833A3B"/>
    <w:rPr>
      <w:rFonts w:cs="Times New Roman"/>
      <w:color w:val="0563C1" w:themeColor="hyperlink"/>
      <w:u w:val="none"/>
    </w:rPr>
  </w:style>
  <w:style w:type="paragraph" w:customStyle="1" w:styleId="Amainreturn">
    <w:name w:val="A main return"/>
    <w:basedOn w:val="Normal"/>
    <w:link w:val="AmainreturnChar"/>
    <w:rsid w:val="00BC1FB7"/>
    <w:pPr>
      <w:spacing w:before="140" w:after="0" w:line="240" w:lineRule="auto"/>
      <w:ind w:left="1100"/>
      <w:jc w:val="both"/>
    </w:pPr>
    <w:rPr>
      <w:rFonts w:ascii="Times New Roman" w:eastAsia="Times New Roman" w:hAnsi="Times New Roman" w:cs="Times New Roman"/>
      <w:sz w:val="24"/>
      <w:szCs w:val="20"/>
    </w:rPr>
  </w:style>
  <w:style w:type="paragraph" w:customStyle="1" w:styleId="aNote">
    <w:name w:val="aNote"/>
    <w:basedOn w:val="Normal"/>
    <w:link w:val="aNoteChar"/>
    <w:rsid w:val="00BC1FB7"/>
    <w:pPr>
      <w:spacing w:before="140" w:after="0" w:line="240" w:lineRule="auto"/>
      <w:ind w:left="1900" w:hanging="800"/>
      <w:jc w:val="both"/>
    </w:pPr>
    <w:rPr>
      <w:rFonts w:ascii="Times New Roman" w:eastAsia="Times New Roman" w:hAnsi="Times New Roman" w:cs="Times New Roman"/>
      <w:sz w:val="20"/>
      <w:szCs w:val="20"/>
    </w:rPr>
  </w:style>
  <w:style w:type="paragraph" w:customStyle="1" w:styleId="IH5Sec">
    <w:name w:val="I H5 Sec"/>
    <w:basedOn w:val="Normal"/>
    <w:next w:val="Normal"/>
    <w:rsid w:val="00BC1FB7"/>
    <w:pPr>
      <w:keepNext/>
      <w:tabs>
        <w:tab w:val="left" w:pos="1100"/>
      </w:tabs>
      <w:spacing w:before="240" w:after="0" w:line="240" w:lineRule="auto"/>
      <w:ind w:left="1100" w:hanging="1100"/>
    </w:pPr>
    <w:rPr>
      <w:rFonts w:ascii="Arial" w:eastAsia="Times New Roman" w:hAnsi="Arial" w:cs="Times New Roman"/>
      <w:b/>
      <w:sz w:val="24"/>
      <w:szCs w:val="20"/>
    </w:rPr>
  </w:style>
  <w:style w:type="paragraph" w:customStyle="1" w:styleId="Ipara">
    <w:name w:val="I para"/>
    <w:basedOn w:val="Apara"/>
    <w:rsid w:val="00BC1FB7"/>
    <w:pPr>
      <w:outlineLvl w:val="9"/>
    </w:pPr>
  </w:style>
  <w:style w:type="paragraph" w:customStyle="1" w:styleId="PenaltyPara">
    <w:name w:val="PenaltyPara"/>
    <w:basedOn w:val="Normal"/>
    <w:rsid w:val="00BC1FB7"/>
    <w:pPr>
      <w:tabs>
        <w:tab w:val="left" w:pos="0"/>
        <w:tab w:val="right" w:pos="1360"/>
      </w:tabs>
      <w:spacing w:before="60" w:after="0" w:line="240" w:lineRule="auto"/>
      <w:ind w:left="1600" w:hanging="1600"/>
      <w:jc w:val="both"/>
    </w:pPr>
    <w:rPr>
      <w:rFonts w:ascii="Times New Roman" w:eastAsia="Times New Roman" w:hAnsi="Times New Roman" w:cs="Times New Roman"/>
      <w:sz w:val="24"/>
      <w:szCs w:val="20"/>
    </w:rPr>
  </w:style>
  <w:style w:type="paragraph" w:customStyle="1" w:styleId="Penalty">
    <w:name w:val="Penalty"/>
    <w:basedOn w:val="Amainreturn"/>
    <w:rsid w:val="00BC1FB7"/>
  </w:style>
  <w:style w:type="character" w:customStyle="1" w:styleId="aNoteChar">
    <w:name w:val="aNote Char"/>
    <w:basedOn w:val="DefaultParagraphFont"/>
    <w:link w:val="aNote"/>
    <w:locked/>
    <w:rsid w:val="00BC1FB7"/>
    <w:rPr>
      <w:rFonts w:ascii="Times New Roman" w:eastAsia="Times New Roman" w:hAnsi="Times New Roman" w:cs="Times New Roman"/>
      <w:sz w:val="20"/>
      <w:szCs w:val="20"/>
    </w:rPr>
  </w:style>
  <w:style w:type="character" w:customStyle="1" w:styleId="AmainreturnChar">
    <w:name w:val="A main return Char"/>
    <w:basedOn w:val="DefaultParagraphFont"/>
    <w:link w:val="Amainreturn"/>
    <w:locked/>
    <w:rsid w:val="00BC1FB7"/>
    <w:rPr>
      <w:rFonts w:ascii="Times New Roman" w:eastAsia="Times New Roman" w:hAnsi="Times New Roman" w:cs="Times New Roman"/>
      <w:sz w:val="24"/>
      <w:szCs w:val="20"/>
    </w:rPr>
  </w:style>
  <w:style w:type="paragraph" w:customStyle="1" w:styleId="Headiong5">
    <w:name w:val="Headiong 5"/>
    <w:basedOn w:val="Normal"/>
    <w:rsid w:val="007F6E9B"/>
    <w:pPr>
      <w:keepNext/>
      <w:keepLines/>
      <w:outlineLvl w:val="4"/>
    </w:pPr>
    <w:rPr>
      <w:rFonts w:ascii="Arial Narrow" w:eastAsia="Times New Roman" w:hAnsi="Arial Narrow" w:cs="Times New Roman"/>
      <w:iCs/>
      <w:smallCaps/>
      <w:szCs w:val="24"/>
    </w:rPr>
  </w:style>
  <w:style w:type="paragraph" w:customStyle="1" w:styleId="Paper">
    <w:name w:val="Paper"/>
    <w:rsid w:val="00434745"/>
    <w:pPr>
      <w:spacing w:after="120" w:line="240" w:lineRule="auto"/>
    </w:pPr>
    <w:rPr>
      <w:rFonts w:ascii="Times New Roman" w:eastAsia="Times New Roman" w:hAnsi="Times New Roman" w:cs="Times New Roman"/>
      <w:sz w:val="24"/>
      <w:szCs w:val="20"/>
    </w:rPr>
  </w:style>
  <w:style w:type="paragraph" w:customStyle="1" w:styleId="Hyper">
    <w:name w:val="Hyper"/>
    <w:basedOn w:val="Normal"/>
    <w:rsid w:val="0093399E"/>
    <w:pPr>
      <w:spacing w:line="280" w:lineRule="atLeast"/>
    </w:pPr>
    <w:rPr>
      <w:rFonts w:ascii="Calibri" w:eastAsia="Times New Roman" w:hAnsi="Calibri" w:cs="Calibri"/>
      <w:color w:val="1F3864" w:themeColor="accent5" w:themeShade="80"/>
    </w:rPr>
  </w:style>
  <w:style w:type="paragraph" w:customStyle="1" w:styleId="Bodycopynumbered">
    <w:name w:val="Body copy numbered"/>
    <w:rsid w:val="00196028"/>
    <w:pPr>
      <w:keepNext/>
      <w:widowControl w:val="0"/>
      <w:spacing w:before="240" w:after="100" w:line="300" w:lineRule="exact"/>
      <w:ind w:left="567" w:hanging="567"/>
      <w:outlineLvl w:val="1"/>
    </w:pPr>
    <w:rPr>
      <w:rFonts w:ascii="Calibri" w:eastAsia="Calibri" w:hAnsi="Calibri" w:cs="Arial"/>
      <w:bCs/>
      <w:kern w:val="32"/>
      <w:szCs w:val="20"/>
    </w:rPr>
  </w:style>
  <w:style w:type="paragraph" w:customStyle="1" w:styleId="Body">
    <w:name w:val="Body"/>
    <w:basedOn w:val="Paper"/>
    <w:rsid w:val="00BB4F51"/>
    <w:rPr>
      <w:rFonts w:ascii="Calibri" w:hAnsi="Calibri" w:cs="Calibri"/>
      <w:b/>
    </w:rPr>
  </w:style>
  <w:style w:type="paragraph" w:customStyle="1" w:styleId="headingparagraph">
    <w:name w:val="headingparagraph"/>
    <w:basedOn w:val="Normal"/>
    <w:rsid w:val="00B422D9"/>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name">
    <w:name w:val="headingname"/>
    <w:basedOn w:val="DefaultParagraphFont"/>
    <w:rsid w:val="00B422D9"/>
  </w:style>
  <w:style w:type="character" w:customStyle="1" w:styleId="listnumber0">
    <w:name w:val="listnumber"/>
    <w:basedOn w:val="DefaultParagraphFont"/>
    <w:rsid w:val="00B422D9"/>
  </w:style>
  <w:style w:type="character" w:customStyle="1" w:styleId="CharSectNo">
    <w:name w:val="CharSectNo"/>
    <w:rsid w:val="00B76B42"/>
    <w:rPr>
      <w:rFonts w:cs="Times New Roman"/>
    </w:rPr>
  </w:style>
  <w:style w:type="paragraph" w:customStyle="1" w:styleId="Schclauseheading">
    <w:name w:val="Sch clause heading"/>
    <w:basedOn w:val="Normal"/>
    <w:next w:val="Normal"/>
    <w:rsid w:val="00B76B42"/>
    <w:pPr>
      <w:keepNext/>
      <w:tabs>
        <w:tab w:val="left" w:pos="1100"/>
      </w:tabs>
      <w:spacing w:before="240" w:after="0" w:line="240" w:lineRule="auto"/>
      <w:ind w:left="1100" w:hanging="1100"/>
      <w:outlineLvl w:val="4"/>
    </w:pPr>
    <w:rPr>
      <w:rFonts w:ascii="Arial" w:eastAsia="Times New Roman" w:hAnsi="Arial" w:cs="Times New Roman"/>
      <w:b/>
      <w:sz w:val="24"/>
      <w:szCs w:val="20"/>
    </w:rPr>
  </w:style>
  <w:style w:type="paragraph" w:customStyle="1" w:styleId="AH5Sec">
    <w:name w:val="A H5 Sec"/>
    <w:basedOn w:val="Normal"/>
    <w:next w:val="Amain"/>
    <w:link w:val="AH5SecChar"/>
    <w:uiPriority w:val="99"/>
    <w:rsid w:val="004B2546"/>
    <w:pPr>
      <w:keepNext/>
      <w:tabs>
        <w:tab w:val="left" w:pos="1100"/>
      </w:tabs>
      <w:spacing w:before="240" w:after="0" w:line="240" w:lineRule="auto"/>
      <w:ind w:left="1100" w:hanging="1100"/>
      <w:outlineLvl w:val="4"/>
    </w:pPr>
    <w:rPr>
      <w:rFonts w:ascii="Arial" w:eastAsia="Times New Roman" w:hAnsi="Arial" w:cs="Times New Roman"/>
      <w:b/>
      <w:sz w:val="24"/>
      <w:szCs w:val="20"/>
    </w:rPr>
  </w:style>
  <w:style w:type="character" w:customStyle="1" w:styleId="charBoldItals">
    <w:name w:val="charBoldItals"/>
    <w:basedOn w:val="DefaultParagraphFont"/>
    <w:rsid w:val="004B2546"/>
    <w:rPr>
      <w:b/>
      <w:i/>
    </w:rPr>
  </w:style>
  <w:style w:type="character" w:customStyle="1" w:styleId="AH5SecChar">
    <w:name w:val="A H5 Sec Char"/>
    <w:basedOn w:val="DefaultParagraphFont"/>
    <w:link w:val="AH5Sec"/>
    <w:locked/>
    <w:rsid w:val="004B2546"/>
    <w:rPr>
      <w:rFonts w:ascii="Arial" w:eastAsia="Times New Roman" w:hAnsi="Arial" w:cs="Times New Roman"/>
      <w:b/>
      <w:sz w:val="24"/>
      <w:szCs w:val="20"/>
    </w:rPr>
  </w:style>
  <w:style w:type="paragraph" w:customStyle="1" w:styleId="PaperTitle">
    <w:name w:val="PaperTitle"/>
    <w:basedOn w:val="Normal"/>
    <w:rsid w:val="003446DE"/>
    <w:pPr>
      <w:tabs>
        <w:tab w:val="left" w:leader="dot" w:pos="6379"/>
      </w:tabs>
      <w:spacing w:before="0" w:after="0" w:line="240" w:lineRule="auto"/>
      <w:ind w:left="284" w:hanging="284"/>
    </w:pPr>
    <w:rPr>
      <w:rFonts w:ascii="Times New (W1)" w:eastAsia="Times New Roman" w:hAnsi="Times New (W1)" w:cs="Times New Roman"/>
      <w:sz w:val="20"/>
      <w:szCs w:val="20"/>
      <w:lang w:eastAsia="en-AU"/>
    </w:rPr>
  </w:style>
  <w:style w:type="paragraph" w:customStyle="1" w:styleId="aDef">
    <w:name w:val="aDef"/>
    <w:basedOn w:val="Normal"/>
    <w:link w:val="aDefChar"/>
    <w:rsid w:val="009B1FDD"/>
    <w:pPr>
      <w:spacing w:before="140" w:after="0" w:line="240" w:lineRule="auto"/>
      <w:ind w:left="1100"/>
      <w:jc w:val="both"/>
    </w:pPr>
    <w:rPr>
      <w:rFonts w:ascii="Times New Roman" w:eastAsia="Times New Roman" w:hAnsi="Times New Roman" w:cs="Times New Roman"/>
      <w:sz w:val="24"/>
      <w:szCs w:val="20"/>
      <w:lang w:eastAsia="en-AU"/>
    </w:rPr>
  </w:style>
  <w:style w:type="character" w:customStyle="1" w:styleId="aDefChar">
    <w:name w:val="aDef Char"/>
    <w:link w:val="aDef"/>
    <w:locked/>
    <w:rsid w:val="009B1FDD"/>
    <w:rPr>
      <w:rFonts w:ascii="Times New Roman" w:eastAsia="Times New Roman" w:hAnsi="Times New Roman" w:cs="Times New Roman"/>
      <w:sz w:val="24"/>
      <w:szCs w:val="20"/>
      <w:lang w:eastAsia="en-AU"/>
    </w:rPr>
  </w:style>
  <w:style w:type="paragraph" w:customStyle="1" w:styleId="Idefpara">
    <w:name w:val="I def para"/>
    <w:basedOn w:val="Ipara"/>
    <w:rsid w:val="009B1FDD"/>
  </w:style>
  <w:style w:type="paragraph" w:customStyle="1" w:styleId="Idefsubpara">
    <w:name w:val="I def subpara"/>
    <w:basedOn w:val="Normal"/>
    <w:rsid w:val="009B1FDD"/>
    <w:pPr>
      <w:tabs>
        <w:tab w:val="right" w:pos="1940"/>
        <w:tab w:val="left" w:pos="2140"/>
      </w:tabs>
      <w:spacing w:before="140" w:after="0" w:line="240" w:lineRule="auto"/>
      <w:ind w:left="2140" w:hanging="2140"/>
      <w:jc w:val="both"/>
    </w:pPr>
    <w:rPr>
      <w:rFonts w:ascii="Times New Roman" w:eastAsia="Times New Roman" w:hAnsi="Times New Roman" w:cs="Times New Roman"/>
      <w:sz w:val="24"/>
      <w:szCs w:val="20"/>
    </w:rPr>
  </w:style>
  <w:style w:type="paragraph" w:customStyle="1" w:styleId="Bodycopybulletlevel2">
    <w:name w:val="Body copy bullet level 2"/>
    <w:rsid w:val="00DF23C5"/>
    <w:pPr>
      <w:keepNext/>
      <w:widowControl w:val="0"/>
      <w:numPr>
        <w:numId w:val="16"/>
      </w:numPr>
      <w:spacing w:after="0" w:line="240" w:lineRule="auto"/>
      <w:ind w:left="1701" w:hanging="567"/>
    </w:pPr>
    <w:rPr>
      <w:rFonts w:ascii="Calibri" w:eastAsia="Times New Roman" w:hAnsi="Calibri" w:cs="Calibri"/>
      <w:color w:val="000000"/>
      <w:szCs w:val="20"/>
      <w:lang w:eastAsia="en-AU"/>
    </w:rPr>
  </w:style>
  <w:style w:type="paragraph" w:customStyle="1" w:styleId="Titleheading">
    <w:name w:val="Title heading"/>
    <w:next w:val="Bodycopy"/>
    <w:rsid w:val="00DF23C5"/>
    <w:pPr>
      <w:keepNext/>
      <w:pageBreakBefore/>
      <w:widowControl w:val="0"/>
      <w:tabs>
        <w:tab w:val="left" w:pos="9643"/>
      </w:tabs>
      <w:spacing w:afterLines="200" w:after="0" w:line="240" w:lineRule="auto"/>
      <w:outlineLvl w:val="0"/>
    </w:pPr>
    <w:rPr>
      <w:rFonts w:ascii="Arial Narrow" w:eastAsia="Calibri" w:hAnsi="Arial Narrow" w:cs="Arial Narrow"/>
      <w:smallCaps/>
      <w:color w:val="000000"/>
      <w:sz w:val="60"/>
      <w:szCs w:val="60"/>
      <w:lang w:eastAsia="en-AU"/>
    </w:rPr>
  </w:style>
  <w:style w:type="table" w:customStyle="1" w:styleId="LightShading1">
    <w:name w:val="Light Shading1"/>
    <w:rsid w:val="00DF23C5"/>
    <w:pPr>
      <w:spacing w:after="0" w:line="240" w:lineRule="auto"/>
    </w:pPr>
    <w:rPr>
      <w:rFonts w:ascii="Calibri" w:eastAsia="Calibri" w:hAnsi="Calibri" w:cs="Times New Roman"/>
      <w:color w:val="000000"/>
      <w:sz w:val="20"/>
      <w:szCs w:val="20"/>
      <w:lang w:eastAsia="en-A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customStyle="1" w:styleId="Bulletlistlevel1">
    <w:name w:val="Bullet list  level 1"/>
    <w:qFormat/>
    <w:rsid w:val="00DF23C5"/>
    <w:pPr>
      <w:keepNext/>
      <w:widowControl w:val="0"/>
      <w:numPr>
        <w:numId w:val="15"/>
      </w:numPr>
      <w:spacing w:before="120" w:after="120" w:line="300" w:lineRule="exact"/>
      <w:ind w:left="1134" w:hanging="567"/>
    </w:pPr>
    <w:rPr>
      <w:rFonts w:ascii="Calibri" w:eastAsia="Times New Roman" w:hAnsi="Calibri" w:cs="Calibri"/>
      <w:color w:val="000000"/>
      <w:szCs w:val="20"/>
      <w:lang w:eastAsia="en-AU"/>
    </w:rPr>
  </w:style>
  <w:style w:type="paragraph" w:customStyle="1" w:styleId="Tableheading">
    <w:name w:val="Table heading"/>
    <w:rsid w:val="00DF23C5"/>
    <w:pPr>
      <w:keepNext/>
      <w:widowControl w:val="0"/>
      <w:spacing w:before="120" w:after="120" w:line="240" w:lineRule="auto"/>
    </w:pPr>
    <w:rPr>
      <w:rFonts w:ascii="Arial Narrow" w:eastAsia="Times New Roman" w:hAnsi="Arial Narrow" w:cs="Calibri"/>
      <w:b/>
      <w:bCs/>
      <w:smallCaps/>
      <w:color w:val="FFFFFF"/>
      <w:szCs w:val="20"/>
      <w:lang w:eastAsia="en-AU"/>
    </w:rPr>
  </w:style>
  <w:style w:type="paragraph" w:customStyle="1" w:styleId="Tablebodycopy">
    <w:name w:val="Table body copy"/>
    <w:rsid w:val="00DF23C5"/>
    <w:pPr>
      <w:keepNext/>
      <w:widowControl w:val="0"/>
      <w:spacing w:before="120" w:after="120" w:line="240" w:lineRule="auto"/>
    </w:pPr>
    <w:rPr>
      <w:rFonts w:ascii="Calibri" w:eastAsia="Times New Roman" w:hAnsi="Calibri" w:cs="Calibri"/>
      <w:bCs/>
      <w:szCs w:val="20"/>
      <w:lang w:eastAsia="en-AU"/>
    </w:rPr>
  </w:style>
  <w:style w:type="paragraph" w:customStyle="1" w:styleId="Bulletlistquote">
    <w:name w:val="Bullet list quote"/>
    <w:rsid w:val="00DF23C5"/>
    <w:pPr>
      <w:keepNext/>
      <w:widowControl w:val="0"/>
      <w:spacing w:after="0" w:line="240" w:lineRule="auto"/>
      <w:ind w:left="1701"/>
    </w:pPr>
    <w:rPr>
      <w:rFonts w:ascii="Calibri" w:eastAsia="Times New Roman" w:hAnsi="Calibri" w:cs="Calibri"/>
      <w:i/>
      <w:color w:val="000000"/>
      <w:szCs w:val="20"/>
      <w:lang w:eastAsia="en-AU"/>
    </w:rPr>
  </w:style>
  <w:style w:type="paragraph" w:customStyle="1" w:styleId="TOCHeading1">
    <w:name w:val="TOC Heading1"/>
    <w:rsid w:val="00DF23C5"/>
    <w:pPr>
      <w:keepNext/>
      <w:pageBreakBefore/>
      <w:widowControl w:val="0"/>
      <w:spacing w:after="480" w:line="240" w:lineRule="auto"/>
    </w:pPr>
    <w:rPr>
      <w:rFonts w:ascii="Arial Narrow" w:eastAsia="Calibri" w:hAnsi="Arial Narrow" w:cs="Arial Narrow"/>
      <w:smallCaps/>
      <w:color w:val="000000"/>
      <w:sz w:val="60"/>
      <w:szCs w:val="60"/>
      <w:lang w:eastAsia="en-AU"/>
    </w:rPr>
  </w:style>
  <w:style w:type="paragraph" w:customStyle="1" w:styleId="Heading1nonumber">
    <w:name w:val="Heading 1 no number"/>
    <w:next w:val="Bodycopynumbered"/>
    <w:rsid w:val="00DF23C5"/>
    <w:pPr>
      <w:keepNext/>
      <w:widowControl w:val="0"/>
      <w:spacing w:after="100" w:line="240" w:lineRule="auto"/>
    </w:pPr>
    <w:rPr>
      <w:rFonts w:ascii="Arial Narrow" w:eastAsia="Calibri" w:hAnsi="Arial Narrow" w:cs="Times New Roman"/>
      <w:bCs/>
      <w:smallCaps/>
      <w:color w:val="000000"/>
      <w:sz w:val="44"/>
      <w:szCs w:val="44"/>
    </w:rPr>
  </w:style>
  <w:style w:type="paragraph" w:customStyle="1" w:styleId="Bodycopynumbered2">
    <w:name w:val="Body copy numbered 2"/>
    <w:rsid w:val="00DF23C5"/>
    <w:pPr>
      <w:keepNext/>
      <w:widowControl w:val="0"/>
      <w:numPr>
        <w:numId w:val="21"/>
      </w:numPr>
      <w:spacing w:before="120" w:after="120" w:line="300" w:lineRule="exact"/>
      <w:ind w:left="567" w:hanging="567"/>
    </w:pPr>
    <w:rPr>
      <w:rFonts w:ascii="Calibri" w:eastAsia="Times New Roman" w:hAnsi="Calibri" w:cs="Calibri"/>
      <w:color w:val="000000"/>
      <w:szCs w:val="20"/>
      <w:lang w:eastAsia="en-AU"/>
    </w:rPr>
  </w:style>
  <w:style w:type="paragraph" w:customStyle="1" w:styleId="Committeemembership">
    <w:name w:val="Committee membership"/>
    <w:next w:val="Bodycopy"/>
    <w:rsid w:val="00DF23C5"/>
    <w:pPr>
      <w:keepNext/>
      <w:widowControl w:val="0"/>
      <w:spacing w:beforeLines="100" w:afterLines="100" w:after="0" w:line="240" w:lineRule="auto"/>
      <w:outlineLvl w:val="0"/>
    </w:pPr>
    <w:rPr>
      <w:rFonts w:ascii="Arial Narrow" w:eastAsia="Calibri" w:hAnsi="Arial Narrow" w:cs="Arial Narrow"/>
      <w:smallCaps/>
      <w:sz w:val="44"/>
      <w:szCs w:val="44"/>
    </w:rPr>
  </w:style>
  <w:style w:type="paragraph" w:customStyle="1" w:styleId="Secretariat">
    <w:name w:val="Secretariat"/>
    <w:next w:val="Bodycopy"/>
    <w:rsid w:val="00DF23C5"/>
    <w:pPr>
      <w:spacing w:beforeLines="400" w:afterLines="100" w:after="0" w:line="240" w:lineRule="auto"/>
      <w:outlineLvl w:val="0"/>
    </w:pPr>
    <w:rPr>
      <w:rFonts w:ascii="Arial Narrow" w:eastAsia="Calibri" w:hAnsi="Arial Narrow" w:cs="Arial Narrow"/>
      <w:smallCaps/>
      <w:sz w:val="44"/>
      <w:szCs w:val="44"/>
    </w:rPr>
  </w:style>
  <w:style w:type="paragraph" w:customStyle="1" w:styleId="Contactinformation">
    <w:name w:val="Contact information"/>
    <w:next w:val="Bodycopy"/>
    <w:rsid w:val="00DF23C5"/>
    <w:pPr>
      <w:spacing w:beforeLines="400" w:afterLines="100" w:after="0" w:line="240" w:lineRule="auto"/>
      <w:outlineLvl w:val="0"/>
    </w:pPr>
    <w:rPr>
      <w:rFonts w:ascii="Arial Narrow" w:eastAsia="Calibri" w:hAnsi="Arial Narrow" w:cs="Arial Narrow"/>
      <w:smallCaps/>
      <w:sz w:val="44"/>
      <w:szCs w:val="44"/>
    </w:rPr>
  </w:style>
  <w:style w:type="paragraph" w:customStyle="1" w:styleId="Recommendationsheading">
    <w:name w:val="Recommendations heading"/>
    <w:next w:val="Recommendationbodycopy"/>
    <w:rsid w:val="00DF23C5"/>
    <w:pPr>
      <w:keepNext/>
      <w:pageBreakBefore/>
      <w:widowControl w:val="0"/>
      <w:spacing w:after="240" w:line="240" w:lineRule="auto"/>
    </w:pPr>
    <w:rPr>
      <w:rFonts w:ascii="Arial Narrow" w:eastAsia="Calibri" w:hAnsi="Arial Narrow" w:cs="Times New Roman"/>
      <w:bCs/>
      <w:smallCaps/>
      <w:color w:val="000000"/>
      <w:sz w:val="44"/>
      <w:szCs w:val="44"/>
    </w:rPr>
  </w:style>
  <w:style w:type="character" w:styleId="PageNumber">
    <w:name w:val="page number"/>
    <w:rsid w:val="00DF23C5"/>
    <w:rPr>
      <w:rFonts w:ascii="Calibri" w:hAnsi="Calibri" w:cs="Times New Roman"/>
      <w:b/>
      <w:sz w:val="18"/>
      <w:szCs w:val="18"/>
    </w:rPr>
  </w:style>
  <w:style w:type="paragraph" w:customStyle="1" w:styleId="Recommendationbodycopy">
    <w:name w:val="Recommendation body copy"/>
    <w:rsid w:val="00DF23C5"/>
    <w:pPr>
      <w:keepNext/>
      <w:widowControl w:val="0"/>
      <w:spacing w:after="0" w:line="240" w:lineRule="auto"/>
    </w:pPr>
    <w:rPr>
      <w:rFonts w:ascii="Arial Narrow" w:eastAsia="Calibri" w:hAnsi="Arial Narrow" w:cs="Arial"/>
      <w:bCs/>
      <w:kern w:val="32"/>
      <w:szCs w:val="20"/>
    </w:rPr>
  </w:style>
  <w:style w:type="paragraph" w:customStyle="1" w:styleId="Recommendationbodycopynumbered">
    <w:name w:val="Recommendation body copy numbered"/>
    <w:rsid w:val="00DF23C5"/>
    <w:pPr>
      <w:keepNext/>
      <w:widowControl w:val="0"/>
      <w:numPr>
        <w:ilvl w:val="1"/>
        <w:numId w:val="23"/>
      </w:numPr>
      <w:spacing w:before="200" w:after="200" w:line="240" w:lineRule="auto"/>
      <w:ind w:left="578" w:hanging="578"/>
      <w:outlineLvl w:val="7"/>
    </w:pPr>
    <w:rPr>
      <w:rFonts w:ascii="Arial Narrow" w:eastAsia="Calibri" w:hAnsi="Arial Narrow" w:cs="Arial"/>
      <w:b/>
      <w:bCs/>
      <w:kern w:val="32"/>
      <w:szCs w:val="20"/>
    </w:rPr>
  </w:style>
  <w:style w:type="paragraph" w:customStyle="1" w:styleId="Recommendationheadingbody">
    <w:name w:val="Recommendation heading body"/>
    <w:next w:val="Recommendationbodycopynumbered"/>
    <w:rsid w:val="00DF23C5"/>
    <w:pPr>
      <w:keepNext/>
      <w:widowControl w:val="0"/>
      <w:spacing w:beforeLines="150" w:afterLines="100" w:after="0" w:line="240" w:lineRule="auto"/>
      <w:outlineLvl w:val="6"/>
    </w:pPr>
    <w:rPr>
      <w:rFonts w:ascii="Arial Narrow" w:eastAsia="Calibri" w:hAnsi="Arial Narrow" w:cs="Arial Narrow"/>
      <w:b/>
      <w:smallCaps/>
      <w:sz w:val="30"/>
      <w:szCs w:val="30"/>
    </w:rPr>
  </w:style>
  <w:style w:type="paragraph" w:customStyle="1" w:styleId="Bodycopybulletlevel1alpha">
    <w:name w:val="Body copy bullet level 1 alpha"/>
    <w:rsid w:val="00DF23C5"/>
    <w:pPr>
      <w:keepNext/>
      <w:widowControl w:val="0"/>
      <w:numPr>
        <w:numId w:val="18"/>
      </w:numPr>
      <w:spacing w:after="0" w:line="240" w:lineRule="auto"/>
      <w:ind w:left="851" w:hanging="284"/>
    </w:pPr>
    <w:rPr>
      <w:rFonts w:ascii="Calibri" w:eastAsia="Times New Roman" w:hAnsi="Calibri" w:cs="Calibri"/>
      <w:color w:val="000000"/>
      <w:szCs w:val="20"/>
      <w:lang w:eastAsia="en-AU"/>
    </w:rPr>
  </w:style>
  <w:style w:type="paragraph" w:customStyle="1" w:styleId="Headereven">
    <w:name w:val="Header even"/>
    <w:rsid w:val="00DF23C5"/>
    <w:pPr>
      <w:keepNext/>
      <w:widowControl w:val="0"/>
      <w:tabs>
        <w:tab w:val="center" w:pos="4513"/>
        <w:tab w:val="right" w:pos="9026"/>
      </w:tabs>
      <w:spacing w:after="0" w:line="240" w:lineRule="auto"/>
    </w:pPr>
    <w:rPr>
      <w:rFonts w:ascii="Calibri" w:eastAsia="Calibri" w:hAnsi="Calibri" w:cs="Arial Narrow"/>
      <w:smallCaps/>
      <w:szCs w:val="20"/>
    </w:rPr>
  </w:style>
  <w:style w:type="paragraph" w:customStyle="1" w:styleId="Headerodd">
    <w:name w:val="Header odd"/>
    <w:rsid w:val="00DF23C5"/>
    <w:pPr>
      <w:keepNext/>
      <w:widowControl w:val="0"/>
      <w:tabs>
        <w:tab w:val="center" w:pos="4513"/>
        <w:tab w:val="right" w:pos="9026"/>
      </w:tabs>
      <w:spacing w:after="0" w:line="240" w:lineRule="auto"/>
      <w:jc w:val="right"/>
    </w:pPr>
    <w:rPr>
      <w:rFonts w:ascii="Calibri" w:eastAsia="Calibri" w:hAnsi="Calibri" w:cs="Arial Narrow"/>
      <w:smallCaps/>
      <w:szCs w:val="20"/>
    </w:rPr>
  </w:style>
  <w:style w:type="paragraph" w:customStyle="1" w:styleId="Reportcoverfooter">
    <w:name w:val="Report cover footer"/>
    <w:basedOn w:val="Headerodd"/>
    <w:rsid w:val="00DF23C5"/>
    <w:rPr>
      <w:smallCaps w:val="0"/>
      <w:sz w:val="28"/>
      <w:szCs w:val="28"/>
    </w:rPr>
  </w:style>
  <w:style w:type="paragraph" w:customStyle="1" w:styleId="ReportTitle">
    <w:name w:val="Report Title"/>
    <w:rsid w:val="00DF23C5"/>
    <w:pPr>
      <w:keepNext/>
      <w:widowControl w:val="0"/>
      <w:spacing w:after="480" w:line="240" w:lineRule="auto"/>
      <w:jc w:val="right"/>
    </w:pPr>
    <w:rPr>
      <w:rFonts w:ascii="Arial Narrow" w:eastAsia="Calibri" w:hAnsi="Arial Narrow" w:cs="Arial Narrow"/>
      <w:smallCaps/>
      <w:sz w:val="56"/>
      <w:szCs w:val="56"/>
    </w:rPr>
  </w:style>
  <w:style w:type="paragraph" w:customStyle="1" w:styleId="CommitteeName">
    <w:name w:val="Committee Name"/>
    <w:rsid w:val="00DF23C5"/>
    <w:pPr>
      <w:keepNext/>
      <w:widowControl w:val="0"/>
      <w:spacing w:after="480" w:line="240" w:lineRule="auto"/>
      <w:jc w:val="right"/>
    </w:pPr>
    <w:rPr>
      <w:rFonts w:ascii="Arial Narrow" w:eastAsia="Calibri" w:hAnsi="Arial Narrow" w:cs="Arial Narrow"/>
      <w:smallCaps/>
      <w:sz w:val="44"/>
      <w:szCs w:val="44"/>
    </w:rPr>
  </w:style>
  <w:style w:type="paragraph" w:customStyle="1" w:styleId="Bulletlistalpha">
    <w:name w:val="Bullet list alpha"/>
    <w:rsid w:val="00DF23C5"/>
    <w:pPr>
      <w:keepNext/>
      <w:widowControl w:val="0"/>
      <w:numPr>
        <w:ilvl w:val="1"/>
        <w:numId w:val="16"/>
      </w:numPr>
      <w:spacing w:beforeLines="120" w:afterLines="120" w:after="0" w:line="200" w:lineRule="exact"/>
      <w:ind w:left="1701" w:hanging="567"/>
    </w:pPr>
    <w:rPr>
      <w:rFonts w:ascii="Calibri" w:eastAsia="Times New Roman" w:hAnsi="Calibri" w:cs="Calibri"/>
      <w:color w:val="000000"/>
      <w:spacing w:val="-3"/>
      <w:szCs w:val="20"/>
      <w:lang w:eastAsia="en-AU"/>
    </w:rPr>
  </w:style>
  <w:style w:type="paragraph" w:customStyle="1" w:styleId="Bulletlistroman">
    <w:name w:val="Bullet list roman"/>
    <w:rsid w:val="00DF23C5"/>
    <w:pPr>
      <w:keepNext/>
      <w:widowControl w:val="0"/>
      <w:numPr>
        <w:numId w:val="20"/>
      </w:numPr>
      <w:spacing w:beforeLines="120" w:afterLines="120" w:after="0" w:line="200" w:lineRule="exact"/>
      <w:ind w:left="2268" w:hanging="567"/>
    </w:pPr>
    <w:rPr>
      <w:rFonts w:ascii="Calibri" w:eastAsia="Times New Roman" w:hAnsi="Calibri" w:cs="Calibri"/>
      <w:color w:val="000000"/>
      <w:spacing w:val="-3"/>
      <w:szCs w:val="20"/>
      <w:lang w:eastAsia="en-AU"/>
    </w:rPr>
  </w:style>
  <w:style w:type="paragraph" w:customStyle="1" w:styleId="Heading4nonumber">
    <w:name w:val="Heading 4 no number"/>
    <w:next w:val="Bodycopynumbered"/>
    <w:rsid w:val="00DF23C5"/>
    <w:pPr>
      <w:keepNext/>
      <w:widowControl w:val="0"/>
      <w:spacing w:after="0" w:line="240" w:lineRule="auto"/>
    </w:pPr>
    <w:rPr>
      <w:rFonts w:ascii="Arial Narrow" w:eastAsia="Calibri" w:hAnsi="Arial Narrow" w:cs="Arial Narrow"/>
      <w:smallCaps/>
      <w:sz w:val="26"/>
      <w:szCs w:val="26"/>
    </w:rPr>
  </w:style>
  <w:style w:type="paragraph" w:customStyle="1" w:styleId="aIndent">
    <w:name w:val="(a) Indent"/>
    <w:basedOn w:val="Normal"/>
    <w:rsid w:val="00DF23C5"/>
    <w:pPr>
      <w:tabs>
        <w:tab w:val="left" w:pos="560"/>
      </w:tabs>
      <w:spacing w:before="0" w:after="0" w:line="240" w:lineRule="auto"/>
      <w:ind w:left="1120" w:hanging="1120"/>
    </w:pPr>
    <w:rPr>
      <w:rFonts w:ascii="Times" w:eastAsia="Times New Roman" w:hAnsi="Times" w:cs="Times New Roman"/>
      <w:sz w:val="24"/>
      <w:szCs w:val="20"/>
      <w:lang w:val="en-US" w:eastAsia="en-AU"/>
    </w:rPr>
  </w:style>
  <w:style w:type="numbering" w:customStyle="1" w:styleId="Style1">
    <w:name w:val="Style1"/>
    <w:rsid w:val="00DF23C5"/>
    <w:pPr>
      <w:numPr>
        <w:numId w:val="17"/>
      </w:numPr>
    </w:pPr>
  </w:style>
  <w:style w:type="numbering" w:customStyle="1" w:styleId="Style3">
    <w:name w:val="Style3"/>
    <w:rsid w:val="00DF23C5"/>
    <w:pPr>
      <w:numPr>
        <w:numId w:val="22"/>
      </w:numPr>
    </w:pPr>
  </w:style>
  <w:style w:type="numbering" w:customStyle="1" w:styleId="Style2">
    <w:name w:val="Style2"/>
    <w:rsid w:val="00DF23C5"/>
    <w:pPr>
      <w:numPr>
        <w:numId w:val="19"/>
      </w:numPr>
    </w:pPr>
  </w:style>
  <w:style w:type="paragraph" w:customStyle="1" w:styleId="Default">
    <w:name w:val="Default"/>
    <w:rsid w:val="00DF23C5"/>
    <w:pPr>
      <w:autoSpaceDE w:val="0"/>
      <w:autoSpaceDN w:val="0"/>
      <w:adjustRightInd w:val="0"/>
      <w:spacing w:after="0" w:line="240" w:lineRule="auto"/>
    </w:pPr>
    <w:rPr>
      <w:rFonts w:ascii="Arial Narrow" w:eastAsia="Times New Roman" w:hAnsi="Arial Narrow" w:cs="Arial Narrow"/>
      <w:color w:val="000000"/>
      <w:sz w:val="24"/>
      <w:szCs w:val="24"/>
      <w:lang w:eastAsia="en-AU"/>
    </w:rPr>
  </w:style>
  <w:style w:type="table" w:styleId="TableGrid">
    <w:name w:val="Table Grid"/>
    <w:basedOn w:val="TableNormal"/>
    <w:uiPriority w:val="59"/>
    <w:rsid w:val="00DF23C5"/>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BHeading">
    <w:name w:val="GB Heading"/>
    <w:basedOn w:val="Normal"/>
    <w:link w:val="GBHeadingChar"/>
    <w:rsid w:val="00DF23C5"/>
    <w:pPr>
      <w:spacing w:before="0" w:after="0" w:line="240" w:lineRule="auto"/>
      <w:jc w:val="both"/>
    </w:pPr>
    <w:rPr>
      <w:rFonts w:ascii="AvantGarde Bk BT" w:eastAsia="Times New Roman" w:hAnsi="AvantGarde Bk BT" w:cs="Times New Roman"/>
      <w:b/>
      <w:sz w:val="24"/>
      <w:szCs w:val="24"/>
      <w:lang w:eastAsia="en-AU"/>
    </w:rPr>
  </w:style>
  <w:style w:type="character" w:customStyle="1" w:styleId="GBHeadingChar">
    <w:name w:val="GB Heading Char"/>
    <w:link w:val="GBHeading"/>
    <w:locked/>
    <w:rsid w:val="00DF23C5"/>
    <w:rPr>
      <w:rFonts w:ascii="AvantGarde Bk BT" w:eastAsia="Times New Roman" w:hAnsi="AvantGarde Bk BT" w:cs="Times New Roman"/>
      <w:b/>
      <w:sz w:val="24"/>
      <w:szCs w:val="24"/>
      <w:lang w:eastAsia="en-AU"/>
    </w:rPr>
  </w:style>
  <w:style w:type="paragraph" w:customStyle="1" w:styleId="PaperTitleIndent1">
    <w:name w:val="PaperTitleIndent1"/>
    <w:basedOn w:val="Normal"/>
    <w:uiPriority w:val="99"/>
    <w:rsid w:val="00DF23C5"/>
    <w:pPr>
      <w:spacing w:before="0" w:after="120" w:line="240" w:lineRule="auto"/>
      <w:ind w:right="1701"/>
    </w:pPr>
    <w:rPr>
      <w:rFonts w:ascii="Times New Roman" w:eastAsia="Calibri" w:hAnsi="Times New Roman" w:cs="Times New Roman"/>
      <w:sz w:val="24"/>
      <w:szCs w:val="24"/>
      <w:lang w:eastAsia="en-AU"/>
    </w:rPr>
  </w:style>
  <w:style w:type="paragraph" w:customStyle="1" w:styleId="PaperTitleIndent2">
    <w:name w:val="PaperTitleIndent2"/>
    <w:basedOn w:val="Normal"/>
    <w:uiPriority w:val="99"/>
    <w:rsid w:val="00DF23C5"/>
    <w:pPr>
      <w:spacing w:before="0" w:after="120" w:line="240" w:lineRule="auto"/>
      <w:ind w:left="238" w:right="1701"/>
    </w:pPr>
    <w:rPr>
      <w:rFonts w:ascii="Times New Roman" w:eastAsia="Calibri" w:hAnsi="Times New Roman" w:cs="Times New Roman"/>
      <w:sz w:val="24"/>
      <w:szCs w:val="24"/>
      <w:lang w:eastAsia="en-AU"/>
    </w:rPr>
  </w:style>
  <w:style w:type="character" w:styleId="CommentReference">
    <w:name w:val="annotation reference"/>
    <w:rsid w:val="00DF23C5"/>
    <w:rPr>
      <w:sz w:val="16"/>
      <w:szCs w:val="16"/>
    </w:rPr>
  </w:style>
  <w:style w:type="paragraph" w:customStyle="1" w:styleId="IMain">
    <w:name w:val="I Main"/>
    <w:basedOn w:val="Normal"/>
    <w:rsid w:val="00DF23C5"/>
    <w:pPr>
      <w:tabs>
        <w:tab w:val="right" w:pos="900"/>
        <w:tab w:val="left" w:pos="1100"/>
      </w:tabs>
      <w:spacing w:before="140" w:after="0" w:line="240" w:lineRule="auto"/>
      <w:ind w:left="1100" w:hanging="1100"/>
      <w:jc w:val="both"/>
      <w:outlineLvl w:val="5"/>
    </w:pPr>
    <w:rPr>
      <w:rFonts w:ascii="Times New Roman" w:eastAsia="Times New Roman" w:hAnsi="Times New Roman" w:cs="Times New Roman"/>
      <w:sz w:val="24"/>
      <w:szCs w:val="20"/>
      <w:lang w:eastAsia="en-AU"/>
    </w:rPr>
  </w:style>
  <w:style w:type="paragraph" w:customStyle="1" w:styleId="Resol">
    <w:name w:val="Resol"/>
    <w:basedOn w:val="Committeemembership"/>
    <w:rsid w:val="00DF23C5"/>
    <w:pPr>
      <w:spacing w:before="240" w:after="240"/>
    </w:pPr>
    <w:rPr>
      <w:rFonts w:eastAsia="Times New Roman"/>
    </w:rPr>
  </w:style>
  <w:style w:type="character" w:customStyle="1" w:styleId="charCitHyperlinkItal">
    <w:name w:val="charCitHyperlinkItal"/>
    <w:uiPriority w:val="1"/>
    <w:rsid w:val="00DF23C5"/>
    <w:rPr>
      <w:rFonts w:cs="Times New Roman"/>
      <w:i/>
      <w:color w:val="0000FF"/>
      <w:u w:val="none"/>
    </w:rPr>
  </w:style>
  <w:style w:type="paragraph" w:customStyle="1" w:styleId="aDefpara">
    <w:name w:val="aDef para"/>
    <w:basedOn w:val="Apara"/>
    <w:rsid w:val="00DF23C5"/>
    <w:rPr>
      <w:lang w:eastAsia="en-AU"/>
    </w:rPr>
  </w:style>
  <w:style w:type="paragraph" w:customStyle="1" w:styleId="aExamHdgss">
    <w:name w:val="aExamHdgss"/>
    <w:basedOn w:val="Normal"/>
    <w:next w:val="Normal"/>
    <w:rsid w:val="00DF23C5"/>
    <w:pPr>
      <w:keepNext/>
      <w:spacing w:before="140" w:after="0" w:line="240" w:lineRule="auto"/>
      <w:ind w:left="1100"/>
    </w:pPr>
    <w:rPr>
      <w:rFonts w:ascii="Arial" w:eastAsia="Times New Roman" w:hAnsi="Arial" w:cs="Times New Roman"/>
      <w:b/>
      <w:sz w:val="18"/>
      <w:szCs w:val="20"/>
      <w:lang w:eastAsia="en-AU"/>
    </w:rPr>
  </w:style>
  <w:style w:type="paragraph" w:customStyle="1" w:styleId="aExamss">
    <w:name w:val="aExamss"/>
    <w:basedOn w:val="aNote"/>
    <w:rsid w:val="00DF23C5"/>
    <w:pPr>
      <w:spacing w:before="60"/>
      <w:ind w:left="1100" w:firstLine="0"/>
    </w:pPr>
    <w:rPr>
      <w:lang w:eastAsia="en-AU"/>
    </w:rPr>
  </w:style>
  <w:style w:type="character" w:customStyle="1" w:styleId="aNoteCharChar">
    <w:name w:val="aNote Char Char"/>
    <w:locked/>
    <w:rsid w:val="00DF23C5"/>
    <w:rPr>
      <w:rFonts w:cs="Times New Roman"/>
      <w:lang w:val="x-none" w:eastAsia="en-US"/>
    </w:rPr>
  </w:style>
  <w:style w:type="paragraph" w:customStyle="1" w:styleId="CoverActName">
    <w:name w:val="CoverActName"/>
    <w:basedOn w:val="Normal"/>
    <w:rsid w:val="00DF23C5"/>
    <w:pPr>
      <w:tabs>
        <w:tab w:val="left" w:pos="2600"/>
      </w:tabs>
      <w:overflowPunct w:val="0"/>
      <w:autoSpaceDE w:val="0"/>
      <w:autoSpaceDN w:val="0"/>
      <w:adjustRightInd w:val="0"/>
      <w:spacing w:before="200" w:after="60" w:line="240" w:lineRule="auto"/>
      <w:jc w:val="both"/>
    </w:pPr>
    <w:rPr>
      <w:rFonts w:ascii="Arial" w:eastAsia="Times New Roman" w:hAnsi="Arial" w:cs="Arial"/>
      <w:b/>
      <w:bCs/>
      <w:sz w:val="24"/>
      <w:szCs w:val="24"/>
      <w:lang w:eastAsia="en-AU"/>
    </w:rPr>
  </w:style>
  <w:style w:type="character" w:customStyle="1" w:styleId="AparaChar">
    <w:name w:val="A para Char"/>
    <w:link w:val="Apara"/>
    <w:locked/>
    <w:rsid w:val="00DF23C5"/>
    <w:rPr>
      <w:rFonts w:ascii="Times New Roman" w:eastAsia="Times New Roman" w:hAnsi="Times New Roman" w:cs="Times New Roman"/>
      <w:sz w:val="24"/>
      <w:szCs w:val="20"/>
    </w:rPr>
  </w:style>
  <w:style w:type="paragraph" w:customStyle="1" w:styleId="ESText">
    <w:name w:val="ES_Text"/>
    <w:basedOn w:val="Normal"/>
    <w:uiPriority w:val="99"/>
    <w:rsid w:val="00DF23C5"/>
    <w:pPr>
      <w:spacing w:before="0" w:after="0"/>
    </w:pPr>
    <w:rPr>
      <w:rFonts w:ascii="Times New Roman" w:eastAsia="Times New Roman" w:hAnsi="Times New Roman" w:cs="Times New Roman"/>
      <w:sz w:val="24"/>
      <w:szCs w:val="24"/>
      <w:lang w:eastAsia="en-AU"/>
    </w:rPr>
  </w:style>
  <w:style w:type="character" w:customStyle="1" w:styleId="Mention">
    <w:name w:val="Mention"/>
    <w:uiPriority w:val="99"/>
    <w:semiHidden/>
    <w:unhideWhenUsed/>
    <w:rsid w:val="00DF23C5"/>
    <w:rPr>
      <w:color w:val="2B579A"/>
      <w:shd w:val="clear" w:color="auto" w:fill="E6E6E6"/>
    </w:rPr>
  </w:style>
  <w:style w:type="character" w:customStyle="1" w:styleId="UnresolvedMention">
    <w:name w:val="Unresolved Mention"/>
    <w:uiPriority w:val="99"/>
    <w:semiHidden/>
    <w:unhideWhenUsed/>
    <w:rsid w:val="00DF23C5"/>
    <w:rPr>
      <w:color w:val="808080"/>
      <w:shd w:val="clear" w:color="auto" w:fill="E6E6E6"/>
    </w:rPr>
  </w:style>
  <w:style w:type="numbering" w:styleId="1ai">
    <w:name w:val="Outline List 1"/>
    <w:basedOn w:val="NoList"/>
    <w:rsid w:val="00DF23C5"/>
    <w:pPr>
      <w:numPr>
        <w:numId w:val="24"/>
      </w:numPr>
    </w:pPr>
  </w:style>
  <w:style w:type="paragraph" w:customStyle="1" w:styleId="TableHd">
    <w:name w:val="TableHd"/>
    <w:basedOn w:val="Normal"/>
    <w:rsid w:val="00DF23C5"/>
    <w:pPr>
      <w:keepNext/>
      <w:tabs>
        <w:tab w:val="left" w:pos="0"/>
      </w:tabs>
      <w:spacing w:before="300" w:after="0" w:line="240" w:lineRule="auto"/>
      <w:ind w:left="1200" w:hanging="1200"/>
    </w:pPr>
    <w:rPr>
      <w:rFonts w:ascii="Arial" w:eastAsia="Times New Roman" w:hAnsi="Arial" w:cs="Times New Roman"/>
      <w:b/>
      <w:sz w:val="20"/>
      <w:szCs w:val="20"/>
    </w:rPr>
  </w:style>
  <w:style w:type="paragraph" w:customStyle="1" w:styleId="TableColHd">
    <w:name w:val="TableColHd"/>
    <w:basedOn w:val="Normal"/>
    <w:rsid w:val="00DF23C5"/>
    <w:pPr>
      <w:keepNext/>
      <w:tabs>
        <w:tab w:val="left" w:pos="0"/>
      </w:tabs>
      <w:spacing w:before="0" w:after="60" w:line="240" w:lineRule="auto"/>
    </w:pPr>
    <w:rPr>
      <w:rFonts w:ascii="Arial" w:eastAsia="Times New Roman" w:hAnsi="Arial" w:cs="Times New Roman"/>
      <w:b/>
      <w:sz w:val="18"/>
      <w:szCs w:val="20"/>
    </w:rPr>
  </w:style>
  <w:style w:type="paragraph" w:customStyle="1" w:styleId="TableText">
    <w:name w:val="TableText"/>
    <w:basedOn w:val="Normal"/>
    <w:uiPriority w:val="99"/>
    <w:rsid w:val="00DF23C5"/>
    <w:pPr>
      <w:spacing w:before="60" w:after="60" w:line="240" w:lineRule="auto"/>
    </w:pPr>
    <w:rPr>
      <w:rFonts w:ascii="Times New Roman" w:eastAsia="Times New Roman" w:hAnsi="Times New Roman" w:cs="Times New Roman"/>
      <w:sz w:val="24"/>
      <w:szCs w:val="24"/>
    </w:rPr>
  </w:style>
  <w:style w:type="character" w:customStyle="1" w:styleId="AmainChar">
    <w:name w:val="A main Char"/>
    <w:link w:val="Amain"/>
    <w:locked/>
    <w:rsid w:val="007377EC"/>
    <w:rPr>
      <w:rFonts w:ascii="Times New Roman" w:eastAsia="Times New Roman" w:hAnsi="Times New Roman" w:cs="Times New Roman"/>
      <w:sz w:val="24"/>
      <w:szCs w:val="20"/>
    </w:rPr>
  </w:style>
  <w:style w:type="character" w:customStyle="1" w:styleId="Calibri12">
    <w:name w:val="Calibri 12"/>
    <w:basedOn w:val="DefaultParagraphFont"/>
    <w:uiPriority w:val="1"/>
    <w:qFormat/>
    <w:rsid w:val="00B32DDB"/>
    <w:rPr>
      <w:rFonts w:ascii="Calibri" w:hAnsi="Calibri"/>
      <w:sz w:val="24"/>
    </w:rPr>
  </w:style>
  <w:style w:type="paragraph" w:customStyle="1" w:styleId="ref">
    <w:name w:val="ref"/>
    <w:basedOn w:val="Normal"/>
    <w:next w:val="Normal"/>
    <w:rsid w:val="007E46DC"/>
    <w:pPr>
      <w:spacing w:before="60" w:after="0" w:line="240" w:lineRule="auto"/>
      <w:jc w:val="both"/>
    </w:pPr>
    <w:rPr>
      <w:rFonts w:ascii="Times New Roman" w:eastAsia="Times New Roman" w:hAnsi="Times New Roman" w:cs="Times New Roman"/>
      <w:sz w:val="18"/>
      <w:szCs w:val="20"/>
    </w:rPr>
  </w:style>
  <w:style w:type="paragraph" w:customStyle="1" w:styleId="TableText10">
    <w:name w:val="TableText10"/>
    <w:basedOn w:val="TableText"/>
    <w:rsid w:val="007E46DC"/>
    <w:pPr>
      <w:tabs>
        <w:tab w:val="left" w:pos="0"/>
      </w:tabs>
    </w:pPr>
    <w:rPr>
      <w:sz w:val="20"/>
      <w:szCs w:val="20"/>
    </w:rPr>
  </w:style>
  <w:style w:type="paragraph" w:customStyle="1" w:styleId="TableNumbered">
    <w:name w:val="TableNumbered"/>
    <w:basedOn w:val="TableText10"/>
    <w:qFormat/>
    <w:rsid w:val="007E46DC"/>
    <w:pPr>
      <w:numPr>
        <w:numId w:val="25"/>
      </w:numPr>
    </w:pPr>
  </w:style>
  <w:style w:type="paragraph" w:customStyle="1" w:styleId="Sched-heading">
    <w:name w:val="Sched-heading"/>
    <w:basedOn w:val="Normal"/>
    <w:next w:val="Normal"/>
    <w:rsid w:val="007E46DC"/>
    <w:pPr>
      <w:keepNext/>
      <w:tabs>
        <w:tab w:val="left" w:pos="2600"/>
      </w:tabs>
      <w:spacing w:before="380" w:after="0" w:line="240" w:lineRule="auto"/>
      <w:ind w:left="2600" w:hanging="2600"/>
      <w:outlineLvl w:val="0"/>
    </w:pPr>
    <w:rPr>
      <w:rFonts w:ascii="Arial" w:eastAsia="Times New Roman" w:hAnsi="Arial" w:cs="Times New Roman"/>
      <w:b/>
      <w:sz w:val="34"/>
      <w:szCs w:val="20"/>
    </w:rPr>
  </w:style>
  <w:style w:type="character" w:customStyle="1" w:styleId="CharChapNo">
    <w:name w:val="CharChapNo"/>
    <w:rsid w:val="007E46DC"/>
  </w:style>
  <w:style w:type="character" w:customStyle="1" w:styleId="CharChapText">
    <w:name w:val="CharChapText"/>
    <w:rsid w:val="007E46DC"/>
  </w:style>
  <w:style w:type="paragraph" w:customStyle="1" w:styleId="Calibribody">
    <w:name w:val="Calibri body"/>
    <w:basedOn w:val="AH5Sec"/>
    <w:rsid w:val="00452F37"/>
    <w:pPr>
      <w:tabs>
        <w:tab w:val="clear" w:pos="1100"/>
        <w:tab w:val="left" w:pos="360"/>
        <w:tab w:val="left" w:pos="1440"/>
      </w:tabs>
      <w:spacing w:before="220" w:after="220" w:line="280" w:lineRule="atLeast"/>
      <w:ind w:left="360" w:firstLine="0"/>
    </w:pPr>
    <w:rPr>
      <w:rFonts w:ascii="Calibri" w:hAnsi="Calibri" w:cs="Calibri"/>
      <w:sz w:val="22"/>
      <w:szCs w:val="22"/>
    </w:rPr>
  </w:style>
  <w:style w:type="paragraph" w:customStyle="1" w:styleId="TOCHeading2">
    <w:name w:val="TOC Heading2"/>
    <w:rsid w:val="00AF6CB6"/>
    <w:pPr>
      <w:keepNext/>
      <w:pageBreakBefore/>
      <w:widowControl w:val="0"/>
      <w:spacing w:after="480" w:line="240" w:lineRule="auto"/>
    </w:pPr>
    <w:rPr>
      <w:rFonts w:ascii="Arial Narrow" w:eastAsia="Calibri" w:hAnsi="Arial Narrow" w:cs="Arial Narrow"/>
      <w:smallCaps/>
      <w:color w:val="000000"/>
      <w:sz w:val="60"/>
      <w:szCs w:val="60"/>
      <w:lang w:eastAsia="en-AU"/>
    </w:rPr>
  </w:style>
  <w:style w:type="character" w:styleId="EndnoteReference">
    <w:name w:val="endnote reference"/>
    <w:rsid w:val="00AF6CB6"/>
    <w:rPr>
      <w:vertAlign w:val="superscript"/>
    </w:rPr>
  </w:style>
  <w:style w:type="paragraph" w:customStyle="1" w:styleId="LongTitle">
    <w:name w:val="LongTitle"/>
    <w:basedOn w:val="Normal"/>
    <w:uiPriority w:val="99"/>
    <w:rsid w:val="001352E7"/>
    <w:pPr>
      <w:spacing w:before="240" w:after="60" w:line="240" w:lineRule="auto"/>
      <w:jc w:val="both"/>
    </w:pPr>
    <w:rPr>
      <w:rFonts w:ascii="Times New Roman" w:eastAsia="Times New Roman" w:hAnsi="Times New Roman" w:cs="Times New Roman"/>
      <w:sz w:val="24"/>
      <w:szCs w:val="24"/>
    </w:rPr>
  </w:style>
  <w:style w:type="character" w:customStyle="1" w:styleId="ListParagraphChar">
    <w:name w:val="List Paragraph Char"/>
    <w:aliases w:val="List Paragraph1 Char,List Paragraph11 Char,Recommendation Char,Bullet point Char,L Char,1 Recommendation Char"/>
    <w:link w:val="ListParagraph"/>
    <w:uiPriority w:val="34"/>
    <w:locked/>
    <w:rsid w:val="00A33999"/>
  </w:style>
  <w:style w:type="paragraph" w:customStyle="1" w:styleId="TOCHeading3">
    <w:name w:val="TOC Heading3"/>
    <w:rsid w:val="00A52216"/>
    <w:pPr>
      <w:keepNext/>
      <w:pageBreakBefore/>
      <w:widowControl w:val="0"/>
      <w:spacing w:after="480" w:line="240" w:lineRule="auto"/>
    </w:pPr>
    <w:rPr>
      <w:rFonts w:ascii="Arial Narrow" w:eastAsia="Calibri" w:hAnsi="Arial Narrow" w:cs="Arial Narrow"/>
      <w:smallCaps/>
      <w:color w:val="000000"/>
      <w:sz w:val="60"/>
      <w:szCs w:val="6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43566">
      <w:bodyDiv w:val="1"/>
      <w:marLeft w:val="0"/>
      <w:marRight w:val="0"/>
      <w:marTop w:val="0"/>
      <w:marBottom w:val="0"/>
      <w:divBdr>
        <w:top w:val="none" w:sz="0" w:space="0" w:color="auto"/>
        <w:left w:val="none" w:sz="0" w:space="0" w:color="auto"/>
        <w:bottom w:val="none" w:sz="0" w:space="0" w:color="auto"/>
        <w:right w:val="none" w:sz="0" w:space="0" w:color="auto"/>
      </w:divBdr>
    </w:div>
    <w:div w:id="44761495">
      <w:bodyDiv w:val="1"/>
      <w:marLeft w:val="0"/>
      <w:marRight w:val="0"/>
      <w:marTop w:val="0"/>
      <w:marBottom w:val="0"/>
      <w:divBdr>
        <w:top w:val="none" w:sz="0" w:space="0" w:color="auto"/>
        <w:left w:val="none" w:sz="0" w:space="0" w:color="auto"/>
        <w:bottom w:val="none" w:sz="0" w:space="0" w:color="auto"/>
        <w:right w:val="none" w:sz="0" w:space="0" w:color="auto"/>
      </w:divBdr>
    </w:div>
    <w:div w:id="80682419">
      <w:bodyDiv w:val="1"/>
      <w:marLeft w:val="0"/>
      <w:marRight w:val="0"/>
      <w:marTop w:val="0"/>
      <w:marBottom w:val="0"/>
      <w:divBdr>
        <w:top w:val="none" w:sz="0" w:space="0" w:color="auto"/>
        <w:left w:val="none" w:sz="0" w:space="0" w:color="auto"/>
        <w:bottom w:val="none" w:sz="0" w:space="0" w:color="auto"/>
        <w:right w:val="none" w:sz="0" w:space="0" w:color="auto"/>
      </w:divBdr>
    </w:div>
    <w:div w:id="353387201">
      <w:bodyDiv w:val="1"/>
      <w:marLeft w:val="0"/>
      <w:marRight w:val="0"/>
      <w:marTop w:val="0"/>
      <w:marBottom w:val="0"/>
      <w:divBdr>
        <w:top w:val="none" w:sz="0" w:space="0" w:color="auto"/>
        <w:left w:val="none" w:sz="0" w:space="0" w:color="auto"/>
        <w:bottom w:val="none" w:sz="0" w:space="0" w:color="auto"/>
        <w:right w:val="none" w:sz="0" w:space="0" w:color="auto"/>
      </w:divBdr>
    </w:div>
    <w:div w:id="378287222">
      <w:bodyDiv w:val="1"/>
      <w:marLeft w:val="0"/>
      <w:marRight w:val="0"/>
      <w:marTop w:val="0"/>
      <w:marBottom w:val="0"/>
      <w:divBdr>
        <w:top w:val="none" w:sz="0" w:space="0" w:color="auto"/>
        <w:left w:val="none" w:sz="0" w:space="0" w:color="auto"/>
        <w:bottom w:val="none" w:sz="0" w:space="0" w:color="auto"/>
        <w:right w:val="none" w:sz="0" w:space="0" w:color="auto"/>
      </w:divBdr>
    </w:div>
    <w:div w:id="413749720">
      <w:bodyDiv w:val="1"/>
      <w:marLeft w:val="0"/>
      <w:marRight w:val="0"/>
      <w:marTop w:val="0"/>
      <w:marBottom w:val="0"/>
      <w:divBdr>
        <w:top w:val="none" w:sz="0" w:space="0" w:color="auto"/>
        <w:left w:val="none" w:sz="0" w:space="0" w:color="auto"/>
        <w:bottom w:val="none" w:sz="0" w:space="0" w:color="auto"/>
        <w:right w:val="none" w:sz="0" w:space="0" w:color="auto"/>
      </w:divBdr>
    </w:div>
    <w:div w:id="451359759">
      <w:bodyDiv w:val="1"/>
      <w:marLeft w:val="0"/>
      <w:marRight w:val="0"/>
      <w:marTop w:val="0"/>
      <w:marBottom w:val="0"/>
      <w:divBdr>
        <w:top w:val="none" w:sz="0" w:space="0" w:color="auto"/>
        <w:left w:val="none" w:sz="0" w:space="0" w:color="auto"/>
        <w:bottom w:val="none" w:sz="0" w:space="0" w:color="auto"/>
        <w:right w:val="none" w:sz="0" w:space="0" w:color="auto"/>
      </w:divBdr>
    </w:div>
    <w:div w:id="453252857">
      <w:bodyDiv w:val="1"/>
      <w:marLeft w:val="0"/>
      <w:marRight w:val="0"/>
      <w:marTop w:val="0"/>
      <w:marBottom w:val="0"/>
      <w:divBdr>
        <w:top w:val="none" w:sz="0" w:space="0" w:color="auto"/>
        <w:left w:val="none" w:sz="0" w:space="0" w:color="auto"/>
        <w:bottom w:val="none" w:sz="0" w:space="0" w:color="auto"/>
        <w:right w:val="none" w:sz="0" w:space="0" w:color="auto"/>
      </w:divBdr>
    </w:div>
    <w:div w:id="479882438">
      <w:bodyDiv w:val="1"/>
      <w:marLeft w:val="0"/>
      <w:marRight w:val="0"/>
      <w:marTop w:val="0"/>
      <w:marBottom w:val="0"/>
      <w:divBdr>
        <w:top w:val="none" w:sz="0" w:space="0" w:color="auto"/>
        <w:left w:val="none" w:sz="0" w:space="0" w:color="auto"/>
        <w:bottom w:val="none" w:sz="0" w:space="0" w:color="auto"/>
        <w:right w:val="none" w:sz="0" w:space="0" w:color="auto"/>
      </w:divBdr>
    </w:div>
    <w:div w:id="496581886">
      <w:bodyDiv w:val="1"/>
      <w:marLeft w:val="0"/>
      <w:marRight w:val="0"/>
      <w:marTop w:val="0"/>
      <w:marBottom w:val="0"/>
      <w:divBdr>
        <w:top w:val="none" w:sz="0" w:space="0" w:color="auto"/>
        <w:left w:val="none" w:sz="0" w:space="0" w:color="auto"/>
        <w:bottom w:val="none" w:sz="0" w:space="0" w:color="auto"/>
        <w:right w:val="none" w:sz="0" w:space="0" w:color="auto"/>
      </w:divBdr>
    </w:div>
    <w:div w:id="665597187">
      <w:bodyDiv w:val="1"/>
      <w:marLeft w:val="0"/>
      <w:marRight w:val="0"/>
      <w:marTop w:val="0"/>
      <w:marBottom w:val="0"/>
      <w:divBdr>
        <w:top w:val="none" w:sz="0" w:space="0" w:color="auto"/>
        <w:left w:val="none" w:sz="0" w:space="0" w:color="auto"/>
        <w:bottom w:val="none" w:sz="0" w:space="0" w:color="auto"/>
        <w:right w:val="none" w:sz="0" w:space="0" w:color="auto"/>
      </w:divBdr>
    </w:div>
    <w:div w:id="669332373">
      <w:bodyDiv w:val="1"/>
      <w:marLeft w:val="0"/>
      <w:marRight w:val="0"/>
      <w:marTop w:val="0"/>
      <w:marBottom w:val="0"/>
      <w:divBdr>
        <w:top w:val="none" w:sz="0" w:space="0" w:color="auto"/>
        <w:left w:val="none" w:sz="0" w:space="0" w:color="auto"/>
        <w:bottom w:val="none" w:sz="0" w:space="0" w:color="auto"/>
        <w:right w:val="none" w:sz="0" w:space="0" w:color="auto"/>
      </w:divBdr>
    </w:div>
    <w:div w:id="709569828">
      <w:bodyDiv w:val="1"/>
      <w:marLeft w:val="0"/>
      <w:marRight w:val="0"/>
      <w:marTop w:val="0"/>
      <w:marBottom w:val="0"/>
      <w:divBdr>
        <w:top w:val="none" w:sz="0" w:space="0" w:color="auto"/>
        <w:left w:val="none" w:sz="0" w:space="0" w:color="auto"/>
        <w:bottom w:val="none" w:sz="0" w:space="0" w:color="auto"/>
        <w:right w:val="none" w:sz="0" w:space="0" w:color="auto"/>
      </w:divBdr>
    </w:div>
    <w:div w:id="752706501">
      <w:bodyDiv w:val="1"/>
      <w:marLeft w:val="0"/>
      <w:marRight w:val="0"/>
      <w:marTop w:val="0"/>
      <w:marBottom w:val="0"/>
      <w:divBdr>
        <w:top w:val="none" w:sz="0" w:space="0" w:color="auto"/>
        <w:left w:val="none" w:sz="0" w:space="0" w:color="auto"/>
        <w:bottom w:val="none" w:sz="0" w:space="0" w:color="auto"/>
        <w:right w:val="none" w:sz="0" w:space="0" w:color="auto"/>
      </w:divBdr>
    </w:div>
    <w:div w:id="859782865">
      <w:bodyDiv w:val="1"/>
      <w:marLeft w:val="0"/>
      <w:marRight w:val="0"/>
      <w:marTop w:val="0"/>
      <w:marBottom w:val="0"/>
      <w:divBdr>
        <w:top w:val="none" w:sz="0" w:space="0" w:color="auto"/>
        <w:left w:val="none" w:sz="0" w:space="0" w:color="auto"/>
        <w:bottom w:val="none" w:sz="0" w:space="0" w:color="auto"/>
        <w:right w:val="none" w:sz="0" w:space="0" w:color="auto"/>
      </w:divBdr>
    </w:div>
    <w:div w:id="893808291">
      <w:bodyDiv w:val="1"/>
      <w:marLeft w:val="0"/>
      <w:marRight w:val="0"/>
      <w:marTop w:val="0"/>
      <w:marBottom w:val="0"/>
      <w:divBdr>
        <w:top w:val="none" w:sz="0" w:space="0" w:color="auto"/>
        <w:left w:val="none" w:sz="0" w:space="0" w:color="auto"/>
        <w:bottom w:val="none" w:sz="0" w:space="0" w:color="auto"/>
        <w:right w:val="none" w:sz="0" w:space="0" w:color="auto"/>
      </w:divBdr>
    </w:div>
    <w:div w:id="1040787363">
      <w:bodyDiv w:val="1"/>
      <w:marLeft w:val="0"/>
      <w:marRight w:val="0"/>
      <w:marTop w:val="0"/>
      <w:marBottom w:val="0"/>
      <w:divBdr>
        <w:top w:val="none" w:sz="0" w:space="0" w:color="auto"/>
        <w:left w:val="none" w:sz="0" w:space="0" w:color="auto"/>
        <w:bottom w:val="none" w:sz="0" w:space="0" w:color="auto"/>
        <w:right w:val="none" w:sz="0" w:space="0" w:color="auto"/>
      </w:divBdr>
    </w:div>
    <w:div w:id="1101681319">
      <w:bodyDiv w:val="1"/>
      <w:marLeft w:val="0"/>
      <w:marRight w:val="0"/>
      <w:marTop w:val="0"/>
      <w:marBottom w:val="0"/>
      <w:divBdr>
        <w:top w:val="none" w:sz="0" w:space="0" w:color="auto"/>
        <w:left w:val="none" w:sz="0" w:space="0" w:color="auto"/>
        <w:bottom w:val="none" w:sz="0" w:space="0" w:color="auto"/>
        <w:right w:val="none" w:sz="0" w:space="0" w:color="auto"/>
      </w:divBdr>
    </w:div>
    <w:div w:id="1140925372">
      <w:bodyDiv w:val="1"/>
      <w:marLeft w:val="0"/>
      <w:marRight w:val="0"/>
      <w:marTop w:val="0"/>
      <w:marBottom w:val="0"/>
      <w:divBdr>
        <w:top w:val="none" w:sz="0" w:space="0" w:color="auto"/>
        <w:left w:val="none" w:sz="0" w:space="0" w:color="auto"/>
        <w:bottom w:val="none" w:sz="0" w:space="0" w:color="auto"/>
        <w:right w:val="none" w:sz="0" w:space="0" w:color="auto"/>
      </w:divBdr>
    </w:div>
    <w:div w:id="1159611574">
      <w:bodyDiv w:val="1"/>
      <w:marLeft w:val="0"/>
      <w:marRight w:val="0"/>
      <w:marTop w:val="0"/>
      <w:marBottom w:val="0"/>
      <w:divBdr>
        <w:top w:val="none" w:sz="0" w:space="0" w:color="auto"/>
        <w:left w:val="none" w:sz="0" w:space="0" w:color="auto"/>
        <w:bottom w:val="none" w:sz="0" w:space="0" w:color="auto"/>
        <w:right w:val="none" w:sz="0" w:space="0" w:color="auto"/>
      </w:divBdr>
    </w:div>
    <w:div w:id="1221866825">
      <w:bodyDiv w:val="1"/>
      <w:marLeft w:val="0"/>
      <w:marRight w:val="0"/>
      <w:marTop w:val="0"/>
      <w:marBottom w:val="0"/>
      <w:divBdr>
        <w:top w:val="none" w:sz="0" w:space="0" w:color="auto"/>
        <w:left w:val="none" w:sz="0" w:space="0" w:color="auto"/>
        <w:bottom w:val="none" w:sz="0" w:space="0" w:color="auto"/>
        <w:right w:val="none" w:sz="0" w:space="0" w:color="auto"/>
      </w:divBdr>
    </w:div>
    <w:div w:id="1272972304">
      <w:bodyDiv w:val="1"/>
      <w:marLeft w:val="0"/>
      <w:marRight w:val="0"/>
      <w:marTop w:val="0"/>
      <w:marBottom w:val="0"/>
      <w:divBdr>
        <w:top w:val="none" w:sz="0" w:space="0" w:color="auto"/>
        <w:left w:val="none" w:sz="0" w:space="0" w:color="auto"/>
        <w:bottom w:val="none" w:sz="0" w:space="0" w:color="auto"/>
        <w:right w:val="none" w:sz="0" w:space="0" w:color="auto"/>
      </w:divBdr>
    </w:div>
    <w:div w:id="1288320872">
      <w:bodyDiv w:val="1"/>
      <w:marLeft w:val="0"/>
      <w:marRight w:val="0"/>
      <w:marTop w:val="0"/>
      <w:marBottom w:val="0"/>
      <w:divBdr>
        <w:top w:val="none" w:sz="0" w:space="0" w:color="auto"/>
        <w:left w:val="none" w:sz="0" w:space="0" w:color="auto"/>
        <w:bottom w:val="none" w:sz="0" w:space="0" w:color="auto"/>
        <w:right w:val="none" w:sz="0" w:space="0" w:color="auto"/>
      </w:divBdr>
    </w:div>
    <w:div w:id="1288389191">
      <w:bodyDiv w:val="1"/>
      <w:marLeft w:val="0"/>
      <w:marRight w:val="0"/>
      <w:marTop w:val="0"/>
      <w:marBottom w:val="0"/>
      <w:divBdr>
        <w:top w:val="none" w:sz="0" w:space="0" w:color="auto"/>
        <w:left w:val="none" w:sz="0" w:space="0" w:color="auto"/>
        <w:bottom w:val="none" w:sz="0" w:space="0" w:color="auto"/>
        <w:right w:val="none" w:sz="0" w:space="0" w:color="auto"/>
      </w:divBdr>
    </w:div>
    <w:div w:id="1297570248">
      <w:bodyDiv w:val="1"/>
      <w:marLeft w:val="0"/>
      <w:marRight w:val="0"/>
      <w:marTop w:val="0"/>
      <w:marBottom w:val="0"/>
      <w:divBdr>
        <w:top w:val="none" w:sz="0" w:space="0" w:color="auto"/>
        <w:left w:val="none" w:sz="0" w:space="0" w:color="auto"/>
        <w:bottom w:val="none" w:sz="0" w:space="0" w:color="auto"/>
        <w:right w:val="none" w:sz="0" w:space="0" w:color="auto"/>
      </w:divBdr>
    </w:div>
    <w:div w:id="1307322897">
      <w:bodyDiv w:val="1"/>
      <w:marLeft w:val="0"/>
      <w:marRight w:val="0"/>
      <w:marTop w:val="0"/>
      <w:marBottom w:val="0"/>
      <w:divBdr>
        <w:top w:val="none" w:sz="0" w:space="0" w:color="auto"/>
        <w:left w:val="none" w:sz="0" w:space="0" w:color="auto"/>
        <w:bottom w:val="none" w:sz="0" w:space="0" w:color="auto"/>
        <w:right w:val="none" w:sz="0" w:space="0" w:color="auto"/>
      </w:divBdr>
    </w:div>
    <w:div w:id="1311326864">
      <w:bodyDiv w:val="1"/>
      <w:marLeft w:val="0"/>
      <w:marRight w:val="0"/>
      <w:marTop w:val="0"/>
      <w:marBottom w:val="0"/>
      <w:divBdr>
        <w:top w:val="none" w:sz="0" w:space="0" w:color="auto"/>
        <w:left w:val="none" w:sz="0" w:space="0" w:color="auto"/>
        <w:bottom w:val="none" w:sz="0" w:space="0" w:color="auto"/>
        <w:right w:val="none" w:sz="0" w:space="0" w:color="auto"/>
      </w:divBdr>
    </w:div>
    <w:div w:id="1341810655">
      <w:bodyDiv w:val="1"/>
      <w:marLeft w:val="0"/>
      <w:marRight w:val="0"/>
      <w:marTop w:val="0"/>
      <w:marBottom w:val="0"/>
      <w:divBdr>
        <w:top w:val="none" w:sz="0" w:space="0" w:color="auto"/>
        <w:left w:val="none" w:sz="0" w:space="0" w:color="auto"/>
        <w:bottom w:val="none" w:sz="0" w:space="0" w:color="auto"/>
        <w:right w:val="none" w:sz="0" w:space="0" w:color="auto"/>
      </w:divBdr>
    </w:div>
    <w:div w:id="1405562978">
      <w:bodyDiv w:val="1"/>
      <w:marLeft w:val="0"/>
      <w:marRight w:val="0"/>
      <w:marTop w:val="0"/>
      <w:marBottom w:val="0"/>
      <w:divBdr>
        <w:top w:val="none" w:sz="0" w:space="0" w:color="auto"/>
        <w:left w:val="none" w:sz="0" w:space="0" w:color="auto"/>
        <w:bottom w:val="none" w:sz="0" w:space="0" w:color="auto"/>
        <w:right w:val="none" w:sz="0" w:space="0" w:color="auto"/>
      </w:divBdr>
    </w:div>
    <w:div w:id="1413235515">
      <w:bodyDiv w:val="1"/>
      <w:marLeft w:val="0"/>
      <w:marRight w:val="0"/>
      <w:marTop w:val="0"/>
      <w:marBottom w:val="0"/>
      <w:divBdr>
        <w:top w:val="none" w:sz="0" w:space="0" w:color="auto"/>
        <w:left w:val="none" w:sz="0" w:space="0" w:color="auto"/>
        <w:bottom w:val="none" w:sz="0" w:space="0" w:color="auto"/>
        <w:right w:val="none" w:sz="0" w:space="0" w:color="auto"/>
      </w:divBdr>
    </w:div>
    <w:div w:id="1449006435">
      <w:bodyDiv w:val="1"/>
      <w:marLeft w:val="0"/>
      <w:marRight w:val="0"/>
      <w:marTop w:val="0"/>
      <w:marBottom w:val="0"/>
      <w:divBdr>
        <w:top w:val="none" w:sz="0" w:space="0" w:color="auto"/>
        <w:left w:val="none" w:sz="0" w:space="0" w:color="auto"/>
        <w:bottom w:val="none" w:sz="0" w:space="0" w:color="auto"/>
        <w:right w:val="none" w:sz="0" w:space="0" w:color="auto"/>
      </w:divBdr>
    </w:div>
    <w:div w:id="1456174768">
      <w:bodyDiv w:val="1"/>
      <w:marLeft w:val="0"/>
      <w:marRight w:val="0"/>
      <w:marTop w:val="0"/>
      <w:marBottom w:val="0"/>
      <w:divBdr>
        <w:top w:val="none" w:sz="0" w:space="0" w:color="auto"/>
        <w:left w:val="none" w:sz="0" w:space="0" w:color="auto"/>
        <w:bottom w:val="none" w:sz="0" w:space="0" w:color="auto"/>
        <w:right w:val="none" w:sz="0" w:space="0" w:color="auto"/>
      </w:divBdr>
    </w:div>
    <w:div w:id="1484615299">
      <w:bodyDiv w:val="1"/>
      <w:marLeft w:val="0"/>
      <w:marRight w:val="0"/>
      <w:marTop w:val="0"/>
      <w:marBottom w:val="0"/>
      <w:divBdr>
        <w:top w:val="none" w:sz="0" w:space="0" w:color="auto"/>
        <w:left w:val="none" w:sz="0" w:space="0" w:color="auto"/>
        <w:bottom w:val="none" w:sz="0" w:space="0" w:color="auto"/>
        <w:right w:val="none" w:sz="0" w:space="0" w:color="auto"/>
      </w:divBdr>
    </w:div>
    <w:div w:id="1533104982">
      <w:bodyDiv w:val="1"/>
      <w:marLeft w:val="0"/>
      <w:marRight w:val="0"/>
      <w:marTop w:val="0"/>
      <w:marBottom w:val="0"/>
      <w:divBdr>
        <w:top w:val="none" w:sz="0" w:space="0" w:color="auto"/>
        <w:left w:val="none" w:sz="0" w:space="0" w:color="auto"/>
        <w:bottom w:val="none" w:sz="0" w:space="0" w:color="auto"/>
        <w:right w:val="none" w:sz="0" w:space="0" w:color="auto"/>
      </w:divBdr>
    </w:div>
    <w:div w:id="1861891162">
      <w:bodyDiv w:val="1"/>
      <w:marLeft w:val="0"/>
      <w:marRight w:val="0"/>
      <w:marTop w:val="0"/>
      <w:marBottom w:val="0"/>
      <w:divBdr>
        <w:top w:val="none" w:sz="0" w:space="0" w:color="auto"/>
        <w:left w:val="none" w:sz="0" w:space="0" w:color="auto"/>
        <w:bottom w:val="none" w:sz="0" w:space="0" w:color="auto"/>
        <w:right w:val="none" w:sz="0" w:space="0" w:color="auto"/>
      </w:divBdr>
      <w:divsChild>
        <w:div w:id="856774478">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19148265">
              <w:blockQuote w:val="1"/>
              <w:marLeft w:val="480"/>
              <w:marRight w:val="0"/>
              <w:marTop w:val="120"/>
              <w:marBottom w:val="120"/>
              <w:divBdr>
                <w:top w:val="none" w:sz="0" w:space="0" w:color="auto"/>
                <w:left w:val="none" w:sz="0" w:space="0" w:color="auto"/>
                <w:bottom w:val="none" w:sz="0" w:space="0" w:color="auto"/>
                <w:right w:val="none" w:sz="0" w:space="0" w:color="auto"/>
              </w:divBdr>
            </w:div>
            <w:div w:id="445807919">
              <w:blockQuote w:val="1"/>
              <w:marLeft w:val="480"/>
              <w:marRight w:val="0"/>
              <w:marTop w:val="120"/>
              <w:marBottom w:val="120"/>
              <w:divBdr>
                <w:top w:val="none" w:sz="0" w:space="0" w:color="auto"/>
                <w:left w:val="none" w:sz="0" w:space="0" w:color="auto"/>
                <w:bottom w:val="none" w:sz="0" w:space="0" w:color="auto"/>
                <w:right w:val="none" w:sz="0" w:space="0" w:color="auto"/>
              </w:divBdr>
            </w:div>
            <w:div w:id="455835139">
              <w:blockQuote w:val="1"/>
              <w:marLeft w:val="480"/>
              <w:marRight w:val="0"/>
              <w:marTop w:val="120"/>
              <w:marBottom w:val="120"/>
              <w:divBdr>
                <w:top w:val="none" w:sz="0" w:space="0" w:color="auto"/>
                <w:left w:val="none" w:sz="0" w:space="0" w:color="auto"/>
                <w:bottom w:val="none" w:sz="0" w:space="0" w:color="auto"/>
                <w:right w:val="none" w:sz="0" w:space="0" w:color="auto"/>
              </w:divBdr>
              <w:divsChild>
                <w:div w:id="514419143">
                  <w:blockQuote w:val="1"/>
                  <w:marLeft w:val="480"/>
                  <w:marRight w:val="0"/>
                  <w:marTop w:val="120"/>
                  <w:marBottom w:val="120"/>
                  <w:divBdr>
                    <w:top w:val="none" w:sz="0" w:space="0" w:color="auto"/>
                    <w:left w:val="none" w:sz="0" w:space="0" w:color="auto"/>
                    <w:bottom w:val="none" w:sz="0" w:space="0" w:color="auto"/>
                    <w:right w:val="none" w:sz="0" w:space="0" w:color="auto"/>
                  </w:divBdr>
                </w:div>
              </w:divsChild>
            </w:div>
            <w:div w:id="1652513648">
              <w:blockQuote w:val="1"/>
              <w:marLeft w:val="480"/>
              <w:marRight w:val="0"/>
              <w:marTop w:val="120"/>
              <w:marBottom w:val="120"/>
              <w:divBdr>
                <w:top w:val="none" w:sz="0" w:space="0" w:color="auto"/>
                <w:left w:val="none" w:sz="0" w:space="0" w:color="auto"/>
                <w:bottom w:val="none" w:sz="0" w:space="0" w:color="auto"/>
                <w:right w:val="none" w:sz="0" w:space="0" w:color="auto"/>
              </w:divBdr>
              <w:divsChild>
                <w:div w:id="1783913921">
                  <w:blockQuote w:val="1"/>
                  <w:marLeft w:val="480"/>
                  <w:marRight w:val="0"/>
                  <w:marTop w:val="120"/>
                  <w:marBottom w:val="120"/>
                  <w:divBdr>
                    <w:top w:val="none" w:sz="0" w:space="0" w:color="auto"/>
                    <w:left w:val="none" w:sz="0" w:space="0" w:color="auto"/>
                    <w:bottom w:val="none" w:sz="0" w:space="0" w:color="auto"/>
                    <w:right w:val="none" w:sz="0" w:space="0" w:color="auto"/>
                  </w:divBdr>
                </w:div>
              </w:divsChild>
            </w:div>
            <w:div w:id="1761950779">
              <w:blockQuote w:val="1"/>
              <w:marLeft w:val="480"/>
              <w:marRight w:val="0"/>
              <w:marTop w:val="120"/>
              <w:marBottom w:val="120"/>
              <w:divBdr>
                <w:top w:val="none" w:sz="0" w:space="0" w:color="auto"/>
                <w:left w:val="none" w:sz="0" w:space="0" w:color="auto"/>
                <w:bottom w:val="none" w:sz="0" w:space="0" w:color="auto"/>
                <w:right w:val="none" w:sz="0" w:space="0" w:color="auto"/>
              </w:divBdr>
            </w:div>
          </w:divsChild>
        </w:div>
      </w:divsChild>
    </w:div>
    <w:div w:id="1941982867">
      <w:bodyDiv w:val="1"/>
      <w:marLeft w:val="0"/>
      <w:marRight w:val="0"/>
      <w:marTop w:val="0"/>
      <w:marBottom w:val="0"/>
      <w:divBdr>
        <w:top w:val="none" w:sz="0" w:space="0" w:color="auto"/>
        <w:left w:val="none" w:sz="0" w:space="0" w:color="auto"/>
        <w:bottom w:val="none" w:sz="0" w:space="0" w:color="auto"/>
        <w:right w:val="none" w:sz="0" w:space="0" w:color="auto"/>
      </w:divBdr>
    </w:div>
    <w:div w:id="2003269818">
      <w:bodyDiv w:val="1"/>
      <w:marLeft w:val="0"/>
      <w:marRight w:val="0"/>
      <w:marTop w:val="0"/>
      <w:marBottom w:val="0"/>
      <w:divBdr>
        <w:top w:val="none" w:sz="0" w:space="0" w:color="auto"/>
        <w:left w:val="none" w:sz="0" w:space="0" w:color="auto"/>
        <w:bottom w:val="none" w:sz="0" w:space="0" w:color="auto"/>
        <w:right w:val="none" w:sz="0" w:space="0" w:color="auto"/>
      </w:divBdr>
    </w:div>
    <w:div w:id="2004315815">
      <w:bodyDiv w:val="1"/>
      <w:marLeft w:val="0"/>
      <w:marRight w:val="0"/>
      <w:marTop w:val="0"/>
      <w:marBottom w:val="0"/>
      <w:divBdr>
        <w:top w:val="none" w:sz="0" w:space="0" w:color="auto"/>
        <w:left w:val="none" w:sz="0" w:space="0" w:color="auto"/>
        <w:bottom w:val="none" w:sz="0" w:space="0" w:color="auto"/>
        <w:right w:val="none" w:sz="0" w:space="0" w:color="auto"/>
      </w:divBdr>
    </w:div>
    <w:div w:id="2004627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yperlink" Target="http://www.austlii.edu.au/au/legis/act/consol_act/fma1996164/" TargetMode="External"/><Relationship Id="rId3" Type="http://schemas.openxmlformats.org/officeDocument/2006/relationships/numbering" Target="numbering.xml"/><Relationship Id="rId21" Type="http://schemas.openxmlformats.org/officeDocument/2006/relationships/header" Target="header8.xml"/><Relationship Id="rId34" Type="http://schemas.openxmlformats.org/officeDocument/2006/relationships/header" Target="header12.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yperlink" Target="http://www.austlii.edu.au/au/legis/act/consol_act/fma1996164/" TargetMode="External"/><Relationship Id="rId33" Type="http://schemas.openxmlformats.org/officeDocument/2006/relationships/footer" Target="footer8.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hyperlink" Target="https://www.parliament.act.gov.au/parliamentary-business/in-committees/committees/standing-committees-current-assembly/standing-committee-on-justice-and-community-safety-legislative-scrutiny-role/responses-to-comments-on-bill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s://www.parliament.act.gov.au/__data/assets/pdf_file/0007/434347/Subordinate-Legislation-Technical-and-Stylistic-Standards.pdf" TargetMode="External"/><Relationship Id="rId32" Type="http://schemas.openxmlformats.org/officeDocument/2006/relationships/footer" Target="footer7.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yperlink" Target="https://www.parliament.act.gov.au/__data/assets/pdf_file/0007/434347/Subordinate-Legislation-Technical-and-Stylistic-Standards.pdf" TargetMode="Externa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yperlink" Target="https://www.parliament.act.gov.au/__data/assets/pdf_file/0007/434347/Subordinate-Legislation-Technical-and-Stylistic-Standards.pdf" TargetMode="External"/><Relationship Id="rId30" Type="http://schemas.openxmlformats.org/officeDocument/2006/relationships/header" Target="header10.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3E5B0B-D405-4F95-84A1-A56830AF9D14}">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AB00FC75-85A6-4CD8-9932-07390D0EE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257</TotalTime>
  <Pages>34</Pages>
  <Words>12056</Words>
  <Characters>68362</Characters>
  <Application>Microsoft Office Word</Application>
  <DocSecurity>0</DocSecurity>
  <Lines>1120</Lines>
  <Paragraphs>543</Paragraphs>
  <ScaleCrop>false</ScaleCrop>
  <HeadingPairs>
    <vt:vector size="2" baseType="variant">
      <vt:variant>
        <vt:lpstr>Title</vt:lpstr>
      </vt:variant>
      <vt:variant>
        <vt:i4>1</vt:i4>
      </vt:variant>
    </vt:vector>
  </HeadingPairs>
  <TitlesOfParts>
    <vt:vector size="1" baseType="lpstr">
      <vt:lpstr>Scrutiny Report 47—27 July 2020</vt:lpstr>
    </vt:vector>
  </TitlesOfParts>
  <Company/>
  <LinksUpToDate>false</LinksUpToDate>
  <CharactersWithSpaces>79875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Scrutiny Report 47—27 July 2020</dc:title>
  <dc:creator>Shannon, Anne</dc:creator>
  <cp:lastModifiedBy>Shannon, Anne</cp:lastModifiedBy>
  <cp:revision>36</cp:revision>
  <cp:lastPrinted>2020-07-28T02:08:00Z</cp:lastPrinted>
  <dcterms:created xsi:type="dcterms:W3CDTF">2020-07-23T23:33:00Z</dcterms:created>
  <dcterms:modified xsi:type="dcterms:W3CDTF">2020-07-28T02:48:00Z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b5416023-e907-4e5c-94a6-d4a6d91d63bb</vt:lpwstr>
  </property>
  <property fmtid="{D5CDD505-2E9C-101B-9397-08002B2CF9AE}" pid="3" name="bjSaver">
    <vt:lpwstr>ZwE+/ToLrPDfvyrx1nh9MyjXnSm5Wksu</vt:lpwstr>
  </property>
  <property fmtid="{D5CDD505-2E9C-101B-9397-08002B2CF9AE}" pid="4"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5" name="bjDocumentLabelXML-0">
    <vt:lpwstr>nternal/label"&gt;&lt;element uid="a68a5297-83bb-4ba8-a7cd-4b62d6981a77" value="" /&gt;&lt;/sisl&gt;</vt:lpwstr>
  </property>
  <property fmtid="{D5CDD505-2E9C-101B-9397-08002B2CF9AE}" pid="6" name="bjDocumentSecurityLabel">
    <vt:lpwstr>UNCLASSIFIED - NO MARKING</vt:lpwstr>
  </property>
  <property fmtid="{D5CDD505-2E9C-101B-9397-08002B2CF9AE}" pid="7" name="bjDocumentLabelFieldCode">
    <vt:lpwstr>UNCLASSIFIED - NO MARKING</vt:lpwstr>
  </property>
  <property fmtid="{D5CDD505-2E9C-101B-9397-08002B2CF9AE}" pid="8" name="bjDocumentLabelFieldCodeHeaderFooter">
    <vt:lpwstr>UNCLASSIFIED - NO MARKING</vt:lpwstr>
  </property>
</Properties>
</file>