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C44CA" w14:textId="295AB3DE" w:rsidR="00285D18" w:rsidRPr="00285D18" w:rsidRDefault="00A5546D" w:rsidP="00285D18">
      <w:pPr>
        <w:spacing w:after="0"/>
        <w:rPr>
          <w:rFonts w:ascii="Calibri" w:hAnsi="Calibri"/>
          <w:sz w:val="24"/>
          <w:szCs w:val="24"/>
        </w:rPr>
      </w:pPr>
      <w:bookmarkStart w:id="0" w:name="_GoBack"/>
      <w:bookmarkEnd w:id="0"/>
      <w:r>
        <w:rPr>
          <w:rFonts w:ascii="Calibri" w:hAnsi="Calibri"/>
          <w:sz w:val="24"/>
          <w:szCs w:val="24"/>
        </w:rPr>
        <w:t>Mrs</w:t>
      </w:r>
      <w:r w:rsidR="00285D18" w:rsidRPr="00285D18">
        <w:rPr>
          <w:rFonts w:ascii="Calibri" w:hAnsi="Calibri"/>
          <w:sz w:val="24"/>
          <w:szCs w:val="24"/>
        </w:rPr>
        <w:t xml:space="preserve"> Giulia Jones MLA</w:t>
      </w:r>
    </w:p>
    <w:p w14:paraId="3C27FCCF" w14:textId="77777777" w:rsidR="00285D18" w:rsidRPr="00285D18" w:rsidRDefault="00285D18" w:rsidP="00285D18">
      <w:pPr>
        <w:spacing w:after="0"/>
        <w:rPr>
          <w:rFonts w:ascii="Calibri" w:hAnsi="Calibri"/>
          <w:sz w:val="24"/>
          <w:szCs w:val="24"/>
        </w:rPr>
      </w:pPr>
      <w:r w:rsidRPr="00285D18">
        <w:rPr>
          <w:rFonts w:ascii="Calibri" w:hAnsi="Calibri"/>
          <w:sz w:val="24"/>
          <w:szCs w:val="24"/>
        </w:rPr>
        <w:t>Chair</w:t>
      </w:r>
    </w:p>
    <w:p w14:paraId="651A5BC0" w14:textId="77777777" w:rsidR="00285D18" w:rsidRPr="00285D18" w:rsidRDefault="00285D18" w:rsidP="00285D18">
      <w:pPr>
        <w:tabs>
          <w:tab w:val="left" w:pos="3420"/>
        </w:tabs>
        <w:spacing w:after="0"/>
        <w:rPr>
          <w:rFonts w:ascii="Calibri" w:hAnsi="Calibri"/>
          <w:sz w:val="24"/>
          <w:szCs w:val="24"/>
        </w:rPr>
      </w:pPr>
      <w:r w:rsidRPr="00285D18">
        <w:rPr>
          <w:rFonts w:ascii="Calibri" w:hAnsi="Calibri"/>
          <w:sz w:val="24"/>
          <w:szCs w:val="24"/>
        </w:rPr>
        <w:t>Standing Committee on Justice and Community Safety</w:t>
      </w:r>
    </w:p>
    <w:p w14:paraId="5A0B1896" w14:textId="36920466" w:rsidR="00AD7D31" w:rsidRPr="006769D0" w:rsidRDefault="00285D18" w:rsidP="006769D0">
      <w:pPr>
        <w:spacing w:after="0"/>
        <w:rPr>
          <w:rFonts w:ascii="Calibri" w:hAnsi="Calibri"/>
          <w:sz w:val="24"/>
          <w:szCs w:val="24"/>
          <w:lang w:val="en-US"/>
        </w:rPr>
      </w:pPr>
      <w:r w:rsidRPr="00285D18">
        <w:rPr>
          <w:rFonts w:ascii="Calibri" w:hAnsi="Calibri"/>
          <w:sz w:val="24"/>
          <w:szCs w:val="24"/>
        </w:rPr>
        <w:t>ACT Legislative Assembly</w:t>
      </w:r>
    </w:p>
    <w:p w14:paraId="2D4A12D7" w14:textId="11CE8B06" w:rsidR="00FB7BCC" w:rsidRPr="00FB7BCC" w:rsidRDefault="00FB7BCC" w:rsidP="00AD7D31">
      <w:pPr>
        <w:spacing w:after="0" w:line="240" w:lineRule="auto"/>
        <w:rPr>
          <w:rFonts w:ascii="Calibri" w:hAnsi="Calibri"/>
          <w:sz w:val="28"/>
          <w:szCs w:val="28"/>
        </w:rPr>
      </w:pPr>
      <w:r>
        <w:rPr>
          <w:rFonts w:ascii="Calibri" w:hAnsi="Calibri"/>
          <w:sz w:val="24"/>
          <w:szCs w:val="24"/>
        </w:rPr>
        <w:t xml:space="preserve">Via email: </w:t>
      </w:r>
      <w:hyperlink r:id="rId10" w:history="1">
        <w:r w:rsidRPr="00FB7BCC">
          <w:rPr>
            <w:rStyle w:val="Hyperlink"/>
            <w:sz w:val="24"/>
            <w:szCs w:val="24"/>
          </w:rPr>
          <w:t>Scrutiny@parliament.act.gov.au</w:t>
        </w:r>
      </w:hyperlink>
    </w:p>
    <w:p w14:paraId="76BB1458" w14:textId="58878109" w:rsidR="00AD7D31" w:rsidRDefault="00AD7D31" w:rsidP="00AD7D31">
      <w:pPr>
        <w:spacing w:after="0" w:line="240" w:lineRule="auto"/>
        <w:rPr>
          <w:rFonts w:ascii="Calibri" w:hAnsi="Calibri"/>
          <w:sz w:val="24"/>
          <w:szCs w:val="24"/>
        </w:rPr>
      </w:pPr>
    </w:p>
    <w:p w14:paraId="616E1414" w14:textId="77777777" w:rsidR="00FB7BCC" w:rsidRPr="00A031A0" w:rsidRDefault="00FB7BCC" w:rsidP="00AD7D31">
      <w:pPr>
        <w:spacing w:after="0" w:line="240" w:lineRule="auto"/>
        <w:rPr>
          <w:rFonts w:ascii="Calibri" w:hAnsi="Calibri"/>
          <w:sz w:val="24"/>
          <w:szCs w:val="24"/>
        </w:rPr>
      </w:pPr>
    </w:p>
    <w:p w14:paraId="02087CB8" w14:textId="0011B90B"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285D18">
        <w:rPr>
          <w:rFonts w:ascii="Calibri" w:hAnsi="Calibri"/>
          <w:sz w:val="24"/>
          <w:szCs w:val="24"/>
          <w:lang w:val="en-US"/>
        </w:rPr>
        <w:t>M</w:t>
      </w:r>
      <w:r w:rsidR="00A5546D">
        <w:rPr>
          <w:rFonts w:ascii="Calibri" w:hAnsi="Calibri"/>
          <w:sz w:val="24"/>
          <w:szCs w:val="24"/>
          <w:lang w:val="en-US"/>
        </w:rPr>
        <w:t xml:space="preserve">rs </w:t>
      </w:r>
      <w:r w:rsidR="00285D18">
        <w:rPr>
          <w:rFonts w:ascii="Calibri" w:hAnsi="Calibri"/>
          <w:sz w:val="24"/>
          <w:szCs w:val="24"/>
          <w:lang w:val="en-US"/>
        </w:rPr>
        <w:t>Jones</w:t>
      </w:r>
    </w:p>
    <w:p w14:paraId="1AA53EFE" w14:textId="77777777" w:rsidR="00AD7D31" w:rsidRPr="00A031A0" w:rsidRDefault="00AD7D31" w:rsidP="00AD7D31">
      <w:pPr>
        <w:pStyle w:val="Header"/>
        <w:tabs>
          <w:tab w:val="left" w:pos="720"/>
        </w:tabs>
        <w:rPr>
          <w:rFonts w:ascii="Calibri" w:hAnsi="Calibri"/>
          <w:sz w:val="24"/>
          <w:szCs w:val="24"/>
        </w:rPr>
      </w:pPr>
    </w:p>
    <w:p w14:paraId="506E46D4" w14:textId="7EB762D5" w:rsidR="00285D18" w:rsidRDefault="00285D18" w:rsidP="007649E4">
      <w:pPr>
        <w:spacing w:after="0"/>
        <w:rPr>
          <w:rFonts w:ascii="Calibri" w:eastAsia="Calibri" w:hAnsi="Calibri" w:cs="Calibri"/>
          <w:i/>
          <w:color w:val="000000"/>
          <w:sz w:val="24"/>
          <w:szCs w:val="24"/>
          <w:lang w:eastAsia="en-AU"/>
        </w:rPr>
      </w:pPr>
      <w:r w:rsidRPr="00285D18">
        <w:rPr>
          <w:rFonts w:ascii="Calibri" w:hAnsi="Calibri"/>
          <w:sz w:val="24"/>
          <w:szCs w:val="24"/>
        </w:rPr>
        <w:t xml:space="preserve">I refer to </w:t>
      </w:r>
      <w:r w:rsidRPr="00285D18">
        <w:rPr>
          <w:rFonts w:ascii="Calibri" w:hAnsi="Calibri"/>
          <w:i/>
          <w:sz w:val="24"/>
          <w:szCs w:val="24"/>
        </w:rPr>
        <w:t xml:space="preserve">Scrutiny Report </w:t>
      </w:r>
      <w:r w:rsidR="00A5546D">
        <w:rPr>
          <w:rFonts w:ascii="Calibri" w:hAnsi="Calibri"/>
          <w:i/>
          <w:sz w:val="24"/>
          <w:szCs w:val="24"/>
        </w:rPr>
        <w:t>4</w:t>
      </w:r>
      <w:r w:rsidR="00E2132F">
        <w:rPr>
          <w:rFonts w:ascii="Calibri" w:hAnsi="Calibri"/>
          <w:i/>
          <w:sz w:val="24"/>
          <w:szCs w:val="24"/>
        </w:rPr>
        <w:t>5</w:t>
      </w:r>
      <w:r w:rsidRPr="00285D18">
        <w:rPr>
          <w:rFonts w:ascii="Calibri" w:hAnsi="Calibri"/>
          <w:sz w:val="24"/>
          <w:szCs w:val="24"/>
        </w:rPr>
        <w:t xml:space="preserve"> of the </w:t>
      </w:r>
      <w:r w:rsidRPr="00285D18">
        <w:rPr>
          <w:rFonts w:ascii="Calibri" w:hAnsi="Calibri" w:cs="Arial"/>
          <w:sz w:val="24"/>
          <w:szCs w:val="24"/>
        </w:rPr>
        <w:t xml:space="preserve">Standing Committee on Justice and Community Safety (the Committee) </w:t>
      </w:r>
      <w:r w:rsidR="00B05455">
        <w:rPr>
          <w:rFonts w:ascii="Calibri" w:hAnsi="Calibri" w:cs="Arial"/>
          <w:sz w:val="24"/>
          <w:szCs w:val="24"/>
        </w:rPr>
        <w:t xml:space="preserve">and the comments made by the Committee in relation to the </w:t>
      </w:r>
      <w:r w:rsidR="00E2132F" w:rsidRPr="00E2132F">
        <w:rPr>
          <w:rFonts w:ascii="Calibri" w:hAnsi="Calibri" w:cs="Arial"/>
          <w:sz w:val="24"/>
          <w:szCs w:val="24"/>
        </w:rPr>
        <w:t>Emp</w:t>
      </w:r>
      <w:r w:rsidR="00E2132F">
        <w:rPr>
          <w:rFonts w:ascii="Calibri" w:eastAsia="Calibri" w:hAnsi="Calibri" w:cs="Calibri"/>
          <w:iCs/>
          <w:color w:val="000000"/>
          <w:sz w:val="24"/>
          <w:szCs w:val="24"/>
          <w:lang w:eastAsia="en-AU"/>
        </w:rPr>
        <w:t>loyment and Workplace Safety Legislation Amendment Bill 2020</w:t>
      </w:r>
      <w:r w:rsidRPr="00C30BD3">
        <w:rPr>
          <w:rFonts w:ascii="Calibri" w:eastAsia="Calibri" w:hAnsi="Calibri" w:cs="Calibri"/>
          <w:iCs/>
          <w:color w:val="000000"/>
          <w:sz w:val="24"/>
          <w:szCs w:val="24"/>
          <w:lang w:eastAsia="en-AU"/>
        </w:rPr>
        <w:t>.</w:t>
      </w:r>
    </w:p>
    <w:p w14:paraId="45AF7830" w14:textId="77777777" w:rsidR="0031164B" w:rsidRDefault="0031164B" w:rsidP="007649E4">
      <w:pPr>
        <w:spacing w:after="0"/>
        <w:rPr>
          <w:rFonts w:ascii="Calibri" w:eastAsia="Calibri" w:hAnsi="Calibri" w:cs="Calibri"/>
          <w:iCs/>
          <w:color w:val="000000"/>
          <w:sz w:val="24"/>
          <w:szCs w:val="24"/>
          <w:lang w:eastAsia="en-AU"/>
        </w:rPr>
      </w:pPr>
    </w:p>
    <w:p w14:paraId="1EE03D64" w14:textId="327E9422" w:rsidR="003146B1" w:rsidRDefault="00B05455"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 xml:space="preserve">This </w:t>
      </w:r>
      <w:r w:rsidR="00E2132F">
        <w:rPr>
          <w:rFonts w:ascii="Calibri" w:eastAsia="Calibri" w:hAnsi="Calibri" w:cs="Calibri"/>
          <w:iCs/>
          <w:color w:val="000000"/>
          <w:sz w:val="24"/>
          <w:szCs w:val="24"/>
          <w:lang w:eastAsia="en-AU"/>
        </w:rPr>
        <w:t>Bill was introduced on 18 Ju</w:t>
      </w:r>
      <w:r w:rsidR="00894EEC">
        <w:rPr>
          <w:rFonts w:ascii="Calibri" w:eastAsia="Calibri" w:hAnsi="Calibri" w:cs="Calibri"/>
          <w:iCs/>
          <w:color w:val="000000"/>
          <w:sz w:val="24"/>
          <w:szCs w:val="24"/>
          <w:lang w:eastAsia="en-AU"/>
        </w:rPr>
        <w:t>ne</w:t>
      </w:r>
      <w:r w:rsidR="00E2132F">
        <w:rPr>
          <w:rFonts w:ascii="Calibri" w:eastAsia="Calibri" w:hAnsi="Calibri" w:cs="Calibri"/>
          <w:iCs/>
          <w:color w:val="000000"/>
          <w:sz w:val="24"/>
          <w:szCs w:val="24"/>
          <w:lang w:eastAsia="en-AU"/>
        </w:rPr>
        <w:t xml:space="preserve"> 2020 and makes a number of </w:t>
      </w:r>
      <w:r w:rsidR="003146B1">
        <w:rPr>
          <w:rFonts w:ascii="Calibri" w:eastAsia="Calibri" w:hAnsi="Calibri" w:cs="Calibri"/>
          <w:iCs/>
          <w:color w:val="000000"/>
          <w:sz w:val="24"/>
          <w:szCs w:val="24"/>
          <w:lang w:eastAsia="en-AU"/>
        </w:rPr>
        <w:t xml:space="preserve">minor and technical changes to various pieces of legislation within my portfolio. These include the </w:t>
      </w:r>
      <w:r w:rsidR="003146B1">
        <w:rPr>
          <w:rFonts w:ascii="Calibri" w:eastAsia="Calibri" w:hAnsi="Calibri" w:cs="Calibri"/>
          <w:i/>
          <w:color w:val="000000"/>
          <w:sz w:val="24"/>
          <w:szCs w:val="24"/>
          <w:lang w:eastAsia="en-AU"/>
        </w:rPr>
        <w:t>Dangerous Goods (Road Transport) Act 2009</w:t>
      </w:r>
      <w:r w:rsidR="00355845">
        <w:rPr>
          <w:rFonts w:ascii="Calibri" w:eastAsia="Calibri" w:hAnsi="Calibri" w:cs="Calibri"/>
          <w:iCs/>
          <w:color w:val="000000"/>
          <w:sz w:val="24"/>
          <w:szCs w:val="24"/>
          <w:lang w:eastAsia="en-AU"/>
        </w:rPr>
        <w:t xml:space="preserve"> (DG(RT) Act)</w:t>
      </w:r>
      <w:r w:rsidR="003146B1">
        <w:rPr>
          <w:rFonts w:ascii="Calibri" w:eastAsia="Calibri" w:hAnsi="Calibri" w:cs="Calibri"/>
          <w:iCs/>
          <w:color w:val="000000"/>
          <w:sz w:val="24"/>
          <w:szCs w:val="24"/>
          <w:lang w:eastAsia="en-AU"/>
        </w:rPr>
        <w:t xml:space="preserve">, </w:t>
      </w:r>
      <w:r w:rsidR="003146B1" w:rsidRPr="003146B1">
        <w:rPr>
          <w:rFonts w:ascii="Calibri" w:eastAsia="Calibri" w:hAnsi="Calibri" w:cs="Calibri"/>
          <w:i/>
          <w:color w:val="000000"/>
          <w:sz w:val="24"/>
          <w:szCs w:val="24"/>
          <w:lang w:eastAsia="en-AU"/>
        </w:rPr>
        <w:t>Workers Compensation Act 1951</w:t>
      </w:r>
      <w:r w:rsidR="003146B1">
        <w:rPr>
          <w:rFonts w:ascii="Calibri" w:eastAsia="Calibri" w:hAnsi="Calibri" w:cs="Calibri"/>
          <w:iCs/>
          <w:color w:val="000000"/>
          <w:sz w:val="24"/>
          <w:szCs w:val="24"/>
          <w:lang w:eastAsia="en-AU"/>
        </w:rPr>
        <w:t xml:space="preserve"> </w:t>
      </w:r>
      <w:r w:rsidR="00355845">
        <w:rPr>
          <w:rFonts w:ascii="Calibri" w:eastAsia="Calibri" w:hAnsi="Calibri" w:cs="Calibri"/>
          <w:iCs/>
          <w:color w:val="000000"/>
          <w:sz w:val="24"/>
          <w:szCs w:val="24"/>
          <w:lang w:eastAsia="en-AU"/>
        </w:rPr>
        <w:t xml:space="preserve">(WC Act) </w:t>
      </w:r>
      <w:r w:rsidR="003146B1">
        <w:rPr>
          <w:rFonts w:ascii="Calibri" w:eastAsia="Calibri" w:hAnsi="Calibri" w:cs="Calibri"/>
          <w:iCs/>
          <w:color w:val="000000"/>
          <w:sz w:val="24"/>
          <w:szCs w:val="24"/>
          <w:lang w:eastAsia="en-AU"/>
        </w:rPr>
        <w:t xml:space="preserve">and the </w:t>
      </w:r>
      <w:r w:rsidR="003146B1" w:rsidRPr="003146B1">
        <w:rPr>
          <w:rFonts w:ascii="Calibri" w:eastAsia="Calibri" w:hAnsi="Calibri" w:cs="Calibri"/>
          <w:i/>
          <w:color w:val="000000"/>
          <w:sz w:val="24"/>
          <w:szCs w:val="24"/>
          <w:lang w:eastAsia="en-AU"/>
        </w:rPr>
        <w:t>Work Health and Safety Act 2011</w:t>
      </w:r>
      <w:r w:rsidR="00355845">
        <w:rPr>
          <w:rFonts w:ascii="Calibri" w:eastAsia="Calibri" w:hAnsi="Calibri" w:cs="Calibri"/>
          <w:iCs/>
          <w:color w:val="000000"/>
          <w:sz w:val="24"/>
          <w:szCs w:val="24"/>
          <w:lang w:eastAsia="en-AU"/>
        </w:rPr>
        <w:t xml:space="preserve"> (WHS Act)</w:t>
      </w:r>
      <w:r w:rsidR="003146B1">
        <w:rPr>
          <w:rFonts w:ascii="Calibri" w:eastAsia="Calibri" w:hAnsi="Calibri" w:cs="Calibri"/>
          <w:iCs/>
          <w:color w:val="000000"/>
          <w:sz w:val="24"/>
          <w:szCs w:val="24"/>
          <w:lang w:eastAsia="en-AU"/>
        </w:rPr>
        <w:t>.</w:t>
      </w:r>
    </w:p>
    <w:p w14:paraId="10177AC8" w14:textId="6FCDF596" w:rsidR="003146B1" w:rsidRDefault="003146B1" w:rsidP="007649E4">
      <w:pPr>
        <w:spacing w:after="0"/>
        <w:rPr>
          <w:rFonts w:ascii="Calibri" w:eastAsia="Calibri" w:hAnsi="Calibri" w:cs="Calibri"/>
          <w:iCs/>
          <w:color w:val="000000"/>
          <w:sz w:val="24"/>
          <w:szCs w:val="24"/>
          <w:lang w:eastAsia="en-AU"/>
        </w:rPr>
      </w:pPr>
    </w:p>
    <w:p w14:paraId="0B171DB4" w14:textId="2FA33B94" w:rsidR="00F37DE5" w:rsidRDefault="00766BCC"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 xml:space="preserve">Generally speaking, </w:t>
      </w:r>
      <w:r w:rsidR="00F37DE5">
        <w:rPr>
          <w:rFonts w:ascii="Calibri" w:eastAsia="Calibri" w:hAnsi="Calibri" w:cs="Calibri"/>
          <w:iCs/>
          <w:color w:val="000000"/>
          <w:sz w:val="24"/>
          <w:szCs w:val="24"/>
          <w:lang w:eastAsia="en-AU"/>
        </w:rPr>
        <w:t xml:space="preserve">the amendments in this Bill operate in a number of regulatory environments where those who participate are and should be, aware of their legal obligations and </w:t>
      </w:r>
      <w:r>
        <w:rPr>
          <w:rFonts w:ascii="Calibri" w:eastAsia="Calibri" w:hAnsi="Calibri" w:cs="Calibri"/>
          <w:iCs/>
          <w:color w:val="000000"/>
          <w:sz w:val="24"/>
          <w:szCs w:val="24"/>
          <w:lang w:eastAsia="en-AU"/>
        </w:rPr>
        <w:t>can expect that</w:t>
      </w:r>
      <w:r w:rsidR="00F37DE5">
        <w:rPr>
          <w:rFonts w:ascii="Calibri" w:eastAsia="Calibri" w:hAnsi="Calibri" w:cs="Calibri"/>
          <w:iCs/>
          <w:color w:val="000000"/>
          <w:sz w:val="24"/>
          <w:szCs w:val="24"/>
          <w:lang w:eastAsia="en-AU"/>
        </w:rPr>
        <w:t xml:space="preserve"> non-compliance will be enforced.</w:t>
      </w:r>
    </w:p>
    <w:p w14:paraId="4768D7E5" w14:textId="77777777" w:rsidR="00F37DE5" w:rsidRDefault="00F37DE5" w:rsidP="007649E4">
      <w:pPr>
        <w:spacing w:after="0"/>
        <w:rPr>
          <w:rFonts w:ascii="Calibri" w:eastAsia="Calibri" w:hAnsi="Calibri" w:cs="Calibri"/>
          <w:iCs/>
          <w:color w:val="000000"/>
          <w:sz w:val="24"/>
          <w:szCs w:val="24"/>
          <w:lang w:eastAsia="en-AU"/>
        </w:rPr>
      </w:pPr>
    </w:p>
    <w:p w14:paraId="4B537EC4" w14:textId="24316D8A" w:rsidR="003146B1" w:rsidRDefault="00766BCC"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In relation to the matters the Committee has drawn attention to and requested further information</w:t>
      </w:r>
      <w:r w:rsidR="00F37DE5">
        <w:rPr>
          <w:rFonts w:ascii="Calibri" w:eastAsia="Calibri" w:hAnsi="Calibri" w:cs="Calibri"/>
          <w:iCs/>
          <w:color w:val="000000"/>
          <w:sz w:val="24"/>
          <w:szCs w:val="24"/>
          <w:lang w:eastAsia="en-AU"/>
        </w:rPr>
        <w:t xml:space="preserve">, </w:t>
      </w:r>
      <w:r w:rsidR="003146B1">
        <w:rPr>
          <w:rFonts w:ascii="Calibri" w:eastAsia="Calibri" w:hAnsi="Calibri" w:cs="Calibri"/>
          <w:iCs/>
          <w:color w:val="000000"/>
          <w:sz w:val="24"/>
          <w:szCs w:val="24"/>
          <w:lang w:eastAsia="en-AU"/>
        </w:rPr>
        <w:t>I refer to the information set out below addressing each in turn.</w:t>
      </w:r>
    </w:p>
    <w:p w14:paraId="1E185D81" w14:textId="27C7D5E9" w:rsidR="003146B1" w:rsidRDefault="003146B1" w:rsidP="007649E4">
      <w:pPr>
        <w:spacing w:after="0"/>
        <w:rPr>
          <w:rFonts w:ascii="Calibri" w:eastAsia="Calibri" w:hAnsi="Calibri" w:cs="Calibri"/>
          <w:iCs/>
          <w:color w:val="000000"/>
          <w:sz w:val="24"/>
          <w:szCs w:val="24"/>
          <w:lang w:eastAsia="en-AU"/>
        </w:rPr>
      </w:pPr>
    </w:p>
    <w:p w14:paraId="38662064" w14:textId="49C4E41F" w:rsidR="003146B1" w:rsidRDefault="00F37DE5"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T</w:t>
      </w:r>
      <w:r w:rsidR="003146B1">
        <w:rPr>
          <w:rFonts w:ascii="Calibri" w:eastAsia="Calibri" w:hAnsi="Calibri" w:cs="Calibri"/>
          <w:iCs/>
          <w:color w:val="000000"/>
          <w:sz w:val="24"/>
          <w:szCs w:val="24"/>
          <w:lang w:eastAsia="en-AU"/>
        </w:rPr>
        <w:t>he purpose of the amendments to the ACT’s transport of dangerous goods laws are to better align our legislation with the nationally agreed model legislation for regulating the transport of dangerous goods across Australia</w:t>
      </w:r>
      <w:r w:rsidR="008A161B">
        <w:rPr>
          <w:rFonts w:ascii="Calibri" w:eastAsia="Calibri" w:hAnsi="Calibri" w:cs="Calibri"/>
          <w:iCs/>
          <w:color w:val="000000"/>
          <w:sz w:val="24"/>
          <w:szCs w:val="24"/>
          <w:lang w:eastAsia="en-AU"/>
        </w:rPr>
        <w:t>, which ha</w:t>
      </w:r>
      <w:r w:rsidR="001321CE">
        <w:rPr>
          <w:rFonts w:ascii="Calibri" w:eastAsia="Calibri" w:hAnsi="Calibri" w:cs="Calibri"/>
          <w:iCs/>
          <w:color w:val="000000"/>
          <w:sz w:val="24"/>
          <w:szCs w:val="24"/>
          <w:lang w:eastAsia="en-AU"/>
        </w:rPr>
        <w:t>s</w:t>
      </w:r>
      <w:r w:rsidR="008A161B">
        <w:rPr>
          <w:rFonts w:ascii="Calibri" w:eastAsia="Calibri" w:hAnsi="Calibri" w:cs="Calibri"/>
          <w:iCs/>
          <w:color w:val="000000"/>
          <w:sz w:val="24"/>
          <w:szCs w:val="24"/>
          <w:lang w:eastAsia="en-AU"/>
        </w:rPr>
        <w:t xml:space="preserve"> been </w:t>
      </w:r>
      <w:r w:rsidR="006F333B">
        <w:rPr>
          <w:rFonts w:ascii="Calibri" w:eastAsia="Calibri" w:hAnsi="Calibri" w:cs="Calibri"/>
          <w:iCs/>
          <w:color w:val="000000"/>
          <w:sz w:val="24"/>
          <w:szCs w:val="24"/>
          <w:lang w:eastAsia="en-AU"/>
        </w:rPr>
        <w:t>implemented in all states and territories. Specifically, t</w:t>
      </w:r>
      <w:r w:rsidR="003146B1">
        <w:rPr>
          <w:rFonts w:ascii="Calibri" w:eastAsia="Calibri" w:hAnsi="Calibri" w:cs="Calibri"/>
          <w:iCs/>
          <w:color w:val="000000"/>
          <w:sz w:val="24"/>
          <w:szCs w:val="24"/>
          <w:lang w:eastAsia="en-AU"/>
        </w:rPr>
        <w:t xml:space="preserve">he amendments identified by the Committee have been directly picked up from the model laws and </w:t>
      </w:r>
      <w:r w:rsidR="00766BCC">
        <w:rPr>
          <w:rFonts w:ascii="Calibri" w:eastAsia="Calibri" w:hAnsi="Calibri" w:cs="Calibri"/>
          <w:iCs/>
          <w:color w:val="000000"/>
          <w:sz w:val="24"/>
          <w:szCs w:val="24"/>
          <w:lang w:eastAsia="en-AU"/>
        </w:rPr>
        <w:t>operate</w:t>
      </w:r>
      <w:r w:rsidR="003146B1">
        <w:rPr>
          <w:rFonts w:ascii="Calibri" w:eastAsia="Calibri" w:hAnsi="Calibri" w:cs="Calibri"/>
          <w:iCs/>
          <w:color w:val="000000"/>
          <w:sz w:val="24"/>
          <w:szCs w:val="24"/>
          <w:lang w:eastAsia="en-AU"/>
        </w:rPr>
        <w:t xml:space="preserve"> within the existing framework established under the </w:t>
      </w:r>
      <w:r w:rsidR="00355845">
        <w:rPr>
          <w:rFonts w:ascii="Calibri" w:eastAsia="Calibri" w:hAnsi="Calibri" w:cs="Calibri"/>
          <w:iCs/>
          <w:color w:val="000000"/>
          <w:sz w:val="24"/>
          <w:szCs w:val="24"/>
          <w:lang w:eastAsia="en-AU"/>
        </w:rPr>
        <w:t>DG(RT) Act.</w:t>
      </w:r>
    </w:p>
    <w:p w14:paraId="0FE71AD4" w14:textId="2FFCF834" w:rsidR="00F37DE5" w:rsidRDefault="00F37DE5" w:rsidP="007649E4">
      <w:pPr>
        <w:spacing w:after="0"/>
        <w:rPr>
          <w:rFonts w:ascii="Calibri" w:eastAsia="Calibri" w:hAnsi="Calibri" w:cs="Calibri"/>
          <w:iCs/>
          <w:color w:val="000000"/>
          <w:sz w:val="24"/>
          <w:szCs w:val="24"/>
          <w:lang w:eastAsia="en-AU"/>
        </w:rPr>
      </w:pPr>
    </w:p>
    <w:p w14:paraId="2FD9B258" w14:textId="50D9A603" w:rsidR="000A0CA5" w:rsidRDefault="00F37DE5"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As I have stated above, the amendments to the dangerous goods laws operate in circumstances where those who have an obligation to comply with the DG(RT) Act should be well aware of th</w:t>
      </w:r>
      <w:r w:rsidR="00766BCC">
        <w:rPr>
          <w:rFonts w:ascii="Calibri" w:eastAsia="Calibri" w:hAnsi="Calibri" w:cs="Calibri"/>
          <w:iCs/>
          <w:color w:val="000000"/>
          <w:sz w:val="24"/>
          <w:szCs w:val="24"/>
          <w:lang w:eastAsia="en-AU"/>
        </w:rPr>
        <w:t>o</w:t>
      </w:r>
      <w:r>
        <w:rPr>
          <w:rFonts w:ascii="Calibri" w:eastAsia="Calibri" w:hAnsi="Calibri" w:cs="Calibri"/>
          <w:iCs/>
          <w:color w:val="000000"/>
          <w:sz w:val="24"/>
          <w:szCs w:val="24"/>
          <w:lang w:eastAsia="en-AU"/>
        </w:rPr>
        <w:t>se obligations and that they are required to comply with the duties and responsibilities established under that law.</w:t>
      </w:r>
    </w:p>
    <w:p w14:paraId="49EFFB4F" w14:textId="77777777" w:rsidR="00057AB9" w:rsidRDefault="00057AB9" w:rsidP="00057AB9">
      <w:pPr>
        <w:spacing w:after="0"/>
        <w:rPr>
          <w:rFonts w:ascii="Calibri" w:eastAsia="Calibri" w:hAnsi="Calibri" w:cs="Calibri"/>
          <w:iCs/>
          <w:color w:val="000000"/>
          <w:sz w:val="24"/>
          <w:szCs w:val="24"/>
          <w:lang w:eastAsia="en-AU"/>
        </w:rPr>
      </w:pPr>
    </w:p>
    <w:p w14:paraId="5A2BD88C" w14:textId="77777777" w:rsidR="00766BCC" w:rsidRDefault="00F37DE5" w:rsidP="00057AB9">
      <w:pPr>
        <w:spacing w:after="0"/>
        <w:rPr>
          <w:rFonts w:ascii="Calibri" w:eastAsia="Calibri" w:hAnsi="Calibri" w:cs="Calibri"/>
          <w:iCs/>
          <w:color w:val="000000"/>
          <w:sz w:val="24"/>
          <w:szCs w:val="24"/>
          <w:lang w:eastAsia="en-AU"/>
        </w:rPr>
      </w:pPr>
      <w:r w:rsidRPr="00057AB9">
        <w:rPr>
          <w:rFonts w:ascii="Calibri" w:eastAsia="Calibri" w:hAnsi="Calibri" w:cs="Calibri"/>
          <w:iCs/>
          <w:color w:val="000000"/>
          <w:sz w:val="24"/>
          <w:szCs w:val="24"/>
          <w:lang w:eastAsia="en-AU"/>
        </w:rPr>
        <w:t xml:space="preserve">Specifically, the amendment to </w:t>
      </w:r>
      <w:r w:rsidR="008A161B" w:rsidRPr="00057AB9">
        <w:rPr>
          <w:rFonts w:ascii="Calibri" w:eastAsia="Calibri" w:hAnsi="Calibri" w:cs="Calibri"/>
          <w:iCs/>
          <w:color w:val="000000"/>
          <w:sz w:val="24"/>
          <w:szCs w:val="24"/>
          <w:lang w:eastAsia="en-AU"/>
        </w:rPr>
        <w:t>insert a new section 190A</w:t>
      </w:r>
      <w:r w:rsidR="000A0CA5" w:rsidRPr="00057AB9">
        <w:rPr>
          <w:rFonts w:ascii="Calibri" w:eastAsia="Calibri" w:hAnsi="Calibri" w:cs="Calibri"/>
          <w:iCs/>
          <w:color w:val="000000"/>
          <w:sz w:val="24"/>
          <w:szCs w:val="24"/>
          <w:lang w:eastAsia="en-AU"/>
        </w:rPr>
        <w:t xml:space="preserve"> (refer clause 38)</w:t>
      </w:r>
      <w:r w:rsidR="009447F3">
        <w:rPr>
          <w:rFonts w:ascii="Calibri" w:eastAsia="Calibri" w:hAnsi="Calibri" w:cs="Calibri"/>
          <w:iCs/>
          <w:color w:val="000000"/>
          <w:sz w:val="24"/>
          <w:szCs w:val="24"/>
          <w:lang w:eastAsia="en-AU"/>
        </w:rPr>
        <w:t xml:space="preserve"> </w:t>
      </w:r>
      <w:r w:rsidR="000A0CA5" w:rsidRPr="00057AB9">
        <w:rPr>
          <w:rFonts w:ascii="Calibri" w:eastAsia="Calibri" w:hAnsi="Calibri" w:cs="Calibri"/>
          <w:iCs/>
          <w:color w:val="000000"/>
          <w:sz w:val="24"/>
          <w:szCs w:val="24"/>
          <w:lang w:eastAsia="en-AU"/>
        </w:rPr>
        <w:t>is</w:t>
      </w:r>
      <w:r w:rsidR="008A161B" w:rsidRPr="00057AB9">
        <w:rPr>
          <w:rFonts w:ascii="Calibri" w:eastAsia="Calibri" w:hAnsi="Calibri" w:cs="Calibri"/>
          <w:iCs/>
          <w:color w:val="000000"/>
          <w:sz w:val="24"/>
          <w:szCs w:val="24"/>
          <w:lang w:eastAsia="en-AU"/>
        </w:rPr>
        <w:t xml:space="preserve"> based on the model laws </w:t>
      </w:r>
      <w:r w:rsidR="000A0CA5" w:rsidRPr="00057AB9">
        <w:rPr>
          <w:rFonts w:ascii="Calibri" w:eastAsia="Calibri" w:hAnsi="Calibri" w:cs="Calibri"/>
          <w:iCs/>
          <w:color w:val="000000"/>
          <w:sz w:val="24"/>
          <w:szCs w:val="24"/>
          <w:lang w:eastAsia="en-AU"/>
        </w:rPr>
        <w:t xml:space="preserve">and </w:t>
      </w:r>
      <w:r w:rsidR="008A161B" w:rsidRPr="00057AB9">
        <w:rPr>
          <w:rFonts w:ascii="Calibri" w:eastAsia="Calibri" w:hAnsi="Calibri" w:cs="Calibri"/>
          <w:iCs/>
          <w:color w:val="000000"/>
          <w:sz w:val="24"/>
          <w:szCs w:val="24"/>
          <w:lang w:eastAsia="en-AU"/>
        </w:rPr>
        <w:t>adapt</w:t>
      </w:r>
      <w:r w:rsidR="000A0CA5" w:rsidRPr="00057AB9">
        <w:rPr>
          <w:rFonts w:ascii="Calibri" w:eastAsia="Calibri" w:hAnsi="Calibri" w:cs="Calibri"/>
          <w:iCs/>
          <w:color w:val="000000"/>
          <w:sz w:val="24"/>
          <w:szCs w:val="24"/>
          <w:lang w:eastAsia="en-AU"/>
        </w:rPr>
        <w:t>s</w:t>
      </w:r>
      <w:r w:rsidR="008A161B" w:rsidRPr="00057AB9">
        <w:rPr>
          <w:rFonts w:ascii="Calibri" w:eastAsia="Calibri" w:hAnsi="Calibri" w:cs="Calibri"/>
          <w:iCs/>
          <w:color w:val="000000"/>
          <w:sz w:val="24"/>
          <w:szCs w:val="24"/>
          <w:lang w:eastAsia="en-AU"/>
        </w:rPr>
        <w:t xml:space="preserve"> a similar provision already in the ACT </w:t>
      </w:r>
      <w:r w:rsidR="00057AB9">
        <w:rPr>
          <w:rFonts w:ascii="Calibri" w:eastAsia="Calibri" w:hAnsi="Calibri" w:cs="Calibri"/>
          <w:iCs/>
          <w:color w:val="000000"/>
          <w:sz w:val="24"/>
          <w:szCs w:val="24"/>
          <w:lang w:eastAsia="en-AU"/>
        </w:rPr>
        <w:t>s</w:t>
      </w:r>
      <w:r w:rsidR="008A161B" w:rsidRPr="00057AB9">
        <w:rPr>
          <w:rFonts w:ascii="Calibri" w:eastAsia="Calibri" w:hAnsi="Calibri" w:cs="Calibri"/>
          <w:iCs/>
          <w:color w:val="000000"/>
          <w:sz w:val="24"/>
          <w:szCs w:val="24"/>
          <w:lang w:eastAsia="en-AU"/>
        </w:rPr>
        <w:t xml:space="preserve">tatute books under the </w:t>
      </w:r>
      <w:r w:rsidR="008A161B" w:rsidRPr="00057AB9">
        <w:rPr>
          <w:rFonts w:ascii="Calibri" w:eastAsia="Calibri" w:hAnsi="Calibri" w:cs="Calibri"/>
          <w:i/>
          <w:color w:val="000000"/>
          <w:sz w:val="24"/>
          <w:szCs w:val="24"/>
          <w:lang w:eastAsia="en-AU"/>
        </w:rPr>
        <w:t>Criminal Code 2002</w:t>
      </w:r>
      <w:r w:rsidR="00057AB9">
        <w:rPr>
          <w:rFonts w:ascii="Calibri" w:eastAsia="Calibri" w:hAnsi="Calibri" w:cs="Calibri"/>
          <w:iCs/>
          <w:color w:val="000000"/>
          <w:sz w:val="24"/>
          <w:szCs w:val="24"/>
          <w:lang w:eastAsia="en-AU"/>
        </w:rPr>
        <w:t xml:space="preserve"> (</w:t>
      </w:r>
      <w:r w:rsidR="008A161B" w:rsidRPr="00057AB9">
        <w:rPr>
          <w:rFonts w:ascii="Calibri" w:eastAsia="Calibri" w:hAnsi="Calibri" w:cs="Calibri"/>
          <w:iCs/>
          <w:color w:val="000000"/>
          <w:sz w:val="24"/>
          <w:szCs w:val="24"/>
          <w:lang w:eastAsia="en-AU"/>
        </w:rPr>
        <w:t>section 337</w:t>
      </w:r>
      <w:r w:rsidR="00057AB9">
        <w:rPr>
          <w:rFonts w:ascii="Calibri" w:eastAsia="Calibri" w:hAnsi="Calibri" w:cs="Calibri"/>
          <w:iCs/>
          <w:color w:val="000000"/>
          <w:sz w:val="24"/>
          <w:szCs w:val="24"/>
          <w:lang w:eastAsia="en-AU"/>
        </w:rPr>
        <w:t>)</w:t>
      </w:r>
      <w:r w:rsidR="000A0CA5" w:rsidRPr="00057AB9">
        <w:rPr>
          <w:rFonts w:ascii="Calibri" w:eastAsia="Calibri" w:hAnsi="Calibri" w:cs="Calibri"/>
          <w:iCs/>
          <w:color w:val="000000"/>
          <w:sz w:val="24"/>
          <w:szCs w:val="24"/>
          <w:lang w:eastAsia="en-AU"/>
        </w:rPr>
        <w:t xml:space="preserve"> which </w:t>
      </w:r>
      <w:r w:rsidR="009447F3">
        <w:rPr>
          <w:rFonts w:ascii="Calibri" w:eastAsia="Calibri" w:hAnsi="Calibri" w:cs="Calibri"/>
          <w:iCs/>
          <w:color w:val="000000"/>
          <w:sz w:val="24"/>
          <w:szCs w:val="24"/>
          <w:lang w:eastAsia="en-AU"/>
        </w:rPr>
        <w:t xml:space="preserve">also </w:t>
      </w:r>
      <w:r w:rsidR="000A0CA5" w:rsidRPr="00057AB9">
        <w:rPr>
          <w:rFonts w:ascii="Calibri" w:eastAsia="Calibri" w:hAnsi="Calibri" w:cs="Calibri"/>
          <w:iCs/>
          <w:color w:val="000000"/>
          <w:sz w:val="24"/>
          <w:szCs w:val="24"/>
          <w:lang w:eastAsia="en-AU"/>
        </w:rPr>
        <w:t>appl</w:t>
      </w:r>
      <w:r w:rsidR="009447F3">
        <w:rPr>
          <w:rFonts w:ascii="Calibri" w:eastAsia="Calibri" w:hAnsi="Calibri" w:cs="Calibri"/>
          <w:iCs/>
          <w:color w:val="000000"/>
          <w:sz w:val="24"/>
          <w:szCs w:val="24"/>
          <w:lang w:eastAsia="en-AU"/>
        </w:rPr>
        <w:t>ies</w:t>
      </w:r>
      <w:r w:rsidR="000A0CA5" w:rsidRPr="00057AB9">
        <w:rPr>
          <w:rFonts w:ascii="Calibri" w:eastAsia="Calibri" w:hAnsi="Calibri" w:cs="Calibri"/>
          <w:iCs/>
          <w:color w:val="000000"/>
          <w:sz w:val="24"/>
          <w:szCs w:val="24"/>
          <w:lang w:eastAsia="en-AU"/>
        </w:rPr>
        <w:t xml:space="preserve"> absolute</w:t>
      </w:r>
      <w:r w:rsidR="00057AB9">
        <w:rPr>
          <w:rFonts w:ascii="Calibri" w:eastAsia="Calibri" w:hAnsi="Calibri" w:cs="Calibri"/>
          <w:iCs/>
          <w:color w:val="000000"/>
          <w:sz w:val="24"/>
          <w:szCs w:val="24"/>
          <w:lang w:eastAsia="en-AU"/>
        </w:rPr>
        <w:t xml:space="preserve"> liability</w:t>
      </w:r>
      <w:r w:rsidR="000A0CA5" w:rsidRPr="00057AB9">
        <w:rPr>
          <w:rFonts w:ascii="Calibri" w:eastAsia="Calibri" w:hAnsi="Calibri" w:cs="Calibri"/>
          <w:iCs/>
          <w:color w:val="000000"/>
          <w:sz w:val="24"/>
          <w:szCs w:val="24"/>
          <w:lang w:eastAsia="en-AU"/>
        </w:rPr>
        <w:t xml:space="preserve"> </w:t>
      </w:r>
      <w:r w:rsidR="009447F3">
        <w:rPr>
          <w:rFonts w:ascii="Calibri" w:eastAsia="Calibri" w:hAnsi="Calibri" w:cs="Calibri"/>
          <w:iCs/>
          <w:color w:val="000000"/>
          <w:sz w:val="24"/>
          <w:szCs w:val="24"/>
          <w:lang w:eastAsia="en-AU"/>
        </w:rPr>
        <w:t>to</w:t>
      </w:r>
      <w:r w:rsidR="000A0CA5" w:rsidRPr="00057AB9">
        <w:rPr>
          <w:rFonts w:ascii="Calibri" w:eastAsia="Calibri" w:hAnsi="Calibri" w:cs="Calibri"/>
          <w:iCs/>
          <w:color w:val="000000"/>
          <w:sz w:val="24"/>
          <w:szCs w:val="24"/>
          <w:lang w:eastAsia="en-AU"/>
        </w:rPr>
        <w:t xml:space="preserve"> </w:t>
      </w:r>
      <w:r w:rsidR="00766BCC">
        <w:rPr>
          <w:rFonts w:ascii="Calibri" w:eastAsia="Calibri" w:hAnsi="Calibri" w:cs="Calibri"/>
          <w:iCs/>
          <w:color w:val="000000"/>
          <w:sz w:val="24"/>
          <w:szCs w:val="24"/>
          <w:lang w:eastAsia="en-AU"/>
        </w:rPr>
        <w:t xml:space="preserve">a similar </w:t>
      </w:r>
      <w:r w:rsidR="000A0CA5" w:rsidRPr="00057AB9">
        <w:rPr>
          <w:rFonts w:ascii="Calibri" w:eastAsia="Calibri" w:hAnsi="Calibri" w:cs="Calibri"/>
          <w:iCs/>
          <w:color w:val="000000"/>
          <w:sz w:val="24"/>
          <w:szCs w:val="24"/>
          <w:lang w:eastAsia="en-AU"/>
        </w:rPr>
        <w:t>offence. Section 190A has been adapted, in line with the model laws, to fit the regulatory context in which it operates</w:t>
      </w:r>
      <w:r w:rsidR="009447F3">
        <w:rPr>
          <w:rFonts w:ascii="Calibri" w:eastAsia="Calibri" w:hAnsi="Calibri" w:cs="Calibri"/>
          <w:iCs/>
          <w:color w:val="000000"/>
          <w:sz w:val="24"/>
          <w:szCs w:val="24"/>
          <w:lang w:eastAsia="en-AU"/>
        </w:rPr>
        <w:t>. I</w:t>
      </w:r>
      <w:r w:rsidR="000A0CA5" w:rsidRPr="00057AB9">
        <w:rPr>
          <w:rFonts w:ascii="Calibri" w:eastAsia="Calibri" w:hAnsi="Calibri" w:cs="Calibri"/>
          <w:iCs/>
          <w:color w:val="000000"/>
          <w:sz w:val="24"/>
          <w:szCs w:val="24"/>
          <w:lang w:eastAsia="en-AU"/>
        </w:rPr>
        <w:t>n other words, it supports the functions being exercised by an authorised officer under the DG(RT) Act.</w:t>
      </w:r>
    </w:p>
    <w:p w14:paraId="4EFC3EA1" w14:textId="77777777" w:rsidR="00766BCC" w:rsidRDefault="00766BCC" w:rsidP="00057AB9">
      <w:pPr>
        <w:spacing w:after="0"/>
        <w:rPr>
          <w:rFonts w:ascii="Calibri" w:eastAsia="Calibri" w:hAnsi="Calibri" w:cs="Calibri"/>
          <w:iCs/>
          <w:color w:val="000000"/>
          <w:sz w:val="24"/>
          <w:szCs w:val="24"/>
          <w:lang w:eastAsia="en-AU"/>
        </w:rPr>
      </w:pPr>
    </w:p>
    <w:p w14:paraId="16CABDC8" w14:textId="3DFB8AAB" w:rsidR="00F37DE5" w:rsidRDefault="00057AB9" w:rsidP="00057AB9">
      <w:pPr>
        <w:spacing w:after="0"/>
        <w:rPr>
          <w:rFonts w:ascii="Calibri" w:eastAsia="Calibri" w:hAnsi="Calibri" w:cs="Calibri"/>
          <w:iCs/>
          <w:color w:val="000000"/>
          <w:sz w:val="24"/>
          <w:szCs w:val="24"/>
          <w:lang w:eastAsia="en-AU"/>
        </w:rPr>
      </w:pPr>
      <w:r w:rsidRPr="00057AB9">
        <w:rPr>
          <w:rFonts w:ascii="Calibri" w:eastAsia="Calibri" w:hAnsi="Calibri" w:cs="Calibri"/>
          <w:iCs/>
          <w:color w:val="000000"/>
          <w:sz w:val="24"/>
          <w:szCs w:val="24"/>
          <w:lang w:eastAsia="en-AU"/>
        </w:rPr>
        <w:lastRenderedPageBreak/>
        <w:t>Given the requirement that authorised officers, if practicable, must show their identity cards when exercising a function under that Act (refer section 25 of the DG(RT) Act)</w:t>
      </w:r>
      <w:r>
        <w:rPr>
          <w:rFonts w:ascii="Calibri" w:eastAsia="Calibri" w:hAnsi="Calibri" w:cs="Calibri"/>
          <w:iCs/>
          <w:color w:val="000000"/>
          <w:sz w:val="24"/>
          <w:szCs w:val="24"/>
          <w:lang w:eastAsia="en-AU"/>
        </w:rPr>
        <w:t xml:space="preserve"> and it is an offence for a person to hold an identity card who is not an authorised officer for the Act, it is reasonable to expect that</w:t>
      </w:r>
      <w:r w:rsidR="009447F3">
        <w:rPr>
          <w:rFonts w:ascii="Calibri" w:eastAsia="Calibri" w:hAnsi="Calibri" w:cs="Calibri"/>
          <w:iCs/>
          <w:color w:val="000000"/>
          <w:sz w:val="24"/>
          <w:szCs w:val="24"/>
          <w:lang w:eastAsia="en-AU"/>
        </w:rPr>
        <w:t xml:space="preserve"> authorised officers </w:t>
      </w:r>
      <w:r w:rsidR="004E31C4">
        <w:rPr>
          <w:rFonts w:ascii="Calibri" w:eastAsia="Calibri" w:hAnsi="Calibri" w:cs="Calibri"/>
          <w:iCs/>
          <w:color w:val="000000"/>
          <w:sz w:val="24"/>
          <w:szCs w:val="24"/>
          <w:lang w:eastAsia="en-AU"/>
        </w:rPr>
        <w:t xml:space="preserve">in </w:t>
      </w:r>
      <w:r w:rsidR="009447F3">
        <w:rPr>
          <w:rFonts w:ascii="Calibri" w:eastAsia="Calibri" w:hAnsi="Calibri" w:cs="Calibri"/>
          <w:iCs/>
          <w:color w:val="000000"/>
          <w:sz w:val="24"/>
          <w:szCs w:val="24"/>
          <w:lang w:eastAsia="en-AU"/>
        </w:rPr>
        <w:t xml:space="preserve">exercising a function under the Act (ie ensuring compliance) </w:t>
      </w:r>
      <w:r w:rsidR="004E31C4">
        <w:rPr>
          <w:rFonts w:ascii="Calibri" w:eastAsia="Calibri" w:hAnsi="Calibri" w:cs="Calibri"/>
          <w:iCs/>
          <w:color w:val="000000"/>
          <w:sz w:val="24"/>
          <w:szCs w:val="24"/>
          <w:lang w:eastAsia="en-AU"/>
        </w:rPr>
        <w:t>should be able to rely on the statements being made not to be false or misleading. The new section 190A assists in achieving this and I refer the Committee to the explanatory statement pages 15-16. It should also be noted that persons assisting an authorised officer must be supervised by an authorised officer and are only present if their assistance is reasonably necessary (refer section 78 of the DG(RT) Act).</w:t>
      </w:r>
    </w:p>
    <w:p w14:paraId="63608D92" w14:textId="0A24130D" w:rsidR="004E31C4" w:rsidRDefault="004E31C4" w:rsidP="00057AB9">
      <w:pPr>
        <w:spacing w:after="0"/>
        <w:rPr>
          <w:rFonts w:ascii="Calibri" w:eastAsia="Calibri" w:hAnsi="Calibri" w:cs="Calibri"/>
          <w:iCs/>
          <w:color w:val="000000"/>
          <w:sz w:val="24"/>
          <w:szCs w:val="24"/>
          <w:lang w:eastAsia="en-AU"/>
        </w:rPr>
      </w:pPr>
    </w:p>
    <w:p w14:paraId="24FB9A9D" w14:textId="01692774" w:rsidR="004E31C4" w:rsidRDefault="004E31C4" w:rsidP="00057AB9">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In relation to clause 14 of the Bill which amends section 59 of the DG(RT) Act</w:t>
      </w:r>
      <w:r w:rsidR="00766BCC">
        <w:rPr>
          <w:rFonts w:ascii="Calibri" w:eastAsia="Calibri" w:hAnsi="Calibri" w:cs="Calibri"/>
          <w:iCs/>
          <w:color w:val="000000"/>
          <w:sz w:val="24"/>
          <w:szCs w:val="24"/>
          <w:lang w:eastAsia="en-AU"/>
        </w:rPr>
        <w:t xml:space="preserve"> and</w:t>
      </w:r>
      <w:r w:rsidR="00DC181F">
        <w:rPr>
          <w:rFonts w:ascii="Calibri" w:eastAsia="Calibri" w:hAnsi="Calibri" w:cs="Calibri"/>
          <w:iCs/>
          <w:color w:val="000000"/>
          <w:sz w:val="24"/>
          <w:szCs w:val="24"/>
          <w:lang w:eastAsia="en-AU"/>
        </w:rPr>
        <w:t xml:space="preserve"> directly give</w:t>
      </w:r>
      <w:r w:rsidR="00766BCC">
        <w:rPr>
          <w:rFonts w:ascii="Calibri" w:eastAsia="Calibri" w:hAnsi="Calibri" w:cs="Calibri"/>
          <w:iCs/>
          <w:color w:val="000000"/>
          <w:sz w:val="24"/>
          <w:szCs w:val="24"/>
          <w:lang w:eastAsia="en-AU"/>
        </w:rPr>
        <w:t>s</w:t>
      </w:r>
      <w:r w:rsidR="00DC181F">
        <w:rPr>
          <w:rFonts w:ascii="Calibri" w:eastAsia="Calibri" w:hAnsi="Calibri" w:cs="Calibri"/>
          <w:iCs/>
          <w:color w:val="000000"/>
          <w:sz w:val="24"/>
          <w:szCs w:val="24"/>
          <w:lang w:eastAsia="en-AU"/>
        </w:rPr>
        <w:t xml:space="preserve"> effect to the model law, </w:t>
      </w:r>
      <w:r w:rsidR="00766BCC">
        <w:rPr>
          <w:rFonts w:ascii="Calibri" w:eastAsia="Calibri" w:hAnsi="Calibri" w:cs="Calibri"/>
          <w:iCs/>
          <w:color w:val="000000"/>
          <w:sz w:val="24"/>
          <w:szCs w:val="24"/>
          <w:lang w:eastAsia="en-AU"/>
        </w:rPr>
        <w:t xml:space="preserve">it operates </w:t>
      </w:r>
      <w:r>
        <w:rPr>
          <w:rFonts w:ascii="Calibri" w:eastAsia="Calibri" w:hAnsi="Calibri" w:cs="Calibri"/>
          <w:iCs/>
          <w:color w:val="000000"/>
          <w:sz w:val="24"/>
          <w:szCs w:val="24"/>
          <w:lang w:eastAsia="en-AU"/>
        </w:rPr>
        <w:t xml:space="preserve">within the protections afforded under part 3.4 of the Act. In particular, the protection from incrimination that applies to documents under subsection 67(3). </w:t>
      </w:r>
      <w:r w:rsidR="00E705EC">
        <w:rPr>
          <w:rFonts w:ascii="Calibri" w:eastAsia="Calibri" w:hAnsi="Calibri" w:cs="Calibri"/>
          <w:iCs/>
          <w:color w:val="000000"/>
          <w:sz w:val="24"/>
          <w:szCs w:val="24"/>
          <w:lang w:eastAsia="en-AU"/>
        </w:rPr>
        <w:t xml:space="preserve">As part 3.3 includes section 59 as to be amended by this Bill, the documents (ie records, devices and other things relevant to or that indicate an offence) include documents contemplated by clause 14. </w:t>
      </w:r>
      <w:r w:rsidR="00912FD8">
        <w:rPr>
          <w:rFonts w:ascii="Calibri" w:eastAsia="Calibri" w:hAnsi="Calibri" w:cs="Calibri"/>
          <w:iCs/>
          <w:color w:val="000000"/>
          <w:sz w:val="24"/>
          <w:szCs w:val="24"/>
          <w:lang w:eastAsia="en-AU"/>
        </w:rPr>
        <w:t xml:space="preserve">While information may be gathered and documents inspected, it is necessary for those documents to be produced in the first instance. This provision under section 59 </w:t>
      </w:r>
      <w:r>
        <w:rPr>
          <w:rFonts w:ascii="Calibri" w:eastAsia="Calibri" w:hAnsi="Calibri" w:cs="Calibri"/>
          <w:iCs/>
          <w:color w:val="000000"/>
          <w:sz w:val="24"/>
          <w:szCs w:val="24"/>
          <w:lang w:eastAsia="en-AU"/>
        </w:rPr>
        <w:t>recognises that in a regulatory environment</w:t>
      </w:r>
      <w:r w:rsidR="00912FD8">
        <w:rPr>
          <w:rFonts w:ascii="Calibri" w:eastAsia="Calibri" w:hAnsi="Calibri" w:cs="Calibri"/>
          <w:iCs/>
          <w:color w:val="000000"/>
          <w:sz w:val="24"/>
          <w:szCs w:val="24"/>
          <w:lang w:eastAsia="en-AU"/>
        </w:rPr>
        <w:t>,</w:t>
      </w:r>
      <w:r>
        <w:rPr>
          <w:rFonts w:ascii="Calibri" w:eastAsia="Calibri" w:hAnsi="Calibri" w:cs="Calibri"/>
          <w:iCs/>
          <w:color w:val="000000"/>
          <w:sz w:val="24"/>
          <w:szCs w:val="24"/>
          <w:lang w:eastAsia="en-AU"/>
        </w:rPr>
        <w:t xml:space="preserve"> directions may be necessary in order to </w:t>
      </w:r>
      <w:r w:rsidR="003244E4">
        <w:rPr>
          <w:rFonts w:ascii="Calibri" w:eastAsia="Calibri" w:hAnsi="Calibri" w:cs="Calibri"/>
          <w:iCs/>
          <w:color w:val="000000"/>
          <w:sz w:val="24"/>
          <w:szCs w:val="24"/>
          <w:lang w:eastAsia="en-AU"/>
        </w:rPr>
        <w:t>gather evidence of non</w:t>
      </w:r>
      <w:r w:rsidR="00766BCC">
        <w:rPr>
          <w:rFonts w:ascii="Calibri" w:eastAsia="Calibri" w:hAnsi="Calibri" w:cs="Calibri"/>
          <w:iCs/>
          <w:color w:val="000000"/>
          <w:sz w:val="24"/>
          <w:szCs w:val="24"/>
          <w:lang w:eastAsia="en-AU"/>
        </w:rPr>
        <w:noBreakHyphen/>
      </w:r>
      <w:r>
        <w:rPr>
          <w:rFonts w:ascii="Calibri" w:eastAsia="Calibri" w:hAnsi="Calibri" w:cs="Calibri"/>
          <w:iCs/>
          <w:color w:val="000000"/>
          <w:sz w:val="24"/>
          <w:szCs w:val="24"/>
          <w:lang w:eastAsia="en-AU"/>
        </w:rPr>
        <w:t xml:space="preserve">compliance with the </w:t>
      </w:r>
      <w:r w:rsidR="003244E4">
        <w:rPr>
          <w:rFonts w:ascii="Calibri" w:eastAsia="Calibri" w:hAnsi="Calibri" w:cs="Calibri"/>
          <w:iCs/>
          <w:color w:val="000000"/>
          <w:sz w:val="24"/>
          <w:szCs w:val="24"/>
          <w:lang w:eastAsia="en-AU"/>
        </w:rPr>
        <w:t>Act</w:t>
      </w:r>
      <w:r w:rsidR="00912FD8">
        <w:rPr>
          <w:rFonts w:ascii="Calibri" w:eastAsia="Calibri" w:hAnsi="Calibri" w:cs="Calibri"/>
          <w:iCs/>
          <w:color w:val="000000"/>
          <w:sz w:val="24"/>
          <w:szCs w:val="24"/>
          <w:lang w:eastAsia="en-AU"/>
        </w:rPr>
        <w:t>. H</w:t>
      </w:r>
      <w:r>
        <w:rPr>
          <w:rFonts w:ascii="Calibri" w:eastAsia="Calibri" w:hAnsi="Calibri" w:cs="Calibri"/>
          <w:iCs/>
          <w:color w:val="000000"/>
          <w:sz w:val="24"/>
          <w:szCs w:val="24"/>
          <w:lang w:eastAsia="en-AU"/>
        </w:rPr>
        <w:t xml:space="preserve">owever, the principles of self-incrimination </w:t>
      </w:r>
      <w:r w:rsidR="00912FD8">
        <w:rPr>
          <w:rFonts w:ascii="Calibri" w:eastAsia="Calibri" w:hAnsi="Calibri" w:cs="Calibri"/>
          <w:iCs/>
          <w:color w:val="000000"/>
          <w:sz w:val="24"/>
          <w:szCs w:val="24"/>
          <w:lang w:eastAsia="en-AU"/>
        </w:rPr>
        <w:t xml:space="preserve">are preserved </w:t>
      </w:r>
      <w:r>
        <w:rPr>
          <w:rFonts w:ascii="Calibri" w:eastAsia="Calibri" w:hAnsi="Calibri" w:cs="Calibri"/>
          <w:iCs/>
          <w:color w:val="000000"/>
          <w:sz w:val="24"/>
          <w:szCs w:val="24"/>
          <w:lang w:eastAsia="en-AU"/>
        </w:rPr>
        <w:t xml:space="preserve">by </w:t>
      </w:r>
      <w:r w:rsidR="00E705EC">
        <w:rPr>
          <w:rFonts w:ascii="Calibri" w:eastAsia="Calibri" w:hAnsi="Calibri" w:cs="Calibri"/>
          <w:iCs/>
          <w:color w:val="000000"/>
          <w:sz w:val="24"/>
          <w:szCs w:val="24"/>
          <w:lang w:eastAsia="en-AU"/>
        </w:rPr>
        <w:t>making documents obtained under part 3.3 not admissible in criminal proceedings against the person.</w:t>
      </w:r>
    </w:p>
    <w:p w14:paraId="1F67E372" w14:textId="2B43A77B" w:rsidR="00E705EC" w:rsidRDefault="00E705EC" w:rsidP="00057AB9">
      <w:pPr>
        <w:spacing w:after="0"/>
        <w:rPr>
          <w:rFonts w:ascii="Calibri" w:eastAsia="Calibri" w:hAnsi="Calibri" w:cs="Calibri"/>
          <w:iCs/>
          <w:color w:val="000000"/>
          <w:sz w:val="24"/>
          <w:szCs w:val="24"/>
          <w:lang w:eastAsia="en-AU"/>
        </w:rPr>
      </w:pPr>
    </w:p>
    <w:p w14:paraId="5D7CD3AD" w14:textId="20750BA8" w:rsidR="00DC181F" w:rsidRDefault="00DC181F" w:rsidP="00057AB9">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On the amendments to section 72 of the DG(RT) Act</w:t>
      </w:r>
      <w:r w:rsidR="003D7292">
        <w:rPr>
          <w:rFonts w:ascii="Calibri" w:eastAsia="Calibri" w:hAnsi="Calibri" w:cs="Calibri"/>
          <w:iCs/>
          <w:color w:val="000000"/>
          <w:sz w:val="24"/>
          <w:szCs w:val="24"/>
          <w:lang w:eastAsia="en-AU"/>
        </w:rPr>
        <w:t xml:space="preserve"> and</w:t>
      </w:r>
      <w:r>
        <w:rPr>
          <w:rFonts w:ascii="Calibri" w:eastAsia="Calibri" w:hAnsi="Calibri" w:cs="Calibri"/>
          <w:iCs/>
          <w:color w:val="000000"/>
          <w:sz w:val="24"/>
          <w:szCs w:val="24"/>
          <w:lang w:eastAsia="en-AU"/>
        </w:rPr>
        <w:t xml:space="preserve"> in the context of ensuring compliance with t</w:t>
      </w:r>
      <w:r w:rsidR="003D7292">
        <w:rPr>
          <w:rFonts w:ascii="Calibri" w:eastAsia="Calibri" w:hAnsi="Calibri" w:cs="Calibri"/>
          <w:iCs/>
          <w:color w:val="000000"/>
          <w:sz w:val="24"/>
          <w:szCs w:val="24"/>
          <w:lang w:eastAsia="en-AU"/>
        </w:rPr>
        <w:t>he</w:t>
      </w:r>
      <w:r>
        <w:rPr>
          <w:rFonts w:ascii="Calibri" w:eastAsia="Calibri" w:hAnsi="Calibri" w:cs="Calibri"/>
          <w:iCs/>
          <w:color w:val="000000"/>
          <w:sz w:val="24"/>
          <w:szCs w:val="24"/>
          <w:lang w:eastAsia="en-AU"/>
        </w:rPr>
        <w:t xml:space="preserve"> Act in protecting the safety of workers and the community associated with the transport of dangerous goods on our roads, the ability to enforce this legislation is critical. The nature of working arrangements is </w:t>
      </w:r>
      <w:r w:rsidR="00912FD8">
        <w:rPr>
          <w:rFonts w:ascii="Calibri" w:eastAsia="Calibri" w:hAnsi="Calibri" w:cs="Calibri"/>
          <w:iCs/>
          <w:color w:val="000000"/>
          <w:sz w:val="24"/>
          <w:szCs w:val="24"/>
          <w:lang w:eastAsia="en-AU"/>
        </w:rPr>
        <w:t>constantly changing and now more so than ever, people are conducting their businesses from home. This does not mean that compliance with the Territory’s dangerous goods laws cannot be enforced simply because the workplace is also the person’s residence</w:t>
      </w:r>
      <w:r w:rsidR="00B331E6">
        <w:rPr>
          <w:rFonts w:ascii="Calibri" w:eastAsia="Calibri" w:hAnsi="Calibri" w:cs="Calibri"/>
          <w:iCs/>
          <w:color w:val="000000"/>
          <w:sz w:val="24"/>
          <w:szCs w:val="24"/>
          <w:lang w:eastAsia="en-AU"/>
        </w:rPr>
        <w:t>, nor does it mean that compliance activities can be frustrated simply because it is also a person’s residence</w:t>
      </w:r>
      <w:r w:rsidR="00912FD8">
        <w:rPr>
          <w:rFonts w:ascii="Calibri" w:eastAsia="Calibri" w:hAnsi="Calibri" w:cs="Calibri"/>
          <w:iCs/>
          <w:color w:val="000000"/>
          <w:sz w:val="24"/>
          <w:szCs w:val="24"/>
          <w:lang w:eastAsia="en-AU"/>
        </w:rPr>
        <w:t>.</w:t>
      </w:r>
      <w:r w:rsidR="00B331E6">
        <w:rPr>
          <w:rFonts w:ascii="Calibri" w:eastAsia="Calibri" w:hAnsi="Calibri" w:cs="Calibri"/>
          <w:iCs/>
          <w:color w:val="000000"/>
          <w:sz w:val="24"/>
          <w:szCs w:val="24"/>
          <w:lang w:eastAsia="en-AU"/>
        </w:rPr>
        <w:t xml:space="preserve"> This provision, consistent with the model laws, does however maintain that entry cannot be made without consent or a warrant where it is genuinely used for residential purposes.</w:t>
      </w:r>
    </w:p>
    <w:p w14:paraId="752A5405" w14:textId="73E63016" w:rsidR="00912FD8" w:rsidRDefault="00912FD8" w:rsidP="00057AB9">
      <w:pPr>
        <w:spacing w:after="0"/>
        <w:rPr>
          <w:rFonts w:ascii="Calibri" w:eastAsia="Calibri" w:hAnsi="Calibri" w:cs="Calibri"/>
          <w:iCs/>
          <w:color w:val="000000"/>
          <w:sz w:val="24"/>
          <w:szCs w:val="24"/>
          <w:lang w:eastAsia="en-AU"/>
        </w:rPr>
      </w:pPr>
    </w:p>
    <w:p w14:paraId="60CFA7F6" w14:textId="467C674C" w:rsidR="00912FD8" w:rsidRPr="004E31C4" w:rsidRDefault="00912FD8" w:rsidP="00057AB9">
      <w:pPr>
        <w:spacing w:after="0"/>
        <w:rPr>
          <w:lang w:eastAsia="en-AU"/>
        </w:rPr>
      </w:pPr>
      <w:r>
        <w:rPr>
          <w:rFonts w:ascii="Calibri" w:eastAsia="Calibri" w:hAnsi="Calibri" w:cs="Calibri"/>
          <w:iCs/>
          <w:color w:val="000000"/>
          <w:sz w:val="24"/>
          <w:szCs w:val="24"/>
          <w:lang w:eastAsia="en-AU"/>
        </w:rPr>
        <w:t xml:space="preserve">Finally, in relation to the transitional provisions </w:t>
      </w:r>
      <w:r w:rsidR="00B331E6">
        <w:rPr>
          <w:rFonts w:ascii="Calibri" w:eastAsia="Calibri" w:hAnsi="Calibri" w:cs="Calibri"/>
          <w:iCs/>
          <w:color w:val="000000"/>
          <w:sz w:val="24"/>
          <w:szCs w:val="24"/>
          <w:lang w:eastAsia="en-AU"/>
        </w:rPr>
        <w:t>in clause 93 of the Bill</w:t>
      </w:r>
      <w:r w:rsidR="0018792B">
        <w:rPr>
          <w:rFonts w:ascii="Calibri" w:eastAsia="Calibri" w:hAnsi="Calibri" w:cs="Calibri"/>
          <w:iCs/>
          <w:color w:val="000000"/>
          <w:sz w:val="24"/>
          <w:szCs w:val="24"/>
          <w:lang w:eastAsia="en-AU"/>
        </w:rPr>
        <w:t>,</w:t>
      </w:r>
      <w:r>
        <w:rPr>
          <w:rFonts w:ascii="Calibri" w:eastAsia="Calibri" w:hAnsi="Calibri" w:cs="Calibri"/>
          <w:iCs/>
          <w:color w:val="000000"/>
          <w:sz w:val="24"/>
          <w:szCs w:val="24"/>
          <w:lang w:eastAsia="en-AU"/>
        </w:rPr>
        <w:t xml:space="preserve"> </w:t>
      </w:r>
      <w:r w:rsidR="0018792B">
        <w:rPr>
          <w:rFonts w:ascii="Calibri" w:eastAsia="Calibri" w:hAnsi="Calibri" w:cs="Calibri"/>
          <w:iCs/>
          <w:color w:val="000000"/>
          <w:sz w:val="24"/>
          <w:szCs w:val="24"/>
          <w:lang w:eastAsia="en-AU"/>
        </w:rPr>
        <w:t xml:space="preserve">these provisions are necessary to ensure </w:t>
      </w:r>
      <w:r w:rsidR="00FA40E1">
        <w:rPr>
          <w:rFonts w:ascii="Calibri" w:eastAsia="Calibri" w:hAnsi="Calibri" w:cs="Calibri"/>
          <w:iCs/>
          <w:color w:val="000000"/>
          <w:sz w:val="24"/>
          <w:szCs w:val="24"/>
          <w:lang w:eastAsia="en-AU"/>
        </w:rPr>
        <w:t xml:space="preserve">approved </w:t>
      </w:r>
      <w:r w:rsidR="0018792B">
        <w:rPr>
          <w:rFonts w:ascii="Calibri" w:eastAsia="Calibri" w:hAnsi="Calibri" w:cs="Calibri"/>
          <w:iCs/>
          <w:color w:val="000000"/>
          <w:sz w:val="24"/>
          <w:szCs w:val="24"/>
          <w:lang w:eastAsia="en-AU"/>
        </w:rPr>
        <w:t>workers’ compensation insurer</w:t>
      </w:r>
      <w:r w:rsidR="00FA40E1">
        <w:rPr>
          <w:rFonts w:ascii="Calibri" w:eastAsia="Calibri" w:hAnsi="Calibri" w:cs="Calibri"/>
          <w:iCs/>
          <w:color w:val="000000"/>
          <w:sz w:val="24"/>
          <w:szCs w:val="24"/>
          <w:lang w:eastAsia="en-AU"/>
        </w:rPr>
        <w:t>s</w:t>
      </w:r>
      <w:r w:rsidR="0018792B">
        <w:rPr>
          <w:rFonts w:ascii="Calibri" w:eastAsia="Calibri" w:hAnsi="Calibri" w:cs="Calibri"/>
          <w:iCs/>
          <w:color w:val="000000"/>
          <w:sz w:val="24"/>
          <w:szCs w:val="24"/>
          <w:lang w:eastAsia="en-AU"/>
        </w:rPr>
        <w:t xml:space="preserve"> and </w:t>
      </w:r>
      <w:r w:rsidR="00FA40E1">
        <w:rPr>
          <w:rFonts w:ascii="Calibri" w:eastAsia="Calibri" w:hAnsi="Calibri" w:cs="Calibri"/>
          <w:iCs/>
          <w:color w:val="000000"/>
          <w:sz w:val="24"/>
          <w:szCs w:val="24"/>
          <w:lang w:eastAsia="en-AU"/>
        </w:rPr>
        <w:t xml:space="preserve">exempted </w:t>
      </w:r>
      <w:r w:rsidR="0018792B">
        <w:rPr>
          <w:rFonts w:ascii="Calibri" w:eastAsia="Calibri" w:hAnsi="Calibri" w:cs="Calibri"/>
          <w:iCs/>
          <w:color w:val="000000"/>
          <w:sz w:val="24"/>
          <w:szCs w:val="24"/>
          <w:lang w:eastAsia="en-AU"/>
        </w:rPr>
        <w:t>self</w:t>
      </w:r>
      <w:r w:rsidR="0018792B">
        <w:rPr>
          <w:rFonts w:ascii="Calibri" w:eastAsia="Calibri" w:hAnsi="Calibri" w:cs="Calibri"/>
          <w:iCs/>
          <w:color w:val="000000"/>
          <w:sz w:val="24"/>
          <w:szCs w:val="24"/>
          <w:lang w:eastAsia="en-AU"/>
        </w:rPr>
        <w:noBreakHyphen/>
        <w:t>insurer</w:t>
      </w:r>
      <w:r w:rsidR="00FA40E1">
        <w:rPr>
          <w:rFonts w:ascii="Calibri" w:eastAsia="Calibri" w:hAnsi="Calibri" w:cs="Calibri"/>
          <w:iCs/>
          <w:color w:val="000000"/>
          <w:sz w:val="24"/>
          <w:szCs w:val="24"/>
          <w:lang w:eastAsia="en-AU"/>
        </w:rPr>
        <w:t>s</w:t>
      </w:r>
      <w:r w:rsidR="0018792B">
        <w:rPr>
          <w:rFonts w:ascii="Calibri" w:eastAsia="Calibri" w:hAnsi="Calibri" w:cs="Calibri"/>
          <w:iCs/>
          <w:color w:val="000000"/>
          <w:sz w:val="24"/>
          <w:szCs w:val="24"/>
          <w:lang w:eastAsia="en-AU"/>
        </w:rPr>
        <w:t xml:space="preserve"> </w:t>
      </w:r>
      <w:r w:rsidR="00FA40E1">
        <w:rPr>
          <w:rFonts w:ascii="Calibri" w:eastAsia="Calibri" w:hAnsi="Calibri" w:cs="Calibri"/>
          <w:iCs/>
          <w:color w:val="000000"/>
          <w:sz w:val="24"/>
          <w:szCs w:val="24"/>
          <w:lang w:eastAsia="en-AU"/>
        </w:rPr>
        <w:t xml:space="preserve">continue to be able to operate under the </w:t>
      </w:r>
      <w:r w:rsidR="00FA40E1" w:rsidRPr="0018792B">
        <w:rPr>
          <w:rFonts w:ascii="Calibri" w:eastAsia="Calibri" w:hAnsi="Calibri" w:cs="Calibri"/>
          <w:i/>
          <w:color w:val="000000"/>
          <w:sz w:val="24"/>
          <w:szCs w:val="24"/>
          <w:lang w:eastAsia="en-AU"/>
        </w:rPr>
        <w:t>Workers Compensation Act 1951</w:t>
      </w:r>
      <w:r w:rsidR="00FA40E1">
        <w:rPr>
          <w:rFonts w:ascii="Calibri" w:eastAsia="Calibri" w:hAnsi="Calibri" w:cs="Calibri"/>
          <w:iCs/>
          <w:color w:val="000000"/>
          <w:sz w:val="24"/>
          <w:szCs w:val="24"/>
          <w:lang w:eastAsia="en-AU"/>
        </w:rPr>
        <w:t xml:space="preserve"> and provide support to injured workers while the new licensing scheme is being implemented.</w:t>
      </w:r>
      <w:r w:rsidR="0018792B">
        <w:rPr>
          <w:rFonts w:ascii="Calibri" w:eastAsia="Calibri" w:hAnsi="Calibri" w:cs="Calibri"/>
          <w:iCs/>
          <w:color w:val="000000"/>
          <w:sz w:val="24"/>
          <w:szCs w:val="24"/>
          <w:lang w:eastAsia="en-AU"/>
        </w:rPr>
        <w:t xml:space="preserve"> </w:t>
      </w:r>
      <w:r w:rsidR="000F602E">
        <w:rPr>
          <w:rFonts w:ascii="Calibri" w:eastAsia="Calibri" w:hAnsi="Calibri" w:cs="Calibri"/>
          <w:iCs/>
          <w:color w:val="000000"/>
          <w:sz w:val="24"/>
          <w:szCs w:val="24"/>
          <w:lang w:eastAsia="en-AU"/>
        </w:rPr>
        <w:t>The impact of any regulations</w:t>
      </w:r>
      <w:r w:rsidR="00FA40E1">
        <w:rPr>
          <w:rFonts w:ascii="Calibri" w:eastAsia="Calibri" w:hAnsi="Calibri" w:cs="Calibri"/>
          <w:iCs/>
          <w:color w:val="000000"/>
          <w:sz w:val="24"/>
          <w:szCs w:val="24"/>
          <w:lang w:eastAsia="en-AU"/>
        </w:rPr>
        <w:t xml:space="preserve">, only necessary should there be any unforeseen legislative impediments to that continuity </w:t>
      </w:r>
      <w:r w:rsidR="008421D0">
        <w:rPr>
          <w:rFonts w:ascii="Calibri" w:eastAsia="Calibri" w:hAnsi="Calibri" w:cs="Calibri"/>
          <w:iCs/>
          <w:color w:val="000000"/>
          <w:sz w:val="24"/>
          <w:szCs w:val="24"/>
          <w:lang w:eastAsia="en-AU"/>
        </w:rPr>
        <w:t xml:space="preserve">arising </w:t>
      </w:r>
      <w:r w:rsidR="00FA40E1">
        <w:rPr>
          <w:rFonts w:ascii="Calibri" w:eastAsia="Calibri" w:hAnsi="Calibri" w:cs="Calibri"/>
          <w:iCs/>
          <w:color w:val="000000"/>
          <w:sz w:val="24"/>
          <w:szCs w:val="24"/>
          <w:lang w:eastAsia="en-AU"/>
        </w:rPr>
        <w:t>during the transition period,</w:t>
      </w:r>
      <w:r w:rsidR="000F602E">
        <w:rPr>
          <w:rFonts w:ascii="Calibri" w:eastAsia="Calibri" w:hAnsi="Calibri" w:cs="Calibri"/>
          <w:iCs/>
          <w:color w:val="000000"/>
          <w:sz w:val="24"/>
          <w:szCs w:val="24"/>
          <w:lang w:eastAsia="en-AU"/>
        </w:rPr>
        <w:t xml:space="preserve"> </w:t>
      </w:r>
      <w:r w:rsidR="006F537B">
        <w:rPr>
          <w:rFonts w:ascii="Calibri" w:eastAsia="Calibri" w:hAnsi="Calibri" w:cs="Calibri"/>
          <w:iCs/>
          <w:color w:val="000000"/>
          <w:sz w:val="24"/>
          <w:szCs w:val="24"/>
          <w:lang w:eastAsia="en-AU"/>
        </w:rPr>
        <w:t xml:space="preserve">would be temporary and </w:t>
      </w:r>
      <w:r w:rsidR="00FA40E1">
        <w:rPr>
          <w:rFonts w:ascii="Calibri" w:eastAsia="Calibri" w:hAnsi="Calibri" w:cs="Calibri"/>
          <w:iCs/>
          <w:color w:val="000000"/>
          <w:sz w:val="24"/>
          <w:szCs w:val="24"/>
          <w:lang w:eastAsia="en-AU"/>
        </w:rPr>
        <w:t xml:space="preserve">are </w:t>
      </w:r>
      <w:r w:rsidR="0018792B">
        <w:rPr>
          <w:rFonts w:ascii="Calibri" w:eastAsia="Calibri" w:hAnsi="Calibri" w:cs="Calibri"/>
          <w:iCs/>
          <w:color w:val="000000"/>
          <w:sz w:val="24"/>
          <w:szCs w:val="24"/>
          <w:lang w:eastAsia="en-AU"/>
        </w:rPr>
        <w:t xml:space="preserve">limited to matters that are necessary and convenient to give effect to the </w:t>
      </w:r>
      <w:r w:rsidR="00FA40E1">
        <w:rPr>
          <w:rFonts w:ascii="Calibri" w:eastAsia="Calibri" w:hAnsi="Calibri" w:cs="Calibri"/>
          <w:iCs/>
          <w:color w:val="000000"/>
          <w:sz w:val="24"/>
          <w:szCs w:val="24"/>
          <w:lang w:eastAsia="en-AU"/>
        </w:rPr>
        <w:t>current approvals or exemptions (as appropriate).</w:t>
      </w:r>
      <w:r w:rsidR="000F602E">
        <w:rPr>
          <w:rFonts w:ascii="Calibri" w:eastAsia="Calibri" w:hAnsi="Calibri" w:cs="Calibri"/>
          <w:iCs/>
          <w:color w:val="000000"/>
          <w:sz w:val="24"/>
          <w:szCs w:val="24"/>
          <w:lang w:eastAsia="en-AU"/>
        </w:rPr>
        <w:t xml:space="preserve"> As such</w:t>
      </w:r>
      <w:r w:rsidR="008421D0">
        <w:rPr>
          <w:rFonts w:ascii="Calibri" w:eastAsia="Calibri" w:hAnsi="Calibri" w:cs="Calibri"/>
          <w:iCs/>
          <w:color w:val="000000"/>
          <w:sz w:val="24"/>
          <w:szCs w:val="24"/>
          <w:lang w:eastAsia="en-AU"/>
        </w:rPr>
        <w:t>,</w:t>
      </w:r>
      <w:r w:rsidR="000F602E">
        <w:rPr>
          <w:rFonts w:ascii="Calibri" w:eastAsia="Calibri" w:hAnsi="Calibri" w:cs="Calibri"/>
          <w:iCs/>
          <w:color w:val="000000"/>
          <w:sz w:val="24"/>
          <w:szCs w:val="24"/>
          <w:lang w:eastAsia="en-AU"/>
        </w:rPr>
        <w:t xml:space="preserve"> they will have no</w:t>
      </w:r>
      <w:r w:rsidR="006F537B">
        <w:rPr>
          <w:rFonts w:ascii="Calibri" w:eastAsia="Calibri" w:hAnsi="Calibri" w:cs="Calibri"/>
          <w:iCs/>
          <w:color w:val="000000"/>
          <w:sz w:val="24"/>
          <w:szCs w:val="24"/>
          <w:lang w:eastAsia="en-AU"/>
        </w:rPr>
        <w:t xml:space="preserve"> ongoing</w:t>
      </w:r>
      <w:r w:rsidR="000F602E">
        <w:rPr>
          <w:rFonts w:ascii="Calibri" w:eastAsia="Calibri" w:hAnsi="Calibri" w:cs="Calibri"/>
          <w:iCs/>
          <w:color w:val="000000"/>
          <w:sz w:val="24"/>
          <w:szCs w:val="24"/>
          <w:lang w:eastAsia="en-AU"/>
        </w:rPr>
        <w:t xml:space="preserve"> impact once the</w:t>
      </w:r>
      <w:r w:rsidR="00FA40E1">
        <w:rPr>
          <w:rFonts w:ascii="Calibri" w:eastAsia="Calibri" w:hAnsi="Calibri" w:cs="Calibri"/>
          <w:iCs/>
          <w:color w:val="000000"/>
          <w:sz w:val="24"/>
          <w:szCs w:val="24"/>
          <w:lang w:eastAsia="en-AU"/>
        </w:rPr>
        <w:t xml:space="preserve"> new licensing </w:t>
      </w:r>
      <w:r w:rsidR="00FA40E1">
        <w:rPr>
          <w:rFonts w:ascii="Calibri" w:eastAsia="Calibri" w:hAnsi="Calibri" w:cs="Calibri"/>
          <w:iCs/>
          <w:color w:val="000000"/>
          <w:sz w:val="24"/>
          <w:szCs w:val="24"/>
          <w:lang w:eastAsia="en-AU"/>
        </w:rPr>
        <w:lastRenderedPageBreak/>
        <w:t xml:space="preserve">scheme comes into effect and the current approval periods </w:t>
      </w:r>
      <w:r w:rsidR="008421D0">
        <w:rPr>
          <w:rFonts w:ascii="Calibri" w:eastAsia="Calibri" w:hAnsi="Calibri" w:cs="Calibri"/>
          <w:iCs/>
          <w:color w:val="000000"/>
          <w:sz w:val="24"/>
          <w:szCs w:val="24"/>
          <w:lang w:eastAsia="en-AU"/>
        </w:rPr>
        <w:t xml:space="preserve">for insurers </w:t>
      </w:r>
      <w:r w:rsidR="00FA40E1">
        <w:rPr>
          <w:rFonts w:ascii="Calibri" w:eastAsia="Calibri" w:hAnsi="Calibri" w:cs="Calibri"/>
          <w:iCs/>
          <w:color w:val="000000"/>
          <w:sz w:val="24"/>
          <w:szCs w:val="24"/>
          <w:lang w:eastAsia="en-AU"/>
        </w:rPr>
        <w:t xml:space="preserve">and exemptions </w:t>
      </w:r>
      <w:r w:rsidR="008421D0">
        <w:rPr>
          <w:rFonts w:ascii="Calibri" w:eastAsia="Calibri" w:hAnsi="Calibri" w:cs="Calibri"/>
          <w:iCs/>
          <w:color w:val="000000"/>
          <w:sz w:val="24"/>
          <w:szCs w:val="24"/>
          <w:lang w:eastAsia="en-AU"/>
        </w:rPr>
        <w:t xml:space="preserve">for self-insurers </w:t>
      </w:r>
      <w:r w:rsidR="00FA40E1">
        <w:rPr>
          <w:rFonts w:ascii="Calibri" w:eastAsia="Calibri" w:hAnsi="Calibri" w:cs="Calibri"/>
          <w:iCs/>
          <w:color w:val="000000"/>
          <w:sz w:val="24"/>
          <w:szCs w:val="24"/>
          <w:lang w:eastAsia="en-AU"/>
        </w:rPr>
        <w:t>expire.</w:t>
      </w:r>
    </w:p>
    <w:p w14:paraId="775CAC66" w14:textId="394EC8DB" w:rsidR="00355845" w:rsidRDefault="00355845" w:rsidP="007649E4">
      <w:pPr>
        <w:spacing w:after="0"/>
        <w:rPr>
          <w:rFonts w:ascii="Calibri" w:eastAsia="Calibri" w:hAnsi="Calibri" w:cs="Calibri"/>
          <w:iCs/>
          <w:color w:val="000000"/>
          <w:sz w:val="24"/>
          <w:szCs w:val="24"/>
          <w:lang w:eastAsia="en-AU"/>
        </w:rPr>
      </w:pPr>
    </w:p>
    <w:p w14:paraId="00DA242E" w14:textId="586F45EB" w:rsidR="00CE54F9" w:rsidRPr="00E04787" w:rsidRDefault="00CE54F9" w:rsidP="007649E4">
      <w:pPr>
        <w:spacing w:after="0"/>
        <w:rPr>
          <w:rFonts w:ascii="Calibri" w:eastAsia="Calibri" w:hAnsi="Calibri" w:cs="Calibri"/>
          <w:iCs/>
          <w:color w:val="000000"/>
          <w:sz w:val="24"/>
          <w:szCs w:val="24"/>
          <w:lang w:eastAsia="en-AU"/>
        </w:rPr>
      </w:pPr>
      <w:r>
        <w:rPr>
          <w:rFonts w:ascii="Calibri" w:eastAsia="Calibri" w:hAnsi="Calibri" w:cs="Calibri"/>
          <w:iCs/>
          <w:color w:val="000000"/>
          <w:sz w:val="24"/>
          <w:szCs w:val="24"/>
          <w:lang w:eastAsia="en-AU"/>
        </w:rPr>
        <w:t>I thank the Committee for their consideration of th</w:t>
      </w:r>
      <w:r w:rsidR="00E2132F">
        <w:rPr>
          <w:rFonts w:ascii="Calibri" w:eastAsia="Calibri" w:hAnsi="Calibri" w:cs="Calibri"/>
          <w:iCs/>
          <w:color w:val="000000"/>
          <w:sz w:val="24"/>
          <w:szCs w:val="24"/>
          <w:lang w:eastAsia="en-AU"/>
        </w:rPr>
        <w:t xml:space="preserve">is Bill and </w:t>
      </w:r>
      <w:r>
        <w:rPr>
          <w:rFonts w:ascii="Calibri" w:eastAsia="Calibri" w:hAnsi="Calibri" w:cs="Calibri"/>
          <w:iCs/>
          <w:color w:val="000000"/>
          <w:sz w:val="24"/>
          <w:szCs w:val="24"/>
          <w:lang w:eastAsia="en-AU"/>
        </w:rPr>
        <w:t xml:space="preserve">trust that the above information </w:t>
      </w:r>
      <w:r w:rsidR="00E2132F">
        <w:rPr>
          <w:rFonts w:ascii="Calibri" w:eastAsia="Calibri" w:hAnsi="Calibri" w:cs="Calibri"/>
          <w:iCs/>
          <w:color w:val="000000"/>
          <w:sz w:val="24"/>
          <w:szCs w:val="24"/>
          <w:lang w:eastAsia="en-AU"/>
        </w:rPr>
        <w:t xml:space="preserve">provides the </w:t>
      </w:r>
      <w:r w:rsidR="00894EEC">
        <w:rPr>
          <w:rFonts w:ascii="Calibri" w:eastAsia="Calibri" w:hAnsi="Calibri" w:cs="Calibri"/>
          <w:iCs/>
          <w:color w:val="000000"/>
          <w:sz w:val="24"/>
          <w:szCs w:val="24"/>
          <w:lang w:eastAsia="en-AU"/>
        </w:rPr>
        <w:t xml:space="preserve">clarification </w:t>
      </w:r>
      <w:r w:rsidR="00E2132F">
        <w:rPr>
          <w:rFonts w:ascii="Calibri" w:eastAsia="Calibri" w:hAnsi="Calibri" w:cs="Calibri"/>
          <w:iCs/>
          <w:color w:val="000000"/>
          <w:sz w:val="24"/>
          <w:szCs w:val="24"/>
          <w:lang w:eastAsia="en-AU"/>
        </w:rPr>
        <w:t>sought by the Committee.</w:t>
      </w:r>
    </w:p>
    <w:p w14:paraId="05BD3241" w14:textId="77777777" w:rsidR="00AD7D31" w:rsidRPr="00A031A0" w:rsidRDefault="00AD7D31" w:rsidP="00AD7D31">
      <w:pPr>
        <w:spacing w:after="0" w:line="240" w:lineRule="auto"/>
        <w:rPr>
          <w:rFonts w:ascii="Calibri" w:hAnsi="Calibri"/>
          <w:sz w:val="24"/>
          <w:szCs w:val="24"/>
        </w:rPr>
      </w:pPr>
    </w:p>
    <w:p w14:paraId="463D9193"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43068374" w14:textId="3D05A8DB" w:rsidR="00AD7D31" w:rsidRDefault="00834846" w:rsidP="00AD7D31">
      <w:pPr>
        <w:spacing w:after="0" w:line="240" w:lineRule="auto"/>
        <w:rPr>
          <w:rFonts w:ascii="Calibri" w:hAnsi="Calibri"/>
          <w:sz w:val="24"/>
          <w:szCs w:val="24"/>
        </w:rPr>
      </w:pPr>
      <w:r w:rsidRPr="00A031A0">
        <w:rPr>
          <w:rFonts w:ascii="Calibri" w:hAnsi="Calibri"/>
          <w:sz w:val="24"/>
          <w:szCs w:val="24"/>
        </w:rPr>
        <w:br/>
      </w:r>
    </w:p>
    <w:p w14:paraId="1D2B9E7F" w14:textId="77777777" w:rsidR="00894EEC" w:rsidRDefault="00894EEC" w:rsidP="00AD7D31">
      <w:pPr>
        <w:spacing w:after="0" w:line="240" w:lineRule="auto"/>
        <w:rPr>
          <w:rFonts w:ascii="Calibri" w:hAnsi="Calibri"/>
          <w:sz w:val="24"/>
          <w:szCs w:val="24"/>
        </w:rPr>
      </w:pPr>
    </w:p>
    <w:p w14:paraId="6BEDC4D1" w14:textId="77777777" w:rsidR="00285D18" w:rsidRPr="00A031A0" w:rsidRDefault="00285D18" w:rsidP="00AD7D31">
      <w:pPr>
        <w:spacing w:after="0" w:line="240" w:lineRule="auto"/>
        <w:rPr>
          <w:rFonts w:ascii="Calibri" w:hAnsi="Calibri"/>
          <w:sz w:val="24"/>
          <w:szCs w:val="24"/>
        </w:rPr>
      </w:pPr>
    </w:p>
    <w:p w14:paraId="1BA4714D" w14:textId="77777777" w:rsidR="00AD7D31" w:rsidRPr="00A031A0" w:rsidRDefault="00885A0B" w:rsidP="00AD7D31">
      <w:pPr>
        <w:spacing w:after="0" w:line="240" w:lineRule="auto"/>
        <w:rPr>
          <w:rFonts w:ascii="Calibri" w:hAnsi="Calibri"/>
          <w:sz w:val="24"/>
          <w:szCs w:val="24"/>
        </w:rPr>
      </w:pPr>
      <w:r>
        <w:rPr>
          <w:rFonts w:ascii="Calibri" w:hAnsi="Calibri"/>
          <w:sz w:val="24"/>
          <w:szCs w:val="24"/>
        </w:rPr>
        <w:t>Suzanne Orr</w:t>
      </w:r>
      <w:r w:rsidR="00AD7D31" w:rsidRPr="00A031A0">
        <w:rPr>
          <w:rFonts w:ascii="Calibri" w:hAnsi="Calibri"/>
          <w:sz w:val="24"/>
          <w:szCs w:val="24"/>
        </w:rPr>
        <w:t xml:space="preserve"> MLA</w:t>
      </w:r>
    </w:p>
    <w:p w14:paraId="3A316CCE" w14:textId="04C82C04" w:rsidR="0055749D" w:rsidRPr="006769D0" w:rsidRDefault="00A5546D" w:rsidP="006769D0">
      <w:pPr>
        <w:pStyle w:val="Header"/>
        <w:tabs>
          <w:tab w:val="left" w:pos="720"/>
        </w:tabs>
        <w:rPr>
          <w:rFonts w:ascii="Calibri" w:hAnsi="Calibri"/>
          <w:sz w:val="24"/>
          <w:szCs w:val="24"/>
        </w:rPr>
      </w:pPr>
      <w:r>
        <w:rPr>
          <w:rFonts w:ascii="Calibri" w:hAnsi="Calibri"/>
          <w:sz w:val="24"/>
          <w:szCs w:val="24"/>
        </w:rPr>
        <w:t>Minister for Employment and Workplace Safety</w:t>
      </w:r>
      <w:r w:rsidR="0061634E" w:rsidRPr="009C2877">
        <w:rPr>
          <w:noProof/>
          <w:sz w:val="20"/>
          <w:szCs w:val="20"/>
          <w:lang w:eastAsia="en-AU"/>
        </w:rPr>
        <mc:AlternateContent>
          <mc:Choice Requires="wps">
            <w:drawing>
              <wp:anchor distT="0" distB="0" distL="114300" distR="114300" simplePos="0" relativeHeight="251666432" behindDoc="1" locked="0" layoutInCell="1" allowOverlap="1" wp14:anchorId="1527F354" wp14:editId="38AEA4D9">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1239"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27F354"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3EF91239"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p>
    <w:sectPr w:rsidR="0055749D" w:rsidRPr="006769D0" w:rsidSect="005E59AE">
      <w:headerReference w:type="default" r:id="rId11"/>
      <w:headerReference w:type="first" r:id="rId12"/>
      <w:footerReference w:type="first" r:id="rId13"/>
      <w:pgSz w:w="11906" w:h="16838" w:code="9"/>
      <w:pgMar w:top="568" w:right="1133" w:bottom="1440" w:left="1276"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E20F7" w14:textId="77777777" w:rsidR="002A16A4" w:rsidRDefault="002A16A4" w:rsidP="00AD7D31">
      <w:pPr>
        <w:spacing w:after="0" w:line="240" w:lineRule="auto"/>
      </w:pPr>
      <w:r>
        <w:separator/>
      </w:r>
    </w:p>
  </w:endnote>
  <w:endnote w:type="continuationSeparator" w:id="0">
    <w:p w14:paraId="3ECF19D4" w14:textId="77777777" w:rsidR="002A16A4" w:rsidRDefault="002A16A4"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6BFB9"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78373F87" wp14:editId="7A8D240D">
          <wp:simplePos x="0" y="0"/>
          <wp:positionH relativeFrom="page">
            <wp:align>left</wp:align>
          </wp:positionH>
          <wp:positionV relativeFrom="paragraph">
            <wp:posOffset>112218</wp:posOffset>
          </wp:positionV>
          <wp:extent cx="7559675" cy="1327785"/>
          <wp:effectExtent l="0" t="0" r="3175" b="5715"/>
          <wp:wrapNone/>
          <wp:docPr id="66" name="Picture 66"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r>
    <w:bookmarkStart w:id="2" w:name="_Hlk17473553"/>
    <w:r w:rsidR="006A1B70">
      <w:rPr>
        <w:rFonts w:asciiTheme="minorHAnsi" w:hAnsiTheme="minorHAnsi"/>
        <w:color w:val="231F20"/>
        <w:spacing w:val="-1"/>
      </w:rP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175E87D" w14:textId="19FDB372" w:rsidR="0064748B" w:rsidRPr="006A1B70" w:rsidRDefault="00894EEC" w:rsidP="006A1B70">
    <w:pPr>
      <w:pStyle w:val="BodyText"/>
      <w:tabs>
        <w:tab w:val="left" w:pos="142"/>
        <w:tab w:val="left" w:pos="284"/>
        <w:tab w:val="left" w:pos="3342"/>
        <w:tab w:val="left" w:pos="9070"/>
      </w:tabs>
      <w:spacing w:before="44" w:after="80"/>
      <w:ind w:left="142" w:right="83"/>
    </w:pPr>
    <w:r>
      <w:rPr>
        <w:noProof/>
        <w:sz w:val="20"/>
        <w:szCs w:val="20"/>
        <w:lang w:val="en-AU" w:eastAsia="en-AU"/>
      </w:rPr>
      <w:drawing>
        <wp:anchor distT="0" distB="0" distL="114300" distR="114300" simplePos="0" relativeHeight="251670528" behindDoc="0" locked="0" layoutInCell="1" allowOverlap="1" wp14:anchorId="4183D140" wp14:editId="71A02B20">
          <wp:simplePos x="0" y="0"/>
          <wp:positionH relativeFrom="column">
            <wp:posOffset>3066415</wp:posOffset>
          </wp:positionH>
          <wp:positionV relativeFrom="paragraph">
            <wp:posOffset>382270</wp:posOffset>
          </wp:positionV>
          <wp:extent cx="281940" cy="290830"/>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2">
                    <a:extLst>
                      <a:ext uri="{28A0092B-C50C-407E-A947-70E740481C1C}">
                        <a14:useLocalDpi xmlns:a14="http://schemas.microsoft.com/office/drawing/2010/main" val="0"/>
                      </a:ext>
                    </a:extLst>
                  </a:blip>
                  <a:stretch>
                    <a:fillRect/>
                  </a:stretch>
                </pic:blipFill>
                <pic:spPr>
                  <a:xfrm>
                    <a:off x="0" y="0"/>
                    <a:ext cx="281940" cy="290830"/>
                  </a:xfrm>
                  <a:prstGeom prst="rect">
                    <a:avLst/>
                  </a:prstGeom>
                </pic:spPr>
              </pic:pic>
            </a:graphicData>
          </a:graphic>
          <wp14:sizeRelH relativeFrom="margin">
            <wp14:pctWidth>0</wp14:pctWidth>
          </wp14:sizeRelH>
          <wp14:sizeRelV relativeFrom="margin">
            <wp14:pctHeight>0</wp14:pctHeight>
          </wp14:sizeRelV>
        </wp:anchor>
      </w:drawing>
    </w:r>
    <w:r w:rsidR="00DE7115"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3ACEEA7" wp14:editId="6C4C2DBE">
              <wp:simplePos x="0" y="0"/>
              <wp:positionH relativeFrom="page">
                <wp:posOffset>2374900</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F7AC3" id="Group 22" o:spid="_x0000_s1026" alt="Title: Social Media logo - Description: Social Media logo"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w:t>
    </w:r>
    <w:r w:rsidR="006C3A31">
      <w:rPr>
        <w:rFonts w:asciiTheme="minorHAnsi" w:hAnsiTheme="minorHAnsi"/>
        <w:color w:val="231F20"/>
        <w:sz w:val="20"/>
        <w:szCs w:val="20"/>
      </w:rPr>
      <w:t>39</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3" w:history="1">
      <w:r w:rsidR="006C3A31" w:rsidRPr="00894EEC">
        <w:rPr>
          <w:rStyle w:val="Hyperlink"/>
          <w:rFonts w:asciiTheme="minorHAnsi" w:hAnsiTheme="minorHAnsi"/>
          <w:b/>
          <w:color w:val="auto"/>
          <w:sz w:val="20"/>
          <w:szCs w:val="20"/>
          <w:u w:val="none"/>
        </w:rPr>
        <w:t>Email</w:t>
      </w:r>
      <w:r w:rsidR="006C3A31" w:rsidRPr="00894EEC">
        <w:rPr>
          <w:rStyle w:val="Hyperlink"/>
          <w:rFonts w:asciiTheme="minorHAnsi" w:hAnsiTheme="minorHAnsi"/>
          <w:color w:val="auto"/>
          <w:sz w:val="20"/>
          <w:szCs w:val="20"/>
          <w:u w:val="none"/>
        </w:rPr>
        <w:t xml:space="preserve"> </w:t>
      </w:r>
      <w:r w:rsidR="006C3A31" w:rsidRPr="00894EEC">
        <w:rPr>
          <w:rStyle w:val="Hyperlink"/>
          <w:rFonts w:asciiTheme="minorHAnsi" w:hAnsiTheme="minorHAnsi"/>
          <w:color w:val="auto"/>
          <w:spacing w:val="-2"/>
          <w:sz w:val="20"/>
          <w:szCs w:val="20"/>
          <w:u w:val="none"/>
        </w:rPr>
        <w:t>orr@</w:t>
      </w:r>
      <w:r w:rsidR="006C3A31" w:rsidRPr="00894EEC">
        <w:rPr>
          <w:color w:val="231F20"/>
          <w:sz w:val="20"/>
          <w:szCs w:val="20"/>
        </w:rPr>
        <w:t>act.g</w:t>
      </w:r>
      <w:r w:rsidR="006C3A31" w:rsidRPr="00894EEC">
        <w:rPr>
          <w:rStyle w:val="Hyperlink"/>
          <w:rFonts w:asciiTheme="minorHAnsi" w:hAnsiTheme="minorHAnsi"/>
          <w:color w:val="auto"/>
          <w:spacing w:val="-2"/>
          <w:sz w:val="20"/>
          <w:szCs w:val="20"/>
          <w:u w:val="none"/>
        </w:rPr>
        <w:t>ov.au</w:t>
      </w:r>
    </w:hyperlink>
    <w:r w:rsidR="0061634E" w:rsidRPr="006C3A31">
      <w:rPr>
        <w:rFonts w:asciiTheme="minorHAnsi" w:hAnsiTheme="minorHAnsi"/>
        <w:sz w:val="20"/>
        <w:szCs w:val="20"/>
      </w:rPr>
      <w:t xml:space="preserve"> </w:t>
    </w:r>
  </w:p>
  <w:bookmarkEnd w:id="2"/>
  <w:p w14:paraId="2364B371" w14:textId="4D7B9B32" w:rsidR="005351C5" w:rsidRPr="0064748B" w:rsidRDefault="00C850A8" w:rsidP="00567A30">
    <w:pPr>
      <w:pStyle w:val="BodyText"/>
      <w:tabs>
        <w:tab w:val="left" w:pos="1194"/>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7A41CD93" wp14:editId="49786807">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601B4"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41CD93"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Cq1QVV4AAAAA0BAAAPAAAAZHJzL2Rvd25yZXYueG1sTI/BTsMw&#10;EETvSPyDtUjcqN1WWE2IU1UITkiINBw4OrGbWI3XIXbb8PdsT3DcmafZmWI7+4Gd7RRdQAXLhQBm&#10;sQ3GYafgs3592ACLSaPRQ0Cr4MdG2Ja3N4XOTbhgZc/71DEKwZhrBX1KY855bHvrdVyE0SJ5hzB5&#10;neicOm4mfaFwP/CVEJJ77ZA+9Hq0z71tj/uTV7D7wurFfb83H9WhcnWdCXyTR6Xu7+bdE7Bk5/QH&#10;w7U+VYeSOjXhhCayQYGUy0dCyZBCZsAI2axXJDVXaZ1lwMuC/19R/gIAAP//AwBQSwECLQAUAAYA&#10;CAAAACEAtoM4kv4AAADhAQAAEwAAAAAAAAAAAAAAAAAAAAAAW0NvbnRlbnRfVHlwZXNdLnhtbFBL&#10;AQItABQABgAIAAAAIQA4/SH/1gAAAJQBAAALAAAAAAAAAAAAAAAAAC8BAABfcmVscy8ucmVsc1BL&#10;AQItABQABgAIAAAAIQCI193P5wEAALgDAAAOAAAAAAAAAAAAAAAAAC4CAABkcnMvZTJvRG9jLnht&#10;bFBLAQItABQABgAIAAAAIQCq1QVV4AAAAA0BAAAPAAAAAAAAAAAAAAAAAEEEAABkcnMvZG93bnJl&#10;di54bWxQSwUGAAAAAAQABADzAAAATgUAAAAA&#10;" filled="f" stroked="f">
              <v:textbox inset="0,0,0,0">
                <w:txbxContent>
                  <w:p w14:paraId="1CA601B4"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62417E02" wp14:editId="33DBE156">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E47B9" w14:textId="77777777" w:rsidR="0061634E" w:rsidRPr="0039472D" w:rsidRDefault="006C3A31"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17E02" id="_x0000_t202" coordsize="21600,21600" o:spt="202" path="m,l,21600r21600,l21600,xe">
              <v:stroke joinstyle="miter"/>
              <v:path gradientshapeok="t" o:connecttype="rect"/>
            </v:shapetype>
            <v:shape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KfwqduAAAAANAQAADwAAAGRycy9kb3ducmV2LnhtbEyPwU7D&#10;MBBE70j8g7VI3KhNoVYT4lQVghMSIg0Hjk7sJlbjdYjdNvw92xMcd+ZpdqbYzH5gJztFF1DB/UIA&#10;s9gG47BT8Fm/3q2BxaTR6CGgVfBjI2zK66tC5yacsbKnXeoYhWDMtYI+pTHnPLa99TouwmiRvH2Y&#10;vE50Th03kz5TuB/4UgjJvXZIH3o92ufetofd0SvYfmH14r7fm49qX7m6zgS+yYNStzfz9glYsnP6&#10;g+FSn6pDSZ2acEQT2aDgcbmShJIhhaQRhKwySVJzkR6yNfCy4P9XlL8AAAD//wMAUEsBAi0AFAAG&#10;AAgAAAAhALaDOJL+AAAA4QEAABMAAAAAAAAAAAAAAAAAAAAAAFtDb250ZW50X1R5cGVzXS54bWxQ&#10;SwECLQAUAAYACAAAACEAOP0h/9YAAACUAQAACwAAAAAAAAAAAAAAAAAvAQAAX3JlbHMvLnJlbHNQ&#10;SwECLQAUAAYACAAAACEAn+X3++gBAAC/AwAADgAAAAAAAAAAAAAAAAAuAgAAZHJzL2Uyb0RvYy54&#10;bWxQSwECLQAUAAYACAAAACEAKfwqduAAAAANAQAADwAAAAAAAAAAAAAAAABCBAAAZHJzL2Rvd25y&#10;ZXYueG1sUEsFBgAAAAAEAAQA8wAAAE8FAAAAAA==&#10;" filled="f" stroked="f">
              <v:textbox inset="0,0,0,0">
                <w:txbxContent>
                  <w:p w14:paraId="2CAE47B9" w14:textId="77777777" w:rsidR="0061634E" w:rsidRPr="0039472D" w:rsidRDefault="006C3A31"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SuzanneOrrMLA</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6851F68E" wp14:editId="2B6C97A1">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9DDD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6C3A31">
                            <w:rPr>
                              <w:rFonts w:ascii="Calibri Light"/>
                              <w:color w:val="231F20"/>
                              <w:sz w:val="24"/>
                              <w:szCs w:val="24"/>
                            </w:rPr>
                            <w:t>SuzanneOrrMLA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51F68E"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aw6wEAAL8DAAAOAAAAZHJzL2Uyb0RvYy54bWysU8tu2zAQvBfoPxC815IFuHUFy0GaIEWB&#10;9AEk/QCKIiWiEpdd0pbcr++Sstw0uRW9EMvlcjgzu9xdTUPPjgq9AVvx9SrnTFkJjbFtxb8/3r3Z&#10;cuaDsI3owaqKn5TnV/vXr3ajK1UBHfSNQkYg1pejq3gXgiuzzMtODcKvwClLhxpwEIG22GYNipHQ&#10;hz4r8vxtNgI2DkEq7yl7Ox/yfcLXWsnwVWuvAusrTtxCWjGtdVyz/U6ULQrXGXmmIf6BxSCMpUcv&#10;ULciCHZA8wJqMBLBgw4rCUMGWhupkgZSs86fqXnohFNJC5nj3cUm//9g5ZfjN2Smod6tObNioB49&#10;qimwDzAxSpE/o/MllT04KgwT5ak2afXuHuQPzyzcdMK26hoRxk6Jhvilm9mTqzOOjyD1+Bkaekcc&#10;AiSgSeMQzSM7GKFTn06X3kQuMj5ZbDfbdxvOJJ0V+fvNJjUvE+Vy26EPHxUMLAYVR+p9QhfHex9I&#10;B5UuJfExC3em71P/e/tXggpjJrGPhGfqYaqnZFSxmFJDcyI5CPNU0S+goAP8xdlIE1Vx//MgUHHW&#10;f7JkSRy/JcAlqJdAWElXKx44m8ObMI/pwaFpO0KeTbdwTbZpkxRFf2cWZ7o0JUnoeaLjGD7dp6o/&#10;/27/GwAA//8DAFBLAwQUAAYACAAAACEA+5K/h9wAAAANAQAADwAAAGRycy9kb3ducmV2LnhtbExP&#10;y07DMBC8I/EP1iJxozatsCDEqSoEJyREGg4cnWSbWI3XIXbb8PdsxQFuM5rRPPL17AdxxCm6QAZu&#10;FwoEUhNaR52Bj+rl5h5ETJZaOwRCA98YYV1cXuQ2a8OJSjxuUyc4hGJmDfQpjZmUsenR27gIIxJr&#10;uzB5m5hOnWwne+JwP8ilUlp664gbejviU4/NfnvwBjafVD67r7f6vdyVrqoeFL3qvTHXV/PmEUTC&#10;Of2Z4Tyfp0PBm+pwoDaKgble3bH1DNSSX7FlpTWD+ldTIItc/n9R/AAAAP//AwBQSwECLQAUAAYA&#10;CAAAACEAtoM4kv4AAADhAQAAEwAAAAAAAAAAAAAAAAAAAAAAW0NvbnRlbnRfVHlwZXNdLnhtbFBL&#10;AQItABQABgAIAAAAIQA4/SH/1gAAAJQBAAALAAAAAAAAAAAAAAAAAC8BAABfcmVscy8ucmVsc1BL&#10;AQItABQABgAIAAAAIQD8QVaw6wEAAL8DAAAOAAAAAAAAAAAAAAAAAC4CAABkcnMvZTJvRG9jLnht&#10;bFBLAQItABQABgAIAAAAIQD7kr+H3AAAAA0BAAAPAAAAAAAAAAAAAAAAAEUEAABkcnMvZG93bnJl&#10;di54bWxQSwUGAAAAAAQABADzAAAATgUAAAAA&#10;" filled="f" stroked="f">
              <v:textbox inset="0,0,0,0">
                <w:txbxContent>
                  <w:p w14:paraId="31D9DDD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6C3A31">
                      <w:rPr>
                        <w:rFonts w:ascii="Calibri Light"/>
                        <w:color w:val="231F20"/>
                        <w:sz w:val="24"/>
                        <w:szCs w:val="24"/>
                      </w:rPr>
                      <w:t>SuzanneOrrMLA</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0001C080" wp14:editId="5E42AD23">
              <wp:simplePos x="0" y="0"/>
              <wp:positionH relativeFrom="page">
                <wp:posOffset>744855</wp:posOffset>
              </wp:positionH>
              <wp:positionV relativeFrom="page">
                <wp:posOffset>10149840</wp:posOffset>
              </wp:positionV>
              <wp:extent cx="266700" cy="215900"/>
              <wp:effectExtent l="0" t="0" r="0" b="0"/>
              <wp:wrapNone/>
              <wp:docPr id="14" name="Group 14"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5C3501" id="Group 14" o:spid="_x0000_s1026"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rsidR="006C3A31">
      <w:tab/>
    </w:r>
    <w:r w:rsidR="00567A30">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4C3BA" w14:textId="77777777" w:rsidR="002A16A4" w:rsidRDefault="002A16A4" w:rsidP="00AD7D31">
      <w:pPr>
        <w:spacing w:after="0" w:line="240" w:lineRule="auto"/>
      </w:pPr>
      <w:r>
        <w:separator/>
      </w:r>
    </w:p>
  </w:footnote>
  <w:footnote w:type="continuationSeparator" w:id="0">
    <w:p w14:paraId="1BFCAB03" w14:textId="77777777" w:rsidR="002A16A4" w:rsidRDefault="002A16A4"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58E42" w14:textId="607CDBFE" w:rsidR="00AD7D31" w:rsidRDefault="00AD7D31">
    <w:pPr>
      <w:pStyle w:val="Header"/>
    </w:pPr>
  </w:p>
  <w:p w14:paraId="1C3F6580"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86F04" w14:textId="77777777"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0121F8E6" wp14:editId="0F562E34">
          <wp:simplePos x="0" y="0"/>
          <wp:positionH relativeFrom="margin">
            <wp:posOffset>-648625</wp:posOffset>
          </wp:positionH>
          <wp:positionV relativeFrom="page">
            <wp:posOffset>-170</wp:posOffset>
          </wp:positionV>
          <wp:extent cx="7551365" cy="1191600"/>
          <wp:effectExtent l="0" t="0" r="0" b="8890"/>
          <wp:wrapNone/>
          <wp:docPr id="65" name="Picture 65"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6C3A31">
      <w:rPr>
        <w:rFonts w:ascii="Montserrat" w:hAnsi="Montserrat"/>
        <w:b/>
        <w:color w:val="FFFFFF" w:themeColor="background1"/>
        <w:sz w:val="36"/>
      </w:rPr>
      <w:t>Suzanne Orr</w:t>
    </w:r>
    <w:r w:rsidR="00C850A8">
      <w:rPr>
        <w:rFonts w:ascii="Montserrat" w:hAnsi="Montserrat"/>
        <w:b/>
        <w:color w:val="FFFFFF" w:themeColor="background1"/>
        <w:sz w:val="36"/>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bookmarkStart w:id="1" w:name="_Hlk17473610"/>
    <w:r w:rsidR="00E05EFA">
      <w:t>Minister for Disability</w:t>
    </w:r>
    <w:r w:rsidR="00E05EFA" w:rsidRPr="00001227">
      <w:t xml:space="preserve"> </w:t>
    </w:r>
    <w:r w:rsidR="00E05EFA">
      <w:br/>
    </w:r>
    <w:r w:rsidR="00352D2F">
      <w:t xml:space="preserve">Minister for </w:t>
    </w:r>
    <w:r w:rsidR="00001227">
      <w:t>C</w:t>
    </w:r>
    <w:r w:rsidR="006C3A31">
      <w:t>ommunity</w:t>
    </w:r>
    <w:r w:rsidR="00001227">
      <w:t xml:space="preserve"> Service</w:t>
    </w:r>
    <w:r w:rsidR="00797980">
      <w:t>s</w:t>
    </w:r>
    <w:r w:rsidR="006C3A31">
      <w:t xml:space="preserve"> and Facilitie</w:t>
    </w:r>
    <w:r w:rsidR="00001227">
      <w:t>s</w:t>
    </w:r>
    <w:r w:rsidR="00352D2F">
      <w:br/>
    </w:r>
    <w:r w:rsidR="00001227">
      <w:t xml:space="preserve">Minister for </w:t>
    </w:r>
    <w:r w:rsidR="006C3A31">
      <w:t>Employment and Workplace Safety</w:t>
    </w:r>
    <w:r w:rsidR="00001227" w:rsidRPr="00001227">
      <w:t xml:space="preserve"> </w:t>
    </w:r>
    <w:r w:rsidR="00001227">
      <w:br/>
      <w:t xml:space="preserve">Minister for </w:t>
    </w:r>
    <w:r w:rsidR="006C3A31">
      <w:t>Government Services and Procurement</w:t>
    </w:r>
    <w:r w:rsidR="00352D2F">
      <w:rPr>
        <w:rFonts w:eastAsia="Arial" w:cs="Arial"/>
        <w:sz w:val="24"/>
        <w:szCs w:val="24"/>
      </w:rPr>
      <w:t xml:space="preserve"> </w:t>
    </w:r>
    <w:r w:rsidR="00DD766A" w:rsidRPr="00DD766A">
      <w:rPr>
        <w:rFonts w:eastAsia="Arial" w:cs="Arial"/>
        <w:sz w:val="24"/>
        <w:szCs w:val="24"/>
      </w:rPr>
      <w:t xml:space="preserve"> </w:t>
    </w:r>
  </w:p>
  <w:p w14:paraId="4507B68F"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006C3A31">
      <w:rPr>
        <w:rFonts w:asciiTheme="minorHAnsi" w:hAnsiTheme="minorHAnsi"/>
        <w:spacing w:val="-4"/>
        <w:sz w:val="20"/>
        <w:szCs w:val="20"/>
      </w:rPr>
      <w:t xml:space="preserve"> Yerrabi</w:t>
    </w:r>
    <w:r w:rsidRPr="00DD766A">
      <w:rPr>
        <w:rFonts w:asciiTheme="minorHAnsi" w:hAnsiTheme="minorHAnsi"/>
        <w:sz w:val="20"/>
        <w:szCs w:val="20"/>
      </w:rPr>
      <w:t xml:space="preserve"> </w:t>
    </w:r>
    <w:bookmarkEnd w:id="1"/>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7DF4"/>
    <w:multiLevelType w:val="hybridMultilevel"/>
    <w:tmpl w:val="BABC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B678BF"/>
    <w:multiLevelType w:val="hybridMultilevel"/>
    <w:tmpl w:val="03FE5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E95F7B"/>
    <w:multiLevelType w:val="hybridMultilevel"/>
    <w:tmpl w:val="893C4C8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FE7798"/>
    <w:multiLevelType w:val="hybridMultilevel"/>
    <w:tmpl w:val="A188572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5AA7A8A"/>
    <w:multiLevelType w:val="hybridMultilevel"/>
    <w:tmpl w:val="B8B0D93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9B6614"/>
    <w:multiLevelType w:val="hybridMultilevel"/>
    <w:tmpl w:val="94A86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1F16C0"/>
    <w:multiLevelType w:val="hybridMultilevel"/>
    <w:tmpl w:val="F4982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C67FBC"/>
    <w:multiLevelType w:val="hybridMultilevel"/>
    <w:tmpl w:val="6A9A1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1669EC"/>
    <w:multiLevelType w:val="hybridMultilevel"/>
    <w:tmpl w:val="B0961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5"/>
  </w:num>
  <w:num w:numId="6">
    <w:abstractNumId w:val="1"/>
  </w:num>
  <w:num w:numId="7">
    <w:abstractNumId w:val="7"/>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D64"/>
    <w:rsid w:val="00001227"/>
    <w:rsid w:val="00006FBF"/>
    <w:rsid w:val="0005699E"/>
    <w:rsid w:val="00057AB9"/>
    <w:rsid w:val="00063813"/>
    <w:rsid w:val="000816BC"/>
    <w:rsid w:val="000920FA"/>
    <w:rsid w:val="000A0CA5"/>
    <w:rsid w:val="000F602E"/>
    <w:rsid w:val="001321CE"/>
    <w:rsid w:val="001450DC"/>
    <w:rsid w:val="001804F3"/>
    <w:rsid w:val="001809A1"/>
    <w:rsid w:val="001851B2"/>
    <w:rsid w:val="0018792B"/>
    <w:rsid w:val="001A6734"/>
    <w:rsid w:val="001C6899"/>
    <w:rsid w:val="001D5655"/>
    <w:rsid w:val="001D7389"/>
    <w:rsid w:val="001E13CC"/>
    <w:rsid w:val="002461D3"/>
    <w:rsid w:val="00251B20"/>
    <w:rsid w:val="00285D18"/>
    <w:rsid w:val="00291321"/>
    <w:rsid w:val="002A16A4"/>
    <w:rsid w:val="002A1819"/>
    <w:rsid w:val="0031164B"/>
    <w:rsid w:val="00313E4A"/>
    <w:rsid w:val="003146B1"/>
    <w:rsid w:val="003244E4"/>
    <w:rsid w:val="0033212C"/>
    <w:rsid w:val="0034363C"/>
    <w:rsid w:val="00347029"/>
    <w:rsid w:val="00350081"/>
    <w:rsid w:val="00352D2F"/>
    <w:rsid w:val="00355845"/>
    <w:rsid w:val="00381F0B"/>
    <w:rsid w:val="0038633E"/>
    <w:rsid w:val="00386DC4"/>
    <w:rsid w:val="003A7993"/>
    <w:rsid w:val="003B590F"/>
    <w:rsid w:val="003D7292"/>
    <w:rsid w:val="0041104E"/>
    <w:rsid w:val="004178DA"/>
    <w:rsid w:val="004237D9"/>
    <w:rsid w:val="00434FEC"/>
    <w:rsid w:val="00490217"/>
    <w:rsid w:val="004B34CA"/>
    <w:rsid w:val="004E31C4"/>
    <w:rsid w:val="00526E34"/>
    <w:rsid w:val="005351C5"/>
    <w:rsid w:val="0055749D"/>
    <w:rsid w:val="00567A30"/>
    <w:rsid w:val="00587862"/>
    <w:rsid w:val="0059764C"/>
    <w:rsid w:val="005A1CC9"/>
    <w:rsid w:val="005A1DBC"/>
    <w:rsid w:val="005C4787"/>
    <w:rsid w:val="005E59AE"/>
    <w:rsid w:val="005E7DE1"/>
    <w:rsid w:val="00610981"/>
    <w:rsid w:val="0061634E"/>
    <w:rsid w:val="00640316"/>
    <w:rsid w:val="0064748B"/>
    <w:rsid w:val="00655CD8"/>
    <w:rsid w:val="006769D0"/>
    <w:rsid w:val="006901D2"/>
    <w:rsid w:val="00693353"/>
    <w:rsid w:val="006A1B70"/>
    <w:rsid w:val="006A5E73"/>
    <w:rsid w:val="006B56F5"/>
    <w:rsid w:val="006C3A31"/>
    <w:rsid w:val="006F333B"/>
    <w:rsid w:val="006F537B"/>
    <w:rsid w:val="00705AC0"/>
    <w:rsid w:val="00712BA7"/>
    <w:rsid w:val="00730EFC"/>
    <w:rsid w:val="0074087B"/>
    <w:rsid w:val="00761823"/>
    <w:rsid w:val="007649E4"/>
    <w:rsid w:val="00766BCC"/>
    <w:rsid w:val="0078497C"/>
    <w:rsid w:val="00797980"/>
    <w:rsid w:val="007B06DE"/>
    <w:rsid w:val="007B5C29"/>
    <w:rsid w:val="007C3F15"/>
    <w:rsid w:val="007D7FAC"/>
    <w:rsid w:val="00806ACB"/>
    <w:rsid w:val="008312CB"/>
    <w:rsid w:val="00834846"/>
    <w:rsid w:val="008421D0"/>
    <w:rsid w:val="00855531"/>
    <w:rsid w:val="00885A0B"/>
    <w:rsid w:val="00894EEC"/>
    <w:rsid w:val="008A161B"/>
    <w:rsid w:val="008A48D1"/>
    <w:rsid w:val="008B13ED"/>
    <w:rsid w:val="008D15E5"/>
    <w:rsid w:val="00912FD8"/>
    <w:rsid w:val="00916367"/>
    <w:rsid w:val="00920A11"/>
    <w:rsid w:val="00941418"/>
    <w:rsid w:val="009447F3"/>
    <w:rsid w:val="00951BDF"/>
    <w:rsid w:val="009A2994"/>
    <w:rsid w:val="009A4C74"/>
    <w:rsid w:val="009C2877"/>
    <w:rsid w:val="009D46C0"/>
    <w:rsid w:val="009D7E17"/>
    <w:rsid w:val="00A031A0"/>
    <w:rsid w:val="00A27692"/>
    <w:rsid w:val="00A519A1"/>
    <w:rsid w:val="00A5546D"/>
    <w:rsid w:val="00AD47C5"/>
    <w:rsid w:val="00AD7D31"/>
    <w:rsid w:val="00AF7BB6"/>
    <w:rsid w:val="00B01E22"/>
    <w:rsid w:val="00B05455"/>
    <w:rsid w:val="00B3041B"/>
    <w:rsid w:val="00B331E6"/>
    <w:rsid w:val="00B85096"/>
    <w:rsid w:val="00B93EDD"/>
    <w:rsid w:val="00B97579"/>
    <w:rsid w:val="00BF21E9"/>
    <w:rsid w:val="00C30BD3"/>
    <w:rsid w:val="00C850A8"/>
    <w:rsid w:val="00C873DF"/>
    <w:rsid w:val="00CE54F9"/>
    <w:rsid w:val="00CF26BA"/>
    <w:rsid w:val="00D00715"/>
    <w:rsid w:val="00D01902"/>
    <w:rsid w:val="00D117CF"/>
    <w:rsid w:val="00D71551"/>
    <w:rsid w:val="00D80225"/>
    <w:rsid w:val="00D9230C"/>
    <w:rsid w:val="00DC181F"/>
    <w:rsid w:val="00DD766A"/>
    <w:rsid w:val="00DD7D69"/>
    <w:rsid w:val="00DE7115"/>
    <w:rsid w:val="00DF4C68"/>
    <w:rsid w:val="00E04787"/>
    <w:rsid w:val="00E05EFA"/>
    <w:rsid w:val="00E2132F"/>
    <w:rsid w:val="00E43EC4"/>
    <w:rsid w:val="00E555E3"/>
    <w:rsid w:val="00E705EC"/>
    <w:rsid w:val="00EA0EA8"/>
    <w:rsid w:val="00ED5634"/>
    <w:rsid w:val="00F01AC0"/>
    <w:rsid w:val="00F37DE5"/>
    <w:rsid w:val="00F50739"/>
    <w:rsid w:val="00F6504A"/>
    <w:rsid w:val="00F768B7"/>
    <w:rsid w:val="00F83B9F"/>
    <w:rsid w:val="00FA40E1"/>
    <w:rsid w:val="00FB6C11"/>
    <w:rsid w:val="00FB7BCC"/>
    <w:rsid w:val="00FC1711"/>
    <w:rsid w:val="00FE0D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3702F0"/>
  <w15:chartTrackingRefBased/>
  <w15:docId w15:val="{6673982F-E71A-49BA-B787-109E9CB9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UnresolvedMention">
    <w:name w:val="Unresolved Mention"/>
    <w:basedOn w:val="DefaultParagraphFont"/>
    <w:uiPriority w:val="99"/>
    <w:semiHidden/>
    <w:unhideWhenUsed/>
    <w:rsid w:val="006C3A31"/>
    <w:rPr>
      <w:color w:val="605E5C"/>
      <w:shd w:val="clear" w:color="auto" w:fill="E1DFDD"/>
    </w:rPr>
  </w:style>
  <w:style w:type="paragraph" w:styleId="ListParagraph">
    <w:name w:val="List Paragraph"/>
    <w:basedOn w:val="Normal"/>
    <w:uiPriority w:val="34"/>
    <w:qFormat/>
    <w:rsid w:val="00DD7D69"/>
    <w:pPr>
      <w:ind w:left="720"/>
      <w:contextualSpacing/>
    </w:pPr>
  </w:style>
  <w:style w:type="paragraph" w:customStyle="1" w:styleId="CS-Paragraphnumbering">
    <w:name w:val="CS - Paragraph numbering"/>
    <w:basedOn w:val="Normal"/>
    <w:rsid w:val="00640316"/>
    <w:pPr>
      <w:numPr>
        <w:numId w:val="3"/>
      </w:numPr>
      <w:spacing w:after="120" w:line="276" w:lineRule="auto"/>
      <w:ind w:left="567" w:right="-45" w:hanging="56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crutiny@parliament.ac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Email%20orr@act.gov.au" TargetMode="External"/><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Clearance_November%202019\Legislation\LSL_Debate\CORR_LET_SCRUTINY_COMMITTEE_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9538A-5341-4854-8502-4AFFB7B78CF4}">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f6c841be-bb08-4901-87b0-0033aa80d2c6"/>
    <ds:schemaRef ds:uri="http://purl.org/dc/dcmitype/"/>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B526159B-0C73-4A6A-96C5-A35BAB978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691F8-A6AA-41AC-B404-377FF290AE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CORR_LET_SCRUTINY_COMMITTEE_DRAFT</Template>
  <TotalTime>1</TotalTime>
  <Pages>3</Pages>
  <Words>909</Words>
  <Characters>5185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Lukins, Ellen</dc:creator>
  <cp:keywords/>
  <dc:description/>
  <cp:lastModifiedBy>Milne, Sophie</cp:lastModifiedBy>
  <cp:revision>2</cp:revision>
  <cp:lastPrinted>2018-08-24T07:17:00Z</cp:lastPrinted>
  <dcterms:created xsi:type="dcterms:W3CDTF">2020-07-21T04:37:00Z</dcterms:created>
  <dcterms:modified xsi:type="dcterms:W3CDTF">2020-07-21T04:37:00Z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