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7CBB6" w14:textId="77777777"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14:paraId="106EDC56"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08079335" w14:textId="77777777" w:rsidR="00AD7D31" w:rsidRPr="00A031A0" w:rsidRDefault="00DF1E37" w:rsidP="00AD7D31">
      <w:pPr>
        <w:spacing w:after="0" w:line="240" w:lineRule="auto"/>
        <w:rPr>
          <w:rFonts w:ascii="Calibri" w:hAnsi="Calibri"/>
          <w:sz w:val="24"/>
          <w:szCs w:val="24"/>
        </w:rPr>
      </w:pPr>
      <w:r>
        <w:rPr>
          <w:rFonts w:ascii="Calibri" w:hAnsi="Calibri"/>
          <w:sz w:val="24"/>
          <w:szCs w:val="24"/>
        </w:rPr>
        <w:t>Mrs Giulia Jones</w:t>
      </w:r>
    </w:p>
    <w:p w14:paraId="25A70211" w14:textId="77777777" w:rsidR="00AD7D31" w:rsidRPr="00A031A0" w:rsidRDefault="00DF1E37" w:rsidP="00AD7D31">
      <w:pPr>
        <w:spacing w:after="0" w:line="240" w:lineRule="auto"/>
        <w:rPr>
          <w:rFonts w:ascii="Calibri" w:hAnsi="Calibri"/>
          <w:sz w:val="24"/>
          <w:szCs w:val="24"/>
        </w:rPr>
      </w:pPr>
      <w:r>
        <w:rPr>
          <w:rFonts w:ascii="Calibri" w:hAnsi="Calibri"/>
          <w:sz w:val="24"/>
          <w:szCs w:val="24"/>
        </w:rPr>
        <w:t>Chair</w:t>
      </w:r>
    </w:p>
    <w:p w14:paraId="1307074B" w14:textId="77777777" w:rsidR="00AD7D31" w:rsidRPr="00A031A0" w:rsidRDefault="00DF1E37"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00AD7D31" w:rsidRPr="00A031A0">
        <w:rPr>
          <w:rFonts w:ascii="Calibri" w:hAnsi="Calibri"/>
          <w:sz w:val="24"/>
          <w:szCs w:val="24"/>
        </w:rPr>
        <w:tab/>
      </w:r>
    </w:p>
    <w:p w14:paraId="0FAF75CE" w14:textId="77777777" w:rsidR="00AD7D31" w:rsidRPr="00A031A0" w:rsidRDefault="00DF1E37" w:rsidP="00AD7D31">
      <w:pPr>
        <w:spacing w:after="0" w:line="240" w:lineRule="auto"/>
        <w:rPr>
          <w:rFonts w:ascii="Calibri" w:hAnsi="Calibri"/>
          <w:sz w:val="24"/>
          <w:szCs w:val="24"/>
          <w:lang w:val="en-US"/>
        </w:rPr>
      </w:pPr>
      <w:r>
        <w:rPr>
          <w:rFonts w:ascii="Calibri" w:hAnsi="Calibri"/>
          <w:sz w:val="24"/>
          <w:szCs w:val="24"/>
        </w:rPr>
        <w:t>ACT Legislative Assembly</w:t>
      </w:r>
    </w:p>
    <w:p w14:paraId="59472418" w14:textId="77777777" w:rsidR="00AD7D31" w:rsidRPr="00A031A0" w:rsidRDefault="00DF1E37" w:rsidP="00AD7D31">
      <w:pPr>
        <w:spacing w:after="0" w:line="240" w:lineRule="auto"/>
        <w:rPr>
          <w:rFonts w:ascii="Calibri" w:hAnsi="Calibri"/>
          <w:sz w:val="24"/>
          <w:szCs w:val="24"/>
        </w:rPr>
      </w:pPr>
      <w:r>
        <w:rPr>
          <w:rFonts w:ascii="Calibri" w:hAnsi="Calibri"/>
          <w:sz w:val="24"/>
          <w:szCs w:val="24"/>
        </w:rPr>
        <w:t>GPO Box 1020</w:t>
      </w:r>
    </w:p>
    <w:p w14:paraId="194098C5" w14:textId="59F28EEC" w:rsidR="00AD7D31" w:rsidRDefault="00DF1E37" w:rsidP="00AD7D31">
      <w:pPr>
        <w:spacing w:after="0" w:line="240" w:lineRule="auto"/>
        <w:rPr>
          <w:rFonts w:ascii="Calibri" w:hAnsi="Calibri"/>
          <w:sz w:val="24"/>
          <w:szCs w:val="24"/>
        </w:rPr>
      </w:pPr>
      <w:proofErr w:type="gramStart"/>
      <w:r>
        <w:rPr>
          <w:rFonts w:ascii="Calibri" w:hAnsi="Calibri"/>
          <w:sz w:val="24"/>
          <w:szCs w:val="24"/>
        </w:rPr>
        <w:t>CANBERRA</w:t>
      </w:r>
      <w:r w:rsidR="001E0B0A">
        <w:rPr>
          <w:rFonts w:ascii="Calibri" w:hAnsi="Calibri"/>
          <w:sz w:val="24"/>
          <w:szCs w:val="24"/>
        </w:rPr>
        <w:t xml:space="preserve">  </w:t>
      </w:r>
      <w:r>
        <w:rPr>
          <w:rFonts w:ascii="Calibri" w:hAnsi="Calibri"/>
          <w:sz w:val="24"/>
          <w:szCs w:val="24"/>
        </w:rPr>
        <w:t>ACT</w:t>
      </w:r>
      <w:proofErr w:type="gramEnd"/>
      <w:r w:rsidR="001E0B0A">
        <w:rPr>
          <w:rFonts w:ascii="Calibri" w:hAnsi="Calibri"/>
          <w:sz w:val="24"/>
          <w:szCs w:val="24"/>
        </w:rPr>
        <w:t xml:space="preserve"> </w:t>
      </w:r>
      <w:r>
        <w:rPr>
          <w:rFonts w:ascii="Calibri" w:hAnsi="Calibri"/>
          <w:sz w:val="24"/>
          <w:szCs w:val="24"/>
        </w:rPr>
        <w:t>2601</w:t>
      </w:r>
    </w:p>
    <w:p w14:paraId="5E316E31" w14:textId="77777777" w:rsidR="00DF1E37" w:rsidRDefault="00DF1E37" w:rsidP="00AD7D31">
      <w:pPr>
        <w:spacing w:after="0" w:line="240" w:lineRule="auto"/>
        <w:rPr>
          <w:rFonts w:ascii="Calibri" w:hAnsi="Calibri"/>
          <w:sz w:val="24"/>
          <w:szCs w:val="24"/>
        </w:rPr>
      </w:pPr>
    </w:p>
    <w:p w14:paraId="295D4996" w14:textId="77777777" w:rsidR="00DF1E37" w:rsidRPr="00A031A0" w:rsidRDefault="00DF1E37" w:rsidP="00AD7D31">
      <w:pPr>
        <w:spacing w:after="0" w:line="240" w:lineRule="auto"/>
        <w:rPr>
          <w:rFonts w:ascii="Calibri" w:hAnsi="Calibri"/>
          <w:sz w:val="24"/>
          <w:szCs w:val="24"/>
        </w:rPr>
      </w:pPr>
    </w:p>
    <w:p w14:paraId="7ADCB5A9" w14:textId="77777777" w:rsidR="00AD7D31" w:rsidRPr="00A031A0" w:rsidRDefault="00AD7D31" w:rsidP="00AD7D31">
      <w:pPr>
        <w:spacing w:after="0" w:line="240" w:lineRule="auto"/>
        <w:rPr>
          <w:rFonts w:ascii="Calibri" w:hAnsi="Calibri"/>
          <w:sz w:val="24"/>
          <w:szCs w:val="24"/>
        </w:rPr>
      </w:pPr>
    </w:p>
    <w:p w14:paraId="0032211D"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DF1E37">
        <w:rPr>
          <w:rFonts w:ascii="Calibri" w:hAnsi="Calibri"/>
          <w:sz w:val="24"/>
          <w:szCs w:val="24"/>
          <w:lang w:val="en-US"/>
        </w:rPr>
        <w:t>Mrs</w:t>
      </w:r>
      <w:proofErr w:type="spellEnd"/>
      <w:r w:rsidR="00DF1E37">
        <w:rPr>
          <w:rFonts w:ascii="Calibri" w:hAnsi="Calibri"/>
          <w:sz w:val="24"/>
          <w:szCs w:val="24"/>
          <w:lang w:val="en-US"/>
        </w:rPr>
        <w:t xml:space="preserve"> Jones</w:t>
      </w:r>
    </w:p>
    <w:p w14:paraId="1E2D0DCF" w14:textId="77777777" w:rsidR="00AD7D31" w:rsidRPr="00A031A0" w:rsidRDefault="00AD7D31" w:rsidP="00AD7D31">
      <w:pPr>
        <w:pStyle w:val="Header"/>
        <w:tabs>
          <w:tab w:val="left" w:pos="720"/>
        </w:tabs>
        <w:rPr>
          <w:rFonts w:ascii="Calibri" w:hAnsi="Calibri"/>
          <w:sz w:val="24"/>
          <w:szCs w:val="24"/>
        </w:rPr>
      </w:pPr>
    </w:p>
    <w:p w14:paraId="4177817D" w14:textId="52374BBB" w:rsidR="00AD7D31" w:rsidRDefault="00DF1E37" w:rsidP="00513C96">
      <w:pPr>
        <w:spacing w:after="0" w:line="240" w:lineRule="auto"/>
        <w:rPr>
          <w:rFonts w:ascii="Calibri" w:hAnsi="Calibri"/>
          <w:sz w:val="24"/>
          <w:szCs w:val="24"/>
        </w:rPr>
      </w:pPr>
      <w:r>
        <w:rPr>
          <w:rFonts w:ascii="Calibri" w:hAnsi="Calibri"/>
          <w:sz w:val="24"/>
          <w:szCs w:val="24"/>
        </w:rPr>
        <w:t>I write in response to the Standing Committee on Justice and Community Safety’s (the Committee</w:t>
      </w:r>
      <w:r w:rsidR="00AB7EE8">
        <w:rPr>
          <w:rFonts w:ascii="Calibri" w:hAnsi="Calibri"/>
          <w:sz w:val="24"/>
          <w:szCs w:val="24"/>
        </w:rPr>
        <w:t>’s</w:t>
      </w:r>
      <w:r>
        <w:rPr>
          <w:rFonts w:ascii="Calibri" w:hAnsi="Calibri"/>
          <w:sz w:val="24"/>
          <w:szCs w:val="24"/>
        </w:rPr>
        <w:t xml:space="preserve">) comments in relation to the </w:t>
      </w:r>
      <w:r w:rsidRPr="00974089">
        <w:rPr>
          <w:rFonts w:ascii="Calibri" w:hAnsi="Calibri"/>
          <w:i/>
          <w:iCs/>
          <w:sz w:val="24"/>
          <w:szCs w:val="24"/>
        </w:rPr>
        <w:t>Magistrates Court (Heritage Infringement Notices) Regulation 2020</w:t>
      </w:r>
      <w:r>
        <w:rPr>
          <w:rFonts w:ascii="Calibri" w:hAnsi="Calibri"/>
          <w:sz w:val="24"/>
          <w:szCs w:val="24"/>
        </w:rPr>
        <w:t xml:space="preserve"> (the </w:t>
      </w:r>
      <w:r w:rsidR="00953523">
        <w:rPr>
          <w:rFonts w:ascii="Calibri" w:hAnsi="Calibri"/>
          <w:sz w:val="24"/>
          <w:szCs w:val="24"/>
        </w:rPr>
        <w:t>r</w:t>
      </w:r>
      <w:r>
        <w:rPr>
          <w:rFonts w:ascii="Calibri" w:hAnsi="Calibri"/>
          <w:sz w:val="24"/>
          <w:szCs w:val="24"/>
        </w:rPr>
        <w:t xml:space="preserve">egulation). </w:t>
      </w:r>
    </w:p>
    <w:p w14:paraId="20AF5E9F" w14:textId="77777777" w:rsidR="00DF1E37" w:rsidRDefault="00DF1E37" w:rsidP="00513C96">
      <w:pPr>
        <w:spacing w:after="0" w:line="240" w:lineRule="auto"/>
        <w:rPr>
          <w:rFonts w:ascii="Calibri" w:hAnsi="Calibri"/>
          <w:sz w:val="24"/>
          <w:szCs w:val="24"/>
        </w:rPr>
      </w:pPr>
    </w:p>
    <w:p w14:paraId="2C38C0AE" w14:textId="22A1B75D" w:rsidR="001846AC" w:rsidRDefault="00DF1E37" w:rsidP="00513C96">
      <w:pPr>
        <w:spacing w:after="0" w:line="240" w:lineRule="auto"/>
        <w:rPr>
          <w:rFonts w:ascii="Calibri" w:hAnsi="Calibri"/>
          <w:sz w:val="24"/>
          <w:szCs w:val="24"/>
        </w:rPr>
      </w:pPr>
      <w:r>
        <w:rPr>
          <w:rFonts w:ascii="Calibri" w:hAnsi="Calibri"/>
          <w:sz w:val="24"/>
          <w:szCs w:val="24"/>
        </w:rPr>
        <w:t xml:space="preserve">I note the Committee’s </w:t>
      </w:r>
      <w:r w:rsidR="00AB7EE8">
        <w:rPr>
          <w:rFonts w:ascii="Calibri" w:hAnsi="Calibri"/>
          <w:sz w:val="24"/>
          <w:szCs w:val="24"/>
        </w:rPr>
        <w:t>observation</w:t>
      </w:r>
      <w:r>
        <w:rPr>
          <w:rFonts w:ascii="Calibri" w:hAnsi="Calibri"/>
          <w:sz w:val="24"/>
          <w:szCs w:val="24"/>
        </w:rPr>
        <w:t xml:space="preserve"> that the explanatory statement does not contain a discussion of the human rights implications of the </w:t>
      </w:r>
      <w:r w:rsidR="00953523">
        <w:rPr>
          <w:rFonts w:ascii="Calibri" w:hAnsi="Calibri"/>
          <w:sz w:val="24"/>
          <w:szCs w:val="24"/>
        </w:rPr>
        <w:t>r</w:t>
      </w:r>
      <w:r>
        <w:rPr>
          <w:rFonts w:ascii="Calibri" w:hAnsi="Calibri"/>
          <w:sz w:val="24"/>
          <w:szCs w:val="24"/>
        </w:rPr>
        <w:t>egulation</w:t>
      </w:r>
      <w:r w:rsidR="00CC24A7">
        <w:rPr>
          <w:rFonts w:ascii="Calibri" w:hAnsi="Calibri"/>
          <w:sz w:val="24"/>
          <w:szCs w:val="24"/>
        </w:rPr>
        <w:t xml:space="preserve"> and that there is a lack of background to the </w:t>
      </w:r>
      <w:r w:rsidR="0069468F">
        <w:rPr>
          <w:rFonts w:ascii="Calibri" w:hAnsi="Calibri"/>
          <w:sz w:val="24"/>
          <w:szCs w:val="24"/>
        </w:rPr>
        <w:t>r</w:t>
      </w:r>
      <w:r w:rsidR="00CC24A7">
        <w:rPr>
          <w:rFonts w:ascii="Calibri" w:hAnsi="Calibri"/>
          <w:sz w:val="24"/>
          <w:szCs w:val="24"/>
        </w:rPr>
        <w:t>egulation</w:t>
      </w:r>
      <w:r>
        <w:rPr>
          <w:rFonts w:ascii="Calibri" w:hAnsi="Calibri"/>
          <w:sz w:val="24"/>
          <w:szCs w:val="24"/>
        </w:rPr>
        <w:t xml:space="preserve">. </w:t>
      </w:r>
      <w:r w:rsidR="001846AC">
        <w:rPr>
          <w:rFonts w:ascii="Calibri" w:hAnsi="Calibri"/>
          <w:sz w:val="24"/>
          <w:szCs w:val="24"/>
        </w:rPr>
        <w:t xml:space="preserve">I also note the Committee’s view that the explanatory statement does not meet the technical and stylistic standards of the Committee. </w:t>
      </w:r>
    </w:p>
    <w:p w14:paraId="3D065F77" w14:textId="38893524" w:rsidR="001846AC" w:rsidRDefault="001846AC" w:rsidP="00513C96">
      <w:pPr>
        <w:spacing w:after="0" w:line="240" w:lineRule="auto"/>
        <w:rPr>
          <w:rFonts w:ascii="Calibri" w:hAnsi="Calibri"/>
          <w:sz w:val="24"/>
          <w:szCs w:val="24"/>
        </w:rPr>
      </w:pPr>
    </w:p>
    <w:p w14:paraId="5DDEC5A6" w14:textId="1A33BEDE" w:rsidR="009C32E5" w:rsidRPr="006125C8" w:rsidRDefault="009C32E5" w:rsidP="00513C96">
      <w:pPr>
        <w:spacing w:after="0" w:line="240" w:lineRule="auto"/>
        <w:rPr>
          <w:rFonts w:ascii="Calibri" w:hAnsi="Calibri"/>
          <w:sz w:val="24"/>
          <w:szCs w:val="24"/>
        </w:rPr>
      </w:pPr>
      <w:r w:rsidRPr="006125C8">
        <w:rPr>
          <w:rFonts w:ascii="Calibri" w:hAnsi="Calibri"/>
          <w:sz w:val="24"/>
          <w:szCs w:val="24"/>
        </w:rPr>
        <w:t xml:space="preserve">I would like to take this opportunity to discuss the </w:t>
      </w:r>
      <w:r w:rsidR="00953523" w:rsidRPr="006125C8">
        <w:rPr>
          <w:rFonts w:ascii="Calibri" w:hAnsi="Calibri"/>
          <w:sz w:val="24"/>
          <w:szCs w:val="24"/>
        </w:rPr>
        <w:t>r</w:t>
      </w:r>
      <w:r w:rsidR="001846AC" w:rsidRPr="006125C8">
        <w:rPr>
          <w:rFonts w:ascii="Calibri" w:hAnsi="Calibri"/>
          <w:sz w:val="24"/>
          <w:szCs w:val="24"/>
        </w:rPr>
        <w:t xml:space="preserve">egulation’s </w:t>
      </w:r>
      <w:r w:rsidR="00CC24A7" w:rsidRPr="006125C8">
        <w:rPr>
          <w:rFonts w:ascii="Calibri" w:hAnsi="Calibri"/>
          <w:sz w:val="24"/>
          <w:szCs w:val="24"/>
        </w:rPr>
        <w:t>background and</w:t>
      </w:r>
      <w:r w:rsidR="001846AC" w:rsidRPr="006125C8">
        <w:rPr>
          <w:rFonts w:ascii="Calibri" w:hAnsi="Calibri"/>
          <w:sz w:val="24"/>
          <w:szCs w:val="24"/>
        </w:rPr>
        <w:t xml:space="preserve"> </w:t>
      </w:r>
      <w:r w:rsidRPr="006125C8">
        <w:rPr>
          <w:rFonts w:ascii="Calibri" w:hAnsi="Calibri"/>
          <w:sz w:val="24"/>
          <w:szCs w:val="24"/>
        </w:rPr>
        <w:t xml:space="preserve">human rights implications. </w:t>
      </w:r>
      <w:r w:rsidR="001846AC" w:rsidRPr="006125C8">
        <w:rPr>
          <w:rFonts w:ascii="Calibri" w:hAnsi="Calibri"/>
          <w:sz w:val="24"/>
          <w:szCs w:val="24"/>
        </w:rPr>
        <w:t xml:space="preserve">I would also like to take this opportunity to advise the Committee that future explanatory statements will include this information </w:t>
      </w:r>
      <w:r w:rsidR="004D030B">
        <w:rPr>
          <w:rFonts w:ascii="Calibri" w:hAnsi="Calibri"/>
          <w:sz w:val="24"/>
          <w:szCs w:val="24"/>
        </w:rPr>
        <w:t>and address key matters of policy arising under such regulations</w:t>
      </w:r>
      <w:r w:rsidR="001846AC" w:rsidRPr="006125C8">
        <w:rPr>
          <w:rFonts w:ascii="Calibri" w:hAnsi="Calibri"/>
          <w:sz w:val="24"/>
          <w:szCs w:val="24"/>
        </w:rPr>
        <w:t xml:space="preserve">. </w:t>
      </w:r>
    </w:p>
    <w:p w14:paraId="54380E96" w14:textId="77777777" w:rsidR="000529B5" w:rsidRPr="006125C8" w:rsidRDefault="000529B5" w:rsidP="00E86564">
      <w:pPr>
        <w:spacing w:after="0" w:line="240" w:lineRule="auto"/>
        <w:jc w:val="both"/>
        <w:rPr>
          <w:rFonts w:ascii="Calibri" w:hAnsi="Calibri"/>
          <w:sz w:val="24"/>
          <w:szCs w:val="24"/>
        </w:rPr>
      </w:pPr>
    </w:p>
    <w:p w14:paraId="50EBDC1C" w14:textId="36B132CC" w:rsidR="00CC24A7" w:rsidRPr="006125C8" w:rsidRDefault="00CC24A7" w:rsidP="00513C96">
      <w:pPr>
        <w:spacing w:after="0"/>
        <w:rPr>
          <w:rFonts w:cstheme="minorHAnsi"/>
          <w:sz w:val="24"/>
          <w:szCs w:val="24"/>
        </w:rPr>
      </w:pPr>
      <w:r w:rsidRPr="006125C8">
        <w:rPr>
          <w:rFonts w:cstheme="minorHAnsi"/>
          <w:sz w:val="24"/>
          <w:szCs w:val="24"/>
        </w:rPr>
        <w:t xml:space="preserve">The </w:t>
      </w:r>
      <w:r w:rsidR="0069468F" w:rsidRPr="006125C8">
        <w:rPr>
          <w:rFonts w:cstheme="minorHAnsi"/>
          <w:sz w:val="24"/>
          <w:szCs w:val="24"/>
        </w:rPr>
        <w:t>r</w:t>
      </w:r>
      <w:r w:rsidRPr="006125C8">
        <w:rPr>
          <w:rFonts w:cstheme="minorHAnsi"/>
          <w:sz w:val="24"/>
          <w:szCs w:val="24"/>
        </w:rPr>
        <w:t xml:space="preserve">egulation establishes an infringement notice scheme for </w:t>
      </w:r>
      <w:r w:rsidR="001846AC" w:rsidRPr="006125C8">
        <w:rPr>
          <w:rFonts w:cstheme="minorHAnsi"/>
          <w:sz w:val="24"/>
          <w:szCs w:val="24"/>
        </w:rPr>
        <w:t>two</w:t>
      </w:r>
      <w:r w:rsidRPr="006125C8">
        <w:rPr>
          <w:rFonts w:cstheme="minorHAnsi"/>
          <w:sz w:val="24"/>
          <w:szCs w:val="24"/>
        </w:rPr>
        <w:t xml:space="preserve"> strict liability offences under the </w:t>
      </w:r>
      <w:r w:rsidRPr="006125C8">
        <w:rPr>
          <w:rFonts w:cstheme="minorHAnsi"/>
          <w:i/>
          <w:iCs/>
          <w:sz w:val="24"/>
          <w:szCs w:val="24"/>
        </w:rPr>
        <w:t>Heritage Act 2004</w:t>
      </w:r>
      <w:r w:rsidRPr="006125C8">
        <w:rPr>
          <w:rFonts w:cstheme="minorHAnsi"/>
          <w:sz w:val="24"/>
          <w:szCs w:val="24"/>
        </w:rPr>
        <w:t>.</w:t>
      </w:r>
      <w:r w:rsidR="001E0B0A">
        <w:rPr>
          <w:rFonts w:cstheme="minorHAnsi"/>
          <w:sz w:val="24"/>
          <w:szCs w:val="24"/>
        </w:rPr>
        <w:t xml:space="preserve"> </w:t>
      </w:r>
      <w:r w:rsidRPr="006125C8">
        <w:rPr>
          <w:rFonts w:cstheme="minorHAnsi"/>
          <w:sz w:val="24"/>
          <w:szCs w:val="24"/>
        </w:rPr>
        <w:t>These offences are:</w:t>
      </w:r>
    </w:p>
    <w:p w14:paraId="03680A13" w14:textId="319B6F96" w:rsidR="00CC24A7" w:rsidRPr="006125C8" w:rsidRDefault="00CC24A7" w:rsidP="00513C96">
      <w:pPr>
        <w:pStyle w:val="ListParagraph"/>
        <w:numPr>
          <w:ilvl w:val="0"/>
          <w:numId w:val="1"/>
        </w:numPr>
        <w:spacing w:after="240"/>
        <w:rPr>
          <w:rFonts w:asciiTheme="minorHAnsi" w:hAnsiTheme="minorHAnsi" w:cstheme="minorHAnsi"/>
          <w:szCs w:val="24"/>
        </w:rPr>
      </w:pPr>
      <w:r w:rsidRPr="006125C8">
        <w:rPr>
          <w:rFonts w:asciiTheme="minorHAnsi" w:hAnsiTheme="minorHAnsi" w:cstheme="minorHAnsi"/>
          <w:szCs w:val="24"/>
        </w:rPr>
        <w:t>engaging in conduct that diminishes the heritage significance of a place or object (Heritage Act, s 74(3)); and</w:t>
      </w:r>
    </w:p>
    <w:p w14:paraId="49571D98" w14:textId="331496D9" w:rsidR="00CC24A7" w:rsidRPr="006125C8" w:rsidRDefault="00CC24A7" w:rsidP="00513C96">
      <w:pPr>
        <w:pStyle w:val="ListParagraph"/>
        <w:numPr>
          <w:ilvl w:val="0"/>
          <w:numId w:val="1"/>
        </w:numPr>
        <w:spacing w:after="240"/>
        <w:rPr>
          <w:rFonts w:asciiTheme="minorHAnsi" w:hAnsiTheme="minorHAnsi" w:cstheme="minorHAnsi"/>
          <w:szCs w:val="24"/>
        </w:rPr>
      </w:pPr>
      <w:proofErr w:type="gramStart"/>
      <w:r w:rsidRPr="006125C8">
        <w:rPr>
          <w:rFonts w:asciiTheme="minorHAnsi" w:hAnsiTheme="minorHAnsi" w:cstheme="minorHAnsi"/>
          <w:szCs w:val="24"/>
        </w:rPr>
        <w:t>engaging</w:t>
      </w:r>
      <w:proofErr w:type="gramEnd"/>
      <w:r w:rsidRPr="006125C8">
        <w:rPr>
          <w:rFonts w:asciiTheme="minorHAnsi" w:hAnsiTheme="minorHAnsi" w:cstheme="minorHAnsi"/>
          <w:szCs w:val="24"/>
        </w:rPr>
        <w:t xml:space="preserve"> in conduct that causes damage to an Aboriginal place or object (Heritage Act, s</w:t>
      </w:r>
      <w:r w:rsidR="00953523" w:rsidRPr="006125C8">
        <w:rPr>
          <w:rFonts w:asciiTheme="minorHAnsi" w:hAnsiTheme="minorHAnsi" w:cstheme="minorHAnsi"/>
          <w:szCs w:val="24"/>
        </w:rPr>
        <w:t> </w:t>
      </w:r>
      <w:r w:rsidRPr="006125C8">
        <w:rPr>
          <w:rFonts w:asciiTheme="minorHAnsi" w:hAnsiTheme="minorHAnsi" w:cstheme="minorHAnsi"/>
          <w:szCs w:val="24"/>
        </w:rPr>
        <w:t>75(3)).</w:t>
      </w:r>
    </w:p>
    <w:p w14:paraId="4A47EC86" w14:textId="32FA4F9B" w:rsidR="00CC24A7" w:rsidRPr="006125C8" w:rsidRDefault="00CC24A7" w:rsidP="00513C96">
      <w:pPr>
        <w:spacing w:after="240"/>
        <w:rPr>
          <w:rFonts w:cstheme="minorHAnsi"/>
          <w:sz w:val="24"/>
          <w:szCs w:val="24"/>
        </w:rPr>
      </w:pPr>
      <w:r w:rsidRPr="006125C8">
        <w:rPr>
          <w:rFonts w:cstheme="minorHAnsi"/>
          <w:sz w:val="24"/>
          <w:szCs w:val="24"/>
        </w:rPr>
        <w:t xml:space="preserve">The </w:t>
      </w:r>
      <w:r w:rsidR="00953523" w:rsidRPr="006125C8">
        <w:rPr>
          <w:rFonts w:cstheme="minorHAnsi"/>
          <w:sz w:val="24"/>
          <w:szCs w:val="24"/>
        </w:rPr>
        <w:t>r</w:t>
      </w:r>
      <w:r w:rsidRPr="006125C8">
        <w:rPr>
          <w:rFonts w:cstheme="minorHAnsi"/>
          <w:sz w:val="24"/>
          <w:szCs w:val="24"/>
        </w:rPr>
        <w:t xml:space="preserve">egulation sets out the infringement notice penalties for the </w:t>
      </w:r>
      <w:r w:rsidR="001846AC" w:rsidRPr="006125C8">
        <w:rPr>
          <w:rFonts w:cstheme="minorHAnsi"/>
          <w:sz w:val="24"/>
          <w:szCs w:val="24"/>
        </w:rPr>
        <w:t>two</w:t>
      </w:r>
      <w:r w:rsidRPr="006125C8">
        <w:rPr>
          <w:rFonts w:cstheme="minorHAnsi"/>
          <w:sz w:val="24"/>
          <w:szCs w:val="24"/>
        </w:rPr>
        <w:t xml:space="preserve"> offences, with different penalties applying to individuals and corporations.</w:t>
      </w:r>
      <w:r w:rsidR="0069468F" w:rsidRPr="006125C8">
        <w:rPr>
          <w:rFonts w:cstheme="minorHAnsi"/>
          <w:sz w:val="24"/>
          <w:szCs w:val="24"/>
        </w:rPr>
        <w:t xml:space="preserve"> </w:t>
      </w:r>
    </w:p>
    <w:p w14:paraId="28A8632B" w14:textId="77777777" w:rsidR="00075B27" w:rsidRDefault="00075B27" w:rsidP="00513C96">
      <w:pPr>
        <w:spacing w:after="240"/>
        <w:rPr>
          <w:rFonts w:cstheme="minorHAnsi"/>
          <w:sz w:val="24"/>
          <w:szCs w:val="24"/>
        </w:rPr>
      </w:pPr>
    </w:p>
    <w:p w14:paraId="662E15F4" w14:textId="77777777" w:rsidR="00075B27" w:rsidRDefault="00075B27" w:rsidP="00513C96">
      <w:pPr>
        <w:spacing w:after="240"/>
        <w:rPr>
          <w:rFonts w:cstheme="minorHAnsi"/>
          <w:sz w:val="24"/>
          <w:szCs w:val="24"/>
        </w:rPr>
      </w:pPr>
    </w:p>
    <w:p w14:paraId="40DF4CEB" w14:textId="77777777" w:rsidR="00075B27" w:rsidRDefault="00075B27" w:rsidP="00513C96">
      <w:pPr>
        <w:spacing w:after="240"/>
        <w:rPr>
          <w:rFonts w:cstheme="minorHAnsi"/>
          <w:sz w:val="24"/>
          <w:szCs w:val="24"/>
        </w:rPr>
      </w:pPr>
    </w:p>
    <w:p w14:paraId="1D09BC15" w14:textId="77777777" w:rsidR="00075B27" w:rsidRDefault="00075B27" w:rsidP="00513C96">
      <w:pPr>
        <w:spacing w:after="240"/>
        <w:rPr>
          <w:rFonts w:cstheme="minorHAnsi"/>
          <w:sz w:val="24"/>
          <w:szCs w:val="24"/>
        </w:rPr>
      </w:pPr>
    </w:p>
    <w:p w14:paraId="4AF94AE5" w14:textId="5196B0CE" w:rsidR="000529B5" w:rsidRPr="006125C8" w:rsidRDefault="0069468F" w:rsidP="00513C96">
      <w:pPr>
        <w:spacing w:after="240"/>
        <w:rPr>
          <w:rFonts w:cstheme="minorHAnsi"/>
          <w:sz w:val="24"/>
          <w:szCs w:val="24"/>
        </w:rPr>
      </w:pPr>
      <w:r w:rsidRPr="006125C8">
        <w:rPr>
          <w:rFonts w:cstheme="minorHAnsi"/>
          <w:sz w:val="24"/>
          <w:szCs w:val="24"/>
        </w:rPr>
        <w:t xml:space="preserve">The Committee has </w:t>
      </w:r>
      <w:r w:rsidR="000529B5" w:rsidRPr="006125C8">
        <w:rPr>
          <w:rFonts w:cstheme="minorHAnsi"/>
          <w:sz w:val="24"/>
          <w:szCs w:val="24"/>
        </w:rPr>
        <w:t>sought my advice as to why a discussion of the human rights implications was not included in the regulation. This discussion was not provided because t</w:t>
      </w:r>
      <w:r w:rsidR="009C32E5" w:rsidRPr="006125C8">
        <w:rPr>
          <w:rFonts w:cstheme="minorHAnsi"/>
          <w:sz w:val="24"/>
          <w:szCs w:val="24"/>
        </w:rPr>
        <w:t xml:space="preserve">he </w:t>
      </w:r>
      <w:r w:rsidR="00953523" w:rsidRPr="006125C8">
        <w:rPr>
          <w:rFonts w:cstheme="minorHAnsi"/>
          <w:sz w:val="24"/>
          <w:szCs w:val="24"/>
        </w:rPr>
        <w:t>r</w:t>
      </w:r>
      <w:r w:rsidR="009C32E5" w:rsidRPr="006125C8">
        <w:rPr>
          <w:rFonts w:cstheme="minorHAnsi"/>
          <w:sz w:val="24"/>
          <w:szCs w:val="24"/>
        </w:rPr>
        <w:t>egulation itself does not engage human rights.</w:t>
      </w:r>
      <w:r w:rsidR="00CC24A7" w:rsidRPr="006125C8">
        <w:rPr>
          <w:rFonts w:cstheme="minorHAnsi"/>
          <w:sz w:val="24"/>
          <w:szCs w:val="24"/>
        </w:rPr>
        <w:t xml:space="preserve"> </w:t>
      </w:r>
      <w:r w:rsidR="000529B5" w:rsidRPr="006125C8">
        <w:rPr>
          <w:rFonts w:cstheme="minorHAnsi"/>
          <w:sz w:val="24"/>
          <w:szCs w:val="24"/>
        </w:rPr>
        <w:t xml:space="preserve">The regulation creates an infringement notice scheme for the practical enforcement of existing legal obligations. </w:t>
      </w:r>
    </w:p>
    <w:p w14:paraId="7A38ABC3" w14:textId="7E3E599A" w:rsidR="000529B5" w:rsidRPr="006125C8" w:rsidRDefault="000529B5" w:rsidP="00513C96">
      <w:pPr>
        <w:spacing w:after="240"/>
        <w:rPr>
          <w:rFonts w:cstheme="minorHAnsi"/>
          <w:sz w:val="24"/>
          <w:szCs w:val="24"/>
        </w:rPr>
      </w:pPr>
      <w:r w:rsidRPr="006125C8">
        <w:rPr>
          <w:rFonts w:cstheme="minorHAnsi"/>
          <w:sz w:val="24"/>
          <w:szCs w:val="24"/>
        </w:rPr>
        <w:t xml:space="preserve">The infringement notice scheme is for two long-standing strict liability offences under the Heritage Act. </w:t>
      </w:r>
      <w:r w:rsidR="009C32E5" w:rsidRPr="006125C8">
        <w:rPr>
          <w:rFonts w:cstheme="minorHAnsi"/>
          <w:sz w:val="24"/>
          <w:szCs w:val="24"/>
        </w:rPr>
        <w:t xml:space="preserve">Strict liability offences do engage with the right to be presumed innocent under section 22 of the </w:t>
      </w:r>
      <w:r w:rsidR="009C32E5" w:rsidRPr="006125C8">
        <w:rPr>
          <w:rFonts w:cstheme="minorHAnsi"/>
          <w:i/>
          <w:iCs/>
          <w:sz w:val="24"/>
          <w:szCs w:val="24"/>
        </w:rPr>
        <w:t>Human Rights Act 2004</w:t>
      </w:r>
      <w:r w:rsidR="009C32E5" w:rsidRPr="006125C8">
        <w:rPr>
          <w:rFonts w:cstheme="minorHAnsi"/>
          <w:sz w:val="24"/>
          <w:szCs w:val="24"/>
        </w:rPr>
        <w:t xml:space="preserve">. However, </w:t>
      </w:r>
      <w:r w:rsidRPr="006125C8">
        <w:rPr>
          <w:rFonts w:cstheme="minorHAnsi"/>
          <w:sz w:val="24"/>
          <w:szCs w:val="24"/>
        </w:rPr>
        <w:t>the regulation does not create any new strict liability offences. The strict liability offence provisions that are subject to the infringement scheme in the regulation are currently within the Heritage Act. I note the Committee’s support for including a discussion of</w:t>
      </w:r>
      <w:r w:rsidR="004D030B">
        <w:rPr>
          <w:rFonts w:cstheme="minorHAnsi"/>
          <w:sz w:val="24"/>
          <w:szCs w:val="24"/>
        </w:rPr>
        <w:t xml:space="preserve"> the</w:t>
      </w:r>
      <w:r w:rsidRPr="006125C8">
        <w:rPr>
          <w:rFonts w:cstheme="minorHAnsi"/>
          <w:sz w:val="24"/>
          <w:szCs w:val="24"/>
        </w:rPr>
        <w:t xml:space="preserve"> human rights implications in explanatory statements for subordinate laws</w:t>
      </w:r>
      <w:r w:rsidR="004D030B">
        <w:rPr>
          <w:rFonts w:cstheme="minorHAnsi"/>
          <w:sz w:val="24"/>
          <w:szCs w:val="24"/>
        </w:rPr>
        <w:t>.</w:t>
      </w:r>
      <w:r w:rsidRPr="006125C8">
        <w:rPr>
          <w:rFonts w:cstheme="minorHAnsi"/>
          <w:sz w:val="24"/>
          <w:szCs w:val="24"/>
        </w:rPr>
        <w:t xml:space="preserve"> </w:t>
      </w:r>
      <w:r w:rsidR="004D030B">
        <w:rPr>
          <w:rFonts w:cstheme="minorHAnsi"/>
          <w:sz w:val="24"/>
          <w:szCs w:val="24"/>
        </w:rPr>
        <w:t>The Government</w:t>
      </w:r>
      <w:r w:rsidRPr="006125C8">
        <w:rPr>
          <w:rFonts w:cstheme="minorHAnsi"/>
          <w:sz w:val="24"/>
          <w:szCs w:val="24"/>
        </w:rPr>
        <w:t xml:space="preserve"> will</w:t>
      </w:r>
      <w:r w:rsidR="004D030B">
        <w:rPr>
          <w:rFonts w:cstheme="minorHAnsi"/>
          <w:sz w:val="24"/>
          <w:szCs w:val="24"/>
        </w:rPr>
        <w:t xml:space="preserve"> endeavour to</w:t>
      </w:r>
      <w:r w:rsidRPr="006125C8">
        <w:rPr>
          <w:rFonts w:cstheme="minorHAnsi"/>
          <w:sz w:val="24"/>
          <w:szCs w:val="24"/>
        </w:rPr>
        <w:t xml:space="preserve"> </w:t>
      </w:r>
      <w:r w:rsidR="004D030B">
        <w:rPr>
          <w:rFonts w:cstheme="minorHAnsi"/>
          <w:sz w:val="24"/>
          <w:szCs w:val="24"/>
        </w:rPr>
        <w:t xml:space="preserve">ensure that where human rights are affected these impacts are addressed </w:t>
      </w:r>
      <w:r w:rsidRPr="006125C8">
        <w:rPr>
          <w:rFonts w:cstheme="minorHAnsi"/>
          <w:sz w:val="24"/>
          <w:szCs w:val="24"/>
        </w:rPr>
        <w:t>in explanatory statements</w:t>
      </w:r>
      <w:r w:rsidR="004D030B">
        <w:rPr>
          <w:rFonts w:cstheme="minorHAnsi"/>
          <w:sz w:val="24"/>
          <w:szCs w:val="24"/>
        </w:rPr>
        <w:t xml:space="preserve"> for subordinate laws</w:t>
      </w:r>
      <w:r w:rsidRPr="006125C8">
        <w:rPr>
          <w:rFonts w:cstheme="minorHAnsi"/>
          <w:sz w:val="24"/>
          <w:szCs w:val="24"/>
        </w:rPr>
        <w:t>.</w:t>
      </w:r>
    </w:p>
    <w:p w14:paraId="6DF9F8E8" w14:textId="58471859" w:rsidR="00611FD8" w:rsidRPr="00611FD8" w:rsidRDefault="00611FD8" w:rsidP="00513C96">
      <w:pPr>
        <w:spacing w:after="120"/>
        <w:rPr>
          <w:rFonts w:ascii="Calibri" w:hAnsi="Calibri"/>
          <w:b/>
          <w:bCs/>
          <w:sz w:val="24"/>
          <w:szCs w:val="24"/>
        </w:rPr>
      </w:pPr>
      <w:r w:rsidRPr="00611FD8">
        <w:rPr>
          <w:rFonts w:ascii="Calibri" w:hAnsi="Calibri"/>
          <w:b/>
          <w:bCs/>
          <w:sz w:val="24"/>
          <w:szCs w:val="24"/>
        </w:rPr>
        <w:t>Drafting issue</w:t>
      </w:r>
    </w:p>
    <w:p w14:paraId="49F9B910" w14:textId="1A9496B6" w:rsidR="00667102" w:rsidRPr="00DF1E37" w:rsidRDefault="00667102" w:rsidP="00513C96">
      <w:pPr>
        <w:spacing w:after="240" w:line="240" w:lineRule="auto"/>
        <w:rPr>
          <w:rFonts w:ascii="Calibri" w:hAnsi="Calibri"/>
          <w:sz w:val="24"/>
          <w:szCs w:val="24"/>
        </w:rPr>
      </w:pPr>
      <w:r>
        <w:rPr>
          <w:rFonts w:ascii="Calibri" w:hAnsi="Calibri"/>
          <w:sz w:val="24"/>
          <w:szCs w:val="24"/>
        </w:rPr>
        <w:t xml:space="preserve">The Committee also raises a </w:t>
      </w:r>
      <w:r w:rsidR="007131DF">
        <w:rPr>
          <w:rFonts w:ascii="Calibri" w:hAnsi="Calibri"/>
          <w:sz w:val="24"/>
          <w:szCs w:val="24"/>
        </w:rPr>
        <w:t xml:space="preserve">possible </w:t>
      </w:r>
      <w:r>
        <w:rPr>
          <w:rFonts w:ascii="Calibri" w:hAnsi="Calibri"/>
          <w:sz w:val="24"/>
          <w:szCs w:val="24"/>
        </w:rPr>
        <w:t xml:space="preserve">drafting issue. </w:t>
      </w:r>
      <w:r w:rsidR="004416AC">
        <w:rPr>
          <w:rFonts w:ascii="Calibri" w:hAnsi="Calibri"/>
          <w:sz w:val="24"/>
          <w:szCs w:val="24"/>
        </w:rPr>
        <w:t xml:space="preserve">The table in </w:t>
      </w:r>
      <w:r w:rsidR="00AB7EE8">
        <w:rPr>
          <w:rFonts w:ascii="Calibri" w:hAnsi="Calibri"/>
          <w:sz w:val="24"/>
          <w:szCs w:val="24"/>
        </w:rPr>
        <w:t>s</w:t>
      </w:r>
      <w:r w:rsidR="004416AC">
        <w:rPr>
          <w:rFonts w:ascii="Calibri" w:hAnsi="Calibri"/>
          <w:sz w:val="24"/>
          <w:szCs w:val="24"/>
        </w:rPr>
        <w:t xml:space="preserve">chedule </w:t>
      </w:r>
      <w:r w:rsidR="001E0B0A">
        <w:rPr>
          <w:rFonts w:ascii="Calibri" w:hAnsi="Calibri"/>
          <w:sz w:val="24"/>
          <w:szCs w:val="24"/>
        </w:rPr>
        <w:t>one</w:t>
      </w:r>
      <w:r w:rsidR="004416AC">
        <w:rPr>
          <w:rFonts w:ascii="Calibri" w:hAnsi="Calibri"/>
          <w:sz w:val="24"/>
          <w:szCs w:val="24"/>
        </w:rPr>
        <w:t xml:space="preserve"> of the </w:t>
      </w:r>
      <w:r w:rsidR="00953523">
        <w:rPr>
          <w:rFonts w:ascii="Calibri" w:hAnsi="Calibri"/>
          <w:sz w:val="24"/>
          <w:szCs w:val="24"/>
        </w:rPr>
        <w:t>r</w:t>
      </w:r>
      <w:r w:rsidR="004416AC">
        <w:rPr>
          <w:rFonts w:ascii="Calibri" w:hAnsi="Calibri"/>
          <w:sz w:val="24"/>
          <w:szCs w:val="24"/>
        </w:rPr>
        <w:t xml:space="preserve">egulation sets out the </w:t>
      </w:r>
      <w:r w:rsidR="004416AC" w:rsidRPr="00953523">
        <w:rPr>
          <w:rFonts w:ascii="Calibri" w:hAnsi="Calibri"/>
          <w:sz w:val="24"/>
          <w:szCs w:val="24"/>
        </w:rPr>
        <w:t xml:space="preserve">Heritage Act </w:t>
      </w:r>
      <w:r w:rsidR="004416AC">
        <w:rPr>
          <w:rFonts w:ascii="Calibri" w:hAnsi="Calibri"/>
          <w:sz w:val="24"/>
          <w:szCs w:val="24"/>
        </w:rPr>
        <w:t xml:space="preserve">infringement notice offences and penalties. </w:t>
      </w:r>
      <w:r w:rsidR="009263F5">
        <w:rPr>
          <w:rFonts w:ascii="Calibri" w:hAnsi="Calibri"/>
          <w:sz w:val="24"/>
          <w:szCs w:val="24"/>
        </w:rPr>
        <w:t xml:space="preserve">I note the Committee’s observation that there is no reference in sections </w:t>
      </w:r>
      <w:r w:rsidR="005D3916">
        <w:rPr>
          <w:rFonts w:ascii="Calibri" w:hAnsi="Calibri"/>
          <w:sz w:val="24"/>
          <w:szCs w:val="24"/>
        </w:rPr>
        <w:t>seven</w:t>
      </w:r>
      <w:r w:rsidR="009263F5">
        <w:rPr>
          <w:rFonts w:ascii="Calibri" w:hAnsi="Calibri"/>
          <w:sz w:val="24"/>
          <w:szCs w:val="24"/>
        </w:rPr>
        <w:t xml:space="preserve"> or </w:t>
      </w:r>
      <w:r w:rsidR="005D3916">
        <w:rPr>
          <w:rFonts w:ascii="Calibri" w:hAnsi="Calibri"/>
          <w:sz w:val="24"/>
          <w:szCs w:val="24"/>
        </w:rPr>
        <w:t>eight</w:t>
      </w:r>
      <w:r w:rsidR="009263F5">
        <w:rPr>
          <w:rFonts w:ascii="Calibri" w:hAnsi="Calibri"/>
          <w:sz w:val="24"/>
          <w:szCs w:val="24"/>
        </w:rPr>
        <w:t xml:space="preserve"> of the </w:t>
      </w:r>
      <w:r w:rsidR="00953523">
        <w:rPr>
          <w:rFonts w:ascii="Calibri" w:hAnsi="Calibri"/>
          <w:sz w:val="24"/>
          <w:szCs w:val="24"/>
        </w:rPr>
        <w:t>r</w:t>
      </w:r>
      <w:r w:rsidR="009263F5">
        <w:rPr>
          <w:rFonts w:ascii="Calibri" w:hAnsi="Calibri"/>
          <w:sz w:val="24"/>
          <w:szCs w:val="24"/>
        </w:rPr>
        <w:t xml:space="preserve">egulation to </w:t>
      </w:r>
      <w:r w:rsidR="004416AC">
        <w:rPr>
          <w:rFonts w:ascii="Calibri" w:hAnsi="Calibri"/>
          <w:sz w:val="24"/>
          <w:szCs w:val="24"/>
        </w:rPr>
        <w:t>the</w:t>
      </w:r>
      <w:r w:rsidR="009263F5">
        <w:rPr>
          <w:rFonts w:ascii="Calibri" w:hAnsi="Calibri"/>
          <w:sz w:val="24"/>
          <w:szCs w:val="24"/>
        </w:rPr>
        <w:t xml:space="preserve"> penalty unit offence amount</w:t>
      </w:r>
      <w:r w:rsidR="004416AC">
        <w:rPr>
          <w:rFonts w:ascii="Calibri" w:hAnsi="Calibri"/>
          <w:sz w:val="24"/>
          <w:szCs w:val="24"/>
        </w:rPr>
        <w:t xml:space="preserve">s in </w:t>
      </w:r>
      <w:r w:rsidR="00AB7EE8">
        <w:rPr>
          <w:rFonts w:ascii="Calibri" w:hAnsi="Calibri"/>
          <w:sz w:val="24"/>
          <w:szCs w:val="24"/>
        </w:rPr>
        <w:t>c</w:t>
      </w:r>
      <w:r w:rsidR="004416AC">
        <w:rPr>
          <w:rFonts w:ascii="Calibri" w:hAnsi="Calibri"/>
          <w:sz w:val="24"/>
          <w:szCs w:val="24"/>
        </w:rPr>
        <w:t xml:space="preserve">olumn </w:t>
      </w:r>
      <w:r w:rsidR="005D3916">
        <w:rPr>
          <w:rFonts w:ascii="Calibri" w:hAnsi="Calibri"/>
          <w:sz w:val="24"/>
          <w:szCs w:val="24"/>
        </w:rPr>
        <w:t>three</w:t>
      </w:r>
      <w:r w:rsidR="004416AC">
        <w:rPr>
          <w:rFonts w:ascii="Calibri" w:hAnsi="Calibri"/>
          <w:sz w:val="24"/>
          <w:szCs w:val="24"/>
        </w:rPr>
        <w:t xml:space="preserve"> of the table</w:t>
      </w:r>
      <w:r w:rsidR="009263F5">
        <w:rPr>
          <w:rFonts w:ascii="Calibri" w:hAnsi="Calibri"/>
          <w:sz w:val="24"/>
          <w:szCs w:val="24"/>
        </w:rPr>
        <w:t xml:space="preserve">. </w:t>
      </w:r>
      <w:r>
        <w:rPr>
          <w:rFonts w:ascii="Calibri" w:hAnsi="Calibri"/>
          <w:sz w:val="24"/>
          <w:szCs w:val="24"/>
        </w:rPr>
        <w:t xml:space="preserve">The way in which </w:t>
      </w:r>
      <w:r w:rsidR="00AB7EE8">
        <w:rPr>
          <w:rFonts w:ascii="Calibri" w:hAnsi="Calibri"/>
          <w:sz w:val="24"/>
          <w:szCs w:val="24"/>
        </w:rPr>
        <w:t>s</w:t>
      </w:r>
      <w:r>
        <w:rPr>
          <w:rFonts w:ascii="Calibri" w:hAnsi="Calibri"/>
          <w:sz w:val="24"/>
          <w:szCs w:val="24"/>
        </w:rPr>
        <w:t xml:space="preserve">chedule </w:t>
      </w:r>
      <w:r w:rsidR="001E0B0A">
        <w:rPr>
          <w:rFonts w:ascii="Calibri" w:hAnsi="Calibri"/>
          <w:sz w:val="24"/>
          <w:szCs w:val="24"/>
        </w:rPr>
        <w:t xml:space="preserve">one </w:t>
      </w:r>
      <w:r>
        <w:rPr>
          <w:rFonts w:ascii="Calibri" w:hAnsi="Calibri"/>
          <w:sz w:val="24"/>
          <w:szCs w:val="24"/>
        </w:rPr>
        <w:t xml:space="preserve">of the </w:t>
      </w:r>
      <w:r w:rsidR="00953523">
        <w:rPr>
          <w:rFonts w:ascii="Calibri" w:hAnsi="Calibri"/>
          <w:sz w:val="24"/>
          <w:szCs w:val="24"/>
        </w:rPr>
        <w:t>r</w:t>
      </w:r>
      <w:r>
        <w:rPr>
          <w:rFonts w:ascii="Calibri" w:hAnsi="Calibri"/>
          <w:sz w:val="24"/>
          <w:szCs w:val="24"/>
        </w:rPr>
        <w:t>egulation is drafted reflects Parliamentary Counsel Office’s standard drafting practice</w:t>
      </w:r>
      <w:r w:rsidR="00AB7EE8">
        <w:rPr>
          <w:rFonts w:ascii="Calibri" w:hAnsi="Calibri"/>
          <w:sz w:val="24"/>
          <w:szCs w:val="24"/>
        </w:rPr>
        <w:t xml:space="preserve"> for infringement notice regulations</w:t>
      </w:r>
      <w:r>
        <w:rPr>
          <w:rFonts w:ascii="Calibri" w:hAnsi="Calibri"/>
          <w:sz w:val="24"/>
          <w:szCs w:val="24"/>
        </w:rPr>
        <w:t xml:space="preserve">. Column </w:t>
      </w:r>
      <w:r w:rsidR="005D3916">
        <w:rPr>
          <w:rFonts w:ascii="Calibri" w:hAnsi="Calibri"/>
          <w:sz w:val="24"/>
          <w:szCs w:val="24"/>
        </w:rPr>
        <w:t xml:space="preserve">three </w:t>
      </w:r>
      <w:r>
        <w:rPr>
          <w:rFonts w:ascii="Calibri" w:hAnsi="Calibri"/>
          <w:sz w:val="24"/>
          <w:szCs w:val="24"/>
        </w:rPr>
        <w:t xml:space="preserve">expresses the penalty units contained in </w:t>
      </w:r>
      <w:r w:rsidR="00AB7EE8">
        <w:rPr>
          <w:rFonts w:ascii="Calibri" w:hAnsi="Calibri"/>
          <w:sz w:val="24"/>
          <w:szCs w:val="24"/>
        </w:rPr>
        <w:t xml:space="preserve">sections 74(3) and 75(3) of </w:t>
      </w:r>
      <w:r>
        <w:rPr>
          <w:rFonts w:ascii="Calibri" w:hAnsi="Calibri"/>
          <w:sz w:val="24"/>
          <w:szCs w:val="24"/>
        </w:rPr>
        <w:t xml:space="preserve">the </w:t>
      </w:r>
      <w:r w:rsidRPr="00974089">
        <w:rPr>
          <w:rFonts w:ascii="Calibri" w:hAnsi="Calibri"/>
          <w:sz w:val="24"/>
          <w:szCs w:val="24"/>
        </w:rPr>
        <w:t>Heritage Act</w:t>
      </w:r>
      <w:r>
        <w:rPr>
          <w:rFonts w:ascii="Calibri" w:hAnsi="Calibri"/>
          <w:sz w:val="24"/>
          <w:szCs w:val="24"/>
        </w:rPr>
        <w:t xml:space="preserve"> </w:t>
      </w:r>
      <w:r w:rsidR="00AB7EE8">
        <w:rPr>
          <w:rFonts w:ascii="Calibri" w:hAnsi="Calibri"/>
          <w:sz w:val="24"/>
          <w:szCs w:val="24"/>
        </w:rPr>
        <w:t xml:space="preserve">as </w:t>
      </w:r>
      <w:r>
        <w:rPr>
          <w:rFonts w:ascii="Calibri" w:hAnsi="Calibri"/>
          <w:sz w:val="24"/>
          <w:szCs w:val="24"/>
        </w:rPr>
        <w:t xml:space="preserve">referenced in column </w:t>
      </w:r>
      <w:r w:rsidR="005D3916">
        <w:rPr>
          <w:rFonts w:ascii="Calibri" w:hAnsi="Calibri"/>
          <w:sz w:val="24"/>
          <w:szCs w:val="24"/>
        </w:rPr>
        <w:t>two</w:t>
      </w:r>
      <w:r w:rsidR="00825668">
        <w:rPr>
          <w:rFonts w:ascii="Calibri" w:hAnsi="Calibri"/>
          <w:sz w:val="24"/>
          <w:szCs w:val="24"/>
        </w:rPr>
        <w:t>. I do not propose any further action in relation to this comment.</w:t>
      </w:r>
    </w:p>
    <w:p w14:paraId="2F0F810E" w14:textId="4326A855" w:rsidR="00AD7D31" w:rsidRPr="00A031A0" w:rsidRDefault="00825668" w:rsidP="00513C96">
      <w:pPr>
        <w:spacing w:after="0" w:line="240" w:lineRule="auto"/>
        <w:rPr>
          <w:rFonts w:ascii="Calibri" w:hAnsi="Calibri"/>
          <w:sz w:val="24"/>
          <w:szCs w:val="24"/>
        </w:rPr>
      </w:pPr>
      <w:r>
        <w:rPr>
          <w:rFonts w:ascii="Calibri" w:hAnsi="Calibri"/>
          <w:sz w:val="24"/>
          <w:szCs w:val="24"/>
        </w:rPr>
        <w:t xml:space="preserve">I thank the Committee for its consideration of the </w:t>
      </w:r>
      <w:r w:rsidR="00953523">
        <w:rPr>
          <w:rFonts w:ascii="Calibri" w:hAnsi="Calibri"/>
          <w:sz w:val="24"/>
          <w:szCs w:val="24"/>
        </w:rPr>
        <w:t>r</w:t>
      </w:r>
      <w:r>
        <w:rPr>
          <w:rFonts w:ascii="Calibri" w:hAnsi="Calibri"/>
          <w:sz w:val="24"/>
          <w:szCs w:val="24"/>
        </w:rPr>
        <w:t>egulation and for bring</w:t>
      </w:r>
      <w:r w:rsidR="00AB7EE8">
        <w:rPr>
          <w:rFonts w:ascii="Calibri" w:hAnsi="Calibri"/>
          <w:sz w:val="24"/>
          <w:szCs w:val="24"/>
        </w:rPr>
        <w:t>ing</w:t>
      </w:r>
      <w:r>
        <w:rPr>
          <w:rFonts w:ascii="Calibri" w:hAnsi="Calibri"/>
          <w:sz w:val="24"/>
          <w:szCs w:val="24"/>
        </w:rPr>
        <w:t xml:space="preserve"> these matters to my attention.</w:t>
      </w:r>
    </w:p>
    <w:p w14:paraId="00D6B5EE" w14:textId="77777777" w:rsidR="00AD7D31" w:rsidRPr="00A031A0" w:rsidRDefault="00AD7D31" w:rsidP="00AD7D31">
      <w:pPr>
        <w:spacing w:after="0" w:line="240" w:lineRule="auto"/>
        <w:rPr>
          <w:rFonts w:ascii="Calibri" w:hAnsi="Calibri"/>
          <w:sz w:val="24"/>
          <w:szCs w:val="24"/>
        </w:rPr>
      </w:pPr>
    </w:p>
    <w:p w14:paraId="480E15A5"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5F613EE5" w14:textId="45FC2092" w:rsidR="00AD7D31" w:rsidRDefault="00AD7D31" w:rsidP="00AD7D31">
      <w:pPr>
        <w:spacing w:after="0" w:line="240" w:lineRule="auto"/>
        <w:rPr>
          <w:rFonts w:ascii="Calibri" w:hAnsi="Calibri"/>
          <w:sz w:val="24"/>
          <w:szCs w:val="24"/>
        </w:rPr>
      </w:pPr>
    </w:p>
    <w:p w14:paraId="747A50D6" w14:textId="137C23BF" w:rsidR="002B6B11" w:rsidRDefault="002B6B11" w:rsidP="00AD7D31">
      <w:pPr>
        <w:spacing w:after="0" w:line="240" w:lineRule="auto"/>
        <w:rPr>
          <w:rFonts w:ascii="Calibri" w:hAnsi="Calibri"/>
          <w:sz w:val="24"/>
          <w:szCs w:val="24"/>
        </w:rPr>
      </w:pPr>
    </w:p>
    <w:p w14:paraId="1C740F8F" w14:textId="77777777" w:rsidR="002B6B11" w:rsidRDefault="002B6B11" w:rsidP="00AD7D31">
      <w:pPr>
        <w:spacing w:after="0" w:line="240" w:lineRule="auto"/>
        <w:rPr>
          <w:rFonts w:ascii="Calibri" w:hAnsi="Calibri"/>
          <w:sz w:val="24"/>
          <w:szCs w:val="24"/>
        </w:rPr>
      </w:pPr>
    </w:p>
    <w:p w14:paraId="30B6C856" w14:textId="77777777" w:rsidR="00CB2262" w:rsidRPr="00A031A0" w:rsidRDefault="00CB2262" w:rsidP="00AD7D31">
      <w:pPr>
        <w:spacing w:after="0" w:line="240" w:lineRule="auto"/>
        <w:rPr>
          <w:rFonts w:ascii="Calibri" w:hAnsi="Calibri"/>
          <w:sz w:val="24"/>
          <w:szCs w:val="24"/>
        </w:rPr>
      </w:pPr>
    </w:p>
    <w:p w14:paraId="6F30495B" w14:textId="77777777" w:rsidR="00AD7D31"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14:paraId="3CDE4210" w14:textId="5D1B81D4" w:rsidR="0055749D" w:rsidRPr="00A031A0" w:rsidRDefault="00AB7EE8" w:rsidP="002B6B11">
      <w:pPr>
        <w:spacing w:after="0" w:line="240" w:lineRule="auto"/>
        <w:rPr>
          <w:sz w:val="24"/>
          <w:szCs w:val="24"/>
        </w:rPr>
      </w:pPr>
      <w:r>
        <w:rPr>
          <w:rFonts w:ascii="Calibri" w:hAnsi="Calibri"/>
          <w:sz w:val="24"/>
          <w:szCs w:val="24"/>
        </w:rPr>
        <w:t>Attorney-General</w:t>
      </w:r>
      <w:r w:rsidR="0061634E" w:rsidRPr="009C2877">
        <w:rPr>
          <w:noProof/>
          <w:sz w:val="20"/>
          <w:szCs w:val="20"/>
          <w:lang w:eastAsia="en-AU"/>
        </w:rPr>
        <mc:AlternateContent>
          <mc:Choice Requires="wps">
            <w:drawing>
              <wp:anchor distT="0" distB="0" distL="114300" distR="114300" simplePos="0" relativeHeight="251666432" behindDoc="1" locked="0" layoutInCell="1" allowOverlap="1" wp14:anchorId="35993E26" wp14:editId="52F20594">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4DE43"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5993E26"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0824DE43"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mc:Fallback>
        </mc:AlternateContent>
      </w:r>
    </w:p>
    <w:sectPr w:rsidR="0055749D" w:rsidRPr="00A031A0" w:rsidSect="00F50739">
      <w:headerReference w:type="default" r:id="rId11"/>
      <w:headerReference w:type="first" r:id="rId12"/>
      <w:footerReference w:type="first" r:id="rId13"/>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32EAD" w14:textId="77777777" w:rsidR="00E46A97" w:rsidRDefault="00E46A97" w:rsidP="00AD7D31">
      <w:pPr>
        <w:spacing w:after="0" w:line="240" w:lineRule="auto"/>
      </w:pPr>
      <w:r>
        <w:separator/>
      </w:r>
    </w:p>
  </w:endnote>
  <w:endnote w:type="continuationSeparator" w:id="0">
    <w:p w14:paraId="265DA867" w14:textId="77777777" w:rsidR="00E46A97" w:rsidRDefault="00E46A97"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6779E"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2F7E7A94" wp14:editId="22315E2D">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4CC7B7BF" w14:textId="6EA9B08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5AF6B917" wp14:editId="462791E7">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1969328"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J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rNsL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w:t>
    </w:r>
    <w:r w:rsidR="001E0B0A">
      <w:rPr>
        <w:rFonts w:asciiTheme="minorHAnsi" w:hAnsiTheme="minorHAnsi"/>
        <w:color w:val="231F20"/>
        <w:sz w:val="20"/>
        <w:szCs w:val="20"/>
      </w:rPr>
      <w:t xml:space="preserve">    </w:t>
    </w:r>
    <w:r w:rsidR="006A1B70" w:rsidRPr="0061634E">
      <w:rPr>
        <w:rFonts w:asciiTheme="minorHAnsi" w:hAnsiTheme="minorHAnsi"/>
        <w:color w:val="231F20"/>
        <w:sz w:val="20"/>
        <w:szCs w:val="20"/>
      </w:rPr>
      <w:t>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1E0B0A">
      <w:rPr>
        <w:rFonts w:asciiTheme="minorHAnsi" w:hAnsiTheme="minorHAnsi"/>
        <w:sz w:val="20"/>
        <w:szCs w:val="20"/>
      </w:rPr>
      <w:t xml:space="preserve">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24E101F1"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77152FFE" wp14:editId="02DF24C1">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27205"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7152FFE" id="_x0000_t202" coordsize="21600,21600" o:spt="202" path="m,l,21600r21600,l21600,xe">
              <v:stroke joinstyle="miter"/>
              <v:path gradientshapeok="t" o:connecttype="rect"/>
            </v:shapetype>
            <v:shape id="Text Box 10" o:spid="_x0000_s1027"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07227205"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4591AECB" wp14:editId="00EB81D0">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8EB1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591AECB"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0298EB1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65DFA76E" wp14:editId="502720DF">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D35FA90"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316E8" w14:textId="77777777" w:rsidR="00E46A97" w:rsidRDefault="00E46A97" w:rsidP="00AD7D31">
      <w:pPr>
        <w:spacing w:after="0" w:line="240" w:lineRule="auto"/>
      </w:pPr>
      <w:r>
        <w:separator/>
      </w:r>
    </w:p>
  </w:footnote>
  <w:footnote w:type="continuationSeparator" w:id="0">
    <w:p w14:paraId="4D82BC3A" w14:textId="77777777" w:rsidR="00E46A97" w:rsidRDefault="00E46A97"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DEB1E" w14:textId="78653650" w:rsidR="00AD7D31" w:rsidRDefault="00AD7D31">
    <w:pPr>
      <w:pStyle w:val="Header"/>
    </w:pPr>
  </w:p>
  <w:p w14:paraId="2701C108"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249A7" w14:textId="7931A77F"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2CBAA5D7" wp14:editId="0F78FC94">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r>
    <w:r w:rsidR="001E0B0A">
      <w:t xml:space="preserve"> </w:t>
    </w:r>
    <w:r w:rsidR="00D0735E">
      <w:t>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14:paraId="124065BC"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F47925">
      <w:rPr>
        <w:rFonts w:asciiTheme="minorHAnsi" w:hAnsiTheme="minorHAnsi"/>
        <w:sz w:val="20"/>
        <w:szCs w:val="20"/>
      </w:rPr>
      <w:t>Ginninderra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237F1"/>
    <w:multiLevelType w:val="hybridMultilevel"/>
    <w:tmpl w:val="944E0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2E5"/>
    <w:rsid w:val="000529B5"/>
    <w:rsid w:val="00075B27"/>
    <w:rsid w:val="00084D68"/>
    <w:rsid w:val="0010457B"/>
    <w:rsid w:val="001450DC"/>
    <w:rsid w:val="001804F3"/>
    <w:rsid w:val="001846AC"/>
    <w:rsid w:val="001851B2"/>
    <w:rsid w:val="001A50AE"/>
    <w:rsid w:val="001D7389"/>
    <w:rsid w:val="001E0B0A"/>
    <w:rsid w:val="002B6B11"/>
    <w:rsid w:val="00313E4A"/>
    <w:rsid w:val="0041104E"/>
    <w:rsid w:val="00431108"/>
    <w:rsid w:val="004416AC"/>
    <w:rsid w:val="004A35D4"/>
    <w:rsid w:val="004D030B"/>
    <w:rsid w:val="004E0106"/>
    <w:rsid w:val="00513C96"/>
    <w:rsid w:val="00525615"/>
    <w:rsid w:val="005351C5"/>
    <w:rsid w:val="0055749D"/>
    <w:rsid w:val="005C4787"/>
    <w:rsid w:val="005D3916"/>
    <w:rsid w:val="005E7DE1"/>
    <w:rsid w:val="00611D96"/>
    <w:rsid w:val="00611FD8"/>
    <w:rsid w:val="006125C8"/>
    <w:rsid w:val="0061634E"/>
    <w:rsid w:val="0064748B"/>
    <w:rsid w:val="00655CD8"/>
    <w:rsid w:val="00667102"/>
    <w:rsid w:val="0069468F"/>
    <w:rsid w:val="006A1B70"/>
    <w:rsid w:val="00712BA7"/>
    <w:rsid w:val="007131DF"/>
    <w:rsid w:val="007D7FAC"/>
    <w:rsid w:val="00806ACB"/>
    <w:rsid w:val="008208DA"/>
    <w:rsid w:val="00825668"/>
    <w:rsid w:val="00834846"/>
    <w:rsid w:val="00855531"/>
    <w:rsid w:val="008A232A"/>
    <w:rsid w:val="008D15E5"/>
    <w:rsid w:val="00915F7D"/>
    <w:rsid w:val="009263F5"/>
    <w:rsid w:val="00953523"/>
    <w:rsid w:val="00974089"/>
    <w:rsid w:val="00980125"/>
    <w:rsid w:val="00984A71"/>
    <w:rsid w:val="009A025B"/>
    <w:rsid w:val="009C2877"/>
    <w:rsid w:val="009C32E5"/>
    <w:rsid w:val="00A01E91"/>
    <w:rsid w:val="00A031A0"/>
    <w:rsid w:val="00A254F7"/>
    <w:rsid w:val="00AB7EE8"/>
    <w:rsid w:val="00AD7D31"/>
    <w:rsid w:val="00B70809"/>
    <w:rsid w:val="00B85096"/>
    <w:rsid w:val="00B903D2"/>
    <w:rsid w:val="00BC0650"/>
    <w:rsid w:val="00C41F2B"/>
    <w:rsid w:val="00CB2262"/>
    <w:rsid w:val="00CC24A7"/>
    <w:rsid w:val="00D0735E"/>
    <w:rsid w:val="00D40BD6"/>
    <w:rsid w:val="00D53F26"/>
    <w:rsid w:val="00DD766A"/>
    <w:rsid w:val="00DF1E37"/>
    <w:rsid w:val="00E46A97"/>
    <w:rsid w:val="00E86564"/>
    <w:rsid w:val="00ED5634"/>
    <w:rsid w:val="00F47925"/>
    <w:rsid w:val="00F50739"/>
    <w:rsid w:val="00FA47E3"/>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C5B1BB"/>
  <w15:chartTrackingRefBased/>
  <w15:docId w15:val="{130B20F8-FC05-4CEB-9E23-A10A4E0E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FootnoteReference">
    <w:name w:val="footnote reference"/>
    <w:basedOn w:val="DefaultParagraphFont"/>
    <w:semiHidden/>
    <w:rsid w:val="009C32E5"/>
    <w:rPr>
      <w:rFonts w:ascii="Times New Roman" w:hAnsi="Times New Roman" w:cs="Times New Roman"/>
      <w:sz w:val="24"/>
      <w:szCs w:val="24"/>
      <w:vertAlign w:val="superscript"/>
    </w:rPr>
  </w:style>
  <w:style w:type="paragraph" w:styleId="FootnoteText">
    <w:name w:val="footnote text"/>
    <w:basedOn w:val="Normal"/>
    <w:link w:val="FootnoteTextChar"/>
    <w:semiHidden/>
    <w:rsid w:val="009C32E5"/>
    <w:pPr>
      <w:spacing w:before="80" w:after="60" w:line="240" w:lineRule="auto"/>
      <w:jc w:val="both"/>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semiHidden/>
    <w:rsid w:val="009C32E5"/>
    <w:rPr>
      <w:rFonts w:ascii="Times New Roman" w:eastAsia="Times New Roman" w:hAnsi="Times New Roman" w:cs="Times New Roman"/>
      <w:sz w:val="24"/>
      <w:szCs w:val="24"/>
    </w:rPr>
  </w:style>
  <w:style w:type="paragraph" w:styleId="ListParagraph">
    <w:name w:val="List Paragraph"/>
    <w:basedOn w:val="Normal"/>
    <w:uiPriority w:val="34"/>
    <w:qFormat/>
    <w:rsid w:val="00CC24A7"/>
    <w:pPr>
      <w:spacing w:after="0" w:line="240" w:lineRule="auto"/>
      <w:ind w:left="720"/>
      <w:contextualSpacing/>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20Roach\Objective\Home\objective_8030\Adam%20Roach\Objects\20200513%20AG%20-%20Response%20to%20Scrutiny%20comments%20EPSDD%20edits%20(A2557533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223BF-FF7B-4A96-92F0-837A9E9A52E9}">
  <ds:schemaRefs>
    <ds:schemaRef ds:uri="http://purl.org/dc/elements/1.1/"/>
    <ds:schemaRef ds:uri="http://purl.org/dc/dcmitype/"/>
    <ds:schemaRef ds:uri="http://purl.org/dc/terms/"/>
    <ds:schemaRef ds:uri="http://schemas.microsoft.com/office/2006/documentManagement/types"/>
    <ds:schemaRef ds:uri="f6c841be-bb08-4901-87b0-0033aa80d2c6"/>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4.xml><?xml version="1.0" encoding="utf-8"?>
<ds:datastoreItem xmlns:ds="http://schemas.openxmlformats.org/officeDocument/2006/customXml" ds:itemID="{8599D17C-9D82-4891-B24A-6CC06B7A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20200513 AG - Response to Scrutiny comments EPSDD edits (A25575337).DOTX</Template>
  <TotalTime>1</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Scrutiny response - SL2020-5</vt:lpstr>
    </vt:vector>
  </TitlesOfParts>
  <Company/>
  <LinksUpToDate>false</LinksUpToDate>
  <CharactersWithSpaces>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SL2020-5</dc:title>
  <dc:subject/>
  <dc:creator/>
  <cp:keywords/>
  <dc:description/>
  <cp:lastModifiedBy>Shannon, Anne</cp:lastModifiedBy>
  <cp:revision>3</cp:revision>
  <cp:lastPrinted>2018-08-24T07:17:00Z</cp:lastPrinted>
  <dcterms:created xsi:type="dcterms:W3CDTF">2020-06-11T01:01:00Z</dcterms:created>
  <dcterms:modified xsi:type="dcterms:W3CDTF">2020-06-14T23:08:00Z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y fmtid="{D5CDD505-2E9C-101B-9397-08002B2CF9AE}" pid="3" name="Objective-Id">
    <vt:lpwstr>A25603176</vt:lpwstr>
  </property>
  <property fmtid="{D5CDD505-2E9C-101B-9397-08002B2CF9AE}" pid="4" name="Objective-Title">
    <vt:lpwstr>20200518 UPDATED EPSDD edits to AG Response to Scrutiny Comments</vt:lpwstr>
  </property>
  <property fmtid="{D5CDD505-2E9C-101B-9397-08002B2CF9AE}" pid="5" name="Objective-Comment">
    <vt:lpwstr/>
  </property>
  <property fmtid="{D5CDD505-2E9C-101B-9397-08002B2CF9AE}" pid="6" name="Objective-CreationStamp">
    <vt:filetime>2020-05-18T05:48:57Z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2020-05-18T06:15:53Z</vt:filetime>
  </property>
  <property fmtid="{D5CDD505-2E9C-101B-9397-08002B2CF9AE}" pid="10" name="Objective-ModificationStamp">
    <vt:filetime>2020-05-18T06:15:53Z</vt:filetime>
  </property>
  <property fmtid="{D5CDD505-2E9C-101B-9397-08002B2CF9AE}" pid="11" name="Objective-Owner">
    <vt:lpwstr>Keziah Judd</vt:lpwstr>
  </property>
  <property fmtid="{D5CDD505-2E9C-101B-9397-08002B2CF9AE}" pid="12" name="Objective-Path">
    <vt:lpwstr>Whole of ACT Government:EPSDD - Environment Planning and Sustainable Development Directorate:DIVISION - Communication, Government Services and Legislation:SECTION -  Legislation:Legislation section support advice to line areas:Legal Policy 2020 advices:En</vt:lpwstr>
  </property>
  <property fmtid="{D5CDD505-2E9C-101B-9397-08002B2CF9AE}" pid="13" name="Objective-Parent">
    <vt:lpwstr>20200506 Revised explanatory statement - infringement scheme</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EPSDD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