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518FB" w14:textId="77777777" w:rsidR="00D87748" w:rsidRDefault="00D87748" w:rsidP="00DA35B4">
      <w:pPr>
        <w:spacing w:after="0" w:line="240" w:lineRule="auto"/>
        <w:rPr>
          <w:rFonts w:ascii="Calibri" w:hAnsi="Calibri"/>
          <w:sz w:val="24"/>
          <w:szCs w:val="24"/>
        </w:rPr>
      </w:pPr>
      <w:bookmarkStart w:id="0" w:name="_GoBack"/>
      <w:bookmarkEnd w:id="0"/>
    </w:p>
    <w:p w14:paraId="221747BC" w14:textId="04F3CA73" w:rsidR="00DA35B4" w:rsidRPr="00DA35B4" w:rsidRDefault="00DA35B4" w:rsidP="00DA35B4">
      <w:pPr>
        <w:spacing w:after="0" w:line="240" w:lineRule="auto"/>
        <w:rPr>
          <w:rFonts w:ascii="Calibri" w:hAnsi="Calibri"/>
          <w:sz w:val="24"/>
          <w:szCs w:val="24"/>
        </w:rPr>
      </w:pPr>
      <w:r w:rsidRPr="00DA35B4">
        <w:rPr>
          <w:rFonts w:ascii="Calibri" w:hAnsi="Calibri"/>
          <w:sz w:val="24"/>
          <w:szCs w:val="24"/>
        </w:rPr>
        <w:t>Mrs Giulia Jones MLA</w:t>
      </w:r>
    </w:p>
    <w:p w14:paraId="7227AFF1" w14:textId="77777777" w:rsidR="00DA35B4" w:rsidRPr="00DA35B4" w:rsidRDefault="00DA35B4" w:rsidP="00DA35B4">
      <w:pPr>
        <w:spacing w:after="0" w:line="240" w:lineRule="auto"/>
        <w:rPr>
          <w:rFonts w:ascii="Calibri" w:hAnsi="Calibri"/>
          <w:sz w:val="24"/>
          <w:szCs w:val="24"/>
        </w:rPr>
      </w:pPr>
      <w:r w:rsidRPr="00DA35B4">
        <w:rPr>
          <w:rFonts w:ascii="Calibri" w:hAnsi="Calibri"/>
          <w:sz w:val="24"/>
          <w:szCs w:val="24"/>
        </w:rPr>
        <w:t>Chair</w:t>
      </w:r>
    </w:p>
    <w:p w14:paraId="779596AD" w14:textId="77777777" w:rsidR="00DA35B4" w:rsidRPr="00DA35B4" w:rsidRDefault="00DA35B4" w:rsidP="00DA35B4">
      <w:pPr>
        <w:spacing w:after="0" w:line="240" w:lineRule="auto"/>
        <w:rPr>
          <w:rFonts w:ascii="Calibri" w:hAnsi="Calibri"/>
          <w:sz w:val="24"/>
          <w:szCs w:val="24"/>
        </w:rPr>
      </w:pPr>
      <w:r w:rsidRPr="00DA35B4">
        <w:rPr>
          <w:rFonts w:ascii="Calibri" w:hAnsi="Calibri"/>
          <w:sz w:val="24"/>
          <w:szCs w:val="24"/>
        </w:rPr>
        <w:t>Standing Committee on Justice and Community Safety (Legislative Scrutiny Role)</w:t>
      </w:r>
    </w:p>
    <w:p w14:paraId="40C25ADE" w14:textId="77777777" w:rsidR="00DA35B4" w:rsidRPr="00DA35B4" w:rsidRDefault="00DA35B4" w:rsidP="00DA35B4">
      <w:pPr>
        <w:spacing w:after="0" w:line="240" w:lineRule="auto"/>
        <w:rPr>
          <w:rFonts w:ascii="Calibri" w:hAnsi="Calibri"/>
          <w:sz w:val="24"/>
          <w:szCs w:val="24"/>
        </w:rPr>
      </w:pPr>
      <w:r w:rsidRPr="00DA35B4">
        <w:rPr>
          <w:rFonts w:ascii="Calibri" w:hAnsi="Calibri"/>
          <w:sz w:val="24"/>
          <w:szCs w:val="24"/>
        </w:rPr>
        <w:t>ACT Legislative Assembly</w:t>
      </w:r>
    </w:p>
    <w:p w14:paraId="7B24BF67" w14:textId="77777777" w:rsidR="00DA35B4" w:rsidRPr="00DA35B4" w:rsidRDefault="00DA35B4" w:rsidP="00DA35B4">
      <w:pPr>
        <w:spacing w:after="0" w:line="240" w:lineRule="auto"/>
        <w:rPr>
          <w:rFonts w:ascii="Calibri" w:hAnsi="Calibri"/>
          <w:sz w:val="24"/>
          <w:szCs w:val="24"/>
        </w:rPr>
      </w:pPr>
      <w:r w:rsidRPr="00DA35B4">
        <w:rPr>
          <w:rFonts w:ascii="Calibri" w:hAnsi="Calibri"/>
          <w:sz w:val="24"/>
          <w:szCs w:val="24"/>
        </w:rPr>
        <w:t>GPO Box 1020</w:t>
      </w:r>
    </w:p>
    <w:p w14:paraId="4BCFBA91" w14:textId="77777777" w:rsidR="00DA35B4" w:rsidRPr="00DA35B4" w:rsidRDefault="00DA35B4" w:rsidP="00DA35B4">
      <w:pPr>
        <w:spacing w:after="0" w:line="240" w:lineRule="auto"/>
        <w:rPr>
          <w:rFonts w:ascii="Calibri" w:hAnsi="Calibri"/>
          <w:sz w:val="24"/>
          <w:szCs w:val="24"/>
        </w:rPr>
      </w:pPr>
      <w:proofErr w:type="gramStart"/>
      <w:r w:rsidRPr="00DA35B4">
        <w:rPr>
          <w:rFonts w:ascii="Calibri" w:hAnsi="Calibri"/>
          <w:sz w:val="24"/>
          <w:szCs w:val="24"/>
        </w:rPr>
        <w:t>CANBERRA  ACT</w:t>
      </w:r>
      <w:proofErr w:type="gramEnd"/>
      <w:r w:rsidRPr="00DA35B4">
        <w:rPr>
          <w:rFonts w:ascii="Calibri" w:hAnsi="Calibri"/>
          <w:sz w:val="24"/>
          <w:szCs w:val="24"/>
        </w:rPr>
        <w:t xml:space="preserve">  2601</w:t>
      </w:r>
      <w:r w:rsidRPr="00DA35B4">
        <w:rPr>
          <w:rFonts w:ascii="Calibri" w:hAnsi="Calibri"/>
          <w:sz w:val="24"/>
          <w:szCs w:val="24"/>
        </w:rPr>
        <w:tab/>
      </w:r>
    </w:p>
    <w:p w14:paraId="7B353918" w14:textId="77777777" w:rsidR="00DA35B4" w:rsidRPr="00DA35B4" w:rsidRDefault="00DA35B4" w:rsidP="00DA35B4">
      <w:pPr>
        <w:spacing w:after="0" w:line="240" w:lineRule="auto"/>
        <w:rPr>
          <w:rFonts w:ascii="Calibri" w:hAnsi="Calibri"/>
          <w:sz w:val="24"/>
          <w:szCs w:val="24"/>
        </w:rPr>
      </w:pPr>
    </w:p>
    <w:p w14:paraId="74B1D38C" w14:textId="77777777" w:rsidR="00DA35B4" w:rsidRPr="00DA35B4" w:rsidRDefault="00DA35B4" w:rsidP="00DA35B4">
      <w:pPr>
        <w:spacing w:after="0" w:line="240" w:lineRule="auto"/>
        <w:rPr>
          <w:rFonts w:ascii="Calibri" w:hAnsi="Calibri"/>
          <w:sz w:val="24"/>
          <w:szCs w:val="24"/>
        </w:rPr>
      </w:pPr>
    </w:p>
    <w:p w14:paraId="650D8E34" w14:textId="77777777" w:rsidR="00DA35B4" w:rsidRPr="00DA35B4" w:rsidRDefault="00DA35B4" w:rsidP="00DA35B4">
      <w:pPr>
        <w:spacing w:after="0" w:line="240" w:lineRule="auto"/>
        <w:rPr>
          <w:rFonts w:ascii="Calibri" w:hAnsi="Calibri"/>
          <w:sz w:val="24"/>
          <w:szCs w:val="24"/>
        </w:rPr>
      </w:pPr>
      <w:r w:rsidRPr="00DA35B4">
        <w:rPr>
          <w:rFonts w:ascii="Calibri" w:hAnsi="Calibri"/>
          <w:sz w:val="24"/>
          <w:szCs w:val="24"/>
        </w:rPr>
        <w:t>Dear Mrs Jones</w:t>
      </w:r>
    </w:p>
    <w:p w14:paraId="541553E8" w14:textId="77777777" w:rsidR="00DA35B4" w:rsidRPr="00DA35B4" w:rsidRDefault="00DA35B4" w:rsidP="00DA35B4">
      <w:pPr>
        <w:spacing w:after="0" w:line="240" w:lineRule="auto"/>
        <w:rPr>
          <w:rFonts w:ascii="Calibri" w:hAnsi="Calibri"/>
          <w:sz w:val="24"/>
          <w:szCs w:val="24"/>
        </w:rPr>
      </w:pPr>
    </w:p>
    <w:p w14:paraId="5140BE27" w14:textId="1EB733DC" w:rsidR="00DA35B4" w:rsidRDefault="00DA35B4" w:rsidP="00DA35B4">
      <w:pPr>
        <w:spacing w:after="0" w:line="240" w:lineRule="auto"/>
        <w:rPr>
          <w:rFonts w:ascii="Calibri" w:hAnsi="Calibri"/>
          <w:sz w:val="24"/>
          <w:szCs w:val="24"/>
        </w:rPr>
      </w:pPr>
      <w:r w:rsidRPr="00DA35B4">
        <w:rPr>
          <w:rFonts w:ascii="Calibri" w:hAnsi="Calibri"/>
          <w:sz w:val="24"/>
          <w:szCs w:val="24"/>
        </w:rPr>
        <w:t xml:space="preserve">I write in response to the Standing Committee on Justice and Community Safety </w:t>
      </w:r>
      <w:r w:rsidR="000B1A53">
        <w:rPr>
          <w:rFonts w:ascii="Calibri" w:hAnsi="Calibri"/>
          <w:sz w:val="24"/>
          <w:szCs w:val="24"/>
        </w:rPr>
        <w:t>(Legislative Scrutiny Role) (</w:t>
      </w:r>
      <w:r w:rsidR="000B1A53" w:rsidRPr="000B1A53">
        <w:rPr>
          <w:rFonts w:ascii="Calibri" w:hAnsi="Calibri"/>
          <w:b/>
          <w:bCs/>
          <w:sz w:val="24"/>
          <w:szCs w:val="24"/>
        </w:rPr>
        <w:t>the Committee</w:t>
      </w:r>
      <w:r w:rsidR="000B1A53">
        <w:rPr>
          <w:rFonts w:ascii="Calibri" w:hAnsi="Calibri"/>
          <w:sz w:val="24"/>
          <w:szCs w:val="24"/>
        </w:rPr>
        <w:t xml:space="preserve">) </w:t>
      </w:r>
      <w:r w:rsidRPr="00DA35B4">
        <w:rPr>
          <w:rFonts w:ascii="Calibri" w:hAnsi="Calibri"/>
          <w:sz w:val="24"/>
          <w:szCs w:val="24"/>
        </w:rPr>
        <w:t xml:space="preserve">Report No </w:t>
      </w:r>
      <w:r>
        <w:rPr>
          <w:rFonts w:ascii="Calibri" w:hAnsi="Calibri"/>
          <w:sz w:val="24"/>
          <w:szCs w:val="24"/>
        </w:rPr>
        <w:t>37</w:t>
      </w:r>
      <w:r w:rsidRPr="00DA35B4">
        <w:rPr>
          <w:rFonts w:ascii="Calibri" w:hAnsi="Calibri"/>
          <w:sz w:val="24"/>
          <w:szCs w:val="24"/>
        </w:rPr>
        <w:t xml:space="preserve"> of 1</w:t>
      </w:r>
      <w:r>
        <w:rPr>
          <w:rFonts w:ascii="Calibri" w:hAnsi="Calibri"/>
          <w:sz w:val="24"/>
          <w:szCs w:val="24"/>
        </w:rPr>
        <w:t>9</w:t>
      </w:r>
      <w:r w:rsidR="000B1A53">
        <w:rPr>
          <w:rFonts w:ascii="Calibri" w:hAnsi="Calibri"/>
          <w:sz w:val="24"/>
          <w:szCs w:val="24"/>
        </w:rPr>
        <w:t> </w:t>
      </w:r>
      <w:r>
        <w:rPr>
          <w:rFonts w:ascii="Calibri" w:hAnsi="Calibri"/>
          <w:sz w:val="24"/>
          <w:szCs w:val="24"/>
        </w:rPr>
        <w:t>November</w:t>
      </w:r>
      <w:r w:rsidRPr="00DA35B4">
        <w:rPr>
          <w:rFonts w:ascii="Calibri" w:hAnsi="Calibri"/>
          <w:sz w:val="24"/>
          <w:szCs w:val="24"/>
        </w:rPr>
        <w:t xml:space="preserve"> 2019, which comments on </w:t>
      </w:r>
      <w:r>
        <w:rPr>
          <w:rFonts w:ascii="Calibri" w:hAnsi="Calibri"/>
          <w:sz w:val="24"/>
          <w:szCs w:val="24"/>
        </w:rPr>
        <w:t xml:space="preserve">the Crimes (Disrupting Criminal Gangs) Legislation Amendment Bill 2019 </w:t>
      </w:r>
      <w:r w:rsidRPr="00DA35B4">
        <w:rPr>
          <w:rFonts w:ascii="Calibri" w:hAnsi="Calibri"/>
          <w:sz w:val="24"/>
          <w:szCs w:val="24"/>
        </w:rPr>
        <w:t>(</w:t>
      </w:r>
      <w:r w:rsidRPr="000B1A53">
        <w:rPr>
          <w:rFonts w:ascii="Calibri" w:hAnsi="Calibri"/>
          <w:b/>
          <w:bCs/>
          <w:sz w:val="24"/>
          <w:szCs w:val="24"/>
        </w:rPr>
        <w:t>the Bill</w:t>
      </w:r>
      <w:r w:rsidRPr="00DA35B4">
        <w:rPr>
          <w:rFonts w:ascii="Calibri" w:hAnsi="Calibri"/>
          <w:sz w:val="24"/>
          <w:szCs w:val="24"/>
        </w:rPr>
        <w:t>).</w:t>
      </w:r>
      <w:r>
        <w:rPr>
          <w:rFonts w:ascii="Calibri" w:hAnsi="Calibri"/>
          <w:sz w:val="24"/>
          <w:szCs w:val="24"/>
        </w:rPr>
        <w:t xml:space="preserve"> I have addressed each of the issues raised by the Committee below. </w:t>
      </w:r>
    </w:p>
    <w:p w14:paraId="19B30D47" w14:textId="0511173E" w:rsidR="00DA35B4" w:rsidRDefault="00DA35B4" w:rsidP="00DA35B4">
      <w:pPr>
        <w:spacing w:after="0" w:line="240" w:lineRule="auto"/>
        <w:rPr>
          <w:rFonts w:ascii="Calibri" w:hAnsi="Calibri"/>
          <w:sz w:val="24"/>
          <w:szCs w:val="24"/>
        </w:rPr>
      </w:pPr>
    </w:p>
    <w:p w14:paraId="7BB54CB5" w14:textId="4C8C10B3" w:rsidR="00DA35B4" w:rsidRPr="00905A31" w:rsidRDefault="00DA35B4" w:rsidP="00DA35B4">
      <w:pPr>
        <w:spacing w:after="0" w:line="240" w:lineRule="auto"/>
        <w:rPr>
          <w:rFonts w:ascii="Calibri" w:hAnsi="Calibri"/>
          <w:sz w:val="24"/>
          <w:szCs w:val="24"/>
          <w:u w:val="single"/>
        </w:rPr>
      </w:pPr>
      <w:r w:rsidRPr="00905A31">
        <w:rPr>
          <w:rFonts w:ascii="Calibri" w:hAnsi="Calibri"/>
          <w:sz w:val="24"/>
          <w:szCs w:val="24"/>
          <w:u w:val="single"/>
        </w:rPr>
        <w:t>Effect o</w:t>
      </w:r>
      <w:r w:rsidR="00935992">
        <w:rPr>
          <w:rFonts w:ascii="Calibri" w:hAnsi="Calibri"/>
          <w:sz w:val="24"/>
          <w:szCs w:val="24"/>
          <w:u w:val="single"/>
        </w:rPr>
        <w:t>n</w:t>
      </w:r>
      <w:r w:rsidRPr="00905A31">
        <w:rPr>
          <w:rFonts w:ascii="Calibri" w:hAnsi="Calibri"/>
          <w:sz w:val="24"/>
          <w:szCs w:val="24"/>
          <w:u w:val="single"/>
        </w:rPr>
        <w:t xml:space="preserve"> sentencing of membership of a criminal group</w:t>
      </w:r>
    </w:p>
    <w:p w14:paraId="2FEB2FF9" w14:textId="6C9C3ECB" w:rsidR="0057410C" w:rsidRDefault="0057410C" w:rsidP="00DA35B4">
      <w:pPr>
        <w:spacing w:after="0" w:line="240" w:lineRule="auto"/>
        <w:rPr>
          <w:rFonts w:ascii="Calibri" w:hAnsi="Calibri"/>
          <w:sz w:val="24"/>
          <w:szCs w:val="24"/>
        </w:rPr>
      </w:pPr>
    </w:p>
    <w:p w14:paraId="4121DBB2" w14:textId="014A98F1" w:rsidR="0057410C" w:rsidRDefault="00AD1C24" w:rsidP="00DA35B4">
      <w:pPr>
        <w:spacing w:after="0" w:line="240" w:lineRule="auto"/>
        <w:rPr>
          <w:rFonts w:ascii="Calibri" w:hAnsi="Calibri"/>
          <w:sz w:val="24"/>
          <w:szCs w:val="24"/>
        </w:rPr>
      </w:pPr>
      <w:r>
        <w:rPr>
          <w:rFonts w:ascii="Calibri" w:hAnsi="Calibri"/>
          <w:sz w:val="24"/>
          <w:szCs w:val="24"/>
        </w:rPr>
        <w:t xml:space="preserve">The Committee </w:t>
      </w:r>
      <w:r w:rsidR="00EE7777">
        <w:rPr>
          <w:rFonts w:ascii="Calibri" w:hAnsi="Calibri"/>
          <w:sz w:val="24"/>
          <w:szCs w:val="24"/>
        </w:rPr>
        <w:t xml:space="preserve">has commented that </w:t>
      </w:r>
      <w:r w:rsidR="0004604C">
        <w:rPr>
          <w:rFonts w:ascii="Calibri" w:hAnsi="Calibri"/>
          <w:sz w:val="24"/>
          <w:szCs w:val="24"/>
        </w:rPr>
        <w:t xml:space="preserve">the introduction of </w:t>
      </w:r>
      <w:r w:rsidR="00D87748">
        <w:rPr>
          <w:rFonts w:ascii="Calibri" w:hAnsi="Calibri"/>
          <w:sz w:val="24"/>
          <w:szCs w:val="24"/>
        </w:rPr>
        <w:t>n</w:t>
      </w:r>
      <w:r w:rsidR="00EE7777">
        <w:rPr>
          <w:rFonts w:ascii="Calibri" w:hAnsi="Calibri"/>
          <w:sz w:val="24"/>
          <w:szCs w:val="24"/>
        </w:rPr>
        <w:t>ew Part 4.6</w:t>
      </w:r>
      <w:r w:rsidR="0004604C">
        <w:rPr>
          <w:rFonts w:ascii="Calibri" w:hAnsi="Calibri"/>
          <w:sz w:val="24"/>
          <w:szCs w:val="24"/>
        </w:rPr>
        <w:t xml:space="preserve"> into the </w:t>
      </w:r>
      <w:r w:rsidR="0004604C" w:rsidRPr="00750BF1">
        <w:rPr>
          <w:rFonts w:ascii="Calibri" w:hAnsi="Calibri"/>
          <w:i/>
          <w:iCs/>
          <w:sz w:val="24"/>
          <w:szCs w:val="24"/>
        </w:rPr>
        <w:t xml:space="preserve">Crimes (Sentencing) Act </w:t>
      </w:r>
      <w:r w:rsidR="00750BF1" w:rsidRPr="00750BF1">
        <w:rPr>
          <w:rFonts w:ascii="Calibri" w:hAnsi="Calibri"/>
          <w:i/>
          <w:iCs/>
          <w:sz w:val="24"/>
          <w:szCs w:val="24"/>
        </w:rPr>
        <w:t>2005</w:t>
      </w:r>
      <w:r w:rsidR="00750BF1">
        <w:rPr>
          <w:rFonts w:ascii="Calibri" w:hAnsi="Calibri"/>
          <w:sz w:val="24"/>
          <w:szCs w:val="24"/>
        </w:rPr>
        <w:t xml:space="preserve"> </w:t>
      </w:r>
      <w:r w:rsidR="00EE7777">
        <w:rPr>
          <w:rFonts w:ascii="Calibri" w:hAnsi="Calibri"/>
          <w:sz w:val="24"/>
          <w:szCs w:val="24"/>
        </w:rPr>
        <w:t xml:space="preserve">will mean that involvement in a criminal group will have disproportionate effect on the rights of the offender </w:t>
      </w:r>
      <w:r w:rsidR="000B1A53">
        <w:rPr>
          <w:rFonts w:ascii="Calibri" w:hAnsi="Calibri"/>
          <w:sz w:val="24"/>
          <w:szCs w:val="24"/>
        </w:rPr>
        <w:t>by</w:t>
      </w:r>
      <w:r w:rsidR="00EE7777">
        <w:rPr>
          <w:rFonts w:ascii="Calibri" w:hAnsi="Calibri"/>
          <w:sz w:val="24"/>
          <w:szCs w:val="24"/>
        </w:rPr>
        <w:t xml:space="preserve"> reducing the sentencing discretion of the court. </w:t>
      </w:r>
      <w:r w:rsidR="008F3C7F">
        <w:rPr>
          <w:rFonts w:ascii="Calibri" w:hAnsi="Calibri"/>
          <w:sz w:val="24"/>
          <w:szCs w:val="24"/>
        </w:rPr>
        <w:t xml:space="preserve">New section 61K has the effect of increasing the maximum penalty for a schedule offence if an offender has committed the offence in connection or association with a criminal group. </w:t>
      </w:r>
      <w:r w:rsidR="000B1A53">
        <w:rPr>
          <w:rFonts w:ascii="Calibri" w:hAnsi="Calibri"/>
          <w:sz w:val="24"/>
          <w:szCs w:val="24"/>
        </w:rPr>
        <w:t xml:space="preserve">Accordingly, the provision has the effect of increasing the sentencing range available to the court. </w:t>
      </w:r>
      <w:r w:rsidR="008F3C7F">
        <w:rPr>
          <w:rFonts w:ascii="Calibri" w:hAnsi="Calibri"/>
          <w:sz w:val="24"/>
          <w:szCs w:val="24"/>
        </w:rPr>
        <w:t xml:space="preserve">There is no statutory obligation on the </w:t>
      </w:r>
      <w:r w:rsidR="000B1A53">
        <w:rPr>
          <w:rFonts w:ascii="Calibri" w:hAnsi="Calibri"/>
          <w:sz w:val="24"/>
          <w:szCs w:val="24"/>
        </w:rPr>
        <w:t>c</w:t>
      </w:r>
      <w:r w:rsidR="008F3C7F">
        <w:rPr>
          <w:rFonts w:ascii="Calibri" w:hAnsi="Calibri"/>
          <w:sz w:val="24"/>
          <w:szCs w:val="24"/>
        </w:rPr>
        <w:t xml:space="preserve">ourt to increase the sentence that </w:t>
      </w:r>
      <w:r w:rsidR="00935992">
        <w:rPr>
          <w:rFonts w:ascii="Calibri" w:hAnsi="Calibri"/>
          <w:sz w:val="24"/>
          <w:szCs w:val="24"/>
        </w:rPr>
        <w:t>it</w:t>
      </w:r>
      <w:r w:rsidR="008F3C7F">
        <w:rPr>
          <w:rFonts w:ascii="Calibri" w:hAnsi="Calibri"/>
          <w:sz w:val="24"/>
          <w:szCs w:val="24"/>
        </w:rPr>
        <w:t xml:space="preserve"> would otherwise impose based on the sentencing factors</w:t>
      </w:r>
      <w:r w:rsidR="000B1A53">
        <w:rPr>
          <w:rFonts w:ascii="Calibri" w:hAnsi="Calibri"/>
          <w:sz w:val="24"/>
          <w:szCs w:val="24"/>
        </w:rPr>
        <w:t xml:space="preserve">, </w:t>
      </w:r>
      <w:r w:rsidR="008F3C7F">
        <w:rPr>
          <w:rFonts w:ascii="Calibri" w:hAnsi="Calibri"/>
          <w:sz w:val="24"/>
          <w:szCs w:val="24"/>
        </w:rPr>
        <w:t>but</w:t>
      </w:r>
      <w:r w:rsidR="000B1A53">
        <w:rPr>
          <w:rFonts w:ascii="Calibri" w:hAnsi="Calibri"/>
          <w:sz w:val="24"/>
          <w:szCs w:val="24"/>
        </w:rPr>
        <w:t xml:space="preserve"> the provisions</w:t>
      </w:r>
      <w:r w:rsidR="008F3C7F">
        <w:rPr>
          <w:rFonts w:ascii="Calibri" w:hAnsi="Calibri"/>
          <w:sz w:val="24"/>
          <w:szCs w:val="24"/>
        </w:rPr>
        <w:t xml:space="preserve"> increase the discretion of the </w:t>
      </w:r>
      <w:r w:rsidR="000B1A53">
        <w:rPr>
          <w:rFonts w:ascii="Calibri" w:hAnsi="Calibri"/>
          <w:sz w:val="24"/>
          <w:szCs w:val="24"/>
        </w:rPr>
        <w:t>c</w:t>
      </w:r>
      <w:r w:rsidR="008F3C7F">
        <w:rPr>
          <w:rFonts w:ascii="Calibri" w:hAnsi="Calibri"/>
          <w:sz w:val="24"/>
          <w:szCs w:val="24"/>
        </w:rPr>
        <w:t>ourt to do so if appropriate</w:t>
      </w:r>
      <w:r w:rsidR="000B1A53">
        <w:rPr>
          <w:rFonts w:ascii="Calibri" w:hAnsi="Calibri"/>
          <w:sz w:val="24"/>
          <w:szCs w:val="24"/>
        </w:rPr>
        <w:t xml:space="preserve"> in the circumstances</w:t>
      </w:r>
      <w:r w:rsidR="008F3C7F">
        <w:rPr>
          <w:rFonts w:ascii="Calibri" w:hAnsi="Calibri"/>
          <w:sz w:val="24"/>
          <w:szCs w:val="24"/>
        </w:rPr>
        <w:t xml:space="preserve">. </w:t>
      </w:r>
    </w:p>
    <w:p w14:paraId="37F5710D" w14:textId="5DFECC4C" w:rsidR="008F3C7F" w:rsidRDefault="008F3C7F" w:rsidP="00DA35B4">
      <w:pPr>
        <w:spacing w:after="0" w:line="240" w:lineRule="auto"/>
        <w:rPr>
          <w:rFonts w:ascii="Calibri" w:hAnsi="Calibri"/>
          <w:sz w:val="24"/>
          <w:szCs w:val="24"/>
        </w:rPr>
      </w:pPr>
    </w:p>
    <w:p w14:paraId="12F071E1" w14:textId="4429F090" w:rsidR="008F3C7F" w:rsidRDefault="008F3C7F" w:rsidP="00DA35B4">
      <w:pPr>
        <w:spacing w:after="0" w:line="240" w:lineRule="auto"/>
        <w:rPr>
          <w:rFonts w:ascii="Calibri" w:hAnsi="Calibri"/>
          <w:sz w:val="24"/>
          <w:szCs w:val="24"/>
        </w:rPr>
      </w:pPr>
      <w:r>
        <w:rPr>
          <w:rFonts w:ascii="Calibri" w:hAnsi="Calibri"/>
          <w:sz w:val="24"/>
          <w:szCs w:val="24"/>
        </w:rPr>
        <w:t xml:space="preserve">In relation to </w:t>
      </w:r>
      <w:bookmarkStart w:id="1" w:name="_Hlk25142049"/>
      <w:r>
        <w:rPr>
          <w:rFonts w:ascii="Calibri" w:hAnsi="Calibri"/>
          <w:sz w:val="24"/>
          <w:szCs w:val="24"/>
        </w:rPr>
        <w:t xml:space="preserve">the rights to a fair trial and </w:t>
      </w:r>
      <w:r w:rsidR="007C06C7">
        <w:rPr>
          <w:rFonts w:ascii="Calibri" w:hAnsi="Calibri"/>
          <w:sz w:val="24"/>
          <w:szCs w:val="24"/>
        </w:rPr>
        <w:t xml:space="preserve">rights in criminal proceedings </w:t>
      </w:r>
      <w:bookmarkEnd w:id="1"/>
      <w:r w:rsidR="007C06C7">
        <w:rPr>
          <w:rFonts w:ascii="Calibri" w:hAnsi="Calibri"/>
          <w:sz w:val="24"/>
          <w:szCs w:val="24"/>
        </w:rPr>
        <w:t xml:space="preserve">the Committee has requested justification for why there is no requirement </w:t>
      </w:r>
      <w:r w:rsidR="003A3805">
        <w:rPr>
          <w:rFonts w:ascii="Calibri" w:hAnsi="Calibri"/>
          <w:sz w:val="24"/>
          <w:szCs w:val="24"/>
        </w:rPr>
        <w:t>to provide earlier notice of a possible application for an increased penalty. While there is no statutory requirement to provide earlier notice</w:t>
      </w:r>
      <w:r w:rsidR="000B1A53">
        <w:rPr>
          <w:rFonts w:ascii="Calibri" w:hAnsi="Calibri"/>
          <w:sz w:val="24"/>
          <w:szCs w:val="24"/>
        </w:rPr>
        <w:t>,</w:t>
      </w:r>
      <w:r w:rsidR="003A3805">
        <w:rPr>
          <w:rFonts w:ascii="Calibri" w:hAnsi="Calibri"/>
          <w:sz w:val="24"/>
          <w:szCs w:val="24"/>
        </w:rPr>
        <w:t xml:space="preserve"> there </w:t>
      </w:r>
      <w:r w:rsidR="000B1A53">
        <w:rPr>
          <w:rFonts w:ascii="Calibri" w:hAnsi="Calibri"/>
          <w:sz w:val="24"/>
          <w:szCs w:val="24"/>
        </w:rPr>
        <w:t>are no impediments</w:t>
      </w:r>
      <w:r w:rsidR="003A3805">
        <w:rPr>
          <w:rFonts w:ascii="Calibri" w:hAnsi="Calibri"/>
          <w:sz w:val="24"/>
          <w:szCs w:val="24"/>
        </w:rPr>
        <w:t xml:space="preserve"> preventing ACT Policing or the Office of the Director of Public Prosecutions from informing the offender that the offence they are charged with is a schedule offence </w:t>
      </w:r>
      <w:r w:rsidR="000B1A53">
        <w:rPr>
          <w:rFonts w:ascii="Calibri" w:hAnsi="Calibri"/>
          <w:sz w:val="24"/>
          <w:szCs w:val="24"/>
        </w:rPr>
        <w:t>that</w:t>
      </w:r>
      <w:r w:rsidR="003A3805">
        <w:rPr>
          <w:rFonts w:ascii="Calibri" w:hAnsi="Calibri"/>
          <w:sz w:val="24"/>
          <w:szCs w:val="24"/>
        </w:rPr>
        <w:t xml:space="preserve"> may result in an increased maximum sentence if an application is made. It is also expected that criminal defence lawyers will be aware of the provisions and advise their clients appropriately. </w:t>
      </w:r>
    </w:p>
    <w:p w14:paraId="26AE21FA" w14:textId="77777777" w:rsidR="000B1A53" w:rsidRDefault="000B1A53" w:rsidP="00DA35B4">
      <w:pPr>
        <w:spacing w:after="0" w:line="240" w:lineRule="auto"/>
        <w:rPr>
          <w:rFonts w:ascii="Calibri" w:hAnsi="Calibri"/>
          <w:sz w:val="24"/>
          <w:szCs w:val="24"/>
        </w:rPr>
      </w:pPr>
    </w:p>
    <w:p w14:paraId="347616B6" w14:textId="39EC53F5" w:rsidR="002002AA" w:rsidRPr="000B1A53" w:rsidRDefault="007C06C7" w:rsidP="00DA35B4">
      <w:pPr>
        <w:spacing w:after="0" w:line="240" w:lineRule="auto"/>
        <w:rPr>
          <w:rFonts w:ascii="Calibri" w:hAnsi="Calibri"/>
          <w:sz w:val="24"/>
          <w:szCs w:val="24"/>
        </w:rPr>
      </w:pPr>
      <w:r>
        <w:rPr>
          <w:rFonts w:ascii="Calibri" w:hAnsi="Calibri"/>
          <w:sz w:val="24"/>
          <w:szCs w:val="24"/>
        </w:rPr>
        <w:t>I am satisfied that the Explanatory S</w:t>
      </w:r>
      <w:r w:rsidR="003A3805">
        <w:rPr>
          <w:rFonts w:ascii="Calibri" w:hAnsi="Calibri"/>
          <w:sz w:val="24"/>
          <w:szCs w:val="24"/>
        </w:rPr>
        <w:t xml:space="preserve">tatement </w:t>
      </w:r>
      <w:r w:rsidR="000B1A53">
        <w:rPr>
          <w:rFonts w:ascii="Calibri" w:hAnsi="Calibri"/>
          <w:sz w:val="24"/>
          <w:szCs w:val="24"/>
        </w:rPr>
        <w:t xml:space="preserve">appropriately </w:t>
      </w:r>
      <w:r w:rsidR="003A3805">
        <w:rPr>
          <w:rFonts w:ascii="Calibri" w:hAnsi="Calibri"/>
          <w:sz w:val="24"/>
          <w:szCs w:val="24"/>
        </w:rPr>
        <w:t xml:space="preserve">addresses the engagement </w:t>
      </w:r>
      <w:r w:rsidR="00935992">
        <w:rPr>
          <w:rFonts w:ascii="Calibri" w:hAnsi="Calibri"/>
          <w:sz w:val="24"/>
          <w:szCs w:val="24"/>
        </w:rPr>
        <w:t xml:space="preserve">of the right </w:t>
      </w:r>
      <w:r w:rsidR="003A3805">
        <w:rPr>
          <w:rFonts w:ascii="Calibri" w:hAnsi="Calibri"/>
          <w:sz w:val="24"/>
          <w:szCs w:val="24"/>
        </w:rPr>
        <w:t>to</w:t>
      </w:r>
      <w:r w:rsidR="003A3805" w:rsidRPr="003A3805">
        <w:rPr>
          <w:rFonts w:ascii="Calibri" w:hAnsi="Calibri"/>
          <w:sz w:val="24"/>
          <w:szCs w:val="24"/>
        </w:rPr>
        <w:t xml:space="preserve"> </w:t>
      </w:r>
      <w:r w:rsidR="003A3805">
        <w:rPr>
          <w:rFonts w:ascii="Calibri" w:hAnsi="Calibri"/>
          <w:sz w:val="24"/>
          <w:szCs w:val="24"/>
        </w:rPr>
        <w:t xml:space="preserve">a </w:t>
      </w:r>
      <w:r w:rsidR="003A3805" w:rsidRPr="003A3805">
        <w:rPr>
          <w:rFonts w:ascii="Calibri" w:hAnsi="Calibri"/>
          <w:sz w:val="24"/>
          <w:szCs w:val="24"/>
        </w:rPr>
        <w:t>fair trial and rights in criminal proceedings</w:t>
      </w:r>
      <w:r w:rsidR="00750BF1">
        <w:rPr>
          <w:rFonts w:ascii="Calibri" w:hAnsi="Calibri"/>
          <w:sz w:val="24"/>
          <w:szCs w:val="24"/>
        </w:rPr>
        <w:t xml:space="preserve"> under the </w:t>
      </w:r>
      <w:r w:rsidR="00750BF1" w:rsidRPr="00905A31">
        <w:rPr>
          <w:rFonts w:ascii="Calibri" w:hAnsi="Calibri"/>
          <w:i/>
          <w:iCs/>
          <w:sz w:val="24"/>
          <w:szCs w:val="24"/>
        </w:rPr>
        <w:t>Human Rights Act 2004</w:t>
      </w:r>
      <w:r w:rsidR="00750BF1">
        <w:rPr>
          <w:rFonts w:ascii="Calibri" w:hAnsi="Calibri"/>
          <w:sz w:val="24"/>
          <w:szCs w:val="24"/>
        </w:rPr>
        <w:t xml:space="preserve"> (</w:t>
      </w:r>
      <w:r w:rsidR="00750BF1" w:rsidRPr="003E5033">
        <w:rPr>
          <w:rFonts w:ascii="Calibri" w:hAnsi="Calibri"/>
          <w:b/>
          <w:bCs/>
          <w:sz w:val="24"/>
          <w:szCs w:val="24"/>
        </w:rPr>
        <w:t>the HRA</w:t>
      </w:r>
      <w:r w:rsidR="00750BF1">
        <w:rPr>
          <w:rFonts w:ascii="Calibri" w:hAnsi="Calibri"/>
          <w:sz w:val="24"/>
          <w:szCs w:val="24"/>
        </w:rPr>
        <w:t>)</w:t>
      </w:r>
      <w:r w:rsidR="002002AA">
        <w:rPr>
          <w:rFonts w:ascii="Calibri" w:hAnsi="Calibri"/>
          <w:sz w:val="24"/>
          <w:szCs w:val="24"/>
        </w:rPr>
        <w:t xml:space="preserve"> in relation to </w:t>
      </w:r>
      <w:r w:rsidR="00D87748">
        <w:rPr>
          <w:rFonts w:ascii="Calibri" w:hAnsi="Calibri"/>
          <w:sz w:val="24"/>
          <w:szCs w:val="24"/>
        </w:rPr>
        <w:t>n</w:t>
      </w:r>
      <w:r w:rsidR="002002AA">
        <w:rPr>
          <w:rFonts w:ascii="Calibri" w:hAnsi="Calibri"/>
          <w:sz w:val="24"/>
          <w:szCs w:val="24"/>
        </w:rPr>
        <w:t xml:space="preserve">ew Part 4.6. </w:t>
      </w:r>
    </w:p>
    <w:p w14:paraId="33F86CD6" w14:textId="77777777" w:rsidR="002002AA" w:rsidRPr="00D87748" w:rsidRDefault="002002AA" w:rsidP="00DA35B4">
      <w:pPr>
        <w:spacing w:after="0" w:line="240" w:lineRule="auto"/>
        <w:rPr>
          <w:rFonts w:ascii="Calibri" w:hAnsi="Calibri"/>
          <w:sz w:val="24"/>
          <w:szCs w:val="24"/>
        </w:rPr>
      </w:pPr>
    </w:p>
    <w:p w14:paraId="7FEBEAFD" w14:textId="31520E39" w:rsidR="002002AA" w:rsidRPr="00F80140" w:rsidRDefault="002002AA" w:rsidP="00DA35B4">
      <w:pPr>
        <w:spacing w:after="0" w:line="240" w:lineRule="auto"/>
        <w:rPr>
          <w:rFonts w:ascii="Calibri" w:hAnsi="Calibri"/>
          <w:sz w:val="24"/>
          <w:szCs w:val="24"/>
          <w:u w:val="single"/>
        </w:rPr>
      </w:pPr>
      <w:r w:rsidRPr="00F80140">
        <w:rPr>
          <w:rFonts w:ascii="Calibri" w:hAnsi="Calibri"/>
          <w:sz w:val="24"/>
          <w:szCs w:val="24"/>
          <w:u w:val="single"/>
        </w:rPr>
        <w:t>Criminal intelligence</w:t>
      </w:r>
    </w:p>
    <w:p w14:paraId="2C244326" w14:textId="0630C6D9" w:rsidR="008F3C7F" w:rsidRDefault="008F3C7F" w:rsidP="00DA35B4">
      <w:pPr>
        <w:spacing w:after="0" w:line="240" w:lineRule="auto"/>
        <w:rPr>
          <w:rFonts w:ascii="Calibri" w:hAnsi="Calibri"/>
          <w:sz w:val="24"/>
          <w:szCs w:val="24"/>
        </w:rPr>
      </w:pPr>
    </w:p>
    <w:p w14:paraId="0DEF2E93" w14:textId="1DA4E223" w:rsidR="00F33354" w:rsidRDefault="003E5033" w:rsidP="00DA35B4">
      <w:pPr>
        <w:spacing w:after="0" w:line="240" w:lineRule="auto"/>
        <w:rPr>
          <w:rFonts w:ascii="Calibri" w:hAnsi="Calibri"/>
          <w:sz w:val="24"/>
          <w:szCs w:val="24"/>
        </w:rPr>
      </w:pPr>
      <w:r>
        <w:rPr>
          <w:rFonts w:ascii="Calibri" w:hAnsi="Calibri"/>
          <w:sz w:val="24"/>
          <w:szCs w:val="24"/>
        </w:rPr>
        <w:t>I note the Committee’s comments on the criminal intelligence provisions in the Bill.</w:t>
      </w:r>
      <w:r w:rsidR="00F211FD">
        <w:rPr>
          <w:rFonts w:ascii="Calibri" w:hAnsi="Calibri"/>
          <w:sz w:val="24"/>
          <w:szCs w:val="24"/>
        </w:rPr>
        <w:t xml:space="preserve"> </w:t>
      </w:r>
      <w:r w:rsidR="00621FBC">
        <w:rPr>
          <w:rFonts w:ascii="Calibri" w:hAnsi="Calibri"/>
          <w:sz w:val="24"/>
          <w:szCs w:val="24"/>
        </w:rPr>
        <w:t>I agree th</w:t>
      </w:r>
      <w:r w:rsidR="00F33354">
        <w:rPr>
          <w:rFonts w:ascii="Calibri" w:hAnsi="Calibri"/>
          <w:sz w:val="24"/>
          <w:szCs w:val="24"/>
        </w:rPr>
        <w:t xml:space="preserve">at </w:t>
      </w:r>
      <w:r>
        <w:rPr>
          <w:rFonts w:ascii="Calibri" w:hAnsi="Calibri"/>
          <w:sz w:val="24"/>
          <w:szCs w:val="24"/>
        </w:rPr>
        <w:t>these</w:t>
      </w:r>
      <w:r w:rsidR="00F33354">
        <w:rPr>
          <w:rFonts w:ascii="Calibri" w:hAnsi="Calibri"/>
          <w:sz w:val="24"/>
          <w:szCs w:val="24"/>
        </w:rPr>
        <w:t xml:space="preserve"> provisions </w:t>
      </w:r>
      <w:r w:rsidR="00935992">
        <w:rPr>
          <w:rFonts w:ascii="Calibri" w:hAnsi="Calibri"/>
          <w:sz w:val="24"/>
          <w:szCs w:val="24"/>
        </w:rPr>
        <w:t>engage</w:t>
      </w:r>
      <w:r w:rsidR="00F33354">
        <w:rPr>
          <w:rFonts w:ascii="Calibri" w:hAnsi="Calibri"/>
          <w:sz w:val="24"/>
          <w:szCs w:val="24"/>
        </w:rPr>
        <w:t xml:space="preserve"> the right to a fair trial under section 21 of the HRA. </w:t>
      </w:r>
      <w:r w:rsidR="00935992">
        <w:rPr>
          <w:rFonts w:ascii="Calibri" w:hAnsi="Calibri"/>
          <w:sz w:val="24"/>
          <w:szCs w:val="24"/>
        </w:rPr>
        <w:t xml:space="preserve">A revised </w:t>
      </w:r>
      <w:r w:rsidR="00F33354">
        <w:rPr>
          <w:rFonts w:ascii="Calibri" w:hAnsi="Calibri"/>
          <w:sz w:val="24"/>
          <w:szCs w:val="24"/>
        </w:rPr>
        <w:t xml:space="preserve">Explanatory Statement </w:t>
      </w:r>
      <w:r w:rsidR="00935992">
        <w:rPr>
          <w:rFonts w:ascii="Calibri" w:hAnsi="Calibri"/>
          <w:sz w:val="24"/>
          <w:szCs w:val="24"/>
        </w:rPr>
        <w:t xml:space="preserve">which includes </w:t>
      </w:r>
      <w:r w:rsidR="00F33354">
        <w:rPr>
          <w:rFonts w:ascii="Calibri" w:hAnsi="Calibri"/>
          <w:sz w:val="24"/>
          <w:szCs w:val="24"/>
        </w:rPr>
        <w:t>justi</w:t>
      </w:r>
      <w:r w:rsidR="00935992">
        <w:rPr>
          <w:rFonts w:ascii="Calibri" w:hAnsi="Calibri"/>
          <w:sz w:val="24"/>
          <w:szCs w:val="24"/>
        </w:rPr>
        <w:t>fication for the impact of these provisions on that right has been prepared for tabling. I enclose a copy of the revised Explanatory Statement for the Committee’s information.</w:t>
      </w:r>
      <w:r w:rsidR="00F33354">
        <w:rPr>
          <w:rFonts w:ascii="Calibri" w:hAnsi="Calibri"/>
          <w:sz w:val="24"/>
          <w:szCs w:val="24"/>
        </w:rPr>
        <w:t xml:space="preserve"> </w:t>
      </w:r>
    </w:p>
    <w:p w14:paraId="7549037F" w14:textId="77777777" w:rsidR="00F33354" w:rsidRDefault="00F33354" w:rsidP="00DA35B4">
      <w:pPr>
        <w:spacing w:after="0" w:line="240" w:lineRule="auto"/>
        <w:rPr>
          <w:rFonts w:ascii="Calibri" w:hAnsi="Calibri"/>
          <w:sz w:val="24"/>
          <w:szCs w:val="24"/>
        </w:rPr>
      </w:pPr>
    </w:p>
    <w:p w14:paraId="61388627" w14:textId="2911080B" w:rsidR="000F304E" w:rsidRPr="00905A31" w:rsidRDefault="0057410C" w:rsidP="00DA35B4">
      <w:pPr>
        <w:spacing w:after="0" w:line="240" w:lineRule="auto"/>
        <w:rPr>
          <w:rFonts w:ascii="Calibri" w:hAnsi="Calibri"/>
          <w:sz w:val="24"/>
          <w:szCs w:val="24"/>
          <w:u w:val="single"/>
        </w:rPr>
      </w:pPr>
      <w:r w:rsidRPr="00905A31">
        <w:rPr>
          <w:rFonts w:ascii="Calibri" w:hAnsi="Calibri"/>
          <w:sz w:val="24"/>
          <w:szCs w:val="24"/>
          <w:u w:val="single"/>
        </w:rPr>
        <w:t>C</w:t>
      </w:r>
      <w:r w:rsidR="000F304E" w:rsidRPr="00905A31">
        <w:rPr>
          <w:rFonts w:ascii="Calibri" w:hAnsi="Calibri"/>
          <w:sz w:val="24"/>
          <w:szCs w:val="24"/>
          <w:u w:val="single"/>
        </w:rPr>
        <w:t xml:space="preserve">ancellation of occupational licences </w:t>
      </w:r>
    </w:p>
    <w:p w14:paraId="691C4966" w14:textId="77777777" w:rsidR="00F211FD" w:rsidRPr="00D87748" w:rsidRDefault="00F211FD" w:rsidP="00F211FD">
      <w:pPr>
        <w:spacing w:after="0" w:line="240" w:lineRule="auto"/>
        <w:rPr>
          <w:rFonts w:ascii="Calibri" w:hAnsi="Calibri"/>
          <w:sz w:val="24"/>
          <w:szCs w:val="24"/>
        </w:rPr>
      </w:pPr>
    </w:p>
    <w:p w14:paraId="17175C4F" w14:textId="0BF01B84" w:rsidR="00F211FD" w:rsidRPr="00905A31" w:rsidRDefault="00F211FD" w:rsidP="00F211FD">
      <w:pPr>
        <w:spacing w:after="0" w:line="240" w:lineRule="auto"/>
        <w:rPr>
          <w:rFonts w:ascii="Calibri" w:hAnsi="Calibri"/>
          <w:sz w:val="24"/>
          <w:szCs w:val="24"/>
        </w:rPr>
      </w:pPr>
      <w:r w:rsidRPr="00905A31">
        <w:rPr>
          <w:rFonts w:ascii="Calibri" w:hAnsi="Calibri"/>
          <w:sz w:val="24"/>
          <w:szCs w:val="24"/>
        </w:rPr>
        <w:t xml:space="preserve">The Committee has drawn my attention to </w:t>
      </w:r>
      <w:r w:rsidR="00F47ADB">
        <w:rPr>
          <w:rFonts w:ascii="Calibri" w:hAnsi="Calibri"/>
          <w:sz w:val="24"/>
          <w:szCs w:val="24"/>
        </w:rPr>
        <w:t xml:space="preserve">provisions in </w:t>
      </w:r>
      <w:r w:rsidR="00F47ADB" w:rsidRPr="00F47ADB">
        <w:rPr>
          <w:rFonts w:ascii="Calibri" w:hAnsi="Calibri"/>
          <w:sz w:val="24"/>
          <w:szCs w:val="24"/>
        </w:rPr>
        <w:t>the Bill that amend</w:t>
      </w:r>
      <w:r w:rsidRPr="00F47ADB">
        <w:rPr>
          <w:rFonts w:ascii="Calibri" w:hAnsi="Calibri"/>
          <w:sz w:val="24"/>
          <w:szCs w:val="24"/>
        </w:rPr>
        <w:t xml:space="preserve"> section 107A</w:t>
      </w:r>
      <w:r w:rsidR="00905A31" w:rsidRPr="00F47ADB">
        <w:rPr>
          <w:rFonts w:ascii="Calibri" w:hAnsi="Calibri"/>
          <w:sz w:val="24"/>
          <w:szCs w:val="24"/>
        </w:rPr>
        <w:t xml:space="preserve"> of</w:t>
      </w:r>
      <w:r w:rsidR="00905A31" w:rsidRPr="00905A31">
        <w:rPr>
          <w:rFonts w:ascii="Calibri" w:hAnsi="Calibri"/>
          <w:sz w:val="24"/>
          <w:szCs w:val="24"/>
        </w:rPr>
        <w:t xml:space="preserve"> the </w:t>
      </w:r>
      <w:r w:rsidR="00905A31" w:rsidRPr="00905A31">
        <w:rPr>
          <w:rFonts w:ascii="Calibri" w:hAnsi="Calibri"/>
          <w:i/>
          <w:iCs/>
          <w:sz w:val="24"/>
          <w:szCs w:val="24"/>
        </w:rPr>
        <w:t>Construction</w:t>
      </w:r>
      <w:r w:rsidR="00F47ADB">
        <w:rPr>
          <w:rFonts w:ascii="Calibri" w:hAnsi="Calibri"/>
          <w:i/>
          <w:iCs/>
          <w:sz w:val="24"/>
          <w:szCs w:val="24"/>
        </w:rPr>
        <w:t> </w:t>
      </w:r>
      <w:r w:rsidR="00905A31" w:rsidRPr="00905A31">
        <w:rPr>
          <w:rFonts w:ascii="Calibri" w:hAnsi="Calibri"/>
          <w:i/>
          <w:iCs/>
          <w:sz w:val="24"/>
          <w:szCs w:val="24"/>
        </w:rPr>
        <w:t xml:space="preserve">Occupations (Licensing) </w:t>
      </w:r>
      <w:r w:rsidR="00F47ADB">
        <w:rPr>
          <w:rFonts w:ascii="Calibri" w:hAnsi="Calibri"/>
          <w:i/>
          <w:iCs/>
          <w:sz w:val="24"/>
          <w:szCs w:val="24"/>
        </w:rPr>
        <w:t xml:space="preserve">Act </w:t>
      </w:r>
      <w:r w:rsidR="00905A31" w:rsidRPr="00905A31">
        <w:rPr>
          <w:rFonts w:ascii="Calibri" w:hAnsi="Calibri"/>
          <w:i/>
          <w:iCs/>
          <w:sz w:val="24"/>
          <w:szCs w:val="24"/>
        </w:rPr>
        <w:t>2004</w:t>
      </w:r>
      <w:r w:rsidRPr="00905A31">
        <w:rPr>
          <w:rFonts w:ascii="Calibri" w:hAnsi="Calibri"/>
          <w:sz w:val="24"/>
          <w:szCs w:val="24"/>
        </w:rPr>
        <w:t xml:space="preserve"> </w:t>
      </w:r>
      <w:r w:rsidR="00AC7C86">
        <w:rPr>
          <w:rFonts w:ascii="Calibri" w:hAnsi="Calibri"/>
          <w:sz w:val="24"/>
          <w:szCs w:val="24"/>
        </w:rPr>
        <w:t xml:space="preserve">(COLA) </w:t>
      </w:r>
      <w:r w:rsidRPr="00905A31">
        <w:rPr>
          <w:rFonts w:ascii="Calibri" w:hAnsi="Calibri"/>
          <w:sz w:val="24"/>
          <w:szCs w:val="24"/>
        </w:rPr>
        <w:t xml:space="preserve">to </w:t>
      </w:r>
      <w:r w:rsidR="00F47ADB">
        <w:rPr>
          <w:rFonts w:ascii="Calibri" w:hAnsi="Calibri"/>
          <w:sz w:val="24"/>
          <w:szCs w:val="24"/>
        </w:rPr>
        <w:t>allow inclusion of</w:t>
      </w:r>
      <w:r w:rsidRPr="00905A31">
        <w:rPr>
          <w:rFonts w:ascii="Calibri" w:hAnsi="Calibri"/>
          <w:sz w:val="24"/>
          <w:szCs w:val="24"/>
        </w:rPr>
        <w:t xml:space="preserve"> information relating to cancellation decisions on the public register. I agree with the Committee that these amendments engage and limit the protection of privacy and reputation provided by section 12 of the HRA. </w:t>
      </w:r>
      <w:r w:rsidR="00935992">
        <w:rPr>
          <w:rFonts w:ascii="Calibri" w:hAnsi="Calibri"/>
          <w:sz w:val="24"/>
          <w:szCs w:val="24"/>
        </w:rPr>
        <w:t>T</w:t>
      </w:r>
      <w:r w:rsidRPr="00905A31">
        <w:rPr>
          <w:rFonts w:ascii="Calibri" w:hAnsi="Calibri"/>
          <w:sz w:val="24"/>
          <w:szCs w:val="24"/>
        </w:rPr>
        <w:t xml:space="preserve">he </w:t>
      </w:r>
      <w:r w:rsidR="00935992">
        <w:rPr>
          <w:rFonts w:ascii="Calibri" w:hAnsi="Calibri"/>
          <w:sz w:val="24"/>
          <w:szCs w:val="24"/>
        </w:rPr>
        <w:t xml:space="preserve">revised </w:t>
      </w:r>
      <w:r w:rsidRPr="00905A31">
        <w:rPr>
          <w:rFonts w:ascii="Calibri" w:hAnsi="Calibri"/>
          <w:sz w:val="24"/>
          <w:szCs w:val="24"/>
        </w:rPr>
        <w:t>Explanatory Statement</w:t>
      </w:r>
      <w:r w:rsidR="00935992">
        <w:rPr>
          <w:rFonts w:ascii="Calibri" w:hAnsi="Calibri"/>
          <w:sz w:val="24"/>
          <w:szCs w:val="24"/>
        </w:rPr>
        <w:t xml:space="preserve"> also discusses the justification for</w:t>
      </w:r>
      <w:r w:rsidRPr="00905A31">
        <w:rPr>
          <w:rFonts w:ascii="Calibri" w:hAnsi="Calibri"/>
          <w:sz w:val="24"/>
          <w:szCs w:val="24"/>
        </w:rPr>
        <w:t xml:space="preserve"> the limitation.</w:t>
      </w:r>
    </w:p>
    <w:p w14:paraId="1C7D855B" w14:textId="77777777" w:rsidR="00F211FD" w:rsidRDefault="00F211FD" w:rsidP="00F211FD">
      <w:pPr>
        <w:spacing w:after="0" w:line="240" w:lineRule="auto"/>
        <w:rPr>
          <w:rFonts w:ascii="Calibri" w:hAnsi="Calibri"/>
          <w:sz w:val="24"/>
          <w:szCs w:val="24"/>
        </w:rPr>
      </w:pPr>
    </w:p>
    <w:p w14:paraId="2D5B156A" w14:textId="6CABA559" w:rsidR="00F211FD" w:rsidRPr="0014785E" w:rsidRDefault="000F304E" w:rsidP="0014785E">
      <w:pPr>
        <w:spacing w:after="0" w:line="240" w:lineRule="auto"/>
        <w:rPr>
          <w:rFonts w:ascii="Calibri" w:hAnsi="Calibri"/>
          <w:sz w:val="24"/>
          <w:szCs w:val="24"/>
          <w:highlight w:val="yellow"/>
        </w:rPr>
      </w:pPr>
      <w:r w:rsidRPr="00F211FD">
        <w:rPr>
          <w:rFonts w:ascii="Calibri" w:hAnsi="Calibri"/>
          <w:sz w:val="24"/>
          <w:szCs w:val="24"/>
        </w:rPr>
        <w:t xml:space="preserve">The Committee </w:t>
      </w:r>
      <w:r w:rsidR="00D41B3D" w:rsidRPr="00F211FD">
        <w:rPr>
          <w:rFonts w:ascii="Calibri" w:hAnsi="Calibri"/>
          <w:sz w:val="24"/>
          <w:szCs w:val="24"/>
        </w:rPr>
        <w:t xml:space="preserve">has expressed concern that the provisions in relation to the cancellation of licences </w:t>
      </w:r>
      <w:r w:rsidR="00AC7C86">
        <w:rPr>
          <w:rFonts w:ascii="Calibri" w:hAnsi="Calibri"/>
          <w:sz w:val="24"/>
          <w:szCs w:val="24"/>
        </w:rPr>
        <w:t xml:space="preserve">under COLA or licences or permits under the </w:t>
      </w:r>
      <w:r w:rsidR="00AC7C86" w:rsidRPr="00CC510D">
        <w:rPr>
          <w:rFonts w:ascii="Calibri" w:hAnsi="Calibri"/>
          <w:i/>
          <w:iCs/>
          <w:sz w:val="24"/>
          <w:szCs w:val="24"/>
        </w:rPr>
        <w:t>Liquor Act 2010</w:t>
      </w:r>
      <w:r w:rsidR="00AC7C86">
        <w:rPr>
          <w:rFonts w:ascii="Calibri" w:hAnsi="Calibri"/>
          <w:sz w:val="24"/>
          <w:szCs w:val="24"/>
        </w:rPr>
        <w:t xml:space="preserve"> </w:t>
      </w:r>
      <w:r w:rsidR="00D41B3D" w:rsidRPr="00F211FD">
        <w:rPr>
          <w:rFonts w:ascii="Calibri" w:hAnsi="Calibri"/>
          <w:sz w:val="24"/>
          <w:szCs w:val="24"/>
        </w:rPr>
        <w:t xml:space="preserve">engage </w:t>
      </w:r>
      <w:r w:rsidR="00F47ADB">
        <w:rPr>
          <w:rFonts w:ascii="Calibri" w:hAnsi="Calibri"/>
          <w:sz w:val="24"/>
          <w:szCs w:val="24"/>
        </w:rPr>
        <w:t>the</w:t>
      </w:r>
      <w:r w:rsidR="00F47ADB" w:rsidRPr="00F211FD">
        <w:rPr>
          <w:rFonts w:ascii="Calibri" w:hAnsi="Calibri"/>
          <w:sz w:val="24"/>
          <w:szCs w:val="24"/>
        </w:rPr>
        <w:t xml:space="preserve"> right not to be tried or punished more than once </w:t>
      </w:r>
      <w:r w:rsidR="00F47ADB">
        <w:rPr>
          <w:rFonts w:ascii="Calibri" w:hAnsi="Calibri"/>
          <w:sz w:val="24"/>
          <w:szCs w:val="24"/>
        </w:rPr>
        <w:t xml:space="preserve">under </w:t>
      </w:r>
      <w:r w:rsidR="00D41B3D" w:rsidRPr="00F211FD">
        <w:rPr>
          <w:rFonts w:ascii="Calibri" w:hAnsi="Calibri"/>
          <w:sz w:val="24"/>
          <w:szCs w:val="24"/>
        </w:rPr>
        <w:t>section 24</w:t>
      </w:r>
      <w:r w:rsidR="00F47ADB">
        <w:rPr>
          <w:rFonts w:ascii="Calibri" w:hAnsi="Calibri"/>
          <w:sz w:val="24"/>
          <w:szCs w:val="24"/>
        </w:rPr>
        <w:t xml:space="preserve"> of the HRA</w:t>
      </w:r>
      <w:r w:rsidR="002778EE" w:rsidRPr="00F211FD">
        <w:rPr>
          <w:rFonts w:ascii="Calibri" w:hAnsi="Calibri"/>
          <w:sz w:val="24"/>
          <w:szCs w:val="24"/>
        </w:rPr>
        <w:t>.</w:t>
      </w:r>
      <w:r w:rsidR="00F211FD" w:rsidRPr="00F211FD">
        <w:rPr>
          <w:rFonts w:ascii="Calibri" w:hAnsi="Calibri"/>
          <w:sz w:val="24"/>
          <w:szCs w:val="24"/>
        </w:rPr>
        <w:t xml:space="preserve"> The UN Human Rights Committee has confirmed in </w:t>
      </w:r>
      <w:r w:rsidR="00F211FD" w:rsidRPr="00F47ADB">
        <w:rPr>
          <w:rFonts w:ascii="Calibri" w:hAnsi="Calibri"/>
          <w:i/>
          <w:iCs/>
          <w:sz w:val="24"/>
          <w:szCs w:val="24"/>
        </w:rPr>
        <w:t>General Comment No. 32 on Article 14: Right to equality before courts and tribunals and to a fair trial</w:t>
      </w:r>
      <w:r w:rsidR="00F211FD" w:rsidRPr="00F211FD">
        <w:rPr>
          <w:rFonts w:ascii="Calibri" w:hAnsi="Calibri"/>
          <w:sz w:val="24"/>
          <w:szCs w:val="24"/>
        </w:rPr>
        <w:t>, that the guarantee against double punishment applies to criminal offences only and not to disciplinary measures that do not amount to a sanction for a criminal offence. In construing whether a sanction is a criminal penalty, guidance from the Parliamentary Joint Committee on Human Rights notes that</w:t>
      </w:r>
      <w:r w:rsidR="0014785E">
        <w:rPr>
          <w:rFonts w:ascii="Calibri" w:hAnsi="Calibri"/>
          <w:sz w:val="24"/>
          <w:szCs w:val="24"/>
        </w:rPr>
        <w:t xml:space="preserve"> t</w:t>
      </w:r>
      <w:r w:rsidR="00F211FD" w:rsidRPr="00F211FD">
        <w:rPr>
          <w:rFonts w:ascii="Calibri" w:hAnsi="Calibri"/>
          <w:sz w:val="24"/>
          <w:szCs w:val="24"/>
        </w:rPr>
        <w:t>here is a range of international and comparative jurisprudence on whether a 'civil' penalty is likely to be 'criminal' for the purpose of human rights law. The following steps (one to three) may assist legislation proponents in understanding whether a provision may be characterised as 'criminal' under international human rights law</w:t>
      </w:r>
      <w:r w:rsidR="0014785E">
        <w:rPr>
          <w:rFonts w:ascii="Calibri" w:hAnsi="Calibri"/>
          <w:sz w:val="24"/>
          <w:szCs w:val="24"/>
        </w:rPr>
        <w:t>:</w:t>
      </w:r>
    </w:p>
    <w:p w14:paraId="1A5147EC" w14:textId="77777777" w:rsidR="00F211FD" w:rsidRPr="00F211FD" w:rsidRDefault="00F211FD" w:rsidP="00F47ADB">
      <w:pPr>
        <w:spacing w:after="0" w:line="240" w:lineRule="auto"/>
        <w:ind w:left="851" w:right="851"/>
        <w:rPr>
          <w:rFonts w:ascii="Calibri" w:hAnsi="Calibri"/>
          <w:sz w:val="24"/>
          <w:szCs w:val="24"/>
        </w:rPr>
      </w:pPr>
    </w:p>
    <w:p w14:paraId="3B40D5FE" w14:textId="2EFA86CE" w:rsidR="00F211FD" w:rsidRPr="00F211FD" w:rsidRDefault="00F211FD" w:rsidP="00F47ADB">
      <w:pPr>
        <w:spacing w:after="0" w:line="240" w:lineRule="auto"/>
        <w:ind w:left="851" w:right="851"/>
        <w:rPr>
          <w:rFonts w:ascii="Calibri" w:hAnsi="Calibri"/>
          <w:sz w:val="24"/>
          <w:szCs w:val="24"/>
        </w:rPr>
      </w:pPr>
      <w:r w:rsidRPr="00F211FD">
        <w:rPr>
          <w:rFonts w:ascii="Calibri" w:hAnsi="Calibri"/>
          <w:b/>
          <w:bCs/>
          <w:sz w:val="24"/>
          <w:szCs w:val="24"/>
        </w:rPr>
        <w:t>Step one:</w:t>
      </w:r>
      <w:r w:rsidRPr="00F211FD">
        <w:rPr>
          <w:rFonts w:ascii="Calibri" w:hAnsi="Calibri"/>
          <w:sz w:val="24"/>
          <w:szCs w:val="24"/>
        </w:rPr>
        <w:t xml:space="preserve"> </w:t>
      </w:r>
      <w:r w:rsidRPr="00F211FD">
        <w:rPr>
          <w:rFonts w:ascii="Calibri" w:hAnsi="Calibri"/>
          <w:i/>
          <w:iCs/>
          <w:sz w:val="24"/>
          <w:szCs w:val="24"/>
        </w:rPr>
        <w:t>Is the penalty classified as criminal under Australian Law?</w:t>
      </w:r>
      <w:r w:rsidRPr="00F211FD">
        <w:rPr>
          <w:rFonts w:ascii="Calibri" w:hAnsi="Calibri"/>
          <w:sz w:val="24"/>
          <w:szCs w:val="24"/>
        </w:rPr>
        <w:t xml:space="preserve"> </w:t>
      </w:r>
    </w:p>
    <w:p w14:paraId="415E4006" w14:textId="77777777" w:rsidR="00F211FD" w:rsidRPr="00F211FD" w:rsidRDefault="00F211FD" w:rsidP="00F47ADB">
      <w:pPr>
        <w:spacing w:after="0" w:line="240" w:lineRule="auto"/>
        <w:ind w:left="851" w:right="851"/>
        <w:rPr>
          <w:rFonts w:ascii="Calibri" w:hAnsi="Calibri"/>
          <w:sz w:val="24"/>
          <w:szCs w:val="24"/>
        </w:rPr>
      </w:pPr>
      <w:r w:rsidRPr="00F211FD">
        <w:rPr>
          <w:rFonts w:ascii="Calibri" w:hAnsi="Calibri"/>
          <w:sz w:val="24"/>
          <w:szCs w:val="24"/>
        </w:rPr>
        <w:t xml:space="preserve">If so, the penalty will be considered 'criminal' for the purpose of human rights law. If not, proceed to step two. </w:t>
      </w:r>
    </w:p>
    <w:p w14:paraId="57CAFC59" w14:textId="77777777" w:rsidR="00F211FD" w:rsidRPr="00F211FD" w:rsidRDefault="00F211FD" w:rsidP="00F47ADB">
      <w:pPr>
        <w:spacing w:after="0" w:line="240" w:lineRule="auto"/>
        <w:ind w:left="851" w:right="851"/>
        <w:rPr>
          <w:rFonts w:ascii="Calibri" w:hAnsi="Calibri"/>
          <w:sz w:val="24"/>
          <w:szCs w:val="24"/>
        </w:rPr>
      </w:pPr>
    </w:p>
    <w:p w14:paraId="213FB7D4" w14:textId="5C12530B" w:rsidR="00F211FD" w:rsidRPr="00F211FD" w:rsidRDefault="00F211FD" w:rsidP="00F47ADB">
      <w:pPr>
        <w:spacing w:after="0" w:line="240" w:lineRule="auto"/>
        <w:ind w:left="851" w:right="851"/>
        <w:rPr>
          <w:rFonts w:ascii="Calibri" w:hAnsi="Calibri"/>
          <w:sz w:val="24"/>
          <w:szCs w:val="24"/>
        </w:rPr>
      </w:pPr>
      <w:r w:rsidRPr="00F211FD">
        <w:rPr>
          <w:rFonts w:ascii="Calibri" w:hAnsi="Calibri"/>
          <w:b/>
          <w:bCs/>
          <w:sz w:val="24"/>
          <w:szCs w:val="24"/>
        </w:rPr>
        <w:t>Step two:</w:t>
      </w:r>
      <w:r w:rsidRPr="00F211FD">
        <w:rPr>
          <w:rFonts w:ascii="Calibri" w:hAnsi="Calibri"/>
          <w:sz w:val="24"/>
          <w:szCs w:val="24"/>
        </w:rPr>
        <w:t xml:space="preserve"> </w:t>
      </w:r>
      <w:r w:rsidRPr="00F211FD">
        <w:rPr>
          <w:rFonts w:ascii="Calibri" w:hAnsi="Calibri"/>
          <w:i/>
          <w:iCs/>
          <w:sz w:val="24"/>
          <w:szCs w:val="24"/>
        </w:rPr>
        <w:t>What is the nature and purpose of the penalty?</w:t>
      </w:r>
      <w:r w:rsidRPr="00F211FD">
        <w:rPr>
          <w:rFonts w:ascii="Calibri" w:hAnsi="Calibri"/>
          <w:sz w:val="24"/>
          <w:szCs w:val="24"/>
        </w:rPr>
        <w:t xml:space="preserve"> </w:t>
      </w:r>
    </w:p>
    <w:p w14:paraId="247BFD29" w14:textId="77777777" w:rsidR="00F211FD" w:rsidRPr="00F211FD" w:rsidRDefault="00F211FD" w:rsidP="00F47ADB">
      <w:pPr>
        <w:spacing w:after="0" w:line="240" w:lineRule="auto"/>
        <w:ind w:left="851" w:right="851"/>
        <w:rPr>
          <w:rFonts w:ascii="Calibri" w:hAnsi="Calibri"/>
          <w:sz w:val="24"/>
          <w:szCs w:val="24"/>
        </w:rPr>
      </w:pPr>
      <w:r w:rsidRPr="00F211FD">
        <w:rPr>
          <w:rFonts w:ascii="Calibri" w:hAnsi="Calibri"/>
          <w:sz w:val="24"/>
          <w:szCs w:val="24"/>
        </w:rPr>
        <w:t xml:space="preserve">The penalty is likely to be considered criminal for the purposes of human rights law if: </w:t>
      </w:r>
    </w:p>
    <w:p w14:paraId="43ABC9C3" w14:textId="77777777" w:rsidR="00F211FD" w:rsidRPr="00F211FD" w:rsidRDefault="00F211FD" w:rsidP="00F47ADB">
      <w:pPr>
        <w:spacing w:after="0" w:line="240" w:lineRule="auto"/>
        <w:ind w:left="851" w:right="851"/>
        <w:rPr>
          <w:rFonts w:ascii="Calibri" w:hAnsi="Calibri"/>
          <w:sz w:val="24"/>
          <w:szCs w:val="24"/>
        </w:rPr>
      </w:pPr>
      <w:r w:rsidRPr="00F211FD">
        <w:rPr>
          <w:rFonts w:ascii="Calibri" w:hAnsi="Calibri"/>
          <w:sz w:val="24"/>
          <w:szCs w:val="24"/>
        </w:rPr>
        <w:t xml:space="preserve">a) the purpose of the penalty is to punish or deter; and </w:t>
      </w:r>
    </w:p>
    <w:p w14:paraId="30681CB3" w14:textId="77777777" w:rsidR="00F211FD" w:rsidRPr="00F211FD" w:rsidRDefault="00F211FD" w:rsidP="00F47ADB">
      <w:pPr>
        <w:spacing w:after="0" w:line="240" w:lineRule="auto"/>
        <w:ind w:left="851" w:right="851"/>
        <w:rPr>
          <w:rFonts w:ascii="Calibri" w:hAnsi="Calibri"/>
          <w:sz w:val="24"/>
          <w:szCs w:val="24"/>
        </w:rPr>
      </w:pPr>
      <w:r w:rsidRPr="00F211FD">
        <w:rPr>
          <w:rFonts w:ascii="Calibri" w:hAnsi="Calibri"/>
          <w:sz w:val="24"/>
          <w:szCs w:val="24"/>
        </w:rPr>
        <w:t xml:space="preserve">b) the penalty applies to the public in general (rather than being restricted to people in a specific regulatory or disciplinary context.) </w:t>
      </w:r>
    </w:p>
    <w:p w14:paraId="2521D738" w14:textId="77777777" w:rsidR="00F211FD" w:rsidRPr="00F211FD" w:rsidRDefault="00F211FD" w:rsidP="00F47ADB">
      <w:pPr>
        <w:spacing w:after="0" w:line="240" w:lineRule="auto"/>
        <w:ind w:left="851" w:right="851"/>
        <w:rPr>
          <w:rFonts w:ascii="Calibri" w:hAnsi="Calibri"/>
          <w:sz w:val="24"/>
          <w:szCs w:val="24"/>
        </w:rPr>
      </w:pPr>
      <w:r w:rsidRPr="00F211FD">
        <w:rPr>
          <w:rFonts w:ascii="Calibri" w:hAnsi="Calibri"/>
          <w:sz w:val="24"/>
          <w:szCs w:val="24"/>
        </w:rPr>
        <w:t xml:space="preserve">If the penalty does not satisfy this test, proceed to step three. </w:t>
      </w:r>
    </w:p>
    <w:p w14:paraId="727C1ED1" w14:textId="77777777" w:rsidR="00D87748" w:rsidRPr="00D87748" w:rsidRDefault="00D87748" w:rsidP="0014785E">
      <w:pPr>
        <w:spacing w:after="0" w:line="240" w:lineRule="auto"/>
        <w:ind w:left="851" w:right="851"/>
        <w:rPr>
          <w:rFonts w:ascii="Calibri" w:hAnsi="Calibri"/>
          <w:sz w:val="24"/>
          <w:szCs w:val="24"/>
        </w:rPr>
      </w:pPr>
    </w:p>
    <w:p w14:paraId="24189F96" w14:textId="6229A3C1" w:rsidR="00F211FD" w:rsidRPr="0014785E" w:rsidRDefault="00F211FD" w:rsidP="0014785E">
      <w:pPr>
        <w:spacing w:after="0" w:line="240" w:lineRule="auto"/>
        <w:ind w:left="851" w:right="851"/>
        <w:rPr>
          <w:rFonts w:ascii="Calibri" w:hAnsi="Calibri"/>
          <w:b/>
          <w:bCs/>
          <w:sz w:val="24"/>
          <w:szCs w:val="24"/>
        </w:rPr>
      </w:pPr>
      <w:r w:rsidRPr="00F211FD">
        <w:rPr>
          <w:rFonts w:ascii="Calibri" w:hAnsi="Calibri"/>
          <w:b/>
          <w:bCs/>
          <w:sz w:val="24"/>
          <w:szCs w:val="24"/>
        </w:rPr>
        <w:t xml:space="preserve">Step three: </w:t>
      </w:r>
      <w:r w:rsidRPr="00F211FD">
        <w:rPr>
          <w:rFonts w:ascii="Calibri" w:hAnsi="Calibri"/>
          <w:i/>
          <w:iCs/>
          <w:sz w:val="24"/>
          <w:szCs w:val="24"/>
        </w:rPr>
        <w:t>What is the severity of the penalty?</w:t>
      </w:r>
      <w:r w:rsidRPr="00F211FD">
        <w:rPr>
          <w:rFonts w:ascii="Calibri" w:hAnsi="Calibri"/>
          <w:sz w:val="24"/>
          <w:szCs w:val="24"/>
        </w:rPr>
        <w:t xml:space="preserve"> </w:t>
      </w:r>
    </w:p>
    <w:p w14:paraId="58252BD2" w14:textId="7268DCEB" w:rsidR="00F211FD" w:rsidRPr="00F211FD" w:rsidRDefault="00F211FD" w:rsidP="00F47ADB">
      <w:pPr>
        <w:spacing w:after="0" w:line="240" w:lineRule="auto"/>
        <w:ind w:left="851" w:right="851"/>
        <w:rPr>
          <w:rFonts w:ascii="Calibri" w:hAnsi="Calibri"/>
          <w:sz w:val="24"/>
          <w:szCs w:val="24"/>
        </w:rPr>
      </w:pPr>
      <w:r w:rsidRPr="00F211FD">
        <w:rPr>
          <w:rFonts w:ascii="Calibri" w:hAnsi="Calibri"/>
          <w:sz w:val="24"/>
          <w:szCs w:val="24"/>
        </w:rPr>
        <w:t xml:space="preserve">The penalty is likely to be considered criminal for the purposes of human rights law if the penalty carries a penalty of imprisonment or a substantial pecuniary sanction. </w:t>
      </w:r>
      <w:r w:rsidR="00905A31">
        <w:rPr>
          <w:rFonts w:ascii="Calibri" w:hAnsi="Calibri"/>
          <w:sz w:val="24"/>
          <w:szCs w:val="24"/>
        </w:rPr>
        <w:t>E</w:t>
      </w:r>
      <w:r w:rsidRPr="00F211FD">
        <w:rPr>
          <w:rFonts w:ascii="Calibri" w:hAnsi="Calibri"/>
          <w:sz w:val="24"/>
          <w:szCs w:val="24"/>
        </w:rPr>
        <w:t>ven if a penalty is not considered 'criminal' separately under steps two or three, it may still be considered 'criminal' where the nature and severity of the penalty are cumulatively considered.</w:t>
      </w:r>
    </w:p>
    <w:p w14:paraId="250F0297" w14:textId="77777777" w:rsidR="00F211FD" w:rsidRPr="00F211FD" w:rsidRDefault="00F211FD" w:rsidP="00F211FD">
      <w:pPr>
        <w:spacing w:after="0" w:line="240" w:lineRule="auto"/>
        <w:rPr>
          <w:rFonts w:ascii="Calibri" w:hAnsi="Calibri"/>
          <w:sz w:val="24"/>
          <w:szCs w:val="24"/>
        </w:rPr>
      </w:pPr>
    </w:p>
    <w:p w14:paraId="3058F524" w14:textId="70B58315" w:rsidR="002778EE" w:rsidRPr="00F211FD" w:rsidRDefault="00F211FD" w:rsidP="00DA35B4">
      <w:pPr>
        <w:spacing w:after="0" w:line="240" w:lineRule="auto"/>
        <w:rPr>
          <w:rFonts w:ascii="Calibri" w:hAnsi="Calibri"/>
          <w:sz w:val="24"/>
          <w:szCs w:val="24"/>
          <w:highlight w:val="yellow"/>
        </w:rPr>
      </w:pPr>
      <w:r w:rsidRPr="00F211FD">
        <w:rPr>
          <w:rFonts w:ascii="Calibri" w:hAnsi="Calibri"/>
          <w:sz w:val="24"/>
          <w:szCs w:val="24"/>
        </w:rPr>
        <w:lastRenderedPageBreak/>
        <w:t xml:space="preserve">Applying these principles to the occupational </w:t>
      </w:r>
      <w:r w:rsidR="00F9796B">
        <w:rPr>
          <w:rFonts w:ascii="Calibri" w:hAnsi="Calibri"/>
          <w:sz w:val="24"/>
          <w:szCs w:val="24"/>
        </w:rPr>
        <w:t>licence cancellation provisions</w:t>
      </w:r>
      <w:r w:rsidRPr="00F211FD">
        <w:rPr>
          <w:rFonts w:ascii="Calibri" w:hAnsi="Calibri"/>
          <w:sz w:val="24"/>
          <w:szCs w:val="24"/>
        </w:rPr>
        <w:t xml:space="preserve"> </w:t>
      </w:r>
      <w:r>
        <w:rPr>
          <w:rFonts w:ascii="Calibri" w:hAnsi="Calibri"/>
          <w:sz w:val="24"/>
          <w:szCs w:val="24"/>
        </w:rPr>
        <w:t>suggests</w:t>
      </w:r>
      <w:r w:rsidRPr="00F211FD">
        <w:rPr>
          <w:rFonts w:ascii="Calibri" w:hAnsi="Calibri"/>
          <w:sz w:val="24"/>
          <w:szCs w:val="24"/>
        </w:rPr>
        <w:t xml:space="preserve"> that it is not a criminal penalty, as it is not intended to punish or deter but a preventative measure to protect public safety and applies in a specific regulatory contex</w:t>
      </w:r>
      <w:r>
        <w:rPr>
          <w:rFonts w:ascii="Calibri" w:hAnsi="Calibri"/>
          <w:sz w:val="24"/>
          <w:szCs w:val="24"/>
        </w:rPr>
        <w:t>t</w:t>
      </w:r>
      <w:r w:rsidR="0014785E">
        <w:rPr>
          <w:rFonts w:ascii="Calibri" w:hAnsi="Calibri"/>
          <w:sz w:val="24"/>
          <w:szCs w:val="24"/>
        </w:rPr>
        <w:t>. A</w:t>
      </w:r>
      <w:r>
        <w:rPr>
          <w:rFonts w:ascii="Calibri" w:hAnsi="Calibri"/>
          <w:sz w:val="24"/>
          <w:szCs w:val="24"/>
        </w:rPr>
        <w:t>s such</w:t>
      </w:r>
      <w:r w:rsidR="0014785E">
        <w:rPr>
          <w:rFonts w:ascii="Calibri" w:hAnsi="Calibri"/>
          <w:sz w:val="24"/>
          <w:szCs w:val="24"/>
        </w:rPr>
        <w:t>, I am of the view that</w:t>
      </w:r>
      <w:r>
        <w:rPr>
          <w:rFonts w:ascii="Calibri" w:hAnsi="Calibri"/>
          <w:sz w:val="24"/>
          <w:szCs w:val="24"/>
        </w:rPr>
        <w:t xml:space="preserve"> section 24 of the HRA is not engaged</w:t>
      </w:r>
      <w:r w:rsidR="0014785E">
        <w:rPr>
          <w:rFonts w:ascii="Calibri" w:hAnsi="Calibri"/>
          <w:sz w:val="24"/>
          <w:szCs w:val="24"/>
        </w:rPr>
        <w:t xml:space="preserve"> by these provisions. </w:t>
      </w:r>
    </w:p>
    <w:p w14:paraId="66A67E28" w14:textId="6A2849F5" w:rsidR="001D5C91" w:rsidRPr="00CA7317" w:rsidRDefault="001D5C91" w:rsidP="00DA35B4">
      <w:pPr>
        <w:spacing w:after="0" w:line="240" w:lineRule="auto"/>
        <w:rPr>
          <w:rFonts w:ascii="Calibri" w:hAnsi="Calibri"/>
          <w:i/>
          <w:iCs/>
          <w:sz w:val="24"/>
          <w:szCs w:val="24"/>
        </w:rPr>
      </w:pPr>
    </w:p>
    <w:p w14:paraId="6C78A13D" w14:textId="3C3007CA" w:rsidR="00A830B6" w:rsidRPr="00CA7317" w:rsidRDefault="00F211FD" w:rsidP="00DA35B4">
      <w:pPr>
        <w:spacing w:after="0" w:line="240" w:lineRule="auto"/>
        <w:rPr>
          <w:rFonts w:ascii="Calibri" w:hAnsi="Calibri"/>
          <w:sz w:val="24"/>
          <w:szCs w:val="24"/>
        </w:rPr>
      </w:pPr>
      <w:r w:rsidRPr="00CA7317">
        <w:rPr>
          <w:rFonts w:ascii="Calibri" w:hAnsi="Calibri"/>
          <w:sz w:val="24"/>
          <w:szCs w:val="24"/>
        </w:rPr>
        <w:t xml:space="preserve">The Committee </w:t>
      </w:r>
      <w:r w:rsidR="00A830B6" w:rsidRPr="00CA7317">
        <w:rPr>
          <w:rFonts w:ascii="Calibri" w:hAnsi="Calibri"/>
          <w:sz w:val="24"/>
          <w:szCs w:val="24"/>
        </w:rPr>
        <w:t>has highlighted</w:t>
      </w:r>
      <w:r w:rsidRPr="00CA7317">
        <w:rPr>
          <w:rFonts w:ascii="Calibri" w:hAnsi="Calibri"/>
          <w:sz w:val="24"/>
          <w:szCs w:val="24"/>
        </w:rPr>
        <w:t xml:space="preserve"> that t</w:t>
      </w:r>
      <w:r w:rsidR="000346D5" w:rsidRPr="00CA7317">
        <w:rPr>
          <w:rFonts w:ascii="Calibri" w:hAnsi="Calibri"/>
          <w:sz w:val="24"/>
          <w:szCs w:val="24"/>
        </w:rPr>
        <w:t xml:space="preserve">he Bill provides for a cancellation order to be revoked where </w:t>
      </w:r>
      <w:r w:rsidR="00A830B6" w:rsidRPr="00CA7317">
        <w:rPr>
          <w:rFonts w:ascii="Calibri" w:hAnsi="Calibri"/>
          <w:sz w:val="24"/>
          <w:szCs w:val="24"/>
        </w:rPr>
        <w:t>the ACT Civil and Administrative Tribunal (</w:t>
      </w:r>
      <w:r w:rsidR="000346D5" w:rsidRPr="00CA7317">
        <w:rPr>
          <w:rFonts w:ascii="Calibri" w:hAnsi="Calibri"/>
          <w:sz w:val="24"/>
          <w:szCs w:val="24"/>
        </w:rPr>
        <w:t>ACAT</w:t>
      </w:r>
      <w:r w:rsidR="00A830B6" w:rsidRPr="00CA7317">
        <w:rPr>
          <w:rFonts w:ascii="Calibri" w:hAnsi="Calibri"/>
          <w:sz w:val="24"/>
          <w:szCs w:val="24"/>
        </w:rPr>
        <w:t>)</w:t>
      </w:r>
      <w:r w:rsidR="000346D5" w:rsidRPr="00CA7317">
        <w:rPr>
          <w:rFonts w:ascii="Calibri" w:hAnsi="Calibri"/>
          <w:sz w:val="24"/>
          <w:szCs w:val="24"/>
        </w:rPr>
        <w:t xml:space="preserve"> is satisfied that, as a result in a change in circumstances, the licensee is no longer engaged in criminal activity.</w:t>
      </w:r>
      <w:r w:rsidR="000346D5" w:rsidRPr="00CA7317">
        <w:t xml:space="preserve"> </w:t>
      </w:r>
      <w:r w:rsidR="000346D5" w:rsidRPr="00CA7317">
        <w:rPr>
          <w:rFonts w:ascii="Calibri" w:hAnsi="Calibri"/>
          <w:sz w:val="24"/>
          <w:szCs w:val="24"/>
        </w:rPr>
        <w:t xml:space="preserve">The Committee has stated that </w:t>
      </w:r>
      <w:r w:rsidR="00A830B6" w:rsidRPr="00CA7317">
        <w:rPr>
          <w:rFonts w:ascii="Calibri" w:hAnsi="Calibri"/>
          <w:sz w:val="24"/>
          <w:szCs w:val="24"/>
        </w:rPr>
        <w:t xml:space="preserve">there is a lack of clarity regarding what constitutes a change in circumstances. </w:t>
      </w:r>
      <w:r w:rsidR="00CA7317" w:rsidRPr="00CA7317">
        <w:rPr>
          <w:rFonts w:ascii="Calibri" w:hAnsi="Calibri"/>
          <w:sz w:val="24"/>
          <w:szCs w:val="24"/>
        </w:rPr>
        <w:t xml:space="preserve">This will be a matter for the ACAT to determine, </w:t>
      </w:r>
      <w:r w:rsidR="005C6452">
        <w:rPr>
          <w:rFonts w:ascii="Calibri" w:hAnsi="Calibri"/>
          <w:sz w:val="24"/>
          <w:szCs w:val="24"/>
        </w:rPr>
        <w:t>by</w:t>
      </w:r>
      <w:r w:rsidR="00CA7317" w:rsidRPr="00CA7317">
        <w:rPr>
          <w:rFonts w:ascii="Calibri" w:hAnsi="Calibri"/>
          <w:sz w:val="24"/>
          <w:szCs w:val="24"/>
        </w:rPr>
        <w:t xml:space="preserve"> reference to the evidence and information that was available at the time of the cancellation, as well as any changes over the passage of time. </w:t>
      </w:r>
      <w:r w:rsidR="00610DD7">
        <w:rPr>
          <w:rFonts w:ascii="Calibri" w:hAnsi="Calibri"/>
          <w:sz w:val="24"/>
          <w:szCs w:val="24"/>
        </w:rPr>
        <w:t>If, at a time after the decision to cancel a licence, the ACAT is satisfied</w:t>
      </w:r>
      <w:r w:rsidR="005C6452">
        <w:rPr>
          <w:rFonts w:ascii="Calibri" w:hAnsi="Calibri"/>
          <w:sz w:val="24"/>
          <w:szCs w:val="24"/>
        </w:rPr>
        <w:t xml:space="preserve"> by information or evidence</w:t>
      </w:r>
      <w:r w:rsidR="00610DD7">
        <w:rPr>
          <w:rFonts w:ascii="Calibri" w:hAnsi="Calibri"/>
          <w:sz w:val="24"/>
          <w:szCs w:val="24"/>
        </w:rPr>
        <w:t xml:space="preserve"> that the circumstances established as the basis for the licence cancellation no longer exist and there are no other circumstances that would warrant a cancellation, the ACAT can revoke the cancellation.</w:t>
      </w:r>
      <w:r w:rsidR="00CA7317" w:rsidRPr="00CA7317">
        <w:rPr>
          <w:rFonts w:ascii="Calibri" w:hAnsi="Calibri"/>
          <w:sz w:val="24"/>
          <w:szCs w:val="24"/>
        </w:rPr>
        <w:t xml:space="preserve"> </w:t>
      </w:r>
    </w:p>
    <w:p w14:paraId="1AEF432F" w14:textId="67F115EC" w:rsidR="000346D5" w:rsidRPr="0004604C" w:rsidRDefault="000346D5" w:rsidP="00DA35B4">
      <w:pPr>
        <w:spacing w:after="0" w:line="240" w:lineRule="auto"/>
        <w:rPr>
          <w:rFonts w:ascii="Calibri" w:hAnsi="Calibri"/>
          <w:sz w:val="24"/>
          <w:szCs w:val="24"/>
          <w:highlight w:val="yellow"/>
        </w:rPr>
      </w:pPr>
    </w:p>
    <w:p w14:paraId="69F89D3B" w14:textId="0DF4C07C" w:rsidR="00F70578" w:rsidRDefault="00F70578" w:rsidP="00DA35B4">
      <w:pPr>
        <w:spacing w:after="0" w:line="240" w:lineRule="auto"/>
        <w:rPr>
          <w:rFonts w:ascii="Calibri" w:hAnsi="Calibri"/>
          <w:sz w:val="24"/>
          <w:szCs w:val="24"/>
        </w:rPr>
      </w:pPr>
      <w:r>
        <w:rPr>
          <w:rFonts w:ascii="Calibri" w:hAnsi="Calibri"/>
          <w:sz w:val="24"/>
          <w:szCs w:val="24"/>
        </w:rPr>
        <w:t>I acknowledge the Committee’s comments on proposed section 187L and clauses 18-21 in the Bill and confirm that the Government amendments I propose to move will address the Committee’s concerns in this regard.</w:t>
      </w:r>
    </w:p>
    <w:p w14:paraId="636451FA" w14:textId="1AA9DEA1" w:rsidR="00A84B4B" w:rsidRDefault="00A84B4B" w:rsidP="00DA35B4">
      <w:pPr>
        <w:spacing w:after="0" w:line="240" w:lineRule="auto"/>
        <w:rPr>
          <w:rFonts w:ascii="Calibri" w:hAnsi="Calibri"/>
          <w:i/>
          <w:iCs/>
          <w:sz w:val="24"/>
          <w:szCs w:val="24"/>
        </w:rPr>
      </w:pPr>
    </w:p>
    <w:p w14:paraId="01CE952B" w14:textId="1F1A9F8C" w:rsidR="00A84B4B" w:rsidRPr="007B5D4E" w:rsidRDefault="00A84B4B" w:rsidP="00DA35B4">
      <w:pPr>
        <w:spacing w:after="0" w:line="240" w:lineRule="auto"/>
        <w:rPr>
          <w:rFonts w:ascii="Calibri" w:hAnsi="Calibri"/>
          <w:sz w:val="24"/>
          <w:szCs w:val="24"/>
          <w:u w:val="single"/>
        </w:rPr>
      </w:pPr>
      <w:r w:rsidRPr="007B5D4E">
        <w:rPr>
          <w:rFonts w:ascii="Calibri" w:hAnsi="Calibri"/>
          <w:sz w:val="24"/>
          <w:szCs w:val="24"/>
          <w:u w:val="single"/>
        </w:rPr>
        <w:t xml:space="preserve">Exclusion orders </w:t>
      </w:r>
    </w:p>
    <w:p w14:paraId="5B6782DE" w14:textId="77777777" w:rsidR="00F80140" w:rsidRDefault="00F80140" w:rsidP="00DA35B4">
      <w:pPr>
        <w:spacing w:after="0" w:line="240" w:lineRule="auto"/>
        <w:rPr>
          <w:rFonts w:ascii="Calibri" w:hAnsi="Calibri"/>
          <w:i/>
          <w:iCs/>
          <w:sz w:val="24"/>
          <w:szCs w:val="24"/>
        </w:rPr>
      </w:pPr>
    </w:p>
    <w:p w14:paraId="35245B52" w14:textId="5D3EB4F7" w:rsidR="00BE5790" w:rsidRDefault="00FA38D1" w:rsidP="00BE5790">
      <w:pPr>
        <w:spacing w:after="0" w:line="240" w:lineRule="auto"/>
        <w:rPr>
          <w:rFonts w:ascii="Calibri" w:hAnsi="Calibri"/>
          <w:sz w:val="24"/>
          <w:szCs w:val="24"/>
        </w:rPr>
      </w:pPr>
      <w:r w:rsidRPr="00F80140">
        <w:rPr>
          <w:rFonts w:ascii="Calibri" w:hAnsi="Calibri"/>
          <w:sz w:val="24"/>
          <w:szCs w:val="24"/>
        </w:rPr>
        <w:t xml:space="preserve">The Committee </w:t>
      </w:r>
      <w:r w:rsidR="00B042C4">
        <w:rPr>
          <w:rFonts w:ascii="Calibri" w:hAnsi="Calibri"/>
          <w:sz w:val="24"/>
          <w:szCs w:val="24"/>
        </w:rPr>
        <w:t>draws attention to</w:t>
      </w:r>
      <w:r w:rsidRPr="00F80140">
        <w:rPr>
          <w:rFonts w:ascii="Calibri" w:hAnsi="Calibri"/>
          <w:sz w:val="24"/>
          <w:szCs w:val="24"/>
        </w:rPr>
        <w:t xml:space="preserve"> the test for an exclusion order</w:t>
      </w:r>
      <w:r w:rsidR="00B042C4">
        <w:rPr>
          <w:rFonts w:ascii="Calibri" w:hAnsi="Calibri"/>
          <w:sz w:val="24"/>
          <w:szCs w:val="24"/>
        </w:rPr>
        <w:t>, noting that there is no requirement for</w:t>
      </w:r>
      <w:r w:rsidRPr="00F80140">
        <w:rPr>
          <w:rFonts w:ascii="Calibri" w:hAnsi="Calibri"/>
          <w:sz w:val="24"/>
          <w:szCs w:val="24"/>
        </w:rPr>
        <w:t xml:space="preserve"> a connection between the violent conduct </w:t>
      </w:r>
      <w:r w:rsidR="00FC13F3">
        <w:rPr>
          <w:rFonts w:ascii="Calibri" w:hAnsi="Calibri"/>
          <w:sz w:val="24"/>
          <w:szCs w:val="24"/>
        </w:rPr>
        <w:t>o</w:t>
      </w:r>
      <w:r w:rsidRPr="00F80140">
        <w:rPr>
          <w:rFonts w:ascii="Calibri" w:hAnsi="Calibri"/>
          <w:sz w:val="24"/>
          <w:szCs w:val="24"/>
        </w:rPr>
        <w:t xml:space="preserve">n or in the immediate vicinity of the </w:t>
      </w:r>
      <w:r w:rsidR="00F80140" w:rsidRPr="00F80140">
        <w:rPr>
          <w:rFonts w:ascii="Calibri" w:hAnsi="Calibri"/>
          <w:sz w:val="24"/>
          <w:szCs w:val="24"/>
        </w:rPr>
        <w:t>licen</w:t>
      </w:r>
      <w:r w:rsidR="00B042C4">
        <w:rPr>
          <w:rFonts w:ascii="Calibri" w:hAnsi="Calibri"/>
          <w:sz w:val="24"/>
          <w:szCs w:val="24"/>
        </w:rPr>
        <w:t>se</w:t>
      </w:r>
      <w:r w:rsidR="00FC13F3">
        <w:rPr>
          <w:rFonts w:ascii="Calibri" w:hAnsi="Calibri"/>
          <w:sz w:val="24"/>
          <w:szCs w:val="24"/>
        </w:rPr>
        <w:t>d</w:t>
      </w:r>
      <w:r w:rsidRPr="00F80140">
        <w:rPr>
          <w:rFonts w:ascii="Calibri" w:hAnsi="Calibri"/>
          <w:sz w:val="24"/>
          <w:szCs w:val="24"/>
        </w:rPr>
        <w:t xml:space="preserve"> premises</w:t>
      </w:r>
      <w:r w:rsidR="00B042C4">
        <w:rPr>
          <w:rFonts w:ascii="Calibri" w:hAnsi="Calibri"/>
          <w:sz w:val="24"/>
          <w:szCs w:val="24"/>
        </w:rPr>
        <w:t>,</w:t>
      </w:r>
      <w:r w:rsidRPr="00F80140">
        <w:rPr>
          <w:rFonts w:ascii="Calibri" w:hAnsi="Calibri"/>
          <w:sz w:val="24"/>
          <w:szCs w:val="24"/>
        </w:rPr>
        <w:t xml:space="preserve"> and </w:t>
      </w:r>
      <w:r w:rsidR="00BE5790" w:rsidRPr="00BE5790">
        <w:rPr>
          <w:rFonts w:ascii="Calibri" w:hAnsi="Calibri"/>
          <w:sz w:val="24"/>
          <w:szCs w:val="24"/>
        </w:rPr>
        <w:t xml:space="preserve">that making the order will reduce the </w:t>
      </w:r>
      <w:r w:rsidR="00BE5790">
        <w:rPr>
          <w:rFonts w:ascii="Calibri" w:hAnsi="Calibri"/>
          <w:sz w:val="24"/>
          <w:szCs w:val="24"/>
        </w:rPr>
        <w:t xml:space="preserve">identified </w:t>
      </w:r>
      <w:r w:rsidR="00BE5790" w:rsidRPr="00BE5790">
        <w:rPr>
          <w:rFonts w:ascii="Calibri" w:hAnsi="Calibri"/>
          <w:sz w:val="24"/>
          <w:szCs w:val="24"/>
        </w:rPr>
        <w:t>risk to public safety</w:t>
      </w:r>
      <w:r w:rsidRPr="00F80140">
        <w:rPr>
          <w:rFonts w:ascii="Calibri" w:hAnsi="Calibri"/>
          <w:sz w:val="24"/>
          <w:szCs w:val="24"/>
        </w:rPr>
        <w:t xml:space="preserve">. This </w:t>
      </w:r>
      <w:r w:rsidR="00F80140" w:rsidRPr="00F80140">
        <w:rPr>
          <w:rFonts w:ascii="Calibri" w:hAnsi="Calibri"/>
          <w:sz w:val="24"/>
          <w:szCs w:val="24"/>
        </w:rPr>
        <w:t>contrasts with</w:t>
      </w:r>
      <w:r w:rsidRPr="00F80140">
        <w:rPr>
          <w:rFonts w:ascii="Calibri" w:hAnsi="Calibri"/>
          <w:sz w:val="24"/>
          <w:szCs w:val="24"/>
        </w:rPr>
        <w:t xml:space="preserve"> the test for a cancellation of an occupational licence w</w:t>
      </w:r>
      <w:r w:rsidR="00B042C4">
        <w:rPr>
          <w:rFonts w:ascii="Calibri" w:hAnsi="Calibri"/>
          <w:sz w:val="24"/>
          <w:szCs w:val="24"/>
        </w:rPr>
        <w:t>hich</w:t>
      </w:r>
      <w:r w:rsidRPr="00F80140">
        <w:rPr>
          <w:rFonts w:ascii="Calibri" w:hAnsi="Calibri"/>
          <w:sz w:val="24"/>
          <w:szCs w:val="24"/>
        </w:rPr>
        <w:t xml:space="preserve"> requires a connection between the ‘unacceptable risk to public safety</w:t>
      </w:r>
      <w:r w:rsidR="00B042C4">
        <w:rPr>
          <w:rFonts w:ascii="Calibri" w:hAnsi="Calibri"/>
          <w:sz w:val="24"/>
          <w:szCs w:val="24"/>
        </w:rPr>
        <w:t>’</w:t>
      </w:r>
      <w:r w:rsidRPr="00F80140">
        <w:rPr>
          <w:rFonts w:ascii="Calibri" w:hAnsi="Calibri"/>
          <w:sz w:val="24"/>
          <w:szCs w:val="24"/>
        </w:rPr>
        <w:t xml:space="preserve"> and the </w:t>
      </w:r>
      <w:r w:rsidR="00B042C4">
        <w:rPr>
          <w:rFonts w:ascii="Calibri" w:hAnsi="Calibri"/>
          <w:sz w:val="24"/>
          <w:szCs w:val="24"/>
        </w:rPr>
        <w:t>‘</w:t>
      </w:r>
      <w:r w:rsidRPr="00F80140">
        <w:rPr>
          <w:rFonts w:ascii="Calibri" w:hAnsi="Calibri"/>
          <w:sz w:val="24"/>
          <w:szCs w:val="24"/>
        </w:rPr>
        <w:t xml:space="preserve">criminal activity’. </w:t>
      </w:r>
      <w:r w:rsidR="00BE5790" w:rsidRPr="00BE5790">
        <w:rPr>
          <w:rFonts w:ascii="Calibri" w:hAnsi="Calibri"/>
          <w:sz w:val="24"/>
          <w:szCs w:val="24"/>
        </w:rPr>
        <w:t>The Committee states that it is therefore not clear that the limitation on the right to freedom of movement (s</w:t>
      </w:r>
      <w:r w:rsidR="00D87748">
        <w:rPr>
          <w:rFonts w:ascii="Calibri" w:hAnsi="Calibri"/>
          <w:sz w:val="24"/>
          <w:szCs w:val="24"/>
        </w:rPr>
        <w:t>ection </w:t>
      </w:r>
      <w:r w:rsidR="00BE5790" w:rsidRPr="00BE5790">
        <w:rPr>
          <w:rFonts w:ascii="Calibri" w:hAnsi="Calibri"/>
          <w:sz w:val="24"/>
          <w:szCs w:val="24"/>
        </w:rPr>
        <w:t xml:space="preserve">13 of the </w:t>
      </w:r>
      <w:r w:rsidR="00BE5790">
        <w:rPr>
          <w:rFonts w:ascii="Calibri" w:hAnsi="Calibri"/>
          <w:sz w:val="24"/>
          <w:szCs w:val="24"/>
        </w:rPr>
        <w:t>HRA</w:t>
      </w:r>
      <w:r w:rsidR="00BE5790" w:rsidRPr="00BE5790">
        <w:rPr>
          <w:rFonts w:ascii="Calibri" w:hAnsi="Calibri"/>
          <w:sz w:val="24"/>
          <w:szCs w:val="24"/>
        </w:rPr>
        <w:t>) is a reasonable one. The Committee suggests that consideration should be given to amending the Bill to explicitly connect the two elements of the test, and to clarify what a Magistrate must consider when issuing an exclusion order (</w:t>
      </w:r>
      <w:proofErr w:type="spellStart"/>
      <w:r w:rsidR="00BE5790" w:rsidRPr="00BE5790">
        <w:rPr>
          <w:rFonts w:ascii="Calibri" w:hAnsi="Calibri"/>
          <w:sz w:val="24"/>
          <w:szCs w:val="24"/>
        </w:rPr>
        <w:t>ie</w:t>
      </w:r>
      <w:proofErr w:type="spellEnd"/>
      <w:r w:rsidR="00BE5790" w:rsidRPr="00BE5790">
        <w:rPr>
          <w:rFonts w:ascii="Calibri" w:hAnsi="Calibri"/>
          <w:sz w:val="24"/>
          <w:szCs w:val="24"/>
        </w:rPr>
        <w:t xml:space="preserve"> the circumstances of the violent conduct and the nature of the risk to the community).</w:t>
      </w:r>
    </w:p>
    <w:p w14:paraId="53071371" w14:textId="77777777" w:rsidR="00BE5790" w:rsidRPr="00BE5790" w:rsidRDefault="00BE5790" w:rsidP="00BE5790">
      <w:pPr>
        <w:spacing w:after="0" w:line="240" w:lineRule="auto"/>
        <w:rPr>
          <w:rFonts w:ascii="Calibri" w:hAnsi="Calibri"/>
          <w:sz w:val="24"/>
          <w:szCs w:val="24"/>
        </w:rPr>
      </w:pPr>
    </w:p>
    <w:p w14:paraId="4ED03A6C" w14:textId="2FD1D9A8" w:rsidR="00BE5790" w:rsidRDefault="00BE5790" w:rsidP="00BE5790">
      <w:pPr>
        <w:spacing w:after="0" w:line="240" w:lineRule="auto"/>
        <w:rPr>
          <w:rFonts w:ascii="Calibri" w:hAnsi="Calibri"/>
          <w:sz w:val="24"/>
          <w:szCs w:val="24"/>
        </w:rPr>
      </w:pPr>
      <w:r>
        <w:rPr>
          <w:rFonts w:ascii="Calibri" w:hAnsi="Calibri"/>
          <w:sz w:val="24"/>
          <w:szCs w:val="24"/>
        </w:rPr>
        <w:t>I have sought additional advice in relation to this matter and</w:t>
      </w:r>
      <w:r w:rsidRPr="00BE5790">
        <w:rPr>
          <w:rFonts w:ascii="Calibri" w:hAnsi="Calibri"/>
          <w:sz w:val="24"/>
          <w:szCs w:val="24"/>
        </w:rPr>
        <w:t xml:space="preserve"> </w:t>
      </w:r>
      <w:r w:rsidRPr="00F80140">
        <w:rPr>
          <w:rFonts w:ascii="Calibri" w:hAnsi="Calibri"/>
          <w:sz w:val="24"/>
          <w:szCs w:val="24"/>
        </w:rPr>
        <w:t xml:space="preserve">I am satisfied that the limitation is reasonable. A court </w:t>
      </w:r>
      <w:r>
        <w:rPr>
          <w:rFonts w:ascii="Calibri" w:hAnsi="Calibri"/>
          <w:sz w:val="24"/>
          <w:szCs w:val="24"/>
        </w:rPr>
        <w:t>will need</w:t>
      </w:r>
      <w:r w:rsidRPr="00F80140">
        <w:rPr>
          <w:rFonts w:ascii="Calibri" w:hAnsi="Calibri"/>
          <w:sz w:val="24"/>
          <w:szCs w:val="24"/>
        </w:rPr>
        <w:t xml:space="preserve"> to be satisfied of the two elements of the test</w:t>
      </w:r>
      <w:r>
        <w:rPr>
          <w:rFonts w:ascii="Calibri" w:hAnsi="Calibri"/>
          <w:sz w:val="24"/>
          <w:szCs w:val="24"/>
        </w:rPr>
        <w:t xml:space="preserve"> to make an order that would </w:t>
      </w:r>
      <w:r w:rsidRPr="00F80140">
        <w:rPr>
          <w:rFonts w:ascii="Calibri" w:hAnsi="Calibri"/>
          <w:sz w:val="24"/>
          <w:szCs w:val="24"/>
        </w:rPr>
        <w:t>limit a person’s freedom of movement in terms of access to licensed premises</w:t>
      </w:r>
      <w:r>
        <w:rPr>
          <w:rFonts w:ascii="Calibri" w:hAnsi="Calibri"/>
          <w:sz w:val="24"/>
          <w:szCs w:val="24"/>
        </w:rPr>
        <w:t xml:space="preserve">. </w:t>
      </w:r>
      <w:r w:rsidRPr="00BE5790">
        <w:rPr>
          <w:rFonts w:ascii="Calibri" w:hAnsi="Calibri"/>
          <w:sz w:val="24"/>
          <w:szCs w:val="24"/>
        </w:rPr>
        <w:t xml:space="preserve">Furthermore, the use of the words ‘the risk’ as opposed to ‘a risk’ strongly suggest a connection between the two threshold test elements. </w:t>
      </w:r>
    </w:p>
    <w:p w14:paraId="219B3D65" w14:textId="77777777" w:rsidR="00BE5790" w:rsidRPr="00BE5790" w:rsidRDefault="00BE5790" w:rsidP="00BE5790">
      <w:pPr>
        <w:spacing w:after="0" w:line="240" w:lineRule="auto"/>
        <w:rPr>
          <w:rFonts w:ascii="Calibri" w:hAnsi="Calibri"/>
          <w:sz w:val="24"/>
          <w:szCs w:val="24"/>
        </w:rPr>
      </w:pPr>
    </w:p>
    <w:p w14:paraId="255E0EB6" w14:textId="28AEC1C1" w:rsidR="00BE5790" w:rsidRDefault="00BE5790" w:rsidP="00BE5790">
      <w:pPr>
        <w:spacing w:after="0" w:line="240" w:lineRule="auto"/>
        <w:rPr>
          <w:rFonts w:ascii="Calibri" w:hAnsi="Calibri"/>
          <w:sz w:val="24"/>
          <w:szCs w:val="24"/>
        </w:rPr>
      </w:pPr>
      <w:r>
        <w:rPr>
          <w:rFonts w:ascii="Calibri" w:hAnsi="Calibri"/>
          <w:sz w:val="24"/>
          <w:szCs w:val="24"/>
        </w:rPr>
        <w:t>I also note that</w:t>
      </w:r>
      <w:r w:rsidRPr="00BE5790">
        <w:rPr>
          <w:rFonts w:ascii="Calibri" w:hAnsi="Calibri"/>
          <w:sz w:val="24"/>
          <w:szCs w:val="24"/>
        </w:rPr>
        <w:t xml:space="preserve"> this test can be distinguished from the occupational licence test as it</w:t>
      </w:r>
      <w:r w:rsidR="007139E4">
        <w:rPr>
          <w:rFonts w:ascii="Calibri" w:hAnsi="Calibri"/>
          <w:sz w:val="24"/>
          <w:szCs w:val="24"/>
        </w:rPr>
        <w:t xml:space="preserve"> is</w:t>
      </w:r>
      <w:r w:rsidRPr="00BE5790">
        <w:rPr>
          <w:rFonts w:ascii="Calibri" w:hAnsi="Calibri"/>
          <w:sz w:val="24"/>
          <w:szCs w:val="24"/>
        </w:rPr>
        <w:t xml:space="preserve"> quite narrow – it relates to specific ‘violent conduct’ in a specific period of time (the past year) whereas the occupational licence test relates to ‘criminal activity’, which is broad and can include non-conviction information. </w:t>
      </w:r>
    </w:p>
    <w:p w14:paraId="199446DD" w14:textId="77777777" w:rsidR="00BE5790" w:rsidRPr="00BE5790" w:rsidRDefault="00BE5790" w:rsidP="00BE5790">
      <w:pPr>
        <w:spacing w:after="0" w:line="240" w:lineRule="auto"/>
        <w:rPr>
          <w:rFonts w:ascii="Calibri" w:hAnsi="Calibri"/>
          <w:sz w:val="24"/>
          <w:szCs w:val="24"/>
        </w:rPr>
      </w:pPr>
    </w:p>
    <w:p w14:paraId="6CF2AEAF" w14:textId="179C3FD7" w:rsidR="00BE5790" w:rsidRPr="00F80140" w:rsidRDefault="00BE5790" w:rsidP="00BE5790">
      <w:pPr>
        <w:spacing w:after="0" w:line="240" w:lineRule="auto"/>
        <w:rPr>
          <w:rFonts w:ascii="Calibri" w:hAnsi="Calibri"/>
          <w:sz w:val="24"/>
          <w:szCs w:val="24"/>
        </w:rPr>
      </w:pPr>
      <w:r w:rsidRPr="00BE5790">
        <w:rPr>
          <w:rFonts w:ascii="Calibri" w:hAnsi="Calibri"/>
          <w:sz w:val="24"/>
          <w:szCs w:val="24"/>
        </w:rPr>
        <w:t xml:space="preserve">Additionally, as noted by the Committee, a Magistrate already needs to consider a person’s rights under the </w:t>
      </w:r>
      <w:r>
        <w:rPr>
          <w:rFonts w:ascii="Calibri" w:hAnsi="Calibri"/>
          <w:sz w:val="24"/>
          <w:szCs w:val="24"/>
        </w:rPr>
        <w:t>HRA</w:t>
      </w:r>
      <w:r w:rsidRPr="00BE5790">
        <w:rPr>
          <w:rFonts w:ascii="Calibri" w:hAnsi="Calibri"/>
          <w:sz w:val="24"/>
          <w:szCs w:val="24"/>
        </w:rPr>
        <w:t xml:space="preserve"> when deciding in relation to an exclusion order.</w:t>
      </w:r>
      <w:r>
        <w:rPr>
          <w:rFonts w:ascii="Calibri" w:hAnsi="Calibri"/>
          <w:sz w:val="24"/>
          <w:szCs w:val="24"/>
        </w:rPr>
        <w:t xml:space="preserve"> I am confident</w:t>
      </w:r>
      <w:r w:rsidRPr="00BE5790">
        <w:rPr>
          <w:rFonts w:ascii="Calibri" w:hAnsi="Calibri"/>
          <w:sz w:val="24"/>
          <w:szCs w:val="24"/>
        </w:rPr>
        <w:t xml:space="preserve"> that a Magistrate will consider the circumstances of the violen</w:t>
      </w:r>
      <w:r>
        <w:rPr>
          <w:rFonts w:ascii="Calibri" w:hAnsi="Calibri"/>
          <w:sz w:val="24"/>
          <w:szCs w:val="24"/>
        </w:rPr>
        <w:t>t</w:t>
      </w:r>
      <w:r w:rsidRPr="00BE5790">
        <w:rPr>
          <w:rFonts w:ascii="Calibri" w:hAnsi="Calibri"/>
          <w:sz w:val="24"/>
          <w:szCs w:val="24"/>
        </w:rPr>
        <w:t xml:space="preserve"> conduct and the nature of the risk to the community when deciding both whether to make an order, and the duration of an order if one is made.</w:t>
      </w:r>
      <w:r>
        <w:rPr>
          <w:rFonts w:ascii="Calibri" w:hAnsi="Calibri"/>
          <w:sz w:val="24"/>
          <w:szCs w:val="24"/>
        </w:rPr>
        <w:t xml:space="preserve"> The Magistrate has discretion to make an exclusion period for shorter than 12 months if it appropriate </w:t>
      </w:r>
      <w:r>
        <w:rPr>
          <w:rFonts w:ascii="Calibri" w:hAnsi="Calibri"/>
          <w:sz w:val="24"/>
          <w:szCs w:val="24"/>
        </w:rPr>
        <w:lastRenderedPageBreak/>
        <w:t>having regard to the nature and seriousness of the violent conduct.</w:t>
      </w:r>
      <w:r w:rsidRPr="00BE5790">
        <w:rPr>
          <w:rFonts w:ascii="Calibri" w:hAnsi="Calibri"/>
          <w:sz w:val="24"/>
          <w:szCs w:val="24"/>
        </w:rPr>
        <w:t xml:space="preserve"> For these reasons, </w:t>
      </w:r>
      <w:r>
        <w:rPr>
          <w:rFonts w:ascii="Calibri" w:hAnsi="Calibri"/>
          <w:sz w:val="24"/>
          <w:szCs w:val="24"/>
        </w:rPr>
        <w:t>I do not agree that</w:t>
      </w:r>
      <w:r w:rsidRPr="00BE5790">
        <w:rPr>
          <w:rFonts w:ascii="Calibri" w:hAnsi="Calibri"/>
          <w:sz w:val="24"/>
          <w:szCs w:val="24"/>
        </w:rPr>
        <w:t xml:space="preserve"> amendments</w:t>
      </w:r>
      <w:r>
        <w:rPr>
          <w:rFonts w:ascii="Calibri" w:hAnsi="Calibri"/>
          <w:sz w:val="24"/>
          <w:szCs w:val="24"/>
        </w:rPr>
        <w:t xml:space="preserve"> to the Bill</w:t>
      </w:r>
      <w:r w:rsidRPr="00BE5790">
        <w:rPr>
          <w:rFonts w:ascii="Calibri" w:hAnsi="Calibri"/>
          <w:sz w:val="24"/>
          <w:szCs w:val="24"/>
        </w:rPr>
        <w:t xml:space="preserve"> </w:t>
      </w:r>
      <w:r>
        <w:rPr>
          <w:rFonts w:ascii="Calibri" w:hAnsi="Calibri"/>
          <w:sz w:val="24"/>
          <w:szCs w:val="24"/>
        </w:rPr>
        <w:t xml:space="preserve">are required </w:t>
      </w:r>
      <w:r w:rsidRPr="00BE5790">
        <w:rPr>
          <w:rFonts w:ascii="Calibri" w:hAnsi="Calibri"/>
          <w:sz w:val="24"/>
          <w:szCs w:val="24"/>
        </w:rPr>
        <w:t>to make this explicit.</w:t>
      </w:r>
    </w:p>
    <w:p w14:paraId="60550723" w14:textId="77777777" w:rsidR="00A903F6" w:rsidRPr="00D87748" w:rsidRDefault="00A903F6" w:rsidP="00DA35B4">
      <w:pPr>
        <w:spacing w:after="0" w:line="240" w:lineRule="auto"/>
        <w:rPr>
          <w:rFonts w:ascii="Calibri" w:hAnsi="Calibri"/>
          <w:sz w:val="24"/>
          <w:szCs w:val="24"/>
        </w:rPr>
      </w:pPr>
    </w:p>
    <w:p w14:paraId="6B61A5AE" w14:textId="1F541EAA" w:rsidR="00DA35B4" w:rsidRDefault="00A903F6" w:rsidP="00DA35B4">
      <w:pPr>
        <w:spacing w:after="0" w:line="240" w:lineRule="auto"/>
        <w:rPr>
          <w:rFonts w:ascii="Calibri" w:hAnsi="Calibri"/>
          <w:sz w:val="24"/>
          <w:szCs w:val="24"/>
        </w:rPr>
      </w:pPr>
      <w:r>
        <w:rPr>
          <w:rFonts w:ascii="Calibri" w:hAnsi="Calibri"/>
          <w:sz w:val="24"/>
          <w:szCs w:val="24"/>
        </w:rPr>
        <w:t>The</w:t>
      </w:r>
      <w:r w:rsidR="000D7B49">
        <w:rPr>
          <w:rFonts w:ascii="Calibri" w:hAnsi="Calibri"/>
          <w:sz w:val="24"/>
          <w:szCs w:val="24"/>
        </w:rPr>
        <w:t xml:space="preserve"> Committee has </w:t>
      </w:r>
      <w:r>
        <w:rPr>
          <w:rFonts w:ascii="Calibri" w:hAnsi="Calibri"/>
          <w:sz w:val="24"/>
          <w:szCs w:val="24"/>
        </w:rPr>
        <w:t xml:space="preserve">also </w:t>
      </w:r>
      <w:r w:rsidR="000D7B49">
        <w:rPr>
          <w:rFonts w:ascii="Calibri" w:hAnsi="Calibri"/>
          <w:sz w:val="24"/>
          <w:szCs w:val="24"/>
        </w:rPr>
        <w:t xml:space="preserve">drawn my attention to the use of </w:t>
      </w:r>
      <w:r w:rsidR="00D87748">
        <w:rPr>
          <w:rFonts w:ascii="Calibri" w:hAnsi="Calibri"/>
          <w:sz w:val="24"/>
          <w:szCs w:val="24"/>
        </w:rPr>
        <w:t>‘</w:t>
      </w:r>
      <w:r w:rsidR="000D7B49">
        <w:rPr>
          <w:rFonts w:ascii="Calibri" w:hAnsi="Calibri"/>
          <w:sz w:val="24"/>
          <w:szCs w:val="24"/>
        </w:rPr>
        <w:t>change of circumstances</w:t>
      </w:r>
      <w:r w:rsidR="00D87748">
        <w:rPr>
          <w:rFonts w:ascii="Calibri" w:hAnsi="Calibri"/>
          <w:sz w:val="24"/>
          <w:szCs w:val="24"/>
        </w:rPr>
        <w:t>’</w:t>
      </w:r>
      <w:r w:rsidR="000D7B49">
        <w:rPr>
          <w:rFonts w:ascii="Calibri" w:hAnsi="Calibri"/>
          <w:sz w:val="24"/>
          <w:szCs w:val="24"/>
        </w:rPr>
        <w:t xml:space="preserve"> in relation to a revocation of an exclusion order. I reiterate the comments I have made above</w:t>
      </w:r>
      <w:r w:rsidR="00BE5790">
        <w:rPr>
          <w:rFonts w:ascii="Calibri" w:hAnsi="Calibri"/>
          <w:sz w:val="24"/>
          <w:szCs w:val="24"/>
        </w:rPr>
        <w:t xml:space="preserve"> on this matter in relation to the occupational licence provisions</w:t>
      </w:r>
      <w:r w:rsidR="000D7B49">
        <w:rPr>
          <w:rFonts w:ascii="Calibri" w:hAnsi="Calibri"/>
          <w:sz w:val="24"/>
          <w:szCs w:val="24"/>
        </w:rPr>
        <w:t xml:space="preserve">. </w:t>
      </w:r>
    </w:p>
    <w:p w14:paraId="232DA300" w14:textId="77777777" w:rsidR="0004604C" w:rsidRPr="00DA35B4" w:rsidRDefault="0004604C" w:rsidP="00DA35B4">
      <w:pPr>
        <w:spacing w:after="0" w:line="240" w:lineRule="auto"/>
        <w:rPr>
          <w:rFonts w:ascii="Calibri" w:hAnsi="Calibri"/>
          <w:sz w:val="24"/>
          <w:szCs w:val="24"/>
        </w:rPr>
      </w:pPr>
    </w:p>
    <w:p w14:paraId="2BCC973C" w14:textId="11FF20DD" w:rsidR="00AD7D31" w:rsidRDefault="000D7B49" w:rsidP="00AD7D31">
      <w:pPr>
        <w:spacing w:after="0" w:line="240" w:lineRule="auto"/>
        <w:rPr>
          <w:rFonts w:ascii="Calibri" w:hAnsi="Calibri"/>
          <w:sz w:val="24"/>
          <w:szCs w:val="24"/>
        </w:rPr>
      </w:pPr>
      <w:r>
        <w:rPr>
          <w:rFonts w:ascii="Calibri" w:hAnsi="Calibri"/>
          <w:sz w:val="24"/>
          <w:szCs w:val="24"/>
        </w:rPr>
        <w:t>I t</w:t>
      </w:r>
      <w:r w:rsidR="00DA35B4" w:rsidRPr="00DA35B4">
        <w:rPr>
          <w:rFonts w:ascii="Calibri" w:hAnsi="Calibri"/>
          <w:sz w:val="24"/>
          <w:szCs w:val="24"/>
        </w:rPr>
        <w:t xml:space="preserve">hank </w:t>
      </w:r>
      <w:r w:rsidR="00A903F6">
        <w:rPr>
          <w:rFonts w:ascii="Calibri" w:hAnsi="Calibri"/>
          <w:sz w:val="24"/>
          <w:szCs w:val="24"/>
        </w:rPr>
        <w:t xml:space="preserve">the Committee </w:t>
      </w:r>
      <w:r w:rsidR="00DA35B4" w:rsidRPr="00DA35B4">
        <w:rPr>
          <w:rFonts w:ascii="Calibri" w:hAnsi="Calibri"/>
          <w:sz w:val="24"/>
          <w:szCs w:val="24"/>
        </w:rPr>
        <w:t>for bringing these matters to my attention.</w:t>
      </w:r>
    </w:p>
    <w:p w14:paraId="6858F3C0" w14:textId="77777777" w:rsidR="00DA35B4" w:rsidRPr="00A031A0" w:rsidRDefault="00DA35B4" w:rsidP="00AD7D31">
      <w:pPr>
        <w:spacing w:after="0" w:line="240" w:lineRule="auto"/>
        <w:rPr>
          <w:rFonts w:ascii="Calibri" w:hAnsi="Calibri"/>
          <w:sz w:val="24"/>
          <w:szCs w:val="24"/>
        </w:rPr>
      </w:pPr>
    </w:p>
    <w:p w14:paraId="62D2A78B" w14:textId="77777777" w:rsidR="00AD7D31" w:rsidRPr="00A031A0" w:rsidRDefault="00AD7D31" w:rsidP="00AD7D31">
      <w:pPr>
        <w:spacing w:after="0" w:line="240" w:lineRule="auto"/>
        <w:rPr>
          <w:rFonts w:ascii="Calibri" w:hAnsi="Calibri"/>
          <w:sz w:val="24"/>
          <w:szCs w:val="24"/>
        </w:rPr>
      </w:pPr>
      <w:r w:rsidRPr="00A031A0">
        <w:rPr>
          <w:rFonts w:ascii="Calibri" w:hAnsi="Calibri"/>
          <w:sz w:val="24"/>
          <w:szCs w:val="24"/>
        </w:rPr>
        <w:t>Yours sincerely</w:t>
      </w:r>
    </w:p>
    <w:p w14:paraId="310CEE0A" w14:textId="27B021FB" w:rsidR="00AD7D31" w:rsidRDefault="00AD7D31" w:rsidP="00AD7D31">
      <w:pPr>
        <w:spacing w:after="0" w:line="240" w:lineRule="auto"/>
        <w:rPr>
          <w:rFonts w:ascii="Calibri" w:hAnsi="Calibri"/>
          <w:sz w:val="24"/>
          <w:szCs w:val="24"/>
        </w:rPr>
      </w:pPr>
    </w:p>
    <w:p w14:paraId="2B1453E1" w14:textId="77777777" w:rsidR="00D87748" w:rsidRDefault="00D87748" w:rsidP="00AD7D31">
      <w:pPr>
        <w:spacing w:after="0" w:line="240" w:lineRule="auto"/>
        <w:rPr>
          <w:rFonts w:ascii="Calibri" w:hAnsi="Calibri"/>
          <w:sz w:val="24"/>
          <w:szCs w:val="24"/>
        </w:rPr>
      </w:pPr>
    </w:p>
    <w:p w14:paraId="7C16B192" w14:textId="0DA73297" w:rsidR="00A903F6" w:rsidRDefault="00A903F6" w:rsidP="00AD7D31">
      <w:pPr>
        <w:spacing w:after="0" w:line="240" w:lineRule="auto"/>
        <w:rPr>
          <w:rFonts w:ascii="Calibri" w:hAnsi="Calibri"/>
          <w:sz w:val="24"/>
          <w:szCs w:val="24"/>
        </w:rPr>
      </w:pPr>
    </w:p>
    <w:p w14:paraId="624C8AC4" w14:textId="77777777" w:rsidR="00A903F6" w:rsidRPr="00A031A0" w:rsidRDefault="00A903F6" w:rsidP="00AD7D31">
      <w:pPr>
        <w:spacing w:after="0" w:line="240" w:lineRule="auto"/>
        <w:rPr>
          <w:rFonts w:ascii="Calibri" w:hAnsi="Calibri"/>
          <w:sz w:val="24"/>
          <w:szCs w:val="24"/>
        </w:rPr>
      </w:pPr>
    </w:p>
    <w:p w14:paraId="5814B2C6" w14:textId="77777777" w:rsidR="00AD7D31" w:rsidRPr="00A031A0" w:rsidRDefault="00F47925" w:rsidP="00AD7D31">
      <w:pPr>
        <w:spacing w:after="0" w:line="240" w:lineRule="auto"/>
        <w:rPr>
          <w:rFonts w:ascii="Calibri" w:hAnsi="Calibri"/>
          <w:sz w:val="24"/>
          <w:szCs w:val="24"/>
        </w:rPr>
      </w:pPr>
      <w:r>
        <w:rPr>
          <w:rFonts w:ascii="Calibri" w:hAnsi="Calibri"/>
          <w:sz w:val="24"/>
          <w:szCs w:val="24"/>
        </w:rPr>
        <w:t>Gordon Ramsay</w:t>
      </w:r>
      <w:r w:rsidR="00AD7D31" w:rsidRPr="00A031A0">
        <w:rPr>
          <w:rFonts w:ascii="Calibri" w:hAnsi="Calibri"/>
          <w:sz w:val="24"/>
          <w:szCs w:val="24"/>
        </w:rPr>
        <w:t xml:space="preserve"> MLA</w:t>
      </w:r>
    </w:p>
    <w:p w14:paraId="01C92929" w14:textId="05475DCA" w:rsidR="00AD7D31" w:rsidRPr="00D87748" w:rsidRDefault="00DA35B4" w:rsidP="00D87748">
      <w:pPr>
        <w:pStyle w:val="Header"/>
        <w:tabs>
          <w:tab w:val="left" w:pos="720"/>
        </w:tabs>
        <w:rPr>
          <w:rFonts w:ascii="Calibri" w:hAnsi="Calibri"/>
          <w:sz w:val="24"/>
          <w:szCs w:val="24"/>
        </w:rPr>
      </w:pPr>
      <w:r>
        <w:rPr>
          <w:rFonts w:ascii="Calibri" w:hAnsi="Calibri"/>
          <w:sz w:val="24"/>
          <w:szCs w:val="24"/>
        </w:rPr>
        <w:t>Attorney-General</w:t>
      </w:r>
    </w:p>
    <w:p w14:paraId="1D3CCADC" w14:textId="1DE5B75F" w:rsidR="0055749D" w:rsidRDefault="0055749D" w:rsidP="00AD7D31">
      <w:pPr>
        <w:tabs>
          <w:tab w:val="left" w:pos="3543"/>
        </w:tabs>
        <w:spacing w:after="0" w:line="240" w:lineRule="auto"/>
        <w:rPr>
          <w:sz w:val="24"/>
          <w:szCs w:val="24"/>
        </w:rPr>
      </w:pPr>
    </w:p>
    <w:p w14:paraId="10B878B4" w14:textId="0FFB45EB" w:rsidR="00D87748" w:rsidRDefault="00D87748" w:rsidP="00AD7D31">
      <w:pPr>
        <w:tabs>
          <w:tab w:val="left" w:pos="3543"/>
        </w:tabs>
        <w:spacing w:after="0" w:line="240" w:lineRule="auto"/>
        <w:rPr>
          <w:sz w:val="24"/>
          <w:szCs w:val="24"/>
        </w:rPr>
      </w:pPr>
    </w:p>
    <w:p w14:paraId="35B60883" w14:textId="256EF537" w:rsidR="00D87748" w:rsidRPr="00A031A0" w:rsidRDefault="00D87748" w:rsidP="00AD7D31">
      <w:pPr>
        <w:tabs>
          <w:tab w:val="left" w:pos="3543"/>
        </w:tabs>
        <w:spacing w:after="0" w:line="240" w:lineRule="auto"/>
        <w:rPr>
          <w:sz w:val="24"/>
          <w:szCs w:val="24"/>
        </w:rPr>
      </w:pPr>
      <w:r>
        <w:rPr>
          <w:sz w:val="24"/>
          <w:szCs w:val="24"/>
        </w:rPr>
        <w:t>Encl.</w:t>
      </w:r>
    </w:p>
    <w:sectPr w:rsidR="00D87748" w:rsidRPr="00A031A0" w:rsidSect="00D87748">
      <w:headerReference w:type="default" r:id="rId10"/>
      <w:headerReference w:type="first" r:id="rId11"/>
      <w:footerReference w:type="first" r:id="rId12"/>
      <w:pgSz w:w="11906" w:h="16838" w:code="9"/>
      <w:pgMar w:top="993"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2E621" w14:textId="77777777" w:rsidR="006138D2" w:rsidRDefault="006138D2" w:rsidP="00AD7D31">
      <w:pPr>
        <w:spacing w:after="0" w:line="240" w:lineRule="auto"/>
      </w:pPr>
      <w:r>
        <w:separator/>
      </w:r>
    </w:p>
  </w:endnote>
  <w:endnote w:type="continuationSeparator" w:id="0">
    <w:p w14:paraId="546960A7" w14:textId="77777777" w:rsidR="006138D2" w:rsidRDefault="006138D2"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11931" w14:textId="77777777"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5296CAFD" wp14:editId="7DF638A1">
          <wp:simplePos x="0" y="0"/>
          <wp:positionH relativeFrom="page">
            <wp:align>left</wp:align>
          </wp:positionH>
          <wp:positionV relativeFrom="paragraph">
            <wp:posOffset>112218</wp:posOffset>
          </wp:positionV>
          <wp:extent cx="7559675" cy="1327785"/>
          <wp:effectExtent l="0" t="0" r="3175" b="5715"/>
          <wp:wrapNone/>
          <wp:docPr id="6" name="Picture 6" descr="decorative line"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D53F26">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14:paraId="67905493" w14:textId="77777777" w:rsidR="0064748B" w:rsidRPr="006A1B70" w:rsidRDefault="008208DA"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69E767D4" wp14:editId="6D872D38">
              <wp:simplePos x="0" y="0"/>
              <wp:positionH relativeFrom="page">
                <wp:posOffset>2574925</wp:posOffset>
              </wp:positionH>
              <wp:positionV relativeFrom="page">
                <wp:posOffset>10137140</wp:posOffset>
              </wp:positionV>
              <wp:extent cx="247650" cy="247650"/>
              <wp:effectExtent l="0" t="0" r="0" b="0"/>
              <wp:wrapNone/>
              <wp:docPr id="22" name="Group 22"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DFD53B" id="Group 22" o:spid="_x0000_s1026" alt="Title: Social media icon - Description: Social media icon" style="position:absolute;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iEgwkAACMwAAAOAAAAZHJzL2Uyb0RvYy54bWzsWl2P27gVfS/Q/yD4scXEIvVtZLLobnaC&#10;AtntAlF/gEaWbaG25UqacbJF/3vPJUWZVEiNOt0WKJA8jOTo+PLwHl2S916//e7z6eg9V21XN+f7&#10;FXvjr7zqXDbb+ry/X/01f7hLV17XF+dtcWzO1f3qS9Wtvnv3+9+9vV42FW8OzXFbtR6MnLvN9XK/&#10;OvT9ZbNed+WhOhXdm+ZSnfFw17SnosfHdr/etsUV1k/HNff9eH1t2u2lbcqq6/C/7+XD1Tthf7er&#10;yv4vu11X9d7xfgVuvfjbir+P9Hf97m2x2bfF5VCXA43iFSxORX3GoKOp90VfeE9t/ZWpU122Tdfs&#10;+jdlc1o3u11dVmIOmA3zJ7P50DZPFzGX/ea6v4xugmsnfnq12fLn519ar97erzhfeefiBI3EsB59&#10;3lZdCWd9asq6OHqnalsXXl02Zziy7o+Afv0EDr1e9hvY/dBePl1+aaVXcPuxKf/W4fF6+pw+7yXY&#10;e7z+1GxhuHjqG+HQz7v2RCbgKu+z0O3LqFv1ufdK/CcPkziCuiUeDfdC1/IA8elbPI0wGzxlURZz&#10;KXp5+FF9PY2G7+KGCBYbOapgOjCjaeEV7W4qdP+ZCp8OxaUS4nbkLaVCoFR4aKuK3nuPhUSKRgdM&#10;ebTT3ak9IVgHr7/oSJtLRn+6HFJsyqeu/1A1QpLi+WPXC0fvt7gTQm+HdyiHHLvTEbH0xzvP93ia&#10;ZfgDFQa8gjEF+8Pay33vSqApBtJppoSEnibkfhwTvpNAGJOwg81eqGADtSS1UsNLMVrLQzu1WGGE&#10;KRozsVNLFHCglnhWalgttanyNGZWapmCkddSOzVmKgBuKbdzY7oIEmclx0whSE4rO6brkDPu4GfK&#10;wGLfd/HTlZA4Oz9TDTc/XYycxQ5+phYsZniFxVs1fT+ZLofEWflxUxHwS6z+47oeOXdFhakGizln&#10;dn5c10Pi7PxMRXia2N8+ruuRc0docFMNjBs4YoPrekicnZ+pCNYUBz9dj5w74iMw1cC4YWz3X6Dr&#10;IXFWfoGpCM+y0KpvoOuRB474CEw1aFyH/wJdD4mz8zMVcfPT9cgDR3wEphp47wNHfAS6HhJn5Rea&#10;ivAssu8Zoa5HHjriIzTVmOEX6nrM8TMVcfPT9chDR3yEphpY1zLH+hfqekic3X+mIk59Q12PPHTE&#10;Bx2otL1ohl+k6zHDj85gmkUnv0jXI8cmYz0VRKYaGDcJ7PEb6XpInNV/kakI+KXW+I10PfLIER+R&#10;qQbGjRzrc6TrIXFWfrGpSICEwcov1vXIY0d84Bysq4FxAwe/WNdD4uz8TEUCn8d2froeeeyIj9hU&#10;A+Oy1K5vrOshcXZ+piKBjwWVDgnT/TzW9chjR3wkpho0ruP9S3Q9JM7KLzEVCRg2TBu/RNcjTxzx&#10;kZhqzPHT9ZjjZyri5qfrkSeO+EhMNTCu79g/El0PibP6LzUVAT/7+SDV9chTR3ykphp0Lna8f6mu&#10;h8TZ+ZmKBIzZ9aXs65Z5pI74SE01MC7eBOv5NNX1kDg7P1ORwM8c/HQ9cnjlSq/pNIoyUw1i5oiP&#10;TNdD4qz8MlMRZ06Z6Xrk2FXt/Ew1hOfs/st0PSRu5IdawZj8FgeVD5efz0NCjDuvoFqYL6oZl6aj&#10;ekSOGaMakQfkNJgAirJnBxjDEzhZBIY2BEZOt8Q0pWoCrgof80wY3iQBzxZZp0SG4EhAlpChvELA&#10;l82UD1PF8XyJdTp1k3WclhfBh6ni8LoETmdSso6z5CL4MFUc7RbBh6nipLUETgcoIoODzyL4MFWc&#10;Q5bA6XhB1nEsWAQfpopdehF8mCo2zSVw2guJTLJsqskwVWwpS6zTTkHWscIvgg9TxYK7CD5MFevf&#10;Ejgta0QGy5EGl6vHsNq0qHdPK93tykOl+5G+U2wuRU+LlLr1rqI2uvIO8kr/f2qeq7wRiJ7WKso+&#10;MKwolWOw2+PjWYdRug+Y4qYequtF2JITRh1ETkA9VFcJwr4BQ0gGXwahpDCLknrw8cVWA6mrHJDq&#10;NxiRj++QeqyuEkZpLMFSUY+FK9RjdR2sUeIpcPO+YAOO4Z2cmynzpQCLcShszNpT4y7FjVuJmqe6&#10;qvlK5VMVUuqxug4wyofgFhyuZ9nRsRUw5GKzMNqTCaZCRw2mrnJQOpb8G7BxNVZW1HWwRgdRUnae&#10;G4/loCjAzk2BhwNsFjWJPkWoPDZdJa1TSItDxBjbtCRoZfquOdbbh/p4pJju2v3jD8fWey7QEOMB&#10;exiD0YAdxXnk3NDX1CTo6+gQDMsH9QpEg+sfGeOh/z3P7h7iNLkLH8LoLkv89M5n2fdZ7IdZ+P7h&#10;n3T6YeHmUG+31fljfa5Us42Fy9ooQ9tPtslEu40WryzCoUHMyzlJX/wbnGxMEt218xazKzaHqtj+&#10;ONz3RX2U92uTsXAypq2uwhFoEcmGi+zQPDbbL2i+tI1sNKIxiptD0/668q5oMt6vur8/FW218o5/&#10;PqN/lLGQil69+BBGCcTwWv3Jo/6kOJcwdb/qVzhS0u0PPT7hK0+Xtt4fMBITvjg3f0L3bFdTb0bw&#10;k6yGD2hh/a96WQhl2VG89bLEmvj/3cty5r04LNzSNkdWaaYwM0k5NvvR2ExObiYxgZ/aSy5YakZr&#10;C3tZM/UMzdgMtWk26aCGNfVGzZFLTntZsY+qlsjEKK4pBRv7iboIIAfcmKsZOFMI1IICa63ltb0s&#10;Jz9diTl+ZnYf+EFq54fDwc19i3tZfhw5/KfLQfwiu/9opZLjis6nk98re1nOWvikl0U4q758YWC8&#10;spfl5qfrAf85+S2MDkpyb/ou7mW5ezFmfBDO6r9JL8up7yt7WW5+Zny4+S2MDyQImv8W97LcvTZd&#10;j5le26SXhYX5N+1lOflNelmEs+obTuKDOXoJdEi9vX+Le1k8dPQS6Dw72iP/MQe/SXwwbq9FvrKX&#10;xWHOun9MelmEs/pv0svCmcCx8er7+PJeFvdd/HQ94D/g7Pwm8eHqJby2l+XqdUx7WcCN/JCXfKuV&#10;uoq832qlLs8MeXI+ZufzNWpaEZCk52NpYB7+m9RKKeMeS/7/jSLcV4UMZxmOfjayoDAywLJ0tvrA&#10;qDUDay/BqBcFGPNVnVTVKdR1qAEp3AulJz6wY0txL5XQ1LgLcUM3y1nio7IjzfdF3FDz4mO5WflD&#10;XVVhCas62UPlSFVbZG11gkPpUeAQEvM4aW8MAWXmW9kIP13+VjZ6ddlI/CAav0QXJbDhV/P0U3f9&#10;sygz3X7b/+5fAAAA//8DAFBLAwQUAAYACAAAACEAwdrLY+IAAAANAQAADwAAAGRycy9kb3ducmV2&#10;LnhtbEyPwU7DMBBE70j8g7VI3KgTakcQ4lRVBZwqJFokxM2Nt0nU2I5iN0n/nuVEjzvzNDtTrGbb&#10;sRGH0HqnIF0kwNBV3rSuVvC1f3t4AhaidkZ33qGCCwZYlbc3hc6Nn9wnjrtYMwpxIdcKmhj7nPNQ&#10;NWh1WPgeHXlHP1gd6RxqbgY9Ubjt+GOSZNzq1tGHRve4abA67c5Wwfukp/UyfR23p+Pm8rOXH9/b&#10;FJW6v5vXL8AizvEfhr/6VB1K6nTwZ2cC6xSIREpCyZDPmQBGiBCCpANJ2VIK4GXBr1eUvwAAAP//&#10;AwBQSwECLQAUAAYACAAAACEAtoM4kv4AAADhAQAAEwAAAAAAAAAAAAAAAAAAAAAAW0NvbnRlbnRf&#10;VHlwZXNdLnhtbFBLAQItABQABgAIAAAAIQA4/SH/1gAAAJQBAAALAAAAAAAAAAAAAAAAAC8BAABf&#10;cmVscy8ucmVsc1BLAQItABQABgAIAAAAIQCSBbiEgwkAACMwAAAOAAAAAAAAAAAAAAAAAC4CAABk&#10;cnMvZTJvRG9jLnhtbFBLAQItABQABgAIAAAAIQDB2stj4gAAAA0BAAAPAAAAAAAAAAAAAAAAAN0L&#10;AABkcnMvZG93bnJldi54bWxQSwUGAAAAAAQABADzAAAA7AwAAAAA&#10;">
              <v:shape id="Freeform 14" o:spid="_x0000_s1027"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F47925">
      <w:rPr>
        <w:rFonts w:asciiTheme="minorHAnsi" w:hAnsiTheme="minorHAnsi"/>
        <w:color w:val="231F20"/>
        <w:sz w:val="20"/>
        <w:szCs w:val="20"/>
      </w:rPr>
      <w:t>2615</w:t>
    </w:r>
    <w:r w:rsidR="006A1B70" w:rsidRPr="0061634E">
      <w:rPr>
        <w:rFonts w:asciiTheme="minorHAnsi" w:hAnsiTheme="minorHAnsi"/>
        <w:sz w:val="20"/>
        <w:szCs w:val="20"/>
      </w:rPr>
      <w:t>    </w:t>
    </w:r>
    <w:r w:rsidRPr="008208DA">
      <w:rPr>
        <w:rStyle w:val="Hyperlink"/>
        <w:rFonts w:asciiTheme="minorHAnsi" w:hAnsiTheme="minorHAnsi"/>
        <w:b/>
        <w:color w:val="auto"/>
        <w:sz w:val="20"/>
        <w:szCs w:val="20"/>
        <w:u w:val="none"/>
      </w:rPr>
      <w:t xml:space="preserve"> </w:t>
    </w:r>
    <w:hyperlink r:id="rId2" w:history="1">
      <w:r w:rsidR="00F47925" w:rsidRPr="00F47925">
        <w:rPr>
          <w:rStyle w:val="Hyperlink"/>
          <w:rFonts w:asciiTheme="minorHAnsi" w:hAnsiTheme="minorHAnsi"/>
          <w:b/>
          <w:color w:val="auto"/>
          <w:sz w:val="20"/>
          <w:szCs w:val="20"/>
          <w:u w:val="none"/>
        </w:rPr>
        <w:t>Email</w:t>
      </w:r>
      <w:r w:rsidR="00F47925" w:rsidRPr="00F47925">
        <w:rPr>
          <w:rStyle w:val="Hyperlink"/>
          <w:rFonts w:asciiTheme="minorHAnsi" w:hAnsiTheme="minorHAnsi"/>
          <w:color w:val="auto"/>
          <w:sz w:val="20"/>
          <w:szCs w:val="20"/>
          <w:u w:val="none"/>
        </w:rPr>
        <w:t xml:space="preserve"> </w:t>
      </w:r>
      <w:r w:rsidR="00F47925" w:rsidRPr="00F47925">
        <w:rPr>
          <w:rStyle w:val="Hyperlink"/>
          <w:rFonts w:asciiTheme="minorHAnsi" w:hAnsiTheme="minorHAnsi"/>
          <w:color w:val="auto"/>
          <w:spacing w:val="-2"/>
          <w:sz w:val="20"/>
          <w:szCs w:val="20"/>
          <w:u w:val="none"/>
        </w:rPr>
        <w:t>ramsay@act.gov.au</w:t>
      </w:r>
    </w:hyperlink>
    <w:r w:rsidR="0061634E" w:rsidRPr="00F47925">
      <w:rPr>
        <w:rFonts w:asciiTheme="minorHAnsi" w:hAnsiTheme="minorHAnsi"/>
        <w:sz w:val="20"/>
        <w:szCs w:val="20"/>
      </w:rPr>
      <w:t xml:space="preserve"> </w:t>
    </w:r>
  </w:p>
  <w:p w14:paraId="27097B32" w14:textId="77777777" w:rsidR="005351C5" w:rsidRPr="0064748B" w:rsidRDefault="008208DA" w:rsidP="0061634E">
    <w:pPr>
      <w:pStyle w:val="BodyText"/>
      <w:tabs>
        <w:tab w:val="left" w:pos="142"/>
        <w:tab w:val="left" w:pos="3342"/>
        <w:tab w:val="left" w:pos="9070"/>
      </w:tabs>
      <w:spacing w:before="44" w:after="80"/>
      <w:ind w:left="0" w:right="83" w:hanging="849"/>
    </w:pPr>
    <w:r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75DEAB30" wp14:editId="7A5A355D">
              <wp:simplePos x="0" y="0"/>
              <wp:positionH relativeFrom="page">
                <wp:posOffset>2895600</wp:posOffset>
              </wp:positionH>
              <wp:positionV relativeFrom="page">
                <wp:posOffset>10191750</wp:posOffset>
              </wp:positionV>
              <wp:extent cx="144780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9CD23" w14:textId="77777777" w:rsidR="0061634E" w:rsidRPr="0039472D" w:rsidRDefault="00F47925"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Gordon Ramsay MLA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DEAB30" id="_x0000_t202" coordsize="21600,21600" o:spt="202" path="m,l,21600r21600,l21600,xe">
              <v:stroke joinstyle="miter"/>
              <v:path gradientshapeok="t" o:connecttype="rect"/>
            </v:shapetype>
            <v:shape id="Text Box 10" o:spid="_x0000_s1026" type="#_x0000_t202" style="position:absolute;margin-left:228pt;margin-top:802.5pt;width:114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L6rA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wBfXpO5WA210HjnqAffC1XFV3K4pvCnGxqQnf0xspRV9TUkJ+vrnpXlwd&#10;cZQB2fUfRQlxyEELCzRUsjXFg3IgQIdEHs69MbkUJmQYLiMPjgo4C4JoAbYJQZLpdieVfk9Fi4yR&#10;Ygm9t+jkeKv06Dq5mGBc5KxpYJ8kDX+2AZjjDsSGq+bMZGHb+Rh78TbaRqETBoutE3pZ5tzkm9BZ&#10;5P5ynr3LNpvM/2ni+mFSs7Kk3ISZpOWHf9a6k8hHUZzFpUTDSgNnUlJyv9s0Eh0JSDu336kgF27u&#10;8zRsvYDLC0p+EHrrIHbyRbR0wjycO/HSixzPj9fxwgvjMMufU7plnP47JdSnOJ4H81FMv+Xm2e81&#10;N5K0TMPwaFibYpAGfMaJJEaCW15aWxPWjPZFKUz6T6WAdk+NtoI1Gh3VqofdAChGxTtRPoB0pQBl&#10;gQhh4oFRC/kDox6mR4rV9wORFKPmAwf5g4ueDDkZu8kgvICrKdYYjeZGjyPp0Em2rwF5fGBc3MAT&#10;qZhV71MWp4cFE8GSOE0vM3Iu/63X04xd/QIAAP//AwBQSwMEFAAGAAgAAAAhACX9XSzfAAAADQEA&#10;AA8AAABkcnMvZG93bnJldi54bWxMT0FOwzAQvCPxB2uRuFG7KLVKiFNVCE5IiDQcODqxm1iN1yF2&#10;2/B7tid6m9kZzc4Um9kP7GSn6AIqWC4EMIttMA47BV/128MaWEwajR4CWgW/NsKmvL0pdG7CGSt7&#10;2qWOUQjGXCvoUxpzzmPbW6/jIowWSduHyetEdOq4mfSZwv3AH4WQ3GuH9KHXo33pbXvYHb2C7TdW&#10;r+7no/ms9pWr6yeB7/Kg1P3dvH0Gluyc/s1wqU/VoaROTTiiiWxQkK0kbUkkSLEiRBa5zgg0l1O2&#10;FMDLgl+vKP8AAAD//wMAUEsBAi0AFAAGAAgAAAAhALaDOJL+AAAA4QEAABMAAAAAAAAAAAAAAAAA&#10;AAAAAFtDb250ZW50X1R5cGVzXS54bWxQSwECLQAUAAYACAAAACEAOP0h/9YAAACUAQAACwAAAAAA&#10;AAAAAAAAAAAvAQAAX3JlbHMvLnJlbHNQSwECLQAUAAYACAAAACEAAaIi+qwCAACrBQAADgAAAAAA&#10;AAAAAAAAAAAuAgAAZHJzL2Uyb0RvYy54bWxQSwECLQAUAAYACAAAACEAJf1dLN8AAAANAQAADwAA&#10;AAAAAAAAAAAAAAAGBQAAZHJzL2Rvd25yZXYueG1sUEsFBgAAAAAEAAQA8wAAABIGAAAAAA==&#10;" filled="f" stroked="f">
              <v:textbox inset="0,0,0,0">
                <w:txbxContent>
                  <w:p w14:paraId="6459CD23" w14:textId="77777777" w:rsidR="0061634E" w:rsidRPr="0039472D" w:rsidRDefault="00F47925"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Gordon Ramsay MLA</w:t>
                    </w:r>
                  </w:p>
                </w:txbxContent>
              </v:textbox>
              <w10:wrap anchorx="page" anchory="page"/>
            </v:shape>
          </w:pict>
        </mc:Fallback>
      </mc:AlternateContent>
    </w:r>
    <w:r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71BE2466" wp14:editId="26874163">
              <wp:simplePos x="0" y="0"/>
              <wp:positionH relativeFrom="page">
                <wp:posOffset>1038225</wp:posOffset>
              </wp:positionH>
              <wp:positionV relativeFrom="page">
                <wp:posOffset>10172700</wp:posOffset>
              </wp:positionV>
              <wp:extent cx="1333500" cy="171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FDB10" w14:textId="77777777"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w:t>
                          </w:r>
                          <w:r w:rsidR="00F47925">
                            <w:rPr>
                              <w:rFonts w:ascii="Calibri Light"/>
                              <w:color w:val="231F20"/>
                              <w:sz w:val="24"/>
                              <w:szCs w:val="24"/>
                            </w:rPr>
                            <w:t>ordon_R_Ramsay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E2466" id="Text Box 11" o:spid="_x0000_s1027"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14:paraId="2DDFDB10" w14:textId="77777777"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w:t>
                    </w:r>
                    <w:r w:rsidR="00F47925">
                      <w:rPr>
                        <w:rFonts w:ascii="Calibri Light"/>
                        <w:color w:val="231F20"/>
                        <w:sz w:val="24"/>
                        <w:szCs w:val="24"/>
                      </w:rPr>
                      <w:t>ordon_R_Ramsay</w:t>
                    </w:r>
                    <w:proofErr w:type="spellEnd"/>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64384" behindDoc="1" locked="0" layoutInCell="1" allowOverlap="1" wp14:anchorId="2DE42ED5" wp14:editId="25E5803D">
              <wp:simplePos x="0" y="0"/>
              <wp:positionH relativeFrom="page">
                <wp:posOffset>744855</wp:posOffset>
              </wp:positionH>
              <wp:positionV relativeFrom="page">
                <wp:posOffset>10149840</wp:posOffset>
              </wp:positionV>
              <wp:extent cx="266700" cy="215900"/>
              <wp:effectExtent l="0" t="0" r="0" b="0"/>
              <wp:wrapNone/>
              <wp:docPr id="14" name="Group 14"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DB64E1" id="Group 14" o:spid="_x0000_s1026" alt="Title: Social media icon - Description: Social media icon"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ZCDg8AAAdyAAAOAAAAZHJzL2Uyb0RvYy54bWzsnW1v28gRx98X6Hcg9LJFzlw+STLOOfQe&#10;fChwbQ849QMwkmwJlUWVUuLkin73/mfJpZbDGYrhXXpxq7ww5XC8nN3Z2Z35cUh9+dX7p13wbl0e&#10;t8X+bmK+CCfBer8sVtv9493k74v7V7NJcDzl+1W+K/bru8mH9XHy1evf/+7L58PtOio2xW61LgM0&#10;sj/ePh/uJpvT6XB7c3NcbtZP+fGL4rDe4+RDUT7lJ/xaPt6syvwZrT/tbqIwzG6ei3J1KIvl+njE&#10;/35bnZy8tu0/PKyXp789PBzXp2B3N4FuJ/uztD/f0M+b11/mt49lfthsl7Ua+QgtnvLtHhdtmvo2&#10;P+XB23LbaeppuyyLY/Fw+mJZPN0UDw/b5dr2Ab0xIevN92Xx9mD78nj7/HhohglDy8ZpdLPLv777&#10;sQy2K9gumQT7/Ak2spcN6PfV+rjEYP1ULLf5Lnhar7Z5sF0Wewzk9rSDaPcMBvT58HiLdr8vDz8d&#10;fiyrUcHHH4rlP444fcPP0++PlXDw5vkvxQoN529PhR3Q9w/lEzWBoQreW7t9aOy2fn8KlvjPKMum&#10;Iay7xKnIpHN8tnZdbmB8+itjYvQGZ3Eyi9zJ7+o/j9Oo/ttZSudu8tvqqlbTWjPqFqbo8WyF4y+z&#10;wk+b/LC2xj3SaDkrpM4K9+V6TfM+MFNSiq4OMTeiR384vTMkdsSoXxxIaUjceKoDkt8u3x5P368L&#10;a5L83Q/Hkx3oxxU+WUOv6jm0gDkennbwpT++CsKArmZ/VGP/2IgZJ/aHm2ARBs8BXbtu0zUF6/hN&#10;ZTBx4Bny3FjsBNGYsWKbIKpsCs9sromp4LcXhTNRNViiEiPVElm1zMlUvcyiBN08z7HzNadOsFIN&#10;YqJqWC1bqkWyanMnRqrNZNUMswB0m8q6Gd8IGDfIicoZZogoRYPkWcxexrfDwkSKfswMuK5iVuNb&#10;gvRLFf2YNaJZLOvnG2NhMkU/Zgtc1yjj55uD9DOyfhGzSKxMvMi3xyLSvIJZI4tiZfwi3x7QD3Ki&#10;fSNmkThGhwX7Rr49FpHiGhGzRhZFmTx+kW8P6Ac5WT9mkTitFhY+/yLfHgu4kLiqxMwaWC8U/WLf&#10;HtAPcqJ+MbOIoQktjF/s22MRK/5BO5a/FvTo59ujTz9mERPPZf18eyxixT9iZo0e/Xx79OiXMIto&#10;e0bi22ORKP6RMGtAP8U/Et8epJ/nH4gFms0t37j9bvl+X294+BTkFOuGNlo5FEeKNxbQENHGIqap&#10;iSYgRbujIgzzkbDd5i8KYyxJGGv2kKZpKbbiLrDp1wShRiU+H9Q6LVTUOhaYIcrQumHFh/WU3JjE&#10;4X5DWievsuLDuhrXXY2HdZXmHLWOueIpU1mrngolkg2eZpSTAGnGG/qb/PaQn2gGuY/B893ERlob&#10;RK2IUuj/n4p360VhJU7ncDdK3VXP53d7X26KxQLqRTMbPEEtd9odD7a5uRNzY+ROu2MlZmjHsM25&#10;67rz7ljLJZWJoqkbRHfeHWs5p970QnvzyihRZmMKtRtYgSv90n45CmyoGxfEqml5SQqLk22Ld2G5&#10;K47rak6Qga2/N5amCeJFzMdit13db3c7svCxfHzzza4M3uXITaPY3CM+qNppie3s0rEv6M+q09X/&#10;IFivJxOF7TbX/NfcREn4dTR/dZ/Npq+S+yR9NZ+Gs1ehmX89z8Jknnx7/2+aaCa53WxXq/X+h+1+&#10;7fJekwzLaOoMvMpYbeZLU3mewr9tv9ROhvaf1EkkuvsVepffbtb56rv68ynf7qrPN22N7SCj2+5o&#10;BwLZWpX7VMnSm2L1AXlQWVQ5PxgFPmyK8udJ8Ix8/25y/OfbvFxPgt2f90jl5iah/edkf0nSKQVr&#10;pX/mjX8m3y/R1N3kNMHqTx+/OeE3/MnbQ7l93OBKxo7FvvgTEtmHLaVJVr9Kq/oXZJP/rbQSDlMl&#10;9+e0ckaGeOlp5VQJ8V3sRAmSEiDw+MBo8XM7PCAxMfxj8ZpRsg+sNh+dVpp0UFpJYqJqLFQzczlx&#10;8+O0wWmlyRBFSikvSytJTlSuk1ZSnCaEzSPTSjNDliDq51vCZCQn68fC5ggRsahfK2wenFaamRKW&#10;Gt8cpJ8y72il8hOFKFLSNuyG55k3OK20k0UaP5ZWkpw4fjytjEIZBY1NK0MlbeNpJeRk/bh3zBT9&#10;fHt8TFoZyfOvk1ZGsn6dtDKT17zRaaUy/+K2f7TSIh+nxcw/1LS35R+/XVqpYYPRaaUy/zpppTL/&#10;ErZxJKHsv4lvjwUIoog1EmaNzNAWKflv4tsD6wvkRP9ImH8kxHGE9ZmSgfP6kijYJWWrVWZoOZX0&#10;S/31CvpBTtSP6L2//pkZHE7QD0mUp1+qYBfkCq3WevTz7dGnH7OImcpQN/XtsUgV7JIya/To59uj&#10;R7+MWcROGGH8Mt8ei0yJqnB7hY+fsr5kvj1IP29/Q950xS4aL/q/xy4qSaMlEkn6AktblSr3464a&#10;Xyyw0gwRpwWEWk8dPelvnfzZijs40i9O7kXicAtPGQIIDWz8FIQJ/IsuC6evL6shpnqwzLwfMZFX&#10;o70odCZwKMgdKyQ0q3obGZuFqqTHhFhOqLkGMbpm3LFurhpr3Nqoe+FOu2MlNsVSR61hy63G2J12&#10;x0qM9igSw7FPrAaUZzrnWnHHqrWBFGoo1Iqyuq8NAnaXc8fqshEMRb0wgG99vaDtfYgY9sUBYp3p&#10;5JS6YjJUTVwx2WeOyeBaHJPZ1fulYzJE41JI3IrolICOx3NhpuWzLvCzJQ4kJobrLL42imp+cD20&#10;+iKkzFhKJWDWJjMxGYmJqrHQ2qRyIubH1YMxWahiHt8IUE7DPByTIWKWbeqH1cOrLwxRGWnsWPUF&#10;yYmDR/dkWmnYVMF4vjGGV18YACtZP98cGBTIifpxTGbmCubx7TG8+sLEin4ck0FO1o85BqobRfuO&#10;xGRqms0wmZpmR9w75jKGGll9oerHMJmqH8dkGqYYicl0/fyVqifN5pgsieXxoxvTzWI1vPpC9Q+K&#10;yJr2evyDV1/gdpg4/0ZiMkNUS1pfGCYjOdE/OphMqa4ZiclCokaifr49aH3W9jXmHwmV2wkYZSQm&#10;C6fK+DFMRnLi+HUwGd23EfQbicl0/dr+oevH949UjllGYrIwQ3OSfdO2f5CcOH4dTKYELiMxmRpW&#10;MUzWiquumIxKBgBIpBqsKybTRuaKyT66EIuehiD8UT1aAL/TMFkj6JiiAyDuWEMh7CrU3gWuRcEZ&#10;iaGYsZfhVDTN4OZAnxgtYdRadkEMKzGJXQBHtHAOEBvKoaJ53d6FTsRhrV5TuedG1h2rEY5r7obA&#10;qHdQ4rpG0oSO07p23LFur2LLl8TobjeNCrTsM0UzTbhyV0525WSffzkZYl3GySove+mcTCmtaCGB&#10;YZwsnWt1Rz6fQUSqlR0xHGBww1oM173sbiAnwzWVW+6tVMeKiaEwy3RMImcSfmA9lJOl87kSp7fL&#10;yaycqFyHkynajSwnC42ShzFORnKyfp08RzYs1eI3eftwThbieRIxz2HlZCQn6tfhZApnpPD6rN/g&#10;crKQoKqUhzFORnKyftwxpgrH8/PO4U8phZniG4yTkZysH/cOJc8eycnUPJtxMjXP7nAyhVOM5GS6&#10;fr49wFE0TtHhZEqePZKTqfcIGCdTbxJ0OZnMKUZyMpUDME7W4gB+OV6Xk8mr81hORg/dSf7LyslC&#10;yIn+wcvJ4vDX5WSafpyTafpxThbRZvkrcjKaztL4oarkvJ7CPyAnjl/K9g/7WKWkX2v/GFxOFkZK&#10;OTfnZJAT9etwsqls33GcDPv+oHIyKyfrx/cPJebLfHssMqXcMmPW0MM+Ktto9kvMAD/uu3K8K8ej&#10;x0blpwxVwvm/x/HUrpI3Aqss4EUVVrHFdPCbT1sdV5d4NVVqKvVD0Af1AH96oU/VCUQ4A6Rwn6hX&#10;qroiKtr6pGp+OOtvi0Iay6z61acHAqxYf2uDgVrDwPpRadzI9fc1pgwM+s366SZVOg4RoziAWus3&#10;Vl1k10xLxwzdsWKHFLuhLYTUvcaqASjX/4oEr0jw80eCmLwcCVq/fuFIMFbC1xb9GIoEB5XOUXIg&#10;h9Ysco2pJEqK/L1AczASnCtpHYtaISZG1Qx6xKFc/DUGCSIVUnRrI0ErJyrHkSBuIYkDNxYJDnxx&#10;UTj0xUVaSjwWCWopMUeCWkrMkWCiINXRSFCxbwcJKpOPP2Gq6ocAoUnBPgIJavblSFCzLy+dU/Vr&#10;ucfgFxeFVEkmIQWOBCEn+kcHCSLblRaWsUhQK91kT5iGWulmBwkqa/JYJEgEShw/3x5AMpATx6+L&#10;BGXkMRYJavpxJKjqxzaOREH645AgUItSOtxGglZOHj+2eySZMn6+PRYAZOITsPwJU6AWRb82ErRy&#10;on4cCWqlm+NK53r089crQkZK6TVHggm9yUwKDPzNfPATpul8qtxSaiNBKyeOH0eCsfL+ibFIMBuI&#10;BCEn68f8Q4v5xiJBLezjSNCP+65I8IoEr0iw77V5vxUSrGGOg1E6Eqzq1BD89UEfM61q96aXxGoc&#10;1Y+QBsKtgaisEeu/qBNDT/p6GtMbN0HBLtX31eOLYKS3tbps75JYTUAR4va2RqEtdIv6xVyN4iUx&#10;vIaPWsMrePsuGtXPSvePbsTmmyOLVyp4pYKfPRUkcsCpoHWxF04FE3qaU4iwR1HBuVJxxAoFISZG&#10;ryx4TaiASVDNzyUGUkFkvErk7ycSlBgrwJLndUqpUSutU7K6zuvMKRsXs3ZOBbWsmFPBRKEKY6mg&#10;qp9viR6qwB+oTZT3Bo2lgoRoJerBqSDkxHnXoYKKT4yjgqAFilu0qaCVa/S7Zk0fnTV98nvoMWEW&#10;uvvp7i5rEXNMHBKCwGl9YZO7v3wp8hsYR1K9HF20PwrrdOIahtkvrLm+/vclvP6XlmAehtn5/tLD&#10;MCKTQqwzKgybKvsNC8Mg1mw3rbpbd2+p+iqYJJUjRH/zHxiGAawqNZmtMMyKiarxMEx588CYMEyH&#10;1+0wTIfXnTBMgf/jwrAe/XxL9MD1bhimzDnfGIOf14DRlGnXDsOsXGPca5hj3/z+aWv/YvqGE6I4&#10;F+MWWl5J0NUmutjAHasisIHwKB6GojrauYtdudCVC/0SLmS/9A7fNmg9rP5mRPo6Q/93+/0F5+9v&#10;fP0fAAAA//8DAFBLAwQUAAYACAAAACEAjFgjleIAAAANAQAADwAAAGRycy9kb3ducmV2LnhtbEyP&#10;QW+CQBCF7036HzbTpLe6IGIVWYwxbU+mSbVJ422EEYjsLmFXwH/f8dTe3pt5efNNuh51I3rqXG2N&#10;gnASgCCT26I2pYLvw/vLAoTzaApsrCEFN3Kwzh4fUkwKO5gv6ve+FFxiXIIKKu/bREqXV6TRTWxL&#10;hndn22n0bLtSFh0OXK4bOQ2CudRYG75QYUvbivLL/qoVfAw4bKLwrd9dztvb8RB//uxCUur5adys&#10;QHga/V8Y7viMDhkznezVFE407MPXiKMs4uViBuIeiZc8OrGYR9MZyCyV/7/IfgEAAP//AwBQSwEC&#10;LQAUAAYACAAAACEAtoM4kv4AAADhAQAAEwAAAAAAAAAAAAAAAAAAAAAAW0NvbnRlbnRfVHlwZXNd&#10;LnhtbFBLAQItABQABgAIAAAAIQA4/SH/1gAAAJQBAAALAAAAAAAAAAAAAAAAAC8BAABfcmVscy8u&#10;cmVsc1BLAQItABQABgAIAAAAIQAi2DZCDg8AAAdyAAAOAAAAAAAAAAAAAAAAAC4CAABkcnMvZTJv&#10;RG9jLnhtbFBLAQItABQABgAIAAAAIQCMWCOV4gAAAA0BAAAPAAAAAAAAAAAAAAAAAGgRAABkcnMv&#10;ZG93bnJldi54bWxQSwUGAAAAAAQABADzAAAAdxIAAAAA&#10;">
              <v:shape id="Freeform 17" o:spid="_x0000_s1027"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FBB35" w14:textId="77777777" w:rsidR="006138D2" w:rsidRDefault="006138D2" w:rsidP="00AD7D31">
      <w:pPr>
        <w:spacing w:after="0" w:line="240" w:lineRule="auto"/>
      </w:pPr>
      <w:r>
        <w:separator/>
      </w:r>
    </w:p>
  </w:footnote>
  <w:footnote w:type="continuationSeparator" w:id="0">
    <w:p w14:paraId="3282B5DE" w14:textId="77777777" w:rsidR="006138D2" w:rsidRDefault="006138D2"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D0E09" w14:textId="3AA943FD" w:rsidR="00AD7D31" w:rsidRDefault="00AD7D31">
    <w:pPr>
      <w:pStyle w:val="Header"/>
    </w:pPr>
  </w:p>
  <w:p w14:paraId="1A403FBF" w14:textId="77777777" w:rsidR="00AD7D31" w:rsidRDefault="00AD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B18AD" w14:textId="77777777" w:rsidR="00DD766A" w:rsidRPr="00DD766A" w:rsidRDefault="00313E4A" w:rsidP="00F47925">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14:anchorId="10E6713A" wp14:editId="7392676E">
          <wp:simplePos x="0" y="0"/>
          <wp:positionH relativeFrom="margin">
            <wp:posOffset>-648625</wp:posOffset>
          </wp:positionH>
          <wp:positionV relativeFrom="page">
            <wp:posOffset>-170</wp:posOffset>
          </wp:positionV>
          <wp:extent cx="7551365" cy="1191600"/>
          <wp:effectExtent l="0" t="0" r="0" b="8890"/>
          <wp:wrapNone/>
          <wp:docPr id="5" name="Picture 5" descr="ACT Gov logo" title="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F47925">
      <w:rPr>
        <w:rFonts w:ascii="Montserrat" w:hAnsi="Montserrat"/>
        <w:b/>
        <w:color w:val="FFFFFF" w:themeColor="background1"/>
        <w:sz w:val="36"/>
      </w:rPr>
      <w:t>Gordon Ramsay</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D0735E">
      <w:t>Attorney-General</w:t>
    </w:r>
    <w:r w:rsidR="00D0735E">
      <w:br/>
      <w:t>Minister for the Arts</w:t>
    </w:r>
    <w:r w:rsidR="00611D96">
      <w:t>, Creative Industries</w:t>
    </w:r>
    <w:r w:rsidR="00D0735E">
      <w:t xml:space="preserve"> and</w:t>
    </w:r>
    <w:r w:rsidR="00611D96">
      <w:br/>
      <w:t xml:space="preserve"> </w:t>
    </w:r>
    <w:r w:rsidR="00D0735E">
      <w:t xml:space="preserve"> Cultural Events</w:t>
    </w:r>
    <w:r w:rsidR="00D0735E">
      <w:br/>
      <w:t>Minister for Building Quality Improvement</w:t>
    </w:r>
    <w:r w:rsidR="00D0735E">
      <w:br/>
      <w:t>Minister for Business and Regulatory Services</w:t>
    </w:r>
    <w:r w:rsidR="00611D96">
      <w:t xml:space="preserve"> </w:t>
    </w:r>
    <w:r w:rsidR="00D0735E">
      <w:br/>
      <w:t>Minister for Seniors and Veterans</w:t>
    </w:r>
  </w:p>
  <w:p w14:paraId="3B1E6CC8" w14:textId="77777777"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proofErr w:type="spellStart"/>
    <w:r w:rsidR="00F47925">
      <w:rPr>
        <w:rFonts w:asciiTheme="minorHAnsi" w:hAnsiTheme="minorHAnsi"/>
        <w:sz w:val="20"/>
        <w:szCs w:val="20"/>
      </w:rPr>
      <w:t>Ginninderra</w:t>
    </w:r>
    <w:proofErr w:type="spellEnd"/>
    <w:r w:rsidRPr="00DD766A">
      <w:rPr>
        <w:rFonts w:asciiTheme="minorHAnsi" w:hAnsiTheme="minorHAnsi"/>
        <w:sz w:val="20"/>
        <w:szCs w:val="20"/>
      </w:rPr>
      <w:t xml:space="preserve"> </w:t>
    </w:r>
    <w:r>
      <w:rPr>
        <w:rFonts w:asciiTheme="minorHAnsi" w:hAnsiTheme="minorHAnsi"/>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96"/>
    <w:rsid w:val="000346D5"/>
    <w:rsid w:val="0004604C"/>
    <w:rsid w:val="000B1A53"/>
    <w:rsid w:val="000D7B49"/>
    <w:rsid w:val="000E04FC"/>
    <w:rsid w:val="000F304E"/>
    <w:rsid w:val="001450DC"/>
    <w:rsid w:val="0014785E"/>
    <w:rsid w:val="001804F3"/>
    <w:rsid w:val="001851B2"/>
    <w:rsid w:val="001D5C91"/>
    <w:rsid w:val="001D7389"/>
    <w:rsid w:val="002002AA"/>
    <w:rsid w:val="00210E39"/>
    <w:rsid w:val="002778EE"/>
    <w:rsid w:val="002C4E0D"/>
    <w:rsid w:val="00313E4A"/>
    <w:rsid w:val="0036131F"/>
    <w:rsid w:val="00361CDA"/>
    <w:rsid w:val="003A3805"/>
    <w:rsid w:val="003D7067"/>
    <w:rsid w:val="003E5033"/>
    <w:rsid w:val="0041104E"/>
    <w:rsid w:val="004D491D"/>
    <w:rsid w:val="00501728"/>
    <w:rsid w:val="005351C5"/>
    <w:rsid w:val="0055749D"/>
    <w:rsid w:val="0057410C"/>
    <w:rsid w:val="005C4787"/>
    <w:rsid w:val="005C6452"/>
    <w:rsid w:val="005E7DE1"/>
    <w:rsid w:val="00610DD7"/>
    <w:rsid w:val="00611D96"/>
    <w:rsid w:val="006138D2"/>
    <w:rsid w:val="0061634E"/>
    <w:rsid w:val="00621FBC"/>
    <w:rsid w:val="006463CD"/>
    <w:rsid w:val="0064748B"/>
    <w:rsid w:val="00655CD8"/>
    <w:rsid w:val="00696474"/>
    <w:rsid w:val="006A1B70"/>
    <w:rsid w:val="00712BA7"/>
    <w:rsid w:val="007139E4"/>
    <w:rsid w:val="00750BF1"/>
    <w:rsid w:val="007B5D4E"/>
    <w:rsid w:val="007C06C7"/>
    <w:rsid w:val="007D7FAC"/>
    <w:rsid w:val="007E0DF4"/>
    <w:rsid w:val="00806ACB"/>
    <w:rsid w:val="008208DA"/>
    <w:rsid w:val="00834846"/>
    <w:rsid w:val="00855531"/>
    <w:rsid w:val="008D15E5"/>
    <w:rsid w:val="008F3C7F"/>
    <w:rsid w:val="00905A31"/>
    <w:rsid w:val="00935992"/>
    <w:rsid w:val="00981D88"/>
    <w:rsid w:val="009C2877"/>
    <w:rsid w:val="00A031A0"/>
    <w:rsid w:val="00A03AF7"/>
    <w:rsid w:val="00A254F7"/>
    <w:rsid w:val="00A830B6"/>
    <w:rsid w:val="00A84B4B"/>
    <w:rsid w:val="00A903F6"/>
    <w:rsid w:val="00AC7C86"/>
    <w:rsid w:val="00AD1C24"/>
    <w:rsid w:val="00AD7D31"/>
    <w:rsid w:val="00B042C4"/>
    <w:rsid w:val="00B85096"/>
    <w:rsid w:val="00BE5790"/>
    <w:rsid w:val="00C34B81"/>
    <w:rsid w:val="00C41CEF"/>
    <w:rsid w:val="00CA7317"/>
    <w:rsid w:val="00D0735E"/>
    <w:rsid w:val="00D41B3D"/>
    <w:rsid w:val="00D53F26"/>
    <w:rsid w:val="00D54754"/>
    <w:rsid w:val="00D87748"/>
    <w:rsid w:val="00DA35B4"/>
    <w:rsid w:val="00DD766A"/>
    <w:rsid w:val="00DF2CF7"/>
    <w:rsid w:val="00E95673"/>
    <w:rsid w:val="00ED5634"/>
    <w:rsid w:val="00EE7777"/>
    <w:rsid w:val="00EF53A7"/>
    <w:rsid w:val="00F0047A"/>
    <w:rsid w:val="00F211FD"/>
    <w:rsid w:val="00F27078"/>
    <w:rsid w:val="00F33354"/>
    <w:rsid w:val="00F47925"/>
    <w:rsid w:val="00F47ADB"/>
    <w:rsid w:val="00F50739"/>
    <w:rsid w:val="00F70578"/>
    <w:rsid w:val="00F80140"/>
    <w:rsid w:val="00F9796B"/>
    <w:rsid w:val="00FA38D1"/>
    <w:rsid w:val="00FA47E3"/>
    <w:rsid w:val="00FB6C11"/>
    <w:rsid w:val="00FC13F3"/>
    <w:rsid w:val="00FF3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F07F6"/>
  <w15:chartTrackingRefBased/>
  <w15:docId w15:val="{92294160-97C2-464D-AA52-3C30942B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paragraph" w:customStyle="1" w:styleId="CS-Paragraphnumbering">
    <w:name w:val="CS - Paragraph numbering"/>
    <w:basedOn w:val="Normal"/>
    <w:rsid w:val="00BE5790"/>
    <w:pPr>
      <w:numPr>
        <w:numId w:val="1"/>
      </w:numPr>
      <w:spacing w:after="120" w:line="276" w:lineRule="auto"/>
      <w:ind w:left="567" w:right="-45" w:hanging="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mail%20ramsay@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4" ma:contentTypeDescription="Create a new document." ma:contentTypeScope="" ma:versionID="c050060d99c501b3ab15ce3551ac0a87">
  <xsd:schema xmlns:xsd="http://www.w3.org/2001/XMLSchema" xmlns:xs="http://www.w3.org/2001/XMLSchema" xmlns:p="http://schemas.microsoft.com/office/2006/metadata/properties" xmlns:ns2="f6c841be-bb08-4901-87b0-0033aa80d2c6" targetNamespace="http://schemas.microsoft.com/office/2006/metadata/properties" ma:root="true" ma:fieldsID="301b8bd1dce2fe06e2c642ce679eeb81" ns2:_="">
    <xsd:import namespace="f6c841be-bb08-4901-87b0-0033aa80d2c6"/>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223BF-FF7B-4A96-92F0-837A9E9A52E9}">
  <ds:schemaRef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f6c841be-bb08-4901-87b0-0033aa80d2c6"/>
    <ds:schemaRef ds:uri="http://schemas.microsoft.com/office/infopath/2007/PartnerControls"/>
  </ds:schemaRefs>
</ds:datastoreItem>
</file>

<file path=customXml/itemProps2.xml><?xml version="1.0" encoding="utf-8"?>
<ds:datastoreItem xmlns:ds="http://schemas.openxmlformats.org/officeDocument/2006/customXml" ds:itemID="{2DA3EC9C-2A96-4311-B61F-41104E817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33491-15B4-4686-8C2F-91EF03535C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Response to Scrutiny Comments (002).DOTX</Template>
  <TotalTime>0</TotalTime>
  <Pages>4</Pages>
  <Words>1537</Words>
  <Characters>7821</Characters>
  <Application>Microsoft Office Word</Application>
  <DocSecurity>4</DocSecurity>
  <Lines>153</Lines>
  <Paragraphs>40</Paragraphs>
  <ScaleCrop>false</ScaleCrop>
  <HeadingPairs>
    <vt:vector size="2" baseType="variant">
      <vt:variant>
        <vt:lpstr>Title</vt:lpstr>
      </vt:variant>
      <vt:variant>
        <vt:i4>1</vt:i4>
      </vt:variant>
    </vt:vector>
  </HeadingPairs>
  <TitlesOfParts>
    <vt:vector size="1" baseType="lpstr">
      <vt:lpstr>Scrutiny response - Crimes (Disrupting Criminal Gangs) Legislation Amendment Bill 2019</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Crimes (Disrupting Criminal Gangs) Legislation Amendment Bill 2019</dc:title>
  <dc:subject/>
  <dc:creator>Shannon, Anne</dc:creator>
  <cp:keywords/>
  <dc:description/>
  <cp:lastModifiedBy>Shannon, Anne</cp:lastModifiedBy>
  <cp:revision>2</cp:revision>
  <cp:lastPrinted>2018-08-24T07:17:00Z</cp:lastPrinted>
  <dcterms:created xsi:type="dcterms:W3CDTF">2019-11-28T03:47:00Z</dcterms:created>
  <dcterms:modified xsi:type="dcterms:W3CDTF">2019-11-28T03:47:00Z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