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A84CA4" w:rsidRDefault="00AD7D31" w:rsidP="00A46C46">
      <w:pPr>
        <w:pStyle w:val="Header"/>
        <w:tabs>
          <w:tab w:val="left" w:pos="4830"/>
        </w:tabs>
        <w:rPr>
          <w:rFonts w:ascii="Calibri" w:hAnsi="Calibri"/>
          <w:sz w:val="24"/>
          <w:szCs w:val="24"/>
          <w:lang w:val="en-US"/>
        </w:rPr>
      </w:pPr>
      <w:r w:rsidRPr="00A84CA4">
        <w:rPr>
          <w:rFonts w:ascii="Calibri" w:hAnsi="Calibri"/>
          <w:sz w:val="24"/>
          <w:szCs w:val="24"/>
          <w:lang w:val="en-US"/>
        </w:rPr>
        <w:tab/>
      </w:r>
      <w:r w:rsidRPr="00A84CA4">
        <w:rPr>
          <w:rFonts w:ascii="Calibri" w:hAnsi="Calibri"/>
          <w:sz w:val="24"/>
          <w:szCs w:val="24"/>
          <w:lang w:val="en-US"/>
        </w:rPr>
        <w:tab/>
      </w:r>
    </w:p>
    <w:p w:rsidR="00A84CA4" w:rsidRPr="00A84CA4" w:rsidRDefault="00A84CA4" w:rsidP="00A84CA4">
      <w:pPr>
        <w:pStyle w:val="Default"/>
      </w:pPr>
    </w:p>
    <w:p w:rsidR="00A84CA4" w:rsidRPr="00A84CA4" w:rsidRDefault="00A84CA4" w:rsidP="00A84CA4">
      <w:pPr>
        <w:spacing w:after="0" w:line="240" w:lineRule="auto"/>
        <w:rPr>
          <w:rFonts w:ascii="Calibri" w:hAnsi="Calibri"/>
          <w:sz w:val="24"/>
          <w:szCs w:val="24"/>
        </w:rPr>
      </w:pPr>
      <w:r w:rsidRPr="00A84CA4">
        <w:rPr>
          <w:rFonts w:ascii="Calibri" w:hAnsi="Calibri"/>
          <w:sz w:val="24"/>
          <w:szCs w:val="24"/>
        </w:rPr>
        <w:t>Mrs Giulia Jones MLA</w:t>
      </w:r>
    </w:p>
    <w:p w:rsidR="00A84CA4" w:rsidRPr="00A84CA4" w:rsidRDefault="00A84CA4" w:rsidP="00A84CA4">
      <w:pPr>
        <w:spacing w:after="0" w:line="240" w:lineRule="auto"/>
        <w:rPr>
          <w:rFonts w:ascii="Calibri" w:hAnsi="Calibri"/>
          <w:sz w:val="24"/>
          <w:szCs w:val="24"/>
        </w:rPr>
      </w:pPr>
      <w:r w:rsidRPr="00A84CA4">
        <w:rPr>
          <w:rFonts w:ascii="Calibri" w:hAnsi="Calibri"/>
          <w:sz w:val="24"/>
          <w:szCs w:val="24"/>
        </w:rPr>
        <w:t>Chair</w:t>
      </w:r>
    </w:p>
    <w:p w:rsidR="00A84CA4" w:rsidRPr="00A84CA4" w:rsidRDefault="00A84CA4" w:rsidP="00A84CA4">
      <w:pPr>
        <w:spacing w:after="0" w:line="240" w:lineRule="auto"/>
        <w:rPr>
          <w:rFonts w:ascii="Calibri" w:hAnsi="Calibri"/>
          <w:sz w:val="24"/>
          <w:szCs w:val="24"/>
        </w:rPr>
      </w:pPr>
      <w:r w:rsidRPr="00A84CA4">
        <w:rPr>
          <w:rFonts w:ascii="Calibri" w:hAnsi="Calibri"/>
          <w:sz w:val="24"/>
          <w:szCs w:val="24"/>
        </w:rPr>
        <w:t>Standing Committee on Justice and Community Safety (Legislative Scrutiny Role)</w:t>
      </w:r>
    </w:p>
    <w:p w:rsidR="00A84CA4" w:rsidRPr="00A84CA4" w:rsidRDefault="00A84CA4" w:rsidP="00A84CA4">
      <w:pPr>
        <w:spacing w:after="0" w:line="240" w:lineRule="auto"/>
        <w:rPr>
          <w:rFonts w:ascii="Calibri" w:hAnsi="Calibri"/>
          <w:sz w:val="24"/>
          <w:szCs w:val="24"/>
        </w:rPr>
      </w:pPr>
      <w:r w:rsidRPr="00A84CA4">
        <w:rPr>
          <w:rFonts w:ascii="Calibri" w:hAnsi="Calibri"/>
          <w:sz w:val="24"/>
          <w:szCs w:val="24"/>
        </w:rPr>
        <w:t>ACT Legislative Assembly</w:t>
      </w:r>
    </w:p>
    <w:p w:rsidR="00A84CA4" w:rsidRPr="00A84CA4" w:rsidRDefault="00A84CA4" w:rsidP="00A84CA4">
      <w:pPr>
        <w:spacing w:after="0" w:line="240" w:lineRule="auto"/>
        <w:rPr>
          <w:rFonts w:ascii="Calibri" w:hAnsi="Calibri"/>
          <w:sz w:val="24"/>
          <w:szCs w:val="24"/>
        </w:rPr>
      </w:pPr>
      <w:r w:rsidRPr="00A84CA4">
        <w:rPr>
          <w:rFonts w:ascii="Calibri" w:hAnsi="Calibri"/>
          <w:sz w:val="24"/>
          <w:szCs w:val="24"/>
        </w:rPr>
        <w:t>GPO Box 1020</w:t>
      </w:r>
    </w:p>
    <w:p w:rsidR="00A84CA4" w:rsidRPr="00A84CA4" w:rsidRDefault="00A84CA4" w:rsidP="00A84CA4">
      <w:pPr>
        <w:spacing w:after="0" w:line="240" w:lineRule="auto"/>
        <w:rPr>
          <w:rFonts w:ascii="Calibri" w:hAnsi="Calibri"/>
          <w:sz w:val="24"/>
          <w:szCs w:val="24"/>
        </w:rPr>
      </w:pPr>
      <w:r w:rsidRPr="00A84CA4">
        <w:rPr>
          <w:rFonts w:ascii="Calibri" w:hAnsi="Calibri"/>
          <w:sz w:val="24"/>
          <w:szCs w:val="24"/>
        </w:rPr>
        <w:t>CANBERRA  ACT  2601</w:t>
      </w:r>
    </w:p>
    <w:p w:rsidR="00A84CA4" w:rsidRDefault="00A84CA4" w:rsidP="00A84CA4">
      <w:pPr>
        <w:spacing w:after="0" w:line="240" w:lineRule="auto"/>
        <w:rPr>
          <w:rFonts w:ascii="Calibri" w:hAnsi="Calibri"/>
          <w:sz w:val="24"/>
          <w:szCs w:val="24"/>
        </w:rPr>
      </w:pPr>
    </w:p>
    <w:p w:rsidR="00A84CA4" w:rsidRPr="00A84CA4" w:rsidRDefault="00A84CA4" w:rsidP="00A84CA4">
      <w:pPr>
        <w:spacing w:after="0" w:line="240" w:lineRule="auto"/>
        <w:rPr>
          <w:rFonts w:ascii="Calibri" w:hAnsi="Calibri"/>
          <w:sz w:val="24"/>
          <w:szCs w:val="24"/>
        </w:rPr>
      </w:pPr>
    </w:p>
    <w:p w:rsidR="00A84CA4" w:rsidRDefault="00A84CA4" w:rsidP="00A84CA4">
      <w:pPr>
        <w:pStyle w:val="Default"/>
      </w:pPr>
      <w:r>
        <w:t>Dear Mrs Jones</w:t>
      </w:r>
    </w:p>
    <w:p w:rsidR="00A84CA4" w:rsidRPr="00A84CA4" w:rsidRDefault="00A84CA4" w:rsidP="00A84CA4">
      <w:pPr>
        <w:pStyle w:val="Default"/>
      </w:pPr>
    </w:p>
    <w:p w:rsidR="00A84CA4" w:rsidRPr="00A84CA4" w:rsidRDefault="003B328E" w:rsidP="00A84CA4">
      <w:pPr>
        <w:pStyle w:val="Default"/>
      </w:pPr>
      <w:r>
        <w:t>I write</w:t>
      </w:r>
      <w:r w:rsidR="00A84CA4" w:rsidRPr="00A84CA4">
        <w:t xml:space="preserve"> in relation to comments made by the Standing Committee on Justice and Community Safety (Legislative Scrutiny Role) (</w:t>
      </w:r>
      <w:r w:rsidR="004E3111">
        <w:t xml:space="preserve">the </w:t>
      </w:r>
      <w:r w:rsidR="00A84CA4" w:rsidRPr="00A84CA4">
        <w:t xml:space="preserve">Committee) in its </w:t>
      </w:r>
      <w:r w:rsidR="00A84CA4" w:rsidRPr="00A84CA4">
        <w:rPr>
          <w:i/>
          <w:iCs/>
        </w:rPr>
        <w:t xml:space="preserve">Scrutiny Report </w:t>
      </w:r>
      <w:r w:rsidR="00A84CA4">
        <w:rPr>
          <w:i/>
          <w:iCs/>
        </w:rPr>
        <w:t>8</w:t>
      </w:r>
      <w:r w:rsidR="00A84CA4" w:rsidRPr="00A84CA4">
        <w:rPr>
          <w:i/>
          <w:iCs/>
        </w:rPr>
        <w:t xml:space="preserve"> </w:t>
      </w:r>
      <w:r w:rsidR="00A84CA4">
        <w:t>published on 8 August 2017 in relation to the Gaming Machine (Cash Facilities) Amendment Bill</w:t>
      </w:r>
      <w:r w:rsidR="00A84CA4">
        <w:rPr>
          <w:i/>
          <w:iCs/>
        </w:rPr>
        <w:t xml:space="preserve"> </w:t>
      </w:r>
      <w:r w:rsidR="00A84CA4" w:rsidRPr="00A84CA4">
        <w:rPr>
          <w:iCs/>
        </w:rPr>
        <w:t>2017</w:t>
      </w:r>
      <w:r w:rsidR="00A84CA4">
        <w:rPr>
          <w:iCs/>
        </w:rPr>
        <w:t xml:space="preserve"> (the Bill)</w:t>
      </w:r>
      <w:r w:rsidR="00A84CA4" w:rsidRPr="00A84CA4">
        <w:rPr>
          <w:iCs/>
        </w:rPr>
        <w:t>.</w:t>
      </w:r>
      <w:r w:rsidR="00A84CA4" w:rsidRPr="00A84CA4">
        <w:rPr>
          <w:i/>
          <w:iCs/>
        </w:rPr>
        <w:t xml:space="preserve"> </w:t>
      </w:r>
    </w:p>
    <w:p w:rsidR="00A84CA4" w:rsidRDefault="00A84CA4" w:rsidP="00A84CA4">
      <w:pPr>
        <w:spacing w:after="0" w:line="240" w:lineRule="auto"/>
        <w:rPr>
          <w:sz w:val="24"/>
          <w:szCs w:val="24"/>
        </w:rPr>
      </w:pPr>
    </w:p>
    <w:p w:rsidR="00AD7D31" w:rsidRDefault="00A84CA4" w:rsidP="00A84CA4">
      <w:pPr>
        <w:spacing w:after="0" w:line="240" w:lineRule="auto"/>
        <w:rPr>
          <w:sz w:val="24"/>
          <w:szCs w:val="24"/>
        </w:rPr>
      </w:pPr>
      <w:r>
        <w:rPr>
          <w:sz w:val="24"/>
          <w:szCs w:val="24"/>
        </w:rPr>
        <w:t>I thank the Committee for its comments. I note that the Committee’s report draws the Assembly’s attention to the analysis of the human rights implications of the Bill and the justification for the strict liability offences in the Bill, as set out in the Explanatory Statement.</w:t>
      </w:r>
    </w:p>
    <w:p w:rsidR="00A84CA4" w:rsidRDefault="00A84CA4" w:rsidP="00A84CA4">
      <w:pPr>
        <w:spacing w:after="0" w:line="240" w:lineRule="auto"/>
        <w:rPr>
          <w:sz w:val="24"/>
          <w:szCs w:val="24"/>
        </w:rPr>
      </w:pPr>
    </w:p>
    <w:p w:rsidR="00A84CA4" w:rsidRDefault="00A84CA4" w:rsidP="00A84CA4">
      <w:pPr>
        <w:spacing w:after="0" w:line="240" w:lineRule="auto"/>
        <w:rPr>
          <w:sz w:val="24"/>
          <w:szCs w:val="24"/>
        </w:rPr>
      </w:pPr>
      <w:r>
        <w:rPr>
          <w:sz w:val="24"/>
          <w:szCs w:val="24"/>
        </w:rPr>
        <w:t>In relation to the Committee’s comments suggesting that the Bill may inappropriately delegate legislative powers, I provide the following response.</w:t>
      </w:r>
    </w:p>
    <w:p w:rsidR="00A84CA4" w:rsidRDefault="00A84CA4" w:rsidP="00A84CA4">
      <w:pPr>
        <w:spacing w:after="0" w:line="240" w:lineRule="auto"/>
        <w:rPr>
          <w:sz w:val="24"/>
          <w:szCs w:val="24"/>
        </w:rPr>
      </w:pPr>
    </w:p>
    <w:p w:rsidR="00A84CA4" w:rsidRDefault="00A84CA4" w:rsidP="00A84CA4">
      <w:pPr>
        <w:spacing w:after="0" w:line="240" w:lineRule="auto"/>
        <w:rPr>
          <w:sz w:val="24"/>
          <w:szCs w:val="24"/>
        </w:rPr>
      </w:pPr>
      <w:r>
        <w:rPr>
          <w:sz w:val="24"/>
          <w:szCs w:val="24"/>
        </w:rPr>
        <w:t xml:space="preserve">As I indicated in introducing the Bill, </w:t>
      </w:r>
      <w:r w:rsidR="004E3111">
        <w:rPr>
          <w:sz w:val="24"/>
          <w:szCs w:val="24"/>
        </w:rPr>
        <w:t>progressing the</w:t>
      </w:r>
      <w:r>
        <w:rPr>
          <w:sz w:val="24"/>
          <w:szCs w:val="24"/>
        </w:rPr>
        <w:t xml:space="preserve"> EFTPOS cash withdrawal restrictions through the </w:t>
      </w:r>
      <w:r w:rsidRPr="00A84CA4">
        <w:rPr>
          <w:i/>
          <w:sz w:val="24"/>
          <w:szCs w:val="24"/>
        </w:rPr>
        <w:t>Gaming Machine Regulation 2004</w:t>
      </w:r>
      <w:r>
        <w:rPr>
          <w:sz w:val="24"/>
          <w:szCs w:val="24"/>
        </w:rPr>
        <w:t xml:space="preserve"> (the Regulation) rather than the </w:t>
      </w:r>
      <w:r w:rsidRPr="00A84CA4">
        <w:rPr>
          <w:i/>
          <w:sz w:val="24"/>
          <w:szCs w:val="24"/>
        </w:rPr>
        <w:t>Gaming Machine Act 2004</w:t>
      </w:r>
      <w:r>
        <w:rPr>
          <w:sz w:val="24"/>
          <w:szCs w:val="24"/>
        </w:rPr>
        <w:t xml:space="preserve"> (the Act) was </w:t>
      </w:r>
      <w:r w:rsidR="004E3111">
        <w:rPr>
          <w:sz w:val="24"/>
          <w:szCs w:val="24"/>
        </w:rPr>
        <w:t xml:space="preserve">a </w:t>
      </w:r>
      <w:r>
        <w:rPr>
          <w:sz w:val="24"/>
          <w:szCs w:val="24"/>
        </w:rPr>
        <w:t>considered and deliberate</w:t>
      </w:r>
      <w:r w:rsidR="004E3111">
        <w:rPr>
          <w:sz w:val="24"/>
          <w:szCs w:val="24"/>
        </w:rPr>
        <w:t xml:space="preserve"> decision</w:t>
      </w:r>
      <w:r>
        <w:rPr>
          <w:sz w:val="24"/>
          <w:szCs w:val="24"/>
        </w:rPr>
        <w:t>.</w:t>
      </w:r>
    </w:p>
    <w:p w:rsidR="00A84CA4" w:rsidRDefault="00A84CA4" w:rsidP="00A84CA4">
      <w:pPr>
        <w:spacing w:after="0" w:line="240" w:lineRule="auto"/>
        <w:rPr>
          <w:sz w:val="24"/>
          <w:szCs w:val="24"/>
        </w:rPr>
      </w:pPr>
    </w:p>
    <w:p w:rsidR="003F2EBC" w:rsidRDefault="004E3111" w:rsidP="00A84CA4">
      <w:pPr>
        <w:spacing w:after="0" w:line="240" w:lineRule="auto"/>
        <w:rPr>
          <w:sz w:val="24"/>
          <w:szCs w:val="24"/>
        </w:rPr>
      </w:pPr>
      <w:r>
        <w:rPr>
          <w:sz w:val="24"/>
          <w:szCs w:val="24"/>
        </w:rPr>
        <w:t>Recent public discourse and an investigation by the ACT Gambling and Racing Commission have indicated that there are issu</w:t>
      </w:r>
      <w:r w:rsidR="00A526C9">
        <w:rPr>
          <w:sz w:val="24"/>
          <w:szCs w:val="24"/>
        </w:rPr>
        <w:t xml:space="preserve">es with access to cash in clubs using EFTPOS facilities. The Government will be monitoring the effects of the new measures and will respond quickly if there is evidence that EFTPOS facilities remain an issue in limiting cash withdrawals. </w:t>
      </w:r>
    </w:p>
    <w:p w:rsidR="003F2EBC" w:rsidRDefault="003F2EBC" w:rsidP="00A84CA4">
      <w:pPr>
        <w:spacing w:after="0" w:line="240" w:lineRule="auto"/>
        <w:rPr>
          <w:sz w:val="24"/>
          <w:szCs w:val="24"/>
        </w:rPr>
      </w:pPr>
    </w:p>
    <w:p w:rsidR="00A526C9" w:rsidRDefault="00A526C9" w:rsidP="00A84CA4">
      <w:pPr>
        <w:spacing w:after="0" w:line="240" w:lineRule="auto"/>
        <w:rPr>
          <w:sz w:val="24"/>
          <w:szCs w:val="24"/>
        </w:rPr>
      </w:pPr>
      <w:r>
        <w:rPr>
          <w:sz w:val="24"/>
          <w:szCs w:val="24"/>
        </w:rPr>
        <w:t>As noted by Pearce and Argument</w:t>
      </w:r>
      <w:r w:rsidR="00A46C46">
        <w:rPr>
          <w:sz w:val="24"/>
          <w:szCs w:val="24"/>
        </w:rPr>
        <w:t>,</w:t>
      </w:r>
      <w:r>
        <w:rPr>
          <w:sz w:val="24"/>
          <w:szCs w:val="24"/>
        </w:rPr>
        <w:t xml:space="preserve"> the delegation of legislative power is ‘generally considered to be to both legitimate and desirable’ where </w:t>
      </w:r>
      <w:r w:rsidR="00126293">
        <w:rPr>
          <w:sz w:val="24"/>
          <w:szCs w:val="24"/>
        </w:rPr>
        <w:t>‘the amendment of primary legislation is ill-</w:t>
      </w:r>
      <w:r w:rsidR="003F2EBC">
        <w:rPr>
          <w:sz w:val="24"/>
          <w:szCs w:val="24"/>
        </w:rPr>
        <w:t>suited</w:t>
      </w:r>
      <w:r w:rsidR="00126293">
        <w:rPr>
          <w:sz w:val="24"/>
          <w:szCs w:val="24"/>
        </w:rPr>
        <w:t xml:space="preserve"> to situations requiring flexibility and responsiveness</w:t>
      </w:r>
      <w:r w:rsidR="003F2EBC">
        <w:rPr>
          <w:sz w:val="24"/>
          <w:szCs w:val="24"/>
        </w:rPr>
        <w:t>, where the environment in which the legislation operates is uncertain and rapidly changing</w:t>
      </w:r>
      <w:r w:rsidR="00126293">
        <w:rPr>
          <w:sz w:val="24"/>
          <w:szCs w:val="24"/>
        </w:rPr>
        <w:t>’</w:t>
      </w:r>
      <w:r>
        <w:rPr>
          <w:sz w:val="24"/>
          <w:szCs w:val="24"/>
        </w:rPr>
        <w:t>.</w:t>
      </w:r>
      <w:r>
        <w:rPr>
          <w:rStyle w:val="FootnoteReference"/>
          <w:sz w:val="24"/>
          <w:szCs w:val="24"/>
        </w:rPr>
        <w:footnoteReference w:id="1"/>
      </w:r>
    </w:p>
    <w:p w:rsidR="00A526C9" w:rsidRDefault="00A526C9" w:rsidP="00A84CA4">
      <w:pPr>
        <w:spacing w:after="0" w:line="240" w:lineRule="auto"/>
        <w:rPr>
          <w:sz w:val="24"/>
          <w:szCs w:val="24"/>
        </w:rPr>
      </w:pPr>
    </w:p>
    <w:p w:rsidR="00A526C9" w:rsidRDefault="00A526C9" w:rsidP="00A84CA4">
      <w:pPr>
        <w:spacing w:after="0" w:line="240" w:lineRule="auto"/>
        <w:rPr>
          <w:sz w:val="24"/>
          <w:szCs w:val="24"/>
        </w:rPr>
      </w:pPr>
      <w:r>
        <w:rPr>
          <w:sz w:val="24"/>
          <w:szCs w:val="24"/>
        </w:rPr>
        <w:t>The regulation-making power in the Bill has been broadly constructed to include cash facilitie</w:t>
      </w:r>
      <w:r w:rsidR="00BE33D5">
        <w:rPr>
          <w:sz w:val="24"/>
          <w:szCs w:val="24"/>
        </w:rPr>
        <w:t>s beyond just EFTPOS facilities. As noted by the Committee, any regulation cannot be inconsistent with the principal Act.</w:t>
      </w:r>
    </w:p>
    <w:p w:rsidR="00A526C9" w:rsidRDefault="00A526C9" w:rsidP="00A84CA4">
      <w:pPr>
        <w:spacing w:after="0" w:line="240" w:lineRule="auto"/>
        <w:rPr>
          <w:sz w:val="24"/>
          <w:szCs w:val="24"/>
        </w:rPr>
      </w:pPr>
    </w:p>
    <w:p w:rsidR="00A526C9" w:rsidRDefault="00A526C9" w:rsidP="00A84CA4">
      <w:pPr>
        <w:spacing w:after="0" w:line="240" w:lineRule="auto"/>
        <w:rPr>
          <w:sz w:val="24"/>
          <w:szCs w:val="24"/>
        </w:rPr>
      </w:pPr>
      <w:r>
        <w:rPr>
          <w:sz w:val="24"/>
          <w:szCs w:val="24"/>
        </w:rPr>
        <w:t xml:space="preserve">In addition to ATMs and EFTPOS facilities, the definition of ‘cash facility’ in the Act incorporates </w:t>
      </w:r>
      <w:r w:rsidRPr="00A526C9">
        <w:rPr>
          <w:sz w:val="24"/>
          <w:szCs w:val="24"/>
        </w:rPr>
        <w:t>‘any other facility for gaining access to cash or credit’.</w:t>
      </w:r>
      <w:r>
        <w:rPr>
          <w:sz w:val="24"/>
          <w:szCs w:val="24"/>
        </w:rPr>
        <w:t xml:space="preserve"> It is therefore </w:t>
      </w:r>
      <w:r w:rsidR="00BE33D5">
        <w:rPr>
          <w:sz w:val="24"/>
          <w:szCs w:val="24"/>
        </w:rPr>
        <w:t>appropriate that the regulation</w:t>
      </w:r>
      <w:r w:rsidR="00BE33D5">
        <w:rPr>
          <w:sz w:val="24"/>
          <w:szCs w:val="24"/>
        </w:rPr>
        <w:noBreakHyphen/>
      </w:r>
      <w:proofErr w:type="spellStart"/>
      <w:r>
        <w:rPr>
          <w:sz w:val="24"/>
          <w:szCs w:val="24"/>
        </w:rPr>
        <w:t>making</w:t>
      </w:r>
      <w:proofErr w:type="spellEnd"/>
      <w:r>
        <w:rPr>
          <w:sz w:val="24"/>
          <w:szCs w:val="24"/>
        </w:rPr>
        <w:t xml:space="preserve"> power includes the power to make regulations for all types of cash facilities, rather than it being limited to a single type of cash facility (EFTPOS).</w:t>
      </w:r>
      <w:r w:rsidR="00A46C46">
        <w:rPr>
          <w:sz w:val="24"/>
          <w:szCs w:val="24"/>
        </w:rPr>
        <w:t xml:space="preserve"> </w:t>
      </w:r>
      <w:r>
        <w:rPr>
          <w:sz w:val="24"/>
          <w:szCs w:val="24"/>
        </w:rPr>
        <w:t>Including all cash facilities within the regulation-making power provides the Government with the ability to respond to technological advances in equipment or emerging forms of access to money such a</w:t>
      </w:r>
      <w:r w:rsidR="00324060">
        <w:rPr>
          <w:sz w:val="24"/>
          <w:szCs w:val="24"/>
        </w:rPr>
        <w:t xml:space="preserve">s the rise in </w:t>
      </w:r>
      <w:proofErr w:type="spellStart"/>
      <w:r w:rsidR="00324060">
        <w:rPr>
          <w:sz w:val="24"/>
          <w:szCs w:val="24"/>
        </w:rPr>
        <w:t>cryptocurrencies</w:t>
      </w:r>
      <w:proofErr w:type="spellEnd"/>
      <w:r w:rsidR="00324060">
        <w:rPr>
          <w:sz w:val="24"/>
          <w:szCs w:val="24"/>
        </w:rPr>
        <w:t>.</w:t>
      </w:r>
    </w:p>
    <w:p w:rsidR="00A526C9" w:rsidRDefault="00A526C9" w:rsidP="00A84CA4">
      <w:pPr>
        <w:spacing w:after="0" w:line="240" w:lineRule="auto"/>
        <w:rPr>
          <w:sz w:val="24"/>
          <w:szCs w:val="24"/>
        </w:rPr>
      </w:pPr>
    </w:p>
    <w:p w:rsidR="00A84CA4" w:rsidRPr="00BE33D5" w:rsidRDefault="00A84CA4" w:rsidP="00A84CA4">
      <w:pPr>
        <w:spacing w:after="0" w:line="240" w:lineRule="auto"/>
        <w:rPr>
          <w:sz w:val="24"/>
          <w:szCs w:val="24"/>
        </w:rPr>
      </w:pPr>
      <w:r>
        <w:rPr>
          <w:sz w:val="24"/>
          <w:szCs w:val="24"/>
        </w:rPr>
        <w:t xml:space="preserve">I also note that the offences have </w:t>
      </w:r>
      <w:r w:rsidR="00113168">
        <w:rPr>
          <w:sz w:val="24"/>
          <w:szCs w:val="24"/>
        </w:rPr>
        <w:t xml:space="preserve">been drafted </w:t>
      </w:r>
      <w:r w:rsidR="00A526C9">
        <w:rPr>
          <w:sz w:val="24"/>
          <w:szCs w:val="24"/>
        </w:rPr>
        <w:t xml:space="preserve">in compliance with </w:t>
      </w:r>
      <w:r w:rsidR="00113168">
        <w:rPr>
          <w:sz w:val="24"/>
          <w:szCs w:val="24"/>
        </w:rPr>
        <w:t xml:space="preserve">section 178(3) of the Act which provides for a maximum of 10 penalty units. </w:t>
      </w:r>
      <w:r w:rsidR="00A526C9">
        <w:rPr>
          <w:sz w:val="24"/>
          <w:szCs w:val="24"/>
        </w:rPr>
        <w:t xml:space="preserve">The offences are in line with others in the </w:t>
      </w:r>
      <w:r w:rsidR="00A526C9" w:rsidRPr="00BE33D5">
        <w:rPr>
          <w:sz w:val="24"/>
          <w:szCs w:val="24"/>
        </w:rPr>
        <w:t xml:space="preserve">Regulation, also being strict liability offences with a maximum </w:t>
      </w:r>
      <w:r w:rsidR="00324060">
        <w:rPr>
          <w:sz w:val="24"/>
          <w:szCs w:val="24"/>
        </w:rPr>
        <w:t>penalty of 10 penalty units (</w:t>
      </w:r>
      <w:r w:rsidR="00A526C9" w:rsidRPr="00BE33D5">
        <w:rPr>
          <w:sz w:val="24"/>
          <w:szCs w:val="24"/>
        </w:rPr>
        <w:t>for example</w:t>
      </w:r>
      <w:r w:rsidR="00324060">
        <w:rPr>
          <w:sz w:val="24"/>
          <w:szCs w:val="24"/>
        </w:rPr>
        <w:t>,</w:t>
      </w:r>
      <w:r w:rsidR="00A526C9" w:rsidRPr="00BE33D5">
        <w:rPr>
          <w:sz w:val="24"/>
          <w:szCs w:val="24"/>
        </w:rPr>
        <w:t xml:space="preserve"> </w:t>
      </w:r>
      <w:r w:rsidR="00BE33D5" w:rsidRPr="00BE33D5">
        <w:rPr>
          <w:sz w:val="24"/>
          <w:szCs w:val="24"/>
        </w:rPr>
        <w:t>section</w:t>
      </w:r>
      <w:r w:rsidR="00113168">
        <w:rPr>
          <w:sz w:val="24"/>
          <w:szCs w:val="24"/>
        </w:rPr>
        <w:t> </w:t>
      </w:r>
      <w:r w:rsidR="00BE33D5" w:rsidRPr="00BE33D5">
        <w:rPr>
          <w:sz w:val="24"/>
          <w:szCs w:val="24"/>
        </w:rPr>
        <w:t xml:space="preserve">28 </w:t>
      </w:r>
      <w:r w:rsidR="00324060">
        <w:rPr>
          <w:sz w:val="24"/>
          <w:szCs w:val="24"/>
        </w:rPr>
        <w:t xml:space="preserve">of the Regulation </w:t>
      </w:r>
      <w:r w:rsidR="00BE33D5" w:rsidRPr="00BE33D5">
        <w:rPr>
          <w:sz w:val="24"/>
          <w:szCs w:val="24"/>
        </w:rPr>
        <w:t>– Operating an unapproved cashless gaming system</w:t>
      </w:r>
      <w:r w:rsidR="000A4D17" w:rsidRPr="00BE33D5">
        <w:rPr>
          <w:sz w:val="24"/>
          <w:szCs w:val="24"/>
        </w:rPr>
        <w:t>)</w:t>
      </w:r>
      <w:r w:rsidR="00BE33D5" w:rsidRPr="00BE33D5">
        <w:rPr>
          <w:sz w:val="24"/>
          <w:szCs w:val="24"/>
        </w:rPr>
        <w:t>.</w:t>
      </w:r>
    </w:p>
    <w:p w:rsidR="00D810F5" w:rsidRPr="00BE33D5" w:rsidRDefault="00D810F5" w:rsidP="00A84CA4">
      <w:pPr>
        <w:spacing w:after="0" w:line="240" w:lineRule="auto"/>
        <w:rPr>
          <w:sz w:val="24"/>
          <w:szCs w:val="24"/>
        </w:rPr>
      </w:pPr>
    </w:p>
    <w:p w:rsidR="00BE33D5" w:rsidRDefault="00A46C46" w:rsidP="00A84CA4">
      <w:pPr>
        <w:spacing w:after="0" w:line="240" w:lineRule="auto"/>
        <w:rPr>
          <w:sz w:val="24"/>
          <w:szCs w:val="24"/>
        </w:rPr>
      </w:pPr>
      <w:r>
        <w:rPr>
          <w:sz w:val="24"/>
          <w:szCs w:val="24"/>
        </w:rPr>
        <w:t>The offences also comply</w:t>
      </w:r>
      <w:r w:rsidR="00D810F5" w:rsidRPr="00BE33D5">
        <w:rPr>
          <w:sz w:val="24"/>
          <w:szCs w:val="24"/>
        </w:rPr>
        <w:t xml:space="preserve"> with the</w:t>
      </w:r>
      <w:r w:rsidR="00113168">
        <w:rPr>
          <w:sz w:val="24"/>
          <w:szCs w:val="24"/>
        </w:rPr>
        <w:t xml:space="preserve"> </w:t>
      </w:r>
      <w:r w:rsidR="00113168" w:rsidRPr="00113168">
        <w:rPr>
          <w:i/>
          <w:sz w:val="24"/>
          <w:szCs w:val="24"/>
        </w:rPr>
        <w:t>Guide for Framing Offences</w:t>
      </w:r>
      <w:r w:rsidR="00113168">
        <w:rPr>
          <w:i/>
          <w:sz w:val="24"/>
          <w:szCs w:val="24"/>
        </w:rPr>
        <w:t xml:space="preserve"> </w:t>
      </w:r>
      <w:r w:rsidR="00113168">
        <w:rPr>
          <w:sz w:val="24"/>
          <w:szCs w:val="24"/>
        </w:rPr>
        <w:t xml:space="preserve">and the </w:t>
      </w:r>
      <w:r w:rsidR="00D810F5" w:rsidRPr="00BE33D5">
        <w:rPr>
          <w:sz w:val="24"/>
          <w:szCs w:val="24"/>
        </w:rPr>
        <w:t xml:space="preserve">Committee’s </w:t>
      </w:r>
      <w:r w:rsidR="00D810F5" w:rsidRPr="00BE33D5">
        <w:rPr>
          <w:i/>
          <w:sz w:val="24"/>
          <w:szCs w:val="24"/>
        </w:rPr>
        <w:t>Subordinate Legislation – Technical and Stylistic</w:t>
      </w:r>
      <w:r w:rsidR="00D810F5" w:rsidRPr="00D810F5">
        <w:rPr>
          <w:i/>
          <w:sz w:val="24"/>
          <w:szCs w:val="24"/>
        </w:rPr>
        <w:t xml:space="preserve"> Standards – Tips/Traps</w:t>
      </w:r>
      <w:r w:rsidR="00D810F5">
        <w:rPr>
          <w:sz w:val="24"/>
          <w:szCs w:val="24"/>
        </w:rPr>
        <w:t xml:space="preserve"> document, in that the offences do not involve imprisonment and are set well below the maximum </w:t>
      </w:r>
      <w:r w:rsidR="000F68F7">
        <w:rPr>
          <w:sz w:val="24"/>
          <w:szCs w:val="24"/>
        </w:rPr>
        <w:t xml:space="preserve">30 and </w:t>
      </w:r>
      <w:r w:rsidR="00D810F5">
        <w:rPr>
          <w:sz w:val="24"/>
          <w:szCs w:val="24"/>
        </w:rPr>
        <w:t xml:space="preserve">60 penalty units </w:t>
      </w:r>
      <w:r w:rsidR="000F68F7">
        <w:rPr>
          <w:sz w:val="24"/>
          <w:szCs w:val="24"/>
        </w:rPr>
        <w:t xml:space="preserve">respectively </w:t>
      </w:r>
      <w:r w:rsidR="00D810F5">
        <w:rPr>
          <w:sz w:val="24"/>
          <w:szCs w:val="24"/>
        </w:rPr>
        <w:t>set out in th</w:t>
      </w:r>
      <w:r w:rsidR="000F68F7">
        <w:rPr>
          <w:sz w:val="24"/>
          <w:szCs w:val="24"/>
        </w:rPr>
        <w:t>ose</w:t>
      </w:r>
      <w:r w:rsidR="00D810F5">
        <w:rPr>
          <w:sz w:val="24"/>
          <w:szCs w:val="24"/>
        </w:rPr>
        <w:t xml:space="preserve"> document</w:t>
      </w:r>
      <w:r w:rsidR="000F68F7">
        <w:rPr>
          <w:sz w:val="24"/>
          <w:szCs w:val="24"/>
        </w:rPr>
        <w:t>s</w:t>
      </w:r>
      <w:r w:rsidR="00D810F5">
        <w:rPr>
          <w:sz w:val="24"/>
          <w:szCs w:val="24"/>
        </w:rPr>
        <w:t>.</w:t>
      </w:r>
    </w:p>
    <w:p w:rsidR="00A84CA4" w:rsidRDefault="00A84CA4" w:rsidP="00A84CA4">
      <w:pPr>
        <w:spacing w:after="0" w:line="240" w:lineRule="auto"/>
        <w:rPr>
          <w:sz w:val="24"/>
          <w:szCs w:val="24"/>
        </w:rPr>
      </w:pPr>
    </w:p>
    <w:p w:rsidR="00A46C46" w:rsidRDefault="000A4D17" w:rsidP="000A4D17">
      <w:pPr>
        <w:spacing w:after="0" w:line="240" w:lineRule="auto"/>
        <w:rPr>
          <w:sz w:val="24"/>
          <w:szCs w:val="24"/>
        </w:rPr>
      </w:pPr>
      <w:r>
        <w:rPr>
          <w:sz w:val="24"/>
          <w:szCs w:val="24"/>
        </w:rPr>
        <w:t>I note that the option remains open to a future Assembly to disallow a regulation made under the new regulation-making power, should that Assembly consider it has been inappropriately exercised</w:t>
      </w:r>
      <w:r w:rsidR="00A46C46">
        <w:rPr>
          <w:sz w:val="24"/>
          <w:szCs w:val="24"/>
        </w:rPr>
        <w:t xml:space="preserve">, and </w:t>
      </w:r>
      <w:r w:rsidR="003F2EBC">
        <w:rPr>
          <w:sz w:val="24"/>
          <w:szCs w:val="24"/>
        </w:rPr>
        <w:t xml:space="preserve">that such regulation would </w:t>
      </w:r>
      <w:r w:rsidR="00A46C46">
        <w:rPr>
          <w:sz w:val="24"/>
          <w:szCs w:val="24"/>
        </w:rPr>
        <w:t>also be subject to Scrutiny review.</w:t>
      </w:r>
    </w:p>
    <w:p w:rsidR="00A46C46" w:rsidRDefault="00A46C46" w:rsidP="000A4D17">
      <w:pPr>
        <w:spacing w:after="0" w:line="240" w:lineRule="auto"/>
        <w:rPr>
          <w:sz w:val="24"/>
          <w:szCs w:val="24"/>
        </w:rPr>
      </w:pPr>
    </w:p>
    <w:p w:rsidR="000A4D17" w:rsidRDefault="00A84CA4" w:rsidP="000A4D17">
      <w:pPr>
        <w:spacing w:after="0" w:line="240" w:lineRule="auto"/>
        <w:rPr>
          <w:sz w:val="24"/>
          <w:szCs w:val="24"/>
        </w:rPr>
      </w:pPr>
      <w:r w:rsidRPr="000A4D17">
        <w:rPr>
          <w:sz w:val="24"/>
          <w:szCs w:val="24"/>
        </w:rPr>
        <w:t xml:space="preserve">In this </w:t>
      </w:r>
      <w:r w:rsidR="00A46C46">
        <w:rPr>
          <w:sz w:val="24"/>
          <w:szCs w:val="24"/>
        </w:rPr>
        <w:t>instance</w:t>
      </w:r>
      <w:r w:rsidRPr="000A4D17">
        <w:rPr>
          <w:sz w:val="24"/>
          <w:szCs w:val="24"/>
        </w:rPr>
        <w:t>, however, I consider that making amendments to the Gaming Machine Regulation through the power conferred by the amendments in the Bill is the right way to implement further controls on access to cash in clubs</w:t>
      </w:r>
      <w:r w:rsidR="000A4D17" w:rsidRPr="000A4D17">
        <w:rPr>
          <w:sz w:val="24"/>
          <w:szCs w:val="24"/>
        </w:rPr>
        <w:t>.</w:t>
      </w:r>
      <w:r w:rsidR="00A46C46">
        <w:rPr>
          <w:sz w:val="24"/>
          <w:szCs w:val="24"/>
        </w:rPr>
        <w:t xml:space="preserve"> </w:t>
      </w:r>
      <w:r w:rsidR="000A4D17">
        <w:rPr>
          <w:sz w:val="24"/>
          <w:szCs w:val="24"/>
        </w:rPr>
        <w:t>Noting the Committee’s comments that the justification for the offences is not included in the Explanatory Statement for the Bill, during debate I intend to table a Revised Explanatory Statement including such justification.</w:t>
      </w:r>
    </w:p>
    <w:p w:rsidR="00DC7B8D" w:rsidRDefault="00DC7B8D" w:rsidP="000A4D17">
      <w:pPr>
        <w:spacing w:after="0" w:line="240" w:lineRule="auto"/>
        <w:rPr>
          <w:sz w:val="24"/>
          <w:szCs w:val="24"/>
        </w:rPr>
      </w:pPr>
    </w:p>
    <w:p w:rsidR="00DC7B8D" w:rsidRDefault="00DC7B8D" w:rsidP="00DC7B8D">
      <w:pPr>
        <w:spacing w:after="0" w:line="240" w:lineRule="auto"/>
        <w:rPr>
          <w:sz w:val="24"/>
          <w:szCs w:val="24"/>
        </w:rPr>
      </w:pPr>
      <w:r w:rsidRPr="00DC7B8D">
        <w:rPr>
          <w:sz w:val="24"/>
          <w:szCs w:val="24"/>
        </w:rPr>
        <w:t>I trust that the response addresses the Committee’s comments in relation to the Bill</w:t>
      </w:r>
      <w:r w:rsidR="0079719B">
        <w:rPr>
          <w:sz w:val="24"/>
          <w:szCs w:val="24"/>
        </w:rPr>
        <w:t>.</w:t>
      </w:r>
    </w:p>
    <w:p w:rsidR="000A4D17" w:rsidRDefault="000A4D17" w:rsidP="000A4D17">
      <w:pPr>
        <w:spacing w:after="0" w:line="240" w:lineRule="auto"/>
        <w:rPr>
          <w:sz w:val="24"/>
          <w:szCs w:val="24"/>
        </w:rPr>
      </w:pPr>
    </w:p>
    <w:p w:rsidR="00AD7D31" w:rsidRPr="00EA5686" w:rsidRDefault="00AD7D31" w:rsidP="00AD7D31">
      <w:pPr>
        <w:spacing w:after="0" w:line="240" w:lineRule="auto"/>
        <w:rPr>
          <w:rFonts w:ascii="Calibri" w:hAnsi="Calibri"/>
          <w:sz w:val="24"/>
          <w:szCs w:val="24"/>
        </w:rPr>
      </w:pPr>
      <w:r w:rsidRPr="00EA5686">
        <w:rPr>
          <w:rFonts w:ascii="Calibri" w:hAnsi="Calibri"/>
          <w:sz w:val="24"/>
          <w:szCs w:val="24"/>
        </w:rPr>
        <w:t>Yours sincerely</w:t>
      </w:r>
    </w:p>
    <w:p w:rsidR="00A84CA4" w:rsidRDefault="00A84CA4" w:rsidP="00AD7D31">
      <w:pPr>
        <w:spacing w:after="0" w:line="240" w:lineRule="auto"/>
        <w:rPr>
          <w:rFonts w:ascii="Calibri" w:hAnsi="Calibri"/>
          <w:sz w:val="24"/>
          <w:szCs w:val="24"/>
        </w:rPr>
      </w:pPr>
    </w:p>
    <w:p w:rsidR="00AD7D31" w:rsidRDefault="00AD7D31" w:rsidP="00AD7D31">
      <w:pPr>
        <w:spacing w:after="0" w:line="240" w:lineRule="auto"/>
        <w:rPr>
          <w:rFonts w:ascii="Calibri" w:hAnsi="Calibri"/>
          <w:sz w:val="24"/>
          <w:szCs w:val="24"/>
        </w:rPr>
      </w:pPr>
    </w:p>
    <w:p w:rsidR="00A84CA4" w:rsidRPr="00EA5686" w:rsidRDefault="00A84CA4" w:rsidP="00AD7D31">
      <w:pPr>
        <w:spacing w:after="0" w:line="240" w:lineRule="auto"/>
        <w:rPr>
          <w:rFonts w:ascii="Calibri" w:hAnsi="Calibri"/>
          <w:sz w:val="24"/>
          <w:szCs w:val="24"/>
        </w:rPr>
      </w:pPr>
    </w:p>
    <w:p w:rsidR="00AD7D31" w:rsidRDefault="00493B73" w:rsidP="00AD7D31">
      <w:pPr>
        <w:spacing w:after="0" w:line="240" w:lineRule="auto"/>
        <w:rPr>
          <w:rFonts w:ascii="Calibri" w:hAnsi="Calibri"/>
          <w:sz w:val="24"/>
          <w:szCs w:val="24"/>
        </w:rPr>
      </w:pPr>
      <w:r w:rsidRPr="00EA5686">
        <w:rPr>
          <w:rFonts w:ascii="Calibri" w:hAnsi="Calibri"/>
          <w:sz w:val="24"/>
          <w:szCs w:val="24"/>
        </w:rPr>
        <w:t>Gordon</w:t>
      </w:r>
      <w:r w:rsidR="00AD7D31" w:rsidRPr="00EA5686">
        <w:rPr>
          <w:rFonts w:ascii="Calibri" w:hAnsi="Calibri"/>
          <w:sz w:val="24"/>
          <w:szCs w:val="24"/>
        </w:rPr>
        <w:t xml:space="preserve"> </w:t>
      </w:r>
      <w:r w:rsidRPr="00EA5686">
        <w:rPr>
          <w:rFonts w:ascii="Calibri" w:hAnsi="Calibri"/>
          <w:sz w:val="24"/>
          <w:szCs w:val="24"/>
        </w:rPr>
        <w:t>Ramsay</w:t>
      </w:r>
      <w:r w:rsidR="00AD7D31" w:rsidRPr="00EA5686">
        <w:rPr>
          <w:rFonts w:ascii="Calibri" w:hAnsi="Calibri"/>
          <w:sz w:val="24"/>
          <w:szCs w:val="24"/>
        </w:rPr>
        <w:t xml:space="preserve"> MLA</w:t>
      </w:r>
    </w:p>
    <w:p w:rsidR="00403685" w:rsidRPr="00EA5686" w:rsidRDefault="00403685" w:rsidP="00AD7D31">
      <w:pPr>
        <w:spacing w:after="0" w:line="240" w:lineRule="auto"/>
        <w:rPr>
          <w:rFonts w:ascii="Calibri" w:hAnsi="Calibri"/>
          <w:sz w:val="24"/>
          <w:szCs w:val="24"/>
        </w:rPr>
      </w:pPr>
      <w:r>
        <w:rPr>
          <w:rFonts w:ascii="Calibri" w:hAnsi="Calibri"/>
          <w:sz w:val="24"/>
          <w:szCs w:val="24"/>
        </w:rPr>
        <w:t>Attorney-</w:t>
      </w:r>
      <w:bookmarkStart w:id="0" w:name="_GoBack"/>
      <w:bookmarkEnd w:id="0"/>
      <w:r>
        <w:rPr>
          <w:rFonts w:ascii="Calibri" w:hAnsi="Calibri"/>
          <w:sz w:val="24"/>
          <w:szCs w:val="24"/>
        </w:rPr>
        <w:t>General</w:t>
      </w:r>
    </w:p>
    <w:sectPr w:rsidR="00403685" w:rsidRPr="00EA5686" w:rsidSect="004903F3">
      <w:headerReference w:type="default" r:id="rId8"/>
      <w:headerReference w:type="first" r:id="rId9"/>
      <w:footerReference w:type="first" r:id="rId10"/>
      <w:pgSz w:w="11906" w:h="16838" w:code="9"/>
      <w:pgMar w:top="1440" w:right="1021" w:bottom="1440" w:left="1021" w:header="99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8F7" w:rsidRDefault="000F68F7" w:rsidP="00AD7D31">
      <w:pPr>
        <w:spacing w:after="0" w:line="240" w:lineRule="auto"/>
      </w:pPr>
      <w:r>
        <w:separator/>
      </w:r>
    </w:p>
  </w:endnote>
  <w:endnote w:type="continuationSeparator" w:id="0">
    <w:p w:rsidR="000F68F7" w:rsidRDefault="000F68F7"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8F7" w:rsidRDefault="000F68F7"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1220" cy="357317"/>
                  </a:xfrm>
                  <a:prstGeom prst="rect">
                    <a:avLst/>
                  </a:prstGeom>
                </pic:spPr>
              </pic:pic>
            </a:graphicData>
          </a:graphic>
        </wp:anchor>
      </w:drawing>
    </w:r>
    <w:r>
      <w:rPr>
        <w:rFonts w:ascii="Arial"/>
        <w:color w:val="231F20"/>
        <w:spacing w:val="-1"/>
      </w:rPr>
      <w:t xml:space="preserve">AUSTRALIAN CAPITAL TERRITORY </w:t>
    </w:r>
    <w:r>
      <w:rPr>
        <w:rFonts w:ascii="Arial"/>
        <w:color w:val="231F20"/>
        <w:spacing w:val="-2"/>
      </w:rPr>
      <w:t>LEGISLATIVE</w:t>
    </w:r>
    <w:r>
      <w:rPr>
        <w:rFonts w:ascii="Arial"/>
        <w:color w:val="231F20"/>
        <w:spacing w:val="-15"/>
      </w:rPr>
      <w:t xml:space="preserve"> </w:t>
    </w:r>
    <w:r>
      <w:rPr>
        <w:rFonts w:ascii="Arial"/>
        <w:color w:val="231F20"/>
        <w:spacing w:val="-4"/>
      </w:rPr>
      <w:t>ASSEMBL</w:t>
    </w:r>
    <w:r>
      <w:rPr>
        <w:rFonts w:ascii="Arial"/>
        <w:color w:val="231F20"/>
        <w:spacing w:val="-5"/>
      </w:rPr>
      <w:t>Y</w:t>
    </w:r>
  </w:p>
  <w:p w:rsidR="000F68F7" w:rsidRPr="009C2877" w:rsidRDefault="009F13B2" w:rsidP="0064748B">
    <w:pPr>
      <w:pStyle w:val="BodyText"/>
      <w:tabs>
        <w:tab w:val="left" w:pos="3342"/>
      </w:tabs>
      <w:spacing w:before="44" w:after="80"/>
      <w:ind w:left="0"/>
      <w:rPr>
        <w:sz w:val="20"/>
        <w:szCs w:val="20"/>
      </w:rPr>
    </w:pPr>
    <w:r>
      <w:rPr>
        <w:noProof/>
        <w:sz w:val="20"/>
        <w:szCs w:val="20"/>
        <w:lang w:val="en-AU" w:eastAsia="en-AU"/>
      </w:rPr>
      <w:pict>
        <v:group id="Group 12" o:spid="_x0000_s26638"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26639"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0F68F7" w:rsidRPr="009C2877">
      <w:rPr>
        <w:rFonts w:ascii="Calibri Light"/>
        <w:color w:val="231F20"/>
        <w:sz w:val="20"/>
        <w:szCs w:val="20"/>
      </w:rPr>
      <w:t>London Circui</w:t>
    </w:r>
    <w:r w:rsidR="000F68F7">
      <w:rPr>
        <w:rFonts w:ascii="Calibri Light"/>
        <w:color w:val="231F20"/>
        <w:sz w:val="20"/>
        <w:szCs w:val="20"/>
      </w:rPr>
      <w:t xml:space="preserve">t, Canberra ACT 2601, Australia        </w:t>
    </w:r>
    <w:r w:rsidR="000F68F7" w:rsidRPr="009C2877">
      <w:rPr>
        <w:rFonts w:ascii="Calibri Light"/>
        <w:color w:val="231F20"/>
        <w:sz w:val="20"/>
        <w:szCs w:val="20"/>
      </w:rPr>
      <w:t>GPO Box 1020, Canberra ACT 2601, Australia</w:t>
    </w:r>
    <w:r w:rsidR="000F68F7" w:rsidRPr="009C2877">
      <w:rPr>
        <w:rFonts w:ascii="Calibri Light"/>
        <w:color w:val="231F20"/>
        <w:sz w:val="20"/>
        <w:szCs w:val="20"/>
      </w:rPr>
      <w:br/>
    </w:r>
    <w:r w:rsidR="000F68F7" w:rsidRPr="009C2877">
      <w:rPr>
        <w:rFonts w:ascii="Calibri Light"/>
        <w:b/>
        <w:color w:val="231F20"/>
        <w:sz w:val="20"/>
        <w:szCs w:val="20"/>
      </w:rPr>
      <w:t>Phone</w:t>
    </w:r>
    <w:r w:rsidR="000F68F7" w:rsidRPr="009C2877">
      <w:rPr>
        <w:rFonts w:ascii="Calibri Light"/>
        <w:color w:val="231F20"/>
        <w:sz w:val="20"/>
        <w:szCs w:val="20"/>
      </w:rPr>
      <w:t xml:space="preserve"> +61 2 6205 </w:t>
    </w:r>
    <w:r w:rsidR="000F68F7">
      <w:rPr>
        <w:rFonts w:ascii="Calibri Light"/>
        <w:color w:val="231F20"/>
        <w:sz w:val="20"/>
        <w:szCs w:val="20"/>
      </w:rPr>
      <w:t>2615</w:t>
    </w:r>
    <w:r w:rsidR="000F68F7" w:rsidRPr="009C2877">
      <w:rPr>
        <w:sz w:val="20"/>
        <w:szCs w:val="20"/>
      </w:rPr>
      <w:t>    </w:t>
    </w:r>
    <w:r w:rsidR="000F68F7">
      <w:rPr>
        <w:rFonts w:ascii="Calibri Light"/>
        <w:b/>
        <w:sz w:val="20"/>
        <w:szCs w:val="20"/>
      </w:rPr>
      <w:t xml:space="preserve"> </w:t>
    </w:r>
    <w:r w:rsidR="000F68F7" w:rsidRPr="00E52D79">
      <w:rPr>
        <w:rFonts w:ascii="Calibri Light"/>
        <w:b/>
        <w:sz w:val="20"/>
        <w:szCs w:val="20"/>
      </w:rPr>
      <w:t>Email</w:t>
    </w:r>
    <w:r w:rsidR="000F68F7" w:rsidRPr="00E52D79">
      <w:rPr>
        <w:rFonts w:ascii="Calibri Light"/>
        <w:sz w:val="20"/>
        <w:szCs w:val="20"/>
      </w:rPr>
      <w:t xml:space="preserve"> r</w:t>
    </w:r>
    <w:r w:rsidR="000F68F7" w:rsidRPr="00E52D79">
      <w:rPr>
        <w:rFonts w:ascii="Calibri Light"/>
        <w:spacing w:val="-2"/>
        <w:sz w:val="20"/>
        <w:szCs w:val="20"/>
      </w:rPr>
      <w:t>amsay@act.gov.au</w:t>
    </w:r>
    <w:r>
      <w:rPr>
        <w:noProof/>
        <w:sz w:val="20"/>
        <w:szCs w:val="20"/>
        <w:lang w:val="en-AU" w:eastAsia="en-AU"/>
      </w:rPr>
      <w:pict>
        <v:group id="Group 14" o:spid="_x0000_s26630"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2663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26636"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2663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2663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2663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2663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2663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p w:rsidR="000F68F7" w:rsidRPr="0064748B" w:rsidRDefault="009F13B2" w:rsidP="0064748B">
    <w:pPr>
      <w:pStyle w:val="Footer"/>
    </w:pPr>
    <w:r w:rsidRPr="009F13B2">
      <w:rPr>
        <w:noProof/>
        <w:sz w:val="20"/>
        <w:szCs w:val="20"/>
        <w:lang w:eastAsia="en-AU"/>
      </w:rPr>
      <w:pict>
        <v:shapetype id="_x0000_t202" coordsize="21600,21600" o:spt="202" path="m,l,21600r21600,l21600,xe">
          <v:stroke joinstyle="miter"/>
          <v:path gradientshapeok="t" o:connecttype="rect"/>
        </v:shapetype>
        <v:shape id="Text Box 10" o:spid="_x0000_s26629" type="#_x0000_t202" style="position:absolute;margin-left:234.75pt;margin-top:808.5pt;width:114pt;height:1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2Rrw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" filled="f" stroked="f">
          <v:textbox inset="0,0,0,0">
            <w:txbxContent>
              <w:p w:rsidR="000F68F7" w:rsidRPr="00E52D79" w:rsidRDefault="000F68F7" w:rsidP="00DD5480">
                <w:pPr>
                  <w:rPr>
                    <w:rFonts w:asciiTheme="majorHAnsi" w:hAnsiTheme="majorHAnsi"/>
                    <w:sz w:val="24"/>
                    <w:szCs w:val="24"/>
                  </w:rPr>
                </w:pPr>
                <w:r w:rsidRPr="00E52D79">
                  <w:rPr>
                    <w:rFonts w:asciiTheme="majorHAnsi" w:hAnsiTheme="majorHAnsi"/>
                    <w:sz w:val="24"/>
                    <w:szCs w:val="24"/>
                  </w:rPr>
                  <w:t>Gordon Ramsay MLA</w:t>
                </w:r>
              </w:p>
              <w:p w:rsidR="000F68F7" w:rsidRPr="0039472D" w:rsidRDefault="000F68F7" w:rsidP="0064748B">
                <w:pPr>
                  <w:pStyle w:val="BodyText"/>
                  <w:spacing w:line="244" w:lineRule="exact"/>
                  <w:rPr>
                    <w:rFonts w:ascii="Calibri Light" w:eastAsia="Calibri Light" w:hAnsi="Calibri Light" w:cs="Calibri Light"/>
                    <w:sz w:val="24"/>
                    <w:szCs w:val="24"/>
                  </w:rPr>
                </w:pPr>
              </w:p>
            </w:txbxContent>
          </v:textbox>
          <w10:wrap anchorx="page" anchory="page"/>
        </v:shape>
      </w:pict>
    </w:r>
    <w:r w:rsidRPr="009F13B2">
      <w:rPr>
        <w:noProof/>
        <w:sz w:val="20"/>
        <w:szCs w:val="20"/>
        <w:lang w:eastAsia="en-AU"/>
      </w:rPr>
      <w:pict>
        <v:shape id="Text Box 11" o:spid="_x0000_s26628" type="#_x0000_t202" style="position:absolute;margin-left:74.25pt;margin-top:806.25pt;width:110.25pt;height:1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" filled="f" stroked="f">
          <v:textbox inset="0,0,0,0">
            <w:txbxContent>
              <w:p w:rsidR="000F68F7" w:rsidRPr="0039472D" w:rsidRDefault="000F68F7" w:rsidP="00493B73">
                <w:pPr>
                  <w:pStyle w:val="BodyText"/>
                  <w:spacing w:line="480" w:lineRule="auto"/>
                  <w:ind w:left="0"/>
                  <w:rPr>
                    <w:rFonts w:ascii="Calibri Light" w:eastAsia="Calibri Light" w:hAnsi="Calibri Light" w:cs="Calibri Light"/>
                    <w:sz w:val="24"/>
                    <w:szCs w:val="24"/>
                  </w:rPr>
                </w:pPr>
                <w:r w:rsidRPr="00D10354">
                  <w:rPr>
                    <w:rFonts w:ascii="Calibri Light" w:eastAsia="Calibri Light" w:hAnsi="Calibri Light" w:cs="Calibri Light"/>
                    <w:sz w:val="24"/>
                    <w:szCs w:val="24"/>
                  </w:rPr>
                  <w:t>@</w:t>
                </w:r>
                <w:proofErr w:type="spellStart"/>
                <w:r w:rsidRPr="00D10354">
                  <w:rPr>
                    <w:rFonts w:ascii="Calibri Light" w:eastAsia="Calibri Light" w:hAnsi="Calibri Light" w:cs="Calibri Light"/>
                    <w:sz w:val="24"/>
                    <w:szCs w:val="24"/>
                  </w:rPr>
                  <w:t>Gordon_R_Ramsay</w:t>
                </w:r>
                <w:proofErr w:type="spellEnd"/>
              </w:p>
            </w:txbxContent>
          </v:textbox>
          <w10:wrap anchorx="page" anchory="page"/>
        </v:shape>
      </w:pict>
    </w:r>
    <w:r w:rsidRPr="009F13B2">
      <w:rPr>
        <w:noProof/>
        <w:sz w:val="20"/>
        <w:szCs w:val="20"/>
        <w:lang w:eastAsia="en-AU"/>
      </w:rPr>
      <w:pict>
        <v:group id="Group 22" o:spid="_x0000_s26625" style="position:absolute;margin-left:208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">
          <v:shape id="Freeform 14" o:spid="_x0000_s26627"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26626"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8F7" w:rsidRDefault="000F68F7" w:rsidP="00AD7D31">
      <w:pPr>
        <w:spacing w:after="0" w:line="240" w:lineRule="auto"/>
      </w:pPr>
      <w:r>
        <w:separator/>
      </w:r>
    </w:p>
  </w:footnote>
  <w:footnote w:type="continuationSeparator" w:id="0">
    <w:p w:rsidR="000F68F7" w:rsidRDefault="000F68F7" w:rsidP="00AD7D31">
      <w:pPr>
        <w:spacing w:after="0" w:line="240" w:lineRule="auto"/>
      </w:pPr>
      <w:r>
        <w:continuationSeparator/>
      </w:r>
    </w:p>
  </w:footnote>
  <w:footnote w:id="1">
    <w:p w:rsidR="000F68F7" w:rsidRPr="00A526C9" w:rsidRDefault="000F68F7" w:rsidP="00A526C9">
      <w:pPr>
        <w:pStyle w:val="FootnoteText"/>
        <w:rPr>
          <w:rFonts w:asciiTheme="minorHAnsi" w:hAnsiTheme="minorHAnsi"/>
        </w:rPr>
      </w:pPr>
      <w:r>
        <w:rPr>
          <w:rStyle w:val="FootnoteReference"/>
        </w:rPr>
        <w:footnoteRef/>
      </w:r>
      <w:r>
        <w:t xml:space="preserve"> </w:t>
      </w:r>
      <w:r w:rsidRPr="00A46C46">
        <w:rPr>
          <w:rFonts w:asciiTheme="minorHAnsi" w:hAnsiTheme="minorHAnsi"/>
        </w:rPr>
        <w:t xml:space="preserve">Pearce, D and Argument, S (2012) </w:t>
      </w:r>
      <w:r w:rsidRPr="00A46C46">
        <w:rPr>
          <w:rFonts w:asciiTheme="minorHAnsi" w:hAnsiTheme="minorHAnsi"/>
          <w:i/>
        </w:rPr>
        <w:t>Delegated Legislation in Australia</w:t>
      </w:r>
      <w:r w:rsidRPr="00A46C46">
        <w:rPr>
          <w:rFonts w:asciiTheme="minorHAnsi" w:hAnsiTheme="minorHAnsi"/>
        </w:rPr>
        <w:t>, 4</w:t>
      </w:r>
      <w:r w:rsidRPr="00A46C46">
        <w:rPr>
          <w:rFonts w:asciiTheme="minorHAnsi" w:hAnsiTheme="minorHAnsi"/>
          <w:vertAlign w:val="superscript"/>
        </w:rPr>
        <w:t>th</w:t>
      </w:r>
      <w:r w:rsidRPr="00A46C46">
        <w:rPr>
          <w:rFonts w:asciiTheme="minorHAnsi" w:hAnsiTheme="minorHAnsi"/>
        </w:rPr>
        <w:t xml:space="preserve"> </w:t>
      </w:r>
      <w:proofErr w:type="spellStart"/>
      <w:r w:rsidRPr="00A46C46">
        <w:rPr>
          <w:rFonts w:asciiTheme="minorHAnsi" w:hAnsiTheme="minorHAnsi"/>
        </w:rPr>
        <w:t>edn</w:t>
      </w:r>
      <w:proofErr w:type="spellEnd"/>
      <w:r w:rsidRPr="00A46C46">
        <w:rPr>
          <w:rFonts w:asciiTheme="minorHAnsi" w:hAnsiTheme="minorHAnsi"/>
        </w:rPr>
        <w:t xml:space="preserve">, LexisNexis </w:t>
      </w:r>
      <w:proofErr w:type="spellStart"/>
      <w:r w:rsidRPr="00A46C46">
        <w:rPr>
          <w:rFonts w:asciiTheme="minorHAnsi" w:hAnsiTheme="minorHAnsi"/>
        </w:rPr>
        <w:t>Butterworths</w:t>
      </w:r>
      <w:proofErr w:type="spellEnd"/>
      <w:r w:rsidRPr="00A46C46">
        <w:rPr>
          <w:rFonts w:asciiTheme="minorHAnsi" w:hAnsiTheme="minorHAnsi"/>
        </w:rPr>
        <w:t>, Chatswood, page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8F7" w:rsidRDefault="000F68F7">
    <w:pPr>
      <w:pStyle w:val="Header"/>
    </w:pPr>
  </w:p>
  <w:p w:rsidR="000F68F7" w:rsidRDefault="000F68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8F7" w:rsidRDefault="000F68F7" w:rsidP="003B0C47">
    <w:pPr>
      <w:tabs>
        <w:tab w:val="left" w:pos="7216"/>
      </w:tabs>
      <w:spacing w:before="179" w:after="0"/>
      <w:rPr>
        <w:rFonts w:ascii="Arial"/>
        <w:b/>
        <w:color w:val="231F20"/>
        <w:sz w:val="24"/>
      </w:rPr>
    </w:pPr>
    <w:r>
      <w:rPr>
        <w:noProof/>
        <w:lang w:eastAsia="en-AU"/>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7600" cy="828000"/>
                  </a:xfrm>
                  <a:prstGeom prst="rect">
                    <a:avLst/>
                  </a:prstGeom>
                </pic:spPr>
              </pic:pic>
            </a:graphicData>
          </a:graphic>
        </wp:anchor>
      </w:drawing>
    </w:r>
    <w:r>
      <w:rPr>
        <w:rFonts w:ascii="Arial"/>
        <w:b/>
        <w:color w:val="231F20"/>
        <w:sz w:val="35"/>
      </w:rPr>
      <w:t>Gordon Ramsay</w:t>
    </w:r>
    <w:r>
      <w:rPr>
        <w:rFonts w:ascii="Arial"/>
        <w:b/>
        <w:color w:val="231F20"/>
        <w:spacing w:val="15"/>
        <w:sz w:val="35"/>
      </w:rPr>
      <w:t xml:space="preserve"> </w:t>
    </w:r>
    <w:r>
      <w:rPr>
        <w:rFonts w:ascii="Arial"/>
        <w:b/>
        <w:color w:val="231F20"/>
        <w:sz w:val="24"/>
      </w:rPr>
      <w:t>MLA</w:t>
    </w:r>
  </w:p>
  <w:p w:rsidR="000F68F7" w:rsidRPr="004F08B7" w:rsidRDefault="000F68F7" w:rsidP="003B0C47">
    <w:pPr>
      <w:tabs>
        <w:tab w:val="left" w:pos="7216"/>
      </w:tabs>
      <w:spacing w:before="80"/>
      <w:rPr>
        <w:rFonts w:asciiTheme="majorHAnsi" w:hAnsiTheme="majorHAnsi"/>
      </w:rPr>
    </w:pPr>
    <w:r w:rsidRPr="004F08B7">
      <w:rPr>
        <w:rFonts w:asciiTheme="majorHAnsi" w:hAnsiTheme="majorHAnsi"/>
      </w:rPr>
      <w:t>Member</w:t>
    </w:r>
    <w:r w:rsidRPr="004F08B7">
      <w:rPr>
        <w:rFonts w:asciiTheme="majorHAnsi" w:hAnsiTheme="majorHAnsi"/>
        <w:spacing w:val="-5"/>
      </w:rPr>
      <w:t xml:space="preserve"> </w:t>
    </w:r>
    <w:r w:rsidRPr="004F08B7">
      <w:rPr>
        <w:rFonts w:asciiTheme="majorHAnsi" w:hAnsiTheme="majorHAnsi"/>
        <w:spacing w:val="-2"/>
      </w:rPr>
      <w:t>for</w:t>
    </w:r>
    <w:r w:rsidRPr="004F08B7">
      <w:rPr>
        <w:rFonts w:asciiTheme="majorHAnsi" w:hAnsiTheme="majorHAnsi"/>
        <w:spacing w:val="-4"/>
      </w:rPr>
      <w:t xml:space="preserve"> </w:t>
    </w:r>
    <w:r w:rsidRPr="004F08B7">
      <w:rPr>
        <w:rFonts w:asciiTheme="majorHAnsi" w:hAnsiTheme="majorHAnsi"/>
      </w:rPr>
      <w:t>Ginninderra</w:t>
    </w:r>
  </w:p>
  <w:p w:rsidR="000F68F7" w:rsidRPr="00493B73" w:rsidRDefault="000F68F7"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Attorney-General</w:t>
    </w:r>
  </w:p>
  <w:p w:rsidR="000F68F7" w:rsidRPr="00493B73" w:rsidRDefault="000F68F7"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Regulatory Services</w:t>
    </w:r>
  </w:p>
  <w:p w:rsidR="000F68F7" w:rsidRPr="00493B73" w:rsidRDefault="000F68F7"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the Arts and Community Events</w:t>
    </w:r>
  </w:p>
  <w:p w:rsidR="000F68F7" w:rsidRDefault="000F68F7"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Veterans and Seniors</w:t>
    </w:r>
  </w:p>
  <w:p w:rsidR="000F68F7" w:rsidRDefault="000F68F7" w:rsidP="00493B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5FEB"/>
    <w:multiLevelType w:val="hybridMultilevel"/>
    <w:tmpl w:val="37E84A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342205"/>
    <w:multiLevelType w:val="hybridMultilevel"/>
    <w:tmpl w:val="997819A8"/>
    <w:lvl w:ilvl="0" w:tplc="8222F748">
      <w:start w:val="1"/>
      <w:numFmt w:val="bullet"/>
      <w:pStyle w:val="Asubparabullet"/>
      <w:lvlText w:val=""/>
      <w:lvlJc w:val="left"/>
      <w:pPr>
        <w:tabs>
          <w:tab w:val="num" w:pos="2540"/>
        </w:tabs>
        <w:ind w:left="254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13A0EE2"/>
    <w:multiLevelType w:val="hybridMultilevel"/>
    <w:tmpl w:val="2868964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D0754BF"/>
    <w:multiLevelType w:val="hybridMultilevel"/>
    <w:tmpl w:val="7012E512"/>
    <w:lvl w:ilvl="0" w:tplc="7A22FE9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12E1B80"/>
    <w:multiLevelType w:val="hybridMultilevel"/>
    <w:tmpl w:val="62F01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E653F5"/>
    <w:multiLevelType w:val="hybridMultilevel"/>
    <w:tmpl w:val="D8781C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65B6E8E"/>
    <w:multiLevelType w:val="multilevel"/>
    <w:tmpl w:val="9DB256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71C5BC1"/>
    <w:multiLevelType w:val="hybridMultilevel"/>
    <w:tmpl w:val="8E6EB5B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D3732E2"/>
    <w:multiLevelType w:val="hybridMultilevel"/>
    <w:tmpl w:val="7FAC4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06351C"/>
    <w:multiLevelType w:val="hybridMultilevel"/>
    <w:tmpl w:val="64102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5E0A4F"/>
    <w:multiLevelType w:val="hybridMultilevel"/>
    <w:tmpl w:val="4D644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49467D"/>
    <w:multiLevelType w:val="hybridMultilevel"/>
    <w:tmpl w:val="FE966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AB6E0D"/>
    <w:multiLevelType w:val="hybridMultilevel"/>
    <w:tmpl w:val="1C74FD80"/>
    <w:lvl w:ilvl="0" w:tplc="FA74CA5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AE0215"/>
    <w:multiLevelType w:val="hybridMultilevel"/>
    <w:tmpl w:val="38381672"/>
    <w:lvl w:ilvl="0" w:tplc="037AAE38">
      <w:start w:val="1"/>
      <w:numFmt w:val="lowerLetter"/>
      <w:lvlText w:val="(%1)"/>
      <w:lvlJc w:val="left"/>
      <w:pPr>
        <w:tabs>
          <w:tab w:val="num" w:pos="303"/>
        </w:tabs>
        <w:ind w:left="303" w:hanging="360"/>
      </w:pPr>
      <w:rPr>
        <w:rFonts w:hint="default"/>
      </w:rPr>
    </w:lvl>
    <w:lvl w:ilvl="1" w:tplc="0C090019" w:tentative="1">
      <w:start w:val="1"/>
      <w:numFmt w:val="lowerLetter"/>
      <w:lvlText w:val="%2."/>
      <w:lvlJc w:val="left"/>
      <w:pPr>
        <w:tabs>
          <w:tab w:val="num" w:pos="1023"/>
        </w:tabs>
        <w:ind w:left="1023" w:hanging="360"/>
      </w:pPr>
    </w:lvl>
    <w:lvl w:ilvl="2" w:tplc="0C09001B" w:tentative="1">
      <w:start w:val="1"/>
      <w:numFmt w:val="lowerRoman"/>
      <w:lvlText w:val="%3."/>
      <w:lvlJc w:val="right"/>
      <w:pPr>
        <w:tabs>
          <w:tab w:val="num" w:pos="1743"/>
        </w:tabs>
        <w:ind w:left="1743" w:hanging="180"/>
      </w:pPr>
    </w:lvl>
    <w:lvl w:ilvl="3" w:tplc="0C09000F" w:tentative="1">
      <w:start w:val="1"/>
      <w:numFmt w:val="decimal"/>
      <w:lvlText w:val="%4."/>
      <w:lvlJc w:val="left"/>
      <w:pPr>
        <w:tabs>
          <w:tab w:val="num" w:pos="2463"/>
        </w:tabs>
        <w:ind w:left="2463" w:hanging="360"/>
      </w:pPr>
    </w:lvl>
    <w:lvl w:ilvl="4" w:tplc="0C090019" w:tentative="1">
      <w:start w:val="1"/>
      <w:numFmt w:val="lowerLetter"/>
      <w:lvlText w:val="%5."/>
      <w:lvlJc w:val="left"/>
      <w:pPr>
        <w:tabs>
          <w:tab w:val="num" w:pos="3183"/>
        </w:tabs>
        <w:ind w:left="3183" w:hanging="360"/>
      </w:pPr>
    </w:lvl>
    <w:lvl w:ilvl="5" w:tplc="0C09001B" w:tentative="1">
      <w:start w:val="1"/>
      <w:numFmt w:val="lowerRoman"/>
      <w:lvlText w:val="%6."/>
      <w:lvlJc w:val="right"/>
      <w:pPr>
        <w:tabs>
          <w:tab w:val="num" w:pos="3903"/>
        </w:tabs>
        <w:ind w:left="3903" w:hanging="180"/>
      </w:pPr>
    </w:lvl>
    <w:lvl w:ilvl="6" w:tplc="0C09000F" w:tentative="1">
      <w:start w:val="1"/>
      <w:numFmt w:val="decimal"/>
      <w:lvlText w:val="%7."/>
      <w:lvlJc w:val="left"/>
      <w:pPr>
        <w:tabs>
          <w:tab w:val="num" w:pos="4623"/>
        </w:tabs>
        <w:ind w:left="4623" w:hanging="360"/>
      </w:pPr>
    </w:lvl>
    <w:lvl w:ilvl="7" w:tplc="0C090019" w:tentative="1">
      <w:start w:val="1"/>
      <w:numFmt w:val="lowerLetter"/>
      <w:lvlText w:val="%8."/>
      <w:lvlJc w:val="left"/>
      <w:pPr>
        <w:tabs>
          <w:tab w:val="num" w:pos="5343"/>
        </w:tabs>
        <w:ind w:left="5343" w:hanging="360"/>
      </w:pPr>
    </w:lvl>
    <w:lvl w:ilvl="8" w:tplc="0C09001B" w:tentative="1">
      <w:start w:val="1"/>
      <w:numFmt w:val="lowerRoman"/>
      <w:lvlText w:val="%9."/>
      <w:lvlJc w:val="right"/>
      <w:pPr>
        <w:tabs>
          <w:tab w:val="num" w:pos="6063"/>
        </w:tabs>
        <w:ind w:left="6063" w:hanging="180"/>
      </w:pPr>
    </w:lvl>
  </w:abstractNum>
  <w:abstractNum w:abstractNumId="14">
    <w:nsid w:val="56D03144"/>
    <w:multiLevelType w:val="hybridMultilevel"/>
    <w:tmpl w:val="59080E56"/>
    <w:lvl w:ilvl="0" w:tplc="37F05722">
      <w:start w:val="1"/>
      <w:numFmt w:val="decimal"/>
      <w:lvlText w:val="%1."/>
      <w:lvlJc w:val="left"/>
      <w:pPr>
        <w:ind w:left="360" w:hanging="360"/>
      </w:pPr>
      <w:rPr>
        <w:rFonts w:ascii="Times New Roman" w:eastAsia="Times New Roman" w:hAnsi="Times New Roman"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58A0330C"/>
    <w:multiLevelType w:val="hybridMultilevel"/>
    <w:tmpl w:val="01F2F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781551"/>
    <w:multiLevelType w:val="hybridMultilevel"/>
    <w:tmpl w:val="5CEC5D78"/>
    <w:lvl w:ilvl="0" w:tplc="B0AE839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95728D"/>
    <w:multiLevelType w:val="multilevel"/>
    <w:tmpl w:val="9DB256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2CA308C"/>
    <w:multiLevelType w:val="hybridMultilevel"/>
    <w:tmpl w:val="51DE0D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7FB51EB"/>
    <w:multiLevelType w:val="hybridMultilevel"/>
    <w:tmpl w:val="99C21E5E"/>
    <w:lvl w:ilvl="0" w:tplc="476A3E7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200B12"/>
    <w:multiLevelType w:val="hybridMultilevel"/>
    <w:tmpl w:val="DB2A5C48"/>
    <w:lvl w:ilvl="0" w:tplc="8222F74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A260044"/>
    <w:multiLevelType w:val="hybridMultilevel"/>
    <w:tmpl w:val="B73AC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B00366B"/>
    <w:multiLevelType w:val="hybridMultilevel"/>
    <w:tmpl w:val="DE282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BD05F84"/>
    <w:multiLevelType w:val="hybridMultilevel"/>
    <w:tmpl w:val="4D26FFF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FDB7252"/>
    <w:multiLevelType w:val="hybridMultilevel"/>
    <w:tmpl w:val="02A4B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F12C97"/>
    <w:multiLevelType w:val="hybridMultilevel"/>
    <w:tmpl w:val="B5AE7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D25A65"/>
    <w:multiLevelType w:val="hybridMultilevel"/>
    <w:tmpl w:val="2F124E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7429217E"/>
    <w:multiLevelType w:val="hybridMultilevel"/>
    <w:tmpl w:val="521C7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44E2A75"/>
    <w:multiLevelType w:val="hybridMultilevel"/>
    <w:tmpl w:val="CE588E40"/>
    <w:lvl w:ilvl="0" w:tplc="881284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B01716"/>
    <w:multiLevelType w:val="hybridMultilevel"/>
    <w:tmpl w:val="F2985C98"/>
    <w:lvl w:ilvl="0" w:tplc="3256886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5C1810"/>
    <w:multiLevelType w:val="hybridMultilevel"/>
    <w:tmpl w:val="A67EA232"/>
    <w:lvl w:ilvl="0" w:tplc="CC36ACAE">
      <w:start w:val="1"/>
      <w:numFmt w:val="decimal"/>
      <w:lvlText w:val="%1."/>
      <w:lvlJc w:val="left"/>
      <w:pPr>
        <w:tabs>
          <w:tab w:val="num" w:pos="567"/>
        </w:tabs>
        <w:ind w:left="0" w:firstLine="0"/>
      </w:pPr>
      <w:rPr>
        <w:rFonts w:hint="default"/>
      </w:rPr>
    </w:lvl>
    <w:lvl w:ilvl="1" w:tplc="0F00AEA2">
      <w:start w:val="1"/>
      <w:numFmt w:val="lowerLetter"/>
      <w:lvlText w:val="%2."/>
      <w:lvlJc w:val="left"/>
      <w:pPr>
        <w:tabs>
          <w:tab w:val="num" w:pos="1134"/>
        </w:tabs>
        <w:ind w:left="567" w:firstLine="0"/>
      </w:pPr>
      <w:rPr>
        <w:rFonts w:hint="default"/>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13"/>
  </w:num>
  <w:num w:numId="5">
    <w:abstractNumId w:val="20"/>
  </w:num>
  <w:num w:numId="6">
    <w:abstractNumId w:val="3"/>
  </w:num>
  <w:num w:numId="7">
    <w:abstractNumId w:val="7"/>
  </w:num>
  <w:num w:numId="8">
    <w:abstractNumId w:val="1"/>
  </w:num>
  <w:num w:numId="9">
    <w:abstractNumId w:val="23"/>
  </w:num>
  <w:num w:numId="10">
    <w:abstractNumId w:val="26"/>
  </w:num>
  <w:num w:numId="11">
    <w:abstractNumId w:val="30"/>
  </w:num>
  <w:num w:numId="12">
    <w:abstractNumId w:val="0"/>
  </w:num>
  <w:num w:numId="13">
    <w:abstractNumId w:val="14"/>
  </w:num>
  <w:num w:numId="14">
    <w:abstractNumId w:val="19"/>
  </w:num>
  <w:num w:numId="15">
    <w:abstractNumId w:val="28"/>
  </w:num>
  <w:num w:numId="16">
    <w:abstractNumId w:val="4"/>
  </w:num>
  <w:num w:numId="17">
    <w:abstractNumId w:val="25"/>
  </w:num>
  <w:num w:numId="18">
    <w:abstractNumId w:val="16"/>
  </w:num>
  <w:num w:numId="19">
    <w:abstractNumId w:val="18"/>
  </w:num>
  <w:num w:numId="20">
    <w:abstractNumId w:val="12"/>
  </w:num>
  <w:num w:numId="21">
    <w:abstractNumId w:val="10"/>
  </w:num>
  <w:num w:numId="22">
    <w:abstractNumId w:val="15"/>
  </w:num>
  <w:num w:numId="23">
    <w:abstractNumId w:val="24"/>
  </w:num>
  <w:num w:numId="24">
    <w:abstractNumId w:val="9"/>
  </w:num>
  <w:num w:numId="25">
    <w:abstractNumId w:val="21"/>
  </w:num>
  <w:num w:numId="26">
    <w:abstractNumId w:val="8"/>
  </w:num>
  <w:num w:numId="27">
    <w:abstractNumId w:val="29"/>
  </w:num>
  <w:num w:numId="28">
    <w:abstractNumId w:val="11"/>
  </w:num>
  <w:num w:numId="29">
    <w:abstractNumId w:val="17"/>
  </w:num>
  <w:num w:numId="30">
    <w:abstractNumId w:val="22"/>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6641"/>
    <o:shapelayout v:ext="edit">
      <o:idmap v:ext="edit" data="26"/>
    </o:shapelayout>
  </w:hdrShapeDefaults>
  <w:footnotePr>
    <w:footnote w:id="-1"/>
    <w:footnote w:id="0"/>
  </w:footnotePr>
  <w:endnotePr>
    <w:endnote w:id="-1"/>
    <w:endnote w:id="0"/>
  </w:endnotePr>
  <w:compat/>
  <w:rsids>
    <w:rsidRoot w:val="00AD7D31"/>
    <w:rsid w:val="000A4D17"/>
    <w:rsid w:val="000F68F7"/>
    <w:rsid w:val="0010309E"/>
    <w:rsid w:val="00113168"/>
    <w:rsid w:val="00126293"/>
    <w:rsid w:val="001804F3"/>
    <w:rsid w:val="00235EE7"/>
    <w:rsid w:val="00324060"/>
    <w:rsid w:val="003B0C47"/>
    <w:rsid w:val="003B328E"/>
    <w:rsid w:val="003F2EBC"/>
    <w:rsid w:val="00403685"/>
    <w:rsid w:val="004903F3"/>
    <w:rsid w:val="00493B73"/>
    <w:rsid w:val="004E3111"/>
    <w:rsid w:val="004F08B7"/>
    <w:rsid w:val="00505FB3"/>
    <w:rsid w:val="0055749D"/>
    <w:rsid w:val="005A0A11"/>
    <w:rsid w:val="005B3DDD"/>
    <w:rsid w:val="005B47E2"/>
    <w:rsid w:val="005E7DE1"/>
    <w:rsid w:val="0064748B"/>
    <w:rsid w:val="00655CD8"/>
    <w:rsid w:val="00675043"/>
    <w:rsid w:val="00694460"/>
    <w:rsid w:val="0079719B"/>
    <w:rsid w:val="007D7FAC"/>
    <w:rsid w:val="00806ACB"/>
    <w:rsid w:val="00834846"/>
    <w:rsid w:val="00855531"/>
    <w:rsid w:val="008A0D4E"/>
    <w:rsid w:val="00981636"/>
    <w:rsid w:val="009A6C7B"/>
    <w:rsid w:val="009C2877"/>
    <w:rsid w:val="009F13B2"/>
    <w:rsid w:val="00A44B5C"/>
    <w:rsid w:val="00A46C46"/>
    <w:rsid w:val="00A526C9"/>
    <w:rsid w:val="00A63D90"/>
    <w:rsid w:val="00A84CA4"/>
    <w:rsid w:val="00A90172"/>
    <w:rsid w:val="00AB2990"/>
    <w:rsid w:val="00AD7D31"/>
    <w:rsid w:val="00B220DE"/>
    <w:rsid w:val="00BE33D5"/>
    <w:rsid w:val="00C05653"/>
    <w:rsid w:val="00D10354"/>
    <w:rsid w:val="00D810F5"/>
    <w:rsid w:val="00DC7B8D"/>
    <w:rsid w:val="00DD5480"/>
    <w:rsid w:val="00E52D79"/>
    <w:rsid w:val="00EA5686"/>
    <w:rsid w:val="00FD35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11"/>
  </w:style>
  <w:style w:type="paragraph" w:styleId="Heading1">
    <w:name w:val="heading 1"/>
    <w:basedOn w:val="Normal"/>
    <w:next w:val="Normal"/>
    <w:link w:val="Heading1Char"/>
    <w:qFormat/>
    <w:rsid w:val="00A84CA4"/>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paragraph" w:styleId="Heading8">
    <w:name w:val="heading 8"/>
    <w:basedOn w:val="Normal"/>
    <w:next w:val="Normal"/>
    <w:link w:val="Heading8Char"/>
    <w:qFormat/>
    <w:rsid w:val="00A84CA4"/>
    <w:pPr>
      <w:keepNext/>
      <w:widowControl w:val="0"/>
      <w:spacing w:after="0" w:line="240" w:lineRule="auto"/>
      <w:jc w:val="right"/>
      <w:outlineLvl w:val="7"/>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customStyle="1" w:styleId="Default">
    <w:name w:val="Default"/>
    <w:rsid w:val="00A84CA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semiHidden/>
    <w:unhideWhenUsed/>
    <w:rsid w:val="00A8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CA4"/>
    <w:rPr>
      <w:rFonts w:ascii="Tahoma" w:hAnsi="Tahoma" w:cs="Tahoma"/>
      <w:sz w:val="16"/>
      <w:szCs w:val="16"/>
    </w:rPr>
  </w:style>
  <w:style w:type="character" w:customStyle="1" w:styleId="Heading1Char">
    <w:name w:val="Heading 1 Char"/>
    <w:basedOn w:val="DefaultParagraphFont"/>
    <w:link w:val="Heading1"/>
    <w:rsid w:val="00A84CA4"/>
    <w:rPr>
      <w:rFonts w:ascii="Cambria" w:eastAsia="Times New Roman" w:hAnsi="Cambria" w:cs="Times New Roman"/>
      <w:b/>
      <w:bCs/>
      <w:color w:val="365F91"/>
      <w:sz w:val="28"/>
      <w:szCs w:val="28"/>
    </w:rPr>
  </w:style>
  <w:style w:type="character" w:customStyle="1" w:styleId="Heading8Char">
    <w:name w:val="Heading 8 Char"/>
    <w:basedOn w:val="DefaultParagraphFont"/>
    <w:link w:val="Heading8"/>
    <w:rsid w:val="00A84CA4"/>
    <w:rPr>
      <w:rFonts w:ascii="Times New Roman" w:eastAsia="Times New Roman" w:hAnsi="Times New Roman" w:cs="Times New Roman"/>
      <w:b/>
      <w:sz w:val="24"/>
      <w:szCs w:val="24"/>
      <w:lang w:val="en-US"/>
    </w:rPr>
  </w:style>
  <w:style w:type="paragraph" w:customStyle="1" w:styleId="HeaderEven">
    <w:name w:val="HeaderEven"/>
    <w:basedOn w:val="Normal"/>
    <w:rsid w:val="00A84CA4"/>
    <w:pPr>
      <w:spacing w:after="0" w:line="240" w:lineRule="auto"/>
    </w:pPr>
    <w:rPr>
      <w:rFonts w:ascii="Arial" w:eastAsia="Times New Roman" w:hAnsi="Arial" w:cs="Times New Roman"/>
      <w:sz w:val="18"/>
      <w:szCs w:val="20"/>
    </w:rPr>
  </w:style>
  <w:style w:type="paragraph" w:customStyle="1" w:styleId="HeaderEven6">
    <w:name w:val="HeaderEven6"/>
    <w:basedOn w:val="HeaderEven"/>
    <w:rsid w:val="00A84CA4"/>
    <w:pPr>
      <w:spacing w:before="120" w:after="60"/>
    </w:pPr>
  </w:style>
  <w:style w:type="paragraph" w:customStyle="1" w:styleId="N-9pt">
    <w:name w:val="N-9pt"/>
    <w:basedOn w:val="Normal"/>
    <w:next w:val="Normal"/>
    <w:rsid w:val="00A84CA4"/>
    <w:pPr>
      <w:keepNext/>
      <w:tabs>
        <w:tab w:val="right" w:pos="7707"/>
      </w:tabs>
      <w:spacing w:before="120" w:after="20" w:line="240" w:lineRule="auto"/>
      <w:jc w:val="both"/>
    </w:pPr>
    <w:rPr>
      <w:rFonts w:ascii="Arial" w:eastAsia="Times New Roman" w:hAnsi="Arial" w:cs="Times New Roman"/>
      <w:sz w:val="18"/>
      <w:szCs w:val="20"/>
    </w:rPr>
  </w:style>
  <w:style w:type="character" w:styleId="PageNumber">
    <w:name w:val="page number"/>
    <w:basedOn w:val="DefaultParagraphFont"/>
    <w:rsid w:val="00A84CA4"/>
    <w:rPr>
      <w:rFonts w:cs="Times New Roman"/>
    </w:rPr>
  </w:style>
  <w:style w:type="paragraph" w:customStyle="1" w:styleId="Status">
    <w:name w:val="Status"/>
    <w:basedOn w:val="Normal"/>
    <w:rsid w:val="00A84CA4"/>
    <w:pPr>
      <w:spacing w:before="280" w:after="0" w:line="240" w:lineRule="auto"/>
      <w:jc w:val="center"/>
    </w:pPr>
    <w:rPr>
      <w:rFonts w:ascii="Arial" w:eastAsia="Times New Roman" w:hAnsi="Arial" w:cs="Times New Roman"/>
      <w:sz w:val="14"/>
      <w:szCs w:val="20"/>
    </w:rPr>
  </w:style>
  <w:style w:type="paragraph" w:customStyle="1" w:styleId="Apara">
    <w:name w:val="A para"/>
    <w:basedOn w:val="Normal"/>
    <w:rsid w:val="00A84CA4"/>
    <w:pPr>
      <w:tabs>
        <w:tab w:val="right" w:pos="1400"/>
        <w:tab w:val="left" w:pos="1600"/>
      </w:tabs>
      <w:spacing w:before="80" w:after="6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A84CA4"/>
    <w:pPr>
      <w:tabs>
        <w:tab w:val="right" w:pos="1900"/>
        <w:tab w:val="left" w:pos="2100"/>
      </w:tabs>
      <w:spacing w:before="80" w:after="60" w:line="240" w:lineRule="auto"/>
      <w:ind w:left="2100" w:hanging="2100"/>
      <w:jc w:val="both"/>
      <w:outlineLvl w:val="7"/>
    </w:pPr>
    <w:rPr>
      <w:rFonts w:ascii="Times New Roman" w:eastAsia="Times New Roman" w:hAnsi="Times New Roman" w:cs="Times New Roman"/>
      <w:sz w:val="24"/>
      <w:szCs w:val="20"/>
    </w:rPr>
  </w:style>
  <w:style w:type="paragraph" w:customStyle="1" w:styleId="Amain">
    <w:name w:val="A main"/>
    <w:basedOn w:val="Normal"/>
    <w:rsid w:val="00A84CA4"/>
    <w:pPr>
      <w:tabs>
        <w:tab w:val="right" w:pos="900"/>
        <w:tab w:val="left" w:pos="1100"/>
      </w:tabs>
      <w:spacing w:before="80" w:after="60" w:line="240" w:lineRule="auto"/>
      <w:ind w:left="1100" w:hanging="1100"/>
      <w:jc w:val="both"/>
      <w:outlineLvl w:val="5"/>
    </w:pPr>
    <w:rPr>
      <w:rFonts w:ascii="Times New Roman" w:eastAsia="Times New Roman" w:hAnsi="Times New Roman" w:cs="Times New Roman"/>
      <w:sz w:val="24"/>
      <w:szCs w:val="20"/>
    </w:rPr>
  </w:style>
  <w:style w:type="character" w:styleId="Emphasis">
    <w:name w:val="Emphasis"/>
    <w:basedOn w:val="DefaultParagraphFont"/>
    <w:qFormat/>
    <w:rsid w:val="00A84CA4"/>
    <w:rPr>
      <w:i/>
      <w:iCs/>
    </w:rPr>
  </w:style>
  <w:style w:type="paragraph" w:customStyle="1" w:styleId="Asubparabullet">
    <w:name w:val="A subpara bullet"/>
    <w:basedOn w:val="Normal"/>
    <w:rsid w:val="00A84CA4"/>
    <w:pPr>
      <w:numPr>
        <w:numId w:val="8"/>
      </w:num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A84CA4"/>
    <w:pPr>
      <w:spacing w:after="0" w:line="240" w:lineRule="auto"/>
      <w:ind w:left="720"/>
    </w:pPr>
    <w:rPr>
      <w:rFonts w:ascii="Calibri" w:eastAsia="Calibri" w:hAnsi="Calibri" w:cs="Calibri"/>
      <w:lang w:eastAsia="en-AU"/>
    </w:rPr>
  </w:style>
  <w:style w:type="paragraph" w:styleId="FootnoteText">
    <w:name w:val="footnote text"/>
    <w:basedOn w:val="Normal"/>
    <w:link w:val="FootnoteTextChar"/>
    <w:uiPriority w:val="99"/>
    <w:unhideWhenUsed/>
    <w:rsid w:val="00A84CA4"/>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84CA4"/>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A84CA4"/>
    <w:rPr>
      <w:vertAlign w:val="superscript"/>
    </w:rPr>
  </w:style>
  <w:style w:type="character" w:styleId="CommentReference">
    <w:name w:val="annotation reference"/>
    <w:basedOn w:val="DefaultParagraphFont"/>
    <w:rsid w:val="00A84CA4"/>
    <w:rPr>
      <w:sz w:val="16"/>
      <w:szCs w:val="16"/>
    </w:rPr>
  </w:style>
  <w:style w:type="paragraph" w:styleId="CommentText">
    <w:name w:val="annotation text"/>
    <w:basedOn w:val="Normal"/>
    <w:link w:val="CommentTextChar"/>
    <w:rsid w:val="00A84CA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84C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84CA4"/>
    <w:rPr>
      <w:b/>
      <w:bCs/>
    </w:rPr>
  </w:style>
  <w:style w:type="character" w:customStyle="1" w:styleId="CommentSubjectChar">
    <w:name w:val="Comment Subject Char"/>
    <w:basedOn w:val="CommentTextChar"/>
    <w:link w:val="CommentSubject"/>
    <w:rsid w:val="00A84CA4"/>
    <w:rPr>
      <w:rFonts w:ascii="Times New Roman" w:eastAsia="Times New Roman" w:hAnsi="Times New Roman" w:cs="Times New Roman"/>
      <w:b/>
      <w:bCs/>
      <w:sz w:val="20"/>
      <w:szCs w:val="20"/>
    </w:rPr>
  </w:style>
  <w:style w:type="paragraph" w:styleId="NormalWeb">
    <w:name w:val="Normal (Web)"/>
    <w:basedOn w:val="Normal"/>
    <w:uiPriority w:val="99"/>
    <w:rsid w:val="00A84CA4"/>
    <w:pPr>
      <w:spacing w:before="100" w:beforeAutospacing="1" w:after="100" w:afterAutospacing="1" w:line="240" w:lineRule="auto"/>
    </w:pPr>
    <w:rPr>
      <w:rFonts w:ascii="Verdana" w:eastAsia="Times New Roman" w:hAnsi="Verdana" w:cs="Times New Roman"/>
      <w:sz w:val="19"/>
      <w:szCs w:val="19"/>
      <w:lang w:eastAsia="en-AU"/>
    </w:rPr>
  </w:style>
  <w:style w:type="character" w:customStyle="1" w:styleId="apple-converted-space">
    <w:name w:val="apple-converted-space"/>
    <w:basedOn w:val="DefaultParagraphFont"/>
    <w:uiPriority w:val="99"/>
    <w:rsid w:val="00A84CA4"/>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1376199999">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4F50F-0089-4364-83F2-54B72B7D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3529</Characters>
  <Application>Microsoft Office Word</Application>
  <DocSecurity>0</DocSecurity>
  <Lines>110</Lines>
  <Paragraphs>82</Paragraphs>
  <ScaleCrop>false</ScaleCrop>
  <HeadingPairs>
    <vt:vector size="2" baseType="variant">
      <vt:variant>
        <vt:lpstr>Title</vt:lpstr>
      </vt:variant>
      <vt:variant>
        <vt:i4>1</vt:i4>
      </vt:variant>
    </vt:vector>
  </HeadingPairs>
  <TitlesOfParts>
    <vt:vector size="1" baseType="lpstr">
      <vt:lpstr>Gordon Ramsay MLA</vt:lpstr>
    </vt:vector>
  </TitlesOfParts>
  <Company>ACT Government</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 Ramsay MLA</dc:title>
  <dc:creator>ACT Government</dc:creator>
  <cp:lastModifiedBy>Anne shannon</cp:lastModifiedBy>
  <cp:revision>2</cp:revision>
  <cp:lastPrinted>2017-08-15T01:32:00Z</cp:lastPrinted>
  <dcterms:created xsi:type="dcterms:W3CDTF">2017-08-22T02:24:00Z</dcterms:created>
  <dcterms:modified xsi:type="dcterms:W3CDTF">2017-08-22T02:24:00Z</dcterms:modified>
</cp:coreProperties>
</file>