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B85" w:rsidRPr="0097484C" w:rsidRDefault="005D5B85" w:rsidP="005D5B85">
      <w:pPr>
        <w:pStyle w:val="Heading6"/>
        <w:pageBreakBefore w:val="0"/>
        <w:framePr w:hSpace="1134" w:wrap="around" w:vAnchor="page" w:hAnchor="page" w:x="97" w:y="2041"/>
        <w:numPr>
          <w:ilvl w:val="0"/>
          <w:numId w:val="0"/>
        </w:numPr>
        <w:spacing w:after="0" w:line="14" w:lineRule="exact"/>
        <w:ind w:left="-1134"/>
        <w:rPr>
          <w:b/>
          <w:i w:val="0"/>
          <w:color w:val="FFFFFF"/>
          <w:sz w:val="14"/>
          <w:szCs w:val="14"/>
        </w:rPr>
      </w:pPr>
    </w:p>
    <w:p w:rsidR="00BC4823" w:rsidRPr="0097484C" w:rsidRDefault="00BC4823" w:rsidP="00BC4823">
      <w:pPr>
        <w:pStyle w:val="Heading6"/>
        <w:pageBreakBefore w:val="0"/>
        <w:framePr w:hSpace="1134" w:wrap="around" w:vAnchor="page" w:hAnchor="page" w:x="97" w:y="3481"/>
        <w:numPr>
          <w:ilvl w:val="0"/>
          <w:numId w:val="0"/>
        </w:numPr>
        <w:spacing w:after="0" w:line="14" w:lineRule="exact"/>
        <w:ind w:left="-1134"/>
        <w:rPr>
          <w:b/>
          <w:i w:val="0"/>
          <w:color w:val="FFFFFF"/>
          <w:sz w:val="14"/>
          <w:szCs w:val="14"/>
        </w:rPr>
      </w:pPr>
    </w:p>
    <w:p w:rsidR="007C66FD" w:rsidRPr="00360168" w:rsidRDefault="007C66FD" w:rsidP="00526E83">
      <w:pPr>
        <w:pStyle w:val="BodyText"/>
        <w:spacing w:before="0" w:line="14" w:lineRule="exact"/>
        <w:ind w:left="-1985"/>
        <w:rPr>
          <w:color w:val="FFFFFF" w:themeColor="background1"/>
        </w:rPr>
      </w:pPr>
      <w:r>
        <w:rPr>
          <w:noProof/>
        </w:rPr>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7559675" cy="1069149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no_image.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9675" cy="10691495"/>
                    </a:xfrm>
                    <a:prstGeom prst="rect">
                      <a:avLst/>
                    </a:prstGeom>
                  </pic:spPr>
                </pic:pic>
              </a:graphicData>
            </a:graphic>
          </wp:anchor>
        </w:drawing>
      </w:r>
    </w:p>
    <w:p w:rsidR="007C66FD" w:rsidRPr="0097484C" w:rsidRDefault="007C66FD" w:rsidP="00526E83">
      <w:pPr>
        <w:pStyle w:val="Heading6"/>
        <w:pageBreakBefore w:val="0"/>
        <w:framePr w:hSpace="1134" w:wrap="around" w:vAnchor="page" w:hAnchor="page" w:x="97" w:y="2041"/>
        <w:numPr>
          <w:ilvl w:val="0"/>
          <w:numId w:val="0"/>
        </w:numPr>
        <w:spacing w:after="0" w:line="14" w:lineRule="exact"/>
        <w:ind w:left="-1134"/>
        <w:rPr>
          <w:b/>
          <w:i w:val="0"/>
          <w:color w:val="FFFFFF"/>
          <w:sz w:val="14"/>
          <w:szCs w:val="14"/>
        </w:rPr>
      </w:pPr>
    </w:p>
    <w:p w:rsidR="007C66FD" w:rsidRDefault="007C66FD" w:rsidP="00526E83">
      <w:pPr>
        <w:pStyle w:val="Confidential"/>
        <w:framePr w:hSpace="181" w:wrap="around" w:vAnchor="page" w:hAnchor="page" w:x="7210" w:y="831"/>
      </w:pPr>
      <w:r>
        <w:t>commercial in confid</w:t>
      </w:r>
      <w:r w:rsidRPr="001951A7">
        <w:t>ence</w:t>
      </w:r>
    </w:p>
    <w:tbl>
      <w:tblPr>
        <w:tblStyle w:val="TableGrid"/>
        <w:tblW w:w="8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889"/>
        <w:gridCol w:w="1388"/>
      </w:tblGrid>
      <w:tr w:rsidR="007C66FD" w:rsidTr="00AA78E4">
        <w:trPr>
          <w:gridAfter w:val="1"/>
          <w:wAfter w:w="1388" w:type="dxa"/>
          <w:cantSplit/>
          <w:trHeight w:val="1968"/>
        </w:trPr>
        <w:tc>
          <w:tcPr>
            <w:tcW w:w="6889" w:type="dxa"/>
          </w:tcPr>
          <w:p w:rsidR="007C66FD" w:rsidRDefault="007C66FD" w:rsidP="00526E83">
            <w:pPr>
              <w:pStyle w:val="BodyText"/>
              <w:spacing w:before="0"/>
            </w:pPr>
          </w:p>
        </w:tc>
      </w:tr>
      <w:tr w:rsidR="007C66FD" w:rsidTr="00AA78E4">
        <w:trPr>
          <w:gridAfter w:val="1"/>
          <w:wAfter w:w="1388" w:type="dxa"/>
          <w:cantSplit/>
          <w:trHeight w:val="2988"/>
        </w:trPr>
        <w:tc>
          <w:tcPr>
            <w:tcW w:w="6889" w:type="dxa"/>
          </w:tcPr>
          <w:p w:rsidR="007C66FD" w:rsidRDefault="003177C9" w:rsidP="00526E83">
            <w:pPr>
              <w:pStyle w:val="Reporttype"/>
            </w:pPr>
            <w:r>
              <w:t>FINAL</w:t>
            </w:r>
            <w:r w:rsidR="00960CE0">
              <w:t xml:space="preserve"> </w:t>
            </w:r>
            <w:r w:rsidR="007C66FD">
              <w:t>report</w:t>
            </w:r>
          </w:p>
          <w:p w:rsidR="007C66FD" w:rsidRDefault="00025C96" w:rsidP="00526E83">
            <w:pPr>
              <w:pStyle w:val="Title"/>
            </w:pPr>
            <w:r>
              <w:t xml:space="preserve">Review of the 2014-15 ACT </w:t>
            </w:r>
            <w:r w:rsidR="00956657">
              <w:t>Budget</w:t>
            </w:r>
            <w:r>
              <w:t xml:space="preserve"> </w:t>
            </w:r>
          </w:p>
          <w:p w:rsidR="007C66FD" w:rsidRPr="0089278E" w:rsidRDefault="007C66FD" w:rsidP="00526E83">
            <w:pPr>
              <w:pStyle w:val="Subtitle"/>
            </w:pPr>
          </w:p>
        </w:tc>
      </w:tr>
      <w:tr w:rsidR="007C66FD" w:rsidTr="00AA78E4">
        <w:trPr>
          <w:cantSplit/>
          <w:trHeight w:hRule="exact" w:val="3640"/>
        </w:trPr>
        <w:tc>
          <w:tcPr>
            <w:tcW w:w="6889" w:type="dxa"/>
          </w:tcPr>
          <w:p w:rsidR="007C66FD" w:rsidRDefault="007C66FD" w:rsidP="00526E83">
            <w:pPr>
              <w:pStyle w:val="Chart"/>
            </w:pPr>
          </w:p>
        </w:tc>
        <w:tc>
          <w:tcPr>
            <w:tcW w:w="1388" w:type="dxa"/>
          </w:tcPr>
          <w:p w:rsidR="007C66FD" w:rsidRDefault="007C66FD" w:rsidP="00526E83">
            <w:pPr>
              <w:pStyle w:val="BodyText"/>
            </w:pPr>
          </w:p>
        </w:tc>
      </w:tr>
      <w:tr w:rsidR="007C66FD" w:rsidTr="00AA78E4">
        <w:trPr>
          <w:gridAfter w:val="1"/>
          <w:wAfter w:w="1388" w:type="dxa"/>
          <w:cantSplit/>
          <w:trHeight w:val="4224"/>
        </w:trPr>
        <w:tc>
          <w:tcPr>
            <w:tcW w:w="6889" w:type="dxa"/>
          </w:tcPr>
          <w:p w:rsidR="007C66FD" w:rsidRDefault="007C66FD" w:rsidP="00526E83">
            <w:pPr>
              <w:pStyle w:val="Client"/>
              <w:spacing w:before="280"/>
            </w:pPr>
            <w:r w:rsidRPr="001647E4">
              <w:t>Prepared for</w:t>
            </w:r>
          </w:p>
          <w:p w:rsidR="00025C96" w:rsidRDefault="00025C96" w:rsidP="00526E83">
            <w:pPr>
              <w:pStyle w:val="Client"/>
            </w:pPr>
            <w:r>
              <w:t xml:space="preserve">The </w:t>
            </w:r>
            <w:r w:rsidRPr="00025C96">
              <w:t>ACT Select Committee on Estimates 2014</w:t>
            </w:r>
            <w:r>
              <w:t>-15</w:t>
            </w:r>
          </w:p>
          <w:p w:rsidR="007C66FD" w:rsidRPr="009E7DDD" w:rsidRDefault="00025C96" w:rsidP="00025C96">
            <w:pPr>
              <w:pStyle w:val="Date"/>
            </w:pPr>
            <w:r>
              <w:t>June</w:t>
            </w:r>
            <w:r w:rsidR="007C66FD">
              <w:t xml:space="preserve"> 2014</w:t>
            </w:r>
          </w:p>
        </w:tc>
      </w:tr>
      <w:tr w:rsidR="007C66FD" w:rsidTr="00AA78E4">
        <w:trPr>
          <w:gridAfter w:val="1"/>
          <w:wAfter w:w="1388" w:type="dxa"/>
          <w:cantSplit/>
          <w:trHeight w:val="419"/>
        </w:trPr>
        <w:tc>
          <w:tcPr>
            <w:tcW w:w="6889" w:type="dxa"/>
          </w:tcPr>
          <w:p w:rsidR="007C66FD" w:rsidRPr="00F062BF" w:rsidRDefault="007C66FD" w:rsidP="00526E83">
            <w:pPr>
              <w:pStyle w:val="BodyText"/>
              <w:spacing w:before="0"/>
              <w:rPr>
                <w:rFonts w:ascii="Franklin Gothic Demi" w:hAnsi="Franklin Gothic Demi"/>
                <w:caps/>
                <w:spacing w:val="10"/>
                <w:sz w:val="20"/>
              </w:rPr>
            </w:pPr>
            <w:r w:rsidRPr="00F062BF">
              <w:rPr>
                <w:rFonts w:ascii="Franklin Gothic Demi" w:hAnsi="Franklin Gothic Demi"/>
                <w:caps/>
                <w:spacing w:val="10"/>
                <w:sz w:val="20"/>
              </w:rPr>
              <w:t>The Centre for International Economics</w:t>
            </w:r>
          </w:p>
          <w:p w:rsidR="007C66FD" w:rsidRPr="00DA40B0" w:rsidRDefault="007C66FD" w:rsidP="00526E83">
            <w:pPr>
              <w:pStyle w:val="BodyText"/>
              <w:spacing w:before="0"/>
              <w:rPr>
                <w:i/>
                <w:color w:val="9B917E" w:themeColor="accent4"/>
                <w:spacing w:val="10"/>
                <w:sz w:val="25"/>
              </w:rPr>
            </w:pPr>
            <w:r w:rsidRPr="00DA40B0">
              <w:rPr>
                <w:i/>
                <w:color w:val="9B917E" w:themeColor="accent4"/>
                <w:spacing w:val="10"/>
                <w:sz w:val="25"/>
              </w:rPr>
              <w:t>www.TheCIE.com.au</w:t>
            </w:r>
          </w:p>
        </w:tc>
      </w:tr>
    </w:tbl>
    <w:p w:rsidR="007C66FD" w:rsidRDefault="00B40B86" w:rsidP="00526E83">
      <w:pPr>
        <w:pStyle w:val="BodyText"/>
        <w:spacing w:before="0" w:line="14" w:lineRule="exact"/>
      </w:pPr>
      <w:r>
        <w:rPr>
          <w:noProof/>
        </w:rPr>
        <w:pict>
          <v:rect id="Rectangle 12" o:spid="_x0000_s1026" style="position:absolute;margin-left:0;margin-top:799.3pt;width:595.3pt;height: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" o:allowincell="f" fillcolor="white [3212]" stroked="f" strokeweight="2pt">
            <w10:wrap anchorx="page" anchory="page"/>
          </v:rect>
        </w:pict>
      </w:r>
    </w:p>
    <w:p w:rsidR="007C66FD" w:rsidRDefault="007C66FD" w:rsidP="00526E83">
      <w:pPr>
        <w:pStyle w:val="BodyText"/>
        <w:pageBreakBefore/>
        <w:spacing w:before="0"/>
        <w:sectPr w:rsidR="007C66FD" w:rsidSect="00526E83">
          <w:headerReference w:type="even" r:id="rId9"/>
          <w:headerReference w:type="default" r:id="rId10"/>
          <w:footerReference w:type="even" r:id="rId11"/>
          <w:footerReference w:type="default" r:id="rId12"/>
          <w:pgSz w:w="11906" w:h="16838" w:code="9"/>
          <w:pgMar w:top="2268" w:right="1701" w:bottom="851" w:left="1928" w:header="680" w:footer="680" w:gutter="0"/>
          <w:cols w:space="708"/>
          <w:docGrid w:linePitch="360"/>
        </w:sectPr>
      </w:pPr>
    </w:p>
    <w:p w:rsidR="007C66FD" w:rsidRDefault="007C66FD" w:rsidP="00526E83">
      <w:pPr>
        <w:pStyle w:val="BodyText"/>
        <w:pageBreakBefore/>
        <w:spacing w:before="0"/>
      </w:pPr>
      <w:r>
        <w:lastRenderedPageBreak/>
        <w:t>The Centre for International Economics is a private economic research agency that provides professional, independent and timely analysis of international and domestic events and policies.</w:t>
      </w:r>
    </w:p>
    <w:p w:rsidR="007C66FD" w:rsidRDefault="007C66FD" w:rsidP="00526E83">
      <w:pPr>
        <w:pStyle w:val="BodyText"/>
      </w:pPr>
      <w:r>
        <w:t xml:space="preserve">The CIE’s professional </w:t>
      </w:r>
      <w:proofErr w:type="gramStart"/>
      <w:r>
        <w:t>staff arrange</w:t>
      </w:r>
      <w:proofErr w:type="gramEnd"/>
      <w:r>
        <w:t>, undertake and publish commissioned economic research and analysis for industry, corporations, governments, international agencies and individuals.</w:t>
      </w:r>
    </w:p>
    <w:p w:rsidR="007C66FD" w:rsidRPr="00511766" w:rsidRDefault="007C66FD" w:rsidP="00526E83">
      <w:pPr>
        <w:pStyle w:val="BodyText"/>
        <w:spacing w:before="1200"/>
      </w:pPr>
      <w:r w:rsidRPr="00511766">
        <w:t xml:space="preserve">© Centre for International Economics </w:t>
      </w:r>
      <w:r w:rsidR="00B40B86" w:rsidRPr="00511766">
        <w:fldChar w:fldCharType="begin"/>
      </w:r>
      <w:r w:rsidRPr="00511766">
        <w:instrText xml:space="preserve"> SAVEDATE  \@ "yyyy"  \* MERGEFORMAT </w:instrText>
      </w:r>
      <w:r w:rsidR="00B40B86" w:rsidRPr="00511766">
        <w:fldChar w:fldCharType="separate"/>
      </w:r>
      <w:r w:rsidR="00D733F1">
        <w:rPr>
          <w:noProof/>
        </w:rPr>
        <w:t>2014</w:t>
      </w:r>
      <w:r w:rsidR="00B40B86" w:rsidRPr="00511766">
        <w:fldChar w:fldCharType="end"/>
      </w:r>
    </w:p>
    <w:p w:rsidR="007C66FD" w:rsidRPr="00511766" w:rsidRDefault="007C66FD" w:rsidP="00526E83">
      <w:pPr>
        <w:pStyle w:val="BodyText"/>
        <w:spacing w:before="80"/>
      </w:pPr>
      <w:r w:rsidRPr="00511766">
        <w:t>This work is copyright. Individuals, agencies and corporations wishing to reproduce this material should contact the Centre for International Economics at one of the following addresses.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4077"/>
      </w:tblGrid>
      <w:tr w:rsidR="007C66FD" w:rsidTr="00526E83">
        <w:tc>
          <w:tcPr>
            <w:tcW w:w="3969" w:type="dxa"/>
          </w:tcPr>
          <w:p w:rsidR="007C66FD" w:rsidRPr="009E7DDD" w:rsidRDefault="007C66FD" w:rsidP="00526E83">
            <w:pPr>
              <w:pStyle w:val="BodyText"/>
              <w:spacing w:before="200" w:line="260" w:lineRule="atLeast"/>
              <w:rPr>
                <w:rFonts w:ascii="Franklin Gothic Demi" w:hAnsi="Franklin Gothic Demi"/>
                <w:caps/>
                <w:color w:val="9B917E" w:themeColor="accent4"/>
                <w:spacing w:val="44"/>
              </w:rPr>
            </w:pPr>
            <w:r w:rsidRPr="009E7DDD">
              <w:rPr>
                <w:rFonts w:ascii="Franklin Gothic Demi" w:hAnsi="Franklin Gothic Demi"/>
                <w:caps/>
                <w:color w:val="9B917E" w:themeColor="accent4"/>
                <w:spacing w:val="44"/>
              </w:rPr>
              <w:t>Canberra</w:t>
            </w:r>
          </w:p>
          <w:p w:rsidR="007C66FD" w:rsidRPr="007248CB" w:rsidRDefault="007C66FD" w:rsidP="00526E83">
            <w:pPr>
              <w:pStyle w:val="BodyText"/>
              <w:spacing w:before="0" w:line="260" w:lineRule="atLeast"/>
              <w:rPr>
                <w:sz w:val="19"/>
              </w:rPr>
            </w:pPr>
            <w:r w:rsidRPr="007248CB">
              <w:rPr>
                <w:sz w:val="19"/>
              </w:rPr>
              <w:t>Centre for International Economics</w:t>
            </w:r>
          </w:p>
          <w:p w:rsidR="007C66FD" w:rsidRPr="007248CB" w:rsidRDefault="007C66FD" w:rsidP="00526E83">
            <w:pPr>
              <w:pStyle w:val="BodyText"/>
              <w:spacing w:before="0" w:line="260" w:lineRule="atLeast"/>
              <w:rPr>
                <w:sz w:val="19"/>
              </w:rPr>
            </w:pPr>
            <w:r w:rsidRPr="007248CB">
              <w:rPr>
                <w:sz w:val="19"/>
              </w:rPr>
              <w:t>Ground Floor, 11 Lancaster Place</w:t>
            </w:r>
          </w:p>
          <w:p w:rsidR="007C66FD" w:rsidRPr="007248CB" w:rsidRDefault="007C66FD" w:rsidP="00526E83">
            <w:pPr>
              <w:pStyle w:val="BodyText"/>
              <w:spacing w:before="0" w:line="260" w:lineRule="atLeast"/>
              <w:rPr>
                <w:sz w:val="19"/>
              </w:rPr>
            </w:pPr>
            <w:r w:rsidRPr="007248CB">
              <w:rPr>
                <w:sz w:val="19"/>
              </w:rPr>
              <w:t>Majura Park</w:t>
            </w:r>
          </w:p>
          <w:p w:rsidR="007C66FD" w:rsidRPr="007248CB" w:rsidRDefault="007C66FD" w:rsidP="00526E83">
            <w:pPr>
              <w:pStyle w:val="BodyText"/>
              <w:spacing w:before="0" w:line="260" w:lineRule="atLeast"/>
              <w:rPr>
                <w:sz w:val="19"/>
              </w:rPr>
            </w:pPr>
            <w:r w:rsidRPr="007248CB">
              <w:rPr>
                <w:sz w:val="19"/>
              </w:rPr>
              <w:t>Canberra</w:t>
            </w:r>
            <w:r>
              <w:rPr>
                <w:sz w:val="19"/>
              </w:rPr>
              <w:t> </w:t>
            </w:r>
            <w:r>
              <w:rPr>
                <w:sz w:val="19"/>
              </w:rPr>
              <w:t>ACT</w:t>
            </w:r>
            <w:r>
              <w:rPr>
                <w:sz w:val="19"/>
              </w:rPr>
              <w:t> </w:t>
            </w:r>
            <w:r w:rsidRPr="007248CB">
              <w:rPr>
                <w:sz w:val="19"/>
              </w:rPr>
              <w:t>2609</w:t>
            </w:r>
          </w:p>
          <w:p w:rsidR="007C66FD" w:rsidRPr="007248CB" w:rsidRDefault="007C66FD" w:rsidP="00526E83">
            <w:pPr>
              <w:pStyle w:val="BodyText"/>
              <w:spacing w:before="100" w:line="260" w:lineRule="atLeast"/>
              <w:rPr>
                <w:sz w:val="19"/>
              </w:rPr>
            </w:pPr>
            <w:r w:rsidRPr="007248CB">
              <w:rPr>
                <w:sz w:val="19"/>
              </w:rPr>
              <w:t>GPO Box 2203</w:t>
            </w:r>
          </w:p>
          <w:p w:rsidR="007C66FD" w:rsidRPr="007248CB" w:rsidRDefault="007C66FD" w:rsidP="00526E83">
            <w:pPr>
              <w:pStyle w:val="BodyText"/>
              <w:spacing w:before="0" w:line="260" w:lineRule="atLeast"/>
              <w:rPr>
                <w:sz w:val="19"/>
              </w:rPr>
            </w:pPr>
            <w:r w:rsidRPr="007248CB">
              <w:rPr>
                <w:sz w:val="19"/>
              </w:rPr>
              <w:t>Canberra</w:t>
            </w:r>
            <w:r>
              <w:rPr>
                <w:sz w:val="19"/>
              </w:rPr>
              <w:t> </w:t>
            </w:r>
            <w:r w:rsidRPr="007248CB">
              <w:rPr>
                <w:sz w:val="19"/>
              </w:rPr>
              <w:t>ACT</w:t>
            </w:r>
            <w:r>
              <w:rPr>
                <w:sz w:val="19"/>
              </w:rPr>
              <w:t> </w:t>
            </w:r>
            <w:r w:rsidRPr="007248CB">
              <w:rPr>
                <w:sz w:val="19"/>
              </w:rPr>
              <w:t>Australia</w:t>
            </w:r>
            <w:r>
              <w:rPr>
                <w:sz w:val="19"/>
              </w:rPr>
              <w:t> </w:t>
            </w:r>
            <w:r w:rsidRPr="007248CB">
              <w:rPr>
                <w:sz w:val="19"/>
              </w:rPr>
              <w:t>2601</w:t>
            </w:r>
          </w:p>
          <w:p w:rsidR="007C66FD" w:rsidRPr="007248CB" w:rsidRDefault="007C66FD" w:rsidP="00526E83">
            <w:pPr>
              <w:pStyle w:val="BodyText"/>
              <w:tabs>
                <w:tab w:val="left" w:pos="993"/>
              </w:tabs>
              <w:spacing w:before="100" w:line="260" w:lineRule="atLeast"/>
              <w:rPr>
                <w:sz w:val="19"/>
              </w:rPr>
            </w:pPr>
            <w:r>
              <w:rPr>
                <w:sz w:val="19"/>
              </w:rPr>
              <w:t>Telephone</w:t>
            </w:r>
            <w:r>
              <w:rPr>
                <w:sz w:val="19"/>
              </w:rPr>
              <w:tab/>
            </w:r>
            <w:r w:rsidRPr="007248CB">
              <w:rPr>
                <w:sz w:val="19"/>
              </w:rPr>
              <w:t>+61 2 6245 7800</w:t>
            </w:r>
          </w:p>
          <w:p w:rsidR="007C66FD" w:rsidRPr="007248CB" w:rsidRDefault="007C66FD" w:rsidP="00526E83">
            <w:pPr>
              <w:pStyle w:val="BodyText"/>
              <w:tabs>
                <w:tab w:val="left" w:pos="993"/>
              </w:tabs>
              <w:spacing w:before="0" w:line="260" w:lineRule="atLeast"/>
              <w:rPr>
                <w:sz w:val="19"/>
              </w:rPr>
            </w:pPr>
            <w:r w:rsidRPr="007248CB">
              <w:rPr>
                <w:sz w:val="19"/>
              </w:rPr>
              <w:t xml:space="preserve">Facsimile </w:t>
            </w:r>
            <w:r>
              <w:rPr>
                <w:sz w:val="19"/>
              </w:rPr>
              <w:tab/>
            </w:r>
            <w:r w:rsidRPr="007248CB">
              <w:rPr>
                <w:sz w:val="19"/>
              </w:rPr>
              <w:t>+61 2 6245 7888</w:t>
            </w:r>
          </w:p>
          <w:p w:rsidR="007C66FD" w:rsidRPr="007248CB" w:rsidRDefault="007C66FD" w:rsidP="00526E83">
            <w:pPr>
              <w:pStyle w:val="BodyText"/>
              <w:tabs>
                <w:tab w:val="left" w:pos="993"/>
              </w:tabs>
              <w:spacing w:before="0" w:line="260" w:lineRule="atLeast"/>
              <w:rPr>
                <w:sz w:val="19"/>
              </w:rPr>
            </w:pPr>
            <w:r w:rsidRPr="007248CB">
              <w:rPr>
                <w:sz w:val="19"/>
              </w:rPr>
              <w:t>Ema</w:t>
            </w:r>
            <w:r>
              <w:rPr>
                <w:sz w:val="19"/>
              </w:rPr>
              <w:t>il</w:t>
            </w:r>
            <w:r>
              <w:rPr>
                <w:sz w:val="19"/>
              </w:rPr>
              <w:tab/>
            </w:r>
            <w:r w:rsidRPr="007248CB">
              <w:rPr>
                <w:sz w:val="19"/>
              </w:rPr>
              <w:t>cie@TheCIE.com.au</w:t>
            </w:r>
          </w:p>
          <w:p w:rsidR="007C66FD" w:rsidRDefault="007C66FD" w:rsidP="00526E83">
            <w:pPr>
              <w:pStyle w:val="BodyText"/>
              <w:tabs>
                <w:tab w:val="left" w:pos="993"/>
              </w:tabs>
              <w:spacing w:before="100" w:line="260" w:lineRule="atLeast"/>
              <w:rPr>
                <w:rFonts w:ascii="Franklin Gothic Demi" w:hAnsi="Franklin Gothic Demi"/>
                <w:color w:val="9B917E" w:themeColor="accent4"/>
                <w:sz w:val="19"/>
              </w:rPr>
            </w:pPr>
            <w:r>
              <w:rPr>
                <w:sz w:val="19"/>
              </w:rPr>
              <w:t>Website</w:t>
            </w:r>
            <w:r>
              <w:rPr>
                <w:sz w:val="19"/>
              </w:rPr>
              <w:tab/>
            </w:r>
            <w:r w:rsidRPr="007248CB">
              <w:rPr>
                <w:sz w:val="19"/>
              </w:rPr>
              <w:t>www.TheCIE.com.au</w:t>
            </w:r>
          </w:p>
        </w:tc>
        <w:tc>
          <w:tcPr>
            <w:tcW w:w="4077" w:type="dxa"/>
          </w:tcPr>
          <w:p w:rsidR="007C66FD" w:rsidRPr="009E7DDD" w:rsidRDefault="007C66FD" w:rsidP="00526E83">
            <w:pPr>
              <w:pStyle w:val="BodyText"/>
              <w:spacing w:before="200" w:line="260" w:lineRule="atLeast"/>
              <w:rPr>
                <w:rFonts w:ascii="Franklin Gothic Demi" w:hAnsi="Franklin Gothic Demi"/>
                <w:caps/>
                <w:color w:val="9B917E" w:themeColor="accent4"/>
                <w:spacing w:val="44"/>
              </w:rPr>
            </w:pPr>
            <w:r w:rsidRPr="009E7DDD">
              <w:rPr>
                <w:rFonts w:ascii="Franklin Gothic Demi" w:hAnsi="Franklin Gothic Demi"/>
                <w:caps/>
                <w:color w:val="9B917E" w:themeColor="accent4"/>
                <w:spacing w:val="44"/>
              </w:rPr>
              <w:t>Sydney</w:t>
            </w:r>
          </w:p>
          <w:p w:rsidR="007C66FD" w:rsidRPr="007248CB" w:rsidRDefault="007C66FD" w:rsidP="00526E83">
            <w:pPr>
              <w:pStyle w:val="BodyText"/>
              <w:spacing w:before="0" w:line="260" w:lineRule="atLeast"/>
              <w:rPr>
                <w:sz w:val="19"/>
              </w:rPr>
            </w:pPr>
            <w:r w:rsidRPr="007248CB">
              <w:rPr>
                <w:sz w:val="19"/>
              </w:rPr>
              <w:t>Centre for International Economics</w:t>
            </w:r>
          </w:p>
          <w:p w:rsidR="007C66FD" w:rsidRPr="007248CB" w:rsidRDefault="007C66FD" w:rsidP="00526E83">
            <w:pPr>
              <w:pStyle w:val="BodyText"/>
              <w:spacing w:before="0" w:line="260" w:lineRule="atLeast"/>
              <w:rPr>
                <w:sz w:val="19"/>
              </w:rPr>
            </w:pPr>
            <w:r w:rsidRPr="007248CB">
              <w:rPr>
                <w:sz w:val="19"/>
              </w:rPr>
              <w:t xml:space="preserve">Suite </w:t>
            </w:r>
            <w:r>
              <w:rPr>
                <w:sz w:val="19"/>
              </w:rPr>
              <w:t>1</w:t>
            </w:r>
            <w:r w:rsidRPr="007248CB">
              <w:rPr>
                <w:sz w:val="19"/>
              </w:rPr>
              <w:t>, Level 16, 1 York Street</w:t>
            </w:r>
          </w:p>
          <w:p w:rsidR="007C66FD" w:rsidRDefault="007C66FD" w:rsidP="00526E83">
            <w:pPr>
              <w:pStyle w:val="BodyText"/>
              <w:spacing w:before="0" w:line="260" w:lineRule="atLeast"/>
              <w:rPr>
                <w:sz w:val="19"/>
              </w:rPr>
            </w:pPr>
            <w:r w:rsidRPr="007248CB">
              <w:rPr>
                <w:sz w:val="19"/>
              </w:rPr>
              <w:t>Sydney</w:t>
            </w:r>
            <w:r w:rsidRPr="007248CB">
              <w:rPr>
                <w:rFonts w:cs="Book Antiqua"/>
                <w:sz w:val="19"/>
              </w:rPr>
              <w:t> </w:t>
            </w:r>
            <w:r w:rsidRPr="007248CB">
              <w:rPr>
                <w:sz w:val="19"/>
              </w:rPr>
              <w:t>NSW 2000</w:t>
            </w:r>
          </w:p>
          <w:p w:rsidR="007C66FD" w:rsidRPr="007248CB" w:rsidRDefault="007C66FD" w:rsidP="00526E83">
            <w:pPr>
              <w:pStyle w:val="BodyText"/>
              <w:spacing w:before="0" w:line="260" w:lineRule="atLeast"/>
              <w:rPr>
                <w:sz w:val="19"/>
              </w:rPr>
            </w:pPr>
          </w:p>
          <w:p w:rsidR="007C66FD" w:rsidRPr="007248CB" w:rsidRDefault="007C66FD" w:rsidP="00526E83">
            <w:pPr>
              <w:pStyle w:val="BodyText"/>
              <w:spacing w:before="100" w:line="260" w:lineRule="atLeast"/>
              <w:rPr>
                <w:sz w:val="19"/>
              </w:rPr>
            </w:pPr>
            <w:r w:rsidRPr="007248CB">
              <w:rPr>
                <w:sz w:val="19"/>
              </w:rPr>
              <w:t>GPO Box 397</w:t>
            </w:r>
          </w:p>
          <w:p w:rsidR="007C66FD" w:rsidRPr="007248CB" w:rsidRDefault="007C66FD" w:rsidP="00526E83">
            <w:pPr>
              <w:pStyle w:val="BodyText"/>
              <w:spacing w:before="0" w:line="260" w:lineRule="atLeast"/>
              <w:rPr>
                <w:sz w:val="19"/>
              </w:rPr>
            </w:pPr>
            <w:r w:rsidRPr="007248CB">
              <w:rPr>
                <w:sz w:val="19"/>
              </w:rPr>
              <w:t>Sydney</w:t>
            </w:r>
            <w:r w:rsidRPr="007248CB">
              <w:rPr>
                <w:rFonts w:cs="Book Antiqua"/>
                <w:sz w:val="19"/>
              </w:rPr>
              <w:t> </w:t>
            </w:r>
            <w:r w:rsidRPr="007248CB">
              <w:rPr>
                <w:sz w:val="19"/>
              </w:rPr>
              <w:t>NSW</w:t>
            </w:r>
            <w:r w:rsidRPr="007248CB">
              <w:rPr>
                <w:rFonts w:cs="Book Antiqua"/>
                <w:sz w:val="19"/>
              </w:rPr>
              <w:t> </w:t>
            </w:r>
            <w:r w:rsidRPr="007248CB">
              <w:rPr>
                <w:sz w:val="19"/>
              </w:rPr>
              <w:t>Australia</w:t>
            </w:r>
            <w:r w:rsidRPr="007248CB">
              <w:rPr>
                <w:rFonts w:cs="Book Antiqua"/>
                <w:sz w:val="19"/>
              </w:rPr>
              <w:t> </w:t>
            </w:r>
            <w:r w:rsidRPr="007248CB">
              <w:rPr>
                <w:sz w:val="19"/>
              </w:rPr>
              <w:t>2001</w:t>
            </w:r>
          </w:p>
          <w:p w:rsidR="007C66FD" w:rsidRPr="007248CB" w:rsidRDefault="007C66FD" w:rsidP="00526E83">
            <w:pPr>
              <w:pStyle w:val="BodyText"/>
              <w:tabs>
                <w:tab w:val="left" w:pos="-1077"/>
                <w:tab w:val="left" w:pos="993"/>
              </w:tabs>
              <w:spacing w:before="100" w:line="260" w:lineRule="atLeast"/>
              <w:rPr>
                <w:sz w:val="19"/>
              </w:rPr>
            </w:pPr>
            <w:r>
              <w:rPr>
                <w:sz w:val="19"/>
              </w:rPr>
              <w:t>Telephone</w:t>
            </w:r>
            <w:r>
              <w:rPr>
                <w:sz w:val="19"/>
              </w:rPr>
              <w:tab/>
            </w:r>
            <w:r w:rsidRPr="007248CB">
              <w:rPr>
                <w:sz w:val="19"/>
              </w:rPr>
              <w:t>+61 2 9250 0800</w:t>
            </w:r>
          </w:p>
          <w:p w:rsidR="007C66FD" w:rsidRPr="007248CB" w:rsidRDefault="007C66FD" w:rsidP="00526E83">
            <w:pPr>
              <w:pStyle w:val="BodyText"/>
              <w:tabs>
                <w:tab w:val="left" w:pos="-1077"/>
                <w:tab w:val="left" w:pos="993"/>
              </w:tabs>
              <w:spacing w:before="0" w:line="260" w:lineRule="atLeast"/>
              <w:rPr>
                <w:sz w:val="19"/>
              </w:rPr>
            </w:pPr>
            <w:r w:rsidRPr="007248CB">
              <w:rPr>
                <w:sz w:val="19"/>
              </w:rPr>
              <w:t>Facsimile</w:t>
            </w:r>
            <w:r w:rsidRPr="007248CB">
              <w:rPr>
                <w:sz w:val="19"/>
              </w:rPr>
              <w:tab/>
              <w:t>+61 2 9250 0888</w:t>
            </w:r>
          </w:p>
          <w:p w:rsidR="007C66FD" w:rsidRPr="007248CB" w:rsidRDefault="007C66FD" w:rsidP="00526E83">
            <w:pPr>
              <w:pStyle w:val="BodyText"/>
              <w:tabs>
                <w:tab w:val="left" w:pos="-1077"/>
                <w:tab w:val="left" w:pos="993"/>
              </w:tabs>
              <w:spacing w:before="0" w:line="260" w:lineRule="atLeast"/>
              <w:rPr>
                <w:sz w:val="19"/>
              </w:rPr>
            </w:pPr>
            <w:r w:rsidRPr="007248CB">
              <w:rPr>
                <w:sz w:val="19"/>
              </w:rPr>
              <w:t>Email</w:t>
            </w:r>
            <w:r w:rsidRPr="007248CB">
              <w:rPr>
                <w:sz w:val="19"/>
              </w:rPr>
              <w:tab/>
            </w:r>
            <w:hyperlink r:id="rId13" w:history="1">
              <w:r w:rsidRPr="007248CB">
                <w:rPr>
                  <w:sz w:val="19"/>
                </w:rPr>
                <w:t>ciesyd@TheCIE.com.au</w:t>
              </w:r>
            </w:hyperlink>
          </w:p>
          <w:p w:rsidR="007C66FD" w:rsidRDefault="007C66FD" w:rsidP="00526E83">
            <w:pPr>
              <w:pStyle w:val="BodyText"/>
              <w:tabs>
                <w:tab w:val="left" w:pos="993"/>
              </w:tabs>
              <w:spacing w:before="100" w:line="260" w:lineRule="atLeast"/>
              <w:rPr>
                <w:rFonts w:ascii="Franklin Gothic Demi" w:hAnsi="Franklin Gothic Demi"/>
                <w:color w:val="9B917E" w:themeColor="accent4"/>
                <w:sz w:val="19"/>
              </w:rPr>
            </w:pPr>
            <w:r w:rsidRPr="007248CB">
              <w:rPr>
                <w:sz w:val="19"/>
              </w:rPr>
              <w:t>Website</w:t>
            </w:r>
            <w:r w:rsidRPr="007248CB">
              <w:rPr>
                <w:sz w:val="19"/>
              </w:rPr>
              <w:tab/>
            </w:r>
            <w:hyperlink r:id="rId14" w:history="1">
              <w:r w:rsidRPr="007248CB">
                <w:rPr>
                  <w:sz w:val="19"/>
                </w:rPr>
                <w:t>www.TheCIE.com.au</w:t>
              </w:r>
            </w:hyperlink>
          </w:p>
        </w:tc>
      </w:tr>
    </w:tbl>
    <w:p w:rsidR="007C66FD" w:rsidRPr="00375BA6" w:rsidRDefault="007C66FD" w:rsidP="00526E83">
      <w:pPr>
        <w:pStyle w:val="BodyText"/>
        <w:spacing w:before="4600"/>
        <w:rPr>
          <w:rFonts w:ascii="Franklin Gothic Demi" w:hAnsi="Franklin Gothic Demi"/>
          <w:caps/>
          <w:spacing w:val="10"/>
          <w:szCs w:val="22"/>
        </w:rPr>
      </w:pPr>
      <w:r w:rsidRPr="00375BA6">
        <w:rPr>
          <w:rFonts w:ascii="Franklin Gothic Demi" w:hAnsi="Franklin Gothic Demi"/>
          <w:caps/>
          <w:spacing w:val="10"/>
          <w:szCs w:val="22"/>
        </w:rPr>
        <w:t>Disclaimer</w:t>
      </w:r>
    </w:p>
    <w:p w:rsidR="007C66FD" w:rsidRDefault="007C66FD" w:rsidP="00526E83">
      <w:pPr>
        <w:pStyle w:val="BodyText"/>
        <w:tabs>
          <w:tab w:val="left" w:pos="-1077"/>
          <w:tab w:val="left" w:pos="1418"/>
          <w:tab w:val="left" w:pos="2155"/>
        </w:tabs>
        <w:spacing w:before="100"/>
      </w:pPr>
      <w:r>
        <w:t>While the CIE endeavours to provide reliable analysis and believes the material it presents is accurate, it will not be liable for any party acting on such information.</w:t>
      </w:r>
    </w:p>
    <w:p w:rsidR="007C66FD" w:rsidRDefault="007C66FD" w:rsidP="00526E83">
      <w:pPr>
        <w:pStyle w:val="Contents"/>
        <w:sectPr w:rsidR="007C66FD" w:rsidSect="00526E83">
          <w:headerReference w:type="even" r:id="rId15"/>
          <w:footerReference w:type="even" r:id="rId16"/>
          <w:pgSz w:w="11906" w:h="16838" w:code="9"/>
          <w:pgMar w:top="2268" w:right="1701" w:bottom="1418" w:left="2268" w:header="680" w:footer="680" w:gutter="0"/>
          <w:cols w:space="708"/>
          <w:docGrid w:linePitch="360"/>
        </w:sectPr>
      </w:pPr>
    </w:p>
    <w:p w:rsidR="007C66FD" w:rsidRDefault="007C66FD" w:rsidP="00526E83">
      <w:pPr>
        <w:pStyle w:val="Contents"/>
      </w:pPr>
      <w:r>
        <w:lastRenderedPageBreak/>
        <w:t>Contents</w:t>
      </w:r>
    </w:p>
    <w:p w:rsidR="005B214B" w:rsidRDefault="00B40B86">
      <w:pPr>
        <w:pStyle w:val="TOC1"/>
        <w:rPr>
          <w:rFonts w:asciiTheme="minorHAnsi" w:eastAsiaTheme="minorEastAsia" w:hAnsiTheme="minorHAnsi" w:cstheme="minorBidi"/>
          <w:noProof/>
          <w:sz w:val="22"/>
          <w:szCs w:val="22"/>
        </w:rPr>
      </w:pPr>
      <w:r w:rsidRPr="00B40B86">
        <w:fldChar w:fldCharType="begin"/>
      </w:r>
      <w:r w:rsidR="007C66FD" w:rsidRPr="00876B40">
        <w:instrText xml:space="preserve"> TOC \t "Heading 1,1,Heading 2,2,Heading </w:instrText>
      </w:r>
      <w:r w:rsidR="007C66FD">
        <w:instrText>6</w:instrText>
      </w:r>
      <w:r w:rsidR="007C66FD" w:rsidRPr="00876B40">
        <w:instrText xml:space="preserve">,1,Part Title,4" </w:instrText>
      </w:r>
      <w:r w:rsidRPr="00B40B86">
        <w:fldChar w:fldCharType="separate"/>
      </w:r>
      <w:r w:rsidR="005B214B">
        <w:rPr>
          <w:noProof/>
        </w:rPr>
        <w:t>Summary</w:t>
      </w:r>
      <w:r w:rsidR="005B214B">
        <w:rPr>
          <w:noProof/>
        </w:rPr>
        <w:tab/>
      </w:r>
      <w:r>
        <w:rPr>
          <w:noProof/>
        </w:rPr>
        <w:fldChar w:fldCharType="begin"/>
      </w:r>
      <w:r w:rsidR="005B214B">
        <w:rPr>
          <w:noProof/>
        </w:rPr>
        <w:instrText xml:space="preserve"> PAGEREF _Toc390427283 \h </w:instrText>
      </w:r>
      <w:r>
        <w:rPr>
          <w:noProof/>
        </w:rPr>
      </w:r>
      <w:r>
        <w:rPr>
          <w:noProof/>
        </w:rPr>
        <w:fldChar w:fldCharType="separate"/>
      </w:r>
      <w:r w:rsidR="00D733F1">
        <w:rPr>
          <w:noProof/>
        </w:rPr>
        <w:t>1</w:t>
      </w:r>
      <w:r>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Budget balances revised down over the forward estimates period</w:t>
      </w:r>
      <w:r>
        <w:rPr>
          <w:noProof/>
        </w:rPr>
        <w:tab/>
      </w:r>
      <w:r w:rsidR="00B40B86">
        <w:rPr>
          <w:noProof/>
        </w:rPr>
        <w:fldChar w:fldCharType="begin"/>
      </w:r>
      <w:r>
        <w:rPr>
          <w:noProof/>
        </w:rPr>
        <w:instrText xml:space="preserve"> PAGEREF _Toc390427284 \h </w:instrText>
      </w:r>
      <w:r w:rsidR="00B40B86">
        <w:rPr>
          <w:noProof/>
        </w:rPr>
      </w:r>
      <w:r w:rsidR="00B40B86">
        <w:rPr>
          <w:noProof/>
        </w:rPr>
        <w:fldChar w:fldCharType="separate"/>
      </w:r>
      <w:r w:rsidR="00D733F1">
        <w:rPr>
          <w:noProof/>
        </w:rPr>
        <w:t>1</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Impact of the 2014-15 Commonwealth Budget</w:t>
      </w:r>
      <w:r>
        <w:rPr>
          <w:noProof/>
        </w:rPr>
        <w:tab/>
      </w:r>
      <w:r w:rsidR="00B40B86">
        <w:rPr>
          <w:noProof/>
        </w:rPr>
        <w:fldChar w:fldCharType="begin"/>
      </w:r>
      <w:r>
        <w:rPr>
          <w:noProof/>
        </w:rPr>
        <w:instrText xml:space="preserve"> PAGEREF _Toc390427285 \h </w:instrText>
      </w:r>
      <w:r w:rsidR="00B40B86">
        <w:rPr>
          <w:noProof/>
        </w:rPr>
      </w:r>
      <w:r w:rsidR="00B40B86">
        <w:rPr>
          <w:noProof/>
        </w:rPr>
        <w:fldChar w:fldCharType="separate"/>
      </w:r>
      <w:r w:rsidR="00D733F1">
        <w:rPr>
          <w:noProof/>
        </w:rPr>
        <w:t>1</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Substantial new expenditure is mainly focussed on the Health Directorate and capital works</w:t>
      </w:r>
      <w:r>
        <w:rPr>
          <w:noProof/>
        </w:rPr>
        <w:tab/>
      </w:r>
      <w:r w:rsidR="00B40B86">
        <w:rPr>
          <w:noProof/>
        </w:rPr>
        <w:fldChar w:fldCharType="begin"/>
      </w:r>
      <w:r>
        <w:rPr>
          <w:noProof/>
        </w:rPr>
        <w:instrText xml:space="preserve"> PAGEREF _Toc390427286 \h </w:instrText>
      </w:r>
      <w:r w:rsidR="00B40B86">
        <w:rPr>
          <w:noProof/>
        </w:rPr>
      </w:r>
      <w:r w:rsidR="00B40B86">
        <w:rPr>
          <w:noProof/>
        </w:rPr>
        <w:fldChar w:fldCharType="separate"/>
      </w:r>
      <w:r w:rsidR="00D733F1">
        <w:rPr>
          <w:noProof/>
        </w:rPr>
        <w:t>2</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Impact of revenue initiatives in 2014-15 Budget</w:t>
      </w:r>
      <w:r>
        <w:rPr>
          <w:noProof/>
        </w:rPr>
        <w:tab/>
      </w:r>
      <w:r w:rsidR="00B40B86">
        <w:rPr>
          <w:noProof/>
        </w:rPr>
        <w:fldChar w:fldCharType="begin"/>
      </w:r>
      <w:r>
        <w:rPr>
          <w:noProof/>
        </w:rPr>
        <w:instrText xml:space="preserve"> PAGEREF _Toc390427287 \h </w:instrText>
      </w:r>
      <w:r w:rsidR="00B40B86">
        <w:rPr>
          <w:noProof/>
        </w:rPr>
      </w:r>
      <w:r w:rsidR="00B40B86">
        <w:rPr>
          <w:noProof/>
        </w:rPr>
        <w:fldChar w:fldCharType="separate"/>
      </w:r>
      <w:r w:rsidR="00D733F1">
        <w:rPr>
          <w:noProof/>
        </w:rPr>
        <w:t>2</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Savings are conservative and relate to enhanced use of digital technology for service delivery and government organisation</w:t>
      </w:r>
      <w:r>
        <w:rPr>
          <w:noProof/>
        </w:rPr>
        <w:tab/>
      </w:r>
      <w:r w:rsidR="00B40B86">
        <w:rPr>
          <w:noProof/>
        </w:rPr>
        <w:fldChar w:fldCharType="begin"/>
      </w:r>
      <w:r>
        <w:rPr>
          <w:noProof/>
        </w:rPr>
        <w:instrText xml:space="preserve"> PAGEREF _Toc390427288 \h </w:instrText>
      </w:r>
      <w:r w:rsidR="00B40B86">
        <w:rPr>
          <w:noProof/>
        </w:rPr>
      </w:r>
      <w:r w:rsidR="00B40B86">
        <w:rPr>
          <w:noProof/>
        </w:rPr>
        <w:fldChar w:fldCharType="separate"/>
      </w:r>
      <w:r w:rsidR="00D733F1">
        <w:rPr>
          <w:noProof/>
        </w:rPr>
        <w:t>3</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Impact of the Budget on the cost of living</w:t>
      </w:r>
      <w:r>
        <w:rPr>
          <w:noProof/>
        </w:rPr>
        <w:tab/>
      </w:r>
      <w:r w:rsidR="00B40B86">
        <w:rPr>
          <w:noProof/>
        </w:rPr>
        <w:fldChar w:fldCharType="begin"/>
      </w:r>
      <w:r>
        <w:rPr>
          <w:noProof/>
        </w:rPr>
        <w:instrText xml:space="preserve"> PAGEREF _Toc390427289 \h </w:instrText>
      </w:r>
      <w:r w:rsidR="00B40B86">
        <w:rPr>
          <w:noProof/>
        </w:rPr>
      </w:r>
      <w:r w:rsidR="00B40B86">
        <w:rPr>
          <w:noProof/>
        </w:rPr>
        <w:fldChar w:fldCharType="separate"/>
      </w:r>
      <w:r w:rsidR="00D733F1">
        <w:rPr>
          <w:noProof/>
        </w:rPr>
        <w:t>3</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Has an appropriate amount of stimulus been provided to the ACT economy?</w:t>
      </w:r>
      <w:r>
        <w:rPr>
          <w:noProof/>
        </w:rPr>
        <w:tab/>
      </w:r>
      <w:r w:rsidR="00B40B86">
        <w:rPr>
          <w:noProof/>
        </w:rPr>
        <w:fldChar w:fldCharType="begin"/>
      </w:r>
      <w:r>
        <w:rPr>
          <w:noProof/>
        </w:rPr>
        <w:instrText xml:space="preserve"> PAGEREF _Toc390427290 \h </w:instrText>
      </w:r>
      <w:r w:rsidR="00B40B86">
        <w:rPr>
          <w:noProof/>
        </w:rPr>
      </w:r>
      <w:r w:rsidR="00B40B86">
        <w:rPr>
          <w:noProof/>
        </w:rPr>
        <w:fldChar w:fldCharType="separate"/>
      </w:r>
      <w:r w:rsidR="00D733F1">
        <w:rPr>
          <w:noProof/>
        </w:rPr>
        <w:t>4</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Where does the balance of risks lie?</w:t>
      </w:r>
      <w:r>
        <w:rPr>
          <w:noProof/>
        </w:rPr>
        <w:tab/>
      </w:r>
      <w:r w:rsidR="00B40B86">
        <w:rPr>
          <w:noProof/>
        </w:rPr>
        <w:fldChar w:fldCharType="begin"/>
      </w:r>
      <w:r>
        <w:rPr>
          <w:noProof/>
        </w:rPr>
        <w:instrText xml:space="preserve"> PAGEREF _Toc390427291 \h </w:instrText>
      </w:r>
      <w:r w:rsidR="00B40B86">
        <w:rPr>
          <w:noProof/>
        </w:rPr>
      </w:r>
      <w:r w:rsidR="00B40B86">
        <w:rPr>
          <w:noProof/>
        </w:rPr>
        <w:fldChar w:fldCharType="separate"/>
      </w:r>
      <w:r w:rsidR="00D733F1">
        <w:rPr>
          <w:noProof/>
        </w:rPr>
        <w:t>4</w:t>
      </w:r>
      <w:r w:rsidR="00B40B86">
        <w:rPr>
          <w:noProof/>
        </w:rPr>
        <w:fldChar w:fldCharType="end"/>
      </w:r>
    </w:p>
    <w:p w:rsidR="005B214B" w:rsidRDefault="005B214B">
      <w:pPr>
        <w:pStyle w:val="TOC1"/>
        <w:rPr>
          <w:rFonts w:asciiTheme="minorHAnsi" w:eastAsiaTheme="minorEastAsia" w:hAnsiTheme="minorHAnsi" w:cstheme="minorBidi"/>
          <w:noProof/>
          <w:sz w:val="22"/>
          <w:szCs w:val="22"/>
        </w:rPr>
      </w:pPr>
      <w:r>
        <w:rPr>
          <w:noProof/>
        </w:rPr>
        <w:t>Economic outlook</w:t>
      </w:r>
      <w:r>
        <w:rPr>
          <w:noProof/>
        </w:rPr>
        <w:tab/>
      </w:r>
      <w:r w:rsidR="00B40B86">
        <w:rPr>
          <w:noProof/>
        </w:rPr>
        <w:fldChar w:fldCharType="begin"/>
      </w:r>
      <w:r>
        <w:rPr>
          <w:noProof/>
        </w:rPr>
        <w:instrText xml:space="preserve"> PAGEREF _Toc390427292 \h </w:instrText>
      </w:r>
      <w:r w:rsidR="00B40B86">
        <w:rPr>
          <w:noProof/>
        </w:rPr>
      </w:r>
      <w:r w:rsidR="00B40B86">
        <w:rPr>
          <w:noProof/>
        </w:rPr>
        <w:fldChar w:fldCharType="separate"/>
      </w:r>
      <w:r w:rsidR="00D733F1">
        <w:rPr>
          <w:noProof/>
        </w:rPr>
        <w:t>6</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Growth and demand outlook for the ACT and Australia</w:t>
      </w:r>
      <w:r>
        <w:rPr>
          <w:noProof/>
        </w:rPr>
        <w:tab/>
      </w:r>
      <w:r w:rsidR="00B40B86">
        <w:rPr>
          <w:noProof/>
        </w:rPr>
        <w:fldChar w:fldCharType="begin"/>
      </w:r>
      <w:r>
        <w:rPr>
          <w:noProof/>
        </w:rPr>
        <w:instrText xml:space="preserve"> PAGEREF _Toc390427293 \h </w:instrText>
      </w:r>
      <w:r w:rsidR="00B40B86">
        <w:rPr>
          <w:noProof/>
        </w:rPr>
      </w:r>
      <w:r w:rsidR="00B40B86">
        <w:rPr>
          <w:noProof/>
        </w:rPr>
        <w:fldChar w:fldCharType="separate"/>
      </w:r>
      <w:r w:rsidR="00D733F1">
        <w:rPr>
          <w:noProof/>
        </w:rPr>
        <w:t>6</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lang w:eastAsia="en-US"/>
        </w:rPr>
        <w:t>Employment growth</w:t>
      </w:r>
      <w:r>
        <w:rPr>
          <w:noProof/>
        </w:rPr>
        <w:tab/>
      </w:r>
      <w:r w:rsidR="00B40B86">
        <w:rPr>
          <w:noProof/>
        </w:rPr>
        <w:fldChar w:fldCharType="begin"/>
      </w:r>
      <w:r>
        <w:rPr>
          <w:noProof/>
        </w:rPr>
        <w:instrText xml:space="preserve"> PAGEREF _Toc390427294 \h </w:instrText>
      </w:r>
      <w:r w:rsidR="00B40B86">
        <w:rPr>
          <w:noProof/>
        </w:rPr>
      </w:r>
      <w:r w:rsidR="00B40B86">
        <w:rPr>
          <w:noProof/>
        </w:rPr>
        <w:fldChar w:fldCharType="separate"/>
      </w:r>
      <w:r w:rsidR="00D733F1">
        <w:rPr>
          <w:noProof/>
        </w:rPr>
        <w:t>8</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lang w:eastAsia="en-US"/>
        </w:rPr>
        <w:t>Outlook for inflation and wage growth</w:t>
      </w:r>
      <w:r>
        <w:rPr>
          <w:noProof/>
        </w:rPr>
        <w:tab/>
      </w:r>
      <w:r w:rsidR="00B40B86">
        <w:rPr>
          <w:noProof/>
        </w:rPr>
        <w:fldChar w:fldCharType="begin"/>
      </w:r>
      <w:r>
        <w:rPr>
          <w:noProof/>
        </w:rPr>
        <w:instrText xml:space="preserve"> PAGEREF _Toc390427295 \h </w:instrText>
      </w:r>
      <w:r w:rsidR="00B40B86">
        <w:rPr>
          <w:noProof/>
        </w:rPr>
      </w:r>
      <w:r w:rsidR="00B40B86">
        <w:rPr>
          <w:noProof/>
        </w:rPr>
        <w:fldChar w:fldCharType="separate"/>
      </w:r>
      <w:r w:rsidR="00D733F1">
        <w:rPr>
          <w:noProof/>
        </w:rPr>
        <w:t>9</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Outlook for population</w:t>
      </w:r>
      <w:r>
        <w:rPr>
          <w:noProof/>
        </w:rPr>
        <w:tab/>
      </w:r>
      <w:r w:rsidR="00B40B86">
        <w:rPr>
          <w:noProof/>
        </w:rPr>
        <w:fldChar w:fldCharType="begin"/>
      </w:r>
      <w:r>
        <w:rPr>
          <w:noProof/>
        </w:rPr>
        <w:instrText xml:space="preserve"> PAGEREF _Toc390427296 \h </w:instrText>
      </w:r>
      <w:r w:rsidR="00B40B86">
        <w:rPr>
          <w:noProof/>
        </w:rPr>
      </w:r>
      <w:r w:rsidR="00B40B86">
        <w:rPr>
          <w:noProof/>
        </w:rPr>
        <w:fldChar w:fldCharType="separate"/>
      </w:r>
      <w:r w:rsidR="00D733F1">
        <w:rPr>
          <w:noProof/>
        </w:rPr>
        <w:t>10</w:t>
      </w:r>
      <w:r w:rsidR="00B40B86">
        <w:rPr>
          <w:noProof/>
        </w:rPr>
        <w:fldChar w:fldCharType="end"/>
      </w:r>
    </w:p>
    <w:p w:rsidR="005B214B" w:rsidRDefault="005B214B">
      <w:pPr>
        <w:pStyle w:val="TOC1"/>
        <w:rPr>
          <w:rFonts w:asciiTheme="minorHAnsi" w:eastAsiaTheme="minorEastAsia" w:hAnsiTheme="minorHAnsi" w:cstheme="minorBidi"/>
          <w:noProof/>
          <w:sz w:val="22"/>
          <w:szCs w:val="22"/>
        </w:rPr>
      </w:pPr>
      <w:r>
        <w:rPr>
          <w:noProof/>
        </w:rPr>
        <w:t>Budget Aggregates</w:t>
      </w:r>
      <w:r>
        <w:rPr>
          <w:noProof/>
        </w:rPr>
        <w:tab/>
      </w:r>
      <w:r w:rsidR="00B40B86">
        <w:rPr>
          <w:noProof/>
        </w:rPr>
        <w:fldChar w:fldCharType="begin"/>
      </w:r>
      <w:r>
        <w:rPr>
          <w:noProof/>
        </w:rPr>
        <w:instrText xml:space="preserve"> PAGEREF _Toc390427297 \h </w:instrText>
      </w:r>
      <w:r w:rsidR="00B40B86">
        <w:rPr>
          <w:noProof/>
        </w:rPr>
      </w:r>
      <w:r w:rsidR="00B40B86">
        <w:rPr>
          <w:noProof/>
        </w:rPr>
        <w:fldChar w:fldCharType="separate"/>
      </w:r>
      <w:r w:rsidR="00D733F1">
        <w:rPr>
          <w:noProof/>
        </w:rPr>
        <w:t>13</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Drivers of the change in GGS headline operating balances</w:t>
      </w:r>
      <w:r>
        <w:rPr>
          <w:noProof/>
        </w:rPr>
        <w:tab/>
      </w:r>
      <w:r w:rsidR="00B40B86">
        <w:rPr>
          <w:noProof/>
        </w:rPr>
        <w:fldChar w:fldCharType="begin"/>
      </w:r>
      <w:r>
        <w:rPr>
          <w:noProof/>
        </w:rPr>
        <w:instrText xml:space="preserve"> PAGEREF _Toc390427298 \h </w:instrText>
      </w:r>
      <w:r w:rsidR="00B40B86">
        <w:rPr>
          <w:noProof/>
        </w:rPr>
      </w:r>
      <w:r w:rsidR="00B40B86">
        <w:rPr>
          <w:noProof/>
        </w:rPr>
        <w:fldChar w:fldCharType="separate"/>
      </w:r>
      <w:r w:rsidR="00D733F1">
        <w:rPr>
          <w:noProof/>
        </w:rPr>
        <w:t>13</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Current projections of the GGS headline operating balances</w:t>
      </w:r>
      <w:r>
        <w:rPr>
          <w:noProof/>
        </w:rPr>
        <w:tab/>
      </w:r>
      <w:r w:rsidR="00B40B86">
        <w:rPr>
          <w:noProof/>
        </w:rPr>
        <w:fldChar w:fldCharType="begin"/>
      </w:r>
      <w:r>
        <w:rPr>
          <w:noProof/>
        </w:rPr>
        <w:instrText xml:space="preserve"> PAGEREF _Toc390427299 \h </w:instrText>
      </w:r>
      <w:r w:rsidR="00B40B86">
        <w:rPr>
          <w:noProof/>
        </w:rPr>
      </w:r>
      <w:r w:rsidR="00B40B86">
        <w:rPr>
          <w:noProof/>
        </w:rPr>
        <w:fldChar w:fldCharType="separate"/>
      </w:r>
      <w:r w:rsidR="00D733F1">
        <w:rPr>
          <w:noProof/>
        </w:rPr>
        <w:t>14</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Risks to the budget balance projections</w:t>
      </w:r>
      <w:r>
        <w:rPr>
          <w:noProof/>
        </w:rPr>
        <w:tab/>
      </w:r>
      <w:r w:rsidR="00B40B86">
        <w:rPr>
          <w:noProof/>
        </w:rPr>
        <w:fldChar w:fldCharType="begin"/>
      </w:r>
      <w:r>
        <w:rPr>
          <w:noProof/>
        </w:rPr>
        <w:instrText xml:space="preserve"> PAGEREF _Toc390427300 \h </w:instrText>
      </w:r>
      <w:r w:rsidR="00B40B86">
        <w:rPr>
          <w:noProof/>
        </w:rPr>
      </w:r>
      <w:r w:rsidR="00B40B86">
        <w:rPr>
          <w:noProof/>
        </w:rPr>
        <w:fldChar w:fldCharType="separate"/>
      </w:r>
      <w:r w:rsidR="00D733F1">
        <w:rPr>
          <w:noProof/>
        </w:rPr>
        <w:t>15</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lang w:eastAsia="en-US"/>
        </w:rPr>
        <w:t>Debt and Liabilities</w:t>
      </w:r>
      <w:r>
        <w:rPr>
          <w:noProof/>
        </w:rPr>
        <w:tab/>
      </w:r>
      <w:r w:rsidR="00B40B86">
        <w:rPr>
          <w:noProof/>
        </w:rPr>
        <w:fldChar w:fldCharType="begin"/>
      </w:r>
      <w:r>
        <w:rPr>
          <w:noProof/>
        </w:rPr>
        <w:instrText xml:space="preserve"> PAGEREF _Toc390427301 \h </w:instrText>
      </w:r>
      <w:r w:rsidR="00B40B86">
        <w:rPr>
          <w:noProof/>
        </w:rPr>
      </w:r>
      <w:r w:rsidR="00B40B86">
        <w:rPr>
          <w:noProof/>
        </w:rPr>
        <w:fldChar w:fldCharType="separate"/>
      </w:r>
      <w:r w:rsidR="00D733F1">
        <w:rPr>
          <w:noProof/>
        </w:rPr>
        <w:t>16</w:t>
      </w:r>
      <w:r w:rsidR="00B40B86">
        <w:rPr>
          <w:noProof/>
        </w:rPr>
        <w:fldChar w:fldCharType="end"/>
      </w:r>
    </w:p>
    <w:p w:rsidR="005B214B" w:rsidRDefault="005B214B">
      <w:pPr>
        <w:pStyle w:val="TOC1"/>
        <w:rPr>
          <w:rFonts w:asciiTheme="minorHAnsi" w:eastAsiaTheme="minorEastAsia" w:hAnsiTheme="minorHAnsi" w:cstheme="minorBidi"/>
          <w:noProof/>
          <w:sz w:val="22"/>
          <w:szCs w:val="22"/>
        </w:rPr>
      </w:pPr>
      <w:r>
        <w:rPr>
          <w:noProof/>
        </w:rPr>
        <w:t>Revenue</w:t>
      </w:r>
      <w:r>
        <w:rPr>
          <w:noProof/>
        </w:rPr>
        <w:tab/>
      </w:r>
      <w:r w:rsidR="00B40B86">
        <w:rPr>
          <w:noProof/>
        </w:rPr>
        <w:fldChar w:fldCharType="begin"/>
      </w:r>
      <w:r>
        <w:rPr>
          <w:noProof/>
        </w:rPr>
        <w:instrText xml:space="preserve"> PAGEREF _Toc390427302 \h </w:instrText>
      </w:r>
      <w:r w:rsidR="00B40B86">
        <w:rPr>
          <w:noProof/>
        </w:rPr>
      </w:r>
      <w:r w:rsidR="00B40B86">
        <w:rPr>
          <w:noProof/>
        </w:rPr>
        <w:fldChar w:fldCharType="separate"/>
      </w:r>
      <w:r w:rsidR="00D733F1">
        <w:rPr>
          <w:noProof/>
        </w:rPr>
        <w:t>20</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lang w:eastAsia="en-US"/>
        </w:rPr>
        <w:t>Revenue projections relative to 2013-14 Budget</w:t>
      </w:r>
      <w:r>
        <w:rPr>
          <w:noProof/>
        </w:rPr>
        <w:tab/>
      </w:r>
      <w:r w:rsidR="00B40B86">
        <w:rPr>
          <w:noProof/>
        </w:rPr>
        <w:fldChar w:fldCharType="begin"/>
      </w:r>
      <w:r>
        <w:rPr>
          <w:noProof/>
        </w:rPr>
        <w:instrText xml:space="preserve"> PAGEREF _Toc390427303 \h </w:instrText>
      </w:r>
      <w:r w:rsidR="00B40B86">
        <w:rPr>
          <w:noProof/>
        </w:rPr>
      </w:r>
      <w:r w:rsidR="00B40B86">
        <w:rPr>
          <w:noProof/>
        </w:rPr>
        <w:fldChar w:fldCharType="separate"/>
      </w:r>
      <w:r w:rsidR="00D733F1">
        <w:rPr>
          <w:noProof/>
        </w:rPr>
        <w:t>20</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lang w:eastAsia="en-US"/>
        </w:rPr>
        <w:t>Key drivers of the decline in revenue projections</w:t>
      </w:r>
      <w:r>
        <w:rPr>
          <w:noProof/>
        </w:rPr>
        <w:tab/>
      </w:r>
      <w:r w:rsidR="00B40B86">
        <w:rPr>
          <w:noProof/>
        </w:rPr>
        <w:fldChar w:fldCharType="begin"/>
      </w:r>
      <w:r>
        <w:rPr>
          <w:noProof/>
        </w:rPr>
        <w:instrText xml:space="preserve"> PAGEREF _Toc390427304 \h </w:instrText>
      </w:r>
      <w:r w:rsidR="00B40B86">
        <w:rPr>
          <w:noProof/>
        </w:rPr>
      </w:r>
      <w:r w:rsidR="00B40B86">
        <w:rPr>
          <w:noProof/>
        </w:rPr>
        <w:fldChar w:fldCharType="separate"/>
      </w:r>
      <w:r w:rsidR="00D733F1">
        <w:rPr>
          <w:noProof/>
        </w:rPr>
        <w:t>21</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lang w:eastAsia="en-US"/>
        </w:rPr>
        <w:t>Impact of 2014-15 Commonwealth Budget</w:t>
      </w:r>
      <w:r>
        <w:rPr>
          <w:noProof/>
        </w:rPr>
        <w:tab/>
      </w:r>
      <w:r w:rsidR="00B40B86">
        <w:rPr>
          <w:noProof/>
        </w:rPr>
        <w:fldChar w:fldCharType="begin"/>
      </w:r>
      <w:r>
        <w:rPr>
          <w:noProof/>
        </w:rPr>
        <w:instrText xml:space="preserve"> PAGEREF _Toc390427305 \h </w:instrText>
      </w:r>
      <w:r w:rsidR="00B40B86">
        <w:rPr>
          <w:noProof/>
        </w:rPr>
      </w:r>
      <w:r w:rsidR="00B40B86">
        <w:rPr>
          <w:noProof/>
        </w:rPr>
        <w:fldChar w:fldCharType="separate"/>
      </w:r>
      <w:r w:rsidR="00D733F1">
        <w:rPr>
          <w:noProof/>
        </w:rPr>
        <w:t>22</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lang w:eastAsia="en-US"/>
        </w:rPr>
        <w:t>Impact of revenue initiatives in 2014-15 Budget</w:t>
      </w:r>
      <w:r>
        <w:rPr>
          <w:noProof/>
        </w:rPr>
        <w:tab/>
      </w:r>
      <w:r w:rsidR="00B40B86">
        <w:rPr>
          <w:noProof/>
        </w:rPr>
        <w:fldChar w:fldCharType="begin"/>
      </w:r>
      <w:r>
        <w:rPr>
          <w:noProof/>
        </w:rPr>
        <w:instrText xml:space="preserve"> PAGEREF _Toc390427306 \h </w:instrText>
      </w:r>
      <w:r w:rsidR="00B40B86">
        <w:rPr>
          <w:noProof/>
        </w:rPr>
      </w:r>
      <w:r w:rsidR="00B40B86">
        <w:rPr>
          <w:noProof/>
        </w:rPr>
        <w:fldChar w:fldCharType="separate"/>
      </w:r>
      <w:r w:rsidR="00D733F1">
        <w:rPr>
          <w:noProof/>
        </w:rPr>
        <w:t>24</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lang w:eastAsia="en-US"/>
        </w:rPr>
        <w:t>Provisions for asset sales</w:t>
      </w:r>
      <w:r>
        <w:rPr>
          <w:noProof/>
        </w:rPr>
        <w:tab/>
      </w:r>
      <w:r w:rsidR="00B40B86">
        <w:rPr>
          <w:noProof/>
        </w:rPr>
        <w:fldChar w:fldCharType="begin"/>
      </w:r>
      <w:r>
        <w:rPr>
          <w:noProof/>
        </w:rPr>
        <w:instrText xml:space="preserve"> PAGEREF _Toc390427307 \h </w:instrText>
      </w:r>
      <w:r w:rsidR="00B40B86">
        <w:rPr>
          <w:noProof/>
        </w:rPr>
      </w:r>
      <w:r w:rsidR="00B40B86">
        <w:rPr>
          <w:noProof/>
        </w:rPr>
        <w:fldChar w:fldCharType="separate"/>
      </w:r>
      <w:r w:rsidR="00D733F1">
        <w:rPr>
          <w:noProof/>
        </w:rPr>
        <w:t>29</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lang w:eastAsia="en-US"/>
        </w:rPr>
        <w:t>Revenue projections</w:t>
      </w:r>
      <w:r>
        <w:rPr>
          <w:noProof/>
        </w:rPr>
        <w:tab/>
      </w:r>
      <w:r w:rsidR="00B40B86">
        <w:rPr>
          <w:noProof/>
        </w:rPr>
        <w:fldChar w:fldCharType="begin"/>
      </w:r>
      <w:r>
        <w:rPr>
          <w:noProof/>
        </w:rPr>
        <w:instrText xml:space="preserve"> PAGEREF _Toc390427308 \h </w:instrText>
      </w:r>
      <w:r w:rsidR="00B40B86">
        <w:rPr>
          <w:noProof/>
        </w:rPr>
      </w:r>
      <w:r w:rsidR="00B40B86">
        <w:rPr>
          <w:noProof/>
        </w:rPr>
        <w:fldChar w:fldCharType="separate"/>
      </w:r>
      <w:r w:rsidR="00D733F1">
        <w:rPr>
          <w:noProof/>
        </w:rPr>
        <w:t>29</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Risks to the future revenue projections</w:t>
      </w:r>
      <w:r>
        <w:rPr>
          <w:noProof/>
        </w:rPr>
        <w:tab/>
      </w:r>
      <w:r w:rsidR="00B40B86">
        <w:rPr>
          <w:noProof/>
        </w:rPr>
        <w:fldChar w:fldCharType="begin"/>
      </w:r>
      <w:r>
        <w:rPr>
          <w:noProof/>
        </w:rPr>
        <w:instrText xml:space="preserve"> PAGEREF _Toc390427309 \h </w:instrText>
      </w:r>
      <w:r w:rsidR="00B40B86">
        <w:rPr>
          <w:noProof/>
        </w:rPr>
      </w:r>
      <w:r w:rsidR="00B40B86">
        <w:rPr>
          <w:noProof/>
        </w:rPr>
        <w:fldChar w:fldCharType="separate"/>
      </w:r>
      <w:r w:rsidR="00D733F1">
        <w:rPr>
          <w:noProof/>
        </w:rPr>
        <w:t>30</w:t>
      </w:r>
      <w:r w:rsidR="00B40B86">
        <w:rPr>
          <w:noProof/>
        </w:rPr>
        <w:fldChar w:fldCharType="end"/>
      </w:r>
    </w:p>
    <w:p w:rsidR="005B214B" w:rsidRDefault="005B214B">
      <w:pPr>
        <w:pStyle w:val="TOC1"/>
        <w:rPr>
          <w:rFonts w:asciiTheme="minorHAnsi" w:eastAsiaTheme="minorEastAsia" w:hAnsiTheme="minorHAnsi" w:cstheme="minorBidi"/>
          <w:noProof/>
          <w:sz w:val="22"/>
          <w:szCs w:val="22"/>
        </w:rPr>
      </w:pPr>
      <w:r>
        <w:rPr>
          <w:noProof/>
        </w:rPr>
        <w:t>Expenditure</w:t>
      </w:r>
      <w:r>
        <w:rPr>
          <w:noProof/>
        </w:rPr>
        <w:tab/>
      </w:r>
      <w:r w:rsidR="00B40B86">
        <w:rPr>
          <w:noProof/>
        </w:rPr>
        <w:fldChar w:fldCharType="begin"/>
      </w:r>
      <w:r>
        <w:rPr>
          <w:noProof/>
        </w:rPr>
        <w:instrText xml:space="preserve"> PAGEREF _Toc390427310 \h </w:instrText>
      </w:r>
      <w:r w:rsidR="00B40B86">
        <w:rPr>
          <w:noProof/>
        </w:rPr>
      </w:r>
      <w:r w:rsidR="00B40B86">
        <w:rPr>
          <w:noProof/>
        </w:rPr>
        <w:fldChar w:fldCharType="separate"/>
      </w:r>
      <w:r w:rsidR="00D733F1">
        <w:rPr>
          <w:noProof/>
        </w:rPr>
        <w:t>32</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Expenditure projections</w:t>
      </w:r>
      <w:r>
        <w:rPr>
          <w:noProof/>
        </w:rPr>
        <w:tab/>
      </w:r>
      <w:r w:rsidR="00B40B86">
        <w:rPr>
          <w:noProof/>
        </w:rPr>
        <w:fldChar w:fldCharType="begin"/>
      </w:r>
      <w:r>
        <w:rPr>
          <w:noProof/>
        </w:rPr>
        <w:instrText xml:space="preserve"> PAGEREF _Toc390427311 \h </w:instrText>
      </w:r>
      <w:r w:rsidR="00B40B86">
        <w:rPr>
          <w:noProof/>
        </w:rPr>
      </w:r>
      <w:r w:rsidR="00B40B86">
        <w:rPr>
          <w:noProof/>
        </w:rPr>
        <w:fldChar w:fldCharType="separate"/>
      </w:r>
      <w:r w:rsidR="00D733F1">
        <w:rPr>
          <w:noProof/>
        </w:rPr>
        <w:t>33</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Overview of major areas of substantial new spending</w:t>
      </w:r>
      <w:r>
        <w:rPr>
          <w:noProof/>
        </w:rPr>
        <w:tab/>
      </w:r>
      <w:r w:rsidR="00B40B86">
        <w:rPr>
          <w:noProof/>
        </w:rPr>
        <w:fldChar w:fldCharType="begin"/>
      </w:r>
      <w:r>
        <w:rPr>
          <w:noProof/>
        </w:rPr>
        <w:instrText xml:space="preserve"> PAGEREF _Toc390427312 \h </w:instrText>
      </w:r>
      <w:r w:rsidR="00B40B86">
        <w:rPr>
          <w:noProof/>
        </w:rPr>
      </w:r>
      <w:r w:rsidR="00B40B86">
        <w:rPr>
          <w:noProof/>
        </w:rPr>
        <w:fldChar w:fldCharType="separate"/>
      </w:r>
      <w:r w:rsidR="00D733F1">
        <w:rPr>
          <w:noProof/>
        </w:rPr>
        <w:t>35</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Savings measures</w:t>
      </w:r>
      <w:r>
        <w:rPr>
          <w:noProof/>
        </w:rPr>
        <w:tab/>
      </w:r>
      <w:r w:rsidR="00B40B86">
        <w:rPr>
          <w:noProof/>
        </w:rPr>
        <w:fldChar w:fldCharType="begin"/>
      </w:r>
      <w:r>
        <w:rPr>
          <w:noProof/>
        </w:rPr>
        <w:instrText xml:space="preserve"> PAGEREF _Toc390427313 \h </w:instrText>
      </w:r>
      <w:r w:rsidR="00B40B86">
        <w:rPr>
          <w:noProof/>
        </w:rPr>
      </w:r>
      <w:r w:rsidR="00B40B86">
        <w:rPr>
          <w:noProof/>
        </w:rPr>
        <w:fldChar w:fldCharType="separate"/>
      </w:r>
      <w:r w:rsidR="00D733F1">
        <w:rPr>
          <w:noProof/>
        </w:rPr>
        <w:t>40</w:t>
      </w:r>
      <w:r w:rsidR="00B40B86">
        <w:rPr>
          <w:noProof/>
        </w:rPr>
        <w:fldChar w:fldCharType="end"/>
      </w:r>
    </w:p>
    <w:p w:rsidR="005B214B" w:rsidRDefault="005B214B">
      <w:pPr>
        <w:pStyle w:val="TOC1"/>
        <w:rPr>
          <w:rFonts w:asciiTheme="minorHAnsi" w:eastAsiaTheme="minorEastAsia" w:hAnsiTheme="minorHAnsi" w:cstheme="minorBidi"/>
          <w:noProof/>
          <w:sz w:val="22"/>
          <w:szCs w:val="22"/>
        </w:rPr>
      </w:pPr>
      <w:r>
        <w:rPr>
          <w:noProof/>
        </w:rPr>
        <w:t>Capital works program</w:t>
      </w:r>
      <w:r>
        <w:rPr>
          <w:noProof/>
        </w:rPr>
        <w:tab/>
      </w:r>
      <w:r w:rsidR="00B40B86">
        <w:rPr>
          <w:noProof/>
        </w:rPr>
        <w:fldChar w:fldCharType="begin"/>
      </w:r>
      <w:r>
        <w:rPr>
          <w:noProof/>
        </w:rPr>
        <w:instrText xml:space="preserve"> PAGEREF _Toc390427314 \h </w:instrText>
      </w:r>
      <w:r w:rsidR="00B40B86">
        <w:rPr>
          <w:noProof/>
        </w:rPr>
      </w:r>
      <w:r w:rsidR="00B40B86">
        <w:rPr>
          <w:noProof/>
        </w:rPr>
        <w:fldChar w:fldCharType="separate"/>
      </w:r>
      <w:r w:rsidR="00D733F1">
        <w:rPr>
          <w:noProof/>
        </w:rPr>
        <w:t>42</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lang w:eastAsia="en-US"/>
        </w:rPr>
        <w:lastRenderedPageBreak/>
        <w:t>High value and commercially sensitive projects</w:t>
      </w:r>
      <w:r>
        <w:rPr>
          <w:noProof/>
        </w:rPr>
        <w:tab/>
      </w:r>
      <w:r w:rsidR="00B40B86">
        <w:rPr>
          <w:noProof/>
        </w:rPr>
        <w:fldChar w:fldCharType="begin"/>
      </w:r>
      <w:r>
        <w:rPr>
          <w:noProof/>
        </w:rPr>
        <w:instrText xml:space="preserve"> PAGEREF _Toc390427315 \h </w:instrText>
      </w:r>
      <w:r w:rsidR="00B40B86">
        <w:rPr>
          <w:noProof/>
        </w:rPr>
      </w:r>
      <w:r w:rsidR="00B40B86">
        <w:rPr>
          <w:noProof/>
        </w:rPr>
        <w:fldChar w:fldCharType="separate"/>
      </w:r>
      <w:r w:rsidR="00D733F1">
        <w:rPr>
          <w:noProof/>
        </w:rPr>
        <w:t>44</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lang w:eastAsia="en-US"/>
        </w:rPr>
        <w:t>Expenditure in support of the land release program</w:t>
      </w:r>
      <w:r>
        <w:rPr>
          <w:noProof/>
        </w:rPr>
        <w:tab/>
      </w:r>
      <w:r w:rsidR="00B40B86">
        <w:rPr>
          <w:noProof/>
        </w:rPr>
        <w:fldChar w:fldCharType="begin"/>
      </w:r>
      <w:r>
        <w:rPr>
          <w:noProof/>
        </w:rPr>
        <w:instrText xml:space="preserve"> PAGEREF _Toc390427316 \h </w:instrText>
      </w:r>
      <w:r w:rsidR="00B40B86">
        <w:rPr>
          <w:noProof/>
        </w:rPr>
      </w:r>
      <w:r w:rsidR="00B40B86">
        <w:rPr>
          <w:noProof/>
        </w:rPr>
        <w:fldChar w:fldCharType="separate"/>
      </w:r>
      <w:r w:rsidR="00D733F1">
        <w:rPr>
          <w:noProof/>
        </w:rPr>
        <w:t>45</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ICT, plant and equipment expenditure</w:t>
      </w:r>
      <w:r>
        <w:rPr>
          <w:noProof/>
        </w:rPr>
        <w:tab/>
      </w:r>
      <w:r w:rsidR="00B40B86">
        <w:rPr>
          <w:noProof/>
        </w:rPr>
        <w:fldChar w:fldCharType="begin"/>
      </w:r>
      <w:r>
        <w:rPr>
          <w:noProof/>
        </w:rPr>
        <w:instrText xml:space="preserve"> PAGEREF _Toc390427317 \h </w:instrText>
      </w:r>
      <w:r w:rsidR="00B40B86">
        <w:rPr>
          <w:noProof/>
        </w:rPr>
      </w:r>
      <w:r w:rsidR="00B40B86">
        <w:rPr>
          <w:noProof/>
        </w:rPr>
        <w:fldChar w:fldCharType="separate"/>
      </w:r>
      <w:r w:rsidR="00D733F1">
        <w:rPr>
          <w:noProof/>
        </w:rPr>
        <w:t>45</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Capital Works expenditure as stimulatory spending</w:t>
      </w:r>
      <w:r>
        <w:rPr>
          <w:noProof/>
        </w:rPr>
        <w:tab/>
      </w:r>
      <w:r w:rsidR="00B40B86">
        <w:rPr>
          <w:noProof/>
        </w:rPr>
        <w:fldChar w:fldCharType="begin"/>
      </w:r>
      <w:r>
        <w:rPr>
          <w:noProof/>
        </w:rPr>
        <w:instrText xml:space="preserve"> PAGEREF _Toc390427318 \h </w:instrText>
      </w:r>
      <w:r w:rsidR="00B40B86">
        <w:rPr>
          <w:noProof/>
        </w:rPr>
      </w:r>
      <w:r w:rsidR="00B40B86">
        <w:rPr>
          <w:noProof/>
        </w:rPr>
        <w:fldChar w:fldCharType="separate"/>
      </w:r>
      <w:r w:rsidR="00D733F1">
        <w:rPr>
          <w:noProof/>
        </w:rPr>
        <w:t>46</w:t>
      </w:r>
      <w:r w:rsidR="00B40B86">
        <w:rPr>
          <w:noProof/>
        </w:rPr>
        <w:fldChar w:fldCharType="end"/>
      </w:r>
    </w:p>
    <w:p w:rsidR="005B214B" w:rsidRDefault="005B214B">
      <w:pPr>
        <w:pStyle w:val="TOC1"/>
        <w:rPr>
          <w:rFonts w:asciiTheme="minorHAnsi" w:eastAsiaTheme="minorEastAsia" w:hAnsiTheme="minorHAnsi" w:cstheme="minorBidi"/>
          <w:noProof/>
          <w:sz w:val="22"/>
          <w:szCs w:val="22"/>
        </w:rPr>
      </w:pPr>
      <w:r>
        <w:rPr>
          <w:noProof/>
        </w:rPr>
        <w:t>Impact of the Budget on cost of living</w:t>
      </w:r>
      <w:r>
        <w:rPr>
          <w:noProof/>
        </w:rPr>
        <w:tab/>
      </w:r>
      <w:r w:rsidR="00B40B86">
        <w:rPr>
          <w:noProof/>
        </w:rPr>
        <w:fldChar w:fldCharType="begin"/>
      </w:r>
      <w:r>
        <w:rPr>
          <w:noProof/>
        </w:rPr>
        <w:instrText xml:space="preserve"> PAGEREF _Toc390427319 \h </w:instrText>
      </w:r>
      <w:r w:rsidR="00B40B86">
        <w:rPr>
          <w:noProof/>
        </w:rPr>
      </w:r>
      <w:r w:rsidR="00B40B86">
        <w:rPr>
          <w:noProof/>
        </w:rPr>
        <w:fldChar w:fldCharType="separate"/>
      </w:r>
      <w:r w:rsidR="00D733F1">
        <w:rPr>
          <w:noProof/>
        </w:rPr>
        <w:t>48</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Findings from the 2014-15 cost of living statement</w:t>
      </w:r>
      <w:r>
        <w:rPr>
          <w:noProof/>
        </w:rPr>
        <w:tab/>
      </w:r>
      <w:r w:rsidR="00B40B86">
        <w:rPr>
          <w:noProof/>
        </w:rPr>
        <w:fldChar w:fldCharType="begin"/>
      </w:r>
      <w:r>
        <w:rPr>
          <w:noProof/>
        </w:rPr>
        <w:instrText xml:space="preserve"> PAGEREF _Toc390427320 \h </w:instrText>
      </w:r>
      <w:r w:rsidR="00B40B86">
        <w:rPr>
          <w:noProof/>
        </w:rPr>
      </w:r>
      <w:r w:rsidR="00B40B86">
        <w:rPr>
          <w:noProof/>
        </w:rPr>
        <w:fldChar w:fldCharType="separate"/>
      </w:r>
      <w:r w:rsidR="00D733F1">
        <w:rPr>
          <w:noProof/>
        </w:rPr>
        <w:t>48</w:t>
      </w:r>
      <w:r w:rsidR="00B40B86">
        <w:rPr>
          <w:noProof/>
        </w:rPr>
        <w:fldChar w:fldCharType="end"/>
      </w:r>
    </w:p>
    <w:p w:rsidR="005B214B" w:rsidRDefault="005B214B">
      <w:pPr>
        <w:pStyle w:val="TOC2"/>
        <w:rPr>
          <w:rFonts w:asciiTheme="minorHAnsi" w:eastAsiaTheme="minorEastAsia" w:hAnsiTheme="minorHAnsi" w:cstheme="minorBidi"/>
          <w:noProof/>
          <w:sz w:val="22"/>
          <w:szCs w:val="22"/>
        </w:rPr>
      </w:pPr>
      <w:r>
        <w:rPr>
          <w:noProof/>
        </w:rPr>
        <w:t>How does the current methodology compare with other agencies?</w:t>
      </w:r>
      <w:r>
        <w:rPr>
          <w:noProof/>
        </w:rPr>
        <w:tab/>
      </w:r>
      <w:r w:rsidR="00B40B86">
        <w:rPr>
          <w:noProof/>
        </w:rPr>
        <w:fldChar w:fldCharType="begin"/>
      </w:r>
      <w:r>
        <w:rPr>
          <w:noProof/>
        </w:rPr>
        <w:instrText xml:space="preserve"> PAGEREF _Toc390427321 \h </w:instrText>
      </w:r>
      <w:r w:rsidR="00B40B86">
        <w:rPr>
          <w:noProof/>
        </w:rPr>
      </w:r>
      <w:r w:rsidR="00B40B86">
        <w:rPr>
          <w:noProof/>
        </w:rPr>
        <w:fldChar w:fldCharType="separate"/>
      </w:r>
      <w:r w:rsidR="00D733F1">
        <w:rPr>
          <w:noProof/>
        </w:rPr>
        <w:t>49</w:t>
      </w:r>
      <w:r w:rsidR="00B40B86">
        <w:rPr>
          <w:noProof/>
        </w:rPr>
        <w:fldChar w:fldCharType="end"/>
      </w:r>
    </w:p>
    <w:p w:rsidR="005B214B" w:rsidRDefault="005B214B">
      <w:pPr>
        <w:pStyle w:val="TOC1"/>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Triple bottom line analysis of key Budget initiatives</w:t>
      </w:r>
      <w:r>
        <w:rPr>
          <w:noProof/>
        </w:rPr>
        <w:tab/>
      </w:r>
      <w:r w:rsidR="00B40B86">
        <w:rPr>
          <w:noProof/>
        </w:rPr>
        <w:fldChar w:fldCharType="begin"/>
      </w:r>
      <w:r>
        <w:rPr>
          <w:noProof/>
        </w:rPr>
        <w:instrText xml:space="preserve"> PAGEREF _Toc390427322 \h </w:instrText>
      </w:r>
      <w:r w:rsidR="00B40B86">
        <w:rPr>
          <w:noProof/>
        </w:rPr>
      </w:r>
      <w:r w:rsidR="00B40B86">
        <w:rPr>
          <w:noProof/>
        </w:rPr>
        <w:fldChar w:fldCharType="separate"/>
      </w:r>
      <w:r w:rsidR="00D733F1">
        <w:rPr>
          <w:noProof/>
        </w:rPr>
        <w:t>51</w:t>
      </w:r>
      <w:r w:rsidR="00B40B86">
        <w:rPr>
          <w:noProof/>
        </w:rPr>
        <w:fldChar w:fldCharType="end"/>
      </w:r>
    </w:p>
    <w:p w:rsidR="005B214B" w:rsidRDefault="005B214B">
      <w:pPr>
        <w:pStyle w:val="TOC1"/>
        <w:rPr>
          <w:rFonts w:asciiTheme="minorHAnsi" w:eastAsiaTheme="minorEastAsia" w:hAnsiTheme="minorHAnsi" w:cstheme="minorBidi"/>
          <w:noProof/>
          <w:sz w:val="22"/>
          <w:szCs w:val="22"/>
        </w:rPr>
      </w:pPr>
      <w:r>
        <w:rPr>
          <w:noProof/>
        </w:rPr>
        <w:t>References</w:t>
      </w:r>
      <w:r>
        <w:rPr>
          <w:noProof/>
        </w:rPr>
        <w:tab/>
      </w:r>
      <w:r w:rsidR="00B40B86">
        <w:rPr>
          <w:noProof/>
        </w:rPr>
        <w:fldChar w:fldCharType="begin"/>
      </w:r>
      <w:r>
        <w:rPr>
          <w:noProof/>
        </w:rPr>
        <w:instrText xml:space="preserve"> PAGEREF _Toc390427323 \h </w:instrText>
      </w:r>
      <w:r w:rsidR="00B40B86">
        <w:rPr>
          <w:noProof/>
        </w:rPr>
      </w:r>
      <w:r w:rsidR="00B40B86">
        <w:rPr>
          <w:noProof/>
        </w:rPr>
        <w:fldChar w:fldCharType="separate"/>
      </w:r>
      <w:r w:rsidR="00D733F1">
        <w:rPr>
          <w:noProof/>
        </w:rPr>
        <w:t>56</w:t>
      </w:r>
      <w:r w:rsidR="00B40B86">
        <w:rPr>
          <w:noProof/>
        </w:rPr>
        <w:fldChar w:fldCharType="end"/>
      </w:r>
    </w:p>
    <w:p w:rsidR="007C66FD" w:rsidRPr="002B76B3" w:rsidRDefault="00B40B86" w:rsidP="00526E83">
      <w:pPr>
        <w:pStyle w:val="BodyText"/>
        <w:spacing w:before="480"/>
        <w:rPr>
          <w:rFonts w:ascii="Franklin Gothic Demi" w:hAnsi="Franklin Gothic Demi"/>
          <w:caps/>
          <w:spacing w:val="10"/>
          <w:sz w:val="22"/>
        </w:rPr>
      </w:pPr>
      <w:r w:rsidRPr="00876B40">
        <w:fldChar w:fldCharType="end"/>
      </w:r>
      <w:r w:rsidR="007C66FD" w:rsidRPr="002B76B3">
        <w:rPr>
          <w:rFonts w:ascii="Franklin Gothic Demi" w:hAnsi="Franklin Gothic Demi"/>
          <w:caps/>
          <w:spacing w:val="10"/>
          <w:sz w:val="22"/>
        </w:rPr>
        <w:t>Boxes, charts and tables</w:t>
      </w:r>
    </w:p>
    <w:p w:rsidR="005B214B" w:rsidRDefault="00B40B86">
      <w:pPr>
        <w:pStyle w:val="TableofFigures"/>
        <w:rPr>
          <w:rFonts w:eastAsiaTheme="minorEastAsia" w:cstheme="minorBidi"/>
          <w:noProof/>
          <w:sz w:val="22"/>
          <w:szCs w:val="22"/>
        </w:rPr>
      </w:pPr>
      <w:r w:rsidRPr="00B40B86">
        <w:fldChar w:fldCharType="begin"/>
      </w:r>
      <w:r w:rsidR="002450C5">
        <w:instrText xml:space="preserve"> TOC \t "Caption" \c </w:instrText>
      </w:r>
      <w:r w:rsidRPr="00B40B86">
        <w:fldChar w:fldCharType="separate"/>
      </w:r>
      <w:r w:rsidR="005B214B">
        <w:rPr>
          <w:noProof/>
        </w:rPr>
        <w:t>1</w:t>
      </w:r>
      <w:r w:rsidR="005B214B">
        <w:rPr>
          <w:rFonts w:eastAsiaTheme="minorEastAsia" w:cstheme="minorBidi"/>
          <w:noProof/>
          <w:sz w:val="22"/>
          <w:szCs w:val="22"/>
        </w:rPr>
        <w:tab/>
      </w:r>
      <w:r w:rsidR="005B214B">
        <w:rPr>
          <w:noProof/>
        </w:rPr>
        <w:t>ACT Economic outlook</w:t>
      </w:r>
      <w:r w:rsidR="005B214B">
        <w:rPr>
          <w:noProof/>
        </w:rPr>
        <w:tab/>
      </w:r>
      <w:r>
        <w:rPr>
          <w:noProof/>
        </w:rPr>
        <w:fldChar w:fldCharType="begin"/>
      </w:r>
      <w:r w:rsidR="005B214B">
        <w:rPr>
          <w:noProof/>
        </w:rPr>
        <w:instrText xml:space="preserve"> PAGEREF _Toc390427324 \h </w:instrText>
      </w:r>
      <w:r>
        <w:rPr>
          <w:noProof/>
        </w:rPr>
      </w:r>
      <w:r>
        <w:rPr>
          <w:noProof/>
        </w:rPr>
        <w:fldChar w:fldCharType="separate"/>
      </w:r>
      <w:r w:rsidR="00D733F1">
        <w:rPr>
          <w:noProof/>
        </w:rPr>
        <w:t>7</w:t>
      </w:r>
      <w:r>
        <w:rPr>
          <w:noProof/>
        </w:rPr>
        <w:fldChar w:fldCharType="end"/>
      </w:r>
    </w:p>
    <w:p w:rsidR="005B214B" w:rsidRDefault="005B214B">
      <w:pPr>
        <w:pStyle w:val="TableofFigures"/>
        <w:rPr>
          <w:rFonts w:eastAsiaTheme="minorEastAsia" w:cstheme="minorBidi"/>
          <w:noProof/>
          <w:sz w:val="22"/>
          <w:szCs w:val="22"/>
        </w:rPr>
      </w:pPr>
      <w:r>
        <w:rPr>
          <w:noProof/>
        </w:rPr>
        <w:t>2</w:t>
      </w:r>
      <w:r>
        <w:rPr>
          <w:rFonts w:eastAsiaTheme="minorEastAsia" w:cstheme="minorBidi"/>
          <w:noProof/>
          <w:sz w:val="22"/>
          <w:szCs w:val="22"/>
        </w:rPr>
        <w:tab/>
      </w:r>
      <w:r>
        <w:rPr>
          <w:noProof/>
        </w:rPr>
        <w:t>Comparison of Australian GDP growth forecasts</w:t>
      </w:r>
      <w:r>
        <w:rPr>
          <w:noProof/>
        </w:rPr>
        <w:tab/>
      </w:r>
      <w:r w:rsidR="00B40B86">
        <w:rPr>
          <w:noProof/>
        </w:rPr>
        <w:fldChar w:fldCharType="begin"/>
      </w:r>
      <w:r>
        <w:rPr>
          <w:noProof/>
        </w:rPr>
        <w:instrText xml:space="preserve"> PAGEREF _Toc390427325 \h </w:instrText>
      </w:r>
      <w:r w:rsidR="00B40B86">
        <w:rPr>
          <w:noProof/>
        </w:rPr>
      </w:r>
      <w:r w:rsidR="00B40B86">
        <w:rPr>
          <w:noProof/>
        </w:rPr>
        <w:fldChar w:fldCharType="separate"/>
      </w:r>
      <w:r w:rsidR="00D733F1">
        <w:rPr>
          <w:noProof/>
        </w:rPr>
        <w:t>7</w:t>
      </w:r>
      <w:r w:rsidR="00B40B86">
        <w:rPr>
          <w:noProof/>
        </w:rPr>
        <w:fldChar w:fldCharType="end"/>
      </w:r>
    </w:p>
    <w:p w:rsidR="005B214B" w:rsidRDefault="005B214B">
      <w:pPr>
        <w:pStyle w:val="TableofFigures"/>
        <w:rPr>
          <w:rFonts w:eastAsiaTheme="minorEastAsia" w:cstheme="minorBidi"/>
          <w:noProof/>
          <w:sz w:val="22"/>
          <w:szCs w:val="22"/>
        </w:rPr>
      </w:pPr>
      <w:r>
        <w:rPr>
          <w:noProof/>
        </w:rPr>
        <w:t>3</w:t>
      </w:r>
      <w:r>
        <w:rPr>
          <w:rFonts w:eastAsiaTheme="minorEastAsia" w:cstheme="minorBidi"/>
          <w:noProof/>
          <w:sz w:val="22"/>
          <w:szCs w:val="22"/>
        </w:rPr>
        <w:tab/>
      </w:r>
      <w:r>
        <w:rPr>
          <w:noProof/>
        </w:rPr>
        <w:t>Comparison of GSP growth between states</w:t>
      </w:r>
      <w:r>
        <w:rPr>
          <w:noProof/>
        </w:rPr>
        <w:tab/>
      </w:r>
      <w:r w:rsidR="00B40B86">
        <w:rPr>
          <w:noProof/>
        </w:rPr>
        <w:fldChar w:fldCharType="begin"/>
      </w:r>
      <w:r>
        <w:rPr>
          <w:noProof/>
        </w:rPr>
        <w:instrText xml:space="preserve"> PAGEREF _Toc390427326 \h </w:instrText>
      </w:r>
      <w:r w:rsidR="00B40B86">
        <w:rPr>
          <w:noProof/>
        </w:rPr>
      </w:r>
      <w:r w:rsidR="00B40B86">
        <w:rPr>
          <w:noProof/>
        </w:rPr>
        <w:fldChar w:fldCharType="separate"/>
      </w:r>
      <w:r w:rsidR="00D733F1">
        <w:rPr>
          <w:noProof/>
        </w:rPr>
        <w:t>8</w:t>
      </w:r>
      <w:r w:rsidR="00B40B86">
        <w:rPr>
          <w:noProof/>
        </w:rPr>
        <w:fldChar w:fldCharType="end"/>
      </w:r>
    </w:p>
    <w:p w:rsidR="005B214B" w:rsidRDefault="005B214B">
      <w:pPr>
        <w:pStyle w:val="TableofFigures"/>
        <w:rPr>
          <w:rFonts w:eastAsiaTheme="minorEastAsia" w:cstheme="minorBidi"/>
          <w:noProof/>
          <w:sz w:val="22"/>
          <w:szCs w:val="22"/>
        </w:rPr>
      </w:pPr>
      <w:r>
        <w:rPr>
          <w:noProof/>
        </w:rPr>
        <w:t>4</w:t>
      </w:r>
      <w:r>
        <w:rPr>
          <w:rFonts w:eastAsiaTheme="minorEastAsia" w:cstheme="minorBidi"/>
          <w:noProof/>
          <w:sz w:val="22"/>
          <w:szCs w:val="22"/>
        </w:rPr>
        <w:tab/>
      </w:r>
      <w:r>
        <w:rPr>
          <w:noProof/>
        </w:rPr>
        <w:t>Wage Price Index</w:t>
      </w:r>
      <w:r>
        <w:rPr>
          <w:noProof/>
        </w:rPr>
        <w:tab/>
      </w:r>
      <w:r w:rsidR="00B40B86">
        <w:rPr>
          <w:noProof/>
        </w:rPr>
        <w:fldChar w:fldCharType="begin"/>
      </w:r>
      <w:r>
        <w:rPr>
          <w:noProof/>
        </w:rPr>
        <w:instrText xml:space="preserve"> PAGEREF _Toc390427327 \h </w:instrText>
      </w:r>
      <w:r w:rsidR="00B40B86">
        <w:rPr>
          <w:noProof/>
        </w:rPr>
      </w:r>
      <w:r w:rsidR="00B40B86">
        <w:rPr>
          <w:noProof/>
        </w:rPr>
        <w:fldChar w:fldCharType="separate"/>
      </w:r>
      <w:r w:rsidR="00D733F1">
        <w:rPr>
          <w:noProof/>
        </w:rPr>
        <w:t>10</w:t>
      </w:r>
      <w:r w:rsidR="00B40B86">
        <w:rPr>
          <w:noProof/>
        </w:rPr>
        <w:fldChar w:fldCharType="end"/>
      </w:r>
    </w:p>
    <w:p w:rsidR="005B214B" w:rsidRDefault="005B214B">
      <w:pPr>
        <w:pStyle w:val="TableofFigures"/>
        <w:rPr>
          <w:rFonts w:eastAsiaTheme="minorEastAsia" w:cstheme="minorBidi"/>
          <w:noProof/>
          <w:sz w:val="22"/>
          <w:szCs w:val="22"/>
        </w:rPr>
      </w:pPr>
      <w:r>
        <w:rPr>
          <w:noProof/>
        </w:rPr>
        <w:t>5</w:t>
      </w:r>
      <w:r>
        <w:rPr>
          <w:rFonts w:eastAsiaTheme="minorEastAsia" w:cstheme="minorBidi"/>
          <w:noProof/>
          <w:sz w:val="22"/>
          <w:szCs w:val="22"/>
        </w:rPr>
        <w:tab/>
      </w:r>
      <w:r>
        <w:rPr>
          <w:noProof/>
        </w:rPr>
        <w:t>Recent and forecast employment for the ACT</w:t>
      </w:r>
      <w:r>
        <w:rPr>
          <w:noProof/>
        </w:rPr>
        <w:tab/>
      </w:r>
      <w:r w:rsidR="00B40B86">
        <w:rPr>
          <w:noProof/>
        </w:rPr>
        <w:fldChar w:fldCharType="begin"/>
      </w:r>
      <w:r>
        <w:rPr>
          <w:noProof/>
        </w:rPr>
        <w:instrText xml:space="preserve"> PAGEREF _Toc390427328 \h </w:instrText>
      </w:r>
      <w:r w:rsidR="00B40B86">
        <w:rPr>
          <w:noProof/>
        </w:rPr>
      </w:r>
      <w:r w:rsidR="00B40B86">
        <w:rPr>
          <w:noProof/>
        </w:rPr>
        <w:fldChar w:fldCharType="separate"/>
      </w:r>
      <w:r w:rsidR="00D733F1">
        <w:rPr>
          <w:noProof/>
        </w:rPr>
        <w:t>11</w:t>
      </w:r>
      <w:r w:rsidR="00B40B86">
        <w:rPr>
          <w:noProof/>
        </w:rPr>
        <w:fldChar w:fldCharType="end"/>
      </w:r>
    </w:p>
    <w:p w:rsidR="005B214B" w:rsidRDefault="005B214B">
      <w:pPr>
        <w:pStyle w:val="TableofFigures"/>
        <w:rPr>
          <w:rFonts w:eastAsiaTheme="minorEastAsia" w:cstheme="minorBidi"/>
          <w:noProof/>
          <w:sz w:val="22"/>
          <w:szCs w:val="22"/>
        </w:rPr>
      </w:pPr>
      <w:r>
        <w:rPr>
          <w:noProof/>
        </w:rPr>
        <w:t>6</w:t>
      </w:r>
      <w:r>
        <w:rPr>
          <w:rFonts w:eastAsiaTheme="minorEastAsia" w:cstheme="minorBidi"/>
          <w:noProof/>
          <w:sz w:val="22"/>
          <w:szCs w:val="22"/>
        </w:rPr>
        <w:tab/>
      </w:r>
      <w:r>
        <w:rPr>
          <w:noProof/>
        </w:rPr>
        <w:t>Migration flows for the ACT</w:t>
      </w:r>
      <w:r>
        <w:rPr>
          <w:noProof/>
        </w:rPr>
        <w:tab/>
      </w:r>
      <w:r w:rsidR="00B40B86">
        <w:rPr>
          <w:noProof/>
        </w:rPr>
        <w:fldChar w:fldCharType="begin"/>
      </w:r>
      <w:r>
        <w:rPr>
          <w:noProof/>
        </w:rPr>
        <w:instrText xml:space="preserve"> PAGEREF _Toc390427329 \h </w:instrText>
      </w:r>
      <w:r w:rsidR="00B40B86">
        <w:rPr>
          <w:noProof/>
        </w:rPr>
      </w:r>
      <w:r w:rsidR="00B40B86">
        <w:rPr>
          <w:noProof/>
        </w:rPr>
        <w:fldChar w:fldCharType="separate"/>
      </w:r>
      <w:r w:rsidR="00D733F1">
        <w:rPr>
          <w:noProof/>
        </w:rPr>
        <w:t>11</w:t>
      </w:r>
      <w:r w:rsidR="00B40B86">
        <w:rPr>
          <w:noProof/>
        </w:rPr>
        <w:fldChar w:fldCharType="end"/>
      </w:r>
    </w:p>
    <w:p w:rsidR="005B214B" w:rsidRDefault="005B214B">
      <w:pPr>
        <w:pStyle w:val="TableofFigures"/>
        <w:rPr>
          <w:rFonts w:eastAsiaTheme="minorEastAsia" w:cstheme="minorBidi"/>
          <w:noProof/>
          <w:sz w:val="22"/>
          <w:szCs w:val="22"/>
        </w:rPr>
      </w:pPr>
      <w:r>
        <w:rPr>
          <w:noProof/>
        </w:rPr>
        <w:t>7</w:t>
      </w:r>
      <w:r>
        <w:rPr>
          <w:rFonts w:eastAsiaTheme="minorEastAsia" w:cstheme="minorBidi"/>
          <w:noProof/>
          <w:sz w:val="22"/>
          <w:szCs w:val="22"/>
        </w:rPr>
        <w:tab/>
      </w:r>
      <w:r>
        <w:rPr>
          <w:noProof/>
        </w:rPr>
        <w:t>Change in GGS Headline Net Operating Balance from 2013-14</w:t>
      </w:r>
      <w:r>
        <w:rPr>
          <w:noProof/>
        </w:rPr>
        <w:tab/>
      </w:r>
      <w:r w:rsidR="00B40B86">
        <w:rPr>
          <w:noProof/>
        </w:rPr>
        <w:fldChar w:fldCharType="begin"/>
      </w:r>
      <w:r>
        <w:rPr>
          <w:noProof/>
        </w:rPr>
        <w:instrText xml:space="preserve"> PAGEREF _Toc390427330 \h </w:instrText>
      </w:r>
      <w:r w:rsidR="00B40B86">
        <w:rPr>
          <w:noProof/>
        </w:rPr>
      </w:r>
      <w:r w:rsidR="00B40B86">
        <w:rPr>
          <w:noProof/>
        </w:rPr>
        <w:fldChar w:fldCharType="separate"/>
      </w:r>
      <w:r w:rsidR="00D733F1">
        <w:rPr>
          <w:noProof/>
        </w:rPr>
        <w:t>13</w:t>
      </w:r>
      <w:r w:rsidR="00B40B86">
        <w:rPr>
          <w:noProof/>
        </w:rPr>
        <w:fldChar w:fldCharType="end"/>
      </w:r>
    </w:p>
    <w:p w:rsidR="005B214B" w:rsidRDefault="005B214B">
      <w:pPr>
        <w:pStyle w:val="TableofFigures"/>
        <w:rPr>
          <w:rFonts w:eastAsiaTheme="minorEastAsia" w:cstheme="minorBidi"/>
          <w:noProof/>
          <w:sz w:val="22"/>
          <w:szCs w:val="22"/>
        </w:rPr>
      </w:pPr>
      <w:r>
        <w:rPr>
          <w:noProof/>
        </w:rPr>
        <w:t>8</w:t>
      </w:r>
      <w:r>
        <w:rPr>
          <w:rFonts w:eastAsiaTheme="minorEastAsia" w:cstheme="minorBidi"/>
          <w:noProof/>
          <w:sz w:val="22"/>
          <w:szCs w:val="22"/>
        </w:rPr>
        <w:tab/>
      </w:r>
      <w:r>
        <w:rPr>
          <w:noProof/>
        </w:rPr>
        <w:t>General Government Sector Net Operating Surplus/Deficit</w:t>
      </w:r>
      <w:r>
        <w:rPr>
          <w:noProof/>
        </w:rPr>
        <w:tab/>
      </w:r>
      <w:r w:rsidR="00B40B86">
        <w:rPr>
          <w:noProof/>
        </w:rPr>
        <w:fldChar w:fldCharType="begin"/>
      </w:r>
      <w:r>
        <w:rPr>
          <w:noProof/>
        </w:rPr>
        <w:instrText xml:space="preserve"> PAGEREF _Toc390427331 \h </w:instrText>
      </w:r>
      <w:r w:rsidR="00B40B86">
        <w:rPr>
          <w:noProof/>
        </w:rPr>
      </w:r>
      <w:r w:rsidR="00B40B86">
        <w:rPr>
          <w:noProof/>
        </w:rPr>
        <w:fldChar w:fldCharType="separate"/>
      </w:r>
      <w:r w:rsidR="00D733F1">
        <w:rPr>
          <w:noProof/>
        </w:rPr>
        <w:t>14</w:t>
      </w:r>
      <w:r w:rsidR="00B40B86">
        <w:rPr>
          <w:noProof/>
        </w:rPr>
        <w:fldChar w:fldCharType="end"/>
      </w:r>
    </w:p>
    <w:p w:rsidR="005B214B" w:rsidRDefault="005B214B">
      <w:pPr>
        <w:pStyle w:val="TableofFigures"/>
        <w:rPr>
          <w:rFonts w:eastAsiaTheme="minorEastAsia" w:cstheme="minorBidi"/>
          <w:noProof/>
          <w:sz w:val="22"/>
          <w:szCs w:val="22"/>
        </w:rPr>
      </w:pPr>
      <w:r>
        <w:rPr>
          <w:noProof/>
        </w:rPr>
        <w:t>9</w:t>
      </w:r>
      <w:r>
        <w:rPr>
          <w:rFonts w:eastAsiaTheme="minorEastAsia" w:cstheme="minorBidi"/>
          <w:noProof/>
          <w:sz w:val="22"/>
          <w:szCs w:val="22"/>
        </w:rPr>
        <w:tab/>
      </w:r>
      <w:r>
        <w:rPr>
          <w:noProof/>
        </w:rPr>
        <w:t>Net cash from operating activities and liabilities</w:t>
      </w:r>
      <w:r>
        <w:rPr>
          <w:noProof/>
        </w:rPr>
        <w:tab/>
      </w:r>
      <w:r w:rsidR="00B40B86">
        <w:rPr>
          <w:noProof/>
        </w:rPr>
        <w:fldChar w:fldCharType="begin"/>
      </w:r>
      <w:r>
        <w:rPr>
          <w:noProof/>
        </w:rPr>
        <w:instrText xml:space="preserve"> PAGEREF _Toc390427332 \h </w:instrText>
      </w:r>
      <w:r w:rsidR="00B40B86">
        <w:rPr>
          <w:noProof/>
        </w:rPr>
      </w:r>
      <w:r w:rsidR="00B40B86">
        <w:rPr>
          <w:noProof/>
        </w:rPr>
        <w:fldChar w:fldCharType="separate"/>
      </w:r>
      <w:r w:rsidR="00D733F1">
        <w:rPr>
          <w:noProof/>
        </w:rPr>
        <w:t>16</w:t>
      </w:r>
      <w:r w:rsidR="00B40B86">
        <w:rPr>
          <w:noProof/>
        </w:rPr>
        <w:fldChar w:fldCharType="end"/>
      </w:r>
    </w:p>
    <w:p w:rsidR="005B214B" w:rsidRDefault="005B214B">
      <w:pPr>
        <w:pStyle w:val="TableofFigures"/>
        <w:rPr>
          <w:rFonts w:eastAsiaTheme="minorEastAsia" w:cstheme="minorBidi"/>
          <w:noProof/>
          <w:sz w:val="22"/>
          <w:szCs w:val="22"/>
        </w:rPr>
      </w:pPr>
      <w:r>
        <w:rPr>
          <w:noProof/>
        </w:rPr>
        <w:t>10</w:t>
      </w:r>
      <w:r>
        <w:rPr>
          <w:rFonts w:eastAsiaTheme="minorEastAsia" w:cstheme="minorBidi"/>
          <w:noProof/>
          <w:sz w:val="22"/>
          <w:szCs w:val="22"/>
        </w:rPr>
        <w:tab/>
      </w:r>
      <w:r>
        <w:rPr>
          <w:noProof/>
        </w:rPr>
        <w:t>Net liabilities and net worth as a share of GSP</w:t>
      </w:r>
      <w:r>
        <w:rPr>
          <w:noProof/>
        </w:rPr>
        <w:tab/>
      </w:r>
      <w:r w:rsidR="00B40B86">
        <w:rPr>
          <w:noProof/>
        </w:rPr>
        <w:fldChar w:fldCharType="begin"/>
      </w:r>
      <w:r>
        <w:rPr>
          <w:noProof/>
        </w:rPr>
        <w:instrText xml:space="preserve"> PAGEREF _Toc390427333 \h </w:instrText>
      </w:r>
      <w:r w:rsidR="00B40B86">
        <w:rPr>
          <w:noProof/>
        </w:rPr>
      </w:r>
      <w:r w:rsidR="00B40B86">
        <w:rPr>
          <w:noProof/>
        </w:rPr>
        <w:fldChar w:fldCharType="separate"/>
      </w:r>
      <w:r w:rsidR="00D733F1">
        <w:rPr>
          <w:noProof/>
        </w:rPr>
        <w:t>17</w:t>
      </w:r>
      <w:r w:rsidR="00B40B86">
        <w:rPr>
          <w:noProof/>
        </w:rPr>
        <w:fldChar w:fldCharType="end"/>
      </w:r>
    </w:p>
    <w:p w:rsidR="005B214B" w:rsidRDefault="005B214B">
      <w:pPr>
        <w:pStyle w:val="TableofFigures"/>
        <w:rPr>
          <w:rFonts w:eastAsiaTheme="minorEastAsia" w:cstheme="minorBidi"/>
          <w:noProof/>
          <w:sz w:val="22"/>
          <w:szCs w:val="22"/>
        </w:rPr>
      </w:pPr>
      <w:r>
        <w:rPr>
          <w:noProof/>
        </w:rPr>
        <w:t>11</w:t>
      </w:r>
      <w:r>
        <w:rPr>
          <w:rFonts w:eastAsiaTheme="minorEastAsia" w:cstheme="minorBidi"/>
          <w:noProof/>
          <w:sz w:val="22"/>
          <w:szCs w:val="22"/>
        </w:rPr>
        <w:tab/>
      </w:r>
      <w:r>
        <w:rPr>
          <w:noProof/>
        </w:rPr>
        <w:t>Superannuation liability funding</w:t>
      </w:r>
      <w:r>
        <w:rPr>
          <w:noProof/>
        </w:rPr>
        <w:tab/>
      </w:r>
      <w:r w:rsidR="00B40B86">
        <w:rPr>
          <w:noProof/>
        </w:rPr>
        <w:fldChar w:fldCharType="begin"/>
      </w:r>
      <w:r>
        <w:rPr>
          <w:noProof/>
        </w:rPr>
        <w:instrText xml:space="preserve"> PAGEREF _Toc390427334 \h </w:instrText>
      </w:r>
      <w:r w:rsidR="00B40B86">
        <w:rPr>
          <w:noProof/>
        </w:rPr>
      </w:r>
      <w:r w:rsidR="00B40B86">
        <w:rPr>
          <w:noProof/>
        </w:rPr>
        <w:fldChar w:fldCharType="separate"/>
      </w:r>
      <w:r w:rsidR="00D733F1">
        <w:rPr>
          <w:noProof/>
        </w:rPr>
        <w:t>18</w:t>
      </w:r>
      <w:r w:rsidR="00B40B86">
        <w:rPr>
          <w:noProof/>
        </w:rPr>
        <w:fldChar w:fldCharType="end"/>
      </w:r>
    </w:p>
    <w:p w:rsidR="005B214B" w:rsidRDefault="005B214B">
      <w:pPr>
        <w:pStyle w:val="TableofFigures"/>
        <w:rPr>
          <w:rFonts w:eastAsiaTheme="minorEastAsia" w:cstheme="minorBidi"/>
          <w:noProof/>
          <w:sz w:val="22"/>
          <w:szCs w:val="22"/>
        </w:rPr>
      </w:pPr>
      <w:r>
        <w:rPr>
          <w:noProof/>
        </w:rPr>
        <w:t>12</w:t>
      </w:r>
      <w:r>
        <w:rPr>
          <w:rFonts w:eastAsiaTheme="minorEastAsia" w:cstheme="minorBidi"/>
          <w:noProof/>
          <w:sz w:val="22"/>
          <w:szCs w:val="22"/>
        </w:rPr>
        <w:tab/>
      </w:r>
      <w:r>
        <w:rPr>
          <w:noProof/>
        </w:rPr>
        <w:t>Progression of revenue projections</w:t>
      </w:r>
      <w:r>
        <w:rPr>
          <w:noProof/>
        </w:rPr>
        <w:tab/>
      </w:r>
      <w:r w:rsidR="00B40B86">
        <w:rPr>
          <w:noProof/>
        </w:rPr>
        <w:fldChar w:fldCharType="begin"/>
      </w:r>
      <w:r>
        <w:rPr>
          <w:noProof/>
        </w:rPr>
        <w:instrText xml:space="preserve"> PAGEREF _Toc390427335 \h </w:instrText>
      </w:r>
      <w:r w:rsidR="00B40B86">
        <w:rPr>
          <w:noProof/>
        </w:rPr>
      </w:r>
      <w:r w:rsidR="00B40B86">
        <w:rPr>
          <w:noProof/>
        </w:rPr>
        <w:fldChar w:fldCharType="separate"/>
      </w:r>
      <w:r w:rsidR="00D733F1">
        <w:rPr>
          <w:noProof/>
        </w:rPr>
        <w:t>21</w:t>
      </w:r>
      <w:r w:rsidR="00B40B86">
        <w:rPr>
          <w:noProof/>
        </w:rPr>
        <w:fldChar w:fldCharType="end"/>
      </w:r>
    </w:p>
    <w:p w:rsidR="005B214B" w:rsidRDefault="005B214B">
      <w:pPr>
        <w:pStyle w:val="TableofFigures"/>
        <w:rPr>
          <w:rFonts w:eastAsiaTheme="minorEastAsia" w:cstheme="minorBidi"/>
          <w:noProof/>
          <w:sz w:val="22"/>
          <w:szCs w:val="22"/>
        </w:rPr>
      </w:pPr>
      <w:r>
        <w:rPr>
          <w:noProof/>
        </w:rPr>
        <w:t>13</w:t>
      </w:r>
      <w:r>
        <w:rPr>
          <w:rFonts w:eastAsiaTheme="minorEastAsia" w:cstheme="minorBidi"/>
          <w:noProof/>
          <w:sz w:val="22"/>
          <w:szCs w:val="22"/>
        </w:rPr>
        <w:tab/>
      </w:r>
      <w:r>
        <w:rPr>
          <w:noProof/>
        </w:rPr>
        <w:t>Impact of Commonwealth Government decisions on ACT revenue</w:t>
      </w:r>
      <w:r>
        <w:rPr>
          <w:noProof/>
        </w:rPr>
        <w:tab/>
      </w:r>
      <w:r w:rsidR="00B40B86">
        <w:rPr>
          <w:noProof/>
        </w:rPr>
        <w:fldChar w:fldCharType="begin"/>
      </w:r>
      <w:r>
        <w:rPr>
          <w:noProof/>
        </w:rPr>
        <w:instrText xml:space="preserve"> PAGEREF _Toc390427336 \h </w:instrText>
      </w:r>
      <w:r w:rsidR="00B40B86">
        <w:rPr>
          <w:noProof/>
        </w:rPr>
      </w:r>
      <w:r w:rsidR="00B40B86">
        <w:rPr>
          <w:noProof/>
        </w:rPr>
        <w:fldChar w:fldCharType="separate"/>
      </w:r>
      <w:r w:rsidR="00D733F1">
        <w:rPr>
          <w:noProof/>
        </w:rPr>
        <w:t>22</w:t>
      </w:r>
      <w:r w:rsidR="00B40B86">
        <w:rPr>
          <w:noProof/>
        </w:rPr>
        <w:fldChar w:fldCharType="end"/>
      </w:r>
    </w:p>
    <w:p w:rsidR="005B214B" w:rsidRDefault="005B214B">
      <w:pPr>
        <w:pStyle w:val="TableofFigures"/>
        <w:rPr>
          <w:rFonts w:eastAsiaTheme="minorEastAsia" w:cstheme="minorBidi"/>
          <w:noProof/>
          <w:sz w:val="22"/>
          <w:szCs w:val="22"/>
        </w:rPr>
      </w:pPr>
      <w:r>
        <w:rPr>
          <w:noProof/>
        </w:rPr>
        <w:t>14</w:t>
      </w:r>
      <w:r>
        <w:rPr>
          <w:rFonts w:eastAsiaTheme="minorEastAsia" w:cstheme="minorBidi"/>
          <w:noProof/>
          <w:sz w:val="22"/>
          <w:szCs w:val="22"/>
        </w:rPr>
        <w:tab/>
      </w:r>
      <w:r>
        <w:rPr>
          <w:noProof/>
        </w:rPr>
        <w:t>National Health Reform Agreement (NHRA)</w:t>
      </w:r>
      <w:r>
        <w:rPr>
          <w:noProof/>
        </w:rPr>
        <w:tab/>
      </w:r>
      <w:r w:rsidR="00B40B86">
        <w:rPr>
          <w:noProof/>
        </w:rPr>
        <w:fldChar w:fldCharType="begin"/>
      </w:r>
      <w:r>
        <w:rPr>
          <w:noProof/>
        </w:rPr>
        <w:instrText xml:space="preserve"> PAGEREF _Toc390427337 \h </w:instrText>
      </w:r>
      <w:r w:rsidR="00B40B86">
        <w:rPr>
          <w:noProof/>
        </w:rPr>
      </w:r>
      <w:r w:rsidR="00B40B86">
        <w:rPr>
          <w:noProof/>
        </w:rPr>
        <w:fldChar w:fldCharType="separate"/>
      </w:r>
      <w:r w:rsidR="00D733F1">
        <w:rPr>
          <w:noProof/>
        </w:rPr>
        <w:t>23</w:t>
      </w:r>
      <w:r w:rsidR="00B40B86">
        <w:rPr>
          <w:noProof/>
        </w:rPr>
        <w:fldChar w:fldCharType="end"/>
      </w:r>
    </w:p>
    <w:p w:rsidR="005B214B" w:rsidRDefault="005B214B">
      <w:pPr>
        <w:pStyle w:val="TableofFigures"/>
        <w:rPr>
          <w:rFonts w:eastAsiaTheme="minorEastAsia" w:cstheme="minorBidi"/>
          <w:noProof/>
          <w:sz w:val="22"/>
          <w:szCs w:val="22"/>
        </w:rPr>
      </w:pPr>
      <w:r>
        <w:rPr>
          <w:noProof/>
        </w:rPr>
        <w:t>15</w:t>
      </w:r>
      <w:r>
        <w:rPr>
          <w:rFonts w:eastAsiaTheme="minorEastAsia" w:cstheme="minorBidi"/>
          <w:noProof/>
          <w:sz w:val="22"/>
          <w:szCs w:val="22"/>
        </w:rPr>
        <w:tab/>
      </w:r>
      <w:r>
        <w:rPr>
          <w:noProof/>
        </w:rPr>
        <w:t>Impact of revenue initiatives</w:t>
      </w:r>
      <w:r>
        <w:rPr>
          <w:noProof/>
        </w:rPr>
        <w:tab/>
      </w:r>
      <w:r w:rsidR="00B40B86">
        <w:rPr>
          <w:noProof/>
        </w:rPr>
        <w:fldChar w:fldCharType="begin"/>
      </w:r>
      <w:r>
        <w:rPr>
          <w:noProof/>
        </w:rPr>
        <w:instrText xml:space="preserve"> PAGEREF _Toc390427338 \h </w:instrText>
      </w:r>
      <w:r w:rsidR="00B40B86">
        <w:rPr>
          <w:noProof/>
        </w:rPr>
      </w:r>
      <w:r w:rsidR="00B40B86">
        <w:rPr>
          <w:noProof/>
        </w:rPr>
        <w:fldChar w:fldCharType="separate"/>
      </w:r>
      <w:r w:rsidR="00D733F1">
        <w:rPr>
          <w:noProof/>
        </w:rPr>
        <w:t>24</w:t>
      </w:r>
      <w:r w:rsidR="00B40B86">
        <w:rPr>
          <w:noProof/>
        </w:rPr>
        <w:fldChar w:fldCharType="end"/>
      </w:r>
    </w:p>
    <w:p w:rsidR="005B214B" w:rsidRDefault="005B214B">
      <w:pPr>
        <w:pStyle w:val="TableofFigures"/>
        <w:rPr>
          <w:rFonts w:eastAsiaTheme="minorEastAsia" w:cstheme="minorBidi"/>
          <w:noProof/>
          <w:sz w:val="22"/>
          <w:szCs w:val="22"/>
        </w:rPr>
      </w:pPr>
      <w:r>
        <w:rPr>
          <w:noProof/>
        </w:rPr>
        <w:t>16</w:t>
      </w:r>
      <w:r>
        <w:rPr>
          <w:rFonts w:eastAsiaTheme="minorEastAsia" w:cstheme="minorBidi"/>
          <w:noProof/>
          <w:sz w:val="22"/>
          <w:szCs w:val="22"/>
        </w:rPr>
        <w:tab/>
      </w:r>
      <w:r>
        <w:rPr>
          <w:noProof/>
        </w:rPr>
        <w:t>Change in land tax by average unimproved value</w:t>
      </w:r>
      <w:r>
        <w:rPr>
          <w:noProof/>
        </w:rPr>
        <w:tab/>
      </w:r>
      <w:r w:rsidR="00B40B86">
        <w:rPr>
          <w:noProof/>
        </w:rPr>
        <w:fldChar w:fldCharType="begin"/>
      </w:r>
      <w:r>
        <w:rPr>
          <w:noProof/>
        </w:rPr>
        <w:instrText xml:space="preserve"> PAGEREF _Toc390427339 \h </w:instrText>
      </w:r>
      <w:r w:rsidR="00B40B86">
        <w:rPr>
          <w:noProof/>
        </w:rPr>
      </w:r>
      <w:r w:rsidR="00B40B86">
        <w:rPr>
          <w:noProof/>
        </w:rPr>
        <w:fldChar w:fldCharType="separate"/>
      </w:r>
      <w:r w:rsidR="00D733F1">
        <w:rPr>
          <w:noProof/>
        </w:rPr>
        <w:t>24</w:t>
      </w:r>
      <w:r w:rsidR="00B40B86">
        <w:rPr>
          <w:noProof/>
        </w:rPr>
        <w:fldChar w:fldCharType="end"/>
      </w:r>
    </w:p>
    <w:p w:rsidR="005B214B" w:rsidRDefault="005B214B">
      <w:pPr>
        <w:pStyle w:val="TableofFigures"/>
        <w:rPr>
          <w:rFonts w:eastAsiaTheme="minorEastAsia" w:cstheme="minorBidi"/>
          <w:noProof/>
          <w:sz w:val="22"/>
          <w:szCs w:val="22"/>
        </w:rPr>
      </w:pPr>
      <w:r>
        <w:rPr>
          <w:noProof/>
        </w:rPr>
        <w:t>17</w:t>
      </w:r>
      <w:r>
        <w:rPr>
          <w:rFonts w:eastAsiaTheme="minorEastAsia" w:cstheme="minorBidi"/>
          <w:noProof/>
          <w:sz w:val="22"/>
          <w:szCs w:val="22"/>
        </w:rPr>
        <w:tab/>
      </w:r>
      <w:r>
        <w:rPr>
          <w:noProof/>
        </w:rPr>
        <w:t>Recent developments in parking revenue</w:t>
      </w:r>
      <w:r>
        <w:rPr>
          <w:noProof/>
        </w:rPr>
        <w:tab/>
      </w:r>
      <w:r w:rsidR="00B40B86">
        <w:rPr>
          <w:noProof/>
        </w:rPr>
        <w:fldChar w:fldCharType="begin"/>
      </w:r>
      <w:r>
        <w:rPr>
          <w:noProof/>
        </w:rPr>
        <w:instrText xml:space="preserve"> PAGEREF _Toc390427340 \h </w:instrText>
      </w:r>
      <w:r w:rsidR="00B40B86">
        <w:rPr>
          <w:noProof/>
        </w:rPr>
      </w:r>
      <w:r w:rsidR="00B40B86">
        <w:rPr>
          <w:noProof/>
        </w:rPr>
        <w:fldChar w:fldCharType="separate"/>
      </w:r>
      <w:r w:rsidR="00D733F1">
        <w:rPr>
          <w:noProof/>
        </w:rPr>
        <w:t>26</w:t>
      </w:r>
      <w:r w:rsidR="00B40B86">
        <w:rPr>
          <w:noProof/>
        </w:rPr>
        <w:fldChar w:fldCharType="end"/>
      </w:r>
    </w:p>
    <w:p w:rsidR="005B214B" w:rsidRDefault="005B214B">
      <w:pPr>
        <w:pStyle w:val="TableofFigures"/>
        <w:rPr>
          <w:rFonts w:eastAsiaTheme="minorEastAsia" w:cstheme="minorBidi"/>
          <w:noProof/>
          <w:sz w:val="22"/>
          <w:szCs w:val="22"/>
        </w:rPr>
      </w:pPr>
      <w:r>
        <w:rPr>
          <w:noProof/>
        </w:rPr>
        <w:t>18</w:t>
      </w:r>
      <w:r>
        <w:rPr>
          <w:rFonts w:eastAsiaTheme="minorEastAsia" w:cstheme="minorBidi"/>
          <w:noProof/>
          <w:sz w:val="22"/>
          <w:szCs w:val="22"/>
        </w:rPr>
        <w:tab/>
      </w:r>
      <w:r>
        <w:rPr>
          <w:noProof/>
        </w:rPr>
        <w:t>Key recommendations from the Quinlan Review</w:t>
      </w:r>
      <w:r>
        <w:rPr>
          <w:noProof/>
        </w:rPr>
        <w:tab/>
      </w:r>
      <w:r w:rsidR="00B40B86">
        <w:rPr>
          <w:noProof/>
        </w:rPr>
        <w:fldChar w:fldCharType="begin"/>
      </w:r>
      <w:r>
        <w:rPr>
          <w:noProof/>
        </w:rPr>
        <w:instrText xml:space="preserve"> PAGEREF _Toc390427341 \h </w:instrText>
      </w:r>
      <w:r w:rsidR="00B40B86">
        <w:rPr>
          <w:noProof/>
        </w:rPr>
      </w:r>
      <w:r w:rsidR="00B40B86">
        <w:rPr>
          <w:noProof/>
        </w:rPr>
        <w:fldChar w:fldCharType="separate"/>
      </w:r>
      <w:r w:rsidR="00D733F1">
        <w:rPr>
          <w:noProof/>
        </w:rPr>
        <w:t>28</w:t>
      </w:r>
      <w:r w:rsidR="00B40B86">
        <w:rPr>
          <w:noProof/>
        </w:rPr>
        <w:fldChar w:fldCharType="end"/>
      </w:r>
    </w:p>
    <w:p w:rsidR="005B214B" w:rsidRDefault="005B214B">
      <w:pPr>
        <w:pStyle w:val="TableofFigures"/>
        <w:rPr>
          <w:rFonts w:eastAsiaTheme="minorEastAsia" w:cstheme="minorBidi"/>
          <w:noProof/>
          <w:sz w:val="22"/>
          <w:szCs w:val="22"/>
        </w:rPr>
      </w:pPr>
      <w:r>
        <w:rPr>
          <w:noProof/>
        </w:rPr>
        <w:t>19</w:t>
      </w:r>
      <w:r>
        <w:rPr>
          <w:rFonts w:eastAsiaTheme="minorEastAsia" w:cstheme="minorBidi"/>
          <w:noProof/>
          <w:sz w:val="22"/>
          <w:szCs w:val="22"/>
        </w:rPr>
        <w:tab/>
      </w:r>
      <w:r>
        <w:rPr>
          <w:noProof/>
        </w:rPr>
        <w:t>Provisional income from asset recycling initiative (ARI)</w:t>
      </w:r>
      <w:r>
        <w:rPr>
          <w:noProof/>
        </w:rPr>
        <w:tab/>
      </w:r>
      <w:r w:rsidR="00B40B86">
        <w:rPr>
          <w:noProof/>
        </w:rPr>
        <w:fldChar w:fldCharType="begin"/>
      </w:r>
      <w:r>
        <w:rPr>
          <w:noProof/>
        </w:rPr>
        <w:instrText xml:space="preserve"> PAGEREF _Toc390427342 \h </w:instrText>
      </w:r>
      <w:r w:rsidR="00B40B86">
        <w:rPr>
          <w:noProof/>
        </w:rPr>
      </w:r>
      <w:r w:rsidR="00B40B86">
        <w:rPr>
          <w:noProof/>
        </w:rPr>
        <w:fldChar w:fldCharType="separate"/>
      </w:r>
      <w:r w:rsidR="00D733F1">
        <w:rPr>
          <w:noProof/>
        </w:rPr>
        <w:t>29</w:t>
      </w:r>
      <w:r w:rsidR="00B40B86">
        <w:rPr>
          <w:noProof/>
        </w:rPr>
        <w:fldChar w:fldCharType="end"/>
      </w:r>
    </w:p>
    <w:p w:rsidR="005B214B" w:rsidRDefault="005B214B">
      <w:pPr>
        <w:pStyle w:val="TableofFigures"/>
        <w:rPr>
          <w:rFonts w:eastAsiaTheme="minorEastAsia" w:cstheme="minorBidi"/>
          <w:noProof/>
          <w:sz w:val="22"/>
          <w:szCs w:val="22"/>
        </w:rPr>
      </w:pPr>
      <w:r>
        <w:rPr>
          <w:noProof/>
        </w:rPr>
        <w:t>20</w:t>
      </w:r>
      <w:r>
        <w:rPr>
          <w:rFonts w:eastAsiaTheme="minorEastAsia" w:cstheme="minorBidi"/>
          <w:noProof/>
          <w:sz w:val="22"/>
          <w:szCs w:val="22"/>
        </w:rPr>
        <w:tab/>
      </w:r>
      <w:r>
        <w:rPr>
          <w:noProof/>
        </w:rPr>
        <w:t>Growth in key revenue components</w:t>
      </w:r>
      <w:r>
        <w:rPr>
          <w:noProof/>
        </w:rPr>
        <w:tab/>
      </w:r>
      <w:r w:rsidR="00B40B86">
        <w:rPr>
          <w:noProof/>
        </w:rPr>
        <w:fldChar w:fldCharType="begin"/>
      </w:r>
      <w:r>
        <w:rPr>
          <w:noProof/>
        </w:rPr>
        <w:instrText xml:space="preserve"> PAGEREF _Toc390427343 \h </w:instrText>
      </w:r>
      <w:r w:rsidR="00B40B86">
        <w:rPr>
          <w:noProof/>
        </w:rPr>
      </w:r>
      <w:r w:rsidR="00B40B86">
        <w:rPr>
          <w:noProof/>
        </w:rPr>
        <w:fldChar w:fldCharType="separate"/>
      </w:r>
      <w:r w:rsidR="00D733F1">
        <w:rPr>
          <w:noProof/>
        </w:rPr>
        <w:t>30</w:t>
      </w:r>
      <w:r w:rsidR="00B40B86">
        <w:rPr>
          <w:noProof/>
        </w:rPr>
        <w:fldChar w:fldCharType="end"/>
      </w:r>
    </w:p>
    <w:p w:rsidR="005B214B" w:rsidRDefault="005B214B">
      <w:pPr>
        <w:pStyle w:val="TableofFigures"/>
        <w:rPr>
          <w:rFonts w:eastAsiaTheme="minorEastAsia" w:cstheme="minorBidi"/>
          <w:noProof/>
          <w:sz w:val="22"/>
          <w:szCs w:val="22"/>
        </w:rPr>
      </w:pPr>
      <w:r>
        <w:rPr>
          <w:noProof/>
        </w:rPr>
        <w:t>21</w:t>
      </w:r>
      <w:r>
        <w:rPr>
          <w:rFonts w:eastAsiaTheme="minorEastAsia" w:cstheme="minorBidi"/>
          <w:noProof/>
          <w:sz w:val="22"/>
          <w:szCs w:val="22"/>
        </w:rPr>
        <w:tab/>
      </w:r>
      <w:r>
        <w:rPr>
          <w:noProof/>
        </w:rPr>
        <w:t>Summary of General Government Expenditure</w:t>
      </w:r>
      <w:r>
        <w:rPr>
          <w:noProof/>
        </w:rPr>
        <w:tab/>
      </w:r>
      <w:r w:rsidR="00B40B86">
        <w:rPr>
          <w:noProof/>
        </w:rPr>
        <w:fldChar w:fldCharType="begin"/>
      </w:r>
      <w:r>
        <w:rPr>
          <w:noProof/>
        </w:rPr>
        <w:instrText xml:space="preserve"> PAGEREF _Toc390427344 \h </w:instrText>
      </w:r>
      <w:r w:rsidR="00B40B86">
        <w:rPr>
          <w:noProof/>
        </w:rPr>
      </w:r>
      <w:r w:rsidR="00B40B86">
        <w:rPr>
          <w:noProof/>
        </w:rPr>
        <w:fldChar w:fldCharType="separate"/>
      </w:r>
      <w:r w:rsidR="00D733F1">
        <w:rPr>
          <w:noProof/>
        </w:rPr>
        <w:t>34</w:t>
      </w:r>
      <w:r w:rsidR="00B40B86">
        <w:rPr>
          <w:noProof/>
        </w:rPr>
        <w:fldChar w:fldCharType="end"/>
      </w:r>
    </w:p>
    <w:p w:rsidR="005B214B" w:rsidRDefault="005B214B">
      <w:pPr>
        <w:pStyle w:val="TableofFigures"/>
        <w:rPr>
          <w:rFonts w:eastAsiaTheme="minorEastAsia" w:cstheme="minorBidi"/>
          <w:noProof/>
          <w:sz w:val="22"/>
          <w:szCs w:val="22"/>
        </w:rPr>
      </w:pPr>
      <w:r>
        <w:rPr>
          <w:noProof/>
        </w:rPr>
        <w:t>22</w:t>
      </w:r>
      <w:r>
        <w:rPr>
          <w:rFonts w:eastAsiaTheme="minorEastAsia" w:cstheme="minorBidi"/>
          <w:noProof/>
          <w:sz w:val="22"/>
          <w:szCs w:val="22"/>
        </w:rPr>
        <w:tab/>
      </w:r>
      <w:r>
        <w:rPr>
          <w:noProof/>
        </w:rPr>
        <w:t>Largest expense initiatives</w:t>
      </w:r>
      <w:r>
        <w:rPr>
          <w:noProof/>
        </w:rPr>
        <w:tab/>
      </w:r>
      <w:r w:rsidR="00B40B86">
        <w:rPr>
          <w:noProof/>
        </w:rPr>
        <w:fldChar w:fldCharType="begin"/>
      </w:r>
      <w:r>
        <w:rPr>
          <w:noProof/>
        </w:rPr>
        <w:instrText xml:space="preserve"> PAGEREF _Toc390427345 \h </w:instrText>
      </w:r>
      <w:r w:rsidR="00B40B86">
        <w:rPr>
          <w:noProof/>
        </w:rPr>
      </w:r>
      <w:r w:rsidR="00B40B86">
        <w:rPr>
          <w:noProof/>
        </w:rPr>
        <w:fldChar w:fldCharType="separate"/>
      </w:r>
      <w:r w:rsidR="00D733F1">
        <w:rPr>
          <w:noProof/>
        </w:rPr>
        <w:t>36</w:t>
      </w:r>
      <w:r w:rsidR="00B40B86">
        <w:rPr>
          <w:noProof/>
        </w:rPr>
        <w:fldChar w:fldCharType="end"/>
      </w:r>
    </w:p>
    <w:p w:rsidR="005B214B" w:rsidRDefault="005B214B">
      <w:pPr>
        <w:pStyle w:val="TableofFigures"/>
        <w:rPr>
          <w:rFonts w:eastAsiaTheme="minorEastAsia" w:cstheme="minorBidi"/>
          <w:noProof/>
          <w:sz w:val="22"/>
          <w:szCs w:val="22"/>
        </w:rPr>
      </w:pPr>
      <w:r>
        <w:rPr>
          <w:noProof/>
        </w:rPr>
        <w:t>23</w:t>
      </w:r>
      <w:r>
        <w:rPr>
          <w:rFonts w:eastAsiaTheme="minorEastAsia" w:cstheme="minorBidi"/>
          <w:noProof/>
          <w:sz w:val="22"/>
          <w:szCs w:val="22"/>
        </w:rPr>
        <w:tab/>
      </w:r>
      <w:r>
        <w:rPr>
          <w:noProof/>
        </w:rPr>
        <w:t>Major Health Directorate expenditure and capital works items</w:t>
      </w:r>
      <w:r>
        <w:rPr>
          <w:noProof/>
        </w:rPr>
        <w:tab/>
      </w:r>
      <w:r w:rsidR="00B40B86">
        <w:rPr>
          <w:noProof/>
        </w:rPr>
        <w:fldChar w:fldCharType="begin"/>
      </w:r>
      <w:r>
        <w:rPr>
          <w:noProof/>
        </w:rPr>
        <w:instrText xml:space="preserve"> PAGEREF _Toc390427346 \h </w:instrText>
      </w:r>
      <w:r w:rsidR="00B40B86">
        <w:rPr>
          <w:noProof/>
        </w:rPr>
      </w:r>
      <w:r w:rsidR="00B40B86">
        <w:rPr>
          <w:noProof/>
        </w:rPr>
        <w:fldChar w:fldCharType="separate"/>
      </w:r>
      <w:r w:rsidR="00D733F1">
        <w:rPr>
          <w:noProof/>
        </w:rPr>
        <w:t>37</w:t>
      </w:r>
      <w:r w:rsidR="00B40B86">
        <w:rPr>
          <w:noProof/>
        </w:rPr>
        <w:fldChar w:fldCharType="end"/>
      </w:r>
    </w:p>
    <w:p w:rsidR="005B214B" w:rsidRDefault="005B214B">
      <w:pPr>
        <w:pStyle w:val="TableofFigures"/>
        <w:rPr>
          <w:rFonts w:eastAsiaTheme="minorEastAsia" w:cstheme="minorBidi"/>
          <w:noProof/>
          <w:sz w:val="22"/>
          <w:szCs w:val="22"/>
        </w:rPr>
      </w:pPr>
      <w:r>
        <w:rPr>
          <w:noProof/>
        </w:rPr>
        <w:t>24</w:t>
      </w:r>
      <w:r>
        <w:rPr>
          <w:rFonts w:eastAsiaTheme="minorEastAsia" w:cstheme="minorBidi"/>
          <w:noProof/>
          <w:sz w:val="22"/>
          <w:szCs w:val="22"/>
        </w:rPr>
        <w:tab/>
      </w:r>
      <w:r>
        <w:rPr>
          <w:noProof/>
        </w:rPr>
        <w:t>2014-15 Budget savings initiatives</w:t>
      </w:r>
      <w:r>
        <w:rPr>
          <w:noProof/>
        </w:rPr>
        <w:tab/>
      </w:r>
      <w:r w:rsidR="00B40B86">
        <w:rPr>
          <w:noProof/>
        </w:rPr>
        <w:fldChar w:fldCharType="begin"/>
      </w:r>
      <w:r>
        <w:rPr>
          <w:noProof/>
        </w:rPr>
        <w:instrText xml:space="preserve"> PAGEREF _Toc390427347 \h </w:instrText>
      </w:r>
      <w:r w:rsidR="00B40B86">
        <w:rPr>
          <w:noProof/>
        </w:rPr>
      </w:r>
      <w:r w:rsidR="00B40B86">
        <w:rPr>
          <w:noProof/>
        </w:rPr>
        <w:fldChar w:fldCharType="separate"/>
      </w:r>
      <w:r w:rsidR="00D733F1">
        <w:rPr>
          <w:noProof/>
        </w:rPr>
        <w:t>41</w:t>
      </w:r>
      <w:r w:rsidR="00B40B86">
        <w:rPr>
          <w:noProof/>
        </w:rPr>
        <w:fldChar w:fldCharType="end"/>
      </w:r>
    </w:p>
    <w:p w:rsidR="005B214B" w:rsidRDefault="005B214B">
      <w:pPr>
        <w:pStyle w:val="TableofFigures"/>
        <w:rPr>
          <w:rFonts w:eastAsiaTheme="minorEastAsia" w:cstheme="minorBidi"/>
          <w:noProof/>
          <w:sz w:val="22"/>
          <w:szCs w:val="22"/>
        </w:rPr>
      </w:pPr>
      <w:r>
        <w:rPr>
          <w:noProof/>
        </w:rPr>
        <w:t>25</w:t>
      </w:r>
      <w:r>
        <w:rPr>
          <w:rFonts w:eastAsiaTheme="minorEastAsia" w:cstheme="minorBidi"/>
          <w:noProof/>
          <w:sz w:val="22"/>
          <w:szCs w:val="22"/>
        </w:rPr>
        <w:tab/>
      </w:r>
      <w:r>
        <w:rPr>
          <w:noProof/>
        </w:rPr>
        <w:t>Summary of the 2013-14 Budget Infrastructure Program</w:t>
      </w:r>
      <w:r>
        <w:rPr>
          <w:noProof/>
        </w:rPr>
        <w:tab/>
      </w:r>
      <w:r w:rsidR="00B40B86">
        <w:rPr>
          <w:noProof/>
        </w:rPr>
        <w:fldChar w:fldCharType="begin"/>
      </w:r>
      <w:r>
        <w:rPr>
          <w:noProof/>
        </w:rPr>
        <w:instrText xml:space="preserve"> PAGEREF _Toc390427348 \h </w:instrText>
      </w:r>
      <w:r w:rsidR="00B40B86">
        <w:rPr>
          <w:noProof/>
        </w:rPr>
      </w:r>
      <w:r w:rsidR="00B40B86">
        <w:rPr>
          <w:noProof/>
        </w:rPr>
        <w:fldChar w:fldCharType="separate"/>
      </w:r>
      <w:r w:rsidR="00D733F1">
        <w:rPr>
          <w:noProof/>
        </w:rPr>
        <w:t>42</w:t>
      </w:r>
      <w:r w:rsidR="00B40B86">
        <w:rPr>
          <w:noProof/>
        </w:rPr>
        <w:fldChar w:fldCharType="end"/>
      </w:r>
    </w:p>
    <w:p w:rsidR="005B214B" w:rsidRDefault="005B214B">
      <w:pPr>
        <w:pStyle w:val="TableofFigures"/>
        <w:rPr>
          <w:rFonts w:eastAsiaTheme="minorEastAsia" w:cstheme="minorBidi"/>
          <w:noProof/>
          <w:sz w:val="22"/>
          <w:szCs w:val="22"/>
        </w:rPr>
      </w:pPr>
      <w:r>
        <w:rPr>
          <w:noProof/>
        </w:rPr>
        <w:t>26</w:t>
      </w:r>
      <w:r>
        <w:rPr>
          <w:rFonts w:eastAsiaTheme="minorEastAsia" w:cstheme="minorBidi"/>
          <w:noProof/>
          <w:sz w:val="22"/>
          <w:szCs w:val="22"/>
        </w:rPr>
        <w:tab/>
      </w:r>
      <w:r>
        <w:rPr>
          <w:noProof/>
        </w:rPr>
        <w:t>Largest capital works initiatives</w:t>
      </w:r>
      <w:r>
        <w:rPr>
          <w:noProof/>
        </w:rPr>
        <w:tab/>
      </w:r>
      <w:r w:rsidR="00B40B86">
        <w:rPr>
          <w:noProof/>
        </w:rPr>
        <w:fldChar w:fldCharType="begin"/>
      </w:r>
      <w:r>
        <w:rPr>
          <w:noProof/>
        </w:rPr>
        <w:instrText xml:space="preserve"> PAGEREF _Toc390427349 \h </w:instrText>
      </w:r>
      <w:r w:rsidR="00B40B86">
        <w:rPr>
          <w:noProof/>
        </w:rPr>
      </w:r>
      <w:r w:rsidR="00B40B86">
        <w:rPr>
          <w:noProof/>
        </w:rPr>
        <w:fldChar w:fldCharType="separate"/>
      </w:r>
      <w:r w:rsidR="00D733F1">
        <w:rPr>
          <w:noProof/>
        </w:rPr>
        <w:t>43</w:t>
      </w:r>
      <w:r w:rsidR="00B40B86">
        <w:rPr>
          <w:noProof/>
        </w:rPr>
        <w:fldChar w:fldCharType="end"/>
      </w:r>
    </w:p>
    <w:p w:rsidR="005B214B" w:rsidRDefault="005B214B">
      <w:pPr>
        <w:pStyle w:val="TableofFigures"/>
        <w:rPr>
          <w:rFonts w:eastAsiaTheme="minorEastAsia" w:cstheme="minorBidi"/>
          <w:noProof/>
          <w:sz w:val="22"/>
          <w:szCs w:val="22"/>
        </w:rPr>
      </w:pPr>
      <w:r>
        <w:rPr>
          <w:noProof/>
        </w:rPr>
        <w:t>27</w:t>
      </w:r>
      <w:r>
        <w:rPr>
          <w:rFonts w:eastAsiaTheme="minorEastAsia" w:cstheme="minorBidi"/>
          <w:noProof/>
          <w:sz w:val="22"/>
          <w:szCs w:val="22"/>
        </w:rPr>
        <w:tab/>
      </w:r>
      <w:r>
        <w:rPr>
          <w:noProof/>
        </w:rPr>
        <w:t>New capital initiatives by directorate</w:t>
      </w:r>
      <w:r>
        <w:rPr>
          <w:noProof/>
        </w:rPr>
        <w:tab/>
      </w:r>
      <w:r w:rsidR="00B40B86">
        <w:rPr>
          <w:noProof/>
        </w:rPr>
        <w:fldChar w:fldCharType="begin"/>
      </w:r>
      <w:r>
        <w:rPr>
          <w:noProof/>
        </w:rPr>
        <w:instrText xml:space="preserve"> PAGEREF _Toc390427350 \h </w:instrText>
      </w:r>
      <w:r w:rsidR="00B40B86">
        <w:rPr>
          <w:noProof/>
        </w:rPr>
      </w:r>
      <w:r w:rsidR="00B40B86">
        <w:rPr>
          <w:noProof/>
        </w:rPr>
        <w:fldChar w:fldCharType="separate"/>
      </w:r>
      <w:r w:rsidR="00D733F1">
        <w:rPr>
          <w:noProof/>
        </w:rPr>
        <w:t>44</w:t>
      </w:r>
      <w:r w:rsidR="00B40B86">
        <w:rPr>
          <w:noProof/>
        </w:rPr>
        <w:fldChar w:fldCharType="end"/>
      </w:r>
    </w:p>
    <w:p w:rsidR="005B214B" w:rsidRDefault="005B214B">
      <w:pPr>
        <w:pStyle w:val="TableofFigures"/>
        <w:rPr>
          <w:rFonts w:eastAsiaTheme="minorEastAsia" w:cstheme="minorBidi"/>
          <w:noProof/>
          <w:sz w:val="22"/>
          <w:szCs w:val="22"/>
        </w:rPr>
      </w:pPr>
      <w:r>
        <w:rPr>
          <w:noProof/>
        </w:rPr>
        <w:t>28</w:t>
      </w:r>
      <w:r>
        <w:rPr>
          <w:rFonts w:eastAsiaTheme="minorEastAsia" w:cstheme="minorBidi"/>
          <w:noProof/>
          <w:sz w:val="22"/>
          <w:szCs w:val="22"/>
        </w:rPr>
        <w:tab/>
      </w:r>
      <w:r>
        <w:rPr>
          <w:noProof/>
        </w:rPr>
        <w:t>Total and per person expenditure on capital works</w:t>
      </w:r>
      <w:r>
        <w:rPr>
          <w:noProof/>
        </w:rPr>
        <w:tab/>
      </w:r>
      <w:r w:rsidR="00B40B86">
        <w:rPr>
          <w:noProof/>
        </w:rPr>
        <w:fldChar w:fldCharType="begin"/>
      </w:r>
      <w:r>
        <w:rPr>
          <w:noProof/>
        </w:rPr>
        <w:instrText xml:space="preserve"> PAGEREF _Toc390427351 \h </w:instrText>
      </w:r>
      <w:r w:rsidR="00B40B86">
        <w:rPr>
          <w:noProof/>
        </w:rPr>
      </w:r>
      <w:r w:rsidR="00B40B86">
        <w:rPr>
          <w:noProof/>
        </w:rPr>
        <w:fldChar w:fldCharType="separate"/>
      </w:r>
      <w:r w:rsidR="00D733F1">
        <w:rPr>
          <w:noProof/>
        </w:rPr>
        <w:t>44</w:t>
      </w:r>
      <w:r w:rsidR="00B40B86">
        <w:rPr>
          <w:noProof/>
        </w:rPr>
        <w:fldChar w:fldCharType="end"/>
      </w:r>
    </w:p>
    <w:p w:rsidR="005B214B" w:rsidRDefault="005B214B">
      <w:pPr>
        <w:pStyle w:val="TableofFigures"/>
        <w:rPr>
          <w:rFonts w:eastAsiaTheme="minorEastAsia" w:cstheme="minorBidi"/>
          <w:noProof/>
          <w:sz w:val="22"/>
          <w:szCs w:val="22"/>
        </w:rPr>
      </w:pPr>
      <w:r>
        <w:rPr>
          <w:noProof/>
        </w:rPr>
        <w:t>29</w:t>
      </w:r>
      <w:r>
        <w:rPr>
          <w:rFonts w:eastAsiaTheme="minorEastAsia" w:cstheme="minorBidi"/>
          <w:noProof/>
          <w:sz w:val="22"/>
          <w:szCs w:val="22"/>
        </w:rPr>
        <w:tab/>
      </w:r>
      <w:r>
        <w:rPr>
          <w:noProof/>
        </w:rPr>
        <w:t>Total Value of Building Jobs in ACT</w:t>
      </w:r>
      <w:r>
        <w:rPr>
          <w:noProof/>
        </w:rPr>
        <w:tab/>
      </w:r>
      <w:r w:rsidR="00B40B86">
        <w:rPr>
          <w:noProof/>
        </w:rPr>
        <w:fldChar w:fldCharType="begin"/>
      </w:r>
      <w:r>
        <w:rPr>
          <w:noProof/>
        </w:rPr>
        <w:instrText xml:space="preserve"> PAGEREF _Toc390427352 \h </w:instrText>
      </w:r>
      <w:r w:rsidR="00B40B86">
        <w:rPr>
          <w:noProof/>
        </w:rPr>
      </w:r>
      <w:r w:rsidR="00B40B86">
        <w:rPr>
          <w:noProof/>
        </w:rPr>
        <w:fldChar w:fldCharType="separate"/>
      </w:r>
      <w:r w:rsidR="00D733F1">
        <w:rPr>
          <w:noProof/>
        </w:rPr>
        <w:t>47</w:t>
      </w:r>
      <w:r w:rsidR="00B40B86">
        <w:rPr>
          <w:noProof/>
        </w:rPr>
        <w:fldChar w:fldCharType="end"/>
      </w:r>
    </w:p>
    <w:p w:rsidR="005B214B" w:rsidRDefault="005B214B">
      <w:pPr>
        <w:pStyle w:val="TableofFigures"/>
        <w:rPr>
          <w:rFonts w:eastAsiaTheme="minorEastAsia" w:cstheme="minorBidi"/>
          <w:noProof/>
          <w:sz w:val="22"/>
          <w:szCs w:val="22"/>
        </w:rPr>
      </w:pPr>
      <w:r>
        <w:rPr>
          <w:noProof/>
        </w:rPr>
        <w:lastRenderedPageBreak/>
        <w:t>30</w:t>
      </w:r>
      <w:r>
        <w:rPr>
          <w:rFonts w:eastAsiaTheme="minorEastAsia" w:cstheme="minorBidi"/>
          <w:noProof/>
          <w:sz w:val="22"/>
          <w:szCs w:val="22"/>
        </w:rPr>
        <w:tab/>
      </w:r>
      <w:r>
        <w:rPr>
          <w:noProof/>
        </w:rPr>
        <w:t>Change in the net cost of taxes, fees and concessions, 2014-15</w:t>
      </w:r>
      <w:r>
        <w:rPr>
          <w:noProof/>
        </w:rPr>
        <w:tab/>
      </w:r>
      <w:r w:rsidR="00B40B86">
        <w:rPr>
          <w:noProof/>
        </w:rPr>
        <w:fldChar w:fldCharType="begin"/>
      </w:r>
      <w:r>
        <w:rPr>
          <w:noProof/>
        </w:rPr>
        <w:instrText xml:space="preserve"> PAGEREF _Toc390427353 \h </w:instrText>
      </w:r>
      <w:r w:rsidR="00B40B86">
        <w:rPr>
          <w:noProof/>
        </w:rPr>
      </w:r>
      <w:r w:rsidR="00B40B86">
        <w:rPr>
          <w:noProof/>
        </w:rPr>
        <w:fldChar w:fldCharType="separate"/>
      </w:r>
      <w:r w:rsidR="00D733F1">
        <w:rPr>
          <w:noProof/>
        </w:rPr>
        <w:t>49</w:t>
      </w:r>
      <w:r w:rsidR="00B40B86">
        <w:rPr>
          <w:noProof/>
        </w:rPr>
        <w:fldChar w:fldCharType="end"/>
      </w:r>
    </w:p>
    <w:p w:rsidR="005B214B" w:rsidRDefault="005B214B">
      <w:pPr>
        <w:pStyle w:val="TableofFigures"/>
        <w:rPr>
          <w:rFonts w:eastAsiaTheme="minorEastAsia" w:cstheme="minorBidi"/>
          <w:noProof/>
          <w:sz w:val="22"/>
          <w:szCs w:val="22"/>
        </w:rPr>
      </w:pPr>
      <w:r>
        <w:rPr>
          <w:noProof/>
        </w:rPr>
        <w:t>31</w:t>
      </w:r>
      <w:r>
        <w:rPr>
          <w:rFonts w:eastAsiaTheme="minorEastAsia" w:cstheme="minorBidi"/>
          <w:noProof/>
          <w:sz w:val="22"/>
          <w:szCs w:val="22"/>
        </w:rPr>
        <w:tab/>
      </w:r>
      <w:r>
        <w:rPr>
          <w:noProof/>
        </w:rPr>
        <w:t>Distribution analysis of 2014-15 Federal Budget</w:t>
      </w:r>
      <w:r>
        <w:rPr>
          <w:noProof/>
        </w:rPr>
        <w:tab/>
      </w:r>
      <w:r w:rsidR="00B40B86">
        <w:rPr>
          <w:noProof/>
        </w:rPr>
        <w:fldChar w:fldCharType="begin"/>
      </w:r>
      <w:r>
        <w:rPr>
          <w:noProof/>
        </w:rPr>
        <w:instrText xml:space="preserve"> PAGEREF _Toc390427354 \h </w:instrText>
      </w:r>
      <w:r w:rsidR="00B40B86">
        <w:rPr>
          <w:noProof/>
        </w:rPr>
      </w:r>
      <w:r w:rsidR="00B40B86">
        <w:rPr>
          <w:noProof/>
        </w:rPr>
        <w:fldChar w:fldCharType="separate"/>
      </w:r>
      <w:r w:rsidR="00D733F1">
        <w:rPr>
          <w:noProof/>
        </w:rPr>
        <w:t>50</w:t>
      </w:r>
      <w:r w:rsidR="00B40B86">
        <w:rPr>
          <w:noProof/>
        </w:rPr>
        <w:fldChar w:fldCharType="end"/>
      </w:r>
    </w:p>
    <w:p w:rsidR="005B214B" w:rsidRDefault="005B214B">
      <w:pPr>
        <w:pStyle w:val="TableofFigures"/>
        <w:rPr>
          <w:rFonts w:eastAsiaTheme="minorEastAsia" w:cstheme="minorBidi"/>
          <w:noProof/>
          <w:sz w:val="22"/>
          <w:szCs w:val="22"/>
        </w:rPr>
      </w:pPr>
      <w:r>
        <w:rPr>
          <w:noProof/>
        </w:rPr>
        <w:t>A.1</w:t>
      </w:r>
      <w:r>
        <w:rPr>
          <w:rFonts w:eastAsiaTheme="minorEastAsia" w:cstheme="minorBidi"/>
          <w:noProof/>
          <w:sz w:val="22"/>
          <w:szCs w:val="22"/>
        </w:rPr>
        <w:tab/>
      </w:r>
      <w:r>
        <w:rPr>
          <w:noProof/>
        </w:rPr>
        <w:t>Triple bottom line analysis of key Budget initiatives</w:t>
      </w:r>
      <w:r>
        <w:rPr>
          <w:noProof/>
        </w:rPr>
        <w:tab/>
      </w:r>
      <w:r w:rsidR="00B40B86">
        <w:rPr>
          <w:noProof/>
        </w:rPr>
        <w:fldChar w:fldCharType="begin"/>
      </w:r>
      <w:r>
        <w:rPr>
          <w:noProof/>
        </w:rPr>
        <w:instrText xml:space="preserve"> PAGEREF _Toc390427355 \h </w:instrText>
      </w:r>
      <w:r w:rsidR="00B40B86">
        <w:rPr>
          <w:noProof/>
        </w:rPr>
      </w:r>
      <w:r w:rsidR="00B40B86">
        <w:rPr>
          <w:noProof/>
        </w:rPr>
        <w:fldChar w:fldCharType="separate"/>
      </w:r>
      <w:r w:rsidR="00D733F1">
        <w:rPr>
          <w:noProof/>
        </w:rPr>
        <w:t>51</w:t>
      </w:r>
      <w:r w:rsidR="00B40B86">
        <w:rPr>
          <w:noProof/>
        </w:rPr>
        <w:fldChar w:fldCharType="end"/>
      </w:r>
    </w:p>
    <w:p w:rsidR="007C66FD" w:rsidRDefault="00B40B86" w:rsidP="00A05B53">
      <w:pPr>
        <w:pStyle w:val="TableofFigures"/>
        <w:sectPr w:rsidR="007C66FD" w:rsidSect="00526E83">
          <w:headerReference w:type="even" r:id="rId17"/>
          <w:headerReference w:type="default" r:id="rId18"/>
          <w:footerReference w:type="even" r:id="rId19"/>
          <w:footerReference w:type="default" r:id="rId20"/>
          <w:pgSz w:w="11906" w:h="16838" w:code="9"/>
          <w:pgMar w:top="2268" w:right="1701" w:bottom="1418" w:left="2268" w:header="680" w:footer="680" w:gutter="0"/>
          <w:pgNumType w:fmt="lowerRoman"/>
          <w:cols w:space="708"/>
          <w:docGrid w:linePitch="360"/>
        </w:sectPr>
      </w:pPr>
      <w:r>
        <w:rPr>
          <w:b/>
          <w:bCs/>
          <w:noProof/>
          <w:lang w:val="en-US"/>
        </w:rPr>
        <w:fldChar w:fldCharType="end"/>
      </w:r>
    </w:p>
    <w:p w:rsidR="00F80C58" w:rsidRDefault="00025C96" w:rsidP="003E774E">
      <w:pPr>
        <w:pStyle w:val="Heading1"/>
        <w:numPr>
          <w:ilvl w:val="0"/>
          <w:numId w:val="0"/>
        </w:numPr>
        <w:ind w:left="567" w:hanging="567"/>
      </w:pPr>
      <w:bookmarkStart w:id="0" w:name="_Toc390427283"/>
      <w:r>
        <w:lastRenderedPageBreak/>
        <w:t>Summary</w:t>
      </w:r>
      <w:bookmarkEnd w:id="0"/>
    </w:p>
    <w:p w:rsidR="00F80C58" w:rsidRDefault="004E6C8B" w:rsidP="00AA78E4">
      <w:pPr>
        <w:pStyle w:val="ChapterIntroduction"/>
      </w:pPr>
      <w:r>
        <w:t xml:space="preserve">The 2014-15 ACT </w:t>
      </w:r>
      <w:r w:rsidR="00956657">
        <w:t>Budget</w:t>
      </w:r>
      <w:r>
        <w:t xml:space="preserve"> continues a reasonably bullish program of capital works spending and seeks to offset some potential softening effects of Commonwealth Government cutbacks on the ACT economy. The result is a scaling back of the expected </w:t>
      </w:r>
      <w:r w:rsidR="007C65E8">
        <w:t>b</w:t>
      </w:r>
      <w:r w:rsidR="00956657">
        <w:t>udget</w:t>
      </w:r>
      <w:r>
        <w:t xml:space="preserve"> balance, which will not achieve a surplus over the forward estimates period</w:t>
      </w:r>
      <w:r w:rsidR="00E84A20">
        <w:t xml:space="preserve">. This </w:t>
      </w:r>
      <w:proofErr w:type="gramStart"/>
      <w:r w:rsidR="00E84A20">
        <w:t>is reflected</w:t>
      </w:r>
      <w:proofErr w:type="gramEnd"/>
      <w:r w:rsidR="00E84A20">
        <w:t xml:space="preserve"> in </w:t>
      </w:r>
      <w:r>
        <w:t>high</w:t>
      </w:r>
      <w:r w:rsidR="00546002">
        <w:t>er</w:t>
      </w:r>
      <w:r>
        <w:t xml:space="preserve"> expected costs of living for ACT residents.</w:t>
      </w:r>
    </w:p>
    <w:p w:rsidR="00025C96" w:rsidRDefault="00956657" w:rsidP="003051BD">
      <w:pPr>
        <w:pStyle w:val="Heading2"/>
      </w:pPr>
      <w:bookmarkStart w:id="1" w:name="_Toc390427284"/>
      <w:r>
        <w:t>Budget</w:t>
      </w:r>
      <w:r w:rsidR="00025C96">
        <w:t xml:space="preserve"> balances revised down over the forward estimates period</w:t>
      </w:r>
      <w:bookmarkEnd w:id="1"/>
      <w:r w:rsidR="00025C96">
        <w:t xml:space="preserve"> </w:t>
      </w:r>
    </w:p>
    <w:p w:rsidR="00025C96" w:rsidRDefault="00956657" w:rsidP="00025C96">
      <w:pPr>
        <w:pStyle w:val="BodyText"/>
      </w:pPr>
      <w:r>
        <w:t>Budget</w:t>
      </w:r>
      <w:r w:rsidR="00025C96">
        <w:t xml:space="preserve"> balances have deteriorated by a total </w:t>
      </w:r>
      <w:r w:rsidR="00025C96" w:rsidRPr="001423DA">
        <w:t>of $</w:t>
      </w:r>
      <w:r w:rsidR="006D4079" w:rsidRPr="001423DA">
        <w:t>454</w:t>
      </w:r>
      <w:r w:rsidR="00025C96" w:rsidRPr="001423DA">
        <w:t xml:space="preserve"> million </w:t>
      </w:r>
      <w:proofErr w:type="gramStart"/>
      <w:r w:rsidR="00025C96" w:rsidRPr="001423DA">
        <w:t>between</w:t>
      </w:r>
      <w:r w:rsidR="00025C96">
        <w:t xml:space="preserve"> 2014-15</w:t>
      </w:r>
      <w:proofErr w:type="gramEnd"/>
      <w:r w:rsidR="00025C96">
        <w:t xml:space="preserve"> and</w:t>
      </w:r>
      <w:r w:rsidR="00FE1F43">
        <w:t xml:space="preserve"> </w:t>
      </w:r>
      <w:r w:rsidR="00025C96">
        <w:t>2016-17 relative to what was f</w:t>
      </w:r>
      <w:bookmarkStart w:id="2" w:name="_GoBack"/>
      <w:bookmarkEnd w:id="2"/>
      <w:r w:rsidR="00025C96">
        <w:t xml:space="preserve">orecast in the 2013-14 </w:t>
      </w:r>
      <w:r>
        <w:t>Budget</w:t>
      </w:r>
      <w:r w:rsidR="00025C96">
        <w:t>. There are four key drivers of these downward revisions:</w:t>
      </w:r>
    </w:p>
    <w:p w:rsidR="00025C96" w:rsidRPr="001423DA" w:rsidRDefault="00025C96" w:rsidP="00284F89">
      <w:pPr>
        <w:pStyle w:val="ListBullet"/>
        <w:numPr>
          <w:ilvl w:val="0"/>
          <w:numId w:val="4"/>
        </w:numPr>
      </w:pPr>
      <w:r w:rsidRPr="001423DA">
        <w:t xml:space="preserve">a reduction in Commonwealth grants due to cuts to health funding </w:t>
      </w:r>
      <w:r w:rsidR="006D4079" w:rsidRPr="001423DA">
        <w:t>($161.2 million)</w:t>
      </w:r>
      <w:r w:rsidRPr="001423DA">
        <w:t xml:space="preserve"> </w:t>
      </w:r>
    </w:p>
    <w:p w:rsidR="00025C96" w:rsidRPr="001423DA" w:rsidRDefault="00025C96" w:rsidP="00284F89">
      <w:pPr>
        <w:pStyle w:val="ListBullet"/>
        <w:numPr>
          <w:ilvl w:val="0"/>
          <w:numId w:val="4"/>
        </w:numPr>
      </w:pPr>
      <w:r w:rsidRPr="001423DA">
        <w:t>a reduction in L</w:t>
      </w:r>
      <w:r w:rsidR="00A94F06" w:rsidRPr="001423DA">
        <w:t>and Development Authority (LDA)</w:t>
      </w:r>
      <w:r w:rsidR="001423DA" w:rsidRPr="001423DA">
        <w:t xml:space="preserve"> dividend</w:t>
      </w:r>
      <w:r w:rsidRPr="001423DA">
        <w:t xml:space="preserve"> payments following a </w:t>
      </w:r>
      <w:r w:rsidR="001423DA" w:rsidRPr="001423DA">
        <w:t>scale back in the l</w:t>
      </w:r>
      <w:r w:rsidRPr="001423DA">
        <w:t>and release pro</w:t>
      </w:r>
      <w:r w:rsidR="00A94F06" w:rsidRPr="001423DA">
        <w:t>gram to take account of</w:t>
      </w:r>
      <w:r w:rsidRPr="001423DA">
        <w:t xml:space="preserve"> low</w:t>
      </w:r>
      <w:r w:rsidR="00A94F06" w:rsidRPr="001423DA">
        <w:t>er demand following</w:t>
      </w:r>
      <w:r w:rsidRPr="001423DA">
        <w:t xml:space="preserve"> Commonwealth Government staff cuts</w:t>
      </w:r>
      <w:r w:rsidR="006D4079" w:rsidRPr="001423DA">
        <w:t xml:space="preserve"> ($181.4 million)</w:t>
      </w:r>
    </w:p>
    <w:p w:rsidR="00025C96" w:rsidRPr="001423DA" w:rsidRDefault="00025C96" w:rsidP="00284F89">
      <w:pPr>
        <w:pStyle w:val="ListBullet"/>
        <w:numPr>
          <w:ilvl w:val="0"/>
          <w:numId w:val="4"/>
        </w:numPr>
      </w:pPr>
      <w:r w:rsidRPr="001423DA">
        <w:t xml:space="preserve">a reduction in ACTEW dividend payments following </w:t>
      </w:r>
      <w:r w:rsidR="00A94F06" w:rsidRPr="001423DA">
        <w:t xml:space="preserve">a </w:t>
      </w:r>
      <w:r w:rsidRPr="001423DA">
        <w:t>lower than expected retail price</w:t>
      </w:r>
      <w:r w:rsidR="00A94F06" w:rsidRPr="001423DA">
        <w:t xml:space="preserve"> setting for </w:t>
      </w:r>
      <w:r w:rsidRPr="001423DA">
        <w:t>water and sewerage</w:t>
      </w:r>
      <w:r w:rsidR="006D4079" w:rsidRPr="001423DA">
        <w:t xml:space="preserve"> ($103.6 million), </w:t>
      </w:r>
      <w:r w:rsidR="004E6C8B" w:rsidRPr="001423DA">
        <w:t>and</w:t>
      </w:r>
      <w:r w:rsidRPr="001423DA">
        <w:t xml:space="preserve"> </w:t>
      </w:r>
    </w:p>
    <w:p w:rsidR="00025C96" w:rsidRDefault="00025C96" w:rsidP="00284F89">
      <w:pPr>
        <w:pStyle w:val="ListBullet"/>
        <w:numPr>
          <w:ilvl w:val="0"/>
          <w:numId w:val="4"/>
        </w:numPr>
      </w:pPr>
      <w:proofErr w:type="gramStart"/>
      <w:r>
        <w:t>increases</w:t>
      </w:r>
      <w:proofErr w:type="gramEnd"/>
      <w:r>
        <w:t xml:space="preserve"> in investments to </w:t>
      </w:r>
      <w:r w:rsidR="00A94F06">
        <w:t>help stimulate the ACT economy.</w:t>
      </w:r>
    </w:p>
    <w:p w:rsidR="001730EF" w:rsidRDefault="001730EF" w:rsidP="00134261">
      <w:pPr>
        <w:pStyle w:val="BodyText"/>
      </w:pPr>
      <w:r>
        <w:t xml:space="preserve">The </w:t>
      </w:r>
      <w:r w:rsidR="007C65E8">
        <w:t>b</w:t>
      </w:r>
      <w:r w:rsidR="00956657">
        <w:t>udget</w:t>
      </w:r>
      <w:r>
        <w:t xml:space="preserve"> balance </w:t>
      </w:r>
      <w:proofErr w:type="gramStart"/>
      <w:r w:rsidR="00184ECB">
        <w:t>is forecast</w:t>
      </w:r>
      <w:proofErr w:type="gramEnd"/>
      <w:r w:rsidR="00184ECB">
        <w:t xml:space="preserve"> to </w:t>
      </w:r>
      <w:r>
        <w:t xml:space="preserve">gradually improve after 2014-15, though a </w:t>
      </w:r>
      <w:r w:rsidR="001423DA">
        <w:t>b</w:t>
      </w:r>
      <w:r w:rsidR="00956657">
        <w:t>udget</w:t>
      </w:r>
      <w:r>
        <w:t xml:space="preserve"> surplus is not expected to be achieved over the forward estimates period. </w:t>
      </w:r>
    </w:p>
    <w:p w:rsidR="00276F4F" w:rsidRDefault="001730EF" w:rsidP="001730EF">
      <w:pPr>
        <w:pStyle w:val="Heading2"/>
      </w:pPr>
      <w:bookmarkStart w:id="3" w:name="_Toc390427285"/>
      <w:r>
        <w:t xml:space="preserve">Impact of the 2014-15 Commonwealth </w:t>
      </w:r>
      <w:r w:rsidR="00956657">
        <w:t>Budget</w:t>
      </w:r>
      <w:bookmarkEnd w:id="3"/>
      <w:r w:rsidR="008F54CE">
        <w:t xml:space="preserve"> </w:t>
      </w:r>
    </w:p>
    <w:p w:rsidR="001730EF" w:rsidRDefault="008F54CE" w:rsidP="00276F4F">
      <w:pPr>
        <w:pStyle w:val="Heading3"/>
      </w:pPr>
      <w:r>
        <w:t xml:space="preserve">ACT Budget </w:t>
      </w:r>
    </w:p>
    <w:p w:rsidR="001730EF" w:rsidRDefault="001730EF" w:rsidP="001730EF">
      <w:pPr>
        <w:pStyle w:val="BodyText"/>
      </w:pPr>
      <w:r>
        <w:t>The cuts in spending and employment announce</w:t>
      </w:r>
      <w:r w:rsidR="004E6C8B">
        <w:t>d</w:t>
      </w:r>
      <w:r>
        <w:t xml:space="preserve"> </w:t>
      </w:r>
      <w:proofErr w:type="gramStart"/>
      <w:r>
        <w:t xml:space="preserve">in the 2014-15 Commonwealth </w:t>
      </w:r>
      <w:r w:rsidR="00956657">
        <w:t>Budget</w:t>
      </w:r>
      <w:proofErr w:type="gramEnd"/>
      <w:r>
        <w:t xml:space="preserve"> are expected to have both direct and indirect impacts on the ACT </w:t>
      </w:r>
      <w:r w:rsidR="00956657">
        <w:t>Budget</w:t>
      </w:r>
      <w:r>
        <w:t xml:space="preserve"> over the forward estimates period. The two most significant factors </w:t>
      </w:r>
      <w:proofErr w:type="gramStart"/>
      <w:r>
        <w:t>are expected</w:t>
      </w:r>
      <w:proofErr w:type="gramEnd"/>
      <w:r>
        <w:t xml:space="preserve"> to be:</w:t>
      </w:r>
    </w:p>
    <w:p w:rsidR="001730EF" w:rsidRDefault="001730EF" w:rsidP="00284F89">
      <w:pPr>
        <w:pStyle w:val="ListBullet"/>
        <w:numPr>
          <w:ilvl w:val="0"/>
          <w:numId w:val="4"/>
        </w:numPr>
      </w:pPr>
      <w:r>
        <w:t>cuts to the health funding guaranteed by the previous government</w:t>
      </w:r>
      <w:r w:rsidR="004E6C8B">
        <w:t>, and</w:t>
      </w:r>
      <w:r w:rsidR="00FE1F43">
        <w:t xml:space="preserve"> </w:t>
      </w:r>
    </w:p>
    <w:p w:rsidR="001730EF" w:rsidRDefault="001730EF" w:rsidP="00284F89">
      <w:pPr>
        <w:pStyle w:val="ListBullet"/>
        <w:numPr>
          <w:ilvl w:val="0"/>
          <w:numId w:val="4"/>
        </w:numPr>
      </w:pPr>
      <w:proofErr w:type="gramStart"/>
      <w:r>
        <w:t>a</w:t>
      </w:r>
      <w:proofErr w:type="gramEnd"/>
      <w:r>
        <w:t xml:space="preserve"> reduction in </w:t>
      </w:r>
      <w:r w:rsidRPr="00D771AA">
        <w:t xml:space="preserve">LDA dividends following a reduction in the land release program to take account of lower demand following the </w:t>
      </w:r>
      <w:r>
        <w:t>Commonwealth Government staff cuts.</w:t>
      </w:r>
    </w:p>
    <w:p w:rsidR="001730EF" w:rsidRDefault="001730EF" w:rsidP="00134261">
      <w:pPr>
        <w:pStyle w:val="BodyText"/>
      </w:pPr>
      <w:r>
        <w:t xml:space="preserve">Taken together, these factors </w:t>
      </w:r>
      <w:proofErr w:type="gramStart"/>
      <w:r>
        <w:t>are expected</w:t>
      </w:r>
      <w:proofErr w:type="gramEnd"/>
      <w:r>
        <w:t xml:space="preserve"> to reduce revenue by $492 million over the forward estimates period relative to the 2013-14 ACT </w:t>
      </w:r>
      <w:r w:rsidR="00956657">
        <w:t>Budget</w:t>
      </w:r>
      <w:r>
        <w:t xml:space="preserve">. </w:t>
      </w:r>
    </w:p>
    <w:p w:rsidR="001730EF" w:rsidRDefault="001730EF" w:rsidP="00134261">
      <w:pPr>
        <w:pStyle w:val="BodyText"/>
      </w:pPr>
      <w:r>
        <w:lastRenderedPageBreak/>
        <w:t xml:space="preserve">In addition, </w:t>
      </w:r>
      <w:proofErr w:type="gramStart"/>
      <w:r>
        <w:t xml:space="preserve">the 2014-15 Federal </w:t>
      </w:r>
      <w:r w:rsidR="00956657">
        <w:t>Budget</w:t>
      </w:r>
      <w:proofErr w:type="gramEnd"/>
      <w:r>
        <w:t xml:space="preserve"> is likely to have a number of indirect impacts on </w:t>
      </w:r>
      <w:r w:rsidR="00184ECB">
        <w:t xml:space="preserve">ACT </w:t>
      </w:r>
      <w:r>
        <w:t xml:space="preserve">revenue over the next four years as reductions in employment and economic activity affect taxation revenue and sales of goods and services revenue. </w:t>
      </w:r>
    </w:p>
    <w:p w:rsidR="001730EF" w:rsidRPr="005D34CC" w:rsidRDefault="001730EF" w:rsidP="00134261">
      <w:pPr>
        <w:pStyle w:val="BodyText"/>
      </w:pPr>
      <w:r>
        <w:t xml:space="preserve">The ACT </w:t>
      </w:r>
      <w:r w:rsidR="004E6C8B">
        <w:t>T</w:t>
      </w:r>
      <w:r>
        <w:t xml:space="preserve">reasury estimates that taxation </w:t>
      </w:r>
      <w:r w:rsidR="001423DA">
        <w:t xml:space="preserve">revenue forecasts reduced </w:t>
      </w:r>
      <w:r>
        <w:t>by close to</w:t>
      </w:r>
      <w:r w:rsidR="00FE1F43">
        <w:t xml:space="preserve"> </w:t>
      </w:r>
      <w:r>
        <w:t xml:space="preserve">$40 million between 2014-15 and 2016-17 as a direct </w:t>
      </w:r>
      <w:r w:rsidRPr="005D34CC">
        <w:t xml:space="preserve">result of the Commonwealth Government’s </w:t>
      </w:r>
      <w:r w:rsidR="00956657">
        <w:t>Budget</w:t>
      </w:r>
      <w:r>
        <w:t xml:space="preserve">. This reflects downward revisions </w:t>
      </w:r>
      <w:proofErr w:type="gramStart"/>
      <w:r>
        <w:t>to</w:t>
      </w:r>
      <w:proofErr w:type="gramEnd"/>
      <w:r>
        <w:t>:</w:t>
      </w:r>
    </w:p>
    <w:p w:rsidR="001730EF" w:rsidRDefault="001730EF" w:rsidP="00284F89">
      <w:pPr>
        <w:pStyle w:val="ListBullet"/>
        <w:numPr>
          <w:ilvl w:val="0"/>
          <w:numId w:val="4"/>
        </w:numPr>
      </w:pPr>
      <w:r>
        <w:t>p</w:t>
      </w:r>
      <w:r w:rsidRPr="005D34CC">
        <w:t>ay</w:t>
      </w:r>
      <w:r>
        <w:t xml:space="preserve">roll tax forecasts </w:t>
      </w:r>
      <w:r w:rsidRPr="005D34CC">
        <w:t xml:space="preserve">by around $5 million per annum due to a </w:t>
      </w:r>
      <w:r>
        <w:t xml:space="preserve">lowering of expected employment </w:t>
      </w:r>
      <w:r w:rsidRPr="005D34CC">
        <w:t>growth</w:t>
      </w:r>
      <w:r w:rsidR="004E6C8B">
        <w:t>, and</w:t>
      </w:r>
      <w:r w:rsidRPr="005D34CC">
        <w:t xml:space="preserve"> </w:t>
      </w:r>
    </w:p>
    <w:p w:rsidR="001730EF" w:rsidRDefault="001730EF" w:rsidP="00284F89">
      <w:pPr>
        <w:pStyle w:val="ListBullet"/>
        <w:numPr>
          <w:ilvl w:val="0"/>
          <w:numId w:val="4"/>
        </w:numPr>
      </w:pPr>
      <w:proofErr w:type="gramStart"/>
      <w:r w:rsidRPr="005D34CC">
        <w:t>conveyance</w:t>
      </w:r>
      <w:proofErr w:type="gramEnd"/>
      <w:r w:rsidRPr="005D34CC">
        <w:t xml:space="preserve"> revenue </w:t>
      </w:r>
      <w:r w:rsidR="001423DA">
        <w:t xml:space="preserve">forecasts </w:t>
      </w:r>
      <w:r w:rsidRPr="005D34CC">
        <w:t>by around $6 million</w:t>
      </w:r>
      <w:r>
        <w:t xml:space="preserve"> per annum due to a lowering of</w:t>
      </w:r>
      <w:r w:rsidRPr="005D34CC">
        <w:t xml:space="preserve"> expected price growth in the property market. </w:t>
      </w:r>
    </w:p>
    <w:p w:rsidR="008F54CE" w:rsidRDefault="00276F4F" w:rsidP="00276F4F">
      <w:pPr>
        <w:pStyle w:val="Heading3"/>
      </w:pPr>
      <w:r>
        <w:t>E</w:t>
      </w:r>
      <w:r w:rsidR="008F54CE">
        <w:t xml:space="preserve">conomic outlook </w:t>
      </w:r>
    </w:p>
    <w:p w:rsidR="008F54CE" w:rsidRDefault="008F54CE" w:rsidP="008F54CE">
      <w:pPr>
        <w:pStyle w:val="BodyText"/>
      </w:pPr>
      <w:r>
        <w:t xml:space="preserve">Cuts to the Australian Public Sector and </w:t>
      </w:r>
      <w:proofErr w:type="spellStart"/>
      <w:r>
        <w:t>con</w:t>
      </w:r>
      <w:r w:rsidR="00DB15EF">
        <w:t>tractionary</w:t>
      </w:r>
      <w:proofErr w:type="spellEnd"/>
      <w:r w:rsidR="00DB15EF">
        <w:t xml:space="preserve"> fiscal policy at a f</w:t>
      </w:r>
      <w:r>
        <w:t xml:space="preserve">ederal level </w:t>
      </w:r>
      <w:proofErr w:type="gramStart"/>
      <w:r>
        <w:t>are considered</w:t>
      </w:r>
      <w:proofErr w:type="gramEnd"/>
      <w:r>
        <w:t xml:space="preserve"> to lead to a softening in economic fundamentals, with weakening Gross State Pr</w:t>
      </w:r>
      <w:r w:rsidR="00DB15EF">
        <w:t>oduct, State Final Demand, and w</w:t>
      </w:r>
      <w:r>
        <w:t xml:space="preserve">age growth. Spending </w:t>
      </w:r>
      <w:proofErr w:type="gramStart"/>
      <w:r>
        <w:t>has been increased</w:t>
      </w:r>
      <w:proofErr w:type="gramEnd"/>
      <w:r>
        <w:t xml:space="preserve"> to replace lost funding, such as for example the Emergency Services funding supplementation. The Budget </w:t>
      </w:r>
      <w:r w:rsidR="00DB15EF">
        <w:t>aims</w:t>
      </w:r>
      <w:r>
        <w:t xml:space="preserve"> to absorb the impact of declin</w:t>
      </w:r>
      <w:r w:rsidR="00DB15EF">
        <w:t>ing economic conditions to the b</w:t>
      </w:r>
      <w:r>
        <w:t>udget bottom line, rather than decrease spending to improve the fiscal position.</w:t>
      </w:r>
    </w:p>
    <w:p w:rsidR="002E17F7" w:rsidRDefault="002E17F7" w:rsidP="002E17F7">
      <w:pPr>
        <w:pStyle w:val="BodyText"/>
      </w:pPr>
      <w:r w:rsidRPr="00A217A6">
        <w:t xml:space="preserve">The </w:t>
      </w:r>
      <w:r>
        <w:t>loss of Australian Public Service</w:t>
      </w:r>
      <w:r w:rsidRPr="00A217A6">
        <w:t xml:space="preserve"> jobs </w:t>
      </w:r>
      <w:r>
        <w:t xml:space="preserve">is likely to lead to an increase in interstate migration outflows, which would result in a decrease in the rate of population growth. The </w:t>
      </w:r>
      <w:r w:rsidR="001423DA">
        <w:t xml:space="preserve">boost to economic activity in the ACT from investment initiatives is likely to </w:t>
      </w:r>
      <w:proofErr w:type="gramStart"/>
      <w:r w:rsidR="001423DA">
        <w:t>be tempered</w:t>
      </w:r>
      <w:proofErr w:type="gramEnd"/>
      <w:r w:rsidR="001423DA">
        <w:t xml:space="preserve"> by </w:t>
      </w:r>
      <w:r w:rsidR="00845850">
        <w:t xml:space="preserve">parts of the </w:t>
      </w:r>
      <w:r w:rsidRPr="001423DA">
        <w:t xml:space="preserve">spending flowing to other states. Employment for the construction of infrastructure </w:t>
      </w:r>
      <w:proofErr w:type="gramStart"/>
      <w:r w:rsidRPr="001423DA">
        <w:t>may be sourced</w:t>
      </w:r>
      <w:proofErr w:type="gramEnd"/>
      <w:r w:rsidRPr="001423DA">
        <w:t xml:space="preserve"> from NSW or Victoria, and therefore some of the government funds invested in the construction of capital works may flow to those states.</w:t>
      </w:r>
      <w:r>
        <w:t xml:space="preserve"> </w:t>
      </w:r>
    </w:p>
    <w:p w:rsidR="008F54CE" w:rsidRDefault="008F54CE" w:rsidP="008F54CE">
      <w:pPr>
        <w:pStyle w:val="Heading2"/>
      </w:pPr>
      <w:bookmarkStart w:id="4" w:name="_Toc390427286"/>
      <w:r>
        <w:t>Substantial new expenditure is mainly focussed</w:t>
      </w:r>
      <w:r w:rsidR="00845850">
        <w:t xml:space="preserve"> on the Health Directorate and capital w</w:t>
      </w:r>
      <w:r>
        <w:t>orks</w:t>
      </w:r>
      <w:bookmarkEnd w:id="4"/>
    </w:p>
    <w:p w:rsidR="008F54CE" w:rsidRDefault="008F54CE" w:rsidP="008F54CE">
      <w:pPr>
        <w:pStyle w:val="BodyText"/>
      </w:pPr>
      <w:r>
        <w:t>The 2014-15 Budget includes substantial new expenditure on health and expenses related to capital works, with large expenditure on the Secure Mental Health Unit and the Alexander Maconochie Centre. Spending has increased significantly since the 2013-14 Budget</w:t>
      </w:r>
      <w:r w:rsidRPr="00845850">
        <w:t>.</w:t>
      </w:r>
      <w:r w:rsidR="002E17F7" w:rsidRPr="00845850">
        <w:t xml:space="preserve"> Capital works expenditure must be justified on the merits of the project itself and the value it provides to the Territory. There is a lack of sufficient cost-benefit anal</w:t>
      </w:r>
      <w:r w:rsidR="00845850">
        <w:t xml:space="preserve">ysis and detail in the Budget </w:t>
      </w:r>
      <w:r w:rsidR="002E17F7" w:rsidRPr="00845850">
        <w:t>for the Capital Metro.</w:t>
      </w:r>
    </w:p>
    <w:p w:rsidR="00025C96" w:rsidRDefault="00025C96" w:rsidP="003051BD">
      <w:pPr>
        <w:pStyle w:val="Heading2"/>
      </w:pPr>
      <w:bookmarkStart w:id="5" w:name="_Toc390427287"/>
      <w:r>
        <w:t>Impact of revenue initiatives in 2014-</w:t>
      </w:r>
      <w:r w:rsidRPr="00AA78E4">
        <w:t xml:space="preserve">15 </w:t>
      </w:r>
      <w:r w:rsidR="00956657" w:rsidRPr="00AA78E4">
        <w:t>Budget</w:t>
      </w:r>
      <w:bookmarkEnd w:id="5"/>
      <w:r w:rsidR="00FE1F43">
        <w:t xml:space="preserve"> </w:t>
      </w:r>
    </w:p>
    <w:p w:rsidR="00025C96" w:rsidRDefault="001730EF" w:rsidP="00134261">
      <w:pPr>
        <w:pStyle w:val="BodyText"/>
      </w:pPr>
      <w:r>
        <w:t xml:space="preserve">The </w:t>
      </w:r>
      <w:r w:rsidR="00184ECB">
        <w:t xml:space="preserve">costs associated with </w:t>
      </w:r>
      <w:r>
        <w:t xml:space="preserve">investment initiatives have been partly offset by a number of </w:t>
      </w:r>
      <w:r w:rsidR="00025C96">
        <w:t xml:space="preserve">revenue initiates announce in the 2014-15 </w:t>
      </w:r>
      <w:proofErr w:type="gramStart"/>
      <w:r w:rsidR="00956657">
        <w:t>Budget</w:t>
      </w:r>
      <w:r w:rsidR="00025C96">
        <w:t xml:space="preserve"> </w:t>
      </w:r>
      <w:r>
        <w:t>which</w:t>
      </w:r>
      <w:proofErr w:type="gramEnd"/>
      <w:r>
        <w:t xml:space="preserve"> are </w:t>
      </w:r>
      <w:r w:rsidR="00025C96">
        <w:t xml:space="preserve">expected to increase future revenue by $121.8 million </w:t>
      </w:r>
      <w:r>
        <w:t>over the forward estimates period</w:t>
      </w:r>
      <w:r w:rsidR="00025C96">
        <w:t xml:space="preserve">. </w:t>
      </w:r>
      <w:r w:rsidR="00025C96" w:rsidRPr="00A408C5">
        <w:t xml:space="preserve">Over 80 per cent of the expected revenue generated from the initiatives is due to reform to land tax, payroll tax, </w:t>
      </w:r>
      <w:r w:rsidR="00845850">
        <w:lastRenderedPageBreak/>
        <w:t>and the Fire and Emergency Services L</w:t>
      </w:r>
      <w:r w:rsidR="00025C96" w:rsidRPr="00A408C5">
        <w:t>evy</w:t>
      </w:r>
      <w:r w:rsidR="00845850">
        <w:t xml:space="preserve"> (FESL)</w:t>
      </w:r>
      <w:r w:rsidR="00025C96" w:rsidRPr="00A408C5">
        <w:t xml:space="preserve">. </w:t>
      </w:r>
      <w:r w:rsidR="006C6289">
        <w:t xml:space="preserve">General rates on existing residential and commercial properties </w:t>
      </w:r>
      <w:proofErr w:type="gramStart"/>
      <w:r w:rsidR="00BB63E7">
        <w:t>are expected</w:t>
      </w:r>
      <w:proofErr w:type="gramEnd"/>
      <w:r w:rsidR="00BB63E7">
        <w:t xml:space="preserve"> to increase by around 10 per cent in 2014-15, with total revenue increasing by close to 13 per cent.</w:t>
      </w:r>
    </w:p>
    <w:p w:rsidR="00EC350C" w:rsidRDefault="00EC350C" w:rsidP="00134261">
      <w:pPr>
        <w:pStyle w:val="BodyText"/>
      </w:pPr>
      <w:r>
        <w:t xml:space="preserve">The revenue initiatives in the 2014-15 </w:t>
      </w:r>
      <w:r w:rsidR="00956657">
        <w:t>Budget</w:t>
      </w:r>
      <w:r>
        <w:t xml:space="preserve"> are generally efficient and contribute to greater stability in the sense that they do not focus on transactions or insurance. In addition, a number of the initiatives including payroll harmonisation are broadly in line with the recommendations of the 2012 Quinlan Review. </w:t>
      </w:r>
    </w:p>
    <w:p w:rsidR="00EC350C" w:rsidRDefault="00EC350C" w:rsidP="00134261">
      <w:pPr>
        <w:pStyle w:val="BodyText"/>
      </w:pPr>
      <w:r>
        <w:t xml:space="preserve">The revenue projections associated with </w:t>
      </w:r>
      <w:r w:rsidR="00712200">
        <w:t xml:space="preserve">new initiatives related to </w:t>
      </w:r>
      <w:r>
        <w:t>parking fines and payroll harmonisat</w:t>
      </w:r>
      <w:r w:rsidR="00712200">
        <w:t>ion are k</w:t>
      </w:r>
      <w:r>
        <w:t xml:space="preserve">ey sources of uncertainty given the nature of the reform and the assumption </w:t>
      </w:r>
      <w:r w:rsidR="00712200">
        <w:t xml:space="preserve">required </w:t>
      </w:r>
      <w:r>
        <w:t xml:space="preserve">to quantify their impact. </w:t>
      </w:r>
    </w:p>
    <w:p w:rsidR="008F54CE" w:rsidRPr="006538A5" w:rsidRDefault="008F54CE" w:rsidP="008F54CE">
      <w:pPr>
        <w:pStyle w:val="Heading2"/>
      </w:pPr>
      <w:bookmarkStart w:id="6" w:name="_Toc390427288"/>
      <w:r>
        <w:t>Savings are conservative and relate to enhanced use of digital technology for service delivery and government organisation</w:t>
      </w:r>
      <w:bookmarkEnd w:id="6"/>
    </w:p>
    <w:p w:rsidR="002E17F7" w:rsidRDefault="002E17F7" w:rsidP="002E17F7">
      <w:pPr>
        <w:pStyle w:val="BodyText"/>
      </w:pPr>
      <w:r w:rsidRPr="00845850">
        <w:t xml:space="preserve">Savings estimates are conservative, with only $96.3 million over four years, </w:t>
      </w:r>
      <w:r w:rsidR="00845850" w:rsidRPr="00845850">
        <w:t xml:space="preserve">and largely relate </w:t>
      </w:r>
      <w:r w:rsidRPr="00845850">
        <w:t xml:space="preserve">to expanded use of digital and online technology for service delivery and internal organisation. This might result in low-skilled work at physical service locations </w:t>
      </w:r>
      <w:proofErr w:type="gramStart"/>
      <w:r w:rsidRPr="00845850">
        <w:t>being replaced</w:t>
      </w:r>
      <w:proofErr w:type="gramEnd"/>
      <w:r w:rsidRPr="00845850">
        <w:t xml:space="preserve"> by high-skilled ICT work, which would not necessarily be sourced from within the ACT. Provisions </w:t>
      </w:r>
      <w:proofErr w:type="gramStart"/>
      <w:r w:rsidRPr="00845850">
        <w:t>have been made</w:t>
      </w:r>
      <w:proofErr w:type="gramEnd"/>
      <w:r w:rsidRPr="00845850">
        <w:t xml:space="preserve"> for the initial expenditure required to achieve the savings yielded by greater use of technology in government service delivery.</w:t>
      </w:r>
    </w:p>
    <w:p w:rsidR="00025C96" w:rsidRDefault="003051BD" w:rsidP="003051BD">
      <w:pPr>
        <w:pStyle w:val="Heading2"/>
      </w:pPr>
      <w:bookmarkStart w:id="7" w:name="_Toc390427289"/>
      <w:r>
        <w:t xml:space="preserve">Impact of </w:t>
      </w:r>
      <w:r w:rsidRPr="00AA78E4">
        <w:t xml:space="preserve">the </w:t>
      </w:r>
      <w:r w:rsidR="00956657" w:rsidRPr="00AA78E4">
        <w:t>Budget</w:t>
      </w:r>
      <w:r w:rsidRPr="00AA78E4">
        <w:t xml:space="preserve"> on</w:t>
      </w:r>
      <w:r>
        <w:t xml:space="preserve"> the c</w:t>
      </w:r>
      <w:r w:rsidR="00025C96">
        <w:t>ost of living</w:t>
      </w:r>
      <w:bookmarkEnd w:id="7"/>
    </w:p>
    <w:p w:rsidR="00025C96" w:rsidRDefault="00025C96" w:rsidP="00025C96">
      <w:pPr>
        <w:pStyle w:val="BodyText"/>
      </w:pPr>
      <w:r>
        <w:t>The transition to a more efficient tax base and the revenue initiates require</w:t>
      </w:r>
      <w:r w:rsidR="001730EF">
        <w:t>d</w:t>
      </w:r>
      <w:r>
        <w:t xml:space="preserve"> in the</w:t>
      </w:r>
      <w:r w:rsidR="00FE1F43">
        <w:t xml:space="preserve"> </w:t>
      </w:r>
      <w:r>
        <w:t xml:space="preserve">2014-15 </w:t>
      </w:r>
      <w:r w:rsidR="00956657">
        <w:t>Budget</w:t>
      </w:r>
      <w:r>
        <w:t xml:space="preserve"> to help offset Federal Government </w:t>
      </w:r>
      <w:r w:rsidR="001730EF">
        <w:t xml:space="preserve">cutbacks </w:t>
      </w:r>
      <w:r>
        <w:t>will raise the cost of living for a number of ACT households. The main drivers of this</w:t>
      </w:r>
      <w:r w:rsidR="001730EF">
        <w:t xml:space="preserve"> rise in the cost of living </w:t>
      </w:r>
      <w:proofErr w:type="spellStart"/>
      <w:r w:rsidR="001730EF">
        <w:t>are</w:t>
      </w:r>
      <w:r w:rsidR="004F6764">
        <w:t xml:space="preserve"> a</w:t>
      </w:r>
      <w:proofErr w:type="spellEnd"/>
      <w:r>
        <w:t>:</w:t>
      </w:r>
    </w:p>
    <w:p w:rsidR="00025C96" w:rsidRDefault="00025C96" w:rsidP="00284F89">
      <w:pPr>
        <w:pStyle w:val="ListBullet"/>
        <w:numPr>
          <w:ilvl w:val="0"/>
          <w:numId w:val="4"/>
        </w:numPr>
      </w:pPr>
      <w:r>
        <w:t xml:space="preserve">10 per cent </w:t>
      </w:r>
      <w:r w:rsidR="00184ECB">
        <w:t>rise</w:t>
      </w:r>
      <w:r>
        <w:t xml:space="preserve"> in general rates in 2014-15 </w:t>
      </w:r>
    </w:p>
    <w:p w:rsidR="00025C96" w:rsidRDefault="00025C96" w:rsidP="00284F89">
      <w:pPr>
        <w:pStyle w:val="ListBullet"/>
        <w:numPr>
          <w:ilvl w:val="0"/>
          <w:numId w:val="4"/>
        </w:numPr>
      </w:pPr>
      <w:r>
        <w:t xml:space="preserve">8 per cent rise in </w:t>
      </w:r>
      <w:r w:rsidR="001730EF">
        <w:t xml:space="preserve">the </w:t>
      </w:r>
      <w:r w:rsidR="00845850">
        <w:t>FESL</w:t>
      </w:r>
      <w:r>
        <w:t xml:space="preserve"> for residential households</w:t>
      </w:r>
      <w:r w:rsidR="00FE1F43">
        <w:t xml:space="preserve"> </w:t>
      </w:r>
    </w:p>
    <w:p w:rsidR="00025C96" w:rsidRPr="00CC6B6C" w:rsidRDefault="00025C96" w:rsidP="00284F89">
      <w:pPr>
        <w:pStyle w:val="ListBullet"/>
        <w:numPr>
          <w:ilvl w:val="0"/>
          <w:numId w:val="4"/>
        </w:numPr>
      </w:pPr>
      <w:r>
        <w:t xml:space="preserve">7 per cent </w:t>
      </w:r>
      <w:r w:rsidR="004F6764">
        <w:t xml:space="preserve">increase </w:t>
      </w:r>
      <w:r>
        <w:t>in utility costs for households who are not eligible for concessions</w:t>
      </w:r>
      <w:r>
        <w:rPr>
          <w:rStyle w:val="FootnoteReference"/>
        </w:rPr>
        <w:footnoteReference w:id="1"/>
      </w:r>
      <w:r w:rsidR="004E6C8B">
        <w:t>, and</w:t>
      </w:r>
    </w:p>
    <w:p w:rsidR="00025C96" w:rsidRDefault="00025C96" w:rsidP="00284F89">
      <w:pPr>
        <w:pStyle w:val="ListBullet"/>
        <w:numPr>
          <w:ilvl w:val="0"/>
          <w:numId w:val="4"/>
        </w:numPr>
      </w:pPr>
      <w:proofErr w:type="gramStart"/>
      <w:r>
        <w:t>6</w:t>
      </w:r>
      <w:proofErr w:type="gramEnd"/>
      <w:r>
        <w:t xml:space="preserve"> per cent increase in motor vehicle registration in 2014-15</w:t>
      </w:r>
      <w:r w:rsidR="004E6C8B">
        <w:t>.</w:t>
      </w:r>
    </w:p>
    <w:p w:rsidR="00025C96" w:rsidRDefault="00025C96" w:rsidP="00134261">
      <w:pPr>
        <w:pStyle w:val="BodyText"/>
      </w:pPr>
      <w:r>
        <w:t xml:space="preserve">Reductions in the duties </w:t>
      </w:r>
      <w:r w:rsidR="00FF01B7">
        <w:t xml:space="preserve">paid </w:t>
      </w:r>
      <w:r>
        <w:t xml:space="preserve">on car and contents insurance </w:t>
      </w:r>
      <w:r w:rsidR="004F6764">
        <w:t xml:space="preserve">have </w:t>
      </w:r>
      <w:r>
        <w:t xml:space="preserve">helped </w:t>
      </w:r>
      <w:proofErr w:type="gramStart"/>
      <w:r>
        <w:t>to partly offset</w:t>
      </w:r>
      <w:proofErr w:type="gramEnd"/>
      <w:r>
        <w:t xml:space="preserve"> these additional cost of living expenses. </w:t>
      </w:r>
    </w:p>
    <w:p w:rsidR="00025C96" w:rsidRDefault="00025C96" w:rsidP="00134261">
      <w:pPr>
        <w:pStyle w:val="BodyText"/>
      </w:pPr>
      <w:r>
        <w:t>The average net change in expenses for the five hypothetical households included in the cost of living statement due to these taxes, fees and c</w:t>
      </w:r>
      <w:r w:rsidR="007D5BBD">
        <w:t>oncessions was $327</w:t>
      </w:r>
      <w:r>
        <w:t xml:space="preserve">. While a number of households will receive benefits from the </w:t>
      </w:r>
      <w:r w:rsidR="00956657">
        <w:t>ACT</w:t>
      </w:r>
      <w:r w:rsidR="004E6C8B">
        <w:t xml:space="preserve"> </w:t>
      </w:r>
      <w:r>
        <w:t>Government during 2014-15 that will help to offset these cost increase</w:t>
      </w:r>
      <w:r w:rsidR="007D5BBD">
        <w:t xml:space="preserve"> (e.g. home buying concessions)</w:t>
      </w:r>
      <w:r>
        <w:t xml:space="preserve">, a large proportion of non-pension homeowners are likely </w:t>
      </w:r>
      <w:r w:rsidR="007D5BBD">
        <w:t xml:space="preserve">to </w:t>
      </w:r>
      <w:r>
        <w:t>see a noticeable increase in their cost of living during 2014-15.</w:t>
      </w:r>
    </w:p>
    <w:p w:rsidR="004B3814" w:rsidRDefault="004B3814" w:rsidP="00134261">
      <w:pPr>
        <w:pStyle w:val="BodyText"/>
      </w:pPr>
      <w:r>
        <w:lastRenderedPageBreak/>
        <w:t xml:space="preserve">A triple bottom line analysis of key Budget initiatives </w:t>
      </w:r>
      <w:proofErr w:type="gramStart"/>
      <w:r>
        <w:t>is provided</w:t>
      </w:r>
      <w:proofErr w:type="gramEnd"/>
      <w:r>
        <w:t xml:space="preserve"> at appendix A. </w:t>
      </w:r>
    </w:p>
    <w:p w:rsidR="00161357" w:rsidRDefault="00161357" w:rsidP="001730EF">
      <w:pPr>
        <w:pStyle w:val="Heading2"/>
      </w:pPr>
      <w:bookmarkStart w:id="8" w:name="_Toc390427290"/>
      <w:proofErr w:type="gramStart"/>
      <w:r>
        <w:t>Has an appropriate amount of stimulus been provided</w:t>
      </w:r>
      <w:proofErr w:type="gramEnd"/>
      <w:r>
        <w:t xml:space="preserve"> to the ACT economy?</w:t>
      </w:r>
      <w:bookmarkEnd w:id="8"/>
    </w:p>
    <w:p w:rsidR="00161357" w:rsidRDefault="00161357" w:rsidP="00134261">
      <w:pPr>
        <w:pStyle w:val="BodyText"/>
      </w:pPr>
      <w:r>
        <w:t xml:space="preserve">There are two components to this question. Firstly, </w:t>
      </w:r>
      <w:proofErr w:type="gramStart"/>
      <w:r>
        <w:t xml:space="preserve">has the right </w:t>
      </w:r>
      <w:r w:rsidR="00184ECB">
        <w:t xml:space="preserve">level </w:t>
      </w:r>
      <w:r w:rsidR="001A49D7">
        <w:t>of</w:t>
      </w:r>
      <w:r>
        <w:t xml:space="preserve"> stimulus been provided</w:t>
      </w:r>
      <w:proofErr w:type="gramEnd"/>
      <w:r>
        <w:t xml:space="preserve"> to the ACT economy? Secondly, are the spending initiatives likely to be effective in stimulating economic activity? </w:t>
      </w:r>
    </w:p>
    <w:p w:rsidR="001A49D7" w:rsidRDefault="001A49D7" w:rsidP="00134261">
      <w:pPr>
        <w:pStyle w:val="BodyText"/>
      </w:pPr>
      <w:r>
        <w:t xml:space="preserve">In making a judgment about whether the right </w:t>
      </w:r>
      <w:r w:rsidR="00184ECB">
        <w:t>level</w:t>
      </w:r>
      <w:r>
        <w:t xml:space="preserve"> of stimulus </w:t>
      </w:r>
      <w:proofErr w:type="gramStart"/>
      <w:r>
        <w:t>has been provided</w:t>
      </w:r>
      <w:proofErr w:type="gramEnd"/>
      <w:r>
        <w:t xml:space="preserve"> it is important to consider whether the level of stimulus:</w:t>
      </w:r>
    </w:p>
    <w:p w:rsidR="001A49D7" w:rsidRDefault="00184ECB" w:rsidP="00284F89">
      <w:pPr>
        <w:pStyle w:val="ListBullet"/>
        <w:numPr>
          <w:ilvl w:val="0"/>
          <w:numId w:val="4"/>
        </w:numPr>
      </w:pPr>
      <w:r>
        <w:t xml:space="preserve">is </w:t>
      </w:r>
      <w:r w:rsidR="001A49D7">
        <w:t xml:space="preserve">sufficient to avoid </w:t>
      </w:r>
      <w:r w:rsidR="00161357">
        <w:t>unnecessary f</w:t>
      </w:r>
      <w:r w:rsidR="001A49D7">
        <w:t xml:space="preserve">alls in activity and employment </w:t>
      </w:r>
    </w:p>
    <w:p w:rsidR="001A49D7" w:rsidRDefault="00184ECB" w:rsidP="00284F89">
      <w:pPr>
        <w:pStyle w:val="ListBullet"/>
        <w:numPr>
          <w:ilvl w:val="0"/>
          <w:numId w:val="4"/>
        </w:numPr>
      </w:pPr>
      <w:r>
        <w:t xml:space="preserve">is </w:t>
      </w:r>
      <w:r w:rsidR="001A49D7">
        <w:t>sustainable (this will in part depend on the types of investments made)</w:t>
      </w:r>
      <w:r w:rsidR="004E6C8B">
        <w:t>, and</w:t>
      </w:r>
      <w:r w:rsidR="001A49D7">
        <w:t xml:space="preserve"> </w:t>
      </w:r>
    </w:p>
    <w:p w:rsidR="00161357" w:rsidRDefault="001A49D7" w:rsidP="00284F89">
      <w:pPr>
        <w:pStyle w:val="ListBullet"/>
        <w:numPr>
          <w:ilvl w:val="0"/>
          <w:numId w:val="4"/>
        </w:numPr>
      </w:pPr>
      <w:proofErr w:type="gramStart"/>
      <w:r>
        <w:t>does</w:t>
      </w:r>
      <w:proofErr w:type="gramEnd"/>
      <w:r>
        <w:t xml:space="preserve"> not </w:t>
      </w:r>
      <w:r w:rsidR="00161357">
        <w:t>adversely affect the credit rating</w:t>
      </w:r>
      <w:r>
        <w:t xml:space="preserve"> of the ACT Government</w:t>
      </w:r>
      <w:r w:rsidR="004E6C8B">
        <w:t>.</w:t>
      </w:r>
    </w:p>
    <w:p w:rsidR="004E6C8B" w:rsidRDefault="00161357" w:rsidP="00134261">
      <w:pPr>
        <w:pStyle w:val="BodyText"/>
      </w:pPr>
      <w:r>
        <w:t>It is worth noting that the ACT Government’s balance sheet was</w:t>
      </w:r>
      <w:r w:rsidR="001A49D7">
        <w:t xml:space="preserve"> in a relatively strong</w:t>
      </w:r>
      <w:r w:rsidR="00FE1F43">
        <w:t xml:space="preserve"> </w:t>
      </w:r>
      <w:r w:rsidR="001A49D7">
        <w:t xml:space="preserve">position </w:t>
      </w:r>
      <w:r>
        <w:t xml:space="preserve">leading into the </w:t>
      </w:r>
      <w:r w:rsidR="00013EBD">
        <w:t xml:space="preserve">2014-15 </w:t>
      </w:r>
      <w:r w:rsidR="00956657">
        <w:t>Budget</w:t>
      </w:r>
      <w:r w:rsidR="00013EBD">
        <w:t xml:space="preserve"> </w:t>
      </w:r>
      <w:proofErr w:type="gramStart"/>
      <w:r w:rsidR="00013EBD">
        <w:t>which</w:t>
      </w:r>
      <w:proofErr w:type="gramEnd"/>
      <w:r w:rsidR="00013EBD">
        <w:t xml:space="preserve"> provided some scope for expansionary fiscal policy. While the spending initiatives in the 2014-15 </w:t>
      </w:r>
      <w:r w:rsidR="00956657">
        <w:t>Budget</w:t>
      </w:r>
      <w:r w:rsidR="00013EBD">
        <w:t xml:space="preserve"> have increased the</w:t>
      </w:r>
      <w:r>
        <w:t xml:space="preserve"> level of ne</w:t>
      </w:r>
      <w:r w:rsidR="00013EBD">
        <w:t>t debt and liabilities</w:t>
      </w:r>
      <w:r>
        <w:t xml:space="preserve"> over the forward estimates period, </w:t>
      </w:r>
      <w:r w:rsidR="00013EBD">
        <w:t xml:space="preserve">these remain broadly </w:t>
      </w:r>
      <w:r>
        <w:t xml:space="preserve">in line with the levels of other states with </w:t>
      </w:r>
      <w:r w:rsidR="00013EBD">
        <w:t xml:space="preserve">an AAA credit rating. In addition, </w:t>
      </w:r>
      <w:r w:rsidR="00013EBD" w:rsidRPr="00AA78E4">
        <w:t xml:space="preserve">the </w:t>
      </w:r>
      <w:r w:rsidR="00956657" w:rsidRPr="00AA78E4">
        <w:t>Budget</w:t>
      </w:r>
      <w:r w:rsidR="00013EBD" w:rsidRPr="00AA78E4">
        <w:t xml:space="preserve"> </w:t>
      </w:r>
      <w:proofErr w:type="gramStart"/>
      <w:r w:rsidR="00013EBD" w:rsidRPr="00AA78E4">
        <w:t>is</w:t>
      </w:r>
      <w:r w:rsidR="00013EBD">
        <w:t xml:space="preserve"> projected</w:t>
      </w:r>
      <w:proofErr w:type="gramEnd"/>
      <w:r w:rsidR="00013EBD">
        <w:t xml:space="preserve"> to approach a </w:t>
      </w:r>
      <w:r w:rsidR="00956657">
        <w:t>budget</w:t>
      </w:r>
      <w:r w:rsidR="00013EBD">
        <w:t xml:space="preserve"> balance over the medium-term. </w:t>
      </w:r>
    </w:p>
    <w:p w:rsidR="00AA78E4" w:rsidRDefault="00013EBD" w:rsidP="00134261">
      <w:pPr>
        <w:pStyle w:val="BodyText"/>
      </w:pPr>
      <w:r>
        <w:t>Taken together, th</w:t>
      </w:r>
      <w:r w:rsidR="001A49D7">
        <w:t xml:space="preserve">ese facts </w:t>
      </w:r>
      <w:r w:rsidR="000C5549">
        <w:t>suggest</w:t>
      </w:r>
      <w:r>
        <w:t xml:space="preserve"> that the spending initiatives have not been excessive and </w:t>
      </w:r>
      <w:r w:rsidR="00845850">
        <w:t xml:space="preserve">have </w:t>
      </w:r>
      <w:r w:rsidR="00E71F9C">
        <w:t xml:space="preserve">not </w:t>
      </w:r>
      <w:r>
        <w:t xml:space="preserve">put the sustainably of the </w:t>
      </w:r>
      <w:r w:rsidR="00956657">
        <w:t>Budget</w:t>
      </w:r>
      <w:r>
        <w:t xml:space="preserve"> or the Government’s credit rating at risk.</w:t>
      </w:r>
    </w:p>
    <w:p w:rsidR="00161357" w:rsidRDefault="004E6C8B" w:rsidP="00134261">
      <w:pPr>
        <w:pStyle w:val="BodyText"/>
      </w:pPr>
      <w:r>
        <w:t xml:space="preserve">However, this does not mean that the spending works themselves are financially sound. Each project </w:t>
      </w:r>
      <w:proofErr w:type="gramStart"/>
      <w:r>
        <w:t>must be assessed</w:t>
      </w:r>
      <w:proofErr w:type="gramEnd"/>
      <w:r>
        <w:t xml:space="preserve"> on its own merits and deliver a net gain to ACT residents in order to be justifiable and appropriate.</w:t>
      </w:r>
    </w:p>
    <w:p w:rsidR="001730EF" w:rsidRDefault="001730EF" w:rsidP="001730EF">
      <w:pPr>
        <w:pStyle w:val="Heading2"/>
      </w:pPr>
      <w:bookmarkStart w:id="9" w:name="_Toc390427291"/>
      <w:r>
        <w:t xml:space="preserve">Where </w:t>
      </w:r>
      <w:r w:rsidR="00161357">
        <w:t>does the balance</w:t>
      </w:r>
      <w:r>
        <w:t xml:space="preserve"> of risks lie?</w:t>
      </w:r>
      <w:bookmarkEnd w:id="9"/>
      <w:r>
        <w:t xml:space="preserve"> </w:t>
      </w:r>
    </w:p>
    <w:p w:rsidR="001730EF" w:rsidRDefault="001730EF" w:rsidP="001730EF">
      <w:pPr>
        <w:pStyle w:val="BodyText"/>
      </w:pPr>
      <w:r>
        <w:t xml:space="preserve">The Statement of Risk in the 2014-15 </w:t>
      </w:r>
      <w:r w:rsidR="00956657">
        <w:t>Budget</w:t>
      </w:r>
      <w:r>
        <w:t xml:space="preserve"> outlines a number of risks to the expenditure and revenue proj</w:t>
      </w:r>
      <w:r w:rsidR="00E71F9C">
        <w:t xml:space="preserve">ections. Overall, we judge </w:t>
      </w:r>
      <w:r>
        <w:t>the risks are broadly balanced, with a number of ‘up-side’ and ‘down-side’ risks</w:t>
      </w:r>
      <w:r w:rsidR="007D5BBD">
        <w:t xml:space="preserve"> (i.e. a ‘down-side’ risk is associated with </w:t>
      </w:r>
      <w:proofErr w:type="gramStart"/>
      <w:r w:rsidR="007D5BBD">
        <w:t>a deterioration</w:t>
      </w:r>
      <w:proofErr w:type="gramEnd"/>
      <w:r w:rsidR="007D5BBD">
        <w:t xml:space="preserve"> in </w:t>
      </w:r>
      <w:r w:rsidR="007D5BBD" w:rsidRPr="00AA78E4">
        <w:t xml:space="preserve">the </w:t>
      </w:r>
      <w:r w:rsidR="007C65E8">
        <w:t>b</w:t>
      </w:r>
      <w:r w:rsidR="00956657" w:rsidRPr="00AA78E4">
        <w:t>udget</w:t>
      </w:r>
      <w:r w:rsidR="007D5BBD">
        <w:t xml:space="preserve"> balance).</w:t>
      </w:r>
      <w:r w:rsidR="00FE1F43">
        <w:t xml:space="preserve"> </w:t>
      </w:r>
      <w:r>
        <w:t xml:space="preserve">Four of the most significant risks to the projections </w:t>
      </w:r>
      <w:proofErr w:type="gramStart"/>
      <w:r>
        <w:t>are outlined</w:t>
      </w:r>
      <w:proofErr w:type="gramEnd"/>
      <w:r>
        <w:t xml:space="preserve"> below: </w:t>
      </w:r>
    </w:p>
    <w:p w:rsidR="001730EF" w:rsidRPr="008773FE" w:rsidRDefault="001730EF" w:rsidP="001730EF">
      <w:pPr>
        <w:pStyle w:val="Heading3"/>
      </w:pPr>
      <w:r>
        <w:t>Down-side risks</w:t>
      </w:r>
    </w:p>
    <w:p w:rsidR="001730EF" w:rsidRDefault="001730EF" w:rsidP="00284F89">
      <w:pPr>
        <w:pStyle w:val="ListBullet"/>
        <w:numPr>
          <w:ilvl w:val="0"/>
          <w:numId w:val="4"/>
        </w:numPr>
      </w:pPr>
      <w:r>
        <w:t>a more pronounced slowing in the residential property market than what is currently expected which would lead to lower revenue from both conveyance taxes and dividend payments from the LDA</w:t>
      </w:r>
      <w:r w:rsidR="007E2151">
        <w:t>, and</w:t>
      </w:r>
    </w:p>
    <w:p w:rsidR="001730EF" w:rsidRDefault="001730EF" w:rsidP="00284F89">
      <w:pPr>
        <w:pStyle w:val="ListBullet"/>
        <w:numPr>
          <w:ilvl w:val="0"/>
          <w:numId w:val="4"/>
        </w:numPr>
      </w:pPr>
      <w:proofErr w:type="gramStart"/>
      <w:r>
        <w:t>more</w:t>
      </w:r>
      <w:proofErr w:type="gramEnd"/>
      <w:r>
        <w:t xml:space="preserve"> modest funding from the Federal Government’s Asset Recycling Initiative than what is currently expected due to the capped funding pool and competitive nature of the scheme</w:t>
      </w:r>
      <w:r w:rsidR="000C5549">
        <w:t>.</w:t>
      </w:r>
    </w:p>
    <w:p w:rsidR="001730EF" w:rsidRDefault="001730EF" w:rsidP="001730EF">
      <w:pPr>
        <w:pStyle w:val="Heading3"/>
      </w:pPr>
      <w:r>
        <w:lastRenderedPageBreak/>
        <w:t xml:space="preserve">Up-side risks </w:t>
      </w:r>
    </w:p>
    <w:p w:rsidR="001730EF" w:rsidRPr="003A3C79" w:rsidRDefault="001730EF" w:rsidP="00284F89">
      <w:pPr>
        <w:pStyle w:val="ListBullet"/>
        <w:numPr>
          <w:ilvl w:val="0"/>
          <w:numId w:val="4"/>
        </w:numPr>
      </w:pPr>
      <w:proofErr w:type="gramStart"/>
      <w:r>
        <w:rPr>
          <w:rFonts w:cs="Calibri"/>
          <w:szCs w:val="24"/>
        </w:rPr>
        <w:t>greater</w:t>
      </w:r>
      <w:proofErr w:type="gramEnd"/>
      <w:r>
        <w:rPr>
          <w:rFonts w:cs="Calibri"/>
          <w:szCs w:val="24"/>
        </w:rPr>
        <w:t xml:space="preserve"> divide</w:t>
      </w:r>
      <w:r w:rsidR="007D5BBD">
        <w:rPr>
          <w:rFonts w:cs="Calibri"/>
          <w:szCs w:val="24"/>
        </w:rPr>
        <w:t>nd payments from ACTEW due to a successful</w:t>
      </w:r>
      <w:r>
        <w:rPr>
          <w:rFonts w:cs="Calibri"/>
          <w:szCs w:val="24"/>
        </w:rPr>
        <w:t xml:space="preserve"> appeal against recent regulated prices of water and sewage</w:t>
      </w:r>
      <w:r w:rsidR="007E2151">
        <w:rPr>
          <w:rFonts w:cs="Calibri"/>
          <w:szCs w:val="24"/>
        </w:rPr>
        <w:t>, and</w:t>
      </w:r>
      <w:r>
        <w:rPr>
          <w:rFonts w:cs="Calibri"/>
          <w:szCs w:val="24"/>
        </w:rPr>
        <w:t xml:space="preserve">. </w:t>
      </w:r>
    </w:p>
    <w:p w:rsidR="001730EF" w:rsidRPr="003A3C79" w:rsidRDefault="000C5549" w:rsidP="00284F89">
      <w:pPr>
        <w:pStyle w:val="ListBullet"/>
        <w:numPr>
          <w:ilvl w:val="0"/>
          <w:numId w:val="4"/>
        </w:numPr>
      </w:pPr>
      <w:proofErr w:type="gramStart"/>
      <w:r>
        <w:rPr>
          <w:rFonts w:cs="Calibri"/>
          <w:szCs w:val="24"/>
        </w:rPr>
        <w:t>further</w:t>
      </w:r>
      <w:proofErr w:type="gramEnd"/>
      <w:r>
        <w:rPr>
          <w:rFonts w:cs="Calibri"/>
          <w:szCs w:val="24"/>
        </w:rPr>
        <w:t xml:space="preserve"> tax </w:t>
      </w:r>
      <w:r w:rsidR="001730EF">
        <w:rPr>
          <w:rFonts w:cs="Calibri"/>
          <w:szCs w:val="24"/>
        </w:rPr>
        <w:t xml:space="preserve">reform by the ACT and possibly other state governments to help offset the reductions in Commonwealth Government funding. </w:t>
      </w:r>
    </w:p>
    <w:p w:rsidR="00025C96" w:rsidRDefault="00025C96" w:rsidP="00025C96">
      <w:pPr>
        <w:pStyle w:val="BodyText"/>
      </w:pPr>
    </w:p>
    <w:p w:rsidR="00956657" w:rsidRPr="00CA7EA6" w:rsidRDefault="00956657" w:rsidP="003E774E">
      <w:pPr>
        <w:pStyle w:val="Heading1"/>
        <w:numPr>
          <w:ilvl w:val="0"/>
          <w:numId w:val="0"/>
        </w:numPr>
        <w:ind w:left="567" w:hanging="567"/>
      </w:pPr>
      <w:bookmarkStart w:id="10" w:name="_Toc390427292"/>
      <w:r w:rsidRPr="00CA7EA6">
        <w:lastRenderedPageBreak/>
        <w:t>Economic outlook</w:t>
      </w:r>
      <w:bookmarkEnd w:id="10"/>
      <w:r w:rsidRPr="00CA7EA6">
        <w:t xml:space="preserve"> </w:t>
      </w:r>
    </w:p>
    <w:p w:rsidR="002E17F7" w:rsidRDefault="002E17F7" w:rsidP="002E17F7">
      <w:pPr>
        <w:pStyle w:val="ChapterIntroduction"/>
      </w:pPr>
      <w:r>
        <w:t xml:space="preserve">Cuts to the Australian Public Sector and </w:t>
      </w:r>
      <w:proofErr w:type="spellStart"/>
      <w:r>
        <w:t>contractionary</w:t>
      </w:r>
      <w:proofErr w:type="spellEnd"/>
      <w:r>
        <w:t xml:space="preserve"> fiscal policy at a Federal level </w:t>
      </w:r>
      <w:proofErr w:type="gramStart"/>
      <w:r>
        <w:t xml:space="preserve">are </w:t>
      </w:r>
      <w:r w:rsidR="00845850">
        <w:t>expected</w:t>
      </w:r>
      <w:proofErr w:type="gramEnd"/>
      <w:r w:rsidR="00845850">
        <w:t xml:space="preserve"> </w:t>
      </w:r>
      <w:r>
        <w:t xml:space="preserve">to lead to a softening in economic fundamentals, with weakening Gross State Product, State Final Demand, and </w:t>
      </w:r>
      <w:r w:rsidR="00845850">
        <w:t>w</w:t>
      </w:r>
      <w:r>
        <w:t>age growth.</w:t>
      </w:r>
    </w:p>
    <w:p w:rsidR="002E17F7" w:rsidRPr="00A217A6" w:rsidRDefault="002E17F7" w:rsidP="002E17F7">
      <w:pPr>
        <w:pStyle w:val="ChapterIntroduction"/>
      </w:pPr>
      <w:r w:rsidRPr="00A217A6">
        <w:t xml:space="preserve">The loss of Australian Public Sector jobs </w:t>
      </w:r>
      <w:r>
        <w:t xml:space="preserve">is likely to lead to increase net interstate migration outflows, which would result in a decreased rate of population growth. </w:t>
      </w:r>
      <w:r w:rsidR="00845850">
        <w:t xml:space="preserve">The boost to economic activity in the ACT from investment initiatives is likely to </w:t>
      </w:r>
      <w:proofErr w:type="gramStart"/>
      <w:r w:rsidR="00845850">
        <w:t>be tempered</w:t>
      </w:r>
      <w:proofErr w:type="gramEnd"/>
      <w:r w:rsidR="00845850">
        <w:t xml:space="preserve"> by parts of the </w:t>
      </w:r>
      <w:r w:rsidR="00845850" w:rsidRPr="001423DA">
        <w:t>sp</w:t>
      </w:r>
      <w:r w:rsidR="00845850">
        <w:t xml:space="preserve">ending flowing to other states and possibly overseas. </w:t>
      </w:r>
    </w:p>
    <w:p w:rsidR="002E17F7" w:rsidRPr="003B2845" w:rsidRDefault="002E17F7" w:rsidP="002E17F7">
      <w:pPr>
        <w:pStyle w:val="ChapterIntroduction"/>
      </w:pPr>
      <w:r w:rsidRPr="003A3C79">
        <w:t xml:space="preserve">Overall, the ACT economy is expected to soften, partly </w:t>
      </w:r>
      <w:proofErr w:type="gramStart"/>
      <w:r w:rsidRPr="003A3C79">
        <w:t>as a result</w:t>
      </w:r>
      <w:proofErr w:type="gramEnd"/>
      <w:r w:rsidRPr="003A3C79">
        <w:t xml:space="preserve"> of fiscal consolidation at the Commonwealth level. The ACT economy </w:t>
      </w:r>
      <w:proofErr w:type="gramStart"/>
      <w:r w:rsidRPr="003A3C79">
        <w:t>is expected</w:t>
      </w:r>
      <w:proofErr w:type="gramEnd"/>
      <w:r w:rsidRPr="003A3C79">
        <w:t xml:space="preserve"> to underperform the national average over the coming years, and weaken slightly over the forward estimates, although growth is expected to remain positive</w:t>
      </w:r>
      <w:r>
        <w:t xml:space="preserve"> at 1.75 per cent in 2014-15.</w:t>
      </w:r>
    </w:p>
    <w:p w:rsidR="002E17F7" w:rsidRDefault="002E17F7" w:rsidP="002E17F7">
      <w:pPr>
        <w:pStyle w:val="BodyText"/>
      </w:pPr>
      <w:r>
        <w:t xml:space="preserve">The 2014-15 Budget provides a forecast of the financial position of the ACT Government from 2013-14 to 2017-18, which aside from the spending, savings, and revenue measures in the budget, reflects a number of </w:t>
      </w:r>
      <w:r w:rsidR="00845850">
        <w:t>macroeconomic variables. Table 2</w:t>
      </w:r>
      <w:r>
        <w:t>.1 shows the forecasts for changes in key macroeconomic variables in 2014-15, compared to estimates for parameter growth in 2013-14 and 2012-13. It shows that the ACT is experiencing softening the economic fundamentals, with lower level</w:t>
      </w:r>
      <w:r w:rsidR="00972529">
        <w:t xml:space="preserve">s of </w:t>
      </w:r>
      <w:r w:rsidR="003C27D3">
        <w:t>Gross State Product (</w:t>
      </w:r>
      <w:r w:rsidR="00972529">
        <w:t>GSP</w:t>
      </w:r>
      <w:r w:rsidR="003C27D3">
        <w:t>)</w:t>
      </w:r>
      <w:r>
        <w:t xml:space="preserve">, employment, and State Final Demand (SFD) growth in 2014-15 compared to 2013-14. </w:t>
      </w:r>
    </w:p>
    <w:p w:rsidR="002E17F7" w:rsidRDefault="002E17F7" w:rsidP="002E17F7">
      <w:pPr>
        <w:pStyle w:val="BodyText"/>
      </w:pPr>
      <w:r>
        <w:t xml:space="preserve">As table </w:t>
      </w:r>
      <w:r w:rsidR="00B40B86">
        <w:fldChar w:fldCharType="begin"/>
      </w:r>
      <w:r w:rsidR="00FE1F43">
        <w:instrText xml:space="preserve"> REF _Caption6171 </w:instrText>
      </w:r>
      <w:r w:rsidR="00B40B86">
        <w:fldChar w:fldCharType="separate"/>
      </w:r>
      <w:proofErr w:type="gramStart"/>
      <w:r w:rsidR="00D733F1">
        <w:rPr>
          <w:noProof/>
        </w:rPr>
        <w:t>1</w:t>
      </w:r>
      <w:r w:rsidR="00B40B86">
        <w:fldChar w:fldCharType="end"/>
      </w:r>
      <w:r>
        <w:t xml:space="preserve"> shows</w:t>
      </w:r>
      <w:proofErr w:type="gramEnd"/>
      <w:r>
        <w:t>, the budget relies on long run averages for the proje</w:t>
      </w:r>
      <w:r w:rsidR="00FE1F43">
        <w:t>ction years 2014-15 to 2016-17.</w:t>
      </w:r>
    </w:p>
    <w:p w:rsidR="002E17F7" w:rsidRDefault="002E17F7" w:rsidP="002E17F7">
      <w:pPr>
        <w:pStyle w:val="BodyText"/>
      </w:pPr>
      <w:r>
        <w:t xml:space="preserve">While it is appropriate to use long run averages for planning purposes, in order to meet budget targets for the forward period, in practice, year-on-year fluctuations will occur to accommodate actual economic circumstances, and the consequent impact on revenue. For instance, conveyance duties, land sales and payroll tax revenue are significant components of the budget that are sensitive to the performance of the ACT economy and therefore, whether long run average economic performance is achieved in 2014-15. </w:t>
      </w:r>
    </w:p>
    <w:p w:rsidR="002E17F7" w:rsidRDefault="002E17F7" w:rsidP="00284F89">
      <w:pPr>
        <w:pStyle w:val="Heading2"/>
        <w:numPr>
          <w:ilvl w:val="1"/>
          <w:numId w:val="1"/>
        </w:numPr>
      </w:pPr>
      <w:bookmarkStart w:id="11" w:name="_Toc358813420"/>
      <w:bookmarkStart w:id="12" w:name="_Toc390033551"/>
      <w:bookmarkStart w:id="13" w:name="_Toc390427293"/>
      <w:r>
        <w:t>Growth and demand outlook for the ACT and Australia</w:t>
      </w:r>
      <w:bookmarkEnd w:id="11"/>
      <w:bookmarkEnd w:id="12"/>
      <w:bookmarkEnd w:id="13"/>
    </w:p>
    <w:p w:rsidR="002E17F7" w:rsidRDefault="002E17F7" w:rsidP="002E17F7">
      <w:pPr>
        <w:pStyle w:val="BodyText"/>
      </w:pPr>
      <w:r>
        <w:t xml:space="preserve">GSP in the ACT for 2013-14 </w:t>
      </w:r>
      <w:proofErr w:type="gramStart"/>
      <w:r>
        <w:t>is expected</w:t>
      </w:r>
      <w:proofErr w:type="gramEnd"/>
      <w:r>
        <w:t xml:space="preserve"> to be 2.25 per cent, which is 0.5 less than the forecast growth in Australian Gross Domestic Project (GDP) of 2.75 per cent. In contrast, in 2014-15 GSP </w:t>
      </w:r>
      <w:proofErr w:type="gramStart"/>
      <w:r>
        <w:t>is forecast</w:t>
      </w:r>
      <w:proofErr w:type="gramEnd"/>
      <w:r>
        <w:t xml:space="preserve"> to grow at 1.75 per cent, which is 0.75 less than the forecast GDP growth of 2.5 per cent. </w:t>
      </w:r>
    </w:p>
    <w:p w:rsidR="003E774E" w:rsidRDefault="00B40B86" w:rsidP="003E774E">
      <w:pPr>
        <w:pStyle w:val="Caption"/>
      </w:pPr>
      <w:r w:rsidRPr="00695C93">
        <w:lastRenderedPageBreak/>
        <w:fldChar w:fldCharType="begin"/>
      </w:r>
      <w:r w:rsidR="003E774E" w:rsidRPr="00695C93">
        <w:instrText xml:space="preserve"> IF 1 = 1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w:instrText>
      </w:r>
      <w:fldSimple w:instr=" STYLEREF &quot;Heading 1&quot; \l \n ">
        <w:r w:rsidR="003E774E">
          <w:rPr>
            <w:noProof/>
          </w:rPr>
          <w:instrText>2</w:instrText>
        </w:r>
      </w:fldSimple>
      <w:r w:rsidR="003E774E" w:rsidRPr="00695C93">
        <w:instrText xml:space="preserve">." </w:instrText>
      </w:r>
      <w:r w:rsidRPr="00695C93">
        <w:fldChar w:fldCharType="end"/>
      </w:r>
      <w:r w:rsidR="003E774E" w:rsidRPr="00695C93">
        <w:instrText>" "</w:instrText>
      </w:r>
      <w:fldSimple w:instr=" STYLEREF &quot;Heading 6&quot; \l \n ">
        <w:r w:rsidR="003E774E" w:rsidRPr="00695C93">
          <w:instrText>B</w:instrText>
        </w:r>
      </w:fldSimple>
      <w:r w:rsidR="003E774E" w:rsidRPr="00695C93">
        <w:instrText xml:space="preserve">." </w:instrText>
      </w:r>
      <w:r w:rsidRPr="00695C93">
        <w:fldChar w:fldCharType="end"/>
      </w:r>
      <w:r w:rsidRPr="00695C93">
        <w:fldChar w:fldCharType="begin"/>
      </w:r>
      <w:r w:rsidR="003E774E" w:rsidRPr="00695C93">
        <w:instrText xml:space="preserve"> SEQ Item \* ARABIC \s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"1" </w:instrText>
      </w:r>
      <w:r w:rsidRPr="00695C93">
        <w:fldChar w:fldCharType="end"/>
      </w:r>
      <w:r w:rsidR="003E774E" w:rsidRPr="00695C93">
        <w:instrText xml:space="preserve">" "6" </w:instrText>
      </w:r>
      <w:r w:rsidRPr="00695C93">
        <w:fldChar w:fldCharType="end"/>
      </w:r>
      <w:r w:rsidR="003E774E" w:rsidRPr="00695C93">
        <w:instrText xml:space="preserve"> </w:instrText>
      </w:r>
      <w:r w:rsidRPr="00695C93">
        <w:fldChar w:fldCharType="separate"/>
      </w:r>
      <w:r w:rsidR="00D733F1">
        <w:rPr>
          <w:noProof/>
        </w:rPr>
        <w:instrText>1</w:instrText>
      </w:r>
      <w:r w:rsidRPr="00695C93">
        <w:fldChar w:fldCharType="end"/>
      </w:r>
      <w:r w:rsidR="003E774E" w:rsidRPr="00695C93">
        <w:instrText xml:space="preserve">" "" </w:instrText>
      </w:r>
      <w:r w:rsidRPr="00695C93">
        <w:fldChar w:fldCharType="separate"/>
      </w:r>
      <w:bookmarkStart w:id="14" w:name="_Caption6171"/>
      <w:bookmarkStart w:id="15" w:name="_Caption1156"/>
      <w:bookmarkStart w:id="16" w:name="_Caption1139"/>
      <w:bookmarkStart w:id="17" w:name="_Caption4950"/>
      <w:bookmarkStart w:id="18" w:name="_Caption7549"/>
      <w:bookmarkStart w:id="19" w:name="_Caption0763"/>
      <w:bookmarkStart w:id="20" w:name="_Caption6209"/>
      <w:bookmarkStart w:id="21" w:name="_Caption6017"/>
      <w:bookmarkStart w:id="22" w:name="_Caption5557"/>
      <w:bookmarkStart w:id="23" w:name="_Caption0056"/>
      <w:bookmarkStart w:id="24" w:name="_Caption3551"/>
      <w:bookmarkStart w:id="25" w:name="_Caption6260"/>
      <w:bookmarkStart w:id="26" w:name="_Caption2191"/>
      <w:bookmarkStart w:id="27" w:name="_Caption0467"/>
      <w:bookmarkStart w:id="28" w:name="_Caption1551"/>
      <w:bookmarkStart w:id="29" w:name="_Caption9274"/>
      <w:bookmarkStart w:id="30" w:name="_Caption1871"/>
      <w:bookmarkStart w:id="31" w:name="_Caption2462"/>
      <w:bookmarkStart w:id="32" w:name="_Caption9104"/>
      <w:bookmarkStart w:id="33" w:name="_Caption9292"/>
      <w:bookmarkStart w:id="34" w:name="_Caption3648"/>
      <w:bookmarkStart w:id="35" w:name="_Caption0628"/>
      <w:bookmarkStart w:id="36" w:name="_Caption3016"/>
      <w:bookmarkStart w:id="37" w:name="_Caption2036"/>
      <w:bookmarkStart w:id="38" w:name="_Caption9819"/>
      <w:bookmarkStart w:id="39" w:name="_Caption3074"/>
      <w:bookmarkStart w:id="40" w:name="_Caption9728"/>
      <w:bookmarkStart w:id="41" w:name="_Caption0765"/>
      <w:bookmarkStart w:id="42" w:name="_Caption8994"/>
      <w:bookmarkStart w:id="43" w:name="_Caption3921"/>
      <w:bookmarkStart w:id="44" w:name="_Caption5616"/>
      <w:bookmarkStart w:id="45" w:name="_Toc390427324"/>
      <w:r w:rsidR="00D733F1">
        <w:rPr>
          <w:noProof/>
        </w:rPr>
        <w:t>1</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695C93">
        <w:fldChar w:fldCharType="end"/>
      </w:r>
      <w:r w:rsidR="003E774E" w:rsidRPr="00695C93">
        <w:tab/>
      </w:r>
      <w:r w:rsidR="003E774E">
        <w:t>ACT Economic outlook</w:t>
      </w:r>
      <w:bookmarkEnd w:id="45"/>
    </w:p>
    <w:tbl>
      <w:tblPr>
        <w:tblW w:w="7938" w:type="dxa"/>
        <w:tblInd w:w="57" w:type="dxa"/>
        <w:tblLayout w:type="fixed"/>
        <w:tblLook w:val="0000"/>
      </w:tblPr>
      <w:tblGrid>
        <w:gridCol w:w="1985"/>
        <w:gridCol w:w="992"/>
        <w:gridCol w:w="1134"/>
        <w:gridCol w:w="992"/>
        <w:gridCol w:w="993"/>
        <w:gridCol w:w="992"/>
        <w:gridCol w:w="850"/>
      </w:tblGrid>
      <w:tr w:rsidR="002E17F7" w:rsidTr="009C75CC">
        <w:tc>
          <w:tcPr>
            <w:tcW w:w="1985" w:type="dxa"/>
            <w:shd w:val="clear" w:color="auto" w:fill="6F6652"/>
            <w:tcMar>
              <w:left w:w="57" w:type="dxa"/>
              <w:right w:w="57" w:type="dxa"/>
            </w:tcMar>
          </w:tcPr>
          <w:p w:rsidR="002E17F7" w:rsidRDefault="002E17F7" w:rsidP="009C75CC">
            <w:pPr>
              <w:pStyle w:val="TableDataColumnHeading"/>
              <w:jc w:val="left"/>
            </w:pPr>
          </w:p>
        </w:tc>
        <w:tc>
          <w:tcPr>
            <w:tcW w:w="992" w:type="dxa"/>
            <w:shd w:val="clear" w:color="auto" w:fill="6F6652"/>
            <w:tcMar>
              <w:left w:w="57" w:type="dxa"/>
              <w:right w:w="57" w:type="dxa"/>
            </w:tcMar>
          </w:tcPr>
          <w:p w:rsidR="002E17F7" w:rsidRDefault="002E17F7" w:rsidP="009C75CC">
            <w:pPr>
              <w:pStyle w:val="TableDataColumnHeading"/>
            </w:pPr>
            <w:r>
              <w:t>Actual</w:t>
            </w:r>
          </w:p>
        </w:tc>
        <w:tc>
          <w:tcPr>
            <w:tcW w:w="2126" w:type="dxa"/>
            <w:gridSpan w:val="2"/>
            <w:shd w:val="clear" w:color="auto" w:fill="6F6652"/>
            <w:tcMar>
              <w:left w:w="57" w:type="dxa"/>
              <w:right w:w="57" w:type="dxa"/>
            </w:tcMar>
          </w:tcPr>
          <w:p w:rsidR="002E17F7" w:rsidRDefault="002E17F7" w:rsidP="003E774E">
            <w:pPr>
              <w:pStyle w:val="TableDataColumnHeading"/>
              <w:jc w:val="center"/>
            </w:pPr>
            <w:r>
              <w:t>Forecast 2014-15</w:t>
            </w:r>
          </w:p>
        </w:tc>
        <w:tc>
          <w:tcPr>
            <w:tcW w:w="2835" w:type="dxa"/>
            <w:gridSpan w:val="3"/>
            <w:shd w:val="clear" w:color="auto" w:fill="6F6652"/>
          </w:tcPr>
          <w:p w:rsidR="002E17F7" w:rsidRDefault="002E17F7" w:rsidP="009C75CC">
            <w:pPr>
              <w:pStyle w:val="TableDataColumnHeading"/>
              <w:jc w:val="center"/>
            </w:pPr>
            <w:r>
              <w:t>Projections</w:t>
            </w:r>
          </w:p>
        </w:tc>
      </w:tr>
      <w:tr w:rsidR="002E17F7" w:rsidTr="009C75CC">
        <w:tc>
          <w:tcPr>
            <w:tcW w:w="1985" w:type="dxa"/>
            <w:tcBorders>
              <w:bottom w:val="single" w:sz="8" w:space="0" w:color="FFFFFF" w:themeColor="background1"/>
            </w:tcBorders>
            <w:shd w:val="clear" w:color="auto" w:fill="auto"/>
            <w:tcMar>
              <w:left w:w="57" w:type="dxa"/>
              <w:right w:w="57" w:type="dxa"/>
            </w:tcMar>
          </w:tcPr>
          <w:p w:rsidR="002E17F7" w:rsidRPr="0036125D" w:rsidRDefault="002E17F7" w:rsidP="009C75CC">
            <w:pPr>
              <w:pStyle w:val="TableUnit"/>
              <w:jc w:val="left"/>
              <w:rPr>
                <w:b/>
              </w:rPr>
            </w:pPr>
          </w:p>
        </w:tc>
        <w:tc>
          <w:tcPr>
            <w:tcW w:w="992" w:type="dxa"/>
            <w:tcBorders>
              <w:bottom w:val="single" w:sz="8" w:space="0" w:color="FFFFFF" w:themeColor="background1"/>
            </w:tcBorders>
            <w:shd w:val="clear" w:color="auto" w:fill="auto"/>
            <w:tcMar>
              <w:left w:w="57" w:type="dxa"/>
              <w:right w:w="57" w:type="dxa"/>
            </w:tcMar>
          </w:tcPr>
          <w:p w:rsidR="002E17F7" w:rsidRDefault="002E17F7" w:rsidP="009C75CC">
            <w:pPr>
              <w:pStyle w:val="TableUnit"/>
            </w:pPr>
            <w:r>
              <w:t>2012-13</w:t>
            </w:r>
          </w:p>
        </w:tc>
        <w:tc>
          <w:tcPr>
            <w:tcW w:w="1134" w:type="dxa"/>
            <w:tcBorders>
              <w:bottom w:val="single" w:sz="8" w:space="0" w:color="FFFFFF" w:themeColor="background1"/>
            </w:tcBorders>
            <w:shd w:val="clear" w:color="auto" w:fill="auto"/>
            <w:tcMar>
              <w:left w:w="57" w:type="dxa"/>
              <w:right w:w="57" w:type="dxa"/>
            </w:tcMar>
          </w:tcPr>
          <w:p w:rsidR="002E17F7" w:rsidRDefault="002E17F7" w:rsidP="009C75CC">
            <w:pPr>
              <w:pStyle w:val="TableUnit"/>
            </w:pPr>
            <w:r>
              <w:t>2013-14</w:t>
            </w:r>
          </w:p>
        </w:tc>
        <w:tc>
          <w:tcPr>
            <w:tcW w:w="992" w:type="dxa"/>
            <w:tcBorders>
              <w:bottom w:val="single" w:sz="8" w:space="0" w:color="FFFFFF" w:themeColor="background1"/>
            </w:tcBorders>
          </w:tcPr>
          <w:p w:rsidR="002E17F7" w:rsidRDefault="002E17F7" w:rsidP="009C75CC">
            <w:pPr>
              <w:pStyle w:val="TableUnit"/>
            </w:pPr>
            <w:r>
              <w:t>2014-15</w:t>
            </w:r>
          </w:p>
        </w:tc>
        <w:tc>
          <w:tcPr>
            <w:tcW w:w="993" w:type="dxa"/>
            <w:tcBorders>
              <w:bottom w:val="single" w:sz="8" w:space="0" w:color="FFFFFF" w:themeColor="background1"/>
            </w:tcBorders>
          </w:tcPr>
          <w:p w:rsidR="002E17F7" w:rsidRDefault="002E17F7" w:rsidP="009C75CC">
            <w:pPr>
              <w:pStyle w:val="TableUnit"/>
            </w:pPr>
            <w:r>
              <w:t>2015-16</w:t>
            </w:r>
          </w:p>
        </w:tc>
        <w:tc>
          <w:tcPr>
            <w:tcW w:w="992" w:type="dxa"/>
            <w:tcBorders>
              <w:bottom w:val="single" w:sz="8" w:space="0" w:color="FFFFFF" w:themeColor="background1"/>
            </w:tcBorders>
          </w:tcPr>
          <w:p w:rsidR="002E17F7" w:rsidRDefault="002E17F7" w:rsidP="009C75CC">
            <w:pPr>
              <w:pStyle w:val="TableUnit"/>
            </w:pPr>
            <w:r>
              <w:t>2016-17</w:t>
            </w:r>
          </w:p>
        </w:tc>
        <w:tc>
          <w:tcPr>
            <w:tcW w:w="850" w:type="dxa"/>
            <w:tcBorders>
              <w:bottom w:val="single" w:sz="8" w:space="0" w:color="FFFFFF" w:themeColor="background1"/>
            </w:tcBorders>
          </w:tcPr>
          <w:p w:rsidR="002E17F7" w:rsidRDefault="002E17F7" w:rsidP="009C75CC">
            <w:pPr>
              <w:pStyle w:val="TableUnit"/>
            </w:pPr>
            <w:r>
              <w:t>2017-18</w:t>
            </w:r>
          </w:p>
        </w:tc>
      </w:tr>
      <w:tr w:rsidR="002E17F7" w:rsidTr="009C75C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36125D" w:rsidRDefault="002E17F7" w:rsidP="009C75CC">
            <w:pPr>
              <w:pStyle w:val="TableUnit"/>
              <w:jc w:val="left"/>
              <w:rPr>
                <w:b/>
              </w:rPr>
            </w:pPr>
            <w:r w:rsidRPr="0036125D">
              <w:rPr>
                <w:b/>
              </w:rPr>
              <w:t>ACT</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Unit"/>
            </w:pP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Unit"/>
            </w:pP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Unit"/>
            </w:pPr>
          </w:p>
        </w:tc>
        <w:tc>
          <w:tcPr>
            <w:tcW w:w="993"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Unit"/>
            </w:pP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Unit"/>
            </w:pPr>
          </w:p>
        </w:tc>
        <w:tc>
          <w:tcPr>
            <w:tcW w:w="850"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Unit"/>
            </w:pPr>
          </w:p>
        </w:tc>
      </w:tr>
      <w:tr w:rsidR="002E17F7" w:rsidTr="009C75C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 xml:space="preserve">Gross state product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2.7</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2.25</w:t>
            </w: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1.75</w:t>
            </w:r>
          </w:p>
        </w:tc>
        <w:tc>
          <w:tcPr>
            <w:tcW w:w="993"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2.5</w:t>
            </w: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2.5</w:t>
            </w:r>
          </w:p>
        </w:tc>
        <w:tc>
          <w:tcPr>
            <w:tcW w:w="850"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2.5</w:t>
            </w:r>
          </w:p>
        </w:tc>
      </w:tr>
      <w:tr w:rsidR="002E17F7" w:rsidTr="009C75C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 xml:space="preserve">Employment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1.9</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0.75</w:t>
            </w: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0.50</w:t>
            </w:r>
          </w:p>
        </w:tc>
        <w:tc>
          <w:tcPr>
            <w:tcW w:w="993"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1.5</w:t>
            </w: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1.5</w:t>
            </w:r>
          </w:p>
        </w:tc>
        <w:tc>
          <w:tcPr>
            <w:tcW w:w="850"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1.5</w:t>
            </w:r>
          </w:p>
        </w:tc>
      </w:tr>
      <w:tr w:rsidR="002E17F7" w:rsidTr="009C75C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 xml:space="preserve">State Final Demand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0.4</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1.75</w:t>
            </w: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1.25</w:t>
            </w:r>
          </w:p>
        </w:tc>
        <w:tc>
          <w:tcPr>
            <w:tcW w:w="993"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4.0</w:t>
            </w: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4.0</w:t>
            </w:r>
          </w:p>
        </w:tc>
        <w:tc>
          <w:tcPr>
            <w:tcW w:w="850"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4.0</w:t>
            </w:r>
          </w:p>
        </w:tc>
      </w:tr>
      <w:tr w:rsidR="002E17F7" w:rsidTr="009C75C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Consumer Price Index</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1.9</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2.25</w:t>
            </w: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2.25</w:t>
            </w:r>
          </w:p>
        </w:tc>
        <w:tc>
          <w:tcPr>
            <w:tcW w:w="993"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2.5</w:t>
            </w: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2.5</w:t>
            </w:r>
          </w:p>
        </w:tc>
        <w:tc>
          <w:tcPr>
            <w:tcW w:w="850"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2.5</w:t>
            </w:r>
          </w:p>
        </w:tc>
      </w:tr>
      <w:tr w:rsidR="002E17F7" w:rsidTr="009C75C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 xml:space="preserve">Wages Price Index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3.7</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2.75</w:t>
            </w: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2.50</w:t>
            </w:r>
          </w:p>
        </w:tc>
        <w:tc>
          <w:tcPr>
            <w:tcW w:w="993"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3.5</w:t>
            </w: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3.5</w:t>
            </w:r>
          </w:p>
        </w:tc>
        <w:tc>
          <w:tcPr>
            <w:tcW w:w="850"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3.5</w:t>
            </w:r>
          </w:p>
        </w:tc>
      </w:tr>
      <w:tr w:rsidR="002E17F7" w:rsidTr="009C75C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 xml:space="preserve">Population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1.7</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1.50</w:t>
            </w: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1.50</w:t>
            </w:r>
          </w:p>
        </w:tc>
        <w:tc>
          <w:tcPr>
            <w:tcW w:w="993"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1.5</w:t>
            </w: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1.5</w:t>
            </w:r>
          </w:p>
        </w:tc>
        <w:tc>
          <w:tcPr>
            <w:tcW w:w="850"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1.5</w:t>
            </w:r>
          </w:p>
        </w:tc>
      </w:tr>
      <w:tr w:rsidR="002E17F7" w:rsidTr="009C75C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36125D" w:rsidRDefault="002E17F7" w:rsidP="009C75CC">
            <w:pPr>
              <w:pStyle w:val="TableDataEntries"/>
              <w:jc w:val="left"/>
              <w:rPr>
                <w:b/>
              </w:rPr>
            </w:pPr>
            <w:r w:rsidRPr="0036125D">
              <w:rPr>
                <w:b/>
              </w:rPr>
              <w:t xml:space="preserve">Australia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p>
        </w:tc>
        <w:tc>
          <w:tcPr>
            <w:tcW w:w="993"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p>
        </w:tc>
        <w:tc>
          <w:tcPr>
            <w:tcW w:w="992"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p>
        </w:tc>
        <w:tc>
          <w:tcPr>
            <w:tcW w:w="850"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p>
        </w:tc>
      </w:tr>
      <w:tr w:rsidR="002E17F7" w:rsidTr="009C75CC">
        <w:tc>
          <w:tcPr>
            <w:tcW w:w="1985" w:type="dxa"/>
            <w:tcBorders>
              <w:top w:val="single" w:sz="8" w:space="0" w:color="FFFFFF" w:themeColor="background1"/>
              <w:bottom w:val="single" w:sz="6" w:space="0" w:color="6F6652"/>
            </w:tcBorders>
            <w:shd w:val="clear" w:color="auto" w:fill="E9E8E5" w:themeFill="background2"/>
            <w:tcMar>
              <w:left w:w="57" w:type="dxa"/>
              <w:right w:w="57" w:type="dxa"/>
            </w:tcMar>
          </w:tcPr>
          <w:p w:rsidR="002E17F7" w:rsidRDefault="002E17F7" w:rsidP="009C75CC">
            <w:pPr>
              <w:pStyle w:val="TableDataEntries"/>
              <w:jc w:val="left"/>
            </w:pPr>
            <w:r>
              <w:t xml:space="preserve">Gross domestic product </w:t>
            </w:r>
          </w:p>
        </w:tc>
        <w:tc>
          <w:tcPr>
            <w:tcW w:w="992" w:type="dxa"/>
            <w:tcBorders>
              <w:top w:val="single" w:sz="8" w:space="0" w:color="FFFFFF" w:themeColor="background1"/>
              <w:bottom w:val="single" w:sz="6" w:space="0" w:color="6F6652"/>
            </w:tcBorders>
            <w:shd w:val="clear" w:color="auto" w:fill="E9E8E5" w:themeFill="background2"/>
            <w:tcMar>
              <w:left w:w="57" w:type="dxa"/>
              <w:right w:w="57" w:type="dxa"/>
            </w:tcMar>
          </w:tcPr>
          <w:p w:rsidR="002E17F7" w:rsidRDefault="002E17F7" w:rsidP="009C75CC">
            <w:pPr>
              <w:pStyle w:val="TableDataEntries"/>
            </w:pPr>
            <w:r>
              <w:t>2.6</w:t>
            </w:r>
          </w:p>
        </w:tc>
        <w:tc>
          <w:tcPr>
            <w:tcW w:w="1134" w:type="dxa"/>
            <w:tcBorders>
              <w:top w:val="single" w:sz="8" w:space="0" w:color="FFFFFF" w:themeColor="background1"/>
              <w:bottom w:val="single" w:sz="6" w:space="0" w:color="6F6652"/>
            </w:tcBorders>
            <w:shd w:val="clear" w:color="auto" w:fill="E9E8E5" w:themeFill="background2"/>
            <w:tcMar>
              <w:left w:w="57" w:type="dxa"/>
              <w:right w:w="57" w:type="dxa"/>
            </w:tcMar>
          </w:tcPr>
          <w:p w:rsidR="002E17F7" w:rsidRDefault="002E17F7" w:rsidP="009C75CC">
            <w:pPr>
              <w:pStyle w:val="TableDataEntries"/>
            </w:pPr>
            <w:r>
              <w:t>2.75</w:t>
            </w:r>
          </w:p>
        </w:tc>
        <w:tc>
          <w:tcPr>
            <w:tcW w:w="992" w:type="dxa"/>
            <w:tcBorders>
              <w:top w:val="single" w:sz="8" w:space="0" w:color="FFFFFF" w:themeColor="background1"/>
              <w:bottom w:val="single" w:sz="6" w:space="0" w:color="6F6652"/>
            </w:tcBorders>
            <w:shd w:val="clear" w:color="auto" w:fill="E9E8E5" w:themeFill="background2"/>
          </w:tcPr>
          <w:p w:rsidR="002E17F7" w:rsidRDefault="002E17F7" w:rsidP="009C75CC">
            <w:pPr>
              <w:pStyle w:val="TableDataEntries"/>
            </w:pPr>
            <w:r>
              <w:t>2.50</w:t>
            </w:r>
          </w:p>
        </w:tc>
        <w:tc>
          <w:tcPr>
            <w:tcW w:w="993" w:type="dxa"/>
            <w:tcBorders>
              <w:top w:val="single" w:sz="8" w:space="0" w:color="FFFFFF" w:themeColor="background1"/>
              <w:bottom w:val="single" w:sz="6" w:space="0" w:color="6F6652"/>
            </w:tcBorders>
            <w:shd w:val="clear" w:color="auto" w:fill="E9E8E5" w:themeFill="background2"/>
          </w:tcPr>
          <w:p w:rsidR="002E17F7" w:rsidRDefault="002E17F7" w:rsidP="009C75CC">
            <w:pPr>
              <w:pStyle w:val="TableDataEntries"/>
            </w:pPr>
            <w:r>
              <w:t>3.0</w:t>
            </w:r>
          </w:p>
        </w:tc>
        <w:tc>
          <w:tcPr>
            <w:tcW w:w="992" w:type="dxa"/>
            <w:tcBorders>
              <w:top w:val="single" w:sz="8" w:space="0" w:color="FFFFFF" w:themeColor="background1"/>
              <w:bottom w:val="single" w:sz="6" w:space="0" w:color="6F6652"/>
            </w:tcBorders>
            <w:shd w:val="clear" w:color="auto" w:fill="E9E8E5" w:themeFill="background2"/>
          </w:tcPr>
          <w:p w:rsidR="002E17F7" w:rsidRDefault="002E17F7" w:rsidP="009C75CC">
            <w:pPr>
              <w:pStyle w:val="TableDataEntries"/>
            </w:pPr>
            <w:r>
              <w:t>3.0</w:t>
            </w:r>
          </w:p>
        </w:tc>
        <w:tc>
          <w:tcPr>
            <w:tcW w:w="850" w:type="dxa"/>
            <w:tcBorders>
              <w:top w:val="single" w:sz="8" w:space="0" w:color="FFFFFF" w:themeColor="background1"/>
              <w:bottom w:val="single" w:sz="6" w:space="0" w:color="6F6652"/>
            </w:tcBorders>
            <w:shd w:val="clear" w:color="auto" w:fill="E9E8E5" w:themeFill="background2"/>
          </w:tcPr>
          <w:p w:rsidR="002E17F7" w:rsidRDefault="002E17F7" w:rsidP="009C75CC">
            <w:pPr>
              <w:pStyle w:val="TableDataEntries"/>
            </w:pPr>
            <w:r>
              <w:t>3.0</w:t>
            </w:r>
          </w:p>
        </w:tc>
      </w:tr>
    </w:tbl>
    <w:p w:rsidR="002E17F7" w:rsidRDefault="002E17F7" w:rsidP="002E17F7">
      <w:pPr>
        <w:pStyle w:val="Source"/>
      </w:pPr>
      <w:r>
        <w:rPr>
          <w:i/>
        </w:rPr>
        <w:t>Source</w:t>
      </w:r>
      <w:r w:rsidRPr="00E4232C">
        <w:rPr>
          <w:i/>
        </w:rPr>
        <w:t>:</w:t>
      </w:r>
      <w:r>
        <w:t xml:space="preserve"> ACT Budget 2014-15</w:t>
      </w:r>
    </w:p>
    <w:p w:rsidR="002E17F7" w:rsidRDefault="002E17F7" w:rsidP="002E17F7">
      <w:pPr>
        <w:pStyle w:val="BodyText"/>
        <w:rPr>
          <w:lang w:eastAsia="en-US"/>
        </w:rPr>
      </w:pPr>
      <w:r>
        <w:rPr>
          <w:lang w:eastAsia="en-US"/>
        </w:rPr>
        <w:t xml:space="preserve">The ACT Treasury’s GDP growth forecasts are consistent with the expectations of key economic institutions, which forecast GDP growth for 2014-15 between 2.5 and 2.75 per cent (including the midpoint of the RBA forecast being 2.75 per cent). Table </w:t>
      </w:r>
      <w:r w:rsidR="00B40B86">
        <w:rPr>
          <w:lang w:eastAsia="en-US"/>
        </w:rPr>
        <w:fldChar w:fldCharType="begin"/>
      </w:r>
      <w:r w:rsidR="00FE1F43">
        <w:rPr>
          <w:lang w:eastAsia="en-US"/>
        </w:rPr>
        <w:instrText xml:space="preserve"> REF _Caption8985 </w:instrText>
      </w:r>
      <w:r w:rsidR="00B40B86">
        <w:rPr>
          <w:lang w:eastAsia="en-US"/>
        </w:rPr>
        <w:fldChar w:fldCharType="separate"/>
      </w:r>
      <w:r w:rsidR="00D733F1">
        <w:rPr>
          <w:noProof/>
        </w:rPr>
        <w:t>2</w:t>
      </w:r>
      <w:r w:rsidR="00B40B86">
        <w:rPr>
          <w:lang w:eastAsia="en-US"/>
        </w:rPr>
        <w:fldChar w:fldCharType="end"/>
      </w:r>
      <w:r>
        <w:rPr>
          <w:lang w:eastAsia="en-US"/>
        </w:rPr>
        <w:t xml:space="preserve"> gives a comparison of forecasts of Australian GDP growth produced by different economic agencies.</w:t>
      </w:r>
    </w:p>
    <w:p w:rsidR="003E774E" w:rsidRDefault="00B40B86" w:rsidP="003E774E">
      <w:pPr>
        <w:pStyle w:val="Caption"/>
      </w:pPr>
      <w:r w:rsidRPr="00695C93">
        <w:fldChar w:fldCharType="begin"/>
      </w:r>
      <w:r w:rsidR="003E774E" w:rsidRPr="00695C93">
        <w:instrText xml:space="preserve"> IF 1 = 1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w:instrText>
      </w:r>
      <w:fldSimple w:instr=" STYLEREF &quot;Heading 1&quot; \l \n ">
        <w:r w:rsidR="003E774E">
          <w:rPr>
            <w:noProof/>
          </w:rPr>
          <w:instrText>2</w:instrText>
        </w:r>
      </w:fldSimple>
      <w:r w:rsidR="003E774E" w:rsidRPr="00695C93">
        <w:instrText xml:space="preserve">." </w:instrText>
      </w:r>
      <w:r w:rsidRPr="00695C93">
        <w:fldChar w:fldCharType="end"/>
      </w:r>
      <w:r w:rsidR="003E774E" w:rsidRPr="00695C93">
        <w:instrText>" "</w:instrText>
      </w:r>
      <w:fldSimple w:instr=" STYLEREF &quot;Heading 6&quot; \l \n ">
        <w:r w:rsidR="003E774E" w:rsidRPr="00695C93">
          <w:instrText>B</w:instrText>
        </w:r>
      </w:fldSimple>
      <w:r w:rsidR="003E774E" w:rsidRPr="00695C93">
        <w:instrText xml:space="preserve">." </w:instrText>
      </w:r>
      <w:r w:rsidRPr="00695C93">
        <w:fldChar w:fldCharType="end"/>
      </w:r>
      <w:r w:rsidRPr="00695C93">
        <w:fldChar w:fldCharType="begin"/>
      </w:r>
      <w:r w:rsidR="003E774E" w:rsidRPr="00695C93">
        <w:instrText xml:space="preserve"> SEQ Item \* ARABIC \s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"1" </w:instrText>
      </w:r>
      <w:r w:rsidRPr="00695C93">
        <w:fldChar w:fldCharType="end"/>
      </w:r>
      <w:r w:rsidR="003E774E" w:rsidRPr="00695C93">
        <w:instrText xml:space="preserve">" "6" </w:instrText>
      </w:r>
      <w:r w:rsidRPr="00695C93">
        <w:fldChar w:fldCharType="end"/>
      </w:r>
      <w:r w:rsidR="003E774E" w:rsidRPr="00695C93">
        <w:instrText xml:space="preserve"> </w:instrText>
      </w:r>
      <w:r w:rsidRPr="00695C93">
        <w:fldChar w:fldCharType="separate"/>
      </w:r>
      <w:r w:rsidR="00D733F1">
        <w:rPr>
          <w:noProof/>
        </w:rPr>
        <w:instrText>2</w:instrText>
      </w:r>
      <w:r w:rsidRPr="00695C93">
        <w:fldChar w:fldCharType="end"/>
      </w:r>
      <w:r w:rsidR="003E774E" w:rsidRPr="00695C93">
        <w:instrText xml:space="preserve">" "" </w:instrText>
      </w:r>
      <w:r w:rsidRPr="00695C93">
        <w:fldChar w:fldCharType="separate"/>
      </w:r>
      <w:bookmarkStart w:id="46" w:name="_Caption7211"/>
      <w:bookmarkStart w:id="47" w:name="_Caption8985"/>
      <w:bookmarkStart w:id="48" w:name="_Caption9700"/>
      <w:bookmarkStart w:id="49" w:name="_Caption9011"/>
      <w:bookmarkStart w:id="50" w:name="_Caption7980"/>
      <w:bookmarkStart w:id="51" w:name="_Caption0001"/>
      <w:bookmarkStart w:id="52" w:name="_Caption9609"/>
      <w:bookmarkStart w:id="53" w:name="_Caption9979"/>
      <w:bookmarkStart w:id="54" w:name="_Caption8128"/>
      <w:bookmarkStart w:id="55" w:name="_Caption8594"/>
      <w:bookmarkStart w:id="56" w:name="_Caption8714"/>
      <w:bookmarkStart w:id="57" w:name="_Caption2749"/>
      <w:bookmarkStart w:id="58" w:name="_Caption5303"/>
      <w:bookmarkStart w:id="59" w:name="_Caption9002"/>
      <w:bookmarkStart w:id="60" w:name="_Caption8439"/>
      <w:bookmarkStart w:id="61" w:name="_Caption2526"/>
      <w:bookmarkStart w:id="62" w:name="_Caption9754"/>
      <w:bookmarkStart w:id="63" w:name="_Caption3288"/>
      <w:bookmarkStart w:id="64" w:name="_Caption9715"/>
      <w:bookmarkStart w:id="65" w:name="_Caption5110"/>
      <w:bookmarkStart w:id="66" w:name="_Caption4651"/>
      <w:bookmarkStart w:id="67" w:name="_Caption8669"/>
      <w:bookmarkStart w:id="68" w:name="_Caption6258"/>
      <w:bookmarkStart w:id="69" w:name="_Caption9239"/>
      <w:bookmarkStart w:id="70" w:name="_Caption8930"/>
      <w:bookmarkStart w:id="71" w:name="_Caption6997"/>
      <w:bookmarkStart w:id="72" w:name="_Caption3234"/>
      <w:bookmarkStart w:id="73" w:name="_Caption0539"/>
      <w:bookmarkStart w:id="74" w:name="_Caption1593"/>
      <w:bookmarkStart w:id="75" w:name="_Caption4287"/>
      <w:bookmarkStart w:id="76" w:name="_Caption1363"/>
      <w:bookmarkStart w:id="77" w:name="_Toc390427325"/>
      <w:r w:rsidR="00D733F1">
        <w:rPr>
          <w:noProof/>
        </w:rPr>
        <w:t>2</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95C93">
        <w:fldChar w:fldCharType="end"/>
      </w:r>
      <w:r w:rsidR="003E774E" w:rsidRPr="00695C93">
        <w:tab/>
      </w:r>
      <w:r w:rsidR="003E774E">
        <w:t>Comparison of Australian GDP growth forecasts</w:t>
      </w:r>
      <w:bookmarkEnd w:id="77"/>
    </w:p>
    <w:tbl>
      <w:tblPr>
        <w:tblW w:w="7938" w:type="dxa"/>
        <w:tblInd w:w="57" w:type="dxa"/>
        <w:tblLayout w:type="fixed"/>
        <w:tblLook w:val="0000"/>
      </w:tblPr>
      <w:tblGrid>
        <w:gridCol w:w="3833"/>
        <w:gridCol w:w="2052"/>
        <w:gridCol w:w="138"/>
        <w:gridCol w:w="1915"/>
      </w:tblGrid>
      <w:tr w:rsidR="002E17F7" w:rsidTr="009C75CC">
        <w:tc>
          <w:tcPr>
            <w:tcW w:w="3833" w:type="dxa"/>
            <w:shd w:val="clear" w:color="auto" w:fill="6F6652"/>
            <w:tcMar>
              <w:left w:w="57" w:type="dxa"/>
              <w:right w:w="57" w:type="dxa"/>
            </w:tcMar>
          </w:tcPr>
          <w:p w:rsidR="002E17F7" w:rsidRDefault="002E17F7" w:rsidP="009C75CC">
            <w:pPr>
              <w:pStyle w:val="TableDataColumnHeading"/>
              <w:jc w:val="left"/>
            </w:pPr>
          </w:p>
        </w:tc>
        <w:tc>
          <w:tcPr>
            <w:tcW w:w="2052" w:type="dxa"/>
            <w:shd w:val="clear" w:color="auto" w:fill="6F6652"/>
            <w:tcMar>
              <w:left w:w="57" w:type="dxa"/>
              <w:right w:w="57" w:type="dxa"/>
            </w:tcMar>
          </w:tcPr>
          <w:p w:rsidR="002E17F7" w:rsidRDefault="002E17F7" w:rsidP="009C75CC">
            <w:pPr>
              <w:pStyle w:val="TableDataColumnHeading"/>
            </w:pPr>
            <w:r>
              <w:t>2013-14</w:t>
            </w:r>
          </w:p>
        </w:tc>
        <w:tc>
          <w:tcPr>
            <w:tcW w:w="2053" w:type="dxa"/>
            <w:gridSpan w:val="2"/>
            <w:shd w:val="clear" w:color="auto" w:fill="6F6652"/>
          </w:tcPr>
          <w:p w:rsidR="002E17F7" w:rsidRDefault="002E17F7" w:rsidP="009C75CC">
            <w:pPr>
              <w:pStyle w:val="TableDataColumnHeading"/>
            </w:pPr>
            <w:r>
              <w:t>2014-15f</w:t>
            </w:r>
          </w:p>
        </w:tc>
      </w:tr>
      <w:tr w:rsidR="002E17F7" w:rsidTr="009C75CC">
        <w:tc>
          <w:tcPr>
            <w:tcW w:w="383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 xml:space="preserve">ACT Budget </w:t>
            </w:r>
          </w:p>
        </w:tc>
        <w:tc>
          <w:tcPr>
            <w:tcW w:w="2190"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2.75</w:t>
            </w:r>
          </w:p>
        </w:tc>
        <w:tc>
          <w:tcPr>
            <w:tcW w:w="1915"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2.5</w:t>
            </w:r>
          </w:p>
        </w:tc>
      </w:tr>
      <w:tr w:rsidR="002E17F7" w:rsidTr="009C75CC">
        <w:tc>
          <w:tcPr>
            <w:tcW w:w="383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Federal Budget</w:t>
            </w:r>
          </w:p>
        </w:tc>
        <w:tc>
          <w:tcPr>
            <w:tcW w:w="2190"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2.75</w:t>
            </w:r>
          </w:p>
        </w:tc>
        <w:tc>
          <w:tcPr>
            <w:tcW w:w="1915"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2.5</w:t>
            </w:r>
          </w:p>
        </w:tc>
      </w:tr>
      <w:tr w:rsidR="002E17F7" w:rsidTr="009C75CC">
        <w:tc>
          <w:tcPr>
            <w:tcW w:w="383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 xml:space="preserve">OECD forecast </w:t>
            </w:r>
          </w:p>
        </w:tc>
        <w:tc>
          <w:tcPr>
            <w:tcW w:w="2190"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2.5</w:t>
            </w:r>
          </w:p>
        </w:tc>
        <w:tc>
          <w:tcPr>
            <w:tcW w:w="1915" w:type="dxa"/>
            <w:tcBorders>
              <w:top w:val="single" w:sz="8" w:space="0" w:color="FFFFFF" w:themeColor="background1"/>
              <w:bottom w:val="single" w:sz="8" w:space="0" w:color="FFFFFF" w:themeColor="background1"/>
            </w:tcBorders>
            <w:shd w:val="clear" w:color="auto" w:fill="E9E8E5" w:themeFill="background2"/>
          </w:tcPr>
          <w:p w:rsidR="002E17F7" w:rsidRDefault="002E17F7" w:rsidP="009C75CC">
            <w:pPr>
              <w:pStyle w:val="TableDataEntries"/>
            </w:pPr>
            <w:r>
              <w:t>2.75</w:t>
            </w:r>
          </w:p>
        </w:tc>
      </w:tr>
      <w:tr w:rsidR="002E17F7" w:rsidTr="009C75CC">
        <w:tc>
          <w:tcPr>
            <w:tcW w:w="383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RBA forecast</w:t>
            </w:r>
          </w:p>
        </w:tc>
        <w:tc>
          <w:tcPr>
            <w:tcW w:w="2190"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2.75</w:t>
            </w:r>
          </w:p>
        </w:tc>
        <w:tc>
          <w:tcPr>
            <w:tcW w:w="1915" w:type="dxa"/>
            <w:tcBorders>
              <w:top w:val="single" w:sz="8" w:space="0" w:color="FFFFFF" w:themeColor="background1"/>
              <w:bottom w:val="single" w:sz="8" w:space="0" w:color="FFFFFF" w:themeColor="background1"/>
            </w:tcBorders>
            <w:shd w:val="clear" w:color="auto" w:fill="E9E8E5" w:themeFill="background2"/>
          </w:tcPr>
          <w:p w:rsidR="002E17F7" w:rsidRDefault="00B47215" w:rsidP="009C75CC">
            <w:pPr>
              <w:pStyle w:val="TableDataEntries"/>
            </w:pPr>
            <w:r>
              <w:t>2.25-</w:t>
            </w:r>
            <w:r w:rsidR="002E17F7">
              <w:t>3.25</w:t>
            </w:r>
          </w:p>
        </w:tc>
      </w:tr>
      <w:tr w:rsidR="002E17F7" w:rsidTr="009C75CC">
        <w:tc>
          <w:tcPr>
            <w:tcW w:w="3833" w:type="dxa"/>
            <w:tcBorders>
              <w:top w:val="single" w:sz="8" w:space="0" w:color="FFFFFF" w:themeColor="background1"/>
              <w:bottom w:val="single" w:sz="4" w:space="0" w:color="auto"/>
            </w:tcBorders>
            <w:shd w:val="clear" w:color="auto" w:fill="E9E8E5" w:themeFill="background2"/>
            <w:tcMar>
              <w:left w:w="57" w:type="dxa"/>
              <w:right w:w="57" w:type="dxa"/>
            </w:tcMar>
          </w:tcPr>
          <w:p w:rsidR="002E17F7" w:rsidRDefault="002E17F7" w:rsidP="009C75CC">
            <w:pPr>
              <w:pStyle w:val="TableDataEntries"/>
              <w:jc w:val="left"/>
            </w:pPr>
            <w:r>
              <w:t xml:space="preserve">IMF forecast </w:t>
            </w:r>
          </w:p>
        </w:tc>
        <w:tc>
          <w:tcPr>
            <w:tcW w:w="2190" w:type="dxa"/>
            <w:gridSpan w:val="2"/>
            <w:tcBorders>
              <w:top w:val="single" w:sz="8" w:space="0" w:color="FFFFFF" w:themeColor="background1"/>
              <w:bottom w:val="single" w:sz="4" w:space="0" w:color="auto"/>
            </w:tcBorders>
            <w:shd w:val="clear" w:color="auto" w:fill="E9E8E5" w:themeFill="background2"/>
            <w:tcMar>
              <w:left w:w="57" w:type="dxa"/>
              <w:right w:w="57" w:type="dxa"/>
            </w:tcMar>
          </w:tcPr>
          <w:p w:rsidR="002E17F7" w:rsidRDefault="002E17F7" w:rsidP="009C75CC">
            <w:pPr>
              <w:pStyle w:val="TableDataEntries"/>
            </w:pPr>
            <w:r>
              <w:t>2.5</w:t>
            </w:r>
          </w:p>
        </w:tc>
        <w:tc>
          <w:tcPr>
            <w:tcW w:w="1915" w:type="dxa"/>
            <w:tcBorders>
              <w:top w:val="single" w:sz="8" w:space="0" w:color="FFFFFF" w:themeColor="background1"/>
              <w:bottom w:val="single" w:sz="4" w:space="0" w:color="auto"/>
            </w:tcBorders>
            <w:shd w:val="clear" w:color="auto" w:fill="E9E8E5" w:themeFill="background2"/>
          </w:tcPr>
          <w:p w:rsidR="002E17F7" w:rsidRDefault="002E17F7" w:rsidP="009C75CC">
            <w:pPr>
              <w:pStyle w:val="TableDataEntries"/>
            </w:pPr>
            <w:r>
              <w:t>2.7</w:t>
            </w:r>
          </w:p>
        </w:tc>
      </w:tr>
    </w:tbl>
    <w:p w:rsidR="002E17F7" w:rsidRDefault="002E17F7" w:rsidP="002E17F7">
      <w:pPr>
        <w:pStyle w:val="Note"/>
      </w:pPr>
      <w:r>
        <w:t>Note: OECD and IMF estimates are average of the calendar year growth figures to produce financial year figures.</w:t>
      </w:r>
    </w:p>
    <w:p w:rsidR="002E17F7" w:rsidRDefault="002E17F7" w:rsidP="002E17F7">
      <w:pPr>
        <w:pStyle w:val="Source"/>
      </w:pPr>
      <w:r>
        <w:rPr>
          <w:i/>
        </w:rPr>
        <w:t>Source</w:t>
      </w:r>
      <w:r w:rsidRPr="00E4232C">
        <w:rPr>
          <w:i/>
        </w:rPr>
        <w:t>:</w:t>
      </w:r>
      <w:r>
        <w:t xml:space="preserve"> RBA Economic </w:t>
      </w:r>
      <w:proofErr w:type="gramStart"/>
      <w:r>
        <w:t>Outlook,</w:t>
      </w:r>
      <w:proofErr w:type="gramEnd"/>
      <w:r>
        <w:t xml:space="preserve"> May 2014. Treasury Budget 2014-15. OECD Real gross domestic product – forecasts, May 2014. IMF World Economic Outlook Database, April 2014.</w:t>
      </w:r>
    </w:p>
    <w:p w:rsidR="002E17F7" w:rsidRPr="0047079B" w:rsidRDefault="002E17F7" w:rsidP="002E17F7">
      <w:pPr>
        <w:pStyle w:val="BodyText"/>
        <w:rPr>
          <w:lang w:eastAsia="en-US"/>
        </w:rPr>
      </w:pPr>
      <w:r w:rsidRPr="0047079B">
        <w:rPr>
          <w:lang w:eastAsia="en-US"/>
        </w:rPr>
        <w:t xml:space="preserve">The growth trajectory of Australian GDP and the ACT </w:t>
      </w:r>
      <w:r>
        <w:rPr>
          <w:lang w:eastAsia="en-US"/>
        </w:rPr>
        <w:t>GSP</w:t>
      </w:r>
      <w:r w:rsidRPr="0047079B">
        <w:rPr>
          <w:lang w:eastAsia="en-US"/>
        </w:rPr>
        <w:t xml:space="preserve"> have been very similar over time (see chart</w:t>
      </w:r>
      <w:r w:rsidR="00FE1F43">
        <w:rPr>
          <w:lang w:eastAsia="en-US"/>
        </w:rPr>
        <w:t xml:space="preserve"> </w:t>
      </w:r>
      <w:r w:rsidR="00B40B86">
        <w:rPr>
          <w:lang w:eastAsia="en-US"/>
        </w:rPr>
        <w:fldChar w:fldCharType="begin"/>
      </w:r>
      <w:r w:rsidR="00FE1F43">
        <w:rPr>
          <w:lang w:eastAsia="en-US"/>
        </w:rPr>
        <w:instrText xml:space="preserve"> REF _Caption3863 </w:instrText>
      </w:r>
      <w:r w:rsidR="00B40B86">
        <w:rPr>
          <w:lang w:eastAsia="en-US"/>
        </w:rPr>
        <w:fldChar w:fldCharType="separate"/>
      </w:r>
      <w:r w:rsidR="00D733F1">
        <w:rPr>
          <w:noProof/>
        </w:rPr>
        <w:t>3</w:t>
      </w:r>
      <w:r w:rsidR="00B40B86">
        <w:rPr>
          <w:lang w:eastAsia="en-US"/>
        </w:rPr>
        <w:fldChar w:fldCharType="end"/>
      </w:r>
      <w:r w:rsidRPr="0047079B">
        <w:rPr>
          <w:lang w:eastAsia="en-US"/>
        </w:rPr>
        <w:t xml:space="preserve">). </w:t>
      </w:r>
      <w:r w:rsidRPr="0047079B">
        <w:t xml:space="preserve">However, a differential of 0.75 per cent between </w:t>
      </w:r>
      <w:r>
        <w:t>GSP</w:t>
      </w:r>
      <w:r w:rsidRPr="0047079B">
        <w:t xml:space="preserve"> and GDP is reasonably pronounced when compared with the historical differential between the economic </w:t>
      </w:r>
      <w:proofErr w:type="gramStart"/>
      <w:r w:rsidRPr="0047079B">
        <w:t>performance</w:t>
      </w:r>
      <w:proofErr w:type="gramEnd"/>
      <w:r w:rsidRPr="0047079B">
        <w:t xml:space="preserve"> of the ACT economy compared to the Australian economy as a whole.</w:t>
      </w:r>
      <w:r>
        <w:t xml:space="preserve"> </w:t>
      </w:r>
    </w:p>
    <w:p w:rsidR="002E17F7" w:rsidRDefault="002E17F7" w:rsidP="002E17F7">
      <w:pPr>
        <w:pStyle w:val="BodyText"/>
        <w:rPr>
          <w:lang w:eastAsia="en-US"/>
        </w:rPr>
      </w:pPr>
      <w:proofErr w:type="gramStart"/>
      <w:r>
        <w:rPr>
          <w:lang w:eastAsia="en-US"/>
        </w:rPr>
        <w:t>Hence</w:t>
      </w:r>
      <w:proofErr w:type="gramEnd"/>
      <w:r>
        <w:rPr>
          <w:lang w:eastAsia="en-US"/>
        </w:rPr>
        <w:t xml:space="preserve"> the ACT economy is expected to underperform the national level of growth. The mining states are expected to continue to perform above the national </w:t>
      </w:r>
      <w:proofErr w:type="gramStart"/>
      <w:r>
        <w:rPr>
          <w:lang w:eastAsia="en-US"/>
        </w:rPr>
        <w:t>average,</w:t>
      </w:r>
      <w:proofErr w:type="gramEnd"/>
      <w:r>
        <w:rPr>
          <w:lang w:eastAsia="en-US"/>
        </w:rPr>
        <w:t xml:space="preserve"> Queensland GSP is expected to grow 3 per cent in 2014-15 and 6 per cent in 2015-16, above the national averages of 2.5 and 3 per cent for those periods.</w:t>
      </w:r>
      <w:r w:rsidRPr="00824530">
        <w:rPr>
          <w:lang w:eastAsia="en-US"/>
        </w:rPr>
        <w:t xml:space="preserve"> </w:t>
      </w:r>
      <w:r>
        <w:rPr>
          <w:lang w:eastAsia="en-US"/>
        </w:rPr>
        <w:t>Cuts to the public service by the Commonwealth government are a significant downside risk to the economic outlook in the ACT.</w:t>
      </w:r>
    </w:p>
    <w:bookmarkStart w:id="78" w:name="_Toc390033557"/>
    <w:p w:rsidR="003E774E" w:rsidRPr="00695C93" w:rsidRDefault="00B40B86" w:rsidP="00284F89">
      <w:pPr>
        <w:pStyle w:val="Caption"/>
        <w:numPr>
          <w:ilvl w:val="0"/>
          <w:numId w:val="2"/>
        </w:numPr>
      </w:pPr>
      <w:r w:rsidRPr="00695C93">
        <w:lastRenderedPageBreak/>
        <w:fldChar w:fldCharType="begin"/>
      </w:r>
      <w:r w:rsidR="003E774E" w:rsidRPr="00695C93">
        <w:instrText xml:space="preserve"> IF 1 = 1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w:instrText>
      </w:r>
      <w:r>
        <w:fldChar w:fldCharType="begin"/>
      </w:r>
      <w:r w:rsidR="003E774E">
        <w:instrText xml:space="preserve"> STYLEREF "Heading 1" \l \n </w:instrText>
      </w:r>
      <w:r>
        <w:fldChar w:fldCharType="separate"/>
      </w:r>
      <w:r w:rsidR="003E774E">
        <w:rPr>
          <w:b/>
          <w:bCs/>
          <w:noProof/>
          <w:lang w:val="en-US"/>
        </w:rPr>
        <w:instrText>Error! No text of specified style in document.</w:instrText>
      </w:r>
      <w:r>
        <w:rPr>
          <w:noProof/>
        </w:rPr>
        <w:fldChar w:fldCharType="end"/>
      </w:r>
      <w:r w:rsidR="003E774E" w:rsidRPr="00695C93">
        <w:instrText xml:space="preserve">." </w:instrText>
      </w:r>
      <w:r w:rsidRPr="00695C93">
        <w:fldChar w:fldCharType="end"/>
      </w:r>
      <w:r w:rsidR="003E774E" w:rsidRPr="00695C93">
        <w:instrText>" "</w:instrText>
      </w:r>
      <w:fldSimple w:instr=" STYLEREF &quot;Heading 6&quot; \l \n ">
        <w:r w:rsidR="003E774E">
          <w:rPr>
            <w:noProof/>
          </w:rPr>
          <w:instrText>A</w:instrText>
        </w:r>
      </w:fldSimple>
      <w:r w:rsidR="003E774E" w:rsidRPr="00695C93">
        <w:instrText xml:space="preserve">." </w:instrText>
      </w:r>
      <w:r w:rsidRPr="00695C93">
        <w:fldChar w:fldCharType="end"/>
      </w:r>
      <w:r w:rsidRPr="00695C93">
        <w:fldChar w:fldCharType="begin"/>
      </w:r>
      <w:r w:rsidR="003E774E" w:rsidRPr="00695C93">
        <w:instrText xml:space="preserve"> SEQ Item \* ARABIC \s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"1" </w:instrText>
      </w:r>
      <w:r w:rsidRPr="00695C93">
        <w:fldChar w:fldCharType="end"/>
      </w:r>
      <w:r w:rsidR="003E774E" w:rsidRPr="00695C93">
        <w:instrText xml:space="preserve">" "6" </w:instrText>
      </w:r>
      <w:r w:rsidRPr="00695C93">
        <w:fldChar w:fldCharType="end"/>
      </w:r>
      <w:r w:rsidR="003E774E" w:rsidRPr="00695C93">
        <w:instrText xml:space="preserve"> </w:instrText>
      </w:r>
      <w:r w:rsidRPr="00695C93">
        <w:fldChar w:fldCharType="separate"/>
      </w:r>
      <w:r w:rsidR="00D733F1">
        <w:rPr>
          <w:noProof/>
        </w:rPr>
        <w:instrText>3</w:instrText>
      </w:r>
      <w:r w:rsidRPr="00695C93">
        <w:fldChar w:fldCharType="end"/>
      </w:r>
      <w:r w:rsidR="003E774E" w:rsidRPr="00695C93">
        <w:instrText xml:space="preserve">" "" </w:instrText>
      </w:r>
      <w:r w:rsidRPr="00695C93">
        <w:fldChar w:fldCharType="separate"/>
      </w:r>
      <w:bookmarkStart w:id="79" w:name="_Caption4386"/>
      <w:bookmarkStart w:id="80" w:name="_Caption8067"/>
      <w:bookmarkStart w:id="81" w:name="_Caption3863"/>
      <w:bookmarkStart w:id="82" w:name="_Caption2379"/>
      <w:bookmarkStart w:id="83" w:name="_Caption7810"/>
      <w:bookmarkStart w:id="84" w:name="_Caption3340"/>
      <w:bookmarkStart w:id="85" w:name="_Caption6783"/>
      <w:bookmarkStart w:id="86" w:name="_Caption1669"/>
      <w:bookmarkStart w:id="87" w:name="_Caption3320"/>
      <w:bookmarkStart w:id="88" w:name="_Caption6718"/>
      <w:bookmarkStart w:id="89" w:name="_Caption4647"/>
      <w:bookmarkStart w:id="90" w:name="_Caption5009"/>
      <w:bookmarkStart w:id="91" w:name="_Caption6116"/>
      <w:bookmarkStart w:id="92" w:name="_Caption6990"/>
      <w:bookmarkStart w:id="93" w:name="_Caption7174"/>
      <w:bookmarkStart w:id="94" w:name="_Caption3451"/>
      <w:bookmarkStart w:id="95" w:name="_Caption8673"/>
      <w:bookmarkStart w:id="96" w:name="_Caption9447"/>
      <w:bookmarkStart w:id="97" w:name="_Caption6892"/>
      <w:bookmarkStart w:id="98" w:name="_Caption3093"/>
      <w:bookmarkStart w:id="99" w:name="_Caption0174"/>
      <w:bookmarkStart w:id="100" w:name="_Caption3269"/>
      <w:bookmarkStart w:id="101" w:name="_Caption4264"/>
      <w:bookmarkStart w:id="102" w:name="_Caption9269"/>
      <w:bookmarkStart w:id="103" w:name="_Caption4166"/>
      <w:bookmarkStart w:id="104" w:name="_Caption1238"/>
      <w:bookmarkStart w:id="105" w:name="_Caption0119"/>
      <w:bookmarkStart w:id="106" w:name="_Caption9216"/>
      <w:bookmarkStart w:id="107" w:name="_Caption7813"/>
      <w:bookmarkStart w:id="108" w:name="_Caption5901"/>
      <w:bookmarkStart w:id="109" w:name="_Caption2504"/>
      <w:bookmarkStart w:id="110" w:name="_Toc390427326"/>
      <w:r w:rsidR="00D733F1">
        <w:rPr>
          <w:noProof/>
        </w:rPr>
        <w:t>3</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695C93">
        <w:fldChar w:fldCharType="end"/>
      </w:r>
      <w:r w:rsidR="003E774E" w:rsidRPr="00695C93">
        <w:tab/>
      </w:r>
      <w:r w:rsidR="003E774E">
        <w:t>Comparison of GSP growth between states</w:t>
      </w:r>
      <w:bookmarkEnd w:id="110"/>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2E17F7" w:rsidTr="009C75CC">
        <w:trPr>
          <w:cantSplit/>
        </w:trPr>
        <w:tc>
          <w:tcPr>
            <w:tcW w:w="7938" w:type="dxa"/>
            <w:shd w:val="clear" w:color="auto" w:fill="E9E8E5" w:themeFill="background2"/>
          </w:tcPr>
          <w:bookmarkEnd w:id="78"/>
          <w:p w:rsidR="002E17F7" w:rsidRDefault="002E17F7" w:rsidP="009C75CC">
            <w:pPr>
              <w:pStyle w:val="Chart"/>
              <w:jc w:val="center"/>
            </w:pPr>
            <w:r>
              <w:rPr>
                <w:noProof/>
                <w:lang w:eastAsia="en-AU"/>
              </w:rPr>
              <w:drawing>
                <wp:inline distT="0" distB="0" distL="0" distR="0">
                  <wp:extent cx="4857750" cy="253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0" cy="2533650"/>
                          </a:xfrm>
                          <a:prstGeom prst="rect">
                            <a:avLst/>
                          </a:prstGeom>
                          <a:noFill/>
                          <a:ln>
                            <a:noFill/>
                          </a:ln>
                        </pic:spPr>
                      </pic:pic>
                    </a:graphicData>
                  </a:graphic>
                </wp:inline>
              </w:drawing>
            </w:r>
          </w:p>
        </w:tc>
      </w:tr>
    </w:tbl>
    <w:p w:rsidR="002E17F7" w:rsidRDefault="002E17F7" w:rsidP="002E17F7">
      <w:pPr>
        <w:pStyle w:val="Source"/>
      </w:pPr>
      <w:proofErr w:type="gramStart"/>
      <w:r>
        <w:rPr>
          <w:i/>
        </w:rPr>
        <w:t>Data source</w:t>
      </w:r>
      <w:r w:rsidRPr="00A67576">
        <w:rPr>
          <w:i/>
        </w:rPr>
        <w:t>:</w:t>
      </w:r>
      <w:r>
        <w:t xml:space="preserve"> </w:t>
      </w:r>
      <w:r w:rsidRPr="0052741F">
        <w:t xml:space="preserve">Australian Bureau of Statistics Mar 2014, </w:t>
      </w:r>
      <w:r w:rsidRPr="0052741F">
        <w:rPr>
          <w:i/>
          <w:iCs/>
        </w:rPr>
        <w:t>Australian National Accounts,</w:t>
      </w:r>
      <w:r w:rsidRPr="0052741F">
        <w:t xml:space="preserve"> Cat.</w:t>
      </w:r>
      <w:proofErr w:type="gramEnd"/>
      <w:r w:rsidRPr="0052741F">
        <w:t xml:space="preserve"> </w:t>
      </w:r>
      <w:proofErr w:type="gramStart"/>
      <w:r w:rsidRPr="0052741F">
        <w:t>No. 5206.0, ABS, Canberra.</w:t>
      </w:r>
      <w:proofErr w:type="gramEnd"/>
    </w:p>
    <w:p w:rsidR="002E17F7" w:rsidRPr="00E1490F" w:rsidRDefault="002E17F7" w:rsidP="002E17F7">
      <w:pPr>
        <w:pStyle w:val="BodyText"/>
        <w:rPr>
          <w:lang w:eastAsia="en-US"/>
        </w:rPr>
      </w:pPr>
      <w:r w:rsidRPr="00E1490F">
        <w:rPr>
          <w:lang w:eastAsia="en-US"/>
        </w:rPr>
        <w:t xml:space="preserve">The </w:t>
      </w:r>
      <w:r>
        <w:rPr>
          <w:lang w:eastAsia="en-US"/>
        </w:rPr>
        <w:t xml:space="preserve">forecast of moderating </w:t>
      </w:r>
      <w:r w:rsidRPr="00E1490F">
        <w:rPr>
          <w:lang w:eastAsia="en-US"/>
        </w:rPr>
        <w:t xml:space="preserve">growth </w:t>
      </w:r>
      <w:r>
        <w:rPr>
          <w:lang w:eastAsia="en-US"/>
        </w:rPr>
        <w:t>in ACT GSP</w:t>
      </w:r>
      <w:r w:rsidRPr="00E1490F">
        <w:rPr>
          <w:lang w:eastAsia="en-US"/>
        </w:rPr>
        <w:t xml:space="preserve"> </w:t>
      </w:r>
      <w:proofErr w:type="gramStart"/>
      <w:r>
        <w:rPr>
          <w:lang w:eastAsia="en-US"/>
        </w:rPr>
        <w:t>is believed</w:t>
      </w:r>
      <w:proofErr w:type="gramEnd"/>
      <w:r>
        <w:rPr>
          <w:lang w:eastAsia="en-US"/>
        </w:rPr>
        <w:t xml:space="preserve"> to be reasonable, given several important</w:t>
      </w:r>
      <w:r w:rsidR="00FE1F43">
        <w:rPr>
          <w:lang w:eastAsia="en-US"/>
        </w:rPr>
        <w:t xml:space="preserve"> </w:t>
      </w:r>
      <w:r w:rsidRPr="00E1490F">
        <w:rPr>
          <w:lang w:eastAsia="en-US"/>
        </w:rPr>
        <w:t xml:space="preserve">risks </w:t>
      </w:r>
      <w:r>
        <w:rPr>
          <w:lang w:eastAsia="en-US"/>
        </w:rPr>
        <w:t>that will affect</w:t>
      </w:r>
      <w:r w:rsidRPr="00E1490F">
        <w:rPr>
          <w:lang w:eastAsia="en-US"/>
        </w:rPr>
        <w:t xml:space="preserve"> the ACT economy in 201</w:t>
      </w:r>
      <w:r>
        <w:rPr>
          <w:lang w:eastAsia="en-US"/>
        </w:rPr>
        <w:t>4</w:t>
      </w:r>
      <w:r w:rsidRPr="00E1490F">
        <w:rPr>
          <w:lang w:eastAsia="en-US"/>
        </w:rPr>
        <w:t>-1</w:t>
      </w:r>
      <w:r>
        <w:rPr>
          <w:lang w:eastAsia="en-US"/>
        </w:rPr>
        <w:t>5</w:t>
      </w:r>
      <w:r w:rsidRPr="00E1490F">
        <w:rPr>
          <w:lang w:eastAsia="en-US"/>
        </w:rPr>
        <w:t xml:space="preserve">: </w:t>
      </w:r>
    </w:p>
    <w:p w:rsidR="002E17F7" w:rsidRPr="00D40F72" w:rsidRDefault="002E17F7" w:rsidP="00284F89">
      <w:pPr>
        <w:pStyle w:val="ListBullet"/>
        <w:numPr>
          <w:ilvl w:val="0"/>
          <w:numId w:val="4"/>
        </w:numPr>
        <w:rPr>
          <w:lang w:eastAsia="en-US"/>
        </w:rPr>
      </w:pPr>
      <w:proofErr w:type="gramStart"/>
      <w:r>
        <w:rPr>
          <w:i/>
          <w:lang w:eastAsia="en-US"/>
        </w:rPr>
        <w:t>decreased</w:t>
      </w:r>
      <w:proofErr w:type="gramEnd"/>
      <w:r>
        <w:rPr>
          <w:i/>
          <w:lang w:eastAsia="en-US"/>
        </w:rPr>
        <w:t xml:space="preserve"> Commonwealth expenditure and cuts to the public service</w:t>
      </w:r>
      <w:r>
        <w:rPr>
          <w:lang w:eastAsia="en-US"/>
        </w:rPr>
        <w:t xml:space="preserve">. </w:t>
      </w:r>
      <w:proofErr w:type="spellStart"/>
      <w:r>
        <w:rPr>
          <w:lang w:eastAsia="en-US"/>
        </w:rPr>
        <w:t>Contractionary</w:t>
      </w:r>
      <w:proofErr w:type="spellEnd"/>
      <w:r>
        <w:rPr>
          <w:lang w:eastAsia="en-US"/>
        </w:rPr>
        <w:t xml:space="preserve"> fiscal policy at the Federal level is likely to constrain economic growth of the territory, with public service cuts having a particular effect on the ACT, for which about one third of GSP </w:t>
      </w:r>
      <w:proofErr w:type="gramStart"/>
      <w:r>
        <w:rPr>
          <w:lang w:eastAsia="en-US"/>
        </w:rPr>
        <w:t>is accounted for</w:t>
      </w:r>
      <w:proofErr w:type="gramEnd"/>
      <w:r>
        <w:rPr>
          <w:lang w:eastAsia="en-US"/>
        </w:rPr>
        <w:t xml:space="preserve"> by the public sector. Cuts to the public sector affect employment growth and </w:t>
      </w:r>
      <w:proofErr w:type="gramStart"/>
      <w:r>
        <w:rPr>
          <w:lang w:eastAsia="en-US"/>
        </w:rPr>
        <w:t>may be expected</w:t>
      </w:r>
      <w:proofErr w:type="gramEnd"/>
      <w:r>
        <w:rPr>
          <w:lang w:eastAsia="en-US"/>
        </w:rPr>
        <w:t xml:space="preserve"> to lead to an increase in the net migration outflow of the ACT.</w:t>
      </w:r>
    </w:p>
    <w:p w:rsidR="002E17F7" w:rsidRPr="00E1490F" w:rsidRDefault="002E17F7" w:rsidP="00284F89">
      <w:pPr>
        <w:pStyle w:val="ListBullet"/>
        <w:numPr>
          <w:ilvl w:val="0"/>
          <w:numId w:val="4"/>
        </w:numPr>
        <w:rPr>
          <w:lang w:eastAsia="en-US"/>
        </w:rPr>
      </w:pPr>
      <w:proofErr w:type="gramStart"/>
      <w:r w:rsidRPr="00E1490F">
        <w:rPr>
          <w:i/>
          <w:lang w:eastAsia="en-US"/>
        </w:rPr>
        <w:t>low</w:t>
      </w:r>
      <w:proofErr w:type="gramEnd"/>
      <w:r w:rsidRPr="00E1490F">
        <w:rPr>
          <w:i/>
          <w:lang w:eastAsia="en-US"/>
        </w:rPr>
        <w:t xml:space="preserve"> employment growth</w:t>
      </w:r>
      <w:r w:rsidRPr="00E1490F">
        <w:rPr>
          <w:lang w:eastAsia="en-US"/>
        </w:rPr>
        <w:t xml:space="preserve">. The Budget factors in </w:t>
      </w:r>
      <w:r>
        <w:rPr>
          <w:lang w:eastAsia="en-US"/>
        </w:rPr>
        <w:t>weaker</w:t>
      </w:r>
      <w:r w:rsidRPr="00E1490F">
        <w:rPr>
          <w:lang w:eastAsia="en-US"/>
        </w:rPr>
        <w:t xml:space="preserve"> employment growth, forecast at 0.</w:t>
      </w:r>
      <w:r>
        <w:rPr>
          <w:lang w:eastAsia="en-US"/>
        </w:rPr>
        <w:t>5</w:t>
      </w:r>
      <w:r w:rsidRPr="00E1490F">
        <w:rPr>
          <w:lang w:eastAsia="en-US"/>
        </w:rPr>
        <w:t xml:space="preserve"> per cent in 201</w:t>
      </w:r>
      <w:r>
        <w:rPr>
          <w:lang w:eastAsia="en-US"/>
        </w:rPr>
        <w:t>4</w:t>
      </w:r>
      <w:r w:rsidRPr="00E1490F">
        <w:rPr>
          <w:lang w:eastAsia="en-US"/>
        </w:rPr>
        <w:t>-1</w:t>
      </w:r>
      <w:r>
        <w:rPr>
          <w:lang w:eastAsia="en-US"/>
        </w:rPr>
        <w:t>5</w:t>
      </w:r>
      <w:r w:rsidRPr="00E1490F">
        <w:rPr>
          <w:lang w:eastAsia="en-US"/>
        </w:rPr>
        <w:t xml:space="preserve">, compared to actual growth of </w:t>
      </w:r>
      <w:r>
        <w:rPr>
          <w:lang w:eastAsia="en-US"/>
        </w:rPr>
        <w:t>1.9</w:t>
      </w:r>
      <w:r w:rsidRPr="00E1490F">
        <w:rPr>
          <w:lang w:eastAsia="en-US"/>
        </w:rPr>
        <w:t> per cent in 201</w:t>
      </w:r>
      <w:r>
        <w:rPr>
          <w:lang w:eastAsia="en-US"/>
        </w:rPr>
        <w:t>2-13 and forecast growth of 0.75</w:t>
      </w:r>
      <w:r w:rsidRPr="00E1490F">
        <w:rPr>
          <w:lang w:eastAsia="en-US"/>
        </w:rPr>
        <w:t> per cent in 201</w:t>
      </w:r>
      <w:r>
        <w:rPr>
          <w:lang w:eastAsia="en-US"/>
        </w:rPr>
        <w:t>3</w:t>
      </w:r>
      <w:r w:rsidRPr="00E1490F">
        <w:rPr>
          <w:lang w:eastAsia="en-US"/>
        </w:rPr>
        <w:t>-1</w:t>
      </w:r>
      <w:r>
        <w:rPr>
          <w:lang w:eastAsia="en-US"/>
        </w:rPr>
        <w:t>4</w:t>
      </w:r>
      <w:r w:rsidRPr="00E1490F">
        <w:rPr>
          <w:lang w:eastAsia="en-US"/>
        </w:rPr>
        <w:t xml:space="preserve">. The growth projections are at the lower end of employment growth rates realised over the past decade, which have ranged between 0.25 and 4.5 per cent. </w:t>
      </w:r>
      <w:r>
        <w:rPr>
          <w:lang w:eastAsia="en-US"/>
        </w:rPr>
        <w:t>The downward trend in employment growth is due to coincident difficulties in the public and private sector, with the construction sector in particular experiencing job losses.</w:t>
      </w:r>
    </w:p>
    <w:p w:rsidR="002E17F7" w:rsidRDefault="002E17F7" w:rsidP="00284F89">
      <w:pPr>
        <w:pStyle w:val="ListBullet"/>
        <w:numPr>
          <w:ilvl w:val="0"/>
          <w:numId w:val="4"/>
        </w:numPr>
        <w:rPr>
          <w:lang w:eastAsia="en-US"/>
        </w:rPr>
      </w:pPr>
      <w:proofErr w:type="gramStart"/>
      <w:r w:rsidRPr="00E1490F">
        <w:rPr>
          <w:i/>
          <w:lang w:eastAsia="en-US"/>
        </w:rPr>
        <w:t>lower</w:t>
      </w:r>
      <w:proofErr w:type="gramEnd"/>
      <w:r w:rsidRPr="00E1490F">
        <w:rPr>
          <w:i/>
          <w:lang w:eastAsia="en-US"/>
        </w:rPr>
        <w:t xml:space="preserve"> levels of investment and consumption</w:t>
      </w:r>
      <w:r w:rsidRPr="00E1490F">
        <w:rPr>
          <w:lang w:eastAsia="en-US"/>
        </w:rPr>
        <w:t xml:space="preserve">. State Final Demand (SFD) </w:t>
      </w:r>
      <w:proofErr w:type="gramStart"/>
      <w:r w:rsidRPr="00E1490F">
        <w:rPr>
          <w:lang w:eastAsia="en-US"/>
        </w:rPr>
        <w:t>is forecast</w:t>
      </w:r>
      <w:proofErr w:type="gramEnd"/>
      <w:r w:rsidRPr="00E1490F">
        <w:rPr>
          <w:lang w:eastAsia="en-US"/>
        </w:rPr>
        <w:t xml:space="preserve"> to grow by </w:t>
      </w:r>
      <w:r>
        <w:rPr>
          <w:lang w:eastAsia="en-US"/>
        </w:rPr>
        <w:t>1</w:t>
      </w:r>
      <w:r w:rsidRPr="00E1490F">
        <w:rPr>
          <w:lang w:eastAsia="en-US"/>
        </w:rPr>
        <w:t xml:space="preserve">.25 per cent in 2013-14, compared to </w:t>
      </w:r>
      <w:r>
        <w:rPr>
          <w:lang w:eastAsia="en-US"/>
        </w:rPr>
        <w:t>1</w:t>
      </w:r>
      <w:r w:rsidRPr="00E1490F">
        <w:rPr>
          <w:lang w:eastAsia="en-US"/>
        </w:rPr>
        <w:t>.75 per cent in 201</w:t>
      </w:r>
      <w:r>
        <w:rPr>
          <w:lang w:eastAsia="en-US"/>
        </w:rPr>
        <w:t>3</w:t>
      </w:r>
      <w:r w:rsidRPr="00E1490F">
        <w:rPr>
          <w:lang w:eastAsia="en-US"/>
        </w:rPr>
        <w:t>-1</w:t>
      </w:r>
      <w:r>
        <w:rPr>
          <w:lang w:eastAsia="en-US"/>
        </w:rPr>
        <w:t>4</w:t>
      </w:r>
      <w:r w:rsidRPr="00E1490F">
        <w:rPr>
          <w:lang w:eastAsia="en-US"/>
        </w:rPr>
        <w:t xml:space="preserve">. </w:t>
      </w:r>
      <w:r>
        <w:rPr>
          <w:lang w:eastAsia="en-US"/>
        </w:rPr>
        <w:t>SFD figures for the past three years have been substantially below historical levels.</w:t>
      </w:r>
    </w:p>
    <w:p w:rsidR="002E17F7" w:rsidRPr="003A3C79" w:rsidRDefault="002E17F7" w:rsidP="00284F89">
      <w:pPr>
        <w:pStyle w:val="Heading2"/>
        <w:numPr>
          <w:ilvl w:val="1"/>
          <w:numId w:val="1"/>
        </w:numPr>
        <w:rPr>
          <w:lang w:eastAsia="en-US"/>
        </w:rPr>
      </w:pPr>
      <w:bookmarkStart w:id="111" w:name="_Toc358813421"/>
      <w:bookmarkStart w:id="112" w:name="_Toc390033552"/>
      <w:bookmarkStart w:id="113" w:name="_Toc390427294"/>
      <w:r w:rsidRPr="003A3C79">
        <w:rPr>
          <w:lang w:eastAsia="en-US"/>
        </w:rPr>
        <w:t>Employment growth</w:t>
      </w:r>
      <w:bookmarkEnd w:id="111"/>
      <w:bookmarkEnd w:id="112"/>
      <w:bookmarkEnd w:id="113"/>
    </w:p>
    <w:p w:rsidR="002E17F7" w:rsidRDefault="002E17F7" w:rsidP="002E17F7">
      <w:pPr>
        <w:pStyle w:val="BodyText"/>
        <w:rPr>
          <w:lang w:eastAsia="en-US"/>
        </w:rPr>
      </w:pPr>
      <w:r>
        <w:rPr>
          <w:lang w:eastAsia="en-US"/>
        </w:rPr>
        <w:t xml:space="preserve">ACT </w:t>
      </w:r>
      <w:r w:rsidRPr="003A3C79">
        <w:rPr>
          <w:lang w:eastAsia="en-US"/>
        </w:rPr>
        <w:t xml:space="preserve">Employment growth </w:t>
      </w:r>
      <w:r>
        <w:rPr>
          <w:lang w:eastAsia="en-US"/>
        </w:rPr>
        <w:t>has significantly declined from 1.9 per cent g</w:t>
      </w:r>
      <w:r w:rsidR="00812659">
        <w:rPr>
          <w:lang w:eastAsia="en-US"/>
        </w:rPr>
        <w:t>rowth in total employed persons</w:t>
      </w:r>
      <w:r w:rsidRPr="003A3C79">
        <w:rPr>
          <w:lang w:eastAsia="en-US"/>
        </w:rPr>
        <w:t xml:space="preserve"> </w:t>
      </w:r>
      <w:r>
        <w:rPr>
          <w:lang w:eastAsia="en-US"/>
        </w:rPr>
        <w:t xml:space="preserve">in 2012-13 to forecast growth of 0.75 per cent and 0.5 per cent in 2013-14 and 2014-15 respectively. Worsening employment growth </w:t>
      </w:r>
      <w:proofErr w:type="gramStart"/>
      <w:r>
        <w:rPr>
          <w:lang w:eastAsia="en-US"/>
        </w:rPr>
        <w:t>is expected</w:t>
      </w:r>
      <w:proofErr w:type="gramEnd"/>
      <w:r>
        <w:rPr>
          <w:lang w:eastAsia="en-US"/>
        </w:rPr>
        <w:t xml:space="preserve"> because of sluggish economic growth and </w:t>
      </w:r>
      <w:proofErr w:type="spellStart"/>
      <w:r>
        <w:rPr>
          <w:lang w:eastAsia="en-US"/>
        </w:rPr>
        <w:t>contractionary</w:t>
      </w:r>
      <w:proofErr w:type="spellEnd"/>
      <w:r>
        <w:rPr>
          <w:lang w:eastAsia="en-US"/>
        </w:rPr>
        <w:t xml:space="preserve"> fiscal policy at a federal level. In particular, 6500 jobs in the ACT </w:t>
      </w:r>
      <w:proofErr w:type="gramStart"/>
      <w:r>
        <w:rPr>
          <w:lang w:eastAsia="en-US"/>
        </w:rPr>
        <w:t>are estimated to be cut</w:t>
      </w:r>
      <w:proofErr w:type="gramEnd"/>
      <w:r>
        <w:rPr>
          <w:lang w:eastAsia="en-US"/>
        </w:rPr>
        <w:t xml:space="preserve"> from the APS.</w:t>
      </w:r>
    </w:p>
    <w:p w:rsidR="002E17F7" w:rsidRDefault="002E17F7" w:rsidP="002E17F7">
      <w:pPr>
        <w:pStyle w:val="BodyText"/>
        <w:rPr>
          <w:lang w:eastAsia="en-US"/>
        </w:rPr>
      </w:pPr>
      <w:r>
        <w:rPr>
          <w:lang w:eastAsia="en-US"/>
        </w:rPr>
        <w:lastRenderedPageBreak/>
        <w:t xml:space="preserve">Slowing employment growth is plausible, with the uncertainty created by the Federal Budget likely to impact on consumer confidence and lead to wider labour market impacts, affecting </w:t>
      </w:r>
      <w:proofErr w:type="gramStart"/>
      <w:r>
        <w:rPr>
          <w:lang w:eastAsia="en-US"/>
        </w:rPr>
        <w:t>business hiring</w:t>
      </w:r>
      <w:proofErr w:type="gramEnd"/>
      <w:r>
        <w:rPr>
          <w:lang w:eastAsia="en-US"/>
        </w:rPr>
        <w:t xml:space="preserve"> decisions and delaying recruitment plans. </w:t>
      </w:r>
    </w:p>
    <w:p w:rsidR="002E17F7" w:rsidRDefault="002E17F7" w:rsidP="002E17F7">
      <w:pPr>
        <w:pStyle w:val="BodyText"/>
        <w:rPr>
          <w:lang w:eastAsia="en-US"/>
        </w:rPr>
      </w:pPr>
      <w:r>
        <w:rPr>
          <w:lang w:eastAsia="en-US"/>
        </w:rPr>
        <w:t>ACT unemployment is at historically low levels and is significantly lower than the national level. The ACT unemployment rate in April 2014 was 3.6 per cent, which is substantially lower than the national level of 5.9 per cent.</w:t>
      </w:r>
      <w:r>
        <w:rPr>
          <w:rStyle w:val="FootnoteReference"/>
          <w:lang w:eastAsia="en-US"/>
        </w:rPr>
        <w:footnoteReference w:id="2"/>
      </w:r>
      <w:r>
        <w:rPr>
          <w:lang w:eastAsia="en-US"/>
        </w:rPr>
        <w:t xml:space="preserve"> </w:t>
      </w:r>
    </w:p>
    <w:p w:rsidR="002E17F7" w:rsidRDefault="002E17F7" w:rsidP="002E17F7">
      <w:pPr>
        <w:pStyle w:val="BodyText"/>
        <w:rPr>
          <w:lang w:eastAsia="en-US"/>
        </w:rPr>
      </w:pPr>
      <w:r>
        <w:rPr>
          <w:lang w:eastAsia="en-US"/>
        </w:rPr>
        <w:t xml:space="preserve">ACT Budget expenditure including capital works may have a diminished positive impact on employment because of inter-state leakage of benefits of expenditure. For example, the Capital Metro may create jobs, but there may be significant imports required for the project, which represents a leakage of expenditure to other states/overseas. It is efficient for the ACT government to source inputs for capital works projects from best-value sources, rather than choosing more costly options simply because they are from within the ACT (or Australia more generally). </w:t>
      </w:r>
    </w:p>
    <w:p w:rsidR="002E17F7" w:rsidRDefault="002E17F7" w:rsidP="002E17F7">
      <w:pPr>
        <w:pStyle w:val="BodyText"/>
        <w:rPr>
          <w:lang w:eastAsia="en-US"/>
        </w:rPr>
      </w:pPr>
      <w:r>
        <w:rPr>
          <w:lang w:eastAsia="en-US"/>
        </w:rPr>
        <w:t xml:space="preserve">Expenditure on capital works will benefit the construction industry, which is currently experiencing a contraction due to the completion of existing projects (such as the Ben Chifley (ASIO) building) and the decline in the value of work to be completed. If changes in the construction sector are temporary, stimulatory spending could be effective counter-cyclical policy. It is not clear that changes in the construction industry are temporary or warrant counter-cyclical expenditure. The benefits of smoothing employment in the construction sector </w:t>
      </w:r>
      <w:proofErr w:type="gramStart"/>
      <w:r>
        <w:rPr>
          <w:lang w:eastAsia="en-US"/>
        </w:rPr>
        <w:t>may be outweighed</w:t>
      </w:r>
      <w:proofErr w:type="gramEnd"/>
      <w:r>
        <w:rPr>
          <w:lang w:eastAsia="en-US"/>
        </w:rPr>
        <w:t xml:space="preserve"> by the costs of inefficient spending. </w:t>
      </w:r>
    </w:p>
    <w:p w:rsidR="002E17F7" w:rsidRDefault="002E17F7" w:rsidP="002E17F7">
      <w:pPr>
        <w:pStyle w:val="BodyText"/>
        <w:rPr>
          <w:lang w:eastAsia="en-US"/>
        </w:rPr>
      </w:pPr>
      <w:r>
        <w:rPr>
          <w:lang w:eastAsia="en-US"/>
        </w:rPr>
        <w:t xml:space="preserve">For example, with regard to the residential building market, The Budget argues that dwelling investment has been at record high levels. This would indicate that recent softening in dwelling investment is bringing it to long-term average levels, rather than it being a temporary shock to the construction </w:t>
      </w:r>
      <w:proofErr w:type="gramStart"/>
      <w:r>
        <w:rPr>
          <w:lang w:eastAsia="en-US"/>
        </w:rPr>
        <w:t>sector which</w:t>
      </w:r>
      <w:proofErr w:type="gramEnd"/>
      <w:r>
        <w:rPr>
          <w:lang w:eastAsia="en-US"/>
        </w:rPr>
        <w:t xml:space="preserve"> should be corrected for by government expenditure.</w:t>
      </w:r>
    </w:p>
    <w:p w:rsidR="002E17F7" w:rsidRPr="003A3C79" w:rsidRDefault="002E17F7" w:rsidP="002E17F7">
      <w:pPr>
        <w:pStyle w:val="BodyText"/>
        <w:rPr>
          <w:lang w:eastAsia="en-US"/>
        </w:rPr>
      </w:pPr>
      <w:r w:rsidRPr="003A3C79">
        <w:rPr>
          <w:lang w:eastAsia="en-US"/>
        </w:rPr>
        <w:t xml:space="preserve">Savings </w:t>
      </w:r>
      <w:proofErr w:type="gramStart"/>
      <w:r w:rsidRPr="003A3C79">
        <w:rPr>
          <w:lang w:eastAsia="en-US"/>
        </w:rPr>
        <w:t xml:space="preserve">measures which reduce physical service deliver (e.g. </w:t>
      </w:r>
      <w:proofErr w:type="spellStart"/>
      <w:r w:rsidRPr="003A3C79">
        <w:rPr>
          <w:lang w:eastAsia="en-US"/>
        </w:rPr>
        <w:t>iConnect</w:t>
      </w:r>
      <w:proofErr w:type="spellEnd"/>
      <w:r w:rsidRPr="003A3C79">
        <w:rPr>
          <w:lang w:eastAsia="en-US"/>
        </w:rPr>
        <w:t>)</w:t>
      </w:r>
      <w:proofErr w:type="gramEnd"/>
      <w:r w:rsidRPr="003A3C79">
        <w:rPr>
          <w:lang w:eastAsia="en-US"/>
        </w:rPr>
        <w:t xml:space="preserve"> may have negative consequences for unemployment. However, the </w:t>
      </w:r>
      <w:r>
        <w:rPr>
          <w:lang w:eastAsia="en-US"/>
        </w:rPr>
        <w:t>replacement</w:t>
      </w:r>
      <w:r w:rsidRPr="003A3C79">
        <w:rPr>
          <w:lang w:eastAsia="en-US"/>
        </w:rPr>
        <w:t xml:space="preserve"> of relatively low skilled </w:t>
      </w:r>
      <w:r>
        <w:rPr>
          <w:lang w:eastAsia="en-US"/>
        </w:rPr>
        <w:t>work</w:t>
      </w:r>
      <w:r w:rsidRPr="003A3C79">
        <w:rPr>
          <w:lang w:eastAsia="en-US"/>
        </w:rPr>
        <w:t xml:space="preserve"> related to interaction with recipients of government services at physical locations </w:t>
      </w:r>
      <w:proofErr w:type="gramStart"/>
      <w:r w:rsidRPr="003A3C79">
        <w:rPr>
          <w:lang w:eastAsia="en-US"/>
        </w:rPr>
        <w:t>may be balanced</w:t>
      </w:r>
      <w:proofErr w:type="gramEnd"/>
      <w:r w:rsidRPr="003A3C79">
        <w:rPr>
          <w:lang w:eastAsia="en-US"/>
        </w:rPr>
        <w:t xml:space="preserve"> by the high-skilled ICT </w:t>
      </w:r>
      <w:r>
        <w:rPr>
          <w:lang w:eastAsia="en-US"/>
        </w:rPr>
        <w:t>work</w:t>
      </w:r>
      <w:r w:rsidRPr="003A3C79">
        <w:rPr>
          <w:lang w:eastAsia="en-US"/>
        </w:rPr>
        <w:t xml:space="preserve"> created by such savings programs. </w:t>
      </w:r>
      <w:proofErr w:type="gramStart"/>
      <w:r w:rsidRPr="003A3C79">
        <w:rPr>
          <w:lang w:eastAsia="en-US"/>
        </w:rPr>
        <w:t>Th</w:t>
      </w:r>
      <w:r>
        <w:rPr>
          <w:lang w:eastAsia="en-US"/>
        </w:rPr>
        <w:t>is</w:t>
      </w:r>
      <w:r w:rsidRPr="003A3C79">
        <w:rPr>
          <w:lang w:eastAsia="en-US"/>
        </w:rPr>
        <w:t xml:space="preserve"> </w:t>
      </w:r>
      <w:r>
        <w:rPr>
          <w:lang w:eastAsia="en-US"/>
        </w:rPr>
        <w:t>work</w:t>
      </w:r>
      <w:r w:rsidRPr="003A3C79">
        <w:rPr>
          <w:lang w:eastAsia="en-US"/>
        </w:rPr>
        <w:t xml:space="preserve"> may not necessarily be </w:t>
      </w:r>
      <w:r>
        <w:rPr>
          <w:lang w:eastAsia="en-US"/>
        </w:rPr>
        <w:t>performed by people located</w:t>
      </w:r>
      <w:r w:rsidRPr="003A3C79">
        <w:rPr>
          <w:lang w:eastAsia="en-US"/>
        </w:rPr>
        <w:t xml:space="preserve"> in the ACT</w:t>
      </w:r>
      <w:proofErr w:type="gramEnd"/>
      <w:r w:rsidRPr="003A3C79">
        <w:rPr>
          <w:lang w:eastAsia="en-US"/>
        </w:rPr>
        <w:t>, and thus there is some leakage of the benefits of these programs to the States.</w:t>
      </w:r>
    </w:p>
    <w:p w:rsidR="002E17F7" w:rsidRPr="00ED6AEF" w:rsidRDefault="002E17F7" w:rsidP="00284F89">
      <w:pPr>
        <w:pStyle w:val="Heading2"/>
        <w:numPr>
          <w:ilvl w:val="1"/>
          <w:numId w:val="1"/>
        </w:numPr>
        <w:rPr>
          <w:lang w:eastAsia="en-US"/>
        </w:rPr>
      </w:pPr>
      <w:bookmarkStart w:id="114" w:name="_Toc358813422"/>
      <w:bookmarkStart w:id="115" w:name="_Toc390033553"/>
      <w:bookmarkStart w:id="116" w:name="_Toc390427295"/>
      <w:r w:rsidRPr="00ED6AEF">
        <w:rPr>
          <w:lang w:eastAsia="en-US"/>
        </w:rPr>
        <w:t>Outlook for inflation and wage growth</w:t>
      </w:r>
      <w:bookmarkEnd w:id="114"/>
      <w:bookmarkEnd w:id="115"/>
      <w:bookmarkEnd w:id="116"/>
    </w:p>
    <w:p w:rsidR="002E17F7" w:rsidRPr="00ED6AEF" w:rsidRDefault="002E17F7" w:rsidP="002E17F7">
      <w:pPr>
        <w:pStyle w:val="BodyText"/>
      </w:pPr>
      <w:r w:rsidRPr="00ED6AEF">
        <w:rPr>
          <w:lang w:eastAsia="en-US"/>
        </w:rPr>
        <w:t xml:space="preserve">Inflation </w:t>
      </w:r>
      <w:proofErr w:type="gramStart"/>
      <w:r w:rsidRPr="00ED6AEF">
        <w:rPr>
          <w:lang w:eastAsia="en-US"/>
        </w:rPr>
        <w:t>is expected to be well contained</w:t>
      </w:r>
      <w:proofErr w:type="gramEnd"/>
      <w:r w:rsidRPr="00ED6AEF">
        <w:rPr>
          <w:lang w:eastAsia="en-US"/>
        </w:rPr>
        <w:t xml:space="preserve"> in the short term, with slowing output, employment and household consumption growth expected to result in inflation remaining within the 2-3 per cent target band. Continuing investment in infrastructure </w:t>
      </w:r>
      <w:proofErr w:type="gramStart"/>
      <w:r w:rsidRPr="00ED6AEF">
        <w:rPr>
          <w:lang w:eastAsia="en-US"/>
        </w:rPr>
        <w:t>is expected</w:t>
      </w:r>
      <w:proofErr w:type="gramEnd"/>
      <w:r w:rsidRPr="00ED6AEF">
        <w:rPr>
          <w:lang w:eastAsia="en-US"/>
        </w:rPr>
        <w:t xml:space="preserve"> to provide stimulus to cost inflation, despite the conservative outlook for employment growth and demand. </w:t>
      </w:r>
    </w:p>
    <w:p w:rsidR="002E17F7" w:rsidRPr="00ED6AEF" w:rsidRDefault="002E17F7" w:rsidP="002E17F7">
      <w:pPr>
        <w:pStyle w:val="BodyText"/>
        <w:rPr>
          <w:lang w:eastAsia="en-US"/>
        </w:rPr>
      </w:pPr>
      <w:r w:rsidRPr="00ED6AEF">
        <w:rPr>
          <w:lang w:eastAsia="en-US"/>
        </w:rPr>
        <w:lastRenderedPageBreak/>
        <w:t xml:space="preserve">The use of measures of core inflation in the ACT Budget is reasonable, given that although prices of food and energy have substantial effects on the CPI, they are often quickly reversed and dependent on factors such as droughts or oil price shocks. Therefore, they are not relevant for fiscal policy decisions, which </w:t>
      </w:r>
      <w:r w:rsidR="00C42B5B">
        <w:rPr>
          <w:lang w:eastAsia="en-US"/>
        </w:rPr>
        <w:t>mostly operate over longer time</w:t>
      </w:r>
      <w:r w:rsidRPr="00ED6AEF">
        <w:rPr>
          <w:lang w:eastAsia="en-US"/>
        </w:rPr>
        <w:t>frames than the variations in prices.</w:t>
      </w:r>
    </w:p>
    <w:p w:rsidR="002E17F7" w:rsidRPr="00ED6AEF" w:rsidRDefault="002E17F7" w:rsidP="002E17F7">
      <w:pPr>
        <w:pStyle w:val="BodyText"/>
        <w:rPr>
          <w:lang w:eastAsia="en-US"/>
        </w:rPr>
      </w:pPr>
      <w:r w:rsidRPr="00ED6AEF">
        <w:rPr>
          <w:lang w:eastAsia="en-US"/>
        </w:rPr>
        <w:t xml:space="preserve">Wage inflation represents a significant cost driver, due to the significant labour cost component in the services delivered by the government. Wage inflation </w:t>
      </w:r>
      <w:proofErr w:type="gramStart"/>
      <w:r w:rsidRPr="00ED6AEF">
        <w:rPr>
          <w:lang w:eastAsia="en-US"/>
        </w:rPr>
        <w:t>is expected</w:t>
      </w:r>
      <w:proofErr w:type="gramEnd"/>
      <w:r w:rsidRPr="00ED6AEF">
        <w:rPr>
          <w:lang w:eastAsia="en-US"/>
        </w:rPr>
        <w:t xml:space="preserve"> to rise by 2.75 per cent in 2013-14 and by 2.5 per cent in 2014-15. The Wage Price Index (WPI) increased by approximately 2.2 per cent in both the public and private sectors in the year ending March 2014</w:t>
      </w:r>
      <w:r w:rsidRPr="00ED6AEF">
        <w:rPr>
          <w:rStyle w:val="FootnoteReference"/>
          <w:lang w:eastAsia="en-US"/>
        </w:rPr>
        <w:footnoteReference w:id="3"/>
      </w:r>
      <w:r w:rsidRPr="00ED6AEF">
        <w:rPr>
          <w:lang w:eastAsia="en-US"/>
        </w:rPr>
        <w:t xml:space="preserve">. Below trend wage growth is expected in the short </w:t>
      </w:r>
      <w:proofErr w:type="gramStart"/>
      <w:r w:rsidRPr="00ED6AEF">
        <w:rPr>
          <w:lang w:eastAsia="en-US"/>
        </w:rPr>
        <w:t>term,</w:t>
      </w:r>
      <w:proofErr w:type="gramEnd"/>
      <w:r w:rsidRPr="00ED6AEF">
        <w:rPr>
          <w:lang w:eastAsia="en-US"/>
        </w:rPr>
        <w:t xml:space="preserve"> however the path of wage growth in the ACT has been falling below the Commonwealth trend. Chart </w:t>
      </w:r>
      <w:r w:rsidR="00B40B86">
        <w:rPr>
          <w:lang w:eastAsia="en-US"/>
        </w:rPr>
        <w:fldChar w:fldCharType="begin"/>
      </w:r>
      <w:r w:rsidR="00FE1F43">
        <w:rPr>
          <w:lang w:eastAsia="en-US"/>
        </w:rPr>
        <w:instrText xml:space="preserve"> REF _Caption3119 </w:instrText>
      </w:r>
      <w:r w:rsidR="00B40B86">
        <w:rPr>
          <w:lang w:eastAsia="en-US"/>
        </w:rPr>
        <w:fldChar w:fldCharType="separate"/>
      </w:r>
      <w:r w:rsidR="00D733F1">
        <w:rPr>
          <w:noProof/>
        </w:rPr>
        <w:t>4</w:t>
      </w:r>
      <w:r w:rsidR="00B40B86">
        <w:rPr>
          <w:lang w:eastAsia="en-US"/>
        </w:rPr>
        <w:fldChar w:fldCharType="end"/>
      </w:r>
      <w:r>
        <w:rPr>
          <w:lang w:eastAsia="en-US"/>
        </w:rPr>
        <w:t xml:space="preserve"> </w:t>
      </w:r>
      <w:r w:rsidRPr="00ED6AEF">
        <w:rPr>
          <w:lang w:eastAsia="en-US"/>
        </w:rPr>
        <w:t xml:space="preserve">shows the evolution of the WPI over the past two years. </w:t>
      </w:r>
    </w:p>
    <w:p w:rsidR="003E774E" w:rsidRPr="00695C93" w:rsidRDefault="00B40B86" w:rsidP="00284F89">
      <w:pPr>
        <w:pStyle w:val="Caption"/>
        <w:numPr>
          <w:ilvl w:val="0"/>
          <w:numId w:val="2"/>
        </w:numPr>
      </w:pPr>
      <w:r w:rsidRPr="00695C93">
        <w:fldChar w:fldCharType="begin"/>
      </w:r>
      <w:r w:rsidR="003E774E" w:rsidRPr="00695C93">
        <w:instrText xml:space="preserve"> IF 1 = 1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w:instrText>
      </w:r>
      <w:r>
        <w:fldChar w:fldCharType="begin"/>
      </w:r>
      <w:r w:rsidR="003E774E">
        <w:instrText xml:space="preserve"> STYLEREF "Heading 1" \l \n </w:instrText>
      </w:r>
      <w:r>
        <w:fldChar w:fldCharType="separate"/>
      </w:r>
      <w:r w:rsidR="003E774E">
        <w:rPr>
          <w:b/>
          <w:bCs/>
          <w:noProof/>
          <w:lang w:val="en-US"/>
        </w:rPr>
        <w:instrText>Error! No text of specified style in document.</w:instrText>
      </w:r>
      <w:r>
        <w:rPr>
          <w:noProof/>
        </w:rPr>
        <w:fldChar w:fldCharType="end"/>
      </w:r>
      <w:r w:rsidR="003E774E" w:rsidRPr="00695C93">
        <w:instrText xml:space="preserve">." </w:instrText>
      </w:r>
      <w:r w:rsidRPr="00695C93">
        <w:fldChar w:fldCharType="end"/>
      </w:r>
      <w:r w:rsidR="003E774E" w:rsidRPr="00695C93">
        <w:instrText>" "</w:instrText>
      </w:r>
      <w:fldSimple w:instr=" STYLEREF &quot;Heading 6&quot; \l \n ">
        <w:r w:rsidR="003E774E">
          <w:rPr>
            <w:noProof/>
          </w:rPr>
          <w:instrText>A</w:instrText>
        </w:r>
      </w:fldSimple>
      <w:r w:rsidR="003E774E" w:rsidRPr="00695C93">
        <w:instrText xml:space="preserve">." </w:instrText>
      </w:r>
      <w:r w:rsidRPr="00695C93">
        <w:fldChar w:fldCharType="end"/>
      </w:r>
      <w:r w:rsidRPr="00695C93">
        <w:fldChar w:fldCharType="begin"/>
      </w:r>
      <w:r w:rsidR="003E774E" w:rsidRPr="00695C93">
        <w:instrText xml:space="preserve"> SEQ Item \* ARABIC \s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"1" </w:instrText>
      </w:r>
      <w:r w:rsidRPr="00695C93">
        <w:fldChar w:fldCharType="end"/>
      </w:r>
      <w:r w:rsidR="003E774E" w:rsidRPr="00695C93">
        <w:instrText xml:space="preserve">" "6" </w:instrText>
      </w:r>
      <w:r w:rsidRPr="00695C93">
        <w:fldChar w:fldCharType="end"/>
      </w:r>
      <w:r w:rsidR="003E774E" w:rsidRPr="00695C93">
        <w:instrText xml:space="preserve"> </w:instrText>
      </w:r>
      <w:r w:rsidRPr="00695C93">
        <w:fldChar w:fldCharType="separate"/>
      </w:r>
      <w:r w:rsidR="00D733F1">
        <w:rPr>
          <w:noProof/>
        </w:rPr>
        <w:instrText>4</w:instrText>
      </w:r>
      <w:r w:rsidRPr="00695C93">
        <w:fldChar w:fldCharType="end"/>
      </w:r>
      <w:r w:rsidR="003E774E" w:rsidRPr="00695C93">
        <w:instrText xml:space="preserve">" "" </w:instrText>
      </w:r>
      <w:r w:rsidRPr="00695C93">
        <w:fldChar w:fldCharType="separate"/>
      </w:r>
      <w:bookmarkStart w:id="117" w:name="_Caption2047"/>
      <w:bookmarkStart w:id="118" w:name="_Caption9593"/>
      <w:bookmarkStart w:id="119" w:name="_Caption3453"/>
      <w:bookmarkStart w:id="120" w:name="_Caption3119"/>
      <w:bookmarkStart w:id="121" w:name="_Caption3602"/>
      <w:bookmarkStart w:id="122" w:name="_Caption6083"/>
      <w:bookmarkStart w:id="123" w:name="_Caption0112"/>
      <w:bookmarkStart w:id="124" w:name="_Caption5162"/>
      <w:bookmarkStart w:id="125" w:name="_Caption8425"/>
      <w:bookmarkStart w:id="126" w:name="_Caption2851"/>
      <w:bookmarkStart w:id="127" w:name="_Caption8057"/>
      <w:bookmarkStart w:id="128" w:name="_Caption8258"/>
      <w:bookmarkStart w:id="129" w:name="_Caption0281"/>
      <w:bookmarkStart w:id="130" w:name="_Caption1259"/>
      <w:bookmarkStart w:id="131" w:name="_Caption1935"/>
      <w:bookmarkStart w:id="132" w:name="_Caption5036"/>
      <w:bookmarkStart w:id="133" w:name="_Caption1336"/>
      <w:bookmarkStart w:id="134" w:name="_Caption7719"/>
      <w:bookmarkStart w:id="135" w:name="_Caption9038"/>
      <w:bookmarkStart w:id="136" w:name="_Caption3075"/>
      <w:bookmarkStart w:id="137" w:name="_Caption2684"/>
      <w:bookmarkStart w:id="138" w:name="_Caption8699"/>
      <w:bookmarkStart w:id="139" w:name="_Caption4014"/>
      <w:bookmarkStart w:id="140" w:name="_Caption8107"/>
      <w:bookmarkStart w:id="141" w:name="_Caption9127"/>
      <w:bookmarkStart w:id="142" w:name="_Caption9626"/>
      <w:bookmarkStart w:id="143" w:name="_Caption5236"/>
      <w:bookmarkStart w:id="144" w:name="_Caption5246"/>
      <w:bookmarkStart w:id="145" w:name="_Caption8698"/>
      <w:bookmarkStart w:id="146" w:name="_Caption9059"/>
      <w:bookmarkStart w:id="147" w:name="_Caption4439"/>
      <w:bookmarkStart w:id="148" w:name="_Toc390427327"/>
      <w:r w:rsidR="00D733F1">
        <w:rPr>
          <w:noProof/>
        </w:rPr>
        <w:t>4</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695C93">
        <w:fldChar w:fldCharType="end"/>
      </w:r>
      <w:r w:rsidR="003E774E" w:rsidRPr="00695C93">
        <w:tab/>
      </w:r>
      <w:r w:rsidR="003E774E" w:rsidRPr="00ED6AEF">
        <w:t>Wage Price Index</w:t>
      </w:r>
      <w:bookmarkEnd w:id="148"/>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2E17F7" w:rsidRPr="00ED6AEF" w:rsidTr="009C75CC">
        <w:trPr>
          <w:cantSplit/>
        </w:trPr>
        <w:tc>
          <w:tcPr>
            <w:tcW w:w="7938" w:type="dxa"/>
            <w:shd w:val="clear" w:color="auto" w:fill="E9E8E5" w:themeFill="background2"/>
          </w:tcPr>
          <w:p w:rsidR="002E17F7" w:rsidRPr="00ED6AEF" w:rsidRDefault="002E17F7" w:rsidP="009C75CC">
            <w:pPr>
              <w:pStyle w:val="Chart"/>
              <w:jc w:val="center"/>
            </w:pPr>
            <w:r w:rsidRPr="00ED6AEF">
              <w:rPr>
                <w:noProof/>
                <w:lang w:eastAsia="en-AU"/>
              </w:rPr>
              <w:drawing>
                <wp:inline distT="0" distB="0" distL="0" distR="0">
                  <wp:extent cx="4864735" cy="25311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4735" cy="2531110"/>
                          </a:xfrm>
                          <a:prstGeom prst="rect">
                            <a:avLst/>
                          </a:prstGeom>
                          <a:noFill/>
                          <a:ln>
                            <a:noFill/>
                          </a:ln>
                        </pic:spPr>
                      </pic:pic>
                    </a:graphicData>
                  </a:graphic>
                </wp:inline>
              </w:drawing>
            </w:r>
          </w:p>
        </w:tc>
      </w:tr>
    </w:tbl>
    <w:p w:rsidR="002E17F7" w:rsidRDefault="002E17F7" w:rsidP="002E17F7">
      <w:pPr>
        <w:pStyle w:val="Source"/>
      </w:pPr>
      <w:proofErr w:type="gramStart"/>
      <w:r w:rsidRPr="00ED6AEF">
        <w:rPr>
          <w:i/>
        </w:rPr>
        <w:t>Data source:</w:t>
      </w:r>
      <w:r w:rsidRPr="00ED6AEF">
        <w:t xml:space="preserve"> Australian Bureau of Statistics Mar 2014, </w:t>
      </w:r>
      <w:r w:rsidRPr="00ED6AEF">
        <w:rPr>
          <w:i/>
        </w:rPr>
        <w:t>Wage Price Index,</w:t>
      </w:r>
      <w:r w:rsidRPr="00ED6AEF">
        <w:t xml:space="preserve"> Cat.</w:t>
      </w:r>
      <w:proofErr w:type="gramEnd"/>
      <w:r w:rsidRPr="00ED6AEF">
        <w:t xml:space="preserve"> </w:t>
      </w:r>
      <w:proofErr w:type="gramStart"/>
      <w:r w:rsidRPr="00ED6AEF">
        <w:t>No. 6345.0, ABS, Canberra.</w:t>
      </w:r>
      <w:proofErr w:type="gramEnd"/>
    </w:p>
    <w:p w:rsidR="002E17F7" w:rsidRDefault="002E17F7" w:rsidP="00284F89">
      <w:pPr>
        <w:pStyle w:val="Heading2"/>
        <w:numPr>
          <w:ilvl w:val="1"/>
          <w:numId w:val="1"/>
        </w:numPr>
      </w:pPr>
      <w:bookmarkStart w:id="149" w:name="_Toc390033554"/>
      <w:bookmarkStart w:id="150" w:name="_Toc390427296"/>
      <w:r>
        <w:t>Outlook for population</w:t>
      </w:r>
      <w:bookmarkEnd w:id="149"/>
      <w:bookmarkEnd w:id="150"/>
    </w:p>
    <w:p w:rsidR="002E17F7" w:rsidRDefault="002E17F7" w:rsidP="002E17F7">
      <w:pPr>
        <w:pStyle w:val="BodyText"/>
      </w:pPr>
      <w:r>
        <w:t xml:space="preserve">The population of the ACT is expected to continue to grow, but with growth to continue at a moderated rate. Chart </w:t>
      </w:r>
      <w:fldSimple w:instr=" REF _Caption7843 ">
        <w:r w:rsidR="00D733F1">
          <w:rPr>
            <w:noProof/>
          </w:rPr>
          <w:t>5</w:t>
        </w:r>
      </w:fldSimple>
      <w:r>
        <w:t xml:space="preserve"> shows historical data and forecasts of the estimated residential population of the ACT. </w:t>
      </w:r>
    </w:p>
    <w:p w:rsidR="003E774E" w:rsidRPr="00695C93" w:rsidRDefault="00B40B86" w:rsidP="00284F89">
      <w:pPr>
        <w:pStyle w:val="Caption"/>
        <w:numPr>
          <w:ilvl w:val="0"/>
          <w:numId w:val="2"/>
        </w:numPr>
      </w:pPr>
      <w:r w:rsidRPr="00695C93">
        <w:lastRenderedPageBreak/>
        <w:fldChar w:fldCharType="begin"/>
      </w:r>
      <w:r w:rsidR="003E774E" w:rsidRPr="00695C93">
        <w:instrText xml:space="preserve"> IF 1 = 1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w:instrText>
      </w:r>
      <w:r>
        <w:fldChar w:fldCharType="begin"/>
      </w:r>
      <w:r w:rsidR="003E774E">
        <w:instrText xml:space="preserve"> STYLEREF "Heading 1" \l \n </w:instrText>
      </w:r>
      <w:r>
        <w:fldChar w:fldCharType="separate"/>
      </w:r>
      <w:r w:rsidR="003E774E">
        <w:rPr>
          <w:b/>
          <w:bCs/>
          <w:noProof/>
          <w:lang w:val="en-US"/>
        </w:rPr>
        <w:instrText>Error! No text of specified style in document.</w:instrText>
      </w:r>
      <w:r>
        <w:rPr>
          <w:noProof/>
        </w:rPr>
        <w:fldChar w:fldCharType="end"/>
      </w:r>
      <w:r w:rsidR="003E774E" w:rsidRPr="00695C93">
        <w:instrText xml:space="preserve">." </w:instrText>
      </w:r>
      <w:r w:rsidRPr="00695C93">
        <w:fldChar w:fldCharType="end"/>
      </w:r>
      <w:r w:rsidR="003E774E" w:rsidRPr="00695C93">
        <w:instrText>" "</w:instrText>
      </w:r>
      <w:fldSimple w:instr=" STYLEREF &quot;Heading 6&quot; \l \n ">
        <w:r w:rsidR="003E774E">
          <w:rPr>
            <w:noProof/>
          </w:rPr>
          <w:instrText>A</w:instrText>
        </w:r>
      </w:fldSimple>
      <w:r w:rsidR="003E774E" w:rsidRPr="00695C93">
        <w:instrText xml:space="preserve">." </w:instrText>
      </w:r>
      <w:r w:rsidRPr="00695C93">
        <w:fldChar w:fldCharType="end"/>
      </w:r>
      <w:r w:rsidRPr="00695C93">
        <w:fldChar w:fldCharType="begin"/>
      </w:r>
      <w:r w:rsidR="003E774E" w:rsidRPr="00695C93">
        <w:instrText xml:space="preserve"> SEQ Item \* ARABIC \s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"1" </w:instrText>
      </w:r>
      <w:r w:rsidRPr="00695C93">
        <w:fldChar w:fldCharType="end"/>
      </w:r>
      <w:r w:rsidR="003E774E" w:rsidRPr="00695C93">
        <w:instrText xml:space="preserve">" "6" </w:instrText>
      </w:r>
      <w:r w:rsidRPr="00695C93">
        <w:fldChar w:fldCharType="end"/>
      </w:r>
      <w:r w:rsidR="003E774E" w:rsidRPr="00695C93">
        <w:instrText xml:space="preserve"> </w:instrText>
      </w:r>
      <w:r w:rsidRPr="00695C93">
        <w:fldChar w:fldCharType="separate"/>
      </w:r>
      <w:r w:rsidR="00D733F1">
        <w:rPr>
          <w:noProof/>
        </w:rPr>
        <w:instrText>5</w:instrText>
      </w:r>
      <w:r w:rsidRPr="00695C93">
        <w:fldChar w:fldCharType="end"/>
      </w:r>
      <w:r w:rsidR="003E774E" w:rsidRPr="00695C93">
        <w:instrText xml:space="preserve">" "" </w:instrText>
      </w:r>
      <w:r w:rsidRPr="00695C93">
        <w:fldChar w:fldCharType="separate"/>
      </w:r>
      <w:bookmarkStart w:id="151" w:name="_Caption0191"/>
      <w:bookmarkStart w:id="152" w:name="_Caption5177"/>
      <w:bookmarkStart w:id="153" w:name="_Caption7694"/>
      <w:bookmarkStart w:id="154" w:name="_Caption3688"/>
      <w:bookmarkStart w:id="155" w:name="_Caption7843"/>
      <w:bookmarkStart w:id="156" w:name="_Caption9932"/>
      <w:bookmarkStart w:id="157" w:name="_Caption7632"/>
      <w:bookmarkStart w:id="158" w:name="_Caption1747"/>
      <w:bookmarkStart w:id="159" w:name="_Caption4490"/>
      <w:bookmarkStart w:id="160" w:name="_Caption5833"/>
      <w:bookmarkStart w:id="161" w:name="_Caption0647"/>
      <w:bookmarkStart w:id="162" w:name="_Caption8677"/>
      <w:bookmarkStart w:id="163" w:name="_Caption5190"/>
      <w:bookmarkStart w:id="164" w:name="_Caption2612"/>
      <w:bookmarkStart w:id="165" w:name="_Caption2830"/>
      <w:bookmarkStart w:id="166" w:name="_Caption7790"/>
      <w:bookmarkStart w:id="167" w:name="_Caption4690"/>
      <w:bookmarkStart w:id="168" w:name="_Caption4177"/>
      <w:bookmarkStart w:id="169" w:name="_Caption3809"/>
      <w:bookmarkStart w:id="170" w:name="_Caption4405"/>
      <w:bookmarkStart w:id="171" w:name="_Caption5125"/>
      <w:bookmarkStart w:id="172" w:name="_Caption4902"/>
      <w:bookmarkStart w:id="173" w:name="_Caption2923"/>
      <w:bookmarkStart w:id="174" w:name="_Caption7697"/>
      <w:bookmarkStart w:id="175" w:name="_Caption2270"/>
      <w:bookmarkStart w:id="176" w:name="_Caption2920"/>
      <w:bookmarkStart w:id="177" w:name="_Caption6279"/>
      <w:bookmarkStart w:id="178" w:name="_Caption9025"/>
      <w:bookmarkStart w:id="179" w:name="_Caption1252"/>
      <w:bookmarkStart w:id="180" w:name="_Caption3207"/>
      <w:bookmarkStart w:id="181" w:name="_Caption4187"/>
      <w:bookmarkStart w:id="182" w:name="_Toc390427328"/>
      <w:r w:rsidR="00D733F1">
        <w:rPr>
          <w:noProof/>
        </w:rPr>
        <w:t>5</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695C93">
        <w:fldChar w:fldCharType="end"/>
      </w:r>
      <w:r w:rsidR="003E774E" w:rsidRPr="00695C93">
        <w:tab/>
      </w:r>
      <w:r w:rsidR="003E774E">
        <w:t>Recent and forecast employment for the ACT</w:t>
      </w:r>
      <w:bookmarkEnd w:id="182"/>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2E17F7" w:rsidTr="009C75CC">
        <w:trPr>
          <w:cantSplit/>
        </w:trPr>
        <w:tc>
          <w:tcPr>
            <w:tcW w:w="7938" w:type="dxa"/>
            <w:shd w:val="clear" w:color="auto" w:fill="E9E8E5" w:themeFill="background2"/>
          </w:tcPr>
          <w:p w:rsidR="002E17F7" w:rsidRDefault="002E17F7" w:rsidP="009C75CC">
            <w:pPr>
              <w:pStyle w:val="Chart"/>
              <w:jc w:val="center"/>
            </w:pPr>
            <w:r>
              <w:rPr>
                <w:noProof/>
                <w:lang w:eastAsia="en-AU"/>
              </w:rPr>
              <w:drawing>
                <wp:inline distT="0" distB="0" distL="0" distR="0">
                  <wp:extent cx="4864735" cy="25311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4735" cy="2531110"/>
                          </a:xfrm>
                          <a:prstGeom prst="rect">
                            <a:avLst/>
                          </a:prstGeom>
                          <a:noFill/>
                          <a:ln>
                            <a:noFill/>
                          </a:ln>
                        </pic:spPr>
                      </pic:pic>
                    </a:graphicData>
                  </a:graphic>
                </wp:inline>
              </w:drawing>
            </w:r>
          </w:p>
        </w:tc>
      </w:tr>
    </w:tbl>
    <w:p w:rsidR="002E17F7" w:rsidRDefault="002E17F7" w:rsidP="002E17F7">
      <w:pPr>
        <w:pStyle w:val="Source"/>
      </w:pPr>
      <w:proofErr w:type="gramStart"/>
      <w:r>
        <w:rPr>
          <w:i/>
        </w:rPr>
        <w:t>Data source</w:t>
      </w:r>
      <w:r w:rsidRPr="00A67576">
        <w:rPr>
          <w:i/>
        </w:rPr>
        <w:t>:</w:t>
      </w:r>
      <w:r>
        <w:t xml:space="preserve"> </w:t>
      </w:r>
      <w:r w:rsidRPr="0052741F">
        <w:t xml:space="preserve">Australian Bureau of Statistics Sep 2013, </w:t>
      </w:r>
      <w:r w:rsidRPr="0052741F">
        <w:rPr>
          <w:i/>
          <w:iCs/>
        </w:rPr>
        <w:t>Australian Demographic Statistics</w:t>
      </w:r>
      <w:r w:rsidRPr="0052741F">
        <w:t>, Cat.</w:t>
      </w:r>
      <w:proofErr w:type="gramEnd"/>
      <w:r w:rsidRPr="0052741F">
        <w:t xml:space="preserve"> </w:t>
      </w:r>
      <w:proofErr w:type="gramStart"/>
      <w:r w:rsidRPr="0052741F">
        <w:t>No. 3101.0, ABS, Canberra.</w:t>
      </w:r>
      <w:proofErr w:type="gramEnd"/>
    </w:p>
    <w:p w:rsidR="002E17F7" w:rsidRDefault="002E17F7" w:rsidP="002E17F7">
      <w:pPr>
        <w:pStyle w:val="BodyText"/>
      </w:pPr>
      <w:r>
        <w:t xml:space="preserve">The </w:t>
      </w:r>
      <w:proofErr w:type="gramStart"/>
      <w:r>
        <w:t>short term</w:t>
      </w:r>
      <w:proofErr w:type="gramEnd"/>
      <w:r>
        <w:t xml:space="preserve"> variation in population is driven by changes in net interstate and overseas migration level. It is argued in the ACT Budget that ‘The ACT’s population growth will be predominantly influenced by natural increases and net overseas migration, with net interstate migration projected to make little contribution to overall population growth’. Chart </w:t>
      </w:r>
      <w:fldSimple w:instr=" REF _Caption5568 ">
        <w:r w:rsidR="00D733F1">
          <w:rPr>
            <w:noProof/>
          </w:rPr>
          <w:t>6</w:t>
        </w:r>
      </w:fldSimple>
      <w:r>
        <w:t xml:space="preserve"> shows the components of population growth, which are net interstate migration, natural increase and net overseas migration, and how they sum to give the level of overall population growth (the dotted series named </w:t>
      </w:r>
    </w:p>
    <w:p w:rsidR="002E17F7" w:rsidRDefault="002E17F7" w:rsidP="002E17F7">
      <w:pPr>
        <w:pStyle w:val="BodyText"/>
      </w:pPr>
      <w:r>
        <w:t>Net interstate migration has been negative for the most recent four quarters. This has a non-negligible impact on the overall rate of population growth. Given the cuts to the Australian Public Service</w:t>
      </w:r>
      <w:r w:rsidRPr="00FC29B3">
        <w:t>, we expect the rate of net interstate migration outflow to increase</w:t>
      </w:r>
      <w:r w:rsidRPr="003A3C79">
        <w:t xml:space="preserve"> and thus declining population growth relative to what might have been the case without Co</w:t>
      </w:r>
      <w:r w:rsidR="003E774E">
        <w:t>mmonwealth Government cutbacks.</w:t>
      </w:r>
    </w:p>
    <w:p w:rsidR="003E774E" w:rsidRPr="00695C93" w:rsidRDefault="00B40B86" w:rsidP="00284F89">
      <w:pPr>
        <w:pStyle w:val="Caption"/>
        <w:numPr>
          <w:ilvl w:val="0"/>
          <w:numId w:val="2"/>
        </w:numPr>
      </w:pPr>
      <w:r w:rsidRPr="00695C93">
        <w:fldChar w:fldCharType="begin"/>
      </w:r>
      <w:r w:rsidR="003E774E" w:rsidRPr="00695C93">
        <w:instrText xml:space="preserve"> IF 1 = 1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w:instrText>
      </w:r>
      <w:r>
        <w:fldChar w:fldCharType="begin"/>
      </w:r>
      <w:r w:rsidR="003E774E">
        <w:instrText xml:space="preserve"> STYLEREF "Heading 1" \l \n </w:instrText>
      </w:r>
      <w:r>
        <w:fldChar w:fldCharType="separate"/>
      </w:r>
      <w:r w:rsidR="003E774E">
        <w:rPr>
          <w:b/>
          <w:bCs/>
          <w:noProof/>
          <w:lang w:val="en-US"/>
        </w:rPr>
        <w:instrText>Error! No text of specified style in document.</w:instrText>
      </w:r>
      <w:r>
        <w:rPr>
          <w:noProof/>
        </w:rPr>
        <w:fldChar w:fldCharType="end"/>
      </w:r>
      <w:r w:rsidR="003E774E" w:rsidRPr="00695C93">
        <w:instrText xml:space="preserve">." </w:instrText>
      </w:r>
      <w:r w:rsidRPr="00695C93">
        <w:fldChar w:fldCharType="end"/>
      </w:r>
      <w:r w:rsidR="003E774E" w:rsidRPr="00695C93">
        <w:instrText>" "</w:instrText>
      </w:r>
      <w:fldSimple w:instr=" STYLEREF &quot;Heading 6&quot; \l \n ">
        <w:r w:rsidR="003E774E">
          <w:rPr>
            <w:noProof/>
          </w:rPr>
          <w:instrText>A</w:instrText>
        </w:r>
      </w:fldSimple>
      <w:r w:rsidR="003E774E" w:rsidRPr="00695C93">
        <w:instrText xml:space="preserve">." </w:instrText>
      </w:r>
      <w:r w:rsidRPr="00695C93">
        <w:fldChar w:fldCharType="end"/>
      </w:r>
      <w:r w:rsidRPr="00695C93">
        <w:fldChar w:fldCharType="begin"/>
      </w:r>
      <w:r w:rsidR="003E774E" w:rsidRPr="00695C93">
        <w:instrText xml:space="preserve"> SEQ Item \* ARABIC \s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"1" </w:instrText>
      </w:r>
      <w:r w:rsidRPr="00695C93">
        <w:fldChar w:fldCharType="end"/>
      </w:r>
      <w:r w:rsidR="003E774E" w:rsidRPr="00695C93">
        <w:instrText xml:space="preserve">" "6" </w:instrText>
      </w:r>
      <w:r w:rsidRPr="00695C93">
        <w:fldChar w:fldCharType="end"/>
      </w:r>
      <w:r w:rsidR="003E774E" w:rsidRPr="00695C93">
        <w:instrText xml:space="preserve"> </w:instrText>
      </w:r>
      <w:r w:rsidRPr="00695C93">
        <w:fldChar w:fldCharType="separate"/>
      </w:r>
      <w:r w:rsidR="00D733F1">
        <w:rPr>
          <w:noProof/>
        </w:rPr>
        <w:instrText>6</w:instrText>
      </w:r>
      <w:r w:rsidRPr="00695C93">
        <w:fldChar w:fldCharType="end"/>
      </w:r>
      <w:r w:rsidR="003E774E" w:rsidRPr="00695C93">
        <w:instrText xml:space="preserve">" "" </w:instrText>
      </w:r>
      <w:r w:rsidRPr="00695C93">
        <w:fldChar w:fldCharType="separate"/>
      </w:r>
      <w:bookmarkStart w:id="183" w:name="_Caption7793"/>
      <w:bookmarkStart w:id="184" w:name="_Caption6451"/>
      <w:bookmarkStart w:id="185" w:name="_Caption2284"/>
      <w:bookmarkStart w:id="186" w:name="_Caption7618"/>
      <w:bookmarkStart w:id="187" w:name="_Caption2463"/>
      <w:bookmarkStart w:id="188" w:name="_Caption5568"/>
      <w:bookmarkStart w:id="189" w:name="_Caption5857"/>
      <w:bookmarkStart w:id="190" w:name="_Caption8089"/>
      <w:bookmarkStart w:id="191" w:name="_Caption3801"/>
      <w:bookmarkStart w:id="192" w:name="_Caption9082"/>
      <w:bookmarkStart w:id="193" w:name="_Caption7567"/>
      <w:bookmarkStart w:id="194" w:name="_Caption4571"/>
      <w:bookmarkStart w:id="195" w:name="_Caption9350"/>
      <w:bookmarkStart w:id="196" w:name="_Caption8553"/>
      <w:bookmarkStart w:id="197" w:name="_Caption7520"/>
      <w:bookmarkStart w:id="198" w:name="_Caption6442"/>
      <w:bookmarkStart w:id="199" w:name="_Caption4820"/>
      <w:bookmarkStart w:id="200" w:name="_Caption2488"/>
      <w:bookmarkStart w:id="201" w:name="_Caption9495"/>
      <w:bookmarkStart w:id="202" w:name="_Caption5562"/>
      <w:bookmarkStart w:id="203" w:name="_Caption8441"/>
      <w:bookmarkStart w:id="204" w:name="_Caption0818"/>
      <w:bookmarkStart w:id="205" w:name="_Caption4357"/>
      <w:bookmarkStart w:id="206" w:name="_Caption6464"/>
      <w:bookmarkStart w:id="207" w:name="_Caption1891"/>
      <w:bookmarkStart w:id="208" w:name="_Caption0546"/>
      <w:bookmarkStart w:id="209" w:name="_Caption3478"/>
      <w:bookmarkStart w:id="210" w:name="_Caption5655"/>
      <w:bookmarkStart w:id="211" w:name="_Caption9077"/>
      <w:bookmarkStart w:id="212" w:name="_Caption3879"/>
      <w:bookmarkStart w:id="213" w:name="_Caption4618"/>
      <w:bookmarkStart w:id="214" w:name="_Toc390427329"/>
      <w:r w:rsidR="00D733F1">
        <w:rPr>
          <w:noProof/>
        </w:rPr>
        <w:t>6</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695C93">
        <w:fldChar w:fldCharType="end"/>
      </w:r>
      <w:r w:rsidR="003E774E" w:rsidRPr="00695C93">
        <w:tab/>
      </w:r>
      <w:r w:rsidR="003E774E">
        <w:t>Migration flows for the ACT</w:t>
      </w:r>
      <w:bookmarkEnd w:id="214"/>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2E17F7" w:rsidTr="009C75CC">
        <w:trPr>
          <w:cantSplit/>
        </w:trPr>
        <w:tc>
          <w:tcPr>
            <w:tcW w:w="7938" w:type="dxa"/>
            <w:shd w:val="clear" w:color="auto" w:fill="E9E8E5" w:themeFill="background2"/>
          </w:tcPr>
          <w:p w:rsidR="002E17F7" w:rsidRDefault="002E17F7" w:rsidP="009C75CC">
            <w:pPr>
              <w:pStyle w:val="Chart"/>
              <w:jc w:val="center"/>
            </w:pPr>
            <w:r>
              <w:rPr>
                <w:noProof/>
                <w:lang w:eastAsia="en-AU"/>
              </w:rPr>
              <w:drawing>
                <wp:inline distT="0" distB="0" distL="0" distR="0">
                  <wp:extent cx="4864735" cy="2531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4735" cy="2531110"/>
                          </a:xfrm>
                          <a:prstGeom prst="rect">
                            <a:avLst/>
                          </a:prstGeom>
                          <a:noFill/>
                          <a:ln>
                            <a:noFill/>
                          </a:ln>
                        </pic:spPr>
                      </pic:pic>
                    </a:graphicData>
                  </a:graphic>
                </wp:inline>
              </w:drawing>
            </w:r>
          </w:p>
        </w:tc>
      </w:tr>
    </w:tbl>
    <w:p w:rsidR="002E17F7" w:rsidRDefault="002E17F7" w:rsidP="002E17F7">
      <w:pPr>
        <w:pStyle w:val="Source"/>
      </w:pPr>
      <w:proofErr w:type="gramStart"/>
      <w:r>
        <w:rPr>
          <w:i/>
        </w:rPr>
        <w:t>Data source</w:t>
      </w:r>
      <w:r w:rsidRPr="00A67576">
        <w:rPr>
          <w:i/>
        </w:rPr>
        <w:t>:</w:t>
      </w:r>
      <w:r>
        <w:t xml:space="preserve"> </w:t>
      </w:r>
      <w:r w:rsidRPr="0052741F">
        <w:t xml:space="preserve">Australian Bureau of Statistics Sep 2013, </w:t>
      </w:r>
      <w:r w:rsidRPr="0052741F">
        <w:rPr>
          <w:i/>
          <w:iCs/>
        </w:rPr>
        <w:t>Australian Demographic Statistics</w:t>
      </w:r>
      <w:r w:rsidRPr="0052741F">
        <w:t>, Cat.</w:t>
      </w:r>
      <w:proofErr w:type="gramEnd"/>
      <w:r w:rsidRPr="0052741F">
        <w:t xml:space="preserve"> </w:t>
      </w:r>
      <w:proofErr w:type="gramStart"/>
      <w:r w:rsidRPr="0052741F">
        <w:t>No. 3101.0, ABS, Canberra.</w:t>
      </w:r>
      <w:proofErr w:type="gramEnd"/>
    </w:p>
    <w:p w:rsidR="002E17F7" w:rsidRDefault="002E17F7" w:rsidP="002E17F7">
      <w:pPr>
        <w:pStyle w:val="BodyText"/>
      </w:pPr>
      <w:r>
        <w:lastRenderedPageBreak/>
        <w:t xml:space="preserve">The substantial reduction in the size of the Indicative Residential Land Release Program supports the conclusion that Commonwealth cuts to the APS will likely lead to weakened population growth. The Indicative Land Release Program has reduced in size by 3000 dwelling sites over the next 3 years based on a belief that demand will not exceed the revised sales targets. </w:t>
      </w:r>
    </w:p>
    <w:p w:rsidR="002E17F7" w:rsidRPr="003A3C79" w:rsidRDefault="002E17F7" w:rsidP="002E17F7">
      <w:pPr>
        <w:pStyle w:val="BodyText"/>
      </w:pPr>
      <w:r w:rsidRPr="003A3C79">
        <w:t xml:space="preserve">Two potential </w:t>
      </w:r>
      <w:r>
        <w:t>fiscal policy responses to declining population growth are:</w:t>
      </w:r>
    </w:p>
    <w:p w:rsidR="002E17F7" w:rsidRPr="003A3C79" w:rsidRDefault="002E17F7" w:rsidP="002E17F7">
      <w:pPr>
        <w:pStyle w:val="ListBullet"/>
      </w:pPr>
      <w:r>
        <w:t>r</w:t>
      </w:r>
      <w:r w:rsidRPr="003A3C79">
        <w:t>elatively expansionary policy (greater spending) to stimulate an economy during a trough in the business cycle</w:t>
      </w:r>
    </w:p>
    <w:p w:rsidR="002E17F7" w:rsidRPr="003A3C79" w:rsidRDefault="002E17F7" w:rsidP="002E17F7">
      <w:pPr>
        <w:pStyle w:val="ListBullet"/>
      </w:pPr>
      <w:proofErr w:type="gramStart"/>
      <w:r>
        <w:t>r</w:t>
      </w:r>
      <w:r w:rsidRPr="003A3C79">
        <w:t>elatively</w:t>
      </w:r>
      <w:proofErr w:type="gramEnd"/>
      <w:r w:rsidRPr="003A3C79">
        <w:t xml:space="preserve"> </w:t>
      </w:r>
      <w:proofErr w:type="spellStart"/>
      <w:r w:rsidRPr="003A3C79">
        <w:t>contractionary</w:t>
      </w:r>
      <w:proofErr w:type="spellEnd"/>
      <w:r w:rsidRPr="003A3C79">
        <w:t>/neutral policy to account for the decreased rate of growth of demand for services</w:t>
      </w:r>
      <w:r>
        <w:t xml:space="preserve">. </w:t>
      </w:r>
    </w:p>
    <w:p w:rsidR="002E17F7" w:rsidRPr="00607438" w:rsidRDefault="002E17F7" w:rsidP="002E17F7">
      <w:pPr>
        <w:pStyle w:val="BodyText"/>
      </w:pPr>
      <w:r w:rsidRPr="00607438">
        <w:t>The spending decisions in the Budget reflect the former</w:t>
      </w:r>
      <w:r>
        <w:rPr>
          <w:rStyle w:val="DraftingNote"/>
          <w:b w:val="0"/>
          <w:color w:val="auto"/>
          <w:u w:val="none"/>
        </w:rPr>
        <w:t>. If it is expected that population growth will slow, and that this is not a temporary change, spending should be adjusted to account for the decreased growth of demand for government services.</w:t>
      </w:r>
    </w:p>
    <w:p w:rsidR="002D530A" w:rsidRPr="002D530A" w:rsidRDefault="002D530A" w:rsidP="002D530A">
      <w:pPr>
        <w:pStyle w:val="BodyText"/>
      </w:pPr>
    </w:p>
    <w:p w:rsidR="00025C96" w:rsidRDefault="00956657" w:rsidP="003E774E">
      <w:pPr>
        <w:pStyle w:val="Heading1"/>
        <w:numPr>
          <w:ilvl w:val="0"/>
          <w:numId w:val="0"/>
        </w:numPr>
        <w:ind w:left="567" w:hanging="567"/>
      </w:pPr>
      <w:bookmarkStart w:id="215" w:name="_Toc390427297"/>
      <w:r>
        <w:lastRenderedPageBreak/>
        <w:t>Budget</w:t>
      </w:r>
      <w:r w:rsidR="00025C96">
        <w:t xml:space="preserve"> Aggregates</w:t>
      </w:r>
      <w:bookmarkEnd w:id="215"/>
      <w:r w:rsidR="00025C96">
        <w:t xml:space="preserve"> </w:t>
      </w:r>
    </w:p>
    <w:p w:rsidR="00025C96" w:rsidRDefault="00025C96" w:rsidP="00EF30F8">
      <w:pPr>
        <w:pStyle w:val="ChapterIntroduction"/>
      </w:pPr>
      <w:r>
        <w:t xml:space="preserve">A general slowing in economic activity, </w:t>
      </w:r>
      <w:r w:rsidR="002A4BC3">
        <w:t>particularly in the property</w:t>
      </w:r>
      <w:r>
        <w:t xml:space="preserve"> sector, and the more recent reduction in Federal Government spending and employment have significantly lowered revenue projections</w:t>
      </w:r>
      <w:r w:rsidR="00F94D68">
        <w:t xml:space="preserve">. In the 2014-15 ACT </w:t>
      </w:r>
      <w:proofErr w:type="gramStart"/>
      <w:r w:rsidR="00956657">
        <w:t>Budget</w:t>
      </w:r>
      <w:r w:rsidR="00F94D68">
        <w:t>,</w:t>
      </w:r>
      <w:proofErr w:type="gramEnd"/>
      <w:r w:rsidR="00F94D68">
        <w:t xml:space="preserve"> and G</w:t>
      </w:r>
      <w:r>
        <w:t xml:space="preserve">overnment </w:t>
      </w:r>
      <w:r w:rsidR="00F94D68">
        <w:t>has judged that more Territory spending is required</w:t>
      </w:r>
      <w:r>
        <w:t xml:space="preserve"> to help stabilise economic growth. This has resulted in a noticeable downward revision to </w:t>
      </w:r>
      <w:r w:rsidR="007C65E8">
        <w:t>b</w:t>
      </w:r>
      <w:r w:rsidR="00956657">
        <w:t>udget</w:t>
      </w:r>
      <w:r>
        <w:t xml:space="preserve"> balances over the forward estimates period.</w:t>
      </w:r>
    </w:p>
    <w:p w:rsidR="00F94D68" w:rsidRDefault="00F94D68" w:rsidP="00EF30F8">
      <w:pPr>
        <w:pStyle w:val="ChapterIntroduction"/>
      </w:pPr>
      <w:r>
        <w:t>This is reasonable only if the chosen investments are financially sound and well aligned to the needs (including unmet needs) of ACT residents.</w:t>
      </w:r>
    </w:p>
    <w:p w:rsidR="00025C96" w:rsidRDefault="00025C96" w:rsidP="00025C96">
      <w:pPr>
        <w:pStyle w:val="Heading2"/>
      </w:pPr>
      <w:bookmarkStart w:id="216" w:name="_Toc390427298"/>
      <w:r>
        <w:t>Drivers of the change in GGS headline operating balances</w:t>
      </w:r>
      <w:bookmarkEnd w:id="216"/>
    </w:p>
    <w:p w:rsidR="00025C96" w:rsidRDefault="002A4BC3" w:rsidP="00025C96">
      <w:pPr>
        <w:pStyle w:val="BodyText"/>
      </w:pPr>
      <w:r>
        <w:t xml:space="preserve">The 2014-15 </w:t>
      </w:r>
      <w:r w:rsidR="007C626B">
        <w:t>General Government Sector (</w:t>
      </w:r>
      <w:r w:rsidR="00A13D59">
        <w:t>GGS</w:t>
      </w:r>
      <w:r w:rsidR="007C626B">
        <w:t>)</w:t>
      </w:r>
      <w:r w:rsidR="00A13D59">
        <w:t xml:space="preserve"> </w:t>
      </w:r>
      <w:proofErr w:type="gramStart"/>
      <w:r w:rsidR="00A13D59">
        <w:t>headline operating</w:t>
      </w:r>
      <w:proofErr w:type="gramEnd"/>
      <w:r w:rsidR="00A13D59">
        <w:t xml:space="preserve"> balance </w:t>
      </w:r>
      <w:r>
        <w:t xml:space="preserve">is expected to deteriorate $233 million relative to what was forecast in the 2013-14 </w:t>
      </w:r>
      <w:r w:rsidR="00956657">
        <w:t>Budget</w:t>
      </w:r>
      <w:r w:rsidR="00FE1F43">
        <w:t xml:space="preserve"> </w:t>
      </w:r>
      <w:r>
        <w:t xml:space="preserve">(see </w:t>
      </w:r>
      <w:r w:rsidR="00F94D68">
        <w:t>t</w:t>
      </w:r>
      <w:r>
        <w:t>able</w:t>
      </w:r>
      <w:r w:rsidR="00FE1F43">
        <w:t xml:space="preserve"> </w:t>
      </w:r>
      <w:fldSimple w:instr=" REF _Caption2266 ">
        <w:r w:rsidR="00D733F1">
          <w:rPr>
            <w:noProof/>
          </w:rPr>
          <w:t>7</w:t>
        </w:r>
      </w:fldSimple>
      <w:r>
        <w:t>)</w:t>
      </w:r>
      <w:r w:rsidR="00025C96">
        <w:t>. There are four key drivers of this downward revision:</w:t>
      </w:r>
    </w:p>
    <w:p w:rsidR="00025C96" w:rsidRDefault="00025C96" w:rsidP="00284F89">
      <w:pPr>
        <w:pStyle w:val="ListBullet"/>
        <w:numPr>
          <w:ilvl w:val="0"/>
          <w:numId w:val="4"/>
        </w:numPr>
      </w:pPr>
      <w:r>
        <w:t xml:space="preserve">a reduction in Commonwealth grants due in part to cuts to health funding </w:t>
      </w:r>
    </w:p>
    <w:p w:rsidR="00025C96" w:rsidRDefault="00025C96" w:rsidP="00284F89">
      <w:pPr>
        <w:pStyle w:val="ListBullet"/>
        <w:numPr>
          <w:ilvl w:val="0"/>
          <w:numId w:val="4"/>
        </w:numPr>
      </w:pPr>
      <w:r>
        <w:t xml:space="preserve">a reduction in </w:t>
      </w:r>
      <w:r w:rsidRPr="00D771AA">
        <w:t xml:space="preserve">LDA dividend payments following a reduction in the land release program to take account of forecast lower demand for land following the </w:t>
      </w:r>
      <w:r>
        <w:t>Commonwealth Government staff cuts</w:t>
      </w:r>
    </w:p>
    <w:p w:rsidR="00025C96" w:rsidRDefault="00025C96" w:rsidP="00284F89">
      <w:pPr>
        <w:pStyle w:val="ListBullet"/>
        <w:numPr>
          <w:ilvl w:val="0"/>
          <w:numId w:val="4"/>
        </w:numPr>
      </w:pPr>
      <w:r>
        <w:t>a reduction in ACTEW</w:t>
      </w:r>
      <w:r w:rsidRPr="00D771AA">
        <w:t xml:space="preserve"> dividend payments following a </w:t>
      </w:r>
      <w:r>
        <w:t>lower than expected retail price</w:t>
      </w:r>
      <w:r w:rsidR="008F087B">
        <w:t xml:space="preserve"> setting</w:t>
      </w:r>
      <w:r>
        <w:t xml:space="preserve"> for water and sewerage </w:t>
      </w:r>
      <w:r w:rsidRPr="00D771AA">
        <w:t>reduction</w:t>
      </w:r>
      <w:r w:rsidR="00F94D68">
        <w:t>, and</w:t>
      </w:r>
    </w:p>
    <w:p w:rsidR="00025C96" w:rsidRDefault="00025C96" w:rsidP="00284F89">
      <w:pPr>
        <w:pStyle w:val="ListBullet"/>
        <w:numPr>
          <w:ilvl w:val="0"/>
          <w:numId w:val="4"/>
        </w:numPr>
      </w:pPr>
      <w:proofErr w:type="gramStart"/>
      <w:r>
        <w:t>increases</w:t>
      </w:r>
      <w:proofErr w:type="gramEnd"/>
      <w:r>
        <w:t xml:space="preserve"> in investments to help stimulate the ACT economy, which were in part offset by revenue initiatives in the </w:t>
      </w:r>
      <w:r w:rsidR="00956657">
        <w:t>Budget</w:t>
      </w:r>
      <w:r>
        <w:t>.</w:t>
      </w:r>
      <w:r w:rsidR="00FE1F43">
        <w:t xml:space="preserve"> </w:t>
      </w:r>
    </w:p>
    <w:p w:rsidR="003E774E" w:rsidRDefault="00B40B86" w:rsidP="003E774E">
      <w:pPr>
        <w:pStyle w:val="Caption"/>
      </w:pPr>
      <w:r w:rsidRPr="00695C93">
        <w:fldChar w:fldCharType="begin"/>
      </w:r>
      <w:r w:rsidR="003E774E" w:rsidRPr="00695C93">
        <w:instrText xml:space="preserve"> IF 1 = 1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w:instrText>
      </w:r>
      <w:fldSimple w:instr=" STYLEREF &quot;Heading 1&quot; \l \n ">
        <w:r w:rsidR="003E774E">
          <w:rPr>
            <w:noProof/>
          </w:rPr>
          <w:instrText>2</w:instrText>
        </w:r>
      </w:fldSimple>
      <w:r w:rsidR="003E774E" w:rsidRPr="00695C93">
        <w:instrText xml:space="preserve">." </w:instrText>
      </w:r>
      <w:r w:rsidRPr="00695C93">
        <w:fldChar w:fldCharType="end"/>
      </w:r>
      <w:r w:rsidR="003E774E" w:rsidRPr="00695C93">
        <w:instrText>" "</w:instrText>
      </w:r>
      <w:fldSimple w:instr=" STYLEREF &quot;Heading 6&quot; \l \n ">
        <w:r w:rsidR="003E774E" w:rsidRPr="00695C93">
          <w:instrText>B</w:instrText>
        </w:r>
      </w:fldSimple>
      <w:r w:rsidR="003E774E" w:rsidRPr="00695C93">
        <w:instrText xml:space="preserve">." </w:instrText>
      </w:r>
      <w:r w:rsidRPr="00695C93">
        <w:fldChar w:fldCharType="end"/>
      </w:r>
      <w:r w:rsidRPr="00695C93">
        <w:fldChar w:fldCharType="begin"/>
      </w:r>
      <w:r w:rsidR="003E774E" w:rsidRPr="00695C93">
        <w:instrText xml:space="preserve"> SEQ Item \* ARABIC \s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"1" </w:instrText>
      </w:r>
      <w:r w:rsidRPr="00695C93">
        <w:fldChar w:fldCharType="end"/>
      </w:r>
      <w:r w:rsidR="003E774E" w:rsidRPr="00695C93">
        <w:instrText xml:space="preserve">" "6" </w:instrText>
      </w:r>
      <w:r w:rsidRPr="00695C93">
        <w:fldChar w:fldCharType="end"/>
      </w:r>
      <w:r w:rsidR="003E774E" w:rsidRPr="00695C93">
        <w:instrText xml:space="preserve"> </w:instrText>
      </w:r>
      <w:r w:rsidRPr="00695C93">
        <w:fldChar w:fldCharType="separate"/>
      </w:r>
      <w:r w:rsidR="00D733F1">
        <w:rPr>
          <w:noProof/>
        </w:rPr>
        <w:instrText>7</w:instrText>
      </w:r>
      <w:r w:rsidRPr="00695C93">
        <w:fldChar w:fldCharType="end"/>
      </w:r>
      <w:r w:rsidR="003E774E" w:rsidRPr="00695C93">
        <w:instrText xml:space="preserve">" "" </w:instrText>
      </w:r>
      <w:r w:rsidRPr="00695C93">
        <w:fldChar w:fldCharType="separate"/>
      </w:r>
      <w:bookmarkStart w:id="217" w:name="_Caption9840"/>
      <w:bookmarkStart w:id="218" w:name="_Caption1028"/>
      <w:bookmarkStart w:id="219" w:name="_Caption9969"/>
      <w:bookmarkStart w:id="220" w:name="_Caption9079"/>
      <w:bookmarkStart w:id="221" w:name="_Caption0771"/>
      <w:bookmarkStart w:id="222" w:name="_Caption6465"/>
      <w:bookmarkStart w:id="223" w:name="_Caption2266"/>
      <w:bookmarkStart w:id="224" w:name="_Caption3127"/>
      <w:bookmarkStart w:id="225" w:name="_Caption4431"/>
      <w:bookmarkStart w:id="226" w:name="_Caption5925"/>
      <w:bookmarkStart w:id="227" w:name="_Caption4314"/>
      <w:bookmarkStart w:id="228" w:name="_Caption5034"/>
      <w:bookmarkStart w:id="229" w:name="_Caption5593"/>
      <w:bookmarkStart w:id="230" w:name="_Caption8891"/>
      <w:bookmarkStart w:id="231" w:name="_Caption3554"/>
      <w:bookmarkStart w:id="232" w:name="_Caption5798"/>
      <w:bookmarkStart w:id="233" w:name="_Caption1152"/>
      <w:bookmarkStart w:id="234" w:name="_Caption7307"/>
      <w:bookmarkStart w:id="235" w:name="_Caption2005"/>
      <w:bookmarkStart w:id="236" w:name="_Caption0786"/>
      <w:bookmarkStart w:id="237" w:name="_Caption7083"/>
      <w:bookmarkStart w:id="238" w:name="_Caption1039"/>
      <w:bookmarkStart w:id="239" w:name="_Caption6165"/>
      <w:bookmarkStart w:id="240" w:name="_Caption1573"/>
      <w:bookmarkStart w:id="241" w:name="_Caption0639"/>
      <w:bookmarkStart w:id="242" w:name="_Caption2028"/>
      <w:bookmarkStart w:id="243" w:name="_Caption2072"/>
      <w:bookmarkStart w:id="244" w:name="_Caption0912"/>
      <w:bookmarkStart w:id="245" w:name="_Caption1632"/>
      <w:bookmarkStart w:id="246" w:name="_Caption8266"/>
      <w:bookmarkStart w:id="247" w:name="_Caption6932"/>
      <w:bookmarkStart w:id="248" w:name="_Toc390427330"/>
      <w:r w:rsidR="00D733F1">
        <w:rPr>
          <w:noProof/>
        </w:rPr>
        <w:t>7</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695C93">
        <w:fldChar w:fldCharType="end"/>
      </w:r>
      <w:r w:rsidR="003E774E" w:rsidRPr="00695C93">
        <w:tab/>
      </w:r>
      <w:r w:rsidR="003E774E">
        <w:t>Change in GGS Headline Net Operating Balance from 2013-14</w:t>
      </w:r>
      <w:bookmarkEnd w:id="248"/>
    </w:p>
    <w:tbl>
      <w:tblPr>
        <w:tblW w:w="0" w:type="auto"/>
        <w:tblInd w:w="57" w:type="dxa"/>
        <w:tblLayout w:type="fixed"/>
        <w:tblLook w:val="0000"/>
      </w:tblPr>
      <w:tblGrid>
        <w:gridCol w:w="1587"/>
        <w:gridCol w:w="540"/>
        <w:gridCol w:w="1047"/>
        <w:gridCol w:w="1588"/>
        <w:gridCol w:w="1588"/>
        <w:gridCol w:w="1588"/>
      </w:tblGrid>
      <w:tr w:rsidR="00025C96" w:rsidTr="007206E0">
        <w:tc>
          <w:tcPr>
            <w:tcW w:w="1587" w:type="dxa"/>
            <w:shd w:val="clear" w:color="auto" w:fill="6F6652"/>
            <w:tcMar>
              <w:left w:w="57" w:type="dxa"/>
              <w:right w:w="57" w:type="dxa"/>
            </w:tcMar>
          </w:tcPr>
          <w:p w:rsidR="00025C96" w:rsidRDefault="00025C96" w:rsidP="007206E0">
            <w:pPr>
              <w:pStyle w:val="TableDataColumnHeading"/>
              <w:jc w:val="left"/>
            </w:pPr>
          </w:p>
        </w:tc>
        <w:tc>
          <w:tcPr>
            <w:tcW w:w="1587" w:type="dxa"/>
            <w:gridSpan w:val="2"/>
            <w:shd w:val="clear" w:color="auto" w:fill="6F6652"/>
            <w:tcMar>
              <w:left w:w="57" w:type="dxa"/>
              <w:right w:w="57" w:type="dxa"/>
            </w:tcMar>
          </w:tcPr>
          <w:p w:rsidR="00025C96" w:rsidRDefault="00025C96" w:rsidP="007206E0">
            <w:pPr>
              <w:pStyle w:val="TableDataColumnHeading"/>
            </w:pPr>
            <w:r w:rsidRPr="00733151">
              <w:rPr>
                <w:rFonts w:ascii="Franklin Gothic Book" w:hAnsi="Franklin Gothic Book"/>
                <w:sz w:val="18"/>
              </w:rPr>
              <w:t>2013-14</w:t>
            </w:r>
          </w:p>
        </w:tc>
        <w:tc>
          <w:tcPr>
            <w:tcW w:w="1588" w:type="dxa"/>
            <w:shd w:val="clear" w:color="auto" w:fill="6F6652"/>
            <w:tcMar>
              <w:left w:w="57" w:type="dxa"/>
              <w:right w:w="57" w:type="dxa"/>
            </w:tcMar>
          </w:tcPr>
          <w:p w:rsidR="00025C96" w:rsidRDefault="00025C96" w:rsidP="007206E0">
            <w:pPr>
              <w:pStyle w:val="TableDataColumnHeading"/>
            </w:pPr>
            <w:r w:rsidRPr="00733151">
              <w:rPr>
                <w:rFonts w:ascii="Franklin Gothic Book" w:hAnsi="Franklin Gothic Book"/>
                <w:sz w:val="18"/>
              </w:rPr>
              <w:t>2014-15</w:t>
            </w:r>
          </w:p>
        </w:tc>
        <w:tc>
          <w:tcPr>
            <w:tcW w:w="1588" w:type="dxa"/>
            <w:shd w:val="clear" w:color="auto" w:fill="6F6652"/>
            <w:tcMar>
              <w:left w:w="57" w:type="dxa"/>
              <w:right w:w="57" w:type="dxa"/>
            </w:tcMar>
          </w:tcPr>
          <w:p w:rsidR="00025C96" w:rsidRDefault="00025C96" w:rsidP="007206E0">
            <w:pPr>
              <w:pStyle w:val="TableDataColumnHeading"/>
            </w:pPr>
            <w:r w:rsidRPr="00733151">
              <w:rPr>
                <w:rFonts w:ascii="Franklin Gothic Book" w:hAnsi="Franklin Gothic Book"/>
                <w:sz w:val="18"/>
              </w:rPr>
              <w:t>2015-16</w:t>
            </w:r>
          </w:p>
        </w:tc>
        <w:tc>
          <w:tcPr>
            <w:tcW w:w="1588" w:type="dxa"/>
            <w:shd w:val="clear" w:color="auto" w:fill="6F6652"/>
            <w:tcMar>
              <w:left w:w="57" w:type="dxa"/>
              <w:right w:w="57" w:type="dxa"/>
            </w:tcMar>
          </w:tcPr>
          <w:p w:rsidR="00025C96" w:rsidRDefault="00025C96" w:rsidP="007206E0">
            <w:pPr>
              <w:pStyle w:val="TableDataColumnHeading"/>
            </w:pPr>
            <w:r w:rsidRPr="00733151">
              <w:rPr>
                <w:rFonts w:ascii="Franklin Gothic Book" w:hAnsi="Franklin Gothic Book"/>
                <w:sz w:val="18"/>
              </w:rPr>
              <w:t>2016-17</w:t>
            </w:r>
          </w:p>
        </w:tc>
      </w:tr>
      <w:tr w:rsidR="00025C96" w:rsidTr="007206E0">
        <w:tc>
          <w:tcPr>
            <w:tcW w:w="2127" w:type="dxa"/>
            <w:gridSpan w:val="2"/>
            <w:tcBorders>
              <w:bottom w:val="single" w:sz="8" w:space="0" w:color="FFFFFF" w:themeColor="background1"/>
            </w:tcBorders>
            <w:shd w:val="clear" w:color="auto" w:fill="auto"/>
            <w:tcMar>
              <w:left w:w="57" w:type="dxa"/>
              <w:right w:w="57" w:type="dxa"/>
            </w:tcMar>
          </w:tcPr>
          <w:p w:rsidR="00025C96" w:rsidRDefault="00025C96" w:rsidP="007206E0">
            <w:pPr>
              <w:pStyle w:val="TableUnit"/>
              <w:jc w:val="left"/>
            </w:pPr>
          </w:p>
        </w:tc>
        <w:tc>
          <w:tcPr>
            <w:tcW w:w="1047" w:type="dxa"/>
            <w:tcBorders>
              <w:bottom w:val="single" w:sz="8" w:space="0" w:color="FFFFFF" w:themeColor="background1"/>
            </w:tcBorders>
            <w:shd w:val="clear" w:color="auto" w:fill="auto"/>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$m</w:t>
            </w:r>
          </w:p>
        </w:tc>
        <w:tc>
          <w:tcPr>
            <w:tcW w:w="1588" w:type="dxa"/>
            <w:tcBorders>
              <w:bottom w:val="single" w:sz="8" w:space="0" w:color="FFFFFF" w:themeColor="background1"/>
            </w:tcBorders>
            <w:shd w:val="clear" w:color="auto" w:fill="auto"/>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$m</w:t>
            </w:r>
          </w:p>
        </w:tc>
        <w:tc>
          <w:tcPr>
            <w:tcW w:w="1588" w:type="dxa"/>
            <w:tcBorders>
              <w:bottom w:val="single" w:sz="8" w:space="0" w:color="FFFFFF" w:themeColor="background1"/>
            </w:tcBorders>
            <w:shd w:val="clear" w:color="auto" w:fill="auto"/>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$m</w:t>
            </w:r>
          </w:p>
        </w:tc>
        <w:tc>
          <w:tcPr>
            <w:tcW w:w="1588" w:type="dxa"/>
            <w:tcBorders>
              <w:bottom w:val="single" w:sz="8" w:space="0" w:color="FFFFFF" w:themeColor="background1"/>
            </w:tcBorders>
            <w:shd w:val="clear" w:color="auto" w:fill="auto"/>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$m</w:t>
            </w:r>
          </w:p>
        </w:tc>
      </w:tr>
      <w:tr w:rsidR="00025C96" w:rsidTr="007206E0">
        <w:tc>
          <w:tcPr>
            <w:tcW w:w="2127"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Unit"/>
              <w:jc w:val="left"/>
            </w:pPr>
            <w:r>
              <w:t>Commonwealth revenue</w:t>
            </w:r>
          </w:p>
        </w:tc>
        <w:tc>
          <w:tcPr>
            <w:tcW w:w="104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17.4</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-40.8</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-30.1</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-24.4</w:t>
            </w:r>
          </w:p>
        </w:tc>
      </w:tr>
      <w:tr w:rsidR="00025C96" w:rsidTr="007206E0">
        <w:tc>
          <w:tcPr>
            <w:tcW w:w="2127"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jc w:val="left"/>
            </w:pPr>
            <w:r>
              <w:t xml:space="preserve">Financial market </w:t>
            </w:r>
          </w:p>
        </w:tc>
        <w:tc>
          <w:tcPr>
            <w:tcW w:w="104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-32.2</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2.4</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-12.0</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-24.9</w:t>
            </w:r>
          </w:p>
        </w:tc>
      </w:tr>
      <w:tr w:rsidR="00025C96" w:rsidTr="007206E0">
        <w:tc>
          <w:tcPr>
            <w:tcW w:w="2127"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jc w:val="left"/>
            </w:pPr>
            <w:r>
              <w:t xml:space="preserve">Economic Activity </w:t>
            </w:r>
          </w:p>
        </w:tc>
        <w:tc>
          <w:tcPr>
            <w:tcW w:w="104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-62.0</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-116.7</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-153.2</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-119.7</w:t>
            </w:r>
          </w:p>
        </w:tc>
      </w:tr>
      <w:tr w:rsidR="00025C96" w:rsidTr="007206E0">
        <w:tc>
          <w:tcPr>
            <w:tcW w:w="2127"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FE1F43" w:rsidP="007206E0">
            <w:pPr>
              <w:pStyle w:val="TableDataEntries"/>
              <w:jc w:val="left"/>
            </w:pPr>
            <w:r>
              <w:t xml:space="preserve"> </w:t>
            </w:r>
            <w:r w:rsidR="00025C96">
              <w:t>ACTEW / LDA dividends</w:t>
            </w:r>
          </w:p>
        </w:tc>
        <w:tc>
          <w:tcPr>
            <w:tcW w:w="104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-37</w:t>
            </w:r>
            <w:r w:rsidRPr="00733151">
              <w:rPr>
                <w:rFonts w:ascii="Franklin Gothic Book" w:eastAsia="Times New Roman" w:hAnsi="Franklin Gothic Book"/>
                <w:sz w:val="18"/>
                <w:szCs w:val="18"/>
              </w:rPr>
              <w:t>.0</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-78</w:t>
            </w:r>
            <w:r w:rsidRPr="00733151">
              <w:rPr>
                <w:rFonts w:ascii="Franklin Gothic Book" w:eastAsia="Times New Roman" w:hAnsi="Franklin Gothic Book"/>
                <w:sz w:val="18"/>
                <w:szCs w:val="18"/>
              </w:rPr>
              <w:t>.</w:t>
            </w:r>
            <w:r>
              <w:rPr>
                <w:rFonts w:ascii="Franklin Gothic Book" w:eastAsia="Times New Roman" w:hAnsi="Franklin Gothic Book"/>
                <w:sz w:val="18"/>
                <w:szCs w:val="18"/>
              </w:rPr>
              <w:t>5</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-138.3</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-118.7</w:t>
            </w:r>
          </w:p>
        </w:tc>
      </w:tr>
      <w:tr w:rsidR="00025C96" w:rsidTr="007206E0">
        <w:tc>
          <w:tcPr>
            <w:tcW w:w="2127"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jc w:val="left"/>
            </w:pPr>
            <w:r>
              <w:t xml:space="preserve">Other </w:t>
            </w:r>
          </w:p>
        </w:tc>
        <w:tc>
          <w:tcPr>
            <w:tcW w:w="104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78.5</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5.4</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36.5</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52.4</w:t>
            </w:r>
          </w:p>
        </w:tc>
      </w:tr>
      <w:tr w:rsidR="00025C96" w:rsidTr="007206E0">
        <w:tc>
          <w:tcPr>
            <w:tcW w:w="2127"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jc w:val="left"/>
            </w:pPr>
            <w:r>
              <w:t xml:space="preserve">Policy impacts </w:t>
            </w:r>
          </w:p>
        </w:tc>
        <w:tc>
          <w:tcPr>
            <w:tcW w:w="104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-13.4</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-83.6</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11.7</w:t>
            </w:r>
          </w:p>
        </w:tc>
        <w:tc>
          <w:tcPr>
            <w:tcW w:w="158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sidRPr="00733151">
              <w:rPr>
                <w:rFonts w:ascii="Franklin Gothic Book" w:eastAsia="Times New Roman" w:hAnsi="Franklin Gothic Book"/>
                <w:sz w:val="18"/>
                <w:szCs w:val="18"/>
              </w:rPr>
              <w:t>43.3</w:t>
            </w:r>
          </w:p>
        </w:tc>
      </w:tr>
      <w:tr w:rsidR="00025C96" w:rsidTr="007206E0">
        <w:tc>
          <w:tcPr>
            <w:tcW w:w="2127" w:type="dxa"/>
            <w:gridSpan w:val="2"/>
            <w:tcBorders>
              <w:top w:val="single" w:sz="8" w:space="0" w:color="FFFFFF" w:themeColor="background1"/>
              <w:bottom w:val="single" w:sz="6" w:space="0" w:color="6F6652"/>
            </w:tcBorders>
            <w:shd w:val="clear" w:color="auto" w:fill="C2DADB" w:themeFill="accent6" w:themeFillTint="99"/>
            <w:tcMar>
              <w:left w:w="57" w:type="dxa"/>
              <w:right w:w="57" w:type="dxa"/>
            </w:tcMar>
          </w:tcPr>
          <w:p w:rsidR="00025C96" w:rsidRPr="00AD24E3" w:rsidRDefault="00025C96" w:rsidP="007206E0">
            <w:pPr>
              <w:pStyle w:val="TableDataEntries"/>
              <w:jc w:val="left"/>
              <w:rPr>
                <w:rFonts w:ascii="Franklin Gothic Medium" w:hAnsi="Franklin Gothic Medium"/>
                <w:b/>
              </w:rPr>
            </w:pPr>
            <w:r w:rsidRPr="00AD24E3">
              <w:rPr>
                <w:rFonts w:ascii="Franklin Gothic Medium" w:hAnsi="Franklin Gothic Medium"/>
                <w:b/>
              </w:rPr>
              <w:t xml:space="preserve">Total </w:t>
            </w:r>
          </w:p>
        </w:tc>
        <w:tc>
          <w:tcPr>
            <w:tcW w:w="1047"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center"/>
          </w:tcPr>
          <w:p w:rsidR="00025C96" w:rsidRPr="00733151" w:rsidRDefault="00025C96" w:rsidP="007206E0">
            <w:pPr>
              <w:spacing w:line="240" w:lineRule="auto"/>
              <w:jc w:val="right"/>
              <w:rPr>
                <w:rFonts w:ascii="Franklin Gothic Medium" w:eastAsia="Times New Roman" w:hAnsi="Franklin Gothic Medium"/>
                <w:b/>
                <w:sz w:val="18"/>
                <w:szCs w:val="18"/>
              </w:rPr>
            </w:pPr>
            <w:r w:rsidRPr="00733151">
              <w:rPr>
                <w:rFonts w:ascii="Franklin Gothic Medium" w:eastAsia="Times New Roman" w:hAnsi="Franklin Gothic Medium"/>
                <w:b/>
                <w:sz w:val="18"/>
                <w:szCs w:val="18"/>
              </w:rPr>
              <w:t>-11.7</w:t>
            </w:r>
          </w:p>
        </w:tc>
        <w:tc>
          <w:tcPr>
            <w:tcW w:w="1588"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center"/>
          </w:tcPr>
          <w:p w:rsidR="00025C96" w:rsidRPr="00733151" w:rsidRDefault="00025C96" w:rsidP="007206E0">
            <w:pPr>
              <w:spacing w:line="240" w:lineRule="auto"/>
              <w:jc w:val="right"/>
              <w:rPr>
                <w:rFonts w:ascii="Franklin Gothic Medium" w:eastAsia="Times New Roman" w:hAnsi="Franklin Gothic Medium"/>
                <w:b/>
                <w:sz w:val="18"/>
                <w:szCs w:val="18"/>
              </w:rPr>
            </w:pPr>
            <w:r w:rsidRPr="00733151">
              <w:rPr>
                <w:rFonts w:ascii="Franklin Gothic Medium" w:eastAsia="Times New Roman" w:hAnsi="Franklin Gothic Medium"/>
                <w:b/>
                <w:sz w:val="18"/>
                <w:szCs w:val="18"/>
              </w:rPr>
              <w:t>-233.3</w:t>
            </w:r>
          </w:p>
        </w:tc>
        <w:tc>
          <w:tcPr>
            <w:tcW w:w="1588"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center"/>
          </w:tcPr>
          <w:p w:rsidR="00025C96" w:rsidRPr="00733151" w:rsidRDefault="00025C96" w:rsidP="007206E0">
            <w:pPr>
              <w:spacing w:line="240" w:lineRule="auto"/>
              <w:jc w:val="right"/>
              <w:rPr>
                <w:rFonts w:ascii="Franklin Gothic Medium" w:eastAsia="Times New Roman" w:hAnsi="Franklin Gothic Medium"/>
                <w:b/>
                <w:sz w:val="18"/>
                <w:szCs w:val="18"/>
              </w:rPr>
            </w:pPr>
            <w:r w:rsidRPr="00733151">
              <w:rPr>
                <w:rFonts w:ascii="Franklin Gothic Medium" w:eastAsia="Times New Roman" w:hAnsi="Franklin Gothic Medium"/>
                <w:b/>
                <w:sz w:val="18"/>
                <w:szCs w:val="18"/>
              </w:rPr>
              <w:t>-147.1</w:t>
            </w:r>
          </w:p>
        </w:tc>
        <w:tc>
          <w:tcPr>
            <w:tcW w:w="1588"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center"/>
          </w:tcPr>
          <w:p w:rsidR="00025C96" w:rsidRPr="00733151" w:rsidRDefault="00025C96" w:rsidP="007206E0">
            <w:pPr>
              <w:spacing w:line="240" w:lineRule="auto"/>
              <w:jc w:val="right"/>
              <w:rPr>
                <w:rFonts w:ascii="Franklin Gothic Medium" w:eastAsia="Times New Roman" w:hAnsi="Franklin Gothic Medium"/>
                <w:b/>
                <w:sz w:val="18"/>
                <w:szCs w:val="18"/>
              </w:rPr>
            </w:pPr>
            <w:r w:rsidRPr="00733151">
              <w:rPr>
                <w:rFonts w:ascii="Franklin Gothic Medium" w:eastAsia="Times New Roman" w:hAnsi="Franklin Gothic Medium"/>
                <w:b/>
                <w:sz w:val="18"/>
                <w:szCs w:val="18"/>
              </w:rPr>
              <w:t>-73.3</w:t>
            </w:r>
          </w:p>
        </w:tc>
      </w:tr>
    </w:tbl>
    <w:p w:rsidR="00025C96" w:rsidRDefault="00025C96" w:rsidP="00025C96">
      <w:pPr>
        <w:pStyle w:val="Source"/>
      </w:pPr>
      <w:r>
        <w:rPr>
          <w:i/>
        </w:rPr>
        <w:t>Source</w:t>
      </w:r>
      <w:r w:rsidRPr="00E4232C">
        <w:rPr>
          <w:i/>
        </w:rPr>
        <w:t>:</w:t>
      </w:r>
      <w:r>
        <w:t xml:space="preserve"> ACT </w:t>
      </w:r>
      <w:r w:rsidR="00956657">
        <w:t>Budget</w:t>
      </w:r>
      <w:r>
        <w:t xml:space="preserve"> 2014-15</w:t>
      </w:r>
    </w:p>
    <w:p w:rsidR="00FE1F43" w:rsidRDefault="00FE1F43" w:rsidP="00FE1F43">
      <w:pPr>
        <w:pStyle w:val="BodyText"/>
      </w:pPr>
      <w:r>
        <w:lastRenderedPageBreak/>
        <w:t xml:space="preserve">The first three of these drivers continue to hamper revenue growth over the forward estimates period. In particular: </w:t>
      </w:r>
    </w:p>
    <w:p w:rsidR="00FE1F43" w:rsidRDefault="00FE1F43" w:rsidP="00284F89">
      <w:pPr>
        <w:pStyle w:val="ListBullet"/>
        <w:numPr>
          <w:ilvl w:val="0"/>
          <w:numId w:val="4"/>
        </w:numPr>
      </w:pPr>
      <w:r>
        <w:t>downward revisions to dividend income from LDA and ACTEW relative to the previous Budget total close to $335 million between 20141-15 and 2016-17</w:t>
      </w:r>
    </w:p>
    <w:p w:rsidR="00FE1F43" w:rsidRDefault="00FE1F43" w:rsidP="00284F89">
      <w:pPr>
        <w:pStyle w:val="ListBullet"/>
        <w:numPr>
          <w:ilvl w:val="0"/>
          <w:numId w:val="4"/>
        </w:numPr>
      </w:pPr>
      <w:proofErr w:type="gramStart"/>
      <w:r>
        <w:t>downward</w:t>
      </w:r>
      <w:proofErr w:type="gramEnd"/>
      <w:r>
        <w:t xml:space="preserve"> revisions to commonwealth grants revenue total close to $95 million over the same period. </w:t>
      </w:r>
    </w:p>
    <w:p w:rsidR="00FE1F43" w:rsidRPr="00FB3F5F" w:rsidRDefault="00FE1F43" w:rsidP="00FE1F43">
      <w:pPr>
        <w:pStyle w:val="BodyText"/>
      </w:pPr>
      <w:r w:rsidRPr="00FB3F5F">
        <w:t xml:space="preserve">The ACT Government </w:t>
      </w:r>
      <w:r>
        <w:t>Budget</w:t>
      </w:r>
      <w:r w:rsidRPr="00FB3F5F">
        <w:t xml:space="preserve"> 201</w:t>
      </w:r>
      <w:r>
        <w:t>4</w:t>
      </w:r>
      <w:r w:rsidRPr="00FB3F5F">
        <w:t>-1</w:t>
      </w:r>
      <w:r>
        <w:t>5</w:t>
      </w:r>
      <w:r w:rsidRPr="00FB3F5F">
        <w:t xml:space="preserve"> </w:t>
      </w:r>
      <w:r>
        <w:t xml:space="preserve">invests in significant new capital works and expenditure initiatives to bolster the ACT economy. New expense initiatives of $182.7 million (net of the </w:t>
      </w:r>
      <w:proofErr w:type="gramStart"/>
      <w:r>
        <w:t>health funding</w:t>
      </w:r>
      <w:proofErr w:type="gramEnd"/>
      <w:r>
        <w:t xml:space="preserve"> envelope) and $415.2 million in capital works spending are included in the Budget over the forward estimates period.</w:t>
      </w:r>
    </w:p>
    <w:p w:rsidR="00FE1F43" w:rsidRDefault="00FE1F43" w:rsidP="00FE1F43">
      <w:pPr>
        <w:pStyle w:val="BodyText"/>
      </w:pPr>
      <w:r>
        <w:t xml:space="preserve">Overall, the profile of expenditure is stimulatory, with a focus on spending within the Health Directorate and the Justice and Community Safety Directorate. </w:t>
      </w:r>
    </w:p>
    <w:p w:rsidR="00FE1F43" w:rsidRDefault="00FE1F43" w:rsidP="00FE1F43">
      <w:pPr>
        <w:pStyle w:val="ListBullet"/>
        <w:numPr>
          <w:ilvl w:val="0"/>
          <w:numId w:val="0"/>
        </w:numPr>
        <w:spacing w:before="140"/>
      </w:pPr>
      <w:r>
        <w:t xml:space="preserve">The increases in investment spending outlined above are partly offset by revenue initiatives in the 2014-15 Budget that are expected to increase revenue by $121.8 million over the forward estimates period. </w:t>
      </w:r>
      <w:r w:rsidRPr="00A408C5">
        <w:t xml:space="preserve">Over 80 per cent of the expected revenue generated from the initiatives is due to reform to land tax, payroll tax, and the fire and emergency services levy. </w:t>
      </w:r>
    </w:p>
    <w:p w:rsidR="00025C96" w:rsidRDefault="00025C96" w:rsidP="00025C96">
      <w:pPr>
        <w:pStyle w:val="Heading2"/>
      </w:pPr>
      <w:bookmarkStart w:id="249" w:name="_Toc390427299"/>
      <w:r>
        <w:t>Current projections of the GGS headline operating balances</w:t>
      </w:r>
      <w:bookmarkEnd w:id="249"/>
    </w:p>
    <w:p w:rsidR="00A13D59" w:rsidRDefault="00025C96" w:rsidP="00A13D59">
      <w:pPr>
        <w:pStyle w:val="BodyText"/>
      </w:pPr>
      <w:r>
        <w:t xml:space="preserve">The key drivers highlighted above have contributed to the </w:t>
      </w:r>
      <w:r w:rsidR="00956657">
        <w:t>Budget</w:t>
      </w:r>
      <w:r>
        <w:t xml:space="preserve"> deficit in 2014-15 </w:t>
      </w:r>
      <w:proofErr w:type="gramStart"/>
      <w:r>
        <w:t>being revised</w:t>
      </w:r>
      <w:proofErr w:type="gramEnd"/>
      <w:r>
        <w:t xml:space="preserve"> d</w:t>
      </w:r>
      <w:r w:rsidR="00D84E84">
        <w:t>own to $446 million (see table</w:t>
      </w:r>
      <w:r w:rsidR="00FE1F43">
        <w:t xml:space="preserve"> </w:t>
      </w:r>
      <w:fldSimple w:instr=" REF _Caption5981 ">
        <w:r w:rsidR="00D733F1">
          <w:rPr>
            <w:noProof/>
          </w:rPr>
          <w:t>8</w:t>
        </w:r>
      </w:fldSimple>
      <w:r>
        <w:t xml:space="preserve">). </w:t>
      </w:r>
      <w:r w:rsidR="00A13D59">
        <w:t xml:space="preserve">The </w:t>
      </w:r>
      <w:r w:rsidR="007C65E8">
        <w:t>b</w:t>
      </w:r>
      <w:r w:rsidR="00956657">
        <w:t>udget</w:t>
      </w:r>
      <w:r w:rsidR="00A13D59">
        <w:t xml:space="preserve"> balance gradually i</w:t>
      </w:r>
      <w:r w:rsidR="008C7204">
        <w:t>mproves after 2014-15, though a</w:t>
      </w:r>
      <w:r w:rsidR="00A13D59">
        <w:t xml:space="preserve"> </w:t>
      </w:r>
      <w:r w:rsidR="00956657">
        <w:t>Budget</w:t>
      </w:r>
      <w:r w:rsidR="00A13D59">
        <w:t xml:space="preserve"> surplus </w:t>
      </w:r>
      <w:proofErr w:type="gramStart"/>
      <w:r w:rsidR="00A13D59">
        <w:t>is not achieved</w:t>
      </w:r>
      <w:proofErr w:type="gramEnd"/>
      <w:r w:rsidR="00A13D59">
        <w:t xml:space="preserve"> over the forward estimates period. </w:t>
      </w:r>
    </w:p>
    <w:p w:rsidR="00025C96" w:rsidRDefault="00025C96" w:rsidP="00025C96">
      <w:pPr>
        <w:pStyle w:val="BodyText"/>
        <w:rPr>
          <w:lang w:eastAsia="en-US"/>
        </w:rPr>
      </w:pPr>
      <w:r>
        <w:t xml:space="preserve">The relatively strong increase in revenue over the forward estimates period is largely due to growth in </w:t>
      </w:r>
      <w:r>
        <w:rPr>
          <w:lang w:eastAsia="en-US"/>
        </w:rPr>
        <w:t>taxation revenue in response to:</w:t>
      </w:r>
      <w:r w:rsidR="00FE1F43">
        <w:rPr>
          <w:lang w:eastAsia="en-US"/>
        </w:rPr>
        <w:t xml:space="preserve"> </w:t>
      </w:r>
    </w:p>
    <w:p w:rsidR="00025C96" w:rsidRDefault="00025C96" w:rsidP="00284F89">
      <w:pPr>
        <w:pStyle w:val="ListBullet"/>
        <w:numPr>
          <w:ilvl w:val="0"/>
          <w:numId w:val="4"/>
        </w:numPr>
      </w:pPr>
      <w:r>
        <w:t xml:space="preserve">the need to find substitute tax sources to </w:t>
      </w:r>
      <w:r w:rsidR="00450385">
        <w:t>C</w:t>
      </w:r>
      <w:r w:rsidR="009A425A">
        <w:t>ommonwealth grants</w:t>
      </w:r>
      <w:r w:rsidR="00450385">
        <w:t>, and</w:t>
      </w:r>
    </w:p>
    <w:p w:rsidR="00025C96" w:rsidRDefault="00025C96" w:rsidP="00284F89">
      <w:pPr>
        <w:pStyle w:val="ListBullet"/>
        <w:numPr>
          <w:ilvl w:val="0"/>
          <w:numId w:val="4"/>
        </w:numPr>
      </w:pPr>
      <w:proofErr w:type="gramStart"/>
      <w:r>
        <w:rPr>
          <w:lang w:eastAsia="en-US"/>
        </w:rPr>
        <w:t>a</w:t>
      </w:r>
      <w:proofErr w:type="gramEnd"/>
      <w:r>
        <w:rPr>
          <w:lang w:eastAsia="en-US"/>
        </w:rPr>
        <w:t xml:space="preserve"> number of the revenue sources being indexed over time and less sensitive to changes in economic activity e.g. motor vehicle registration</w:t>
      </w:r>
      <w:r w:rsidR="00960CE0">
        <w:rPr>
          <w:lang w:eastAsia="en-US"/>
        </w:rPr>
        <w:t>.</w:t>
      </w:r>
    </w:p>
    <w:p w:rsidR="003E774E" w:rsidRDefault="00B40B86" w:rsidP="003E774E">
      <w:pPr>
        <w:pStyle w:val="Caption"/>
      </w:pPr>
      <w:r w:rsidRPr="00695C93">
        <w:fldChar w:fldCharType="begin"/>
      </w:r>
      <w:r w:rsidR="003E774E" w:rsidRPr="00695C93">
        <w:instrText xml:space="preserve"> IF 1 = 1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w:instrText>
      </w:r>
      <w:fldSimple w:instr=" STYLEREF &quot;Heading 1&quot; \l \n ">
        <w:r w:rsidR="003E774E">
          <w:rPr>
            <w:noProof/>
          </w:rPr>
          <w:instrText>2</w:instrText>
        </w:r>
      </w:fldSimple>
      <w:r w:rsidR="003E774E" w:rsidRPr="00695C93">
        <w:instrText xml:space="preserve">." </w:instrText>
      </w:r>
      <w:r w:rsidRPr="00695C93">
        <w:fldChar w:fldCharType="end"/>
      </w:r>
      <w:r w:rsidR="003E774E" w:rsidRPr="00695C93">
        <w:instrText>" "</w:instrText>
      </w:r>
      <w:fldSimple w:instr=" STYLEREF &quot;Heading 6&quot; \l \n ">
        <w:r w:rsidR="003E774E" w:rsidRPr="00695C93">
          <w:instrText>B</w:instrText>
        </w:r>
      </w:fldSimple>
      <w:r w:rsidR="003E774E" w:rsidRPr="00695C93">
        <w:instrText xml:space="preserve">." </w:instrText>
      </w:r>
      <w:r w:rsidRPr="00695C93">
        <w:fldChar w:fldCharType="end"/>
      </w:r>
      <w:r w:rsidRPr="00695C93">
        <w:fldChar w:fldCharType="begin"/>
      </w:r>
      <w:r w:rsidR="003E774E" w:rsidRPr="00695C93">
        <w:instrText xml:space="preserve"> SEQ Item \* ARABIC \s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"1" </w:instrText>
      </w:r>
      <w:r w:rsidRPr="00695C93">
        <w:fldChar w:fldCharType="end"/>
      </w:r>
      <w:r w:rsidR="003E774E" w:rsidRPr="00695C93">
        <w:instrText xml:space="preserve">" "6" </w:instrText>
      </w:r>
      <w:r w:rsidRPr="00695C93">
        <w:fldChar w:fldCharType="end"/>
      </w:r>
      <w:r w:rsidR="003E774E" w:rsidRPr="00695C93">
        <w:instrText xml:space="preserve"> </w:instrText>
      </w:r>
      <w:r w:rsidRPr="00695C93">
        <w:fldChar w:fldCharType="separate"/>
      </w:r>
      <w:r w:rsidR="00D733F1">
        <w:rPr>
          <w:noProof/>
        </w:rPr>
        <w:instrText>8</w:instrText>
      </w:r>
      <w:r w:rsidRPr="00695C93">
        <w:fldChar w:fldCharType="end"/>
      </w:r>
      <w:r w:rsidR="003E774E" w:rsidRPr="00695C93">
        <w:instrText xml:space="preserve">" "" </w:instrText>
      </w:r>
      <w:r w:rsidRPr="00695C93">
        <w:fldChar w:fldCharType="separate"/>
      </w:r>
      <w:bookmarkStart w:id="250" w:name="_Caption7600"/>
      <w:bookmarkStart w:id="251" w:name="_Caption5648"/>
      <w:bookmarkStart w:id="252" w:name="_Caption4033"/>
      <w:bookmarkStart w:id="253" w:name="_Caption3494"/>
      <w:bookmarkStart w:id="254" w:name="_Caption8205"/>
      <w:bookmarkStart w:id="255" w:name="_Caption5999"/>
      <w:bookmarkStart w:id="256" w:name="_Caption7576"/>
      <w:bookmarkStart w:id="257" w:name="_Caption5981"/>
      <w:bookmarkStart w:id="258" w:name="_Caption5243"/>
      <w:bookmarkStart w:id="259" w:name="_Caption5885"/>
      <w:bookmarkStart w:id="260" w:name="_Caption2040"/>
      <w:bookmarkStart w:id="261" w:name="_Caption6003"/>
      <w:bookmarkStart w:id="262" w:name="_Caption1805"/>
      <w:bookmarkStart w:id="263" w:name="_Caption6572"/>
      <w:bookmarkStart w:id="264" w:name="_Caption8125"/>
      <w:bookmarkStart w:id="265" w:name="_Caption1736"/>
      <w:bookmarkStart w:id="266" w:name="_Caption7140"/>
      <w:bookmarkStart w:id="267" w:name="_Caption9290"/>
      <w:bookmarkStart w:id="268" w:name="_Caption7733"/>
      <w:bookmarkStart w:id="269" w:name="_Caption2180"/>
      <w:bookmarkStart w:id="270" w:name="_Caption4043"/>
      <w:bookmarkStart w:id="271" w:name="_Caption5062"/>
      <w:bookmarkStart w:id="272" w:name="_Caption5170"/>
      <w:bookmarkStart w:id="273" w:name="_Caption0445"/>
      <w:bookmarkStart w:id="274" w:name="_Caption5107"/>
      <w:bookmarkStart w:id="275" w:name="_Caption2053"/>
      <w:bookmarkStart w:id="276" w:name="_Caption7578"/>
      <w:bookmarkStart w:id="277" w:name="_Caption6785"/>
      <w:bookmarkStart w:id="278" w:name="_Caption9901"/>
      <w:bookmarkStart w:id="279" w:name="_Caption4903"/>
      <w:bookmarkStart w:id="280" w:name="_Caption0613"/>
      <w:bookmarkStart w:id="281" w:name="_Toc390427331"/>
      <w:r w:rsidR="00D733F1">
        <w:rPr>
          <w:noProof/>
        </w:rPr>
        <w:t>8</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695C93">
        <w:fldChar w:fldCharType="end"/>
      </w:r>
      <w:r w:rsidR="003E774E" w:rsidRPr="00695C93">
        <w:tab/>
      </w:r>
      <w:r w:rsidR="003E774E">
        <w:t>General Government Sector Net Operating Surplus/Deficit</w:t>
      </w:r>
      <w:bookmarkEnd w:id="281"/>
    </w:p>
    <w:tbl>
      <w:tblPr>
        <w:tblW w:w="7938" w:type="dxa"/>
        <w:tblInd w:w="57" w:type="dxa"/>
        <w:tblLayout w:type="fixed"/>
        <w:tblLook w:val="0000"/>
      </w:tblPr>
      <w:tblGrid>
        <w:gridCol w:w="2383"/>
        <w:gridCol w:w="1111"/>
        <w:gridCol w:w="1111"/>
        <w:gridCol w:w="1111"/>
        <w:gridCol w:w="1111"/>
        <w:gridCol w:w="1111"/>
      </w:tblGrid>
      <w:tr w:rsidR="00025C96" w:rsidTr="003E774E">
        <w:tc>
          <w:tcPr>
            <w:tcW w:w="2383" w:type="dxa"/>
            <w:shd w:val="clear" w:color="auto" w:fill="6F6652"/>
            <w:tcMar>
              <w:left w:w="57" w:type="dxa"/>
              <w:right w:w="57" w:type="dxa"/>
            </w:tcMar>
          </w:tcPr>
          <w:p w:rsidR="00025C96" w:rsidRDefault="00025C96" w:rsidP="007206E0">
            <w:pPr>
              <w:pStyle w:val="TableDataColumnHeading"/>
              <w:jc w:val="left"/>
            </w:pPr>
          </w:p>
        </w:tc>
        <w:tc>
          <w:tcPr>
            <w:tcW w:w="1111" w:type="dxa"/>
            <w:shd w:val="clear" w:color="auto" w:fill="6F6652"/>
            <w:tcMar>
              <w:left w:w="57" w:type="dxa"/>
              <w:right w:w="57" w:type="dxa"/>
            </w:tcMar>
          </w:tcPr>
          <w:p w:rsidR="00025C96" w:rsidRDefault="00025C96" w:rsidP="007206E0">
            <w:pPr>
              <w:pStyle w:val="TableDataColumnHeading"/>
            </w:pPr>
            <w:r w:rsidRPr="00733151">
              <w:rPr>
                <w:rFonts w:ascii="Franklin Gothic Book" w:hAnsi="Franklin Gothic Book"/>
                <w:sz w:val="18"/>
              </w:rPr>
              <w:t>2013-14</w:t>
            </w:r>
          </w:p>
        </w:tc>
        <w:tc>
          <w:tcPr>
            <w:tcW w:w="1111" w:type="dxa"/>
            <w:shd w:val="clear" w:color="auto" w:fill="6F6652"/>
            <w:tcMar>
              <w:left w:w="57" w:type="dxa"/>
              <w:right w:w="57" w:type="dxa"/>
            </w:tcMar>
          </w:tcPr>
          <w:p w:rsidR="00025C96" w:rsidRDefault="00025C96" w:rsidP="007206E0">
            <w:pPr>
              <w:pStyle w:val="TableDataColumnHeading"/>
            </w:pPr>
            <w:r w:rsidRPr="00733151">
              <w:rPr>
                <w:rFonts w:ascii="Franklin Gothic Book" w:hAnsi="Franklin Gothic Book"/>
                <w:sz w:val="18"/>
              </w:rPr>
              <w:t>2014-15</w:t>
            </w:r>
          </w:p>
        </w:tc>
        <w:tc>
          <w:tcPr>
            <w:tcW w:w="1111" w:type="dxa"/>
            <w:shd w:val="clear" w:color="auto" w:fill="6F6652"/>
            <w:tcMar>
              <w:left w:w="57" w:type="dxa"/>
              <w:right w:w="57" w:type="dxa"/>
            </w:tcMar>
          </w:tcPr>
          <w:p w:rsidR="00025C96" w:rsidRDefault="00025C96" w:rsidP="007206E0">
            <w:pPr>
              <w:pStyle w:val="TableDataColumnHeading"/>
            </w:pPr>
            <w:r w:rsidRPr="00733151">
              <w:rPr>
                <w:rFonts w:ascii="Franklin Gothic Book" w:hAnsi="Franklin Gothic Book"/>
                <w:sz w:val="18"/>
              </w:rPr>
              <w:t>2015-16</w:t>
            </w:r>
          </w:p>
        </w:tc>
        <w:tc>
          <w:tcPr>
            <w:tcW w:w="1111" w:type="dxa"/>
            <w:shd w:val="clear" w:color="auto" w:fill="6F6652"/>
            <w:tcMar>
              <w:left w:w="57" w:type="dxa"/>
              <w:right w:w="57" w:type="dxa"/>
            </w:tcMar>
          </w:tcPr>
          <w:p w:rsidR="00025C96" w:rsidRDefault="00025C96" w:rsidP="007206E0">
            <w:pPr>
              <w:pStyle w:val="TableDataColumnHeading"/>
            </w:pPr>
            <w:r w:rsidRPr="00733151">
              <w:rPr>
                <w:rFonts w:ascii="Franklin Gothic Book" w:hAnsi="Franklin Gothic Book"/>
                <w:sz w:val="18"/>
              </w:rPr>
              <w:t>2016-17</w:t>
            </w:r>
          </w:p>
        </w:tc>
        <w:tc>
          <w:tcPr>
            <w:tcW w:w="1111" w:type="dxa"/>
            <w:shd w:val="clear" w:color="auto" w:fill="6F6652"/>
          </w:tcPr>
          <w:p w:rsidR="00025C96" w:rsidRPr="00733151" w:rsidRDefault="00025C96" w:rsidP="007206E0">
            <w:pPr>
              <w:pStyle w:val="TableDataColumnHeading"/>
              <w:rPr>
                <w:rFonts w:ascii="Franklin Gothic Book" w:hAnsi="Franklin Gothic Book"/>
                <w:sz w:val="18"/>
              </w:rPr>
            </w:pPr>
            <w:r>
              <w:rPr>
                <w:rFonts w:ascii="Franklin Gothic Book" w:hAnsi="Franklin Gothic Book"/>
                <w:sz w:val="18"/>
              </w:rPr>
              <w:t>2017-18</w:t>
            </w:r>
          </w:p>
        </w:tc>
      </w:tr>
      <w:tr w:rsidR="00025C96" w:rsidTr="003E774E">
        <w:tc>
          <w:tcPr>
            <w:tcW w:w="2383" w:type="dxa"/>
            <w:tcBorders>
              <w:bottom w:val="single" w:sz="8" w:space="0" w:color="FFFFFF" w:themeColor="background1"/>
            </w:tcBorders>
            <w:shd w:val="clear" w:color="auto" w:fill="auto"/>
            <w:tcMar>
              <w:left w:w="57" w:type="dxa"/>
              <w:right w:w="57" w:type="dxa"/>
            </w:tcMar>
          </w:tcPr>
          <w:p w:rsidR="00025C96" w:rsidRDefault="00025C96" w:rsidP="007206E0">
            <w:pPr>
              <w:pStyle w:val="TableUnit"/>
              <w:jc w:val="left"/>
            </w:pPr>
          </w:p>
        </w:tc>
        <w:tc>
          <w:tcPr>
            <w:tcW w:w="1111" w:type="dxa"/>
            <w:tcBorders>
              <w:bottom w:val="single" w:sz="8" w:space="0" w:color="FFFFFF" w:themeColor="background1"/>
            </w:tcBorders>
            <w:shd w:val="clear" w:color="auto" w:fill="auto"/>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$m</w:t>
            </w:r>
          </w:p>
        </w:tc>
        <w:tc>
          <w:tcPr>
            <w:tcW w:w="1111" w:type="dxa"/>
            <w:tcBorders>
              <w:bottom w:val="single" w:sz="8" w:space="0" w:color="FFFFFF" w:themeColor="background1"/>
            </w:tcBorders>
            <w:shd w:val="clear" w:color="auto" w:fill="auto"/>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$m</w:t>
            </w:r>
          </w:p>
        </w:tc>
        <w:tc>
          <w:tcPr>
            <w:tcW w:w="1111" w:type="dxa"/>
            <w:tcBorders>
              <w:bottom w:val="single" w:sz="8" w:space="0" w:color="FFFFFF" w:themeColor="background1"/>
            </w:tcBorders>
            <w:shd w:val="clear" w:color="auto" w:fill="auto"/>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$m</w:t>
            </w:r>
          </w:p>
        </w:tc>
        <w:tc>
          <w:tcPr>
            <w:tcW w:w="1111" w:type="dxa"/>
            <w:tcBorders>
              <w:bottom w:val="single" w:sz="8" w:space="0" w:color="FFFFFF" w:themeColor="background1"/>
            </w:tcBorders>
            <w:shd w:val="clear" w:color="auto" w:fill="auto"/>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$m</w:t>
            </w:r>
          </w:p>
        </w:tc>
        <w:tc>
          <w:tcPr>
            <w:tcW w:w="1111" w:type="dxa"/>
            <w:tcBorders>
              <w:bottom w:val="single" w:sz="8" w:space="0" w:color="FFFFFF" w:themeColor="background1"/>
            </w:tcBorders>
            <w:vAlign w:val="center"/>
          </w:tcPr>
          <w:p w:rsidR="00025C96"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$m</w:t>
            </w:r>
          </w:p>
        </w:tc>
      </w:tr>
      <w:tr w:rsidR="00025C96" w:rsidTr="003E774E">
        <w:tc>
          <w:tcPr>
            <w:tcW w:w="238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Unit"/>
              <w:jc w:val="left"/>
            </w:pPr>
            <w:r>
              <w:t>Revenue</w:t>
            </w:r>
          </w:p>
        </w:tc>
        <w:tc>
          <w:tcPr>
            <w:tcW w:w="111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4 245</w:t>
            </w:r>
          </w:p>
        </w:tc>
        <w:tc>
          <w:tcPr>
            <w:tcW w:w="111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4 412</w:t>
            </w:r>
          </w:p>
        </w:tc>
        <w:tc>
          <w:tcPr>
            <w:tcW w:w="111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4 654</w:t>
            </w:r>
          </w:p>
        </w:tc>
        <w:tc>
          <w:tcPr>
            <w:tcW w:w="111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4 912</w:t>
            </w:r>
          </w:p>
        </w:tc>
        <w:tc>
          <w:tcPr>
            <w:tcW w:w="1111" w:type="dxa"/>
            <w:tcBorders>
              <w:top w:val="single" w:sz="8" w:space="0" w:color="FFFFFF" w:themeColor="background1"/>
              <w:bottom w:val="single" w:sz="8" w:space="0" w:color="FFFFFF" w:themeColor="background1"/>
            </w:tcBorders>
            <w:shd w:val="clear" w:color="auto" w:fill="E9E8E5" w:themeFill="background2"/>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5 177</w:t>
            </w:r>
          </w:p>
        </w:tc>
      </w:tr>
      <w:tr w:rsidR="00025C96" w:rsidTr="003E774E">
        <w:tc>
          <w:tcPr>
            <w:tcW w:w="238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jc w:val="left"/>
            </w:pPr>
            <w:r>
              <w:t>Expenses</w:t>
            </w:r>
            <w:r w:rsidR="00FE1F43">
              <w:t xml:space="preserve"> </w:t>
            </w:r>
          </w:p>
        </w:tc>
        <w:tc>
          <w:tcPr>
            <w:tcW w:w="111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4 586</w:t>
            </w:r>
          </w:p>
        </w:tc>
        <w:tc>
          <w:tcPr>
            <w:tcW w:w="111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4 858</w:t>
            </w:r>
          </w:p>
        </w:tc>
        <w:tc>
          <w:tcPr>
            <w:tcW w:w="111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4 894</w:t>
            </w:r>
          </w:p>
        </w:tc>
        <w:tc>
          <w:tcPr>
            <w:tcW w:w="111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5 070</w:t>
            </w:r>
          </w:p>
        </w:tc>
        <w:tc>
          <w:tcPr>
            <w:tcW w:w="1111" w:type="dxa"/>
            <w:tcBorders>
              <w:top w:val="single" w:sz="8" w:space="0" w:color="FFFFFF" w:themeColor="background1"/>
              <w:bottom w:val="single" w:sz="8" w:space="0" w:color="FFFFFF" w:themeColor="background1"/>
            </w:tcBorders>
            <w:shd w:val="clear" w:color="auto" w:fill="E9E8E5" w:themeFill="background2"/>
            <w:vAlign w:val="center"/>
          </w:tcPr>
          <w:p w:rsidR="00025C96" w:rsidRPr="00733151" w:rsidRDefault="00025C96" w:rsidP="007206E0">
            <w:pPr>
              <w:spacing w:line="240" w:lineRule="auto"/>
              <w:jc w:val="right"/>
              <w:rPr>
                <w:rFonts w:ascii="Franklin Gothic Book" w:eastAsia="Times New Roman" w:hAnsi="Franklin Gothic Book"/>
                <w:sz w:val="18"/>
                <w:szCs w:val="18"/>
              </w:rPr>
            </w:pPr>
            <w:r>
              <w:rPr>
                <w:rFonts w:ascii="Franklin Gothic Book" w:eastAsia="Times New Roman" w:hAnsi="Franklin Gothic Book"/>
                <w:sz w:val="18"/>
                <w:szCs w:val="18"/>
              </w:rPr>
              <w:t>5 242</w:t>
            </w:r>
          </w:p>
        </w:tc>
      </w:tr>
      <w:tr w:rsidR="00025C96" w:rsidTr="003E774E">
        <w:tc>
          <w:tcPr>
            <w:tcW w:w="2383"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025C96" w:rsidRPr="005C0784" w:rsidRDefault="00025C96" w:rsidP="007206E0">
            <w:pPr>
              <w:pStyle w:val="TableDataEntries"/>
              <w:jc w:val="left"/>
              <w:rPr>
                <w:rFonts w:ascii="Franklin Gothic Medium" w:hAnsi="Franklin Gothic Medium"/>
                <w:b/>
              </w:rPr>
            </w:pPr>
            <w:r w:rsidRPr="005C0784">
              <w:rPr>
                <w:rFonts w:ascii="Franklin Gothic Medium" w:hAnsi="Franklin Gothic Medium"/>
                <w:b/>
              </w:rPr>
              <w:t>UPF Net Operating Expenses</w:t>
            </w:r>
          </w:p>
        </w:tc>
        <w:tc>
          <w:tcPr>
            <w:tcW w:w="1111"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center"/>
          </w:tcPr>
          <w:p w:rsidR="00025C96" w:rsidRPr="00733151" w:rsidRDefault="00025C96" w:rsidP="007206E0">
            <w:pPr>
              <w:spacing w:line="240" w:lineRule="auto"/>
              <w:jc w:val="right"/>
              <w:rPr>
                <w:rFonts w:ascii="Franklin Gothic Medium" w:eastAsia="Times New Roman" w:hAnsi="Franklin Gothic Medium"/>
                <w:b/>
                <w:sz w:val="18"/>
                <w:szCs w:val="18"/>
              </w:rPr>
            </w:pPr>
            <w:r w:rsidRPr="005C0784">
              <w:rPr>
                <w:rFonts w:ascii="Franklin Gothic Medium" w:eastAsia="Times New Roman" w:hAnsi="Franklin Gothic Medium"/>
                <w:b/>
                <w:sz w:val="18"/>
                <w:szCs w:val="18"/>
              </w:rPr>
              <w:t>-341</w:t>
            </w:r>
          </w:p>
        </w:tc>
        <w:tc>
          <w:tcPr>
            <w:tcW w:w="1111"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center"/>
          </w:tcPr>
          <w:p w:rsidR="00025C96" w:rsidRPr="00733151" w:rsidRDefault="00025C96" w:rsidP="007206E0">
            <w:pPr>
              <w:spacing w:line="240" w:lineRule="auto"/>
              <w:jc w:val="right"/>
              <w:rPr>
                <w:rFonts w:ascii="Franklin Gothic Medium" w:eastAsia="Times New Roman" w:hAnsi="Franklin Gothic Medium"/>
                <w:b/>
                <w:sz w:val="18"/>
                <w:szCs w:val="18"/>
              </w:rPr>
            </w:pPr>
            <w:r w:rsidRPr="005C0784">
              <w:rPr>
                <w:rFonts w:ascii="Franklin Gothic Medium" w:eastAsia="Times New Roman" w:hAnsi="Franklin Gothic Medium"/>
                <w:b/>
                <w:sz w:val="18"/>
                <w:szCs w:val="18"/>
              </w:rPr>
              <w:t>-446</w:t>
            </w:r>
          </w:p>
        </w:tc>
        <w:tc>
          <w:tcPr>
            <w:tcW w:w="1111"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center"/>
          </w:tcPr>
          <w:p w:rsidR="00025C96" w:rsidRPr="00733151" w:rsidRDefault="00025C96" w:rsidP="007206E0">
            <w:pPr>
              <w:spacing w:line="240" w:lineRule="auto"/>
              <w:jc w:val="right"/>
              <w:rPr>
                <w:rFonts w:ascii="Franklin Gothic Medium" w:eastAsia="Times New Roman" w:hAnsi="Franklin Gothic Medium"/>
                <w:b/>
                <w:sz w:val="18"/>
                <w:szCs w:val="18"/>
              </w:rPr>
            </w:pPr>
            <w:r w:rsidRPr="005C0784">
              <w:rPr>
                <w:rFonts w:ascii="Franklin Gothic Medium" w:eastAsia="Times New Roman" w:hAnsi="Franklin Gothic Medium"/>
                <w:b/>
                <w:sz w:val="18"/>
                <w:szCs w:val="18"/>
              </w:rPr>
              <w:t>-241</w:t>
            </w:r>
          </w:p>
        </w:tc>
        <w:tc>
          <w:tcPr>
            <w:tcW w:w="1111"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center"/>
          </w:tcPr>
          <w:p w:rsidR="00025C96" w:rsidRPr="00733151" w:rsidRDefault="00025C96" w:rsidP="007206E0">
            <w:pPr>
              <w:spacing w:line="240" w:lineRule="auto"/>
              <w:jc w:val="right"/>
              <w:rPr>
                <w:rFonts w:ascii="Franklin Gothic Medium" w:eastAsia="Times New Roman" w:hAnsi="Franklin Gothic Medium"/>
                <w:b/>
                <w:sz w:val="18"/>
                <w:szCs w:val="18"/>
              </w:rPr>
            </w:pPr>
            <w:r w:rsidRPr="005C0784">
              <w:rPr>
                <w:rFonts w:ascii="Franklin Gothic Medium" w:eastAsia="Times New Roman" w:hAnsi="Franklin Gothic Medium"/>
                <w:b/>
                <w:sz w:val="18"/>
                <w:szCs w:val="18"/>
              </w:rPr>
              <w:t>-158</w:t>
            </w:r>
          </w:p>
        </w:tc>
        <w:tc>
          <w:tcPr>
            <w:tcW w:w="1111" w:type="dxa"/>
            <w:tcBorders>
              <w:top w:val="single" w:sz="8" w:space="0" w:color="FFFFFF" w:themeColor="background1"/>
              <w:bottom w:val="single" w:sz="6" w:space="0" w:color="6F6652"/>
            </w:tcBorders>
            <w:shd w:val="clear" w:color="auto" w:fill="C2DADB" w:themeFill="accent6" w:themeFillTint="99"/>
            <w:vAlign w:val="center"/>
          </w:tcPr>
          <w:p w:rsidR="00025C96" w:rsidRPr="005C0784" w:rsidRDefault="00025C96" w:rsidP="007206E0">
            <w:pPr>
              <w:spacing w:line="240" w:lineRule="auto"/>
              <w:jc w:val="right"/>
              <w:rPr>
                <w:rFonts w:ascii="Franklin Gothic Medium" w:eastAsia="Times New Roman" w:hAnsi="Franklin Gothic Medium"/>
                <w:b/>
                <w:sz w:val="18"/>
                <w:szCs w:val="18"/>
              </w:rPr>
            </w:pPr>
            <w:r w:rsidRPr="005C0784">
              <w:rPr>
                <w:rFonts w:ascii="Franklin Gothic Medium" w:eastAsia="Times New Roman" w:hAnsi="Franklin Gothic Medium"/>
                <w:b/>
                <w:sz w:val="18"/>
                <w:szCs w:val="18"/>
              </w:rPr>
              <w:t>-64</w:t>
            </w:r>
          </w:p>
        </w:tc>
      </w:tr>
    </w:tbl>
    <w:p w:rsidR="00025C96" w:rsidRDefault="00025C96" w:rsidP="00025C96">
      <w:pPr>
        <w:pStyle w:val="Source"/>
      </w:pPr>
      <w:r>
        <w:rPr>
          <w:i/>
        </w:rPr>
        <w:t>Source</w:t>
      </w:r>
      <w:r w:rsidRPr="00E4232C">
        <w:rPr>
          <w:i/>
        </w:rPr>
        <w:t>:</w:t>
      </w:r>
      <w:r>
        <w:t xml:space="preserve"> ACT </w:t>
      </w:r>
      <w:r w:rsidR="00956657">
        <w:t>Budget</w:t>
      </w:r>
      <w:r>
        <w:t xml:space="preserve"> 2014-15</w:t>
      </w:r>
      <w:r w:rsidR="00FE1F43">
        <w:t>.</w:t>
      </w:r>
    </w:p>
    <w:p w:rsidR="00FE1F43" w:rsidRDefault="00FE1F43" w:rsidP="00FE1F43">
      <w:pPr>
        <w:pStyle w:val="ListBullet"/>
        <w:numPr>
          <w:ilvl w:val="0"/>
          <w:numId w:val="0"/>
        </w:numPr>
        <w:spacing w:before="140"/>
        <w:rPr>
          <w:lang w:eastAsia="en-US"/>
        </w:rPr>
      </w:pPr>
      <w:r>
        <w:rPr>
          <w:lang w:eastAsia="en-US"/>
        </w:rPr>
        <w:t xml:space="preserve">A key driver of the increase in expenses over the forward estimates period is a substantial amount of expenditure on the University </w:t>
      </w:r>
      <w:proofErr w:type="gramStart"/>
      <w:r>
        <w:rPr>
          <w:lang w:eastAsia="en-US"/>
        </w:rPr>
        <w:t>of</w:t>
      </w:r>
      <w:proofErr w:type="gramEnd"/>
      <w:r>
        <w:rPr>
          <w:lang w:eastAsia="en-US"/>
        </w:rPr>
        <w:t xml:space="preserve"> Canberra Public Hospital, Capital Metro and the Courts project ($1.3 billion). No </w:t>
      </w:r>
      <w:proofErr w:type="gramStart"/>
      <w:r>
        <w:rPr>
          <w:lang w:eastAsia="en-US"/>
        </w:rPr>
        <w:t>detail on total costs or cost rollout have</w:t>
      </w:r>
      <w:proofErr w:type="gramEnd"/>
      <w:r>
        <w:rPr>
          <w:lang w:eastAsia="en-US"/>
        </w:rPr>
        <w:t xml:space="preserve"> been provided thus far. While this information is deemed </w:t>
      </w:r>
      <w:proofErr w:type="gramStart"/>
      <w:r>
        <w:rPr>
          <w:lang w:eastAsia="en-US"/>
        </w:rPr>
        <w:t>to be commercially</w:t>
      </w:r>
      <w:proofErr w:type="gramEnd"/>
      <w:r>
        <w:rPr>
          <w:lang w:eastAsia="en-US"/>
        </w:rPr>
        <w:t xml:space="preserve"> sensitive, it </w:t>
      </w:r>
      <w:r>
        <w:rPr>
          <w:lang w:eastAsia="en-US"/>
        </w:rPr>
        <w:lastRenderedPageBreak/>
        <w:t xml:space="preserve">makes it difficult to make an assessment about the merits of the investment, or the impact of such investments on the financial strength of the ACT Budget. </w:t>
      </w:r>
    </w:p>
    <w:p w:rsidR="00FE1F43" w:rsidRDefault="00FE1F43" w:rsidP="00FE1F43">
      <w:pPr>
        <w:pStyle w:val="ListBullet"/>
        <w:numPr>
          <w:ilvl w:val="0"/>
          <w:numId w:val="0"/>
        </w:numPr>
        <w:rPr>
          <w:lang w:eastAsia="en-US"/>
        </w:rPr>
      </w:pPr>
      <w:r>
        <w:rPr>
          <w:lang w:eastAsia="en-US"/>
        </w:rPr>
        <w:t xml:space="preserve">In growth terms, expenditure is increasing at a compound annual growth rate (CAGR) of 3.4 per cent over the forward estimates period. This is a continuation of the rate of growth from the previous Budget (3.5 per cent) and is mainly due to growth in employee wages and, to a lesser degree, superannuation related expenses. </w:t>
      </w:r>
    </w:p>
    <w:p w:rsidR="00025C96" w:rsidRDefault="00025C96" w:rsidP="00025C96">
      <w:pPr>
        <w:pStyle w:val="Heading2"/>
      </w:pPr>
      <w:bookmarkStart w:id="282" w:name="_Toc390427300"/>
      <w:r>
        <w:t xml:space="preserve">Risks to the </w:t>
      </w:r>
      <w:r w:rsidR="007C65E8" w:rsidRPr="003C45FF">
        <w:t>b</w:t>
      </w:r>
      <w:r w:rsidR="00956657" w:rsidRPr="003C45FF">
        <w:t>udget</w:t>
      </w:r>
      <w:r w:rsidRPr="003C45FF">
        <w:t xml:space="preserve"> balance</w:t>
      </w:r>
      <w:r>
        <w:t xml:space="preserve"> projections</w:t>
      </w:r>
      <w:bookmarkEnd w:id="282"/>
    </w:p>
    <w:p w:rsidR="00025C96" w:rsidRPr="008773FE" w:rsidRDefault="00960CE0" w:rsidP="00025C96">
      <w:pPr>
        <w:pStyle w:val="BodyText"/>
      </w:pPr>
      <w:r>
        <w:t xml:space="preserve">The </w:t>
      </w:r>
      <w:r w:rsidR="007C65E8">
        <w:t>b</w:t>
      </w:r>
      <w:r w:rsidR="00956657">
        <w:t>udget</w:t>
      </w:r>
      <w:r>
        <w:t xml:space="preserve"> balance projections are subject to various risks. While these are recognised, they </w:t>
      </w:r>
      <w:proofErr w:type="gramStart"/>
      <w:r>
        <w:t>are not anticipated</w:t>
      </w:r>
      <w:proofErr w:type="gramEnd"/>
      <w:r>
        <w:t xml:space="preserve"> to pose an unmanageable threat to the </w:t>
      </w:r>
      <w:r w:rsidR="00956657">
        <w:t>Budget</w:t>
      </w:r>
      <w:r>
        <w:t xml:space="preserve"> forecasts.</w:t>
      </w:r>
    </w:p>
    <w:p w:rsidR="00025C96" w:rsidRPr="006F3E61" w:rsidRDefault="00025C96" w:rsidP="00025C96">
      <w:pPr>
        <w:pStyle w:val="Heading3"/>
      </w:pPr>
      <w:r w:rsidRPr="006F3E61">
        <w:t>Land Release Program</w:t>
      </w:r>
    </w:p>
    <w:p w:rsidR="00025C96" w:rsidRPr="00CA1E05" w:rsidRDefault="00025C96" w:rsidP="00CA1E05">
      <w:pPr>
        <w:pStyle w:val="BodyText"/>
      </w:pPr>
      <w:r w:rsidRPr="00CA1E05">
        <w:t xml:space="preserve">The uncertainty created by the Commonwealth </w:t>
      </w:r>
      <w:proofErr w:type="gramStart"/>
      <w:r w:rsidRPr="00CA1E05">
        <w:t>Government’s</w:t>
      </w:r>
      <w:proofErr w:type="gramEnd"/>
      <w:r w:rsidRPr="00CA1E05">
        <w:t xml:space="preserve"> continued fiscal consolidation creates risk around the capacity of the market to purchase all sites released </w:t>
      </w:r>
      <w:r w:rsidR="00A13D59" w:rsidRPr="00CA1E05">
        <w:t xml:space="preserve">under the land release program </w:t>
      </w:r>
      <w:r w:rsidRPr="00CA1E05">
        <w:t xml:space="preserve">at the prices currently forecast in the 2014-15 </w:t>
      </w:r>
      <w:r w:rsidR="00956657" w:rsidRPr="00CA1E05">
        <w:t>Budget</w:t>
      </w:r>
      <w:r w:rsidRPr="00CA1E05">
        <w:t>.</w:t>
      </w:r>
      <w:r w:rsidR="00FE1F43">
        <w:t xml:space="preserve"> </w:t>
      </w:r>
      <w:r w:rsidRPr="00CA1E05">
        <w:t xml:space="preserve">Lower than expected demand or revenue would negatively </w:t>
      </w:r>
      <w:proofErr w:type="gramStart"/>
      <w:r w:rsidRPr="00CA1E05">
        <w:t>impact on</w:t>
      </w:r>
      <w:proofErr w:type="gramEnd"/>
      <w:r w:rsidRPr="00CA1E05">
        <w:t xml:space="preserve"> the Land Development Agency’s dividend and the Government’s net operating balance. Other risks to the program include achieving statutory clearances and the capacity of industry to deliver infrastructure and estate works.</w:t>
      </w:r>
    </w:p>
    <w:p w:rsidR="00025C96" w:rsidRPr="006F3E61" w:rsidRDefault="00025C96" w:rsidP="00025C96">
      <w:pPr>
        <w:pStyle w:val="Heading3"/>
      </w:pPr>
      <w:r>
        <w:t>Asset recycling initiative</w:t>
      </w:r>
    </w:p>
    <w:p w:rsidR="00025C96" w:rsidRPr="00CA1E05" w:rsidRDefault="00025C96" w:rsidP="00CA1E05">
      <w:pPr>
        <w:pStyle w:val="BodyText"/>
      </w:pPr>
      <w:r w:rsidRPr="00CA1E05">
        <w:t xml:space="preserve">The 2014-15 </w:t>
      </w:r>
      <w:r w:rsidR="00956657" w:rsidRPr="00CA1E05">
        <w:t>Budget</w:t>
      </w:r>
      <w:r w:rsidRPr="00CA1E05">
        <w:t xml:space="preserve"> contains a provision for involvement in the new Asset Recycling </w:t>
      </w:r>
      <w:r w:rsidR="00CA1E05" w:rsidRPr="00CA1E05">
        <w:t>National Partnership Agreement (</w:t>
      </w:r>
      <w:r w:rsidRPr="00CA1E05">
        <w:t>NPA</w:t>
      </w:r>
      <w:r w:rsidR="00CA1E05" w:rsidRPr="00CA1E05">
        <w:t>)</w:t>
      </w:r>
      <w:r w:rsidRPr="00CA1E05">
        <w:t xml:space="preserve">. As this NPA involves a capped funding pool to </w:t>
      </w:r>
      <w:proofErr w:type="gramStart"/>
      <w:r w:rsidRPr="00CA1E05">
        <w:t>be allocated</w:t>
      </w:r>
      <w:proofErr w:type="gramEnd"/>
      <w:r w:rsidRPr="00CA1E05">
        <w:t xml:space="preserve"> to States and Territories on a first-come, first-served basis, there are risks to the ACT’s potential to participate in the initiative from delays in bringing forward asset sale proposals. </w:t>
      </w:r>
    </w:p>
    <w:p w:rsidR="00025C96" w:rsidRPr="006F3E61" w:rsidRDefault="00025C96" w:rsidP="00025C96">
      <w:pPr>
        <w:pStyle w:val="Heading3"/>
      </w:pPr>
      <w:r>
        <w:t xml:space="preserve">Regulated prices of water and sewage </w:t>
      </w:r>
    </w:p>
    <w:p w:rsidR="00025C96" w:rsidRPr="006F3E61" w:rsidRDefault="00025C96" w:rsidP="00AA78E4">
      <w:pPr>
        <w:pStyle w:val="BodyText"/>
        <w:rPr>
          <w:i/>
        </w:rPr>
      </w:pPr>
      <w:r>
        <w:t>There is st</w:t>
      </w:r>
      <w:r w:rsidR="00A13D59">
        <w:t xml:space="preserve">ill some degree of uncertainty surrounding </w:t>
      </w:r>
      <w:r>
        <w:t xml:space="preserve">the future regulated prices of </w:t>
      </w:r>
      <w:r w:rsidR="009A425A">
        <w:t>water and sewage following the Auditor-G</w:t>
      </w:r>
      <w:r>
        <w:t xml:space="preserve">eneral’s review into the </w:t>
      </w:r>
      <w:r w:rsidR="00A13D59">
        <w:t xml:space="preserve">ICRC’s </w:t>
      </w:r>
      <w:r>
        <w:t xml:space="preserve">pricing decision. If an appeal is successful, and prices </w:t>
      </w:r>
      <w:proofErr w:type="gramStart"/>
      <w:r>
        <w:t>are moved</w:t>
      </w:r>
      <w:proofErr w:type="gramEnd"/>
      <w:r>
        <w:t xml:space="preserve"> more in line with prior expectations, this could significantly increase revenue and more specifically the projected dividend payments from ACTEW.</w:t>
      </w:r>
      <w:r w:rsidRPr="00CA1E05">
        <w:br/>
      </w:r>
      <w:r w:rsidRPr="008773FE">
        <w:rPr>
          <w:rFonts w:ascii="Arial" w:hAnsi="Arial" w:cs="Arial"/>
          <w:color w:val="000000"/>
          <w:sz w:val="18"/>
          <w:szCs w:val="18"/>
        </w:rPr>
        <w:br/>
      </w:r>
      <w:r>
        <w:rPr>
          <w:rFonts w:asciiTheme="majorHAnsi" w:hAnsiTheme="majorHAnsi"/>
          <w:b/>
          <w:i/>
          <w:kern w:val="28"/>
          <w:sz w:val="25"/>
          <w:szCs w:val="22"/>
        </w:rPr>
        <w:t>Future tax reform</w:t>
      </w:r>
      <w:r w:rsidR="00FE1F43">
        <w:rPr>
          <w:rFonts w:asciiTheme="majorHAnsi" w:hAnsiTheme="majorHAnsi"/>
          <w:b/>
          <w:i/>
          <w:kern w:val="28"/>
          <w:sz w:val="25"/>
          <w:szCs w:val="22"/>
        </w:rPr>
        <w:t xml:space="preserve"> </w:t>
      </w:r>
    </w:p>
    <w:p w:rsidR="00025C96" w:rsidRPr="003D0D3E" w:rsidRDefault="00025C96" w:rsidP="00D733F1">
      <w:pPr>
        <w:autoSpaceDE w:val="0"/>
        <w:autoSpaceDN w:val="0"/>
        <w:adjustRightInd w:val="0"/>
        <w:spacing w:beforeLines="50" w:afterLines="50"/>
        <w:rPr>
          <w:rFonts w:cs="Calibri"/>
          <w:szCs w:val="24"/>
        </w:rPr>
      </w:pPr>
      <w:r w:rsidRPr="003D0D3E">
        <w:rPr>
          <w:rFonts w:cs="Calibri"/>
          <w:szCs w:val="24"/>
        </w:rPr>
        <w:t xml:space="preserve">In the </w:t>
      </w:r>
      <w:proofErr w:type="gramStart"/>
      <w:r w:rsidRPr="003D0D3E">
        <w:rPr>
          <w:rFonts w:cs="Calibri"/>
          <w:szCs w:val="24"/>
        </w:rPr>
        <w:t>2014-15</w:t>
      </w:r>
      <w:proofErr w:type="gramEnd"/>
      <w:r w:rsidRPr="003D0D3E">
        <w:rPr>
          <w:rFonts w:cs="Calibri"/>
          <w:szCs w:val="24"/>
        </w:rPr>
        <w:t xml:space="preserve"> Federal </w:t>
      </w:r>
      <w:r w:rsidR="00956657">
        <w:rPr>
          <w:rFonts w:cs="Calibri"/>
          <w:szCs w:val="24"/>
        </w:rPr>
        <w:t>Budget</w:t>
      </w:r>
      <w:r w:rsidRPr="003D0D3E">
        <w:rPr>
          <w:rFonts w:cs="Calibri"/>
          <w:szCs w:val="24"/>
        </w:rPr>
        <w:t xml:space="preserve"> the Commonwealth has made significant unilateral changes to the </w:t>
      </w:r>
      <w:r w:rsidR="00CA1E05">
        <w:rPr>
          <w:rFonts w:cs="Calibri"/>
          <w:szCs w:val="24"/>
        </w:rPr>
        <w:t>National Specific Purpose Payments (</w:t>
      </w:r>
      <w:r w:rsidRPr="003D0D3E">
        <w:rPr>
          <w:rFonts w:cs="Calibri"/>
          <w:szCs w:val="24"/>
        </w:rPr>
        <w:t>NSPPs</w:t>
      </w:r>
      <w:r w:rsidR="00CA1E05">
        <w:rPr>
          <w:rFonts w:cs="Calibri"/>
          <w:szCs w:val="24"/>
        </w:rPr>
        <w:t>)</w:t>
      </w:r>
      <w:r w:rsidRPr="003D0D3E">
        <w:rPr>
          <w:rFonts w:cs="Calibri"/>
          <w:szCs w:val="24"/>
        </w:rPr>
        <w:t xml:space="preserve"> for Health and Education.</w:t>
      </w:r>
      <w:r w:rsidR="00FE1F43">
        <w:rPr>
          <w:rFonts w:cs="Calibri"/>
          <w:szCs w:val="24"/>
        </w:rPr>
        <w:t xml:space="preserve"> </w:t>
      </w:r>
      <w:r w:rsidRPr="003D0D3E">
        <w:rPr>
          <w:rFonts w:cs="Calibri"/>
          <w:szCs w:val="24"/>
        </w:rPr>
        <w:t xml:space="preserve">The Commonwealth’s approach has undermined the stability and certainty of the Specific Purpose Payments </w:t>
      </w:r>
      <w:r w:rsidR="00CA1E05">
        <w:rPr>
          <w:rFonts w:cs="Calibri"/>
          <w:szCs w:val="24"/>
        </w:rPr>
        <w:t xml:space="preserve">(SPP) </w:t>
      </w:r>
      <w:r w:rsidRPr="003D0D3E">
        <w:rPr>
          <w:rFonts w:cs="Calibri"/>
          <w:szCs w:val="24"/>
        </w:rPr>
        <w:t xml:space="preserve">which had previously been assured by the </w:t>
      </w:r>
      <w:r w:rsidR="00CA1E05">
        <w:rPr>
          <w:rFonts w:cs="Calibri"/>
          <w:szCs w:val="24"/>
        </w:rPr>
        <w:t>Intergovernmental Agreement on Federal Financial Relations (</w:t>
      </w:r>
      <w:r w:rsidRPr="003D0D3E">
        <w:rPr>
          <w:rFonts w:cs="Calibri"/>
          <w:szCs w:val="24"/>
        </w:rPr>
        <w:t>IGA FFR</w:t>
      </w:r>
      <w:r w:rsidR="00CA1E05">
        <w:rPr>
          <w:rFonts w:cs="Calibri"/>
          <w:szCs w:val="24"/>
        </w:rPr>
        <w:t>)</w:t>
      </w:r>
      <w:r w:rsidRPr="003D0D3E">
        <w:rPr>
          <w:rFonts w:cs="Calibri"/>
          <w:szCs w:val="24"/>
        </w:rPr>
        <w:t>, significantl</w:t>
      </w:r>
      <w:r w:rsidR="00CA1E05">
        <w:rPr>
          <w:rFonts w:cs="Calibri"/>
          <w:szCs w:val="24"/>
        </w:rPr>
        <w:t>y raising the level of risk to state and t</w:t>
      </w:r>
      <w:r w:rsidRPr="003D0D3E">
        <w:rPr>
          <w:rFonts w:cs="Calibri"/>
          <w:szCs w:val="24"/>
        </w:rPr>
        <w:t xml:space="preserve">erritory </w:t>
      </w:r>
      <w:r w:rsidR="00CA1E05">
        <w:rPr>
          <w:rFonts w:cs="Calibri"/>
          <w:szCs w:val="24"/>
        </w:rPr>
        <w:t>b</w:t>
      </w:r>
      <w:r w:rsidR="00956657">
        <w:rPr>
          <w:rFonts w:cs="Calibri"/>
          <w:szCs w:val="24"/>
        </w:rPr>
        <w:t>udget</w:t>
      </w:r>
      <w:r w:rsidRPr="003D0D3E">
        <w:rPr>
          <w:rFonts w:cs="Calibri"/>
          <w:szCs w:val="24"/>
        </w:rPr>
        <w:t xml:space="preserve">s. </w:t>
      </w:r>
    </w:p>
    <w:p w:rsidR="00025C96" w:rsidRPr="003D0D3E" w:rsidRDefault="00025C96" w:rsidP="00D733F1">
      <w:pPr>
        <w:autoSpaceDE w:val="0"/>
        <w:autoSpaceDN w:val="0"/>
        <w:adjustRightInd w:val="0"/>
        <w:spacing w:beforeLines="50" w:afterLines="50"/>
        <w:rPr>
          <w:rFonts w:cs="Calibri"/>
          <w:szCs w:val="24"/>
        </w:rPr>
      </w:pPr>
      <w:r w:rsidRPr="003D0D3E">
        <w:rPr>
          <w:rFonts w:cs="Calibri"/>
          <w:szCs w:val="24"/>
        </w:rPr>
        <w:lastRenderedPageBreak/>
        <w:t>The decisions to cap SPP funding in Health and Education, and to apply indexation based on the CPI and population growth, create a major risk that Commonwealth SPP payments will not keep pace with future increases in cost and demand</w:t>
      </w:r>
      <w:r w:rsidR="00960CE0">
        <w:rPr>
          <w:rFonts w:cs="Calibri"/>
          <w:szCs w:val="24"/>
        </w:rPr>
        <w:t>, which are already at risk for all state and territory governments,</w:t>
      </w:r>
      <w:r w:rsidRPr="003D0D3E">
        <w:rPr>
          <w:rFonts w:cs="Calibri"/>
          <w:szCs w:val="24"/>
        </w:rPr>
        <w:t>.</w:t>
      </w:r>
      <w:r w:rsidR="00FE1F43">
        <w:rPr>
          <w:rFonts w:cs="Calibri"/>
          <w:szCs w:val="24"/>
        </w:rPr>
        <w:t xml:space="preserve"> </w:t>
      </w:r>
      <w:r w:rsidRPr="003D0D3E">
        <w:rPr>
          <w:rFonts w:cs="Calibri"/>
          <w:szCs w:val="24"/>
        </w:rPr>
        <w:t xml:space="preserve">As a result, there will be greater pressure on future ACT </w:t>
      </w:r>
      <w:r w:rsidR="00956657">
        <w:rPr>
          <w:rFonts w:cs="Calibri"/>
          <w:szCs w:val="24"/>
        </w:rPr>
        <w:t>Budget</w:t>
      </w:r>
      <w:r w:rsidRPr="003D0D3E">
        <w:rPr>
          <w:rFonts w:cs="Calibri"/>
          <w:szCs w:val="24"/>
        </w:rPr>
        <w:t>s to implement measures to control costs and to manage demand for these services</w:t>
      </w:r>
      <w:r w:rsidR="00960CE0">
        <w:rPr>
          <w:rFonts w:cs="Calibri"/>
          <w:szCs w:val="24"/>
        </w:rPr>
        <w:t>, or otherwise more substantive increases in revenue will be required, most likely from mooted increases in t</w:t>
      </w:r>
      <w:r w:rsidR="00CA1E05">
        <w:rPr>
          <w:rFonts w:cs="Calibri"/>
          <w:szCs w:val="24"/>
        </w:rPr>
        <w:t>h</w:t>
      </w:r>
      <w:r w:rsidR="00960CE0">
        <w:rPr>
          <w:rFonts w:cs="Calibri"/>
          <w:szCs w:val="24"/>
        </w:rPr>
        <w:t>e GST</w:t>
      </w:r>
      <w:r w:rsidR="00CA1E05">
        <w:rPr>
          <w:rFonts w:cs="Calibri"/>
          <w:szCs w:val="24"/>
        </w:rPr>
        <w:t xml:space="preserve">. </w:t>
      </w:r>
    </w:p>
    <w:p w:rsidR="00025C96" w:rsidRDefault="00025C96" w:rsidP="00025C96">
      <w:pPr>
        <w:pStyle w:val="Heading2"/>
        <w:rPr>
          <w:lang w:eastAsia="en-US"/>
        </w:rPr>
      </w:pPr>
      <w:bookmarkStart w:id="283" w:name="_Toc390427301"/>
      <w:r>
        <w:rPr>
          <w:lang w:eastAsia="en-US"/>
        </w:rPr>
        <w:t>Debt and Liabilities</w:t>
      </w:r>
      <w:bookmarkEnd w:id="283"/>
      <w:r>
        <w:rPr>
          <w:lang w:eastAsia="en-US"/>
        </w:rPr>
        <w:t xml:space="preserve"> </w:t>
      </w:r>
    </w:p>
    <w:p w:rsidR="00025C96" w:rsidRPr="00C311D4" w:rsidRDefault="00025C96" w:rsidP="00025C96">
      <w:pPr>
        <w:pStyle w:val="BodyText"/>
        <w:rPr>
          <w:lang w:eastAsia="en-US"/>
        </w:rPr>
      </w:pPr>
      <w:r w:rsidRPr="00C311D4">
        <w:rPr>
          <w:lang w:eastAsia="en-US"/>
        </w:rPr>
        <w:t xml:space="preserve">There a number of </w:t>
      </w:r>
      <w:proofErr w:type="gramStart"/>
      <w:r w:rsidRPr="00C311D4">
        <w:rPr>
          <w:lang w:eastAsia="en-US"/>
        </w:rPr>
        <w:t>metrics</w:t>
      </w:r>
      <w:proofErr w:type="gramEnd"/>
      <w:r w:rsidRPr="00C311D4">
        <w:rPr>
          <w:lang w:eastAsia="en-US"/>
        </w:rPr>
        <w:t xml:space="preserve"> that can be used to assess the financial health of </w:t>
      </w:r>
      <w:r w:rsidRPr="003C45FF">
        <w:rPr>
          <w:lang w:eastAsia="en-US"/>
        </w:rPr>
        <w:t xml:space="preserve">the </w:t>
      </w:r>
      <w:r w:rsidR="00956657" w:rsidRPr="003C45FF">
        <w:rPr>
          <w:lang w:eastAsia="en-US"/>
        </w:rPr>
        <w:t>Budget</w:t>
      </w:r>
      <w:r w:rsidRPr="003C45FF">
        <w:rPr>
          <w:lang w:eastAsia="en-US"/>
        </w:rPr>
        <w:t>:</w:t>
      </w:r>
    </w:p>
    <w:p w:rsidR="00025C96" w:rsidRDefault="00025C96" w:rsidP="00284F89">
      <w:pPr>
        <w:pStyle w:val="ListBullet"/>
        <w:numPr>
          <w:ilvl w:val="0"/>
          <w:numId w:val="4"/>
        </w:numPr>
      </w:pPr>
      <w:r w:rsidRPr="00C311D4">
        <w:t xml:space="preserve">net debt, </w:t>
      </w:r>
      <w:r w:rsidRPr="00C311D4">
        <w:rPr>
          <w:lang w:eastAsia="en-US"/>
        </w:rPr>
        <w:t>which includes the sum of selected financial liabilities,</w:t>
      </w:r>
      <w:r w:rsidR="00FE1F43">
        <w:rPr>
          <w:lang w:eastAsia="en-US"/>
        </w:rPr>
        <w:t xml:space="preserve"> </w:t>
      </w:r>
      <w:r w:rsidRPr="00C311D4">
        <w:rPr>
          <w:lang w:eastAsia="en-US"/>
        </w:rPr>
        <w:t>net of financial assets such as</w:t>
      </w:r>
      <w:r w:rsidR="00CA1E05">
        <w:rPr>
          <w:lang w:eastAsia="en-US"/>
        </w:rPr>
        <w:t xml:space="preserve"> cash reserves and investments</w:t>
      </w:r>
    </w:p>
    <w:p w:rsidR="00025C96" w:rsidRDefault="00CA1E05" w:rsidP="00025C96">
      <w:pPr>
        <w:pStyle w:val="ListBullet2"/>
      </w:pPr>
      <w:r>
        <w:rPr>
          <w:lang w:eastAsia="en-US"/>
        </w:rPr>
        <w:t xml:space="preserve">it </w:t>
      </w:r>
      <w:r w:rsidR="00025C96" w:rsidRPr="00C311D4">
        <w:rPr>
          <w:lang w:eastAsia="en-US"/>
        </w:rPr>
        <w:t>does not include accrued superannuation liabilities</w:t>
      </w:r>
      <w:r w:rsidR="00025C96" w:rsidRPr="00C311D4">
        <w:t xml:space="preserve"> </w:t>
      </w:r>
    </w:p>
    <w:p w:rsidR="00025C96" w:rsidRDefault="00025C96" w:rsidP="00284F89">
      <w:pPr>
        <w:pStyle w:val="ListBullet"/>
        <w:numPr>
          <w:ilvl w:val="0"/>
          <w:numId w:val="4"/>
        </w:numPr>
      </w:pPr>
      <w:r w:rsidRPr="00C311D4">
        <w:rPr>
          <w:lang w:eastAsia="en-US"/>
        </w:rPr>
        <w:t>n</w:t>
      </w:r>
      <w:r>
        <w:rPr>
          <w:lang w:eastAsia="en-US"/>
        </w:rPr>
        <w:t>et financial l</w:t>
      </w:r>
      <w:r w:rsidRPr="00C311D4">
        <w:rPr>
          <w:lang w:eastAsia="en-US"/>
        </w:rPr>
        <w:t>iabilities</w:t>
      </w:r>
      <w:r>
        <w:rPr>
          <w:lang w:eastAsia="en-US"/>
        </w:rPr>
        <w:t xml:space="preserve">, which </w:t>
      </w:r>
      <w:r w:rsidRPr="00C311D4">
        <w:rPr>
          <w:lang w:eastAsia="en-US"/>
        </w:rPr>
        <w:t>is more encompassing, taking into account all financial liabilities including accrued unfunded superannuation liabilities</w:t>
      </w:r>
      <w:r w:rsidR="00960CE0">
        <w:rPr>
          <w:lang w:eastAsia="en-US"/>
        </w:rPr>
        <w:t>, and</w:t>
      </w:r>
    </w:p>
    <w:p w:rsidR="00025C96" w:rsidRDefault="00025C96" w:rsidP="00284F89">
      <w:pPr>
        <w:pStyle w:val="ListBullet"/>
        <w:numPr>
          <w:ilvl w:val="0"/>
          <w:numId w:val="4"/>
        </w:numPr>
      </w:pPr>
      <w:proofErr w:type="gramStart"/>
      <w:r>
        <w:rPr>
          <w:lang w:eastAsia="en-US"/>
        </w:rPr>
        <w:t>net</w:t>
      </w:r>
      <w:proofErr w:type="gramEnd"/>
      <w:r>
        <w:rPr>
          <w:lang w:eastAsia="en-US"/>
        </w:rPr>
        <w:t xml:space="preserve"> worth compares the level of net assets with the level of net liabilities.</w:t>
      </w:r>
    </w:p>
    <w:p w:rsidR="00025C96" w:rsidRDefault="00025C96" w:rsidP="00025C96">
      <w:pPr>
        <w:pStyle w:val="ListBullet"/>
        <w:numPr>
          <w:ilvl w:val="0"/>
          <w:numId w:val="0"/>
        </w:numPr>
        <w:rPr>
          <w:lang w:eastAsia="en-US"/>
        </w:rPr>
      </w:pPr>
      <w:r>
        <w:rPr>
          <w:lang w:eastAsia="en-US"/>
        </w:rPr>
        <w:t xml:space="preserve">The relative importance of each measure in assessing the health of a government balance sheet </w:t>
      </w:r>
      <w:proofErr w:type="gramStart"/>
      <w:r>
        <w:rPr>
          <w:lang w:eastAsia="en-US"/>
        </w:rPr>
        <w:t>is probably determined</w:t>
      </w:r>
      <w:proofErr w:type="gramEnd"/>
      <w:r>
        <w:rPr>
          <w:lang w:eastAsia="en-US"/>
        </w:rPr>
        <w:t xml:space="preserve"> by the weight placed on them by rating agencies and financial markets in determining a government’s credit worthiness. In addition to these measures, the </w:t>
      </w:r>
      <w:r w:rsidR="00CA1E05">
        <w:rPr>
          <w:lang w:eastAsia="en-US"/>
        </w:rPr>
        <w:t>credibility</w:t>
      </w:r>
      <w:r>
        <w:rPr>
          <w:lang w:eastAsia="en-US"/>
        </w:rPr>
        <w:t xml:space="preserve"> of the profile of future </w:t>
      </w:r>
      <w:r w:rsidR="007C65E8">
        <w:rPr>
          <w:lang w:eastAsia="en-US"/>
        </w:rPr>
        <w:t>b</w:t>
      </w:r>
      <w:r w:rsidR="00956657">
        <w:rPr>
          <w:lang w:eastAsia="en-US"/>
        </w:rPr>
        <w:t>udget</w:t>
      </w:r>
      <w:r>
        <w:rPr>
          <w:lang w:eastAsia="en-US"/>
        </w:rPr>
        <w:t xml:space="preserve"> balances is perhaps equally important. </w:t>
      </w:r>
    </w:p>
    <w:p w:rsidR="003E774E" w:rsidRDefault="00656D9B" w:rsidP="00656D9B">
      <w:pPr>
        <w:pStyle w:val="BodyText"/>
        <w:rPr>
          <w:lang w:eastAsia="en-US"/>
        </w:rPr>
      </w:pPr>
      <w:r>
        <w:rPr>
          <w:lang w:eastAsia="en-US"/>
        </w:rPr>
        <w:t xml:space="preserve">Chart </w:t>
      </w:r>
      <w:r w:rsidR="00B40B86">
        <w:rPr>
          <w:lang w:eastAsia="en-US"/>
        </w:rPr>
        <w:fldChar w:fldCharType="begin"/>
      </w:r>
      <w:r w:rsidR="00FE1F43">
        <w:rPr>
          <w:lang w:eastAsia="en-US"/>
        </w:rPr>
        <w:instrText xml:space="preserve"> REF _Caption3169 </w:instrText>
      </w:r>
      <w:r w:rsidR="00B40B86">
        <w:rPr>
          <w:lang w:eastAsia="en-US"/>
        </w:rPr>
        <w:fldChar w:fldCharType="separate"/>
      </w:r>
      <w:r w:rsidR="00D733F1">
        <w:rPr>
          <w:noProof/>
        </w:rPr>
        <w:t>9</w:t>
      </w:r>
      <w:r w:rsidR="00B40B86">
        <w:rPr>
          <w:lang w:eastAsia="en-US"/>
        </w:rPr>
        <w:fldChar w:fldCharType="end"/>
      </w:r>
      <w:r>
        <w:rPr>
          <w:lang w:eastAsia="en-US"/>
        </w:rPr>
        <w:t xml:space="preserve"> illustrates that the sharpest rise in net debt and liabilities occurs in 2014-15 due in part to the fact that 66 per cent of the new expenditure initiatives in the </w:t>
      </w:r>
      <w:r w:rsidR="009A425A">
        <w:rPr>
          <w:lang w:eastAsia="en-US"/>
        </w:rPr>
        <w:t>B</w:t>
      </w:r>
      <w:r>
        <w:rPr>
          <w:lang w:eastAsia="en-US"/>
        </w:rPr>
        <w:t>udget occur in this year</w:t>
      </w:r>
      <w:r w:rsidR="003E774E">
        <w:rPr>
          <w:lang w:eastAsia="en-US"/>
        </w:rPr>
        <w:t>.</w:t>
      </w:r>
    </w:p>
    <w:p w:rsidR="00312355" w:rsidRPr="00695C93" w:rsidRDefault="00B40B86" w:rsidP="00284F89">
      <w:pPr>
        <w:pStyle w:val="Caption"/>
        <w:framePr w:hSpace="181" w:wrap="around" w:hAnchor="text" w:yAlign="bottom"/>
        <w:numPr>
          <w:ilvl w:val="0"/>
          <w:numId w:val="2"/>
        </w:numPr>
      </w:pPr>
      <w:r w:rsidRPr="00695C93">
        <w:fldChar w:fldCharType="begin"/>
      </w:r>
      <w:r w:rsidR="003E774E" w:rsidRPr="00695C93">
        <w:instrText xml:space="preserve"> IF 1 = 1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w:instrText>
      </w:r>
      <w:r>
        <w:fldChar w:fldCharType="begin"/>
      </w:r>
      <w:r w:rsidR="003E774E">
        <w:instrText xml:space="preserve"> STYLEREF "Heading 1" \l \n </w:instrText>
      </w:r>
      <w:r>
        <w:fldChar w:fldCharType="separate"/>
      </w:r>
      <w:r w:rsidR="003E774E">
        <w:rPr>
          <w:b/>
          <w:bCs/>
          <w:noProof/>
          <w:lang w:val="en-US"/>
        </w:rPr>
        <w:instrText>Error! No text of specified style in document.</w:instrText>
      </w:r>
      <w:r>
        <w:rPr>
          <w:noProof/>
        </w:rPr>
        <w:fldChar w:fldCharType="end"/>
      </w:r>
      <w:r w:rsidR="003E774E" w:rsidRPr="00695C93">
        <w:instrText xml:space="preserve">." </w:instrText>
      </w:r>
      <w:r w:rsidRPr="00695C93">
        <w:fldChar w:fldCharType="end"/>
      </w:r>
      <w:r w:rsidR="003E774E" w:rsidRPr="00695C93">
        <w:instrText>" "</w:instrText>
      </w:r>
      <w:fldSimple w:instr=" STYLEREF &quot;Heading 6&quot; \l \n ">
        <w:r w:rsidR="003E774E">
          <w:rPr>
            <w:noProof/>
          </w:rPr>
          <w:instrText>A</w:instrText>
        </w:r>
      </w:fldSimple>
      <w:r w:rsidR="003E774E" w:rsidRPr="00695C93">
        <w:instrText xml:space="preserve">." </w:instrText>
      </w:r>
      <w:r w:rsidRPr="00695C93">
        <w:fldChar w:fldCharType="end"/>
      </w:r>
      <w:r w:rsidRPr="00695C93">
        <w:fldChar w:fldCharType="begin"/>
      </w:r>
      <w:r w:rsidR="003E774E" w:rsidRPr="00695C93">
        <w:instrText xml:space="preserve"> SEQ Item \* ARABIC \s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"1" </w:instrText>
      </w:r>
      <w:r w:rsidRPr="00695C93">
        <w:fldChar w:fldCharType="end"/>
      </w:r>
      <w:r w:rsidR="003E774E" w:rsidRPr="00695C93">
        <w:instrText xml:space="preserve">" "6" </w:instrText>
      </w:r>
      <w:r w:rsidRPr="00695C93">
        <w:fldChar w:fldCharType="end"/>
      </w:r>
      <w:r w:rsidR="003E774E" w:rsidRPr="00695C93">
        <w:instrText xml:space="preserve"> </w:instrText>
      </w:r>
      <w:r w:rsidRPr="00695C93">
        <w:fldChar w:fldCharType="separate"/>
      </w:r>
      <w:r w:rsidR="00D733F1">
        <w:rPr>
          <w:noProof/>
        </w:rPr>
        <w:instrText>9</w:instrText>
      </w:r>
      <w:r w:rsidRPr="00695C93">
        <w:fldChar w:fldCharType="end"/>
      </w:r>
      <w:r w:rsidR="003E774E" w:rsidRPr="00695C93">
        <w:instrText xml:space="preserve">" "" </w:instrText>
      </w:r>
      <w:r w:rsidRPr="00695C93">
        <w:fldChar w:fldCharType="separate"/>
      </w:r>
      <w:bookmarkStart w:id="284" w:name="_Caption4779"/>
      <w:bookmarkStart w:id="285" w:name="_Caption9258"/>
      <w:bookmarkStart w:id="286" w:name="_Caption1123"/>
      <w:bookmarkStart w:id="287" w:name="_Caption7799"/>
      <w:bookmarkStart w:id="288" w:name="_Caption3067"/>
      <w:bookmarkStart w:id="289" w:name="_Caption9680"/>
      <w:bookmarkStart w:id="290" w:name="_Caption2396"/>
      <w:bookmarkStart w:id="291" w:name="_Caption8043"/>
      <w:bookmarkStart w:id="292" w:name="_Caption3169"/>
      <w:bookmarkStart w:id="293" w:name="_Caption5888"/>
      <w:bookmarkStart w:id="294" w:name="_Caption9484"/>
      <w:bookmarkStart w:id="295" w:name="_Caption5457"/>
      <w:bookmarkStart w:id="296" w:name="_Caption3946"/>
      <w:bookmarkStart w:id="297" w:name="_Caption5980"/>
      <w:bookmarkStart w:id="298" w:name="_Caption6585"/>
      <w:bookmarkStart w:id="299" w:name="_Caption1741"/>
      <w:bookmarkStart w:id="300" w:name="_Caption8406"/>
      <w:bookmarkStart w:id="301" w:name="_Caption5404"/>
      <w:bookmarkStart w:id="302" w:name="_Caption6183"/>
      <w:bookmarkStart w:id="303" w:name="_Caption0683"/>
      <w:bookmarkStart w:id="304" w:name="_Caption2643"/>
      <w:bookmarkStart w:id="305" w:name="_Caption9744"/>
      <w:bookmarkStart w:id="306" w:name="_Caption9507"/>
      <w:bookmarkStart w:id="307" w:name="_Caption7449"/>
      <w:bookmarkStart w:id="308" w:name="_Caption8060"/>
      <w:bookmarkStart w:id="309" w:name="_Caption4347"/>
      <w:bookmarkStart w:id="310" w:name="_Caption4249"/>
      <w:bookmarkStart w:id="311" w:name="_Caption0892"/>
      <w:bookmarkStart w:id="312" w:name="_Caption0971"/>
      <w:bookmarkStart w:id="313" w:name="_Caption4139"/>
      <w:bookmarkStart w:id="314" w:name="_Caption8992"/>
      <w:bookmarkStart w:id="315" w:name="_Toc390427332"/>
      <w:r w:rsidR="00D733F1">
        <w:rPr>
          <w:noProof/>
        </w:rPr>
        <w:t>9</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695C93">
        <w:fldChar w:fldCharType="end"/>
      </w:r>
      <w:r w:rsidR="003E774E" w:rsidRPr="00695C93">
        <w:tab/>
      </w:r>
      <w:r w:rsidR="003E774E">
        <w:t>Net cash from operating activities and liabilities</w:t>
      </w:r>
      <w:bookmarkEnd w:id="315"/>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312355" w:rsidTr="009C75CC">
        <w:trPr>
          <w:cantSplit/>
        </w:trPr>
        <w:tc>
          <w:tcPr>
            <w:tcW w:w="7938" w:type="dxa"/>
            <w:shd w:val="clear" w:color="auto" w:fill="E9E8E5" w:themeFill="background2"/>
          </w:tcPr>
          <w:p w:rsidR="00312355" w:rsidRDefault="009A425A" w:rsidP="00FE1F43">
            <w:pPr>
              <w:pStyle w:val="Chart"/>
              <w:framePr w:hSpace="181" w:wrap="around" w:hAnchor="text" w:yAlign="bottom"/>
              <w:jc w:val="center"/>
            </w:pPr>
            <w:r>
              <w:rPr>
                <w:noProof/>
                <w:lang w:eastAsia="en-AU"/>
              </w:rPr>
              <w:drawing>
                <wp:inline distT="0" distB="0" distL="0" distR="0">
                  <wp:extent cx="4852846" cy="2390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9020" cy="2393817"/>
                          </a:xfrm>
                          <a:prstGeom prst="rect">
                            <a:avLst/>
                          </a:prstGeom>
                          <a:noFill/>
                          <a:ln>
                            <a:noFill/>
                          </a:ln>
                        </pic:spPr>
                      </pic:pic>
                    </a:graphicData>
                  </a:graphic>
                </wp:inline>
              </w:drawing>
            </w:r>
          </w:p>
        </w:tc>
      </w:tr>
    </w:tbl>
    <w:p w:rsidR="00312355" w:rsidRDefault="00312355" w:rsidP="00FE1F43">
      <w:pPr>
        <w:pStyle w:val="Source"/>
        <w:framePr w:hSpace="181" w:wrap="around" w:hAnchor="text" w:yAlign="bottom"/>
      </w:pPr>
      <w:r>
        <w:rPr>
          <w:i/>
        </w:rPr>
        <w:t>Data source</w:t>
      </w:r>
      <w:r w:rsidRPr="00A67576">
        <w:rPr>
          <w:i/>
        </w:rPr>
        <w:t>:</w:t>
      </w:r>
      <w:r>
        <w:t xml:space="preserve"> </w:t>
      </w:r>
      <w:r w:rsidR="002B453E">
        <w:t xml:space="preserve">2014-15 ACT Budget </w:t>
      </w:r>
    </w:p>
    <w:p w:rsidR="003E774E" w:rsidRDefault="003E774E" w:rsidP="003E774E">
      <w:pPr>
        <w:pStyle w:val="BodyText"/>
        <w:rPr>
          <w:lang w:eastAsia="en-US"/>
        </w:rPr>
      </w:pPr>
      <w:r>
        <w:rPr>
          <w:lang w:eastAsia="en-US"/>
        </w:rPr>
        <w:t xml:space="preserve">Debt and liabilities continue to increase strongly in 2015-16, though at a more modest rate than the previous year, due to continued expenditure initiatives and sharp falls in </w:t>
      </w:r>
      <w:r>
        <w:rPr>
          <w:lang w:eastAsia="en-US"/>
        </w:rPr>
        <w:lastRenderedPageBreak/>
        <w:t>expected revenue due to reductions in LDA and ACTEW dividends and National Health Reform Agreement Grants. Increases in net debt and liabilities are more modest in the remainder of the forward estimates period.Net cash from operating activities continues to be positive over the forward estimates period, which illustrates that a key driver of the increase in debt is investments made by the Government.</w:t>
      </w:r>
    </w:p>
    <w:p w:rsidR="00025C96" w:rsidRDefault="00A05B53" w:rsidP="00025C96">
      <w:pPr>
        <w:pStyle w:val="BodyText"/>
        <w:rPr>
          <w:lang w:eastAsia="en-US"/>
        </w:rPr>
      </w:pPr>
      <w:r>
        <w:rPr>
          <w:lang w:eastAsia="en-US"/>
        </w:rPr>
        <w:t xml:space="preserve">Chart </w:t>
      </w:r>
      <w:r w:rsidR="00B40B86">
        <w:rPr>
          <w:lang w:eastAsia="en-US"/>
        </w:rPr>
        <w:fldChar w:fldCharType="begin"/>
      </w:r>
      <w:r w:rsidR="00FE1F43">
        <w:rPr>
          <w:lang w:eastAsia="en-US"/>
        </w:rPr>
        <w:instrText xml:space="preserve"> REF _Caption1353 </w:instrText>
      </w:r>
      <w:r w:rsidR="00B40B86">
        <w:rPr>
          <w:lang w:eastAsia="en-US"/>
        </w:rPr>
        <w:fldChar w:fldCharType="separate"/>
      </w:r>
      <w:r w:rsidR="00D733F1">
        <w:rPr>
          <w:noProof/>
        </w:rPr>
        <w:t>10</w:t>
      </w:r>
      <w:r w:rsidR="00B40B86">
        <w:rPr>
          <w:lang w:eastAsia="en-US"/>
        </w:rPr>
        <w:fldChar w:fldCharType="end"/>
      </w:r>
      <w:r w:rsidR="00025C96" w:rsidRPr="00C30E95">
        <w:rPr>
          <w:lang w:eastAsia="en-US"/>
        </w:rPr>
        <w:t xml:space="preserve"> shows </w:t>
      </w:r>
      <w:r w:rsidR="00656D9B">
        <w:rPr>
          <w:lang w:eastAsia="en-US"/>
        </w:rPr>
        <w:t xml:space="preserve">net debt, net liabilities and net worth </w:t>
      </w:r>
      <w:r w:rsidR="00025C96" w:rsidRPr="00C30E95">
        <w:rPr>
          <w:lang w:eastAsia="en-US"/>
        </w:rPr>
        <w:t xml:space="preserve">measured as a share of gross state product. </w:t>
      </w:r>
      <w:r w:rsidR="00025C96">
        <w:rPr>
          <w:lang w:eastAsia="en-US"/>
        </w:rPr>
        <w:t xml:space="preserve">Net debt and net financial liabilities </w:t>
      </w:r>
      <w:proofErr w:type="gramStart"/>
      <w:r w:rsidR="00025C96">
        <w:rPr>
          <w:lang w:eastAsia="en-US"/>
        </w:rPr>
        <w:t xml:space="preserve">are </w:t>
      </w:r>
      <w:r w:rsidR="00025C96" w:rsidRPr="00C30E95">
        <w:rPr>
          <w:lang w:eastAsia="en-US"/>
        </w:rPr>
        <w:t>forecast</w:t>
      </w:r>
      <w:proofErr w:type="gramEnd"/>
      <w:r w:rsidR="00025C96" w:rsidRPr="00C30E95">
        <w:rPr>
          <w:lang w:eastAsia="en-US"/>
        </w:rPr>
        <w:t xml:space="preserve"> to increase </w:t>
      </w:r>
      <w:r w:rsidR="00025C96">
        <w:rPr>
          <w:lang w:eastAsia="en-US"/>
        </w:rPr>
        <w:t xml:space="preserve">in both 2014-15 and 2015-16 before remaining broadly stable thereafter. Encouragingly, the level of net debt and net financial liabilities measured as a share of GSP </w:t>
      </w:r>
      <w:r w:rsidR="00A13D59">
        <w:rPr>
          <w:lang w:eastAsia="en-US"/>
        </w:rPr>
        <w:t xml:space="preserve">over the forward estimates period </w:t>
      </w:r>
      <w:r w:rsidR="00025C96">
        <w:rPr>
          <w:lang w:eastAsia="en-US"/>
        </w:rPr>
        <w:t xml:space="preserve">is still broadly in line with </w:t>
      </w:r>
      <w:r w:rsidR="00A13D59">
        <w:rPr>
          <w:lang w:eastAsia="en-US"/>
        </w:rPr>
        <w:t xml:space="preserve">the current levels of </w:t>
      </w:r>
      <w:r w:rsidR="00025C96">
        <w:rPr>
          <w:lang w:eastAsia="en-US"/>
        </w:rPr>
        <w:t xml:space="preserve">other </w:t>
      </w:r>
      <w:r w:rsidR="00A13D59">
        <w:rPr>
          <w:lang w:eastAsia="en-US"/>
        </w:rPr>
        <w:t>state governments that</w:t>
      </w:r>
      <w:r w:rsidR="003E774E">
        <w:rPr>
          <w:lang w:eastAsia="en-US"/>
        </w:rPr>
        <w:t xml:space="preserve"> have an AAA credit rating.</w:t>
      </w:r>
    </w:p>
    <w:p w:rsidR="003E774E" w:rsidRPr="00695C93" w:rsidRDefault="00B40B86" w:rsidP="00284F89">
      <w:pPr>
        <w:pStyle w:val="Caption"/>
        <w:numPr>
          <w:ilvl w:val="0"/>
          <w:numId w:val="2"/>
        </w:numPr>
      </w:pPr>
      <w:r w:rsidRPr="00695C93">
        <w:fldChar w:fldCharType="begin"/>
      </w:r>
      <w:r w:rsidR="003E774E" w:rsidRPr="00695C93">
        <w:instrText xml:space="preserve"> IF 1 = 1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w:instrText>
      </w:r>
      <w:r>
        <w:fldChar w:fldCharType="begin"/>
      </w:r>
      <w:r w:rsidR="003E774E">
        <w:instrText xml:space="preserve"> STYLEREF "Heading 1" \l \n </w:instrText>
      </w:r>
      <w:r>
        <w:fldChar w:fldCharType="separate"/>
      </w:r>
      <w:r w:rsidR="003E774E">
        <w:rPr>
          <w:b/>
          <w:bCs/>
          <w:noProof/>
          <w:lang w:val="en-US"/>
        </w:rPr>
        <w:instrText>Error! No text of specified style in document.</w:instrText>
      </w:r>
      <w:r>
        <w:rPr>
          <w:noProof/>
        </w:rPr>
        <w:fldChar w:fldCharType="end"/>
      </w:r>
      <w:r w:rsidR="003E774E" w:rsidRPr="00695C93">
        <w:instrText xml:space="preserve">." </w:instrText>
      </w:r>
      <w:r w:rsidRPr="00695C93">
        <w:fldChar w:fldCharType="end"/>
      </w:r>
      <w:r w:rsidR="003E774E" w:rsidRPr="00695C93">
        <w:instrText>" "</w:instrText>
      </w:r>
      <w:fldSimple w:instr=" STYLEREF &quot;Heading 6&quot; \l \n ">
        <w:r w:rsidR="003E774E">
          <w:rPr>
            <w:noProof/>
          </w:rPr>
          <w:instrText>A</w:instrText>
        </w:r>
      </w:fldSimple>
      <w:r w:rsidR="003E774E" w:rsidRPr="00695C93">
        <w:instrText xml:space="preserve">." </w:instrText>
      </w:r>
      <w:r w:rsidRPr="00695C93">
        <w:fldChar w:fldCharType="end"/>
      </w:r>
      <w:r w:rsidRPr="00695C93">
        <w:fldChar w:fldCharType="begin"/>
      </w:r>
      <w:r w:rsidR="003E774E" w:rsidRPr="00695C93">
        <w:instrText xml:space="preserve"> SEQ Item \* ARABIC \s </w:instrText>
      </w:r>
      <w:r w:rsidRPr="00695C93">
        <w:fldChar w:fldCharType="begin"/>
      </w:r>
      <w:r w:rsidR="003E774E" w:rsidRPr="00695C93">
        <w:instrText xml:space="preserve"> IF </w:instrText>
      </w:r>
      <w:fldSimple w:instr=" STYLEREF &quot;Heading 6&quot; \l \n ">
        <w:r w:rsidR="00D733F1">
          <w:rPr>
            <w:noProof/>
          </w:rPr>
          <w:instrText>0</w:instrText>
        </w:r>
      </w:fldSimple>
      <w:r w:rsidR="003E774E" w:rsidRPr="00695C93">
        <w:instrText xml:space="preserve"> = 0 "</w:instrText>
      </w:r>
      <w:r w:rsidRPr="00695C93">
        <w:fldChar w:fldCharType="begin"/>
      </w:r>
      <w:r w:rsidR="003E774E" w:rsidRPr="00695C93">
        <w:instrText xml:space="preserve"> IF </w:instrText>
      </w:r>
      <w:fldSimple w:instr=" STYLEREF &quot;Heading 1&quot; \l \n ">
        <w:r w:rsidR="00D733F1">
          <w:rPr>
            <w:noProof/>
          </w:rPr>
          <w:instrText>0</w:instrText>
        </w:r>
      </w:fldSimple>
      <w:r w:rsidR="003E774E" w:rsidRPr="00695C93">
        <w:instrText xml:space="preserve"> = 0 "" "1" </w:instrText>
      </w:r>
      <w:r w:rsidRPr="00695C93">
        <w:fldChar w:fldCharType="end"/>
      </w:r>
      <w:r w:rsidR="003E774E" w:rsidRPr="00695C93">
        <w:instrText xml:space="preserve">" "6" </w:instrText>
      </w:r>
      <w:r w:rsidRPr="00695C93">
        <w:fldChar w:fldCharType="end"/>
      </w:r>
      <w:r w:rsidR="003E774E" w:rsidRPr="00695C93">
        <w:instrText xml:space="preserve"> </w:instrText>
      </w:r>
      <w:r w:rsidRPr="00695C93">
        <w:fldChar w:fldCharType="separate"/>
      </w:r>
      <w:r w:rsidR="00D733F1">
        <w:rPr>
          <w:noProof/>
        </w:rPr>
        <w:instrText>10</w:instrText>
      </w:r>
      <w:r w:rsidRPr="00695C93">
        <w:fldChar w:fldCharType="end"/>
      </w:r>
      <w:r w:rsidR="003E774E" w:rsidRPr="00695C93">
        <w:instrText xml:space="preserve">" "" </w:instrText>
      </w:r>
      <w:r w:rsidRPr="00695C93">
        <w:fldChar w:fldCharType="separate"/>
      </w:r>
      <w:bookmarkStart w:id="316" w:name="_Caption4089"/>
      <w:bookmarkStart w:id="317" w:name="_Caption2241"/>
      <w:bookmarkStart w:id="318" w:name="_Caption6828"/>
      <w:bookmarkStart w:id="319" w:name="_Caption8452"/>
      <w:bookmarkStart w:id="320" w:name="_Caption9366"/>
      <w:bookmarkStart w:id="321" w:name="_Caption7648"/>
      <w:bookmarkStart w:id="322" w:name="_Caption6691"/>
      <w:bookmarkStart w:id="323" w:name="_Caption8635"/>
      <w:bookmarkStart w:id="324" w:name="_Caption6844"/>
      <w:bookmarkStart w:id="325" w:name="_Caption1353"/>
      <w:bookmarkStart w:id="326" w:name="_Caption8621"/>
      <w:bookmarkStart w:id="327" w:name="_Caption3890"/>
      <w:bookmarkStart w:id="328" w:name="_Caption6767"/>
      <w:bookmarkStart w:id="329" w:name="_Caption8615"/>
      <w:bookmarkStart w:id="330" w:name="_Caption6656"/>
      <w:bookmarkStart w:id="331" w:name="_Caption8938"/>
      <w:bookmarkStart w:id="332" w:name="_Caption3409"/>
      <w:bookmarkStart w:id="333" w:name="_Caption4425"/>
      <w:bookmarkStart w:id="334" w:name="_Caption6681"/>
      <w:bookmarkStart w:id="335" w:name="_Caption9877"/>
      <w:bookmarkStart w:id="336" w:name="_Caption6110"/>
      <w:bookmarkStart w:id="337" w:name="_Caption3696"/>
      <w:bookmarkStart w:id="338" w:name="_Caption4683"/>
      <w:bookmarkStart w:id="339" w:name="_Caption4761"/>
      <w:bookmarkStart w:id="340" w:name="_Caption2555"/>
      <w:bookmarkStart w:id="341" w:name="_Caption4283"/>
      <w:bookmarkStart w:id="342" w:name="_Caption5210"/>
      <w:bookmarkStart w:id="343" w:name="_Caption0340"/>
      <w:bookmarkStart w:id="344" w:name="_Caption0271"/>
      <w:bookmarkStart w:id="345" w:name="_Caption4637"/>
      <w:bookmarkStart w:id="346" w:name="_Caption6558"/>
      <w:bookmarkStart w:id="347" w:name="_Toc390427333"/>
      <w:r w:rsidR="00D733F1">
        <w:rPr>
          <w:noProof/>
        </w:rPr>
        <w:t>10</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695C93">
        <w:fldChar w:fldCharType="end"/>
      </w:r>
      <w:r w:rsidR="003E774E" w:rsidRPr="00695C93">
        <w:tab/>
      </w:r>
      <w:r w:rsidR="003E774E">
        <w:t>Net liabilities and net worth as a share of GSP</w:t>
      </w:r>
      <w:bookmarkEnd w:id="347"/>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025C96" w:rsidTr="007206E0">
        <w:trPr>
          <w:cantSplit/>
        </w:trPr>
        <w:tc>
          <w:tcPr>
            <w:tcW w:w="7938" w:type="dxa"/>
            <w:shd w:val="clear" w:color="auto" w:fill="E9E8E5" w:themeFill="background2"/>
          </w:tcPr>
          <w:p w:rsidR="00025C96" w:rsidRDefault="00025C96" w:rsidP="007206E0">
            <w:pPr>
              <w:pStyle w:val="Chart"/>
              <w:jc w:val="center"/>
            </w:pPr>
            <w:r>
              <w:rPr>
                <w:noProof/>
                <w:lang w:eastAsia="en-AU"/>
              </w:rPr>
              <w:drawing>
                <wp:inline distT="0" distB="0" distL="0" distR="0">
                  <wp:extent cx="4857750"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0" cy="2533650"/>
                          </a:xfrm>
                          <a:prstGeom prst="rect">
                            <a:avLst/>
                          </a:prstGeom>
                          <a:noFill/>
                          <a:ln>
                            <a:noFill/>
                          </a:ln>
                        </pic:spPr>
                      </pic:pic>
                    </a:graphicData>
                  </a:graphic>
                </wp:inline>
              </w:drawing>
            </w:r>
          </w:p>
        </w:tc>
      </w:tr>
    </w:tbl>
    <w:p w:rsidR="00025C96" w:rsidRDefault="00025C96" w:rsidP="00025C96">
      <w:pPr>
        <w:pStyle w:val="Source"/>
      </w:pPr>
      <w:r>
        <w:rPr>
          <w:i/>
        </w:rPr>
        <w:t>Data source</w:t>
      </w:r>
      <w:r w:rsidRPr="00A67576">
        <w:rPr>
          <w:i/>
        </w:rPr>
        <w:t>:</w:t>
      </w:r>
      <w:r>
        <w:t xml:space="preserve"> ACT </w:t>
      </w:r>
      <w:r w:rsidR="00956657">
        <w:t>Budget</w:t>
      </w:r>
      <w:r>
        <w:t xml:space="preserve"> 2014-15</w:t>
      </w:r>
    </w:p>
    <w:p w:rsidR="00A90000" w:rsidRDefault="00025C96" w:rsidP="00025C96">
      <w:pPr>
        <w:pStyle w:val="BodyText"/>
        <w:rPr>
          <w:lang w:eastAsia="en-US"/>
        </w:rPr>
      </w:pPr>
      <w:r>
        <w:rPr>
          <w:lang w:eastAsia="en-US"/>
        </w:rPr>
        <w:t xml:space="preserve">The fall in net worth from 45.6 per cent of GSP to just </w:t>
      </w:r>
      <w:proofErr w:type="gramStart"/>
      <w:r>
        <w:rPr>
          <w:lang w:eastAsia="en-US"/>
        </w:rPr>
        <w:t>under</w:t>
      </w:r>
      <w:proofErr w:type="gramEnd"/>
      <w:r>
        <w:rPr>
          <w:lang w:eastAsia="en-US"/>
        </w:rPr>
        <w:t xml:space="preserve"> 40 per cent of GSP by</w:t>
      </w:r>
      <w:r w:rsidR="00FE1F43">
        <w:rPr>
          <w:lang w:eastAsia="en-US"/>
        </w:rPr>
        <w:t xml:space="preserve"> </w:t>
      </w:r>
      <w:r>
        <w:rPr>
          <w:lang w:eastAsia="en-US"/>
        </w:rPr>
        <w:t xml:space="preserve">2017-18 partly reflects the strategy of the ACT government to use public asset sales to finance investments and expenditure. </w:t>
      </w:r>
      <w:r w:rsidRPr="005D7F99">
        <w:rPr>
          <w:lang w:eastAsia="en-US"/>
        </w:rPr>
        <w:t>There is currently some degree of uncertainty surrounding the value of ACTEW’s assets in light of the possibility of a review into the IRCR’s final pricing decision of water and sewerage prices.</w:t>
      </w:r>
      <w:r>
        <w:rPr>
          <w:lang w:eastAsia="en-US"/>
        </w:rPr>
        <w:t xml:space="preserve"> </w:t>
      </w:r>
    </w:p>
    <w:p w:rsidR="00025C96" w:rsidRPr="005D7F99" w:rsidRDefault="00025C96" w:rsidP="00025C96">
      <w:pPr>
        <w:pStyle w:val="BodyText"/>
        <w:rPr>
          <w:lang w:eastAsia="en-US"/>
        </w:rPr>
      </w:pPr>
      <w:r>
        <w:rPr>
          <w:lang w:eastAsia="en-US"/>
        </w:rPr>
        <w:t>If the appeal is successful, and sewage and water prices are set more in line with prior expectations, this would help to improve the value of ACTEW’s assets.</w:t>
      </w:r>
      <w:r w:rsidR="00FE1F43">
        <w:rPr>
          <w:lang w:eastAsia="en-US"/>
        </w:rPr>
        <w:t xml:space="preserve"> </w:t>
      </w:r>
    </w:p>
    <w:p w:rsidR="00025C96" w:rsidRDefault="00025C96" w:rsidP="00025C96">
      <w:pPr>
        <w:pStyle w:val="Heading3"/>
        <w:rPr>
          <w:lang w:eastAsia="en-US"/>
        </w:rPr>
      </w:pPr>
      <w:r>
        <w:rPr>
          <w:lang w:eastAsia="en-US"/>
        </w:rPr>
        <w:t xml:space="preserve">Superannuation liabilities </w:t>
      </w:r>
    </w:p>
    <w:p w:rsidR="00025C96" w:rsidRPr="00A72D88" w:rsidRDefault="00025C96" w:rsidP="00025C96">
      <w:pPr>
        <w:pStyle w:val="Heading4"/>
        <w:rPr>
          <w:lang w:eastAsia="en-US"/>
        </w:rPr>
      </w:pPr>
      <w:r>
        <w:rPr>
          <w:lang w:eastAsia="en-US"/>
        </w:rPr>
        <w:t>Accounting practices</w:t>
      </w:r>
    </w:p>
    <w:p w:rsidR="00025C96" w:rsidRDefault="00025C96" w:rsidP="00C82C2A">
      <w:pPr>
        <w:pStyle w:val="BodyText"/>
      </w:pPr>
      <w:r>
        <w:t xml:space="preserve">The majority of General Government Liabilities </w:t>
      </w:r>
      <w:proofErr w:type="gramStart"/>
      <w:r>
        <w:t>are made up</w:t>
      </w:r>
      <w:proofErr w:type="gramEnd"/>
      <w:r>
        <w:t xml:space="preserve"> of unfunded superannuation (54.4 per cent) and borrowings (32.3 per cent). Borrowing </w:t>
      </w:r>
      <w:proofErr w:type="gramStart"/>
      <w:r>
        <w:t>is undertaken</w:t>
      </w:r>
      <w:proofErr w:type="gramEnd"/>
      <w:r>
        <w:t xml:space="preserve"> through the issuance of debt securities in the domestic markets with long-term fixed interest and short-term discount securities with a mix of durations. </w:t>
      </w:r>
    </w:p>
    <w:p w:rsidR="00025C96" w:rsidRDefault="00025C96" w:rsidP="00025C96">
      <w:pPr>
        <w:pStyle w:val="BodyText"/>
        <w:rPr>
          <w:lang w:eastAsia="en-US"/>
        </w:rPr>
      </w:pPr>
      <w:r w:rsidRPr="00082D25">
        <w:rPr>
          <w:lang w:eastAsia="en-US"/>
        </w:rPr>
        <w:lastRenderedPageBreak/>
        <w:t xml:space="preserve">Superannuation </w:t>
      </w:r>
      <w:proofErr w:type="gramStart"/>
      <w:r w:rsidRPr="00082D25">
        <w:rPr>
          <w:lang w:eastAsia="en-US"/>
        </w:rPr>
        <w:t>is incorporated</w:t>
      </w:r>
      <w:proofErr w:type="gramEnd"/>
      <w:r w:rsidRPr="00082D25">
        <w:rPr>
          <w:lang w:eastAsia="en-US"/>
        </w:rPr>
        <w:t xml:space="preserve"> in</w:t>
      </w:r>
      <w:r>
        <w:rPr>
          <w:lang w:eastAsia="en-US"/>
        </w:rPr>
        <w:t xml:space="preserve">to the </w:t>
      </w:r>
      <w:r w:rsidR="00956657">
        <w:rPr>
          <w:lang w:eastAsia="en-US"/>
        </w:rPr>
        <w:t>Budget</w:t>
      </w:r>
      <w:r>
        <w:rPr>
          <w:lang w:eastAsia="en-US"/>
        </w:rPr>
        <w:t xml:space="preserve"> in several areas:</w:t>
      </w:r>
    </w:p>
    <w:p w:rsidR="00025C96" w:rsidRDefault="00025C96" w:rsidP="00284F89">
      <w:pPr>
        <w:pStyle w:val="ListBullet"/>
        <w:numPr>
          <w:ilvl w:val="0"/>
          <w:numId w:val="4"/>
        </w:numPr>
        <w:rPr>
          <w:lang w:eastAsia="en-US"/>
        </w:rPr>
      </w:pPr>
      <w:r w:rsidRPr="00082D25">
        <w:rPr>
          <w:lang w:eastAsia="en-US"/>
        </w:rPr>
        <w:t xml:space="preserve">The Government established a Superannuation Provision Account (SPA) for the purpose of holding and investing financial assets set aside to meet the emerging cost payments associated with the Government’s </w:t>
      </w:r>
      <w:proofErr w:type="gramStart"/>
      <w:r w:rsidRPr="00082D25">
        <w:rPr>
          <w:lang w:eastAsia="en-US"/>
        </w:rPr>
        <w:t>employer superannuation benefit obligations</w:t>
      </w:r>
      <w:proofErr w:type="gramEnd"/>
      <w:r w:rsidRPr="00082D25">
        <w:rPr>
          <w:rStyle w:val="FootnoteReference"/>
          <w:lang w:eastAsia="en-US"/>
        </w:rPr>
        <w:footnoteReference w:id="4"/>
      </w:r>
      <w:r w:rsidRPr="00082D25">
        <w:rPr>
          <w:lang w:eastAsia="en-US"/>
        </w:rPr>
        <w:t xml:space="preserve">. Interest earned on the SPA </w:t>
      </w:r>
      <w:proofErr w:type="gramStart"/>
      <w:r w:rsidRPr="00082D25">
        <w:rPr>
          <w:lang w:eastAsia="en-US"/>
        </w:rPr>
        <w:t>is incorporated</w:t>
      </w:r>
      <w:proofErr w:type="gramEnd"/>
      <w:r w:rsidRPr="00082D25">
        <w:rPr>
          <w:lang w:eastAsia="en-US"/>
        </w:rPr>
        <w:t xml:space="preserve"> into the intere</w:t>
      </w:r>
      <w:r>
        <w:rPr>
          <w:lang w:eastAsia="en-US"/>
        </w:rPr>
        <w:t xml:space="preserve">st income component of revenue. </w:t>
      </w:r>
    </w:p>
    <w:p w:rsidR="00025C96" w:rsidRDefault="00025C96" w:rsidP="00025C96">
      <w:pPr>
        <w:pStyle w:val="ListBullet2"/>
        <w:rPr>
          <w:lang w:eastAsia="en-US"/>
        </w:rPr>
      </w:pPr>
      <w:r>
        <w:rPr>
          <w:lang w:eastAsia="en-US"/>
        </w:rPr>
        <w:t>I</w:t>
      </w:r>
      <w:r w:rsidRPr="00082D25">
        <w:rPr>
          <w:lang w:eastAsia="en-US"/>
        </w:rPr>
        <w:t xml:space="preserve">n order to smooth out the returns over the long run, the </w:t>
      </w:r>
      <w:r w:rsidR="00956657">
        <w:rPr>
          <w:lang w:eastAsia="en-US"/>
        </w:rPr>
        <w:t>Budget</w:t>
      </w:r>
      <w:r w:rsidRPr="00082D25">
        <w:rPr>
          <w:lang w:eastAsia="en-US"/>
        </w:rPr>
        <w:t xml:space="preserve"> bottom line utilises an adjustment to interest income on the superannuation account to bring interest levels in line with the long run expectations. A small amount of revenue </w:t>
      </w:r>
      <w:proofErr w:type="gramStart"/>
      <w:r w:rsidRPr="00082D25">
        <w:rPr>
          <w:lang w:eastAsia="en-US"/>
        </w:rPr>
        <w:t>is also received</w:t>
      </w:r>
      <w:proofErr w:type="gramEnd"/>
      <w:r w:rsidRPr="00082D25">
        <w:rPr>
          <w:lang w:eastAsia="en-US"/>
        </w:rPr>
        <w:t xml:space="preserve"> by the PTE sector and external sector (</w:t>
      </w:r>
      <w:proofErr w:type="spellStart"/>
      <w:r w:rsidRPr="00082D25">
        <w:rPr>
          <w:lang w:eastAsia="en-US"/>
        </w:rPr>
        <w:t>ActewAGL</w:t>
      </w:r>
      <w:proofErr w:type="spellEnd"/>
      <w:r w:rsidRPr="00082D25">
        <w:rPr>
          <w:lang w:eastAsia="en-US"/>
        </w:rPr>
        <w:t>) which are based on annual actuarially determined employer contribution rates.</w:t>
      </w:r>
    </w:p>
    <w:p w:rsidR="00025C96" w:rsidRDefault="00025C96" w:rsidP="00284F89">
      <w:pPr>
        <w:pStyle w:val="ListBullet"/>
        <w:numPr>
          <w:ilvl w:val="0"/>
          <w:numId w:val="4"/>
        </w:numPr>
        <w:rPr>
          <w:lang w:eastAsia="en-US"/>
        </w:rPr>
      </w:pPr>
      <w:r w:rsidRPr="00082D25">
        <w:rPr>
          <w:lang w:eastAsia="en-US"/>
        </w:rPr>
        <w:t xml:space="preserve">Superannuation expenses that </w:t>
      </w:r>
      <w:proofErr w:type="gramStart"/>
      <w:r w:rsidRPr="00082D25">
        <w:rPr>
          <w:lang w:eastAsia="en-US"/>
        </w:rPr>
        <w:t>are incurred</w:t>
      </w:r>
      <w:proofErr w:type="gramEnd"/>
      <w:r w:rsidRPr="00082D25">
        <w:rPr>
          <w:lang w:eastAsia="en-US"/>
        </w:rPr>
        <w:t xml:space="preserve"> in each period are also contained in the expenditure items of the </w:t>
      </w:r>
      <w:r w:rsidR="00956657">
        <w:rPr>
          <w:lang w:eastAsia="en-US"/>
        </w:rPr>
        <w:t>Budget</w:t>
      </w:r>
      <w:r w:rsidRPr="00082D25">
        <w:rPr>
          <w:lang w:eastAsia="en-US"/>
        </w:rPr>
        <w:t xml:space="preserve">. </w:t>
      </w:r>
    </w:p>
    <w:p w:rsidR="00025C96" w:rsidRDefault="00025C96" w:rsidP="00284F89">
      <w:pPr>
        <w:pStyle w:val="ListBullet"/>
        <w:numPr>
          <w:ilvl w:val="0"/>
          <w:numId w:val="4"/>
        </w:numPr>
        <w:rPr>
          <w:lang w:eastAsia="en-US"/>
        </w:rPr>
      </w:pPr>
      <w:r w:rsidRPr="00082D25">
        <w:rPr>
          <w:lang w:eastAsia="en-US"/>
        </w:rPr>
        <w:t xml:space="preserve">Accrued superannuation liabilities </w:t>
      </w:r>
      <w:proofErr w:type="gramStart"/>
      <w:r w:rsidRPr="00082D25">
        <w:rPr>
          <w:lang w:eastAsia="en-US"/>
        </w:rPr>
        <w:t>are factored</w:t>
      </w:r>
      <w:proofErr w:type="gramEnd"/>
      <w:r w:rsidRPr="00082D25">
        <w:rPr>
          <w:lang w:eastAsia="en-US"/>
        </w:rPr>
        <w:t xml:space="preserve"> into the </w:t>
      </w:r>
      <w:r w:rsidR="00956657">
        <w:rPr>
          <w:lang w:eastAsia="en-US"/>
        </w:rPr>
        <w:t>Budget</w:t>
      </w:r>
      <w:r w:rsidRPr="00082D25">
        <w:rPr>
          <w:lang w:eastAsia="en-US"/>
        </w:rPr>
        <w:t xml:space="preserve"> through the reporting of Net Financial Liabilities. The total value of accrued superannuation liabilities </w:t>
      </w:r>
      <w:proofErr w:type="gramStart"/>
      <w:r w:rsidRPr="00082D25">
        <w:rPr>
          <w:lang w:eastAsia="en-US"/>
        </w:rPr>
        <w:t>is calculated</w:t>
      </w:r>
      <w:proofErr w:type="gramEnd"/>
      <w:r w:rsidRPr="00082D25">
        <w:rPr>
          <w:lang w:eastAsia="en-US"/>
        </w:rPr>
        <w:t xml:space="preserve"> as the present value of the future payment of benefits that have actually accrued in respect of service at the calculation date. </w:t>
      </w:r>
    </w:p>
    <w:p w:rsidR="00025C96" w:rsidRPr="00A72D88" w:rsidRDefault="00025C96" w:rsidP="00025C96">
      <w:pPr>
        <w:pStyle w:val="Heading4"/>
        <w:rPr>
          <w:lang w:eastAsia="en-US"/>
        </w:rPr>
      </w:pPr>
      <w:r>
        <w:rPr>
          <w:lang w:eastAsia="en-US"/>
        </w:rPr>
        <w:t xml:space="preserve">Recent developments </w:t>
      </w:r>
    </w:p>
    <w:p w:rsidR="00025C96" w:rsidRPr="00082D25" w:rsidRDefault="00025C96" w:rsidP="00025C96">
      <w:pPr>
        <w:pStyle w:val="BodyText"/>
        <w:rPr>
          <w:lang w:eastAsia="en-US"/>
        </w:rPr>
      </w:pPr>
      <w:r w:rsidRPr="00082D25">
        <w:rPr>
          <w:lang w:eastAsia="en-US"/>
        </w:rPr>
        <w:t>The superannuation liabilities at the end of 201</w:t>
      </w:r>
      <w:r>
        <w:rPr>
          <w:lang w:eastAsia="en-US"/>
        </w:rPr>
        <w:t>4-15</w:t>
      </w:r>
      <w:r w:rsidRPr="00082D25">
        <w:rPr>
          <w:lang w:eastAsia="en-US"/>
        </w:rPr>
        <w:t xml:space="preserve"> are expected to </w:t>
      </w:r>
      <w:r>
        <w:rPr>
          <w:lang w:eastAsia="en-US"/>
        </w:rPr>
        <w:t xml:space="preserve">reach </w:t>
      </w:r>
      <w:r w:rsidRPr="00082D25">
        <w:rPr>
          <w:lang w:eastAsia="en-US"/>
        </w:rPr>
        <w:t>$5.</w:t>
      </w:r>
      <w:r>
        <w:rPr>
          <w:lang w:eastAsia="en-US"/>
        </w:rPr>
        <w:t>7 billion, with close to 56 per cent of this liability (or $3.2</w:t>
      </w:r>
      <w:r w:rsidR="00A13D59">
        <w:rPr>
          <w:lang w:eastAsia="en-US"/>
        </w:rPr>
        <w:t xml:space="preserve"> billion) funded by investments, and </w:t>
      </w:r>
      <w:r>
        <w:rPr>
          <w:lang w:eastAsia="en-US"/>
        </w:rPr>
        <w:t>reach $6.5 billion by the end of the forward estimates period.</w:t>
      </w:r>
      <w:r w:rsidR="00FE1F43">
        <w:rPr>
          <w:lang w:eastAsia="en-US"/>
        </w:rPr>
        <w:t xml:space="preserve"> </w:t>
      </w:r>
    </w:p>
    <w:p w:rsidR="00025C96" w:rsidRDefault="00025C96" w:rsidP="00025C96">
      <w:pPr>
        <w:pStyle w:val="BodyText"/>
        <w:rPr>
          <w:lang w:eastAsia="en-US"/>
        </w:rPr>
      </w:pPr>
      <w:r>
        <w:rPr>
          <w:lang w:eastAsia="en-US"/>
        </w:rPr>
        <w:t xml:space="preserve">Table </w:t>
      </w:r>
      <w:r w:rsidR="00B40B86">
        <w:rPr>
          <w:lang w:eastAsia="en-US"/>
        </w:rPr>
        <w:fldChar w:fldCharType="begin"/>
      </w:r>
      <w:r w:rsidR="00FE1F43">
        <w:rPr>
          <w:lang w:eastAsia="en-US"/>
        </w:rPr>
        <w:instrText xml:space="preserve"> REF _Caption8390 </w:instrText>
      </w:r>
      <w:r w:rsidR="00B40B86">
        <w:rPr>
          <w:lang w:eastAsia="en-US"/>
        </w:rPr>
        <w:fldChar w:fldCharType="separate"/>
      </w:r>
      <w:r w:rsidR="00D733F1">
        <w:rPr>
          <w:noProof/>
        </w:rPr>
        <w:t>11</w:t>
      </w:r>
      <w:r w:rsidR="00B40B86">
        <w:rPr>
          <w:lang w:eastAsia="en-US"/>
        </w:rPr>
        <w:fldChar w:fldCharType="end"/>
      </w:r>
      <w:r>
        <w:rPr>
          <w:lang w:eastAsia="en-US"/>
        </w:rPr>
        <w:t xml:space="preserve"> below shows the forecast rise in superannuation liabilities over the forward estimates period as well as the proportion of these liabilities that </w:t>
      </w:r>
      <w:proofErr w:type="gramStart"/>
      <w:r>
        <w:rPr>
          <w:lang w:eastAsia="en-US"/>
        </w:rPr>
        <w:t>are expected to be funded</w:t>
      </w:r>
      <w:proofErr w:type="gramEnd"/>
      <w:r>
        <w:rPr>
          <w:lang w:eastAsia="en-US"/>
        </w:rPr>
        <w:t xml:space="preserve">. </w:t>
      </w:r>
      <w:r w:rsidRPr="00082D25">
        <w:rPr>
          <w:lang w:eastAsia="en-US"/>
        </w:rPr>
        <w:t xml:space="preserve">The estimated total liability and unfunded liability in aggregate terms increases over the </w:t>
      </w:r>
      <w:r w:rsidR="00956657">
        <w:rPr>
          <w:lang w:eastAsia="en-US"/>
        </w:rPr>
        <w:t>Budget</w:t>
      </w:r>
      <w:r w:rsidRPr="00082D25">
        <w:rPr>
          <w:lang w:eastAsia="en-US"/>
        </w:rPr>
        <w:t>, while the</w:t>
      </w:r>
      <w:r>
        <w:rPr>
          <w:lang w:eastAsia="en-US"/>
        </w:rPr>
        <w:t xml:space="preserve"> share of liabilities that is </w:t>
      </w:r>
      <w:r w:rsidRPr="00082D25">
        <w:rPr>
          <w:lang w:eastAsia="en-US"/>
        </w:rPr>
        <w:t xml:space="preserve">funded </w:t>
      </w:r>
      <w:r>
        <w:rPr>
          <w:lang w:eastAsia="en-US"/>
        </w:rPr>
        <w:t>increases from 55 per cent in 2013-14 to 62 per cent in 2017-18.</w:t>
      </w:r>
      <w:r w:rsidR="00FE1F43">
        <w:rPr>
          <w:lang w:eastAsia="en-US"/>
        </w:rPr>
        <w:t xml:space="preserve"> </w:t>
      </w:r>
    </w:p>
    <w:p w:rsidR="00025C96" w:rsidRDefault="00B40B86" w:rsidP="00C82C2A">
      <w:pPr>
        <w:pStyle w:val="Caption"/>
      </w:pPr>
      <w:r w:rsidRPr="00695C93">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fldSimple w:instr=" STYLEREF &quot;Heading 1&quot; \l \n ">
        <w:r w:rsidR="00C82C2A">
          <w:rPr>
            <w:noProof/>
          </w:rPr>
          <w:instrText>2</w:instrText>
        </w:r>
      </w:fldSimple>
      <w:r w:rsidR="00C82C2A" w:rsidRPr="00695C93">
        <w:instrText xml:space="preserve">." </w:instrText>
      </w:r>
      <w:r w:rsidRPr="00695C93">
        <w:fldChar w:fldCharType="end"/>
      </w:r>
      <w:r w:rsidR="00C82C2A" w:rsidRPr="00695C93">
        <w:instrText>" "</w:instrText>
      </w:r>
      <w:fldSimple w:instr=" STYLEREF &quot;Heading 6&quot; \l \n ">
        <w:r w:rsidR="00C82C2A" w:rsidRPr="00695C93">
          <w:instrText>B</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11</w:instrText>
      </w:r>
      <w:r w:rsidRPr="00695C93">
        <w:fldChar w:fldCharType="end"/>
      </w:r>
      <w:r w:rsidR="00C82C2A" w:rsidRPr="00695C93">
        <w:instrText xml:space="preserve">" "" </w:instrText>
      </w:r>
      <w:r w:rsidRPr="00695C93">
        <w:fldChar w:fldCharType="separate"/>
      </w:r>
      <w:bookmarkStart w:id="348" w:name="_Caption1009"/>
      <w:bookmarkStart w:id="349" w:name="_Caption2373"/>
      <w:bookmarkStart w:id="350" w:name="_Caption5024"/>
      <w:bookmarkStart w:id="351" w:name="_Caption0454"/>
      <w:bookmarkStart w:id="352" w:name="_Caption5500"/>
      <w:bookmarkStart w:id="353" w:name="_Caption4041"/>
      <w:bookmarkStart w:id="354" w:name="_Caption3612"/>
      <w:bookmarkStart w:id="355" w:name="_Caption9054"/>
      <w:bookmarkStart w:id="356" w:name="_Caption2406"/>
      <w:bookmarkStart w:id="357" w:name="_Caption3753"/>
      <w:bookmarkStart w:id="358" w:name="_Caption8390"/>
      <w:bookmarkStart w:id="359" w:name="_Caption7968"/>
      <w:bookmarkStart w:id="360" w:name="_Caption4210"/>
      <w:bookmarkStart w:id="361" w:name="_Caption6361"/>
      <w:bookmarkStart w:id="362" w:name="_Caption3267"/>
      <w:bookmarkStart w:id="363" w:name="_Caption5314"/>
      <w:bookmarkStart w:id="364" w:name="_Caption4499"/>
      <w:bookmarkStart w:id="365" w:name="_Caption6115"/>
      <w:bookmarkStart w:id="366" w:name="_Caption6432"/>
      <w:bookmarkStart w:id="367" w:name="_Caption3704"/>
      <w:bookmarkStart w:id="368" w:name="_Caption5366"/>
      <w:bookmarkStart w:id="369" w:name="_Caption0688"/>
      <w:bookmarkStart w:id="370" w:name="_Caption8474"/>
      <w:bookmarkStart w:id="371" w:name="_Caption1579"/>
      <w:bookmarkStart w:id="372" w:name="_Caption4383"/>
      <w:bookmarkStart w:id="373" w:name="_Caption6958"/>
      <w:bookmarkStart w:id="374" w:name="_Caption0917"/>
      <w:bookmarkStart w:id="375" w:name="_Caption9502"/>
      <w:bookmarkStart w:id="376" w:name="_Caption6453"/>
      <w:bookmarkStart w:id="377" w:name="_Caption3764"/>
      <w:bookmarkStart w:id="378" w:name="_Caption3236"/>
      <w:bookmarkStart w:id="379" w:name="_Toc390427334"/>
      <w:r w:rsidR="00D733F1">
        <w:rPr>
          <w:noProof/>
        </w:rPr>
        <w:t>11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695C93">
        <w:fldChar w:fldCharType="end"/>
      </w:r>
      <w:r w:rsidR="00C82C2A" w:rsidRPr="00695C93">
        <w:tab/>
      </w:r>
      <w:r w:rsidR="00C82C2A">
        <w:t>Superannuation liability funding</w:t>
      </w:r>
      <w:bookmarkEnd w:id="379"/>
    </w:p>
    <w:tbl>
      <w:tblPr>
        <w:tblW w:w="7938" w:type="dxa"/>
        <w:tblInd w:w="57" w:type="dxa"/>
        <w:tblLayout w:type="fixed"/>
        <w:tblLook w:val="0000"/>
      </w:tblPr>
      <w:tblGrid>
        <w:gridCol w:w="1856"/>
        <w:gridCol w:w="1023"/>
        <w:gridCol w:w="1008"/>
        <w:gridCol w:w="1009"/>
        <w:gridCol w:w="1009"/>
        <w:gridCol w:w="1009"/>
        <w:gridCol w:w="1024"/>
      </w:tblGrid>
      <w:tr w:rsidR="00025C96" w:rsidTr="007206E0">
        <w:tc>
          <w:tcPr>
            <w:tcW w:w="2149" w:type="dxa"/>
            <w:tcBorders>
              <w:bottom w:val="single" w:sz="8" w:space="0" w:color="FFFFFF" w:themeColor="background1"/>
            </w:tcBorders>
            <w:shd w:val="clear" w:color="auto" w:fill="6F6652"/>
            <w:tcMar>
              <w:left w:w="57" w:type="dxa"/>
              <w:right w:w="57" w:type="dxa"/>
            </w:tcMar>
          </w:tcPr>
          <w:p w:rsidR="00025C96" w:rsidRDefault="00025C96" w:rsidP="007206E0">
            <w:pPr>
              <w:pStyle w:val="TableDataColumnHeading"/>
              <w:jc w:val="left"/>
            </w:pPr>
          </w:p>
        </w:tc>
        <w:tc>
          <w:tcPr>
            <w:tcW w:w="1157" w:type="dxa"/>
            <w:tcBorders>
              <w:bottom w:val="single" w:sz="8" w:space="0" w:color="FFFFFF" w:themeColor="background1"/>
            </w:tcBorders>
            <w:shd w:val="clear" w:color="auto" w:fill="6F6652"/>
          </w:tcPr>
          <w:p w:rsidR="00025C96" w:rsidRDefault="00025C96" w:rsidP="007206E0">
            <w:pPr>
              <w:pStyle w:val="TableDataColumnHeading"/>
            </w:pPr>
          </w:p>
        </w:tc>
        <w:tc>
          <w:tcPr>
            <w:tcW w:w="1157" w:type="dxa"/>
            <w:tcBorders>
              <w:bottom w:val="single" w:sz="8" w:space="0" w:color="FFFFFF" w:themeColor="background1"/>
            </w:tcBorders>
            <w:shd w:val="clear" w:color="auto" w:fill="6F6652"/>
            <w:tcMar>
              <w:left w:w="57" w:type="dxa"/>
              <w:right w:w="57" w:type="dxa"/>
            </w:tcMar>
          </w:tcPr>
          <w:p w:rsidR="00025C96" w:rsidRDefault="00025C96" w:rsidP="007206E0">
            <w:pPr>
              <w:pStyle w:val="TableDataColumnHeading"/>
            </w:pPr>
            <w:r>
              <w:t>2013-14</w:t>
            </w:r>
          </w:p>
        </w:tc>
        <w:tc>
          <w:tcPr>
            <w:tcW w:w="1158" w:type="dxa"/>
            <w:tcBorders>
              <w:bottom w:val="single" w:sz="8" w:space="0" w:color="FFFFFF" w:themeColor="background1"/>
            </w:tcBorders>
            <w:shd w:val="clear" w:color="auto" w:fill="6F6652"/>
            <w:tcMar>
              <w:left w:w="57" w:type="dxa"/>
              <w:right w:w="57" w:type="dxa"/>
            </w:tcMar>
          </w:tcPr>
          <w:p w:rsidR="00025C96" w:rsidRDefault="00025C96" w:rsidP="007206E0">
            <w:pPr>
              <w:pStyle w:val="TableDataColumnHeading"/>
            </w:pPr>
            <w:r>
              <w:t>2014-15</w:t>
            </w:r>
          </w:p>
        </w:tc>
        <w:tc>
          <w:tcPr>
            <w:tcW w:w="1158" w:type="dxa"/>
            <w:tcBorders>
              <w:bottom w:val="single" w:sz="8" w:space="0" w:color="FFFFFF" w:themeColor="background1"/>
            </w:tcBorders>
            <w:shd w:val="clear" w:color="auto" w:fill="6F6652"/>
            <w:tcMar>
              <w:left w:w="57" w:type="dxa"/>
              <w:right w:w="57" w:type="dxa"/>
            </w:tcMar>
          </w:tcPr>
          <w:p w:rsidR="00025C96" w:rsidRDefault="00025C96" w:rsidP="007206E0">
            <w:pPr>
              <w:pStyle w:val="TableDataColumnHeading"/>
            </w:pPr>
            <w:r>
              <w:t>2015-16</w:t>
            </w:r>
          </w:p>
        </w:tc>
        <w:tc>
          <w:tcPr>
            <w:tcW w:w="1158" w:type="dxa"/>
            <w:tcBorders>
              <w:bottom w:val="single" w:sz="8" w:space="0" w:color="FFFFFF" w:themeColor="background1"/>
            </w:tcBorders>
            <w:shd w:val="clear" w:color="auto" w:fill="6F6652"/>
            <w:tcMar>
              <w:left w:w="57" w:type="dxa"/>
              <w:right w:w="57" w:type="dxa"/>
            </w:tcMar>
          </w:tcPr>
          <w:p w:rsidR="00025C96" w:rsidRDefault="00025C96" w:rsidP="007206E0">
            <w:pPr>
              <w:pStyle w:val="TableDataColumnHeading"/>
            </w:pPr>
            <w:r>
              <w:t>2016-17</w:t>
            </w:r>
          </w:p>
        </w:tc>
        <w:tc>
          <w:tcPr>
            <w:tcW w:w="1158" w:type="dxa"/>
            <w:tcBorders>
              <w:bottom w:val="single" w:sz="8" w:space="0" w:color="FFFFFF" w:themeColor="background1"/>
            </w:tcBorders>
            <w:shd w:val="clear" w:color="auto" w:fill="6F6652"/>
          </w:tcPr>
          <w:p w:rsidR="00025C96" w:rsidRDefault="00025C96" w:rsidP="007206E0">
            <w:pPr>
              <w:pStyle w:val="TableDataColumnHeading"/>
            </w:pPr>
            <w:r>
              <w:t>2017-18</w:t>
            </w:r>
          </w:p>
        </w:tc>
      </w:tr>
      <w:tr w:rsidR="00025C96" w:rsidTr="007206E0">
        <w:tc>
          <w:tcPr>
            <w:tcW w:w="2149"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Default="00025C96" w:rsidP="007206E0">
            <w:pPr>
              <w:pStyle w:val="TableDataEntries"/>
              <w:jc w:val="left"/>
            </w:pPr>
            <w:r>
              <w:t>Superannuation liability</w:t>
            </w:r>
          </w:p>
        </w:tc>
        <w:tc>
          <w:tcPr>
            <w:tcW w:w="1157" w:type="dxa"/>
            <w:tcBorders>
              <w:top w:val="single" w:sz="8" w:space="0" w:color="FFFFFF" w:themeColor="background1"/>
              <w:bottom w:val="single" w:sz="8" w:space="0" w:color="FFFFFF" w:themeColor="background1"/>
            </w:tcBorders>
            <w:shd w:val="clear" w:color="auto" w:fill="E9E8E5" w:themeFill="background2"/>
          </w:tcPr>
          <w:p w:rsidR="00025C96" w:rsidRDefault="00025C96" w:rsidP="007206E0">
            <w:pPr>
              <w:pStyle w:val="TableDataEntries"/>
            </w:pPr>
            <w:r>
              <w:t>$m</w:t>
            </w:r>
          </w:p>
        </w:tc>
        <w:tc>
          <w:tcPr>
            <w:tcW w:w="115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pPr>
            <w:r>
              <w:t>5.4</w:t>
            </w:r>
          </w:p>
        </w:tc>
        <w:tc>
          <w:tcPr>
            <w:tcW w:w="115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pPr>
            <w:r>
              <w:t>5.7</w:t>
            </w:r>
          </w:p>
        </w:tc>
        <w:tc>
          <w:tcPr>
            <w:tcW w:w="115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pPr>
            <w:r>
              <w:t>5.9</w:t>
            </w:r>
          </w:p>
        </w:tc>
        <w:tc>
          <w:tcPr>
            <w:tcW w:w="115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pPr>
            <w:r>
              <w:t>6.3</w:t>
            </w:r>
          </w:p>
        </w:tc>
        <w:tc>
          <w:tcPr>
            <w:tcW w:w="1158" w:type="dxa"/>
            <w:tcBorders>
              <w:top w:val="single" w:sz="8" w:space="0" w:color="FFFFFF" w:themeColor="background1"/>
              <w:bottom w:val="single" w:sz="8" w:space="0" w:color="FFFFFF" w:themeColor="background1"/>
            </w:tcBorders>
            <w:shd w:val="clear" w:color="auto" w:fill="E9E8E5" w:themeFill="background2"/>
          </w:tcPr>
          <w:p w:rsidR="00025C96" w:rsidRDefault="00025C96" w:rsidP="007206E0">
            <w:pPr>
              <w:pStyle w:val="TableDataEntries"/>
            </w:pPr>
            <w:r>
              <w:t>6.5</w:t>
            </w:r>
          </w:p>
        </w:tc>
      </w:tr>
      <w:tr w:rsidR="00025C96" w:rsidTr="007206E0">
        <w:tc>
          <w:tcPr>
            <w:tcW w:w="2149"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Default="00025C96" w:rsidP="007206E0">
            <w:pPr>
              <w:pStyle w:val="TableDataEntries"/>
              <w:jc w:val="left"/>
            </w:pPr>
            <w:r>
              <w:t>Investments</w:t>
            </w:r>
          </w:p>
        </w:tc>
        <w:tc>
          <w:tcPr>
            <w:tcW w:w="1157" w:type="dxa"/>
            <w:tcBorders>
              <w:top w:val="single" w:sz="8" w:space="0" w:color="FFFFFF" w:themeColor="background1"/>
              <w:bottom w:val="single" w:sz="8" w:space="0" w:color="FFFFFF" w:themeColor="background1"/>
            </w:tcBorders>
            <w:shd w:val="clear" w:color="auto" w:fill="E9E8E5" w:themeFill="background2"/>
          </w:tcPr>
          <w:p w:rsidR="00025C96" w:rsidRDefault="00025C96" w:rsidP="007206E0">
            <w:pPr>
              <w:pStyle w:val="TableDataEntries"/>
            </w:pPr>
            <w:r>
              <w:t>$m</w:t>
            </w:r>
          </w:p>
        </w:tc>
        <w:tc>
          <w:tcPr>
            <w:tcW w:w="115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pPr>
            <w:r>
              <w:t>3.0</w:t>
            </w:r>
          </w:p>
        </w:tc>
        <w:tc>
          <w:tcPr>
            <w:tcW w:w="115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pPr>
            <w:r>
              <w:t>3.2</w:t>
            </w:r>
          </w:p>
        </w:tc>
        <w:tc>
          <w:tcPr>
            <w:tcW w:w="115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pPr>
            <w:r>
              <w:t>3.5</w:t>
            </w:r>
          </w:p>
        </w:tc>
        <w:tc>
          <w:tcPr>
            <w:tcW w:w="115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pPr>
            <w:r>
              <w:t>3.7</w:t>
            </w:r>
          </w:p>
        </w:tc>
        <w:tc>
          <w:tcPr>
            <w:tcW w:w="1158" w:type="dxa"/>
            <w:tcBorders>
              <w:top w:val="single" w:sz="8" w:space="0" w:color="FFFFFF" w:themeColor="background1"/>
              <w:bottom w:val="single" w:sz="8" w:space="0" w:color="FFFFFF" w:themeColor="background1"/>
            </w:tcBorders>
            <w:shd w:val="clear" w:color="auto" w:fill="E9E8E5" w:themeFill="background2"/>
          </w:tcPr>
          <w:p w:rsidR="00025C96" w:rsidRDefault="00025C96" w:rsidP="007206E0">
            <w:pPr>
              <w:pStyle w:val="TableDataEntries"/>
            </w:pPr>
            <w:r>
              <w:t>4.0</w:t>
            </w:r>
          </w:p>
        </w:tc>
      </w:tr>
      <w:tr w:rsidR="00025C96" w:rsidTr="007206E0">
        <w:tc>
          <w:tcPr>
            <w:tcW w:w="2149"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025C96" w:rsidRDefault="00025C96" w:rsidP="007206E0">
            <w:pPr>
              <w:pStyle w:val="TableDataEntries"/>
              <w:jc w:val="left"/>
            </w:pPr>
            <w:r>
              <w:t>Unfunded liability</w:t>
            </w:r>
          </w:p>
        </w:tc>
        <w:tc>
          <w:tcPr>
            <w:tcW w:w="1157" w:type="dxa"/>
            <w:tcBorders>
              <w:top w:val="single" w:sz="8" w:space="0" w:color="FFFFFF" w:themeColor="background1"/>
              <w:bottom w:val="single" w:sz="8" w:space="0" w:color="FFFFFF" w:themeColor="background1"/>
            </w:tcBorders>
            <w:shd w:val="clear" w:color="auto" w:fill="E9E8E5" w:themeFill="background2"/>
          </w:tcPr>
          <w:p w:rsidR="00025C96" w:rsidRDefault="00025C96" w:rsidP="007206E0">
            <w:pPr>
              <w:pStyle w:val="TableDataEntries"/>
            </w:pPr>
            <w:r>
              <w:t>$m</w:t>
            </w:r>
          </w:p>
        </w:tc>
        <w:tc>
          <w:tcPr>
            <w:tcW w:w="115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pPr>
            <w:r>
              <w:t>2.4</w:t>
            </w:r>
          </w:p>
        </w:tc>
        <w:tc>
          <w:tcPr>
            <w:tcW w:w="115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pPr>
            <w:r>
              <w:t>2.5</w:t>
            </w:r>
          </w:p>
        </w:tc>
        <w:tc>
          <w:tcPr>
            <w:tcW w:w="115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pPr>
            <w:r>
              <w:t>2.5</w:t>
            </w:r>
          </w:p>
        </w:tc>
        <w:tc>
          <w:tcPr>
            <w:tcW w:w="115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025C96" w:rsidRDefault="00025C96" w:rsidP="007206E0">
            <w:pPr>
              <w:pStyle w:val="TableDataEntries"/>
            </w:pPr>
            <w:r>
              <w:t>2.5</w:t>
            </w:r>
          </w:p>
        </w:tc>
        <w:tc>
          <w:tcPr>
            <w:tcW w:w="1158" w:type="dxa"/>
            <w:tcBorders>
              <w:top w:val="single" w:sz="8" w:space="0" w:color="FFFFFF" w:themeColor="background1"/>
              <w:bottom w:val="single" w:sz="8" w:space="0" w:color="FFFFFF" w:themeColor="background1"/>
            </w:tcBorders>
            <w:shd w:val="clear" w:color="auto" w:fill="E9E8E5" w:themeFill="background2"/>
          </w:tcPr>
          <w:p w:rsidR="00025C96" w:rsidRDefault="00025C96" w:rsidP="007206E0">
            <w:pPr>
              <w:pStyle w:val="TableDataEntries"/>
            </w:pPr>
            <w:r>
              <w:t>2.5</w:t>
            </w:r>
          </w:p>
        </w:tc>
      </w:tr>
      <w:tr w:rsidR="00025C96" w:rsidTr="007206E0">
        <w:tc>
          <w:tcPr>
            <w:tcW w:w="2149"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center"/>
          </w:tcPr>
          <w:p w:rsidR="00025C96" w:rsidRPr="00B64081" w:rsidRDefault="00025C96" w:rsidP="007206E0">
            <w:pPr>
              <w:pStyle w:val="TableDataEntries"/>
              <w:jc w:val="left"/>
              <w:rPr>
                <w:rFonts w:ascii="Franklin Gothic Medium" w:hAnsi="Franklin Gothic Medium"/>
                <w:b/>
              </w:rPr>
            </w:pPr>
            <w:r w:rsidRPr="00B64081">
              <w:rPr>
                <w:rFonts w:ascii="Franklin Gothic Medium" w:hAnsi="Franklin Gothic Medium"/>
                <w:b/>
              </w:rPr>
              <w:t>Funding percentage</w:t>
            </w:r>
          </w:p>
        </w:tc>
        <w:tc>
          <w:tcPr>
            <w:tcW w:w="1157" w:type="dxa"/>
            <w:tcBorders>
              <w:top w:val="single" w:sz="8" w:space="0" w:color="FFFFFF" w:themeColor="background1"/>
              <w:bottom w:val="single" w:sz="6" w:space="0" w:color="6F6652"/>
            </w:tcBorders>
            <w:shd w:val="clear" w:color="auto" w:fill="C2DADB" w:themeFill="accent6" w:themeFillTint="99"/>
          </w:tcPr>
          <w:p w:rsidR="00025C96" w:rsidRPr="00B64081" w:rsidRDefault="00025C96" w:rsidP="007206E0">
            <w:pPr>
              <w:pStyle w:val="TableDataEntries"/>
              <w:rPr>
                <w:rFonts w:ascii="Franklin Gothic Medium" w:hAnsi="Franklin Gothic Medium"/>
                <w:b/>
              </w:rPr>
            </w:pPr>
            <w:r w:rsidRPr="00B64081">
              <w:rPr>
                <w:rFonts w:ascii="Franklin Gothic Medium" w:hAnsi="Franklin Gothic Medium"/>
                <w:b/>
              </w:rPr>
              <w:t>%</w:t>
            </w:r>
          </w:p>
        </w:tc>
        <w:tc>
          <w:tcPr>
            <w:tcW w:w="1157"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025C96" w:rsidRPr="00B64081" w:rsidRDefault="00025C96" w:rsidP="007206E0">
            <w:pPr>
              <w:pStyle w:val="TableDataEntries"/>
              <w:rPr>
                <w:rFonts w:ascii="Franklin Gothic Medium" w:hAnsi="Franklin Gothic Medium"/>
                <w:b/>
              </w:rPr>
            </w:pPr>
            <w:r w:rsidRPr="00B64081">
              <w:rPr>
                <w:rFonts w:ascii="Franklin Gothic Medium" w:hAnsi="Franklin Gothic Medium"/>
                <w:b/>
              </w:rPr>
              <w:t>56</w:t>
            </w:r>
          </w:p>
        </w:tc>
        <w:tc>
          <w:tcPr>
            <w:tcW w:w="1158"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025C96" w:rsidRPr="00B64081" w:rsidRDefault="00025C96" w:rsidP="007206E0">
            <w:pPr>
              <w:pStyle w:val="TableDataEntries"/>
              <w:rPr>
                <w:rFonts w:ascii="Franklin Gothic Medium" w:hAnsi="Franklin Gothic Medium"/>
                <w:b/>
              </w:rPr>
            </w:pPr>
            <w:r w:rsidRPr="00B64081">
              <w:rPr>
                <w:rFonts w:ascii="Franklin Gothic Medium" w:hAnsi="Franklin Gothic Medium"/>
                <w:b/>
              </w:rPr>
              <w:t>57</w:t>
            </w:r>
          </w:p>
        </w:tc>
        <w:tc>
          <w:tcPr>
            <w:tcW w:w="1158"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025C96" w:rsidRPr="00B64081" w:rsidRDefault="00025C96" w:rsidP="007206E0">
            <w:pPr>
              <w:pStyle w:val="TableDataEntries"/>
              <w:rPr>
                <w:rFonts w:ascii="Franklin Gothic Medium" w:hAnsi="Franklin Gothic Medium"/>
                <w:b/>
              </w:rPr>
            </w:pPr>
            <w:r w:rsidRPr="00B64081">
              <w:rPr>
                <w:rFonts w:ascii="Franklin Gothic Medium" w:hAnsi="Franklin Gothic Medium"/>
                <w:b/>
              </w:rPr>
              <w:t>58</w:t>
            </w:r>
          </w:p>
        </w:tc>
        <w:tc>
          <w:tcPr>
            <w:tcW w:w="1158"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025C96" w:rsidRPr="00B64081" w:rsidRDefault="00025C96" w:rsidP="007206E0">
            <w:pPr>
              <w:pStyle w:val="TableDataEntries"/>
              <w:rPr>
                <w:rFonts w:ascii="Franklin Gothic Medium" w:hAnsi="Franklin Gothic Medium"/>
                <w:b/>
              </w:rPr>
            </w:pPr>
            <w:r w:rsidRPr="00B64081">
              <w:rPr>
                <w:rFonts w:ascii="Franklin Gothic Medium" w:hAnsi="Franklin Gothic Medium"/>
                <w:b/>
              </w:rPr>
              <w:t>60</w:t>
            </w:r>
          </w:p>
        </w:tc>
        <w:tc>
          <w:tcPr>
            <w:tcW w:w="1158" w:type="dxa"/>
            <w:tcBorders>
              <w:top w:val="single" w:sz="8" w:space="0" w:color="FFFFFF" w:themeColor="background1"/>
              <w:bottom w:val="single" w:sz="6" w:space="0" w:color="6F6652"/>
            </w:tcBorders>
            <w:shd w:val="clear" w:color="auto" w:fill="C2DADB" w:themeFill="accent6" w:themeFillTint="99"/>
          </w:tcPr>
          <w:p w:rsidR="00025C96" w:rsidRPr="00B64081" w:rsidRDefault="00025C96" w:rsidP="007206E0">
            <w:pPr>
              <w:pStyle w:val="TableDataEntries"/>
              <w:rPr>
                <w:rFonts w:ascii="Franklin Gothic Medium" w:hAnsi="Franklin Gothic Medium"/>
                <w:b/>
              </w:rPr>
            </w:pPr>
            <w:r w:rsidRPr="00B64081">
              <w:rPr>
                <w:rFonts w:ascii="Franklin Gothic Medium" w:hAnsi="Franklin Gothic Medium"/>
                <w:b/>
              </w:rPr>
              <w:t>62</w:t>
            </w:r>
          </w:p>
        </w:tc>
      </w:tr>
    </w:tbl>
    <w:p w:rsidR="00025C96" w:rsidRDefault="00025C96" w:rsidP="00025C96">
      <w:pPr>
        <w:pStyle w:val="Source"/>
      </w:pPr>
      <w:r>
        <w:rPr>
          <w:i/>
        </w:rPr>
        <w:t>Source</w:t>
      </w:r>
      <w:r w:rsidRPr="00E4232C">
        <w:rPr>
          <w:i/>
        </w:rPr>
        <w:t>:</w:t>
      </w:r>
      <w:r>
        <w:t xml:space="preserve"> ACT </w:t>
      </w:r>
      <w:r w:rsidR="00956657">
        <w:t>Budget</w:t>
      </w:r>
      <w:r>
        <w:t xml:space="preserve"> 2014-15</w:t>
      </w:r>
      <w:r w:rsidR="00FE1F43">
        <w:t>.</w:t>
      </w:r>
    </w:p>
    <w:p w:rsidR="00FE1F43" w:rsidRDefault="00FE1F43" w:rsidP="00FE1F43">
      <w:pPr>
        <w:pStyle w:val="BodyText"/>
        <w:rPr>
          <w:lang w:eastAsia="en-US"/>
        </w:rPr>
      </w:pPr>
      <w:r w:rsidRPr="00082D25">
        <w:rPr>
          <w:lang w:eastAsia="en-US"/>
        </w:rPr>
        <w:t xml:space="preserve">It </w:t>
      </w:r>
      <w:r>
        <w:rPr>
          <w:lang w:eastAsia="en-US"/>
        </w:rPr>
        <w:t xml:space="preserve">is worth noting that the projected superannuation </w:t>
      </w:r>
      <w:r w:rsidRPr="00082D25">
        <w:rPr>
          <w:lang w:eastAsia="en-US"/>
        </w:rPr>
        <w:t>liabilit</w:t>
      </w:r>
      <w:r>
        <w:rPr>
          <w:lang w:eastAsia="en-US"/>
        </w:rPr>
        <w:t xml:space="preserve">ies are </w:t>
      </w:r>
      <w:r w:rsidRPr="00082D25">
        <w:rPr>
          <w:lang w:eastAsia="en-US"/>
        </w:rPr>
        <w:t xml:space="preserve">uncertain and </w:t>
      </w:r>
      <w:r>
        <w:rPr>
          <w:lang w:eastAsia="en-US"/>
        </w:rPr>
        <w:t>sensitive to the assumptions used</w:t>
      </w:r>
      <w:r w:rsidRPr="00082D25">
        <w:rPr>
          <w:lang w:eastAsia="en-US"/>
        </w:rPr>
        <w:t xml:space="preserve">. The </w:t>
      </w:r>
      <w:r>
        <w:rPr>
          <w:lang w:eastAsia="en-US"/>
        </w:rPr>
        <w:t>Budget</w:t>
      </w:r>
      <w:r w:rsidRPr="00082D25">
        <w:rPr>
          <w:lang w:eastAsia="en-US"/>
        </w:rPr>
        <w:t xml:space="preserve"> Statement of Risk suggests that the estimated superannuation liability is most sensitive to inflation, wages growth, rates and patterns of </w:t>
      </w:r>
      <w:r w:rsidRPr="00082D25">
        <w:rPr>
          <w:lang w:eastAsia="en-US"/>
        </w:rPr>
        <w:lastRenderedPageBreak/>
        <w:t xml:space="preserve">retirement and resignation and the proportion of benefits taken in pension form. In addition, the superannuation liability </w:t>
      </w:r>
      <w:proofErr w:type="gramStart"/>
      <w:r w:rsidRPr="00082D25">
        <w:rPr>
          <w:lang w:eastAsia="en-US"/>
        </w:rPr>
        <w:t>is affected</w:t>
      </w:r>
      <w:proofErr w:type="gramEnd"/>
      <w:r w:rsidRPr="00082D25">
        <w:rPr>
          <w:lang w:eastAsia="en-US"/>
        </w:rPr>
        <w:t xml:space="preserve"> by the assumed discount rate, which reflects the estimated average timing of the benefit payments and the time value of money. </w:t>
      </w:r>
    </w:p>
    <w:p w:rsidR="00FE1F43" w:rsidRDefault="00FE1F43" w:rsidP="00FE1F43">
      <w:pPr>
        <w:pStyle w:val="BodyText"/>
        <w:rPr>
          <w:lang w:eastAsia="en-US"/>
        </w:rPr>
      </w:pPr>
      <w:r w:rsidRPr="00082D25">
        <w:rPr>
          <w:lang w:eastAsia="en-US"/>
        </w:rPr>
        <w:t xml:space="preserve">The Net Financial Liabilities reported in the </w:t>
      </w:r>
      <w:r>
        <w:rPr>
          <w:lang w:eastAsia="en-US"/>
        </w:rPr>
        <w:t>Budget</w:t>
      </w:r>
      <w:r w:rsidRPr="00082D25">
        <w:rPr>
          <w:lang w:eastAsia="en-US"/>
        </w:rPr>
        <w:t xml:space="preserve"> </w:t>
      </w:r>
      <w:proofErr w:type="gramStart"/>
      <w:r w:rsidRPr="00082D25">
        <w:rPr>
          <w:lang w:eastAsia="en-US"/>
        </w:rPr>
        <w:t>has been prepared</w:t>
      </w:r>
      <w:proofErr w:type="gramEnd"/>
      <w:r w:rsidRPr="00082D25">
        <w:rPr>
          <w:lang w:eastAsia="en-US"/>
        </w:rPr>
        <w:t xml:space="preserve"> using an estimate of the 20-year average discount rate of approximately 6 per cent to reflect the long-term nature of superannuation investment, whereas the current discount rate measured as the Commonwealth Government long-term bond rate is approximately 4 per cent. If the discount rate remains at around 4 per cent, the value of the liability at the end of 2012-13</w:t>
      </w:r>
      <w:r>
        <w:rPr>
          <w:lang w:eastAsia="en-US"/>
        </w:rPr>
        <w:t xml:space="preserve"> increases by approximately $2</w:t>
      </w:r>
      <w:r w:rsidRPr="00082D25">
        <w:rPr>
          <w:lang w:eastAsia="en-US"/>
        </w:rPr>
        <w:t> billion. Changes to the discount rate would also flow through to defined annual superannuation expenses.</w:t>
      </w:r>
    </w:p>
    <w:p w:rsidR="007206E0" w:rsidRDefault="002F616F" w:rsidP="003E774E">
      <w:pPr>
        <w:pStyle w:val="Heading1"/>
        <w:numPr>
          <w:ilvl w:val="0"/>
          <w:numId w:val="0"/>
        </w:numPr>
        <w:ind w:left="567" w:hanging="567"/>
      </w:pPr>
      <w:bookmarkStart w:id="380" w:name="_Toc390427302"/>
      <w:r>
        <w:lastRenderedPageBreak/>
        <w:t>Revenue</w:t>
      </w:r>
      <w:bookmarkEnd w:id="380"/>
    </w:p>
    <w:p w:rsidR="002F616F" w:rsidRDefault="002F616F" w:rsidP="00180FB3">
      <w:pPr>
        <w:pStyle w:val="ChapterIntroduction"/>
      </w:pPr>
      <w:r>
        <w:t xml:space="preserve">Over the past 18 months, four key factors have influenced the level and composition of revenue collected by the ACT Government: </w:t>
      </w:r>
    </w:p>
    <w:p w:rsidR="002F616F" w:rsidRDefault="00180FB3" w:rsidP="00180FB3">
      <w:pPr>
        <w:pStyle w:val="ChapterIntroduction"/>
      </w:pPr>
      <w:r>
        <w:t xml:space="preserve">- </w:t>
      </w:r>
      <w:r w:rsidR="002F616F">
        <w:t xml:space="preserve">slowing economic activity, </w:t>
      </w:r>
      <w:r w:rsidR="00A13D59">
        <w:t>particularly in the property</w:t>
      </w:r>
      <w:r w:rsidR="002F616F">
        <w:t xml:space="preserve"> sector</w:t>
      </w:r>
    </w:p>
    <w:p w:rsidR="002F616F" w:rsidRDefault="00180FB3" w:rsidP="00180FB3">
      <w:pPr>
        <w:pStyle w:val="ChapterIntroduction"/>
      </w:pPr>
      <w:r>
        <w:t xml:space="preserve">- </w:t>
      </w:r>
      <w:proofErr w:type="gramStart"/>
      <w:r w:rsidR="002F616F">
        <w:t>reductions</w:t>
      </w:r>
      <w:proofErr w:type="gramEnd"/>
      <w:r w:rsidR="002F616F">
        <w:t xml:space="preserve"> in Federal Government spending and employment </w:t>
      </w:r>
    </w:p>
    <w:p w:rsidR="002F616F" w:rsidRDefault="00180FB3" w:rsidP="00180FB3">
      <w:pPr>
        <w:pStyle w:val="ChapterIntroduction"/>
      </w:pPr>
      <w:r>
        <w:t xml:space="preserve">- </w:t>
      </w:r>
      <w:proofErr w:type="gramStart"/>
      <w:r w:rsidR="002F616F">
        <w:t>lower</w:t>
      </w:r>
      <w:proofErr w:type="gramEnd"/>
      <w:r w:rsidR="002F616F">
        <w:t xml:space="preserve"> than expected regulated prices for water and sewage</w:t>
      </w:r>
      <w:r w:rsidR="007566D7">
        <w:t>, and</w:t>
      </w:r>
    </w:p>
    <w:p w:rsidR="002F616F" w:rsidRDefault="00180FB3" w:rsidP="00180FB3">
      <w:pPr>
        <w:pStyle w:val="ChapterIntroduction"/>
      </w:pPr>
      <w:proofErr w:type="gramStart"/>
      <w:r>
        <w:t xml:space="preserve">- </w:t>
      </w:r>
      <w:r w:rsidR="002F616F">
        <w:t>continued tax reform initiated by the Quinlan review</w:t>
      </w:r>
      <w:r>
        <w:t>.</w:t>
      </w:r>
      <w:proofErr w:type="gramEnd"/>
    </w:p>
    <w:p w:rsidR="002F616F" w:rsidRDefault="002F616F" w:rsidP="00180FB3">
      <w:pPr>
        <w:pStyle w:val="ChapterIntroduction"/>
      </w:pPr>
      <w:r>
        <w:t xml:space="preserve">The first three factors outlined above have reduced the level of taxation and other revenue and required a number of new revenue initiatives to </w:t>
      </w:r>
      <w:proofErr w:type="gramStart"/>
      <w:r>
        <w:t>be</w:t>
      </w:r>
      <w:r w:rsidR="00180FB3">
        <w:t xml:space="preserve"> announced</w:t>
      </w:r>
      <w:proofErr w:type="gramEnd"/>
      <w:r w:rsidR="00180FB3">
        <w:t xml:space="preserve"> in the </w:t>
      </w:r>
      <w:r>
        <w:t xml:space="preserve">2014-15 </w:t>
      </w:r>
      <w:r w:rsidR="00956657">
        <w:t>Budget</w:t>
      </w:r>
      <w:r>
        <w:t>. The fourth factor, the taxation reform prog</w:t>
      </w:r>
      <w:r w:rsidR="00B21D82">
        <w:t xml:space="preserve">ram </w:t>
      </w:r>
      <w:r>
        <w:t>started in 2012-13</w:t>
      </w:r>
      <w:r w:rsidR="00FF4E54">
        <w:t>,</w:t>
      </w:r>
      <w:r>
        <w:t xml:space="preserve"> has changed the composition of the revenue collected away from conveyance and insurance based taxes towards more broad</w:t>
      </w:r>
      <w:r w:rsidR="00B61C75">
        <w:t xml:space="preserve">-based efficient taxes such as </w:t>
      </w:r>
      <w:r>
        <w:t xml:space="preserve">general </w:t>
      </w:r>
      <w:r w:rsidR="00B61C75">
        <w:t>rates</w:t>
      </w:r>
      <w:r>
        <w:t xml:space="preserve">. This change in the composition of tax revenue will help to improve the stability of tax </w:t>
      </w:r>
      <w:r w:rsidR="00FF4E54">
        <w:t>income</w:t>
      </w:r>
      <w:r>
        <w:t xml:space="preserve"> </w:t>
      </w:r>
      <w:r w:rsidR="00B61C75">
        <w:t xml:space="preserve">in future years </w:t>
      </w:r>
      <w:r>
        <w:t xml:space="preserve">and reduce the risks associated with the central revenue projections. </w:t>
      </w:r>
    </w:p>
    <w:p w:rsidR="002F616F" w:rsidRDefault="002F616F" w:rsidP="00180FB3">
      <w:pPr>
        <w:pStyle w:val="ChapterIntroduction"/>
      </w:pPr>
      <w:r>
        <w:t>While these initiatives have been necessary to improve the efficacy of the taxation system, they have resulted in a noticeable rise in the taxes and fees payed by households in 2014-15. It</w:t>
      </w:r>
      <w:r w:rsidR="00FF4E54">
        <w:t xml:space="preserve"> will be </w:t>
      </w:r>
      <w:r>
        <w:t xml:space="preserve">important to ensure that a sufficient level of targeted concessions is available to help protect low-income households. </w:t>
      </w:r>
    </w:p>
    <w:p w:rsidR="002F616F" w:rsidRDefault="002F616F" w:rsidP="002F616F">
      <w:pPr>
        <w:pStyle w:val="Heading2"/>
        <w:rPr>
          <w:lang w:eastAsia="en-US"/>
        </w:rPr>
      </w:pPr>
      <w:bookmarkStart w:id="381" w:name="_Toc390427303"/>
      <w:r>
        <w:rPr>
          <w:lang w:eastAsia="en-US"/>
        </w:rPr>
        <w:t>Revenue projections relative to 2013-</w:t>
      </w:r>
      <w:r w:rsidRPr="00383D66">
        <w:rPr>
          <w:lang w:eastAsia="en-US"/>
        </w:rPr>
        <w:t xml:space="preserve">14 </w:t>
      </w:r>
      <w:r w:rsidR="00956657" w:rsidRPr="00383D66">
        <w:rPr>
          <w:lang w:eastAsia="en-US"/>
        </w:rPr>
        <w:t>Budget</w:t>
      </w:r>
      <w:bookmarkEnd w:id="381"/>
      <w:r>
        <w:rPr>
          <w:lang w:eastAsia="en-US"/>
        </w:rPr>
        <w:t xml:space="preserve"> </w:t>
      </w:r>
    </w:p>
    <w:p w:rsidR="002F616F" w:rsidRDefault="002F616F" w:rsidP="002F616F">
      <w:pPr>
        <w:pStyle w:val="BodyText"/>
        <w:rPr>
          <w:lang w:eastAsia="en-US"/>
        </w:rPr>
      </w:pPr>
      <w:r>
        <w:rPr>
          <w:lang w:eastAsia="en-US"/>
        </w:rPr>
        <w:t xml:space="preserve">Revenue projections </w:t>
      </w:r>
      <w:proofErr w:type="gramStart"/>
      <w:r>
        <w:rPr>
          <w:lang w:eastAsia="en-US"/>
        </w:rPr>
        <w:t>have been progressively revised</w:t>
      </w:r>
      <w:proofErr w:type="gramEnd"/>
      <w:r>
        <w:rPr>
          <w:lang w:eastAsia="en-US"/>
        </w:rPr>
        <w:t xml:space="preserve"> down since the 2013-</w:t>
      </w:r>
      <w:r w:rsidRPr="00383D66">
        <w:rPr>
          <w:lang w:eastAsia="en-US"/>
        </w:rPr>
        <w:t xml:space="preserve">14 </w:t>
      </w:r>
      <w:r w:rsidR="00956657" w:rsidRPr="00383D66">
        <w:rPr>
          <w:lang w:eastAsia="en-US"/>
        </w:rPr>
        <w:t>Budget</w:t>
      </w:r>
      <w:r w:rsidR="00FE1F43">
        <w:rPr>
          <w:lang w:eastAsia="en-US"/>
        </w:rPr>
        <w:t xml:space="preserve"> </w:t>
      </w:r>
      <w:r>
        <w:rPr>
          <w:lang w:eastAsia="en-US"/>
        </w:rPr>
        <w:t xml:space="preserve">(see chart </w:t>
      </w:r>
      <w:r w:rsidR="00B40B86">
        <w:rPr>
          <w:lang w:eastAsia="en-US"/>
        </w:rPr>
        <w:fldChar w:fldCharType="begin"/>
      </w:r>
      <w:r w:rsidR="00FE1F43">
        <w:rPr>
          <w:lang w:eastAsia="en-US"/>
        </w:rPr>
        <w:instrText xml:space="preserve"> REF _Caption6761 </w:instrText>
      </w:r>
      <w:r w:rsidR="00B40B86">
        <w:rPr>
          <w:lang w:eastAsia="en-US"/>
        </w:rPr>
        <w:fldChar w:fldCharType="separate"/>
      </w:r>
      <w:r w:rsidR="00D733F1">
        <w:rPr>
          <w:noProof/>
        </w:rPr>
        <w:t>12</w:t>
      </w:r>
      <w:r w:rsidR="00B40B86">
        <w:rPr>
          <w:lang w:eastAsia="en-US"/>
        </w:rPr>
        <w:fldChar w:fldCharType="end"/>
      </w:r>
      <w:r>
        <w:rPr>
          <w:lang w:eastAsia="en-US"/>
        </w:rPr>
        <w:t xml:space="preserve"> below). </w:t>
      </w:r>
    </w:p>
    <w:p w:rsidR="002F616F" w:rsidRDefault="002F616F" w:rsidP="002F616F">
      <w:pPr>
        <w:pStyle w:val="BodyText"/>
        <w:rPr>
          <w:lang w:eastAsia="en-US"/>
        </w:rPr>
      </w:pPr>
      <w:r>
        <w:rPr>
          <w:lang w:eastAsia="en-US"/>
        </w:rPr>
        <w:t xml:space="preserve">The estimated outcome for taxation revenue in 2013-14 is $1.3 billion, which is $11.6 million (0.9 per cent) above the original </w:t>
      </w:r>
      <w:r w:rsidR="00956657">
        <w:rPr>
          <w:lang w:eastAsia="en-US"/>
        </w:rPr>
        <w:t>Budget</w:t>
      </w:r>
      <w:r>
        <w:rPr>
          <w:lang w:eastAsia="en-US"/>
        </w:rPr>
        <w:t xml:space="preserve">. The main reason for the upward revision is higher than expected commercial conveyance revenue that </w:t>
      </w:r>
      <w:proofErr w:type="gramStart"/>
      <w:r>
        <w:rPr>
          <w:lang w:eastAsia="en-US"/>
        </w:rPr>
        <w:t>was partly offset</w:t>
      </w:r>
      <w:proofErr w:type="gramEnd"/>
      <w:r>
        <w:rPr>
          <w:lang w:eastAsia="en-US"/>
        </w:rPr>
        <w:t xml:space="preserve"> by lower payroll tax collection.</w:t>
      </w:r>
      <w:r w:rsidR="00FE1F43">
        <w:rPr>
          <w:lang w:eastAsia="en-US"/>
        </w:rPr>
        <w:t xml:space="preserve"> </w:t>
      </w:r>
      <w:r>
        <w:rPr>
          <w:lang w:eastAsia="en-US"/>
        </w:rPr>
        <w:t xml:space="preserve">Downward revisions to revenue projections over the three-year period between 2014-15 and 2016-17 total $337 million. This represents 2.4 per cent of the total revenue currently projected over this period. The $337 million downward revision to projected revenue </w:t>
      </w:r>
      <w:proofErr w:type="gramStart"/>
      <w:r>
        <w:rPr>
          <w:lang w:eastAsia="en-US"/>
        </w:rPr>
        <w:t>is evenly distributed</w:t>
      </w:r>
      <w:proofErr w:type="gramEnd"/>
      <w:r>
        <w:rPr>
          <w:lang w:eastAsia="en-US"/>
        </w:rPr>
        <w:t xml:space="preserve"> across the forward estimates period, with revenue expected to decline:</w:t>
      </w:r>
    </w:p>
    <w:p w:rsidR="002F616F" w:rsidRDefault="002F616F" w:rsidP="00284F89">
      <w:pPr>
        <w:pStyle w:val="ListBullet"/>
        <w:numPr>
          <w:ilvl w:val="0"/>
          <w:numId w:val="4"/>
        </w:numPr>
      </w:pPr>
      <w:r>
        <w:rPr>
          <w:lang w:eastAsia="en-US"/>
        </w:rPr>
        <w:t xml:space="preserve">by </w:t>
      </w:r>
      <w:r w:rsidRPr="00033078">
        <w:rPr>
          <w:lang w:eastAsia="en-US"/>
        </w:rPr>
        <w:t xml:space="preserve">$107 million or 2.3 per cent </w:t>
      </w:r>
      <w:r>
        <w:rPr>
          <w:lang w:eastAsia="en-US"/>
        </w:rPr>
        <w:t>in 2014-15</w:t>
      </w:r>
    </w:p>
    <w:p w:rsidR="002F616F" w:rsidRDefault="002F616F" w:rsidP="00284F89">
      <w:pPr>
        <w:pStyle w:val="ListBullet"/>
        <w:numPr>
          <w:ilvl w:val="0"/>
          <w:numId w:val="4"/>
        </w:numPr>
      </w:pPr>
      <w:r>
        <w:rPr>
          <w:lang w:eastAsia="en-US"/>
        </w:rPr>
        <w:t>by $135 million or 2.7 per cent in 2015-16</w:t>
      </w:r>
    </w:p>
    <w:p w:rsidR="002F616F" w:rsidRDefault="002F616F" w:rsidP="00284F89">
      <w:pPr>
        <w:pStyle w:val="ListBullet"/>
        <w:numPr>
          <w:ilvl w:val="0"/>
          <w:numId w:val="4"/>
        </w:numPr>
      </w:pPr>
      <w:proofErr w:type="gramStart"/>
      <w:r>
        <w:rPr>
          <w:lang w:eastAsia="en-US"/>
        </w:rPr>
        <w:t>by</w:t>
      </w:r>
      <w:proofErr w:type="gramEnd"/>
      <w:r>
        <w:rPr>
          <w:lang w:eastAsia="en-US"/>
        </w:rPr>
        <w:t xml:space="preserve"> $95 million or 1.8 per cent</w:t>
      </w:r>
      <w:r w:rsidR="00FE1F43">
        <w:rPr>
          <w:lang w:eastAsia="en-US"/>
        </w:rPr>
        <w:t xml:space="preserve"> </w:t>
      </w:r>
      <w:r>
        <w:rPr>
          <w:lang w:eastAsia="en-US"/>
        </w:rPr>
        <w:t>in 2016-17</w:t>
      </w:r>
      <w:r w:rsidR="00C82C2A">
        <w:rPr>
          <w:lang w:eastAsia="en-US"/>
        </w:rPr>
        <w:t>.</w:t>
      </w:r>
    </w:p>
    <w:p w:rsidR="00C82C2A" w:rsidRPr="00695C93" w:rsidRDefault="00B40B86" w:rsidP="00284F89">
      <w:pPr>
        <w:pStyle w:val="Caption"/>
        <w:numPr>
          <w:ilvl w:val="0"/>
          <w:numId w:val="2"/>
        </w:numPr>
      </w:pPr>
      <w:r w:rsidRPr="00695C93">
        <w:lastRenderedPageBreak/>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r>
        <w:fldChar w:fldCharType="begin"/>
      </w:r>
      <w:r w:rsidR="00C82C2A">
        <w:instrText xml:space="preserve"> STYLEREF "Heading 1" \l \n </w:instrText>
      </w:r>
      <w:r>
        <w:fldChar w:fldCharType="separate"/>
      </w:r>
      <w:r w:rsidR="00C82C2A">
        <w:rPr>
          <w:b/>
          <w:bCs/>
          <w:noProof/>
          <w:lang w:val="en-US"/>
        </w:rPr>
        <w:instrText>Error! No text of specified style in document.</w:instrText>
      </w:r>
      <w:r>
        <w:rPr>
          <w:noProof/>
        </w:rPr>
        <w:fldChar w:fldCharType="end"/>
      </w:r>
      <w:r w:rsidR="00C82C2A" w:rsidRPr="00695C93">
        <w:instrText xml:space="preserve">." </w:instrText>
      </w:r>
      <w:r w:rsidRPr="00695C93">
        <w:fldChar w:fldCharType="end"/>
      </w:r>
      <w:r w:rsidR="00C82C2A" w:rsidRPr="00695C93">
        <w:instrText>" "</w:instrText>
      </w:r>
      <w:fldSimple w:instr=" STYLEREF &quot;Heading 6&quot; \l \n ">
        <w:r w:rsidR="00C82C2A">
          <w:rPr>
            <w:noProof/>
          </w:rPr>
          <w:instrText>A</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12</w:instrText>
      </w:r>
      <w:r w:rsidRPr="00695C93">
        <w:fldChar w:fldCharType="end"/>
      </w:r>
      <w:r w:rsidR="00C82C2A" w:rsidRPr="00695C93">
        <w:instrText xml:space="preserve">" "" </w:instrText>
      </w:r>
      <w:r w:rsidRPr="00695C93">
        <w:fldChar w:fldCharType="separate"/>
      </w:r>
      <w:bookmarkStart w:id="382" w:name="_Caption4151"/>
      <w:bookmarkStart w:id="383" w:name="_Caption6665"/>
      <w:bookmarkStart w:id="384" w:name="_Caption2081"/>
      <w:bookmarkStart w:id="385" w:name="_Caption0814"/>
      <w:bookmarkStart w:id="386" w:name="_Caption5496"/>
      <w:bookmarkStart w:id="387" w:name="_Caption8793"/>
      <w:bookmarkStart w:id="388" w:name="_Caption2016"/>
      <w:bookmarkStart w:id="389" w:name="_Caption1702"/>
      <w:bookmarkStart w:id="390" w:name="_Caption8580"/>
      <w:bookmarkStart w:id="391" w:name="_Caption8874"/>
      <w:bookmarkStart w:id="392" w:name="_Caption2955"/>
      <w:bookmarkStart w:id="393" w:name="_Caption6761"/>
      <w:bookmarkStart w:id="394" w:name="_Caption1111"/>
      <w:bookmarkStart w:id="395" w:name="_Caption9615"/>
      <w:bookmarkStart w:id="396" w:name="_Caption3287"/>
      <w:bookmarkStart w:id="397" w:name="_Caption2906"/>
      <w:bookmarkStart w:id="398" w:name="_Caption6109"/>
      <w:bookmarkStart w:id="399" w:name="_Caption3996"/>
      <w:bookmarkStart w:id="400" w:name="_Caption9908"/>
      <w:bookmarkStart w:id="401" w:name="_Caption3143"/>
      <w:bookmarkStart w:id="402" w:name="_Caption5283"/>
      <w:bookmarkStart w:id="403" w:name="_Caption0242"/>
      <w:bookmarkStart w:id="404" w:name="_Caption4625"/>
      <w:bookmarkStart w:id="405" w:name="_Caption4078"/>
      <w:bookmarkStart w:id="406" w:name="_Caption2637"/>
      <w:bookmarkStart w:id="407" w:name="_Caption0218"/>
      <w:bookmarkStart w:id="408" w:name="_Caption9108"/>
      <w:bookmarkStart w:id="409" w:name="_Caption8142"/>
      <w:bookmarkStart w:id="410" w:name="_Caption2474"/>
      <w:bookmarkStart w:id="411" w:name="_Caption0745"/>
      <w:bookmarkStart w:id="412" w:name="_Caption2874"/>
      <w:bookmarkStart w:id="413" w:name="_Toc390427335"/>
      <w:r w:rsidR="00D733F1">
        <w:rPr>
          <w:noProof/>
        </w:rPr>
        <w:t>12</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695C93">
        <w:fldChar w:fldCharType="end"/>
      </w:r>
      <w:r w:rsidR="00C82C2A" w:rsidRPr="00695C93">
        <w:tab/>
      </w:r>
      <w:r w:rsidR="00C82C2A">
        <w:t>Progression of revenue projections</w:t>
      </w:r>
      <w:bookmarkEnd w:id="413"/>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2F616F" w:rsidTr="003051BD">
        <w:trPr>
          <w:cantSplit/>
        </w:trPr>
        <w:tc>
          <w:tcPr>
            <w:tcW w:w="7938" w:type="dxa"/>
            <w:shd w:val="clear" w:color="auto" w:fill="E9E8E5" w:themeFill="background2"/>
          </w:tcPr>
          <w:p w:rsidR="002F616F" w:rsidRDefault="002F616F" w:rsidP="003051BD">
            <w:pPr>
              <w:pStyle w:val="Chart"/>
              <w:jc w:val="center"/>
            </w:pPr>
            <w:r>
              <w:rPr>
                <w:noProof/>
                <w:lang w:eastAsia="en-AU"/>
              </w:rPr>
              <w:drawing>
                <wp:inline distT="0" distB="0" distL="0" distR="0">
                  <wp:extent cx="4857750" cy="25336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0" cy="2533650"/>
                          </a:xfrm>
                          <a:prstGeom prst="rect">
                            <a:avLst/>
                          </a:prstGeom>
                          <a:noFill/>
                          <a:ln>
                            <a:noFill/>
                          </a:ln>
                        </pic:spPr>
                      </pic:pic>
                    </a:graphicData>
                  </a:graphic>
                </wp:inline>
              </w:drawing>
            </w:r>
          </w:p>
        </w:tc>
      </w:tr>
    </w:tbl>
    <w:p w:rsidR="002F616F" w:rsidRDefault="002F616F" w:rsidP="002F616F">
      <w:pPr>
        <w:pStyle w:val="Source"/>
      </w:pPr>
      <w:r>
        <w:rPr>
          <w:i/>
        </w:rPr>
        <w:t>Data source</w:t>
      </w:r>
      <w:r w:rsidRPr="00A67576">
        <w:rPr>
          <w:i/>
        </w:rPr>
        <w:t>:</w:t>
      </w:r>
      <w:r>
        <w:t xml:space="preserve"> ACT </w:t>
      </w:r>
      <w:r w:rsidR="00956657">
        <w:t>Budget</w:t>
      </w:r>
      <w:r>
        <w:t xml:space="preserve"> 2014-15 </w:t>
      </w:r>
    </w:p>
    <w:p w:rsidR="002F616F" w:rsidRDefault="002F616F" w:rsidP="002F616F">
      <w:pPr>
        <w:pStyle w:val="Heading2"/>
        <w:rPr>
          <w:lang w:eastAsia="en-US"/>
        </w:rPr>
      </w:pPr>
      <w:bookmarkStart w:id="414" w:name="_Toc390427304"/>
      <w:r>
        <w:rPr>
          <w:lang w:eastAsia="en-US"/>
        </w:rPr>
        <w:t>Key drivers of the decline in revenue projections</w:t>
      </w:r>
      <w:bookmarkEnd w:id="414"/>
      <w:r>
        <w:rPr>
          <w:lang w:eastAsia="en-US"/>
        </w:rPr>
        <w:t xml:space="preserve"> </w:t>
      </w:r>
    </w:p>
    <w:p w:rsidR="002F616F" w:rsidRDefault="002F616F" w:rsidP="002F616F">
      <w:pPr>
        <w:pStyle w:val="BodyText"/>
      </w:pPr>
      <w:r w:rsidRPr="00556D26">
        <w:t xml:space="preserve">As noted in the 2012 Quinlan taxation review, one of the key vulnerabilities of the ACT </w:t>
      </w:r>
      <w:r w:rsidR="00956657" w:rsidRPr="003C45FF">
        <w:t>Budget</w:t>
      </w:r>
      <w:r w:rsidRPr="003C45FF">
        <w:t xml:space="preserve"> is its</w:t>
      </w:r>
      <w:r w:rsidRPr="00556D26">
        <w:t xml:space="preserve"> sensitivity </w:t>
      </w:r>
      <w:r>
        <w:t xml:space="preserve">to </w:t>
      </w:r>
      <w:r w:rsidRPr="00556D26">
        <w:t xml:space="preserve">changes in Federal Government expenditure, investment and employment. </w:t>
      </w:r>
    </w:p>
    <w:p w:rsidR="002F616F" w:rsidRDefault="002F616F" w:rsidP="002F616F">
      <w:pPr>
        <w:pStyle w:val="BodyText"/>
        <w:rPr>
          <w:lang w:eastAsia="en-US"/>
        </w:rPr>
      </w:pPr>
      <w:r>
        <w:t xml:space="preserve">In the 2014-15 </w:t>
      </w:r>
      <w:r w:rsidR="00956657">
        <w:t>Budget</w:t>
      </w:r>
      <w:r>
        <w:t>, a</w:t>
      </w:r>
      <w:r>
        <w:rPr>
          <w:lang w:eastAsia="en-US"/>
        </w:rPr>
        <w:t xml:space="preserve"> large proportion of the downward revisions to revenue are directly or indirectly due to the </w:t>
      </w:r>
      <w:r w:rsidR="00C961E8">
        <w:rPr>
          <w:lang w:eastAsia="en-US"/>
        </w:rPr>
        <w:t>National Health Reform A</w:t>
      </w:r>
      <w:r>
        <w:rPr>
          <w:lang w:eastAsia="en-US"/>
        </w:rPr>
        <w:t>genda and reductions to Federal Government spending and employment .</w:t>
      </w:r>
      <w:r>
        <w:rPr>
          <w:rStyle w:val="FootnoteReference"/>
          <w:lang w:eastAsia="en-US"/>
        </w:rPr>
        <w:footnoteReference w:id="5"/>
      </w:r>
      <w:r>
        <w:rPr>
          <w:lang w:eastAsia="en-US"/>
        </w:rPr>
        <w:t xml:space="preserve"> In addition, revisions to water and sewerage prices by the </w:t>
      </w:r>
      <w:r w:rsidR="00E84A20">
        <w:rPr>
          <w:lang w:eastAsia="en-US"/>
        </w:rPr>
        <w:t>ICRC</w:t>
      </w:r>
      <w:r>
        <w:rPr>
          <w:lang w:eastAsia="en-US"/>
        </w:rPr>
        <w:t xml:space="preserve"> have significantly reduced projected dividend payments from ACTEW. These factors have contributed to a: </w:t>
      </w:r>
    </w:p>
    <w:p w:rsidR="002F616F" w:rsidRDefault="002F616F" w:rsidP="00284F89">
      <w:pPr>
        <w:pStyle w:val="ListBullet"/>
        <w:numPr>
          <w:ilvl w:val="0"/>
          <w:numId w:val="4"/>
        </w:numPr>
        <w:rPr>
          <w:lang w:eastAsia="en-US"/>
        </w:rPr>
      </w:pPr>
      <w:r>
        <w:t xml:space="preserve">downsizing of the land release program by 3 000 dwelling units </w:t>
      </w:r>
    </w:p>
    <w:p w:rsidR="002F616F" w:rsidRDefault="002F616F" w:rsidP="00284F89">
      <w:pPr>
        <w:pStyle w:val="ListBullet"/>
        <w:numPr>
          <w:ilvl w:val="0"/>
          <w:numId w:val="4"/>
        </w:numPr>
        <w:rPr>
          <w:lang w:eastAsia="en-US"/>
        </w:rPr>
      </w:pPr>
      <w:r>
        <w:t>a revision to LDA dividend payments and contributed assets of close to $200 million</w:t>
      </w:r>
    </w:p>
    <w:p w:rsidR="002F616F" w:rsidRDefault="002F616F" w:rsidP="00284F89">
      <w:pPr>
        <w:pStyle w:val="ListBullet"/>
        <w:numPr>
          <w:ilvl w:val="0"/>
          <w:numId w:val="4"/>
        </w:numPr>
      </w:pPr>
      <w:r>
        <w:t>reduction in common</w:t>
      </w:r>
      <w:r w:rsidR="00C9370D">
        <w:t>wealth grants of $161.2 million</w:t>
      </w:r>
    </w:p>
    <w:p w:rsidR="002F616F" w:rsidRDefault="002F616F" w:rsidP="00284F89">
      <w:pPr>
        <w:pStyle w:val="ListBullet"/>
        <w:numPr>
          <w:ilvl w:val="0"/>
          <w:numId w:val="4"/>
        </w:numPr>
      </w:pPr>
      <w:r>
        <w:t>decline in expected dividend paymen</w:t>
      </w:r>
      <w:r w:rsidR="00C9370D">
        <w:t>ts from ACTEW of $103.2 million</w:t>
      </w:r>
    </w:p>
    <w:p w:rsidR="002F616F" w:rsidRDefault="002F616F" w:rsidP="00284F89">
      <w:pPr>
        <w:pStyle w:val="ListBullet"/>
        <w:numPr>
          <w:ilvl w:val="0"/>
          <w:numId w:val="4"/>
        </w:numPr>
      </w:pPr>
      <w:proofErr w:type="gramStart"/>
      <w:r>
        <w:t>downward</w:t>
      </w:r>
      <w:proofErr w:type="gramEnd"/>
      <w:r>
        <w:t xml:space="preserve"> revisions to t</w:t>
      </w:r>
      <w:r w:rsidRPr="005D34CC">
        <w:t xml:space="preserve">axation revenue forecasts </w:t>
      </w:r>
      <w:r>
        <w:t xml:space="preserve">totalling $40 million as a direct </w:t>
      </w:r>
      <w:r w:rsidRPr="005D34CC">
        <w:t xml:space="preserve">result of the Commonwealth Government’s </w:t>
      </w:r>
      <w:r w:rsidR="00956657">
        <w:t>Budget</w:t>
      </w:r>
      <w:r>
        <w:t>.</w:t>
      </w:r>
    </w:p>
    <w:p w:rsidR="002F616F" w:rsidRPr="00676D22" w:rsidRDefault="002F616F" w:rsidP="002F616F">
      <w:pPr>
        <w:pStyle w:val="BodyText"/>
        <w:rPr>
          <w:lang w:eastAsia="en-US"/>
        </w:rPr>
      </w:pPr>
      <w:r>
        <w:rPr>
          <w:lang w:eastAsia="en-US"/>
        </w:rPr>
        <w:t xml:space="preserve">Significant factors that have helped to offset these reductions in revenue projections are: </w:t>
      </w:r>
    </w:p>
    <w:p w:rsidR="002F616F" w:rsidRDefault="002F616F" w:rsidP="00284F89">
      <w:pPr>
        <w:pStyle w:val="ListBullet"/>
        <w:numPr>
          <w:ilvl w:val="0"/>
          <w:numId w:val="4"/>
        </w:numPr>
      </w:pPr>
      <w:r>
        <w:t xml:space="preserve">revenue initiatives in the 2014-15 </w:t>
      </w:r>
      <w:r w:rsidR="00956657">
        <w:t>Budget</w:t>
      </w:r>
      <w:r>
        <w:t>, including land tax reform and payroll harmonisation, that are expected to in</w:t>
      </w:r>
      <w:r w:rsidR="00C9370D">
        <w:t>crease revenue by $87.1 million</w:t>
      </w:r>
      <w:r>
        <w:t xml:space="preserve"> </w:t>
      </w:r>
    </w:p>
    <w:p w:rsidR="002F616F" w:rsidRDefault="002F616F" w:rsidP="00284F89">
      <w:pPr>
        <w:pStyle w:val="ListBullet"/>
        <w:numPr>
          <w:ilvl w:val="0"/>
          <w:numId w:val="4"/>
        </w:numPr>
      </w:pPr>
      <w:proofErr w:type="gramStart"/>
      <w:r>
        <w:t>commonwealth</w:t>
      </w:r>
      <w:proofErr w:type="gramEnd"/>
      <w:r>
        <w:t xml:space="preserve"> grants for infrastructure investment and environmental works are expected to increase by $71.3 million. </w:t>
      </w:r>
    </w:p>
    <w:p w:rsidR="002F616F" w:rsidRDefault="002F616F" w:rsidP="002F616F">
      <w:pPr>
        <w:pStyle w:val="Heading2"/>
        <w:rPr>
          <w:lang w:eastAsia="en-US"/>
        </w:rPr>
      </w:pPr>
      <w:bookmarkStart w:id="415" w:name="_Toc390427305"/>
      <w:r>
        <w:rPr>
          <w:lang w:eastAsia="en-US"/>
        </w:rPr>
        <w:lastRenderedPageBreak/>
        <w:t xml:space="preserve">Impact of 2014-15 Commonwealth </w:t>
      </w:r>
      <w:r w:rsidR="00956657">
        <w:rPr>
          <w:lang w:eastAsia="en-US"/>
        </w:rPr>
        <w:t>Budget</w:t>
      </w:r>
      <w:bookmarkEnd w:id="415"/>
      <w:r>
        <w:rPr>
          <w:lang w:eastAsia="en-US"/>
        </w:rPr>
        <w:t xml:space="preserve"> </w:t>
      </w:r>
    </w:p>
    <w:p w:rsidR="002F616F" w:rsidRPr="00556D26" w:rsidRDefault="002F616F" w:rsidP="002F616F">
      <w:pPr>
        <w:pStyle w:val="BodyText"/>
      </w:pPr>
      <w:r>
        <w:t>The cuts in spending and employment announce</w:t>
      </w:r>
      <w:r w:rsidR="00C961E8">
        <w:t>d</w:t>
      </w:r>
      <w:r>
        <w:t xml:space="preserve"> in the 2014-15 Commonwealth </w:t>
      </w:r>
      <w:r w:rsidR="00956657">
        <w:t>Budget</w:t>
      </w:r>
      <w:r>
        <w:t xml:space="preserve"> are expected to have both direct and indirect impacts (i.e. reductions in economic activity that will indirectly </w:t>
      </w:r>
      <w:proofErr w:type="gramStart"/>
      <w:r>
        <w:t>impact</w:t>
      </w:r>
      <w:proofErr w:type="gramEnd"/>
      <w:r>
        <w:t xml:space="preserve"> taxation revenue) on the ACT </w:t>
      </w:r>
      <w:r w:rsidR="00956657">
        <w:t>Budget</w:t>
      </w:r>
      <w:r>
        <w:t xml:space="preserve"> over the forward estimates period. ACT Treasury has quantified a number of these impacts. </w:t>
      </w:r>
    </w:p>
    <w:p w:rsidR="002F616F" w:rsidRPr="00B92760" w:rsidRDefault="002F616F" w:rsidP="002F616F">
      <w:pPr>
        <w:pStyle w:val="Heading3"/>
        <w:rPr>
          <w:lang w:eastAsia="en-US"/>
        </w:rPr>
      </w:pPr>
      <w:r>
        <w:rPr>
          <w:lang w:eastAsia="en-US"/>
        </w:rPr>
        <w:t>Direct impacts</w:t>
      </w:r>
    </w:p>
    <w:p w:rsidR="002F616F" w:rsidRDefault="002F616F" w:rsidP="002F616F">
      <w:pPr>
        <w:pStyle w:val="ListBullet"/>
        <w:numPr>
          <w:ilvl w:val="0"/>
          <w:numId w:val="0"/>
        </w:numPr>
        <w:spacing w:before="140"/>
      </w:pPr>
      <w:r>
        <w:t xml:space="preserve">Table </w:t>
      </w:r>
      <w:fldSimple w:instr=" REF _Caption5142 ">
        <w:r w:rsidR="00D733F1">
          <w:rPr>
            <w:noProof/>
          </w:rPr>
          <w:t>13</w:t>
        </w:r>
      </w:fldSimple>
      <w:r>
        <w:t xml:space="preserve"> summarises the estimated direct impact of the 2014-15 Federal </w:t>
      </w:r>
      <w:r w:rsidR="00956657">
        <w:t>Budget</w:t>
      </w:r>
      <w:r>
        <w:t xml:space="preserve"> on ACT revenue projections. The two most significant factors are expected to be:</w:t>
      </w:r>
    </w:p>
    <w:p w:rsidR="002F616F" w:rsidRDefault="002F616F" w:rsidP="00284F89">
      <w:pPr>
        <w:pStyle w:val="ListBullet"/>
        <w:numPr>
          <w:ilvl w:val="0"/>
          <w:numId w:val="4"/>
        </w:numPr>
      </w:pPr>
      <w:r>
        <w:t xml:space="preserve">the National Health Reform Agenda </w:t>
      </w:r>
      <w:r w:rsidR="00A05B53">
        <w:t xml:space="preserve">(see box </w:t>
      </w:r>
      <w:fldSimple w:instr=" REF _Caption2816 ">
        <w:r w:rsidR="00D733F1">
          <w:rPr>
            <w:noProof/>
          </w:rPr>
          <w:t>14</w:t>
        </w:r>
      </w:fldSimple>
      <w:r w:rsidR="00A05B53">
        <w:t xml:space="preserve"> below)</w:t>
      </w:r>
    </w:p>
    <w:p w:rsidR="002F616F" w:rsidRDefault="002F616F" w:rsidP="002F616F">
      <w:pPr>
        <w:pStyle w:val="ListBullet2"/>
      </w:pPr>
      <w:proofErr w:type="gramStart"/>
      <w:r>
        <w:t>including</w:t>
      </w:r>
      <w:proofErr w:type="gramEnd"/>
      <w:r>
        <w:t xml:space="preserve"> cuts to the health funding guaranteed by the previous government.</w:t>
      </w:r>
      <w:r w:rsidR="00FE1F43">
        <w:t xml:space="preserve"> </w:t>
      </w:r>
    </w:p>
    <w:p w:rsidR="002F616F" w:rsidRDefault="002F616F" w:rsidP="00284F89">
      <w:pPr>
        <w:pStyle w:val="ListBullet"/>
        <w:numPr>
          <w:ilvl w:val="0"/>
          <w:numId w:val="4"/>
        </w:numPr>
      </w:pPr>
      <w:proofErr w:type="gramStart"/>
      <w:r>
        <w:t>a</w:t>
      </w:r>
      <w:proofErr w:type="gramEnd"/>
      <w:r>
        <w:t xml:space="preserve"> reduction in </w:t>
      </w:r>
      <w:r w:rsidRPr="00D771AA">
        <w:t xml:space="preserve">LDA dividends and income tax equivalent payments following a reduction in the land release program to take account of forecast lower demand for land following the </w:t>
      </w:r>
      <w:r>
        <w:t>Commonwealth Government staff cuts.</w:t>
      </w:r>
    </w:p>
    <w:p w:rsidR="002F616F" w:rsidRDefault="00B40B86" w:rsidP="002F616F">
      <w:pPr>
        <w:pStyle w:val="Caption"/>
      </w:pPr>
      <w:r w:rsidRPr="00695C93">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fldSimple w:instr=" STYLEREF &quot;Heading 1&quot; \l \n ">
        <w:r w:rsidR="00C82C2A">
          <w:rPr>
            <w:noProof/>
          </w:rPr>
          <w:instrText>2</w:instrText>
        </w:r>
      </w:fldSimple>
      <w:r w:rsidR="00C82C2A" w:rsidRPr="00695C93">
        <w:instrText xml:space="preserve">." </w:instrText>
      </w:r>
      <w:r w:rsidRPr="00695C93">
        <w:fldChar w:fldCharType="end"/>
      </w:r>
      <w:r w:rsidR="00C82C2A" w:rsidRPr="00695C93">
        <w:instrText>" "</w:instrText>
      </w:r>
      <w:fldSimple w:instr=" STYLEREF &quot;Heading 6&quot; \l \n ">
        <w:r w:rsidR="00C82C2A" w:rsidRPr="00695C93">
          <w:instrText>B</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13</w:instrText>
      </w:r>
      <w:r w:rsidRPr="00695C93">
        <w:fldChar w:fldCharType="end"/>
      </w:r>
      <w:r w:rsidR="00C82C2A" w:rsidRPr="00695C93">
        <w:instrText xml:space="preserve">" "" </w:instrText>
      </w:r>
      <w:r w:rsidRPr="00695C93">
        <w:fldChar w:fldCharType="separate"/>
      </w:r>
      <w:bookmarkStart w:id="416" w:name="_Caption5483"/>
      <w:bookmarkStart w:id="417" w:name="_Caption6194"/>
      <w:bookmarkStart w:id="418" w:name="_Caption1706"/>
      <w:bookmarkStart w:id="419" w:name="_Caption4898"/>
      <w:bookmarkStart w:id="420" w:name="_Caption6368"/>
      <w:bookmarkStart w:id="421" w:name="_Caption2225"/>
      <w:bookmarkStart w:id="422" w:name="_Caption3036"/>
      <w:bookmarkStart w:id="423" w:name="_Caption1501"/>
      <w:bookmarkStart w:id="424" w:name="_Caption2392"/>
      <w:bookmarkStart w:id="425" w:name="_Caption1047"/>
      <w:bookmarkStart w:id="426" w:name="_Caption5328"/>
      <w:bookmarkStart w:id="427" w:name="_Caption0590"/>
      <w:bookmarkStart w:id="428" w:name="_Caption5142"/>
      <w:bookmarkStart w:id="429" w:name="_Caption4424"/>
      <w:bookmarkStart w:id="430" w:name="_Caption6420"/>
      <w:bookmarkStart w:id="431" w:name="_Caption4686"/>
      <w:bookmarkStart w:id="432" w:name="_Caption4692"/>
      <w:bookmarkStart w:id="433" w:name="_Caption5386"/>
      <w:bookmarkStart w:id="434" w:name="_Caption6519"/>
      <w:bookmarkStart w:id="435" w:name="_Caption8448"/>
      <w:bookmarkStart w:id="436" w:name="_Caption7966"/>
      <w:bookmarkStart w:id="437" w:name="_Caption8668"/>
      <w:bookmarkStart w:id="438" w:name="_Caption1351"/>
      <w:bookmarkStart w:id="439" w:name="_Caption8956"/>
      <w:bookmarkStart w:id="440" w:name="_Caption8738"/>
      <w:bookmarkStart w:id="441" w:name="_Caption1077"/>
      <w:bookmarkStart w:id="442" w:name="_Caption1120"/>
      <w:bookmarkStart w:id="443" w:name="_Caption8782"/>
      <w:bookmarkStart w:id="444" w:name="_Caption6657"/>
      <w:bookmarkStart w:id="445" w:name="_Caption8203"/>
      <w:bookmarkStart w:id="446" w:name="_Caption4333"/>
      <w:bookmarkStart w:id="447" w:name="_Toc390427336"/>
      <w:r w:rsidR="00D733F1">
        <w:rPr>
          <w:noProof/>
        </w:rPr>
        <w:t>13</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695C93">
        <w:fldChar w:fldCharType="end"/>
      </w:r>
      <w:r w:rsidR="00C82C2A" w:rsidRPr="00695C93">
        <w:tab/>
      </w:r>
      <w:r w:rsidR="00C82C2A">
        <w:t>Impact of Commonwealth Government decisions on ACT revenue</w:t>
      </w:r>
      <w:bookmarkEnd w:id="447"/>
    </w:p>
    <w:tbl>
      <w:tblPr>
        <w:tblW w:w="7938" w:type="dxa"/>
        <w:tblInd w:w="57" w:type="dxa"/>
        <w:tblLayout w:type="fixed"/>
        <w:tblLook w:val="0000"/>
      </w:tblPr>
      <w:tblGrid>
        <w:gridCol w:w="1323"/>
        <w:gridCol w:w="1323"/>
        <w:gridCol w:w="1323"/>
        <w:gridCol w:w="1323"/>
        <w:gridCol w:w="1323"/>
        <w:gridCol w:w="1323"/>
      </w:tblGrid>
      <w:tr w:rsidR="002F616F" w:rsidTr="003051BD">
        <w:tc>
          <w:tcPr>
            <w:tcW w:w="1323" w:type="dxa"/>
            <w:tcBorders>
              <w:bottom w:val="single" w:sz="8" w:space="0" w:color="FFFFFF" w:themeColor="background1"/>
            </w:tcBorders>
            <w:shd w:val="clear" w:color="auto" w:fill="6F6652"/>
            <w:tcMar>
              <w:left w:w="57" w:type="dxa"/>
              <w:right w:w="57" w:type="dxa"/>
            </w:tcMar>
          </w:tcPr>
          <w:p w:rsidR="002F616F" w:rsidRDefault="002F616F" w:rsidP="003051BD">
            <w:pPr>
              <w:pStyle w:val="TableDataColumnHeading"/>
              <w:jc w:val="left"/>
              <w:rPr>
                <w:highlight w:val="yellow"/>
              </w:rPr>
            </w:pPr>
          </w:p>
        </w:tc>
        <w:tc>
          <w:tcPr>
            <w:tcW w:w="1323" w:type="dxa"/>
            <w:tcBorders>
              <w:bottom w:val="single" w:sz="8" w:space="0" w:color="FFFFFF" w:themeColor="background1"/>
            </w:tcBorders>
            <w:shd w:val="clear" w:color="auto" w:fill="6F6652"/>
            <w:tcMar>
              <w:left w:w="57" w:type="dxa"/>
              <w:right w:w="57" w:type="dxa"/>
            </w:tcMar>
          </w:tcPr>
          <w:p w:rsidR="002F616F" w:rsidRPr="00753CE6" w:rsidRDefault="002F616F" w:rsidP="003051BD">
            <w:pPr>
              <w:pStyle w:val="TableDataColumnHeading"/>
            </w:pPr>
          </w:p>
        </w:tc>
        <w:tc>
          <w:tcPr>
            <w:tcW w:w="1323" w:type="dxa"/>
            <w:tcBorders>
              <w:bottom w:val="single" w:sz="8" w:space="0" w:color="FFFFFF" w:themeColor="background1"/>
            </w:tcBorders>
            <w:shd w:val="clear" w:color="auto" w:fill="6F6652"/>
            <w:tcMar>
              <w:left w:w="57" w:type="dxa"/>
              <w:right w:w="57" w:type="dxa"/>
            </w:tcMar>
          </w:tcPr>
          <w:p w:rsidR="002F616F" w:rsidRPr="00753CE6" w:rsidRDefault="002F616F" w:rsidP="003051BD">
            <w:pPr>
              <w:pStyle w:val="TableDataColumnHeading"/>
            </w:pPr>
            <w:r w:rsidRPr="00753CE6">
              <w:t>201</w:t>
            </w:r>
            <w:r>
              <w:t>4</w:t>
            </w:r>
            <w:r w:rsidRPr="00753CE6">
              <w:t>-1</w:t>
            </w:r>
            <w:r>
              <w:t>5</w:t>
            </w:r>
          </w:p>
        </w:tc>
        <w:tc>
          <w:tcPr>
            <w:tcW w:w="1323" w:type="dxa"/>
            <w:tcBorders>
              <w:bottom w:val="single" w:sz="8" w:space="0" w:color="FFFFFF" w:themeColor="background1"/>
            </w:tcBorders>
            <w:shd w:val="clear" w:color="auto" w:fill="6F6652"/>
            <w:tcMar>
              <w:left w:w="57" w:type="dxa"/>
              <w:right w:w="57" w:type="dxa"/>
            </w:tcMar>
          </w:tcPr>
          <w:p w:rsidR="002F616F" w:rsidRPr="00753CE6" w:rsidRDefault="002F616F" w:rsidP="003051BD">
            <w:pPr>
              <w:pStyle w:val="TableDataColumnHeading"/>
            </w:pPr>
            <w:r>
              <w:t>2015-16</w:t>
            </w:r>
          </w:p>
        </w:tc>
        <w:tc>
          <w:tcPr>
            <w:tcW w:w="1323" w:type="dxa"/>
            <w:tcBorders>
              <w:bottom w:val="single" w:sz="8" w:space="0" w:color="FFFFFF" w:themeColor="background1"/>
            </w:tcBorders>
            <w:shd w:val="clear" w:color="auto" w:fill="6F6652"/>
            <w:tcMar>
              <w:left w:w="57" w:type="dxa"/>
              <w:right w:w="57" w:type="dxa"/>
            </w:tcMar>
          </w:tcPr>
          <w:p w:rsidR="002F616F" w:rsidRPr="00753CE6" w:rsidRDefault="002F616F" w:rsidP="003051BD">
            <w:pPr>
              <w:pStyle w:val="TableDataColumnHeading"/>
            </w:pPr>
            <w:r>
              <w:t>2016-17</w:t>
            </w:r>
          </w:p>
        </w:tc>
        <w:tc>
          <w:tcPr>
            <w:tcW w:w="1323" w:type="dxa"/>
            <w:tcBorders>
              <w:bottom w:val="single" w:sz="8" w:space="0" w:color="FFFFFF" w:themeColor="background1"/>
            </w:tcBorders>
            <w:shd w:val="clear" w:color="auto" w:fill="6F6652"/>
            <w:tcMar>
              <w:left w:w="57" w:type="dxa"/>
              <w:right w:w="57" w:type="dxa"/>
            </w:tcMar>
          </w:tcPr>
          <w:p w:rsidR="002F616F" w:rsidRPr="00753CE6" w:rsidRDefault="002F616F" w:rsidP="003051BD">
            <w:pPr>
              <w:pStyle w:val="TableDataColumnHeading"/>
            </w:pPr>
            <w:r>
              <w:t>2017-18</w:t>
            </w:r>
          </w:p>
        </w:tc>
      </w:tr>
      <w:tr w:rsidR="002F616F" w:rsidTr="003051BD">
        <w:trPr>
          <w:trHeight w:hRule="exact" w:val="312"/>
        </w:trPr>
        <w:tc>
          <w:tcPr>
            <w:tcW w:w="2646" w:type="dxa"/>
            <w:gridSpan w:val="2"/>
            <w:tcBorders>
              <w:top w:val="single" w:sz="8" w:space="0" w:color="FFFFFF" w:themeColor="background1"/>
              <w:bottom w:val="single" w:sz="8" w:space="0" w:color="FFFFFF" w:themeColor="background1"/>
            </w:tcBorders>
            <w:shd w:val="clear" w:color="auto" w:fill="auto"/>
            <w:tcMar>
              <w:left w:w="57" w:type="dxa"/>
              <w:right w:w="57" w:type="dxa"/>
            </w:tcMar>
          </w:tcPr>
          <w:p w:rsidR="002F616F" w:rsidRPr="00753CE6" w:rsidRDefault="002F616F" w:rsidP="007B74B3">
            <w:pPr>
              <w:pStyle w:val="TableUnit"/>
            </w:pPr>
          </w:p>
        </w:tc>
        <w:tc>
          <w:tcPr>
            <w:tcW w:w="1323" w:type="dxa"/>
            <w:tcBorders>
              <w:top w:val="single" w:sz="8" w:space="0" w:color="FFFFFF" w:themeColor="background1"/>
              <w:bottom w:val="single" w:sz="8" w:space="0" w:color="FFFFFF" w:themeColor="background1"/>
            </w:tcBorders>
            <w:shd w:val="clear" w:color="auto" w:fill="auto"/>
            <w:tcMar>
              <w:left w:w="57" w:type="dxa"/>
              <w:right w:w="57" w:type="dxa"/>
            </w:tcMar>
            <w:vAlign w:val="center"/>
          </w:tcPr>
          <w:p w:rsidR="002F616F" w:rsidRDefault="007B74B3" w:rsidP="007B74B3">
            <w:pPr>
              <w:pStyle w:val="TableUnit"/>
              <w:rPr>
                <w:szCs w:val="16"/>
              </w:rPr>
            </w:pPr>
            <w:r>
              <w:rPr>
                <w:szCs w:val="16"/>
              </w:rPr>
              <w:t>$m</w:t>
            </w:r>
          </w:p>
        </w:tc>
        <w:tc>
          <w:tcPr>
            <w:tcW w:w="1323" w:type="dxa"/>
            <w:tcBorders>
              <w:top w:val="single" w:sz="8" w:space="0" w:color="FFFFFF" w:themeColor="background1"/>
              <w:bottom w:val="single" w:sz="8" w:space="0" w:color="FFFFFF" w:themeColor="background1"/>
            </w:tcBorders>
            <w:shd w:val="clear" w:color="auto" w:fill="auto"/>
            <w:tcMar>
              <w:left w:w="57" w:type="dxa"/>
              <w:right w:w="57" w:type="dxa"/>
            </w:tcMar>
            <w:vAlign w:val="center"/>
          </w:tcPr>
          <w:p w:rsidR="002F616F" w:rsidRDefault="007B74B3" w:rsidP="007B74B3">
            <w:pPr>
              <w:pStyle w:val="TableUnit"/>
              <w:rPr>
                <w:szCs w:val="16"/>
              </w:rPr>
            </w:pPr>
            <w:r>
              <w:rPr>
                <w:szCs w:val="16"/>
              </w:rPr>
              <w:t>$m</w:t>
            </w:r>
          </w:p>
        </w:tc>
        <w:tc>
          <w:tcPr>
            <w:tcW w:w="1323" w:type="dxa"/>
            <w:tcBorders>
              <w:top w:val="single" w:sz="8" w:space="0" w:color="FFFFFF" w:themeColor="background1"/>
              <w:bottom w:val="single" w:sz="8" w:space="0" w:color="FFFFFF" w:themeColor="background1"/>
            </w:tcBorders>
            <w:shd w:val="clear" w:color="auto" w:fill="auto"/>
            <w:tcMar>
              <w:left w:w="57" w:type="dxa"/>
              <w:right w:w="57" w:type="dxa"/>
            </w:tcMar>
            <w:vAlign w:val="center"/>
          </w:tcPr>
          <w:p w:rsidR="002F616F" w:rsidRDefault="007B74B3" w:rsidP="007B74B3">
            <w:pPr>
              <w:pStyle w:val="TableUnit"/>
              <w:rPr>
                <w:szCs w:val="16"/>
              </w:rPr>
            </w:pPr>
            <w:r>
              <w:rPr>
                <w:szCs w:val="16"/>
              </w:rPr>
              <w:t>$m</w:t>
            </w:r>
          </w:p>
        </w:tc>
        <w:tc>
          <w:tcPr>
            <w:tcW w:w="1323" w:type="dxa"/>
            <w:tcBorders>
              <w:top w:val="single" w:sz="8" w:space="0" w:color="FFFFFF" w:themeColor="background1"/>
              <w:bottom w:val="single" w:sz="8" w:space="0" w:color="FFFFFF" w:themeColor="background1"/>
            </w:tcBorders>
            <w:shd w:val="clear" w:color="auto" w:fill="auto"/>
            <w:tcMar>
              <w:left w:w="57" w:type="dxa"/>
              <w:right w:w="57" w:type="dxa"/>
            </w:tcMar>
            <w:vAlign w:val="center"/>
          </w:tcPr>
          <w:p w:rsidR="002F616F" w:rsidRDefault="007B74B3" w:rsidP="007B74B3">
            <w:pPr>
              <w:pStyle w:val="TableUnit"/>
              <w:rPr>
                <w:szCs w:val="16"/>
              </w:rPr>
            </w:pPr>
            <w:r>
              <w:rPr>
                <w:szCs w:val="16"/>
              </w:rPr>
              <w:t>$m</w:t>
            </w:r>
          </w:p>
        </w:tc>
      </w:tr>
      <w:tr w:rsidR="002F616F" w:rsidTr="003051BD">
        <w:trPr>
          <w:trHeight w:hRule="exact" w:val="312"/>
        </w:trPr>
        <w:tc>
          <w:tcPr>
            <w:tcW w:w="264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Unit"/>
              <w:jc w:val="left"/>
            </w:pPr>
            <w:r>
              <w:t>Land release (LDA dividend)</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-40.3</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-86.0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-55.1</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-62.5</w:t>
            </w:r>
          </w:p>
        </w:tc>
      </w:tr>
      <w:tr w:rsidR="002F616F" w:rsidTr="003051BD">
        <w:trPr>
          <w:trHeight w:hRule="exact" w:val="312"/>
        </w:trPr>
        <w:tc>
          <w:tcPr>
            <w:tcW w:w="2645"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Pr="00753CE6" w:rsidRDefault="002F616F" w:rsidP="003051BD">
            <w:pPr>
              <w:pStyle w:val="TableUnit"/>
              <w:jc w:val="left"/>
            </w:pPr>
            <w:r>
              <w:t xml:space="preserve">National Health Reform Agenda </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-39.7</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-53.0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-68.5</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-86.7</w:t>
            </w:r>
          </w:p>
        </w:tc>
      </w:tr>
      <w:tr w:rsidR="002F616F" w:rsidTr="003051BD">
        <w:tc>
          <w:tcPr>
            <w:tcW w:w="264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Pr="00753CE6" w:rsidRDefault="002F616F" w:rsidP="003051BD">
            <w:pPr>
              <w:pStyle w:val="TableDataEntries"/>
              <w:jc w:val="left"/>
            </w:pPr>
            <w:r>
              <w:t xml:space="preserve">Financial assistance Grants </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-1.8</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-4.0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-6.3</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-6.5</w:t>
            </w:r>
          </w:p>
        </w:tc>
      </w:tr>
      <w:tr w:rsidR="002F616F" w:rsidTr="003051BD">
        <w:tc>
          <w:tcPr>
            <w:tcW w:w="264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Pr="00753CE6" w:rsidRDefault="002F616F" w:rsidP="003051BD">
            <w:pPr>
              <w:pStyle w:val="TableDataEntries"/>
              <w:jc w:val="left"/>
            </w:pPr>
            <w:r>
              <w:t xml:space="preserve">General Revenue Assistance </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8.3</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9.4</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10.7</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11.8</w:t>
            </w:r>
          </w:p>
        </w:tc>
      </w:tr>
      <w:tr w:rsidR="002F616F" w:rsidTr="003051BD">
        <w:tc>
          <w:tcPr>
            <w:tcW w:w="264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Pr="00753CE6" w:rsidRDefault="002F616F" w:rsidP="003051BD">
            <w:pPr>
              <w:pStyle w:val="TableDataEntries"/>
              <w:jc w:val="left"/>
            </w:pPr>
            <w:r>
              <w:t xml:space="preserve">Other grants </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6.1</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31.9</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33.3</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2F616F" w:rsidRDefault="002F616F" w:rsidP="003051BD">
            <w:pPr>
              <w:jc w:val="right"/>
              <w:rPr>
                <w:rFonts w:ascii="Franklin Gothic Book" w:hAnsi="Franklin Gothic Book"/>
                <w:sz w:val="16"/>
                <w:szCs w:val="16"/>
              </w:rPr>
            </w:pPr>
            <w:r>
              <w:rPr>
                <w:rFonts w:ascii="Franklin Gothic Book" w:hAnsi="Franklin Gothic Book"/>
                <w:sz w:val="16"/>
                <w:szCs w:val="16"/>
              </w:rPr>
              <w:t>24.3</w:t>
            </w:r>
          </w:p>
        </w:tc>
      </w:tr>
      <w:tr w:rsidR="002F616F" w:rsidTr="003051BD">
        <w:tc>
          <w:tcPr>
            <w:tcW w:w="2646" w:type="dxa"/>
            <w:gridSpan w:val="2"/>
            <w:tcBorders>
              <w:top w:val="single" w:sz="8" w:space="0" w:color="FFFFFF" w:themeColor="background1"/>
              <w:bottom w:val="single" w:sz="6" w:space="0" w:color="6F6652"/>
            </w:tcBorders>
            <w:shd w:val="clear" w:color="auto" w:fill="C2DADB" w:themeFill="accent6" w:themeFillTint="99"/>
            <w:tcMar>
              <w:left w:w="57" w:type="dxa"/>
              <w:right w:w="57" w:type="dxa"/>
            </w:tcMar>
          </w:tcPr>
          <w:p w:rsidR="002F616F" w:rsidRPr="003A1F66" w:rsidRDefault="002F616F" w:rsidP="003051BD">
            <w:pPr>
              <w:pStyle w:val="TableDataEntries"/>
              <w:jc w:val="left"/>
              <w:rPr>
                <w:b/>
              </w:rPr>
            </w:pPr>
            <w:r>
              <w:rPr>
                <w:b/>
              </w:rPr>
              <w:t>Total</w:t>
            </w:r>
            <w:r w:rsidR="00FE1F43">
              <w:rPr>
                <w:b/>
              </w:rPr>
              <w:t xml:space="preserve"> </w:t>
            </w:r>
          </w:p>
        </w:tc>
        <w:tc>
          <w:tcPr>
            <w:tcW w:w="1323"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center"/>
          </w:tcPr>
          <w:p w:rsidR="002F616F" w:rsidRPr="003A1F66" w:rsidRDefault="002F616F" w:rsidP="003051BD">
            <w:pPr>
              <w:jc w:val="right"/>
              <w:rPr>
                <w:rFonts w:ascii="Franklin Gothic Book" w:hAnsi="Franklin Gothic Book"/>
                <w:b/>
                <w:sz w:val="16"/>
                <w:szCs w:val="16"/>
              </w:rPr>
            </w:pPr>
            <w:r>
              <w:rPr>
                <w:rFonts w:ascii="Franklin Gothic Book" w:hAnsi="Franklin Gothic Book"/>
                <w:b/>
                <w:sz w:val="16"/>
                <w:szCs w:val="16"/>
              </w:rPr>
              <w:t>-67.4</w:t>
            </w:r>
          </w:p>
        </w:tc>
        <w:tc>
          <w:tcPr>
            <w:tcW w:w="1323"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center"/>
          </w:tcPr>
          <w:p w:rsidR="002F616F" w:rsidRPr="003A1F66" w:rsidRDefault="002F616F" w:rsidP="003051BD">
            <w:pPr>
              <w:jc w:val="right"/>
              <w:rPr>
                <w:rFonts w:ascii="Franklin Gothic Book" w:hAnsi="Franklin Gothic Book"/>
                <w:b/>
                <w:sz w:val="16"/>
                <w:szCs w:val="16"/>
              </w:rPr>
            </w:pPr>
            <w:r>
              <w:rPr>
                <w:rFonts w:ascii="Franklin Gothic Book" w:hAnsi="Franklin Gothic Book"/>
                <w:b/>
                <w:sz w:val="16"/>
                <w:szCs w:val="16"/>
              </w:rPr>
              <w:t>-101.6</w:t>
            </w:r>
          </w:p>
        </w:tc>
        <w:tc>
          <w:tcPr>
            <w:tcW w:w="1323"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center"/>
          </w:tcPr>
          <w:p w:rsidR="002F616F" w:rsidRPr="003A1F66" w:rsidRDefault="002F616F" w:rsidP="003051BD">
            <w:pPr>
              <w:jc w:val="right"/>
              <w:rPr>
                <w:rFonts w:ascii="Franklin Gothic Book" w:hAnsi="Franklin Gothic Book"/>
                <w:b/>
                <w:sz w:val="16"/>
                <w:szCs w:val="16"/>
              </w:rPr>
            </w:pPr>
            <w:r>
              <w:rPr>
                <w:rFonts w:ascii="Franklin Gothic Book" w:hAnsi="Franklin Gothic Book"/>
                <w:b/>
                <w:sz w:val="16"/>
                <w:szCs w:val="16"/>
              </w:rPr>
              <w:t>-86.1</w:t>
            </w:r>
          </w:p>
        </w:tc>
        <w:tc>
          <w:tcPr>
            <w:tcW w:w="1323"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center"/>
          </w:tcPr>
          <w:p w:rsidR="002F616F" w:rsidRPr="003A1F66" w:rsidRDefault="002F616F" w:rsidP="003051BD">
            <w:pPr>
              <w:jc w:val="right"/>
              <w:rPr>
                <w:rFonts w:ascii="Franklin Gothic Book" w:hAnsi="Franklin Gothic Book"/>
                <w:b/>
                <w:sz w:val="16"/>
                <w:szCs w:val="16"/>
              </w:rPr>
            </w:pPr>
            <w:r>
              <w:rPr>
                <w:rFonts w:ascii="Franklin Gothic Book" w:hAnsi="Franklin Gothic Book"/>
                <w:b/>
                <w:sz w:val="16"/>
                <w:szCs w:val="16"/>
              </w:rPr>
              <w:t>-119.6</w:t>
            </w:r>
          </w:p>
        </w:tc>
      </w:tr>
    </w:tbl>
    <w:p w:rsidR="002F616F" w:rsidRDefault="002F616F" w:rsidP="002F616F">
      <w:pPr>
        <w:pStyle w:val="Source"/>
      </w:pPr>
      <w:r w:rsidRPr="003A1F66">
        <w:rPr>
          <w:i/>
        </w:rPr>
        <w:t>Source:</w:t>
      </w:r>
      <w:r w:rsidRPr="003A1F66">
        <w:t xml:space="preserve"> ACT </w:t>
      </w:r>
      <w:r w:rsidR="00956657">
        <w:t>Budget</w:t>
      </w:r>
      <w:r w:rsidRPr="003A1F66">
        <w:t xml:space="preserve"> 2014-15</w:t>
      </w:r>
      <w:r w:rsidR="000055D8">
        <w:t>.</w:t>
      </w:r>
    </w:p>
    <w:p w:rsidR="000055D8" w:rsidRDefault="000055D8" w:rsidP="000055D8">
      <w:pPr>
        <w:pStyle w:val="ListBullet"/>
        <w:numPr>
          <w:ilvl w:val="0"/>
          <w:numId w:val="0"/>
        </w:numPr>
      </w:pPr>
      <w:r>
        <w:t xml:space="preserve">Taken together, these factors </w:t>
      </w:r>
      <w:proofErr w:type="gramStart"/>
      <w:r>
        <w:t>are expected</w:t>
      </w:r>
      <w:proofErr w:type="gramEnd"/>
      <w:r>
        <w:t xml:space="preserve"> to reduce revenue by $492 million over the forward estimates period relative to the 2013-14 ACT Budget. These downward revisions to revenue </w:t>
      </w:r>
      <w:proofErr w:type="gramStart"/>
      <w:r>
        <w:t xml:space="preserve">have been </w:t>
      </w:r>
      <w:r w:rsidRPr="001B6B9C">
        <w:t>offset</w:t>
      </w:r>
      <w:proofErr w:type="gramEnd"/>
      <w:r w:rsidRPr="001B6B9C">
        <w:t xml:space="preserve"> in part by additional funding for infrastructure investment and environmental works</w:t>
      </w:r>
      <w:r>
        <w:t xml:space="preserve"> that total close to $85 million over the forward estimates period. </w:t>
      </w:r>
    </w:p>
    <w:p w:rsidR="000055D8" w:rsidRDefault="000055D8" w:rsidP="000055D8">
      <w:pPr>
        <w:pStyle w:val="ListBullet"/>
        <w:numPr>
          <w:ilvl w:val="0"/>
          <w:numId w:val="0"/>
        </w:numPr>
      </w:pPr>
      <w:r>
        <w:t xml:space="preserve">Given the weakness in the residential property market prior to the Federal Government Budget it is unclear the extent to which the reduction in the land release program </w:t>
      </w:r>
      <w:proofErr w:type="gramStart"/>
      <w:r>
        <w:t>can be fully attributed</w:t>
      </w:r>
      <w:proofErr w:type="gramEnd"/>
      <w:r>
        <w:t xml:space="preserve"> to announcements made in the 2014-15 Budget.</w:t>
      </w:r>
    </w:p>
    <w:p w:rsidR="002F616F" w:rsidRPr="00B92760" w:rsidRDefault="002F616F" w:rsidP="002F616F">
      <w:pPr>
        <w:pStyle w:val="Heading3"/>
        <w:rPr>
          <w:lang w:eastAsia="en-US"/>
        </w:rPr>
      </w:pPr>
      <w:r>
        <w:rPr>
          <w:lang w:eastAsia="en-US"/>
        </w:rPr>
        <w:t>In-direct impacts</w:t>
      </w:r>
    </w:p>
    <w:p w:rsidR="00B21D82" w:rsidRDefault="002F616F" w:rsidP="002F616F">
      <w:pPr>
        <w:pStyle w:val="ListBullet"/>
        <w:numPr>
          <w:ilvl w:val="0"/>
          <w:numId w:val="0"/>
        </w:numPr>
        <w:spacing w:before="140"/>
      </w:pPr>
      <w:r>
        <w:t xml:space="preserve">The Commonwealth Government decisions highlighted above are also likely to have a number of indirect impacts on revenue over the next four years as reductions in employment and economic </w:t>
      </w:r>
      <w:proofErr w:type="gramStart"/>
      <w:r>
        <w:t>activity affect taxation revenue</w:t>
      </w:r>
      <w:proofErr w:type="gramEnd"/>
      <w:r>
        <w:t xml:space="preserve"> and sales of goods and </w:t>
      </w:r>
      <w:r w:rsidR="000055D8">
        <w:t>services revenue.</w:t>
      </w:r>
    </w:p>
    <w:p w:rsidR="002F616F" w:rsidRPr="005D34CC" w:rsidRDefault="002F616F" w:rsidP="002F616F">
      <w:pPr>
        <w:pStyle w:val="ListBullet"/>
        <w:numPr>
          <w:ilvl w:val="0"/>
          <w:numId w:val="0"/>
        </w:numPr>
        <w:spacing w:before="140"/>
      </w:pPr>
      <w:r>
        <w:t xml:space="preserve">While quantifying the full scale of these effects is behind the scope of this report, ACT treasury estimates that taxation </w:t>
      </w:r>
      <w:r w:rsidRPr="005D34CC">
        <w:t>revenue forecasts have reduced</w:t>
      </w:r>
      <w:r>
        <w:t xml:space="preserve"> by close to $40 million </w:t>
      </w:r>
      <w:r>
        <w:lastRenderedPageBreak/>
        <w:t xml:space="preserve">between 2014-15 and 2016-17 as a direct </w:t>
      </w:r>
      <w:r w:rsidRPr="005D34CC">
        <w:t xml:space="preserve">result of the Commonwealth Government’s </w:t>
      </w:r>
      <w:r w:rsidR="00956657">
        <w:t>Budget</w:t>
      </w:r>
      <w:r>
        <w:t>.</w:t>
      </w:r>
      <w:r>
        <w:rPr>
          <w:rStyle w:val="FootnoteReference"/>
        </w:rPr>
        <w:footnoteReference w:id="6"/>
      </w:r>
      <w:r>
        <w:t xml:space="preserve"> This reflects downward revisions to:</w:t>
      </w:r>
    </w:p>
    <w:p w:rsidR="002F616F" w:rsidRDefault="002F616F" w:rsidP="00284F89">
      <w:pPr>
        <w:pStyle w:val="ListBullet"/>
        <w:numPr>
          <w:ilvl w:val="0"/>
          <w:numId w:val="4"/>
        </w:numPr>
      </w:pPr>
      <w:proofErr w:type="gramStart"/>
      <w:r>
        <w:t>p</w:t>
      </w:r>
      <w:r w:rsidRPr="005D34CC">
        <w:t>ay</w:t>
      </w:r>
      <w:r>
        <w:t>roll</w:t>
      </w:r>
      <w:proofErr w:type="gramEnd"/>
      <w:r>
        <w:t xml:space="preserve"> tax forecasts </w:t>
      </w:r>
      <w:r w:rsidRPr="005D34CC">
        <w:t xml:space="preserve">by around $5 million per annum due to a </w:t>
      </w:r>
      <w:r>
        <w:t xml:space="preserve">lowering of expected employment </w:t>
      </w:r>
      <w:r w:rsidRPr="005D34CC">
        <w:t xml:space="preserve">growth. </w:t>
      </w:r>
    </w:p>
    <w:p w:rsidR="002F616F" w:rsidRDefault="002F616F" w:rsidP="00284F89">
      <w:pPr>
        <w:pStyle w:val="ListBullet"/>
        <w:numPr>
          <w:ilvl w:val="0"/>
          <w:numId w:val="4"/>
        </w:numPr>
      </w:pPr>
      <w:proofErr w:type="gramStart"/>
      <w:r w:rsidRPr="005D34CC">
        <w:t>conveyance</w:t>
      </w:r>
      <w:proofErr w:type="gramEnd"/>
      <w:r w:rsidRPr="005D34CC">
        <w:t xml:space="preserve"> revenue by around $6 million</w:t>
      </w:r>
      <w:r>
        <w:t xml:space="preserve"> per annum due to a lowering of</w:t>
      </w:r>
      <w:r w:rsidRPr="005D34CC">
        <w:t xml:space="preserve"> expected price</w:t>
      </w:r>
      <w:r w:rsidR="00C82C2A">
        <w:t xml:space="preserve"> growth in the property market.</w:t>
      </w:r>
    </w:p>
    <w:p w:rsidR="00C82C2A" w:rsidRDefault="00C82C2A" w:rsidP="007B74B3">
      <w:pPr>
        <w:pStyle w:val="Invisiblepara"/>
        <w:framePr w:hSpace="181" w:wrap="around" w:hAnchor="text" w:yAlign="top"/>
        <w:spacing w:before="0"/>
      </w:pPr>
    </w:p>
    <w:tbl>
      <w:tblPr>
        <w:tblW w:w="7938" w:type="dxa"/>
        <w:tblInd w:w="142" w:type="dxa"/>
        <w:tblBorders>
          <w:top w:val="single" w:sz="2" w:space="0" w:color="auto"/>
          <w:left w:val="single" w:sz="2" w:space="0" w:color="auto"/>
          <w:bottom w:val="single" w:sz="2" w:space="0" w:color="auto"/>
          <w:right w:val="single" w:sz="2" w:space="0" w:color="auto"/>
        </w:tblBorders>
        <w:tblLayout w:type="fixed"/>
        <w:tblCellMar>
          <w:left w:w="142" w:type="dxa"/>
          <w:right w:w="142" w:type="dxa"/>
        </w:tblCellMar>
        <w:tblLook w:val="0000"/>
      </w:tblPr>
      <w:tblGrid>
        <w:gridCol w:w="7938"/>
      </w:tblGrid>
      <w:tr w:rsidR="00C82C2A" w:rsidRPr="00E05C8C" w:rsidTr="00C82C2A">
        <w:trPr>
          <w:cantSplit/>
        </w:trPr>
        <w:tc>
          <w:tcPr>
            <w:tcW w:w="7938" w:type="dxa"/>
            <w:tcBorders>
              <w:top w:val="nil"/>
              <w:left w:val="nil"/>
              <w:bottom w:val="nil"/>
              <w:right w:val="nil"/>
            </w:tcBorders>
            <w:shd w:val="clear" w:color="auto" w:fill="C6BFAB" w:themeFill="accent3"/>
          </w:tcPr>
          <w:p w:rsidR="00C82C2A" w:rsidRPr="00E05C8C" w:rsidRDefault="00B40B86" w:rsidP="00284F89">
            <w:pPr>
              <w:pStyle w:val="Caption"/>
              <w:framePr w:hSpace="181" w:wrap="around" w:hAnchor="text" w:yAlign="top"/>
              <w:numPr>
                <w:ilvl w:val="0"/>
                <w:numId w:val="3"/>
              </w:numPr>
              <w:spacing w:before="120" w:after="100"/>
            </w:pPr>
            <w:r w:rsidRPr="00E05C8C">
              <w:fldChar w:fldCharType="begin"/>
            </w:r>
            <w:r w:rsidR="00C82C2A" w:rsidRPr="00E05C8C">
              <w:instrText xml:space="preserve"> IF 1 = 1 "</w:instrText>
            </w:r>
            <w:r w:rsidRPr="00E05C8C">
              <w:fldChar w:fldCharType="begin"/>
            </w:r>
            <w:r w:rsidR="00C82C2A" w:rsidRPr="00E05C8C">
              <w:instrText xml:space="preserve"> IF </w:instrText>
            </w:r>
            <w:fldSimple w:instr=" STYLEREF &quot;Heading 6&quot; \l \n ">
              <w:r w:rsidR="00D733F1">
                <w:rPr>
                  <w:noProof/>
                </w:rPr>
                <w:instrText>0</w:instrText>
              </w:r>
            </w:fldSimple>
            <w:r w:rsidR="00C82C2A" w:rsidRPr="00E05C8C">
              <w:instrText xml:space="preserve"> = 0 "</w:instrText>
            </w:r>
            <w:r w:rsidRPr="00E05C8C">
              <w:fldChar w:fldCharType="begin"/>
            </w:r>
            <w:r w:rsidR="00C82C2A" w:rsidRPr="00E05C8C">
              <w:instrText xml:space="preserve"> IF </w:instrText>
            </w:r>
            <w:fldSimple w:instr=" STYLEREF &quot;Heading 1&quot; \l \n ">
              <w:r w:rsidR="00D733F1">
                <w:rPr>
                  <w:noProof/>
                </w:rPr>
                <w:instrText>0</w:instrText>
              </w:r>
            </w:fldSimple>
            <w:r w:rsidR="00C82C2A" w:rsidRPr="00E05C8C">
              <w:instrText xml:space="preserve"> = 0 "" "</w:instrText>
            </w:r>
            <w:r w:rsidRPr="00E05C8C">
              <w:fldChar w:fldCharType="begin"/>
            </w:r>
            <w:r w:rsidR="00C82C2A" w:rsidRPr="00E05C8C">
              <w:instrText xml:space="preserve"> STYLEREF "Heading 1" \l \n </w:instrText>
            </w:r>
            <w:r w:rsidRPr="00E05C8C">
              <w:fldChar w:fldCharType="separate"/>
            </w:r>
            <w:r w:rsidR="00C82C2A">
              <w:rPr>
                <w:b/>
                <w:bCs/>
                <w:noProof/>
                <w:lang w:val="en-US"/>
              </w:rPr>
              <w:instrText>Error! No text of specified style in document.</w:instrText>
            </w:r>
            <w:r w:rsidRPr="00E05C8C">
              <w:fldChar w:fldCharType="end"/>
            </w:r>
            <w:r w:rsidR="00C82C2A" w:rsidRPr="00E05C8C">
              <w:instrText xml:space="preserve">." </w:instrText>
            </w:r>
            <w:r w:rsidRPr="00E05C8C">
              <w:fldChar w:fldCharType="end"/>
            </w:r>
            <w:r w:rsidR="00C82C2A" w:rsidRPr="00E05C8C">
              <w:instrText>" "</w:instrText>
            </w:r>
            <w:fldSimple w:instr=" STYLEREF &quot;Heading 6&quot; \l \n ">
              <w:r w:rsidR="00C82C2A" w:rsidRPr="00E05C8C">
                <w:instrText>B</w:instrText>
              </w:r>
            </w:fldSimple>
            <w:r w:rsidR="00C82C2A" w:rsidRPr="00E05C8C">
              <w:instrText xml:space="preserve">." </w:instrText>
            </w:r>
            <w:r w:rsidRPr="00E05C8C">
              <w:fldChar w:fldCharType="end"/>
            </w:r>
            <w:r w:rsidRPr="00E05C8C">
              <w:fldChar w:fldCharType="begin"/>
            </w:r>
            <w:r w:rsidR="00C82C2A" w:rsidRPr="00E05C8C">
              <w:instrText xml:space="preserve"> SEQ Item \* ARABIC \s </w:instrText>
            </w:r>
            <w:r w:rsidRPr="00E05C8C">
              <w:fldChar w:fldCharType="begin"/>
            </w:r>
            <w:r w:rsidR="00C82C2A" w:rsidRPr="00E05C8C">
              <w:instrText xml:space="preserve"> IF </w:instrText>
            </w:r>
            <w:fldSimple w:instr=" STYLEREF &quot;Heading 6&quot; \l \n ">
              <w:r w:rsidR="00D733F1">
                <w:rPr>
                  <w:noProof/>
                </w:rPr>
                <w:instrText>0</w:instrText>
              </w:r>
            </w:fldSimple>
            <w:r w:rsidR="00C82C2A" w:rsidRPr="00E05C8C">
              <w:instrText xml:space="preserve"> = 0 "</w:instrText>
            </w:r>
            <w:r w:rsidRPr="00E05C8C">
              <w:fldChar w:fldCharType="begin"/>
            </w:r>
            <w:r w:rsidR="00C82C2A" w:rsidRPr="00E05C8C">
              <w:instrText xml:space="preserve"> IF </w:instrText>
            </w:r>
            <w:fldSimple w:instr=" STYLEREF &quot;Heading 1&quot; \l \n ">
              <w:r w:rsidR="00D733F1">
                <w:rPr>
                  <w:noProof/>
                </w:rPr>
                <w:instrText>0</w:instrText>
              </w:r>
            </w:fldSimple>
            <w:r w:rsidR="00C82C2A" w:rsidRPr="00E05C8C">
              <w:instrText xml:space="preserve"> = 0 "" "1" </w:instrText>
            </w:r>
            <w:r w:rsidRPr="00E05C8C">
              <w:fldChar w:fldCharType="end"/>
            </w:r>
            <w:r w:rsidR="00C82C2A" w:rsidRPr="00E05C8C">
              <w:instrText xml:space="preserve">" "6" </w:instrText>
            </w:r>
            <w:r w:rsidRPr="00E05C8C">
              <w:fldChar w:fldCharType="end"/>
            </w:r>
            <w:r w:rsidR="00C82C2A" w:rsidRPr="00E05C8C">
              <w:instrText xml:space="preserve"> </w:instrText>
            </w:r>
            <w:r w:rsidRPr="00E05C8C">
              <w:fldChar w:fldCharType="separate"/>
            </w:r>
            <w:r w:rsidR="00D733F1">
              <w:rPr>
                <w:noProof/>
              </w:rPr>
              <w:instrText>14</w:instrText>
            </w:r>
            <w:r w:rsidRPr="00E05C8C">
              <w:fldChar w:fldCharType="end"/>
            </w:r>
            <w:r w:rsidR="00C82C2A" w:rsidRPr="00E05C8C">
              <w:instrText xml:space="preserve">" "" </w:instrText>
            </w:r>
            <w:r w:rsidRPr="00E05C8C">
              <w:fldChar w:fldCharType="separate"/>
            </w:r>
            <w:bookmarkStart w:id="448" w:name="_Caption3102"/>
            <w:bookmarkStart w:id="449" w:name="_Caption4759"/>
            <w:bookmarkStart w:id="450" w:name="_Caption8468"/>
            <w:bookmarkStart w:id="451" w:name="_Caption0317"/>
            <w:bookmarkStart w:id="452" w:name="_Caption7358"/>
            <w:bookmarkStart w:id="453" w:name="_Caption8296"/>
            <w:bookmarkStart w:id="454" w:name="_Caption8568"/>
            <w:bookmarkStart w:id="455" w:name="_Caption8710"/>
            <w:bookmarkStart w:id="456" w:name="_Caption4073"/>
            <w:bookmarkStart w:id="457" w:name="_Caption6341"/>
            <w:bookmarkStart w:id="458" w:name="_Caption5734"/>
            <w:bookmarkStart w:id="459" w:name="_Caption6546"/>
            <w:bookmarkStart w:id="460" w:name="_Caption3938"/>
            <w:bookmarkStart w:id="461" w:name="_Caption0637"/>
            <w:bookmarkStart w:id="462" w:name="_Caption9513"/>
            <w:bookmarkStart w:id="463" w:name="_Caption9968"/>
            <w:bookmarkStart w:id="464" w:name="_Caption5843"/>
            <w:bookmarkStart w:id="465" w:name="_Caption0622"/>
            <w:bookmarkStart w:id="466" w:name="_Caption0615"/>
            <w:bookmarkStart w:id="467" w:name="_Caption5382"/>
            <w:bookmarkStart w:id="468" w:name="_Caption0051"/>
            <w:bookmarkStart w:id="469" w:name="_Caption4570"/>
            <w:bookmarkStart w:id="470" w:name="_Caption0310"/>
            <w:bookmarkStart w:id="471" w:name="_Caption0003"/>
            <w:bookmarkStart w:id="472" w:name="_Caption4797"/>
            <w:bookmarkStart w:id="473" w:name="_Caption0206"/>
            <w:bookmarkStart w:id="474" w:name="_Caption3839"/>
            <w:bookmarkStart w:id="475" w:name="_Caption4539"/>
            <w:bookmarkStart w:id="476" w:name="_Caption8411"/>
            <w:bookmarkStart w:id="477" w:name="_Caption2816"/>
            <w:bookmarkStart w:id="478" w:name="_Caption3765"/>
            <w:bookmarkStart w:id="479" w:name="_Toc390427337"/>
            <w:r w:rsidR="00D733F1">
              <w:rPr>
                <w:noProof/>
              </w:rPr>
              <w:t>14</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E05C8C">
              <w:fldChar w:fldCharType="end"/>
            </w:r>
            <w:r w:rsidR="00C82C2A" w:rsidRPr="00E05C8C">
              <w:tab/>
            </w:r>
            <w:r w:rsidR="00C82C2A">
              <w:t>National Health Reform Agreement (NHRA)</w:t>
            </w:r>
            <w:bookmarkEnd w:id="479"/>
          </w:p>
        </w:tc>
      </w:tr>
      <w:tr w:rsidR="00C82C2A" w:rsidTr="00C82C2A">
        <w:tblPrEx>
          <w:tblBorders>
            <w:top w:val="none" w:sz="0" w:space="0" w:color="auto"/>
            <w:left w:val="none" w:sz="0" w:space="0" w:color="auto"/>
            <w:bottom w:val="none" w:sz="0" w:space="0" w:color="auto"/>
            <w:right w:val="none" w:sz="0" w:space="0" w:color="auto"/>
          </w:tblBorders>
          <w:shd w:val="clear" w:color="6F6652" w:fill="F1EFEA"/>
        </w:tblPrEx>
        <w:trPr>
          <w:cantSplit/>
        </w:trPr>
        <w:tc>
          <w:tcPr>
            <w:tcW w:w="7938" w:type="dxa"/>
            <w:shd w:val="clear" w:color="auto" w:fill="E9E8E5" w:themeFill="background2"/>
          </w:tcPr>
          <w:p w:rsidR="00C82C2A" w:rsidRDefault="00C82C2A" w:rsidP="007B74B3">
            <w:pPr>
              <w:pStyle w:val="BodyText"/>
              <w:framePr w:hSpace="181" w:wrap="around" w:hAnchor="text" w:yAlign="top"/>
              <w:rPr>
                <w:rFonts w:eastAsiaTheme="minorHAnsi"/>
              </w:rPr>
            </w:pPr>
            <w:r w:rsidRPr="00B66F24">
              <w:rPr>
                <w:rFonts w:eastAsiaTheme="minorHAnsi"/>
              </w:rPr>
              <w:t>New</w:t>
            </w:r>
            <w:r>
              <w:rPr>
                <w:rFonts w:eastAsiaTheme="minorHAnsi"/>
              </w:rPr>
              <w:t xml:space="preserve"> funding arrangements under the </w:t>
            </w:r>
            <w:r w:rsidRPr="00B66F24">
              <w:rPr>
                <w:rFonts w:eastAsiaTheme="minorHAnsi"/>
              </w:rPr>
              <w:t>NHRA came into operation for all States from July 2012.</w:t>
            </w:r>
            <w:r w:rsidR="00FE1F43">
              <w:rPr>
                <w:rFonts w:eastAsiaTheme="minorHAnsi"/>
              </w:rPr>
              <w:t xml:space="preserve"> </w:t>
            </w:r>
            <w:r w:rsidRPr="00B66F24">
              <w:rPr>
                <w:rFonts w:eastAsiaTheme="minorHAnsi"/>
              </w:rPr>
              <w:t xml:space="preserve">For 2012-13 and 2013-14, these arrangements included the continued provision of funding by the Commonwealth to the </w:t>
            </w:r>
            <w:proofErr w:type="gramStart"/>
            <w:r w:rsidRPr="00B66F24">
              <w:rPr>
                <w:rFonts w:eastAsiaTheme="minorHAnsi"/>
              </w:rPr>
              <w:t>level which</w:t>
            </w:r>
            <w:proofErr w:type="gramEnd"/>
            <w:r w:rsidRPr="00B66F24">
              <w:rPr>
                <w:rFonts w:eastAsiaTheme="minorHAnsi"/>
              </w:rPr>
              <w:t xml:space="preserve"> would have applied under the previous National Healthcare SPP. </w:t>
            </w:r>
          </w:p>
          <w:p w:rsidR="00C82C2A" w:rsidRPr="00B66F24" w:rsidRDefault="00C82C2A" w:rsidP="007B74B3">
            <w:pPr>
              <w:pStyle w:val="BodyText"/>
              <w:framePr w:hSpace="181" w:wrap="around" w:hAnchor="text" w:yAlign="top"/>
              <w:rPr>
                <w:rFonts w:eastAsiaTheme="minorHAnsi"/>
              </w:rPr>
            </w:pPr>
            <w:r w:rsidRPr="00B66F24">
              <w:rPr>
                <w:rFonts w:eastAsiaTheme="minorHAnsi"/>
              </w:rPr>
              <w:t xml:space="preserve">From 1 July </w:t>
            </w:r>
            <w:proofErr w:type="gramStart"/>
            <w:r w:rsidRPr="00B66F24">
              <w:rPr>
                <w:rFonts w:eastAsiaTheme="minorHAnsi"/>
              </w:rPr>
              <w:t>2014</w:t>
            </w:r>
            <w:proofErr w:type="gramEnd"/>
            <w:r w:rsidRPr="00B66F24">
              <w:rPr>
                <w:rFonts w:eastAsiaTheme="minorHAnsi"/>
              </w:rPr>
              <w:t xml:space="preserve"> the NHR funding is directly linked to the level of services delivered in public hospitals in each State.</w:t>
            </w:r>
            <w:r w:rsidR="00FE1F43">
              <w:rPr>
                <w:rFonts w:eastAsiaTheme="minorHAnsi"/>
              </w:rPr>
              <w:t xml:space="preserve"> </w:t>
            </w:r>
            <w:r w:rsidRPr="00B66F24">
              <w:rPr>
                <w:rFonts w:eastAsiaTheme="minorHAnsi"/>
              </w:rPr>
              <w:t xml:space="preserve">From 2014-15 to 2016-17, the Commonwealth will maintain its previous percentage of base funding and fund 45 per cent of volume growth, both at the national efficient price (which is determined annually by an independent authority). </w:t>
            </w:r>
          </w:p>
          <w:p w:rsidR="00C82C2A" w:rsidRPr="00B66F24" w:rsidRDefault="00C82C2A" w:rsidP="007B74B3">
            <w:pPr>
              <w:pStyle w:val="BodyText"/>
              <w:framePr w:hSpace="181" w:wrap="around" w:hAnchor="text" w:yAlign="top"/>
              <w:rPr>
                <w:rFonts w:eastAsiaTheme="minorHAnsi"/>
              </w:rPr>
            </w:pPr>
            <w:r w:rsidRPr="00B66F24">
              <w:rPr>
                <w:rFonts w:eastAsiaTheme="minorHAnsi"/>
              </w:rPr>
              <w:t xml:space="preserve">In the 2014-15 Commonwealth </w:t>
            </w:r>
            <w:r>
              <w:rPr>
                <w:rFonts w:eastAsiaTheme="minorHAnsi"/>
              </w:rPr>
              <w:t>Budget</w:t>
            </w:r>
            <w:r w:rsidRPr="00B66F24">
              <w:rPr>
                <w:rFonts w:eastAsiaTheme="minorHAnsi"/>
              </w:rPr>
              <w:t xml:space="preserve">, however, the Commonwealth announced a number of major unilateral changes to the provisions of the </w:t>
            </w:r>
            <w:proofErr w:type="gramStart"/>
            <w:r w:rsidRPr="00B66F24">
              <w:rPr>
                <w:rFonts w:eastAsiaTheme="minorHAnsi"/>
              </w:rPr>
              <w:t>NHRA which</w:t>
            </w:r>
            <w:proofErr w:type="gramEnd"/>
            <w:r w:rsidRPr="00B66F24">
              <w:rPr>
                <w:rFonts w:eastAsiaTheme="minorHAnsi"/>
              </w:rPr>
              <w:t xml:space="preserve"> will significantly reduce the payments the ACT had expected to receive under the agreement. </w:t>
            </w:r>
          </w:p>
          <w:p w:rsidR="00C82C2A" w:rsidRPr="00B66F24" w:rsidRDefault="00C82C2A" w:rsidP="007B74B3">
            <w:pPr>
              <w:pStyle w:val="BodyText"/>
              <w:framePr w:hSpace="181" w:wrap="around" w:hAnchor="text" w:yAlign="top"/>
              <w:rPr>
                <w:rFonts w:eastAsiaTheme="minorHAnsi"/>
              </w:rPr>
            </w:pPr>
            <w:r w:rsidRPr="00B66F24">
              <w:rPr>
                <w:rFonts w:eastAsiaTheme="minorHAnsi"/>
              </w:rPr>
              <w:t>The first major impact results from the abolition of the growth and ‘no worse off’ guarantees for</w:t>
            </w:r>
            <w:r>
              <w:rPr>
                <w:rFonts w:eastAsiaTheme="minorHAnsi"/>
              </w:rPr>
              <w:t xml:space="preserve">merly provided under the NHRA. </w:t>
            </w:r>
            <w:r w:rsidRPr="00B66F24">
              <w:rPr>
                <w:rFonts w:eastAsiaTheme="minorHAnsi"/>
              </w:rPr>
              <w:t xml:space="preserve">This change results in NHRA payments to the ACT falling between 2013-14 and 2014-15, compared with the expected increase of around $40 million that the ACT could have expected if the guarantees </w:t>
            </w:r>
            <w:proofErr w:type="gramStart"/>
            <w:r w:rsidRPr="00B66F24">
              <w:rPr>
                <w:rFonts w:eastAsiaTheme="minorHAnsi"/>
              </w:rPr>
              <w:t>had been honoured</w:t>
            </w:r>
            <w:proofErr w:type="gramEnd"/>
            <w:r w:rsidRPr="00B66F24">
              <w:rPr>
                <w:rFonts w:eastAsiaTheme="minorHAnsi"/>
              </w:rPr>
              <w:t>.</w:t>
            </w:r>
            <w:r w:rsidR="00FE1F43">
              <w:rPr>
                <w:rFonts w:eastAsiaTheme="minorHAnsi"/>
              </w:rPr>
              <w:t xml:space="preserve"> </w:t>
            </w:r>
            <w:r w:rsidRPr="00B66F24">
              <w:rPr>
                <w:rFonts w:eastAsiaTheme="minorHAnsi"/>
              </w:rPr>
              <w:t xml:space="preserve">Over four years, the ACT’s expected </w:t>
            </w:r>
            <w:proofErr w:type="gramStart"/>
            <w:r w:rsidRPr="00B66F24">
              <w:rPr>
                <w:rFonts w:eastAsiaTheme="minorHAnsi"/>
              </w:rPr>
              <w:t>NHRA payments from the Commonwealth have been reduced by around $240 million through the removal of the guarantees</w:t>
            </w:r>
            <w:proofErr w:type="gramEnd"/>
            <w:r>
              <w:rPr>
                <w:rFonts w:eastAsiaTheme="minorHAnsi"/>
              </w:rPr>
              <w:t>.</w:t>
            </w:r>
          </w:p>
          <w:p w:rsidR="00C82C2A" w:rsidRPr="00BF2F67" w:rsidRDefault="00C82C2A" w:rsidP="007B74B3">
            <w:pPr>
              <w:pStyle w:val="BodyText"/>
              <w:framePr w:hSpace="181" w:wrap="around" w:hAnchor="text" w:yAlign="top"/>
            </w:pPr>
            <w:r w:rsidRPr="00B66F24">
              <w:rPr>
                <w:rFonts w:eastAsiaTheme="minorHAnsi"/>
              </w:rPr>
              <w:t>The second major change is that from 1 July 2017 the Commonwealth will index its contribution for public hospitals funding by the Consumer Pric</w:t>
            </w:r>
            <w:r>
              <w:rPr>
                <w:rFonts w:eastAsiaTheme="minorHAnsi"/>
              </w:rPr>
              <w:t xml:space="preserve">e Index and population growth. </w:t>
            </w:r>
            <w:r w:rsidRPr="00B66F24">
              <w:rPr>
                <w:rFonts w:eastAsiaTheme="minorHAnsi"/>
              </w:rPr>
              <w:t xml:space="preserve">This change jettisons the previous Commonwealth commitment to fund 50 per cent of efficient growth from 2017-18 and introduces a cap on the Commonwealth contribution. The effect of this change is that funding </w:t>
            </w:r>
            <w:proofErr w:type="gramStart"/>
            <w:r w:rsidRPr="00B66F24">
              <w:rPr>
                <w:rFonts w:eastAsiaTheme="minorHAnsi"/>
              </w:rPr>
              <w:t>will no longer be determined</w:t>
            </w:r>
            <w:proofErr w:type="gramEnd"/>
            <w:r w:rsidRPr="00B66F24">
              <w:rPr>
                <w:rFonts w:eastAsiaTheme="minorHAnsi"/>
              </w:rPr>
              <w:t xml:space="preserve"> by the actual level of services delivered by public hospitals. Instead, allocation of public hospital funding for 2017-18 and beyond </w:t>
            </w:r>
            <w:proofErr w:type="gramStart"/>
            <w:r w:rsidRPr="00B66F24">
              <w:rPr>
                <w:rFonts w:eastAsiaTheme="minorHAnsi"/>
              </w:rPr>
              <w:t>will be capped a</w:t>
            </w:r>
            <w:r>
              <w:rPr>
                <w:rFonts w:eastAsiaTheme="minorHAnsi"/>
              </w:rPr>
              <w:t>nd distributed on an EPC basis</w:t>
            </w:r>
            <w:proofErr w:type="gramEnd"/>
            <w:r>
              <w:rPr>
                <w:rFonts w:eastAsiaTheme="minorHAnsi"/>
              </w:rPr>
              <w:t>.</w:t>
            </w:r>
          </w:p>
        </w:tc>
      </w:tr>
      <w:tr w:rsidR="00C82C2A" w:rsidTr="00C82C2A">
        <w:tblPrEx>
          <w:tblBorders>
            <w:top w:val="none" w:sz="0" w:space="0" w:color="auto"/>
            <w:left w:val="none" w:sz="0" w:space="0" w:color="auto"/>
            <w:bottom w:val="none" w:sz="0" w:space="0" w:color="auto"/>
            <w:right w:val="none" w:sz="0" w:space="0" w:color="auto"/>
          </w:tblBorders>
          <w:shd w:val="clear" w:color="6F6652" w:fill="F1EFEA"/>
        </w:tblPrEx>
        <w:trPr>
          <w:cantSplit/>
          <w:trHeight w:hRule="exact" w:val="142"/>
        </w:trPr>
        <w:tc>
          <w:tcPr>
            <w:tcW w:w="7938" w:type="dxa"/>
            <w:tcBorders>
              <w:bottom w:val="single" w:sz="6" w:space="0" w:color="9B917E" w:themeColor="accent4"/>
            </w:tcBorders>
            <w:shd w:val="clear" w:color="auto" w:fill="E9E8E5" w:themeFill="background2"/>
          </w:tcPr>
          <w:p w:rsidR="00C82C2A" w:rsidRDefault="00C82C2A" w:rsidP="007B74B3">
            <w:pPr>
              <w:framePr w:hSpace="181" w:wrap="around" w:hAnchor="text" w:yAlign="top"/>
            </w:pPr>
          </w:p>
        </w:tc>
      </w:tr>
      <w:tr w:rsidR="00C82C2A" w:rsidTr="00C82C2A">
        <w:tblPrEx>
          <w:tblBorders>
            <w:top w:val="none" w:sz="0" w:space="0" w:color="auto"/>
            <w:left w:val="none" w:sz="0" w:space="0" w:color="auto"/>
            <w:bottom w:val="none" w:sz="0" w:space="0" w:color="auto"/>
            <w:right w:val="none" w:sz="0" w:space="0" w:color="auto"/>
          </w:tblBorders>
          <w:shd w:val="clear" w:color="6F6652" w:fill="F1EFEA"/>
        </w:tblPrEx>
        <w:trPr>
          <w:cantSplit/>
          <w:trHeight w:hRule="exact" w:val="198"/>
        </w:trPr>
        <w:tc>
          <w:tcPr>
            <w:tcW w:w="7938" w:type="dxa"/>
            <w:tcBorders>
              <w:top w:val="single" w:sz="6" w:space="0" w:color="9B917E" w:themeColor="accent4"/>
            </w:tcBorders>
            <w:shd w:val="clear" w:color="6F6652" w:fill="auto"/>
          </w:tcPr>
          <w:p w:rsidR="00C82C2A" w:rsidRDefault="00C82C2A" w:rsidP="007B74B3">
            <w:pPr>
              <w:framePr w:hSpace="181" w:wrap="around" w:hAnchor="text" w:yAlign="top"/>
            </w:pPr>
          </w:p>
        </w:tc>
      </w:tr>
    </w:tbl>
    <w:p w:rsidR="002F616F" w:rsidRDefault="002F616F" w:rsidP="002F616F">
      <w:pPr>
        <w:pStyle w:val="Heading2"/>
        <w:rPr>
          <w:lang w:eastAsia="en-US"/>
        </w:rPr>
      </w:pPr>
      <w:bookmarkStart w:id="480" w:name="_Toc390427306"/>
      <w:r>
        <w:rPr>
          <w:lang w:eastAsia="en-US"/>
        </w:rPr>
        <w:lastRenderedPageBreak/>
        <w:t xml:space="preserve">Impact of revenue initiatives in 2014-15 </w:t>
      </w:r>
      <w:r w:rsidR="00956657" w:rsidRPr="003C45FF">
        <w:rPr>
          <w:lang w:eastAsia="en-US"/>
        </w:rPr>
        <w:t>Budget</w:t>
      </w:r>
      <w:bookmarkEnd w:id="480"/>
      <w:r w:rsidR="00FE1F43">
        <w:rPr>
          <w:lang w:eastAsia="en-US"/>
        </w:rPr>
        <w:t xml:space="preserve"> </w:t>
      </w:r>
    </w:p>
    <w:p w:rsidR="002F616F" w:rsidRPr="00676D22" w:rsidRDefault="002F616F" w:rsidP="002F616F">
      <w:pPr>
        <w:pStyle w:val="ListBullet"/>
        <w:numPr>
          <w:ilvl w:val="0"/>
          <w:numId w:val="0"/>
        </w:numPr>
        <w:spacing w:before="140"/>
      </w:pPr>
      <w:r>
        <w:t xml:space="preserve">Overall, revenue initiates in the 2014-15 </w:t>
      </w:r>
      <w:r w:rsidR="00956657">
        <w:t>Budget</w:t>
      </w:r>
      <w:r>
        <w:t xml:space="preserve"> </w:t>
      </w:r>
      <w:proofErr w:type="gramStart"/>
      <w:r>
        <w:t>are expected</w:t>
      </w:r>
      <w:proofErr w:type="gramEnd"/>
      <w:r>
        <w:t xml:space="preserve"> to increase future revenue by $121.8 million between 2014-15 and 2017-18. The expected impact of the four most significant revenue initiatives in terms of income generated </w:t>
      </w:r>
      <w:proofErr w:type="gramStart"/>
      <w:r>
        <w:t>are outlined</w:t>
      </w:r>
      <w:proofErr w:type="gramEnd"/>
      <w:r>
        <w:t xml:space="preserve"> in table</w:t>
      </w:r>
      <w:r w:rsidR="000055D8">
        <w:t xml:space="preserve"> </w:t>
      </w:r>
      <w:fldSimple w:instr=" REF _Caption7443 ">
        <w:r w:rsidR="00D733F1">
          <w:rPr>
            <w:noProof/>
          </w:rPr>
          <w:t>15</w:t>
        </w:r>
      </w:fldSimple>
      <w:r>
        <w:t>.</w:t>
      </w:r>
    </w:p>
    <w:p w:rsidR="00C82C2A" w:rsidRDefault="00B40B86" w:rsidP="00C82C2A">
      <w:pPr>
        <w:pStyle w:val="Caption"/>
      </w:pPr>
      <w:r w:rsidRPr="00695C93">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fldSimple w:instr=" STYLEREF &quot;Heading 1&quot; \l \n ">
        <w:r w:rsidR="00C82C2A">
          <w:rPr>
            <w:noProof/>
          </w:rPr>
          <w:instrText>2</w:instrText>
        </w:r>
      </w:fldSimple>
      <w:r w:rsidR="00C82C2A" w:rsidRPr="00695C93">
        <w:instrText xml:space="preserve">." </w:instrText>
      </w:r>
      <w:r w:rsidRPr="00695C93">
        <w:fldChar w:fldCharType="end"/>
      </w:r>
      <w:r w:rsidR="00C82C2A" w:rsidRPr="00695C93">
        <w:instrText>" "</w:instrText>
      </w:r>
      <w:fldSimple w:instr=" STYLEREF &quot;Heading 6&quot; \l \n ">
        <w:r w:rsidR="00C82C2A" w:rsidRPr="00695C93">
          <w:instrText>B</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15</w:instrText>
      </w:r>
      <w:r w:rsidRPr="00695C93">
        <w:fldChar w:fldCharType="end"/>
      </w:r>
      <w:r w:rsidR="00C82C2A" w:rsidRPr="00695C93">
        <w:instrText xml:space="preserve">" "" </w:instrText>
      </w:r>
      <w:r w:rsidRPr="00695C93">
        <w:fldChar w:fldCharType="separate"/>
      </w:r>
      <w:bookmarkStart w:id="481" w:name="_Caption4895"/>
      <w:bookmarkStart w:id="482" w:name="_Caption3545"/>
      <w:bookmarkStart w:id="483" w:name="_Caption9445"/>
      <w:bookmarkStart w:id="484" w:name="_Caption4536"/>
      <w:bookmarkStart w:id="485" w:name="_Caption2472"/>
      <w:bookmarkStart w:id="486" w:name="_Caption7501"/>
      <w:bookmarkStart w:id="487" w:name="_Caption3352"/>
      <w:bookmarkStart w:id="488" w:name="_Caption5835"/>
      <w:bookmarkStart w:id="489" w:name="_Caption7947"/>
      <w:bookmarkStart w:id="490" w:name="_Caption2211"/>
      <w:bookmarkStart w:id="491" w:name="_Caption3243"/>
      <w:bookmarkStart w:id="492" w:name="_Caption6120"/>
      <w:bookmarkStart w:id="493" w:name="_Caption0608"/>
      <w:bookmarkStart w:id="494" w:name="_Caption7443"/>
      <w:bookmarkStart w:id="495" w:name="_Caption9091"/>
      <w:bookmarkStart w:id="496" w:name="_Caption5398"/>
      <w:bookmarkStart w:id="497" w:name="_Caption5146"/>
      <w:bookmarkStart w:id="498" w:name="_Caption0684"/>
      <w:bookmarkStart w:id="499" w:name="_Caption5688"/>
      <w:bookmarkStart w:id="500" w:name="_Caption7930"/>
      <w:bookmarkStart w:id="501" w:name="_Caption3581"/>
      <w:bookmarkStart w:id="502" w:name="_Caption0142"/>
      <w:bookmarkStart w:id="503" w:name="_Caption3395"/>
      <w:bookmarkStart w:id="504" w:name="_Caption0563"/>
      <w:bookmarkStart w:id="505" w:name="_Caption4215"/>
      <w:bookmarkStart w:id="506" w:name="_Caption7256"/>
      <w:bookmarkStart w:id="507" w:name="_Caption6959"/>
      <w:bookmarkStart w:id="508" w:name="_Caption6297"/>
      <w:bookmarkStart w:id="509" w:name="_Caption2456"/>
      <w:bookmarkStart w:id="510" w:name="_Caption2139"/>
      <w:bookmarkStart w:id="511" w:name="_Caption1544"/>
      <w:bookmarkStart w:id="512" w:name="_Toc390427338"/>
      <w:r w:rsidR="00D733F1">
        <w:rPr>
          <w:noProof/>
        </w:rPr>
        <w:t>15</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695C93">
        <w:fldChar w:fldCharType="end"/>
      </w:r>
      <w:r w:rsidR="00C82C2A" w:rsidRPr="00695C93">
        <w:tab/>
      </w:r>
      <w:r w:rsidR="00C82C2A">
        <w:t>Impact of revenue initiatives</w:t>
      </w:r>
      <w:bookmarkEnd w:id="512"/>
    </w:p>
    <w:tbl>
      <w:tblPr>
        <w:tblW w:w="7938" w:type="dxa"/>
        <w:tblInd w:w="57" w:type="dxa"/>
        <w:tblLayout w:type="fixed"/>
        <w:tblLook w:val="0000"/>
      </w:tblPr>
      <w:tblGrid>
        <w:gridCol w:w="1323"/>
        <w:gridCol w:w="1323"/>
        <w:gridCol w:w="1323"/>
        <w:gridCol w:w="1323"/>
        <w:gridCol w:w="1323"/>
        <w:gridCol w:w="1323"/>
      </w:tblGrid>
      <w:tr w:rsidR="002F616F" w:rsidTr="003051BD">
        <w:tc>
          <w:tcPr>
            <w:tcW w:w="1323" w:type="dxa"/>
            <w:tcBorders>
              <w:bottom w:val="single" w:sz="8" w:space="0" w:color="FFFFFF" w:themeColor="background1"/>
            </w:tcBorders>
            <w:shd w:val="clear" w:color="auto" w:fill="6F6652"/>
            <w:tcMar>
              <w:left w:w="57" w:type="dxa"/>
              <w:right w:w="57" w:type="dxa"/>
            </w:tcMar>
          </w:tcPr>
          <w:p w:rsidR="002F616F" w:rsidRDefault="002F616F" w:rsidP="003051BD">
            <w:pPr>
              <w:pStyle w:val="TableDataColumnHeading"/>
              <w:jc w:val="left"/>
              <w:rPr>
                <w:highlight w:val="yellow"/>
              </w:rPr>
            </w:pPr>
          </w:p>
        </w:tc>
        <w:tc>
          <w:tcPr>
            <w:tcW w:w="1323" w:type="dxa"/>
            <w:tcBorders>
              <w:bottom w:val="single" w:sz="8" w:space="0" w:color="FFFFFF" w:themeColor="background1"/>
            </w:tcBorders>
            <w:shd w:val="clear" w:color="auto" w:fill="6F6652"/>
            <w:tcMar>
              <w:left w:w="57" w:type="dxa"/>
              <w:right w:w="57" w:type="dxa"/>
            </w:tcMar>
          </w:tcPr>
          <w:p w:rsidR="002F616F" w:rsidRPr="00753CE6" w:rsidRDefault="002F616F" w:rsidP="003051BD">
            <w:pPr>
              <w:pStyle w:val="TableDataColumnHeading"/>
            </w:pPr>
          </w:p>
        </w:tc>
        <w:tc>
          <w:tcPr>
            <w:tcW w:w="1323" w:type="dxa"/>
            <w:tcBorders>
              <w:bottom w:val="single" w:sz="8" w:space="0" w:color="FFFFFF" w:themeColor="background1"/>
            </w:tcBorders>
            <w:shd w:val="clear" w:color="auto" w:fill="6F6652"/>
            <w:tcMar>
              <w:left w:w="57" w:type="dxa"/>
              <w:right w:w="57" w:type="dxa"/>
            </w:tcMar>
          </w:tcPr>
          <w:p w:rsidR="002F616F" w:rsidRPr="00753CE6" w:rsidRDefault="002F616F" w:rsidP="003051BD">
            <w:pPr>
              <w:pStyle w:val="TableDataColumnHeading"/>
            </w:pPr>
            <w:r w:rsidRPr="00753CE6">
              <w:t>201</w:t>
            </w:r>
            <w:r>
              <w:t>4</w:t>
            </w:r>
            <w:r w:rsidRPr="00753CE6">
              <w:t>-1</w:t>
            </w:r>
            <w:r>
              <w:t>5</w:t>
            </w:r>
          </w:p>
        </w:tc>
        <w:tc>
          <w:tcPr>
            <w:tcW w:w="1323" w:type="dxa"/>
            <w:tcBorders>
              <w:bottom w:val="single" w:sz="8" w:space="0" w:color="FFFFFF" w:themeColor="background1"/>
            </w:tcBorders>
            <w:shd w:val="clear" w:color="auto" w:fill="6F6652"/>
            <w:tcMar>
              <w:left w:w="57" w:type="dxa"/>
              <w:right w:w="57" w:type="dxa"/>
            </w:tcMar>
          </w:tcPr>
          <w:p w:rsidR="002F616F" w:rsidRPr="00753CE6" w:rsidRDefault="002F616F" w:rsidP="003051BD">
            <w:pPr>
              <w:pStyle w:val="TableDataColumnHeading"/>
            </w:pPr>
            <w:r>
              <w:t>2015-16</w:t>
            </w:r>
          </w:p>
        </w:tc>
        <w:tc>
          <w:tcPr>
            <w:tcW w:w="1323" w:type="dxa"/>
            <w:tcBorders>
              <w:bottom w:val="single" w:sz="8" w:space="0" w:color="FFFFFF" w:themeColor="background1"/>
            </w:tcBorders>
            <w:shd w:val="clear" w:color="auto" w:fill="6F6652"/>
            <w:tcMar>
              <w:left w:w="57" w:type="dxa"/>
              <w:right w:w="57" w:type="dxa"/>
            </w:tcMar>
          </w:tcPr>
          <w:p w:rsidR="002F616F" w:rsidRPr="00753CE6" w:rsidRDefault="002F616F" w:rsidP="003051BD">
            <w:pPr>
              <w:pStyle w:val="TableDataColumnHeading"/>
            </w:pPr>
            <w:r>
              <w:t>2016-17</w:t>
            </w:r>
          </w:p>
        </w:tc>
        <w:tc>
          <w:tcPr>
            <w:tcW w:w="1323" w:type="dxa"/>
            <w:tcBorders>
              <w:bottom w:val="single" w:sz="8" w:space="0" w:color="FFFFFF" w:themeColor="background1"/>
            </w:tcBorders>
            <w:shd w:val="clear" w:color="auto" w:fill="6F6652"/>
            <w:tcMar>
              <w:left w:w="57" w:type="dxa"/>
              <w:right w:w="57" w:type="dxa"/>
            </w:tcMar>
          </w:tcPr>
          <w:p w:rsidR="002F616F" w:rsidRPr="00753CE6" w:rsidRDefault="002F616F" w:rsidP="003051BD">
            <w:pPr>
              <w:pStyle w:val="TableDataColumnHeading"/>
            </w:pPr>
            <w:r>
              <w:t>2017-18</w:t>
            </w:r>
          </w:p>
        </w:tc>
      </w:tr>
      <w:tr w:rsidR="002F616F" w:rsidTr="003051BD">
        <w:trPr>
          <w:trHeight w:hRule="exact" w:val="312"/>
        </w:trPr>
        <w:tc>
          <w:tcPr>
            <w:tcW w:w="2646" w:type="dxa"/>
            <w:gridSpan w:val="2"/>
            <w:tcBorders>
              <w:top w:val="single" w:sz="8" w:space="0" w:color="FFFFFF" w:themeColor="background1"/>
              <w:bottom w:val="single" w:sz="8" w:space="0" w:color="FFFFFF" w:themeColor="background1"/>
            </w:tcBorders>
            <w:shd w:val="clear" w:color="auto" w:fill="auto"/>
            <w:tcMar>
              <w:left w:w="57" w:type="dxa"/>
              <w:right w:w="57" w:type="dxa"/>
            </w:tcMar>
          </w:tcPr>
          <w:p w:rsidR="002F616F" w:rsidRPr="00753CE6" w:rsidRDefault="002F616F" w:rsidP="000055D8">
            <w:pPr>
              <w:pStyle w:val="TableUnit"/>
            </w:pPr>
          </w:p>
        </w:tc>
        <w:tc>
          <w:tcPr>
            <w:tcW w:w="1323" w:type="dxa"/>
            <w:tcBorders>
              <w:top w:val="single" w:sz="8" w:space="0" w:color="FFFFFF" w:themeColor="background1"/>
              <w:bottom w:val="single" w:sz="8" w:space="0" w:color="FFFFFF" w:themeColor="background1"/>
            </w:tcBorders>
            <w:shd w:val="clear" w:color="auto" w:fill="auto"/>
            <w:tcMar>
              <w:left w:w="57" w:type="dxa"/>
              <w:right w:w="57" w:type="dxa"/>
            </w:tcMar>
            <w:vAlign w:val="center"/>
          </w:tcPr>
          <w:p w:rsidR="002F616F" w:rsidRDefault="000055D8" w:rsidP="000055D8">
            <w:pPr>
              <w:pStyle w:val="TableUnit"/>
              <w:rPr>
                <w:szCs w:val="16"/>
              </w:rPr>
            </w:pPr>
            <w:r>
              <w:rPr>
                <w:szCs w:val="16"/>
              </w:rPr>
              <w:t>$m</w:t>
            </w:r>
          </w:p>
        </w:tc>
        <w:tc>
          <w:tcPr>
            <w:tcW w:w="1323" w:type="dxa"/>
            <w:tcBorders>
              <w:top w:val="single" w:sz="8" w:space="0" w:color="FFFFFF" w:themeColor="background1"/>
              <w:bottom w:val="single" w:sz="8" w:space="0" w:color="FFFFFF" w:themeColor="background1"/>
            </w:tcBorders>
            <w:shd w:val="clear" w:color="auto" w:fill="auto"/>
            <w:tcMar>
              <w:left w:w="57" w:type="dxa"/>
              <w:right w:w="57" w:type="dxa"/>
            </w:tcMar>
            <w:vAlign w:val="center"/>
          </w:tcPr>
          <w:p w:rsidR="002F616F" w:rsidRDefault="000055D8" w:rsidP="000055D8">
            <w:pPr>
              <w:pStyle w:val="TableUnit"/>
              <w:rPr>
                <w:szCs w:val="16"/>
              </w:rPr>
            </w:pPr>
            <w:r>
              <w:rPr>
                <w:szCs w:val="16"/>
              </w:rPr>
              <w:t>$m</w:t>
            </w:r>
          </w:p>
        </w:tc>
        <w:tc>
          <w:tcPr>
            <w:tcW w:w="1323" w:type="dxa"/>
            <w:tcBorders>
              <w:top w:val="single" w:sz="8" w:space="0" w:color="FFFFFF" w:themeColor="background1"/>
              <w:bottom w:val="single" w:sz="8" w:space="0" w:color="FFFFFF" w:themeColor="background1"/>
            </w:tcBorders>
            <w:shd w:val="clear" w:color="auto" w:fill="auto"/>
            <w:tcMar>
              <w:left w:w="57" w:type="dxa"/>
              <w:right w:w="57" w:type="dxa"/>
            </w:tcMar>
            <w:vAlign w:val="center"/>
          </w:tcPr>
          <w:p w:rsidR="002F616F" w:rsidRDefault="000055D8" w:rsidP="000055D8">
            <w:pPr>
              <w:pStyle w:val="TableUnit"/>
              <w:rPr>
                <w:szCs w:val="16"/>
              </w:rPr>
            </w:pPr>
            <w:r>
              <w:rPr>
                <w:szCs w:val="16"/>
              </w:rPr>
              <w:t>$m</w:t>
            </w:r>
          </w:p>
        </w:tc>
        <w:tc>
          <w:tcPr>
            <w:tcW w:w="1323" w:type="dxa"/>
            <w:tcBorders>
              <w:top w:val="single" w:sz="8" w:space="0" w:color="FFFFFF" w:themeColor="background1"/>
              <w:bottom w:val="single" w:sz="8" w:space="0" w:color="FFFFFF" w:themeColor="background1"/>
            </w:tcBorders>
            <w:shd w:val="clear" w:color="auto" w:fill="auto"/>
            <w:tcMar>
              <w:left w:w="57" w:type="dxa"/>
              <w:right w:w="57" w:type="dxa"/>
            </w:tcMar>
            <w:vAlign w:val="center"/>
          </w:tcPr>
          <w:p w:rsidR="002F616F" w:rsidRDefault="000055D8" w:rsidP="000055D8">
            <w:pPr>
              <w:pStyle w:val="TableUnit"/>
              <w:rPr>
                <w:szCs w:val="16"/>
              </w:rPr>
            </w:pPr>
            <w:r>
              <w:rPr>
                <w:szCs w:val="16"/>
              </w:rPr>
              <w:t>$m</w:t>
            </w:r>
          </w:p>
        </w:tc>
      </w:tr>
      <w:tr w:rsidR="002F616F" w:rsidTr="003051BD">
        <w:trPr>
          <w:trHeight w:hRule="exact" w:val="312"/>
        </w:trPr>
        <w:tc>
          <w:tcPr>
            <w:tcW w:w="264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Unit"/>
              <w:jc w:val="left"/>
            </w:pPr>
            <w:r>
              <w:t xml:space="preserve">Land tax reform </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10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10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10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10</w:t>
            </w:r>
          </w:p>
        </w:tc>
      </w:tr>
      <w:tr w:rsidR="002F616F" w:rsidTr="003051BD">
        <w:trPr>
          <w:trHeight w:hRule="exact" w:val="312"/>
        </w:trPr>
        <w:tc>
          <w:tcPr>
            <w:tcW w:w="264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Pr="00753CE6" w:rsidRDefault="002F616F" w:rsidP="003051BD">
            <w:pPr>
              <w:pStyle w:val="TableUnit"/>
              <w:jc w:val="left"/>
            </w:pPr>
            <w:r>
              <w:t>Payroll harmonisation</w:t>
            </w:r>
            <w:r w:rsidR="00FE1F43">
              <w:t xml:space="preserve"> </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10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10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10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10</w:t>
            </w:r>
          </w:p>
        </w:tc>
      </w:tr>
      <w:tr w:rsidR="002F616F" w:rsidTr="003051BD">
        <w:tc>
          <w:tcPr>
            <w:tcW w:w="264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Pr="00753CE6" w:rsidRDefault="002F616F" w:rsidP="003051BD">
            <w:pPr>
              <w:pStyle w:val="TableDataEntries"/>
              <w:jc w:val="left"/>
            </w:pPr>
            <w:r>
              <w:t xml:space="preserve">Fire and emergency levy </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4.7</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4.7</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4.7</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4.7</w:t>
            </w:r>
          </w:p>
        </w:tc>
      </w:tr>
      <w:tr w:rsidR="002F616F" w:rsidTr="003051BD">
        <w:tc>
          <w:tcPr>
            <w:tcW w:w="264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Pr="00753CE6" w:rsidRDefault="002F616F" w:rsidP="003051BD">
            <w:pPr>
              <w:pStyle w:val="TableDataEntries"/>
              <w:jc w:val="left"/>
            </w:pPr>
            <w:r>
              <w:t xml:space="preserve">Traffic and parking fines </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1.1</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2.2</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3.4</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3.6</w:t>
            </w:r>
          </w:p>
        </w:tc>
      </w:tr>
      <w:tr w:rsidR="002F616F" w:rsidTr="003051BD">
        <w:tc>
          <w:tcPr>
            <w:tcW w:w="264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Pr="00753CE6" w:rsidRDefault="002F616F" w:rsidP="003051BD">
            <w:pPr>
              <w:pStyle w:val="TableDataEntries"/>
              <w:jc w:val="left"/>
            </w:pPr>
            <w:r>
              <w:t>Net impact of other initiatives</w:t>
            </w:r>
            <w:r w:rsidR="00FE1F43">
              <w:t xml:space="preserve"> </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-0.2</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1.0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5.5</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6.4</w:t>
            </w:r>
          </w:p>
        </w:tc>
      </w:tr>
      <w:tr w:rsidR="002F616F" w:rsidTr="003051BD">
        <w:tc>
          <w:tcPr>
            <w:tcW w:w="2646" w:type="dxa"/>
            <w:gridSpan w:val="2"/>
            <w:tcBorders>
              <w:top w:val="single" w:sz="8" w:space="0" w:color="FFFFFF" w:themeColor="background1"/>
              <w:bottom w:val="single" w:sz="6" w:space="0" w:color="6F6652"/>
            </w:tcBorders>
            <w:shd w:val="clear" w:color="auto" w:fill="C2DADB" w:themeFill="accent6" w:themeFillTint="99"/>
            <w:tcMar>
              <w:left w:w="57" w:type="dxa"/>
              <w:right w:w="57" w:type="dxa"/>
            </w:tcMar>
          </w:tcPr>
          <w:p w:rsidR="002F616F" w:rsidRPr="00812659" w:rsidRDefault="002F616F" w:rsidP="003051BD">
            <w:pPr>
              <w:pStyle w:val="TableDataEntries"/>
              <w:jc w:val="left"/>
              <w:rPr>
                <w:rFonts w:ascii="Franklin Gothic Demi" w:hAnsi="Franklin Gothic Demi"/>
              </w:rPr>
            </w:pPr>
            <w:r w:rsidRPr="00812659">
              <w:rPr>
                <w:rFonts w:ascii="Franklin Gothic Demi" w:hAnsi="Franklin Gothic Demi"/>
              </w:rPr>
              <w:t>Total</w:t>
            </w:r>
            <w:r w:rsidR="00FE1F43">
              <w:rPr>
                <w:rFonts w:ascii="Franklin Gothic Demi" w:hAnsi="Franklin Gothic Demi"/>
              </w:rPr>
              <w:t xml:space="preserve"> </w:t>
            </w:r>
            <w:r w:rsidRPr="00812659">
              <w:rPr>
                <w:rFonts w:ascii="Franklin Gothic Demi" w:hAnsi="Franklin Gothic Demi"/>
              </w:rPr>
              <w:t xml:space="preserve">impact </w:t>
            </w:r>
          </w:p>
        </w:tc>
        <w:tc>
          <w:tcPr>
            <w:tcW w:w="1323"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bottom"/>
          </w:tcPr>
          <w:p w:rsidR="002F616F" w:rsidRPr="00812659" w:rsidRDefault="002F616F" w:rsidP="00812659">
            <w:pPr>
              <w:pStyle w:val="TableDataEntries"/>
              <w:rPr>
                <w:rFonts w:ascii="Franklin Gothic Demi" w:hAnsi="Franklin Gothic Demi"/>
              </w:rPr>
            </w:pPr>
            <w:r w:rsidRPr="00812659">
              <w:rPr>
                <w:rFonts w:ascii="Franklin Gothic Demi" w:hAnsi="Franklin Gothic Demi"/>
              </w:rPr>
              <w:t>25.6</w:t>
            </w:r>
          </w:p>
        </w:tc>
        <w:tc>
          <w:tcPr>
            <w:tcW w:w="1323"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bottom"/>
          </w:tcPr>
          <w:p w:rsidR="002F616F" w:rsidRPr="00812659" w:rsidRDefault="002F616F" w:rsidP="00812659">
            <w:pPr>
              <w:pStyle w:val="TableDataEntries"/>
              <w:rPr>
                <w:rFonts w:ascii="Franklin Gothic Demi" w:hAnsi="Franklin Gothic Demi"/>
              </w:rPr>
            </w:pPr>
            <w:r w:rsidRPr="00812659">
              <w:rPr>
                <w:rFonts w:ascii="Franklin Gothic Demi" w:hAnsi="Franklin Gothic Demi"/>
              </w:rPr>
              <w:t>27.9</w:t>
            </w:r>
          </w:p>
        </w:tc>
        <w:tc>
          <w:tcPr>
            <w:tcW w:w="1323"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bottom"/>
          </w:tcPr>
          <w:p w:rsidR="002F616F" w:rsidRPr="00812659" w:rsidRDefault="002F616F" w:rsidP="00812659">
            <w:pPr>
              <w:pStyle w:val="TableDataEntries"/>
              <w:rPr>
                <w:rFonts w:ascii="Franklin Gothic Demi" w:hAnsi="Franklin Gothic Demi"/>
              </w:rPr>
            </w:pPr>
            <w:r w:rsidRPr="00812659">
              <w:rPr>
                <w:rFonts w:ascii="Franklin Gothic Demi" w:hAnsi="Franklin Gothic Demi"/>
              </w:rPr>
              <w:t>33.6</w:t>
            </w:r>
          </w:p>
        </w:tc>
        <w:tc>
          <w:tcPr>
            <w:tcW w:w="1323" w:type="dxa"/>
            <w:tcBorders>
              <w:top w:val="single" w:sz="8" w:space="0" w:color="FFFFFF" w:themeColor="background1"/>
              <w:bottom w:val="single" w:sz="6" w:space="0" w:color="6F6652"/>
            </w:tcBorders>
            <w:shd w:val="clear" w:color="auto" w:fill="C2DADB" w:themeFill="accent6" w:themeFillTint="99"/>
            <w:tcMar>
              <w:left w:w="57" w:type="dxa"/>
              <w:right w:w="57" w:type="dxa"/>
            </w:tcMar>
            <w:vAlign w:val="bottom"/>
          </w:tcPr>
          <w:p w:rsidR="002F616F" w:rsidRPr="00812659" w:rsidRDefault="002F616F" w:rsidP="00812659">
            <w:pPr>
              <w:pStyle w:val="TableDataEntries"/>
              <w:rPr>
                <w:rFonts w:ascii="Franklin Gothic Demi" w:hAnsi="Franklin Gothic Demi"/>
              </w:rPr>
            </w:pPr>
            <w:r w:rsidRPr="00812659">
              <w:rPr>
                <w:rFonts w:ascii="Franklin Gothic Demi" w:hAnsi="Franklin Gothic Demi"/>
              </w:rPr>
              <w:t>34.7</w:t>
            </w:r>
          </w:p>
        </w:tc>
      </w:tr>
    </w:tbl>
    <w:p w:rsidR="002F616F" w:rsidRPr="002C678B" w:rsidRDefault="002F616F" w:rsidP="002F616F">
      <w:pPr>
        <w:pStyle w:val="Source"/>
        <w:spacing w:after="0"/>
      </w:pPr>
      <w:r>
        <w:rPr>
          <w:i/>
        </w:rPr>
        <w:t xml:space="preserve">Notes: </w:t>
      </w:r>
      <w:r w:rsidRPr="002C678B">
        <w:t xml:space="preserve">Payroll harmonisation </w:t>
      </w:r>
      <w:proofErr w:type="gramStart"/>
      <w:r w:rsidRPr="002C678B">
        <w:t>will be partly offset</w:t>
      </w:r>
      <w:proofErr w:type="gramEnd"/>
      <w:r w:rsidRPr="002C678B">
        <w:t xml:space="preserve"> by an increase in the payroll threshold. </w:t>
      </w:r>
    </w:p>
    <w:p w:rsidR="002F616F" w:rsidRPr="003A1F66" w:rsidRDefault="002F616F" w:rsidP="002F616F">
      <w:pPr>
        <w:pStyle w:val="Source"/>
        <w:spacing w:before="0" w:after="0"/>
      </w:pPr>
      <w:r w:rsidRPr="003A1F66">
        <w:rPr>
          <w:i/>
        </w:rPr>
        <w:t>Source:</w:t>
      </w:r>
      <w:r w:rsidRPr="003A1F66">
        <w:t xml:space="preserve"> ACT </w:t>
      </w:r>
      <w:r w:rsidR="00956657">
        <w:t>Budget</w:t>
      </w:r>
      <w:r w:rsidRPr="003A1F66">
        <w:t xml:space="preserve"> 2014-15</w:t>
      </w:r>
    </w:p>
    <w:p w:rsidR="002F616F" w:rsidRDefault="002F616F" w:rsidP="002F616F">
      <w:pPr>
        <w:pStyle w:val="BodyText"/>
        <w:spacing w:before="0"/>
      </w:pPr>
      <w:r w:rsidRPr="00A408C5">
        <w:t xml:space="preserve">Over 80 per cent of the expected revenue generated from the initiatives is due to reform to land tax, payroll tax, and the fire and emergency services levy. These reforms </w:t>
      </w:r>
      <w:proofErr w:type="gramStart"/>
      <w:r w:rsidRPr="00A408C5">
        <w:t>are outlined</w:t>
      </w:r>
      <w:proofErr w:type="gramEnd"/>
      <w:r w:rsidRPr="00A408C5">
        <w:t xml:space="preserve"> below.</w:t>
      </w:r>
    </w:p>
    <w:p w:rsidR="002F616F" w:rsidRDefault="002F616F" w:rsidP="002F616F">
      <w:pPr>
        <w:pStyle w:val="Heading3"/>
        <w:rPr>
          <w:lang w:eastAsia="en-US"/>
        </w:rPr>
      </w:pPr>
      <w:r>
        <w:rPr>
          <w:lang w:eastAsia="en-US"/>
        </w:rPr>
        <w:t>Land tax reform</w:t>
      </w:r>
    </w:p>
    <w:p w:rsidR="002F616F" w:rsidRDefault="002F616F" w:rsidP="002F616F">
      <w:pPr>
        <w:pStyle w:val="BodyText"/>
        <w:rPr>
          <w:rFonts w:ascii="Calibri" w:hAnsi="Calibri"/>
          <w:sz w:val="24"/>
        </w:rPr>
      </w:pPr>
      <w:r w:rsidRPr="00660D9B">
        <w:t xml:space="preserve">Land tax </w:t>
      </w:r>
      <w:proofErr w:type="gramStart"/>
      <w:r w:rsidRPr="00660D9B">
        <w:t>is levied</w:t>
      </w:r>
      <w:proofErr w:type="gramEnd"/>
      <w:r w:rsidRPr="00660D9B">
        <w:t xml:space="preserve"> on residential </w:t>
      </w:r>
      <w:r w:rsidR="00B21D82">
        <w:t xml:space="preserve">investment </w:t>
      </w:r>
      <w:r w:rsidRPr="00660D9B">
        <w:t>propert</w:t>
      </w:r>
      <w:r w:rsidR="00B21D82">
        <w:t xml:space="preserve">ies. </w:t>
      </w:r>
      <w:r w:rsidRPr="00660D9B">
        <w:t xml:space="preserve">The Government will introduce a new rating structure for land tax in the 2014-15 </w:t>
      </w:r>
      <w:r w:rsidR="00956657">
        <w:t>Budget</w:t>
      </w:r>
      <w:r w:rsidRPr="00660D9B">
        <w:t xml:space="preserve">. This structure will comprise a fixed charge component and lower marginal rating factors, in the calculation of land tax. </w:t>
      </w:r>
      <w:r w:rsidR="00087E02">
        <w:t xml:space="preserve">Table </w:t>
      </w:r>
      <w:fldSimple w:instr=" REF _Caption1053 ">
        <w:r w:rsidR="00D733F1">
          <w:rPr>
            <w:noProof/>
          </w:rPr>
          <w:t>16</w:t>
        </w:r>
      </w:fldSimple>
      <w:r w:rsidR="00087E02">
        <w:t xml:space="preserve"> </w:t>
      </w:r>
      <w:r w:rsidRPr="00660D9B">
        <w:t xml:space="preserve">illustrates the impact of this reform on the land tax payed by investment property owners. </w:t>
      </w:r>
    </w:p>
    <w:p w:rsidR="002F616F" w:rsidRDefault="002F616F" w:rsidP="002F616F">
      <w:pPr>
        <w:pStyle w:val="BodyText"/>
      </w:pPr>
      <w:r w:rsidRPr="00660D9B">
        <w:t xml:space="preserve">While </w:t>
      </w:r>
      <w:r>
        <w:t xml:space="preserve">increases in land taxes are an efficient method of raising revenue, as land is immobile, the size of the tax increases </w:t>
      </w:r>
      <w:proofErr w:type="gramStart"/>
      <w:r>
        <w:t>should be considered</w:t>
      </w:r>
      <w:proofErr w:type="gramEnd"/>
      <w:r>
        <w:t xml:space="preserve"> in light of:</w:t>
      </w:r>
    </w:p>
    <w:p w:rsidR="002F616F" w:rsidRDefault="002F616F" w:rsidP="00284F89">
      <w:pPr>
        <w:pStyle w:val="ListBullet"/>
        <w:numPr>
          <w:ilvl w:val="0"/>
          <w:numId w:val="4"/>
        </w:numPr>
      </w:pPr>
      <w:r>
        <w:t xml:space="preserve">the increase in fees and taxes associated with </w:t>
      </w:r>
      <w:r w:rsidR="00B21D82">
        <w:t xml:space="preserve">investment owners’ </w:t>
      </w:r>
      <w:r>
        <w:t xml:space="preserve">principle place of residence </w:t>
      </w:r>
    </w:p>
    <w:p w:rsidR="002F616F" w:rsidRDefault="002F616F" w:rsidP="00284F89">
      <w:pPr>
        <w:pStyle w:val="ListBullet"/>
        <w:numPr>
          <w:ilvl w:val="0"/>
          <w:numId w:val="4"/>
        </w:numPr>
      </w:pPr>
      <w:proofErr w:type="gramStart"/>
      <w:r>
        <w:t>the</w:t>
      </w:r>
      <w:proofErr w:type="gramEnd"/>
      <w:r>
        <w:t xml:space="preserve"> relative increase in land tax compared to other jurisdictions. </w:t>
      </w:r>
    </w:p>
    <w:p w:rsidR="00C82C2A" w:rsidRDefault="00B40B86" w:rsidP="00C82C2A">
      <w:pPr>
        <w:pStyle w:val="Caption"/>
      </w:pPr>
      <w:r w:rsidRPr="00695C93">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fldSimple w:instr=" STYLEREF &quot;Heading 1&quot; \l \n ">
        <w:r w:rsidR="00C82C2A">
          <w:rPr>
            <w:noProof/>
          </w:rPr>
          <w:instrText>2</w:instrText>
        </w:r>
      </w:fldSimple>
      <w:r w:rsidR="00C82C2A" w:rsidRPr="00695C93">
        <w:instrText xml:space="preserve">." </w:instrText>
      </w:r>
      <w:r w:rsidRPr="00695C93">
        <w:fldChar w:fldCharType="end"/>
      </w:r>
      <w:r w:rsidR="00C82C2A" w:rsidRPr="00695C93">
        <w:instrText>" "</w:instrText>
      </w:r>
      <w:fldSimple w:instr=" STYLEREF &quot;Heading 6&quot; \l \n ">
        <w:r w:rsidR="00C82C2A" w:rsidRPr="00695C93">
          <w:instrText>B</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16</w:instrText>
      </w:r>
      <w:r w:rsidRPr="00695C93">
        <w:fldChar w:fldCharType="end"/>
      </w:r>
      <w:r w:rsidR="00C82C2A" w:rsidRPr="00695C93">
        <w:instrText xml:space="preserve">" "" </w:instrText>
      </w:r>
      <w:r w:rsidRPr="00695C93">
        <w:fldChar w:fldCharType="separate"/>
      </w:r>
      <w:bookmarkStart w:id="513" w:name="_Caption0762"/>
      <w:bookmarkStart w:id="514" w:name="_Caption5250"/>
      <w:bookmarkStart w:id="515" w:name="_Caption7939"/>
      <w:bookmarkStart w:id="516" w:name="_Caption4995"/>
      <w:bookmarkStart w:id="517" w:name="_Caption1589"/>
      <w:bookmarkStart w:id="518" w:name="_Caption7337"/>
      <w:bookmarkStart w:id="519" w:name="_Caption0217"/>
      <w:bookmarkStart w:id="520" w:name="_Caption3645"/>
      <w:bookmarkStart w:id="521" w:name="_Caption7942"/>
      <w:bookmarkStart w:id="522" w:name="_Caption0210"/>
      <w:bookmarkStart w:id="523" w:name="_Caption4023"/>
      <w:bookmarkStart w:id="524" w:name="_Caption3008"/>
      <w:bookmarkStart w:id="525" w:name="_Caption4438"/>
      <w:bookmarkStart w:id="526" w:name="_Caption6254"/>
      <w:bookmarkStart w:id="527" w:name="_Caption1053"/>
      <w:bookmarkStart w:id="528" w:name="_Caption8038"/>
      <w:bookmarkStart w:id="529" w:name="_Caption7660"/>
      <w:bookmarkStart w:id="530" w:name="_Caption6152"/>
      <w:bookmarkStart w:id="531" w:name="_Caption7475"/>
      <w:bookmarkStart w:id="532" w:name="_Caption2416"/>
      <w:bookmarkStart w:id="533" w:name="_Caption2540"/>
      <w:bookmarkStart w:id="534" w:name="_Caption2537"/>
      <w:bookmarkStart w:id="535" w:name="_Caption1177"/>
      <w:bookmarkStart w:id="536" w:name="_Caption7993"/>
      <w:bookmarkStart w:id="537" w:name="_Caption3669"/>
      <w:bookmarkStart w:id="538" w:name="_Caption9061"/>
      <w:bookmarkStart w:id="539" w:name="_Caption3637"/>
      <w:bookmarkStart w:id="540" w:name="_Caption2433"/>
      <w:bookmarkStart w:id="541" w:name="_Caption8287"/>
      <w:bookmarkStart w:id="542" w:name="_Caption5027"/>
      <w:bookmarkStart w:id="543" w:name="_Caption0359"/>
      <w:bookmarkStart w:id="544" w:name="_Toc390427339"/>
      <w:r w:rsidR="00D733F1">
        <w:rPr>
          <w:noProof/>
        </w:rPr>
        <w:t>16</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695C93">
        <w:fldChar w:fldCharType="end"/>
      </w:r>
      <w:r w:rsidR="00C82C2A" w:rsidRPr="00695C93">
        <w:tab/>
      </w:r>
      <w:r w:rsidR="00C82C2A">
        <w:t>Change in land tax by average unimproved value</w:t>
      </w:r>
      <w:bookmarkEnd w:id="544"/>
    </w:p>
    <w:tbl>
      <w:tblPr>
        <w:tblW w:w="7938" w:type="dxa"/>
        <w:tblInd w:w="57" w:type="dxa"/>
        <w:tblLayout w:type="fixed"/>
        <w:tblLook w:val="0000"/>
      </w:tblPr>
      <w:tblGrid>
        <w:gridCol w:w="3544"/>
        <w:gridCol w:w="1985"/>
        <w:gridCol w:w="2409"/>
      </w:tblGrid>
      <w:tr w:rsidR="000055D8" w:rsidTr="00D733F1">
        <w:tc>
          <w:tcPr>
            <w:tcW w:w="3544" w:type="dxa"/>
            <w:tcBorders>
              <w:bottom w:val="single" w:sz="8" w:space="0" w:color="FFFFFF" w:themeColor="background1"/>
            </w:tcBorders>
            <w:shd w:val="clear" w:color="auto" w:fill="6F6652"/>
            <w:tcMar>
              <w:left w:w="57" w:type="dxa"/>
              <w:right w:w="57" w:type="dxa"/>
            </w:tcMar>
          </w:tcPr>
          <w:p w:rsidR="000055D8" w:rsidRPr="00753CE6" w:rsidRDefault="000055D8" w:rsidP="000055D8">
            <w:pPr>
              <w:pStyle w:val="TableDataColumnHeading"/>
              <w:jc w:val="left"/>
            </w:pPr>
            <w:r>
              <w:t>A</w:t>
            </w:r>
            <w:r w:rsidRPr="000055D8">
              <w:t>verage unimproved value</w:t>
            </w:r>
            <w:r>
              <w:t xml:space="preserve"> (AUV)</w:t>
            </w:r>
          </w:p>
        </w:tc>
        <w:tc>
          <w:tcPr>
            <w:tcW w:w="1985" w:type="dxa"/>
            <w:tcBorders>
              <w:bottom w:val="single" w:sz="8" w:space="0" w:color="FFFFFF" w:themeColor="background1"/>
            </w:tcBorders>
            <w:shd w:val="clear" w:color="auto" w:fill="6F6652"/>
            <w:tcMar>
              <w:left w:w="57" w:type="dxa"/>
              <w:right w:w="57" w:type="dxa"/>
            </w:tcMar>
          </w:tcPr>
          <w:p w:rsidR="000055D8" w:rsidRPr="00753CE6" w:rsidRDefault="000055D8" w:rsidP="003051BD">
            <w:pPr>
              <w:pStyle w:val="TableDataColumnHeading"/>
            </w:pPr>
            <w:r w:rsidRPr="00753CE6">
              <w:t>201</w:t>
            </w:r>
            <w:r>
              <w:t>3</w:t>
            </w:r>
            <w:r w:rsidRPr="00753CE6">
              <w:t>-</w:t>
            </w:r>
            <w:r>
              <w:t>4</w:t>
            </w:r>
          </w:p>
        </w:tc>
        <w:tc>
          <w:tcPr>
            <w:tcW w:w="2409" w:type="dxa"/>
            <w:tcBorders>
              <w:bottom w:val="single" w:sz="8" w:space="0" w:color="FFFFFF" w:themeColor="background1"/>
            </w:tcBorders>
            <w:shd w:val="clear" w:color="auto" w:fill="6F6652"/>
            <w:tcMar>
              <w:left w:w="57" w:type="dxa"/>
              <w:right w:w="57" w:type="dxa"/>
            </w:tcMar>
          </w:tcPr>
          <w:p w:rsidR="000055D8" w:rsidRPr="00753CE6" w:rsidRDefault="000055D8" w:rsidP="003051BD">
            <w:pPr>
              <w:pStyle w:val="TableDataColumnHeading"/>
            </w:pPr>
            <w:r>
              <w:t>2014-15</w:t>
            </w:r>
          </w:p>
        </w:tc>
      </w:tr>
      <w:tr w:rsidR="002F616F" w:rsidTr="003051BD">
        <w:trPr>
          <w:trHeight w:hRule="exact" w:val="312"/>
        </w:trPr>
        <w:tc>
          <w:tcPr>
            <w:tcW w:w="3544" w:type="dxa"/>
            <w:tcBorders>
              <w:top w:val="single" w:sz="8" w:space="0" w:color="FFFFFF" w:themeColor="background1"/>
              <w:bottom w:val="single" w:sz="8" w:space="0" w:color="FFFFFF" w:themeColor="background1"/>
            </w:tcBorders>
            <w:shd w:val="clear" w:color="auto" w:fill="auto"/>
            <w:tcMar>
              <w:left w:w="57" w:type="dxa"/>
              <w:right w:w="57" w:type="dxa"/>
            </w:tcMar>
          </w:tcPr>
          <w:p w:rsidR="002F616F" w:rsidRPr="00753CE6" w:rsidRDefault="002F616F" w:rsidP="00812659">
            <w:pPr>
              <w:pStyle w:val="TableDataEntries"/>
              <w:jc w:val="left"/>
            </w:pPr>
          </w:p>
        </w:tc>
        <w:tc>
          <w:tcPr>
            <w:tcW w:w="1985" w:type="dxa"/>
            <w:tcBorders>
              <w:top w:val="single" w:sz="8" w:space="0" w:color="FFFFFF" w:themeColor="background1"/>
              <w:bottom w:val="single" w:sz="8" w:space="0" w:color="FFFFFF" w:themeColor="background1"/>
            </w:tcBorders>
            <w:shd w:val="clear" w:color="auto" w:fill="auto"/>
            <w:tcMar>
              <w:left w:w="57" w:type="dxa"/>
              <w:right w:w="57" w:type="dxa"/>
            </w:tcMar>
            <w:vAlign w:val="center"/>
          </w:tcPr>
          <w:p w:rsidR="002F616F" w:rsidRPr="00812659" w:rsidRDefault="00812659" w:rsidP="000055D8">
            <w:pPr>
              <w:pStyle w:val="TableUnit"/>
            </w:pPr>
            <w:r>
              <w:t>$</w:t>
            </w:r>
          </w:p>
        </w:tc>
        <w:tc>
          <w:tcPr>
            <w:tcW w:w="2409" w:type="dxa"/>
            <w:tcBorders>
              <w:top w:val="single" w:sz="8" w:space="0" w:color="FFFFFF" w:themeColor="background1"/>
              <w:bottom w:val="single" w:sz="8" w:space="0" w:color="FFFFFF" w:themeColor="background1"/>
            </w:tcBorders>
            <w:shd w:val="clear" w:color="auto" w:fill="auto"/>
            <w:tcMar>
              <w:left w:w="57" w:type="dxa"/>
              <w:right w:w="57" w:type="dxa"/>
            </w:tcMar>
            <w:vAlign w:val="center"/>
          </w:tcPr>
          <w:p w:rsidR="002F616F" w:rsidRPr="00812659" w:rsidRDefault="00812659" w:rsidP="000055D8">
            <w:pPr>
              <w:pStyle w:val="TableUnit"/>
            </w:pPr>
            <w:r>
              <w:t>$</w:t>
            </w:r>
          </w:p>
        </w:tc>
      </w:tr>
      <w:tr w:rsidR="002F616F" w:rsidTr="003051BD">
        <w:trPr>
          <w:trHeight w:hRule="exact" w:val="312"/>
        </w:trPr>
        <w:tc>
          <w:tcPr>
            <w:tcW w:w="354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812659">
            <w:pPr>
              <w:pStyle w:val="TableDataEntries"/>
              <w:jc w:val="left"/>
            </w:pPr>
            <w:r>
              <w:t xml:space="preserve">50 000 </w:t>
            </w:r>
          </w:p>
        </w:t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300</w:t>
            </w:r>
          </w:p>
        </w:tc>
        <w:tc>
          <w:tcPr>
            <w:tcW w:w="2409"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1 106</w:t>
            </w:r>
          </w:p>
        </w:tc>
      </w:tr>
      <w:tr w:rsidR="002F616F" w:rsidTr="003051BD">
        <w:trPr>
          <w:trHeight w:hRule="exact" w:val="312"/>
        </w:trPr>
        <w:tc>
          <w:tcPr>
            <w:tcW w:w="354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Pr="00753CE6" w:rsidRDefault="002F616F" w:rsidP="00812659">
            <w:pPr>
              <w:pStyle w:val="TableDataEntries"/>
              <w:jc w:val="left"/>
            </w:pPr>
            <w:r>
              <w:t>150 000</w:t>
            </w:r>
            <w:r w:rsidR="00FE1F43">
              <w:t xml:space="preserve"> </w:t>
            </w:r>
          </w:p>
        </w:t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350</w:t>
            </w:r>
          </w:p>
        </w:tc>
        <w:tc>
          <w:tcPr>
            <w:tcW w:w="2409"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pStyle w:val="TableDataEntries"/>
            </w:pPr>
            <w:r w:rsidRPr="00812659">
              <w:t>1 568</w:t>
            </w:r>
          </w:p>
        </w:tc>
      </w:tr>
      <w:tr w:rsidR="002F616F" w:rsidTr="00C9370D">
        <w:tc>
          <w:tcPr>
            <w:tcW w:w="354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Pr="00753CE6" w:rsidRDefault="002F616F" w:rsidP="00812659">
            <w:pPr>
              <w:pStyle w:val="TableDataEntries"/>
              <w:jc w:val="left"/>
            </w:pPr>
            <w:r>
              <w:t xml:space="preserve">250 000 </w:t>
            </w:r>
          </w:p>
        </w:t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spacing w:line="240" w:lineRule="auto"/>
              <w:jc w:val="right"/>
              <w:rPr>
                <w:rFonts w:ascii="Franklin Gothic Book" w:eastAsia="Times New Roman" w:hAnsi="Franklin Gothic Book"/>
                <w:sz w:val="16"/>
                <w:szCs w:val="18"/>
                <w:lang w:eastAsia="en-US"/>
              </w:rPr>
            </w:pPr>
            <w:r w:rsidRPr="00812659">
              <w:rPr>
                <w:rFonts w:ascii="Franklin Gothic Book" w:eastAsia="Times New Roman" w:hAnsi="Franklin Gothic Book"/>
                <w:sz w:val="16"/>
                <w:szCs w:val="18"/>
                <w:lang w:eastAsia="en-US"/>
              </w:rPr>
              <w:t>445</w:t>
            </w:r>
          </w:p>
        </w:tc>
        <w:tc>
          <w:tcPr>
            <w:tcW w:w="2409"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2F616F" w:rsidRPr="00812659" w:rsidRDefault="002F616F" w:rsidP="00812659">
            <w:pPr>
              <w:spacing w:line="240" w:lineRule="auto"/>
              <w:jc w:val="right"/>
              <w:rPr>
                <w:rFonts w:ascii="Franklin Gothic Book" w:eastAsia="Times New Roman" w:hAnsi="Franklin Gothic Book"/>
                <w:sz w:val="16"/>
                <w:szCs w:val="18"/>
                <w:lang w:eastAsia="en-US"/>
              </w:rPr>
            </w:pPr>
            <w:r w:rsidRPr="00812659">
              <w:rPr>
                <w:rFonts w:ascii="Franklin Gothic Book" w:eastAsia="Times New Roman" w:hAnsi="Franklin Gothic Book"/>
                <w:sz w:val="16"/>
                <w:szCs w:val="18"/>
                <w:lang w:eastAsia="en-US"/>
              </w:rPr>
              <w:t>2 178</w:t>
            </w:r>
          </w:p>
        </w:tc>
      </w:tr>
      <w:tr w:rsidR="002F616F" w:rsidTr="00C9370D">
        <w:tc>
          <w:tcPr>
            <w:tcW w:w="3544" w:type="dxa"/>
            <w:tcBorders>
              <w:top w:val="single" w:sz="8" w:space="0" w:color="FFFFFF" w:themeColor="background1"/>
              <w:bottom w:val="single" w:sz="4" w:space="0" w:color="auto"/>
            </w:tcBorders>
            <w:shd w:val="clear" w:color="auto" w:fill="E9E8E5" w:themeFill="background2"/>
            <w:tcMar>
              <w:left w:w="57" w:type="dxa"/>
              <w:right w:w="57" w:type="dxa"/>
            </w:tcMar>
          </w:tcPr>
          <w:p w:rsidR="002F616F" w:rsidRPr="00753CE6" w:rsidRDefault="002F616F" w:rsidP="00812659">
            <w:pPr>
              <w:pStyle w:val="TableDataEntries"/>
              <w:jc w:val="left"/>
            </w:pPr>
            <w:r>
              <w:t xml:space="preserve">350 000 </w:t>
            </w:r>
          </w:p>
        </w:tc>
        <w:tc>
          <w:tcPr>
            <w:tcW w:w="1985" w:type="dxa"/>
            <w:tcBorders>
              <w:top w:val="single" w:sz="8" w:space="0" w:color="FFFFFF" w:themeColor="background1"/>
              <w:bottom w:val="single" w:sz="4" w:space="0" w:color="auto"/>
            </w:tcBorders>
            <w:shd w:val="clear" w:color="auto" w:fill="E9E8E5" w:themeFill="background2"/>
            <w:tcMar>
              <w:left w:w="57" w:type="dxa"/>
              <w:right w:w="57" w:type="dxa"/>
            </w:tcMar>
            <w:vAlign w:val="bottom"/>
          </w:tcPr>
          <w:p w:rsidR="002F616F" w:rsidRPr="00812659" w:rsidRDefault="002F616F" w:rsidP="00812659">
            <w:pPr>
              <w:spacing w:line="240" w:lineRule="auto"/>
              <w:jc w:val="right"/>
              <w:rPr>
                <w:rFonts w:ascii="Franklin Gothic Book" w:eastAsia="Times New Roman" w:hAnsi="Franklin Gothic Book"/>
                <w:sz w:val="16"/>
                <w:szCs w:val="18"/>
                <w:lang w:eastAsia="en-US"/>
              </w:rPr>
            </w:pPr>
            <w:r w:rsidRPr="00812659">
              <w:rPr>
                <w:rFonts w:ascii="Franklin Gothic Book" w:eastAsia="Times New Roman" w:hAnsi="Franklin Gothic Book"/>
                <w:sz w:val="16"/>
                <w:szCs w:val="18"/>
                <w:lang w:eastAsia="en-US"/>
              </w:rPr>
              <w:t>900</w:t>
            </w:r>
          </w:p>
        </w:tc>
        <w:tc>
          <w:tcPr>
            <w:tcW w:w="2409" w:type="dxa"/>
            <w:tcBorders>
              <w:top w:val="single" w:sz="8" w:space="0" w:color="FFFFFF" w:themeColor="background1"/>
              <w:bottom w:val="single" w:sz="4" w:space="0" w:color="auto"/>
            </w:tcBorders>
            <w:shd w:val="clear" w:color="auto" w:fill="E9E8E5" w:themeFill="background2"/>
            <w:tcMar>
              <w:left w:w="57" w:type="dxa"/>
              <w:right w:w="57" w:type="dxa"/>
            </w:tcMar>
            <w:vAlign w:val="bottom"/>
          </w:tcPr>
          <w:p w:rsidR="002F616F" w:rsidRPr="00812659" w:rsidRDefault="002F616F" w:rsidP="00812659">
            <w:pPr>
              <w:spacing w:line="240" w:lineRule="auto"/>
              <w:jc w:val="right"/>
              <w:rPr>
                <w:rFonts w:ascii="Franklin Gothic Book" w:eastAsia="Times New Roman" w:hAnsi="Franklin Gothic Book"/>
                <w:sz w:val="16"/>
                <w:szCs w:val="18"/>
                <w:lang w:eastAsia="en-US"/>
              </w:rPr>
            </w:pPr>
            <w:r w:rsidRPr="00812659">
              <w:rPr>
                <w:rFonts w:ascii="Franklin Gothic Book" w:eastAsia="Times New Roman" w:hAnsi="Franklin Gothic Book"/>
                <w:sz w:val="16"/>
                <w:szCs w:val="18"/>
                <w:lang w:eastAsia="en-US"/>
              </w:rPr>
              <w:t>3 257</w:t>
            </w:r>
          </w:p>
        </w:tc>
      </w:tr>
    </w:tbl>
    <w:p w:rsidR="002F616F" w:rsidRPr="003A1F66" w:rsidRDefault="002F616F" w:rsidP="002F616F">
      <w:pPr>
        <w:pStyle w:val="Source"/>
      </w:pPr>
      <w:r w:rsidRPr="003A1F66">
        <w:rPr>
          <w:i/>
        </w:rPr>
        <w:t>Source:</w:t>
      </w:r>
      <w:r w:rsidRPr="003A1F66">
        <w:t xml:space="preserve"> ACT </w:t>
      </w:r>
      <w:r w:rsidR="00956657">
        <w:t>Budget</w:t>
      </w:r>
      <w:r w:rsidRPr="003A1F66">
        <w:t xml:space="preserve"> 2014-15</w:t>
      </w:r>
    </w:p>
    <w:p w:rsidR="002F616F" w:rsidRPr="00766347" w:rsidRDefault="002F616F" w:rsidP="002F616F">
      <w:pPr>
        <w:pStyle w:val="Heading3"/>
        <w:rPr>
          <w:lang w:eastAsia="en-US"/>
        </w:rPr>
      </w:pPr>
      <w:r w:rsidRPr="00766347">
        <w:rPr>
          <w:lang w:eastAsia="en-US"/>
        </w:rPr>
        <w:lastRenderedPageBreak/>
        <w:t>Fire and</w:t>
      </w:r>
      <w:r w:rsidR="000055D8">
        <w:rPr>
          <w:lang w:eastAsia="en-US"/>
        </w:rPr>
        <w:t xml:space="preserve"> Emergency Services Levy (FESL)</w:t>
      </w:r>
    </w:p>
    <w:p w:rsidR="002F616F" w:rsidRPr="001A7EBB" w:rsidRDefault="002F616F" w:rsidP="002F616F">
      <w:pPr>
        <w:pStyle w:val="BodyText"/>
      </w:pPr>
      <w:r w:rsidRPr="001A7EBB">
        <w:t xml:space="preserve">A FESL </w:t>
      </w:r>
      <w:proofErr w:type="gramStart"/>
      <w:r w:rsidRPr="001A7EBB">
        <w:t>is charged</w:t>
      </w:r>
      <w:proofErr w:type="gramEnd"/>
      <w:r w:rsidRPr="001A7EBB">
        <w:t xml:space="preserve"> on all rateable properties in the ACT. Revenue from the levy provides funding to offset the cost of providing fire and emergency services in the Territory. </w:t>
      </w:r>
    </w:p>
    <w:p w:rsidR="002F616F" w:rsidRPr="001A7EBB" w:rsidRDefault="002F616F" w:rsidP="002F616F">
      <w:pPr>
        <w:pStyle w:val="BodyText"/>
      </w:pPr>
      <w:proofErr w:type="gramStart"/>
      <w:r w:rsidRPr="001A7EBB">
        <w:t xml:space="preserve">The </w:t>
      </w:r>
      <w:proofErr w:type="spellStart"/>
      <w:r w:rsidRPr="001A7EBB">
        <w:t>FESLwill</w:t>
      </w:r>
      <w:proofErr w:type="spellEnd"/>
      <w:r w:rsidRPr="001A7EBB">
        <w:t xml:space="preserve"> increase on average by $10 for residential</w:t>
      </w:r>
      <w:r w:rsidR="00812659">
        <w:t xml:space="preserve"> and rural properties and by $1 </w:t>
      </w:r>
      <w:r w:rsidRPr="001A7EBB">
        <w:t>030 for commercial properties in 2014-15.</w:t>
      </w:r>
      <w:proofErr w:type="gramEnd"/>
      <w:r w:rsidRPr="001A7EBB">
        <w:t xml:space="preserve"> </w:t>
      </w:r>
      <w:r w:rsidR="00B21D82">
        <w:t xml:space="preserve">This translates to an </w:t>
      </w:r>
      <w:r w:rsidRPr="001A7EBB">
        <w:t xml:space="preserve">increase </w:t>
      </w:r>
      <w:r w:rsidR="00812659">
        <w:t>of 8.33 </w:t>
      </w:r>
      <w:r w:rsidR="00B21D82">
        <w:t>per</w:t>
      </w:r>
      <w:r w:rsidR="00812659">
        <w:t> </w:t>
      </w:r>
      <w:r w:rsidR="00B21D82">
        <w:t xml:space="preserve">cent for </w:t>
      </w:r>
      <w:r w:rsidRPr="001A7EBB">
        <w:t xml:space="preserve">residential and rural properties and </w:t>
      </w:r>
      <w:r w:rsidR="00B21D82">
        <w:t xml:space="preserve">a 35.0 per cent increase </w:t>
      </w:r>
      <w:r w:rsidRPr="001A7EBB">
        <w:t xml:space="preserve">for commercial properties. In addition, the 2014-15 </w:t>
      </w:r>
      <w:r w:rsidR="00956657">
        <w:t>Budget</w:t>
      </w:r>
      <w:r w:rsidRPr="001A7EBB">
        <w:t xml:space="preserve"> will introduce progressivity in</w:t>
      </w:r>
      <w:r w:rsidR="00C961E8">
        <w:t>to</w:t>
      </w:r>
      <w:r w:rsidRPr="001A7EBB">
        <w:t xml:space="preserve"> the calculation of FESL for commercial properties. </w:t>
      </w:r>
    </w:p>
    <w:p w:rsidR="002F616F" w:rsidRPr="001A7EBB" w:rsidRDefault="002F616F" w:rsidP="002F616F">
      <w:pPr>
        <w:pStyle w:val="BodyText"/>
      </w:pPr>
      <w:r w:rsidRPr="001A7EBB">
        <w:t xml:space="preserve">These changes </w:t>
      </w:r>
      <w:proofErr w:type="gramStart"/>
      <w:r w:rsidRPr="001A7EBB">
        <w:t>are expected</w:t>
      </w:r>
      <w:proofErr w:type="gramEnd"/>
      <w:r w:rsidRPr="001A7EBB">
        <w:t xml:space="preserve"> to increase FESL revenue f</w:t>
      </w:r>
      <w:r w:rsidR="00B21D82">
        <w:t>rom existing properties by 21.6</w:t>
      </w:r>
      <w:r w:rsidR="00812659">
        <w:t> </w:t>
      </w:r>
      <w:r w:rsidRPr="001A7EBB">
        <w:t xml:space="preserve">per cent in 2014-15. </w:t>
      </w:r>
    </w:p>
    <w:p w:rsidR="002F616F" w:rsidRPr="00766347" w:rsidRDefault="002F616F" w:rsidP="002F616F">
      <w:pPr>
        <w:pStyle w:val="Heading3"/>
        <w:rPr>
          <w:lang w:eastAsia="en-US"/>
        </w:rPr>
      </w:pPr>
      <w:r>
        <w:rPr>
          <w:lang w:eastAsia="en-US"/>
        </w:rPr>
        <w:t xml:space="preserve">Payroll harmonisation </w:t>
      </w:r>
    </w:p>
    <w:p w:rsidR="002F616F" w:rsidRPr="002C678B" w:rsidRDefault="002F616F" w:rsidP="002F616F">
      <w:pPr>
        <w:pStyle w:val="BodyText"/>
      </w:pPr>
      <w:r w:rsidRPr="002C678B">
        <w:t>The ACT is the only jurisdiction where a genuine employer exemption</w:t>
      </w:r>
      <w:r w:rsidR="00895BE1">
        <w:rPr>
          <w:rStyle w:val="FootnoteReference"/>
        </w:rPr>
        <w:footnoteReference w:id="7"/>
      </w:r>
      <w:r w:rsidRPr="002C678B">
        <w:t xml:space="preserve"> exists in the calculation of payroll tax for employer agents. Under the current legislation, the criteria for establishing a genuine employer for this purpose are not clear, which has made the tax legislation complex and difficult to interpret. </w:t>
      </w:r>
    </w:p>
    <w:p w:rsidR="002F616F" w:rsidRPr="002C678B" w:rsidRDefault="002F616F" w:rsidP="002F616F">
      <w:pPr>
        <w:pStyle w:val="BodyText"/>
      </w:pPr>
      <w:r w:rsidRPr="002C678B">
        <w:t xml:space="preserve">The Payroll Tax Act 2011 </w:t>
      </w:r>
      <w:proofErr w:type="gramStart"/>
      <w:r w:rsidRPr="002C678B">
        <w:t>will be amended</w:t>
      </w:r>
      <w:proofErr w:type="gramEnd"/>
      <w:r w:rsidRPr="002C678B">
        <w:t xml:space="preserve"> to remove the genuine employer exemption to bring the ACT more in line with other jurisdictions.</w:t>
      </w:r>
      <w:r w:rsidR="00FE1F43">
        <w:t xml:space="preserve"> </w:t>
      </w:r>
    </w:p>
    <w:p w:rsidR="002F616F" w:rsidRDefault="002F616F" w:rsidP="002F616F">
      <w:pPr>
        <w:pStyle w:val="BodyText"/>
      </w:pPr>
      <w:r w:rsidRPr="002C678B">
        <w:t xml:space="preserve">The benefits from removing this exemption </w:t>
      </w:r>
      <w:proofErr w:type="gramStart"/>
      <w:r w:rsidRPr="002C678B">
        <w:t>are partly o</w:t>
      </w:r>
      <w:r w:rsidR="004B3736">
        <w:t>ffset</w:t>
      </w:r>
      <w:proofErr w:type="gramEnd"/>
      <w:r w:rsidR="004B3736">
        <w:t xml:space="preserve"> by the threshold of $1.75 </w:t>
      </w:r>
      <w:r w:rsidRPr="002C678B">
        <w:t xml:space="preserve">million per annum being increased to $1.85 million per annum as part of the Government’s revenue initiatives in this </w:t>
      </w:r>
      <w:r w:rsidR="00956657">
        <w:t>Budget</w:t>
      </w:r>
      <w:r w:rsidRPr="002C678B">
        <w:t>.</w:t>
      </w:r>
    </w:p>
    <w:p w:rsidR="00E850A7" w:rsidRPr="005E121B" w:rsidRDefault="00E850A7" w:rsidP="00E850A7">
      <w:pPr>
        <w:pStyle w:val="Heading3"/>
        <w:rPr>
          <w:lang w:eastAsia="en-US"/>
        </w:rPr>
      </w:pPr>
      <w:r w:rsidRPr="005E121B">
        <w:rPr>
          <w:lang w:eastAsia="en-US"/>
        </w:rPr>
        <w:t xml:space="preserve">Parking revenue </w:t>
      </w:r>
    </w:p>
    <w:p w:rsidR="00E850A7" w:rsidRDefault="006B2862" w:rsidP="006B2862">
      <w:pPr>
        <w:pStyle w:val="ListBullet"/>
        <w:numPr>
          <w:ilvl w:val="0"/>
          <w:numId w:val="0"/>
        </w:numPr>
        <w:spacing w:before="140"/>
      </w:pPr>
      <w:r w:rsidRPr="005E121B">
        <w:t xml:space="preserve">Parking revenue from fees and fines </w:t>
      </w:r>
      <w:proofErr w:type="gramStart"/>
      <w:r w:rsidRPr="005E121B">
        <w:t>is expected</w:t>
      </w:r>
      <w:proofErr w:type="gramEnd"/>
      <w:r w:rsidRPr="005E121B">
        <w:t xml:space="preserve"> to increase by 30.8 per cent</w:t>
      </w:r>
      <w:r w:rsidR="004B3736">
        <w:t>, equivalent to</w:t>
      </w:r>
      <w:r w:rsidR="00FE1F43">
        <w:t xml:space="preserve"> </w:t>
      </w:r>
      <w:r w:rsidR="004B3736">
        <w:t xml:space="preserve">an estimate of </w:t>
      </w:r>
      <w:r w:rsidR="007E770C" w:rsidRPr="005E121B">
        <w:t>$7.1 million,</w:t>
      </w:r>
      <w:r w:rsidRPr="005E121B">
        <w:t xml:space="preserve"> in 2014-15</w:t>
      </w:r>
      <w:r w:rsidR="007E770C" w:rsidRPr="005E121B">
        <w:t xml:space="preserve"> and by </w:t>
      </w:r>
      <w:r w:rsidR="00F951E0">
        <w:t xml:space="preserve">a further </w:t>
      </w:r>
      <w:r w:rsidRPr="005E121B">
        <w:t xml:space="preserve">8 per cent in 2015-16. The </w:t>
      </w:r>
      <w:r w:rsidR="007E770C" w:rsidRPr="005E121B">
        <w:t xml:space="preserve">particularly </w:t>
      </w:r>
      <w:r w:rsidRPr="005E121B">
        <w:t xml:space="preserve">sharp increase in </w:t>
      </w:r>
      <w:r w:rsidR="007E770C" w:rsidRPr="005E121B">
        <w:t xml:space="preserve">expected </w:t>
      </w:r>
      <w:r w:rsidRPr="005E121B">
        <w:t xml:space="preserve">parking revenue </w:t>
      </w:r>
      <w:r w:rsidR="00F951E0">
        <w:t>in</w:t>
      </w:r>
      <w:r w:rsidR="002664E3" w:rsidRPr="005E121B">
        <w:t xml:space="preserve"> 2014-15 reflects expectations of a </w:t>
      </w:r>
      <w:r w:rsidR="00F951E0">
        <w:t>30</w:t>
      </w:r>
      <w:r w:rsidRPr="005E121B">
        <w:t xml:space="preserve"> per cent increase in </w:t>
      </w:r>
      <w:r w:rsidR="002664E3" w:rsidRPr="005E121B">
        <w:t xml:space="preserve">parking fee revenue </w:t>
      </w:r>
      <w:r w:rsidRPr="005E121B">
        <w:t xml:space="preserve">and a 32 per cent increase in </w:t>
      </w:r>
      <w:r w:rsidR="002664E3" w:rsidRPr="005E121B">
        <w:t xml:space="preserve">parking </w:t>
      </w:r>
      <w:r w:rsidRPr="005E121B">
        <w:t>fine</w:t>
      </w:r>
      <w:r w:rsidR="002664E3" w:rsidRPr="005E121B">
        <w:t xml:space="preserve"> revenue (see chart</w:t>
      </w:r>
      <w:r w:rsidR="000055D8">
        <w:t xml:space="preserve"> </w:t>
      </w:r>
      <w:fldSimple w:instr=" REF _Caption0214 ">
        <w:r w:rsidR="00D733F1">
          <w:rPr>
            <w:noProof/>
          </w:rPr>
          <w:t>17</w:t>
        </w:r>
      </w:fldSimple>
      <w:r w:rsidR="002664E3" w:rsidRPr="005E121B">
        <w:t>).</w:t>
      </w:r>
      <w:r w:rsidRPr="005E121B">
        <w:t xml:space="preserve"> </w:t>
      </w:r>
      <w:r w:rsidR="007E770C" w:rsidRPr="005E121B">
        <w:t xml:space="preserve">While a number of parking-related initiatives have been announced in this Budget, </w:t>
      </w:r>
      <w:proofErr w:type="gramStart"/>
      <w:r w:rsidR="00F951E0">
        <w:t xml:space="preserve">all the </w:t>
      </w:r>
      <w:r w:rsidR="007E770C" w:rsidRPr="005E121B">
        <w:t>assumptions underpinning these strong revenue projections have not</w:t>
      </w:r>
      <w:proofErr w:type="gramEnd"/>
      <w:r w:rsidR="007E770C" w:rsidRPr="005E121B">
        <w:t xml:space="preserve"> been made clear. This section reviews the explanations provided in the Budget and other factors that may influen</w:t>
      </w:r>
      <w:r w:rsidR="00C82C2A">
        <w:t>ce parking revenue in 2014-15.</w:t>
      </w:r>
    </w:p>
    <w:p w:rsidR="00C82C2A" w:rsidRPr="005E121B" w:rsidRDefault="00C82C2A" w:rsidP="00284F89">
      <w:pPr>
        <w:pStyle w:val="Heading4"/>
        <w:numPr>
          <w:ilvl w:val="2"/>
          <w:numId w:val="1"/>
        </w:numPr>
      </w:pPr>
      <w:r w:rsidRPr="005E121B">
        <w:t>Parking fee revenue</w:t>
      </w:r>
    </w:p>
    <w:p w:rsidR="00C82C2A" w:rsidRPr="005E121B" w:rsidRDefault="00C82C2A" w:rsidP="00C82C2A">
      <w:pPr>
        <w:pStyle w:val="BodyText"/>
      </w:pPr>
      <w:r w:rsidRPr="005E121B">
        <w:t>The 2014-15 Budget states that:</w:t>
      </w:r>
    </w:p>
    <w:p w:rsidR="00C82C2A" w:rsidRPr="005E121B" w:rsidRDefault="00C82C2A" w:rsidP="00C82C2A">
      <w:pPr>
        <w:pStyle w:val="Quote"/>
      </w:pPr>
      <w:r w:rsidRPr="005E121B">
        <w:t xml:space="preserve">In 2014-15, parking fee revenue </w:t>
      </w:r>
      <w:proofErr w:type="gramStart"/>
      <w:r w:rsidRPr="005E121B">
        <w:t>is expected</w:t>
      </w:r>
      <w:proofErr w:type="gramEnd"/>
      <w:r w:rsidRPr="005E121B">
        <w:t xml:space="preserve"> to increase to $17.8 million [from $13.8 million], due to increases in parking fees on 1 July 2014. </w:t>
      </w:r>
    </w:p>
    <w:p w:rsidR="00C82C2A" w:rsidRPr="00695C93" w:rsidRDefault="00B40B86" w:rsidP="00284F89">
      <w:pPr>
        <w:pStyle w:val="Caption"/>
        <w:numPr>
          <w:ilvl w:val="0"/>
          <w:numId w:val="2"/>
        </w:numPr>
      </w:pPr>
      <w:r w:rsidRPr="00695C93">
        <w:lastRenderedPageBreak/>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r>
        <w:fldChar w:fldCharType="begin"/>
      </w:r>
      <w:r w:rsidR="00C82C2A">
        <w:instrText xml:space="preserve"> STYLEREF "Heading 1" \l \n </w:instrText>
      </w:r>
      <w:r>
        <w:fldChar w:fldCharType="separate"/>
      </w:r>
      <w:r w:rsidR="00C82C2A">
        <w:rPr>
          <w:b/>
          <w:bCs/>
          <w:noProof/>
          <w:lang w:val="en-US"/>
        </w:rPr>
        <w:instrText>Error! No text of specified style in document.</w:instrText>
      </w:r>
      <w:r>
        <w:rPr>
          <w:noProof/>
        </w:rPr>
        <w:fldChar w:fldCharType="end"/>
      </w:r>
      <w:r w:rsidR="00C82C2A" w:rsidRPr="00695C93">
        <w:instrText xml:space="preserve">." </w:instrText>
      </w:r>
      <w:r w:rsidRPr="00695C93">
        <w:fldChar w:fldCharType="end"/>
      </w:r>
      <w:r w:rsidR="00C82C2A" w:rsidRPr="00695C93">
        <w:instrText>" "</w:instrText>
      </w:r>
      <w:fldSimple w:instr=" STYLEREF &quot;Heading 6&quot; \l \n ">
        <w:r w:rsidR="00C82C2A">
          <w:rPr>
            <w:noProof/>
          </w:rPr>
          <w:instrText>A</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17</w:instrText>
      </w:r>
      <w:r w:rsidRPr="00695C93">
        <w:fldChar w:fldCharType="end"/>
      </w:r>
      <w:r w:rsidR="00C82C2A" w:rsidRPr="00695C93">
        <w:instrText xml:space="preserve">" "" </w:instrText>
      </w:r>
      <w:r w:rsidRPr="00695C93">
        <w:fldChar w:fldCharType="separate"/>
      </w:r>
      <w:bookmarkStart w:id="545" w:name="_Caption0965"/>
      <w:bookmarkStart w:id="546" w:name="_Caption3488"/>
      <w:bookmarkStart w:id="547" w:name="_Caption4276"/>
      <w:bookmarkStart w:id="548" w:name="_Caption6349"/>
      <w:bookmarkStart w:id="549" w:name="_Caption3469"/>
      <w:bookmarkStart w:id="550" w:name="_Caption5411"/>
      <w:bookmarkStart w:id="551" w:name="_Caption4355"/>
      <w:bookmarkStart w:id="552" w:name="_Caption5491"/>
      <w:bookmarkStart w:id="553" w:name="_Caption6905"/>
      <w:bookmarkStart w:id="554" w:name="_Caption2845"/>
      <w:bookmarkStart w:id="555" w:name="_Caption5182"/>
      <w:bookmarkStart w:id="556" w:name="_Caption9063"/>
      <w:bookmarkStart w:id="557" w:name="_Caption3209"/>
      <w:bookmarkStart w:id="558" w:name="_Caption8182"/>
      <w:bookmarkStart w:id="559" w:name="_Caption2769"/>
      <w:bookmarkStart w:id="560" w:name="_Caption0214"/>
      <w:bookmarkStart w:id="561" w:name="_Caption9822"/>
      <w:bookmarkStart w:id="562" w:name="_Caption1514"/>
      <w:bookmarkStart w:id="563" w:name="_Caption8912"/>
      <w:bookmarkStart w:id="564" w:name="_Caption8796"/>
      <w:bookmarkStart w:id="565" w:name="_Caption9393"/>
      <w:bookmarkStart w:id="566" w:name="_Caption9043"/>
      <w:bookmarkStart w:id="567" w:name="_Caption4104"/>
      <w:bookmarkStart w:id="568" w:name="_Caption9440"/>
      <w:bookmarkStart w:id="569" w:name="_Caption5248"/>
      <w:bookmarkStart w:id="570" w:name="_Caption8513"/>
      <w:bookmarkStart w:id="571" w:name="_Caption7981"/>
      <w:bookmarkStart w:id="572" w:name="_Caption5923"/>
      <w:bookmarkStart w:id="573" w:name="_Caption1248"/>
      <w:bookmarkStart w:id="574" w:name="_Caption6949"/>
      <w:bookmarkStart w:id="575" w:name="_Caption2062"/>
      <w:bookmarkStart w:id="576" w:name="_Toc390427340"/>
      <w:r w:rsidR="00D733F1">
        <w:rPr>
          <w:noProof/>
        </w:rPr>
        <w:t>17</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695C93">
        <w:fldChar w:fldCharType="end"/>
      </w:r>
      <w:r w:rsidR="00C82C2A" w:rsidRPr="00695C93">
        <w:tab/>
      </w:r>
      <w:r w:rsidR="00C82C2A" w:rsidRPr="00F951E0">
        <w:t>Recent developments in parking revenue</w:t>
      </w:r>
      <w:bookmarkEnd w:id="576"/>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EB47FD" w:rsidRPr="00EB47FD" w:rsidTr="009C75CC">
        <w:trPr>
          <w:cantSplit/>
        </w:trPr>
        <w:tc>
          <w:tcPr>
            <w:tcW w:w="7938" w:type="dxa"/>
            <w:shd w:val="clear" w:color="auto" w:fill="E9E8E5" w:themeFill="background2"/>
          </w:tcPr>
          <w:p w:rsidR="00EB47FD" w:rsidRPr="00EB47FD" w:rsidRDefault="007E770C" w:rsidP="009C75CC">
            <w:pPr>
              <w:pStyle w:val="Chart"/>
              <w:jc w:val="center"/>
              <w:rPr>
                <w:highlight w:val="yellow"/>
              </w:rPr>
            </w:pPr>
            <w:r>
              <w:rPr>
                <w:noProof/>
                <w:lang w:eastAsia="en-AU"/>
              </w:rPr>
              <w:drawing>
                <wp:inline distT="0" distB="0" distL="0" distR="0">
                  <wp:extent cx="4857750" cy="23717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115" cy="2371415"/>
                          </a:xfrm>
                          <a:prstGeom prst="rect">
                            <a:avLst/>
                          </a:prstGeom>
                          <a:noFill/>
                          <a:ln>
                            <a:noFill/>
                          </a:ln>
                        </pic:spPr>
                      </pic:pic>
                    </a:graphicData>
                  </a:graphic>
                </wp:inline>
              </w:drawing>
            </w:r>
          </w:p>
        </w:tc>
      </w:tr>
    </w:tbl>
    <w:p w:rsidR="00EB47FD" w:rsidRPr="00F951E0" w:rsidRDefault="00EB47FD" w:rsidP="00EB47FD">
      <w:pPr>
        <w:pStyle w:val="Source"/>
      </w:pPr>
      <w:r w:rsidRPr="00F951E0">
        <w:rPr>
          <w:i/>
        </w:rPr>
        <w:t>Data source:</w:t>
      </w:r>
      <w:r w:rsidR="00812659">
        <w:t xml:space="preserve"> ACT Budget 2014-15 </w:t>
      </w:r>
    </w:p>
    <w:p w:rsidR="00C82C2A" w:rsidRPr="005E121B" w:rsidRDefault="00C82C2A" w:rsidP="00C82C2A">
      <w:pPr>
        <w:pStyle w:val="BodyText"/>
      </w:pPr>
      <w:r w:rsidRPr="005E121B">
        <w:t xml:space="preserve">While parking fee increases </w:t>
      </w:r>
      <w:proofErr w:type="gramStart"/>
      <w:r w:rsidRPr="005E121B">
        <w:t>have been announced</w:t>
      </w:r>
      <w:proofErr w:type="gramEnd"/>
      <w:r w:rsidRPr="005E121B">
        <w:t xml:space="preserve">, these seem unlikely to be the key driver of the projected increase in </w:t>
      </w:r>
      <w:r>
        <w:t xml:space="preserve">parking fee revenue. An expected rebound in parking fee revenue </w:t>
      </w:r>
      <w:r w:rsidRPr="005E121B">
        <w:t>f</w:t>
      </w:r>
      <w:r>
        <w:t xml:space="preserve">ollowing </w:t>
      </w:r>
      <w:r w:rsidRPr="005E121B">
        <w:t xml:space="preserve">a sharp decline in 2013-14 </w:t>
      </w:r>
      <w:r>
        <w:t xml:space="preserve">may be a more important factor </w:t>
      </w:r>
      <w:r w:rsidRPr="005E121B">
        <w:t>(</w:t>
      </w:r>
      <w:r>
        <w:t xml:space="preserve">see chart 4.6). However, the </w:t>
      </w:r>
      <w:r w:rsidRPr="005E121B">
        <w:t xml:space="preserve">rationale for this rebound in parking revenue </w:t>
      </w:r>
      <w:proofErr w:type="gramStart"/>
      <w:r w:rsidRPr="005E121B">
        <w:t xml:space="preserve">was not </w:t>
      </w:r>
      <w:r>
        <w:t>p</w:t>
      </w:r>
      <w:r w:rsidRPr="005E121B">
        <w:t>rovided</w:t>
      </w:r>
      <w:proofErr w:type="gramEnd"/>
      <w:r w:rsidRPr="005E121B">
        <w:t>.</w:t>
      </w:r>
      <w:r>
        <w:t xml:space="preserve"> </w:t>
      </w:r>
    </w:p>
    <w:p w:rsidR="005E121B" w:rsidRPr="005E121B" w:rsidRDefault="0001570F" w:rsidP="0086538B">
      <w:pPr>
        <w:pStyle w:val="BodyText"/>
      </w:pPr>
      <w:r>
        <w:t>P</w:t>
      </w:r>
      <w:r w:rsidR="005E121B" w:rsidRPr="005E121B">
        <w:t xml:space="preserve">arking fee revenue </w:t>
      </w:r>
      <w:r>
        <w:t xml:space="preserve">projections </w:t>
      </w:r>
      <w:proofErr w:type="gramStart"/>
      <w:r w:rsidR="005E121B" w:rsidRPr="005E121B">
        <w:t xml:space="preserve">may </w:t>
      </w:r>
      <w:r>
        <w:t xml:space="preserve">have </w:t>
      </w:r>
      <w:r w:rsidR="005E121B" w:rsidRPr="005E121B">
        <w:t xml:space="preserve">also </w:t>
      </w:r>
      <w:r>
        <w:t>been affected</w:t>
      </w:r>
      <w:proofErr w:type="gramEnd"/>
      <w:r>
        <w:t xml:space="preserve"> by </w:t>
      </w:r>
      <w:r w:rsidR="00F951E0">
        <w:t xml:space="preserve">Government </w:t>
      </w:r>
      <w:r w:rsidR="005E121B" w:rsidRPr="005E121B">
        <w:t xml:space="preserve">announcements to: </w:t>
      </w:r>
    </w:p>
    <w:p w:rsidR="005E121B" w:rsidRPr="005E121B" w:rsidRDefault="005E121B" w:rsidP="00284F89">
      <w:pPr>
        <w:pStyle w:val="ListBullet"/>
        <w:numPr>
          <w:ilvl w:val="0"/>
          <w:numId w:val="4"/>
        </w:numPr>
      </w:pPr>
      <w:r w:rsidRPr="005E121B">
        <w:t xml:space="preserve">introduce paid parking in the Parliamentary Triangle </w:t>
      </w:r>
    </w:p>
    <w:p w:rsidR="0001570F" w:rsidRDefault="00D6263F" w:rsidP="00284F89">
      <w:pPr>
        <w:pStyle w:val="ListBullet"/>
        <w:numPr>
          <w:ilvl w:val="0"/>
          <w:numId w:val="4"/>
        </w:numPr>
      </w:pPr>
      <w:proofErr w:type="gramStart"/>
      <w:r w:rsidRPr="005E121B">
        <w:t>replace</w:t>
      </w:r>
      <w:proofErr w:type="gramEnd"/>
      <w:r w:rsidRPr="005E121B">
        <w:t xml:space="preserve"> 994 on-street single bay parking meters with 150 new solar powered machines that are equipped to take credit cards.</w:t>
      </w:r>
      <w:r w:rsidR="00D77AA6">
        <w:t xml:space="preserve"> </w:t>
      </w:r>
    </w:p>
    <w:p w:rsidR="00D6263F" w:rsidRPr="005E121B" w:rsidRDefault="00D77AA6" w:rsidP="0001570F">
      <w:pPr>
        <w:pStyle w:val="ListBullet2"/>
      </w:pPr>
      <w:r>
        <w:t>T</w:t>
      </w:r>
      <w:r w:rsidR="00D6263F" w:rsidRPr="005E121B">
        <w:t xml:space="preserve">his investment may help to increase parking fee revenue given that the 2013 ACT Auditor-General’s </w:t>
      </w:r>
      <w:r w:rsidR="00953E51" w:rsidRPr="005E121B">
        <w:t>Report into ACT Government Parking Operations found that:</w:t>
      </w:r>
    </w:p>
    <w:p w:rsidR="00D6263F" w:rsidRDefault="00953E51" w:rsidP="00D6263F">
      <w:pPr>
        <w:pStyle w:val="Quote"/>
      </w:pPr>
      <w:r w:rsidRPr="005E121B">
        <w:t xml:space="preserve">The Audit Office conservatively estimates there has been approximately $3 million lost in revenue due to faulty machines in the three years to 2011-12, noting this estimate does not include leakage due to inoperable parking meters. This leakage may be reduced if the smart parking technology, which the ACT Government is currently considering is implemented. </w:t>
      </w:r>
    </w:p>
    <w:p w:rsidR="0001570F" w:rsidRDefault="0001570F" w:rsidP="0001570F">
      <w:pPr>
        <w:pStyle w:val="BodyText"/>
      </w:pPr>
      <w:r>
        <w:t>Lastly, it should be noted that budget est</w:t>
      </w:r>
      <w:r w:rsidR="008B3E96">
        <w:t>imates have systematically over-estimated</w:t>
      </w:r>
      <w:r>
        <w:t xml:space="preserve"> </w:t>
      </w:r>
      <w:r w:rsidR="008B3E96">
        <w:t>p</w:t>
      </w:r>
      <w:r>
        <w:t xml:space="preserve">arking fee revenue by an average of 15 per cent over the past three years </w:t>
      </w:r>
      <w:r w:rsidRPr="005E121B">
        <w:t>(</w:t>
      </w:r>
      <w:r>
        <w:t>see chart 4.6)</w:t>
      </w:r>
      <w:r w:rsidR="00F951E0">
        <w:t>, suggesting that actual revenue may come in below expectations.</w:t>
      </w:r>
      <w:r w:rsidR="00FE1F43">
        <w:t xml:space="preserve"> </w:t>
      </w:r>
    </w:p>
    <w:p w:rsidR="00953E51" w:rsidRPr="00BF2179" w:rsidRDefault="005B214B" w:rsidP="00284F89">
      <w:pPr>
        <w:pStyle w:val="Heading4"/>
        <w:numPr>
          <w:ilvl w:val="2"/>
          <w:numId w:val="1"/>
        </w:numPr>
      </w:pPr>
      <w:r>
        <w:t>Parking fines</w:t>
      </w:r>
    </w:p>
    <w:p w:rsidR="00BF2179" w:rsidRPr="005E121B" w:rsidRDefault="00BF2179" w:rsidP="00BF2179">
      <w:pPr>
        <w:pStyle w:val="BodyText"/>
      </w:pPr>
      <w:r w:rsidRPr="005E121B">
        <w:t>The 2014-15 Budget states that:</w:t>
      </w:r>
    </w:p>
    <w:p w:rsidR="00BF2179" w:rsidRPr="005E121B" w:rsidRDefault="00BF2179" w:rsidP="00BF2179">
      <w:pPr>
        <w:pStyle w:val="Quote"/>
      </w:pPr>
      <w:r>
        <w:t xml:space="preserve">Parking fine revenue </w:t>
      </w:r>
      <w:proofErr w:type="gramStart"/>
      <w:r>
        <w:t>is expected</w:t>
      </w:r>
      <w:proofErr w:type="gramEnd"/>
      <w:r>
        <w:t xml:space="preserve"> to increase from $9.4 million in 2013-14 to $12.4 million mainly due to new initiatives and indexation. </w:t>
      </w:r>
    </w:p>
    <w:p w:rsidR="00BF2179" w:rsidRPr="00BF2179" w:rsidRDefault="00BF2179" w:rsidP="004B3736">
      <w:pPr>
        <w:pStyle w:val="BodyText"/>
      </w:pPr>
      <w:r w:rsidRPr="00BF2179">
        <w:t xml:space="preserve">The new initiatives and indexation relate </w:t>
      </w:r>
      <w:proofErr w:type="gramStart"/>
      <w:r w:rsidRPr="00BF2179">
        <w:t>to</w:t>
      </w:r>
      <w:proofErr w:type="gramEnd"/>
      <w:r w:rsidRPr="00BF2179">
        <w:t xml:space="preserve">: </w:t>
      </w:r>
    </w:p>
    <w:p w:rsidR="00953E51" w:rsidRDefault="00953E51" w:rsidP="00284F89">
      <w:pPr>
        <w:pStyle w:val="ListBullet"/>
        <w:numPr>
          <w:ilvl w:val="0"/>
          <w:numId w:val="4"/>
        </w:numPr>
      </w:pPr>
      <w:r w:rsidRPr="00BF2179">
        <w:t xml:space="preserve">traffic and parking fines indexed at 6 per cent in 2014-15 and over each year of the forward estimates </w:t>
      </w:r>
    </w:p>
    <w:p w:rsidR="00BF2179" w:rsidRDefault="00953E51" w:rsidP="00284F89">
      <w:pPr>
        <w:pStyle w:val="ListBullet"/>
        <w:numPr>
          <w:ilvl w:val="0"/>
          <w:numId w:val="4"/>
        </w:numPr>
      </w:pPr>
      <w:proofErr w:type="gramStart"/>
      <w:r w:rsidRPr="00BF2179">
        <w:t>eight</w:t>
      </w:r>
      <w:proofErr w:type="gramEnd"/>
      <w:r w:rsidRPr="00BF2179">
        <w:t xml:space="preserve"> </w:t>
      </w:r>
      <w:r w:rsidR="006D16DE">
        <w:t xml:space="preserve">additional </w:t>
      </w:r>
      <w:r w:rsidRPr="00BF2179">
        <w:t xml:space="preserve">parking inspectors and two office support </w:t>
      </w:r>
      <w:r w:rsidR="006D16DE">
        <w:t>staff</w:t>
      </w:r>
      <w:r w:rsidR="004B3736">
        <w:t>.</w:t>
      </w:r>
      <w:r w:rsidR="006D16DE">
        <w:t xml:space="preserve"> </w:t>
      </w:r>
    </w:p>
    <w:p w:rsidR="00953E51" w:rsidRDefault="006D16DE" w:rsidP="004B3736">
      <w:pPr>
        <w:pStyle w:val="BodyText"/>
      </w:pPr>
      <w:r>
        <w:lastRenderedPageBreak/>
        <w:t>The addition of new inspectors is expected to increase revenue by $1.6 million in 2014-</w:t>
      </w:r>
      <w:proofErr w:type="gramStart"/>
      <w:r>
        <w:t>15 which</w:t>
      </w:r>
      <w:proofErr w:type="gramEnd"/>
      <w:r>
        <w:t xml:space="preserve"> represents just over half of the expected increase in revenue. In addition to this increase in revenue and the</w:t>
      </w:r>
      <w:r w:rsidR="00F951E0">
        <w:t xml:space="preserve"> result of the </w:t>
      </w:r>
      <w:r>
        <w:t>new indexation, there appears to be additional driver</w:t>
      </w:r>
      <w:r w:rsidR="00F951E0">
        <w:t>s</w:t>
      </w:r>
      <w:r>
        <w:t xml:space="preserve"> of </w:t>
      </w:r>
      <w:r w:rsidR="00F951E0">
        <w:t xml:space="preserve">the increase in </w:t>
      </w:r>
      <w:r w:rsidRPr="006D16DE">
        <w:t xml:space="preserve">revenue that </w:t>
      </w:r>
      <w:proofErr w:type="gramStart"/>
      <w:r w:rsidR="00F951E0">
        <w:t>are not identified</w:t>
      </w:r>
      <w:proofErr w:type="gramEnd"/>
      <w:r w:rsidR="00F951E0">
        <w:t xml:space="preserve"> in the </w:t>
      </w:r>
      <w:r w:rsidRPr="006D16DE">
        <w:t xml:space="preserve">budget papers. </w:t>
      </w:r>
      <w:r w:rsidR="00F951E0">
        <w:t>One of these may be t</w:t>
      </w:r>
      <w:r w:rsidRPr="006D16DE">
        <w:t xml:space="preserve">he introduction of </w:t>
      </w:r>
      <w:r w:rsidR="00953E51" w:rsidRPr="006D16DE">
        <w:t xml:space="preserve">paid parking in the Parliamentary </w:t>
      </w:r>
      <w:r w:rsidRPr="006D16DE">
        <w:t>Triangle.</w:t>
      </w:r>
    </w:p>
    <w:p w:rsidR="00DF2E4D" w:rsidRDefault="00DF2E4D" w:rsidP="00DF2E4D">
      <w:pPr>
        <w:pStyle w:val="Heading3"/>
        <w:rPr>
          <w:lang w:eastAsia="en-US"/>
        </w:rPr>
      </w:pPr>
      <w:r>
        <w:rPr>
          <w:lang w:eastAsia="en-US"/>
        </w:rPr>
        <w:t xml:space="preserve">General rates </w:t>
      </w:r>
      <w:r w:rsidR="000619AC">
        <w:rPr>
          <w:lang w:eastAsia="en-US"/>
        </w:rPr>
        <w:t xml:space="preserve">and lease variation charge </w:t>
      </w:r>
    </w:p>
    <w:p w:rsidR="00733911" w:rsidRDefault="00DF2E4D" w:rsidP="00BF6096">
      <w:pPr>
        <w:pStyle w:val="BodyText"/>
        <w:rPr>
          <w:lang w:eastAsia="en-US"/>
        </w:rPr>
      </w:pPr>
      <w:r>
        <w:rPr>
          <w:lang w:eastAsia="en-US"/>
        </w:rPr>
        <w:t>While not technically revenue initiative</w:t>
      </w:r>
      <w:r w:rsidR="000619AC">
        <w:rPr>
          <w:lang w:eastAsia="en-US"/>
        </w:rPr>
        <w:t>s</w:t>
      </w:r>
      <w:r>
        <w:rPr>
          <w:lang w:eastAsia="en-US"/>
        </w:rPr>
        <w:t xml:space="preserve"> in the 2014-15 </w:t>
      </w:r>
      <w:proofErr w:type="gramStart"/>
      <w:r>
        <w:rPr>
          <w:lang w:eastAsia="en-US"/>
        </w:rPr>
        <w:t>Budget</w:t>
      </w:r>
      <w:proofErr w:type="gramEnd"/>
      <w:r>
        <w:rPr>
          <w:lang w:eastAsia="en-US"/>
        </w:rPr>
        <w:t xml:space="preserve">, changes to general rates </w:t>
      </w:r>
      <w:r w:rsidR="000619AC">
        <w:rPr>
          <w:lang w:eastAsia="en-US"/>
        </w:rPr>
        <w:t xml:space="preserve">and the lease variation charge (which was part of the Government’s construction sector stimulus program) </w:t>
      </w:r>
      <w:r>
        <w:rPr>
          <w:lang w:eastAsia="en-US"/>
        </w:rPr>
        <w:t xml:space="preserve">are also expected to have a significant impact on revenue. </w:t>
      </w:r>
    </w:p>
    <w:p w:rsidR="000619AC" w:rsidRDefault="000619AC" w:rsidP="000619AC">
      <w:pPr>
        <w:pStyle w:val="BodyText"/>
        <w:rPr>
          <w:lang w:eastAsia="en-US"/>
        </w:rPr>
      </w:pPr>
      <w:r w:rsidRPr="000619AC">
        <w:rPr>
          <w:lang w:eastAsia="en-US"/>
        </w:rPr>
        <w:t>On 6 March 2014, the Government announced a package of initiatives designed to provide</w:t>
      </w:r>
      <w:r>
        <w:rPr>
          <w:lang w:eastAsia="en-US"/>
        </w:rPr>
        <w:t xml:space="preserve"> </w:t>
      </w:r>
      <w:r w:rsidRPr="000619AC">
        <w:rPr>
          <w:lang w:eastAsia="en-US"/>
        </w:rPr>
        <w:t>confidence and economic stimulus for the ACT building and construction industry. The</w:t>
      </w:r>
      <w:r>
        <w:rPr>
          <w:lang w:eastAsia="en-US"/>
        </w:rPr>
        <w:t xml:space="preserve"> </w:t>
      </w:r>
      <w:r w:rsidRPr="000619AC">
        <w:rPr>
          <w:lang w:eastAsia="en-US"/>
        </w:rPr>
        <w:t>initiatives include the release of four civil contracts for estate works in Moncrieff, reforms to</w:t>
      </w:r>
      <w:r>
        <w:rPr>
          <w:lang w:eastAsia="en-US"/>
        </w:rPr>
        <w:t xml:space="preserve"> </w:t>
      </w:r>
      <w:r w:rsidRPr="000619AC">
        <w:rPr>
          <w:lang w:eastAsia="en-US"/>
        </w:rPr>
        <w:t>the lease variation charge (LVC)</w:t>
      </w:r>
      <w:proofErr w:type="gramStart"/>
      <w:r w:rsidRPr="000619AC">
        <w:rPr>
          <w:lang w:eastAsia="en-US"/>
        </w:rPr>
        <w:t>,</w:t>
      </w:r>
      <w:proofErr w:type="gramEnd"/>
      <w:r w:rsidRPr="000619AC">
        <w:rPr>
          <w:lang w:eastAsia="en-US"/>
        </w:rPr>
        <w:t xml:space="preserve"> reforms to extension of time (EOT) commence and</w:t>
      </w:r>
      <w:r>
        <w:rPr>
          <w:lang w:eastAsia="en-US"/>
        </w:rPr>
        <w:t xml:space="preserve"> </w:t>
      </w:r>
      <w:r w:rsidRPr="000619AC">
        <w:rPr>
          <w:lang w:eastAsia="en-US"/>
        </w:rPr>
        <w:t>complete development fees, and measures to facilitate major projects across the ACT.</w:t>
      </w:r>
    </w:p>
    <w:p w:rsidR="00733911" w:rsidRDefault="00733911" w:rsidP="000619AC">
      <w:pPr>
        <w:pStyle w:val="BodyText"/>
        <w:rPr>
          <w:lang w:eastAsia="en-US"/>
        </w:rPr>
      </w:pPr>
      <w:r>
        <w:rPr>
          <w:lang w:eastAsia="en-US"/>
        </w:rPr>
        <w:t xml:space="preserve">The changes to the LVC included: </w:t>
      </w:r>
    </w:p>
    <w:p w:rsidR="00733911" w:rsidRDefault="00733911" w:rsidP="00284F89">
      <w:pPr>
        <w:pStyle w:val="ListBullet"/>
        <w:numPr>
          <w:ilvl w:val="0"/>
          <w:numId w:val="4"/>
        </w:numPr>
      </w:pPr>
      <w:r w:rsidRPr="00733911">
        <w:rPr>
          <w:lang w:eastAsia="en-US"/>
        </w:rPr>
        <w:t>all codified LVC fee and remissions schedules being frozen at the current rate and remis</w:t>
      </w:r>
      <w:r>
        <w:rPr>
          <w:lang w:eastAsia="en-US"/>
        </w:rPr>
        <w:t>sion level for the next 2 years</w:t>
      </w:r>
    </w:p>
    <w:p w:rsidR="00733911" w:rsidRDefault="00733911" w:rsidP="00284F89">
      <w:pPr>
        <w:pStyle w:val="ListBullet"/>
        <w:numPr>
          <w:ilvl w:val="0"/>
          <w:numId w:val="4"/>
        </w:numPr>
      </w:pPr>
      <w:r>
        <w:rPr>
          <w:lang w:eastAsia="en-US"/>
        </w:rPr>
        <w:t>f</w:t>
      </w:r>
      <w:r w:rsidRPr="00733911">
        <w:rPr>
          <w:lang w:eastAsia="en-US"/>
        </w:rPr>
        <w:t xml:space="preserve">or non-codified variations, the remission rate will be increased from </w:t>
      </w:r>
      <w:r>
        <w:rPr>
          <w:lang w:eastAsia="en-US"/>
        </w:rPr>
        <w:t>25 per cent to</w:t>
      </w:r>
      <w:r w:rsidR="00FE1F43">
        <w:rPr>
          <w:lang w:eastAsia="en-US"/>
        </w:rPr>
        <w:t xml:space="preserve"> </w:t>
      </w:r>
      <w:r>
        <w:rPr>
          <w:lang w:eastAsia="en-US"/>
        </w:rPr>
        <w:t>50 per cent for the next 2 years</w:t>
      </w:r>
    </w:p>
    <w:p w:rsidR="00733911" w:rsidRPr="00733911" w:rsidRDefault="00733911" w:rsidP="00284F89">
      <w:pPr>
        <w:pStyle w:val="ListBullet"/>
        <w:numPr>
          <w:ilvl w:val="0"/>
          <w:numId w:val="4"/>
        </w:numPr>
      </w:pPr>
      <w:proofErr w:type="gramStart"/>
      <w:r>
        <w:rPr>
          <w:lang w:eastAsia="en-US"/>
        </w:rPr>
        <w:t>a</w:t>
      </w:r>
      <w:proofErr w:type="gramEnd"/>
      <w:r w:rsidRPr="00733911">
        <w:rPr>
          <w:lang w:eastAsia="en-US"/>
        </w:rPr>
        <w:t xml:space="preserve"> further 25</w:t>
      </w:r>
      <w:r>
        <w:rPr>
          <w:lang w:eastAsia="en-US"/>
        </w:rPr>
        <w:t xml:space="preserve"> per cent</w:t>
      </w:r>
      <w:r w:rsidRPr="00733911">
        <w:rPr>
          <w:lang w:eastAsia="en-US"/>
        </w:rPr>
        <w:t xml:space="preserve"> remission is available for developers who incorporate high standards of sustainable design and adaptable housing into their projects.</w:t>
      </w:r>
    </w:p>
    <w:p w:rsidR="000619AC" w:rsidRDefault="000619AC" w:rsidP="000619AC">
      <w:pPr>
        <w:pStyle w:val="BodyText"/>
        <w:rPr>
          <w:lang w:eastAsia="en-US"/>
        </w:rPr>
      </w:pPr>
      <w:r w:rsidRPr="000619AC">
        <w:rPr>
          <w:lang w:eastAsia="en-US"/>
        </w:rPr>
        <w:t xml:space="preserve">In 2014-15, revenue for the </w:t>
      </w:r>
      <w:r w:rsidR="00733911">
        <w:rPr>
          <w:lang w:eastAsia="en-US"/>
        </w:rPr>
        <w:t>LVC</w:t>
      </w:r>
      <w:r w:rsidRPr="000619AC">
        <w:rPr>
          <w:lang w:eastAsia="en-US"/>
        </w:rPr>
        <w:t xml:space="preserve"> </w:t>
      </w:r>
      <w:proofErr w:type="gramStart"/>
      <w:r w:rsidRPr="000619AC">
        <w:rPr>
          <w:lang w:eastAsia="en-US"/>
        </w:rPr>
        <w:t>is forecast</w:t>
      </w:r>
      <w:proofErr w:type="gramEnd"/>
      <w:r w:rsidRPr="000619AC">
        <w:rPr>
          <w:lang w:eastAsia="en-US"/>
        </w:rPr>
        <w:t xml:space="preserve"> to remain stable at</w:t>
      </w:r>
      <w:r>
        <w:rPr>
          <w:lang w:eastAsia="en-US"/>
        </w:rPr>
        <w:t xml:space="preserve"> </w:t>
      </w:r>
      <w:r w:rsidRPr="000619AC">
        <w:rPr>
          <w:lang w:eastAsia="en-US"/>
        </w:rPr>
        <w:t xml:space="preserve">$14.6 million, </w:t>
      </w:r>
      <w:r w:rsidR="00733911">
        <w:rPr>
          <w:lang w:eastAsia="en-US"/>
        </w:rPr>
        <w:t xml:space="preserve">as the </w:t>
      </w:r>
      <w:r w:rsidR="00895BE1">
        <w:rPr>
          <w:lang w:eastAsia="en-US"/>
        </w:rPr>
        <w:t xml:space="preserve">impact of the changes to the </w:t>
      </w:r>
      <w:r w:rsidR="00733911">
        <w:rPr>
          <w:lang w:eastAsia="en-US"/>
        </w:rPr>
        <w:t xml:space="preserve">LVC outlined above are expected to be offset by an increase in activity. </w:t>
      </w:r>
    </w:p>
    <w:p w:rsidR="00733911" w:rsidRPr="00DF2E4D" w:rsidRDefault="00733911" w:rsidP="000619AC">
      <w:pPr>
        <w:pStyle w:val="BodyText"/>
        <w:rPr>
          <w:lang w:eastAsia="en-US"/>
        </w:rPr>
      </w:pPr>
      <w:r w:rsidRPr="00733911">
        <w:rPr>
          <w:lang w:eastAsia="en-US"/>
        </w:rPr>
        <w:t>On average, general rates on existing residential and commercial prope</w:t>
      </w:r>
      <w:r w:rsidR="003C27D3">
        <w:rPr>
          <w:lang w:eastAsia="en-US"/>
        </w:rPr>
        <w:t xml:space="preserve">rties will increase by around </w:t>
      </w:r>
      <w:r w:rsidRPr="00733911">
        <w:rPr>
          <w:lang w:eastAsia="en-US"/>
        </w:rPr>
        <w:t>10 per cent in 2014-15, which is expected to help boost revenue overall by 12.6 per cent</w:t>
      </w:r>
      <w:r w:rsidR="00895BE1">
        <w:rPr>
          <w:lang w:eastAsia="en-US"/>
        </w:rPr>
        <w:t xml:space="preserve"> (this will include increased revenue from new properties)</w:t>
      </w:r>
      <w:r w:rsidRPr="00733911">
        <w:rPr>
          <w:lang w:eastAsia="en-US"/>
        </w:rPr>
        <w:t>.</w:t>
      </w:r>
    </w:p>
    <w:p w:rsidR="002F616F" w:rsidRPr="005B3F80" w:rsidRDefault="002F616F" w:rsidP="005B214B">
      <w:pPr>
        <w:pStyle w:val="Heading3"/>
        <w:spacing w:before="300"/>
      </w:pPr>
      <w:r>
        <w:t xml:space="preserve">An assessment of tax initiatives </w:t>
      </w:r>
    </w:p>
    <w:p w:rsidR="002F616F" w:rsidRDefault="002F616F" w:rsidP="002F616F">
      <w:pPr>
        <w:pStyle w:val="ListBullet"/>
        <w:numPr>
          <w:ilvl w:val="0"/>
          <w:numId w:val="0"/>
        </w:numPr>
        <w:spacing w:before="140"/>
      </w:pPr>
      <w:r>
        <w:t>Tax changes are generally assessed against four criteria:</w:t>
      </w:r>
    </w:p>
    <w:p w:rsidR="002F616F" w:rsidRDefault="00FF4E54" w:rsidP="00284F89">
      <w:pPr>
        <w:pStyle w:val="ListBullet"/>
        <w:numPr>
          <w:ilvl w:val="0"/>
          <w:numId w:val="4"/>
        </w:numPr>
      </w:pPr>
      <w:proofErr w:type="gramStart"/>
      <w:r>
        <w:t>e</w:t>
      </w:r>
      <w:r w:rsidR="002F616F">
        <w:t>quity</w:t>
      </w:r>
      <w:proofErr w:type="gramEnd"/>
      <w:r>
        <w:t xml:space="preserve"> </w:t>
      </w:r>
      <w:r w:rsidR="005B214B">
        <w:t>—</w:t>
      </w:r>
      <w:r>
        <w:t xml:space="preserve"> are they fair?</w:t>
      </w:r>
    </w:p>
    <w:p w:rsidR="002F616F" w:rsidRDefault="00FF4E54" w:rsidP="00284F89">
      <w:pPr>
        <w:pStyle w:val="ListBullet"/>
        <w:numPr>
          <w:ilvl w:val="0"/>
          <w:numId w:val="4"/>
        </w:numPr>
      </w:pPr>
      <w:proofErr w:type="gramStart"/>
      <w:r>
        <w:t>e</w:t>
      </w:r>
      <w:r w:rsidR="002F616F">
        <w:t>fficiency</w:t>
      </w:r>
      <w:proofErr w:type="gramEnd"/>
      <w:r>
        <w:t xml:space="preserve"> </w:t>
      </w:r>
      <w:r w:rsidR="005B214B">
        <w:t>—</w:t>
      </w:r>
      <w:r>
        <w:t xml:space="preserve"> do they distort economic activity?</w:t>
      </w:r>
    </w:p>
    <w:p w:rsidR="002F616F" w:rsidRDefault="002F616F" w:rsidP="00284F89">
      <w:pPr>
        <w:pStyle w:val="ListBullet"/>
        <w:numPr>
          <w:ilvl w:val="0"/>
          <w:numId w:val="4"/>
        </w:numPr>
      </w:pPr>
      <w:proofErr w:type="gramStart"/>
      <w:r>
        <w:t>stability</w:t>
      </w:r>
      <w:proofErr w:type="gramEnd"/>
      <w:r>
        <w:t xml:space="preserve"> </w:t>
      </w:r>
      <w:r w:rsidR="005B214B">
        <w:t>—</w:t>
      </w:r>
      <w:r w:rsidR="00FF4E54">
        <w:t xml:space="preserve"> is the revenue stable over time?</w:t>
      </w:r>
    </w:p>
    <w:p w:rsidR="002F616F" w:rsidRDefault="002F616F" w:rsidP="00284F89">
      <w:pPr>
        <w:pStyle w:val="ListBullet"/>
        <w:numPr>
          <w:ilvl w:val="0"/>
          <w:numId w:val="4"/>
        </w:numPr>
      </w:pPr>
      <w:proofErr w:type="gramStart"/>
      <w:r>
        <w:t>adminis</w:t>
      </w:r>
      <w:r w:rsidR="00FF4E54">
        <w:t>trative</w:t>
      </w:r>
      <w:proofErr w:type="gramEnd"/>
      <w:r w:rsidR="00FF4E54">
        <w:t xml:space="preserve"> costs </w:t>
      </w:r>
      <w:r w:rsidR="005B214B">
        <w:t>—</w:t>
      </w:r>
      <w:r w:rsidR="00FF4E54">
        <w:t xml:space="preserve"> it is costly to administer and collect?</w:t>
      </w:r>
    </w:p>
    <w:p w:rsidR="005B214B" w:rsidRDefault="002F616F" w:rsidP="007B74B3">
      <w:pPr>
        <w:pStyle w:val="ListBullet"/>
        <w:numPr>
          <w:ilvl w:val="0"/>
          <w:numId w:val="0"/>
        </w:numPr>
        <w:spacing w:before="140"/>
      </w:pPr>
      <w:r>
        <w:t xml:space="preserve">The revenue initiatives in the 2014-15 </w:t>
      </w:r>
      <w:r w:rsidR="00956657">
        <w:t>Budget</w:t>
      </w:r>
      <w:r>
        <w:t xml:space="preserve"> are generally efficient and contribute to greater stability in the sense that they do not focus on transactions or insurance. In addition, a number of the initiatives including payroll harmonisation are broadly in line with the recommendations of t</w:t>
      </w:r>
      <w:r w:rsidR="008B3E96">
        <w:t>he 2012 Quinlan Review (see the box</w:t>
      </w:r>
      <w:r w:rsidR="00087E02">
        <w:t xml:space="preserve"> </w:t>
      </w:r>
      <w:fldSimple w:instr=" REF _Caption8887 ">
        <w:r w:rsidR="00D733F1">
          <w:rPr>
            <w:noProof/>
          </w:rPr>
          <w:t>18</w:t>
        </w:r>
      </w:fldSimple>
      <w:r w:rsidR="007B74B3">
        <w:t xml:space="preserve"> </w:t>
      </w:r>
      <w:r w:rsidR="00087E02">
        <w:t>below</w:t>
      </w:r>
      <w:r>
        <w:t xml:space="preserve">). </w:t>
      </w:r>
    </w:p>
    <w:p w:rsidR="007B74B3" w:rsidRDefault="007B74B3" w:rsidP="007B74B3">
      <w:pPr>
        <w:pStyle w:val="Invisiblepara"/>
      </w:pPr>
    </w:p>
    <w:tbl>
      <w:tblPr>
        <w:tblW w:w="7938" w:type="dxa"/>
        <w:tblInd w:w="142" w:type="dxa"/>
        <w:tblBorders>
          <w:top w:val="single" w:sz="2" w:space="0" w:color="auto"/>
          <w:left w:val="single" w:sz="2" w:space="0" w:color="auto"/>
          <w:bottom w:val="single" w:sz="2" w:space="0" w:color="auto"/>
          <w:right w:val="single" w:sz="2" w:space="0" w:color="auto"/>
        </w:tblBorders>
        <w:tblLayout w:type="fixed"/>
        <w:tblCellMar>
          <w:left w:w="142" w:type="dxa"/>
          <w:right w:w="142" w:type="dxa"/>
        </w:tblCellMar>
        <w:tblLook w:val="0000"/>
      </w:tblPr>
      <w:tblGrid>
        <w:gridCol w:w="7938"/>
      </w:tblGrid>
      <w:tr w:rsidR="007B74B3" w:rsidRPr="00E05C8C" w:rsidTr="00D733F1">
        <w:trPr>
          <w:cantSplit/>
        </w:trPr>
        <w:tc>
          <w:tcPr>
            <w:tcW w:w="7938" w:type="dxa"/>
            <w:tcBorders>
              <w:top w:val="nil"/>
              <w:left w:val="nil"/>
              <w:bottom w:val="nil"/>
              <w:right w:val="nil"/>
            </w:tcBorders>
            <w:shd w:val="clear" w:color="auto" w:fill="C6BFAB" w:themeFill="accent3"/>
          </w:tcPr>
          <w:p w:rsidR="007B74B3" w:rsidRPr="00E05C8C" w:rsidRDefault="00B40B86" w:rsidP="00284F89">
            <w:pPr>
              <w:pStyle w:val="Caption"/>
              <w:numPr>
                <w:ilvl w:val="0"/>
                <w:numId w:val="3"/>
              </w:numPr>
              <w:spacing w:before="120" w:after="100"/>
            </w:pPr>
            <w:r w:rsidRPr="00E05C8C">
              <w:fldChar w:fldCharType="begin"/>
            </w:r>
            <w:r w:rsidR="007B74B3" w:rsidRPr="00E05C8C">
              <w:instrText xml:space="preserve"> IF 1 = 1 "</w:instrText>
            </w:r>
            <w:r w:rsidRPr="00E05C8C">
              <w:fldChar w:fldCharType="begin"/>
            </w:r>
            <w:r w:rsidR="007B74B3" w:rsidRPr="00E05C8C">
              <w:instrText xml:space="preserve"> IF </w:instrText>
            </w:r>
            <w:fldSimple w:instr=" STYLEREF &quot;Heading 6&quot; \l \n ">
              <w:r w:rsidR="00D733F1">
                <w:rPr>
                  <w:noProof/>
                </w:rPr>
                <w:instrText>0</w:instrText>
              </w:r>
            </w:fldSimple>
            <w:r w:rsidR="007B74B3" w:rsidRPr="00E05C8C">
              <w:instrText xml:space="preserve"> = 0 "</w:instrText>
            </w:r>
            <w:r w:rsidRPr="00E05C8C">
              <w:fldChar w:fldCharType="begin"/>
            </w:r>
            <w:r w:rsidR="007B74B3" w:rsidRPr="00E05C8C">
              <w:instrText xml:space="preserve"> IF </w:instrText>
            </w:r>
            <w:fldSimple w:instr=" STYLEREF &quot;Heading 1&quot; \l \n ">
              <w:r w:rsidR="00D733F1">
                <w:rPr>
                  <w:noProof/>
                </w:rPr>
                <w:instrText>0</w:instrText>
              </w:r>
            </w:fldSimple>
            <w:r w:rsidR="007B74B3" w:rsidRPr="00E05C8C">
              <w:instrText xml:space="preserve"> = 0 "" "</w:instrText>
            </w:r>
            <w:r w:rsidRPr="00E05C8C">
              <w:fldChar w:fldCharType="begin"/>
            </w:r>
            <w:r w:rsidR="007B74B3" w:rsidRPr="00E05C8C">
              <w:instrText xml:space="preserve"> STYLEREF "Heading 1" \l \n </w:instrText>
            </w:r>
            <w:r w:rsidRPr="00E05C8C">
              <w:fldChar w:fldCharType="separate"/>
            </w:r>
            <w:r w:rsidR="007B74B3">
              <w:rPr>
                <w:b/>
                <w:bCs/>
                <w:noProof/>
                <w:lang w:val="en-US"/>
              </w:rPr>
              <w:instrText>Error! No text of specified style in document.</w:instrText>
            </w:r>
            <w:r w:rsidRPr="00E05C8C">
              <w:fldChar w:fldCharType="end"/>
            </w:r>
            <w:r w:rsidR="007B74B3" w:rsidRPr="00E05C8C">
              <w:instrText xml:space="preserve">." </w:instrText>
            </w:r>
            <w:r w:rsidRPr="00E05C8C">
              <w:fldChar w:fldCharType="end"/>
            </w:r>
            <w:r w:rsidR="007B74B3" w:rsidRPr="00E05C8C">
              <w:instrText>" "</w:instrText>
            </w:r>
            <w:fldSimple w:instr=" STYLEREF &quot;Heading 6&quot; \l \n ">
              <w:r w:rsidR="007B74B3" w:rsidRPr="00E05C8C">
                <w:instrText>B</w:instrText>
              </w:r>
            </w:fldSimple>
            <w:r w:rsidR="007B74B3" w:rsidRPr="00E05C8C">
              <w:instrText xml:space="preserve">." </w:instrText>
            </w:r>
            <w:r w:rsidRPr="00E05C8C">
              <w:fldChar w:fldCharType="end"/>
            </w:r>
            <w:r w:rsidRPr="00E05C8C">
              <w:fldChar w:fldCharType="begin"/>
            </w:r>
            <w:r w:rsidR="007B74B3" w:rsidRPr="00E05C8C">
              <w:instrText xml:space="preserve"> SEQ Item \* ARABIC \s </w:instrText>
            </w:r>
            <w:r w:rsidRPr="00E05C8C">
              <w:fldChar w:fldCharType="begin"/>
            </w:r>
            <w:r w:rsidR="007B74B3" w:rsidRPr="00E05C8C">
              <w:instrText xml:space="preserve"> IF </w:instrText>
            </w:r>
            <w:fldSimple w:instr=" STYLEREF &quot;Heading 6&quot; \l \n ">
              <w:r w:rsidR="00D733F1">
                <w:rPr>
                  <w:noProof/>
                </w:rPr>
                <w:instrText>0</w:instrText>
              </w:r>
            </w:fldSimple>
            <w:r w:rsidR="007B74B3" w:rsidRPr="00E05C8C">
              <w:instrText xml:space="preserve"> = 0 "</w:instrText>
            </w:r>
            <w:r w:rsidRPr="00E05C8C">
              <w:fldChar w:fldCharType="begin"/>
            </w:r>
            <w:r w:rsidR="007B74B3" w:rsidRPr="00E05C8C">
              <w:instrText xml:space="preserve"> IF </w:instrText>
            </w:r>
            <w:fldSimple w:instr=" STYLEREF &quot;Heading 1&quot; \l \n ">
              <w:r w:rsidR="00D733F1">
                <w:rPr>
                  <w:noProof/>
                </w:rPr>
                <w:instrText>0</w:instrText>
              </w:r>
            </w:fldSimple>
            <w:r w:rsidR="007B74B3" w:rsidRPr="00E05C8C">
              <w:instrText xml:space="preserve"> = 0 "" "1" </w:instrText>
            </w:r>
            <w:r w:rsidRPr="00E05C8C">
              <w:fldChar w:fldCharType="end"/>
            </w:r>
            <w:r w:rsidR="007B74B3" w:rsidRPr="00E05C8C">
              <w:instrText xml:space="preserve">" "6" </w:instrText>
            </w:r>
            <w:r w:rsidRPr="00E05C8C">
              <w:fldChar w:fldCharType="end"/>
            </w:r>
            <w:r w:rsidR="007B74B3" w:rsidRPr="00E05C8C">
              <w:instrText xml:space="preserve"> </w:instrText>
            </w:r>
            <w:r w:rsidRPr="00E05C8C">
              <w:fldChar w:fldCharType="separate"/>
            </w:r>
            <w:r w:rsidR="00D733F1">
              <w:rPr>
                <w:noProof/>
              </w:rPr>
              <w:instrText>18</w:instrText>
            </w:r>
            <w:r w:rsidRPr="00E05C8C">
              <w:fldChar w:fldCharType="end"/>
            </w:r>
            <w:r w:rsidR="007B74B3" w:rsidRPr="00E05C8C">
              <w:instrText xml:space="preserve">" "" </w:instrText>
            </w:r>
            <w:r w:rsidRPr="00E05C8C">
              <w:fldChar w:fldCharType="separate"/>
            </w:r>
            <w:bookmarkStart w:id="577" w:name="_Caption4099"/>
            <w:bookmarkStart w:id="578" w:name="_Caption6563"/>
            <w:bookmarkStart w:id="579" w:name="_Caption9903"/>
            <w:bookmarkStart w:id="580" w:name="_Caption9064"/>
            <w:bookmarkStart w:id="581" w:name="_Caption5327"/>
            <w:bookmarkStart w:id="582" w:name="_Caption7503"/>
            <w:bookmarkStart w:id="583" w:name="_Caption4925"/>
            <w:bookmarkStart w:id="584" w:name="_Caption5368"/>
            <w:bookmarkStart w:id="585" w:name="_Caption5993"/>
            <w:bookmarkStart w:id="586" w:name="_Caption9278"/>
            <w:bookmarkStart w:id="587" w:name="_Caption8662"/>
            <w:bookmarkStart w:id="588" w:name="_Caption0346"/>
            <w:bookmarkStart w:id="589" w:name="_Caption2111"/>
            <w:bookmarkStart w:id="590" w:name="_Caption1547"/>
            <w:bookmarkStart w:id="591" w:name="_Caption6384"/>
            <w:bookmarkStart w:id="592" w:name="_Caption4459"/>
            <w:bookmarkStart w:id="593" w:name="_Caption2328"/>
            <w:bookmarkStart w:id="594" w:name="_Caption5268"/>
            <w:bookmarkStart w:id="595" w:name="_Caption1283"/>
            <w:bookmarkStart w:id="596" w:name="_Caption7340"/>
            <w:bookmarkStart w:id="597" w:name="_Caption4623"/>
            <w:bookmarkStart w:id="598" w:name="_Caption0609"/>
            <w:bookmarkStart w:id="599" w:name="_Caption8619"/>
            <w:bookmarkStart w:id="600" w:name="_Caption1125"/>
            <w:bookmarkStart w:id="601" w:name="_Caption0121"/>
            <w:bookmarkStart w:id="602" w:name="_Caption6346"/>
            <w:bookmarkStart w:id="603" w:name="_Caption6730"/>
            <w:bookmarkStart w:id="604" w:name="_Caption0168"/>
            <w:bookmarkStart w:id="605" w:name="_Caption7360"/>
            <w:bookmarkStart w:id="606" w:name="_Caption6220"/>
            <w:bookmarkStart w:id="607" w:name="_Caption8887"/>
            <w:bookmarkStart w:id="608" w:name="_Toc390427341"/>
            <w:r w:rsidR="00D733F1">
              <w:rPr>
                <w:noProof/>
              </w:rPr>
              <w:t>18</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sidRPr="00E05C8C">
              <w:fldChar w:fldCharType="end"/>
            </w:r>
            <w:r w:rsidR="007B74B3" w:rsidRPr="00E05C8C">
              <w:tab/>
            </w:r>
            <w:r w:rsidR="007B74B3">
              <w:t>Key recommendations from the Quinlan Review</w:t>
            </w:r>
            <w:bookmarkEnd w:id="608"/>
          </w:p>
        </w:tc>
      </w:tr>
      <w:tr w:rsidR="007B74B3" w:rsidTr="007B74B3">
        <w:tblPrEx>
          <w:tblBorders>
            <w:top w:val="none" w:sz="0" w:space="0" w:color="auto"/>
            <w:left w:val="none" w:sz="0" w:space="0" w:color="auto"/>
            <w:bottom w:val="none" w:sz="0" w:space="0" w:color="auto"/>
            <w:right w:val="none" w:sz="0" w:space="0" w:color="auto"/>
          </w:tblBorders>
          <w:shd w:val="clear" w:color="6F6652" w:fill="F1EFEA"/>
        </w:tblPrEx>
        <w:trPr>
          <w:cantSplit/>
          <w:trHeight w:val="11344"/>
        </w:trPr>
        <w:tc>
          <w:tcPr>
            <w:tcW w:w="7938" w:type="dxa"/>
            <w:shd w:val="clear" w:color="auto" w:fill="E9E8E5" w:themeFill="background2"/>
          </w:tcPr>
          <w:p w:rsidR="007B74B3" w:rsidRPr="004B3736" w:rsidRDefault="007B74B3" w:rsidP="007B74B3">
            <w:pPr>
              <w:pStyle w:val="BodyText"/>
              <w:rPr>
                <w:rFonts w:eastAsiaTheme="minorHAnsi"/>
                <w:lang w:eastAsia="en-US"/>
              </w:rPr>
            </w:pPr>
            <w:r w:rsidRPr="003A3C79">
              <w:rPr>
                <w:rFonts w:eastAsiaTheme="minorHAnsi"/>
                <w:lang w:eastAsia="en-US"/>
              </w:rPr>
              <w:t>With regards to long-term structural reform, over a period of time that is adequate for</w:t>
            </w:r>
            <w:r w:rsidRPr="004B3736">
              <w:rPr>
                <w:rFonts w:eastAsiaTheme="minorHAnsi"/>
              </w:rPr>
              <w:t xml:space="preserve"> appropriate transition:</w:t>
            </w:r>
          </w:p>
          <w:p w:rsidR="007B74B3" w:rsidRPr="004B3736" w:rsidRDefault="007B74B3" w:rsidP="00D733F1">
            <w:pPr>
              <w:pStyle w:val="ListBullet2"/>
            </w:pPr>
            <w:r w:rsidRPr="004B3736">
              <w:t>abolish duty on conveyances</w:t>
            </w:r>
            <w:r>
              <w:t xml:space="preserve"> and </w:t>
            </w:r>
            <w:r w:rsidRPr="007B74B3">
              <w:rPr>
                <w:rFonts w:eastAsiaTheme="minorHAnsi"/>
              </w:rPr>
              <w:t>retain a form of tax on payroll to maintain a diversified tax system</w:t>
            </w:r>
          </w:p>
          <w:p w:rsidR="007B74B3" w:rsidRPr="004B3736" w:rsidRDefault="007B74B3" w:rsidP="00D733F1">
            <w:pPr>
              <w:pStyle w:val="ListBullet2"/>
            </w:pPr>
            <w:r w:rsidRPr="004B3736">
              <w:rPr>
                <w:rFonts w:eastAsiaTheme="minorHAnsi"/>
              </w:rPr>
              <w:t>abolish duty on general insurance and life insurance</w:t>
            </w:r>
          </w:p>
          <w:p w:rsidR="007B74B3" w:rsidRPr="004B3736" w:rsidRDefault="007B74B3" w:rsidP="00D733F1">
            <w:pPr>
              <w:pStyle w:val="ListBullet2"/>
            </w:pPr>
            <w:proofErr w:type="gramStart"/>
            <w:r w:rsidRPr="004B3736">
              <w:rPr>
                <w:rFonts w:eastAsiaTheme="minorHAnsi"/>
              </w:rPr>
              <w:t>adopt</w:t>
            </w:r>
            <w:proofErr w:type="gramEnd"/>
            <w:r w:rsidRPr="004B3736">
              <w:rPr>
                <w:rFonts w:eastAsiaTheme="minorHAnsi"/>
              </w:rPr>
              <w:t xml:space="preserve"> a broad-based land tax as a base for revenue replacement.</w:t>
            </w:r>
          </w:p>
          <w:p w:rsidR="007B74B3" w:rsidRPr="00C9370D" w:rsidRDefault="007B74B3" w:rsidP="00D733F1">
            <w:pPr>
              <w:pStyle w:val="ListBullet"/>
              <w:rPr>
                <w:rFonts w:eastAsiaTheme="minorHAnsi"/>
              </w:rPr>
            </w:pPr>
            <w:r w:rsidRPr="00C9370D">
              <w:rPr>
                <w:rFonts w:eastAsiaTheme="minorHAnsi"/>
              </w:rPr>
              <w:t xml:space="preserve">Duty on motor vehicle transfers </w:t>
            </w:r>
            <w:proofErr w:type="gramStart"/>
            <w:r w:rsidRPr="00C9370D">
              <w:rPr>
                <w:rFonts w:eastAsiaTheme="minorHAnsi"/>
              </w:rPr>
              <w:t>should be continued</w:t>
            </w:r>
            <w:proofErr w:type="gramEnd"/>
            <w:r w:rsidRPr="00C9370D">
              <w:rPr>
                <w:rFonts w:eastAsiaTheme="minorHAnsi"/>
              </w:rPr>
              <w:t>. A road user charge system would be best progressed through a national agreement between all the States and Territories.</w:t>
            </w:r>
          </w:p>
          <w:p w:rsidR="007B74B3" w:rsidRPr="00C9370D" w:rsidRDefault="007B74B3" w:rsidP="00D733F1">
            <w:pPr>
              <w:pStyle w:val="ListBullet"/>
              <w:rPr>
                <w:rFonts w:eastAsiaTheme="minorHAnsi"/>
              </w:rPr>
            </w:pPr>
            <w:r w:rsidRPr="00C9370D">
              <w:rPr>
                <w:rFonts w:eastAsiaTheme="minorHAnsi"/>
              </w:rPr>
              <w:t>Pursue the introduction of parking fees in the Parliamentary Triangle.</w:t>
            </w:r>
          </w:p>
          <w:p w:rsidR="007B74B3" w:rsidRPr="00C9370D" w:rsidRDefault="007B74B3" w:rsidP="00D733F1">
            <w:pPr>
              <w:pStyle w:val="ListBullet"/>
              <w:rPr>
                <w:rFonts w:eastAsiaTheme="minorHAnsi"/>
              </w:rPr>
            </w:pPr>
            <w:r w:rsidRPr="00C9370D">
              <w:rPr>
                <w:rFonts w:eastAsiaTheme="minorHAnsi"/>
              </w:rPr>
              <w:t>Abolish conveyance duty. In doing so:</w:t>
            </w:r>
          </w:p>
          <w:p w:rsidR="007B74B3" w:rsidRPr="004B3736" w:rsidRDefault="007B74B3" w:rsidP="00D733F1">
            <w:pPr>
              <w:pStyle w:val="ListBullet2"/>
              <w:ind w:left="568" w:hanging="284"/>
            </w:pPr>
            <w:r w:rsidRPr="004B3736">
              <w:t>pursue at least a 10 year, and up to a 20 year, transition plan to ameliorate the impact of the change on households</w:t>
            </w:r>
          </w:p>
          <w:p w:rsidR="007B74B3" w:rsidRPr="004B3736" w:rsidRDefault="007B74B3" w:rsidP="00D733F1">
            <w:pPr>
              <w:pStyle w:val="ListBullet2"/>
              <w:ind w:left="568" w:hanging="284"/>
            </w:pPr>
            <w:r w:rsidRPr="004B3736">
              <w:t>have due regard for conveyance duty paid in the years leading up to the change</w:t>
            </w:r>
          </w:p>
          <w:p w:rsidR="007B74B3" w:rsidRPr="004B3736" w:rsidRDefault="007B74B3" w:rsidP="00D733F1">
            <w:pPr>
              <w:pStyle w:val="ListBullet2"/>
              <w:ind w:left="568" w:hanging="284"/>
            </w:pPr>
            <w:r w:rsidRPr="004B3736">
              <w:t>recognise the significance of the change and consult with the community on the</w:t>
            </w:r>
          </w:p>
          <w:p w:rsidR="007B74B3" w:rsidRPr="00C9370D" w:rsidRDefault="007B74B3" w:rsidP="00D733F1">
            <w:pPr>
              <w:pStyle w:val="ListBullet2"/>
              <w:ind w:left="568" w:hanging="284"/>
              <w:rPr>
                <w:rFonts w:eastAsiaTheme="minorHAnsi"/>
                <w:lang w:eastAsia="en-US"/>
              </w:rPr>
            </w:pPr>
            <w:proofErr w:type="gramStart"/>
            <w:r w:rsidRPr="004B3736">
              <w:t>transition</w:t>
            </w:r>
            <w:proofErr w:type="gramEnd"/>
            <w:r w:rsidRPr="004B3736">
              <w:t xml:space="preserve"> plan.</w:t>
            </w:r>
          </w:p>
          <w:p w:rsidR="007B74B3" w:rsidRDefault="007B74B3" w:rsidP="00D733F1">
            <w:pPr>
              <w:pStyle w:val="ListBullet"/>
              <w:rPr>
                <w:rFonts w:eastAsiaTheme="minorHAnsi"/>
              </w:rPr>
            </w:pPr>
            <w:r w:rsidRPr="00C9370D">
              <w:rPr>
                <w:rFonts w:eastAsiaTheme="minorHAnsi"/>
              </w:rPr>
              <w:t xml:space="preserve">Address the impacts on </w:t>
            </w:r>
            <w:proofErr w:type="gramStart"/>
            <w:r w:rsidRPr="00C9370D">
              <w:rPr>
                <w:rFonts w:eastAsiaTheme="minorHAnsi"/>
              </w:rPr>
              <w:t>low income</w:t>
            </w:r>
            <w:proofErr w:type="gramEnd"/>
            <w:r w:rsidRPr="00C9370D">
              <w:rPr>
                <w:rFonts w:eastAsiaTheme="minorHAnsi"/>
              </w:rPr>
              <w:t xml:space="preserve"> households from the substitution of the tax through the concessions system, with a possible expansio</w:t>
            </w:r>
            <w:r>
              <w:rPr>
                <w:rFonts w:eastAsiaTheme="minorHAnsi"/>
              </w:rPr>
              <w:t>n of the current rebate scheme.</w:t>
            </w:r>
          </w:p>
          <w:p w:rsidR="007B74B3" w:rsidRPr="004B3736" w:rsidRDefault="007B74B3" w:rsidP="00D733F1">
            <w:pPr>
              <w:pStyle w:val="ListBullet"/>
              <w:rPr>
                <w:rFonts w:eastAsiaTheme="minorHAnsi"/>
              </w:rPr>
            </w:pPr>
            <w:r w:rsidRPr="004B3736">
              <w:rPr>
                <w:rFonts w:eastAsiaTheme="minorHAnsi"/>
              </w:rPr>
              <w:t xml:space="preserve">Expand the Home Buyer Concession Scheme by </w:t>
            </w:r>
            <w:r w:rsidRPr="004B3736">
              <w:t>progressively reducing the Continue a Pensioner Duty Concession Scheme over the transition period, and adjust the property value thresholds to support ageing in place and access to housing choices within an area.</w:t>
            </w:r>
          </w:p>
          <w:p w:rsidR="007B74B3" w:rsidRDefault="007B74B3" w:rsidP="00D733F1">
            <w:pPr>
              <w:pStyle w:val="ListBullet"/>
              <w:rPr>
                <w:rFonts w:eastAsiaTheme="minorHAnsi"/>
                <w:lang w:eastAsia="en-US"/>
              </w:rPr>
            </w:pPr>
            <w:r w:rsidRPr="003A3C79">
              <w:rPr>
                <w:rFonts w:eastAsiaTheme="minorHAnsi"/>
                <w:lang w:eastAsia="en-US"/>
              </w:rPr>
              <w:t>Extend the eligibility criteria for the duty deferral scheme and provide an option to amortise</w:t>
            </w:r>
            <w:r w:rsidRPr="007417FC">
              <w:rPr>
                <w:rFonts w:eastAsiaTheme="minorHAnsi"/>
                <w:lang w:eastAsia="en-US"/>
              </w:rPr>
              <w:t xml:space="preserve"> </w:t>
            </w:r>
            <w:r w:rsidRPr="003A3C79">
              <w:rPr>
                <w:rFonts w:eastAsiaTheme="minorHAnsi"/>
                <w:lang w:eastAsia="en-US"/>
              </w:rPr>
              <w:t>duty over a period of ten years.</w:t>
            </w:r>
          </w:p>
          <w:p w:rsidR="007B74B3" w:rsidRPr="00A92E3C" w:rsidRDefault="007B74B3" w:rsidP="00D733F1">
            <w:pPr>
              <w:pStyle w:val="ListBullet"/>
              <w:rPr>
                <w:rFonts w:eastAsiaTheme="minorHAnsi"/>
                <w:lang w:eastAsia="en-US"/>
              </w:rPr>
            </w:pPr>
            <w:r w:rsidRPr="003A3C79">
              <w:rPr>
                <w:rFonts w:eastAsiaTheme="minorHAnsi"/>
                <w:lang w:eastAsia="en-US"/>
              </w:rPr>
              <w:t>Support ageing in place through expanding the duty deferral scheme and deferral of rates,</w:t>
            </w:r>
            <w:r w:rsidRPr="00A92E3C">
              <w:rPr>
                <w:rFonts w:eastAsiaTheme="minorHAnsi"/>
                <w:lang w:eastAsia="en-US"/>
              </w:rPr>
              <w:t xml:space="preserve"> </w:t>
            </w:r>
            <w:r w:rsidRPr="003A3C79">
              <w:rPr>
                <w:rFonts w:eastAsiaTheme="minorHAnsi"/>
                <w:lang w:eastAsia="en-US"/>
              </w:rPr>
              <w:t>with outstanding tax liabilities recovered at the time of sale.</w:t>
            </w:r>
          </w:p>
          <w:p w:rsidR="007B74B3" w:rsidRDefault="007B74B3" w:rsidP="00D733F1">
            <w:pPr>
              <w:pStyle w:val="ListBullet"/>
              <w:rPr>
                <w:rFonts w:eastAsiaTheme="minorHAnsi"/>
                <w:lang w:eastAsia="en-US"/>
              </w:rPr>
            </w:pPr>
            <w:r w:rsidRPr="003A3C79">
              <w:rPr>
                <w:rFonts w:eastAsiaTheme="minorHAnsi"/>
                <w:lang w:eastAsia="en-US"/>
              </w:rPr>
              <w:t>Work towards national harmonisation of the payroll tax system.</w:t>
            </w:r>
          </w:p>
          <w:p w:rsidR="007B74B3" w:rsidRDefault="007B74B3" w:rsidP="00D733F1">
            <w:pPr>
              <w:pStyle w:val="ListBullet"/>
              <w:rPr>
                <w:rFonts w:eastAsiaTheme="minorHAnsi"/>
                <w:lang w:eastAsia="en-US"/>
              </w:rPr>
            </w:pPr>
            <w:r w:rsidRPr="003A3C79">
              <w:rPr>
                <w:rFonts w:eastAsiaTheme="minorHAnsi"/>
                <w:lang w:eastAsia="en-US"/>
              </w:rPr>
              <w:t>Over time, abolish residential land tax in its current form.</w:t>
            </w:r>
          </w:p>
          <w:p w:rsidR="007B74B3" w:rsidRDefault="007B74B3" w:rsidP="00D733F1">
            <w:pPr>
              <w:pStyle w:val="ListBullet"/>
              <w:rPr>
                <w:rFonts w:eastAsiaTheme="minorHAnsi"/>
                <w:lang w:eastAsia="en-US"/>
              </w:rPr>
            </w:pPr>
            <w:r w:rsidRPr="003A3C79">
              <w:rPr>
                <w:rFonts w:eastAsiaTheme="minorHAnsi"/>
                <w:lang w:eastAsia="en-US"/>
              </w:rPr>
              <w:t>Transfer the commercial component of land tax to general rates on commercial properties.</w:t>
            </w:r>
          </w:p>
          <w:p w:rsidR="007B74B3" w:rsidRDefault="007B74B3" w:rsidP="00D733F1">
            <w:pPr>
              <w:pStyle w:val="ListBullet"/>
              <w:rPr>
                <w:rFonts w:eastAsiaTheme="minorHAnsi"/>
                <w:lang w:eastAsia="en-US"/>
              </w:rPr>
            </w:pPr>
            <w:r w:rsidRPr="003A3C79">
              <w:rPr>
                <w:rFonts w:eastAsiaTheme="minorHAnsi"/>
                <w:lang w:eastAsia="en-US"/>
              </w:rPr>
              <w:t>Abolish duty charged on general insurance and life insurance premiums, with the general</w:t>
            </w:r>
            <w:r w:rsidRPr="00A92E3C">
              <w:rPr>
                <w:rFonts w:eastAsiaTheme="minorHAnsi"/>
                <w:lang w:eastAsia="en-US"/>
              </w:rPr>
              <w:t xml:space="preserve"> </w:t>
            </w:r>
            <w:r w:rsidRPr="003A3C79">
              <w:rPr>
                <w:rFonts w:eastAsiaTheme="minorHAnsi"/>
                <w:lang w:eastAsia="en-US"/>
              </w:rPr>
              <w:t>rates as the revenue replacement source.</w:t>
            </w:r>
          </w:p>
          <w:p w:rsidR="007B74B3" w:rsidRDefault="007B74B3" w:rsidP="00D733F1">
            <w:pPr>
              <w:pStyle w:val="ListBullet"/>
              <w:rPr>
                <w:rFonts w:eastAsiaTheme="minorHAnsi"/>
                <w:lang w:eastAsia="en-US"/>
              </w:rPr>
            </w:pPr>
            <w:proofErr w:type="gramStart"/>
            <w:r w:rsidRPr="003A3C79">
              <w:rPr>
                <w:rFonts w:eastAsiaTheme="minorHAnsi"/>
                <w:lang w:eastAsia="en-US"/>
              </w:rPr>
              <w:t>Retain the Ambulance Levy, however</w:t>
            </w:r>
            <w:proofErr w:type="gramEnd"/>
            <w:r w:rsidRPr="003A3C79">
              <w:rPr>
                <w:rFonts w:eastAsiaTheme="minorHAnsi"/>
                <w:lang w:eastAsia="en-US"/>
              </w:rPr>
              <w:t xml:space="preserve">, </w:t>
            </w:r>
            <w:proofErr w:type="gramStart"/>
            <w:r w:rsidRPr="003A3C79">
              <w:rPr>
                <w:rFonts w:eastAsiaTheme="minorHAnsi"/>
                <w:lang w:eastAsia="en-US"/>
              </w:rPr>
              <w:t>review its administration</w:t>
            </w:r>
            <w:proofErr w:type="gramEnd"/>
            <w:r w:rsidRPr="003A3C79">
              <w:rPr>
                <w:rFonts w:eastAsiaTheme="minorHAnsi"/>
                <w:lang w:eastAsia="en-US"/>
              </w:rPr>
              <w:t>.</w:t>
            </w:r>
          </w:p>
          <w:p w:rsidR="007B74B3" w:rsidRPr="00BF2F67" w:rsidRDefault="007B74B3" w:rsidP="00D733F1">
            <w:pPr>
              <w:pStyle w:val="BodyText"/>
            </w:pPr>
            <w:r w:rsidRPr="003A3C79">
              <w:rPr>
                <w:rFonts w:eastAsiaTheme="minorHAnsi"/>
              </w:rPr>
              <w:t>Consider increasing gambling machine taxes, having regard to the impacts of the prospective reform at the national level, and the contribution clubs make to the community.</w:t>
            </w:r>
          </w:p>
        </w:tc>
      </w:tr>
      <w:tr w:rsidR="007B74B3" w:rsidTr="007B74B3">
        <w:tblPrEx>
          <w:tblBorders>
            <w:top w:val="none" w:sz="0" w:space="0" w:color="auto"/>
            <w:left w:val="none" w:sz="0" w:space="0" w:color="auto"/>
            <w:bottom w:val="none" w:sz="0" w:space="0" w:color="auto"/>
            <w:right w:val="none" w:sz="0" w:space="0" w:color="auto"/>
          </w:tblBorders>
          <w:shd w:val="clear" w:color="6F6652" w:fill="F1EFEA"/>
        </w:tblPrEx>
        <w:trPr>
          <w:cantSplit/>
          <w:trHeight w:hRule="exact" w:val="80"/>
        </w:trPr>
        <w:tc>
          <w:tcPr>
            <w:tcW w:w="7938" w:type="dxa"/>
            <w:tcBorders>
              <w:bottom w:val="single" w:sz="6" w:space="0" w:color="9B917E" w:themeColor="accent4"/>
            </w:tcBorders>
            <w:shd w:val="clear" w:color="auto" w:fill="E9E8E5" w:themeFill="background2"/>
          </w:tcPr>
          <w:p w:rsidR="007B74B3" w:rsidRDefault="007B74B3" w:rsidP="00D733F1"/>
        </w:tc>
      </w:tr>
      <w:tr w:rsidR="007B74B3" w:rsidTr="00D733F1">
        <w:tblPrEx>
          <w:tblBorders>
            <w:top w:val="none" w:sz="0" w:space="0" w:color="auto"/>
            <w:left w:val="none" w:sz="0" w:space="0" w:color="auto"/>
            <w:bottom w:val="none" w:sz="0" w:space="0" w:color="auto"/>
            <w:right w:val="none" w:sz="0" w:space="0" w:color="auto"/>
          </w:tblBorders>
          <w:shd w:val="clear" w:color="6F6652" w:fill="F1EFEA"/>
        </w:tblPrEx>
        <w:trPr>
          <w:cantSplit/>
          <w:trHeight w:hRule="exact" w:val="198"/>
        </w:trPr>
        <w:tc>
          <w:tcPr>
            <w:tcW w:w="7938" w:type="dxa"/>
            <w:tcBorders>
              <w:top w:val="single" w:sz="6" w:space="0" w:color="9B917E" w:themeColor="accent4"/>
            </w:tcBorders>
            <w:shd w:val="clear" w:color="6F6652" w:fill="auto"/>
          </w:tcPr>
          <w:p w:rsidR="007B74B3" w:rsidRDefault="007B74B3" w:rsidP="00D733F1"/>
        </w:tc>
      </w:tr>
    </w:tbl>
    <w:p w:rsidR="005B214B" w:rsidRDefault="005B214B" w:rsidP="005B214B">
      <w:pPr>
        <w:pStyle w:val="ListBullet"/>
        <w:numPr>
          <w:ilvl w:val="0"/>
          <w:numId w:val="0"/>
        </w:numPr>
        <w:spacing w:before="140"/>
      </w:pPr>
      <w:r>
        <w:lastRenderedPageBreak/>
        <w:t xml:space="preserve">The revenue projections associated with parking fines and payroll harmonisation are </w:t>
      </w:r>
      <w:proofErr w:type="spellStart"/>
      <w:r>
        <w:t>ley</w:t>
      </w:r>
      <w:proofErr w:type="spellEnd"/>
      <w:r>
        <w:t xml:space="preserve"> sources of uncertainty given the nature of the reform and the assumption that need to </w:t>
      </w:r>
      <w:proofErr w:type="gramStart"/>
      <w:r>
        <w:t>be made</w:t>
      </w:r>
      <w:proofErr w:type="gramEnd"/>
      <w:r>
        <w:t xml:space="preserve"> in order to quantify their impact.</w:t>
      </w:r>
    </w:p>
    <w:p w:rsidR="008B3E96" w:rsidRDefault="008B3E96" w:rsidP="008B3E96">
      <w:pPr>
        <w:pStyle w:val="Heading2"/>
        <w:rPr>
          <w:lang w:eastAsia="en-US"/>
        </w:rPr>
      </w:pPr>
      <w:bookmarkStart w:id="609" w:name="_Toc390427307"/>
      <w:r>
        <w:rPr>
          <w:lang w:eastAsia="en-US"/>
        </w:rPr>
        <w:t>Provisions for asset sales</w:t>
      </w:r>
      <w:bookmarkEnd w:id="609"/>
    </w:p>
    <w:p w:rsidR="008B3E96" w:rsidRDefault="008B3E96" w:rsidP="008B3E96">
      <w:pPr>
        <w:pStyle w:val="BodyText"/>
      </w:pPr>
      <w:r w:rsidRPr="007C44F1">
        <w:t xml:space="preserve">The </w:t>
      </w:r>
      <w:r>
        <w:t>2014-15 Budget</w:t>
      </w:r>
      <w:r w:rsidRPr="007C44F1">
        <w:t xml:space="preserve"> includes a provi</w:t>
      </w:r>
      <w:r>
        <w:t>sion for future revenue</w:t>
      </w:r>
      <w:r w:rsidRPr="007C44F1">
        <w:t xml:space="preserve"> based on the sale of assets as part of the Commonwealth’s Asset Recycling Initiative. </w:t>
      </w:r>
    </w:p>
    <w:p w:rsidR="008B3E96" w:rsidRDefault="008B3E96" w:rsidP="008B3E96">
      <w:pPr>
        <w:pStyle w:val="BodyText"/>
      </w:pPr>
      <w:r w:rsidRPr="007C44F1">
        <w:t xml:space="preserve">The initiative aims to encourage the sale of existing assets to create capacity on the Territory’s balance sheet to invest in productive infrastructure. Under the agreement, the Commonwealth will provide a financial incentive of 15 per cent of the amount of proceeds from asset sales that </w:t>
      </w:r>
      <w:proofErr w:type="gramStart"/>
      <w:r w:rsidRPr="007C44F1">
        <w:t>are invested</w:t>
      </w:r>
      <w:proofErr w:type="gramEnd"/>
      <w:r w:rsidRPr="007C44F1">
        <w:t xml:space="preserve"> into productive infrastructure.</w:t>
      </w:r>
    </w:p>
    <w:p w:rsidR="008B3E96" w:rsidRDefault="008B3E96" w:rsidP="008B3E96">
      <w:pPr>
        <w:pStyle w:val="BodyText"/>
      </w:pPr>
      <w:r w:rsidRPr="007C44F1">
        <w:t xml:space="preserve">Proceeds from asset sales (including gains from land rezoning) </w:t>
      </w:r>
      <w:proofErr w:type="gramStart"/>
      <w:r w:rsidRPr="007C44F1">
        <w:t>are treated</w:t>
      </w:r>
      <w:proofErr w:type="gramEnd"/>
      <w:r w:rsidRPr="007C44F1">
        <w:t xml:space="preserve"> as capital distributions and only profits from development and marketing activities are recognised as dividend revenue.</w:t>
      </w:r>
      <w:r>
        <w:t xml:space="preserve"> </w:t>
      </w:r>
      <w:r w:rsidRPr="007C44F1">
        <w:t xml:space="preserve">The ACT Government will enter negotiations with the Commonwealth Government in 2014-15 to pursue opportunities to participate in the Asset Recycling initiative and has made provision in this </w:t>
      </w:r>
      <w:r>
        <w:t>Budget</w:t>
      </w:r>
      <w:r w:rsidRPr="007C44F1">
        <w:t xml:space="preserve"> for revenue from potential ass</w:t>
      </w:r>
      <w:r>
        <w:t xml:space="preserve">et sales over the forward estimates period. </w:t>
      </w:r>
    </w:p>
    <w:p w:rsidR="008B3E96" w:rsidRDefault="008B3E96" w:rsidP="008B3E96">
      <w:pPr>
        <w:pStyle w:val="BodyText"/>
      </w:pPr>
      <w:r>
        <w:t xml:space="preserve">While the revenue </w:t>
      </w:r>
      <w:proofErr w:type="gramStart"/>
      <w:r>
        <w:t>expected to be generated</w:t>
      </w:r>
      <w:proofErr w:type="gramEnd"/>
      <w:r>
        <w:t xml:space="preserve"> from the initiative was not separately identified in the Budget, it appears that the Government has made a provision for close </w:t>
      </w:r>
      <w:r w:rsidR="00C82C2A">
        <w:t>to $20 million (see table</w:t>
      </w:r>
      <w:r w:rsidR="000055D8">
        <w:t xml:space="preserve"> </w:t>
      </w:r>
      <w:fldSimple w:instr=" REF _Caption8338 ">
        <w:r w:rsidR="00D733F1">
          <w:rPr>
            <w:noProof/>
          </w:rPr>
          <w:t>19</w:t>
        </w:r>
      </w:fldSimple>
      <w:r w:rsidR="00C82C2A">
        <w:t>).</w:t>
      </w:r>
    </w:p>
    <w:p w:rsidR="00C82C2A" w:rsidRDefault="00B40B86" w:rsidP="00C82C2A">
      <w:pPr>
        <w:pStyle w:val="Caption"/>
      </w:pPr>
      <w:r w:rsidRPr="00695C93">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fldSimple w:instr=" STYLEREF &quot;Heading 1&quot; \l \n ">
        <w:r w:rsidR="00C82C2A">
          <w:rPr>
            <w:noProof/>
          </w:rPr>
          <w:instrText>2</w:instrText>
        </w:r>
      </w:fldSimple>
      <w:r w:rsidR="00C82C2A" w:rsidRPr="00695C93">
        <w:instrText xml:space="preserve">." </w:instrText>
      </w:r>
      <w:r w:rsidRPr="00695C93">
        <w:fldChar w:fldCharType="end"/>
      </w:r>
      <w:r w:rsidR="00C82C2A" w:rsidRPr="00695C93">
        <w:instrText>" "</w:instrText>
      </w:r>
      <w:fldSimple w:instr=" STYLEREF &quot;Heading 6&quot; \l \n ">
        <w:r w:rsidR="00C82C2A" w:rsidRPr="00695C93">
          <w:instrText>B</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19</w:instrText>
      </w:r>
      <w:r w:rsidRPr="00695C93">
        <w:fldChar w:fldCharType="end"/>
      </w:r>
      <w:r w:rsidR="00C82C2A" w:rsidRPr="00695C93">
        <w:instrText xml:space="preserve">" "" </w:instrText>
      </w:r>
      <w:r w:rsidRPr="00695C93">
        <w:fldChar w:fldCharType="separate"/>
      </w:r>
      <w:bookmarkStart w:id="610" w:name="_Caption3071"/>
      <w:bookmarkStart w:id="611" w:name="_Caption1268"/>
      <w:bookmarkStart w:id="612" w:name="_Caption9468"/>
      <w:bookmarkStart w:id="613" w:name="_Caption1666"/>
      <w:bookmarkStart w:id="614" w:name="_Caption6984"/>
      <w:bookmarkStart w:id="615" w:name="_Caption3384"/>
      <w:bookmarkStart w:id="616" w:name="_Caption2728"/>
      <w:bookmarkStart w:id="617" w:name="_Caption0240"/>
      <w:bookmarkStart w:id="618" w:name="_Caption2613"/>
      <w:bookmarkStart w:id="619" w:name="_Caption4940"/>
      <w:bookmarkStart w:id="620" w:name="_Caption1083"/>
      <w:bookmarkStart w:id="621" w:name="_Caption2813"/>
      <w:bookmarkStart w:id="622" w:name="_Caption4404"/>
      <w:bookmarkStart w:id="623" w:name="_Caption3110"/>
      <w:bookmarkStart w:id="624" w:name="_Caption6852"/>
      <w:bookmarkStart w:id="625" w:name="_Caption9027"/>
      <w:bookmarkStart w:id="626" w:name="_Caption8338"/>
      <w:bookmarkStart w:id="627" w:name="_Caption8290"/>
      <w:bookmarkStart w:id="628" w:name="_Caption9984"/>
      <w:bookmarkStart w:id="629" w:name="_Caption6883"/>
      <w:bookmarkStart w:id="630" w:name="_Caption3685"/>
      <w:bookmarkStart w:id="631" w:name="_Caption6946"/>
      <w:bookmarkStart w:id="632" w:name="_Caption5207"/>
      <w:bookmarkStart w:id="633" w:name="_Caption9643"/>
      <w:bookmarkStart w:id="634" w:name="_Caption2411"/>
      <w:bookmarkStart w:id="635" w:name="_Caption4068"/>
      <w:bookmarkStart w:id="636" w:name="_Caption4949"/>
      <w:bookmarkStart w:id="637" w:name="_Caption6078"/>
      <w:bookmarkStart w:id="638" w:name="_Caption1509"/>
      <w:bookmarkStart w:id="639" w:name="_Caption8248"/>
      <w:bookmarkStart w:id="640" w:name="_Caption6952"/>
      <w:bookmarkStart w:id="641" w:name="_Toc390427342"/>
      <w:r w:rsidR="00D733F1">
        <w:rPr>
          <w:noProof/>
        </w:rPr>
        <w:t>19</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695C93">
        <w:fldChar w:fldCharType="end"/>
      </w:r>
      <w:r w:rsidR="00C82C2A" w:rsidRPr="00695C93">
        <w:tab/>
      </w:r>
      <w:r w:rsidR="00C82C2A">
        <w:t>Provisional income from asset recycling initiative (ARI)</w:t>
      </w:r>
      <w:bookmarkEnd w:id="641"/>
    </w:p>
    <w:tbl>
      <w:tblPr>
        <w:tblW w:w="7938" w:type="dxa"/>
        <w:tblInd w:w="57" w:type="dxa"/>
        <w:tblLayout w:type="fixed"/>
        <w:tblLook w:val="0000"/>
      </w:tblPr>
      <w:tblGrid>
        <w:gridCol w:w="2646"/>
        <w:gridCol w:w="1323"/>
        <w:gridCol w:w="1323"/>
        <w:gridCol w:w="1323"/>
        <w:gridCol w:w="1323"/>
      </w:tblGrid>
      <w:tr w:rsidR="008B3E96" w:rsidTr="00C82C2A">
        <w:tc>
          <w:tcPr>
            <w:tcW w:w="2646" w:type="dxa"/>
            <w:shd w:val="clear" w:color="auto" w:fill="6F6652"/>
            <w:tcMar>
              <w:left w:w="57" w:type="dxa"/>
              <w:right w:w="57" w:type="dxa"/>
            </w:tcMar>
          </w:tcPr>
          <w:p w:rsidR="008B3E96" w:rsidRDefault="008B3E96" w:rsidP="003E774E">
            <w:pPr>
              <w:pStyle w:val="TableDataColumnHeading"/>
              <w:jc w:val="left"/>
            </w:pPr>
          </w:p>
        </w:tc>
        <w:tc>
          <w:tcPr>
            <w:tcW w:w="1323" w:type="dxa"/>
            <w:shd w:val="clear" w:color="auto" w:fill="6F6652"/>
            <w:tcMar>
              <w:left w:w="57" w:type="dxa"/>
              <w:right w:w="57" w:type="dxa"/>
            </w:tcMar>
          </w:tcPr>
          <w:p w:rsidR="008B3E96" w:rsidRDefault="008B3E96" w:rsidP="003E774E">
            <w:pPr>
              <w:pStyle w:val="TableDataColumnHeading"/>
            </w:pPr>
            <w:r>
              <w:t>2014-15</w:t>
            </w:r>
          </w:p>
        </w:tc>
        <w:tc>
          <w:tcPr>
            <w:tcW w:w="1323" w:type="dxa"/>
            <w:shd w:val="clear" w:color="auto" w:fill="6F6652"/>
          </w:tcPr>
          <w:p w:rsidR="008B3E96" w:rsidRDefault="008B3E96" w:rsidP="003E774E">
            <w:pPr>
              <w:pStyle w:val="TableDataColumnHeading"/>
            </w:pPr>
            <w:r>
              <w:t>2015-16</w:t>
            </w:r>
          </w:p>
        </w:tc>
        <w:tc>
          <w:tcPr>
            <w:tcW w:w="1323" w:type="dxa"/>
            <w:shd w:val="clear" w:color="auto" w:fill="6F6652"/>
            <w:tcMar>
              <w:left w:w="57" w:type="dxa"/>
              <w:right w:w="57" w:type="dxa"/>
            </w:tcMar>
          </w:tcPr>
          <w:p w:rsidR="008B3E96" w:rsidRDefault="008B3E96" w:rsidP="003E774E">
            <w:pPr>
              <w:pStyle w:val="TableDataColumnHeading"/>
            </w:pPr>
            <w:r>
              <w:t>2016-17</w:t>
            </w:r>
          </w:p>
        </w:tc>
        <w:tc>
          <w:tcPr>
            <w:tcW w:w="1323" w:type="dxa"/>
            <w:shd w:val="clear" w:color="auto" w:fill="6F6652"/>
          </w:tcPr>
          <w:p w:rsidR="008B3E96" w:rsidRDefault="008B3E96" w:rsidP="003E774E">
            <w:pPr>
              <w:pStyle w:val="TableDataColumnHeading"/>
            </w:pPr>
            <w:r>
              <w:t>2017-18</w:t>
            </w:r>
          </w:p>
        </w:tc>
      </w:tr>
      <w:tr w:rsidR="008B3E96" w:rsidTr="00C82C2A">
        <w:tc>
          <w:tcPr>
            <w:tcW w:w="2646" w:type="dxa"/>
            <w:tcBorders>
              <w:bottom w:val="single" w:sz="8" w:space="0" w:color="FFFFFF" w:themeColor="background1"/>
            </w:tcBorders>
            <w:shd w:val="clear" w:color="auto" w:fill="auto"/>
            <w:tcMar>
              <w:left w:w="57" w:type="dxa"/>
              <w:right w:w="57" w:type="dxa"/>
            </w:tcMar>
          </w:tcPr>
          <w:p w:rsidR="008B3E96" w:rsidRDefault="008B3E96" w:rsidP="003E774E">
            <w:pPr>
              <w:pStyle w:val="TableUnit"/>
              <w:jc w:val="left"/>
            </w:pPr>
          </w:p>
        </w:tc>
        <w:tc>
          <w:tcPr>
            <w:tcW w:w="1323" w:type="dxa"/>
            <w:tcBorders>
              <w:bottom w:val="single" w:sz="8" w:space="0" w:color="FFFFFF" w:themeColor="background1"/>
            </w:tcBorders>
            <w:shd w:val="clear" w:color="auto" w:fill="auto"/>
            <w:tcMar>
              <w:left w:w="57" w:type="dxa"/>
              <w:right w:w="57" w:type="dxa"/>
            </w:tcMar>
          </w:tcPr>
          <w:p w:rsidR="008B3E96" w:rsidRDefault="008B3E96" w:rsidP="003E774E">
            <w:pPr>
              <w:pStyle w:val="TableUnit"/>
            </w:pPr>
            <w:r>
              <w:t>$’000</w:t>
            </w:r>
          </w:p>
        </w:tc>
        <w:tc>
          <w:tcPr>
            <w:tcW w:w="1323" w:type="dxa"/>
            <w:tcBorders>
              <w:bottom w:val="single" w:sz="8" w:space="0" w:color="FFFFFF" w:themeColor="background1"/>
            </w:tcBorders>
            <w:shd w:val="clear" w:color="auto" w:fill="auto"/>
          </w:tcPr>
          <w:p w:rsidR="008B3E96" w:rsidRDefault="008B3E96" w:rsidP="003E774E">
            <w:pPr>
              <w:pStyle w:val="TableUnit"/>
            </w:pPr>
            <w:r>
              <w:t>$’000</w:t>
            </w:r>
          </w:p>
        </w:tc>
        <w:tc>
          <w:tcPr>
            <w:tcW w:w="1323" w:type="dxa"/>
            <w:tcBorders>
              <w:bottom w:val="single" w:sz="8" w:space="0" w:color="FFFFFF" w:themeColor="background1"/>
            </w:tcBorders>
            <w:shd w:val="clear" w:color="auto" w:fill="auto"/>
            <w:tcMar>
              <w:left w:w="57" w:type="dxa"/>
              <w:right w:w="57" w:type="dxa"/>
            </w:tcMar>
          </w:tcPr>
          <w:p w:rsidR="008B3E96" w:rsidRDefault="008B3E96" w:rsidP="003E774E">
            <w:pPr>
              <w:pStyle w:val="TableUnit"/>
            </w:pPr>
            <w:r>
              <w:t>$’000</w:t>
            </w:r>
          </w:p>
        </w:tc>
        <w:tc>
          <w:tcPr>
            <w:tcW w:w="1323" w:type="dxa"/>
            <w:tcBorders>
              <w:bottom w:val="single" w:sz="8" w:space="0" w:color="FFFFFF" w:themeColor="background1"/>
            </w:tcBorders>
            <w:shd w:val="clear" w:color="auto" w:fill="auto"/>
          </w:tcPr>
          <w:p w:rsidR="008B3E96" w:rsidRDefault="008B3E96" w:rsidP="003E774E">
            <w:pPr>
              <w:pStyle w:val="TableUnit"/>
            </w:pPr>
            <w:r>
              <w:t>$’000</w:t>
            </w:r>
          </w:p>
        </w:tc>
      </w:tr>
      <w:tr w:rsidR="008B3E96" w:rsidTr="00C82C2A">
        <w:trPr>
          <w:trHeight w:hRule="exact" w:val="340"/>
        </w:trPr>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8B3E96" w:rsidRDefault="008B3E96" w:rsidP="003E774E">
            <w:pPr>
              <w:pStyle w:val="TableDataEntries"/>
              <w:jc w:val="left"/>
            </w:pPr>
            <w:r>
              <w:t>Investment in roads – inc. ARI</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8B3E96" w:rsidRDefault="008B3E96" w:rsidP="003E774E">
            <w:pPr>
              <w:pStyle w:val="TableDataEntries"/>
            </w:pPr>
            <w:r>
              <w:t>1 405</w:t>
            </w:r>
          </w:p>
        </w:tc>
        <w:tc>
          <w:tcPr>
            <w:tcW w:w="1323" w:type="dxa"/>
            <w:tcBorders>
              <w:top w:val="single" w:sz="8" w:space="0" w:color="FFFFFF" w:themeColor="background1"/>
              <w:bottom w:val="single" w:sz="8" w:space="0" w:color="FFFFFF" w:themeColor="background1"/>
            </w:tcBorders>
            <w:shd w:val="clear" w:color="auto" w:fill="E9E8E5" w:themeFill="background2"/>
          </w:tcPr>
          <w:p w:rsidR="008B3E96" w:rsidRDefault="008B3E96" w:rsidP="003E774E">
            <w:pPr>
              <w:pStyle w:val="TableDataEntries"/>
            </w:pPr>
            <w:r>
              <w:t>13 114</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8B3E96" w:rsidRDefault="008B3E96" w:rsidP="003E774E">
            <w:pPr>
              <w:pStyle w:val="TableDataEntries"/>
            </w:pPr>
            <w:r>
              <w:t>2 187</w:t>
            </w:r>
          </w:p>
        </w:tc>
        <w:tc>
          <w:tcPr>
            <w:tcW w:w="1323" w:type="dxa"/>
            <w:tcBorders>
              <w:top w:val="single" w:sz="8" w:space="0" w:color="FFFFFF" w:themeColor="background1"/>
              <w:bottom w:val="single" w:sz="8" w:space="0" w:color="FFFFFF" w:themeColor="background1"/>
            </w:tcBorders>
            <w:shd w:val="clear" w:color="auto" w:fill="E9E8E5" w:themeFill="background2"/>
          </w:tcPr>
          <w:p w:rsidR="008B3E96" w:rsidRDefault="008B3E96" w:rsidP="003E774E">
            <w:pPr>
              <w:pStyle w:val="TableDataEntries"/>
            </w:pPr>
            <w:r>
              <w:t>1 117</w:t>
            </w:r>
          </w:p>
        </w:tc>
      </w:tr>
      <w:tr w:rsidR="008B3E96" w:rsidTr="00C82C2A">
        <w:trPr>
          <w:trHeight w:hRule="exact" w:val="340"/>
        </w:trPr>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8B3E96" w:rsidRDefault="008B3E96" w:rsidP="003E774E">
            <w:pPr>
              <w:pStyle w:val="TableDataEntries"/>
              <w:jc w:val="left"/>
            </w:pPr>
            <w:r>
              <w:t>Roads to recovery – inc. ARI</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8B3E96" w:rsidRDefault="008B3E96" w:rsidP="003E774E">
            <w:pPr>
              <w:pStyle w:val="TableDataEntries"/>
            </w:pPr>
            <w:r>
              <w:t>5 600</w:t>
            </w:r>
          </w:p>
        </w:tc>
        <w:tc>
          <w:tcPr>
            <w:tcW w:w="1323" w:type="dxa"/>
            <w:tcBorders>
              <w:top w:val="single" w:sz="8" w:space="0" w:color="FFFFFF" w:themeColor="background1"/>
              <w:bottom w:val="single" w:sz="8" w:space="0" w:color="FFFFFF" w:themeColor="background1"/>
            </w:tcBorders>
            <w:shd w:val="clear" w:color="auto" w:fill="E9E8E5" w:themeFill="background2"/>
          </w:tcPr>
          <w:p w:rsidR="008B3E96" w:rsidRDefault="008B3E96" w:rsidP="003E774E">
            <w:pPr>
              <w:pStyle w:val="TableDataEntries"/>
            </w:pPr>
            <w:r>
              <w:t>11 200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8B3E96" w:rsidRDefault="008B3E96" w:rsidP="003E774E">
            <w:pPr>
              <w:pStyle w:val="TableDataEntries"/>
            </w:pPr>
            <w:r>
              <w:t>5 600</w:t>
            </w:r>
          </w:p>
        </w:tc>
        <w:tc>
          <w:tcPr>
            <w:tcW w:w="1323" w:type="dxa"/>
            <w:tcBorders>
              <w:top w:val="single" w:sz="8" w:space="0" w:color="FFFFFF" w:themeColor="background1"/>
              <w:bottom w:val="single" w:sz="8" w:space="0" w:color="FFFFFF" w:themeColor="background1"/>
            </w:tcBorders>
            <w:shd w:val="clear" w:color="auto" w:fill="E9E8E5" w:themeFill="background2"/>
          </w:tcPr>
          <w:p w:rsidR="008B3E96" w:rsidRDefault="008B3E96" w:rsidP="003E774E">
            <w:pPr>
              <w:pStyle w:val="TableDataEntries"/>
            </w:pPr>
            <w:r>
              <w:t>5 600</w:t>
            </w:r>
          </w:p>
        </w:tc>
      </w:tr>
      <w:tr w:rsidR="008B3E96" w:rsidTr="00C82C2A">
        <w:trPr>
          <w:trHeight w:hRule="exact" w:val="340"/>
        </w:trPr>
        <w:tc>
          <w:tcPr>
            <w:tcW w:w="2646" w:type="dxa"/>
            <w:tcBorders>
              <w:top w:val="single" w:sz="8" w:space="0" w:color="FFFFFF" w:themeColor="background1"/>
              <w:bottom w:val="single" w:sz="6" w:space="0" w:color="6F6652"/>
            </w:tcBorders>
            <w:shd w:val="clear" w:color="auto" w:fill="E9E8E5" w:themeFill="background2"/>
            <w:tcMar>
              <w:left w:w="57" w:type="dxa"/>
              <w:right w:w="57" w:type="dxa"/>
            </w:tcMar>
          </w:tcPr>
          <w:p w:rsidR="008B3E96" w:rsidRDefault="008B3E96" w:rsidP="003E774E">
            <w:pPr>
              <w:pStyle w:val="TableDataEntries"/>
              <w:jc w:val="left"/>
            </w:pPr>
            <w:r>
              <w:t>Black Spots Project – inc. ARI</w:t>
            </w:r>
          </w:p>
        </w:tc>
        <w:tc>
          <w:tcPr>
            <w:tcW w:w="1323" w:type="dxa"/>
            <w:tcBorders>
              <w:top w:val="single" w:sz="8" w:space="0" w:color="FFFFFF" w:themeColor="background1"/>
              <w:bottom w:val="single" w:sz="6" w:space="0" w:color="6F6652"/>
            </w:tcBorders>
            <w:shd w:val="clear" w:color="auto" w:fill="E9E8E5" w:themeFill="background2"/>
            <w:tcMar>
              <w:left w:w="57" w:type="dxa"/>
              <w:right w:w="57" w:type="dxa"/>
            </w:tcMar>
          </w:tcPr>
          <w:p w:rsidR="008B3E96" w:rsidRDefault="008B3E96" w:rsidP="003E774E">
            <w:pPr>
              <w:pStyle w:val="TableDataEntries"/>
            </w:pPr>
            <w:r>
              <w:t>966</w:t>
            </w:r>
          </w:p>
        </w:tc>
        <w:tc>
          <w:tcPr>
            <w:tcW w:w="1323" w:type="dxa"/>
            <w:tcBorders>
              <w:top w:val="single" w:sz="8" w:space="0" w:color="FFFFFF" w:themeColor="background1"/>
              <w:bottom w:val="single" w:sz="6" w:space="0" w:color="6F6652"/>
            </w:tcBorders>
            <w:shd w:val="clear" w:color="auto" w:fill="E9E8E5" w:themeFill="background2"/>
          </w:tcPr>
          <w:p w:rsidR="008B3E96" w:rsidRDefault="008B3E96" w:rsidP="003E774E">
            <w:pPr>
              <w:pStyle w:val="TableDataEntries"/>
            </w:pPr>
            <w:r>
              <w:t>2 577</w:t>
            </w:r>
          </w:p>
        </w:tc>
        <w:tc>
          <w:tcPr>
            <w:tcW w:w="1323" w:type="dxa"/>
            <w:tcBorders>
              <w:top w:val="single" w:sz="8" w:space="0" w:color="FFFFFF" w:themeColor="background1"/>
              <w:bottom w:val="single" w:sz="6" w:space="0" w:color="6F6652"/>
            </w:tcBorders>
            <w:shd w:val="clear" w:color="auto" w:fill="E9E8E5" w:themeFill="background2"/>
            <w:tcMar>
              <w:left w:w="57" w:type="dxa"/>
              <w:right w:w="57" w:type="dxa"/>
            </w:tcMar>
          </w:tcPr>
          <w:p w:rsidR="008B3E96" w:rsidRDefault="008B3E96" w:rsidP="003E774E">
            <w:pPr>
              <w:pStyle w:val="TableDataEntries"/>
            </w:pPr>
            <w:r>
              <w:t>2 576</w:t>
            </w:r>
          </w:p>
        </w:tc>
        <w:tc>
          <w:tcPr>
            <w:tcW w:w="1323" w:type="dxa"/>
            <w:tcBorders>
              <w:top w:val="single" w:sz="8" w:space="0" w:color="FFFFFF" w:themeColor="background1"/>
              <w:bottom w:val="single" w:sz="6" w:space="0" w:color="6F6652"/>
            </w:tcBorders>
            <w:shd w:val="clear" w:color="auto" w:fill="E9E8E5" w:themeFill="background2"/>
          </w:tcPr>
          <w:p w:rsidR="008B3E96" w:rsidRDefault="008B3E96" w:rsidP="003E774E">
            <w:pPr>
              <w:pStyle w:val="TableDataEntries"/>
            </w:pPr>
            <w:r>
              <w:t>966</w:t>
            </w:r>
          </w:p>
        </w:tc>
      </w:tr>
    </w:tbl>
    <w:p w:rsidR="008B3E96" w:rsidRDefault="008B3E96" w:rsidP="008B3E96">
      <w:pPr>
        <w:pStyle w:val="Source"/>
      </w:pPr>
      <w:r>
        <w:rPr>
          <w:i/>
        </w:rPr>
        <w:t>Source</w:t>
      </w:r>
      <w:r w:rsidRPr="00E4232C">
        <w:rPr>
          <w:i/>
        </w:rPr>
        <w:t>:</w:t>
      </w:r>
      <w:r>
        <w:t xml:space="preserve"> ACT Budget 2014-15 </w:t>
      </w:r>
    </w:p>
    <w:p w:rsidR="002F616F" w:rsidRDefault="00C82C2A" w:rsidP="002F616F">
      <w:pPr>
        <w:pStyle w:val="Heading2"/>
        <w:rPr>
          <w:lang w:eastAsia="en-US"/>
        </w:rPr>
      </w:pPr>
      <w:bookmarkStart w:id="642" w:name="_Toc390427308"/>
      <w:r>
        <w:rPr>
          <w:lang w:eastAsia="en-US"/>
        </w:rPr>
        <w:t>R</w:t>
      </w:r>
      <w:r w:rsidR="002F616F">
        <w:rPr>
          <w:lang w:eastAsia="en-US"/>
        </w:rPr>
        <w:t xml:space="preserve">evenue </w:t>
      </w:r>
      <w:r w:rsidR="007566D7">
        <w:rPr>
          <w:lang w:eastAsia="en-US"/>
        </w:rPr>
        <w:t>p</w:t>
      </w:r>
      <w:r w:rsidR="002F616F">
        <w:rPr>
          <w:lang w:eastAsia="en-US"/>
        </w:rPr>
        <w:t>rojections</w:t>
      </w:r>
      <w:bookmarkEnd w:id="642"/>
      <w:r w:rsidR="002F616F">
        <w:rPr>
          <w:lang w:eastAsia="en-US"/>
        </w:rPr>
        <w:t xml:space="preserve"> </w:t>
      </w:r>
    </w:p>
    <w:p w:rsidR="002F616F" w:rsidRDefault="002F616F" w:rsidP="002F616F">
      <w:pPr>
        <w:pStyle w:val="BodyText"/>
        <w:rPr>
          <w:lang w:eastAsia="en-US"/>
        </w:rPr>
      </w:pPr>
      <w:r>
        <w:rPr>
          <w:lang w:eastAsia="en-US"/>
        </w:rPr>
        <w:t xml:space="preserve">The previous section examined the key drivers of the downward revision to revenue projections from the 2013-14 </w:t>
      </w:r>
      <w:proofErr w:type="gramStart"/>
      <w:r w:rsidR="00956657">
        <w:rPr>
          <w:lang w:eastAsia="en-US"/>
        </w:rPr>
        <w:t>Budget</w:t>
      </w:r>
      <w:proofErr w:type="gramEnd"/>
      <w:r>
        <w:rPr>
          <w:lang w:eastAsia="en-US"/>
        </w:rPr>
        <w:t xml:space="preserve">. In this section, we examine the drivers of the revenue projections in the current </w:t>
      </w:r>
      <w:r w:rsidR="00956657">
        <w:rPr>
          <w:lang w:eastAsia="en-US"/>
        </w:rPr>
        <w:t>Budget</w:t>
      </w:r>
      <w:r>
        <w:rPr>
          <w:lang w:eastAsia="en-US"/>
        </w:rPr>
        <w:t xml:space="preserve"> over the forward estimates period. </w:t>
      </w:r>
    </w:p>
    <w:p w:rsidR="002F616F" w:rsidRDefault="0025308B" w:rsidP="002F616F">
      <w:pPr>
        <w:pStyle w:val="BodyText"/>
        <w:rPr>
          <w:lang w:eastAsia="en-US"/>
        </w:rPr>
      </w:pPr>
      <w:r>
        <w:rPr>
          <w:lang w:eastAsia="en-US"/>
        </w:rPr>
        <w:t xml:space="preserve">Chart </w:t>
      </w:r>
      <w:r w:rsidR="00B40B86">
        <w:rPr>
          <w:lang w:eastAsia="en-US"/>
        </w:rPr>
        <w:fldChar w:fldCharType="begin"/>
      </w:r>
      <w:r w:rsidR="000055D8">
        <w:rPr>
          <w:lang w:eastAsia="en-US"/>
        </w:rPr>
        <w:instrText xml:space="preserve"> REF _Caption1025 </w:instrText>
      </w:r>
      <w:r w:rsidR="00B40B86">
        <w:rPr>
          <w:lang w:eastAsia="en-US"/>
        </w:rPr>
        <w:fldChar w:fldCharType="separate"/>
      </w:r>
      <w:r w:rsidR="00D733F1">
        <w:rPr>
          <w:noProof/>
        </w:rPr>
        <w:t>20</w:t>
      </w:r>
      <w:r w:rsidR="00B40B86">
        <w:rPr>
          <w:lang w:eastAsia="en-US"/>
        </w:rPr>
        <w:fldChar w:fldCharType="end"/>
      </w:r>
      <w:r w:rsidR="002F616F">
        <w:rPr>
          <w:lang w:eastAsia="en-US"/>
        </w:rPr>
        <w:t xml:space="preserve"> illustrates that taxation revenue </w:t>
      </w:r>
      <w:proofErr w:type="gramStart"/>
      <w:r w:rsidR="002F616F">
        <w:rPr>
          <w:lang w:eastAsia="en-US"/>
        </w:rPr>
        <w:t>is expected</w:t>
      </w:r>
      <w:proofErr w:type="gramEnd"/>
      <w:r w:rsidR="002F616F">
        <w:rPr>
          <w:lang w:eastAsia="en-US"/>
        </w:rPr>
        <w:t xml:space="preserve"> to record relatively strong growth compared to other revenue components over the following 4 years. This is </w:t>
      </w:r>
      <w:proofErr w:type="gramStart"/>
      <w:r w:rsidR="008F6EB0">
        <w:rPr>
          <w:lang w:eastAsia="en-US"/>
        </w:rPr>
        <w:t>principally</w:t>
      </w:r>
      <w:r w:rsidR="002F616F">
        <w:rPr>
          <w:lang w:eastAsia="en-US"/>
        </w:rPr>
        <w:t xml:space="preserve"> due to</w:t>
      </w:r>
      <w:proofErr w:type="gramEnd"/>
      <w:r w:rsidR="002F616F">
        <w:rPr>
          <w:lang w:eastAsia="en-US"/>
        </w:rPr>
        <w:t>:</w:t>
      </w:r>
    </w:p>
    <w:p w:rsidR="002F616F" w:rsidRDefault="002F616F" w:rsidP="00284F89">
      <w:pPr>
        <w:pStyle w:val="ListBullet"/>
        <w:numPr>
          <w:ilvl w:val="0"/>
          <w:numId w:val="4"/>
        </w:numPr>
      </w:pPr>
      <w:r>
        <w:t xml:space="preserve">the general tax reform program outlined above </w:t>
      </w:r>
    </w:p>
    <w:p w:rsidR="002F616F" w:rsidRDefault="002F616F" w:rsidP="00284F89">
      <w:pPr>
        <w:pStyle w:val="ListBullet"/>
        <w:numPr>
          <w:ilvl w:val="0"/>
          <w:numId w:val="4"/>
        </w:numPr>
      </w:pPr>
      <w:r>
        <w:t xml:space="preserve">the need to find substitute tax sources to </w:t>
      </w:r>
      <w:r w:rsidR="007566D7">
        <w:t xml:space="preserve">Commonwealth </w:t>
      </w:r>
      <w:r>
        <w:t>grants</w:t>
      </w:r>
      <w:r w:rsidR="007566D7">
        <w:t>, and</w:t>
      </w:r>
    </w:p>
    <w:p w:rsidR="002F616F" w:rsidRDefault="002F616F" w:rsidP="00284F89">
      <w:pPr>
        <w:pStyle w:val="ListBullet"/>
        <w:numPr>
          <w:ilvl w:val="0"/>
          <w:numId w:val="4"/>
        </w:numPr>
      </w:pPr>
      <w:proofErr w:type="gramStart"/>
      <w:r>
        <w:rPr>
          <w:lang w:eastAsia="en-US"/>
        </w:rPr>
        <w:lastRenderedPageBreak/>
        <w:t>a</w:t>
      </w:r>
      <w:proofErr w:type="gramEnd"/>
      <w:r>
        <w:rPr>
          <w:lang w:eastAsia="en-US"/>
        </w:rPr>
        <w:t xml:space="preserve"> number of the revenue sources being indexed over time and less sensitive to changes in economic activity e.g. motor vehicle registration</w:t>
      </w:r>
      <w:r w:rsidR="007566D7">
        <w:rPr>
          <w:lang w:eastAsia="en-US"/>
        </w:rPr>
        <w:t>.</w:t>
      </w:r>
    </w:p>
    <w:p w:rsidR="002F616F" w:rsidRDefault="00FF4E54" w:rsidP="008F6EB0">
      <w:pPr>
        <w:pStyle w:val="BodyText"/>
      </w:pPr>
      <w:r>
        <w:rPr>
          <w:lang w:eastAsia="en-US"/>
        </w:rPr>
        <w:t>R</w:t>
      </w:r>
      <w:r w:rsidR="002F616F">
        <w:rPr>
          <w:lang w:eastAsia="en-US"/>
        </w:rPr>
        <w:t xml:space="preserve">evenue from commonwealth grants and sales for goods and services </w:t>
      </w:r>
      <w:proofErr w:type="gramStart"/>
      <w:r w:rsidR="002F616F">
        <w:rPr>
          <w:lang w:eastAsia="en-US"/>
        </w:rPr>
        <w:t>is expected</w:t>
      </w:r>
      <w:proofErr w:type="gramEnd"/>
      <w:r w:rsidR="002F616F">
        <w:rPr>
          <w:lang w:eastAsia="en-US"/>
        </w:rPr>
        <w:t xml:space="preserve"> to record relatively modest over the following 4 years. </w:t>
      </w:r>
      <w:r w:rsidR="008F6EB0">
        <w:rPr>
          <w:lang w:eastAsia="en-US"/>
        </w:rPr>
        <w:t xml:space="preserve">This is principally due to </w:t>
      </w:r>
      <w:r w:rsidR="002F616F">
        <w:t>reductions in health funding guaran</w:t>
      </w:r>
      <w:r w:rsidR="008F6EB0">
        <w:t>teed by the p</w:t>
      </w:r>
      <w:r w:rsidR="00C82C2A">
        <w:t>revious government.</w:t>
      </w:r>
    </w:p>
    <w:p w:rsidR="00C82C2A" w:rsidRPr="00695C93" w:rsidRDefault="00B40B86" w:rsidP="00284F89">
      <w:pPr>
        <w:pStyle w:val="Caption"/>
        <w:numPr>
          <w:ilvl w:val="0"/>
          <w:numId w:val="2"/>
        </w:numPr>
      </w:pPr>
      <w:r w:rsidRPr="00695C93">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r>
        <w:fldChar w:fldCharType="begin"/>
      </w:r>
      <w:r w:rsidR="00C82C2A">
        <w:instrText xml:space="preserve"> STYLEREF "Heading 1" \l \n </w:instrText>
      </w:r>
      <w:r>
        <w:fldChar w:fldCharType="separate"/>
      </w:r>
      <w:r w:rsidR="00C82C2A">
        <w:rPr>
          <w:b/>
          <w:bCs/>
          <w:noProof/>
          <w:lang w:val="en-US"/>
        </w:rPr>
        <w:instrText>Error! No text of specified style in document.</w:instrText>
      </w:r>
      <w:r>
        <w:rPr>
          <w:noProof/>
        </w:rPr>
        <w:fldChar w:fldCharType="end"/>
      </w:r>
      <w:r w:rsidR="00C82C2A" w:rsidRPr="00695C93">
        <w:instrText xml:space="preserve">." </w:instrText>
      </w:r>
      <w:r w:rsidRPr="00695C93">
        <w:fldChar w:fldCharType="end"/>
      </w:r>
      <w:r w:rsidR="00C82C2A" w:rsidRPr="00695C93">
        <w:instrText>" "</w:instrText>
      </w:r>
      <w:fldSimple w:instr=" STYLEREF &quot;Heading 6&quot; \l \n ">
        <w:r w:rsidR="00C82C2A">
          <w:rPr>
            <w:noProof/>
          </w:rPr>
          <w:instrText>A</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20</w:instrText>
      </w:r>
      <w:r w:rsidRPr="00695C93">
        <w:fldChar w:fldCharType="end"/>
      </w:r>
      <w:r w:rsidR="00C82C2A" w:rsidRPr="00695C93">
        <w:instrText xml:space="preserve">" "" </w:instrText>
      </w:r>
      <w:r w:rsidRPr="00695C93">
        <w:fldChar w:fldCharType="separate"/>
      </w:r>
      <w:bookmarkStart w:id="643" w:name="_Caption3641"/>
      <w:bookmarkStart w:id="644" w:name="_Caption7447"/>
      <w:bookmarkStart w:id="645" w:name="_Caption8139"/>
      <w:bookmarkStart w:id="646" w:name="_Caption4800"/>
      <w:bookmarkStart w:id="647" w:name="_Caption7730"/>
      <w:bookmarkStart w:id="648" w:name="_Caption8551"/>
      <w:bookmarkStart w:id="649" w:name="_Caption1018"/>
      <w:bookmarkStart w:id="650" w:name="_Caption4523"/>
      <w:bookmarkStart w:id="651" w:name="_Caption3299"/>
      <w:bookmarkStart w:id="652" w:name="_Caption0377"/>
      <w:bookmarkStart w:id="653" w:name="_Caption5896"/>
      <w:bookmarkStart w:id="654" w:name="_Caption2127"/>
      <w:bookmarkStart w:id="655" w:name="_Caption8202"/>
      <w:bookmarkStart w:id="656" w:name="_Caption4467"/>
      <w:bookmarkStart w:id="657" w:name="_Caption7789"/>
      <w:bookmarkStart w:id="658" w:name="_Caption3503"/>
      <w:bookmarkStart w:id="659" w:name="_Caption3521"/>
      <w:bookmarkStart w:id="660" w:name="_Caption1025"/>
      <w:bookmarkStart w:id="661" w:name="_Caption2861"/>
      <w:bookmarkStart w:id="662" w:name="_Caption8001"/>
      <w:bookmarkStart w:id="663" w:name="_Caption7550"/>
      <w:bookmarkStart w:id="664" w:name="_Caption2218"/>
      <w:bookmarkStart w:id="665" w:name="_Caption3117"/>
      <w:bookmarkStart w:id="666" w:name="_Caption6486"/>
      <w:bookmarkStart w:id="667" w:name="_Caption4411"/>
      <w:bookmarkStart w:id="668" w:name="_Caption0163"/>
      <w:bookmarkStart w:id="669" w:name="_Caption1389"/>
      <w:bookmarkStart w:id="670" w:name="_Caption7898"/>
      <w:bookmarkStart w:id="671" w:name="_Caption0554"/>
      <w:bookmarkStart w:id="672" w:name="_Caption7497"/>
      <w:bookmarkStart w:id="673" w:name="_Caption5824"/>
      <w:bookmarkStart w:id="674" w:name="_Toc390427343"/>
      <w:r w:rsidR="00D733F1">
        <w:rPr>
          <w:noProof/>
        </w:rPr>
        <w:t>20</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sidRPr="00695C93">
        <w:fldChar w:fldCharType="end"/>
      </w:r>
      <w:r w:rsidR="00C82C2A" w:rsidRPr="00695C93">
        <w:tab/>
      </w:r>
      <w:r w:rsidR="00C82C2A">
        <w:t>Growth in key revenue components</w:t>
      </w:r>
      <w:bookmarkEnd w:id="674"/>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2F616F" w:rsidTr="003051BD">
        <w:trPr>
          <w:cantSplit/>
        </w:trPr>
        <w:tc>
          <w:tcPr>
            <w:tcW w:w="7938" w:type="dxa"/>
            <w:shd w:val="clear" w:color="auto" w:fill="E9E8E5" w:themeFill="background2"/>
          </w:tcPr>
          <w:p w:rsidR="002F616F" w:rsidRDefault="002F616F" w:rsidP="003051BD">
            <w:pPr>
              <w:pStyle w:val="Chart"/>
              <w:jc w:val="center"/>
            </w:pPr>
            <w:r>
              <w:rPr>
                <w:noProof/>
                <w:lang w:eastAsia="en-AU"/>
              </w:rPr>
              <w:drawing>
                <wp:inline distT="0" distB="0" distL="0" distR="0">
                  <wp:extent cx="4857750" cy="2495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0" cy="2495550"/>
                          </a:xfrm>
                          <a:prstGeom prst="rect">
                            <a:avLst/>
                          </a:prstGeom>
                          <a:noFill/>
                          <a:ln>
                            <a:noFill/>
                          </a:ln>
                        </pic:spPr>
                      </pic:pic>
                    </a:graphicData>
                  </a:graphic>
                </wp:inline>
              </w:drawing>
            </w:r>
          </w:p>
        </w:tc>
      </w:tr>
    </w:tbl>
    <w:p w:rsidR="002F616F" w:rsidRDefault="002F616F" w:rsidP="002F616F">
      <w:pPr>
        <w:pStyle w:val="Source"/>
      </w:pPr>
      <w:r>
        <w:rPr>
          <w:i/>
        </w:rPr>
        <w:t>Data source</w:t>
      </w:r>
      <w:r w:rsidRPr="00A67576">
        <w:rPr>
          <w:i/>
        </w:rPr>
        <w:t>:</w:t>
      </w:r>
      <w:r>
        <w:t xml:space="preserve"> ACT </w:t>
      </w:r>
      <w:r w:rsidR="00956657">
        <w:t>Budget</w:t>
      </w:r>
      <w:r>
        <w:t xml:space="preserve"> 2014-15</w:t>
      </w:r>
    </w:p>
    <w:p w:rsidR="002F616F" w:rsidRDefault="002F616F" w:rsidP="002F616F">
      <w:pPr>
        <w:pStyle w:val="Heading2"/>
      </w:pPr>
      <w:bookmarkStart w:id="675" w:name="_Toc390427309"/>
      <w:r>
        <w:t>Risks to the future revenue projections</w:t>
      </w:r>
      <w:bookmarkEnd w:id="675"/>
    </w:p>
    <w:p w:rsidR="002F616F" w:rsidRPr="008773FE" w:rsidRDefault="002F616F" w:rsidP="002F616F">
      <w:pPr>
        <w:pStyle w:val="BodyText"/>
      </w:pPr>
      <w:r>
        <w:t xml:space="preserve">As outlined earlier, there are a number of risks to future revenue projections. Overall, the risks </w:t>
      </w:r>
      <w:proofErr w:type="gramStart"/>
      <w:r>
        <w:t>are judged to be broadly balanced</w:t>
      </w:r>
      <w:proofErr w:type="gramEnd"/>
      <w:r>
        <w:t xml:space="preserve">. </w:t>
      </w:r>
    </w:p>
    <w:p w:rsidR="002F616F" w:rsidRPr="006F3E61" w:rsidRDefault="002F616F" w:rsidP="002F616F">
      <w:pPr>
        <w:pStyle w:val="Heading3"/>
      </w:pPr>
      <w:r w:rsidRPr="006F3E61">
        <w:t>Land Release Program</w:t>
      </w:r>
    </w:p>
    <w:p w:rsidR="002F616F" w:rsidRPr="007A7CE7" w:rsidRDefault="002F616F" w:rsidP="002F616F">
      <w:pPr>
        <w:pStyle w:val="BodyText"/>
      </w:pPr>
      <w:r w:rsidRPr="007A7CE7">
        <w:t xml:space="preserve">The uncertainty created by the Commonwealth </w:t>
      </w:r>
      <w:proofErr w:type="gramStart"/>
      <w:r w:rsidRPr="007A7CE7">
        <w:t>Government’s</w:t>
      </w:r>
      <w:proofErr w:type="gramEnd"/>
      <w:r w:rsidRPr="007A7CE7">
        <w:t xml:space="preserve"> continued fiscal consolidation creates risk around the capacity of the market to purchase all sites released at the prices currently forecast in the 2014-15 </w:t>
      </w:r>
      <w:r w:rsidR="00956657">
        <w:t>Budget</w:t>
      </w:r>
      <w:r w:rsidRPr="007A7CE7">
        <w:t>.</w:t>
      </w:r>
      <w:r w:rsidR="00FE1F43">
        <w:t xml:space="preserve"> </w:t>
      </w:r>
      <w:r w:rsidRPr="007A7CE7">
        <w:t xml:space="preserve">Lower than expected demand or revenue would negatively </w:t>
      </w:r>
      <w:proofErr w:type="gramStart"/>
      <w:r w:rsidRPr="007A7CE7">
        <w:t>impact</w:t>
      </w:r>
      <w:proofErr w:type="gramEnd"/>
      <w:r w:rsidRPr="007A7CE7">
        <w:t xml:space="preserve"> the Land Development Age</w:t>
      </w:r>
      <w:r w:rsidR="00812659">
        <w:t>ncy’s dividend and the</w:t>
      </w:r>
      <w:r w:rsidRPr="007A7CE7">
        <w:t xml:space="preserve"> Government’s net operating balance. Other risks to the program include achievi</w:t>
      </w:r>
      <w:r w:rsidR="00812659">
        <w:t xml:space="preserve">ng statutory clearances and </w:t>
      </w:r>
      <w:r w:rsidRPr="007A7CE7">
        <w:t>capacity of industry to deliver infrastructure and estate works.</w:t>
      </w:r>
    </w:p>
    <w:p w:rsidR="002F616F" w:rsidRPr="006F3E61" w:rsidRDefault="002F616F" w:rsidP="002F616F">
      <w:pPr>
        <w:pStyle w:val="Heading3"/>
      </w:pPr>
      <w:r>
        <w:t>Asset recycling initiative</w:t>
      </w:r>
    </w:p>
    <w:p w:rsidR="002F616F" w:rsidRPr="007A7CE7" w:rsidRDefault="002F616F" w:rsidP="002F616F">
      <w:pPr>
        <w:pStyle w:val="BodyText"/>
      </w:pPr>
      <w:r w:rsidRPr="007A7CE7">
        <w:t xml:space="preserve">The 2014-15 </w:t>
      </w:r>
      <w:r w:rsidR="00956657">
        <w:t>Budget</w:t>
      </w:r>
      <w:r w:rsidRPr="007A7CE7">
        <w:t xml:space="preserve"> contains a provision for involvement in the new Asset Recycling NPA. As this NPA involves a capped funding pool to </w:t>
      </w:r>
      <w:proofErr w:type="gramStart"/>
      <w:r w:rsidRPr="007A7CE7">
        <w:t>be allocated</w:t>
      </w:r>
      <w:proofErr w:type="gramEnd"/>
      <w:r w:rsidRPr="007A7CE7">
        <w:t xml:space="preserve"> to States and Territories on a first-come, first-served basis, there are risks to the ACT’s potential to participate in the initiative from delays in bringing forward asset sale proposals. </w:t>
      </w:r>
    </w:p>
    <w:p w:rsidR="002F616F" w:rsidRPr="006F3E61" w:rsidRDefault="002F616F" w:rsidP="002F616F">
      <w:pPr>
        <w:pStyle w:val="Heading3"/>
      </w:pPr>
      <w:r>
        <w:lastRenderedPageBreak/>
        <w:t xml:space="preserve">Regulated prices of water and sewage </w:t>
      </w:r>
    </w:p>
    <w:p w:rsidR="00C82C2A" w:rsidRDefault="002F616F" w:rsidP="00D733F1">
      <w:pPr>
        <w:autoSpaceDE w:val="0"/>
        <w:autoSpaceDN w:val="0"/>
        <w:adjustRightInd w:val="0"/>
        <w:spacing w:beforeLines="50" w:afterLines="50"/>
        <w:rPr>
          <w:rFonts w:asciiTheme="minorHAnsi" w:eastAsia="Times New Roman" w:hAnsiTheme="minorHAnsi"/>
        </w:rPr>
      </w:pPr>
      <w:r w:rsidRPr="007A7CE7">
        <w:rPr>
          <w:rFonts w:asciiTheme="minorHAnsi" w:eastAsia="Times New Roman" w:hAnsiTheme="minorHAnsi"/>
        </w:rPr>
        <w:t xml:space="preserve">There is still some degree of uncertainty around the future regulated prices of water and sewage following the auditor-general’s review into the pricing decision. If an appeal is successful, and prices </w:t>
      </w:r>
      <w:proofErr w:type="gramStart"/>
      <w:r w:rsidRPr="007A7CE7">
        <w:rPr>
          <w:rFonts w:asciiTheme="minorHAnsi" w:eastAsia="Times New Roman" w:hAnsiTheme="minorHAnsi"/>
        </w:rPr>
        <w:t>are moved</w:t>
      </w:r>
      <w:proofErr w:type="gramEnd"/>
      <w:r w:rsidRPr="007A7CE7">
        <w:rPr>
          <w:rFonts w:asciiTheme="minorHAnsi" w:eastAsia="Times New Roman" w:hAnsiTheme="minorHAnsi"/>
        </w:rPr>
        <w:t xml:space="preserve"> more in line with prior expectations, this could significantly increase revenue and more specifically the projected dividend payments from ACTEW.</w:t>
      </w:r>
    </w:p>
    <w:p w:rsidR="002F616F" w:rsidRPr="006F3E61" w:rsidRDefault="002F616F" w:rsidP="00C82C2A">
      <w:pPr>
        <w:pStyle w:val="Heading3"/>
      </w:pPr>
      <w:r>
        <w:t>Future tax reform</w:t>
      </w:r>
      <w:r w:rsidR="00FE1F43">
        <w:t xml:space="preserve"> </w:t>
      </w:r>
    </w:p>
    <w:p w:rsidR="002F616F" w:rsidRPr="007A7CE7" w:rsidRDefault="002F616F" w:rsidP="00D733F1">
      <w:pPr>
        <w:autoSpaceDE w:val="0"/>
        <w:autoSpaceDN w:val="0"/>
        <w:adjustRightInd w:val="0"/>
        <w:spacing w:beforeLines="50" w:afterLines="50"/>
        <w:rPr>
          <w:rFonts w:asciiTheme="minorHAnsi" w:eastAsia="Times New Roman" w:hAnsiTheme="minorHAnsi"/>
        </w:rPr>
      </w:pPr>
      <w:r w:rsidRPr="007A7CE7">
        <w:rPr>
          <w:rFonts w:asciiTheme="minorHAnsi" w:eastAsia="Times New Roman" w:hAnsiTheme="minorHAnsi"/>
        </w:rPr>
        <w:t xml:space="preserve">In the </w:t>
      </w:r>
      <w:proofErr w:type="gramStart"/>
      <w:r w:rsidRPr="007A7CE7">
        <w:rPr>
          <w:rFonts w:asciiTheme="minorHAnsi" w:eastAsia="Times New Roman" w:hAnsiTheme="minorHAnsi"/>
        </w:rPr>
        <w:t>2014-15</w:t>
      </w:r>
      <w:proofErr w:type="gramEnd"/>
      <w:r w:rsidRPr="007A7CE7">
        <w:rPr>
          <w:rFonts w:asciiTheme="minorHAnsi" w:eastAsia="Times New Roman" w:hAnsiTheme="minorHAnsi"/>
        </w:rPr>
        <w:t xml:space="preserve"> Federal </w:t>
      </w:r>
      <w:r w:rsidR="00956657">
        <w:rPr>
          <w:rFonts w:asciiTheme="minorHAnsi" w:eastAsia="Times New Roman" w:hAnsiTheme="minorHAnsi"/>
        </w:rPr>
        <w:t>Budget</w:t>
      </w:r>
      <w:r w:rsidRPr="007A7CE7">
        <w:rPr>
          <w:rFonts w:asciiTheme="minorHAnsi" w:eastAsia="Times New Roman" w:hAnsiTheme="minorHAnsi"/>
        </w:rPr>
        <w:t xml:space="preserve"> the Commonwealth has made significant unilateral changes to the NSPPs for Health and Education.</w:t>
      </w:r>
      <w:r w:rsidR="00FE1F43">
        <w:rPr>
          <w:rFonts w:asciiTheme="minorHAnsi" w:eastAsia="Times New Roman" w:hAnsiTheme="minorHAnsi"/>
        </w:rPr>
        <w:t xml:space="preserve"> </w:t>
      </w:r>
      <w:r w:rsidRPr="007A7CE7">
        <w:rPr>
          <w:rFonts w:asciiTheme="minorHAnsi" w:eastAsia="Times New Roman" w:hAnsiTheme="minorHAnsi"/>
        </w:rPr>
        <w:t xml:space="preserve">The Commonwealth’s approach has undermined the stability and certainty of the Specific Purpose </w:t>
      </w:r>
      <w:proofErr w:type="gramStart"/>
      <w:r w:rsidRPr="007A7CE7">
        <w:rPr>
          <w:rFonts w:asciiTheme="minorHAnsi" w:eastAsia="Times New Roman" w:hAnsiTheme="minorHAnsi"/>
        </w:rPr>
        <w:t>Payments which</w:t>
      </w:r>
      <w:proofErr w:type="gramEnd"/>
      <w:r w:rsidRPr="007A7CE7">
        <w:rPr>
          <w:rFonts w:asciiTheme="minorHAnsi" w:eastAsia="Times New Roman" w:hAnsiTheme="minorHAnsi"/>
        </w:rPr>
        <w:t xml:space="preserve"> had previously been assured by the IGA FFR, significantly raising the level of risk to State and Territory </w:t>
      </w:r>
      <w:r w:rsidR="00956657">
        <w:rPr>
          <w:rFonts w:asciiTheme="minorHAnsi" w:eastAsia="Times New Roman" w:hAnsiTheme="minorHAnsi"/>
        </w:rPr>
        <w:t>Budget</w:t>
      </w:r>
      <w:r w:rsidRPr="007A7CE7">
        <w:rPr>
          <w:rFonts w:asciiTheme="minorHAnsi" w:eastAsia="Times New Roman" w:hAnsiTheme="minorHAnsi"/>
        </w:rPr>
        <w:t xml:space="preserve">s. </w:t>
      </w:r>
    </w:p>
    <w:p w:rsidR="007206E0" w:rsidRPr="003E774E" w:rsidRDefault="002F616F" w:rsidP="00D733F1">
      <w:pPr>
        <w:autoSpaceDE w:val="0"/>
        <w:autoSpaceDN w:val="0"/>
        <w:adjustRightInd w:val="0"/>
        <w:spacing w:beforeLines="50" w:afterLines="50"/>
        <w:rPr>
          <w:rFonts w:asciiTheme="minorHAnsi" w:eastAsia="Times New Roman" w:hAnsiTheme="minorHAnsi"/>
        </w:rPr>
      </w:pPr>
      <w:r w:rsidRPr="007A7CE7">
        <w:rPr>
          <w:rFonts w:asciiTheme="minorHAnsi" w:eastAsia="Times New Roman" w:hAnsiTheme="minorHAnsi"/>
        </w:rPr>
        <w:t>The decisions to cap SPP funding in Health and Education, and to apply indexation based on the CPI and population growth, create a major risk that Commonwealth SPP payments will not keep pace with future increases in cost and demand.</w:t>
      </w:r>
      <w:r w:rsidR="00FE1F43">
        <w:rPr>
          <w:rFonts w:asciiTheme="minorHAnsi" w:eastAsia="Times New Roman" w:hAnsiTheme="minorHAnsi"/>
        </w:rPr>
        <w:t xml:space="preserve"> </w:t>
      </w:r>
      <w:r w:rsidRPr="007A7CE7">
        <w:rPr>
          <w:rFonts w:asciiTheme="minorHAnsi" w:eastAsia="Times New Roman" w:hAnsiTheme="minorHAnsi"/>
        </w:rPr>
        <w:t xml:space="preserve">As a result, there will be greater pressure on future ACT </w:t>
      </w:r>
      <w:r w:rsidR="00956657">
        <w:rPr>
          <w:rFonts w:asciiTheme="minorHAnsi" w:eastAsia="Times New Roman" w:hAnsiTheme="minorHAnsi"/>
        </w:rPr>
        <w:t>Budget</w:t>
      </w:r>
      <w:r w:rsidRPr="007A7CE7">
        <w:rPr>
          <w:rFonts w:asciiTheme="minorHAnsi" w:eastAsia="Times New Roman" w:hAnsiTheme="minorHAnsi"/>
        </w:rPr>
        <w:t xml:space="preserve">s to implement measures to control costs and to manage demand for these services. </w:t>
      </w:r>
    </w:p>
    <w:p w:rsidR="007206E0" w:rsidRDefault="002F616F" w:rsidP="003E774E">
      <w:pPr>
        <w:pStyle w:val="Heading1"/>
        <w:numPr>
          <w:ilvl w:val="0"/>
          <w:numId w:val="0"/>
        </w:numPr>
        <w:ind w:left="567" w:hanging="567"/>
      </w:pPr>
      <w:bookmarkStart w:id="676" w:name="_Toc390427310"/>
      <w:r>
        <w:lastRenderedPageBreak/>
        <w:t>Expenditure</w:t>
      </w:r>
      <w:bookmarkEnd w:id="676"/>
      <w:r>
        <w:t xml:space="preserve"> </w:t>
      </w:r>
    </w:p>
    <w:p w:rsidR="002E17F7" w:rsidRDefault="002E17F7" w:rsidP="002E17F7">
      <w:pPr>
        <w:pStyle w:val="ChapterIntroduction"/>
      </w:pPr>
      <w:r>
        <w:t xml:space="preserve">The 2014-15 Budget includes substantial new expenditure on health and expenses related to capital works, with large expenditure on the Secure Mental Health Unit and the Alexander Maconochie Centre. Spending has increased significantly since the 2013-14 </w:t>
      </w:r>
      <w:proofErr w:type="gramStart"/>
      <w:r>
        <w:t>Budget</w:t>
      </w:r>
      <w:proofErr w:type="gramEnd"/>
      <w:r>
        <w:t xml:space="preserve"> with $347 million in total expense initiatives and $415 million in new capital expenditure </w:t>
      </w:r>
      <w:r w:rsidR="003C27D3">
        <w:t>initiatives</w:t>
      </w:r>
      <w:r>
        <w:t>.</w:t>
      </w:r>
    </w:p>
    <w:p w:rsidR="002E17F7" w:rsidRPr="006538A5" w:rsidRDefault="002E17F7" w:rsidP="002E17F7">
      <w:pPr>
        <w:pStyle w:val="ChapterIntroduction"/>
      </w:pPr>
      <w:r w:rsidRPr="00744367">
        <w:t xml:space="preserve">While the </w:t>
      </w:r>
      <w:r w:rsidRPr="003A3C79">
        <w:t>Budget</w:t>
      </w:r>
      <w:r w:rsidRPr="00744367">
        <w:t xml:space="preserve"> commentary links the need for </w:t>
      </w:r>
      <w:proofErr w:type="gramStart"/>
      <w:r w:rsidRPr="00744367">
        <w:t>large scale</w:t>
      </w:r>
      <w:proofErr w:type="gramEnd"/>
      <w:r w:rsidRPr="00744367">
        <w:t xml:space="preserve"> expenditure to the need to offset</w:t>
      </w:r>
      <w:r>
        <w:t xml:space="preserve"> the Commonwealth cuts to the Australian Public Service, this is not necessarily a case for sizeable spending. Reductions in Commonwealth Government spending are likely to contribute to a softening in population growth, which would weaken demand for public services and capital works. The merits of spending need to be broader than the need to offset the impacts of Commonwealth Government cutbacks, and in the case of health infrastructure, this is more clearly the case.</w:t>
      </w:r>
    </w:p>
    <w:p w:rsidR="002E17F7" w:rsidRDefault="002E17F7" w:rsidP="002E17F7">
      <w:pPr>
        <w:pStyle w:val="ChapterIntroduction"/>
      </w:pPr>
      <w:r>
        <w:t xml:space="preserve">Savings estimates are conservative, </w:t>
      </w:r>
      <w:r w:rsidRPr="00744367">
        <w:t xml:space="preserve">with only </w:t>
      </w:r>
      <w:r>
        <w:t>$96.3 million over four years, largely relating to expanded use of digital and online technology for service delivery and internal organisation. This is a decline on savings in the 2013-14 Budget.</w:t>
      </w:r>
    </w:p>
    <w:p w:rsidR="002E17F7" w:rsidRPr="00FB3F5F" w:rsidRDefault="002E17F7" w:rsidP="002E17F7">
      <w:pPr>
        <w:pStyle w:val="BodyText"/>
      </w:pPr>
      <w:r w:rsidRPr="00FB3F5F">
        <w:t xml:space="preserve">The ACT Government </w:t>
      </w:r>
      <w:r>
        <w:t>Budget</w:t>
      </w:r>
      <w:r w:rsidRPr="00FB3F5F">
        <w:t xml:space="preserve"> 201</w:t>
      </w:r>
      <w:r>
        <w:t>4</w:t>
      </w:r>
      <w:r w:rsidRPr="00FB3F5F">
        <w:t>-1</w:t>
      </w:r>
      <w:r>
        <w:t>5</w:t>
      </w:r>
      <w:r w:rsidRPr="00FB3F5F">
        <w:t xml:space="preserve"> </w:t>
      </w:r>
      <w:r>
        <w:t xml:space="preserve">invests in significant new capital works and expenditure initiatives to bolster the ACT economy, which in 2014-15 </w:t>
      </w:r>
      <w:proofErr w:type="gramStart"/>
      <w:r>
        <w:t>is projected</w:t>
      </w:r>
      <w:proofErr w:type="gramEnd"/>
      <w:r>
        <w:t xml:space="preserve"> to be in a worse economic position than in 2013-14. New expense initiatives of $182.7 million (net of the </w:t>
      </w:r>
      <w:proofErr w:type="gramStart"/>
      <w:r>
        <w:t>health funding</w:t>
      </w:r>
      <w:proofErr w:type="gramEnd"/>
      <w:r>
        <w:t xml:space="preserve"> envelope) and $415.2 million in capital works spending is included in the Budget over the forward estimates period.</w:t>
      </w:r>
    </w:p>
    <w:p w:rsidR="002E17F7" w:rsidRDefault="002E17F7" w:rsidP="002E17F7">
      <w:pPr>
        <w:pStyle w:val="BodyText"/>
      </w:pPr>
      <w:r>
        <w:t>Overall, the profile of expenditure is stimulatory, with a focus on spending within the health directorate and the Justice and Community Safety Directorate.</w:t>
      </w:r>
      <w:r w:rsidR="00FE1F43">
        <w:t xml:space="preserve"> </w:t>
      </w:r>
    </w:p>
    <w:p w:rsidR="002E17F7" w:rsidRDefault="002E17F7" w:rsidP="002E17F7">
      <w:pPr>
        <w:pStyle w:val="BodyText"/>
      </w:pPr>
      <w:r>
        <w:t xml:space="preserve">A substantial amount of expenditure on the University of Canberra Public Hospital, Capital Metro and the Courts project has been provisioned ($1.3 billion), although no detail on total costs or cost rollout have been provided. While this information is deemed </w:t>
      </w:r>
      <w:proofErr w:type="gramStart"/>
      <w:r>
        <w:t>to be commercially</w:t>
      </w:r>
      <w:proofErr w:type="gramEnd"/>
      <w:r>
        <w:t xml:space="preserve"> sensitive, it makes it difficult to make an assessment about the merits of the investment, or the impact of such investments on the financial strength of the ACT Budget. At this stage, these expenditure works </w:t>
      </w:r>
      <w:proofErr w:type="gramStart"/>
      <w:r>
        <w:t>are only highlighted</w:t>
      </w:r>
      <w:proofErr w:type="gramEnd"/>
      <w:r>
        <w:t xml:space="preserve"> as a future cost risk.</w:t>
      </w:r>
    </w:p>
    <w:p w:rsidR="002E17F7" w:rsidRDefault="002E17F7" w:rsidP="002E17F7">
      <w:pPr>
        <w:pStyle w:val="BodyText"/>
      </w:pPr>
      <w:r>
        <w:t xml:space="preserve">In growth terms, expenditure </w:t>
      </w:r>
      <w:r w:rsidRPr="00603C21">
        <w:t>is increasing at a compound annual growth rate (CAGR) of 3.4 per cent over the forward estimates period.</w:t>
      </w:r>
      <w:r>
        <w:t xml:space="preserve"> This is a continuation of the rate of growth from the previous Budget (3.5 per cent) and is mainly due to growth in employee wages and, to a lesser degree, superannuation related expenses. Employee expenses account for approximately 35 per cent of total expenses in the 2014-15 Budget and superannuation expenses are about 7 per cent.</w:t>
      </w:r>
    </w:p>
    <w:p w:rsidR="002E17F7" w:rsidRDefault="002E17F7" w:rsidP="002E17F7">
      <w:pPr>
        <w:pStyle w:val="BodyText"/>
      </w:pPr>
      <w:r>
        <w:lastRenderedPageBreak/>
        <w:t>The path of expenditure is consistently positive, with expenses up 5.9 per cent in 2014-15, and continuing to increase over the forward estimates.</w:t>
      </w:r>
    </w:p>
    <w:p w:rsidR="002E17F7" w:rsidRDefault="002E17F7" w:rsidP="002E17F7">
      <w:pPr>
        <w:pStyle w:val="BodyText"/>
      </w:pPr>
      <w:r w:rsidRPr="00F625F9">
        <w:t xml:space="preserve">The estimated expenditure outcome for 2013-14 came in at $4,586 million, which was $8 million higher than expected this time last year. </w:t>
      </w:r>
      <w:r>
        <w:t>This is primarily a reflection of higher than expected employee and superannuation expenses (excluding superannuation interest costs, which are lower than expected for 2013-14).</w:t>
      </w:r>
    </w:p>
    <w:p w:rsidR="002E17F7" w:rsidRDefault="002E17F7" w:rsidP="002E17F7">
      <w:pPr>
        <w:pStyle w:val="BodyText"/>
      </w:pPr>
      <w:r>
        <w:t>A large proportion of new spending is for healthcare, which accounts for 49.9 per cent of new expense initiatives over the forward estimates period, and 28.2 per cent in 2014-15.</w:t>
      </w:r>
      <w:r>
        <w:rPr>
          <w:rStyle w:val="FootnoteReference"/>
        </w:rPr>
        <w:footnoteReference w:id="8"/>
      </w:r>
      <w:r>
        <w:t xml:space="preserve"> Most of this (51.2 per cent) </w:t>
      </w:r>
      <w:proofErr w:type="gramStart"/>
      <w:r>
        <w:t>is accounted for</w:t>
      </w:r>
      <w:proofErr w:type="gramEnd"/>
      <w:r>
        <w:t xml:space="preserve"> by Health Directorate expenditure (over the four years) for by the expansion of elective surgery procedures and the provision of additional beds at Canberra and Calvary Public Hospitals.</w:t>
      </w:r>
    </w:p>
    <w:p w:rsidR="002E17F7" w:rsidRDefault="002E17F7" w:rsidP="002E17F7">
      <w:pPr>
        <w:pStyle w:val="BodyText"/>
      </w:pPr>
      <w:r>
        <w:t xml:space="preserve">As would ordinarily be the case, the vast bulk of spending for new capital works announced in this Budget will be spent in the immediate period, with 91 per cent of funding for newly announced capital initiatives being spent over the first two years of the forward estimates period. </w:t>
      </w:r>
    </w:p>
    <w:p w:rsidR="002E17F7" w:rsidRPr="00D82E6E" w:rsidRDefault="002E17F7" w:rsidP="00284F89">
      <w:pPr>
        <w:pStyle w:val="Heading2"/>
        <w:numPr>
          <w:ilvl w:val="1"/>
          <w:numId w:val="1"/>
        </w:numPr>
      </w:pPr>
      <w:bookmarkStart w:id="677" w:name="_Toc390427311"/>
      <w:r w:rsidRPr="00D82E6E">
        <w:t>Expenditure projections</w:t>
      </w:r>
      <w:bookmarkEnd w:id="677"/>
    </w:p>
    <w:p w:rsidR="002E17F7" w:rsidRDefault="002E17F7" w:rsidP="002E17F7">
      <w:pPr>
        <w:pStyle w:val="BodyText"/>
      </w:pPr>
      <w:r w:rsidRPr="00EE4BD1">
        <w:t>Total expenditure in</w:t>
      </w:r>
      <w:r>
        <w:t xml:space="preserve"> the General Government Sector </w:t>
      </w:r>
      <w:proofErr w:type="gramStart"/>
      <w:r>
        <w:t>is estimated</w:t>
      </w:r>
      <w:proofErr w:type="gramEnd"/>
      <w:r>
        <w:t xml:space="preserve"> to increase by 5.9 per cent in 2014-15 to $4.858 billion — stronger than the</w:t>
      </w:r>
      <w:r w:rsidRPr="00EE4BD1">
        <w:t xml:space="preserve"> </w:t>
      </w:r>
      <w:r>
        <w:t>previous years’ growth of 3.5 </w:t>
      </w:r>
      <w:r w:rsidRPr="00EE4BD1">
        <w:t>per</w:t>
      </w:r>
      <w:r>
        <w:t> </w:t>
      </w:r>
      <w:r w:rsidRPr="00EE4BD1">
        <w:t>cent</w:t>
      </w:r>
      <w:r>
        <w:t>.</w:t>
      </w:r>
      <w:r w:rsidRPr="00EE4BD1">
        <w:t xml:space="preserve"> </w:t>
      </w:r>
    </w:p>
    <w:p w:rsidR="002E17F7" w:rsidRDefault="002E17F7" w:rsidP="002E17F7">
      <w:pPr>
        <w:pStyle w:val="BodyText"/>
      </w:pPr>
      <w:r>
        <w:t>The forward estimates period also expects expenditure growth to ease, (0.7 per cent in 2015-16 and 3.6 per cent in 2015-17) before picking up more strongly in 2016-17 (4.3 per cent growth). The stagnation in expenditure in 2015-16 is largely because of the decreased Supplies and Services expenditure and smaller increases in the other expenditure items.</w:t>
      </w:r>
    </w:p>
    <w:p w:rsidR="002E17F7" w:rsidRDefault="002E17F7" w:rsidP="002E17F7">
      <w:pPr>
        <w:pStyle w:val="BodyText"/>
      </w:pPr>
      <w:r>
        <w:t>Employee expense and Almost half (47</w:t>
      </w:r>
      <w:r w:rsidRPr="00EE4BD1">
        <w:t xml:space="preserve"> per cent</w:t>
      </w:r>
      <w:r>
        <w:t>)</w:t>
      </w:r>
      <w:r w:rsidRPr="00EE4BD1">
        <w:t xml:space="preserve"> of </w:t>
      </w:r>
      <w:r>
        <w:t>expenditure</w:t>
      </w:r>
      <w:r w:rsidRPr="00EE4BD1">
        <w:t xml:space="preserve"> relates to employees’ wages and superannuation </w:t>
      </w:r>
      <w:r>
        <w:t>and</w:t>
      </w:r>
      <w:r w:rsidRPr="00EE4BD1">
        <w:t xml:space="preserve"> functionally </w:t>
      </w:r>
      <w:r>
        <w:t>50</w:t>
      </w:r>
      <w:r w:rsidRPr="00EE4BD1">
        <w:t xml:space="preserve"> per cent will go to health and education </w:t>
      </w:r>
      <w:r>
        <w:t>(including vocational education), which is lower than in 2013-14.</w:t>
      </w:r>
      <w:r w:rsidRPr="00EE4BD1">
        <w:t xml:space="preserve"> </w:t>
      </w:r>
    </w:p>
    <w:p w:rsidR="002E17F7" w:rsidRDefault="002E17F7" w:rsidP="002E17F7">
      <w:pPr>
        <w:pStyle w:val="BodyText"/>
      </w:pPr>
      <w:r>
        <w:t>A summary of the components of expenditure over the forward estimates period is set out in table</w:t>
      </w:r>
      <w:r w:rsidR="000055D8">
        <w:t xml:space="preserve"> </w:t>
      </w:r>
      <w:fldSimple w:instr=" REF _Caption4702 ">
        <w:r w:rsidR="00D733F1">
          <w:rPr>
            <w:noProof/>
          </w:rPr>
          <w:t>21</w:t>
        </w:r>
      </w:fldSimple>
      <w:r w:rsidR="00040144">
        <w:t>.</w:t>
      </w:r>
    </w:p>
    <w:p w:rsidR="003E774E" w:rsidRDefault="003E774E" w:rsidP="00284F89">
      <w:pPr>
        <w:pStyle w:val="Heading3"/>
        <w:numPr>
          <w:ilvl w:val="2"/>
          <w:numId w:val="1"/>
        </w:numPr>
      </w:pPr>
      <w:r w:rsidRPr="0033026A">
        <w:t>Key Expenditure Drivers</w:t>
      </w:r>
    </w:p>
    <w:p w:rsidR="003E774E" w:rsidRPr="008C747C" w:rsidRDefault="003E774E" w:rsidP="003E774E">
      <w:pPr>
        <w:pStyle w:val="BodyText"/>
      </w:pPr>
      <w:r>
        <w:t>Employee expenses (including superannuation payments) are a largely stable driver, and superannuation interest costs and expenses are another primary driver of the level of General Government Expenditure.</w:t>
      </w:r>
    </w:p>
    <w:p w:rsidR="00C82C2A" w:rsidRDefault="00B40B86" w:rsidP="00C82C2A">
      <w:pPr>
        <w:pStyle w:val="Caption"/>
      </w:pPr>
      <w:r w:rsidRPr="00695C93">
        <w:lastRenderedPageBreak/>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fldSimple w:instr=" STYLEREF &quot;Heading 1&quot; \l \n ">
        <w:r w:rsidR="00C82C2A">
          <w:rPr>
            <w:noProof/>
          </w:rPr>
          <w:instrText>2</w:instrText>
        </w:r>
      </w:fldSimple>
      <w:r w:rsidR="00C82C2A" w:rsidRPr="00695C93">
        <w:instrText xml:space="preserve">." </w:instrText>
      </w:r>
      <w:r w:rsidRPr="00695C93">
        <w:fldChar w:fldCharType="end"/>
      </w:r>
      <w:r w:rsidR="00C82C2A" w:rsidRPr="00695C93">
        <w:instrText>" "</w:instrText>
      </w:r>
      <w:fldSimple w:instr=" STYLEREF &quot;Heading 6&quot; \l \n ">
        <w:r w:rsidR="00C82C2A" w:rsidRPr="00695C93">
          <w:instrText>B</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21</w:instrText>
      </w:r>
      <w:r w:rsidRPr="00695C93">
        <w:fldChar w:fldCharType="end"/>
      </w:r>
      <w:r w:rsidR="00C82C2A" w:rsidRPr="00695C93">
        <w:instrText xml:space="preserve">" "" </w:instrText>
      </w:r>
      <w:r w:rsidRPr="00695C93">
        <w:fldChar w:fldCharType="separate"/>
      </w:r>
      <w:bookmarkStart w:id="678" w:name="_Caption2330"/>
      <w:bookmarkStart w:id="679" w:name="_Caption5651"/>
      <w:bookmarkStart w:id="680" w:name="_Caption1220"/>
      <w:bookmarkStart w:id="681" w:name="_Caption7977"/>
      <w:bookmarkStart w:id="682" w:name="_Caption6478"/>
      <w:bookmarkStart w:id="683" w:name="_Caption2782"/>
      <w:bookmarkStart w:id="684" w:name="_Caption7488"/>
      <w:bookmarkStart w:id="685" w:name="_Caption1709"/>
      <w:bookmarkStart w:id="686" w:name="_Caption4594"/>
      <w:bookmarkStart w:id="687" w:name="_Caption0358"/>
      <w:bookmarkStart w:id="688" w:name="_Caption4076"/>
      <w:bookmarkStart w:id="689" w:name="_Caption2423"/>
      <w:bookmarkStart w:id="690" w:name="_Caption2469"/>
      <w:bookmarkStart w:id="691" w:name="_Caption3446"/>
      <w:bookmarkStart w:id="692" w:name="_Caption8351"/>
      <w:bookmarkStart w:id="693" w:name="_Caption3716"/>
      <w:bookmarkStart w:id="694" w:name="_Caption9186"/>
      <w:bookmarkStart w:id="695" w:name="_Caption1145"/>
      <w:bookmarkStart w:id="696" w:name="_Caption4702"/>
      <w:bookmarkStart w:id="697" w:name="_Caption1019"/>
      <w:bookmarkStart w:id="698" w:name="_Caption8653"/>
      <w:bookmarkStart w:id="699" w:name="_Caption6620"/>
      <w:bookmarkStart w:id="700" w:name="_Caption7129"/>
      <w:bookmarkStart w:id="701" w:name="_Caption0419"/>
      <w:bookmarkStart w:id="702" w:name="_Caption1613"/>
      <w:bookmarkStart w:id="703" w:name="_Caption8252"/>
      <w:bookmarkStart w:id="704" w:name="_Caption7442"/>
      <w:bookmarkStart w:id="705" w:name="_Caption9424"/>
      <w:bookmarkStart w:id="706" w:name="_Caption5064"/>
      <w:bookmarkStart w:id="707" w:name="_Caption3668"/>
      <w:bookmarkStart w:id="708" w:name="_Caption8876"/>
      <w:bookmarkStart w:id="709" w:name="_Toc390427344"/>
      <w:r w:rsidR="00D733F1">
        <w:rPr>
          <w:noProof/>
        </w:rPr>
        <w:t>21</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sidRPr="00695C93">
        <w:fldChar w:fldCharType="end"/>
      </w:r>
      <w:r w:rsidR="00C82C2A" w:rsidRPr="00695C93">
        <w:tab/>
      </w:r>
      <w:r w:rsidR="00C82C2A">
        <w:t>Summary of General Government Expenditure</w:t>
      </w:r>
      <w:bookmarkEnd w:id="709"/>
    </w:p>
    <w:tbl>
      <w:tblPr>
        <w:tblW w:w="7938" w:type="dxa"/>
        <w:tblInd w:w="57" w:type="dxa"/>
        <w:tblLayout w:type="fixed"/>
        <w:tblLook w:val="0000"/>
      </w:tblPr>
      <w:tblGrid>
        <w:gridCol w:w="851"/>
        <w:gridCol w:w="1984"/>
        <w:gridCol w:w="851"/>
        <w:gridCol w:w="908"/>
        <w:gridCol w:w="368"/>
        <w:gridCol w:w="992"/>
        <w:gridCol w:w="992"/>
        <w:gridCol w:w="992"/>
      </w:tblGrid>
      <w:tr w:rsidR="002E17F7" w:rsidTr="009C75CC">
        <w:tc>
          <w:tcPr>
            <w:tcW w:w="851"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vAlign w:val="bottom"/>
          </w:tcPr>
          <w:p w:rsidR="002E17F7" w:rsidRPr="00E03288" w:rsidRDefault="002E17F7" w:rsidP="009C75CC">
            <w:pPr>
              <w:pStyle w:val="TableDataColumnHeading"/>
            </w:pPr>
            <w:r w:rsidRPr="00E03288">
              <w:t>201</w:t>
            </w:r>
            <w:r>
              <w:t>3</w:t>
            </w:r>
            <w:r w:rsidRPr="00E03288">
              <w:t>–1</w:t>
            </w:r>
            <w:r>
              <w:t>4</w:t>
            </w:r>
            <w:r w:rsidRPr="00E03288">
              <w:t xml:space="preserve"> </w:t>
            </w:r>
            <w:r>
              <w:t>Budget</w:t>
            </w:r>
          </w:p>
        </w:tc>
        <w:tc>
          <w:tcPr>
            <w:tcW w:w="1984"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vAlign w:val="bottom"/>
          </w:tcPr>
          <w:p w:rsidR="002E17F7" w:rsidRDefault="002E17F7" w:rsidP="009C75CC">
            <w:pPr>
              <w:pStyle w:val="TableDataColumnHeading"/>
              <w:spacing w:before="40"/>
              <w:jc w:val="left"/>
            </w:pPr>
            <w:r>
              <w:t>Expenses</w:t>
            </w:r>
          </w:p>
        </w:tc>
        <w:tc>
          <w:tcPr>
            <w:tcW w:w="851"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vAlign w:val="bottom"/>
          </w:tcPr>
          <w:p w:rsidR="002E17F7" w:rsidRDefault="002E17F7" w:rsidP="009C75CC">
            <w:pPr>
              <w:pStyle w:val="TableDataColumnHeading"/>
              <w:spacing w:before="40"/>
            </w:pPr>
            <w:r>
              <w:t>2013–14 Est. Outcome</w:t>
            </w:r>
          </w:p>
        </w:tc>
        <w:tc>
          <w:tcPr>
            <w:tcW w:w="908"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vAlign w:val="bottom"/>
          </w:tcPr>
          <w:p w:rsidR="002E17F7" w:rsidRDefault="002E17F7" w:rsidP="009C75CC">
            <w:pPr>
              <w:pStyle w:val="TableDataColumnHeading"/>
              <w:spacing w:before="40"/>
            </w:pPr>
            <w:r>
              <w:t>2014–15 Budget</w:t>
            </w:r>
          </w:p>
        </w:tc>
        <w:tc>
          <w:tcPr>
            <w:tcW w:w="368"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vAlign w:val="bottom"/>
          </w:tcPr>
          <w:p w:rsidR="002E17F7" w:rsidRDefault="002E17F7" w:rsidP="009C75CC">
            <w:pPr>
              <w:pStyle w:val="TableDataColumnHeading"/>
              <w:spacing w:before="40"/>
              <w:jc w:val="center"/>
            </w:pPr>
            <w:proofErr w:type="spellStart"/>
            <w:r>
              <w:t>Var</w:t>
            </w:r>
            <w:proofErr w:type="spellEnd"/>
          </w:p>
        </w:tc>
        <w:tc>
          <w:tcPr>
            <w:tcW w:w="992"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vAlign w:val="bottom"/>
          </w:tcPr>
          <w:p w:rsidR="002E17F7" w:rsidRDefault="002E17F7" w:rsidP="009C75CC">
            <w:pPr>
              <w:pStyle w:val="TableDataColumnHeading"/>
              <w:spacing w:before="40"/>
            </w:pPr>
            <w:r>
              <w:t>2015–16 Estimate</w:t>
            </w:r>
          </w:p>
        </w:tc>
        <w:tc>
          <w:tcPr>
            <w:tcW w:w="992"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vAlign w:val="bottom"/>
          </w:tcPr>
          <w:p w:rsidR="002E17F7" w:rsidRDefault="002E17F7" w:rsidP="009C75CC">
            <w:pPr>
              <w:pStyle w:val="TableDataColumnHeading"/>
              <w:spacing w:before="40"/>
            </w:pPr>
            <w:r>
              <w:t>2016–17 Estimate</w:t>
            </w:r>
          </w:p>
        </w:tc>
        <w:tc>
          <w:tcPr>
            <w:tcW w:w="992"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vAlign w:val="bottom"/>
          </w:tcPr>
          <w:p w:rsidR="002E17F7" w:rsidRDefault="002E17F7" w:rsidP="009C75CC">
            <w:pPr>
              <w:pStyle w:val="TableDataColumnHeading"/>
              <w:spacing w:before="40"/>
            </w:pPr>
            <w:r>
              <w:t>2017–18 Estimate</w:t>
            </w:r>
          </w:p>
        </w:tc>
      </w:tr>
      <w:tr w:rsidR="002E17F7" w:rsidRPr="00A209EC" w:rsidTr="009C75CC">
        <w:tc>
          <w:tcPr>
            <w:tcW w:w="851" w:type="dxa"/>
            <w:tcBorders>
              <w:top w:val="single" w:sz="2" w:space="0" w:color="6F6652"/>
              <w:left w:val="single" w:sz="2" w:space="0" w:color="6F6652"/>
              <w:bottom w:val="single" w:sz="8" w:space="0" w:color="FFFFFF" w:themeColor="background1"/>
              <w:right w:val="single" w:sz="2" w:space="0" w:color="6F6652"/>
            </w:tcBorders>
            <w:shd w:val="clear" w:color="auto" w:fill="6F6652"/>
            <w:tcMar>
              <w:left w:w="57" w:type="dxa"/>
              <w:right w:w="57" w:type="dxa"/>
            </w:tcMar>
          </w:tcPr>
          <w:p w:rsidR="002E17F7" w:rsidRPr="00A209EC" w:rsidRDefault="002E17F7" w:rsidP="009C75CC">
            <w:pPr>
              <w:pStyle w:val="TableDataColumnHeading"/>
              <w:spacing w:before="0"/>
              <w:rPr>
                <w:rFonts w:ascii="Franklin Gothic Book" w:hAnsi="Franklin Gothic Book"/>
              </w:rPr>
            </w:pPr>
            <w:r w:rsidRPr="00A209EC">
              <w:rPr>
                <w:rFonts w:ascii="Franklin Gothic Book" w:hAnsi="Franklin Gothic Book"/>
              </w:rPr>
              <w:t>$’000</w:t>
            </w:r>
          </w:p>
        </w:tc>
        <w:tc>
          <w:tcPr>
            <w:tcW w:w="1984" w:type="dxa"/>
            <w:tcBorders>
              <w:top w:val="single" w:sz="2" w:space="0" w:color="6F6652"/>
              <w:left w:val="single" w:sz="2" w:space="0" w:color="6F6652"/>
              <w:bottom w:val="single" w:sz="8" w:space="0" w:color="FFFFFF" w:themeColor="background1"/>
              <w:right w:val="single" w:sz="2" w:space="0" w:color="6F6652"/>
            </w:tcBorders>
            <w:shd w:val="clear" w:color="auto" w:fill="6F6652"/>
            <w:tcMar>
              <w:left w:w="57" w:type="dxa"/>
              <w:right w:w="57" w:type="dxa"/>
            </w:tcMar>
          </w:tcPr>
          <w:p w:rsidR="002E17F7" w:rsidRPr="00A209EC" w:rsidRDefault="002E17F7" w:rsidP="009C75CC">
            <w:pPr>
              <w:pStyle w:val="TableDataColumnHeading"/>
              <w:spacing w:before="0"/>
              <w:rPr>
                <w:rFonts w:ascii="Franklin Gothic Book" w:hAnsi="Franklin Gothic Book"/>
              </w:rPr>
            </w:pPr>
          </w:p>
        </w:tc>
        <w:tc>
          <w:tcPr>
            <w:tcW w:w="851" w:type="dxa"/>
            <w:tcBorders>
              <w:top w:val="single" w:sz="2" w:space="0" w:color="6F6652"/>
              <w:left w:val="single" w:sz="2" w:space="0" w:color="6F6652"/>
              <w:bottom w:val="single" w:sz="8" w:space="0" w:color="FFFFFF" w:themeColor="background1"/>
              <w:right w:val="single" w:sz="2" w:space="0" w:color="6F6652"/>
            </w:tcBorders>
            <w:shd w:val="clear" w:color="auto" w:fill="6F6652"/>
            <w:tcMar>
              <w:left w:w="57" w:type="dxa"/>
              <w:right w:w="57" w:type="dxa"/>
            </w:tcMar>
          </w:tcPr>
          <w:p w:rsidR="002E17F7" w:rsidRPr="00A209EC" w:rsidRDefault="002E17F7" w:rsidP="009C75CC">
            <w:pPr>
              <w:pStyle w:val="TableDataColumnHeading"/>
              <w:spacing w:before="0"/>
              <w:rPr>
                <w:rFonts w:ascii="Franklin Gothic Book" w:hAnsi="Franklin Gothic Book"/>
              </w:rPr>
            </w:pPr>
            <w:r w:rsidRPr="00A209EC">
              <w:rPr>
                <w:rFonts w:ascii="Franklin Gothic Book" w:hAnsi="Franklin Gothic Book"/>
              </w:rPr>
              <w:t>$’000</w:t>
            </w:r>
          </w:p>
        </w:tc>
        <w:tc>
          <w:tcPr>
            <w:tcW w:w="908" w:type="dxa"/>
            <w:tcBorders>
              <w:top w:val="single" w:sz="2" w:space="0" w:color="6F6652"/>
              <w:left w:val="single" w:sz="2" w:space="0" w:color="6F6652"/>
              <w:bottom w:val="single" w:sz="8" w:space="0" w:color="FFFFFF" w:themeColor="background1"/>
              <w:right w:val="single" w:sz="2" w:space="0" w:color="6F6652"/>
            </w:tcBorders>
            <w:shd w:val="clear" w:color="auto" w:fill="6F6652"/>
            <w:tcMar>
              <w:left w:w="57" w:type="dxa"/>
              <w:right w:w="57" w:type="dxa"/>
            </w:tcMar>
          </w:tcPr>
          <w:p w:rsidR="002E17F7" w:rsidRPr="00A209EC" w:rsidRDefault="002E17F7" w:rsidP="009C75CC">
            <w:pPr>
              <w:pStyle w:val="TableDataColumnHeading"/>
              <w:spacing w:before="0"/>
              <w:rPr>
                <w:rFonts w:ascii="Franklin Gothic Book" w:hAnsi="Franklin Gothic Book"/>
              </w:rPr>
            </w:pPr>
            <w:r w:rsidRPr="00A209EC">
              <w:rPr>
                <w:rFonts w:ascii="Franklin Gothic Book" w:hAnsi="Franklin Gothic Book"/>
              </w:rPr>
              <w:t>$’000</w:t>
            </w:r>
          </w:p>
        </w:tc>
        <w:tc>
          <w:tcPr>
            <w:tcW w:w="368" w:type="dxa"/>
            <w:tcBorders>
              <w:top w:val="single" w:sz="2" w:space="0" w:color="6F6652"/>
              <w:left w:val="single" w:sz="2" w:space="0" w:color="6F6652"/>
              <w:bottom w:val="single" w:sz="8" w:space="0" w:color="FFFFFF" w:themeColor="background1"/>
              <w:right w:val="single" w:sz="2" w:space="0" w:color="6F6652"/>
            </w:tcBorders>
            <w:shd w:val="clear" w:color="auto" w:fill="6F6652"/>
            <w:tcMar>
              <w:left w:w="57" w:type="dxa"/>
              <w:right w:w="57" w:type="dxa"/>
            </w:tcMar>
          </w:tcPr>
          <w:p w:rsidR="002E17F7" w:rsidRPr="00A209EC" w:rsidRDefault="002E17F7" w:rsidP="009C75CC">
            <w:pPr>
              <w:pStyle w:val="TableDataColumnHeading"/>
              <w:spacing w:before="0"/>
              <w:jc w:val="center"/>
              <w:rPr>
                <w:rFonts w:ascii="Franklin Gothic Book" w:hAnsi="Franklin Gothic Book"/>
              </w:rPr>
            </w:pPr>
            <w:r>
              <w:rPr>
                <w:rFonts w:ascii="Franklin Gothic Book" w:hAnsi="Franklin Gothic Book"/>
              </w:rPr>
              <w:t>%</w:t>
            </w:r>
          </w:p>
        </w:tc>
        <w:tc>
          <w:tcPr>
            <w:tcW w:w="992" w:type="dxa"/>
            <w:tcBorders>
              <w:top w:val="single" w:sz="2" w:space="0" w:color="6F6652"/>
              <w:left w:val="single" w:sz="2" w:space="0" w:color="6F6652"/>
              <w:bottom w:val="single" w:sz="8" w:space="0" w:color="FFFFFF" w:themeColor="background1"/>
              <w:right w:val="single" w:sz="2" w:space="0" w:color="6F6652"/>
            </w:tcBorders>
            <w:shd w:val="clear" w:color="auto" w:fill="6F6652"/>
            <w:tcMar>
              <w:left w:w="57" w:type="dxa"/>
              <w:right w:w="57" w:type="dxa"/>
            </w:tcMar>
          </w:tcPr>
          <w:p w:rsidR="002E17F7" w:rsidRPr="00A209EC" w:rsidRDefault="002E17F7" w:rsidP="009C75CC">
            <w:pPr>
              <w:pStyle w:val="TableDataColumnHeading"/>
              <w:spacing w:before="0"/>
              <w:rPr>
                <w:rFonts w:ascii="Franklin Gothic Book" w:hAnsi="Franklin Gothic Book"/>
              </w:rPr>
            </w:pPr>
            <w:r w:rsidRPr="00A209EC">
              <w:rPr>
                <w:rFonts w:ascii="Franklin Gothic Book" w:hAnsi="Franklin Gothic Book"/>
              </w:rPr>
              <w:t>$’000</w:t>
            </w:r>
          </w:p>
        </w:tc>
        <w:tc>
          <w:tcPr>
            <w:tcW w:w="992" w:type="dxa"/>
            <w:tcBorders>
              <w:top w:val="single" w:sz="2" w:space="0" w:color="6F6652"/>
              <w:left w:val="single" w:sz="2" w:space="0" w:color="6F6652"/>
              <w:bottom w:val="single" w:sz="8" w:space="0" w:color="FFFFFF" w:themeColor="background1"/>
              <w:right w:val="single" w:sz="2" w:space="0" w:color="6F6652"/>
            </w:tcBorders>
            <w:shd w:val="clear" w:color="auto" w:fill="6F6652"/>
            <w:tcMar>
              <w:left w:w="57" w:type="dxa"/>
              <w:right w:w="57" w:type="dxa"/>
            </w:tcMar>
          </w:tcPr>
          <w:p w:rsidR="002E17F7" w:rsidRPr="00A209EC" w:rsidRDefault="002E17F7" w:rsidP="009C75CC">
            <w:pPr>
              <w:pStyle w:val="TableDataColumnHeading"/>
              <w:spacing w:before="0"/>
              <w:rPr>
                <w:rFonts w:ascii="Franklin Gothic Book" w:hAnsi="Franklin Gothic Book"/>
              </w:rPr>
            </w:pPr>
            <w:r w:rsidRPr="00A209EC">
              <w:rPr>
                <w:rFonts w:ascii="Franklin Gothic Book" w:hAnsi="Franklin Gothic Book"/>
              </w:rPr>
              <w:t>$’000</w:t>
            </w:r>
          </w:p>
        </w:tc>
        <w:tc>
          <w:tcPr>
            <w:tcW w:w="992" w:type="dxa"/>
            <w:tcBorders>
              <w:top w:val="single" w:sz="2" w:space="0" w:color="6F6652"/>
              <w:left w:val="single" w:sz="2" w:space="0" w:color="6F6652"/>
              <w:bottom w:val="single" w:sz="8" w:space="0" w:color="FFFFFF" w:themeColor="background1"/>
              <w:right w:val="single" w:sz="2" w:space="0" w:color="6F6652"/>
            </w:tcBorders>
            <w:shd w:val="clear" w:color="auto" w:fill="6F6652"/>
            <w:tcMar>
              <w:left w:w="57" w:type="dxa"/>
              <w:right w:w="57" w:type="dxa"/>
            </w:tcMar>
          </w:tcPr>
          <w:p w:rsidR="002E17F7" w:rsidRPr="00A209EC" w:rsidRDefault="002E17F7" w:rsidP="009C75CC">
            <w:pPr>
              <w:pStyle w:val="TableDataColumnHeading"/>
              <w:spacing w:before="0"/>
              <w:rPr>
                <w:rFonts w:ascii="Franklin Gothic Book" w:hAnsi="Franklin Gothic Book"/>
              </w:rPr>
            </w:pPr>
            <w:r w:rsidRPr="00A209EC">
              <w:rPr>
                <w:rFonts w:ascii="Franklin Gothic Book" w:hAnsi="Franklin Gothic Book"/>
              </w:rPr>
              <w:t>$’000</w:t>
            </w:r>
          </w:p>
        </w:tc>
      </w:tr>
      <w:tr w:rsidR="002E17F7" w:rsidTr="009C75C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D97096" w:rsidRDefault="002E17F7" w:rsidP="009C75CC">
            <w:pPr>
              <w:pStyle w:val="TableTextEntries"/>
              <w:spacing w:line="240" w:lineRule="auto"/>
              <w:jc w:val="right"/>
              <w:rPr>
                <w:rStyle w:val="CharacterStyle1"/>
              </w:rPr>
            </w:pPr>
            <w:r>
              <w:rPr>
                <w:rStyle w:val="CharacterStyle1"/>
              </w:rPr>
              <w:t>1 583 362</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pPr>
            <w:r>
              <w:t>Employee expenses (including employee superannuation)</w:t>
            </w:r>
          </w:p>
        </w:t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1 633 843</w:t>
            </w:r>
          </w:p>
        </w:tc>
        <w:tc>
          <w:tcPr>
            <w:tcW w:w="90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1 688 492</w:t>
            </w:r>
          </w:p>
        </w:tc>
        <w:tc>
          <w:tcPr>
            <w:tcW w:w="36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center"/>
            </w:pPr>
            <w:r>
              <w:t>3</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1 741 733</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1 818 072</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1 883 912</w:t>
            </w:r>
          </w:p>
        </w:tc>
      </w:tr>
      <w:tr w:rsidR="002E17F7" w:rsidTr="009C75C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D97096" w:rsidRDefault="002E17F7" w:rsidP="009C75CC">
            <w:pPr>
              <w:pStyle w:val="TableTextEntries"/>
              <w:spacing w:line="240" w:lineRule="auto"/>
              <w:jc w:val="right"/>
              <w:rPr>
                <w:rStyle w:val="CharacterStyle1"/>
              </w:rPr>
            </w:pPr>
            <w:r>
              <w:rPr>
                <w:rStyle w:val="CharacterStyle1"/>
              </w:rPr>
              <w:t>313 777</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after="0" w:line="240" w:lineRule="auto"/>
            </w:pPr>
            <w:r>
              <w:t xml:space="preserve">Superannuation </w:t>
            </w:r>
          </w:p>
          <w:p w:rsidR="002E17F7" w:rsidRDefault="002E17F7" w:rsidP="009C75CC">
            <w:pPr>
              <w:pStyle w:val="TableTextEntries"/>
              <w:spacing w:before="0" w:line="240" w:lineRule="auto"/>
            </w:pPr>
            <w:r>
              <w:t>Interest cost</w:t>
            </w:r>
          </w:p>
        </w:t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299 563</w:t>
            </w:r>
          </w:p>
        </w:tc>
        <w:tc>
          <w:tcPr>
            <w:tcW w:w="90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334 958</w:t>
            </w:r>
          </w:p>
        </w:tc>
        <w:tc>
          <w:tcPr>
            <w:tcW w:w="36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center"/>
            </w:pPr>
            <w:r>
              <w:t>12</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351 456</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367 587</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383 253</w:t>
            </w:r>
          </w:p>
        </w:tc>
      </w:tr>
      <w:tr w:rsidR="002E17F7" w:rsidTr="009C75C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D97096" w:rsidRDefault="002E17F7" w:rsidP="009C75CC">
            <w:pPr>
              <w:pStyle w:val="TableTextEntries"/>
              <w:spacing w:line="240" w:lineRule="auto"/>
              <w:jc w:val="right"/>
              <w:rPr>
                <w:rStyle w:val="CharacterStyle1"/>
              </w:rPr>
            </w:pPr>
            <w:r>
              <w:rPr>
                <w:rStyle w:val="CharacterStyle1"/>
              </w:rPr>
              <w:t>242 113</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after="0" w:line="240" w:lineRule="auto"/>
            </w:pPr>
            <w:r>
              <w:t xml:space="preserve">Other </w:t>
            </w:r>
          </w:p>
          <w:p w:rsidR="002E17F7" w:rsidRDefault="002E17F7" w:rsidP="009C75CC">
            <w:pPr>
              <w:pStyle w:val="TableTextEntries"/>
              <w:spacing w:before="0" w:line="240" w:lineRule="auto"/>
            </w:pPr>
            <w:r>
              <w:t>Superannuation expenses</w:t>
            </w:r>
          </w:p>
        </w:t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306 225</w:t>
            </w:r>
          </w:p>
        </w:tc>
        <w:tc>
          <w:tcPr>
            <w:tcW w:w="90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259 202</w:t>
            </w:r>
          </w:p>
        </w:tc>
        <w:tc>
          <w:tcPr>
            <w:tcW w:w="36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center"/>
            </w:pPr>
            <w:r>
              <w:t>-15</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262 650</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271 674</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273 981</w:t>
            </w:r>
          </w:p>
        </w:tc>
      </w:tr>
      <w:tr w:rsidR="002E17F7" w:rsidTr="009C75C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D97096" w:rsidRDefault="002E17F7" w:rsidP="009C75CC">
            <w:pPr>
              <w:pStyle w:val="TableTextEntries"/>
              <w:spacing w:line="240" w:lineRule="auto"/>
              <w:jc w:val="right"/>
              <w:rPr>
                <w:rStyle w:val="CharacterStyle1"/>
              </w:rPr>
            </w:pPr>
            <w:r>
              <w:rPr>
                <w:rStyle w:val="CharacterStyle1"/>
              </w:rPr>
              <w:t>338 863</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pPr>
            <w:r>
              <w:t>Depreciation and Amortisation</w:t>
            </w:r>
          </w:p>
        </w:t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332 897</w:t>
            </w:r>
          </w:p>
        </w:tc>
        <w:tc>
          <w:tcPr>
            <w:tcW w:w="90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359 889</w:t>
            </w:r>
          </w:p>
        </w:tc>
        <w:tc>
          <w:tcPr>
            <w:tcW w:w="36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center"/>
            </w:pPr>
            <w:r>
              <w:t>8</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374 056</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385 579</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390 350</w:t>
            </w:r>
          </w:p>
        </w:tc>
      </w:tr>
      <w:tr w:rsidR="002E17F7" w:rsidTr="009C75C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D97096" w:rsidRDefault="002E17F7" w:rsidP="009C75CC">
            <w:pPr>
              <w:pStyle w:val="TableTextEntries"/>
              <w:spacing w:line="240" w:lineRule="auto"/>
              <w:jc w:val="right"/>
            </w:pPr>
            <w:r>
              <w:t>149 775</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pPr>
            <w:r>
              <w:t>Interest expense</w:t>
            </w:r>
          </w:p>
        </w:t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148 259</w:t>
            </w:r>
          </w:p>
        </w:tc>
        <w:tc>
          <w:tcPr>
            <w:tcW w:w="90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168 474</w:t>
            </w:r>
          </w:p>
        </w:tc>
        <w:tc>
          <w:tcPr>
            <w:tcW w:w="36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center"/>
            </w:pPr>
            <w:r>
              <w:t>14</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193 892</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206 825</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215 651</w:t>
            </w:r>
          </w:p>
        </w:tc>
      </w:tr>
      <w:tr w:rsidR="002E17F7" w:rsidTr="009C75C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D97096" w:rsidRDefault="002E17F7" w:rsidP="009C75CC">
            <w:pPr>
              <w:pStyle w:val="TableTextEntries"/>
              <w:spacing w:line="240" w:lineRule="auto"/>
              <w:jc w:val="right"/>
            </w:pPr>
            <w:r>
              <w:t>919 472</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pPr>
            <w:r>
              <w:t>Supplies and services</w:t>
            </w:r>
          </w:p>
        </w:t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860 498</w:t>
            </w:r>
          </w:p>
        </w:tc>
        <w:tc>
          <w:tcPr>
            <w:tcW w:w="90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980 443</w:t>
            </w:r>
          </w:p>
        </w:tc>
        <w:tc>
          <w:tcPr>
            <w:tcW w:w="36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center"/>
            </w:pPr>
            <w:r>
              <w:t>14</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934 003</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945 033</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988 120</w:t>
            </w:r>
          </w:p>
        </w:tc>
      </w:tr>
      <w:tr w:rsidR="002E17F7" w:rsidTr="009C75C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D97096" w:rsidRDefault="002E17F7" w:rsidP="009C75CC">
            <w:pPr>
              <w:pStyle w:val="TableTextEntries"/>
              <w:spacing w:line="240" w:lineRule="auto"/>
              <w:jc w:val="right"/>
              <w:rPr>
                <w:rStyle w:val="CharacterStyle1"/>
              </w:rPr>
            </w:pPr>
            <w:r>
              <w:rPr>
                <w:rStyle w:val="CharacterStyle1"/>
              </w:rPr>
              <w:t>199 788</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pPr>
            <w:r>
              <w:t>Other operating expenses</w:t>
            </w:r>
          </w:p>
        </w:tc>
        <w:tc>
          <w:tcPr>
            <w:tcW w:w="8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173 096</w:t>
            </w:r>
          </w:p>
        </w:tc>
        <w:tc>
          <w:tcPr>
            <w:tcW w:w="90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197 813</w:t>
            </w:r>
          </w:p>
        </w:tc>
        <w:tc>
          <w:tcPr>
            <w:tcW w:w="368"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center"/>
            </w:pPr>
            <w:r>
              <w:t>14</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200 454</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207 515</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216 087</w:t>
            </w:r>
          </w:p>
        </w:tc>
      </w:tr>
      <w:tr w:rsidR="002E17F7" w:rsidTr="009C75CC">
        <w:tc>
          <w:tcPr>
            <w:tcW w:w="851" w:type="dxa"/>
            <w:tcBorders>
              <w:top w:val="single" w:sz="8" w:space="0" w:color="FFFFFF" w:themeColor="background1"/>
              <w:bottom w:val="single" w:sz="2" w:space="0" w:color="DBD6CC"/>
            </w:tcBorders>
            <w:shd w:val="clear" w:color="auto" w:fill="E9E8E5" w:themeFill="background2"/>
            <w:tcMar>
              <w:left w:w="57" w:type="dxa"/>
              <w:right w:w="57" w:type="dxa"/>
            </w:tcMar>
          </w:tcPr>
          <w:p w:rsidR="002E17F7" w:rsidRPr="00D97096" w:rsidRDefault="002E17F7" w:rsidP="009C75CC">
            <w:pPr>
              <w:pStyle w:val="TableTextEntries"/>
              <w:spacing w:line="240" w:lineRule="auto"/>
              <w:jc w:val="right"/>
              <w:rPr>
                <w:rStyle w:val="CharacterStyle1"/>
              </w:rPr>
            </w:pPr>
            <w:r>
              <w:rPr>
                <w:rStyle w:val="CharacterStyle1"/>
              </w:rPr>
              <w:t>830 726</w:t>
            </w:r>
          </w:p>
        </w:tc>
        <w:tc>
          <w:tcPr>
            <w:tcW w:w="1984" w:type="dxa"/>
            <w:tcBorders>
              <w:top w:val="single" w:sz="8" w:space="0" w:color="FFFFFF" w:themeColor="background1"/>
              <w:bottom w:val="single" w:sz="2" w:space="0" w:color="DBD6CC"/>
            </w:tcBorders>
            <w:shd w:val="clear" w:color="auto" w:fill="E9E8E5" w:themeFill="background2"/>
            <w:tcMar>
              <w:left w:w="57" w:type="dxa"/>
              <w:right w:w="57" w:type="dxa"/>
            </w:tcMar>
          </w:tcPr>
          <w:p w:rsidR="002E17F7" w:rsidRDefault="002E17F7" w:rsidP="009C75CC">
            <w:pPr>
              <w:pStyle w:val="TableTextEntries"/>
              <w:spacing w:line="240" w:lineRule="auto"/>
            </w:pPr>
            <w:r>
              <w:t>Grants expenses</w:t>
            </w:r>
          </w:p>
        </w:tc>
        <w:tc>
          <w:tcPr>
            <w:tcW w:w="851" w:type="dxa"/>
            <w:tcBorders>
              <w:top w:val="single" w:sz="8" w:space="0" w:color="FFFFFF" w:themeColor="background1"/>
              <w:bottom w:val="single" w:sz="2" w:space="0" w:color="DBD6CC"/>
            </w:tcBorders>
            <w:shd w:val="clear" w:color="auto" w:fill="E9E8E5" w:themeFill="background2"/>
            <w:tcMar>
              <w:left w:w="57" w:type="dxa"/>
              <w:right w:w="57" w:type="dxa"/>
            </w:tcMar>
          </w:tcPr>
          <w:p w:rsidR="002E17F7" w:rsidRDefault="002E17F7" w:rsidP="009C75CC">
            <w:pPr>
              <w:pStyle w:val="TableTextEntries"/>
              <w:spacing w:line="240" w:lineRule="auto"/>
              <w:jc w:val="right"/>
            </w:pPr>
            <w:r>
              <w:t>831 809</w:t>
            </w:r>
          </w:p>
        </w:tc>
        <w:tc>
          <w:tcPr>
            <w:tcW w:w="908" w:type="dxa"/>
            <w:tcBorders>
              <w:top w:val="single" w:sz="8" w:space="0" w:color="FFFFFF" w:themeColor="background1"/>
              <w:bottom w:val="single" w:sz="2" w:space="0" w:color="DBD6CC"/>
            </w:tcBorders>
            <w:shd w:val="clear" w:color="auto" w:fill="E9E8E5" w:themeFill="background2"/>
            <w:tcMar>
              <w:left w:w="57" w:type="dxa"/>
              <w:right w:w="57" w:type="dxa"/>
            </w:tcMar>
          </w:tcPr>
          <w:p w:rsidR="002E17F7" w:rsidRDefault="002E17F7" w:rsidP="009C75CC">
            <w:pPr>
              <w:pStyle w:val="TableTextEntries"/>
              <w:spacing w:line="240" w:lineRule="auto"/>
              <w:jc w:val="right"/>
            </w:pPr>
            <w:r>
              <w:t>869 077</w:t>
            </w:r>
          </w:p>
        </w:tc>
        <w:tc>
          <w:tcPr>
            <w:tcW w:w="368" w:type="dxa"/>
            <w:tcBorders>
              <w:top w:val="single" w:sz="8" w:space="0" w:color="FFFFFF" w:themeColor="background1"/>
              <w:bottom w:val="single" w:sz="2" w:space="0" w:color="DBD6CC"/>
            </w:tcBorders>
            <w:shd w:val="clear" w:color="auto" w:fill="E9E8E5" w:themeFill="background2"/>
            <w:tcMar>
              <w:left w:w="57" w:type="dxa"/>
              <w:right w:w="57" w:type="dxa"/>
            </w:tcMar>
          </w:tcPr>
          <w:p w:rsidR="002E17F7" w:rsidRDefault="002E17F7" w:rsidP="009C75CC">
            <w:pPr>
              <w:pStyle w:val="TableTextEntries"/>
              <w:spacing w:line="240" w:lineRule="auto"/>
              <w:jc w:val="center"/>
            </w:pPr>
            <w:r>
              <w:t>4</w:t>
            </w:r>
          </w:p>
        </w:tc>
        <w:tc>
          <w:tcPr>
            <w:tcW w:w="992" w:type="dxa"/>
            <w:tcBorders>
              <w:top w:val="single" w:sz="8" w:space="0" w:color="FFFFFF" w:themeColor="background1"/>
              <w:bottom w:val="single" w:sz="2" w:space="0" w:color="DBD6CC"/>
            </w:tcBorders>
            <w:shd w:val="clear" w:color="auto" w:fill="E9E8E5" w:themeFill="background2"/>
            <w:tcMar>
              <w:left w:w="57" w:type="dxa"/>
              <w:right w:w="57" w:type="dxa"/>
            </w:tcMar>
          </w:tcPr>
          <w:p w:rsidR="002E17F7" w:rsidRDefault="002E17F7" w:rsidP="009C75CC">
            <w:pPr>
              <w:pStyle w:val="TableTextEntries"/>
              <w:spacing w:line="240" w:lineRule="auto"/>
              <w:jc w:val="right"/>
            </w:pPr>
            <w:r>
              <w:t>836 420</w:t>
            </w:r>
          </w:p>
        </w:tc>
        <w:tc>
          <w:tcPr>
            <w:tcW w:w="992" w:type="dxa"/>
            <w:tcBorders>
              <w:top w:val="single" w:sz="8" w:space="0" w:color="FFFFFF" w:themeColor="background1"/>
              <w:bottom w:val="single" w:sz="2" w:space="0" w:color="DBD6CC"/>
            </w:tcBorders>
            <w:shd w:val="clear" w:color="auto" w:fill="E9E8E5" w:themeFill="background2"/>
            <w:tcMar>
              <w:left w:w="57" w:type="dxa"/>
              <w:right w:w="57" w:type="dxa"/>
            </w:tcMar>
          </w:tcPr>
          <w:p w:rsidR="002E17F7" w:rsidRDefault="002E17F7" w:rsidP="009C75CC">
            <w:pPr>
              <w:pStyle w:val="TableTextEntries"/>
              <w:spacing w:line="240" w:lineRule="auto"/>
              <w:jc w:val="right"/>
            </w:pPr>
            <w:r>
              <w:t>868 435</w:t>
            </w:r>
          </w:p>
        </w:tc>
        <w:tc>
          <w:tcPr>
            <w:tcW w:w="992" w:type="dxa"/>
            <w:tcBorders>
              <w:top w:val="single" w:sz="8" w:space="0" w:color="FFFFFF" w:themeColor="background1"/>
              <w:bottom w:val="single" w:sz="2" w:space="0" w:color="DBD6CC"/>
            </w:tcBorders>
            <w:shd w:val="clear" w:color="auto" w:fill="E9E8E5" w:themeFill="background2"/>
            <w:tcMar>
              <w:left w:w="57" w:type="dxa"/>
              <w:right w:w="57" w:type="dxa"/>
            </w:tcMar>
          </w:tcPr>
          <w:p w:rsidR="002E17F7" w:rsidRDefault="002E17F7" w:rsidP="009C75CC">
            <w:pPr>
              <w:pStyle w:val="TableTextEntries"/>
              <w:spacing w:line="240" w:lineRule="auto"/>
              <w:jc w:val="right"/>
            </w:pPr>
            <w:r>
              <w:t>891 026</w:t>
            </w:r>
          </w:p>
        </w:tc>
      </w:tr>
      <w:tr w:rsidR="002E17F7" w:rsidRPr="00B0460C" w:rsidTr="009C75CC">
        <w:tc>
          <w:tcPr>
            <w:tcW w:w="851" w:type="dxa"/>
            <w:tcBorders>
              <w:top w:val="single" w:sz="2" w:space="0" w:color="DBD6CC"/>
              <w:left w:val="single" w:sz="2" w:space="0" w:color="DBD6CC"/>
              <w:bottom w:val="single" w:sz="2" w:space="0" w:color="6F6652"/>
              <w:right w:val="single" w:sz="2" w:space="0" w:color="DBD6CC"/>
            </w:tcBorders>
            <w:shd w:val="clear" w:color="auto" w:fill="C2DADB" w:themeFill="accent6" w:themeFillTint="99"/>
            <w:tcMar>
              <w:left w:w="57" w:type="dxa"/>
              <w:right w:w="57" w:type="dxa"/>
            </w:tcMar>
            <w:vAlign w:val="center"/>
          </w:tcPr>
          <w:p w:rsidR="002E17F7" w:rsidRPr="00B0460C" w:rsidRDefault="002E17F7" w:rsidP="009C75CC">
            <w:pPr>
              <w:pStyle w:val="TableTextEntries"/>
              <w:spacing w:line="240" w:lineRule="auto"/>
              <w:jc w:val="right"/>
              <w:rPr>
                <w:rFonts w:ascii="Franklin Gothic Demi" w:hAnsi="Franklin Gothic Demi"/>
              </w:rPr>
            </w:pPr>
            <w:r w:rsidRPr="00B0460C">
              <w:rPr>
                <w:rFonts w:ascii="Franklin Gothic Demi" w:hAnsi="Franklin Gothic Demi"/>
              </w:rPr>
              <w:t>4 577 876</w:t>
            </w:r>
          </w:p>
        </w:tc>
        <w:tc>
          <w:tcPr>
            <w:tcW w:w="1984" w:type="dxa"/>
            <w:tcBorders>
              <w:top w:val="single" w:sz="2" w:space="0" w:color="DBD6CC"/>
              <w:left w:val="single" w:sz="2" w:space="0" w:color="DBD6CC"/>
              <w:bottom w:val="single" w:sz="2" w:space="0" w:color="6F6652"/>
              <w:right w:val="single" w:sz="2" w:space="0" w:color="DBD6CC"/>
            </w:tcBorders>
            <w:shd w:val="clear" w:color="auto" w:fill="C2DADB" w:themeFill="accent6" w:themeFillTint="99"/>
            <w:tcMar>
              <w:left w:w="57" w:type="dxa"/>
              <w:right w:w="57" w:type="dxa"/>
            </w:tcMar>
          </w:tcPr>
          <w:p w:rsidR="002E17F7" w:rsidRPr="00B0460C" w:rsidRDefault="002E17F7" w:rsidP="009C75CC">
            <w:pPr>
              <w:pStyle w:val="TableTextEntries"/>
              <w:spacing w:line="240" w:lineRule="auto"/>
              <w:rPr>
                <w:rFonts w:ascii="Franklin Gothic Demi" w:hAnsi="Franklin Gothic Demi"/>
              </w:rPr>
            </w:pPr>
            <w:r w:rsidRPr="00B0460C">
              <w:rPr>
                <w:rFonts w:ascii="Franklin Gothic Demi" w:hAnsi="Franklin Gothic Demi"/>
              </w:rPr>
              <w:t>Total expenses</w:t>
            </w:r>
          </w:p>
        </w:tc>
        <w:tc>
          <w:tcPr>
            <w:tcW w:w="851" w:type="dxa"/>
            <w:tcBorders>
              <w:top w:val="single" w:sz="2" w:space="0" w:color="DBD6CC"/>
              <w:left w:val="single" w:sz="2" w:space="0" w:color="DBD6CC"/>
              <w:bottom w:val="single" w:sz="2" w:space="0" w:color="6F6652"/>
              <w:right w:val="single" w:sz="2" w:space="0" w:color="DBD6CC"/>
            </w:tcBorders>
            <w:shd w:val="clear" w:color="auto" w:fill="C2DADB" w:themeFill="accent6" w:themeFillTint="99"/>
            <w:tcMar>
              <w:left w:w="57" w:type="dxa"/>
              <w:right w:w="57" w:type="dxa"/>
            </w:tcMar>
          </w:tcPr>
          <w:p w:rsidR="002E17F7" w:rsidRPr="00B0460C" w:rsidRDefault="002E17F7" w:rsidP="009C75CC">
            <w:pPr>
              <w:pStyle w:val="TableTextEntries"/>
              <w:spacing w:line="240" w:lineRule="auto"/>
              <w:jc w:val="right"/>
              <w:rPr>
                <w:rFonts w:ascii="Franklin Gothic Demi" w:hAnsi="Franklin Gothic Demi"/>
              </w:rPr>
            </w:pPr>
          </w:p>
        </w:tc>
        <w:tc>
          <w:tcPr>
            <w:tcW w:w="908" w:type="dxa"/>
            <w:tcBorders>
              <w:top w:val="single" w:sz="2" w:space="0" w:color="DBD6CC"/>
              <w:left w:val="single" w:sz="2" w:space="0" w:color="DBD6CC"/>
              <w:bottom w:val="single" w:sz="2" w:space="0" w:color="6F6652"/>
              <w:right w:val="single" w:sz="2" w:space="0" w:color="DBD6CC"/>
            </w:tcBorders>
            <w:shd w:val="clear" w:color="auto" w:fill="C2DADB" w:themeFill="accent6" w:themeFillTint="99"/>
            <w:tcMar>
              <w:left w:w="57" w:type="dxa"/>
              <w:right w:w="57" w:type="dxa"/>
            </w:tcMar>
          </w:tcPr>
          <w:p w:rsidR="002E17F7" w:rsidRPr="00B0460C" w:rsidRDefault="002E17F7" w:rsidP="009C75CC">
            <w:pPr>
              <w:pStyle w:val="TableTextEntries"/>
              <w:spacing w:line="240" w:lineRule="auto"/>
              <w:jc w:val="right"/>
              <w:rPr>
                <w:rFonts w:ascii="Franklin Gothic Demi" w:hAnsi="Franklin Gothic Demi"/>
              </w:rPr>
            </w:pPr>
            <w:r w:rsidRPr="00B0460C">
              <w:rPr>
                <w:rFonts w:ascii="Franklin Gothic Demi" w:hAnsi="Franklin Gothic Demi"/>
              </w:rPr>
              <w:t>4 858 348</w:t>
            </w:r>
          </w:p>
        </w:tc>
        <w:tc>
          <w:tcPr>
            <w:tcW w:w="368" w:type="dxa"/>
            <w:tcBorders>
              <w:top w:val="single" w:sz="2" w:space="0" w:color="DBD6CC"/>
              <w:left w:val="single" w:sz="2" w:space="0" w:color="DBD6CC"/>
              <w:bottom w:val="single" w:sz="2" w:space="0" w:color="6F6652"/>
              <w:right w:val="single" w:sz="2" w:space="0" w:color="DBD6CC"/>
            </w:tcBorders>
            <w:shd w:val="clear" w:color="auto" w:fill="C2DADB" w:themeFill="accent6" w:themeFillTint="99"/>
            <w:tcMar>
              <w:left w:w="57" w:type="dxa"/>
              <w:right w:w="57" w:type="dxa"/>
            </w:tcMar>
          </w:tcPr>
          <w:p w:rsidR="002E17F7" w:rsidRPr="00B0460C" w:rsidRDefault="002E17F7" w:rsidP="009C75CC">
            <w:pPr>
              <w:pStyle w:val="TableTextEntries"/>
              <w:spacing w:line="240" w:lineRule="auto"/>
              <w:jc w:val="center"/>
              <w:rPr>
                <w:rFonts w:ascii="Franklin Gothic Demi" w:hAnsi="Franklin Gothic Demi"/>
              </w:rPr>
            </w:pPr>
            <w:r w:rsidRPr="00B0460C">
              <w:rPr>
                <w:rFonts w:ascii="Franklin Gothic Demi" w:hAnsi="Franklin Gothic Demi"/>
              </w:rPr>
              <w:t>6</w:t>
            </w:r>
          </w:p>
        </w:tc>
        <w:tc>
          <w:tcPr>
            <w:tcW w:w="992" w:type="dxa"/>
            <w:tcBorders>
              <w:top w:val="single" w:sz="2" w:space="0" w:color="DBD6CC"/>
              <w:left w:val="single" w:sz="2" w:space="0" w:color="DBD6CC"/>
              <w:bottom w:val="single" w:sz="2" w:space="0" w:color="6F6652"/>
              <w:right w:val="single" w:sz="2" w:space="0" w:color="DBD6CC"/>
            </w:tcBorders>
            <w:shd w:val="clear" w:color="auto" w:fill="C2DADB" w:themeFill="accent6" w:themeFillTint="99"/>
            <w:tcMar>
              <w:left w:w="57" w:type="dxa"/>
              <w:right w:w="57" w:type="dxa"/>
            </w:tcMar>
          </w:tcPr>
          <w:p w:rsidR="002E17F7" w:rsidRPr="00B0460C" w:rsidRDefault="002E17F7" w:rsidP="009C75CC">
            <w:pPr>
              <w:pStyle w:val="TableTextEntries"/>
              <w:spacing w:line="240" w:lineRule="auto"/>
              <w:jc w:val="right"/>
              <w:rPr>
                <w:rFonts w:ascii="Franklin Gothic Demi" w:hAnsi="Franklin Gothic Demi"/>
              </w:rPr>
            </w:pPr>
            <w:r w:rsidRPr="00B0460C">
              <w:rPr>
                <w:rFonts w:ascii="Franklin Gothic Demi" w:hAnsi="Franklin Gothic Demi"/>
              </w:rPr>
              <w:t>4 894 664</w:t>
            </w:r>
          </w:p>
        </w:tc>
        <w:tc>
          <w:tcPr>
            <w:tcW w:w="992" w:type="dxa"/>
            <w:tcBorders>
              <w:top w:val="single" w:sz="2" w:space="0" w:color="DBD6CC"/>
              <w:left w:val="single" w:sz="2" w:space="0" w:color="DBD6CC"/>
              <w:bottom w:val="single" w:sz="2" w:space="0" w:color="6F6652"/>
              <w:right w:val="single" w:sz="2" w:space="0" w:color="DBD6CC"/>
            </w:tcBorders>
            <w:shd w:val="clear" w:color="auto" w:fill="C2DADB" w:themeFill="accent6" w:themeFillTint="99"/>
            <w:tcMar>
              <w:left w:w="57" w:type="dxa"/>
              <w:right w:w="57" w:type="dxa"/>
            </w:tcMar>
          </w:tcPr>
          <w:p w:rsidR="002E17F7" w:rsidRPr="00B0460C" w:rsidRDefault="002E17F7" w:rsidP="009C75CC">
            <w:pPr>
              <w:pStyle w:val="TableTextEntries"/>
              <w:spacing w:line="240" w:lineRule="auto"/>
              <w:jc w:val="right"/>
              <w:rPr>
                <w:rFonts w:ascii="Franklin Gothic Demi" w:hAnsi="Franklin Gothic Demi"/>
              </w:rPr>
            </w:pPr>
            <w:r w:rsidRPr="00B0460C">
              <w:rPr>
                <w:rFonts w:ascii="Franklin Gothic Demi" w:hAnsi="Franklin Gothic Demi"/>
              </w:rPr>
              <w:t>5 070 720</w:t>
            </w:r>
          </w:p>
        </w:tc>
        <w:tc>
          <w:tcPr>
            <w:tcW w:w="992" w:type="dxa"/>
            <w:tcBorders>
              <w:top w:val="single" w:sz="2" w:space="0" w:color="DBD6CC"/>
              <w:left w:val="single" w:sz="2" w:space="0" w:color="DBD6CC"/>
              <w:bottom w:val="single" w:sz="2" w:space="0" w:color="6F6652"/>
              <w:right w:val="single" w:sz="2" w:space="0" w:color="DBD6CC"/>
            </w:tcBorders>
            <w:shd w:val="clear" w:color="auto" w:fill="C2DADB" w:themeFill="accent6" w:themeFillTint="99"/>
            <w:tcMar>
              <w:left w:w="57" w:type="dxa"/>
              <w:right w:w="57" w:type="dxa"/>
            </w:tcMar>
          </w:tcPr>
          <w:p w:rsidR="002E17F7" w:rsidRPr="00B0460C" w:rsidRDefault="002E17F7" w:rsidP="009C75CC">
            <w:pPr>
              <w:pStyle w:val="TableTextEntries"/>
              <w:spacing w:line="240" w:lineRule="auto"/>
              <w:jc w:val="right"/>
              <w:rPr>
                <w:rFonts w:ascii="Franklin Gothic Demi" w:hAnsi="Franklin Gothic Demi"/>
              </w:rPr>
            </w:pPr>
            <w:r w:rsidRPr="00B0460C">
              <w:rPr>
                <w:rFonts w:ascii="Franklin Gothic Demi" w:hAnsi="Franklin Gothic Demi"/>
              </w:rPr>
              <w:t>5 242 380</w:t>
            </w:r>
          </w:p>
        </w:tc>
      </w:tr>
    </w:tbl>
    <w:p w:rsidR="002E17F7" w:rsidRDefault="002E17F7" w:rsidP="002E17F7">
      <w:pPr>
        <w:pStyle w:val="Source"/>
      </w:pPr>
      <w:proofErr w:type="gramStart"/>
      <w:r>
        <w:rPr>
          <w:i/>
        </w:rPr>
        <w:t>Source</w:t>
      </w:r>
      <w:r w:rsidRPr="00E4232C">
        <w:rPr>
          <w:i/>
        </w:rPr>
        <w:t>:</w:t>
      </w:r>
      <w:r>
        <w:t xml:space="preserve"> ACT Government Budget 2013-14: Budget Paper 3</w:t>
      </w:r>
      <w:r w:rsidR="00C82C2A">
        <w:t>.</w:t>
      </w:r>
      <w:proofErr w:type="gramEnd"/>
    </w:p>
    <w:p w:rsidR="00C82C2A" w:rsidRPr="00C82C2A" w:rsidRDefault="00C82C2A" w:rsidP="00C82C2A">
      <w:pPr>
        <w:pStyle w:val="Invisiblepara"/>
        <w:rPr>
          <w:lang w:eastAsia="en-US"/>
        </w:rPr>
      </w:pPr>
    </w:p>
    <w:p w:rsidR="002E17F7" w:rsidRDefault="002E17F7" w:rsidP="00284F89">
      <w:pPr>
        <w:pStyle w:val="ListBullet"/>
        <w:numPr>
          <w:ilvl w:val="0"/>
          <w:numId w:val="4"/>
        </w:numPr>
      </w:pPr>
      <w:proofErr w:type="gramStart"/>
      <w:r w:rsidRPr="00707DB8">
        <w:rPr>
          <w:b/>
          <w:i/>
        </w:rPr>
        <w:t>Employee expenses.</w:t>
      </w:r>
      <w:proofErr w:type="gramEnd"/>
      <w:r>
        <w:t xml:space="preserve"> Revised wage parameters from the 2013/14 Budget have led to an upwards revision of $50.5 million for the employee expenses component of General Government Expenditure (GGE). Employee expenses </w:t>
      </w:r>
      <w:proofErr w:type="gramStart"/>
      <w:r>
        <w:t>are forecast</w:t>
      </w:r>
      <w:proofErr w:type="gramEnd"/>
      <w:r>
        <w:t xml:space="preserve"> to increase by $54.5 million (3.3 per cent) due to the effect of indexation on employee expenses and growth in health related expenses. Employee expenses are a stable component of GGE and </w:t>
      </w:r>
      <w:proofErr w:type="gramStart"/>
      <w:r>
        <w:t>are forecast</w:t>
      </w:r>
      <w:proofErr w:type="gramEnd"/>
      <w:r>
        <w:t xml:space="preserve"> to increase consistently. Given they are the largest component of GGE this is the main driver of future increases in total GGE.</w:t>
      </w:r>
    </w:p>
    <w:p w:rsidR="002E17F7" w:rsidRDefault="002E17F7" w:rsidP="00284F89">
      <w:pPr>
        <w:pStyle w:val="ListBullet"/>
        <w:numPr>
          <w:ilvl w:val="0"/>
          <w:numId w:val="4"/>
        </w:numPr>
      </w:pPr>
      <w:proofErr w:type="gramStart"/>
      <w:r w:rsidRPr="00707DB8">
        <w:rPr>
          <w:b/>
          <w:i/>
        </w:rPr>
        <w:t>Superannuation interest costs and expenses</w:t>
      </w:r>
      <w:r>
        <w:t>.</w:t>
      </w:r>
      <w:proofErr w:type="gramEnd"/>
      <w:r>
        <w:t xml:space="preserve"> Superannuation interest costs and expenses </w:t>
      </w:r>
      <w:proofErr w:type="gramStart"/>
      <w:r>
        <w:t>should be considered</w:t>
      </w:r>
      <w:proofErr w:type="gramEnd"/>
      <w:r>
        <w:t xml:space="preserve"> together because they represent defined benefit liabilities and other superannuation arrangements and are driven by the same factors. The increase of the 2013-14 estimated </w:t>
      </w:r>
      <w:proofErr w:type="gramStart"/>
      <w:r>
        <w:t>outcome</w:t>
      </w:r>
      <w:proofErr w:type="gramEnd"/>
      <w:r>
        <w:t xml:space="preserve"> of $49.9 million is due to the lower than estimated discount rate of 4.3 per cent (compared to the long-run average used in Budget forecasts of 6 per cent). Hence, while other superannuation expenses increased significantly between the 2013-14 Budget estimates and the estimated outcome for 2013-14 from the 2014-15 </w:t>
      </w:r>
      <w:proofErr w:type="gramStart"/>
      <w:r>
        <w:t>Budget</w:t>
      </w:r>
      <w:proofErr w:type="gramEnd"/>
      <w:r>
        <w:t xml:space="preserve">, this is not necessarily reason to believe that the forecasts of superannuation expenses are understated. It is reasonable to use the long-run average discount rate. In general, the trend of increasing total superannuation expenses is a driver of GGE. </w:t>
      </w:r>
    </w:p>
    <w:p w:rsidR="002E17F7" w:rsidRPr="00DE6E1C" w:rsidRDefault="002E17F7" w:rsidP="00284F89">
      <w:pPr>
        <w:pStyle w:val="ListBullet"/>
        <w:numPr>
          <w:ilvl w:val="0"/>
          <w:numId w:val="4"/>
        </w:numPr>
      </w:pPr>
      <w:proofErr w:type="gramStart"/>
      <w:r w:rsidRPr="00DE6E1C">
        <w:rPr>
          <w:b/>
          <w:i/>
        </w:rPr>
        <w:t>Depreciation and amortisation</w:t>
      </w:r>
      <w:r w:rsidRPr="00DE6E1C">
        <w:t>.</w:t>
      </w:r>
      <w:proofErr w:type="gramEnd"/>
      <w:r w:rsidRPr="00DE6E1C">
        <w:t xml:space="preserve"> Depreciation and amortisation costs largely reflect the timing (and delays) of major infrastructure projects. While depreciation and amortisation costs are</w:t>
      </w:r>
      <w:r>
        <w:t xml:space="preserve"> marginally</w:t>
      </w:r>
      <w:r w:rsidRPr="00DE6E1C">
        <w:t xml:space="preserve"> lower than the estimated cost in last year’s </w:t>
      </w:r>
      <w:r>
        <w:t>Budget</w:t>
      </w:r>
      <w:r w:rsidRPr="00DE6E1C">
        <w:t xml:space="preserve">, they </w:t>
      </w:r>
      <w:proofErr w:type="gramStart"/>
      <w:r>
        <w:t>are forecasted</w:t>
      </w:r>
      <w:proofErr w:type="gramEnd"/>
      <w:r>
        <w:t xml:space="preserve"> to rise gradually in future years, reflecting the </w:t>
      </w:r>
      <w:r w:rsidR="00C82C2A">
        <w:t>completion of capital projects.</w:t>
      </w:r>
    </w:p>
    <w:p w:rsidR="002E17F7" w:rsidRPr="00DE6E1C" w:rsidRDefault="002E17F7" w:rsidP="00284F89">
      <w:pPr>
        <w:pStyle w:val="ListBullet"/>
        <w:numPr>
          <w:ilvl w:val="0"/>
          <w:numId w:val="4"/>
        </w:numPr>
      </w:pPr>
      <w:proofErr w:type="gramStart"/>
      <w:r w:rsidRPr="00DE6E1C">
        <w:rPr>
          <w:b/>
          <w:i/>
        </w:rPr>
        <w:lastRenderedPageBreak/>
        <w:t>Interest expenses</w:t>
      </w:r>
      <w:r w:rsidRPr="00DE6E1C">
        <w:t>.</w:t>
      </w:r>
      <w:proofErr w:type="gramEnd"/>
      <w:r w:rsidRPr="00DE6E1C">
        <w:t xml:space="preserve"> </w:t>
      </w:r>
      <w:r>
        <w:t>The timing profile of required borrowings has led to lower borrowing interest</w:t>
      </w:r>
      <w:r w:rsidRPr="00DE6E1C">
        <w:t xml:space="preserve"> </w:t>
      </w:r>
      <w:r>
        <w:t>costs and therefore a downwards revision in the estimated interest expenses of $1.5 million. A forecasted increase of $20.2 million in 2014-15 is due to higher levels of borrowings.</w:t>
      </w:r>
    </w:p>
    <w:p w:rsidR="002E17F7" w:rsidRPr="00D14284" w:rsidRDefault="002E17F7" w:rsidP="00284F89">
      <w:pPr>
        <w:pStyle w:val="ListBullet"/>
        <w:numPr>
          <w:ilvl w:val="0"/>
          <w:numId w:val="4"/>
        </w:numPr>
      </w:pPr>
      <w:proofErr w:type="gramStart"/>
      <w:r w:rsidRPr="00BF1AAB">
        <w:rPr>
          <w:b/>
          <w:i/>
        </w:rPr>
        <w:t>Supplies and services</w:t>
      </w:r>
      <w:r>
        <w:t>.</w:t>
      </w:r>
      <w:proofErr w:type="gramEnd"/>
      <w:r>
        <w:t xml:space="preserve"> Expenditure </w:t>
      </w:r>
      <w:r w:rsidRPr="00D14284">
        <w:t xml:space="preserve">on supplies and services (such as pharmaceuticals, repairs and maintenance, consultants and contractors expenses and payments for ACT Policing) </w:t>
      </w:r>
      <w:proofErr w:type="gramStart"/>
      <w:r w:rsidRPr="00D14284">
        <w:t>have</w:t>
      </w:r>
      <w:proofErr w:type="gramEnd"/>
      <w:r w:rsidRPr="00D14284">
        <w:t xml:space="preserve"> been </w:t>
      </w:r>
      <w:r>
        <w:t>substantially lower</w:t>
      </w:r>
      <w:r w:rsidRPr="00D14284">
        <w:t xml:space="preserve"> than expected in the 201</w:t>
      </w:r>
      <w:r>
        <w:t>3</w:t>
      </w:r>
      <w:r w:rsidRPr="00D14284">
        <w:t>-1</w:t>
      </w:r>
      <w:r>
        <w:t>4</w:t>
      </w:r>
      <w:r w:rsidRPr="00D14284">
        <w:t xml:space="preserve"> year </w:t>
      </w:r>
      <w:r>
        <w:t>$59</w:t>
      </w:r>
      <w:r w:rsidRPr="00D14284">
        <w:t> million lower than expected)</w:t>
      </w:r>
      <w:r>
        <w:t>. However,</w:t>
      </w:r>
      <w:r w:rsidRPr="00D14284">
        <w:t xml:space="preserve"> the implementation of new initiatives in the current </w:t>
      </w:r>
      <w:r>
        <w:t>Budget</w:t>
      </w:r>
      <w:r w:rsidRPr="00D14284">
        <w:t xml:space="preserve"> will </w:t>
      </w:r>
      <w:r>
        <w:t>push</w:t>
      </w:r>
      <w:r w:rsidRPr="00D14284">
        <w:t xml:space="preserve"> these costs up in 201</w:t>
      </w:r>
      <w:r>
        <w:t>4</w:t>
      </w:r>
      <w:r w:rsidRPr="00D14284">
        <w:t>-1</w:t>
      </w:r>
      <w:r>
        <w:t>5</w:t>
      </w:r>
      <w:r w:rsidRPr="00D14284">
        <w:t xml:space="preserve"> when they </w:t>
      </w:r>
      <w:proofErr w:type="gramStart"/>
      <w:r w:rsidRPr="00D14284">
        <w:t>are forecast</w:t>
      </w:r>
      <w:proofErr w:type="gramEnd"/>
      <w:r w:rsidRPr="00D14284">
        <w:t xml:space="preserve"> to rise by $</w:t>
      </w:r>
      <w:r>
        <w:t>119.9</w:t>
      </w:r>
      <w:r w:rsidRPr="00D14284">
        <w:t xml:space="preserve"> million or </w:t>
      </w:r>
      <w:r>
        <w:t>13.9</w:t>
      </w:r>
      <w:r w:rsidRPr="00D14284">
        <w:t> per cent.</w:t>
      </w:r>
      <w:r>
        <w:t xml:space="preserve"> These costs have a substantial impact on total expenditure costs, forecast to account for 20.2 per cent of total expenses in 2014-15. This means that even small proportional revisions will have a relatively large impact on the expenses line. There is significant variation in Supplies and Services expenditure however there is no substantial increase over the forward estimates predicted, with the expenditure item falling $46 million in 2015-16. </w:t>
      </w:r>
    </w:p>
    <w:p w:rsidR="002E17F7" w:rsidRPr="00FA321E" w:rsidRDefault="002E17F7" w:rsidP="00284F89">
      <w:pPr>
        <w:pStyle w:val="ListBullet"/>
        <w:numPr>
          <w:ilvl w:val="0"/>
          <w:numId w:val="4"/>
        </w:numPr>
      </w:pPr>
      <w:proofErr w:type="gramStart"/>
      <w:r w:rsidRPr="00FA321E">
        <w:rPr>
          <w:b/>
          <w:i/>
        </w:rPr>
        <w:t>Grants expenses.</w:t>
      </w:r>
      <w:proofErr w:type="gramEnd"/>
      <w:r w:rsidRPr="00FA321E">
        <w:t xml:space="preserve"> Grant expenses are sizeable, accounting for 1</w:t>
      </w:r>
      <w:r>
        <w:t>8</w:t>
      </w:r>
      <w:r w:rsidRPr="00FA321E">
        <w:t>.</w:t>
      </w:r>
      <w:r>
        <w:t>1</w:t>
      </w:r>
      <w:r w:rsidRPr="00FA321E">
        <w:t> per cent of total expenses in 201</w:t>
      </w:r>
      <w:r>
        <w:t>3</w:t>
      </w:r>
      <w:r w:rsidRPr="00FA321E">
        <w:t>-1</w:t>
      </w:r>
      <w:r>
        <w:t>4</w:t>
      </w:r>
      <w:r w:rsidRPr="00FA321E">
        <w:t xml:space="preserve"> </w:t>
      </w:r>
      <w:r>
        <w:t>(with little change from the 2013-14 Budget forecasts to the 2014-15 Budget estimate</w:t>
      </w:r>
      <w:r w:rsidRPr="00FA321E">
        <w:t xml:space="preserve">). </w:t>
      </w:r>
      <w:r>
        <w:t xml:space="preserve">The anticipated growth in the </w:t>
      </w:r>
      <w:proofErr w:type="gramStart"/>
      <w:r>
        <w:t>health funding</w:t>
      </w:r>
      <w:proofErr w:type="gramEnd"/>
      <w:r>
        <w:t xml:space="preserve"> envelope and </w:t>
      </w:r>
      <w:proofErr w:type="spellStart"/>
      <w:r>
        <w:t>reprofiling</w:t>
      </w:r>
      <w:proofErr w:type="spellEnd"/>
      <w:r>
        <w:t xml:space="preserve"> of education related grants account for the forecast increase in grants expenses of $37.3 million</w:t>
      </w:r>
      <w:r w:rsidRPr="00FA321E">
        <w:t xml:space="preserve">. Given the current and expected softening in underlying economic activity in the ACT, the increase in grant expenses (assuming they are prudent) is likely to be an appropriate stimulus to economic growth in the ACT. </w:t>
      </w:r>
    </w:p>
    <w:p w:rsidR="002E17F7" w:rsidRPr="00F625F9" w:rsidRDefault="002E17F7" w:rsidP="00284F89">
      <w:pPr>
        <w:pStyle w:val="Heading2"/>
        <w:numPr>
          <w:ilvl w:val="1"/>
          <w:numId w:val="1"/>
        </w:numPr>
        <w:rPr>
          <w:highlight w:val="yellow"/>
        </w:rPr>
      </w:pPr>
      <w:bookmarkStart w:id="710" w:name="_Toc358800597"/>
      <w:bookmarkStart w:id="711" w:name="_Toc358813431"/>
      <w:bookmarkStart w:id="712" w:name="_Toc390427312"/>
      <w:r w:rsidRPr="00444FF5">
        <w:t>Overview of major areas of substantial new spending</w:t>
      </w:r>
      <w:bookmarkEnd w:id="710"/>
      <w:bookmarkEnd w:id="711"/>
      <w:bookmarkEnd w:id="712"/>
    </w:p>
    <w:p w:rsidR="002E17F7" w:rsidRDefault="002E17F7" w:rsidP="002E17F7">
      <w:pPr>
        <w:pStyle w:val="BodyText"/>
      </w:pPr>
      <w:r>
        <w:t xml:space="preserve">The 2014-15 </w:t>
      </w:r>
      <w:proofErr w:type="gramStart"/>
      <w:r>
        <w:t>Budget</w:t>
      </w:r>
      <w:proofErr w:type="gramEnd"/>
      <w:r>
        <w:t xml:space="preserve"> is a Budget of significant spending and capital works investment. It contains $347 million of net new spending initiatives, offset against a conservative savings level of $93.6 million (discussed further below). </w:t>
      </w:r>
    </w:p>
    <w:p w:rsidR="002E17F7" w:rsidRDefault="002E17F7" w:rsidP="002E17F7">
      <w:pPr>
        <w:pStyle w:val="BodyText"/>
      </w:pPr>
      <w:r>
        <w:t>The vast majority of new expense initiatives are concentrated within the following three directorates:</w:t>
      </w:r>
    </w:p>
    <w:p w:rsidR="002E17F7" w:rsidRDefault="002E17F7" w:rsidP="00284F89">
      <w:pPr>
        <w:pStyle w:val="ListBullet"/>
        <w:numPr>
          <w:ilvl w:val="0"/>
          <w:numId w:val="4"/>
        </w:numPr>
      </w:pPr>
      <w:r>
        <w:t xml:space="preserve">Health Directorate </w:t>
      </w:r>
      <w:r w:rsidR="00C82C2A">
        <w:t>—</w:t>
      </w:r>
      <w:r>
        <w:t xml:space="preserve"> $173 million</w:t>
      </w:r>
    </w:p>
    <w:p w:rsidR="002E17F7" w:rsidRDefault="002E17F7" w:rsidP="00284F89">
      <w:pPr>
        <w:pStyle w:val="ListBullet"/>
        <w:numPr>
          <w:ilvl w:val="0"/>
          <w:numId w:val="4"/>
        </w:numPr>
      </w:pPr>
      <w:r>
        <w:t xml:space="preserve">Justice and Community Safety Directorate </w:t>
      </w:r>
      <w:r w:rsidR="00C82C2A">
        <w:t>—</w:t>
      </w:r>
      <w:r>
        <w:t xml:space="preserve"> $86 million</w:t>
      </w:r>
    </w:p>
    <w:p w:rsidR="002E17F7" w:rsidRDefault="002E17F7" w:rsidP="00284F89">
      <w:pPr>
        <w:pStyle w:val="ListBullet"/>
        <w:numPr>
          <w:ilvl w:val="0"/>
          <w:numId w:val="4"/>
        </w:numPr>
      </w:pPr>
      <w:proofErr w:type="gramStart"/>
      <w:r>
        <w:t xml:space="preserve">Territory and Municipal Services Directorate </w:t>
      </w:r>
      <w:r w:rsidR="00C82C2A">
        <w:t>—</w:t>
      </w:r>
      <w:r>
        <w:t xml:space="preserve"> $59 million.</w:t>
      </w:r>
      <w:proofErr w:type="gramEnd"/>
    </w:p>
    <w:p w:rsidR="002E17F7" w:rsidRDefault="002E17F7" w:rsidP="002E17F7">
      <w:pPr>
        <w:pStyle w:val="BodyText"/>
      </w:pPr>
      <w:r>
        <w:t xml:space="preserve">Combined spending in these Directorates accounts for 78.5 per cent of total expense initiatives (before savings of $59 million) over the forward estimates. </w:t>
      </w:r>
    </w:p>
    <w:p w:rsidR="002E17F7" w:rsidRDefault="002E17F7" w:rsidP="002E17F7">
      <w:pPr>
        <w:pStyle w:val="BodyText"/>
      </w:pPr>
      <w:r>
        <w:t xml:space="preserve">Chart </w:t>
      </w:r>
      <w:fldSimple w:instr=" REF _Caption9309 ">
        <w:r w:rsidR="00D733F1">
          <w:rPr>
            <w:noProof/>
          </w:rPr>
          <w:t>22</w:t>
        </w:r>
      </w:fldSimple>
      <w:r>
        <w:t xml:space="preserve"> provides an overview of the largest expenditure based policy announcements, ranked in order of total expenditure over the forward estimates. </w:t>
      </w:r>
    </w:p>
    <w:p w:rsidR="00C82C2A" w:rsidRDefault="00B40B86" w:rsidP="00C82C2A">
      <w:pPr>
        <w:pStyle w:val="Caption"/>
      </w:pPr>
      <w:r w:rsidRPr="00695C93">
        <w:lastRenderedPageBreak/>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fldSimple w:instr=" STYLEREF &quot;Heading 1&quot; \l \n ">
        <w:r w:rsidR="00C82C2A">
          <w:rPr>
            <w:noProof/>
          </w:rPr>
          <w:instrText>2</w:instrText>
        </w:r>
      </w:fldSimple>
      <w:r w:rsidR="00C82C2A" w:rsidRPr="00695C93">
        <w:instrText xml:space="preserve">." </w:instrText>
      </w:r>
      <w:r w:rsidRPr="00695C93">
        <w:fldChar w:fldCharType="end"/>
      </w:r>
      <w:r w:rsidR="00C82C2A" w:rsidRPr="00695C93">
        <w:instrText>" "</w:instrText>
      </w:r>
      <w:fldSimple w:instr=" STYLEREF &quot;Heading 6&quot; \l \n ">
        <w:r w:rsidR="00C82C2A" w:rsidRPr="00695C93">
          <w:instrText>B</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22</w:instrText>
      </w:r>
      <w:r w:rsidRPr="00695C93">
        <w:fldChar w:fldCharType="end"/>
      </w:r>
      <w:r w:rsidR="00C82C2A" w:rsidRPr="00695C93">
        <w:instrText xml:space="preserve">" "" </w:instrText>
      </w:r>
      <w:r w:rsidRPr="00695C93">
        <w:fldChar w:fldCharType="separate"/>
      </w:r>
      <w:bookmarkStart w:id="713" w:name="_Caption1293"/>
      <w:bookmarkStart w:id="714" w:name="_Caption6981"/>
      <w:bookmarkStart w:id="715" w:name="_Caption3964"/>
      <w:bookmarkStart w:id="716" w:name="_Caption1800"/>
      <w:bookmarkStart w:id="717" w:name="_Caption4596"/>
      <w:bookmarkStart w:id="718" w:name="_Caption3058"/>
      <w:bookmarkStart w:id="719" w:name="_Caption3197"/>
      <w:bookmarkStart w:id="720" w:name="_Caption0152"/>
      <w:bookmarkStart w:id="721" w:name="_Caption8321"/>
      <w:bookmarkStart w:id="722" w:name="_Caption0024"/>
      <w:bookmarkStart w:id="723" w:name="_Caption0324"/>
      <w:bookmarkStart w:id="724" w:name="_Caption0316"/>
      <w:bookmarkStart w:id="725" w:name="_Caption9250"/>
      <w:bookmarkStart w:id="726" w:name="_Caption1384"/>
      <w:bookmarkStart w:id="727" w:name="_Caption5456"/>
      <w:bookmarkStart w:id="728" w:name="_Caption0555"/>
      <w:bookmarkStart w:id="729" w:name="_Caption6461"/>
      <w:bookmarkStart w:id="730" w:name="_Caption6395"/>
      <w:bookmarkStart w:id="731" w:name="_Caption9372"/>
      <w:bookmarkStart w:id="732" w:name="_Caption9309"/>
      <w:bookmarkStart w:id="733" w:name="_Caption9154"/>
      <w:bookmarkStart w:id="734" w:name="_Caption1382"/>
      <w:bookmarkStart w:id="735" w:name="_Caption3310"/>
      <w:bookmarkStart w:id="736" w:name="_Caption3709"/>
      <w:bookmarkStart w:id="737" w:name="_Caption6766"/>
      <w:bookmarkStart w:id="738" w:name="_Caption1183"/>
      <w:bookmarkStart w:id="739" w:name="_Caption2647"/>
      <w:bookmarkStart w:id="740" w:name="_Caption3309"/>
      <w:bookmarkStart w:id="741" w:name="_Caption5360"/>
      <w:bookmarkStart w:id="742" w:name="_Caption9411"/>
      <w:bookmarkStart w:id="743" w:name="_Caption5830"/>
      <w:bookmarkStart w:id="744" w:name="_Toc390427345"/>
      <w:r w:rsidR="00D733F1">
        <w:rPr>
          <w:noProof/>
        </w:rPr>
        <w:t>22</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695C93">
        <w:fldChar w:fldCharType="end"/>
      </w:r>
      <w:r w:rsidR="00C82C2A" w:rsidRPr="00695C93">
        <w:tab/>
      </w:r>
      <w:r w:rsidR="00C82C2A">
        <w:t>Largest expense initiatives</w:t>
      </w:r>
      <w:bookmarkEnd w:id="744"/>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2E17F7" w:rsidTr="009C75CC">
        <w:trPr>
          <w:cantSplit/>
        </w:trPr>
        <w:tc>
          <w:tcPr>
            <w:tcW w:w="7938" w:type="dxa"/>
            <w:shd w:val="clear" w:color="auto" w:fill="E9E8E5" w:themeFill="background2"/>
          </w:tcPr>
          <w:p w:rsidR="002E17F7" w:rsidRDefault="002E17F7" w:rsidP="009C75CC">
            <w:pPr>
              <w:pStyle w:val="Chart"/>
              <w:jc w:val="center"/>
            </w:pPr>
            <w:r>
              <w:rPr>
                <w:noProof/>
                <w:lang w:eastAsia="en-AU"/>
              </w:rPr>
              <w:drawing>
                <wp:inline distT="0" distB="0" distL="0" distR="0">
                  <wp:extent cx="4839335" cy="22256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9335" cy="2225675"/>
                          </a:xfrm>
                          <a:prstGeom prst="rect">
                            <a:avLst/>
                          </a:prstGeom>
                          <a:noFill/>
                          <a:ln>
                            <a:noFill/>
                          </a:ln>
                        </pic:spPr>
                      </pic:pic>
                    </a:graphicData>
                  </a:graphic>
                </wp:inline>
              </w:drawing>
            </w:r>
          </w:p>
        </w:tc>
      </w:tr>
    </w:tbl>
    <w:p w:rsidR="002E17F7" w:rsidRDefault="002E17F7" w:rsidP="002E17F7">
      <w:pPr>
        <w:pStyle w:val="Source"/>
      </w:pPr>
      <w:r>
        <w:rPr>
          <w:i/>
        </w:rPr>
        <w:t>Data source</w:t>
      </w:r>
      <w:r w:rsidRPr="00A67576">
        <w:rPr>
          <w:i/>
        </w:rPr>
        <w:t>:</w:t>
      </w:r>
      <w:r>
        <w:t xml:space="preserve"> ACT Government (2014) Budget Paper 3, 2014-15, Table 3.2.2</w:t>
      </w:r>
    </w:p>
    <w:p w:rsidR="002E17F7" w:rsidRPr="00B0460C" w:rsidRDefault="002E17F7" w:rsidP="00284F89">
      <w:pPr>
        <w:pStyle w:val="Heading3"/>
        <w:numPr>
          <w:ilvl w:val="2"/>
          <w:numId w:val="1"/>
        </w:numPr>
      </w:pPr>
      <w:r w:rsidRPr="00B0460C">
        <w:t>Big spending for health care</w:t>
      </w:r>
    </w:p>
    <w:p w:rsidR="002E17F7" w:rsidRDefault="002E17F7" w:rsidP="002E17F7">
      <w:pPr>
        <w:pStyle w:val="BodyText"/>
      </w:pPr>
      <w:r>
        <w:t xml:space="preserve">The 2014-15 Budget across the forward estimates period is a big spending Budget for health care. </w:t>
      </w:r>
    </w:p>
    <w:p w:rsidR="002E17F7" w:rsidRDefault="002E17F7" w:rsidP="002E17F7">
      <w:pPr>
        <w:pStyle w:val="BodyText"/>
      </w:pPr>
      <w:r>
        <w:t>Health care (through the Health Funding Envelope) accounts for 38.6 per cent of expenditure over the forward estimates period and 28.3 per cent in 2014-15.</w:t>
      </w:r>
      <w:r>
        <w:rPr>
          <w:rStyle w:val="FootnoteReference"/>
        </w:rPr>
        <w:footnoteReference w:id="9"/>
      </w:r>
    </w:p>
    <w:p w:rsidR="002E17F7" w:rsidRDefault="002E17F7" w:rsidP="002E17F7">
      <w:pPr>
        <w:pStyle w:val="BodyText"/>
      </w:pPr>
      <w:r>
        <w:t>The ACT Government’s healthcare Budget targets a number of areas of improved service delivery and facilities. Over the forward estimates, expenditure targets:</w:t>
      </w:r>
    </w:p>
    <w:p w:rsidR="002E17F7" w:rsidRDefault="002E17F7" w:rsidP="00284F89">
      <w:pPr>
        <w:pStyle w:val="ListBullet"/>
        <w:numPr>
          <w:ilvl w:val="0"/>
          <w:numId w:val="4"/>
        </w:numPr>
      </w:pPr>
      <w:r>
        <w:t>an expansion in general in-patient beds</w:t>
      </w:r>
    </w:p>
    <w:p w:rsidR="002E17F7" w:rsidRDefault="002E17F7" w:rsidP="00284F89">
      <w:pPr>
        <w:pStyle w:val="ListBullet"/>
        <w:numPr>
          <w:ilvl w:val="0"/>
          <w:numId w:val="4"/>
        </w:numPr>
      </w:pPr>
      <w:r>
        <w:t>improved access to elective surgery (including bariatric surgery), expanding services for intensive and critical care, and</w:t>
      </w:r>
    </w:p>
    <w:p w:rsidR="002E17F7" w:rsidRDefault="002E17F7" w:rsidP="00284F89">
      <w:pPr>
        <w:pStyle w:val="ListBullet"/>
        <w:numPr>
          <w:ilvl w:val="0"/>
          <w:numId w:val="4"/>
        </w:numPr>
      </w:pPr>
      <w:proofErr w:type="gramStart"/>
      <w:r>
        <w:t>expansion</w:t>
      </w:r>
      <w:proofErr w:type="gramEnd"/>
      <w:r>
        <w:t xml:space="preserve"> in emergency medicine facilities and frontline medical services. </w:t>
      </w:r>
    </w:p>
    <w:p w:rsidR="002E17F7" w:rsidRDefault="002E17F7" w:rsidP="002E17F7">
      <w:pPr>
        <w:pStyle w:val="BodyText"/>
      </w:pPr>
      <w:r>
        <w:t xml:space="preserve">The major capital initiatives </w:t>
      </w:r>
      <w:proofErr w:type="gramStart"/>
      <w:r>
        <w:t>being proposed</w:t>
      </w:r>
      <w:proofErr w:type="gramEnd"/>
      <w:r>
        <w:t xml:space="preserve"> to support these expenditures include upgrades to Calvary Public Hospital, continuation of the Health Infrastructure Program (HIP), redevelopment of The Canberra Hospital, and the construction of a secure mental health unit. Additionally provision has been made in the Budget for the University </w:t>
      </w:r>
      <w:proofErr w:type="gramStart"/>
      <w:r>
        <w:t>of</w:t>
      </w:r>
      <w:proofErr w:type="gramEnd"/>
      <w:r>
        <w:t xml:space="preserve"> Canberra Public Hospital, which as commercially sensitive project does not have specific cost details.</w:t>
      </w:r>
    </w:p>
    <w:p w:rsidR="002E17F7" w:rsidRDefault="002E17F7" w:rsidP="002E17F7">
      <w:pPr>
        <w:pStyle w:val="BodyText"/>
      </w:pPr>
      <w:r w:rsidRPr="00B0460C">
        <w:t xml:space="preserve">Table </w:t>
      </w:r>
      <w:fldSimple w:instr=" REF _Caption6145 ">
        <w:r w:rsidR="00D733F1">
          <w:rPr>
            <w:noProof/>
          </w:rPr>
          <w:t>23</w:t>
        </w:r>
      </w:fldSimple>
      <w:r>
        <w:t xml:space="preserve"> </w:t>
      </w:r>
      <w:r w:rsidRPr="00B0460C">
        <w:t xml:space="preserve">provides a summary of the key healthcare policy initiatives by new expenditure initiatives and capital works requirements. </w:t>
      </w:r>
    </w:p>
    <w:p w:rsidR="008B3E96" w:rsidRPr="00753460" w:rsidRDefault="008B3E96" w:rsidP="008B3E96">
      <w:pPr>
        <w:pStyle w:val="BodyText"/>
      </w:pPr>
      <w:r>
        <w:t xml:space="preserve">Expenditure on additional general inpatient beds (16 at Canberra Hospital, 15 at Calvary Public Hospital, and the equivalent of 6 beds through the hospital in the home program) will account for $54.6 million in spending, which is 31.6 per cent of Health Directorate spending over the forward estimates. </w:t>
      </w:r>
    </w:p>
    <w:p w:rsidR="00C82C2A" w:rsidRDefault="00B40B86" w:rsidP="00C82C2A">
      <w:pPr>
        <w:pStyle w:val="Caption"/>
      </w:pPr>
      <w:r w:rsidRPr="00695C93">
        <w:lastRenderedPageBreak/>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fldSimple w:instr=" STYLEREF &quot;Heading 1&quot; \l \n ">
        <w:r w:rsidR="00C82C2A">
          <w:rPr>
            <w:noProof/>
          </w:rPr>
          <w:instrText>2</w:instrText>
        </w:r>
      </w:fldSimple>
      <w:r w:rsidR="00C82C2A" w:rsidRPr="00695C93">
        <w:instrText xml:space="preserve">." </w:instrText>
      </w:r>
      <w:r w:rsidRPr="00695C93">
        <w:fldChar w:fldCharType="end"/>
      </w:r>
      <w:r w:rsidR="00C82C2A" w:rsidRPr="00695C93">
        <w:instrText>" "</w:instrText>
      </w:r>
      <w:fldSimple w:instr=" STYLEREF &quot;Heading 6&quot; \l \n ">
        <w:r w:rsidR="00C82C2A" w:rsidRPr="00695C93">
          <w:instrText>B</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23</w:instrText>
      </w:r>
      <w:r w:rsidRPr="00695C93">
        <w:fldChar w:fldCharType="end"/>
      </w:r>
      <w:r w:rsidR="00C82C2A" w:rsidRPr="00695C93">
        <w:instrText xml:space="preserve">" "" </w:instrText>
      </w:r>
      <w:r w:rsidRPr="00695C93">
        <w:fldChar w:fldCharType="separate"/>
      </w:r>
      <w:bookmarkStart w:id="745" w:name="_Caption0176"/>
      <w:bookmarkStart w:id="746" w:name="_Caption4714"/>
      <w:bookmarkStart w:id="747" w:name="_Caption2329"/>
      <w:bookmarkStart w:id="748" w:name="_Caption1373"/>
      <w:bookmarkStart w:id="749" w:name="_Caption9221"/>
      <w:bookmarkStart w:id="750" w:name="_Caption4367"/>
      <w:bookmarkStart w:id="751" w:name="_Caption1398"/>
      <w:bookmarkStart w:id="752" w:name="_Caption4985"/>
      <w:bookmarkStart w:id="753" w:name="_Caption6295"/>
      <w:bookmarkStart w:id="754" w:name="_Caption4268"/>
      <w:bookmarkStart w:id="755" w:name="_Caption8922"/>
      <w:bookmarkStart w:id="756" w:name="_Caption7185"/>
      <w:bookmarkStart w:id="757" w:name="_Caption5043"/>
      <w:bookmarkStart w:id="758" w:name="_Caption3467"/>
      <w:bookmarkStart w:id="759" w:name="_Caption4780"/>
      <w:bookmarkStart w:id="760" w:name="_Caption4417"/>
      <w:bookmarkStart w:id="761" w:name="_Caption9006"/>
      <w:bookmarkStart w:id="762" w:name="_Caption5868"/>
      <w:bookmarkStart w:id="763" w:name="_Caption7922"/>
      <w:bookmarkStart w:id="764" w:name="_Caption3757"/>
      <w:bookmarkStart w:id="765" w:name="_Caption6145"/>
      <w:bookmarkStart w:id="766" w:name="_Caption1653"/>
      <w:bookmarkStart w:id="767" w:name="_Caption2296"/>
      <w:bookmarkStart w:id="768" w:name="_Caption0100"/>
      <w:bookmarkStart w:id="769" w:name="_Caption6147"/>
      <w:bookmarkStart w:id="770" w:name="_Caption2792"/>
      <w:bookmarkStart w:id="771" w:name="_Caption0213"/>
      <w:bookmarkStart w:id="772" w:name="_Caption8485"/>
      <w:bookmarkStart w:id="773" w:name="_Caption5193"/>
      <w:bookmarkStart w:id="774" w:name="_Caption8480"/>
      <w:bookmarkStart w:id="775" w:name="_Caption5465"/>
      <w:bookmarkStart w:id="776" w:name="_Toc390427346"/>
      <w:r w:rsidR="00D733F1">
        <w:rPr>
          <w:noProof/>
        </w:rPr>
        <w:t>23</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r w:rsidRPr="00695C93">
        <w:fldChar w:fldCharType="end"/>
      </w:r>
      <w:r w:rsidR="00C82C2A" w:rsidRPr="00695C93">
        <w:tab/>
      </w:r>
      <w:r w:rsidR="00C82C2A">
        <w:t>Major Health Directorate expenditure and capital works items</w:t>
      </w:r>
      <w:bookmarkEnd w:id="776"/>
    </w:p>
    <w:tbl>
      <w:tblPr>
        <w:tblW w:w="0" w:type="auto"/>
        <w:tblInd w:w="57" w:type="dxa"/>
        <w:tblLayout w:type="fixed"/>
        <w:tblLook w:val="0000"/>
      </w:tblPr>
      <w:tblGrid>
        <w:gridCol w:w="1985"/>
        <w:gridCol w:w="1983"/>
        <w:gridCol w:w="1984"/>
        <w:gridCol w:w="1985"/>
      </w:tblGrid>
      <w:tr w:rsidR="002E17F7" w:rsidTr="009C75CC">
        <w:tc>
          <w:tcPr>
            <w:tcW w:w="1985"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tcPr>
          <w:p w:rsidR="002E17F7" w:rsidRDefault="002E17F7" w:rsidP="009C75CC">
            <w:pPr>
              <w:pStyle w:val="TableDataColumnHeading"/>
              <w:jc w:val="left"/>
            </w:pPr>
            <w:r>
              <w:t>Expenditure initiative</w:t>
            </w:r>
          </w:p>
        </w:tc>
        <w:tc>
          <w:tcPr>
            <w:tcW w:w="1983"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tcPr>
          <w:p w:rsidR="002E17F7" w:rsidRDefault="002E17F7" w:rsidP="009C75CC">
            <w:pPr>
              <w:pStyle w:val="TableDataColumnHeading"/>
            </w:pPr>
          </w:p>
        </w:tc>
        <w:tc>
          <w:tcPr>
            <w:tcW w:w="1984"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tcPr>
          <w:p w:rsidR="002E17F7" w:rsidRDefault="002E17F7" w:rsidP="009C75CC">
            <w:pPr>
              <w:pStyle w:val="TableDataColumnHeading"/>
              <w:jc w:val="left"/>
            </w:pPr>
            <w:r>
              <w:t>Capital works</w:t>
            </w:r>
          </w:p>
        </w:tc>
        <w:tc>
          <w:tcPr>
            <w:tcW w:w="1985"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tcPr>
          <w:p w:rsidR="002E17F7" w:rsidRDefault="002E17F7" w:rsidP="009C75CC">
            <w:pPr>
              <w:pStyle w:val="TableDataColumnHeading"/>
            </w:pPr>
          </w:p>
        </w:tc>
      </w:tr>
      <w:tr w:rsidR="002E17F7" w:rsidTr="009C75CC">
        <w:tc>
          <w:tcPr>
            <w:tcW w:w="1985" w:type="dxa"/>
            <w:tcBorders>
              <w:top w:val="single" w:sz="2" w:space="0" w:color="6F6652"/>
              <w:bottom w:val="single" w:sz="8" w:space="0" w:color="FFFFFF" w:themeColor="background1"/>
            </w:tcBorders>
            <w:shd w:val="clear" w:color="auto" w:fill="C2DADB" w:themeFill="accent6" w:themeFillTint="99"/>
            <w:tcMar>
              <w:left w:w="57" w:type="dxa"/>
              <w:right w:w="57" w:type="dxa"/>
            </w:tcMar>
          </w:tcPr>
          <w:p w:rsidR="002E17F7" w:rsidRPr="00B0460C" w:rsidRDefault="002E17F7" w:rsidP="009C75CC">
            <w:pPr>
              <w:pStyle w:val="TableUnit"/>
              <w:jc w:val="left"/>
              <w:rPr>
                <w:rFonts w:ascii="Franklin Gothic Demi" w:hAnsi="Franklin Gothic Demi"/>
              </w:rPr>
            </w:pPr>
            <w:r w:rsidRPr="00B0460C">
              <w:rPr>
                <w:rFonts w:ascii="Franklin Gothic Demi" w:hAnsi="Franklin Gothic Demi"/>
              </w:rPr>
              <w:t>Total Health Directorate expenditure</w:t>
            </w:r>
          </w:p>
        </w:tc>
        <w:tc>
          <w:tcPr>
            <w:tcW w:w="1983" w:type="dxa"/>
            <w:tcBorders>
              <w:top w:val="single" w:sz="2" w:space="0" w:color="6F6652"/>
              <w:bottom w:val="single" w:sz="8" w:space="0" w:color="FFFFFF" w:themeColor="background1"/>
            </w:tcBorders>
            <w:shd w:val="clear" w:color="auto" w:fill="C2DADB" w:themeFill="accent6" w:themeFillTint="99"/>
            <w:tcMar>
              <w:left w:w="57" w:type="dxa"/>
              <w:right w:w="57" w:type="dxa"/>
            </w:tcMar>
          </w:tcPr>
          <w:p w:rsidR="002E17F7" w:rsidRPr="00B0460C" w:rsidRDefault="002E17F7" w:rsidP="009C75CC">
            <w:pPr>
              <w:pStyle w:val="TableUnit"/>
              <w:jc w:val="left"/>
              <w:rPr>
                <w:rFonts w:ascii="Franklin Gothic Demi" w:hAnsi="Franklin Gothic Demi"/>
              </w:rPr>
            </w:pPr>
            <w:r w:rsidRPr="00B0460C">
              <w:rPr>
                <w:rFonts w:ascii="Franklin Gothic Demi" w:hAnsi="Franklin Gothic Demi"/>
              </w:rPr>
              <w:t>$</w:t>
            </w:r>
            <w:r>
              <w:rPr>
                <w:rFonts w:ascii="Franklin Gothic Demi" w:hAnsi="Franklin Gothic Demi"/>
              </w:rPr>
              <w:t>44</w:t>
            </w:r>
            <w:r w:rsidRPr="00B0460C">
              <w:rPr>
                <w:rFonts w:ascii="Franklin Gothic Demi" w:hAnsi="Franklin Gothic Demi"/>
              </w:rPr>
              <w:t>m 201</w:t>
            </w:r>
            <w:r>
              <w:rPr>
                <w:rFonts w:ascii="Franklin Gothic Demi" w:hAnsi="Franklin Gothic Demi"/>
              </w:rPr>
              <w:t>4</w:t>
            </w:r>
            <w:r w:rsidRPr="00B0460C">
              <w:rPr>
                <w:rFonts w:ascii="Franklin Gothic Demi" w:hAnsi="Franklin Gothic Demi"/>
              </w:rPr>
              <w:t>-1</w:t>
            </w:r>
            <w:r>
              <w:rPr>
                <w:rFonts w:ascii="Franklin Gothic Demi" w:hAnsi="Franklin Gothic Demi"/>
              </w:rPr>
              <w:t>5</w:t>
            </w:r>
            <w:r w:rsidRPr="00B0460C">
              <w:rPr>
                <w:rFonts w:ascii="Franklin Gothic Demi" w:hAnsi="Franklin Gothic Demi"/>
              </w:rPr>
              <w:br/>
              <w:t>$</w:t>
            </w:r>
            <w:r>
              <w:rPr>
                <w:rFonts w:ascii="Franklin Gothic Demi" w:hAnsi="Franklin Gothic Demi"/>
              </w:rPr>
              <w:t>173</w:t>
            </w:r>
            <w:r w:rsidRPr="00B0460C">
              <w:rPr>
                <w:rFonts w:ascii="Franklin Gothic Demi" w:hAnsi="Franklin Gothic Demi"/>
              </w:rPr>
              <w:t>m forward estimates</w:t>
            </w:r>
          </w:p>
        </w:tc>
        <w:tc>
          <w:tcPr>
            <w:tcW w:w="1984" w:type="dxa"/>
            <w:tcBorders>
              <w:top w:val="single" w:sz="2" w:space="0" w:color="6F6652"/>
              <w:bottom w:val="single" w:sz="8" w:space="0" w:color="FFFFFF" w:themeColor="background1"/>
            </w:tcBorders>
            <w:shd w:val="clear" w:color="auto" w:fill="C2DADB" w:themeFill="accent6" w:themeFillTint="99"/>
            <w:tcMar>
              <w:left w:w="57" w:type="dxa"/>
              <w:right w:w="57" w:type="dxa"/>
            </w:tcMar>
          </w:tcPr>
          <w:p w:rsidR="002E17F7" w:rsidRPr="00B0460C" w:rsidRDefault="002E17F7" w:rsidP="009C75CC">
            <w:pPr>
              <w:pStyle w:val="TableUnit"/>
              <w:jc w:val="left"/>
              <w:rPr>
                <w:rFonts w:ascii="Franklin Gothic Demi" w:hAnsi="Franklin Gothic Demi"/>
              </w:rPr>
            </w:pPr>
            <w:r w:rsidRPr="00B0460C">
              <w:rPr>
                <w:rFonts w:ascii="Franklin Gothic Demi" w:hAnsi="Franklin Gothic Demi"/>
              </w:rPr>
              <w:t>Total Health Directorate capital works</w:t>
            </w:r>
          </w:p>
        </w:tc>
        <w:tc>
          <w:tcPr>
            <w:tcW w:w="1985" w:type="dxa"/>
            <w:tcBorders>
              <w:top w:val="single" w:sz="2" w:space="0" w:color="6F6652"/>
              <w:bottom w:val="single" w:sz="8" w:space="0" w:color="FFFFFF" w:themeColor="background1"/>
            </w:tcBorders>
            <w:shd w:val="clear" w:color="auto" w:fill="C2DADB" w:themeFill="accent6" w:themeFillTint="99"/>
            <w:tcMar>
              <w:left w:w="57" w:type="dxa"/>
              <w:right w:w="57" w:type="dxa"/>
            </w:tcMar>
          </w:tcPr>
          <w:p w:rsidR="002E17F7" w:rsidRPr="00B0460C" w:rsidRDefault="002E17F7" w:rsidP="009C75CC">
            <w:pPr>
              <w:pStyle w:val="TableUnit"/>
              <w:jc w:val="left"/>
              <w:rPr>
                <w:rFonts w:ascii="Franklin Gothic Demi" w:hAnsi="Franklin Gothic Demi"/>
              </w:rPr>
            </w:pPr>
            <w:r w:rsidRPr="00B0460C">
              <w:rPr>
                <w:rFonts w:ascii="Franklin Gothic Demi" w:hAnsi="Franklin Gothic Demi"/>
              </w:rPr>
              <w:t>$37.5m 201</w:t>
            </w:r>
            <w:r>
              <w:rPr>
                <w:rFonts w:ascii="Franklin Gothic Demi" w:hAnsi="Franklin Gothic Demi"/>
              </w:rPr>
              <w:t>4</w:t>
            </w:r>
            <w:r w:rsidRPr="00B0460C">
              <w:rPr>
                <w:rFonts w:ascii="Franklin Gothic Demi" w:hAnsi="Franklin Gothic Demi"/>
              </w:rPr>
              <w:t>-1</w:t>
            </w:r>
            <w:r>
              <w:rPr>
                <w:rFonts w:ascii="Franklin Gothic Demi" w:hAnsi="Franklin Gothic Demi"/>
              </w:rPr>
              <w:t>5</w:t>
            </w:r>
            <w:r w:rsidRPr="00B0460C">
              <w:rPr>
                <w:rFonts w:ascii="Franklin Gothic Demi" w:hAnsi="Franklin Gothic Demi"/>
              </w:rPr>
              <w:br/>
              <w:t xml:space="preserve">$71.7m forward estimates </w:t>
            </w:r>
          </w:p>
        </w:tc>
      </w:tr>
      <w:tr w:rsidR="002E17F7" w:rsidTr="009C75C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Unit"/>
              <w:jc w:val="left"/>
            </w:pPr>
            <w:r>
              <w:t>General inpatient beds and hospital in the home</w:t>
            </w:r>
          </w:p>
        </w:tc>
        <w:tc>
          <w:tcPr>
            <w:tcW w:w="198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Unit"/>
              <w:jc w:val="left"/>
            </w:pPr>
            <w:r>
              <w:t>$10.8m in 2014-15</w:t>
            </w:r>
            <w:r>
              <w:br/>
              <w:t>$54.6m forward estimates</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Unit"/>
              <w:jc w:val="left"/>
            </w:pPr>
            <w:r>
              <w:t>Secure mental health unit</w:t>
            </w:r>
          </w:p>
        </w:t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Unit"/>
              <w:jc w:val="left"/>
            </w:pPr>
            <w:r>
              <w:t>$3.8m in 2014-15</w:t>
            </w:r>
            <w:r w:rsidR="00FE1F43">
              <w:t xml:space="preserve"> </w:t>
            </w:r>
            <w:r>
              <w:t>$30.6m in 2015-16</w:t>
            </w:r>
            <w:r>
              <w:br/>
              <w:t>$43.5m forward estimates</w:t>
            </w:r>
          </w:p>
        </w:tc>
      </w:tr>
      <w:tr w:rsidR="002E17F7" w:rsidTr="009C75C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Access to elective surgery</w:t>
            </w:r>
          </w:p>
        </w:tc>
        <w:tc>
          <w:tcPr>
            <w:tcW w:w="198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$8.3m in 2014-15</w:t>
            </w:r>
            <w:r>
              <w:br/>
              <w:t>$34.1m forward estimates</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Health Infrastructure Program – program management continuation</w:t>
            </w:r>
          </w:p>
        </w:t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$13.2m in 2014-15</w:t>
            </w:r>
            <w:r>
              <w:br/>
              <w:t>$27.7m forward estimates</w:t>
            </w:r>
          </w:p>
        </w:tc>
      </w:tr>
      <w:tr w:rsidR="002E17F7" w:rsidTr="009C75C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Intensive and critical care services expansion</w:t>
            </w:r>
          </w:p>
        </w:tc>
        <w:tc>
          <w:tcPr>
            <w:tcW w:w="198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$3.7m 2014-15</w:t>
            </w:r>
            <w:r>
              <w:br/>
              <w:t>$15.1m forward estimates</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The Canberra Hospital Redevelopment</w:t>
            </w:r>
          </w:p>
        </w:tc>
        <w:tc>
          <w:tcPr>
            <w:tcW w:w="19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$3.1m in 2014-15</w:t>
            </w:r>
            <w:r w:rsidR="00FE1F43">
              <w:t xml:space="preserve"> </w:t>
            </w:r>
            <w:r>
              <w:t>$13.0m in 2015-16</w:t>
            </w:r>
            <w:r>
              <w:br/>
              <w:t>$21.2 forward estimates</w:t>
            </w:r>
          </w:p>
        </w:tc>
      </w:tr>
      <w:tr w:rsidR="002E17F7" w:rsidTr="009C75CC">
        <w:tc>
          <w:tcPr>
            <w:tcW w:w="1985" w:type="dxa"/>
            <w:tcBorders>
              <w:top w:val="single" w:sz="8" w:space="0" w:color="FFFFFF" w:themeColor="background1"/>
              <w:bottom w:val="single" w:sz="4" w:space="0" w:color="6F6652"/>
            </w:tcBorders>
            <w:shd w:val="clear" w:color="auto" w:fill="E9E8E5" w:themeFill="background2"/>
            <w:tcMar>
              <w:left w:w="57" w:type="dxa"/>
              <w:right w:w="57" w:type="dxa"/>
            </w:tcMar>
          </w:tcPr>
          <w:p w:rsidR="002E17F7" w:rsidRDefault="002E17F7" w:rsidP="009C75CC">
            <w:pPr>
              <w:pStyle w:val="TableDataEntries"/>
              <w:jc w:val="left"/>
            </w:pPr>
            <w:r>
              <w:t>Belconnen Health Centre and Walk-in Centre</w:t>
            </w:r>
          </w:p>
        </w:tc>
        <w:tc>
          <w:tcPr>
            <w:tcW w:w="1983" w:type="dxa"/>
            <w:tcBorders>
              <w:top w:val="single" w:sz="8" w:space="0" w:color="FFFFFF" w:themeColor="background1"/>
              <w:bottom w:val="single" w:sz="4" w:space="0" w:color="6F6652"/>
            </w:tcBorders>
            <w:shd w:val="clear" w:color="auto" w:fill="E9E8E5" w:themeFill="background2"/>
            <w:tcMar>
              <w:left w:w="57" w:type="dxa"/>
              <w:right w:w="57" w:type="dxa"/>
            </w:tcMar>
          </w:tcPr>
          <w:p w:rsidR="002E17F7" w:rsidRDefault="002E17F7" w:rsidP="009C75CC">
            <w:pPr>
              <w:pStyle w:val="TableDataEntries"/>
              <w:jc w:val="left"/>
            </w:pPr>
            <w:r>
              <w:t>$2.3m 2014-15</w:t>
            </w:r>
            <w:r>
              <w:br/>
              <w:t>$9.4m forward estimates</w:t>
            </w:r>
          </w:p>
        </w:tc>
        <w:tc>
          <w:tcPr>
            <w:tcW w:w="1984" w:type="dxa"/>
            <w:tcBorders>
              <w:top w:val="single" w:sz="8" w:space="0" w:color="FFFFFF" w:themeColor="background1"/>
              <w:bottom w:val="single" w:sz="4" w:space="0" w:color="6F6652"/>
            </w:tcBorders>
            <w:shd w:val="clear" w:color="auto" w:fill="E9E8E5" w:themeFill="background2"/>
            <w:tcMar>
              <w:left w:w="57" w:type="dxa"/>
              <w:right w:w="57" w:type="dxa"/>
            </w:tcMar>
          </w:tcPr>
          <w:p w:rsidR="002E17F7" w:rsidRDefault="002E17F7" w:rsidP="009C75CC">
            <w:pPr>
              <w:pStyle w:val="TableDataEntries"/>
              <w:jc w:val="left"/>
            </w:pPr>
            <w:r>
              <w:t>Calvary Public Hospital – car park and refurbishments for more beds</w:t>
            </w:r>
          </w:p>
        </w:tc>
        <w:tc>
          <w:tcPr>
            <w:tcW w:w="1985" w:type="dxa"/>
            <w:tcBorders>
              <w:top w:val="single" w:sz="8" w:space="0" w:color="FFFFFF" w:themeColor="background1"/>
              <w:bottom w:val="single" w:sz="4" w:space="0" w:color="6F6652"/>
            </w:tcBorders>
            <w:shd w:val="clear" w:color="auto" w:fill="E9E8E5" w:themeFill="background2"/>
            <w:tcMar>
              <w:left w:w="57" w:type="dxa"/>
              <w:right w:w="57" w:type="dxa"/>
            </w:tcMar>
          </w:tcPr>
          <w:p w:rsidR="002E17F7" w:rsidRDefault="002E17F7" w:rsidP="009C75CC">
            <w:pPr>
              <w:pStyle w:val="TableDataEntries"/>
              <w:jc w:val="left"/>
            </w:pPr>
            <w:r>
              <w:t>$16.8m in 2014-15</w:t>
            </w:r>
            <w:r>
              <w:br/>
              <w:t>$18.5m forward estimates</w:t>
            </w:r>
          </w:p>
        </w:tc>
      </w:tr>
    </w:tbl>
    <w:p w:rsidR="002E17F7" w:rsidRDefault="002E17F7" w:rsidP="002E17F7">
      <w:pPr>
        <w:pStyle w:val="Source"/>
      </w:pPr>
      <w:r>
        <w:rPr>
          <w:i/>
        </w:rPr>
        <w:t>Source</w:t>
      </w:r>
      <w:r w:rsidRPr="00E4232C">
        <w:rPr>
          <w:i/>
        </w:rPr>
        <w:t>:</w:t>
      </w:r>
      <w:r>
        <w:t xml:space="preserve"> ACT Government (2013) Budget Paper 3, 2013-14, Table 5.2.2 and Table 6.4.3</w:t>
      </w:r>
    </w:p>
    <w:p w:rsidR="002E17F7" w:rsidRPr="00DA295C" w:rsidRDefault="002E17F7" w:rsidP="002E17F7">
      <w:pPr>
        <w:pStyle w:val="BodyText"/>
      </w:pPr>
      <w:r w:rsidRPr="00DA295C">
        <w:t xml:space="preserve">Large health infrastructure projects, like any large projects, can pose some </w:t>
      </w:r>
      <w:proofErr w:type="gramStart"/>
      <w:r>
        <w:t>Budget</w:t>
      </w:r>
      <w:r w:rsidRPr="00DA295C">
        <w:t>ary</w:t>
      </w:r>
      <w:proofErr w:type="gramEnd"/>
      <w:r w:rsidRPr="00DA295C">
        <w:t xml:space="preserve"> risk to the </w:t>
      </w:r>
      <w:r>
        <w:t>Budget</w:t>
      </w:r>
      <w:r w:rsidRPr="00DA295C">
        <w:t xml:space="preserve">, often impacting on the timing of large capital spending initiatives. </w:t>
      </w:r>
    </w:p>
    <w:p w:rsidR="002E17F7" w:rsidRPr="00DA295C" w:rsidRDefault="002E17F7" w:rsidP="002E17F7">
      <w:pPr>
        <w:pStyle w:val="BodyText"/>
      </w:pPr>
      <w:r w:rsidRPr="00DA295C">
        <w:t xml:space="preserve">The health infrastructure commitments are notoriously susceptible to delays because of their complexity and sequencing needs to ensure that </w:t>
      </w:r>
      <w:proofErr w:type="gramStart"/>
      <w:r w:rsidRPr="00DA295C">
        <w:t>patient outcomes are not impacted by the work program</w:t>
      </w:r>
      <w:proofErr w:type="gramEnd"/>
      <w:r w:rsidRPr="00DA295C">
        <w:t xml:space="preserve">. </w:t>
      </w:r>
    </w:p>
    <w:p w:rsidR="002E17F7" w:rsidRPr="003A3C79" w:rsidRDefault="002E17F7" w:rsidP="00284F89">
      <w:pPr>
        <w:pStyle w:val="Heading3"/>
        <w:numPr>
          <w:ilvl w:val="2"/>
          <w:numId w:val="1"/>
        </w:numPr>
      </w:pPr>
      <w:r w:rsidRPr="003A3C79">
        <w:t>Non-specific provisions have been made for construction of the Capital Metro</w:t>
      </w:r>
    </w:p>
    <w:p w:rsidR="002E17F7" w:rsidRDefault="002E17F7" w:rsidP="002E17F7">
      <w:pPr>
        <w:pStyle w:val="BodyText"/>
      </w:pPr>
      <w:r>
        <w:t xml:space="preserve">The Budget provides $1.3 billion for the future capital works of the University </w:t>
      </w:r>
      <w:proofErr w:type="gramStart"/>
      <w:r>
        <w:t>of</w:t>
      </w:r>
      <w:proofErr w:type="gramEnd"/>
      <w:r>
        <w:t xml:space="preserve"> Canberra Public Hospital, Capital Metro and the Courts Project. The Budget does not estimate the cost of the Capital Metro individually given it is a commercially sensitive and high value project. ACT Government publications do not formally estimate the cost of the Capital Metro. </w:t>
      </w:r>
      <w:proofErr w:type="gramStart"/>
      <w:r>
        <w:t>but</w:t>
      </w:r>
      <w:proofErr w:type="gramEnd"/>
      <w:r>
        <w:t xml:space="preserve"> costs are expected to be approximately $620 million over 3 years.</w:t>
      </w:r>
      <w:r>
        <w:rPr>
          <w:rStyle w:val="FootnoteReference"/>
        </w:rPr>
        <w:footnoteReference w:id="10"/>
      </w:r>
    </w:p>
    <w:p w:rsidR="002E17F7" w:rsidRDefault="002E17F7" w:rsidP="002E17F7">
      <w:pPr>
        <w:pStyle w:val="BodyText"/>
      </w:pPr>
      <w:r>
        <w:t xml:space="preserve">A total of $21.3 million </w:t>
      </w:r>
      <w:proofErr w:type="gramStart"/>
      <w:r>
        <w:t>has been allocated</w:t>
      </w:r>
      <w:proofErr w:type="gramEnd"/>
      <w:r>
        <w:t xml:space="preserve"> for 2014-15 towards the development of Capital Metro including preparing the project to an investment ready stage and commencing the procurement and delivery of the light rail service and its operation. </w:t>
      </w:r>
    </w:p>
    <w:p w:rsidR="002E17F7" w:rsidRDefault="002E17F7" w:rsidP="002E17F7">
      <w:pPr>
        <w:pStyle w:val="BodyText"/>
      </w:pPr>
      <w:r>
        <w:t xml:space="preserve">An additional $20 million </w:t>
      </w:r>
      <w:proofErr w:type="gramStart"/>
      <w:r>
        <w:t>is provided</w:t>
      </w:r>
      <w:proofErr w:type="gramEnd"/>
      <w:r>
        <w:t xml:space="preserve"> for the improvement of the Gungahlin to Civic corridor to prepare for the light rail. This includes $8 million in 2014-15 and $12 million in 2015/16 as part of the Territory and Municipal Services Directorate. </w:t>
      </w:r>
    </w:p>
    <w:p w:rsidR="002E17F7" w:rsidRDefault="002E17F7" w:rsidP="002E17F7">
      <w:pPr>
        <w:pStyle w:val="BodyText"/>
      </w:pPr>
      <w:r>
        <w:t xml:space="preserve">The Gungahlin to City corridor has a rapidly growing population, with an average growth in the Gungahlin district of 7.4 per cent per annum </w:t>
      </w:r>
      <w:proofErr w:type="gramStart"/>
      <w:r>
        <w:t>between 2003-2013</w:t>
      </w:r>
      <w:proofErr w:type="gramEnd"/>
      <w:r>
        <w:t>.</w:t>
      </w:r>
      <w:r>
        <w:rPr>
          <w:rStyle w:val="FootnoteReference"/>
        </w:rPr>
        <w:footnoteReference w:id="11"/>
      </w:r>
      <w:r>
        <w:t xml:space="preserve"> </w:t>
      </w:r>
      <w:r>
        <w:lastRenderedPageBreak/>
        <w:t xml:space="preserve">Promoting population density in Canberra can have significant social benefits in reducing social exclusion created by distance to City, and preventing service access issues. </w:t>
      </w:r>
    </w:p>
    <w:p w:rsidR="002E17F7" w:rsidRDefault="002E17F7" w:rsidP="002E17F7">
      <w:pPr>
        <w:pStyle w:val="BodyText"/>
      </w:pPr>
      <w:r>
        <w:t xml:space="preserve">However, given expected cuts to the Australian Public Service by the Commonwealth Government, we expect population growth to soften further for the ACT. Australian Public Service (APS) jobs in the ACT are at historically elevated levels, and a decrease in public service jobs is not necessarily a temporary shift. Increased migration outflows from the ACT due to declining APS would not support the case for the construction of the Capital Metro. </w:t>
      </w:r>
    </w:p>
    <w:p w:rsidR="002E17F7" w:rsidRDefault="002E17F7" w:rsidP="002E17F7">
      <w:pPr>
        <w:pStyle w:val="BodyText"/>
      </w:pPr>
      <w:r w:rsidRPr="003A3C79">
        <w:t xml:space="preserve">The construction of the Capital Metro, in part, would reflect and assumption that the trends in population are </w:t>
      </w:r>
      <w:proofErr w:type="gramStart"/>
      <w:r w:rsidRPr="003A3C79">
        <w:t>temporary,</w:t>
      </w:r>
      <w:proofErr w:type="gramEnd"/>
      <w:r w:rsidRPr="003A3C79">
        <w:t xml:space="preserve"> and this is not evident.</w:t>
      </w:r>
      <w:r>
        <w:t xml:space="preserve"> While population growth in Gungahlin may be relatively high, overall ACT population growth is soft, and thus the justification for the construction of the Capital Metro may rely on uncertain grounds.</w:t>
      </w:r>
    </w:p>
    <w:p w:rsidR="002E17F7" w:rsidRDefault="002E17F7" w:rsidP="002E17F7">
      <w:pPr>
        <w:pStyle w:val="BodyText"/>
      </w:pPr>
      <w:r>
        <w:t>The Capital Metro has not been placed on the Infrastructure Australia “National Priority List”</w:t>
      </w:r>
      <w:proofErr w:type="gramStart"/>
      <w:r>
        <w:t>,</w:t>
      </w:r>
      <w:proofErr w:type="gramEnd"/>
      <w:r>
        <w:t xml:space="preserve"> it may not present good value for money. The Capital Metro is not included in even the “Early Stage” national priorities, which requires those </w:t>
      </w:r>
      <w:proofErr w:type="spellStart"/>
      <w:r>
        <w:t>intiatives</w:t>
      </w:r>
      <w:proofErr w:type="spellEnd"/>
      <w:r>
        <w:t xml:space="preserve"> to “address a nationally significant issue or problem”.</w:t>
      </w:r>
      <w:r>
        <w:rPr>
          <w:rStyle w:val="FootnoteReference"/>
        </w:rPr>
        <w:footnoteReference w:id="12"/>
      </w:r>
    </w:p>
    <w:p w:rsidR="002E17F7" w:rsidRDefault="002E17F7" w:rsidP="002E17F7">
      <w:pPr>
        <w:pStyle w:val="BodyText"/>
      </w:pPr>
      <w:r>
        <w:t>The funding of the Capital Metro has not been made clear, however press reports</w:t>
      </w:r>
      <w:r>
        <w:rPr>
          <w:rStyle w:val="FootnoteReference"/>
        </w:rPr>
        <w:footnoteReference w:id="13"/>
      </w:r>
      <w:r>
        <w:t xml:space="preserve"> have emerged suggesting funding may be through a levy on </w:t>
      </w:r>
      <w:proofErr w:type="gramStart"/>
      <w:r>
        <w:t>home-owners</w:t>
      </w:r>
      <w:proofErr w:type="gramEnd"/>
      <w:r>
        <w:t xml:space="preserve"> living within a certain distance of the metro line. While it is prudent that the cost of the metro be borne more by those who obtain a private benefit from it (i.e. those who own </w:t>
      </w:r>
      <w:proofErr w:type="gramStart"/>
      <w:r>
        <w:t>property which</w:t>
      </w:r>
      <w:proofErr w:type="gramEnd"/>
      <w:r>
        <w:t xml:space="preserve"> would appreciate in value due to the construction of the Metro), this presents a risk and source of uncertainty given that the funding arrangement has not yet been detailed.</w:t>
      </w:r>
    </w:p>
    <w:p w:rsidR="002E17F7" w:rsidRDefault="002E17F7" w:rsidP="002E17F7">
      <w:pPr>
        <w:pStyle w:val="BodyText"/>
      </w:pPr>
      <w:r>
        <w:t xml:space="preserve">Housing demand has weakened in Canberra and outlook for the ACT real estate market is </w:t>
      </w:r>
      <w:proofErr w:type="gramStart"/>
      <w:r>
        <w:t>for more moderate conditions</w:t>
      </w:r>
      <w:r>
        <w:rPr>
          <w:rStyle w:val="FootnoteReference"/>
        </w:rPr>
        <w:footnoteReference w:id="14"/>
      </w:r>
      <w:r>
        <w:t>,</w:t>
      </w:r>
      <w:proofErr w:type="gramEnd"/>
      <w:r>
        <w:t xml:space="preserve"> which adds to the uncertainty for homeowners created by the lack of detail on funding </w:t>
      </w:r>
      <w:proofErr w:type="spellStart"/>
      <w:r>
        <w:t>arrangments</w:t>
      </w:r>
      <w:proofErr w:type="spellEnd"/>
      <w:r>
        <w:t>.</w:t>
      </w:r>
    </w:p>
    <w:p w:rsidR="002E17F7" w:rsidRDefault="002E17F7" w:rsidP="002E17F7">
      <w:pPr>
        <w:pStyle w:val="BodyText"/>
        <w:rPr>
          <w:rFonts w:cstheme="minorBidi"/>
        </w:rPr>
      </w:pPr>
      <w:r>
        <w:t xml:space="preserve">The delivery of transport infrastructure projects is often subject to potentially large risks that may jeopardise delivery and acceptability of these projects, which can add substantially to project costs. Many problems and cost over-runs of major infrastructure projects </w:t>
      </w:r>
      <w:proofErr w:type="gramStart"/>
      <w:r>
        <w:t>have been shown</w:t>
      </w:r>
      <w:proofErr w:type="gramEnd"/>
      <w:r>
        <w:t xml:space="preserve"> to be due in large part to under developed Terms of Reference, inadequate understanding of community expectations and anticipated usage, as well as uncertain or ineffective risk sharing arrangements across governments, head contractors and subcontractors. </w:t>
      </w:r>
      <w:r>
        <w:rPr>
          <w:rFonts w:cstheme="minorBidi"/>
        </w:rPr>
        <w:t xml:space="preserve">This makes it difficult to anticipate total costs of a project such as this and any consequent impact for the underlying Budget position. </w:t>
      </w:r>
      <w:bookmarkStart w:id="777" w:name="_Toc358304628"/>
    </w:p>
    <w:p w:rsidR="002E17F7" w:rsidRDefault="002E17F7" w:rsidP="002E17F7">
      <w:pPr>
        <w:pStyle w:val="BodyText"/>
        <w:rPr>
          <w:rFonts w:cstheme="minorBidi"/>
        </w:rPr>
      </w:pPr>
      <w:r>
        <w:rPr>
          <w:rFonts w:cstheme="minorBidi"/>
        </w:rPr>
        <w:t xml:space="preserve">However, concerns </w:t>
      </w:r>
      <w:proofErr w:type="gramStart"/>
      <w:r>
        <w:rPr>
          <w:rFonts w:cstheme="minorBidi"/>
        </w:rPr>
        <w:t>are being expressed</w:t>
      </w:r>
      <w:proofErr w:type="gramEnd"/>
      <w:r>
        <w:rPr>
          <w:rFonts w:cstheme="minorBidi"/>
        </w:rPr>
        <w:t xml:space="preserve"> in the media</w:t>
      </w:r>
      <w:r>
        <w:rPr>
          <w:rStyle w:val="FootnoteReference"/>
          <w:rFonts w:cstheme="minorBidi"/>
        </w:rPr>
        <w:footnoteReference w:id="15"/>
      </w:r>
      <w:r>
        <w:rPr>
          <w:rFonts w:cstheme="minorBidi"/>
        </w:rPr>
        <w:t xml:space="preserve"> about a tendency for costs of light rail programs to exceed expectations. In particular, the ACT government has expressed </w:t>
      </w:r>
      <w:r>
        <w:rPr>
          <w:rFonts w:cstheme="minorBidi"/>
        </w:rPr>
        <w:lastRenderedPageBreak/>
        <w:t>the difficulty in estimating the cost of the Capital Metro</w:t>
      </w:r>
      <w:r>
        <w:rPr>
          <w:rStyle w:val="FootnoteReference"/>
          <w:rFonts w:cstheme="minorBidi"/>
        </w:rPr>
        <w:footnoteReference w:id="16"/>
      </w:r>
      <w:r>
        <w:rPr>
          <w:rFonts w:cstheme="minorBidi"/>
        </w:rPr>
        <w:t>. The cost of the Capital Metro is subject to a high degree of uncertainty and is a source of risk for the fiscal position of the ACT.</w:t>
      </w:r>
    </w:p>
    <w:p w:rsidR="002E17F7" w:rsidRDefault="002E17F7" w:rsidP="002E17F7">
      <w:pPr>
        <w:pStyle w:val="BodyText"/>
        <w:rPr>
          <w:rFonts w:cstheme="minorBidi"/>
        </w:rPr>
      </w:pPr>
      <w:r>
        <w:rPr>
          <w:rFonts w:cstheme="minorBidi"/>
        </w:rPr>
        <w:t xml:space="preserve">Expenditure on the Capital Metro, as a very large item of capital works spending, </w:t>
      </w:r>
      <w:proofErr w:type="gramStart"/>
      <w:r>
        <w:rPr>
          <w:rFonts w:cstheme="minorBidi"/>
        </w:rPr>
        <w:t>would be expected</w:t>
      </w:r>
      <w:proofErr w:type="gramEnd"/>
      <w:r>
        <w:rPr>
          <w:rFonts w:cstheme="minorBidi"/>
        </w:rPr>
        <w:t xml:space="preserve"> to have some effect in stimulating private sector activity, through stimulating aggregate demand. This effect would be dependent on the project being ‘shovel-ready’ in order to have effect now. Therefore, if there are significant delays to the project, it will not have the stimulatory effect immediately, and therefore will not be effective in closing an output gap (gap between actual and potential output) in the short-term.</w:t>
      </w:r>
    </w:p>
    <w:bookmarkEnd w:id="777"/>
    <w:p w:rsidR="002E17F7" w:rsidRPr="00E15AF8" w:rsidRDefault="002E17F7" w:rsidP="00284F89">
      <w:pPr>
        <w:pStyle w:val="Heading3"/>
        <w:numPr>
          <w:ilvl w:val="2"/>
          <w:numId w:val="1"/>
        </w:numPr>
      </w:pPr>
      <w:r>
        <w:t>Justice and Community Safety Directorate is a significant component of total new expense initiatives</w:t>
      </w:r>
    </w:p>
    <w:p w:rsidR="002E17F7" w:rsidRDefault="002E17F7" w:rsidP="002E17F7">
      <w:pPr>
        <w:pStyle w:val="BodyText"/>
      </w:pPr>
      <w:r w:rsidRPr="00E15AF8">
        <w:t xml:space="preserve">A combined total of </w:t>
      </w:r>
      <w:r>
        <w:t xml:space="preserve">$42 million over the forward estimates </w:t>
      </w:r>
      <w:proofErr w:type="gramStart"/>
      <w:r>
        <w:t>is provided</w:t>
      </w:r>
      <w:proofErr w:type="gramEnd"/>
      <w:r>
        <w:t xml:space="preserve"> for improvements and additional staff at the Alexander Maconochie Centre (not including capital works expenditure). This is almost half of total expenditure within the Justice and Community Safety Directorate. The additional funding is associated </w:t>
      </w:r>
      <w:proofErr w:type="gramStart"/>
      <w:r>
        <w:t>with an increase in costs due to an increase in average detainee numbers</w:t>
      </w:r>
      <w:proofErr w:type="gramEnd"/>
      <w:r>
        <w:t xml:space="preserve">. </w:t>
      </w:r>
    </w:p>
    <w:p w:rsidR="002E17F7" w:rsidRDefault="002E17F7" w:rsidP="002E17F7">
      <w:pPr>
        <w:pStyle w:val="BodyText"/>
      </w:pPr>
      <w:r>
        <w:t xml:space="preserve">Another significant element of the Justice and Community Safety Directorate is funding to employ additional parking inspectors, which </w:t>
      </w:r>
      <w:proofErr w:type="gramStart"/>
      <w:r>
        <w:t>is expected</w:t>
      </w:r>
      <w:proofErr w:type="gramEnd"/>
      <w:r>
        <w:t xml:space="preserve"> to generate $10.4 million in additional revenue over the forward estimates. </w:t>
      </w:r>
    </w:p>
    <w:p w:rsidR="002E17F7" w:rsidRPr="00E15AF8" w:rsidRDefault="002E17F7" w:rsidP="002E17F7">
      <w:pPr>
        <w:pStyle w:val="BodyText"/>
      </w:pPr>
      <w:r>
        <w:t xml:space="preserve">The Commonwealth Fire Payment Supplementation is $4 million of funding for each of the four years estimated in the Budget. This is to offset a reduction in government expenditure on fire brigade services. The increase in the false alarm and commercial building development control fees allow for additional revenue to be </w:t>
      </w:r>
      <w:proofErr w:type="spellStart"/>
      <w:r>
        <w:t>collcted</w:t>
      </w:r>
      <w:proofErr w:type="spellEnd"/>
      <w:r>
        <w:t xml:space="preserve"> by the Emergency Services Agency protect services against the decrease in Commonwealth funding.</w:t>
      </w:r>
    </w:p>
    <w:p w:rsidR="002E17F7" w:rsidRDefault="002E17F7" w:rsidP="00284F89">
      <w:pPr>
        <w:pStyle w:val="Heading3"/>
        <w:numPr>
          <w:ilvl w:val="2"/>
          <w:numId w:val="1"/>
        </w:numPr>
      </w:pPr>
      <w:r>
        <w:t>Community Service Obligations</w:t>
      </w:r>
    </w:p>
    <w:p w:rsidR="002E17F7" w:rsidRDefault="002E17F7" w:rsidP="002E17F7">
      <w:pPr>
        <w:pStyle w:val="BodyText"/>
      </w:pPr>
      <w:r>
        <w:t xml:space="preserve">The2014-15 Budget makes allowance for Community Service Obligations (CSOs) to allow Public Trading Enterprises, or Public Non-Financial Corporations to carry out activities with identified public benefit objectives, which it would not elect to do on a commercial basis. </w:t>
      </w:r>
    </w:p>
    <w:p w:rsidR="002E17F7" w:rsidRDefault="002E17F7" w:rsidP="002E17F7">
      <w:pPr>
        <w:pStyle w:val="BodyText"/>
      </w:pPr>
      <w:r w:rsidRPr="00403D36">
        <w:t>In 2014-15</w:t>
      </w:r>
      <w:r>
        <w:t xml:space="preserve">, the ACT Government has identified $129 million of CSOs for the financial year, equivalent </w:t>
      </w:r>
      <w:r w:rsidRPr="00572E4E">
        <w:t>to $338.15</w:t>
      </w:r>
      <w:r>
        <w:t xml:space="preserve"> per ACT resident. This is an increase from the $117 million of funding in the 2013/14 Budget ($313.74 per resident). These </w:t>
      </w:r>
      <w:proofErr w:type="gramStart"/>
      <w:r>
        <w:t>are drawn</w:t>
      </w:r>
      <w:proofErr w:type="gramEnd"/>
      <w:r>
        <w:t xml:space="preserve"> from the activities of ACTEW, ACTION, Yarralumla nursery, ACT forests, Exhibition Park Corporation and the Public trustee.</w:t>
      </w:r>
    </w:p>
    <w:p w:rsidR="002E17F7" w:rsidRPr="00E83FB4" w:rsidRDefault="002E17F7" w:rsidP="002E17F7">
      <w:pPr>
        <w:pStyle w:val="BodyText"/>
      </w:pPr>
      <w:r w:rsidRPr="00E83FB4">
        <w:t xml:space="preserve">Comparisons across States and territories of CSOs are not always straightforward. As identified by the Productivity Commission in 2008, ‘The clarity of CSO payment </w:t>
      </w:r>
      <w:r w:rsidRPr="00E83FB4">
        <w:lastRenderedPageBreak/>
        <w:t xml:space="preserve">information in State and Territory </w:t>
      </w:r>
      <w:r>
        <w:t>Budget</w:t>
      </w:r>
      <w:r w:rsidRPr="00E83FB4">
        <w:t xml:space="preserve"> papers varies considerably’.</w:t>
      </w:r>
      <w:r w:rsidRPr="00E83FB4">
        <w:rPr>
          <w:rStyle w:val="FootnoteReference"/>
        </w:rPr>
        <w:footnoteReference w:id="17"/>
      </w:r>
      <w:r w:rsidRPr="00E83FB4">
        <w:t xml:space="preserve"> Some States such as Victoria do not publish details of public non-financial </w:t>
      </w:r>
      <w:proofErr w:type="spellStart"/>
      <w:r w:rsidRPr="00E83FB4">
        <w:t>corporations</w:t>
      </w:r>
      <w:proofErr w:type="spellEnd"/>
      <w:r w:rsidRPr="00E83FB4">
        <w:t xml:space="preserve"> separately within the </w:t>
      </w:r>
      <w:r>
        <w:t>Budget</w:t>
      </w:r>
      <w:r w:rsidRPr="00E83FB4">
        <w:t xml:space="preserve">, and other States such as New South Wales, while discussing the operations of Public Trading Enterprises, do not specifically mention CSOs. </w:t>
      </w:r>
    </w:p>
    <w:p w:rsidR="002E17F7" w:rsidRDefault="002E17F7" w:rsidP="002E17F7">
      <w:pPr>
        <w:pStyle w:val="BodyText"/>
      </w:pPr>
      <w:r w:rsidRPr="00E83FB4">
        <w:t xml:space="preserve">Both Queensland and the Northern Territory publish clearly identifiable statements for CSO payments across their financial year </w:t>
      </w:r>
      <w:r>
        <w:t>Budget</w:t>
      </w:r>
      <w:r w:rsidRPr="00E83FB4">
        <w:t>s. In 201</w:t>
      </w:r>
      <w:r>
        <w:t>4</w:t>
      </w:r>
      <w:r w:rsidRPr="00E83FB4">
        <w:t>-1</w:t>
      </w:r>
      <w:r>
        <w:t>5</w:t>
      </w:r>
      <w:r w:rsidRPr="00E83FB4">
        <w:t>, Queensland has identified a total of $2.</w:t>
      </w:r>
      <w:r>
        <w:t>219</w:t>
      </w:r>
      <w:r w:rsidRPr="00E83FB4">
        <w:t xml:space="preserve"> billion of CSOs</w:t>
      </w:r>
      <w:r>
        <w:rPr>
          <w:rStyle w:val="FootnoteReference"/>
        </w:rPr>
        <w:footnoteReference w:id="18"/>
      </w:r>
      <w:r w:rsidRPr="00E83FB4">
        <w:t>, equivalent to $4</w:t>
      </w:r>
      <w:r>
        <w:t>74</w:t>
      </w:r>
      <w:r w:rsidRPr="00E83FB4">
        <w:t>.5</w:t>
      </w:r>
      <w:r>
        <w:t>1</w:t>
      </w:r>
      <w:r w:rsidRPr="00E83FB4">
        <w:t xml:space="preserve"> per person</w:t>
      </w:r>
      <w:r>
        <w:t>. This is down from $2.278 billion for 2013-14. T</w:t>
      </w:r>
      <w:r w:rsidRPr="000B66B0">
        <w:t>he Northern Territory has identified a total of $100 million, equivalent to $413.93 per person.</w:t>
      </w:r>
      <w:r w:rsidRPr="000B66B0">
        <w:rPr>
          <w:rStyle w:val="FootnoteReference"/>
        </w:rPr>
        <w:footnoteReference w:id="19"/>
      </w:r>
      <w:r w:rsidRPr="000B66B0">
        <w:t xml:space="preserve"> </w:t>
      </w:r>
    </w:p>
    <w:p w:rsidR="002E17F7" w:rsidRDefault="002E17F7" w:rsidP="002E17F7">
      <w:pPr>
        <w:pStyle w:val="BodyText"/>
      </w:pPr>
      <w:r w:rsidRPr="000B66B0">
        <w:t>Both</w:t>
      </w:r>
      <w:r>
        <w:t xml:space="preserve"> the Queensland and Northern Territory Budget allocations </w:t>
      </w:r>
      <w:r w:rsidRPr="000B66B0">
        <w:t xml:space="preserve">are slightly higher than the ACT Government identified CSO per person for 2014-15. </w:t>
      </w:r>
    </w:p>
    <w:p w:rsidR="002E17F7" w:rsidRPr="00D47BE6" w:rsidRDefault="002E17F7" w:rsidP="00284F89">
      <w:pPr>
        <w:pStyle w:val="Heading2"/>
        <w:numPr>
          <w:ilvl w:val="1"/>
          <w:numId w:val="1"/>
        </w:numPr>
      </w:pPr>
      <w:bookmarkStart w:id="778" w:name="_Toc358813432"/>
      <w:bookmarkStart w:id="779" w:name="_Toc390427313"/>
      <w:r w:rsidRPr="00D47BE6">
        <w:t>Savings measures</w:t>
      </w:r>
      <w:bookmarkEnd w:id="778"/>
      <w:bookmarkEnd w:id="779"/>
    </w:p>
    <w:p w:rsidR="002E17F7" w:rsidRDefault="002E17F7" w:rsidP="002E17F7">
      <w:pPr>
        <w:pStyle w:val="BodyText"/>
      </w:pPr>
      <w:r>
        <w:t xml:space="preserve">The savings measures in the 2013-14 Budget are moderate — totalling $93.6 million over four years, mostly (80.6 per cent) achieved in the last two years of the forward estimates period. </w:t>
      </w:r>
    </w:p>
    <w:p w:rsidR="002E17F7" w:rsidRDefault="002E17F7" w:rsidP="002E17F7">
      <w:pPr>
        <w:pStyle w:val="BodyText"/>
      </w:pPr>
      <w:r>
        <w:t>However, saving expectations are more conservative and less ambitious than they were in last years’ Budget, particularly in the outer years of the forward estimates period.</w:t>
      </w:r>
    </w:p>
    <w:p w:rsidR="002E17F7" w:rsidRDefault="002E17F7" w:rsidP="00284F89">
      <w:pPr>
        <w:pStyle w:val="ListBullet"/>
        <w:numPr>
          <w:ilvl w:val="0"/>
          <w:numId w:val="4"/>
        </w:numPr>
      </w:pPr>
      <w:r w:rsidRPr="00990185">
        <w:rPr>
          <w:b/>
        </w:rPr>
        <w:t>2013-14</w:t>
      </w:r>
      <w:r>
        <w:t xml:space="preserve"> Budget savings are estimated at </w:t>
      </w:r>
      <w:r w:rsidRPr="00990185">
        <w:rPr>
          <w:b/>
        </w:rPr>
        <w:t>$</w:t>
      </w:r>
      <w:r>
        <w:rPr>
          <w:b/>
        </w:rPr>
        <w:t>0.06</w:t>
      </w:r>
      <w:r w:rsidRPr="00990185">
        <w:rPr>
          <w:b/>
        </w:rPr>
        <w:t> million</w:t>
      </w:r>
      <w:r>
        <w:t xml:space="preserve"> compared to $29.6 million expected in last years’ Budget;</w:t>
      </w:r>
    </w:p>
    <w:p w:rsidR="002E17F7" w:rsidRDefault="002E17F7" w:rsidP="00284F89">
      <w:pPr>
        <w:pStyle w:val="ListBullet"/>
        <w:numPr>
          <w:ilvl w:val="0"/>
          <w:numId w:val="4"/>
        </w:numPr>
      </w:pPr>
      <w:r w:rsidRPr="00990185">
        <w:rPr>
          <w:b/>
        </w:rPr>
        <w:t>2014-15</w:t>
      </w:r>
      <w:r>
        <w:t xml:space="preserve"> Budget savings are estimated at </w:t>
      </w:r>
      <w:r w:rsidRPr="00990185">
        <w:rPr>
          <w:b/>
        </w:rPr>
        <w:t>$</w:t>
      </w:r>
      <w:r>
        <w:rPr>
          <w:b/>
        </w:rPr>
        <w:t>18</w:t>
      </w:r>
      <w:r w:rsidRPr="00990185">
        <w:rPr>
          <w:b/>
        </w:rPr>
        <w:t> million</w:t>
      </w:r>
      <w:r>
        <w:t xml:space="preserve"> compared to $41.0 million expected in last years’ Budget;</w:t>
      </w:r>
    </w:p>
    <w:p w:rsidR="002E17F7" w:rsidRDefault="002E17F7" w:rsidP="00284F89">
      <w:pPr>
        <w:pStyle w:val="ListBullet"/>
        <w:numPr>
          <w:ilvl w:val="0"/>
          <w:numId w:val="4"/>
        </w:numPr>
      </w:pPr>
      <w:r w:rsidRPr="00990185">
        <w:rPr>
          <w:b/>
        </w:rPr>
        <w:t>2015-16</w:t>
      </w:r>
      <w:r>
        <w:t xml:space="preserve"> Budget savings are estimated at </w:t>
      </w:r>
      <w:r w:rsidRPr="00990185">
        <w:rPr>
          <w:b/>
        </w:rPr>
        <w:t>$</w:t>
      </w:r>
      <w:r>
        <w:rPr>
          <w:b/>
        </w:rPr>
        <w:t>31.0</w:t>
      </w:r>
      <w:r w:rsidRPr="00990185">
        <w:rPr>
          <w:b/>
        </w:rPr>
        <w:t> million</w:t>
      </w:r>
      <w:r>
        <w:t xml:space="preserve"> compared to $50.2 million expected in last years’ Budget;</w:t>
      </w:r>
    </w:p>
    <w:p w:rsidR="002E17F7" w:rsidRDefault="002E17F7" w:rsidP="00284F89">
      <w:pPr>
        <w:pStyle w:val="ListBullet"/>
        <w:numPr>
          <w:ilvl w:val="0"/>
          <w:numId w:val="4"/>
        </w:numPr>
      </w:pPr>
      <w:r w:rsidRPr="00990185">
        <w:rPr>
          <w:b/>
        </w:rPr>
        <w:t>2016-17</w:t>
      </w:r>
      <w:r>
        <w:t xml:space="preserve"> Budget savings </w:t>
      </w:r>
      <w:proofErr w:type="gramStart"/>
      <w:r>
        <w:t>are estimated</w:t>
      </w:r>
      <w:proofErr w:type="gramEnd"/>
      <w:r>
        <w:t xml:space="preserve"> at </w:t>
      </w:r>
      <w:r w:rsidRPr="00990185">
        <w:rPr>
          <w:b/>
        </w:rPr>
        <w:t>$</w:t>
      </w:r>
      <w:r>
        <w:rPr>
          <w:b/>
        </w:rPr>
        <w:t>44.4</w:t>
      </w:r>
      <w:r w:rsidRPr="00990185">
        <w:rPr>
          <w:b/>
        </w:rPr>
        <w:t> million</w:t>
      </w:r>
      <w:r w:rsidRPr="00990185">
        <w:t>.</w:t>
      </w:r>
    </w:p>
    <w:p w:rsidR="002E17F7" w:rsidRDefault="002E17F7" w:rsidP="002E17F7">
      <w:pPr>
        <w:pStyle w:val="BodyText"/>
      </w:pPr>
      <w:r>
        <w:t xml:space="preserve">There is no guidance on where savings </w:t>
      </w:r>
      <w:proofErr w:type="gramStart"/>
      <w:r>
        <w:t>are expected</w:t>
      </w:r>
      <w:proofErr w:type="gramEnd"/>
      <w:r>
        <w:t xml:space="preserve"> on an agency-by-agency basis, with savings affecting the whole of government. Savings include administrative efficiency savings and various ICT initiatives, which require initial expenditure to lead to savings.</w:t>
      </w:r>
    </w:p>
    <w:p w:rsidR="002E17F7" w:rsidRDefault="002E17F7" w:rsidP="002E17F7">
      <w:pPr>
        <w:pStyle w:val="BodyText"/>
      </w:pPr>
      <w:r>
        <w:t xml:space="preserve">Table </w:t>
      </w:r>
      <w:fldSimple w:instr=" REF _Caption6966 ">
        <w:r w:rsidR="00D733F1">
          <w:rPr>
            <w:noProof/>
          </w:rPr>
          <w:t>24</w:t>
        </w:r>
      </w:fldSimple>
      <w:r>
        <w:t xml:space="preserve"> sets out the only information available on where savings </w:t>
      </w:r>
      <w:proofErr w:type="gramStart"/>
      <w:r>
        <w:t>are expected to be made</w:t>
      </w:r>
      <w:proofErr w:type="gramEnd"/>
      <w:r>
        <w:t xml:space="preserve">. </w:t>
      </w:r>
    </w:p>
    <w:p w:rsidR="00C82C2A" w:rsidRDefault="00B40B86" w:rsidP="00C82C2A">
      <w:pPr>
        <w:pStyle w:val="Caption"/>
      </w:pPr>
      <w:r w:rsidRPr="00695C93">
        <w:lastRenderedPageBreak/>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fldSimple w:instr=" STYLEREF &quot;Heading 1&quot; \l \n ">
        <w:r w:rsidR="00C82C2A">
          <w:rPr>
            <w:noProof/>
          </w:rPr>
          <w:instrText>2</w:instrText>
        </w:r>
      </w:fldSimple>
      <w:r w:rsidR="00C82C2A" w:rsidRPr="00695C93">
        <w:instrText xml:space="preserve">." </w:instrText>
      </w:r>
      <w:r w:rsidRPr="00695C93">
        <w:fldChar w:fldCharType="end"/>
      </w:r>
      <w:r w:rsidR="00C82C2A" w:rsidRPr="00695C93">
        <w:instrText>" "</w:instrText>
      </w:r>
      <w:fldSimple w:instr=" STYLEREF &quot;Heading 6&quot; \l \n ">
        <w:r w:rsidR="00C82C2A" w:rsidRPr="00695C93">
          <w:instrText>B</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24</w:instrText>
      </w:r>
      <w:r w:rsidRPr="00695C93">
        <w:fldChar w:fldCharType="end"/>
      </w:r>
      <w:r w:rsidR="00C82C2A" w:rsidRPr="00695C93">
        <w:instrText xml:space="preserve">" "" </w:instrText>
      </w:r>
      <w:r w:rsidRPr="00695C93">
        <w:fldChar w:fldCharType="separate"/>
      </w:r>
      <w:bookmarkStart w:id="780" w:name="_Caption2146"/>
      <w:bookmarkStart w:id="781" w:name="_Caption5936"/>
      <w:bookmarkStart w:id="782" w:name="_Caption6139"/>
      <w:bookmarkStart w:id="783" w:name="_Caption1971"/>
      <w:bookmarkStart w:id="784" w:name="_Caption1367"/>
      <w:bookmarkStart w:id="785" w:name="_Caption4313"/>
      <w:bookmarkStart w:id="786" w:name="_Caption7416"/>
      <w:bookmarkStart w:id="787" w:name="_Caption3823"/>
      <w:bookmarkStart w:id="788" w:name="_Caption7386"/>
      <w:bookmarkStart w:id="789" w:name="_Caption7057"/>
      <w:bookmarkStart w:id="790" w:name="_Caption1778"/>
      <w:bookmarkStart w:id="791" w:name="_Caption9524"/>
      <w:bookmarkStart w:id="792" w:name="_Caption2219"/>
      <w:bookmarkStart w:id="793" w:name="_Caption6596"/>
      <w:bookmarkStart w:id="794" w:name="_Caption2529"/>
      <w:bookmarkStart w:id="795" w:name="_Caption8957"/>
      <w:bookmarkStart w:id="796" w:name="_Caption4486"/>
      <w:bookmarkStart w:id="797" w:name="_Caption8991"/>
      <w:bookmarkStart w:id="798" w:name="_Caption5092"/>
      <w:bookmarkStart w:id="799" w:name="_Caption6851"/>
      <w:bookmarkStart w:id="800" w:name="_Caption9535"/>
      <w:bookmarkStart w:id="801" w:name="_Caption6966"/>
      <w:bookmarkStart w:id="802" w:name="_Caption9049"/>
      <w:bookmarkStart w:id="803" w:name="_Caption4739"/>
      <w:bookmarkStart w:id="804" w:name="_Caption6593"/>
      <w:bookmarkStart w:id="805" w:name="_Caption3111"/>
      <w:bookmarkStart w:id="806" w:name="_Caption4066"/>
      <w:bookmarkStart w:id="807" w:name="_Caption4991"/>
      <w:bookmarkStart w:id="808" w:name="_Caption2547"/>
      <w:bookmarkStart w:id="809" w:name="_Caption5799"/>
      <w:bookmarkStart w:id="810" w:name="_Caption4364"/>
      <w:bookmarkStart w:id="811" w:name="_Toc390427347"/>
      <w:r w:rsidR="00D733F1">
        <w:rPr>
          <w:noProof/>
        </w:rPr>
        <w:t>24</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r w:rsidRPr="00695C93">
        <w:fldChar w:fldCharType="end"/>
      </w:r>
      <w:r w:rsidR="00C82C2A" w:rsidRPr="00695C93">
        <w:tab/>
      </w:r>
      <w:r w:rsidR="00C82C2A">
        <w:t>2014-15 Budget savings initiatives</w:t>
      </w:r>
      <w:bookmarkEnd w:id="811"/>
    </w:p>
    <w:tbl>
      <w:tblPr>
        <w:tblW w:w="8080" w:type="dxa"/>
        <w:tblInd w:w="57" w:type="dxa"/>
        <w:tblLayout w:type="fixed"/>
        <w:tblLook w:val="0000"/>
      </w:tblPr>
      <w:tblGrid>
        <w:gridCol w:w="3029"/>
        <w:gridCol w:w="1010"/>
        <w:gridCol w:w="1011"/>
        <w:gridCol w:w="1010"/>
        <w:gridCol w:w="1010"/>
        <w:gridCol w:w="1010"/>
      </w:tblGrid>
      <w:tr w:rsidR="002E17F7" w:rsidTr="009C75CC">
        <w:tc>
          <w:tcPr>
            <w:tcW w:w="3029"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vAlign w:val="bottom"/>
          </w:tcPr>
          <w:p w:rsidR="002E17F7" w:rsidRDefault="002E17F7" w:rsidP="009C75CC">
            <w:pPr>
              <w:pStyle w:val="TableDataColumnHeading"/>
              <w:spacing w:before="40"/>
            </w:pPr>
          </w:p>
        </w:tc>
        <w:tc>
          <w:tcPr>
            <w:tcW w:w="1010"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vAlign w:val="bottom"/>
          </w:tcPr>
          <w:p w:rsidR="002E17F7" w:rsidRDefault="002E17F7" w:rsidP="009C75CC">
            <w:pPr>
              <w:pStyle w:val="TableDataColumnHeading"/>
              <w:spacing w:before="40"/>
            </w:pPr>
            <w:r>
              <w:t>2014–15 Budget</w:t>
            </w:r>
          </w:p>
        </w:tc>
        <w:tc>
          <w:tcPr>
            <w:tcW w:w="1011"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vAlign w:val="bottom"/>
          </w:tcPr>
          <w:p w:rsidR="002E17F7" w:rsidRDefault="002E17F7" w:rsidP="009C75CC">
            <w:pPr>
              <w:pStyle w:val="TableDataColumnHeading"/>
              <w:spacing w:before="40"/>
            </w:pPr>
            <w:r>
              <w:t>2015–16 Estimate</w:t>
            </w:r>
          </w:p>
        </w:tc>
        <w:tc>
          <w:tcPr>
            <w:tcW w:w="1010"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vAlign w:val="bottom"/>
          </w:tcPr>
          <w:p w:rsidR="002E17F7" w:rsidRDefault="002E17F7" w:rsidP="009C75CC">
            <w:pPr>
              <w:pStyle w:val="TableDataColumnHeading"/>
              <w:spacing w:before="40"/>
            </w:pPr>
            <w:r>
              <w:t>2016–17 Estimate</w:t>
            </w:r>
          </w:p>
        </w:tc>
        <w:tc>
          <w:tcPr>
            <w:tcW w:w="1010" w:type="dxa"/>
            <w:tcBorders>
              <w:top w:val="single" w:sz="2" w:space="0" w:color="6F6652"/>
              <w:left w:val="single" w:sz="2" w:space="0" w:color="6F6652"/>
              <w:bottom w:val="single" w:sz="2" w:space="0" w:color="6F6652"/>
              <w:right w:val="single" w:sz="2" w:space="0" w:color="6F6652"/>
            </w:tcBorders>
            <w:shd w:val="clear" w:color="auto" w:fill="6F6652"/>
            <w:tcMar>
              <w:left w:w="57" w:type="dxa"/>
              <w:right w:w="57" w:type="dxa"/>
            </w:tcMar>
            <w:vAlign w:val="bottom"/>
          </w:tcPr>
          <w:p w:rsidR="002E17F7" w:rsidRDefault="002E17F7" w:rsidP="009C75CC">
            <w:pPr>
              <w:pStyle w:val="TableDataColumnHeading"/>
              <w:spacing w:before="40"/>
            </w:pPr>
            <w:r>
              <w:t>2017–18 Estimate</w:t>
            </w:r>
          </w:p>
        </w:tc>
        <w:tc>
          <w:tcPr>
            <w:tcW w:w="1010" w:type="dxa"/>
            <w:tcBorders>
              <w:top w:val="single" w:sz="2" w:space="0" w:color="6F6652"/>
              <w:left w:val="single" w:sz="2" w:space="0" w:color="6F6652"/>
              <w:bottom w:val="single" w:sz="2" w:space="0" w:color="6F6652"/>
              <w:right w:val="single" w:sz="2" w:space="0" w:color="6F6652"/>
            </w:tcBorders>
            <w:shd w:val="clear" w:color="auto" w:fill="6F6652"/>
            <w:vAlign w:val="bottom"/>
          </w:tcPr>
          <w:p w:rsidR="002E17F7" w:rsidRDefault="002E17F7" w:rsidP="009C75CC">
            <w:pPr>
              <w:pStyle w:val="TableDataColumnHeading"/>
              <w:spacing w:before="40"/>
            </w:pPr>
            <w:r>
              <w:t>Total</w:t>
            </w:r>
          </w:p>
        </w:tc>
      </w:tr>
      <w:tr w:rsidR="002E17F7" w:rsidRPr="00A209EC" w:rsidTr="009C75CC">
        <w:tc>
          <w:tcPr>
            <w:tcW w:w="3029" w:type="dxa"/>
            <w:tcBorders>
              <w:top w:val="single" w:sz="2" w:space="0" w:color="6F6652"/>
              <w:left w:val="single" w:sz="2" w:space="0" w:color="6F6652"/>
              <w:bottom w:val="single" w:sz="8" w:space="0" w:color="FFFFFF" w:themeColor="background1"/>
              <w:right w:val="single" w:sz="2" w:space="0" w:color="6F6652"/>
            </w:tcBorders>
            <w:shd w:val="clear" w:color="auto" w:fill="6F6652"/>
            <w:tcMar>
              <w:left w:w="57" w:type="dxa"/>
              <w:right w:w="57" w:type="dxa"/>
            </w:tcMar>
          </w:tcPr>
          <w:p w:rsidR="002E17F7" w:rsidRPr="00A209EC" w:rsidRDefault="002E17F7" w:rsidP="009C75CC">
            <w:pPr>
              <w:pStyle w:val="TableDataColumnHeading"/>
              <w:spacing w:before="0"/>
              <w:rPr>
                <w:rFonts w:ascii="Franklin Gothic Book" w:hAnsi="Franklin Gothic Book"/>
              </w:rPr>
            </w:pPr>
          </w:p>
        </w:tc>
        <w:tc>
          <w:tcPr>
            <w:tcW w:w="1010" w:type="dxa"/>
            <w:tcBorders>
              <w:top w:val="single" w:sz="2" w:space="0" w:color="6F6652"/>
              <w:left w:val="single" w:sz="2" w:space="0" w:color="6F6652"/>
              <w:bottom w:val="single" w:sz="8" w:space="0" w:color="FFFFFF" w:themeColor="background1"/>
              <w:right w:val="single" w:sz="2" w:space="0" w:color="6F6652"/>
            </w:tcBorders>
            <w:shd w:val="clear" w:color="auto" w:fill="6F6652"/>
            <w:tcMar>
              <w:left w:w="57" w:type="dxa"/>
              <w:right w:w="57" w:type="dxa"/>
            </w:tcMar>
          </w:tcPr>
          <w:p w:rsidR="002E17F7" w:rsidRPr="00A209EC" w:rsidRDefault="002E17F7" w:rsidP="009C75CC">
            <w:pPr>
              <w:pStyle w:val="TableDataColumnHeading"/>
              <w:spacing w:before="0"/>
              <w:rPr>
                <w:rFonts w:ascii="Franklin Gothic Book" w:hAnsi="Franklin Gothic Book"/>
              </w:rPr>
            </w:pPr>
            <w:r w:rsidRPr="00A209EC">
              <w:rPr>
                <w:rFonts w:ascii="Franklin Gothic Book" w:hAnsi="Franklin Gothic Book"/>
              </w:rPr>
              <w:t>$’000</w:t>
            </w:r>
          </w:p>
        </w:tc>
        <w:tc>
          <w:tcPr>
            <w:tcW w:w="1011" w:type="dxa"/>
            <w:tcBorders>
              <w:top w:val="single" w:sz="2" w:space="0" w:color="6F6652"/>
              <w:left w:val="single" w:sz="2" w:space="0" w:color="6F6652"/>
              <w:bottom w:val="single" w:sz="8" w:space="0" w:color="FFFFFF" w:themeColor="background1"/>
              <w:right w:val="single" w:sz="2" w:space="0" w:color="6F6652"/>
            </w:tcBorders>
            <w:shd w:val="clear" w:color="auto" w:fill="6F6652"/>
            <w:tcMar>
              <w:left w:w="57" w:type="dxa"/>
              <w:right w:w="57" w:type="dxa"/>
            </w:tcMar>
          </w:tcPr>
          <w:p w:rsidR="002E17F7" w:rsidRPr="00A209EC" w:rsidRDefault="002E17F7" w:rsidP="009C75CC">
            <w:pPr>
              <w:pStyle w:val="TableDataColumnHeading"/>
              <w:spacing w:before="0"/>
              <w:rPr>
                <w:rFonts w:ascii="Franklin Gothic Book" w:hAnsi="Franklin Gothic Book"/>
              </w:rPr>
            </w:pPr>
            <w:r w:rsidRPr="00A209EC">
              <w:rPr>
                <w:rFonts w:ascii="Franklin Gothic Book" w:hAnsi="Franklin Gothic Book"/>
              </w:rPr>
              <w:t>$’000</w:t>
            </w:r>
          </w:p>
        </w:tc>
        <w:tc>
          <w:tcPr>
            <w:tcW w:w="1010" w:type="dxa"/>
            <w:tcBorders>
              <w:top w:val="single" w:sz="2" w:space="0" w:color="6F6652"/>
              <w:left w:val="single" w:sz="2" w:space="0" w:color="6F6652"/>
              <w:bottom w:val="single" w:sz="8" w:space="0" w:color="FFFFFF" w:themeColor="background1"/>
              <w:right w:val="single" w:sz="2" w:space="0" w:color="6F6652"/>
            </w:tcBorders>
            <w:shd w:val="clear" w:color="auto" w:fill="6F6652"/>
            <w:tcMar>
              <w:left w:w="57" w:type="dxa"/>
              <w:right w:w="57" w:type="dxa"/>
            </w:tcMar>
          </w:tcPr>
          <w:p w:rsidR="002E17F7" w:rsidRPr="00A209EC" w:rsidRDefault="002E17F7" w:rsidP="009C75CC">
            <w:pPr>
              <w:pStyle w:val="TableDataColumnHeading"/>
              <w:spacing w:before="0"/>
              <w:rPr>
                <w:rFonts w:ascii="Franklin Gothic Book" w:hAnsi="Franklin Gothic Book"/>
              </w:rPr>
            </w:pPr>
            <w:r w:rsidRPr="00A209EC">
              <w:rPr>
                <w:rFonts w:ascii="Franklin Gothic Book" w:hAnsi="Franklin Gothic Book"/>
              </w:rPr>
              <w:t>$’000</w:t>
            </w:r>
          </w:p>
        </w:tc>
        <w:tc>
          <w:tcPr>
            <w:tcW w:w="1010" w:type="dxa"/>
            <w:tcBorders>
              <w:top w:val="single" w:sz="2" w:space="0" w:color="6F6652"/>
              <w:left w:val="single" w:sz="2" w:space="0" w:color="6F6652"/>
              <w:bottom w:val="single" w:sz="8" w:space="0" w:color="FFFFFF" w:themeColor="background1"/>
              <w:right w:val="single" w:sz="2" w:space="0" w:color="6F6652"/>
            </w:tcBorders>
            <w:shd w:val="clear" w:color="auto" w:fill="6F6652"/>
            <w:tcMar>
              <w:left w:w="57" w:type="dxa"/>
              <w:right w:w="57" w:type="dxa"/>
            </w:tcMar>
          </w:tcPr>
          <w:p w:rsidR="002E17F7" w:rsidRPr="00A209EC" w:rsidRDefault="002E17F7" w:rsidP="009C75CC">
            <w:pPr>
              <w:pStyle w:val="TableDataColumnHeading"/>
              <w:spacing w:before="0"/>
              <w:rPr>
                <w:rFonts w:ascii="Franklin Gothic Book" w:hAnsi="Franklin Gothic Book"/>
              </w:rPr>
            </w:pPr>
            <w:r w:rsidRPr="00A209EC">
              <w:rPr>
                <w:rFonts w:ascii="Franklin Gothic Book" w:hAnsi="Franklin Gothic Book"/>
              </w:rPr>
              <w:t>$’000</w:t>
            </w:r>
          </w:p>
        </w:tc>
        <w:tc>
          <w:tcPr>
            <w:tcW w:w="1010" w:type="dxa"/>
            <w:tcBorders>
              <w:top w:val="single" w:sz="2" w:space="0" w:color="6F6652"/>
              <w:left w:val="single" w:sz="2" w:space="0" w:color="6F6652"/>
              <w:bottom w:val="single" w:sz="8" w:space="0" w:color="FFFFFF" w:themeColor="background1"/>
              <w:right w:val="single" w:sz="2" w:space="0" w:color="6F6652"/>
            </w:tcBorders>
            <w:shd w:val="clear" w:color="auto" w:fill="6F6652"/>
          </w:tcPr>
          <w:p w:rsidR="002E17F7" w:rsidRPr="00A209EC" w:rsidRDefault="002E17F7" w:rsidP="009C75CC">
            <w:pPr>
              <w:pStyle w:val="TableDataColumnHeading"/>
              <w:spacing w:before="0"/>
              <w:rPr>
                <w:rFonts w:ascii="Franklin Gothic Book" w:hAnsi="Franklin Gothic Book"/>
              </w:rPr>
            </w:pPr>
            <w:r w:rsidRPr="00A209EC">
              <w:rPr>
                <w:rFonts w:ascii="Franklin Gothic Book" w:hAnsi="Franklin Gothic Book"/>
              </w:rPr>
              <w:t>$’000</w:t>
            </w:r>
          </w:p>
        </w:tc>
      </w:tr>
      <w:tr w:rsidR="002E17F7" w:rsidTr="009C75CC">
        <w:tc>
          <w:tcPr>
            <w:tcW w:w="3029"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pPr>
            <w:r>
              <w:t>Administrative Efficiencies</w:t>
            </w:r>
          </w:p>
        </w:tc>
        <w:tc>
          <w:tcPr>
            <w:tcW w:w="10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60</w:t>
            </w:r>
          </w:p>
        </w:tc>
        <w:tc>
          <w:tcPr>
            <w:tcW w:w="101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10 560</w:t>
            </w:r>
          </w:p>
        </w:tc>
        <w:tc>
          <w:tcPr>
            <w:tcW w:w="10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13 060</w:t>
            </w:r>
          </w:p>
        </w:tc>
        <w:tc>
          <w:tcPr>
            <w:tcW w:w="10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13 460</w:t>
            </w:r>
          </w:p>
        </w:tc>
        <w:tc>
          <w:tcPr>
            <w:tcW w:w="1010" w:type="dxa"/>
            <w:tcBorders>
              <w:top w:val="single" w:sz="8" w:space="0" w:color="FFFFFF" w:themeColor="background1"/>
              <w:bottom w:val="single" w:sz="8" w:space="0" w:color="FFFFFF" w:themeColor="background1"/>
            </w:tcBorders>
            <w:shd w:val="clear" w:color="auto" w:fill="E9E8E5" w:themeFill="background2"/>
          </w:tcPr>
          <w:p w:rsidR="002E17F7" w:rsidRPr="006B7D44" w:rsidRDefault="002E17F7" w:rsidP="009C75CC">
            <w:pPr>
              <w:pStyle w:val="TableTextEntries"/>
              <w:spacing w:line="240" w:lineRule="auto"/>
              <w:jc w:val="right"/>
              <w:rPr>
                <w:rFonts w:ascii="Franklin Gothic Demi" w:hAnsi="Franklin Gothic Demi"/>
              </w:rPr>
            </w:pPr>
            <w:r w:rsidRPr="006B7D44">
              <w:rPr>
                <w:rFonts w:ascii="Franklin Gothic Demi" w:hAnsi="Franklin Gothic Demi"/>
              </w:rPr>
              <w:t>37 140</w:t>
            </w:r>
          </w:p>
        </w:tc>
      </w:tr>
      <w:tr w:rsidR="002E17F7" w:rsidTr="009C75CC">
        <w:tc>
          <w:tcPr>
            <w:tcW w:w="3029"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pPr>
            <w:r>
              <w:t>Digital Dividend Investment Strategy and Transformational Service Delivery</w:t>
            </w:r>
          </w:p>
        </w:tc>
        <w:tc>
          <w:tcPr>
            <w:tcW w:w="10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0</w:t>
            </w:r>
          </w:p>
        </w:tc>
        <w:tc>
          <w:tcPr>
            <w:tcW w:w="101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5 000</w:t>
            </w:r>
          </w:p>
        </w:tc>
        <w:tc>
          <w:tcPr>
            <w:tcW w:w="10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10 000</w:t>
            </w:r>
          </w:p>
        </w:tc>
        <w:tc>
          <w:tcPr>
            <w:tcW w:w="10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15 000</w:t>
            </w:r>
          </w:p>
        </w:tc>
        <w:tc>
          <w:tcPr>
            <w:tcW w:w="1010" w:type="dxa"/>
            <w:tcBorders>
              <w:top w:val="single" w:sz="8" w:space="0" w:color="FFFFFF" w:themeColor="background1"/>
              <w:bottom w:val="single" w:sz="8" w:space="0" w:color="FFFFFF" w:themeColor="background1"/>
            </w:tcBorders>
            <w:shd w:val="clear" w:color="auto" w:fill="E9E8E5" w:themeFill="background2"/>
          </w:tcPr>
          <w:p w:rsidR="002E17F7" w:rsidRPr="006B7D44" w:rsidRDefault="002E17F7" w:rsidP="009C75CC">
            <w:pPr>
              <w:pStyle w:val="TableTextEntries"/>
              <w:spacing w:line="240" w:lineRule="auto"/>
              <w:jc w:val="right"/>
              <w:rPr>
                <w:rFonts w:ascii="Franklin Gothic Demi" w:hAnsi="Franklin Gothic Demi"/>
              </w:rPr>
            </w:pPr>
            <w:r w:rsidRPr="006B7D44">
              <w:rPr>
                <w:rFonts w:ascii="Franklin Gothic Demi" w:hAnsi="Franklin Gothic Demi"/>
              </w:rPr>
              <w:t>30 000</w:t>
            </w:r>
          </w:p>
        </w:tc>
      </w:tr>
      <w:tr w:rsidR="002E17F7" w:rsidTr="009C75CC">
        <w:tc>
          <w:tcPr>
            <w:tcW w:w="3029"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pPr>
            <w:proofErr w:type="spellStart"/>
            <w:r>
              <w:t>iConnect</w:t>
            </w:r>
            <w:proofErr w:type="spellEnd"/>
          </w:p>
        </w:tc>
        <w:tc>
          <w:tcPr>
            <w:tcW w:w="10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0</w:t>
            </w:r>
          </w:p>
        </w:tc>
        <w:tc>
          <w:tcPr>
            <w:tcW w:w="101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500</w:t>
            </w:r>
          </w:p>
        </w:tc>
        <w:tc>
          <w:tcPr>
            <w:tcW w:w="10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4 020</w:t>
            </w:r>
          </w:p>
        </w:tc>
        <w:tc>
          <w:tcPr>
            <w:tcW w:w="10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10 109</w:t>
            </w:r>
          </w:p>
        </w:tc>
        <w:tc>
          <w:tcPr>
            <w:tcW w:w="1010" w:type="dxa"/>
            <w:tcBorders>
              <w:top w:val="single" w:sz="8" w:space="0" w:color="FFFFFF" w:themeColor="background1"/>
              <w:bottom w:val="single" w:sz="8" w:space="0" w:color="FFFFFF" w:themeColor="background1"/>
            </w:tcBorders>
            <w:shd w:val="clear" w:color="auto" w:fill="E9E8E5" w:themeFill="background2"/>
          </w:tcPr>
          <w:p w:rsidR="002E17F7" w:rsidRPr="006B7D44" w:rsidRDefault="002E17F7" w:rsidP="009C75CC">
            <w:pPr>
              <w:pStyle w:val="TableTextEntries"/>
              <w:spacing w:line="240" w:lineRule="auto"/>
              <w:jc w:val="right"/>
              <w:rPr>
                <w:rFonts w:ascii="Franklin Gothic Demi" w:hAnsi="Franklin Gothic Demi"/>
              </w:rPr>
            </w:pPr>
            <w:r w:rsidRPr="006B7D44">
              <w:rPr>
                <w:rFonts w:ascii="Franklin Gothic Demi" w:hAnsi="Franklin Gothic Demi"/>
              </w:rPr>
              <w:t>14 629</w:t>
            </w:r>
          </w:p>
        </w:tc>
      </w:tr>
      <w:tr w:rsidR="002E17F7" w:rsidTr="009C75CC">
        <w:tc>
          <w:tcPr>
            <w:tcW w:w="3029"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pPr>
            <w:r>
              <w:t>Other ICT initiatives</w:t>
            </w:r>
          </w:p>
        </w:tc>
        <w:tc>
          <w:tcPr>
            <w:tcW w:w="10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0</w:t>
            </w:r>
          </w:p>
        </w:tc>
        <w:tc>
          <w:tcPr>
            <w:tcW w:w="101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1 996</w:t>
            </w:r>
          </w:p>
        </w:tc>
        <w:tc>
          <w:tcPr>
            <w:tcW w:w="10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3 996</w:t>
            </w:r>
          </w:p>
        </w:tc>
        <w:tc>
          <w:tcPr>
            <w:tcW w:w="10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TextEntries"/>
              <w:spacing w:line="240" w:lineRule="auto"/>
              <w:jc w:val="right"/>
            </w:pPr>
            <w:r>
              <w:t>5 836</w:t>
            </w:r>
          </w:p>
        </w:tc>
        <w:tc>
          <w:tcPr>
            <w:tcW w:w="1010" w:type="dxa"/>
            <w:tcBorders>
              <w:top w:val="single" w:sz="8" w:space="0" w:color="FFFFFF" w:themeColor="background1"/>
              <w:bottom w:val="single" w:sz="8" w:space="0" w:color="FFFFFF" w:themeColor="background1"/>
            </w:tcBorders>
            <w:shd w:val="clear" w:color="auto" w:fill="E9E8E5" w:themeFill="background2"/>
          </w:tcPr>
          <w:p w:rsidR="002E17F7" w:rsidRPr="006B7D44" w:rsidRDefault="002E17F7" w:rsidP="009C75CC">
            <w:pPr>
              <w:pStyle w:val="TableTextEntries"/>
              <w:spacing w:line="240" w:lineRule="auto"/>
              <w:jc w:val="right"/>
              <w:rPr>
                <w:rFonts w:ascii="Franklin Gothic Demi" w:hAnsi="Franklin Gothic Demi"/>
              </w:rPr>
            </w:pPr>
            <w:r w:rsidRPr="006B7D44">
              <w:rPr>
                <w:rFonts w:ascii="Franklin Gothic Demi" w:hAnsi="Franklin Gothic Demi"/>
              </w:rPr>
              <w:t>11 828</w:t>
            </w:r>
          </w:p>
        </w:tc>
      </w:tr>
      <w:tr w:rsidR="002E17F7" w:rsidRPr="006B7D44" w:rsidTr="009C75CC">
        <w:tc>
          <w:tcPr>
            <w:tcW w:w="3029" w:type="dxa"/>
            <w:tcBorders>
              <w:top w:val="single" w:sz="8" w:space="0" w:color="FFFFFF" w:themeColor="background1"/>
              <w:bottom w:val="single" w:sz="4" w:space="0" w:color="auto"/>
            </w:tcBorders>
            <w:shd w:val="clear" w:color="auto" w:fill="C2DADB" w:themeFill="accent6" w:themeFillTint="99"/>
            <w:tcMar>
              <w:left w:w="57" w:type="dxa"/>
              <w:right w:w="57" w:type="dxa"/>
            </w:tcMar>
          </w:tcPr>
          <w:p w:rsidR="002E17F7" w:rsidRPr="006B7D44" w:rsidRDefault="002E17F7" w:rsidP="009C75CC">
            <w:pPr>
              <w:pStyle w:val="TableTextEntries"/>
              <w:spacing w:line="240" w:lineRule="auto"/>
              <w:rPr>
                <w:rFonts w:ascii="Franklin Gothic Demi" w:hAnsi="Franklin Gothic Demi"/>
              </w:rPr>
            </w:pPr>
            <w:r>
              <w:rPr>
                <w:rFonts w:ascii="Franklin Gothic Demi" w:hAnsi="Franklin Gothic Demi"/>
              </w:rPr>
              <w:t>Total 2014-15 Budget Savings</w:t>
            </w:r>
          </w:p>
        </w:tc>
        <w:tc>
          <w:tcPr>
            <w:tcW w:w="1010" w:type="dxa"/>
            <w:tcBorders>
              <w:top w:val="single" w:sz="8" w:space="0" w:color="FFFFFF" w:themeColor="background1"/>
              <w:bottom w:val="single" w:sz="4" w:space="0" w:color="auto"/>
            </w:tcBorders>
            <w:shd w:val="clear" w:color="auto" w:fill="C2DADB" w:themeFill="accent6" w:themeFillTint="99"/>
            <w:tcMar>
              <w:left w:w="57" w:type="dxa"/>
              <w:right w:w="57" w:type="dxa"/>
            </w:tcMar>
          </w:tcPr>
          <w:p w:rsidR="002E17F7" w:rsidRPr="006B7D44" w:rsidRDefault="002E17F7" w:rsidP="009C75CC">
            <w:pPr>
              <w:pStyle w:val="TableTextEntries"/>
              <w:spacing w:line="240" w:lineRule="auto"/>
              <w:jc w:val="right"/>
              <w:rPr>
                <w:rFonts w:ascii="Franklin Gothic Demi" w:hAnsi="Franklin Gothic Demi"/>
              </w:rPr>
            </w:pPr>
            <w:r>
              <w:rPr>
                <w:rFonts w:ascii="Franklin Gothic Demi" w:hAnsi="Franklin Gothic Demi"/>
              </w:rPr>
              <w:t>60</w:t>
            </w:r>
          </w:p>
        </w:tc>
        <w:tc>
          <w:tcPr>
            <w:tcW w:w="1011" w:type="dxa"/>
            <w:tcBorders>
              <w:top w:val="single" w:sz="8" w:space="0" w:color="FFFFFF" w:themeColor="background1"/>
              <w:bottom w:val="single" w:sz="4" w:space="0" w:color="auto"/>
            </w:tcBorders>
            <w:shd w:val="clear" w:color="auto" w:fill="C2DADB" w:themeFill="accent6" w:themeFillTint="99"/>
            <w:tcMar>
              <w:left w:w="57" w:type="dxa"/>
              <w:right w:w="57" w:type="dxa"/>
            </w:tcMar>
          </w:tcPr>
          <w:p w:rsidR="002E17F7" w:rsidRPr="006B7D44" w:rsidRDefault="002E17F7" w:rsidP="009C75CC">
            <w:pPr>
              <w:pStyle w:val="TableTextEntries"/>
              <w:spacing w:line="240" w:lineRule="auto"/>
              <w:jc w:val="right"/>
              <w:rPr>
                <w:rFonts w:ascii="Franklin Gothic Demi" w:hAnsi="Franklin Gothic Demi"/>
              </w:rPr>
            </w:pPr>
            <w:r>
              <w:rPr>
                <w:rFonts w:ascii="Franklin Gothic Demi" w:hAnsi="Franklin Gothic Demi"/>
              </w:rPr>
              <w:t>18 056</w:t>
            </w:r>
          </w:p>
        </w:tc>
        <w:tc>
          <w:tcPr>
            <w:tcW w:w="1010" w:type="dxa"/>
            <w:tcBorders>
              <w:top w:val="single" w:sz="8" w:space="0" w:color="FFFFFF" w:themeColor="background1"/>
              <w:bottom w:val="single" w:sz="4" w:space="0" w:color="auto"/>
            </w:tcBorders>
            <w:shd w:val="clear" w:color="auto" w:fill="C2DADB" w:themeFill="accent6" w:themeFillTint="99"/>
            <w:tcMar>
              <w:left w:w="57" w:type="dxa"/>
              <w:right w:w="57" w:type="dxa"/>
            </w:tcMar>
          </w:tcPr>
          <w:p w:rsidR="002E17F7" w:rsidRPr="006B7D44" w:rsidRDefault="002E17F7" w:rsidP="009C75CC">
            <w:pPr>
              <w:pStyle w:val="TableTextEntries"/>
              <w:spacing w:line="240" w:lineRule="auto"/>
              <w:jc w:val="right"/>
              <w:rPr>
                <w:rFonts w:ascii="Franklin Gothic Demi" w:hAnsi="Franklin Gothic Demi"/>
              </w:rPr>
            </w:pPr>
            <w:r>
              <w:rPr>
                <w:rFonts w:ascii="Franklin Gothic Demi" w:hAnsi="Franklin Gothic Demi"/>
              </w:rPr>
              <w:t>31 076</w:t>
            </w:r>
          </w:p>
        </w:tc>
        <w:tc>
          <w:tcPr>
            <w:tcW w:w="1010" w:type="dxa"/>
            <w:tcBorders>
              <w:top w:val="single" w:sz="8" w:space="0" w:color="FFFFFF" w:themeColor="background1"/>
              <w:bottom w:val="single" w:sz="4" w:space="0" w:color="auto"/>
            </w:tcBorders>
            <w:shd w:val="clear" w:color="auto" w:fill="C2DADB" w:themeFill="accent6" w:themeFillTint="99"/>
            <w:tcMar>
              <w:left w:w="57" w:type="dxa"/>
              <w:right w:w="57" w:type="dxa"/>
            </w:tcMar>
          </w:tcPr>
          <w:p w:rsidR="002E17F7" w:rsidRPr="006B7D44" w:rsidRDefault="002E17F7" w:rsidP="009C75CC">
            <w:pPr>
              <w:pStyle w:val="TableTextEntries"/>
              <w:spacing w:line="240" w:lineRule="auto"/>
              <w:jc w:val="right"/>
              <w:rPr>
                <w:rFonts w:ascii="Franklin Gothic Demi" w:hAnsi="Franklin Gothic Demi"/>
              </w:rPr>
            </w:pPr>
            <w:r>
              <w:rPr>
                <w:rFonts w:ascii="Franklin Gothic Demi" w:hAnsi="Franklin Gothic Demi"/>
              </w:rPr>
              <w:t>44 405</w:t>
            </w:r>
          </w:p>
        </w:tc>
        <w:tc>
          <w:tcPr>
            <w:tcW w:w="1010" w:type="dxa"/>
            <w:tcBorders>
              <w:top w:val="single" w:sz="8" w:space="0" w:color="FFFFFF" w:themeColor="background1"/>
              <w:bottom w:val="single" w:sz="4" w:space="0" w:color="auto"/>
            </w:tcBorders>
            <w:shd w:val="clear" w:color="auto" w:fill="C2DADB" w:themeFill="accent6" w:themeFillTint="99"/>
          </w:tcPr>
          <w:p w:rsidR="002E17F7" w:rsidRPr="006B7D44" w:rsidRDefault="002E17F7" w:rsidP="009C75CC">
            <w:pPr>
              <w:pStyle w:val="TableTextEntries"/>
              <w:spacing w:line="240" w:lineRule="auto"/>
              <w:jc w:val="right"/>
              <w:rPr>
                <w:rFonts w:ascii="Franklin Gothic Demi" w:hAnsi="Franklin Gothic Demi"/>
              </w:rPr>
            </w:pPr>
            <w:r>
              <w:rPr>
                <w:rFonts w:ascii="Franklin Gothic Demi" w:hAnsi="Franklin Gothic Demi"/>
              </w:rPr>
              <w:t>93 597</w:t>
            </w:r>
          </w:p>
        </w:tc>
      </w:tr>
    </w:tbl>
    <w:p w:rsidR="002E17F7" w:rsidRDefault="002E17F7" w:rsidP="002E17F7">
      <w:pPr>
        <w:pStyle w:val="Source"/>
      </w:pPr>
      <w:proofErr w:type="gramStart"/>
      <w:r>
        <w:rPr>
          <w:i/>
        </w:rPr>
        <w:t>Source</w:t>
      </w:r>
      <w:r w:rsidRPr="00E4232C">
        <w:rPr>
          <w:i/>
        </w:rPr>
        <w:t>:</w:t>
      </w:r>
      <w:r>
        <w:t xml:space="preserve"> ACT Government Budget 2013-14, Budget Paper 3.</w:t>
      </w:r>
      <w:proofErr w:type="gramEnd"/>
    </w:p>
    <w:p w:rsidR="002E17F7" w:rsidRDefault="002E17F7" w:rsidP="00284F89">
      <w:pPr>
        <w:pStyle w:val="ListBullet"/>
        <w:numPr>
          <w:ilvl w:val="0"/>
          <w:numId w:val="4"/>
        </w:numPr>
      </w:pPr>
      <w:r>
        <w:t xml:space="preserve">Administrative efficiencies </w:t>
      </w:r>
      <w:proofErr w:type="gramStart"/>
      <w:r>
        <w:t>are expected</w:t>
      </w:r>
      <w:proofErr w:type="gramEnd"/>
      <w:r>
        <w:t xml:space="preserve"> to account for 39.7 per cent of total savings over the forward estimates. They require $3.1 million in expenditure over the forward estimates in order to deliver total savings of $34 million.</w:t>
      </w:r>
      <w:r>
        <w:rPr>
          <w:rStyle w:val="FootnoteReference"/>
        </w:rPr>
        <w:footnoteReference w:id="20"/>
      </w:r>
      <w:r>
        <w:t xml:space="preserve"> While they intend to reduce overlap across government entities, the total Full Time Equivalent staffing level for the ACT Public Service will remain above 2013/14 levels. To implement these savings the Government will undertake a review of existing directorate structures to identify duplication and inefficiencies.</w:t>
      </w:r>
    </w:p>
    <w:p w:rsidR="002E17F7" w:rsidRDefault="002E17F7" w:rsidP="00284F89">
      <w:pPr>
        <w:pStyle w:val="ListBullet"/>
        <w:numPr>
          <w:ilvl w:val="0"/>
          <w:numId w:val="4"/>
        </w:numPr>
      </w:pPr>
      <w:r>
        <w:t xml:space="preserve">32.1 per cent of savings </w:t>
      </w:r>
      <w:proofErr w:type="gramStart"/>
      <w:r>
        <w:t>are expected</w:t>
      </w:r>
      <w:proofErr w:type="gramEnd"/>
      <w:r>
        <w:t xml:space="preserve"> from the Digital Dividend Investment Strategy and Transformational Service Delivery. This </w:t>
      </w:r>
      <w:proofErr w:type="spellStart"/>
      <w:r>
        <w:t>focusses</w:t>
      </w:r>
      <w:proofErr w:type="spellEnd"/>
      <w:r>
        <w:t xml:space="preserve"> on expanding digital service delivery (which is substantially lower in cost that physical service delivery) where appropriate. Seed funding will allow the development of projects with greater use of digital/online technology. These savings require $5 million in expenditure to </w:t>
      </w:r>
      <w:proofErr w:type="gramStart"/>
      <w:r>
        <w:t>be implemented</w:t>
      </w:r>
      <w:proofErr w:type="gramEnd"/>
      <w:r>
        <w:t>.</w:t>
      </w:r>
    </w:p>
    <w:p w:rsidR="002E17F7" w:rsidRDefault="002E17F7" w:rsidP="00284F89">
      <w:pPr>
        <w:pStyle w:val="ListBullet"/>
        <w:numPr>
          <w:ilvl w:val="0"/>
          <w:numId w:val="4"/>
        </w:numPr>
      </w:pPr>
      <w:proofErr w:type="spellStart"/>
      <w:proofErr w:type="gramStart"/>
      <w:r>
        <w:t>iConnect</w:t>
      </w:r>
      <w:proofErr w:type="spellEnd"/>
      <w:proofErr w:type="gramEnd"/>
      <w:r>
        <w:t xml:space="preserve"> will deliver $9.7 million in net savings across agencies, but this does not include capital expenditure. The program provides a secure online portal to provide access to government services and facilitate payment transactions. The gross savings from the project are 15.6 per cent of total gross savings. </w:t>
      </w:r>
      <w:proofErr w:type="spellStart"/>
      <w:proofErr w:type="gramStart"/>
      <w:r>
        <w:t>iConnect</w:t>
      </w:r>
      <w:proofErr w:type="spellEnd"/>
      <w:proofErr w:type="gramEnd"/>
      <w:r>
        <w:t xml:space="preserve"> requires expenditure in order to deliver savings, and has a negative net impact on the fiscal position (discussed below in ‘ICT, plant and equipment expenditure’). Spending on capital will provide benefits (savings associated with </w:t>
      </w:r>
      <w:proofErr w:type="spellStart"/>
      <w:r>
        <w:t>iConnect</w:t>
      </w:r>
      <w:proofErr w:type="spellEnd"/>
      <w:r>
        <w:t xml:space="preserve"> rather than existing methods of service delivery) beyond the forward estimates period, and thus </w:t>
      </w:r>
      <w:r w:rsidRPr="003A3C79">
        <w:t>eventual benefits are likely to exceed costs.</w:t>
      </w:r>
    </w:p>
    <w:p w:rsidR="002E17F7" w:rsidRDefault="002E17F7" w:rsidP="00284F89">
      <w:pPr>
        <w:pStyle w:val="ListBullet"/>
        <w:numPr>
          <w:ilvl w:val="0"/>
          <w:numId w:val="4"/>
        </w:numPr>
      </w:pPr>
      <w:r>
        <w:t xml:space="preserve">Other ICT initiatives (related to hybrid cloud computing and desktop computer and </w:t>
      </w:r>
      <w:proofErr w:type="gramStart"/>
      <w:r>
        <w:t>printer energy management initiatives</w:t>
      </w:r>
      <w:proofErr w:type="gramEnd"/>
      <w:r>
        <w:t>) comprise the remaining 12.6 per cent of total gross savings.</w:t>
      </w:r>
    </w:p>
    <w:p w:rsidR="002F616F" w:rsidRDefault="002F616F" w:rsidP="002F616F">
      <w:pPr>
        <w:pStyle w:val="BodyText"/>
      </w:pPr>
    </w:p>
    <w:p w:rsidR="002F616F" w:rsidRDefault="00200EAD" w:rsidP="003E774E">
      <w:pPr>
        <w:pStyle w:val="Heading1"/>
        <w:numPr>
          <w:ilvl w:val="0"/>
          <w:numId w:val="0"/>
        </w:numPr>
        <w:ind w:left="567" w:hanging="567"/>
      </w:pPr>
      <w:bookmarkStart w:id="812" w:name="_Toc390427314"/>
      <w:r>
        <w:lastRenderedPageBreak/>
        <w:t>C</w:t>
      </w:r>
      <w:r w:rsidR="002F616F">
        <w:t>apital works program</w:t>
      </w:r>
      <w:bookmarkEnd w:id="812"/>
      <w:r w:rsidR="002F616F">
        <w:t xml:space="preserve"> </w:t>
      </w:r>
    </w:p>
    <w:p w:rsidR="002E17F7" w:rsidRDefault="002E17F7" w:rsidP="002E17F7">
      <w:pPr>
        <w:pStyle w:val="ChapterIntroduction"/>
      </w:pPr>
      <w:r w:rsidRPr="00C86AEC">
        <w:t xml:space="preserve">Capital </w:t>
      </w:r>
      <w:r>
        <w:t xml:space="preserve">expenditure is significantly higher in 2014-15 than previous years, with significant provisions for the Health, and Justice and Community Safety Directorates. </w:t>
      </w:r>
    </w:p>
    <w:p w:rsidR="002E17F7" w:rsidRPr="00FB2D77" w:rsidRDefault="002E17F7" w:rsidP="002E17F7">
      <w:pPr>
        <w:pStyle w:val="ChapterIntroduction"/>
      </w:pPr>
      <w:r>
        <w:t xml:space="preserve">Capital works spending much be justified on the merits of the infrastructure provided, rather than merely the employment generated by the program. Capital works spending is only suitable stimulatory spending if the employment generated by the program </w:t>
      </w:r>
      <w:proofErr w:type="gramStart"/>
      <w:r>
        <w:t>is aligned</w:t>
      </w:r>
      <w:proofErr w:type="gramEnd"/>
      <w:r>
        <w:t xml:space="preserve"> to sectors where there is excess capacity, with benefits of spending potentially leaking to the states.</w:t>
      </w:r>
    </w:p>
    <w:p w:rsidR="002E17F7" w:rsidRDefault="002E17F7" w:rsidP="002E17F7">
      <w:pPr>
        <w:pStyle w:val="ChapterIntroduction"/>
        <w:rPr>
          <w:highlight w:val="yellow"/>
        </w:rPr>
      </w:pPr>
      <w:r>
        <w:t xml:space="preserve">Expenditure has been committed for high value and commercially sensitive projects, including the Capital Metro, however little detail </w:t>
      </w:r>
      <w:proofErr w:type="gramStart"/>
      <w:r>
        <w:t>has been provided</w:t>
      </w:r>
      <w:proofErr w:type="gramEnd"/>
      <w:r>
        <w:t xml:space="preserve"> on these provisions.</w:t>
      </w:r>
      <w:r w:rsidR="00007929">
        <w:t xml:space="preserve"> </w:t>
      </w:r>
      <w:r>
        <w:t xml:space="preserve">While the trend of declining capital works expenditure </w:t>
      </w:r>
      <w:proofErr w:type="gramStart"/>
      <w:r>
        <w:t>has been reversed</w:t>
      </w:r>
      <w:proofErr w:type="gramEnd"/>
      <w:r>
        <w:t xml:space="preserve"> for 2014-15, expenditure per capita continues to decline over the forward estimates period.</w:t>
      </w:r>
    </w:p>
    <w:p w:rsidR="002E17F7" w:rsidRDefault="002E17F7" w:rsidP="002E17F7">
      <w:pPr>
        <w:pStyle w:val="BodyText"/>
      </w:pPr>
      <w:r>
        <w:t xml:space="preserve">Expenditure on new capital initiatives in the Budget is $415.2 million over the forward estimates, and for those capital works that </w:t>
      </w:r>
      <w:proofErr w:type="gramStart"/>
      <w:r>
        <w:t>are not detailed</w:t>
      </w:r>
      <w:proofErr w:type="gramEnd"/>
      <w:r>
        <w:t xml:space="preserve"> in the Budget, the government has provided $1.319 billion over four years. The value of projects in progress from previous years is $716.2 million over the forward estimates period.</w:t>
      </w:r>
      <w:r w:rsidR="00007929">
        <w:t xml:space="preserve"> </w:t>
      </w:r>
      <w:r>
        <w:t xml:space="preserve">Table </w:t>
      </w:r>
      <w:fldSimple w:instr=" REF _Caption2901 ">
        <w:r w:rsidR="00D733F1">
          <w:rPr>
            <w:noProof/>
          </w:rPr>
          <w:t>25</w:t>
        </w:r>
      </w:fldSimple>
      <w:r w:rsidR="000055D8">
        <w:t xml:space="preserve"> </w:t>
      </w:r>
      <w:r>
        <w:t>give</w:t>
      </w:r>
      <w:r w:rsidR="000055D8">
        <w:t>s</w:t>
      </w:r>
      <w:r>
        <w:t xml:space="preserve"> a summary of the infrastructure program in the 2014-15 Budget.</w:t>
      </w:r>
    </w:p>
    <w:p w:rsidR="00C82C2A" w:rsidRDefault="00B40B86" w:rsidP="00C82C2A">
      <w:pPr>
        <w:pStyle w:val="Caption"/>
      </w:pPr>
      <w:r w:rsidRPr="00695C93">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fldSimple w:instr=" STYLEREF &quot;Heading 1&quot; \l \n ">
        <w:r w:rsidR="00C82C2A">
          <w:rPr>
            <w:noProof/>
          </w:rPr>
          <w:instrText>2</w:instrText>
        </w:r>
      </w:fldSimple>
      <w:r w:rsidR="00C82C2A" w:rsidRPr="00695C93">
        <w:instrText xml:space="preserve">." </w:instrText>
      </w:r>
      <w:r w:rsidRPr="00695C93">
        <w:fldChar w:fldCharType="end"/>
      </w:r>
      <w:r w:rsidR="00C82C2A" w:rsidRPr="00695C93">
        <w:instrText>" "</w:instrText>
      </w:r>
      <w:fldSimple w:instr=" STYLEREF &quot;Heading 6&quot; \l \n ">
        <w:r w:rsidR="00C82C2A" w:rsidRPr="00695C93">
          <w:instrText>B</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25</w:instrText>
      </w:r>
      <w:r w:rsidRPr="00695C93">
        <w:fldChar w:fldCharType="end"/>
      </w:r>
      <w:r w:rsidR="00C82C2A" w:rsidRPr="00695C93">
        <w:instrText xml:space="preserve">" "" </w:instrText>
      </w:r>
      <w:r w:rsidRPr="00695C93">
        <w:fldChar w:fldCharType="separate"/>
      </w:r>
      <w:bookmarkStart w:id="813" w:name="_Caption1443"/>
      <w:bookmarkStart w:id="814" w:name="_Caption0356"/>
      <w:bookmarkStart w:id="815" w:name="_Caption0463"/>
      <w:bookmarkStart w:id="816" w:name="_Caption4969"/>
      <w:bookmarkStart w:id="817" w:name="_Caption3616"/>
      <w:bookmarkStart w:id="818" w:name="_Caption0626"/>
      <w:bookmarkStart w:id="819" w:name="_Caption9987"/>
      <w:bookmarkStart w:id="820" w:name="_Caption7473"/>
      <w:bookmarkStart w:id="821" w:name="_Caption0257"/>
      <w:bookmarkStart w:id="822" w:name="_Caption5574"/>
      <w:bookmarkStart w:id="823" w:name="_Caption3373"/>
      <w:bookmarkStart w:id="824" w:name="_Caption1678"/>
      <w:bookmarkStart w:id="825" w:name="_Caption9297"/>
      <w:bookmarkStart w:id="826" w:name="_Caption3486"/>
      <w:bookmarkStart w:id="827" w:name="_Caption9642"/>
      <w:bookmarkStart w:id="828" w:name="_Caption8453"/>
      <w:bookmarkStart w:id="829" w:name="_Caption3862"/>
      <w:bookmarkStart w:id="830" w:name="_Caption7013"/>
      <w:bookmarkStart w:id="831" w:name="_Caption3656"/>
      <w:bookmarkStart w:id="832" w:name="_Caption5528"/>
      <w:bookmarkStart w:id="833" w:name="_Caption9220"/>
      <w:bookmarkStart w:id="834" w:name="_Caption6174"/>
      <w:bookmarkStart w:id="835" w:name="_Caption2901"/>
      <w:bookmarkStart w:id="836" w:name="_Caption3901"/>
      <w:bookmarkStart w:id="837" w:name="_Caption9896"/>
      <w:bookmarkStart w:id="838" w:name="_Caption5061"/>
      <w:bookmarkStart w:id="839" w:name="_Caption0390"/>
      <w:bookmarkStart w:id="840" w:name="_Caption4257"/>
      <w:bookmarkStart w:id="841" w:name="_Caption7802"/>
      <w:bookmarkStart w:id="842" w:name="_Caption4973"/>
      <w:bookmarkStart w:id="843" w:name="_Caption0237"/>
      <w:bookmarkStart w:id="844" w:name="_Toc390427348"/>
      <w:r w:rsidR="00D733F1">
        <w:rPr>
          <w:noProof/>
        </w:rPr>
        <w:t>25</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r w:rsidRPr="00695C93">
        <w:fldChar w:fldCharType="end"/>
      </w:r>
      <w:r w:rsidR="00C82C2A" w:rsidRPr="00695C93">
        <w:tab/>
      </w:r>
      <w:r w:rsidR="00C82C2A">
        <w:t>Summary of the 2013-14 Budget Infrastructure Program</w:t>
      </w:r>
      <w:bookmarkEnd w:id="844"/>
    </w:p>
    <w:tbl>
      <w:tblPr>
        <w:tblW w:w="0" w:type="auto"/>
        <w:tblInd w:w="57" w:type="dxa"/>
        <w:tblLayout w:type="fixed"/>
        <w:tblLook w:val="0000"/>
      </w:tblPr>
      <w:tblGrid>
        <w:gridCol w:w="2127"/>
        <w:gridCol w:w="1134"/>
        <w:gridCol w:w="1134"/>
        <w:gridCol w:w="1134"/>
        <w:gridCol w:w="1085"/>
        <w:gridCol w:w="1323"/>
      </w:tblGrid>
      <w:tr w:rsidR="002E17F7" w:rsidTr="009C75CC">
        <w:tc>
          <w:tcPr>
            <w:tcW w:w="2127" w:type="dxa"/>
            <w:shd w:val="clear" w:color="auto" w:fill="6F6652"/>
            <w:tcMar>
              <w:left w:w="57" w:type="dxa"/>
              <w:right w:w="57" w:type="dxa"/>
            </w:tcMar>
          </w:tcPr>
          <w:p w:rsidR="002E17F7" w:rsidRDefault="002E17F7" w:rsidP="009C75CC">
            <w:pPr>
              <w:pStyle w:val="TableDataColumnHeading"/>
              <w:jc w:val="left"/>
            </w:pPr>
          </w:p>
        </w:tc>
        <w:tc>
          <w:tcPr>
            <w:tcW w:w="1134" w:type="dxa"/>
            <w:shd w:val="clear" w:color="auto" w:fill="6F6652"/>
            <w:tcMar>
              <w:left w:w="57" w:type="dxa"/>
              <w:right w:w="57" w:type="dxa"/>
            </w:tcMar>
          </w:tcPr>
          <w:p w:rsidR="002E17F7" w:rsidRDefault="002E17F7" w:rsidP="009C75CC">
            <w:pPr>
              <w:pStyle w:val="TableDataColumnHeading"/>
            </w:pPr>
            <w:r>
              <w:t>2014-15</w:t>
            </w:r>
          </w:p>
        </w:tc>
        <w:tc>
          <w:tcPr>
            <w:tcW w:w="1134" w:type="dxa"/>
            <w:shd w:val="clear" w:color="auto" w:fill="6F6652"/>
            <w:tcMar>
              <w:left w:w="57" w:type="dxa"/>
              <w:right w:w="57" w:type="dxa"/>
            </w:tcMar>
          </w:tcPr>
          <w:p w:rsidR="002E17F7" w:rsidRDefault="002E17F7" w:rsidP="009C75CC">
            <w:pPr>
              <w:pStyle w:val="TableDataColumnHeading"/>
            </w:pPr>
            <w:r>
              <w:t>2015-16</w:t>
            </w:r>
          </w:p>
        </w:tc>
        <w:tc>
          <w:tcPr>
            <w:tcW w:w="1134" w:type="dxa"/>
            <w:shd w:val="clear" w:color="auto" w:fill="6F6652"/>
            <w:tcMar>
              <w:left w:w="57" w:type="dxa"/>
              <w:right w:w="57" w:type="dxa"/>
            </w:tcMar>
          </w:tcPr>
          <w:p w:rsidR="002E17F7" w:rsidRDefault="002E17F7" w:rsidP="009C75CC">
            <w:pPr>
              <w:pStyle w:val="TableDataColumnHeading"/>
            </w:pPr>
            <w:r>
              <w:t>2016-17</w:t>
            </w:r>
          </w:p>
        </w:tc>
        <w:tc>
          <w:tcPr>
            <w:tcW w:w="1085" w:type="dxa"/>
            <w:shd w:val="clear" w:color="auto" w:fill="6F6652"/>
            <w:tcMar>
              <w:left w:w="57" w:type="dxa"/>
              <w:right w:w="57" w:type="dxa"/>
            </w:tcMar>
          </w:tcPr>
          <w:p w:rsidR="002E17F7" w:rsidRDefault="002E17F7" w:rsidP="009C75CC">
            <w:pPr>
              <w:pStyle w:val="TableDataColumnHeading"/>
            </w:pPr>
            <w:r>
              <w:t>2017-18</w:t>
            </w:r>
          </w:p>
        </w:tc>
        <w:tc>
          <w:tcPr>
            <w:tcW w:w="1323" w:type="dxa"/>
            <w:shd w:val="clear" w:color="auto" w:fill="6F6652"/>
            <w:tcMar>
              <w:left w:w="57" w:type="dxa"/>
              <w:right w:w="57" w:type="dxa"/>
            </w:tcMar>
          </w:tcPr>
          <w:p w:rsidR="002E17F7" w:rsidRDefault="002E17F7" w:rsidP="009C75CC">
            <w:pPr>
              <w:pStyle w:val="TableDataColumnHeading"/>
            </w:pPr>
            <w:r>
              <w:t>Total Investment</w:t>
            </w:r>
          </w:p>
        </w:tc>
      </w:tr>
      <w:tr w:rsidR="002E17F7" w:rsidTr="009C75CC">
        <w:tc>
          <w:tcPr>
            <w:tcW w:w="2127" w:type="dxa"/>
            <w:tcBorders>
              <w:bottom w:val="single" w:sz="8" w:space="0" w:color="FFFFFF" w:themeColor="background1"/>
            </w:tcBorders>
            <w:shd w:val="clear" w:color="auto" w:fill="6F6652"/>
            <w:tcMar>
              <w:left w:w="57" w:type="dxa"/>
              <w:right w:w="57" w:type="dxa"/>
            </w:tcMar>
          </w:tcPr>
          <w:p w:rsidR="002E17F7" w:rsidRDefault="002E17F7" w:rsidP="009C75CC">
            <w:pPr>
              <w:pStyle w:val="TableDataColumnHeading"/>
              <w:jc w:val="left"/>
            </w:pPr>
          </w:p>
        </w:tc>
        <w:tc>
          <w:tcPr>
            <w:tcW w:w="1134" w:type="dxa"/>
            <w:tcBorders>
              <w:bottom w:val="single" w:sz="8" w:space="0" w:color="FFFFFF" w:themeColor="background1"/>
            </w:tcBorders>
            <w:shd w:val="clear" w:color="auto" w:fill="6F6652"/>
            <w:tcMar>
              <w:left w:w="57" w:type="dxa"/>
              <w:right w:w="57" w:type="dxa"/>
            </w:tcMar>
          </w:tcPr>
          <w:p w:rsidR="002E17F7" w:rsidRDefault="002E17F7" w:rsidP="009C75CC">
            <w:pPr>
              <w:pStyle w:val="TableDataColumnHeading"/>
            </w:pPr>
            <w:r>
              <w:t>$’000</w:t>
            </w:r>
          </w:p>
        </w:tc>
        <w:tc>
          <w:tcPr>
            <w:tcW w:w="1134" w:type="dxa"/>
            <w:tcBorders>
              <w:bottom w:val="single" w:sz="8" w:space="0" w:color="FFFFFF" w:themeColor="background1"/>
            </w:tcBorders>
            <w:shd w:val="clear" w:color="auto" w:fill="6F6652"/>
            <w:tcMar>
              <w:left w:w="57" w:type="dxa"/>
              <w:right w:w="57" w:type="dxa"/>
            </w:tcMar>
          </w:tcPr>
          <w:p w:rsidR="002E17F7" w:rsidRDefault="002E17F7" w:rsidP="009C75CC">
            <w:pPr>
              <w:pStyle w:val="TableDataColumnHeading"/>
            </w:pPr>
            <w:r>
              <w:t>$’000</w:t>
            </w:r>
          </w:p>
        </w:tc>
        <w:tc>
          <w:tcPr>
            <w:tcW w:w="1134" w:type="dxa"/>
            <w:tcBorders>
              <w:bottom w:val="single" w:sz="8" w:space="0" w:color="FFFFFF" w:themeColor="background1"/>
            </w:tcBorders>
            <w:shd w:val="clear" w:color="auto" w:fill="6F6652"/>
            <w:tcMar>
              <w:left w:w="57" w:type="dxa"/>
              <w:right w:w="57" w:type="dxa"/>
            </w:tcMar>
          </w:tcPr>
          <w:p w:rsidR="002E17F7" w:rsidRDefault="002E17F7" w:rsidP="009C75CC">
            <w:pPr>
              <w:pStyle w:val="TableDataColumnHeading"/>
            </w:pPr>
            <w:r>
              <w:t>$’000</w:t>
            </w:r>
          </w:p>
        </w:tc>
        <w:tc>
          <w:tcPr>
            <w:tcW w:w="1085" w:type="dxa"/>
            <w:tcBorders>
              <w:bottom w:val="single" w:sz="8" w:space="0" w:color="FFFFFF" w:themeColor="background1"/>
            </w:tcBorders>
            <w:shd w:val="clear" w:color="auto" w:fill="6F6652"/>
            <w:tcMar>
              <w:left w:w="57" w:type="dxa"/>
              <w:right w:w="57" w:type="dxa"/>
            </w:tcMar>
          </w:tcPr>
          <w:p w:rsidR="002E17F7" w:rsidRDefault="002E17F7" w:rsidP="009C75CC">
            <w:pPr>
              <w:pStyle w:val="TableDataColumnHeading"/>
            </w:pPr>
            <w:r>
              <w:t>$’000</w:t>
            </w:r>
          </w:p>
        </w:tc>
        <w:tc>
          <w:tcPr>
            <w:tcW w:w="1323" w:type="dxa"/>
            <w:tcBorders>
              <w:bottom w:val="single" w:sz="8" w:space="0" w:color="FFFFFF" w:themeColor="background1"/>
            </w:tcBorders>
            <w:shd w:val="clear" w:color="auto" w:fill="6F6652"/>
            <w:tcMar>
              <w:left w:w="57" w:type="dxa"/>
              <w:right w:w="57" w:type="dxa"/>
            </w:tcMar>
          </w:tcPr>
          <w:p w:rsidR="002E17F7" w:rsidRDefault="002E17F7" w:rsidP="009C75CC">
            <w:pPr>
              <w:pStyle w:val="TableDataColumnHeading"/>
            </w:pPr>
            <w:r>
              <w:t>$’000</w:t>
            </w:r>
          </w:p>
        </w:tc>
      </w:tr>
      <w:tr w:rsidR="002E17F7" w:rsidTr="009C75CC">
        <w:tc>
          <w:tcPr>
            <w:tcW w:w="212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Capital works initiatives</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126 569</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165 771</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23942</w:t>
            </w:r>
          </w:p>
        </w:tc>
        <w:tc>
          <w:tcPr>
            <w:tcW w:w="10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847</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5311F6" w:rsidRDefault="002E17F7" w:rsidP="009C75CC">
            <w:pPr>
              <w:pStyle w:val="TableDataEntries"/>
              <w:rPr>
                <w:rFonts w:ascii="Franklin Gothic Demi" w:hAnsi="Franklin Gothic Demi"/>
              </w:rPr>
            </w:pPr>
            <w:r w:rsidRPr="005311F6">
              <w:rPr>
                <w:rFonts w:ascii="Franklin Gothic Demi" w:hAnsi="Franklin Gothic Demi"/>
              </w:rPr>
              <w:t>317 129</w:t>
            </w:r>
          </w:p>
        </w:tc>
      </w:tr>
      <w:tr w:rsidR="002E17F7" w:rsidTr="009C75CC">
        <w:tc>
          <w:tcPr>
            <w:tcW w:w="212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ICT initiatives</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32 475</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30 827</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9 329</w:t>
            </w:r>
          </w:p>
        </w:tc>
        <w:tc>
          <w:tcPr>
            <w:tcW w:w="10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2 858</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5311F6" w:rsidRDefault="002E17F7" w:rsidP="009C75CC">
            <w:pPr>
              <w:pStyle w:val="TableDataEntries"/>
              <w:rPr>
                <w:rFonts w:ascii="Franklin Gothic Demi" w:hAnsi="Franklin Gothic Demi"/>
              </w:rPr>
            </w:pPr>
            <w:r w:rsidRPr="005311F6">
              <w:rPr>
                <w:rFonts w:ascii="Franklin Gothic Demi" w:hAnsi="Franklin Gothic Demi"/>
              </w:rPr>
              <w:t>75 489</w:t>
            </w:r>
          </w:p>
        </w:tc>
      </w:tr>
      <w:tr w:rsidR="002E17F7" w:rsidTr="009C75CC">
        <w:tc>
          <w:tcPr>
            <w:tcW w:w="212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Plant and equipment initiatives</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22 280</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0</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0</w:t>
            </w:r>
          </w:p>
        </w:tc>
        <w:tc>
          <w:tcPr>
            <w:tcW w:w="10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5311F6" w:rsidRDefault="002E17F7" w:rsidP="009C75CC">
            <w:pPr>
              <w:pStyle w:val="TableDataEntries"/>
              <w:rPr>
                <w:rFonts w:ascii="Franklin Gothic Demi" w:hAnsi="Franklin Gothic Demi"/>
              </w:rPr>
            </w:pPr>
            <w:r w:rsidRPr="005311F6">
              <w:rPr>
                <w:rFonts w:ascii="Franklin Gothic Demi" w:hAnsi="Franklin Gothic Demi"/>
              </w:rPr>
              <w:t>22 280</w:t>
            </w:r>
          </w:p>
        </w:tc>
      </w:tr>
      <w:tr w:rsidR="002E17F7" w:rsidTr="009C75CC">
        <w:tc>
          <w:tcPr>
            <w:tcW w:w="212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Capital associated with expense initiatives</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257</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0</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0</w:t>
            </w:r>
          </w:p>
        </w:tc>
        <w:tc>
          <w:tcPr>
            <w:tcW w:w="10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5311F6" w:rsidRDefault="002E17F7" w:rsidP="009C75CC">
            <w:pPr>
              <w:pStyle w:val="TableDataEntries"/>
              <w:rPr>
                <w:rFonts w:ascii="Franklin Gothic Demi" w:hAnsi="Franklin Gothic Demi"/>
              </w:rPr>
            </w:pPr>
            <w:r w:rsidRPr="005311F6">
              <w:rPr>
                <w:rFonts w:ascii="Franklin Gothic Demi" w:hAnsi="Franklin Gothic Demi"/>
              </w:rPr>
              <w:t>257</w:t>
            </w:r>
          </w:p>
        </w:tc>
      </w:tr>
      <w:tr w:rsidR="002E17F7" w:rsidRPr="005311F6" w:rsidTr="009C75CC">
        <w:tc>
          <w:tcPr>
            <w:tcW w:w="2127" w:type="dxa"/>
            <w:tcBorders>
              <w:top w:val="single" w:sz="8" w:space="0" w:color="FFFFFF" w:themeColor="background1"/>
              <w:bottom w:val="single" w:sz="8" w:space="0" w:color="FFFFFF" w:themeColor="background1"/>
            </w:tcBorders>
            <w:shd w:val="clear" w:color="auto" w:fill="C2DADB" w:themeFill="accent6" w:themeFillTint="99"/>
            <w:tcMar>
              <w:left w:w="57" w:type="dxa"/>
              <w:right w:w="57" w:type="dxa"/>
            </w:tcMar>
          </w:tcPr>
          <w:p w:rsidR="002E17F7" w:rsidRPr="005311F6" w:rsidRDefault="002E17F7" w:rsidP="009C75CC">
            <w:pPr>
              <w:pStyle w:val="TableDataEntries"/>
              <w:jc w:val="left"/>
              <w:rPr>
                <w:rFonts w:ascii="Franklin Gothic Demi" w:hAnsi="Franklin Gothic Demi"/>
              </w:rPr>
            </w:pPr>
            <w:r>
              <w:rPr>
                <w:rFonts w:ascii="Franklin Gothic Demi" w:hAnsi="Franklin Gothic Demi"/>
              </w:rPr>
              <w:t>Total new infrastructure and capital initiatives</w:t>
            </w:r>
          </w:p>
        </w:tc>
        <w:tc>
          <w:tcPr>
            <w:tcW w:w="1134" w:type="dxa"/>
            <w:tcBorders>
              <w:top w:val="single" w:sz="8" w:space="0" w:color="FFFFFF" w:themeColor="background1"/>
              <w:bottom w:val="single" w:sz="8" w:space="0" w:color="FFFFFF" w:themeColor="background1"/>
            </w:tcBorders>
            <w:shd w:val="clear" w:color="auto" w:fill="C2DADB" w:themeFill="accent6" w:themeFillTint="99"/>
            <w:tcMar>
              <w:left w:w="57" w:type="dxa"/>
              <w:right w:w="57" w:type="dxa"/>
            </w:tcMar>
          </w:tcPr>
          <w:p w:rsidR="002E17F7" w:rsidRPr="005311F6" w:rsidRDefault="002E17F7" w:rsidP="009C75CC">
            <w:pPr>
              <w:pStyle w:val="TableDataEntries"/>
              <w:rPr>
                <w:rFonts w:ascii="Franklin Gothic Demi" w:hAnsi="Franklin Gothic Demi"/>
              </w:rPr>
            </w:pPr>
            <w:r>
              <w:rPr>
                <w:rFonts w:ascii="Franklin Gothic Demi" w:hAnsi="Franklin Gothic Demi"/>
              </w:rPr>
              <w:t>181 581</w:t>
            </w:r>
          </w:p>
        </w:tc>
        <w:tc>
          <w:tcPr>
            <w:tcW w:w="1134" w:type="dxa"/>
            <w:tcBorders>
              <w:top w:val="single" w:sz="8" w:space="0" w:color="FFFFFF" w:themeColor="background1"/>
              <w:bottom w:val="single" w:sz="8" w:space="0" w:color="FFFFFF" w:themeColor="background1"/>
            </w:tcBorders>
            <w:shd w:val="clear" w:color="auto" w:fill="C2DADB" w:themeFill="accent6" w:themeFillTint="99"/>
            <w:tcMar>
              <w:left w:w="57" w:type="dxa"/>
              <w:right w:w="57" w:type="dxa"/>
            </w:tcMar>
          </w:tcPr>
          <w:p w:rsidR="002E17F7" w:rsidRPr="005311F6" w:rsidRDefault="002E17F7" w:rsidP="009C75CC">
            <w:pPr>
              <w:pStyle w:val="TableDataEntries"/>
              <w:rPr>
                <w:rFonts w:ascii="Franklin Gothic Demi" w:hAnsi="Franklin Gothic Demi"/>
              </w:rPr>
            </w:pPr>
            <w:r>
              <w:rPr>
                <w:rFonts w:ascii="Franklin Gothic Demi" w:hAnsi="Franklin Gothic Demi"/>
              </w:rPr>
              <w:t>196 598</w:t>
            </w:r>
          </w:p>
        </w:tc>
        <w:tc>
          <w:tcPr>
            <w:tcW w:w="1134" w:type="dxa"/>
            <w:tcBorders>
              <w:top w:val="single" w:sz="8" w:space="0" w:color="FFFFFF" w:themeColor="background1"/>
              <w:bottom w:val="single" w:sz="8" w:space="0" w:color="FFFFFF" w:themeColor="background1"/>
            </w:tcBorders>
            <w:shd w:val="clear" w:color="auto" w:fill="C2DADB" w:themeFill="accent6" w:themeFillTint="99"/>
            <w:tcMar>
              <w:left w:w="57" w:type="dxa"/>
              <w:right w:w="57" w:type="dxa"/>
            </w:tcMar>
          </w:tcPr>
          <w:p w:rsidR="002E17F7" w:rsidRPr="005311F6" w:rsidRDefault="002E17F7" w:rsidP="009C75CC">
            <w:pPr>
              <w:pStyle w:val="TableDataEntries"/>
              <w:rPr>
                <w:rFonts w:ascii="Franklin Gothic Demi" w:hAnsi="Franklin Gothic Demi"/>
              </w:rPr>
            </w:pPr>
            <w:r>
              <w:rPr>
                <w:rFonts w:ascii="Franklin Gothic Demi" w:hAnsi="Franklin Gothic Demi"/>
              </w:rPr>
              <w:t>33 271</w:t>
            </w:r>
          </w:p>
        </w:tc>
        <w:tc>
          <w:tcPr>
            <w:tcW w:w="1085" w:type="dxa"/>
            <w:tcBorders>
              <w:top w:val="single" w:sz="8" w:space="0" w:color="FFFFFF" w:themeColor="background1"/>
              <w:bottom w:val="single" w:sz="8" w:space="0" w:color="FFFFFF" w:themeColor="background1"/>
            </w:tcBorders>
            <w:shd w:val="clear" w:color="auto" w:fill="C2DADB" w:themeFill="accent6" w:themeFillTint="99"/>
            <w:tcMar>
              <w:left w:w="57" w:type="dxa"/>
              <w:right w:w="57" w:type="dxa"/>
            </w:tcMar>
          </w:tcPr>
          <w:p w:rsidR="002E17F7" w:rsidRPr="005311F6" w:rsidRDefault="002E17F7" w:rsidP="009C75CC">
            <w:pPr>
              <w:pStyle w:val="TableDataEntries"/>
              <w:rPr>
                <w:rFonts w:ascii="Franklin Gothic Demi" w:hAnsi="Franklin Gothic Demi"/>
              </w:rPr>
            </w:pPr>
            <w:r>
              <w:rPr>
                <w:rFonts w:ascii="Franklin Gothic Demi" w:hAnsi="Franklin Gothic Demi"/>
              </w:rPr>
              <w:t>3 705</w:t>
            </w:r>
          </w:p>
        </w:tc>
        <w:tc>
          <w:tcPr>
            <w:tcW w:w="1323" w:type="dxa"/>
            <w:tcBorders>
              <w:top w:val="single" w:sz="8" w:space="0" w:color="FFFFFF" w:themeColor="background1"/>
              <w:bottom w:val="single" w:sz="8" w:space="0" w:color="FFFFFF" w:themeColor="background1"/>
            </w:tcBorders>
            <w:shd w:val="clear" w:color="auto" w:fill="C2DADB" w:themeFill="accent6" w:themeFillTint="99"/>
            <w:tcMar>
              <w:left w:w="57" w:type="dxa"/>
              <w:right w:w="57" w:type="dxa"/>
            </w:tcMar>
          </w:tcPr>
          <w:p w:rsidR="002E17F7" w:rsidRPr="005311F6" w:rsidRDefault="002E17F7" w:rsidP="009C75CC">
            <w:pPr>
              <w:pStyle w:val="TableDataEntries"/>
              <w:rPr>
                <w:rFonts w:ascii="Franklin Gothic Demi" w:hAnsi="Franklin Gothic Demi"/>
              </w:rPr>
            </w:pPr>
            <w:r w:rsidRPr="005311F6">
              <w:rPr>
                <w:rFonts w:ascii="Franklin Gothic Demi" w:hAnsi="Franklin Gothic Demi"/>
              </w:rPr>
              <w:t>414 155</w:t>
            </w:r>
          </w:p>
        </w:tc>
      </w:tr>
      <w:tr w:rsidR="002E17F7" w:rsidTr="009C75CC">
        <w:tc>
          <w:tcPr>
            <w:tcW w:w="212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Associated expenses (new capital works)</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8 341</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12 659</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8 905</w:t>
            </w:r>
          </w:p>
        </w:tc>
        <w:tc>
          <w:tcPr>
            <w:tcW w:w="10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1 727</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5311F6" w:rsidRDefault="002E17F7" w:rsidP="009C75CC">
            <w:pPr>
              <w:pStyle w:val="TableDataEntries"/>
              <w:rPr>
                <w:rFonts w:ascii="Franklin Gothic Demi" w:hAnsi="Franklin Gothic Demi"/>
              </w:rPr>
            </w:pPr>
            <w:r>
              <w:rPr>
                <w:rFonts w:ascii="Franklin Gothic Demi" w:hAnsi="Franklin Gothic Demi"/>
              </w:rPr>
              <w:t>31 632</w:t>
            </w:r>
          </w:p>
        </w:tc>
      </w:tr>
      <w:tr w:rsidR="002E17F7" w:rsidTr="009C75CC">
        <w:tc>
          <w:tcPr>
            <w:tcW w:w="212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Feasibility studies and grants (operating impact)</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12 065</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570</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0</w:t>
            </w:r>
          </w:p>
        </w:tc>
        <w:tc>
          <w:tcPr>
            <w:tcW w:w="10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0</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5311F6" w:rsidRDefault="002E17F7" w:rsidP="009C75CC">
            <w:pPr>
              <w:pStyle w:val="TableDataEntries"/>
              <w:rPr>
                <w:rFonts w:ascii="Franklin Gothic Demi" w:hAnsi="Franklin Gothic Demi"/>
              </w:rPr>
            </w:pPr>
            <w:r>
              <w:rPr>
                <w:rFonts w:ascii="Franklin Gothic Demi" w:hAnsi="Franklin Gothic Demi"/>
              </w:rPr>
              <w:t>12 635</w:t>
            </w:r>
          </w:p>
        </w:tc>
      </w:tr>
      <w:tr w:rsidR="002E17F7" w:rsidTr="009C75CC">
        <w:tc>
          <w:tcPr>
            <w:tcW w:w="212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jc w:val="left"/>
            </w:pPr>
            <w:r>
              <w:t>Expenses (depreciation)</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546</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7 645</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15 178</w:t>
            </w:r>
          </w:p>
        </w:tc>
        <w:tc>
          <w:tcPr>
            <w:tcW w:w="108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Default="002E17F7" w:rsidP="009C75CC">
            <w:pPr>
              <w:pStyle w:val="TableDataEntries"/>
            </w:pPr>
            <w:r>
              <w:t>20 564</w:t>
            </w:r>
          </w:p>
        </w:tc>
        <w:tc>
          <w:tcPr>
            <w:tcW w:w="132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E17F7" w:rsidRPr="005311F6" w:rsidRDefault="002E17F7" w:rsidP="009C75CC">
            <w:pPr>
              <w:pStyle w:val="TableDataEntries"/>
              <w:rPr>
                <w:rFonts w:ascii="Franklin Gothic Demi" w:hAnsi="Franklin Gothic Demi"/>
              </w:rPr>
            </w:pPr>
            <w:r>
              <w:rPr>
                <w:rFonts w:ascii="Franklin Gothic Demi" w:hAnsi="Franklin Gothic Demi"/>
              </w:rPr>
              <w:t>43 933</w:t>
            </w:r>
          </w:p>
        </w:tc>
      </w:tr>
      <w:tr w:rsidR="002E17F7" w:rsidRPr="005311F6" w:rsidTr="009C75CC">
        <w:tc>
          <w:tcPr>
            <w:tcW w:w="2127"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E17F7" w:rsidRPr="005311F6" w:rsidRDefault="002E17F7" w:rsidP="009C75CC">
            <w:pPr>
              <w:pStyle w:val="TableDataEntries"/>
              <w:jc w:val="left"/>
              <w:rPr>
                <w:rFonts w:ascii="Franklin Gothic Demi" w:hAnsi="Franklin Gothic Demi"/>
              </w:rPr>
            </w:pPr>
            <w:r w:rsidRPr="005311F6">
              <w:rPr>
                <w:rFonts w:ascii="Franklin Gothic Demi" w:hAnsi="Franklin Gothic Demi"/>
              </w:rPr>
              <w:t>Total operating impact</w:t>
            </w:r>
          </w:p>
        </w:tc>
        <w:tc>
          <w:tcPr>
            <w:tcW w:w="1134"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E17F7" w:rsidRPr="005311F6" w:rsidRDefault="002E17F7" w:rsidP="009C75CC">
            <w:pPr>
              <w:pStyle w:val="TableDataEntries"/>
              <w:rPr>
                <w:rFonts w:ascii="Franklin Gothic Demi" w:hAnsi="Franklin Gothic Demi"/>
              </w:rPr>
            </w:pPr>
            <w:r>
              <w:rPr>
                <w:rFonts w:ascii="Franklin Gothic Demi" w:hAnsi="Franklin Gothic Demi"/>
              </w:rPr>
              <w:t>20 952</w:t>
            </w:r>
          </w:p>
        </w:tc>
        <w:tc>
          <w:tcPr>
            <w:tcW w:w="1134"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E17F7" w:rsidRPr="005311F6" w:rsidRDefault="002E17F7" w:rsidP="009C75CC">
            <w:pPr>
              <w:pStyle w:val="TableDataEntries"/>
              <w:rPr>
                <w:rFonts w:ascii="Franklin Gothic Demi" w:hAnsi="Franklin Gothic Demi"/>
              </w:rPr>
            </w:pPr>
            <w:r>
              <w:rPr>
                <w:rFonts w:ascii="Franklin Gothic Demi" w:hAnsi="Franklin Gothic Demi"/>
              </w:rPr>
              <w:t>20 874</w:t>
            </w:r>
          </w:p>
        </w:tc>
        <w:tc>
          <w:tcPr>
            <w:tcW w:w="1134"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E17F7" w:rsidRPr="005311F6" w:rsidRDefault="002E17F7" w:rsidP="009C75CC">
            <w:pPr>
              <w:pStyle w:val="TableDataEntries"/>
              <w:rPr>
                <w:rFonts w:ascii="Franklin Gothic Demi" w:hAnsi="Franklin Gothic Demi"/>
              </w:rPr>
            </w:pPr>
            <w:r>
              <w:rPr>
                <w:rFonts w:ascii="Franklin Gothic Demi" w:hAnsi="Franklin Gothic Demi"/>
              </w:rPr>
              <w:t>24 083</w:t>
            </w:r>
          </w:p>
        </w:tc>
        <w:tc>
          <w:tcPr>
            <w:tcW w:w="1085"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E17F7" w:rsidRPr="005311F6" w:rsidRDefault="002E17F7" w:rsidP="009C75CC">
            <w:pPr>
              <w:pStyle w:val="TableDataEntries"/>
              <w:rPr>
                <w:rFonts w:ascii="Franklin Gothic Demi" w:hAnsi="Franklin Gothic Demi"/>
              </w:rPr>
            </w:pPr>
            <w:r>
              <w:rPr>
                <w:rFonts w:ascii="Franklin Gothic Demi" w:hAnsi="Franklin Gothic Demi"/>
              </w:rPr>
              <w:t>22 291</w:t>
            </w:r>
          </w:p>
        </w:tc>
        <w:tc>
          <w:tcPr>
            <w:tcW w:w="1323"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E17F7" w:rsidRPr="005311F6" w:rsidRDefault="002E17F7" w:rsidP="009C75CC">
            <w:pPr>
              <w:pStyle w:val="TableDataEntries"/>
              <w:rPr>
                <w:rFonts w:ascii="Franklin Gothic Demi" w:hAnsi="Franklin Gothic Demi"/>
              </w:rPr>
            </w:pPr>
            <w:r>
              <w:rPr>
                <w:rFonts w:ascii="Franklin Gothic Demi" w:hAnsi="Franklin Gothic Demi"/>
              </w:rPr>
              <w:t>88 200</w:t>
            </w:r>
          </w:p>
        </w:tc>
      </w:tr>
    </w:tbl>
    <w:p w:rsidR="002E17F7" w:rsidRDefault="002E17F7" w:rsidP="002E17F7">
      <w:pPr>
        <w:pStyle w:val="Source"/>
      </w:pPr>
      <w:proofErr w:type="gramStart"/>
      <w:r>
        <w:rPr>
          <w:i/>
        </w:rPr>
        <w:t>Source</w:t>
      </w:r>
      <w:r w:rsidRPr="00E4232C">
        <w:rPr>
          <w:i/>
        </w:rPr>
        <w:t>:</w:t>
      </w:r>
      <w:r>
        <w:t xml:space="preserve"> ACT Government Budget Paper 3.</w:t>
      </w:r>
      <w:proofErr w:type="gramEnd"/>
    </w:p>
    <w:p w:rsidR="002E17F7" w:rsidRDefault="002E17F7" w:rsidP="002E17F7">
      <w:pPr>
        <w:pStyle w:val="BodyText"/>
        <w:rPr>
          <w:lang w:eastAsia="en-US"/>
        </w:rPr>
      </w:pPr>
      <w:r>
        <w:rPr>
          <w:lang w:eastAsia="en-US"/>
        </w:rPr>
        <w:lastRenderedPageBreak/>
        <w:t xml:space="preserve">Expenditure on capital initiatives is highly focussed in the first two years of the four-year estimates period. This reflects that new capital initiatives are considered and announced in each Budget so that the vast bulk of commitments from the 2014-15 </w:t>
      </w:r>
      <w:proofErr w:type="gramStart"/>
      <w:r>
        <w:rPr>
          <w:lang w:eastAsia="en-US"/>
        </w:rPr>
        <w:t>Budget</w:t>
      </w:r>
      <w:proofErr w:type="gramEnd"/>
      <w:r>
        <w:rPr>
          <w:lang w:eastAsia="en-US"/>
        </w:rPr>
        <w:t xml:space="preserve"> are provisioned for in the more immediate period. Additionally, expenditure for which detailed annual expense estimates are not provided (including the University of Canberra Public Hospital, Capital Metro) is expected to fall over the later part of the forward estimates period, if not afterwards. </w:t>
      </w:r>
    </w:p>
    <w:p w:rsidR="002E17F7" w:rsidRPr="005311F6" w:rsidRDefault="002E17F7" w:rsidP="002E17F7">
      <w:pPr>
        <w:pStyle w:val="BodyText"/>
        <w:rPr>
          <w:lang w:eastAsia="en-US"/>
        </w:rPr>
      </w:pPr>
      <w:r>
        <w:rPr>
          <w:lang w:eastAsia="en-US"/>
        </w:rPr>
        <w:t xml:space="preserve">For example, the majority of the expenditure on the Capital Metro is not expected to be incurred in 2014-15, but rather over some subsequent </w:t>
      </w:r>
      <w:proofErr w:type="gramStart"/>
      <w:r>
        <w:rPr>
          <w:lang w:eastAsia="en-US"/>
        </w:rPr>
        <w:t>years which</w:t>
      </w:r>
      <w:proofErr w:type="gramEnd"/>
      <w:r>
        <w:rPr>
          <w:lang w:eastAsia="en-US"/>
        </w:rPr>
        <w:t xml:space="preserve"> have not been defined.</w:t>
      </w:r>
    </w:p>
    <w:p w:rsidR="002E17F7" w:rsidRDefault="002E17F7" w:rsidP="002E17F7">
      <w:pPr>
        <w:pStyle w:val="BodyText"/>
      </w:pPr>
      <w:r w:rsidRPr="00D04DB7">
        <w:t xml:space="preserve">Chart </w:t>
      </w:r>
      <w:fldSimple w:instr=" REF _Caption5790 ">
        <w:r w:rsidR="00D733F1">
          <w:rPr>
            <w:noProof/>
          </w:rPr>
          <w:t>26</w:t>
        </w:r>
      </w:fldSimple>
      <w:r>
        <w:t xml:space="preserve"> </w:t>
      </w:r>
      <w:r w:rsidRPr="00D04DB7">
        <w:t>is</w:t>
      </w:r>
      <w:r>
        <w:t xml:space="preserve"> an overview of the largest capital works initiatives in terms of total expenditure over the forward estimates. This does not include The University of Canberra Public Hospital, Capital Metro or the Courts projects.</w:t>
      </w:r>
    </w:p>
    <w:p w:rsidR="00C82C2A" w:rsidRPr="00695C93" w:rsidRDefault="00B40B86" w:rsidP="00284F89">
      <w:pPr>
        <w:pStyle w:val="Caption"/>
        <w:numPr>
          <w:ilvl w:val="0"/>
          <w:numId w:val="2"/>
        </w:numPr>
      </w:pPr>
      <w:r w:rsidRPr="00695C93">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r>
        <w:fldChar w:fldCharType="begin"/>
      </w:r>
      <w:r w:rsidR="00C82C2A">
        <w:instrText xml:space="preserve"> STYLEREF "Heading 1" \l \n </w:instrText>
      </w:r>
      <w:r>
        <w:fldChar w:fldCharType="separate"/>
      </w:r>
      <w:r w:rsidR="00C82C2A">
        <w:rPr>
          <w:b/>
          <w:bCs/>
          <w:noProof/>
          <w:lang w:val="en-US"/>
        </w:rPr>
        <w:instrText>Error! No text of specified style in document.</w:instrText>
      </w:r>
      <w:r>
        <w:rPr>
          <w:noProof/>
        </w:rPr>
        <w:fldChar w:fldCharType="end"/>
      </w:r>
      <w:r w:rsidR="00C82C2A" w:rsidRPr="00695C93">
        <w:instrText xml:space="preserve">." </w:instrText>
      </w:r>
      <w:r w:rsidRPr="00695C93">
        <w:fldChar w:fldCharType="end"/>
      </w:r>
      <w:r w:rsidR="00C82C2A" w:rsidRPr="00695C93">
        <w:instrText>" "</w:instrText>
      </w:r>
      <w:fldSimple w:instr=" STYLEREF &quot;Heading 6&quot; \l \n ">
        <w:r w:rsidR="00C82C2A">
          <w:rPr>
            <w:noProof/>
          </w:rPr>
          <w:instrText>A</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26</w:instrText>
      </w:r>
      <w:r w:rsidRPr="00695C93">
        <w:fldChar w:fldCharType="end"/>
      </w:r>
      <w:r w:rsidR="00C82C2A" w:rsidRPr="00695C93">
        <w:instrText xml:space="preserve">" "" </w:instrText>
      </w:r>
      <w:r w:rsidRPr="00695C93">
        <w:fldChar w:fldCharType="separate"/>
      </w:r>
      <w:bookmarkStart w:id="845" w:name="_Caption2708"/>
      <w:bookmarkStart w:id="846" w:name="_Caption4018"/>
      <w:bookmarkStart w:id="847" w:name="_Caption7366"/>
      <w:bookmarkStart w:id="848" w:name="_Caption0141"/>
      <w:bookmarkStart w:id="849" w:name="_Caption4748"/>
      <w:bookmarkStart w:id="850" w:name="_Caption3694"/>
      <w:bookmarkStart w:id="851" w:name="_Caption6235"/>
      <w:bookmarkStart w:id="852" w:name="_Caption0990"/>
      <w:bookmarkStart w:id="853" w:name="_Caption1349"/>
      <w:bookmarkStart w:id="854" w:name="_Caption6005"/>
      <w:bookmarkStart w:id="855" w:name="_Caption5088"/>
      <w:bookmarkStart w:id="856" w:name="_Caption8986"/>
      <w:bookmarkStart w:id="857" w:name="_Caption3910"/>
      <w:bookmarkStart w:id="858" w:name="_Caption5086"/>
      <w:bookmarkStart w:id="859" w:name="_Caption7585"/>
      <w:bookmarkStart w:id="860" w:name="_Caption2583"/>
      <w:bookmarkStart w:id="861" w:name="_Caption1893"/>
      <w:bookmarkStart w:id="862" w:name="_Caption9867"/>
      <w:bookmarkStart w:id="863" w:name="_Caption8469"/>
      <w:bookmarkStart w:id="864" w:name="_Caption5431"/>
      <w:bookmarkStart w:id="865" w:name="_Caption9586"/>
      <w:bookmarkStart w:id="866" w:name="_Caption1340"/>
      <w:bookmarkStart w:id="867" w:name="_Caption9329"/>
      <w:bookmarkStart w:id="868" w:name="_Caption5790"/>
      <w:bookmarkStart w:id="869" w:name="_Caption9328"/>
      <w:bookmarkStart w:id="870" w:name="_Caption1014"/>
      <w:bookmarkStart w:id="871" w:name="_Caption8778"/>
      <w:bookmarkStart w:id="872" w:name="_Caption2067"/>
      <w:bookmarkStart w:id="873" w:name="_Caption3437"/>
      <w:bookmarkStart w:id="874" w:name="_Caption9267"/>
      <w:bookmarkStart w:id="875" w:name="_Caption6874"/>
      <w:bookmarkStart w:id="876" w:name="_Toc390427349"/>
      <w:r w:rsidR="00D733F1">
        <w:rPr>
          <w:noProof/>
        </w:rPr>
        <w:t>26</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sidRPr="00695C93">
        <w:fldChar w:fldCharType="end"/>
      </w:r>
      <w:r w:rsidR="00C82C2A" w:rsidRPr="00695C93">
        <w:tab/>
      </w:r>
      <w:r w:rsidR="00C82C2A">
        <w:t>Largest capital works initiatives</w:t>
      </w:r>
      <w:bookmarkEnd w:id="876"/>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2E17F7" w:rsidTr="009C75CC">
        <w:trPr>
          <w:cantSplit/>
        </w:trPr>
        <w:tc>
          <w:tcPr>
            <w:tcW w:w="7938" w:type="dxa"/>
            <w:shd w:val="clear" w:color="auto" w:fill="E9E8E5" w:themeFill="background2"/>
          </w:tcPr>
          <w:p w:rsidR="002E17F7" w:rsidRDefault="002E17F7" w:rsidP="009C75CC">
            <w:pPr>
              <w:pStyle w:val="Chart"/>
              <w:jc w:val="center"/>
            </w:pPr>
            <w:r>
              <w:rPr>
                <w:noProof/>
                <w:lang w:eastAsia="en-AU"/>
              </w:rPr>
              <w:drawing>
                <wp:inline distT="0" distB="0" distL="0" distR="0">
                  <wp:extent cx="4839335" cy="2406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9335" cy="2406650"/>
                          </a:xfrm>
                          <a:prstGeom prst="rect">
                            <a:avLst/>
                          </a:prstGeom>
                          <a:noFill/>
                          <a:ln>
                            <a:noFill/>
                          </a:ln>
                        </pic:spPr>
                      </pic:pic>
                    </a:graphicData>
                  </a:graphic>
                </wp:inline>
              </w:drawing>
            </w:r>
          </w:p>
        </w:tc>
      </w:tr>
    </w:tbl>
    <w:p w:rsidR="002E17F7" w:rsidRDefault="002E17F7" w:rsidP="002E17F7">
      <w:pPr>
        <w:pStyle w:val="Source"/>
      </w:pPr>
      <w:proofErr w:type="gramStart"/>
      <w:r>
        <w:rPr>
          <w:i/>
        </w:rPr>
        <w:t>Data source</w:t>
      </w:r>
      <w:r w:rsidRPr="00A67576">
        <w:rPr>
          <w:i/>
        </w:rPr>
        <w:t>:</w:t>
      </w:r>
      <w:r>
        <w:t xml:space="preserve"> ACT Budget Paper 3, Table 3.3.2.</w:t>
      </w:r>
      <w:proofErr w:type="gramEnd"/>
    </w:p>
    <w:p w:rsidR="002E17F7" w:rsidRDefault="002E17F7" w:rsidP="002E17F7">
      <w:pPr>
        <w:pStyle w:val="BodyText"/>
      </w:pPr>
      <w:r>
        <w:t xml:space="preserve">A breakdown of annual expenditure on new capital initiatives by directorate </w:t>
      </w:r>
      <w:proofErr w:type="gramStart"/>
      <w:r>
        <w:t>is presented</w:t>
      </w:r>
      <w:proofErr w:type="gramEnd"/>
      <w:r>
        <w:t xml:space="preserve"> in chart</w:t>
      </w:r>
      <w:r w:rsidR="000055D8">
        <w:t xml:space="preserve"> </w:t>
      </w:r>
      <w:fldSimple w:instr=" REF _Caption3897 ">
        <w:r w:rsidR="00D733F1">
          <w:rPr>
            <w:noProof/>
          </w:rPr>
          <w:t>27</w:t>
        </w:r>
      </w:fldSimple>
      <w:r>
        <w:t>. This illustrates the concentration of spending in the first and, to a greater degree, second years of the Budget cycle. Additionally it identifies the major directorates in terms of expenditure for new capital initiatives.</w:t>
      </w:r>
    </w:p>
    <w:p w:rsidR="000055D8" w:rsidRDefault="000055D8" w:rsidP="000055D8">
      <w:pPr>
        <w:pStyle w:val="BodyText"/>
      </w:pPr>
      <w:r>
        <w:t xml:space="preserve">Capital spending </w:t>
      </w:r>
      <w:proofErr w:type="gramStart"/>
      <w:r>
        <w:t>is expected</w:t>
      </w:r>
      <w:proofErr w:type="gramEnd"/>
      <w:r>
        <w:t xml:space="preserve"> to increase the value of the Territory’s total physical assets from $20.7 billion to $21 billion. Capital expenditure has decreased in the years preceding the 2014-15 Budget cycle and </w:t>
      </w:r>
      <w:proofErr w:type="gramStart"/>
      <w:r>
        <w:t>is estimated</w:t>
      </w:r>
      <w:proofErr w:type="gramEnd"/>
      <w:r>
        <w:t xml:space="preserve"> to continue to decrease in the years following 2014-15. Chart </w:t>
      </w:r>
      <w:fldSimple w:instr=" REF _Caption8138 ">
        <w:r w:rsidR="00D733F1">
          <w:rPr>
            <w:noProof/>
          </w:rPr>
          <w:t>28</w:t>
        </w:r>
      </w:fldSimple>
      <w:r>
        <w:t xml:space="preserve"> shows expenditure on capital works (including existing projects) for the years 2009-10 to 2017-18. 2014-15 is a year of historically high capital works expenditure, however, in per capita terms, it is lower than the expenditure in 2009-10 and 2010-11.Whether the estimation of expenditure on capital works in those years includes an estimate of expenditure on new capital works initiatives not yet announced is unclear from Budget Paper number 3. </w:t>
      </w:r>
    </w:p>
    <w:p w:rsidR="000055D8" w:rsidRDefault="000055D8" w:rsidP="002E17F7">
      <w:pPr>
        <w:pStyle w:val="BodyText"/>
      </w:pPr>
    </w:p>
    <w:p w:rsidR="00C82C2A" w:rsidRPr="00695C93" w:rsidRDefault="00B40B86" w:rsidP="00284F89">
      <w:pPr>
        <w:pStyle w:val="Caption"/>
        <w:numPr>
          <w:ilvl w:val="0"/>
          <w:numId w:val="2"/>
        </w:numPr>
      </w:pPr>
      <w:r w:rsidRPr="00695C93">
        <w:lastRenderedPageBreak/>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r>
        <w:fldChar w:fldCharType="begin"/>
      </w:r>
      <w:r w:rsidR="00C82C2A">
        <w:instrText xml:space="preserve"> STYLEREF "Heading 1" \l \n </w:instrText>
      </w:r>
      <w:r>
        <w:fldChar w:fldCharType="separate"/>
      </w:r>
      <w:r w:rsidR="00C82C2A">
        <w:rPr>
          <w:b/>
          <w:bCs/>
          <w:noProof/>
          <w:lang w:val="en-US"/>
        </w:rPr>
        <w:instrText>Error! No text of specified style in document.</w:instrText>
      </w:r>
      <w:r>
        <w:rPr>
          <w:noProof/>
        </w:rPr>
        <w:fldChar w:fldCharType="end"/>
      </w:r>
      <w:r w:rsidR="00C82C2A" w:rsidRPr="00695C93">
        <w:instrText xml:space="preserve">." </w:instrText>
      </w:r>
      <w:r w:rsidRPr="00695C93">
        <w:fldChar w:fldCharType="end"/>
      </w:r>
      <w:r w:rsidR="00C82C2A" w:rsidRPr="00695C93">
        <w:instrText>" "</w:instrText>
      </w:r>
      <w:fldSimple w:instr=" STYLEREF &quot;Heading 6&quot; \l \n ">
        <w:r w:rsidR="00C82C2A">
          <w:rPr>
            <w:noProof/>
          </w:rPr>
          <w:instrText>A</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27</w:instrText>
      </w:r>
      <w:r w:rsidRPr="00695C93">
        <w:fldChar w:fldCharType="end"/>
      </w:r>
      <w:r w:rsidR="00C82C2A" w:rsidRPr="00695C93">
        <w:instrText xml:space="preserve">" "" </w:instrText>
      </w:r>
      <w:r w:rsidRPr="00695C93">
        <w:fldChar w:fldCharType="separate"/>
      </w:r>
      <w:bookmarkStart w:id="877" w:name="_Caption7088"/>
      <w:bookmarkStart w:id="878" w:name="_Caption9088"/>
      <w:bookmarkStart w:id="879" w:name="_Caption5455"/>
      <w:bookmarkStart w:id="880" w:name="_Caption0225"/>
      <w:bookmarkStart w:id="881" w:name="_Caption2837"/>
      <w:bookmarkStart w:id="882" w:name="_Caption3778"/>
      <w:bookmarkStart w:id="883" w:name="_Caption3097"/>
      <w:bookmarkStart w:id="884" w:name="_Caption5797"/>
      <w:bookmarkStart w:id="885" w:name="_Caption3592"/>
      <w:bookmarkStart w:id="886" w:name="_Caption8909"/>
      <w:bookmarkStart w:id="887" w:name="_Caption6708"/>
      <w:bookmarkStart w:id="888" w:name="_Caption2315"/>
      <w:bookmarkStart w:id="889" w:name="_Caption4479"/>
      <w:bookmarkStart w:id="890" w:name="_Caption5010"/>
      <w:bookmarkStart w:id="891" w:name="_Caption0108"/>
      <w:bookmarkStart w:id="892" w:name="_Caption0126"/>
      <w:bookmarkStart w:id="893" w:name="_Caption6437"/>
      <w:bookmarkStart w:id="894" w:name="_Caption9627"/>
      <w:bookmarkStart w:id="895" w:name="_Caption6641"/>
      <w:bookmarkStart w:id="896" w:name="_Caption4848"/>
      <w:bookmarkStart w:id="897" w:name="_Caption5122"/>
      <w:bookmarkStart w:id="898" w:name="_Caption1469"/>
      <w:bookmarkStart w:id="899" w:name="_Caption5105"/>
      <w:bookmarkStart w:id="900" w:name="_Caption0793"/>
      <w:bookmarkStart w:id="901" w:name="_Caption3897"/>
      <w:bookmarkStart w:id="902" w:name="_Caption3390"/>
      <w:bookmarkStart w:id="903" w:name="_Caption1448"/>
      <w:bookmarkStart w:id="904" w:name="_Caption8951"/>
      <w:bookmarkStart w:id="905" w:name="_Caption7139"/>
      <w:bookmarkStart w:id="906" w:name="_Caption0620"/>
      <w:bookmarkStart w:id="907" w:name="_Caption8908"/>
      <w:bookmarkStart w:id="908" w:name="_Toc390427350"/>
      <w:r w:rsidR="00D733F1">
        <w:rPr>
          <w:noProof/>
        </w:rPr>
        <w:t>27</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rsidRPr="00695C93">
        <w:fldChar w:fldCharType="end"/>
      </w:r>
      <w:r w:rsidR="00C82C2A" w:rsidRPr="00695C93">
        <w:tab/>
      </w:r>
      <w:r w:rsidR="00C82C2A">
        <w:t>New capital initiatives by directorate</w:t>
      </w:r>
      <w:bookmarkEnd w:id="908"/>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2E17F7" w:rsidTr="009C75CC">
        <w:trPr>
          <w:cantSplit/>
        </w:trPr>
        <w:tc>
          <w:tcPr>
            <w:tcW w:w="7938" w:type="dxa"/>
            <w:shd w:val="clear" w:color="auto" w:fill="E9E8E5" w:themeFill="background2"/>
          </w:tcPr>
          <w:p w:rsidR="002E17F7" w:rsidRDefault="002E17F7" w:rsidP="009C75CC">
            <w:pPr>
              <w:pStyle w:val="Chart"/>
              <w:jc w:val="center"/>
            </w:pPr>
            <w:r>
              <w:rPr>
                <w:noProof/>
                <w:lang w:eastAsia="en-AU"/>
              </w:rPr>
              <w:drawing>
                <wp:inline distT="0" distB="0" distL="0" distR="0">
                  <wp:extent cx="4865370" cy="2527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5370" cy="2527300"/>
                          </a:xfrm>
                          <a:prstGeom prst="rect">
                            <a:avLst/>
                          </a:prstGeom>
                          <a:noFill/>
                          <a:ln>
                            <a:noFill/>
                          </a:ln>
                        </pic:spPr>
                      </pic:pic>
                    </a:graphicData>
                  </a:graphic>
                </wp:inline>
              </w:drawing>
            </w:r>
          </w:p>
        </w:tc>
      </w:tr>
    </w:tbl>
    <w:p w:rsidR="002E17F7" w:rsidRDefault="002E17F7" w:rsidP="002E17F7">
      <w:pPr>
        <w:pStyle w:val="Source"/>
      </w:pPr>
      <w:r>
        <w:rPr>
          <w:i/>
        </w:rPr>
        <w:t>Data source</w:t>
      </w:r>
      <w:r w:rsidRPr="00A67576">
        <w:rPr>
          <w:i/>
        </w:rPr>
        <w:t>:</w:t>
      </w:r>
      <w:r>
        <w:t xml:space="preserve"> ACT Budget Paper No. 3, Table 3.3.2.</w:t>
      </w:r>
    </w:p>
    <w:p w:rsidR="00C82C2A" w:rsidRPr="00695C93" w:rsidRDefault="00B40B86" w:rsidP="00284F89">
      <w:pPr>
        <w:pStyle w:val="Caption"/>
        <w:numPr>
          <w:ilvl w:val="0"/>
          <w:numId w:val="2"/>
        </w:numPr>
      </w:pPr>
      <w:r w:rsidRPr="00695C93">
        <w:fldChar w:fldCharType="begin"/>
      </w:r>
      <w:r w:rsidR="00C82C2A" w:rsidRPr="00695C93">
        <w:instrText xml:space="preserve"> IF 1 = 1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w:instrText>
      </w:r>
      <w:r>
        <w:fldChar w:fldCharType="begin"/>
      </w:r>
      <w:r w:rsidR="00C82C2A">
        <w:instrText xml:space="preserve"> STYLEREF "Heading 1" \l \n </w:instrText>
      </w:r>
      <w:r>
        <w:fldChar w:fldCharType="separate"/>
      </w:r>
      <w:r w:rsidR="00C82C2A">
        <w:rPr>
          <w:b/>
          <w:bCs/>
          <w:noProof/>
          <w:lang w:val="en-US"/>
        </w:rPr>
        <w:instrText>Error! No text of specified style in document.</w:instrText>
      </w:r>
      <w:r>
        <w:rPr>
          <w:noProof/>
        </w:rPr>
        <w:fldChar w:fldCharType="end"/>
      </w:r>
      <w:r w:rsidR="00C82C2A" w:rsidRPr="00695C93">
        <w:instrText xml:space="preserve">." </w:instrText>
      </w:r>
      <w:r w:rsidRPr="00695C93">
        <w:fldChar w:fldCharType="end"/>
      </w:r>
      <w:r w:rsidR="00C82C2A" w:rsidRPr="00695C93">
        <w:instrText>" "</w:instrText>
      </w:r>
      <w:fldSimple w:instr=" STYLEREF &quot;Heading 6&quot; \l \n ">
        <w:r w:rsidR="00C82C2A">
          <w:rPr>
            <w:noProof/>
          </w:rPr>
          <w:instrText>A</w:instrText>
        </w:r>
      </w:fldSimple>
      <w:r w:rsidR="00C82C2A" w:rsidRPr="00695C93">
        <w:instrText xml:space="preserve">." </w:instrText>
      </w:r>
      <w:r w:rsidRPr="00695C93">
        <w:fldChar w:fldCharType="end"/>
      </w:r>
      <w:r w:rsidRPr="00695C93">
        <w:fldChar w:fldCharType="begin"/>
      </w:r>
      <w:r w:rsidR="00C82C2A" w:rsidRPr="00695C93">
        <w:instrText xml:space="preserve"> SEQ Item \* ARABIC \s </w:instrText>
      </w:r>
      <w:r w:rsidRPr="00695C93">
        <w:fldChar w:fldCharType="begin"/>
      </w:r>
      <w:r w:rsidR="00C82C2A" w:rsidRPr="00695C93">
        <w:instrText xml:space="preserve"> IF </w:instrText>
      </w:r>
      <w:fldSimple w:instr=" STYLEREF &quot;Heading 6&quot; \l \n ">
        <w:r w:rsidR="00D733F1">
          <w:rPr>
            <w:noProof/>
          </w:rPr>
          <w:instrText>0</w:instrText>
        </w:r>
      </w:fldSimple>
      <w:r w:rsidR="00C82C2A" w:rsidRPr="00695C93">
        <w:instrText xml:space="preserve"> = 0 "</w:instrText>
      </w:r>
      <w:r w:rsidRPr="00695C93">
        <w:fldChar w:fldCharType="begin"/>
      </w:r>
      <w:r w:rsidR="00C82C2A" w:rsidRPr="00695C93">
        <w:instrText xml:space="preserve"> IF </w:instrText>
      </w:r>
      <w:fldSimple w:instr=" STYLEREF &quot;Heading 1&quot; \l \n ">
        <w:r w:rsidR="00D733F1">
          <w:rPr>
            <w:noProof/>
          </w:rPr>
          <w:instrText>0</w:instrText>
        </w:r>
      </w:fldSimple>
      <w:r w:rsidR="00C82C2A" w:rsidRPr="00695C93">
        <w:instrText xml:space="preserve"> = 0 "" "1" </w:instrText>
      </w:r>
      <w:r w:rsidRPr="00695C93">
        <w:fldChar w:fldCharType="end"/>
      </w:r>
      <w:r w:rsidR="00C82C2A" w:rsidRPr="00695C93">
        <w:instrText xml:space="preserve">" "6" </w:instrText>
      </w:r>
      <w:r w:rsidRPr="00695C93">
        <w:fldChar w:fldCharType="end"/>
      </w:r>
      <w:r w:rsidR="00C82C2A" w:rsidRPr="00695C93">
        <w:instrText xml:space="preserve"> </w:instrText>
      </w:r>
      <w:r w:rsidRPr="00695C93">
        <w:fldChar w:fldCharType="separate"/>
      </w:r>
      <w:r w:rsidR="00D733F1">
        <w:rPr>
          <w:noProof/>
        </w:rPr>
        <w:instrText>28</w:instrText>
      </w:r>
      <w:r w:rsidRPr="00695C93">
        <w:fldChar w:fldCharType="end"/>
      </w:r>
      <w:r w:rsidR="00C82C2A" w:rsidRPr="00695C93">
        <w:instrText xml:space="preserve">" "" </w:instrText>
      </w:r>
      <w:r w:rsidRPr="00695C93">
        <w:fldChar w:fldCharType="separate"/>
      </w:r>
      <w:bookmarkStart w:id="909" w:name="_Caption1294"/>
      <w:bookmarkStart w:id="910" w:name="_Caption8375"/>
      <w:bookmarkStart w:id="911" w:name="_Caption8415"/>
      <w:bookmarkStart w:id="912" w:name="_Caption0136"/>
      <w:bookmarkStart w:id="913" w:name="_Caption9076"/>
      <w:bookmarkStart w:id="914" w:name="_Caption6019"/>
      <w:bookmarkStart w:id="915" w:name="_Caption4544"/>
      <w:bookmarkStart w:id="916" w:name="_Caption8098"/>
      <w:bookmarkStart w:id="917" w:name="_Caption3584"/>
      <w:bookmarkStart w:id="918" w:name="_Caption5229"/>
      <w:bookmarkStart w:id="919" w:name="_Caption2823"/>
      <w:bookmarkStart w:id="920" w:name="_Caption7179"/>
      <w:bookmarkStart w:id="921" w:name="_Caption8409"/>
      <w:bookmarkStart w:id="922" w:name="_Caption1205"/>
      <w:bookmarkStart w:id="923" w:name="_Caption1946"/>
      <w:bookmarkStart w:id="924" w:name="_Caption3076"/>
      <w:bookmarkStart w:id="925" w:name="_Caption5030"/>
      <w:bookmarkStart w:id="926" w:name="_Caption5657"/>
      <w:bookmarkStart w:id="927" w:name="_Caption7371"/>
      <w:bookmarkStart w:id="928" w:name="_Caption1479"/>
      <w:bookmarkStart w:id="929" w:name="_Caption7134"/>
      <w:bookmarkStart w:id="930" w:name="_Caption0294"/>
      <w:bookmarkStart w:id="931" w:name="_Caption2925"/>
      <w:bookmarkStart w:id="932" w:name="_Caption5362"/>
      <w:bookmarkStart w:id="933" w:name="_Caption9950"/>
      <w:bookmarkStart w:id="934" w:name="_Caption8138"/>
      <w:bookmarkStart w:id="935" w:name="_Caption1404"/>
      <w:bookmarkStart w:id="936" w:name="_Caption0167"/>
      <w:bookmarkStart w:id="937" w:name="_Caption0178"/>
      <w:bookmarkStart w:id="938" w:name="_Caption0923"/>
      <w:bookmarkStart w:id="939" w:name="_Caption4511"/>
      <w:bookmarkStart w:id="940" w:name="_Toc320545098"/>
      <w:bookmarkStart w:id="941" w:name="_Toc390427351"/>
      <w:r w:rsidR="00D733F1">
        <w:rPr>
          <w:noProof/>
        </w:rPr>
        <w:t>28</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r w:rsidRPr="00695C93">
        <w:fldChar w:fldCharType="end"/>
      </w:r>
      <w:r w:rsidR="00C82C2A" w:rsidRPr="00695C93">
        <w:tab/>
      </w:r>
      <w:bookmarkEnd w:id="940"/>
      <w:r w:rsidR="00C82C2A">
        <w:t xml:space="preserve">Total and per </w:t>
      </w:r>
      <w:r w:rsidR="000055D8">
        <w:t>person</w:t>
      </w:r>
      <w:r w:rsidR="00C82C2A">
        <w:t xml:space="preserve"> expenditure on capital works</w:t>
      </w:r>
      <w:bookmarkEnd w:id="941"/>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2E17F7" w:rsidTr="009C75CC">
        <w:trPr>
          <w:cantSplit/>
        </w:trPr>
        <w:tc>
          <w:tcPr>
            <w:tcW w:w="7938" w:type="dxa"/>
            <w:shd w:val="clear" w:color="auto" w:fill="E9E8E5" w:themeFill="background2"/>
          </w:tcPr>
          <w:p w:rsidR="002E17F7" w:rsidRDefault="002E17F7" w:rsidP="009C75CC">
            <w:pPr>
              <w:pStyle w:val="Chart"/>
              <w:jc w:val="center"/>
            </w:pPr>
            <w:r>
              <w:rPr>
                <w:noProof/>
                <w:lang w:eastAsia="en-AU"/>
              </w:rPr>
              <w:drawing>
                <wp:inline distT="0" distB="0" distL="0" distR="0">
                  <wp:extent cx="4865370" cy="2527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5370" cy="2527300"/>
                          </a:xfrm>
                          <a:prstGeom prst="rect">
                            <a:avLst/>
                          </a:prstGeom>
                          <a:noFill/>
                          <a:ln>
                            <a:noFill/>
                          </a:ln>
                        </pic:spPr>
                      </pic:pic>
                    </a:graphicData>
                  </a:graphic>
                </wp:inline>
              </w:drawing>
            </w:r>
          </w:p>
        </w:tc>
      </w:tr>
    </w:tbl>
    <w:p w:rsidR="002E17F7" w:rsidRPr="00A97BEC" w:rsidRDefault="002E17F7" w:rsidP="002E17F7">
      <w:pPr>
        <w:pStyle w:val="Note"/>
      </w:pPr>
      <w:r w:rsidRPr="00A97BEC">
        <w:rPr>
          <w:i/>
        </w:rPr>
        <w:t xml:space="preserve">Note: </w:t>
      </w:r>
      <w:r>
        <w:rPr>
          <w:i/>
        </w:rPr>
        <w:t>Capital expenditure figures for 2015-16 onwards are estimates including provisions for commercially sensitive projects (e.g. Capital Metro, University of Canberra Public Hospital and the Courts project) and capital upgrades.</w:t>
      </w:r>
    </w:p>
    <w:p w:rsidR="002E17F7" w:rsidRDefault="002E17F7" w:rsidP="002E17F7">
      <w:pPr>
        <w:pStyle w:val="Source"/>
      </w:pPr>
      <w:r>
        <w:rPr>
          <w:i/>
        </w:rPr>
        <w:t>Data source</w:t>
      </w:r>
      <w:r w:rsidRPr="00A67576">
        <w:rPr>
          <w:i/>
        </w:rPr>
        <w:t>:</w:t>
      </w:r>
      <w:r>
        <w:t xml:space="preserve"> ACT Budget Paper No. 3, table 5.3.2.</w:t>
      </w:r>
    </w:p>
    <w:p w:rsidR="002E17F7" w:rsidRDefault="002E17F7" w:rsidP="00284F89">
      <w:pPr>
        <w:pStyle w:val="Heading2"/>
        <w:numPr>
          <w:ilvl w:val="1"/>
          <w:numId w:val="1"/>
        </w:numPr>
        <w:rPr>
          <w:lang w:eastAsia="en-US"/>
        </w:rPr>
      </w:pPr>
      <w:bookmarkStart w:id="942" w:name="_Toc390427315"/>
      <w:r>
        <w:rPr>
          <w:lang w:eastAsia="en-US"/>
        </w:rPr>
        <w:t>High value and commercially sensitive projects</w:t>
      </w:r>
      <w:bookmarkEnd w:id="942"/>
    </w:p>
    <w:p w:rsidR="002E17F7" w:rsidRDefault="002E17F7" w:rsidP="002E17F7">
      <w:pPr>
        <w:pStyle w:val="BodyText"/>
        <w:rPr>
          <w:lang w:eastAsia="en-US"/>
        </w:rPr>
      </w:pPr>
      <w:r>
        <w:rPr>
          <w:lang w:eastAsia="en-US"/>
        </w:rPr>
        <w:t>The 2014-15 Budget makes provisions of $1.3 billion for high value projects with Budgets that are not settled or projects that are commercially sensitive. This includes the following:</w:t>
      </w:r>
    </w:p>
    <w:p w:rsidR="002E17F7" w:rsidRDefault="000055D8" w:rsidP="002E17F7">
      <w:pPr>
        <w:pStyle w:val="ListBullet"/>
        <w:rPr>
          <w:lang w:eastAsia="en-US"/>
        </w:rPr>
      </w:pPr>
      <w:r>
        <w:rPr>
          <w:lang w:eastAsia="en-US"/>
        </w:rPr>
        <w:t>t</w:t>
      </w:r>
      <w:r w:rsidR="002E17F7">
        <w:rPr>
          <w:lang w:eastAsia="en-US"/>
        </w:rPr>
        <w:t>he University of Canberra Public Hospital</w:t>
      </w:r>
    </w:p>
    <w:p w:rsidR="002E17F7" w:rsidRDefault="000055D8" w:rsidP="002E17F7">
      <w:pPr>
        <w:pStyle w:val="ListBullet"/>
        <w:rPr>
          <w:lang w:eastAsia="en-US"/>
        </w:rPr>
      </w:pPr>
      <w:r>
        <w:rPr>
          <w:lang w:eastAsia="en-US"/>
        </w:rPr>
        <w:t>t</w:t>
      </w:r>
      <w:r w:rsidR="002E17F7">
        <w:rPr>
          <w:lang w:eastAsia="en-US"/>
        </w:rPr>
        <w:t>he new ACT Courts Facility</w:t>
      </w:r>
    </w:p>
    <w:p w:rsidR="002E17F7" w:rsidRDefault="002E17F7" w:rsidP="002E17F7">
      <w:pPr>
        <w:pStyle w:val="ListBullet"/>
        <w:rPr>
          <w:lang w:eastAsia="en-US"/>
        </w:rPr>
      </w:pPr>
      <w:r>
        <w:rPr>
          <w:lang w:eastAsia="en-US"/>
        </w:rPr>
        <w:t>Capital Metro.</w:t>
      </w:r>
    </w:p>
    <w:p w:rsidR="002E17F7" w:rsidRDefault="002E17F7" w:rsidP="002E17F7">
      <w:pPr>
        <w:pStyle w:val="BodyText"/>
        <w:rPr>
          <w:lang w:eastAsia="en-US"/>
        </w:rPr>
      </w:pPr>
      <w:r>
        <w:rPr>
          <w:lang w:eastAsia="en-US"/>
        </w:rPr>
        <w:lastRenderedPageBreak/>
        <w:t>Little information has been provided about these expenditure items, and that creates difficulty in assessing their value or impact on the fiscal position.</w:t>
      </w:r>
    </w:p>
    <w:p w:rsidR="002E17F7" w:rsidRDefault="002E17F7" w:rsidP="00284F89">
      <w:pPr>
        <w:pStyle w:val="Heading2"/>
        <w:numPr>
          <w:ilvl w:val="1"/>
          <w:numId w:val="1"/>
        </w:numPr>
        <w:rPr>
          <w:lang w:eastAsia="en-US"/>
        </w:rPr>
      </w:pPr>
      <w:bookmarkStart w:id="943" w:name="_Toc390427316"/>
      <w:r>
        <w:rPr>
          <w:lang w:eastAsia="en-US"/>
        </w:rPr>
        <w:t>Expenditure in support of the land release program</w:t>
      </w:r>
      <w:bookmarkEnd w:id="943"/>
    </w:p>
    <w:p w:rsidR="002E17F7" w:rsidRDefault="002E17F7" w:rsidP="002E17F7">
      <w:pPr>
        <w:pStyle w:val="BodyText"/>
        <w:rPr>
          <w:lang w:eastAsia="en-US"/>
        </w:rPr>
      </w:pPr>
      <w:r>
        <w:rPr>
          <w:lang w:eastAsia="en-US"/>
        </w:rPr>
        <w:t>A substantial amount of expenditure on capital works relates to capital investments in support of the objects of the Indicative Land Release Program. This includes expenditure on:</w:t>
      </w:r>
    </w:p>
    <w:p w:rsidR="002E17F7" w:rsidRDefault="002E17F7" w:rsidP="002E17F7">
      <w:pPr>
        <w:pStyle w:val="ListBullet"/>
        <w:rPr>
          <w:lang w:eastAsia="en-US"/>
        </w:rPr>
      </w:pPr>
      <w:r>
        <w:rPr>
          <w:lang w:eastAsia="en-US"/>
        </w:rPr>
        <w:t>Molonglo Infrastructure Investment ($17 million)</w:t>
      </w:r>
    </w:p>
    <w:p w:rsidR="002E17F7" w:rsidRDefault="002E17F7" w:rsidP="002E17F7">
      <w:pPr>
        <w:pStyle w:val="ListBullet"/>
        <w:rPr>
          <w:lang w:eastAsia="en-US"/>
        </w:rPr>
      </w:pPr>
      <w:r>
        <w:rPr>
          <w:lang w:eastAsia="en-US"/>
        </w:rPr>
        <w:t xml:space="preserve">Throsby </w:t>
      </w:r>
      <w:r w:rsidR="00FE1F43">
        <w:t>—</w:t>
      </w:r>
      <w:r>
        <w:rPr>
          <w:lang w:eastAsia="en-US"/>
        </w:rPr>
        <w:t xml:space="preserve"> Access road and western intersection ($5.3 million)</w:t>
      </w:r>
    </w:p>
    <w:p w:rsidR="002E17F7" w:rsidRDefault="002E17F7" w:rsidP="002E17F7">
      <w:pPr>
        <w:pStyle w:val="ListBullet"/>
        <w:rPr>
          <w:lang w:eastAsia="en-US"/>
        </w:rPr>
      </w:pPr>
      <w:r>
        <w:rPr>
          <w:lang w:eastAsia="en-US"/>
        </w:rPr>
        <w:t>Isabella Weir Spillway Upgrade ($10.1 million)</w:t>
      </w:r>
    </w:p>
    <w:p w:rsidR="002E17F7" w:rsidRDefault="002E17F7" w:rsidP="002E17F7">
      <w:pPr>
        <w:pStyle w:val="ListBullet"/>
        <w:rPr>
          <w:lang w:eastAsia="en-US"/>
        </w:rPr>
      </w:pPr>
      <w:r>
        <w:rPr>
          <w:lang w:eastAsia="en-US"/>
        </w:rPr>
        <w:t xml:space="preserve">Majura Parkway to Majura Road </w:t>
      </w:r>
      <w:r w:rsidR="00FE1F43">
        <w:t>—</w:t>
      </w:r>
      <w:r>
        <w:rPr>
          <w:lang w:eastAsia="en-US"/>
        </w:rPr>
        <w:t xml:space="preserve"> link road ($9.9 million)</w:t>
      </w:r>
    </w:p>
    <w:p w:rsidR="002E17F7" w:rsidRDefault="002E17F7" w:rsidP="002E17F7">
      <w:pPr>
        <w:pStyle w:val="ListBullet"/>
        <w:rPr>
          <w:lang w:eastAsia="en-US"/>
        </w:rPr>
      </w:pPr>
      <w:r>
        <w:rPr>
          <w:lang w:eastAsia="en-US"/>
        </w:rPr>
        <w:t xml:space="preserve">Dickson Intersections Upgrade ($3.4 million). </w:t>
      </w:r>
    </w:p>
    <w:p w:rsidR="002E17F7" w:rsidRDefault="002E17F7" w:rsidP="002E17F7">
      <w:pPr>
        <w:pStyle w:val="BodyText"/>
        <w:rPr>
          <w:lang w:eastAsia="en-US"/>
        </w:rPr>
      </w:pPr>
      <w:r>
        <w:rPr>
          <w:lang w:eastAsia="en-US"/>
        </w:rPr>
        <w:t>There are $56.4 million in projects funded in the 2013-14 Budget, which will continue to be delivered in 2014-15.</w:t>
      </w:r>
    </w:p>
    <w:p w:rsidR="002E17F7" w:rsidRDefault="002E17F7" w:rsidP="002E17F7">
      <w:pPr>
        <w:pStyle w:val="BodyText"/>
        <w:rPr>
          <w:lang w:eastAsia="en-US"/>
        </w:rPr>
      </w:pPr>
      <w:r>
        <w:rPr>
          <w:lang w:eastAsia="en-US"/>
        </w:rPr>
        <w:t xml:space="preserve">The Stimulus Package of civil works at Moncrieff (announced before and separately to the Budget) intends to support the construction industry. Support of the construction industry is prudent if there is a belief that the industry is in a cyclical trough, and thus requires temporary support to prevent attrition of skills and other consequences of the temporary decline of the industry. </w:t>
      </w:r>
    </w:p>
    <w:p w:rsidR="002E17F7" w:rsidRDefault="002E17F7" w:rsidP="002E17F7">
      <w:pPr>
        <w:pStyle w:val="BodyText"/>
        <w:rPr>
          <w:lang w:eastAsia="en-US"/>
        </w:rPr>
      </w:pPr>
      <w:r>
        <w:rPr>
          <w:lang w:eastAsia="en-US"/>
        </w:rPr>
        <w:t>The land release program has been written down by 3000 dwellings over the forward estimates period. Moderating the extent of the land release program is a prudent approach to declining demand resulting from cuts to the APS.</w:t>
      </w:r>
    </w:p>
    <w:p w:rsidR="002E17F7" w:rsidRDefault="002E17F7" w:rsidP="00284F89">
      <w:pPr>
        <w:pStyle w:val="Heading2"/>
        <w:numPr>
          <w:ilvl w:val="1"/>
          <w:numId w:val="1"/>
        </w:numPr>
      </w:pPr>
      <w:bookmarkStart w:id="944" w:name="_Toc390427317"/>
      <w:r>
        <w:t>ICT, plant and equipment expenditure</w:t>
      </w:r>
      <w:bookmarkEnd w:id="944"/>
    </w:p>
    <w:p w:rsidR="002E17F7" w:rsidRDefault="002E17F7" w:rsidP="002E17F7">
      <w:pPr>
        <w:pStyle w:val="BodyText"/>
      </w:pPr>
      <w:r>
        <w:t xml:space="preserve">In addition to the focus of savings being on Information and Communication Technology (ICT) adaptation and efficiencies, there is $75.5 million of expenditure on new ICT initiatives, concentrated mostly in the first two years of the four-year Budget cycle. </w:t>
      </w:r>
    </w:p>
    <w:p w:rsidR="002E17F7" w:rsidRDefault="002E17F7" w:rsidP="002E17F7">
      <w:pPr>
        <w:pStyle w:val="BodyText"/>
      </w:pPr>
      <w:r>
        <w:t>There are three main expenditure items relating to information and communication technology:</w:t>
      </w:r>
    </w:p>
    <w:p w:rsidR="002E17F7" w:rsidRDefault="002E17F7" w:rsidP="002E17F7">
      <w:pPr>
        <w:pStyle w:val="ListBullet"/>
      </w:pPr>
      <w:r>
        <w:t>iConnect: The building of a digital platform for ACT government service delivery will generate net savings for the government, however the capital expenditure associate with it is $15.9 million (21 per cent of total spending on new ICT initiatives). As mentioned above, the net impact of iConnect on the fiscal position (capital expenditure, depreciation and other expenses minus savings) is $7.9 million.</w:t>
      </w:r>
    </w:p>
    <w:p w:rsidR="002E17F7" w:rsidRDefault="002E17F7" w:rsidP="002E17F7">
      <w:pPr>
        <w:pStyle w:val="ListBullet"/>
      </w:pPr>
      <w:r>
        <w:t xml:space="preserve">Revenue collection transformation: Replacement of existing revenue collection systems will allow for more efficient tax collection however is at a cost of $30 million in capital expenditure (40.0 percent of total expenditure on new capital initiatives) and </w:t>
      </w:r>
      <w:r>
        <w:lastRenderedPageBreak/>
        <w:t>is the largest new expenditure initiative for ICT. Most of this spending (66.5 per cent) is provided in 2015-16.</w:t>
      </w:r>
    </w:p>
    <w:p w:rsidR="002E17F7" w:rsidRDefault="002E17F7" w:rsidP="002E17F7">
      <w:pPr>
        <w:pStyle w:val="ListBullet"/>
      </w:pPr>
      <w:r>
        <w:t>Digital infrastructure for schools: Includes upgrades and ongoing maintenance to school ICT infrastructure, including more wireless access points in ACT public schools. The 2014-15 Budget provides $9.2 million on digital infrastructure for schools, all of which is in the 2014-15 financial year. This accounts for 12.2 per cent of total expenditure on new ICT initiatives.</w:t>
      </w:r>
    </w:p>
    <w:p w:rsidR="002E17F7" w:rsidRDefault="002E17F7" w:rsidP="002E17F7">
      <w:pPr>
        <w:pStyle w:val="BodyText"/>
      </w:pPr>
      <w:r>
        <w:t>Spending on new initiatives related to plant and equipment is $22.3 million in total in 2014-15, with no expenditure in the other years of the forward estimates. The fitout of the ACT Government Office Building in Gungahlin accounts for $17.3 million (77.7 per cent) of new plant and equipment expenditure. This spending will fund the design and installation of the fitout, with only associated expenses of $0.5 million in the 2015-16, 2016-17 and 2017-18 years combined.</w:t>
      </w:r>
    </w:p>
    <w:p w:rsidR="002E17F7" w:rsidRDefault="002E17F7" w:rsidP="00284F89">
      <w:pPr>
        <w:pStyle w:val="Heading2"/>
        <w:numPr>
          <w:ilvl w:val="1"/>
          <w:numId w:val="1"/>
        </w:numPr>
      </w:pPr>
      <w:bookmarkStart w:id="945" w:name="_Toc390427318"/>
      <w:r>
        <w:t>Capital Works expenditure as stimulatory spending</w:t>
      </w:r>
      <w:bookmarkEnd w:id="945"/>
    </w:p>
    <w:p w:rsidR="002E17F7" w:rsidRDefault="002E17F7" w:rsidP="002E17F7">
      <w:pPr>
        <w:pStyle w:val="BodyText"/>
      </w:pPr>
      <w:r>
        <w:t xml:space="preserve">Capital works spending should be justified on the merits of the infrastructure provided, rather than merely the employment generated by the program. Increased spending on capital works should seek to generate employment in sectors where there is a temporary shortfall in demand or employment. </w:t>
      </w:r>
    </w:p>
    <w:p w:rsidR="002E17F7" w:rsidRDefault="002E17F7" w:rsidP="002E17F7">
      <w:pPr>
        <w:pStyle w:val="BodyText"/>
      </w:pPr>
      <w:r>
        <w:t>However, as discussed in the ‘Economic Outlook’ chapter of this report, the construction sector is not necessarily experiencing a temporary downturn. Dwelling investment has been at record high levels, and existing large capital works projects (such as the Ben Chifley building) are nearing completion. This indicates there may be decreased con</w:t>
      </w:r>
      <w:r w:rsidR="000954FB">
        <w:t>struction demand, but it does not</w:t>
      </w:r>
      <w:r>
        <w:t xml:space="preserve"> necessarily indicate that this will be a temporary change.</w:t>
      </w:r>
    </w:p>
    <w:p w:rsidR="002E17F7" w:rsidRDefault="002E17F7" w:rsidP="002E17F7">
      <w:pPr>
        <w:pStyle w:val="BodyText"/>
      </w:pPr>
      <w:r>
        <w:t xml:space="preserve">Decreased levels of APS employment may lead to a permanent decrease to demand for capital works (and therefore construction) if they lead to an increase in net migration outflow. </w:t>
      </w:r>
    </w:p>
    <w:p w:rsidR="002E17F7" w:rsidRDefault="002E17F7" w:rsidP="002E17F7">
      <w:pPr>
        <w:pStyle w:val="BodyText"/>
      </w:pPr>
      <w:r>
        <w:t xml:space="preserve">Chart </w:t>
      </w:r>
      <w:fldSimple w:instr=" REF _Caption9339 ">
        <w:r w:rsidR="00D733F1">
          <w:rPr>
            <w:noProof/>
          </w:rPr>
          <w:t>29</w:t>
        </w:r>
      </w:fldSimple>
      <w:r>
        <w:t xml:space="preserve"> shows the total value of building works to </w:t>
      </w:r>
      <w:proofErr w:type="gramStart"/>
      <w:r>
        <w:t>be completed</w:t>
      </w:r>
      <w:proofErr w:type="gramEnd"/>
      <w:r>
        <w:t xml:space="preserve"> in the ACT. It shows that while total value has fallen in recent years, this is falling from the levels around 2009 which substantially above long-term averages. The boom in the sector at that time may be due to expansionary monetary policy and expansionary Federal fiscal policy as reactions </w:t>
      </w:r>
      <w:r w:rsidR="00B47215">
        <w:t>to the Global Financial Crisis.</w:t>
      </w:r>
    </w:p>
    <w:p w:rsidR="00B47215" w:rsidRDefault="00B47215" w:rsidP="002E17F7">
      <w:pPr>
        <w:pStyle w:val="BodyText"/>
      </w:pPr>
      <w:r>
        <w:t>Expansionary fiscal policy at the level of the ACT Government is not as effective at closing an output gap as Federal policy. This is because increased investment by the ACT government may have benefits that flow interstate. Employees for the construction of infrastructure in the ACT may be sourced from NSW or Victoria, and therefore the wages paid by the ACT government will partially be spent in those states rather than the ACT. This will reduce the effect of the fiscal expansionary policy in closing an output gap in the ACT, and thus weakens the argument that the ACT should have a strongly expansionary fiscal position.</w:t>
      </w:r>
    </w:p>
    <w:p w:rsidR="00FE1F43" w:rsidRDefault="00B40B86" w:rsidP="00FE1F43">
      <w:pPr>
        <w:pStyle w:val="Caption"/>
      </w:pPr>
      <w:r w:rsidRPr="00695C93">
        <w:lastRenderedPageBreak/>
        <w:fldChar w:fldCharType="begin"/>
      </w:r>
      <w:r w:rsidR="00FE1F43" w:rsidRPr="00695C93">
        <w:instrText xml:space="preserve"> IF 1 = 1 "</w:instrText>
      </w:r>
      <w:r w:rsidRPr="00695C93">
        <w:fldChar w:fldCharType="begin"/>
      </w:r>
      <w:r w:rsidR="00FE1F43" w:rsidRPr="00695C93">
        <w:instrText xml:space="preserve"> IF </w:instrText>
      </w:r>
      <w:fldSimple w:instr=" STYLEREF &quot;Heading 6&quot; \l \n ">
        <w:r w:rsidR="00D733F1">
          <w:rPr>
            <w:noProof/>
          </w:rPr>
          <w:instrText>0</w:instrText>
        </w:r>
      </w:fldSimple>
      <w:r w:rsidR="00FE1F43" w:rsidRPr="00695C93">
        <w:instrText xml:space="preserve"> = 0 "</w:instrText>
      </w:r>
      <w:r w:rsidRPr="00695C93">
        <w:fldChar w:fldCharType="begin"/>
      </w:r>
      <w:r w:rsidR="00FE1F43" w:rsidRPr="00695C93">
        <w:instrText xml:space="preserve"> IF </w:instrText>
      </w:r>
      <w:fldSimple w:instr=" STYLEREF &quot;Heading 1&quot; \l \n ">
        <w:r w:rsidR="00D733F1">
          <w:rPr>
            <w:noProof/>
          </w:rPr>
          <w:instrText>0</w:instrText>
        </w:r>
      </w:fldSimple>
      <w:r w:rsidR="00FE1F43" w:rsidRPr="00695C93">
        <w:instrText xml:space="preserve"> = 0 "" "</w:instrText>
      </w:r>
      <w:fldSimple w:instr=" STYLEREF &quot;Heading 1&quot; \l \n ">
        <w:r w:rsidR="00FE1F43">
          <w:rPr>
            <w:noProof/>
          </w:rPr>
          <w:instrText>2</w:instrText>
        </w:r>
      </w:fldSimple>
      <w:r w:rsidR="00FE1F43" w:rsidRPr="00695C93">
        <w:instrText xml:space="preserve">." </w:instrText>
      </w:r>
      <w:r w:rsidRPr="00695C93">
        <w:fldChar w:fldCharType="end"/>
      </w:r>
      <w:r w:rsidR="00FE1F43" w:rsidRPr="00695C93">
        <w:instrText>" "</w:instrText>
      </w:r>
      <w:fldSimple w:instr=" STYLEREF &quot;Heading 6&quot; \l \n ">
        <w:r w:rsidR="00FE1F43" w:rsidRPr="00695C93">
          <w:instrText>B</w:instrText>
        </w:r>
      </w:fldSimple>
      <w:r w:rsidR="00FE1F43" w:rsidRPr="00695C93">
        <w:instrText xml:space="preserve">." </w:instrText>
      </w:r>
      <w:r w:rsidRPr="00695C93">
        <w:fldChar w:fldCharType="end"/>
      </w:r>
      <w:r w:rsidRPr="00695C93">
        <w:fldChar w:fldCharType="begin"/>
      </w:r>
      <w:r w:rsidR="00FE1F43" w:rsidRPr="00695C93">
        <w:instrText xml:space="preserve"> SEQ Item \* ARABIC \s </w:instrText>
      </w:r>
      <w:r w:rsidRPr="00695C93">
        <w:fldChar w:fldCharType="begin"/>
      </w:r>
      <w:r w:rsidR="00FE1F43" w:rsidRPr="00695C93">
        <w:instrText xml:space="preserve"> IF </w:instrText>
      </w:r>
      <w:fldSimple w:instr=" STYLEREF &quot;Heading 6&quot; \l \n ">
        <w:r w:rsidR="00D733F1">
          <w:rPr>
            <w:noProof/>
          </w:rPr>
          <w:instrText>0</w:instrText>
        </w:r>
      </w:fldSimple>
      <w:r w:rsidR="00FE1F43" w:rsidRPr="00695C93">
        <w:instrText xml:space="preserve"> = 0 "</w:instrText>
      </w:r>
      <w:r w:rsidRPr="00695C93">
        <w:fldChar w:fldCharType="begin"/>
      </w:r>
      <w:r w:rsidR="00FE1F43" w:rsidRPr="00695C93">
        <w:instrText xml:space="preserve"> IF </w:instrText>
      </w:r>
      <w:fldSimple w:instr=" STYLEREF &quot;Heading 1&quot; \l \n ">
        <w:r w:rsidR="00D733F1">
          <w:rPr>
            <w:noProof/>
          </w:rPr>
          <w:instrText>0</w:instrText>
        </w:r>
      </w:fldSimple>
      <w:r w:rsidR="00FE1F43" w:rsidRPr="00695C93">
        <w:instrText xml:space="preserve"> = 0 "" "1" </w:instrText>
      </w:r>
      <w:r w:rsidRPr="00695C93">
        <w:fldChar w:fldCharType="end"/>
      </w:r>
      <w:r w:rsidR="00FE1F43" w:rsidRPr="00695C93">
        <w:instrText xml:space="preserve">" "6" </w:instrText>
      </w:r>
      <w:r w:rsidRPr="00695C93">
        <w:fldChar w:fldCharType="end"/>
      </w:r>
      <w:r w:rsidR="00FE1F43" w:rsidRPr="00695C93">
        <w:instrText xml:space="preserve"> </w:instrText>
      </w:r>
      <w:r w:rsidRPr="00695C93">
        <w:fldChar w:fldCharType="separate"/>
      </w:r>
      <w:r w:rsidR="00D733F1">
        <w:rPr>
          <w:noProof/>
        </w:rPr>
        <w:instrText>29</w:instrText>
      </w:r>
      <w:r w:rsidRPr="00695C93">
        <w:fldChar w:fldCharType="end"/>
      </w:r>
      <w:r w:rsidR="00FE1F43" w:rsidRPr="00695C93">
        <w:instrText xml:space="preserve">" "" </w:instrText>
      </w:r>
      <w:r w:rsidRPr="00695C93">
        <w:fldChar w:fldCharType="separate"/>
      </w:r>
      <w:bookmarkStart w:id="946" w:name="_Caption9759"/>
      <w:bookmarkStart w:id="947" w:name="_Caption1165"/>
      <w:bookmarkStart w:id="948" w:name="_Caption1272"/>
      <w:bookmarkStart w:id="949" w:name="_Caption4737"/>
      <w:bookmarkStart w:id="950" w:name="_Caption9900"/>
      <w:bookmarkStart w:id="951" w:name="_Caption5692"/>
      <w:bookmarkStart w:id="952" w:name="_Caption0012"/>
      <w:bookmarkStart w:id="953" w:name="_Caption7752"/>
      <w:bookmarkStart w:id="954" w:name="_Caption8297"/>
      <w:bookmarkStart w:id="955" w:name="_Caption4237"/>
      <w:bookmarkStart w:id="956" w:name="_Caption0687"/>
      <w:bookmarkStart w:id="957" w:name="_Caption4944"/>
      <w:bookmarkStart w:id="958" w:name="_Caption3220"/>
      <w:bookmarkStart w:id="959" w:name="_Caption1212"/>
      <w:bookmarkStart w:id="960" w:name="_Caption6862"/>
      <w:bookmarkStart w:id="961" w:name="_Caption9556"/>
      <w:bookmarkStart w:id="962" w:name="_Caption9814"/>
      <w:bookmarkStart w:id="963" w:name="_Caption0222"/>
      <w:bookmarkStart w:id="964" w:name="_Caption2688"/>
      <w:bookmarkStart w:id="965" w:name="_Caption4184"/>
      <w:bookmarkStart w:id="966" w:name="_Caption5503"/>
      <w:bookmarkStart w:id="967" w:name="_Caption0080"/>
      <w:bookmarkStart w:id="968" w:name="_Caption1297"/>
      <w:bookmarkStart w:id="969" w:name="_Caption4569"/>
      <w:bookmarkStart w:id="970" w:name="_Caption7831"/>
      <w:bookmarkStart w:id="971" w:name="_Caption4516"/>
      <w:bookmarkStart w:id="972" w:name="_Caption9339"/>
      <w:bookmarkStart w:id="973" w:name="_Caption5111"/>
      <w:bookmarkStart w:id="974" w:name="_Caption8730"/>
      <w:bookmarkStart w:id="975" w:name="_Caption6899"/>
      <w:bookmarkStart w:id="976" w:name="_Caption6172"/>
      <w:bookmarkStart w:id="977" w:name="_Toc390427352"/>
      <w:r w:rsidR="00D733F1">
        <w:rPr>
          <w:noProof/>
        </w:rPr>
        <w:t>29</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r w:rsidRPr="00695C93">
        <w:fldChar w:fldCharType="end"/>
      </w:r>
      <w:r w:rsidR="00FE1F43" w:rsidRPr="00695C93">
        <w:tab/>
      </w:r>
      <w:r w:rsidR="00FE1F43">
        <w:t>Total Value of Building Jobs in ACT</w:t>
      </w:r>
      <w:bookmarkEnd w:id="977"/>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tblPr>
      <w:tblGrid>
        <w:gridCol w:w="7938"/>
      </w:tblGrid>
      <w:tr w:rsidR="002E17F7" w:rsidTr="009C75CC">
        <w:trPr>
          <w:cantSplit/>
        </w:trPr>
        <w:tc>
          <w:tcPr>
            <w:tcW w:w="7938" w:type="dxa"/>
            <w:shd w:val="clear" w:color="auto" w:fill="E9E8E5" w:themeFill="background2"/>
          </w:tcPr>
          <w:p w:rsidR="002E17F7" w:rsidRDefault="002E17F7" w:rsidP="009C75CC">
            <w:pPr>
              <w:pStyle w:val="Chart"/>
              <w:jc w:val="center"/>
            </w:pPr>
            <w:r>
              <w:rPr>
                <w:noProof/>
                <w:lang w:eastAsia="en-AU"/>
              </w:rPr>
              <w:drawing>
                <wp:inline distT="0" distB="0" distL="0" distR="0">
                  <wp:extent cx="4864735" cy="25311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4735" cy="2531110"/>
                          </a:xfrm>
                          <a:prstGeom prst="rect">
                            <a:avLst/>
                          </a:prstGeom>
                          <a:noFill/>
                          <a:ln>
                            <a:noFill/>
                          </a:ln>
                        </pic:spPr>
                      </pic:pic>
                    </a:graphicData>
                  </a:graphic>
                </wp:inline>
              </w:drawing>
            </w:r>
          </w:p>
        </w:tc>
      </w:tr>
    </w:tbl>
    <w:p w:rsidR="002E17F7" w:rsidRPr="005C3744" w:rsidRDefault="002E17F7" w:rsidP="002E17F7">
      <w:pPr>
        <w:pStyle w:val="Source"/>
      </w:pPr>
      <w:r>
        <w:rPr>
          <w:i/>
        </w:rPr>
        <w:t>Data source</w:t>
      </w:r>
      <w:r w:rsidRPr="00A67576">
        <w:rPr>
          <w:i/>
        </w:rPr>
        <w:t>:</w:t>
      </w:r>
      <w:r>
        <w:t xml:space="preserve"> Australian Bureau of Statistics Apr 2014, </w:t>
      </w:r>
      <w:r>
        <w:rPr>
          <w:i/>
        </w:rPr>
        <w:t>Building Approvals, Australia</w:t>
      </w:r>
      <w:r>
        <w:t>, cat. No. 8731.0, ABS, Canberra.</w:t>
      </w:r>
    </w:p>
    <w:p w:rsidR="002F616F" w:rsidRDefault="002F616F" w:rsidP="003E774E">
      <w:pPr>
        <w:pStyle w:val="Heading1"/>
        <w:numPr>
          <w:ilvl w:val="0"/>
          <w:numId w:val="0"/>
        </w:numPr>
        <w:ind w:left="567" w:hanging="567"/>
      </w:pPr>
      <w:bookmarkStart w:id="978" w:name="_Toc390427319"/>
      <w:r>
        <w:lastRenderedPageBreak/>
        <w:t xml:space="preserve">Impact of the </w:t>
      </w:r>
      <w:r w:rsidR="00956657">
        <w:t>Budget</w:t>
      </w:r>
      <w:r>
        <w:t xml:space="preserve"> on cost of living</w:t>
      </w:r>
      <w:bookmarkEnd w:id="978"/>
      <w:r>
        <w:t xml:space="preserve"> </w:t>
      </w:r>
    </w:p>
    <w:p w:rsidR="002F616F" w:rsidRPr="00A20331" w:rsidRDefault="00D419F9" w:rsidP="00A20331">
      <w:pPr>
        <w:pStyle w:val="ChapterIntroduction"/>
      </w:pPr>
      <w:r w:rsidRPr="00A20331">
        <w:t>S</w:t>
      </w:r>
      <w:r w:rsidR="002F616F" w:rsidRPr="00A20331">
        <w:t xml:space="preserve">lowing economic activity and a transition towards a more efficient tax system has led to a number of revenue initiatives over recent years including in the 2014-15 </w:t>
      </w:r>
      <w:r w:rsidR="00956657" w:rsidRPr="00A20331">
        <w:t>Budget</w:t>
      </w:r>
      <w:r w:rsidR="002F616F" w:rsidRPr="00A20331">
        <w:t>. These tax initiatives as well as other changes to fees and concessions are likely to have a noticeable impact on ACT households and their cost of living over the forward estimat</w:t>
      </w:r>
      <w:r w:rsidR="00B45337">
        <w:t xml:space="preserve">es period. Overall, the impact on cost of living is likely to be moderate. </w:t>
      </w:r>
    </w:p>
    <w:p w:rsidR="002F616F" w:rsidRDefault="002F616F" w:rsidP="003051BD">
      <w:pPr>
        <w:pStyle w:val="Heading2"/>
      </w:pPr>
      <w:bookmarkStart w:id="979" w:name="_Toc390427320"/>
      <w:r>
        <w:t>Findings from the 2014-15 cost of living statement</w:t>
      </w:r>
      <w:bookmarkEnd w:id="979"/>
      <w:r>
        <w:t xml:space="preserve"> </w:t>
      </w:r>
    </w:p>
    <w:p w:rsidR="002F616F" w:rsidRDefault="002F616F" w:rsidP="002F616F">
      <w:pPr>
        <w:pStyle w:val="BodyText"/>
      </w:pPr>
      <w:r>
        <w:t xml:space="preserve">The cost of living statement in the 2014-15 </w:t>
      </w:r>
      <w:r w:rsidR="00956657">
        <w:t>Budget</w:t>
      </w:r>
      <w:r>
        <w:t xml:space="preserve"> illustrates the impact of changes to taxes, fees and charges on five hypothetical households with differing characteristics and circumstances. While this approach does provide a sense of the various </w:t>
      </w:r>
      <w:r w:rsidR="00D419F9">
        <w:t xml:space="preserve">channels that households throughout the community can be affected by the </w:t>
      </w:r>
      <w:r w:rsidR="00956657">
        <w:t>Budget</w:t>
      </w:r>
      <w:r>
        <w:t>, it also makes it difficult to make generalised statements about how the cost of living of representative households in the ACT will change.</w:t>
      </w:r>
      <w:r w:rsidR="00FE1F43">
        <w:t xml:space="preserve"> </w:t>
      </w:r>
    </w:p>
    <w:p w:rsidR="002F616F" w:rsidRDefault="002F616F" w:rsidP="002F616F">
      <w:pPr>
        <w:pStyle w:val="BodyText"/>
      </w:pPr>
      <w:r>
        <w:t xml:space="preserve">This section aims to make a general statement about how the cost of living for typical ACT households will change in 2014-15 by focusing on the </w:t>
      </w:r>
      <w:r w:rsidR="00D419F9">
        <w:t xml:space="preserve">net </w:t>
      </w:r>
      <w:r>
        <w:t>changes in taxes, concessions and fees that commonly affected the five hypothetical households featured in the cost of living statement.</w:t>
      </w:r>
      <w:r w:rsidR="007D3778">
        <w:rPr>
          <w:rStyle w:val="FootnoteReference"/>
        </w:rPr>
        <w:footnoteReference w:id="21"/>
      </w:r>
      <w:r>
        <w:t xml:space="preserve"> The average net increase in expenses faced by these households </w:t>
      </w:r>
      <w:r w:rsidR="00D419F9">
        <w:t>in 2014</w:t>
      </w:r>
      <w:r>
        <w:t xml:space="preserve">-15 </w:t>
      </w:r>
      <w:r w:rsidR="00087E02">
        <w:t>was $327 (see table</w:t>
      </w:r>
      <w:r w:rsidR="00B47215">
        <w:t xml:space="preserve"> </w:t>
      </w:r>
      <w:fldSimple w:instr=" REF _Caption2311 ">
        <w:r w:rsidR="00D733F1">
          <w:rPr>
            <w:noProof/>
          </w:rPr>
          <w:t>30</w:t>
        </w:r>
      </w:fldSimple>
      <w:r>
        <w:t>).</w:t>
      </w:r>
      <w:r>
        <w:rPr>
          <w:rStyle w:val="FootnoteReference"/>
        </w:rPr>
        <w:footnoteReference w:id="22"/>
      </w:r>
      <w:r>
        <w:t xml:space="preserve"> The main drivers of this average cost increase were:</w:t>
      </w:r>
    </w:p>
    <w:p w:rsidR="002F616F" w:rsidRDefault="002F616F" w:rsidP="00284F89">
      <w:pPr>
        <w:pStyle w:val="ListBullet"/>
        <w:numPr>
          <w:ilvl w:val="0"/>
          <w:numId w:val="4"/>
        </w:numPr>
      </w:pPr>
      <w:r>
        <w:t xml:space="preserve">10 per cent increase in general rates in 2014-15 introduced in the 2012-13 </w:t>
      </w:r>
      <w:r w:rsidR="00956657">
        <w:t>Budget</w:t>
      </w:r>
      <w:r>
        <w:t xml:space="preserve"> </w:t>
      </w:r>
    </w:p>
    <w:p w:rsidR="002F616F" w:rsidRDefault="002F616F" w:rsidP="00284F89">
      <w:pPr>
        <w:pStyle w:val="ListBullet"/>
        <w:numPr>
          <w:ilvl w:val="0"/>
          <w:numId w:val="4"/>
        </w:numPr>
      </w:pPr>
      <w:r>
        <w:t>8 per cent rise in fire and emergency services levy for residential households</w:t>
      </w:r>
      <w:r w:rsidR="00FE1F43">
        <w:t xml:space="preserve"> </w:t>
      </w:r>
    </w:p>
    <w:p w:rsidR="002F616F" w:rsidRPr="00CC6B6C" w:rsidRDefault="002F616F" w:rsidP="00284F89">
      <w:pPr>
        <w:pStyle w:val="ListBullet"/>
        <w:numPr>
          <w:ilvl w:val="0"/>
          <w:numId w:val="4"/>
        </w:numPr>
      </w:pPr>
      <w:r>
        <w:t>7 per cent in utility costs for households who are not eligible for concessions</w:t>
      </w:r>
      <w:r>
        <w:rPr>
          <w:rStyle w:val="FootnoteReference"/>
        </w:rPr>
        <w:footnoteReference w:id="23"/>
      </w:r>
    </w:p>
    <w:p w:rsidR="002F616F" w:rsidRDefault="002F616F" w:rsidP="00284F89">
      <w:pPr>
        <w:pStyle w:val="ListBullet"/>
        <w:numPr>
          <w:ilvl w:val="0"/>
          <w:numId w:val="4"/>
        </w:numPr>
      </w:pPr>
      <w:r>
        <w:t>6 per cent increase in motor vehicle registration in 2014-15</w:t>
      </w:r>
      <w:r w:rsidR="00B45337">
        <w:t xml:space="preserve">. </w:t>
      </w:r>
    </w:p>
    <w:p w:rsidR="002F616F" w:rsidRDefault="002F616F" w:rsidP="00CA7EA6">
      <w:pPr>
        <w:pStyle w:val="BodyText"/>
      </w:pPr>
      <w:r>
        <w:t xml:space="preserve">Reductions in the duties on car and contents insurance helped to partly offset these additional cost of living expenses. </w:t>
      </w:r>
    </w:p>
    <w:p w:rsidR="002F616F" w:rsidRDefault="002F616F" w:rsidP="002F616F">
      <w:pPr>
        <w:pStyle w:val="ListBullet"/>
        <w:numPr>
          <w:ilvl w:val="0"/>
          <w:numId w:val="0"/>
        </w:numPr>
      </w:pPr>
      <w:r>
        <w:t>While a number of ACT households will receive benefits from the Government during 2014-15 that will help to offset these cost increases</w:t>
      </w:r>
      <w:r w:rsidR="007D3778">
        <w:t xml:space="preserve"> such as home buying concessions</w:t>
      </w:r>
      <w:r>
        <w:t>,</w:t>
      </w:r>
      <w:r w:rsidR="00FE1F43">
        <w:t xml:space="preserve"> </w:t>
      </w:r>
      <w:r>
        <w:t xml:space="preserve">a </w:t>
      </w:r>
      <w:r>
        <w:lastRenderedPageBreak/>
        <w:t xml:space="preserve">large proportion of non-pension homeowners are likely to see a noticeable increase in their cost of living during 2014-15. </w:t>
      </w:r>
    </w:p>
    <w:p w:rsidR="00FE1F43" w:rsidRDefault="00B40B86" w:rsidP="00B47215">
      <w:pPr>
        <w:pStyle w:val="Caption"/>
        <w:framePr w:hSpace="181" w:wrap="around" w:hAnchor="text" w:yAlign="top"/>
        <w:spacing w:before="0"/>
      </w:pPr>
      <w:r w:rsidRPr="00695C93">
        <w:fldChar w:fldCharType="begin"/>
      </w:r>
      <w:r w:rsidR="00FE1F43" w:rsidRPr="00695C93">
        <w:instrText xml:space="preserve"> IF 1 = 1 "</w:instrText>
      </w:r>
      <w:r w:rsidRPr="00695C93">
        <w:fldChar w:fldCharType="begin"/>
      </w:r>
      <w:r w:rsidR="00FE1F43" w:rsidRPr="00695C93">
        <w:instrText xml:space="preserve"> IF </w:instrText>
      </w:r>
      <w:fldSimple w:instr=" STYLEREF &quot;Heading 6&quot; \l \n ">
        <w:r w:rsidR="00D733F1">
          <w:rPr>
            <w:noProof/>
          </w:rPr>
          <w:instrText>0</w:instrText>
        </w:r>
      </w:fldSimple>
      <w:r w:rsidR="00FE1F43" w:rsidRPr="00695C93">
        <w:instrText xml:space="preserve"> = 0 "</w:instrText>
      </w:r>
      <w:r w:rsidRPr="00695C93">
        <w:fldChar w:fldCharType="begin"/>
      </w:r>
      <w:r w:rsidR="00FE1F43" w:rsidRPr="00695C93">
        <w:instrText xml:space="preserve"> IF </w:instrText>
      </w:r>
      <w:fldSimple w:instr=" STYLEREF &quot;Heading 1&quot; \l \n ">
        <w:r w:rsidR="00D733F1">
          <w:rPr>
            <w:noProof/>
          </w:rPr>
          <w:instrText>0</w:instrText>
        </w:r>
      </w:fldSimple>
      <w:r w:rsidR="00FE1F43" w:rsidRPr="00695C93">
        <w:instrText xml:space="preserve"> = 0 "" "</w:instrText>
      </w:r>
      <w:fldSimple w:instr=" STYLEREF &quot;Heading 1&quot; \l \n ">
        <w:r w:rsidR="00FE1F43">
          <w:rPr>
            <w:noProof/>
          </w:rPr>
          <w:instrText>2</w:instrText>
        </w:r>
      </w:fldSimple>
      <w:r w:rsidR="00FE1F43" w:rsidRPr="00695C93">
        <w:instrText xml:space="preserve">." </w:instrText>
      </w:r>
      <w:r w:rsidRPr="00695C93">
        <w:fldChar w:fldCharType="end"/>
      </w:r>
      <w:r w:rsidR="00FE1F43" w:rsidRPr="00695C93">
        <w:instrText>" "</w:instrText>
      </w:r>
      <w:fldSimple w:instr=" STYLEREF &quot;Heading 6&quot; \l \n ">
        <w:r w:rsidR="00FE1F43" w:rsidRPr="00695C93">
          <w:instrText>B</w:instrText>
        </w:r>
      </w:fldSimple>
      <w:r w:rsidR="00FE1F43" w:rsidRPr="00695C93">
        <w:instrText xml:space="preserve">." </w:instrText>
      </w:r>
      <w:r w:rsidRPr="00695C93">
        <w:fldChar w:fldCharType="end"/>
      </w:r>
      <w:r w:rsidRPr="00695C93">
        <w:fldChar w:fldCharType="begin"/>
      </w:r>
      <w:r w:rsidR="00FE1F43" w:rsidRPr="00695C93">
        <w:instrText xml:space="preserve"> SEQ Item \* ARABIC \s </w:instrText>
      </w:r>
      <w:r w:rsidRPr="00695C93">
        <w:fldChar w:fldCharType="begin"/>
      </w:r>
      <w:r w:rsidR="00FE1F43" w:rsidRPr="00695C93">
        <w:instrText xml:space="preserve"> IF </w:instrText>
      </w:r>
      <w:fldSimple w:instr=" STYLEREF &quot;Heading 6&quot; \l \n ">
        <w:r w:rsidR="00D733F1">
          <w:rPr>
            <w:noProof/>
          </w:rPr>
          <w:instrText>0</w:instrText>
        </w:r>
      </w:fldSimple>
      <w:r w:rsidR="00FE1F43" w:rsidRPr="00695C93">
        <w:instrText xml:space="preserve"> = 0 "</w:instrText>
      </w:r>
      <w:r w:rsidRPr="00695C93">
        <w:fldChar w:fldCharType="begin"/>
      </w:r>
      <w:r w:rsidR="00FE1F43" w:rsidRPr="00695C93">
        <w:instrText xml:space="preserve"> IF </w:instrText>
      </w:r>
      <w:fldSimple w:instr=" STYLEREF &quot;Heading 1&quot; \l \n ">
        <w:r w:rsidR="00D733F1">
          <w:rPr>
            <w:noProof/>
          </w:rPr>
          <w:instrText>0</w:instrText>
        </w:r>
      </w:fldSimple>
      <w:r w:rsidR="00FE1F43" w:rsidRPr="00695C93">
        <w:instrText xml:space="preserve"> = 0 "" "1" </w:instrText>
      </w:r>
      <w:r w:rsidRPr="00695C93">
        <w:fldChar w:fldCharType="end"/>
      </w:r>
      <w:r w:rsidR="00FE1F43" w:rsidRPr="00695C93">
        <w:instrText xml:space="preserve">" "6" </w:instrText>
      </w:r>
      <w:r w:rsidRPr="00695C93">
        <w:fldChar w:fldCharType="end"/>
      </w:r>
      <w:r w:rsidR="00FE1F43" w:rsidRPr="00695C93">
        <w:instrText xml:space="preserve"> </w:instrText>
      </w:r>
      <w:r w:rsidRPr="00695C93">
        <w:fldChar w:fldCharType="separate"/>
      </w:r>
      <w:r w:rsidR="00D733F1">
        <w:rPr>
          <w:noProof/>
        </w:rPr>
        <w:instrText>30</w:instrText>
      </w:r>
      <w:r w:rsidRPr="00695C93">
        <w:fldChar w:fldCharType="end"/>
      </w:r>
      <w:r w:rsidR="00FE1F43" w:rsidRPr="00695C93">
        <w:instrText xml:space="preserve">" "" </w:instrText>
      </w:r>
      <w:r w:rsidRPr="00695C93">
        <w:fldChar w:fldCharType="separate"/>
      </w:r>
      <w:bookmarkStart w:id="980" w:name="_Caption0270"/>
      <w:bookmarkStart w:id="981" w:name="_Caption2797"/>
      <w:bookmarkStart w:id="982" w:name="_Caption6187"/>
      <w:bookmarkStart w:id="983" w:name="_Caption7674"/>
      <w:bookmarkStart w:id="984" w:name="_Caption3732"/>
      <w:bookmarkStart w:id="985" w:name="_Caption3615"/>
      <w:bookmarkStart w:id="986" w:name="_Caption8641"/>
      <w:bookmarkStart w:id="987" w:name="_Caption4072"/>
      <w:bookmarkStart w:id="988" w:name="_Caption5743"/>
      <w:bookmarkStart w:id="989" w:name="_Caption7836"/>
      <w:bookmarkStart w:id="990" w:name="_Caption7688"/>
      <w:bookmarkStart w:id="991" w:name="_Caption5701"/>
      <w:bookmarkStart w:id="992" w:name="_Caption2027"/>
      <w:bookmarkStart w:id="993" w:name="_Caption9991"/>
      <w:bookmarkStart w:id="994" w:name="_Caption6554"/>
      <w:bookmarkStart w:id="995" w:name="_Caption4477"/>
      <w:bookmarkStart w:id="996" w:name="_Caption9056"/>
      <w:bookmarkStart w:id="997" w:name="_Caption0400"/>
      <w:bookmarkStart w:id="998" w:name="_Caption6736"/>
      <w:bookmarkStart w:id="999" w:name="_Caption3889"/>
      <w:bookmarkStart w:id="1000" w:name="_Caption7540"/>
      <w:bookmarkStart w:id="1001" w:name="_Caption0129"/>
      <w:bookmarkStart w:id="1002" w:name="_Caption8716"/>
      <w:bookmarkStart w:id="1003" w:name="_Caption5067"/>
      <w:bookmarkStart w:id="1004" w:name="_Caption3909"/>
      <w:bookmarkStart w:id="1005" w:name="_Caption3216"/>
      <w:bookmarkStart w:id="1006" w:name="_Caption7508"/>
      <w:bookmarkStart w:id="1007" w:name="_Caption2311"/>
      <w:bookmarkStart w:id="1008" w:name="_Caption9958"/>
      <w:bookmarkStart w:id="1009" w:name="_Caption0840"/>
      <w:bookmarkStart w:id="1010" w:name="_Caption2562"/>
      <w:bookmarkStart w:id="1011" w:name="_Toc390427353"/>
      <w:r w:rsidR="00D733F1">
        <w:rPr>
          <w:noProof/>
        </w:rPr>
        <w:t>30</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sidRPr="00695C93">
        <w:fldChar w:fldCharType="end"/>
      </w:r>
      <w:r w:rsidR="00FE1F43" w:rsidRPr="00695C93">
        <w:tab/>
      </w:r>
      <w:r w:rsidR="00FE1F43">
        <w:t>Change in the net cost of taxes, fees and concessions, 2014-15</w:t>
      </w:r>
      <w:bookmarkEnd w:id="1011"/>
    </w:p>
    <w:tbl>
      <w:tblPr>
        <w:tblW w:w="7938" w:type="dxa"/>
        <w:tblInd w:w="57" w:type="dxa"/>
        <w:tblLayout w:type="fixed"/>
        <w:tblLook w:val="0000"/>
      </w:tblPr>
      <w:tblGrid>
        <w:gridCol w:w="2552"/>
        <w:gridCol w:w="992"/>
        <w:gridCol w:w="1134"/>
        <w:gridCol w:w="1134"/>
        <w:gridCol w:w="1134"/>
        <w:gridCol w:w="992"/>
      </w:tblGrid>
      <w:tr w:rsidR="002F616F" w:rsidTr="003051BD">
        <w:tc>
          <w:tcPr>
            <w:tcW w:w="2552" w:type="dxa"/>
            <w:tcBorders>
              <w:bottom w:val="single" w:sz="8" w:space="0" w:color="FFFFFF" w:themeColor="background1"/>
            </w:tcBorders>
            <w:shd w:val="clear" w:color="auto" w:fill="6F6652"/>
            <w:tcMar>
              <w:left w:w="57" w:type="dxa"/>
              <w:right w:w="57" w:type="dxa"/>
            </w:tcMar>
          </w:tcPr>
          <w:p w:rsidR="002F616F" w:rsidRDefault="002F616F" w:rsidP="00B47215">
            <w:pPr>
              <w:pStyle w:val="TableDataColumnHeading"/>
              <w:framePr w:hSpace="181" w:wrap="around" w:hAnchor="text" w:yAlign="top"/>
              <w:jc w:val="left"/>
            </w:pPr>
          </w:p>
        </w:tc>
        <w:tc>
          <w:tcPr>
            <w:tcW w:w="992" w:type="dxa"/>
            <w:tcBorders>
              <w:bottom w:val="single" w:sz="8" w:space="0" w:color="FFFFFF" w:themeColor="background1"/>
            </w:tcBorders>
            <w:shd w:val="clear" w:color="auto" w:fill="6F6652"/>
            <w:tcMar>
              <w:left w:w="57" w:type="dxa"/>
              <w:right w:w="57" w:type="dxa"/>
            </w:tcMar>
          </w:tcPr>
          <w:p w:rsidR="002F616F" w:rsidRDefault="002F616F" w:rsidP="00B47215">
            <w:pPr>
              <w:pStyle w:val="TableDataColumnHeading"/>
              <w:framePr w:hSpace="181" w:wrap="around" w:hAnchor="text" w:yAlign="top"/>
            </w:pPr>
            <w:r>
              <w:t>Household 1</w:t>
            </w:r>
          </w:p>
        </w:tc>
        <w:tc>
          <w:tcPr>
            <w:tcW w:w="1134" w:type="dxa"/>
            <w:tcBorders>
              <w:bottom w:val="single" w:sz="8" w:space="0" w:color="FFFFFF" w:themeColor="background1"/>
            </w:tcBorders>
            <w:shd w:val="clear" w:color="auto" w:fill="6F6652"/>
            <w:tcMar>
              <w:left w:w="57" w:type="dxa"/>
              <w:right w:w="57" w:type="dxa"/>
            </w:tcMar>
          </w:tcPr>
          <w:p w:rsidR="002F616F" w:rsidRDefault="002F616F" w:rsidP="00B47215">
            <w:pPr>
              <w:pStyle w:val="TableDataColumnHeading"/>
              <w:framePr w:hSpace="181" w:wrap="around" w:hAnchor="text" w:yAlign="top"/>
            </w:pPr>
            <w:r>
              <w:t>Household 2</w:t>
            </w:r>
          </w:p>
        </w:tc>
        <w:tc>
          <w:tcPr>
            <w:tcW w:w="1134" w:type="dxa"/>
            <w:tcBorders>
              <w:bottom w:val="single" w:sz="8" w:space="0" w:color="FFFFFF" w:themeColor="background1"/>
            </w:tcBorders>
            <w:shd w:val="clear" w:color="auto" w:fill="6F6652"/>
            <w:tcMar>
              <w:left w:w="57" w:type="dxa"/>
              <w:right w:w="57" w:type="dxa"/>
            </w:tcMar>
          </w:tcPr>
          <w:p w:rsidR="002F616F" w:rsidRDefault="002F616F" w:rsidP="00B47215">
            <w:pPr>
              <w:pStyle w:val="TableDataColumnHeading"/>
              <w:framePr w:hSpace="181" w:wrap="around" w:hAnchor="text" w:yAlign="top"/>
            </w:pPr>
            <w:r>
              <w:t>Household 3</w:t>
            </w:r>
          </w:p>
        </w:tc>
        <w:tc>
          <w:tcPr>
            <w:tcW w:w="1134" w:type="dxa"/>
            <w:tcBorders>
              <w:bottom w:val="single" w:sz="8" w:space="0" w:color="FFFFFF" w:themeColor="background1"/>
            </w:tcBorders>
            <w:shd w:val="clear" w:color="auto" w:fill="6F6652"/>
            <w:tcMar>
              <w:left w:w="57" w:type="dxa"/>
              <w:right w:w="57" w:type="dxa"/>
            </w:tcMar>
          </w:tcPr>
          <w:p w:rsidR="002F616F" w:rsidRDefault="002F616F" w:rsidP="00B47215">
            <w:pPr>
              <w:pStyle w:val="TableDataColumnHeading"/>
              <w:framePr w:hSpace="181" w:wrap="around" w:hAnchor="text" w:yAlign="top"/>
            </w:pPr>
            <w:r>
              <w:t>Household 4</w:t>
            </w:r>
          </w:p>
        </w:tc>
        <w:tc>
          <w:tcPr>
            <w:tcW w:w="992" w:type="dxa"/>
            <w:tcBorders>
              <w:bottom w:val="single" w:sz="8" w:space="0" w:color="FFFFFF" w:themeColor="background1"/>
            </w:tcBorders>
            <w:shd w:val="clear" w:color="auto" w:fill="6F6652"/>
            <w:tcMar>
              <w:left w:w="57" w:type="dxa"/>
              <w:right w:w="57" w:type="dxa"/>
            </w:tcMar>
          </w:tcPr>
          <w:p w:rsidR="002F616F" w:rsidRDefault="002F616F" w:rsidP="00B47215">
            <w:pPr>
              <w:pStyle w:val="TableDataColumnHeading"/>
              <w:framePr w:hSpace="181" w:wrap="around" w:hAnchor="text" w:yAlign="top"/>
            </w:pPr>
            <w:r>
              <w:t>Household 5</w:t>
            </w:r>
          </w:p>
        </w:tc>
      </w:tr>
      <w:tr w:rsidR="002F616F" w:rsidTr="003051BD">
        <w:tc>
          <w:tcPr>
            <w:tcW w:w="2552" w:type="dxa"/>
            <w:tcBorders>
              <w:top w:val="single" w:sz="8" w:space="0" w:color="FFFFFF" w:themeColor="background1"/>
              <w:bottom w:val="single" w:sz="8" w:space="0" w:color="FFFFFF" w:themeColor="background1"/>
            </w:tcBorders>
            <w:shd w:val="clear" w:color="auto" w:fill="auto"/>
            <w:tcMar>
              <w:left w:w="57" w:type="dxa"/>
              <w:right w:w="57" w:type="dxa"/>
            </w:tcMar>
          </w:tcPr>
          <w:p w:rsidR="002F616F" w:rsidRDefault="002F616F" w:rsidP="00B47215">
            <w:pPr>
              <w:pStyle w:val="TableUnit"/>
              <w:framePr w:hSpace="181" w:wrap="around" w:hAnchor="text" w:yAlign="top"/>
              <w:jc w:val="left"/>
            </w:pPr>
          </w:p>
        </w:tc>
        <w:tc>
          <w:tcPr>
            <w:tcW w:w="992" w:type="dxa"/>
            <w:tcBorders>
              <w:top w:val="single" w:sz="8" w:space="0" w:color="FFFFFF" w:themeColor="background1"/>
              <w:bottom w:val="single" w:sz="8" w:space="0" w:color="FFFFFF" w:themeColor="background1"/>
            </w:tcBorders>
            <w:shd w:val="clear" w:color="auto" w:fill="auto"/>
            <w:tcMar>
              <w:left w:w="57" w:type="dxa"/>
              <w:right w:w="57" w:type="dxa"/>
            </w:tcMar>
          </w:tcPr>
          <w:p w:rsidR="002F616F" w:rsidRDefault="002F616F" w:rsidP="00B47215">
            <w:pPr>
              <w:pStyle w:val="TableUnit"/>
              <w:framePr w:hSpace="181" w:wrap="around" w:hAnchor="text" w:yAlign="top"/>
            </w:pPr>
            <w:r>
              <w:t>$</w:t>
            </w:r>
          </w:p>
        </w:tc>
        <w:tc>
          <w:tcPr>
            <w:tcW w:w="1134" w:type="dxa"/>
            <w:tcBorders>
              <w:top w:val="single" w:sz="8" w:space="0" w:color="FFFFFF" w:themeColor="background1"/>
              <w:bottom w:val="single" w:sz="8" w:space="0" w:color="FFFFFF" w:themeColor="background1"/>
            </w:tcBorders>
            <w:shd w:val="clear" w:color="auto" w:fill="auto"/>
            <w:tcMar>
              <w:left w:w="57" w:type="dxa"/>
              <w:right w:w="57" w:type="dxa"/>
            </w:tcMar>
          </w:tcPr>
          <w:p w:rsidR="002F616F" w:rsidRDefault="002F616F" w:rsidP="00B47215">
            <w:pPr>
              <w:pStyle w:val="TableUnit"/>
              <w:framePr w:hSpace="181" w:wrap="around" w:hAnchor="text" w:yAlign="top"/>
            </w:pPr>
            <w:r>
              <w:t>$</w:t>
            </w:r>
          </w:p>
        </w:tc>
        <w:tc>
          <w:tcPr>
            <w:tcW w:w="1134" w:type="dxa"/>
            <w:tcBorders>
              <w:top w:val="single" w:sz="8" w:space="0" w:color="FFFFFF" w:themeColor="background1"/>
              <w:bottom w:val="single" w:sz="8" w:space="0" w:color="FFFFFF" w:themeColor="background1"/>
            </w:tcBorders>
            <w:shd w:val="clear" w:color="auto" w:fill="auto"/>
            <w:tcMar>
              <w:left w:w="57" w:type="dxa"/>
              <w:right w:w="57" w:type="dxa"/>
            </w:tcMar>
          </w:tcPr>
          <w:p w:rsidR="002F616F" w:rsidRDefault="002F616F" w:rsidP="00B47215">
            <w:pPr>
              <w:pStyle w:val="TableUnit"/>
              <w:framePr w:hSpace="181" w:wrap="around" w:hAnchor="text" w:yAlign="top"/>
            </w:pPr>
            <w:r>
              <w:t>$</w:t>
            </w:r>
          </w:p>
        </w:tc>
        <w:tc>
          <w:tcPr>
            <w:tcW w:w="1134" w:type="dxa"/>
            <w:tcBorders>
              <w:top w:val="single" w:sz="8" w:space="0" w:color="FFFFFF" w:themeColor="background1"/>
              <w:bottom w:val="single" w:sz="8" w:space="0" w:color="FFFFFF" w:themeColor="background1"/>
            </w:tcBorders>
            <w:shd w:val="clear" w:color="auto" w:fill="auto"/>
            <w:tcMar>
              <w:left w:w="57" w:type="dxa"/>
              <w:right w:w="57" w:type="dxa"/>
            </w:tcMar>
          </w:tcPr>
          <w:p w:rsidR="002F616F" w:rsidRDefault="002F616F" w:rsidP="00B47215">
            <w:pPr>
              <w:pStyle w:val="TableUnit"/>
              <w:framePr w:hSpace="181" w:wrap="around" w:hAnchor="text" w:yAlign="top"/>
            </w:pPr>
            <w:r>
              <w:t>$</w:t>
            </w:r>
          </w:p>
        </w:tc>
        <w:tc>
          <w:tcPr>
            <w:tcW w:w="992" w:type="dxa"/>
            <w:tcBorders>
              <w:top w:val="single" w:sz="8" w:space="0" w:color="FFFFFF" w:themeColor="background1"/>
              <w:bottom w:val="single" w:sz="8" w:space="0" w:color="FFFFFF" w:themeColor="background1"/>
            </w:tcBorders>
            <w:shd w:val="clear" w:color="auto" w:fill="auto"/>
            <w:tcMar>
              <w:left w:w="57" w:type="dxa"/>
              <w:right w:w="57" w:type="dxa"/>
            </w:tcMar>
          </w:tcPr>
          <w:p w:rsidR="002F616F" w:rsidRDefault="002F616F" w:rsidP="00B47215">
            <w:pPr>
              <w:pStyle w:val="TableUnit"/>
              <w:framePr w:hSpace="181" w:wrap="around" w:hAnchor="text" w:yAlign="top"/>
            </w:pPr>
            <w:r>
              <w:t>$</w:t>
            </w:r>
          </w:p>
        </w:tc>
      </w:tr>
      <w:tr w:rsidR="002F616F" w:rsidTr="003051BD">
        <w:tc>
          <w:tcPr>
            <w:tcW w:w="255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jc w:val="left"/>
            </w:pPr>
            <w:r>
              <w:t xml:space="preserve">General property rates, fire and emergency services levy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105.1</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103.8</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152.7</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w:t>
            </w:r>
          </w:p>
        </w:tc>
      </w:tr>
      <w:tr w:rsidR="002F616F" w:rsidTr="003051BD">
        <w:tc>
          <w:tcPr>
            <w:tcW w:w="255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jc w:val="left"/>
            </w:pPr>
            <w:r>
              <w:t>Duty on life and content insurance</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- 7.2</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-34.7</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-31.5</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-34.7</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w:t>
            </w:r>
          </w:p>
        </w:tc>
      </w:tr>
      <w:tr w:rsidR="002F616F" w:rsidTr="003051BD">
        <w:tc>
          <w:tcPr>
            <w:tcW w:w="255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jc w:val="left"/>
            </w:pPr>
            <w:r>
              <w:t xml:space="preserve">Transport fees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86.7</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124.9</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34.6</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249.4</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51.3</w:t>
            </w:r>
          </w:p>
        </w:tc>
      </w:tr>
      <w:tr w:rsidR="002F616F" w:rsidTr="003051BD">
        <w:tc>
          <w:tcPr>
            <w:tcW w:w="255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jc w:val="left"/>
            </w:pPr>
            <w:r>
              <w:t>Duty on car insurance</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- 14.7</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-14.7</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-14.7</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-14.7</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w:t>
            </w:r>
          </w:p>
        </w:tc>
      </w:tr>
      <w:tr w:rsidR="002F616F" w:rsidTr="003051BD">
        <w:tc>
          <w:tcPr>
            <w:tcW w:w="255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jc w:val="left"/>
            </w:pPr>
            <w:r>
              <w:t>Rewards for safe driving</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- 6.7</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-13.8</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-13.4</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w:t>
            </w:r>
          </w:p>
        </w:tc>
      </w:tr>
      <w:tr w:rsidR="002F616F" w:rsidTr="003051BD">
        <w:tc>
          <w:tcPr>
            <w:tcW w:w="255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jc w:val="left"/>
            </w:pPr>
            <w:r>
              <w:t xml:space="preserve">Utility fees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270.8</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274.6</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16.0</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366.9</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B47215">
            <w:pPr>
              <w:pStyle w:val="TableDataEntries"/>
              <w:framePr w:hSpace="181" w:wrap="around" w:hAnchor="text" w:yAlign="top"/>
            </w:pPr>
            <w:r>
              <w:t>3.6</w:t>
            </w:r>
          </w:p>
        </w:tc>
      </w:tr>
      <w:tr w:rsidR="002F616F" w:rsidTr="003051BD">
        <w:tc>
          <w:tcPr>
            <w:tcW w:w="2552"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F616F" w:rsidRPr="00FA45C6" w:rsidRDefault="002F616F" w:rsidP="00B47215">
            <w:pPr>
              <w:pStyle w:val="TableDataEntries"/>
              <w:framePr w:hSpace="181" w:wrap="around" w:hAnchor="text" w:yAlign="top"/>
              <w:jc w:val="left"/>
              <w:rPr>
                <w:rFonts w:ascii="Franklin Gothic Demi" w:hAnsi="Franklin Gothic Demi"/>
              </w:rPr>
            </w:pPr>
            <w:r w:rsidRPr="00FA45C6">
              <w:rPr>
                <w:rFonts w:ascii="Franklin Gothic Demi" w:hAnsi="Franklin Gothic Demi"/>
              </w:rPr>
              <w:t xml:space="preserve">Total </w:t>
            </w:r>
          </w:p>
        </w:tc>
        <w:tc>
          <w:tcPr>
            <w:tcW w:w="992"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F616F" w:rsidRPr="00FA45C6" w:rsidRDefault="002F616F" w:rsidP="00B47215">
            <w:pPr>
              <w:pStyle w:val="TableDataEntries"/>
              <w:framePr w:hSpace="181" w:wrap="around" w:hAnchor="text" w:yAlign="top"/>
              <w:rPr>
                <w:rFonts w:ascii="Franklin Gothic Demi" w:hAnsi="Franklin Gothic Demi"/>
              </w:rPr>
            </w:pPr>
            <w:r w:rsidRPr="00FA45C6">
              <w:rPr>
                <w:rFonts w:ascii="Franklin Gothic Demi" w:hAnsi="Franklin Gothic Demi"/>
              </w:rPr>
              <w:t>328.9</w:t>
            </w:r>
          </w:p>
        </w:tc>
        <w:tc>
          <w:tcPr>
            <w:tcW w:w="1134"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F616F" w:rsidRPr="00FA45C6" w:rsidRDefault="002F616F" w:rsidP="00B47215">
            <w:pPr>
              <w:pStyle w:val="TableDataEntries"/>
              <w:framePr w:hSpace="181" w:wrap="around" w:hAnchor="text" w:yAlign="top"/>
              <w:rPr>
                <w:rFonts w:ascii="Franklin Gothic Demi" w:hAnsi="Franklin Gothic Demi"/>
              </w:rPr>
            </w:pPr>
            <w:r w:rsidRPr="00FA45C6">
              <w:rPr>
                <w:rFonts w:ascii="Franklin Gothic Demi" w:hAnsi="Franklin Gothic Demi"/>
              </w:rPr>
              <w:t>441.4</w:t>
            </w:r>
          </w:p>
        </w:tc>
        <w:tc>
          <w:tcPr>
            <w:tcW w:w="1134"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F616F" w:rsidRPr="00FA45C6" w:rsidRDefault="002F616F" w:rsidP="00B47215">
            <w:pPr>
              <w:pStyle w:val="TableDataEntries"/>
              <w:framePr w:hSpace="181" w:wrap="around" w:hAnchor="text" w:yAlign="top"/>
              <w:rPr>
                <w:rFonts w:ascii="Franklin Gothic Demi" w:hAnsi="Franklin Gothic Demi"/>
              </w:rPr>
            </w:pPr>
            <w:r w:rsidRPr="00FA45C6">
              <w:rPr>
                <w:rFonts w:ascii="Franklin Gothic Demi" w:hAnsi="Franklin Gothic Demi"/>
              </w:rPr>
              <w:t>108.2</w:t>
            </w:r>
          </w:p>
        </w:tc>
        <w:tc>
          <w:tcPr>
            <w:tcW w:w="1134"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F616F" w:rsidRPr="00FA45C6" w:rsidRDefault="002F616F" w:rsidP="00B47215">
            <w:pPr>
              <w:pStyle w:val="TableDataEntries"/>
              <w:framePr w:hSpace="181" w:wrap="around" w:hAnchor="text" w:yAlign="top"/>
              <w:rPr>
                <w:rFonts w:ascii="Franklin Gothic Demi" w:hAnsi="Franklin Gothic Demi"/>
              </w:rPr>
            </w:pPr>
            <w:r w:rsidRPr="00FA45C6">
              <w:rPr>
                <w:rFonts w:ascii="Franklin Gothic Demi" w:hAnsi="Franklin Gothic Demi"/>
              </w:rPr>
              <w:t>706.2</w:t>
            </w:r>
          </w:p>
        </w:tc>
        <w:tc>
          <w:tcPr>
            <w:tcW w:w="992"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F616F" w:rsidRPr="00FA45C6" w:rsidRDefault="002F616F" w:rsidP="00B47215">
            <w:pPr>
              <w:pStyle w:val="TableDataEntries"/>
              <w:framePr w:hSpace="181" w:wrap="around" w:hAnchor="text" w:yAlign="top"/>
              <w:rPr>
                <w:rFonts w:ascii="Franklin Gothic Demi" w:hAnsi="Franklin Gothic Demi"/>
              </w:rPr>
            </w:pPr>
            <w:r w:rsidRPr="00FA45C6">
              <w:rPr>
                <w:rFonts w:ascii="Franklin Gothic Demi" w:hAnsi="Franklin Gothic Demi"/>
              </w:rPr>
              <w:t>54.9</w:t>
            </w:r>
          </w:p>
        </w:tc>
      </w:tr>
    </w:tbl>
    <w:p w:rsidR="002F616F" w:rsidRDefault="002F616F" w:rsidP="00B47215">
      <w:pPr>
        <w:pStyle w:val="Source"/>
        <w:framePr w:hSpace="181" w:wrap="around" w:hAnchor="text" w:yAlign="top"/>
      </w:pPr>
      <w:r>
        <w:rPr>
          <w:i/>
        </w:rPr>
        <w:t>Source</w:t>
      </w:r>
      <w:r w:rsidRPr="00E4232C">
        <w:rPr>
          <w:i/>
        </w:rPr>
        <w:t>:</w:t>
      </w:r>
      <w:r>
        <w:rPr>
          <w:i/>
        </w:rPr>
        <w:t xml:space="preserve"> </w:t>
      </w:r>
      <w:r w:rsidRPr="008F54F2">
        <w:t xml:space="preserve">ACT </w:t>
      </w:r>
      <w:r w:rsidR="00956657">
        <w:t>Budget</w:t>
      </w:r>
      <w:r w:rsidRPr="008F54F2">
        <w:t xml:space="preserve"> 2014-15</w:t>
      </w:r>
      <w:r>
        <w:t xml:space="preserve">, Cost of living statement. </w:t>
      </w:r>
    </w:p>
    <w:p w:rsidR="002F616F" w:rsidRDefault="003051BD" w:rsidP="003051BD">
      <w:pPr>
        <w:pStyle w:val="Heading2"/>
      </w:pPr>
      <w:bookmarkStart w:id="1012" w:name="_Toc390427321"/>
      <w:r>
        <w:t xml:space="preserve">How does the </w:t>
      </w:r>
      <w:r w:rsidR="002F616F">
        <w:t xml:space="preserve">current methodology </w:t>
      </w:r>
      <w:r>
        <w:t xml:space="preserve">compare </w:t>
      </w:r>
      <w:r w:rsidR="002F616F">
        <w:t>with other agencies</w:t>
      </w:r>
      <w:r>
        <w:t>?</w:t>
      </w:r>
      <w:bookmarkEnd w:id="1012"/>
      <w:r w:rsidR="002F616F">
        <w:t xml:space="preserve"> </w:t>
      </w:r>
    </w:p>
    <w:p w:rsidR="002F616F" w:rsidRDefault="002F616F" w:rsidP="002F616F">
      <w:pPr>
        <w:pStyle w:val="BodyText"/>
      </w:pPr>
      <w:r>
        <w:t xml:space="preserve">The ACT Government is one of the few governments both domestically and internationally that regularly includes a cost of living statement in their </w:t>
      </w:r>
      <w:r w:rsidR="00956657">
        <w:t>Budget</w:t>
      </w:r>
      <w:r>
        <w:t xml:space="preserve"> papers. </w:t>
      </w:r>
      <w:r w:rsidRPr="00CA0812">
        <w:t>Section 11(1)(f) of th</w:t>
      </w:r>
      <w:r>
        <w:t xml:space="preserve">e Financial Management Act 1996 states that </w:t>
      </w:r>
      <w:r w:rsidRPr="00CA0812">
        <w:t>the Territory is required to</w:t>
      </w:r>
      <w:r>
        <w:t xml:space="preserve"> </w:t>
      </w:r>
      <w:r w:rsidRPr="00CA0812">
        <w:t>provide a statement about the effect of Territory taxes</w:t>
      </w:r>
      <w:r>
        <w:t xml:space="preserve"> and fees on households and the </w:t>
      </w:r>
      <w:r w:rsidRPr="00CA0812">
        <w:t>concessions that offset these.</w:t>
      </w:r>
      <w:r>
        <w:t xml:space="preserve"> This is currently achieved through developing a number of case studies that show how households with different characteristics and circumstances are directly affected by changes in taxes, fees, and concessions (as distinct from being indirectly affected by taxes placed on payrolls for example). It is worth noting that it is not particularly clear what the selection process is to ensure that the households featured are in fact ‘representative’. </w:t>
      </w:r>
    </w:p>
    <w:p w:rsidR="002F616F" w:rsidRPr="00D91CF1" w:rsidRDefault="002F616F" w:rsidP="002F616F">
      <w:pPr>
        <w:pStyle w:val="BodyText"/>
      </w:pPr>
      <w:r>
        <w:t xml:space="preserve">Distributional analysis is one alternative approach to that currently adopted by the ACT Government and is part of the UK Government’s </w:t>
      </w:r>
      <w:r w:rsidR="00956657">
        <w:t>Budget</w:t>
      </w:r>
      <w:r>
        <w:t xml:space="preserve"> reporting practices. Distribution analysis differs from the use of household case studies in that it analyses the impact of changes to taxes, tax credits, and benefits on household income deciles. This allows for a more generalised assessment of the impact of </w:t>
      </w:r>
      <w:r w:rsidR="00956657">
        <w:t>Budget</w:t>
      </w:r>
      <w:r>
        <w:t xml:space="preserve">ary changes on households and the variation of the impact across households with different income levels and standards of living. One of the main benefits of this form of analysis is that it enables </w:t>
      </w:r>
      <w:r w:rsidR="00956657">
        <w:t>Budget</w:t>
      </w:r>
      <w:r>
        <w:t xml:space="preserve">ary changes to be analysed from a social equity point of view, which is primarily concerned with how income and opportunities are distributed </w:t>
      </w:r>
      <w:r w:rsidR="00FA45C6">
        <w:t xml:space="preserve">across </w:t>
      </w:r>
      <w:r>
        <w:t xml:space="preserve">society. </w:t>
      </w:r>
    </w:p>
    <w:p w:rsidR="002F616F" w:rsidRDefault="002F616F" w:rsidP="002F616F">
      <w:pPr>
        <w:pStyle w:val="BodyText"/>
      </w:pPr>
      <w:r>
        <w:t xml:space="preserve">Other research agencies have adopted this approach when analysing the social impacts of </w:t>
      </w:r>
      <w:r w:rsidR="00956657">
        <w:t>Budget</w:t>
      </w:r>
      <w:r>
        <w:t xml:space="preserve">s. For example, the National </w:t>
      </w:r>
      <w:r w:rsidRPr="000B2CA2">
        <w:t>Centre for Social and Economic Modelling</w:t>
      </w:r>
      <w:r>
        <w:t xml:space="preserve"> (NCSEM) completed distributional analysis on the 2014-15</w:t>
      </w:r>
      <w:r w:rsidR="00087E02">
        <w:t xml:space="preserve"> Federal </w:t>
      </w:r>
      <w:r w:rsidR="00956657">
        <w:t>Budget</w:t>
      </w:r>
      <w:r w:rsidR="00087E02">
        <w:t xml:space="preserve"> (see table</w:t>
      </w:r>
      <w:r w:rsidR="00B47215">
        <w:t xml:space="preserve"> </w:t>
      </w:r>
      <w:fldSimple w:instr=" REF _Caption8069 ">
        <w:r w:rsidR="00D733F1">
          <w:rPr>
            <w:noProof/>
          </w:rPr>
          <w:t>31</w:t>
        </w:r>
      </w:fldSimple>
      <w:r>
        <w:t>) which was the basis of the following finding:</w:t>
      </w:r>
    </w:p>
    <w:p w:rsidR="002F616F" w:rsidRDefault="002F616F" w:rsidP="002F616F">
      <w:pPr>
        <w:pStyle w:val="Quote"/>
      </w:pPr>
      <w:r>
        <w:t xml:space="preserve">The results clearly demonstrate that low-income families with children are the main family group to be impacted by this </w:t>
      </w:r>
      <w:r w:rsidR="00956657">
        <w:t>Budget</w:t>
      </w:r>
      <w:r>
        <w:t xml:space="preserve">. The </w:t>
      </w:r>
      <w:r w:rsidR="00956657">
        <w:t>Budget</w:t>
      </w:r>
      <w:r>
        <w:t xml:space="preserve"> impact is relatively moderate in 2014-15 but becomes more significant by 2017-18. High-income families and singles and couples without children are shown to be largely unaffected by this </w:t>
      </w:r>
      <w:r w:rsidR="00956657">
        <w:t>Budget</w:t>
      </w:r>
      <w:r>
        <w:t xml:space="preserve"> in the short term or longer term. </w:t>
      </w:r>
    </w:p>
    <w:p w:rsidR="00FE1F43" w:rsidRDefault="00B40B86" w:rsidP="00FE1F43">
      <w:pPr>
        <w:pStyle w:val="Caption"/>
      </w:pPr>
      <w:r w:rsidRPr="00695C93">
        <w:lastRenderedPageBreak/>
        <w:fldChar w:fldCharType="begin"/>
      </w:r>
      <w:r w:rsidR="00FE1F43" w:rsidRPr="00695C93">
        <w:instrText xml:space="preserve"> IF 1 = 1 "</w:instrText>
      </w:r>
      <w:r w:rsidRPr="00695C93">
        <w:fldChar w:fldCharType="begin"/>
      </w:r>
      <w:r w:rsidR="00FE1F43" w:rsidRPr="00695C93">
        <w:instrText xml:space="preserve"> IF </w:instrText>
      </w:r>
      <w:fldSimple w:instr=" STYLEREF &quot;Heading 6&quot; \l \n ">
        <w:r w:rsidR="00D733F1">
          <w:rPr>
            <w:noProof/>
          </w:rPr>
          <w:instrText>0</w:instrText>
        </w:r>
      </w:fldSimple>
      <w:r w:rsidR="00FE1F43" w:rsidRPr="00695C93">
        <w:instrText xml:space="preserve"> = 0 "</w:instrText>
      </w:r>
      <w:r w:rsidRPr="00695C93">
        <w:fldChar w:fldCharType="begin"/>
      </w:r>
      <w:r w:rsidR="00FE1F43" w:rsidRPr="00695C93">
        <w:instrText xml:space="preserve"> IF </w:instrText>
      </w:r>
      <w:fldSimple w:instr=" STYLEREF &quot;Heading 1&quot; \l \n ">
        <w:r w:rsidR="00D733F1">
          <w:rPr>
            <w:noProof/>
          </w:rPr>
          <w:instrText>0</w:instrText>
        </w:r>
      </w:fldSimple>
      <w:r w:rsidR="00FE1F43" w:rsidRPr="00695C93">
        <w:instrText xml:space="preserve"> = 0 "" "</w:instrText>
      </w:r>
      <w:fldSimple w:instr=" STYLEREF &quot;Heading 1&quot; \l \n ">
        <w:r w:rsidR="00FE1F43">
          <w:rPr>
            <w:noProof/>
          </w:rPr>
          <w:instrText>2</w:instrText>
        </w:r>
      </w:fldSimple>
      <w:r w:rsidR="00FE1F43" w:rsidRPr="00695C93">
        <w:instrText xml:space="preserve">." </w:instrText>
      </w:r>
      <w:r w:rsidRPr="00695C93">
        <w:fldChar w:fldCharType="end"/>
      </w:r>
      <w:r w:rsidR="00FE1F43" w:rsidRPr="00695C93">
        <w:instrText>" "</w:instrText>
      </w:r>
      <w:fldSimple w:instr=" STYLEREF &quot;Heading 6&quot; \l \n ">
        <w:r w:rsidR="00FE1F43" w:rsidRPr="00695C93">
          <w:instrText>B</w:instrText>
        </w:r>
      </w:fldSimple>
      <w:r w:rsidR="00FE1F43" w:rsidRPr="00695C93">
        <w:instrText xml:space="preserve">." </w:instrText>
      </w:r>
      <w:r w:rsidRPr="00695C93">
        <w:fldChar w:fldCharType="end"/>
      </w:r>
      <w:r w:rsidRPr="00695C93">
        <w:fldChar w:fldCharType="begin"/>
      </w:r>
      <w:r w:rsidR="00FE1F43" w:rsidRPr="00695C93">
        <w:instrText xml:space="preserve"> SEQ Item \* ARABIC \s </w:instrText>
      </w:r>
      <w:r w:rsidRPr="00695C93">
        <w:fldChar w:fldCharType="begin"/>
      </w:r>
      <w:r w:rsidR="00FE1F43" w:rsidRPr="00695C93">
        <w:instrText xml:space="preserve"> IF </w:instrText>
      </w:r>
      <w:fldSimple w:instr=" STYLEREF &quot;Heading 6&quot; \l \n ">
        <w:r w:rsidR="00D733F1">
          <w:rPr>
            <w:noProof/>
          </w:rPr>
          <w:instrText>0</w:instrText>
        </w:r>
      </w:fldSimple>
      <w:r w:rsidR="00FE1F43" w:rsidRPr="00695C93">
        <w:instrText xml:space="preserve"> = 0 "</w:instrText>
      </w:r>
      <w:r w:rsidRPr="00695C93">
        <w:fldChar w:fldCharType="begin"/>
      </w:r>
      <w:r w:rsidR="00FE1F43" w:rsidRPr="00695C93">
        <w:instrText xml:space="preserve"> IF </w:instrText>
      </w:r>
      <w:fldSimple w:instr=" STYLEREF &quot;Heading 1&quot; \l \n ">
        <w:r w:rsidR="00D733F1">
          <w:rPr>
            <w:noProof/>
          </w:rPr>
          <w:instrText>0</w:instrText>
        </w:r>
      </w:fldSimple>
      <w:r w:rsidR="00FE1F43" w:rsidRPr="00695C93">
        <w:instrText xml:space="preserve"> = 0 "" "1" </w:instrText>
      </w:r>
      <w:r w:rsidRPr="00695C93">
        <w:fldChar w:fldCharType="end"/>
      </w:r>
      <w:r w:rsidR="00FE1F43" w:rsidRPr="00695C93">
        <w:instrText xml:space="preserve">" "6" </w:instrText>
      </w:r>
      <w:r w:rsidRPr="00695C93">
        <w:fldChar w:fldCharType="end"/>
      </w:r>
      <w:r w:rsidR="00FE1F43" w:rsidRPr="00695C93">
        <w:instrText xml:space="preserve"> </w:instrText>
      </w:r>
      <w:r w:rsidRPr="00695C93">
        <w:fldChar w:fldCharType="separate"/>
      </w:r>
      <w:r w:rsidR="00D733F1">
        <w:rPr>
          <w:noProof/>
        </w:rPr>
        <w:instrText>31</w:instrText>
      </w:r>
      <w:r w:rsidRPr="00695C93">
        <w:fldChar w:fldCharType="end"/>
      </w:r>
      <w:r w:rsidR="00FE1F43" w:rsidRPr="00695C93">
        <w:instrText xml:space="preserve">" "" </w:instrText>
      </w:r>
      <w:r w:rsidRPr="00695C93">
        <w:fldChar w:fldCharType="separate"/>
      </w:r>
      <w:bookmarkStart w:id="1013" w:name="_Caption2044"/>
      <w:bookmarkStart w:id="1014" w:name="_Caption7825"/>
      <w:bookmarkStart w:id="1015" w:name="_Caption6062"/>
      <w:bookmarkStart w:id="1016" w:name="_Caption8729"/>
      <w:bookmarkStart w:id="1017" w:name="_Caption4824"/>
      <w:bookmarkStart w:id="1018" w:name="_Caption6050"/>
      <w:bookmarkStart w:id="1019" w:name="_Caption3376"/>
      <w:bookmarkStart w:id="1020" w:name="_Caption9044"/>
      <w:bookmarkStart w:id="1021" w:name="_Caption9792"/>
      <w:bookmarkStart w:id="1022" w:name="_Caption5732"/>
      <w:bookmarkStart w:id="1023" w:name="_Caption2649"/>
      <w:bookmarkStart w:id="1024" w:name="_Caption0462"/>
      <w:bookmarkStart w:id="1025" w:name="_Caption2358"/>
      <w:bookmarkStart w:id="1026" w:name="_Caption6647"/>
      <w:bookmarkStart w:id="1027" w:name="_Caption2237"/>
      <w:bookmarkStart w:id="1028" w:name="_Caption6529"/>
      <w:bookmarkStart w:id="1029" w:name="_Caption1861"/>
      <w:bookmarkStart w:id="1030" w:name="_Caption8965"/>
      <w:bookmarkStart w:id="1031" w:name="_Caption4344"/>
      <w:bookmarkStart w:id="1032" w:name="_Caption5753"/>
      <w:bookmarkStart w:id="1033" w:name="_Caption7363"/>
      <w:bookmarkStart w:id="1034" w:name="_Caption1392"/>
      <w:bookmarkStart w:id="1035" w:name="_Caption0823"/>
      <w:bookmarkStart w:id="1036" w:name="_Caption9209"/>
      <w:bookmarkStart w:id="1037" w:name="_Caption7707"/>
      <w:bookmarkStart w:id="1038" w:name="_Caption0855"/>
      <w:bookmarkStart w:id="1039" w:name="_Caption4265"/>
      <w:bookmarkStart w:id="1040" w:name="_Caption7788"/>
      <w:bookmarkStart w:id="1041" w:name="_Caption8069"/>
      <w:bookmarkStart w:id="1042" w:name="_Caption7593"/>
      <w:bookmarkStart w:id="1043" w:name="_Caption2605"/>
      <w:bookmarkStart w:id="1044" w:name="_Toc390427354"/>
      <w:r w:rsidR="00D733F1">
        <w:rPr>
          <w:noProof/>
        </w:rPr>
        <w:t>31</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r w:rsidRPr="00695C93">
        <w:fldChar w:fldCharType="end"/>
      </w:r>
      <w:r w:rsidR="00FE1F43" w:rsidRPr="00695C93">
        <w:tab/>
      </w:r>
      <w:r w:rsidR="00FE1F43">
        <w:t>Distribution analysis of 2014-15 Federal Budget</w:t>
      </w:r>
      <w:bookmarkEnd w:id="1044"/>
    </w:p>
    <w:tbl>
      <w:tblPr>
        <w:tblW w:w="7938" w:type="dxa"/>
        <w:tblInd w:w="57" w:type="dxa"/>
        <w:tblLayout w:type="fixed"/>
        <w:tblLook w:val="0000"/>
      </w:tblPr>
      <w:tblGrid>
        <w:gridCol w:w="2552"/>
        <w:gridCol w:w="992"/>
        <w:gridCol w:w="2410"/>
        <w:gridCol w:w="1984"/>
      </w:tblGrid>
      <w:tr w:rsidR="002F616F" w:rsidTr="003051BD">
        <w:tc>
          <w:tcPr>
            <w:tcW w:w="2552" w:type="dxa"/>
            <w:tcBorders>
              <w:bottom w:val="single" w:sz="8" w:space="0" w:color="FFFFFF" w:themeColor="background1"/>
            </w:tcBorders>
            <w:shd w:val="clear" w:color="auto" w:fill="6F6652"/>
            <w:tcMar>
              <w:left w:w="57" w:type="dxa"/>
              <w:right w:w="57" w:type="dxa"/>
            </w:tcMar>
          </w:tcPr>
          <w:p w:rsidR="002F616F" w:rsidRDefault="002F616F" w:rsidP="003051BD">
            <w:pPr>
              <w:pStyle w:val="TableDataColumnHeading"/>
              <w:jc w:val="left"/>
            </w:pPr>
          </w:p>
        </w:tc>
        <w:tc>
          <w:tcPr>
            <w:tcW w:w="992" w:type="dxa"/>
            <w:tcBorders>
              <w:bottom w:val="single" w:sz="8" w:space="0" w:color="FFFFFF" w:themeColor="background1"/>
            </w:tcBorders>
            <w:shd w:val="clear" w:color="auto" w:fill="6F6652"/>
            <w:tcMar>
              <w:left w:w="57" w:type="dxa"/>
              <w:right w:w="57" w:type="dxa"/>
            </w:tcMar>
          </w:tcPr>
          <w:p w:rsidR="002F616F" w:rsidRDefault="002F616F" w:rsidP="003051BD">
            <w:pPr>
              <w:pStyle w:val="TableDataColumnHeading"/>
            </w:pPr>
            <w:r>
              <w:t>Households</w:t>
            </w:r>
          </w:p>
        </w:tc>
        <w:tc>
          <w:tcPr>
            <w:tcW w:w="4394" w:type="dxa"/>
            <w:gridSpan w:val="2"/>
            <w:tcBorders>
              <w:bottom w:val="single" w:sz="8" w:space="0" w:color="FFFFFF" w:themeColor="background1"/>
            </w:tcBorders>
            <w:shd w:val="clear" w:color="auto" w:fill="6F6652"/>
            <w:tcMar>
              <w:left w:w="57" w:type="dxa"/>
              <w:right w:w="57" w:type="dxa"/>
            </w:tcMar>
          </w:tcPr>
          <w:p w:rsidR="002F616F" w:rsidRDefault="002F616F" w:rsidP="003051BD">
            <w:pPr>
              <w:pStyle w:val="TableDataColumnHeading"/>
            </w:pPr>
            <w:r>
              <w:t xml:space="preserve">Change in mean disposable income </w:t>
            </w:r>
          </w:p>
        </w:tc>
      </w:tr>
      <w:tr w:rsidR="002F616F" w:rsidTr="003051BD">
        <w:tc>
          <w:tcPr>
            <w:tcW w:w="2552" w:type="dxa"/>
            <w:tcBorders>
              <w:top w:val="single" w:sz="8" w:space="0" w:color="FFFFFF" w:themeColor="background1"/>
              <w:bottom w:val="single" w:sz="8" w:space="0" w:color="FFFFFF" w:themeColor="background1"/>
            </w:tcBorders>
            <w:shd w:val="clear" w:color="auto" w:fill="auto"/>
            <w:tcMar>
              <w:left w:w="57" w:type="dxa"/>
              <w:right w:w="57" w:type="dxa"/>
            </w:tcMar>
          </w:tcPr>
          <w:p w:rsidR="002F616F" w:rsidRDefault="002F616F" w:rsidP="003051BD">
            <w:pPr>
              <w:pStyle w:val="TableUnit"/>
              <w:jc w:val="left"/>
            </w:pPr>
          </w:p>
        </w:tc>
        <w:tc>
          <w:tcPr>
            <w:tcW w:w="992" w:type="dxa"/>
            <w:tcBorders>
              <w:top w:val="single" w:sz="8" w:space="0" w:color="FFFFFF" w:themeColor="background1"/>
              <w:bottom w:val="single" w:sz="8" w:space="0" w:color="FFFFFF" w:themeColor="background1"/>
            </w:tcBorders>
            <w:shd w:val="clear" w:color="auto" w:fill="auto"/>
            <w:tcMar>
              <w:left w:w="57" w:type="dxa"/>
              <w:right w:w="57" w:type="dxa"/>
            </w:tcMar>
          </w:tcPr>
          <w:p w:rsidR="002F616F" w:rsidRDefault="002F616F" w:rsidP="003051BD">
            <w:pPr>
              <w:pStyle w:val="TableUnit"/>
            </w:pPr>
            <w:r>
              <w:t>million</w:t>
            </w:r>
          </w:p>
        </w:tc>
        <w:tc>
          <w:tcPr>
            <w:tcW w:w="2410" w:type="dxa"/>
            <w:tcBorders>
              <w:top w:val="single" w:sz="8" w:space="0" w:color="FFFFFF" w:themeColor="background1"/>
              <w:bottom w:val="single" w:sz="8" w:space="0" w:color="FFFFFF" w:themeColor="background1"/>
            </w:tcBorders>
            <w:shd w:val="clear" w:color="auto" w:fill="auto"/>
            <w:tcMar>
              <w:left w:w="57" w:type="dxa"/>
              <w:right w:w="57" w:type="dxa"/>
            </w:tcMar>
          </w:tcPr>
          <w:p w:rsidR="002F616F" w:rsidRDefault="00FA45C6" w:rsidP="003051BD">
            <w:pPr>
              <w:pStyle w:val="TableUnit"/>
            </w:pPr>
            <w:r>
              <w:t>$</w:t>
            </w:r>
          </w:p>
        </w:tc>
        <w:tc>
          <w:tcPr>
            <w:tcW w:w="1984" w:type="dxa"/>
            <w:tcBorders>
              <w:top w:val="single" w:sz="8" w:space="0" w:color="FFFFFF" w:themeColor="background1"/>
              <w:bottom w:val="single" w:sz="8" w:space="0" w:color="FFFFFF" w:themeColor="background1"/>
            </w:tcBorders>
            <w:shd w:val="clear" w:color="auto" w:fill="auto"/>
            <w:tcMar>
              <w:left w:w="57" w:type="dxa"/>
              <w:right w:w="57" w:type="dxa"/>
            </w:tcMar>
          </w:tcPr>
          <w:p w:rsidR="002F616F" w:rsidRDefault="00FA45C6" w:rsidP="003051BD">
            <w:pPr>
              <w:pStyle w:val="TableUnit"/>
            </w:pPr>
            <w:r>
              <w:t>per cent</w:t>
            </w:r>
          </w:p>
        </w:tc>
      </w:tr>
      <w:tr w:rsidR="002F616F" w:rsidTr="003051BD">
        <w:tc>
          <w:tcPr>
            <w:tcW w:w="255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0954FB">
            <w:pPr>
              <w:pStyle w:val="TableDataEntries"/>
              <w:jc w:val="left"/>
            </w:pPr>
            <w:r>
              <w:t>Income quintile 1</w:t>
            </w:r>
            <w:r w:rsidR="00FE1F43">
              <w:t xml:space="preserve">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0954FB">
            <w:pPr>
              <w:pStyle w:val="TableDataEntries"/>
            </w:pPr>
            <w:r>
              <w:t>2.5</w:t>
            </w:r>
          </w:p>
        </w:tc>
        <w:tc>
          <w:tcPr>
            <w:tcW w:w="24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0954FB">
            <w:pPr>
              <w:pStyle w:val="TableDataEntries"/>
            </w:pPr>
            <w:r>
              <w:t>294</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0954FB">
            <w:pPr>
              <w:pStyle w:val="TableDataEntries"/>
            </w:pPr>
            <w:r>
              <w:t>-1.3</w:t>
            </w:r>
          </w:p>
        </w:tc>
      </w:tr>
      <w:tr w:rsidR="002F616F" w:rsidTr="003051BD">
        <w:tc>
          <w:tcPr>
            <w:tcW w:w="255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jc w:val="left"/>
            </w:pPr>
            <w:r>
              <w:t>Income quintile 2</w:t>
            </w:r>
            <w:r w:rsidR="00FE1F43">
              <w:t xml:space="preserve">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pPr>
            <w:r>
              <w:t>2.4</w:t>
            </w:r>
          </w:p>
        </w:tc>
        <w:tc>
          <w:tcPr>
            <w:tcW w:w="24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pPr>
            <w:r>
              <w:t>621</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pPr>
            <w:r>
              <w:t>-0.6</w:t>
            </w:r>
          </w:p>
        </w:tc>
      </w:tr>
      <w:tr w:rsidR="002F616F" w:rsidTr="003051BD">
        <w:tc>
          <w:tcPr>
            <w:tcW w:w="255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jc w:val="left"/>
            </w:pPr>
            <w:r>
              <w:t>Income quintile 3</w:t>
            </w:r>
            <w:r w:rsidR="00FE1F43">
              <w:t xml:space="preserve">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pPr>
            <w:r>
              <w:t>2.5</w:t>
            </w:r>
          </w:p>
        </w:tc>
        <w:tc>
          <w:tcPr>
            <w:tcW w:w="24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pPr>
            <w:r>
              <w:t>924</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pPr>
            <w:r>
              <w:t>-0.7</w:t>
            </w:r>
          </w:p>
        </w:tc>
      </w:tr>
      <w:tr w:rsidR="002F616F" w:rsidTr="003051BD">
        <w:tc>
          <w:tcPr>
            <w:tcW w:w="255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jc w:val="left"/>
            </w:pPr>
            <w:r>
              <w:t>Income quintile 4</w:t>
            </w:r>
            <w:r w:rsidR="00FE1F43">
              <w:t xml:space="preserve">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pPr>
            <w:r>
              <w:t>2.5</w:t>
            </w:r>
          </w:p>
        </w:tc>
        <w:tc>
          <w:tcPr>
            <w:tcW w:w="24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pPr>
            <w:r>
              <w:t>1 345</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pPr>
            <w:r>
              <w:t>-0.2</w:t>
            </w:r>
          </w:p>
        </w:tc>
      </w:tr>
      <w:tr w:rsidR="002F616F" w:rsidTr="003051BD">
        <w:tc>
          <w:tcPr>
            <w:tcW w:w="255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jc w:val="left"/>
            </w:pPr>
            <w:r>
              <w:t>Income quintile 5</w:t>
            </w:r>
            <w:r w:rsidR="00FE1F43">
              <w:t xml:space="preserve"> </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pPr>
            <w:r>
              <w:t>2.5</w:t>
            </w:r>
          </w:p>
        </w:tc>
        <w:tc>
          <w:tcPr>
            <w:tcW w:w="241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pPr>
            <w:r>
              <w:t>2 490</w:t>
            </w:r>
          </w:p>
        </w:tc>
        <w:tc>
          <w:tcPr>
            <w:tcW w:w="198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2F616F" w:rsidRDefault="002F616F" w:rsidP="003051BD">
            <w:pPr>
              <w:pStyle w:val="TableDataEntries"/>
            </w:pPr>
            <w:r>
              <w:t>-0.3</w:t>
            </w:r>
          </w:p>
        </w:tc>
      </w:tr>
      <w:tr w:rsidR="002F616F" w:rsidTr="003051BD">
        <w:tc>
          <w:tcPr>
            <w:tcW w:w="2552"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F616F" w:rsidRPr="000954FB" w:rsidRDefault="002F616F" w:rsidP="003051BD">
            <w:pPr>
              <w:pStyle w:val="TableDataEntries"/>
              <w:jc w:val="left"/>
              <w:rPr>
                <w:rFonts w:ascii="Franklin Gothic Demi" w:hAnsi="Franklin Gothic Demi"/>
              </w:rPr>
            </w:pPr>
            <w:r w:rsidRPr="000954FB">
              <w:rPr>
                <w:rFonts w:ascii="Franklin Gothic Demi" w:hAnsi="Franklin Gothic Demi"/>
              </w:rPr>
              <w:t xml:space="preserve">Total </w:t>
            </w:r>
          </w:p>
        </w:tc>
        <w:tc>
          <w:tcPr>
            <w:tcW w:w="992"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F616F" w:rsidRPr="000954FB" w:rsidRDefault="002F616F" w:rsidP="003051BD">
            <w:pPr>
              <w:pStyle w:val="TableDataEntries"/>
              <w:rPr>
                <w:rFonts w:ascii="Franklin Gothic Demi" w:hAnsi="Franklin Gothic Demi"/>
              </w:rPr>
            </w:pPr>
            <w:r w:rsidRPr="000954FB">
              <w:rPr>
                <w:rFonts w:ascii="Franklin Gothic Demi" w:hAnsi="Franklin Gothic Demi"/>
              </w:rPr>
              <w:t>12.2</w:t>
            </w:r>
          </w:p>
        </w:tc>
        <w:tc>
          <w:tcPr>
            <w:tcW w:w="2410"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F616F" w:rsidRPr="000954FB" w:rsidRDefault="002F616F" w:rsidP="003051BD">
            <w:pPr>
              <w:pStyle w:val="TableDataEntries"/>
              <w:rPr>
                <w:rFonts w:ascii="Franklin Gothic Demi" w:hAnsi="Franklin Gothic Demi"/>
              </w:rPr>
            </w:pPr>
            <w:r w:rsidRPr="000954FB">
              <w:rPr>
                <w:rFonts w:ascii="Franklin Gothic Demi" w:hAnsi="Franklin Gothic Demi"/>
              </w:rPr>
              <w:t>1 134</w:t>
            </w:r>
          </w:p>
        </w:tc>
        <w:tc>
          <w:tcPr>
            <w:tcW w:w="1984" w:type="dxa"/>
            <w:tcBorders>
              <w:top w:val="single" w:sz="8" w:space="0" w:color="FFFFFF" w:themeColor="background1"/>
              <w:bottom w:val="single" w:sz="6" w:space="0" w:color="6F6652"/>
            </w:tcBorders>
            <w:shd w:val="clear" w:color="auto" w:fill="C2DADB" w:themeFill="accent6" w:themeFillTint="99"/>
            <w:tcMar>
              <w:left w:w="57" w:type="dxa"/>
              <w:right w:w="57" w:type="dxa"/>
            </w:tcMar>
          </w:tcPr>
          <w:p w:rsidR="002F616F" w:rsidRPr="000954FB" w:rsidRDefault="002F616F" w:rsidP="003051BD">
            <w:pPr>
              <w:pStyle w:val="TableDataEntries"/>
              <w:rPr>
                <w:rFonts w:ascii="Franklin Gothic Demi" w:hAnsi="Franklin Gothic Demi"/>
              </w:rPr>
            </w:pPr>
            <w:r w:rsidRPr="000954FB">
              <w:rPr>
                <w:rFonts w:ascii="Franklin Gothic Demi" w:hAnsi="Franklin Gothic Demi"/>
              </w:rPr>
              <w:t>-0.4</w:t>
            </w:r>
          </w:p>
        </w:tc>
      </w:tr>
    </w:tbl>
    <w:p w:rsidR="002F616F" w:rsidRDefault="002F616F" w:rsidP="002F616F">
      <w:pPr>
        <w:pStyle w:val="Source"/>
      </w:pPr>
      <w:r>
        <w:rPr>
          <w:i/>
        </w:rPr>
        <w:t>Source</w:t>
      </w:r>
      <w:r w:rsidRPr="00E4232C">
        <w:rPr>
          <w:i/>
        </w:rPr>
        <w:t>:</w:t>
      </w:r>
      <w:r>
        <w:rPr>
          <w:i/>
        </w:rPr>
        <w:t xml:space="preserve"> </w:t>
      </w:r>
      <w:r>
        <w:t xml:space="preserve">NATSEM </w:t>
      </w:r>
      <w:r w:rsidR="00956657">
        <w:t>Budget</w:t>
      </w:r>
      <w:r>
        <w:t xml:space="preserve"> 2014-15 Analysis </w:t>
      </w:r>
    </w:p>
    <w:p w:rsidR="002F616F" w:rsidRPr="002F616F" w:rsidRDefault="002F616F" w:rsidP="002F616F">
      <w:pPr>
        <w:pStyle w:val="BodyText"/>
      </w:pPr>
    </w:p>
    <w:p w:rsidR="008F54CE" w:rsidRDefault="008F54CE" w:rsidP="00845AAE">
      <w:pPr>
        <w:pStyle w:val="BodyText"/>
        <w:sectPr w:rsidR="008F54CE" w:rsidSect="00066AD5">
          <w:headerReference w:type="even" r:id="rId35"/>
          <w:headerReference w:type="default" r:id="rId36"/>
          <w:footerReference w:type="even" r:id="rId37"/>
          <w:footerReference w:type="default" r:id="rId38"/>
          <w:pgSz w:w="11906" w:h="16838" w:code="9"/>
          <w:pgMar w:top="2268" w:right="1701" w:bottom="1418" w:left="2268" w:header="680" w:footer="680" w:gutter="0"/>
          <w:pgNumType w:start="1"/>
          <w:cols w:space="708"/>
          <w:docGrid w:linePitch="360"/>
        </w:sectPr>
      </w:pPr>
    </w:p>
    <w:p w:rsidR="008F54CE" w:rsidRPr="008D4164" w:rsidRDefault="008F54CE" w:rsidP="008F54CE">
      <w:pPr>
        <w:pStyle w:val="Heading6"/>
        <w:spacing w:after="840"/>
      </w:pPr>
      <w:bookmarkStart w:id="1045" w:name="_Toc358813436"/>
      <w:bookmarkStart w:id="1046" w:name="_Toc390427322"/>
      <w:r>
        <w:lastRenderedPageBreak/>
        <w:t>Triple bottom line analysis of key Budget initiatives</w:t>
      </w:r>
      <w:bookmarkEnd w:id="1045"/>
      <w:bookmarkEnd w:id="1046"/>
    </w:p>
    <w:p w:rsidR="00FE1F43" w:rsidRDefault="00B40B86" w:rsidP="00FE1F43">
      <w:pPr>
        <w:pStyle w:val="Caption"/>
      </w:pPr>
      <w:r w:rsidRPr="00695C93">
        <w:fldChar w:fldCharType="begin"/>
      </w:r>
      <w:r w:rsidR="00FE1F43" w:rsidRPr="00695C93">
        <w:instrText xml:space="preserve"> IF 1 = 1 "</w:instrText>
      </w:r>
      <w:r w:rsidRPr="00695C93">
        <w:fldChar w:fldCharType="begin"/>
      </w:r>
      <w:r w:rsidR="00FE1F43" w:rsidRPr="00695C93">
        <w:instrText xml:space="preserve"> IF </w:instrText>
      </w:r>
      <w:fldSimple w:instr=" STYLEREF &quot;Heading 6&quot; \l \n ">
        <w:r w:rsidR="00D733F1">
          <w:rPr>
            <w:noProof/>
          </w:rPr>
          <w:instrText>A</w:instrText>
        </w:r>
      </w:fldSimple>
      <w:r w:rsidR="00FE1F43" w:rsidRPr="00695C93">
        <w:instrText xml:space="preserve"> = 0 "</w:instrText>
      </w:r>
      <w:r w:rsidRPr="00695C93">
        <w:fldChar w:fldCharType="begin"/>
      </w:r>
      <w:r w:rsidR="00FE1F43" w:rsidRPr="00695C93">
        <w:instrText xml:space="preserve"> IF </w:instrText>
      </w:r>
      <w:fldSimple w:instr=" STYLEREF &quot;Heading 1&quot; \l \n ">
        <w:r w:rsidR="00FE1F43">
          <w:rPr>
            <w:noProof/>
          </w:rPr>
          <w:instrText>0</w:instrText>
        </w:r>
      </w:fldSimple>
      <w:r w:rsidR="00FE1F43" w:rsidRPr="00695C93">
        <w:instrText xml:space="preserve"> = 0 "" "</w:instrText>
      </w:r>
      <w:fldSimple w:instr=" STYLEREF &quot;Heading 1&quot; \l \n ">
        <w:r w:rsidR="00FE1F43">
          <w:rPr>
            <w:noProof/>
          </w:rPr>
          <w:instrText>2</w:instrText>
        </w:r>
      </w:fldSimple>
      <w:r w:rsidR="00FE1F43" w:rsidRPr="00695C93">
        <w:instrText xml:space="preserve">." </w:instrText>
      </w:r>
      <w:r w:rsidRPr="00695C93">
        <w:fldChar w:fldCharType="end"/>
      </w:r>
      <w:r w:rsidR="00FE1F43" w:rsidRPr="00695C93">
        <w:instrText>" "</w:instrText>
      </w:r>
      <w:fldSimple w:instr=" STYLEREF &quot;Heading 6&quot; \l \n ">
        <w:r w:rsidR="00D733F1">
          <w:rPr>
            <w:noProof/>
          </w:rPr>
          <w:instrText>A</w:instrText>
        </w:r>
      </w:fldSimple>
      <w:r w:rsidR="00FE1F43" w:rsidRPr="00695C93">
        <w:instrText xml:space="preserve">." </w:instrText>
      </w:r>
      <w:r w:rsidRPr="00695C93">
        <w:fldChar w:fldCharType="separate"/>
      </w:r>
      <w:r w:rsidR="00D733F1">
        <w:rPr>
          <w:noProof/>
        </w:rPr>
        <w:instrText>A</w:instrText>
      </w:r>
      <w:r w:rsidR="00D733F1" w:rsidRPr="00695C93">
        <w:rPr>
          <w:noProof/>
        </w:rPr>
        <w:instrText>.</w:instrText>
      </w:r>
      <w:r w:rsidRPr="00695C93">
        <w:fldChar w:fldCharType="end"/>
      </w:r>
      <w:r w:rsidRPr="00695C93">
        <w:fldChar w:fldCharType="begin"/>
      </w:r>
      <w:r w:rsidR="00FE1F43" w:rsidRPr="00695C93">
        <w:instrText xml:space="preserve"> SEQ Item \* ARABIC \s </w:instrText>
      </w:r>
      <w:r w:rsidRPr="00695C93">
        <w:fldChar w:fldCharType="begin"/>
      </w:r>
      <w:r w:rsidR="00FE1F43" w:rsidRPr="00695C93">
        <w:instrText xml:space="preserve"> IF </w:instrText>
      </w:r>
      <w:fldSimple w:instr=" STYLEREF &quot;Heading 6&quot; \l \n ">
        <w:r w:rsidR="00D733F1">
          <w:rPr>
            <w:noProof/>
          </w:rPr>
          <w:instrText>A</w:instrText>
        </w:r>
      </w:fldSimple>
      <w:r w:rsidR="00FE1F43" w:rsidRPr="00695C93">
        <w:instrText xml:space="preserve"> = 0 "</w:instrText>
      </w:r>
      <w:r w:rsidRPr="00695C93">
        <w:fldChar w:fldCharType="begin"/>
      </w:r>
      <w:r w:rsidR="00FE1F43" w:rsidRPr="00695C93">
        <w:instrText xml:space="preserve"> IF </w:instrText>
      </w:r>
      <w:fldSimple w:instr=" STYLEREF &quot;Heading 1&quot; \l \n ">
        <w:r w:rsidR="00FE1F43">
          <w:rPr>
            <w:noProof/>
          </w:rPr>
          <w:instrText>0</w:instrText>
        </w:r>
      </w:fldSimple>
      <w:r w:rsidR="00FE1F43" w:rsidRPr="00695C93">
        <w:instrText xml:space="preserve"> = 0 "" "1" </w:instrText>
      </w:r>
      <w:r w:rsidRPr="00695C93">
        <w:fldChar w:fldCharType="end"/>
      </w:r>
      <w:r w:rsidR="00FE1F43" w:rsidRPr="00695C93">
        <w:instrText xml:space="preserve">" "6" </w:instrText>
      </w:r>
      <w:r w:rsidRPr="00695C93">
        <w:fldChar w:fldCharType="separate"/>
      </w:r>
      <w:r w:rsidR="00D733F1" w:rsidRPr="00695C93">
        <w:rPr>
          <w:noProof/>
        </w:rPr>
        <w:instrText>6</w:instrText>
      </w:r>
      <w:r w:rsidRPr="00695C93">
        <w:fldChar w:fldCharType="end"/>
      </w:r>
      <w:r w:rsidR="00FE1F43" w:rsidRPr="00695C93">
        <w:instrText xml:space="preserve"> </w:instrText>
      </w:r>
      <w:r w:rsidRPr="00695C93">
        <w:fldChar w:fldCharType="separate"/>
      </w:r>
      <w:r w:rsidR="00D733F1">
        <w:rPr>
          <w:noProof/>
        </w:rPr>
        <w:instrText>1</w:instrText>
      </w:r>
      <w:r w:rsidRPr="00695C93">
        <w:fldChar w:fldCharType="end"/>
      </w:r>
      <w:r w:rsidR="00FE1F43" w:rsidRPr="00695C93">
        <w:instrText xml:space="preserve">" "" </w:instrText>
      </w:r>
      <w:r w:rsidRPr="00695C93">
        <w:fldChar w:fldCharType="separate"/>
      </w:r>
      <w:bookmarkStart w:id="1047" w:name="_Caption0059"/>
      <w:bookmarkStart w:id="1048" w:name="_Caption3222"/>
      <w:bookmarkStart w:id="1049" w:name="_Caption4211"/>
      <w:bookmarkStart w:id="1050" w:name="_Caption2256"/>
      <w:bookmarkStart w:id="1051" w:name="_Caption3922"/>
      <w:bookmarkStart w:id="1052" w:name="_Caption8954"/>
      <w:bookmarkStart w:id="1053" w:name="_Caption5401"/>
      <w:bookmarkStart w:id="1054" w:name="_Caption7301"/>
      <w:bookmarkStart w:id="1055" w:name="_Caption7187"/>
      <w:bookmarkStart w:id="1056" w:name="_Caption6858"/>
      <w:bookmarkStart w:id="1057" w:name="_Caption5955"/>
      <w:bookmarkStart w:id="1058" w:name="_Caption8689"/>
      <w:bookmarkStart w:id="1059" w:name="_Caption7243"/>
      <w:bookmarkStart w:id="1060" w:name="_Caption8260"/>
      <w:bookmarkStart w:id="1061" w:name="_Caption1412"/>
      <w:bookmarkStart w:id="1062" w:name="_Caption9848"/>
      <w:bookmarkStart w:id="1063" w:name="_Caption6555"/>
      <w:bookmarkStart w:id="1064" w:name="_Caption9071"/>
      <w:bookmarkStart w:id="1065" w:name="_Caption8255"/>
      <w:bookmarkStart w:id="1066" w:name="_Caption7308"/>
      <w:bookmarkStart w:id="1067" w:name="_Caption6663"/>
      <w:bookmarkStart w:id="1068" w:name="_Caption5138"/>
      <w:bookmarkStart w:id="1069" w:name="_Caption6282"/>
      <w:bookmarkStart w:id="1070" w:name="_Caption3534"/>
      <w:bookmarkStart w:id="1071" w:name="_Caption6920"/>
      <w:bookmarkStart w:id="1072" w:name="_Caption4809"/>
      <w:bookmarkStart w:id="1073" w:name="_Caption1175"/>
      <w:bookmarkStart w:id="1074" w:name="_Caption5123"/>
      <w:bookmarkStart w:id="1075" w:name="_Caption6412"/>
      <w:bookmarkStart w:id="1076" w:name="_Caption0199"/>
      <w:bookmarkStart w:id="1077" w:name="_Caption1134"/>
      <w:bookmarkStart w:id="1078" w:name="_Toc390427355"/>
      <w:r w:rsidR="00D733F1">
        <w:rPr>
          <w:noProof/>
        </w:rPr>
        <w:t>A</w:t>
      </w:r>
      <w:r w:rsidR="00D733F1" w:rsidRPr="00695C93">
        <w:rPr>
          <w:noProof/>
        </w:rPr>
        <w:t>.</w:t>
      </w:r>
      <w:r w:rsidR="00D733F1">
        <w:rPr>
          <w:noProof/>
        </w:rPr>
        <w:t>1</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r w:rsidRPr="00695C93">
        <w:fldChar w:fldCharType="end"/>
      </w:r>
      <w:r w:rsidR="00FE1F43" w:rsidRPr="00695C93">
        <w:tab/>
      </w:r>
      <w:r w:rsidR="00FE1F43">
        <w:t>Triple bottom line analysis of key Budget initiatives</w:t>
      </w:r>
      <w:bookmarkEnd w:id="1078"/>
    </w:p>
    <w:tbl>
      <w:tblPr>
        <w:tblW w:w="13470" w:type="dxa"/>
        <w:tblInd w:w="57" w:type="dxa"/>
        <w:tblBorders>
          <w:top w:val="single" w:sz="4" w:space="0" w:color="6F6652"/>
          <w:left w:val="single" w:sz="4" w:space="0" w:color="6F6652"/>
          <w:bottom w:val="single" w:sz="4" w:space="0" w:color="6F6652"/>
          <w:right w:val="single" w:sz="4" w:space="0" w:color="6F6652"/>
          <w:insideH w:val="single" w:sz="4" w:space="0" w:color="6F6652"/>
          <w:insideV w:val="single" w:sz="4" w:space="0" w:color="6F6652"/>
        </w:tblBorders>
        <w:tblLayout w:type="fixed"/>
        <w:tblLook w:val="04A0"/>
      </w:tblPr>
      <w:tblGrid>
        <w:gridCol w:w="3544"/>
        <w:gridCol w:w="2761"/>
        <w:gridCol w:w="573"/>
        <w:gridCol w:w="2723"/>
        <w:gridCol w:w="573"/>
        <w:gridCol w:w="2723"/>
        <w:gridCol w:w="573"/>
      </w:tblGrid>
      <w:tr w:rsidR="008F54CE" w:rsidTr="00911DED">
        <w:trPr>
          <w:tblHeader/>
        </w:trPr>
        <w:tc>
          <w:tcPr>
            <w:tcW w:w="3544" w:type="dxa"/>
            <w:tcBorders>
              <w:top w:val="single" w:sz="4" w:space="0" w:color="6F6652"/>
              <w:left w:val="single" w:sz="4" w:space="0" w:color="6F6652"/>
              <w:bottom w:val="single" w:sz="4" w:space="0" w:color="6F6652"/>
              <w:right w:val="single" w:sz="4" w:space="0" w:color="FFFFFF" w:themeColor="background1"/>
            </w:tcBorders>
            <w:shd w:val="clear" w:color="auto" w:fill="6F6652"/>
            <w:tcMar>
              <w:top w:w="0" w:type="dxa"/>
              <w:left w:w="57" w:type="dxa"/>
              <w:bottom w:w="0" w:type="dxa"/>
              <w:right w:w="57" w:type="dxa"/>
            </w:tcMar>
            <w:hideMark/>
          </w:tcPr>
          <w:p w:rsidR="008F54CE" w:rsidRDefault="008F54CE" w:rsidP="00911DED">
            <w:pPr>
              <w:pStyle w:val="TableTextColumnHeading"/>
            </w:pPr>
            <w:r>
              <w:t>Budget Measure</w:t>
            </w:r>
          </w:p>
        </w:tc>
        <w:tc>
          <w:tcPr>
            <w:tcW w:w="2761" w:type="dxa"/>
            <w:tcBorders>
              <w:top w:val="single" w:sz="4" w:space="0" w:color="6F6652"/>
              <w:left w:val="single" w:sz="4" w:space="0" w:color="FFFFFF" w:themeColor="background1"/>
              <w:bottom w:val="single" w:sz="4" w:space="0" w:color="6F6652"/>
              <w:right w:val="single" w:sz="4" w:space="0" w:color="6F6652"/>
            </w:tcBorders>
            <w:shd w:val="clear" w:color="auto" w:fill="6F6652"/>
            <w:tcMar>
              <w:top w:w="0" w:type="dxa"/>
              <w:left w:w="57" w:type="dxa"/>
              <w:bottom w:w="0" w:type="dxa"/>
              <w:right w:w="57" w:type="dxa"/>
            </w:tcMar>
            <w:hideMark/>
          </w:tcPr>
          <w:p w:rsidR="008F54CE" w:rsidRDefault="008F54CE" w:rsidP="00911DED">
            <w:pPr>
              <w:pStyle w:val="TableTextColumnHeading"/>
            </w:pPr>
            <w:r>
              <w:t>Financial and economic impact</w:t>
            </w:r>
          </w:p>
        </w:tc>
        <w:tc>
          <w:tcPr>
            <w:tcW w:w="573" w:type="dxa"/>
            <w:tcBorders>
              <w:top w:val="single" w:sz="4" w:space="0" w:color="6F6652"/>
              <w:left w:val="single" w:sz="4" w:space="0" w:color="6F6652"/>
              <w:bottom w:val="single" w:sz="4" w:space="0" w:color="6F6652"/>
              <w:right w:val="single" w:sz="4" w:space="0" w:color="FFFFFF" w:themeColor="background1"/>
            </w:tcBorders>
            <w:shd w:val="clear" w:color="auto" w:fill="6F6652"/>
            <w:tcMar>
              <w:top w:w="0" w:type="dxa"/>
              <w:left w:w="57" w:type="dxa"/>
              <w:bottom w:w="0" w:type="dxa"/>
              <w:right w:w="57" w:type="dxa"/>
            </w:tcMar>
          </w:tcPr>
          <w:p w:rsidR="008F54CE" w:rsidRDefault="008F54CE" w:rsidP="00911DED">
            <w:pPr>
              <w:pStyle w:val="TableTextColumnHeading"/>
            </w:pPr>
          </w:p>
        </w:tc>
        <w:tc>
          <w:tcPr>
            <w:tcW w:w="2723" w:type="dxa"/>
            <w:tcBorders>
              <w:top w:val="single" w:sz="4" w:space="0" w:color="6F6652"/>
              <w:left w:val="single" w:sz="4" w:space="0" w:color="FFFFFF" w:themeColor="background1"/>
              <w:bottom w:val="single" w:sz="4" w:space="0" w:color="6F6652"/>
              <w:right w:val="single" w:sz="4" w:space="0" w:color="6F6652"/>
            </w:tcBorders>
            <w:shd w:val="clear" w:color="auto" w:fill="6F6652"/>
            <w:tcMar>
              <w:top w:w="0" w:type="dxa"/>
              <w:left w:w="57" w:type="dxa"/>
              <w:bottom w:w="0" w:type="dxa"/>
              <w:right w:w="57" w:type="dxa"/>
            </w:tcMar>
            <w:hideMark/>
          </w:tcPr>
          <w:p w:rsidR="008F54CE" w:rsidRDefault="008F54CE" w:rsidP="00911DED">
            <w:pPr>
              <w:pStyle w:val="TableTextColumnHeading"/>
            </w:pPr>
            <w:r>
              <w:t>Environmental impact</w:t>
            </w:r>
          </w:p>
        </w:tc>
        <w:tc>
          <w:tcPr>
            <w:tcW w:w="573" w:type="dxa"/>
            <w:tcBorders>
              <w:top w:val="single" w:sz="4" w:space="0" w:color="6F6652"/>
              <w:left w:val="single" w:sz="4" w:space="0" w:color="6F6652"/>
              <w:bottom w:val="single" w:sz="4" w:space="0" w:color="6F6652"/>
              <w:right w:val="single" w:sz="4" w:space="0" w:color="FFFFFF" w:themeColor="background1"/>
            </w:tcBorders>
            <w:shd w:val="clear" w:color="auto" w:fill="6F6652"/>
            <w:tcMar>
              <w:top w:w="0" w:type="dxa"/>
              <w:left w:w="57" w:type="dxa"/>
              <w:bottom w:w="0" w:type="dxa"/>
              <w:right w:w="57" w:type="dxa"/>
            </w:tcMar>
          </w:tcPr>
          <w:p w:rsidR="008F54CE" w:rsidRDefault="008F54CE" w:rsidP="00911DED">
            <w:pPr>
              <w:pStyle w:val="TableTextColumnHeading"/>
            </w:pPr>
          </w:p>
        </w:tc>
        <w:tc>
          <w:tcPr>
            <w:tcW w:w="2723" w:type="dxa"/>
            <w:tcBorders>
              <w:top w:val="single" w:sz="4" w:space="0" w:color="6F6652"/>
              <w:left w:val="single" w:sz="4" w:space="0" w:color="FFFFFF" w:themeColor="background1"/>
              <w:bottom w:val="single" w:sz="4" w:space="0" w:color="6F6652"/>
              <w:right w:val="single" w:sz="4" w:space="0" w:color="6F6652"/>
            </w:tcBorders>
            <w:shd w:val="clear" w:color="auto" w:fill="6F6652"/>
            <w:tcMar>
              <w:top w:w="0" w:type="dxa"/>
              <w:left w:w="57" w:type="dxa"/>
              <w:bottom w:w="0" w:type="dxa"/>
              <w:right w:w="57" w:type="dxa"/>
            </w:tcMar>
            <w:hideMark/>
          </w:tcPr>
          <w:p w:rsidR="008F54CE" w:rsidRDefault="008F54CE" w:rsidP="00911DED">
            <w:pPr>
              <w:pStyle w:val="TableTextColumnHeading"/>
            </w:pPr>
            <w:r>
              <w:t>Social impact</w:t>
            </w:r>
          </w:p>
        </w:tc>
        <w:tc>
          <w:tcPr>
            <w:tcW w:w="573" w:type="dxa"/>
            <w:tcBorders>
              <w:top w:val="single" w:sz="4" w:space="0" w:color="6F6652"/>
              <w:left w:val="single" w:sz="4" w:space="0" w:color="6F6652"/>
              <w:bottom w:val="single" w:sz="4" w:space="0" w:color="6F6652"/>
              <w:right w:val="single" w:sz="4" w:space="0" w:color="6F6652"/>
            </w:tcBorders>
            <w:shd w:val="clear" w:color="auto" w:fill="6F6652"/>
            <w:tcMar>
              <w:top w:w="0" w:type="dxa"/>
              <w:left w:w="57" w:type="dxa"/>
              <w:bottom w:w="0" w:type="dxa"/>
              <w:right w:w="57" w:type="dxa"/>
            </w:tcMar>
          </w:tcPr>
          <w:p w:rsidR="008F54CE" w:rsidRDefault="008F54CE" w:rsidP="00911DED">
            <w:pPr>
              <w:pStyle w:val="TableTextColumnHeading"/>
            </w:pPr>
          </w:p>
        </w:tc>
      </w:tr>
      <w:tr w:rsidR="008F54CE" w:rsidTr="00911DED">
        <w:tc>
          <w:tcPr>
            <w:tcW w:w="3544" w:type="dxa"/>
            <w:tcBorders>
              <w:top w:val="single" w:sz="4" w:space="0" w:color="6F6652"/>
              <w:left w:val="single" w:sz="4" w:space="0" w:color="6F6652"/>
              <w:bottom w:val="single" w:sz="4" w:space="0" w:color="6F6652"/>
              <w:right w:val="nil"/>
            </w:tcBorders>
            <w:shd w:val="clear" w:color="auto" w:fill="C6BFAB"/>
            <w:tcMar>
              <w:top w:w="0" w:type="dxa"/>
              <w:left w:w="57" w:type="dxa"/>
              <w:bottom w:w="0" w:type="dxa"/>
              <w:right w:w="57" w:type="dxa"/>
            </w:tcMar>
            <w:hideMark/>
          </w:tcPr>
          <w:p w:rsidR="008F54CE" w:rsidRDefault="008F54CE" w:rsidP="00911DED">
            <w:pPr>
              <w:spacing w:before="80" w:after="80"/>
              <w:rPr>
                <w:rFonts w:ascii="Franklin Gothic Demi" w:eastAsia="Times New Roman" w:hAnsi="Franklin Gothic Demi"/>
                <w:bCs/>
                <w:sz w:val="16"/>
                <w:szCs w:val="16"/>
                <w:lang w:eastAsia="en-US"/>
              </w:rPr>
            </w:pPr>
            <w:r>
              <w:rPr>
                <w:rFonts w:ascii="Franklin Gothic Demi" w:hAnsi="Franklin Gothic Demi"/>
                <w:bCs/>
                <w:sz w:val="16"/>
                <w:szCs w:val="16"/>
              </w:rPr>
              <w:t>Recurrent Initiatives</w:t>
            </w:r>
          </w:p>
        </w:tc>
        <w:tc>
          <w:tcPr>
            <w:tcW w:w="2761" w:type="dxa"/>
            <w:tcBorders>
              <w:top w:val="single" w:sz="4" w:space="0" w:color="6F6652"/>
              <w:left w:val="nil"/>
              <w:bottom w:val="single" w:sz="4" w:space="0" w:color="6F6652"/>
              <w:right w:val="nil"/>
            </w:tcBorders>
            <w:shd w:val="clear" w:color="auto" w:fill="C6BFAB"/>
            <w:tcMar>
              <w:top w:w="0" w:type="dxa"/>
              <w:left w:w="57" w:type="dxa"/>
              <w:bottom w:w="0" w:type="dxa"/>
              <w:right w:w="57" w:type="dxa"/>
            </w:tcMar>
          </w:tcPr>
          <w:p w:rsidR="008F54CE" w:rsidRDefault="008F54CE" w:rsidP="00911DED">
            <w:pPr>
              <w:pStyle w:val="TableUnit"/>
              <w:jc w:val="left"/>
            </w:pPr>
          </w:p>
        </w:tc>
        <w:tc>
          <w:tcPr>
            <w:tcW w:w="573" w:type="dxa"/>
            <w:tcBorders>
              <w:top w:val="single" w:sz="4" w:space="0" w:color="6F6652"/>
              <w:left w:val="nil"/>
              <w:bottom w:val="single" w:sz="4" w:space="0" w:color="6F6652"/>
              <w:right w:val="nil"/>
            </w:tcBorders>
            <w:shd w:val="clear" w:color="auto" w:fill="C6BFAB"/>
            <w:tcMar>
              <w:top w:w="0" w:type="dxa"/>
              <w:left w:w="57" w:type="dxa"/>
              <w:bottom w:w="0" w:type="dxa"/>
              <w:right w:w="57" w:type="dxa"/>
            </w:tcMar>
          </w:tcPr>
          <w:p w:rsidR="008F54CE" w:rsidRDefault="008F54CE" w:rsidP="00911DED">
            <w:pPr>
              <w:pStyle w:val="TableUnit"/>
              <w:jc w:val="center"/>
            </w:pPr>
          </w:p>
        </w:tc>
        <w:tc>
          <w:tcPr>
            <w:tcW w:w="2723" w:type="dxa"/>
            <w:tcBorders>
              <w:top w:val="single" w:sz="4" w:space="0" w:color="6F6652"/>
              <w:left w:val="nil"/>
              <w:bottom w:val="single" w:sz="4" w:space="0" w:color="6F6652"/>
              <w:right w:val="nil"/>
            </w:tcBorders>
            <w:shd w:val="clear" w:color="auto" w:fill="C6BFAB"/>
            <w:tcMar>
              <w:top w:w="0" w:type="dxa"/>
              <w:left w:w="57" w:type="dxa"/>
              <w:bottom w:w="0" w:type="dxa"/>
              <w:right w:w="57" w:type="dxa"/>
            </w:tcMar>
          </w:tcPr>
          <w:p w:rsidR="008F54CE" w:rsidRDefault="008F54CE" w:rsidP="00911DED">
            <w:pPr>
              <w:pStyle w:val="TableUnit"/>
              <w:jc w:val="left"/>
            </w:pPr>
          </w:p>
        </w:tc>
        <w:tc>
          <w:tcPr>
            <w:tcW w:w="573" w:type="dxa"/>
            <w:tcBorders>
              <w:top w:val="single" w:sz="4" w:space="0" w:color="6F6652"/>
              <w:left w:val="nil"/>
              <w:bottom w:val="single" w:sz="4" w:space="0" w:color="6F6652"/>
              <w:right w:val="nil"/>
            </w:tcBorders>
            <w:shd w:val="clear" w:color="auto" w:fill="C6BFAB"/>
            <w:tcMar>
              <w:top w:w="0" w:type="dxa"/>
              <w:left w:w="57" w:type="dxa"/>
              <w:bottom w:w="0" w:type="dxa"/>
              <w:right w:w="57" w:type="dxa"/>
            </w:tcMar>
          </w:tcPr>
          <w:p w:rsidR="008F54CE" w:rsidRDefault="008F54CE" w:rsidP="00911DED">
            <w:pPr>
              <w:pStyle w:val="TableUnit"/>
              <w:jc w:val="center"/>
            </w:pPr>
          </w:p>
        </w:tc>
        <w:tc>
          <w:tcPr>
            <w:tcW w:w="2723" w:type="dxa"/>
            <w:tcBorders>
              <w:top w:val="single" w:sz="4" w:space="0" w:color="6F6652"/>
              <w:left w:val="nil"/>
              <w:bottom w:val="single" w:sz="4" w:space="0" w:color="6F6652"/>
              <w:right w:val="nil"/>
            </w:tcBorders>
            <w:shd w:val="clear" w:color="auto" w:fill="C6BFAB"/>
            <w:tcMar>
              <w:top w:w="0" w:type="dxa"/>
              <w:left w:w="57" w:type="dxa"/>
              <w:bottom w:w="0" w:type="dxa"/>
              <w:right w:w="57" w:type="dxa"/>
            </w:tcMar>
          </w:tcPr>
          <w:p w:rsidR="008F54CE" w:rsidRDefault="008F54CE" w:rsidP="00911DED">
            <w:pPr>
              <w:pStyle w:val="TableUnit"/>
              <w:jc w:val="left"/>
            </w:pPr>
          </w:p>
        </w:tc>
        <w:tc>
          <w:tcPr>
            <w:tcW w:w="573" w:type="dxa"/>
            <w:tcBorders>
              <w:top w:val="single" w:sz="4" w:space="0" w:color="6F6652"/>
              <w:left w:val="nil"/>
              <w:bottom w:val="single" w:sz="4" w:space="0" w:color="6F6652"/>
              <w:right w:val="single" w:sz="4" w:space="0" w:color="6F6652"/>
            </w:tcBorders>
            <w:shd w:val="clear" w:color="auto" w:fill="C6BFAB"/>
            <w:tcMar>
              <w:top w:w="0" w:type="dxa"/>
              <w:left w:w="57" w:type="dxa"/>
              <w:bottom w:w="0" w:type="dxa"/>
              <w:right w:w="57" w:type="dxa"/>
            </w:tcMar>
          </w:tcPr>
          <w:p w:rsidR="008F54CE" w:rsidRDefault="008F54CE" w:rsidP="00911DED">
            <w:pPr>
              <w:pStyle w:val="TableUnit"/>
              <w:jc w:val="center"/>
            </w:pPr>
          </w:p>
        </w:tc>
      </w:tr>
      <w:tr w:rsidR="008F54CE" w:rsidTr="00911DED">
        <w:tc>
          <w:tcPr>
            <w:tcW w:w="3544" w:type="dxa"/>
            <w:tcBorders>
              <w:top w:val="single" w:sz="4" w:space="0" w:color="6F6652"/>
              <w:left w:val="single" w:sz="4" w:space="0" w:color="6F6652"/>
              <w:bottom w:val="single" w:sz="4" w:space="0" w:color="6F6652"/>
              <w:right w:val="nil"/>
            </w:tcBorders>
            <w:shd w:val="clear" w:color="auto" w:fill="C2DADB" w:themeFill="accent6" w:themeFillTint="99"/>
            <w:tcMar>
              <w:top w:w="0" w:type="dxa"/>
              <w:left w:w="57" w:type="dxa"/>
              <w:bottom w:w="0" w:type="dxa"/>
              <w:right w:w="57" w:type="dxa"/>
            </w:tcMar>
            <w:hideMark/>
          </w:tcPr>
          <w:p w:rsidR="008F54CE" w:rsidRDefault="008F54CE" w:rsidP="00911DED">
            <w:pPr>
              <w:spacing w:before="120" w:after="80" w:line="240" w:lineRule="auto"/>
              <w:rPr>
                <w:rFonts w:ascii="Franklin Gothic Book" w:eastAsia="Times New Roman" w:hAnsi="Franklin Gothic Book"/>
                <w:i/>
                <w:iCs/>
                <w:sz w:val="22"/>
                <w:lang w:eastAsia="en-US"/>
              </w:rPr>
            </w:pPr>
            <w:r>
              <w:rPr>
                <w:rFonts w:ascii="Franklin Gothic Book" w:hAnsi="Franklin Gothic Book"/>
                <w:bCs/>
                <w:sz w:val="16"/>
                <w:szCs w:val="16"/>
              </w:rPr>
              <w:t>Capital Metro Agency</w:t>
            </w:r>
          </w:p>
        </w:tc>
        <w:tc>
          <w:tcPr>
            <w:tcW w:w="2761"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Unit"/>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Unit"/>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Unit"/>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Unit"/>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hideMark/>
          </w:tcPr>
          <w:p w:rsidR="008F54CE" w:rsidRDefault="008F54CE" w:rsidP="00911DED">
            <w:pPr>
              <w:pStyle w:val="TableUnit"/>
              <w:spacing w:before="120" w:line="240" w:lineRule="auto"/>
              <w:jc w:val="left"/>
            </w:pPr>
          </w:p>
        </w:tc>
        <w:tc>
          <w:tcPr>
            <w:tcW w:w="573" w:type="dxa"/>
            <w:tcBorders>
              <w:top w:val="single" w:sz="4" w:space="0" w:color="6F6652"/>
              <w:left w:val="nil"/>
              <w:bottom w:val="single" w:sz="4" w:space="0" w:color="6F6652"/>
              <w:right w:val="single" w:sz="4" w:space="0" w:color="6F6652"/>
            </w:tcBorders>
            <w:shd w:val="clear" w:color="auto" w:fill="C2DADB" w:themeFill="accent6" w:themeFillTint="99"/>
            <w:tcMar>
              <w:top w:w="0" w:type="dxa"/>
              <w:left w:w="57" w:type="dxa"/>
              <w:bottom w:w="0" w:type="dxa"/>
              <w:right w:w="57" w:type="dxa"/>
            </w:tcMar>
          </w:tcPr>
          <w:p w:rsidR="008F54CE" w:rsidRDefault="008F54CE" w:rsidP="00911DED">
            <w:pPr>
              <w:pStyle w:val="TableUnit"/>
              <w:spacing w:before="120" w:line="240" w:lineRule="auto"/>
              <w:jc w:val="center"/>
            </w:pP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Capital Metro – scoping and facilitation</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DataEntries"/>
              <w:jc w:val="left"/>
            </w:pPr>
            <w:r>
              <w:t>$21.3 million to prepare the development of the project</w:t>
            </w:r>
          </w:p>
          <w:p w:rsidR="008F54CE" w:rsidRDefault="008F54CE" w:rsidP="00911DED">
            <w:pPr>
              <w:pStyle w:val="TableDataEntries"/>
              <w:jc w:val="left"/>
            </w:pPr>
            <w:r>
              <w:t>Further unspecified expenditure as part of the $1.3billion total allocation on high value projects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8F54CE" w:rsidP="00911DED">
            <w:pPr>
              <w:pStyle w:val="TableDataEntries"/>
              <w:spacing w:before="0" w:after="0" w:line="240" w:lineRule="auto"/>
              <w:jc w:val="center"/>
              <w:rPr>
                <w:sz w:val="28"/>
                <w:szCs w:val="28"/>
              </w:rPr>
            </w:pPr>
            <w:r w:rsidRPr="006F36E7">
              <w:rPr>
                <w:rFonts w:ascii="Symbol" w:hAnsi="Symbol" w:cs="Symbol"/>
                <w:color w:val="FF0000"/>
                <w:sz w:val="24"/>
                <w:szCs w:val="24"/>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r>
              <w:t>Light rail has low emissions per person relative to road transport.</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8F54CE" w:rsidP="00911DED">
            <w:pPr>
              <w:pStyle w:val="TableDataEntries"/>
              <w:jc w:val="center"/>
            </w:pPr>
            <w:r w:rsidRPr="006F36E7">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8F54CE" w:rsidP="00911DED">
            <w:pPr>
              <w:pStyle w:val="TableDataEntries"/>
              <w:jc w:val="left"/>
            </w:pPr>
            <w:r>
              <w:t>Promotes social equity and reduces social exclusion caused by distance to City.</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8F54CE" w:rsidP="00911DED">
            <w:pPr>
              <w:pStyle w:val="TableDataEntries"/>
              <w:jc w:val="center"/>
            </w:pPr>
            <w:r w:rsidRPr="006F36E7">
              <w:rPr>
                <w:rFonts w:ascii="Symbol" w:hAnsi="Symbol" w:cs="Symbol"/>
                <w:color w:val="92D050"/>
                <w:sz w:val="28"/>
                <w:szCs w:val="28"/>
                <w:lang w:eastAsia="en-AU"/>
              </w:rPr>
              <w:t></w:t>
            </w:r>
          </w:p>
        </w:tc>
      </w:tr>
      <w:tr w:rsidR="008F54CE" w:rsidTr="00911DED">
        <w:tc>
          <w:tcPr>
            <w:tcW w:w="3544" w:type="dxa"/>
            <w:tcBorders>
              <w:top w:val="single" w:sz="4" w:space="0" w:color="6F6652"/>
              <w:left w:val="single" w:sz="4" w:space="0" w:color="6F6652"/>
              <w:bottom w:val="single" w:sz="4" w:space="0" w:color="6F6652"/>
              <w:right w:val="nil"/>
            </w:tcBorders>
            <w:shd w:val="clear" w:color="auto" w:fill="C2DADB" w:themeFill="accent6" w:themeFillTint="99"/>
            <w:tcMar>
              <w:top w:w="0" w:type="dxa"/>
              <w:left w:w="57" w:type="dxa"/>
              <w:bottom w:w="0" w:type="dxa"/>
              <w:right w:w="57" w:type="dxa"/>
            </w:tcMar>
            <w:hideMark/>
          </w:tcPr>
          <w:p w:rsidR="008F54CE" w:rsidRDefault="008F54CE" w:rsidP="00911DED">
            <w:pPr>
              <w:spacing w:before="120" w:after="80" w:line="240" w:lineRule="auto"/>
              <w:rPr>
                <w:rFonts w:ascii="Franklin Gothic Book" w:eastAsia="Times New Roman" w:hAnsi="Franklin Gothic Book"/>
                <w:i/>
                <w:iCs/>
                <w:sz w:val="22"/>
                <w:lang w:eastAsia="en-US"/>
              </w:rPr>
            </w:pPr>
            <w:r>
              <w:rPr>
                <w:rFonts w:ascii="Franklin Gothic Book" w:hAnsi="Franklin Gothic Book"/>
                <w:bCs/>
                <w:sz w:val="16"/>
                <w:szCs w:val="16"/>
              </w:rPr>
              <w:t>Chief Minister and Treasury Directorate</w:t>
            </w:r>
          </w:p>
        </w:tc>
        <w:tc>
          <w:tcPr>
            <w:tcW w:w="2761"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single" w:sz="4" w:space="0" w:color="6F6652"/>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ACTPS Workers’ Compensation and Work Safety Improvement Plan</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DataEntries"/>
              <w:jc w:val="left"/>
            </w:pPr>
            <w:r>
              <w:t>$11.3 million on this Plan which will lower pressure on Workers’ Compensation costs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6F36E7">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8F54CE" w:rsidP="00911DED">
            <w:pPr>
              <w:pStyle w:val="TableDataEntries"/>
              <w:jc w:val="left"/>
            </w:pPr>
            <w:r>
              <w:t>Reduces costs of work injury to the individual</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6F36E7">
              <w:rPr>
                <w:rFonts w:ascii="Symbol" w:hAnsi="Symbol" w:cs="Symbol"/>
                <w:color w:val="92D050"/>
                <w:sz w:val="28"/>
                <w:szCs w:val="28"/>
                <w:lang w:eastAsia="en-AU"/>
              </w:rPr>
              <w:t></w:t>
            </w: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iConnect</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DataEntries"/>
              <w:jc w:val="left"/>
            </w:pPr>
            <w:r>
              <w:t>$6.1 million net cost to build a digital platform for service delivery and payments.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r>
              <w:t>Reduces requirements for physical locations (and thus resource use) and paper transactions.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8F54CE" w:rsidP="00911DED">
            <w:pPr>
              <w:pStyle w:val="TableDataEntries"/>
              <w:jc w:val="left"/>
            </w:pPr>
            <w:r>
              <w:t>Improves access for disabled ACT residents.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6F36E7">
              <w:rPr>
                <w:rFonts w:ascii="Symbol" w:hAnsi="Symbol" w:cs="Symbol"/>
                <w:color w:val="FFC000"/>
                <w:sz w:val="28"/>
                <w:szCs w:val="28"/>
                <w:lang w:eastAsia="en-AU"/>
              </w:rPr>
              <w:t></w:t>
            </w:r>
          </w:p>
        </w:tc>
      </w:tr>
      <w:tr w:rsidR="008F54CE" w:rsidTr="00911DED">
        <w:tc>
          <w:tcPr>
            <w:tcW w:w="3544" w:type="dxa"/>
            <w:tcBorders>
              <w:top w:val="single" w:sz="4" w:space="0" w:color="6F6652"/>
              <w:left w:val="single" w:sz="4" w:space="0" w:color="6F6652"/>
              <w:bottom w:val="single" w:sz="4" w:space="0" w:color="6F6652"/>
              <w:right w:val="nil"/>
            </w:tcBorders>
            <w:shd w:val="clear" w:color="auto" w:fill="C2DADB" w:themeFill="accent6" w:themeFillTint="99"/>
            <w:tcMar>
              <w:top w:w="0" w:type="dxa"/>
              <w:left w:w="57" w:type="dxa"/>
              <w:bottom w:w="0" w:type="dxa"/>
              <w:right w:w="57" w:type="dxa"/>
            </w:tcMar>
            <w:hideMark/>
          </w:tcPr>
          <w:p w:rsidR="008F54CE" w:rsidRDefault="008F54CE" w:rsidP="00911DED">
            <w:pPr>
              <w:spacing w:before="120" w:after="80" w:line="240" w:lineRule="auto"/>
              <w:rPr>
                <w:rFonts w:ascii="Franklin Gothic Book" w:eastAsia="Times New Roman" w:hAnsi="Franklin Gothic Book"/>
                <w:i/>
                <w:iCs/>
                <w:sz w:val="22"/>
                <w:lang w:eastAsia="en-US"/>
              </w:rPr>
            </w:pPr>
            <w:r>
              <w:rPr>
                <w:rFonts w:ascii="Franklin Gothic Book" w:hAnsi="Franklin Gothic Book"/>
                <w:bCs/>
                <w:sz w:val="16"/>
                <w:szCs w:val="16"/>
              </w:rPr>
              <w:t>Commerce and Works Directorate</w:t>
            </w:r>
          </w:p>
        </w:tc>
        <w:tc>
          <w:tcPr>
            <w:tcW w:w="2761"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single" w:sz="4" w:space="0" w:color="6F6652"/>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6F36E7" w:rsidRDefault="006F36E7"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ICT Transformation – Hybrid cloud computing</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6F36E7" w:rsidRDefault="006F36E7" w:rsidP="00911DED">
            <w:pPr>
              <w:pStyle w:val="TableDataEntries"/>
              <w:jc w:val="left"/>
            </w:pPr>
            <w:r>
              <w:t>$8.4 million in net savings from hybrid cloud infrastructure platform to reduce data storage and management costs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cente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6F36E7">
            <w:pPr>
              <w:jc w:val="center"/>
            </w:pPr>
            <w:r w:rsidRPr="00330CF0">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6F36E7">
            <w:pPr>
              <w:jc w:val="center"/>
            </w:pPr>
            <w:r w:rsidRPr="007A7CE4">
              <w:rPr>
                <w:rFonts w:ascii="Symbol" w:hAnsi="Symbol" w:cs="Symbol"/>
                <w:color w:val="FFC000"/>
                <w:sz w:val="28"/>
                <w:szCs w:val="28"/>
              </w:rPr>
              <w:t></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Revenue collection transformation</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DataEntries"/>
              <w:jc w:val="left"/>
            </w:pPr>
            <w:r>
              <w:t>$34 million in total expenditure on replacing the existing revenue collection systems providing for more efficient tax collection and reducing the risks of dated technology</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rPr>
                <w:rFonts w:ascii="Symbol" w:hAnsi="Symbol" w:cs="Symbol"/>
                <w:color w:val="6F6652"/>
                <w:sz w:val="28"/>
                <w:szCs w:val="28"/>
                <w:lang w:eastAsia="en-AU"/>
              </w:rP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330CF0">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7A7CE4">
              <w:rPr>
                <w:rFonts w:ascii="Symbol" w:hAnsi="Symbol" w:cs="Symbol"/>
                <w:color w:val="FFC000"/>
                <w:sz w:val="28"/>
                <w:szCs w:val="28"/>
              </w:rPr>
              <w:t></w:t>
            </w:r>
          </w:p>
        </w:tc>
      </w:tr>
      <w:tr w:rsidR="008F54CE" w:rsidTr="00911DED">
        <w:trPr>
          <w:trHeight w:val="359"/>
        </w:trPr>
        <w:tc>
          <w:tcPr>
            <w:tcW w:w="13470" w:type="dxa"/>
            <w:gridSpan w:val="7"/>
            <w:tcBorders>
              <w:top w:val="single" w:sz="4" w:space="0" w:color="6F6652"/>
              <w:left w:val="single" w:sz="4" w:space="0" w:color="6F6652"/>
              <w:bottom w:val="single" w:sz="4" w:space="0" w:color="6F6652"/>
              <w:right w:val="single" w:sz="4" w:space="0" w:color="6F6652"/>
            </w:tcBorders>
            <w:shd w:val="clear" w:color="auto" w:fill="C2DADB" w:themeFill="accent6" w:themeFillTint="99"/>
            <w:tcMar>
              <w:top w:w="0" w:type="dxa"/>
              <w:left w:w="57" w:type="dxa"/>
              <w:bottom w:w="0" w:type="dxa"/>
              <w:right w:w="57" w:type="dxa"/>
            </w:tcMar>
            <w:vAlign w:val="center"/>
          </w:tcPr>
          <w:p w:rsidR="008F54CE" w:rsidRDefault="008F54CE" w:rsidP="00911DED">
            <w:pPr>
              <w:pStyle w:val="TableDataEntries"/>
              <w:jc w:val="left"/>
              <w:rPr>
                <w:rFonts w:ascii="Symbol" w:hAnsi="Symbol" w:cs="Symbol"/>
                <w:color w:val="6F6652"/>
                <w:sz w:val="28"/>
                <w:szCs w:val="28"/>
                <w:lang w:eastAsia="en-AU"/>
              </w:rPr>
            </w:pPr>
            <w:r>
              <w:rPr>
                <w:bCs/>
                <w:szCs w:val="16"/>
              </w:rPr>
              <w:t>Economic Development Directorate</w:t>
            </w: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8F54CE" w:rsidRDefault="008F54CE"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Isabella Weir Spillway</w:t>
            </w:r>
            <w:r w:rsidR="00FE1F43">
              <w:rPr>
                <w:rFonts w:ascii="Franklin Gothic Book" w:hAnsi="Franklin Gothic Book"/>
                <w:sz w:val="16"/>
              </w:rPr>
              <w:t xml:space="preserve"> </w:t>
            </w:r>
            <w:r>
              <w:rPr>
                <w:rFonts w:ascii="Franklin Gothic Book" w:hAnsi="Franklin Gothic Book"/>
                <w:sz w:val="16"/>
              </w:rPr>
              <w:t>- upgrades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8F54CE" w:rsidRDefault="008F54CE" w:rsidP="00911DED">
            <w:pPr>
              <w:pStyle w:val="TableDataEntries"/>
              <w:jc w:val="left"/>
            </w:pPr>
            <w:r>
              <w:t>$10.2 million to upgrade the spillway and dam embankment</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rPr>
                <w:rFonts w:ascii="Symbol" w:hAnsi="Symbol" w:cs="Symbol"/>
                <w:color w:val="6F6652"/>
                <w:sz w:val="28"/>
                <w:szCs w:val="28"/>
                <w:lang w:eastAsia="en-AU"/>
              </w:rP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rPr>
                <w:rFonts w:ascii="Symbol" w:hAnsi="Symbol" w:cs="Symbol"/>
                <w:color w:val="F38464"/>
                <w:sz w:val="28"/>
                <w:szCs w:val="28"/>
                <w:lang w:eastAsia="en-AU"/>
              </w:rP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rPr>
                <w:rFonts w:ascii="Symbol" w:hAnsi="Symbol" w:cs="Symbol"/>
                <w:color w:val="6F6652"/>
                <w:sz w:val="28"/>
                <w:szCs w:val="28"/>
                <w:lang w:eastAsia="en-AU"/>
              </w:rPr>
            </w:pPr>
            <w:r w:rsidRPr="00330CF0">
              <w:rPr>
                <w:rFonts w:ascii="Symbol" w:hAnsi="Symbol" w:cs="Symbol"/>
                <w:color w:val="FFC000"/>
                <w:sz w:val="28"/>
                <w:szCs w:val="28"/>
                <w:lang w:eastAsia="en-AU"/>
              </w:rPr>
              <w:t></w:t>
            </w: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8F54CE" w:rsidRDefault="008F54CE"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Majura Parkway to Majura Road – Link road construction</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8F54CE" w:rsidRDefault="008F54CE" w:rsidP="00911DED">
            <w:pPr>
              <w:pStyle w:val="TableDataEntries"/>
              <w:jc w:val="left"/>
            </w:pPr>
            <w:r>
              <w:t>$10.0 million to construct a link road allowing access to commercial land sites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rPr>
                <w:rFonts w:ascii="Symbol" w:hAnsi="Symbol" w:cs="Symbol"/>
                <w:color w:val="F38464"/>
                <w:sz w:val="28"/>
                <w:szCs w:val="28"/>
                <w:lang w:eastAsia="en-AU"/>
              </w:rP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rPr>
                <w:rFonts w:ascii="Symbol" w:hAnsi="Symbol" w:cs="Symbol"/>
                <w:color w:val="F38464"/>
                <w:sz w:val="28"/>
                <w:szCs w:val="28"/>
                <w:lang w:eastAsia="en-AU"/>
              </w:rP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rPr>
                <w:rFonts w:ascii="Symbol" w:hAnsi="Symbol" w:cs="Symbol"/>
                <w:color w:val="F38464"/>
                <w:sz w:val="28"/>
                <w:szCs w:val="28"/>
                <w:lang w:eastAsia="en-AU"/>
              </w:rPr>
            </w:pPr>
            <w:r w:rsidRPr="00330CF0">
              <w:rPr>
                <w:rFonts w:ascii="Symbol" w:hAnsi="Symbol" w:cs="Symbol"/>
                <w:color w:val="FFC000"/>
                <w:sz w:val="28"/>
                <w:szCs w:val="28"/>
                <w:lang w:eastAsia="en-AU"/>
              </w:rPr>
              <w:t></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lastRenderedPageBreak/>
              <w:t>Molonglo Infrastructure Investment</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DataEntries"/>
              <w:jc w:val="left"/>
            </w:pPr>
            <w:r>
              <w:t>$17 million to construct a dual carriageway from John Gorton Drive into Molonglo</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rPr>
                <w:rFonts w:ascii="Symbol" w:hAnsi="Symbol" w:cs="Symbol"/>
                <w:color w:val="6F6652"/>
                <w:sz w:val="28"/>
                <w:szCs w:val="28"/>
                <w:lang w:eastAsia="en-AU"/>
              </w:rP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CA7792">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 w:rsidRPr="00DE02B0">
              <w:rPr>
                <w:rFonts w:ascii="Symbol" w:hAnsi="Symbol" w:cs="Symbol"/>
                <w:color w:val="FFC000"/>
                <w:sz w:val="28"/>
                <w:szCs w:val="28"/>
              </w:rPr>
              <w:t></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ACT Government Office Building – Gungahlin fitout</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DataEntries"/>
              <w:jc w:val="left"/>
            </w:pPr>
            <w:r>
              <w:t>$17.8 million to provide a fitout for the new Government Office Building and ongoing maintenance</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rPr>
                <w:rFonts w:ascii="Symbol" w:hAnsi="Symbol" w:cs="Symbol"/>
                <w:color w:val="6F6652"/>
                <w:sz w:val="28"/>
                <w:szCs w:val="28"/>
                <w:lang w:eastAsia="en-AU"/>
              </w:rP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CA7792">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 w:rsidRPr="00DE02B0">
              <w:rPr>
                <w:rFonts w:ascii="Symbol" w:hAnsi="Symbol" w:cs="Symbol"/>
                <w:color w:val="FFC000"/>
                <w:sz w:val="28"/>
                <w:szCs w:val="28"/>
              </w:rPr>
              <w:t></w:t>
            </w:r>
          </w:p>
        </w:tc>
      </w:tr>
      <w:tr w:rsidR="008F54CE" w:rsidTr="00911DED">
        <w:trPr>
          <w:trHeight w:val="413"/>
        </w:trPr>
        <w:tc>
          <w:tcPr>
            <w:tcW w:w="13470" w:type="dxa"/>
            <w:gridSpan w:val="7"/>
            <w:tcBorders>
              <w:top w:val="single" w:sz="4" w:space="0" w:color="6F6652"/>
              <w:left w:val="single" w:sz="4" w:space="0" w:color="6F6652"/>
              <w:bottom w:val="single" w:sz="4" w:space="0" w:color="6F6652"/>
              <w:right w:val="single" w:sz="4" w:space="0" w:color="6F6652"/>
            </w:tcBorders>
            <w:shd w:val="clear" w:color="auto" w:fill="C2DADB" w:themeFill="accent6" w:themeFillTint="99"/>
            <w:tcMar>
              <w:top w:w="0" w:type="dxa"/>
              <w:left w:w="57" w:type="dxa"/>
              <w:bottom w:w="0" w:type="dxa"/>
              <w:right w:w="57" w:type="dxa"/>
            </w:tcMar>
            <w:vAlign w:val="center"/>
          </w:tcPr>
          <w:p w:rsidR="008F54CE" w:rsidRDefault="008F54CE" w:rsidP="00911DED">
            <w:pPr>
              <w:pStyle w:val="TableDataEntries"/>
              <w:jc w:val="left"/>
              <w:rPr>
                <w:rFonts w:ascii="Symbol" w:hAnsi="Symbol" w:cs="Symbol"/>
                <w:color w:val="F38464"/>
                <w:sz w:val="28"/>
                <w:szCs w:val="28"/>
                <w:lang w:eastAsia="en-AU"/>
              </w:rPr>
            </w:pPr>
            <w:r>
              <w:rPr>
                <w:bCs/>
                <w:szCs w:val="16"/>
              </w:rPr>
              <w:t>Education and Training Directorate</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Coombs P-6 School Construction funding</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DataEntries"/>
              <w:jc w:val="left"/>
            </w:pPr>
            <w:r>
              <w:t>$47.3 million for the construction of the Coombs primary school in Molonglo (initiative was including in the 2013-14 Budget</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rPr>
                <w:rFonts w:ascii="Symbol" w:hAnsi="Symbol" w:cs="Symbol"/>
                <w:color w:val="6F6652"/>
                <w:sz w:val="28"/>
                <w:szCs w:val="28"/>
                <w:lang w:eastAsia="en-AU"/>
              </w:rP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357466">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r>
              <w:t>Improved provision of primary level education</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rPr>
                <w:rFonts w:ascii="Symbol" w:hAnsi="Symbol" w:cs="Symbol"/>
                <w:color w:val="6F6652"/>
                <w:sz w:val="28"/>
                <w:szCs w:val="28"/>
                <w:lang w:eastAsia="en-AU"/>
              </w:rPr>
            </w:pPr>
            <w:r w:rsidRPr="006F36E7">
              <w:rPr>
                <w:rFonts w:ascii="Symbol" w:hAnsi="Symbol" w:cs="Symbol"/>
                <w:color w:val="92D050"/>
                <w:sz w:val="28"/>
                <w:szCs w:val="28"/>
                <w:lang w:eastAsia="en-AU"/>
              </w:rPr>
              <w:t></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Sustaining Smart Schools – digital infrastructure for our schools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DataEntries"/>
              <w:jc w:val="left"/>
            </w:pPr>
            <w:r>
              <w:t>$9.2 million to upgrade and maintain school ICT infrastructure including wireless access points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rPr>
                <w:rFonts w:ascii="Symbol" w:hAnsi="Symbol" w:cs="Symbol"/>
                <w:color w:val="F38464"/>
                <w:sz w:val="28"/>
                <w:szCs w:val="28"/>
                <w:lang w:eastAsia="en-AU"/>
              </w:rP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357466">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rPr>
                <w:rFonts w:ascii="Symbol" w:hAnsi="Symbol" w:cs="Symbol"/>
                <w:color w:val="6F6652"/>
                <w:sz w:val="28"/>
                <w:szCs w:val="28"/>
                <w:lang w:eastAsia="en-AU"/>
              </w:rPr>
            </w:pPr>
            <w:r w:rsidRPr="00330CF0">
              <w:rPr>
                <w:rFonts w:ascii="Symbol" w:hAnsi="Symbol" w:cs="Symbol"/>
                <w:color w:val="FFC000"/>
                <w:sz w:val="28"/>
                <w:szCs w:val="28"/>
                <w:lang w:eastAsia="en-AU"/>
              </w:rPr>
              <w:t></w:t>
            </w:r>
          </w:p>
        </w:tc>
      </w:tr>
      <w:tr w:rsidR="008F54CE" w:rsidTr="00911DED">
        <w:tc>
          <w:tcPr>
            <w:tcW w:w="3544" w:type="dxa"/>
            <w:tcBorders>
              <w:top w:val="single" w:sz="4" w:space="0" w:color="6F6652"/>
              <w:left w:val="single" w:sz="4" w:space="0" w:color="6F6652"/>
              <w:bottom w:val="single" w:sz="4" w:space="0" w:color="6F6652"/>
              <w:right w:val="nil"/>
            </w:tcBorders>
            <w:shd w:val="clear" w:color="auto" w:fill="C2DADB" w:themeFill="accent6" w:themeFillTint="99"/>
            <w:tcMar>
              <w:top w:w="0" w:type="dxa"/>
              <w:left w:w="57" w:type="dxa"/>
              <w:bottom w:w="0" w:type="dxa"/>
              <w:right w:w="57" w:type="dxa"/>
            </w:tcMar>
            <w:hideMark/>
          </w:tcPr>
          <w:p w:rsidR="008F54CE" w:rsidRDefault="008F54CE" w:rsidP="00911DED">
            <w:pPr>
              <w:spacing w:before="120" w:after="80" w:line="240" w:lineRule="auto"/>
              <w:rPr>
                <w:rFonts w:ascii="Franklin Gothic Book" w:eastAsia="Times New Roman" w:hAnsi="Franklin Gothic Book"/>
                <w:i/>
                <w:iCs/>
                <w:sz w:val="22"/>
                <w:lang w:eastAsia="en-US"/>
              </w:rPr>
            </w:pPr>
            <w:r>
              <w:rPr>
                <w:rFonts w:ascii="Franklin Gothic Book" w:hAnsi="Franklin Gothic Book"/>
                <w:bCs/>
                <w:sz w:val="16"/>
                <w:szCs w:val="16"/>
              </w:rPr>
              <w:t>Health Directorate</w:t>
            </w:r>
          </w:p>
        </w:tc>
        <w:tc>
          <w:tcPr>
            <w:tcW w:w="2761"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single" w:sz="4" w:space="0" w:color="6F6652"/>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Belconnen Community Health Centre and Walk-in Centre – more services, more staff</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DataEntries"/>
              <w:jc w:val="left"/>
            </w:pPr>
            <w:r>
              <w:t>$9.4 million for additional health services and employment of health staff</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8F54CE" w:rsidP="00911DED">
            <w:pPr>
              <w:pStyle w:val="TableDataEntries"/>
              <w:jc w:val="left"/>
            </w:pPr>
            <w:r>
              <w:t>Improved healthcare service delivery for Belconnen area</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6F36E7">
              <w:rPr>
                <w:rFonts w:ascii="Symbol" w:hAnsi="Symbol" w:cs="Symbol"/>
                <w:color w:val="92D050"/>
                <w:sz w:val="28"/>
                <w:szCs w:val="28"/>
                <w:lang w:eastAsia="en-AU"/>
              </w:rPr>
              <w:t></w:t>
            </w: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8F54CE" w:rsidRDefault="008F54CE"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Calvary Public Hospital – car park</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8F54CE" w:rsidRDefault="008F54CE" w:rsidP="00911DED">
            <w:pPr>
              <w:pStyle w:val="TableDataEntries"/>
              <w:jc w:val="left"/>
            </w:pPr>
            <w:r>
              <w:t>$19.1 million to develop a new car park to meet future increased demand for hospital services due to the expansion of the hospital.</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rPr>
                <w:rFonts w:ascii="Symbol" w:hAnsi="Symbol" w:cs="Symbol"/>
                <w:color w:val="F38464"/>
                <w:sz w:val="28"/>
                <w:szCs w:val="28"/>
                <w:lang w:eastAsia="en-AU"/>
              </w:rP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center"/>
              <w:rPr>
                <w:rFonts w:ascii="Symbol" w:hAnsi="Symbol" w:cs="Symbol"/>
                <w:color w:val="F38464"/>
                <w:sz w:val="28"/>
                <w:szCs w:val="28"/>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center"/>
              <w:rPr>
                <w:rFonts w:ascii="Symbol" w:hAnsi="Symbol" w:cs="Symbol"/>
                <w:color w:val="6F6652"/>
                <w:sz w:val="28"/>
                <w:szCs w:val="28"/>
                <w:lang w:eastAsia="en-AU"/>
              </w:rPr>
            </w:pP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Canberra Region Cancer Centre – more services, more staff</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DataEntries"/>
              <w:jc w:val="left"/>
            </w:pPr>
            <w:r>
              <w:t>$8.5 million for more services to meet increasing demand</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8F54CE" w:rsidP="00911DED">
            <w:pPr>
              <w:pStyle w:val="TableDataEntries"/>
              <w:jc w:val="left"/>
            </w:pPr>
            <w:r>
              <w:t>Improved services for non-inpatients, which improves equality of access for less able patients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6F36E7">
              <w:rPr>
                <w:rFonts w:ascii="Symbol" w:hAnsi="Symbol" w:cs="Symbol"/>
                <w:color w:val="92D050"/>
                <w:sz w:val="28"/>
                <w:szCs w:val="28"/>
                <w:lang w:eastAsia="en-AU"/>
              </w:rPr>
              <w:t></w:t>
            </w: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Centenary Hospital for Women and Children – expanding services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DataEntries"/>
              <w:jc w:val="left"/>
            </w:pPr>
            <w:r>
              <w:t>$8.8 million for extra beds in paediatric and maternity departments to meet increased demand</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8F54CE" w:rsidP="00911DED">
            <w:pPr>
              <w:pStyle w:val="TableDataEntries"/>
              <w:jc w:val="left"/>
            </w:pPr>
            <w:r>
              <w:t>Better paediatric and maternal services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6F36E7">
              <w:rPr>
                <w:rFonts w:ascii="Symbol" w:hAnsi="Symbol" w:cs="Symbol"/>
                <w:color w:val="92D050"/>
                <w:sz w:val="28"/>
                <w:szCs w:val="28"/>
                <w:lang w:eastAsia="en-AU"/>
              </w:rPr>
              <w:t></w:t>
            </w: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Elective Surgery – including bariatric surgery</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DataEntries"/>
              <w:jc w:val="left"/>
            </w:pPr>
            <w:r>
              <w:t>$34 million for increased number of elective surgeries (improved waiting times)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8F54CE" w:rsidP="00911DED">
            <w:pPr>
              <w:pStyle w:val="TableDataEntries"/>
              <w:jc w:val="left"/>
            </w:pPr>
            <w:r>
              <w:t>Improved access to treatment for morbidly obese patients and improved waiting times for elective surgery</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6F36E7">
              <w:rPr>
                <w:rFonts w:ascii="Symbol" w:hAnsi="Symbol" w:cs="Symbol"/>
                <w:color w:val="92D050"/>
                <w:sz w:val="28"/>
                <w:szCs w:val="28"/>
                <w:lang w:eastAsia="en-AU"/>
              </w:rPr>
              <w:t></w:t>
            </w:r>
          </w:p>
        </w:tc>
      </w:tr>
      <w:tr w:rsidR="008F54CE" w:rsidTr="008E0259">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8F54CE" w:rsidRDefault="008F54CE"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Health infrastructure program – project management continuation</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8F54CE" w:rsidRDefault="008F54CE" w:rsidP="00911DED">
            <w:pPr>
              <w:pStyle w:val="TableDataEntries"/>
              <w:jc w:val="left"/>
            </w:pPr>
            <w:r>
              <w:t>$29.5 million for the redevelopment and expansion of hospital and community based health infrastructure to meet future demand</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8F54CE" w:rsidRPr="00DA0361" w:rsidRDefault="006F36E7" w:rsidP="008E0259">
            <w:pPr>
              <w:pStyle w:val="TableDataEntries"/>
              <w:jc w:val="center"/>
              <w:rPr>
                <w:rFonts w:ascii="Symbol" w:hAnsi="Symbol" w:cs="Symbol"/>
                <w:color w:val="F38464"/>
                <w:sz w:val="24"/>
                <w:szCs w:val="24"/>
                <w:lang w:eastAsia="en-AU"/>
              </w:rP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center"/>
              <w:rPr>
                <w:rFonts w:ascii="Symbol" w:hAnsi="Symbol" w:cs="Symbol"/>
                <w:color w:val="F38464"/>
                <w:sz w:val="28"/>
                <w:szCs w:val="28"/>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center"/>
              <w:rPr>
                <w:rFonts w:ascii="Symbol" w:hAnsi="Symbol" w:cs="Symbol"/>
                <w:color w:val="6F6652"/>
                <w:sz w:val="28"/>
                <w:szCs w:val="28"/>
                <w:lang w:eastAsia="en-AU"/>
              </w:rPr>
            </w:pP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Intensive and critical care – expanding services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8F54CE" w:rsidRDefault="008F54CE" w:rsidP="00911DED">
            <w:pPr>
              <w:pStyle w:val="TableDataEntries"/>
              <w:jc w:val="left"/>
            </w:pPr>
            <w:r>
              <w:t>$15.1 million</w:t>
            </w:r>
            <w:r w:rsidR="00FE1F43">
              <w:t xml:space="preserve"> </w:t>
            </w:r>
            <w:r>
              <w:t>to provide 3 additional ICU beds to meet increased demand</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8F54CE" w:rsidRDefault="006F36E7" w:rsidP="00911DED">
            <w:pPr>
              <w:pStyle w:val="TableDataEntries"/>
              <w:jc w:val="cente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r>
              <w:t>Improved critical care services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pPr>
            <w:r w:rsidRPr="00330CF0">
              <w:rPr>
                <w:rFonts w:ascii="Symbol" w:hAnsi="Symbol" w:cs="Symbol"/>
                <w:color w:val="FFC000"/>
                <w:sz w:val="28"/>
                <w:szCs w:val="28"/>
                <w:lang w:eastAsia="en-AU"/>
              </w:rPr>
              <w:t></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6F36E7" w:rsidRDefault="006F36E7"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lastRenderedPageBreak/>
              <w:t>Our hospitals – more general inpatient beds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6F36E7" w:rsidRDefault="006F36E7" w:rsidP="00911DED">
            <w:pPr>
              <w:pStyle w:val="TableDataEntries"/>
              <w:jc w:val="left"/>
            </w:pPr>
            <w:r>
              <w:t>$54.6 million on more general inpatient beds to meet increased demand</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cente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6F36E7">
            <w:pPr>
              <w:jc w:val="center"/>
            </w:pPr>
            <w:r w:rsidRPr="00A31A70">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left"/>
            </w:pPr>
            <w:r>
              <w:t>More hospital in the home bed equivaluents which improve access to hospital services for those less able to seek treatment in the hospital</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6F36E7">
            <w:pPr>
              <w:jc w:val="center"/>
            </w:pPr>
            <w:r w:rsidRPr="00056925">
              <w:rPr>
                <w:rFonts w:ascii="Symbol" w:hAnsi="Symbol" w:cs="Symbol"/>
                <w:color w:val="92D050"/>
                <w:sz w:val="28"/>
                <w:szCs w:val="28"/>
              </w:rPr>
              <w:t></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6F36E7" w:rsidRDefault="006F36E7"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Outpatient and imaging services – expanding services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6F36E7" w:rsidRDefault="006F36E7" w:rsidP="00911DED">
            <w:pPr>
              <w:pStyle w:val="TableDataEntries"/>
              <w:jc w:val="left"/>
            </w:pPr>
            <w:r>
              <w:t>$9.0 million increased volume of outpatient services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6F36E7">
            <w:pPr>
              <w:jc w:val="center"/>
            </w:pPr>
            <w:r w:rsidRPr="00F100D6">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6F36E7">
            <w:pPr>
              <w:jc w:val="center"/>
            </w:pPr>
            <w:r w:rsidRPr="00A31A70">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left"/>
            </w:pPr>
            <w:r>
              <w:t>Increases services for patients less able to get to a hospital/clinic</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6F36E7">
            <w:pPr>
              <w:jc w:val="center"/>
            </w:pPr>
            <w:r w:rsidRPr="00056925">
              <w:rPr>
                <w:rFonts w:ascii="Symbol" w:hAnsi="Symbol" w:cs="Symbol"/>
                <w:color w:val="92D050"/>
                <w:sz w:val="28"/>
                <w:szCs w:val="28"/>
              </w:rPr>
              <w:t></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Secure Mental Health Unit</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DataEntries"/>
              <w:jc w:val="left"/>
            </w:pPr>
            <w:r>
              <w:t>$43.5 million</w:t>
            </w:r>
            <w:r w:rsidR="00FE1F43">
              <w:t xml:space="preserve"> </w:t>
            </w:r>
            <w:r>
              <w:t>for a new 25 bed Mental health unit</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F100D6">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rPr>
                <w:rFonts w:ascii="Symbol" w:hAnsi="Symbol" w:cs="Symbol"/>
                <w:color w:val="F38464"/>
                <w:sz w:val="28"/>
                <w:szCs w:val="28"/>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r>
              <w:t>Accommodates patients with severe mental illness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056925">
              <w:rPr>
                <w:rFonts w:ascii="Symbol" w:hAnsi="Symbol" w:cs="Symbol"/>
                <w:color w:val="92D050"/>
                <w:sz w:val="28"/>
                <w:szCs w:val="28"/>
              </w:rPr>
              <w:t></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The Canberra Hospital Redevelopment</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DataEntries"/>
              <w:jc w:val="left"/>
            </w:pPr>
            <w:r>
              <w:t>$24.3 million to undertake refurbishments of Canberra hospital and provide additional beds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F100D6">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rPr>
                <w:rFonts w:ascii="Symbol" w:hAnsi="Symbol" w:cs="Symbol"/>
                <w:color w:val="F38464"/>
                <w:sz w:val="28"/>
                <w:szCs w:val="28"/>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r>
              <w:t>Ensures continuity of in-patient services while infrastructure redevelopments take place.</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056925">
              <w:rPr>
                <w:rFonts w:ascii="Symbol" w:hAnsi="Symbol" w:cs="Symbol"/>
                <w:color w:val="92D050"/>
                <w:sz w:val="28"/>
                <w:szCs w:val="28"/>
              </w:rPr>
              <w:t></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TextLeft-BP3"/>
              <w:spacing w:line="280" w:lineRule="atLeast"/>
              <w:ind w:left="85" w:firstLine="0"/>
              <w:rPr>
                <w:rFonts w:ascii="Franklin Gothic Book" w:hAnsi="Franklin Gothic Book"/>
                <w:sz w:val="16"/>
              </w:rPr>
            </w:pPr>
            <w:r>
              <w:rPr>
                <w:rFonts w:ascii="Franklin Gothic Book" w:hAnsi="Franklin Gothic Book"/>
                <w:sz w:val="16"/>
              </w:rPr>
              <w:t>University of Canberra Public Hospital</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DataEntries"/>
              <w:jc w:val="left"/>
            </w:pPr>
            <w:r>
              <w:t>An amount Not for Publication is being spent to develop a new hospital on the University of Canberra campus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F100D6">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rPr>
                <w:rFonts w:ascii="Symbol" w:hAnsi="Symbol" w:cs="Symbol"/>
                <w:color w:val="F38464"/>
                <w:sz w:val="28"/>
                <w:szCs w:val="28"/>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rPr>
                <w:rFonts w:ascii="Symbol" w:hAnsi="Symbol" w:cs="Symbol"/>
                <w:color w:val="6F6652"/>
                <w:sz w:val="28"/>
                <w:szCs w:val="28"/>
                <w:lang w:eastAsia="en-AU"/>
              </w:rPr>
            </w:pPr>
          </w:p>
        </w:tc>
      </w:tr>
      <w:tr w:rsidR="008F54CE" w:rsidTr="00911DED">
        <w:tc>
          <w:tcPr>
            <w:tcW w:w="3544" w:type="dxa"/>
            <w:tcBorders>
              <w:top w:val="single" w:sz="4" w:space="0" w:color="6F6652"/>
              <w:left w:val="single" w:sz="4" w:space="0" w:color="6F6652"/>
              <w:bottom w:val="single" w:sz="4" w:space="0" w:color="6F6652"/>
              <w:right w:val="nil"/>
            </w:tcBorders>
            <w:shd w:val="clear" w:color="auto" w:fill="C2DADB" w:themeFill="accent6" w:themeFillTint="99"/>
            <w:tcMar>
              <w:top w:w="0" w:type="dxa"/>
              <w:left w:w="57" w:type="dxa"/>
              <w:bottom w:w="0" w:type="dxa"/>
              <w:right w:w="57" w:type="dxa"/>
            </w:tcMar>
            <w:hideMark/>
          </w:tcPr>
          <w:p w:rsidR="008F54CE" w:rsidRDefault="008F54CE" w:rsidP="00911DED">
            <w:pPr>
              <w:spacing w:before="120" w:after="80" w:line="240" w:lineRule="auto"/>
              <w:rPr>
                <w:rFonts w:ascii="Franklin Gothic Book" w:eastAsia="Times New Roman" w:hAnsi="Franklin Gothic Book"/>
                <w:bCs/>
                <w:i/>
                <w:iCs/>
                <w:sz w:val="16"/>
                <w:szCs w:val="16"/>
                <w:lang w:eastAsia="en-US"/>
              </w:rPr>
            </w:pPr>
            <w:r>
              <w:rPr>
                <w:rFonts w:ascii="Franklin Gothic Book" w:hAnsi="Franklin Gothic Book"/>
                <w:bCs/>
                <w:sz w:val="16"/>
                <w:szCs w:val="16"/>
              </w:rPr>
              <w:t>Justice and Community Safety Directorate</w:t>
            </w:r>
          </w:p>
        </w:tc>
        <w:tc>
          <w:tcPr>
            <w:tcW w:w="2761"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single" w:sz="4" w:space="0" w:color="6F6652"/>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ind w:left="85"/>
              <w:jc w:val="left"/>
            </w:pPr>
            <w:r>
              <w:t>ACT Courts project</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Default="006F36E7" w:rsidP="00911DED">
            <w:pPr>
              <w:pStyle w:val="TableDataEntries"/>
              <w:jc w:val="left"/>
            </w:pPr>
            <w:r>
              <w:t>Not for Publication expenses for redevelopment of the Supreme Court building</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9C1B46">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pP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ind w:left="85"/>
              <w:jc w:val="left"/>
            </w:pPr>
            <w:r>
              <w:t>Alexander Maconochie Centre – Additional facilities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r>
              <w:t xml:space="preserve">$79.6 million (including associated expenses) on capital works for new buildings and associated staffing and detainee related costs. </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9C1B46">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r>
              <w:t>Alexander Maconochie Centre designed to meet human rights obligations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203471">
              <w:rPr>
                <w:rFonts w:ascii="Symbol" w:hAnsi="Symbol" w:cs="Symbol"/>
                <w:color w:val="92D050"/>
                <w:sz w:val="28"/>
                <w:szCs w:val="28"/>
              </w:rPr>
              <w:t></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ind w:left="85"/>
              <w:jc w:val="left"/>
            </w:pPr>
            <w:r>
              <w:t>Alexander Maconochie Centre – additional staffing</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r>
              <w:t>$13.6 million for additional staff in response to increased costs due to increased average detainee numbers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9C1B46">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AB1733">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r>
              <w:t>Alexander Maconochie Centre designed to meet human rights obligations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203471">
              <w:rPr>
                <w:rFonts w:ascii="Symbol" w:hAnsi="Symbol" w:cs="Symbol"/>
                <w:color w:val="92D050"/>
                <w:sz w:val="28"/>
                <w:szCs w:val="28"/>
              </w:rPr>
              <w:t></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ind w:left="85"/>
              <w:jc w:val="left"/>
            </w:pPr>
            <w:r>
              <w:t>Commonwealth Fire Payment supplementation</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left"/>
            </w:pPr>
            <w:r>
              <w:t>$16 million provision of additional funding to emergency services agency to offset reduction in Commonwealth funding. Increased fire alarm and commercial building development control fees and Fire and Emergency services levy.</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center"/>
            </w:pPr>
            <w:r w:rsidRPr="00DA0361">
              <w:rPr>
                <w:rFonts w:ascii="Symbol" w:hAnsi="Symbol" w:cs="Symbol"/>
                <w:color w:val="EF1209"/>
                <w:sz w:val="24"/>
                <w:szCs w:val="24"/>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6F36E7">
            <w:pPr>
              <w:jc w:val="cente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center"/>
            </w:pP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ind w:left="85"/>
              <w:jc w:val="left"/>
            </w:pPr>
            <w:r>
              <w:t>Emergency Services Agency Station upgrade and relocation – Aranda Station</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r>
              <w:t>$20.9 million on the construction of new emergency services buildings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EA535D">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r>
              <w:t>Improved provision of emergency services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rPr>
                <w:rFonts w:ascii="Symbol" w:hAnsi="Symbol" w:cs="Symbol"/>
                <w:color w:val="6F6652"/>
                <w:sz w:val="28"/>
                <w:szCs w:val="28"/>
                <w:lang w:eastAsia="en-AU"/>
              </w:rPr>
            </w:pPr>
            <w:r w:rsidRPr="006F36E7">
              <w:rPr>
                <w:rFonts w:ascii="Symbol" w:hAnsi="Symbol" w:cs="Symbol"/>
                <w:color w:val="92D050"/>
                <w:sz w:val="28"/>
                <w:szCs w:val="28"/>
                <w:lang w:eastAsia="en-AU"/>
              </w:rPr>
              <w:t></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ind w:left="85"/>
              <w:jc w:val="left"/>
            </w:pPr>
            <w:r>
              <w:t>Parking operations – more inspectors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left"/>
            </w:pPr>
            <w:r>
              <w:t>$7.0 million in net revenue from more parking inspectors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6F36E7">
            <w:pPr>
              <w:jc w:val="center"/>
            </w:pPr>
            <w:r w:rsidRPr="00EA535D">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cente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center"/>
            </w:pPr>
            <w:r w:rsidRPr="006F36E7">
              <w:rPr>
                <w:rFonts w:ascii="Symbol" w:hAnsi="Symbol" w:cs="Symbol"/>
                <w:color w:val="92D050"/>
                <w:sz w:val="28"/>
                <w:szCs w:val="28"/>
                <w:lang w:eastAsia="en-AU"/>
              </w:rPr>
              <w:t></w:t>
            </w: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Pr="005F304C" w:rsidRDefault="008F54CE" w:rsidP="00911DED">
            <w:pPr>
              <w:pStyle w:val="TableDataEntries"/>
              <w:ind w:left="85"/>
              <w:jc w:val="left"/>
            </w:pPr>
            <w:r w:rsidRPr="005F304C">
              <w:t>Revenue associated with expense initiatives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Pr="005F304C" w:rsidRDefault="008F54CE" w:rsidP="00911DED">
            <w:pPr>
              <w:pStyle w:val="TableDataEntries"/>
              <w:jc w:val="left"/>
            </w:pPr>
            <w:r w:rsidRPr="005F304C">
              <w:t>$10.4 million in revenue</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rPr>
                <w:rFonts w:ascii="Symbol" w:hAnsi="Symbol" w:cs="Symbol"/>
                <w:color w:val="F38464"/>
                <w:sz w:val="28"/>
                <w:szCs w:val="28"/>
                <w:lang w:eastAsia="en-AU"/>
              </w:rP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center"/>
              <w:rPr>
                <w:rFonts w:ascii="Symbol" w:hAnsi="Symbol" w:cs="Symbol"/>
                <w:color w:val="6F6652"/>
                <w:sz w:val="28"/>
                <w:szCs w:val="28"/>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center"/>
              <w:rPr>
                <w:rFonts w:ascii="Symbol" w:hAnsi="Symbol" w:cs="Symbol"/>
                <w:color w:val="6F6652"/>
                <w:sz w:val="28"/>
                <w:szCs w:val="28"/>
                <w:lang w:eastAsia="en-AU"/>
              </w:rPr>
            </w:pP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ind w:left="85"/>
              <w:jc w:val="left"/>
            </w:pPr>
            <w:r>
              <w:lastRenderedPageBreak/>
              <w:t>Strengthening Emergency Services Agency’s response capability – improving TRN and CAD replacement program</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r>
              <w:t>$8.8 million to replace critical elements of the Emergency services agency</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rPr>
                <w:rFonts w:ascii="Symbol" w:hAnsi="Symbol" w:cs="Symbol"/>
                <w:color w:val="F38464"/>
                <w:sz w:val="28"/>
                <w:szCs w:val="28"/>
                <w:lang w:eastAsia="en-AU"/>
              </w:rP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center"/>
              <w:rPr>
                <w:rFonts w:ascii="Symbol" w:hAnsi="Symbol" w:cs="Symbol"/>
                <w:color w:val="6F6652"/>
                <w:sz w:val="28"/>
                <w:szCs w:val="28"/>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center"/>
              <w:rPr>
                <w:rFonts w:ascii="Symbol" w:hAnsi="Symbol" w:cs="Symbol"/>
                <w:color w:val="6F6652"/>
                <w:sz w:val="28"/>
                <w:szCs w:val="28"/>
                <w:lang w:eastAsia="en-AU"/>
              </w:rPr>
            </w:pPr>
          </w:p>
        </w:tc>
      </w:tr>
      <w:tr w:rsidR="008F54CE" w:rsidTr="00911DED">
        <w:tc>
          <w:tcPr>
            <w:tcW w:w="3544" w:type="dxa"/>
            <w:tcBorders>
              <w:top w:val="single" w:sz="4" w:space="0" w:color="6F6652"/>
              <w:left w:val="single" w:sz="4" w:space="0" w:color="6F6652"/>
              <w:bottom w:val="single" w:sz="4" w:space="0" w:color="6F6652"/>
              <w:right w:val="nil"/>
            </w:tcBorders>
            <w:shd w:val="clear" w:color="auto" w:fill="C2DADB" w:themeFill="accent6" w:themeFillTint="99"/>
            <w:tcMar>
              <w:top w:w="0" w:type="dxa"/>
              <w:left w:w="57" w:type="dxa"/>
              <w:bottom w:w="0" w:type="dxa"/>
              <w:right w:w="57" w:type="dxa"/>
            </w:tcMar>
            <w:hideMark/>
          </w:tcPr>
          <w:p w:rsidR="008F54CE" w:rsidRDefault="008F54CE" w:rsidP="00911DED">
            <w:pPr>
              <w:spacing w:before="120" w:after="80" w:line="240" w:lineRule="auto"/>
              <w:rPr>
                <w:rFonts w:ascii="Franklin Gothic Book" w:eastAsia="Times New Roman" w:hAnsi="Franklin Gothic Book"/>
                <w:b/>
                <w:bCs/>
                <w:i/>
                <w:iCs/>
                <w:sz w:val="20"/>
                <w:lang w:eastAsia="en-US"/>
              </w:rPr>
            </w:pPr>
            <w:r>
              <w:rPr>
                <w:rFonts w:ascii="Franklin Gothic Book" w:hAnsi="Franklin Gothic Book"/>
                <w:bCs/>
                <w:sz w:val="16"/>
                <w:szCs w:val="16"/>
              </w:rPr>
              <w:t>Territory and Municipal Services Directorate</w:t>
            </w:r>
          </w:p>
        </w:tc>
        <w:tc>
          <w:tcPr>
            <w:tcW w:w="2761"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single" w:sz="4" w:space="0" w:color="6F6652"/>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ind w:left="85"/>
              <w:jc w:val="left"/>
            </w:pPr>
            <w:r>
              <w:t>Bushfire Management Capacity</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left"/>
            </w:pPr>
            <w:r>
              <w:t>$8.8 million to continue bushfire management activities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B04E6C">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r>
              <w:t>Improved bushfire environmental management</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pP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ind w:left="85"/>
              <w:jc w:val="left"/>
            </w:pPr>
            <w:r>
              <w:t>Civic to Gungahlin Corridor Improvements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r>
              <w:t>$20 million to invest in improvements and renewal which will help prepare for the Canberra Metro light rail</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B04E6C">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rPr>
                <w:rFonts w:ascii="Symbol" w:hAnsi="Symbol" w:cs="Symbol"/>
                <w:color w:val="6F6652"/>
                <w:sz w:val="28"/>
                <w:szCs w:val="28"/>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pP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ind w:left="85"/>
              <w:jc w:val="left"/>
            </w:pPr>
            <w:r>
              <w:t>Increased municipal services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r>
              <w:t>$9.6 million to improve provision of municipal services to accommodate growth associated with land release</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rPr>
                <w:rFonts w:ascii="Symbol" w:hAnsi="Symbol" w:cs="Symbol"/>
                <w:color w:val="F38464"/>
                <w:sz w:val="28"/>
                <w:szCs w:val="28"/>
                <w:lang w:eastAsia="en-AU"/>
              </w:rP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center"/>
              <w:rPr>
                <w:rFonts w:ascii="Symbol" w:hAnsi="Symbol" w:cs="Symbol"/>
                <w:color w:val="6F6652"/>
                <w:sz w:val="28"/>
                <w:szCs w:val="28"/>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r>
              <w:t>Improved municipal services such as waste services, street lighting, etc.</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pPr>
            <w:r w:rsidRPr="006F36E7">
              <w:rPr>
                <w:rFonts w:ascii="Symbol" w:hAnsi="Symbol" w:cs="Symbol"/>
                <w:color w:val="92D050"/>
                <w:sz w:val="28"/>
                <w:szCs w:val="28"/>
                <w:lang w:eastAsia="en-AU"/>
              </w:rPr>
              <w:t></w:t>
            </w: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ind w:left="85"/>
              <w:jc w:val="left"/>
            </w:pPr>
            <w:r>
              <w:t>Parks and open spaces – maintaining amenity</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r>
              <w:t>$15.2 million on improving urban amenity</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rPr>
                <w:rFonts w:ascii="Symbol" w:hAnsi="Symbol" w:cs="Symbol"/>
                <w:color w:val="6F6652"/>
                <w:sz w:val="28"/>
                <w:szCs w:val="28"/>
                <w:lang w:eastAsia="en-AU"/>
              </w:rP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r>
              <w:t>Improves national parks and reserves, and maintains existing green areas and shopping centres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6F36E7" w:rsidP="00911DED">
            <w:pPr>
              <w:pStyle w:val="TableDataEntries"/>
              <w:jc w:val="center"/>
              <w:rPr>
                <w:rFonts w:ascii="Symbol" w:hAnsi="Symbol" w:cs="Symbol"/>
                <w:color w:val="6F6652"/>
                <w:sz w:val="28"/>
                <w:szCs w:val="28"/>
                <w:lang w:eastAsia="en-AU"/>
              </w:rP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center"/>
              <w:rPr>
                <w:rFonts w:ascii="Symbol" w:hAnsi="Symbol" w:cs="Symbol"/>
                <w:color w:val="6F6652"/>
                <w:sz w:val="28"/>
                <w:szCs w:val="28"/>
                <w:lang w:eastAsia="en-AU"/>
              </w:rPr>
            </w:pP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ind w:left="85"/>
              <w:jc w:val="left"/>
            </w:pPr>
            <w:r>
              <w:t>William Slim/Barton Highway Roundabout Signalisation</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r>
              <w:t>$10 million to upgrade the intersection, including signalisation, additional lanes and other works.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center"/>
              <w:rPr>
                <w:rFonts w:ascii="Symbol" w:hAnsi="Symbol" w:cs="Symbol"/>
                <w:color w:val="F38464"/>
                <w:sz w:val="28"/>
                <w:szCs w:val="28"/>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center"/>
              <w:rPr>
                <w:rFonts w:ascii="Symbol" w:hAnsi="Symbol" w:cs="Symbol"/>
                <w:color w:val="6F6652"/>
                <w:sz w:val="28"/>
                <w:szCs w:val="28"/>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Default="008F54CE" w:rsidP="00911DED">
            <w:pPr>
              <w:pStyle w:val="TableDataEntries"/>
              <w:jc w:val="center"/>
              <w:rPr>
                <w:rFonts w:ascii="Symbol" w:hAnsi="Symbol" w:cs="Symbol"/>
                <w:color w:val="6F6652"/>
                <w:sz w:val="28"/>
                <w:szCs w:val="28"/>
                <w:lang w:eastAsia="en-AU"/>
              </w:rPr>
            </w:pPr>
          </w:p>
        </w:tc>
      </w:tr>
      <w:tr w:rsidR="008F54CE" w:rsidTr="00911DED">
        <w:tc>
          <w:tcPr>
            <w:tcW w:w="3544" w:type="dxa"/>
            <w:tcBorders>
              <w:top w:val="single" w:sz="4" w:space="0" w:color="6F6652"/>
              <w:left w:val="single" w:sz="4" w:space="0" w:color="6F6652"/>
              <w:bottom w:val="single" w:sz="4" w:space="0" w:color="6F6652"/>
              <w:right w:val="nil"/>
            </w:tcBorders>
            <w:shd w:val="clear" w:color="auto" w:fill="C2DADB" w:themeFill="accent6" w:themeFillTint="99"/>
            <w:tcMar>
              <w:top w:w="0" w:type="dxa"/>
              <w:left w:w="57" w:type="dxa"/>
              <w:bottom w:w="0" w:type="dxa"/>
              <w:right w:w="57" w:type="dxa"/>
            </w:tcMar>
            <w:hideMark/>
          </w:tcPr>
          <w:p w:rsidR="008F54CE" w:rsidRDefault="008F54CE" w:rsidP="00911DED">
            <w:pPr>
              <w:spacing w:before="120" w:after="80" w:line="240" w:lineRule="auto"/>
              <w:rPr>
                <w:rFonts w:ascii="Franklin Gothic Book" w:eastAsia="Times New Roman" w:hAnsi="Franklin Gothic Book"/>
                <w:b/>
                <w:bCs/>
                <w:i/>
                <w:iCs/>
                <w:sz w:val="20"/>
                <w:lang w:eastAsia="en-US"/>
              </w:rPr>
            </w:pPr>
            <w:r>
              <w:rPr>
                <w:rFonts w:ascii="Franklin Gothic Book" w:hAnsi="Franklin Gothic Book"/>
                <w:bCs/>
                <w:sz w:val="16"/>
                <w:szCs w:val="16"/>
              </w:rPr>
              <w:t>Whole of Government</w:t>
            </w:r>
          </w:p>
        </w:tc>
        <w:tc>
          <w:tcPr>
            <w:tcW w:w="2761"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left"/>
            </w:pPr>
          </w:p>
        </w:tc>
        <w:tc>
          <w:tcPr>
            <w:tcW w:w="573" w:type="dxa"/>
            <w:tcBorders>
              <w:top w:val="single" w:sz="4" w:space="0" w:color="6F6652"/>
              <w:left w:val="nil"/>
              <w:bottom w:val="single" w:sz="4" w:space="0" w:color="6F6652"/>
              <w:right w:val="single" w:sz="4" w:space="0" w:color="6F6652"/>
            </w:tcBorders>
            <w:shd w:val="clear" w:color="auto" w:fill="C2DADB" w:themeFill="accent6" w:themeFillTint="99"/>
            <w:tcMar>
              <w:top w:w="0" w:type="dxa"/>
              <w:left w:w="57" w:type="dxa"/>
              <w:bottom w:w="0" w:type="dxa"/>
              <w:right w:w="57" w:type="dxa"/>
            </w:tcMar>
          </w:tcPr>
          <w:p w:rsidR="008F54CE" w:rsidRDefault="008F54CE" w:rsidP="00911DED">
            <w:pPr>
              <w:pStyle w:val="TableDataEntries"/>
              <w:spacing w:before="120" w:line="240" w:lineRule="auto"/>
              <w:jc w:val="center"/>
            </w:pP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ind w:left="85"/>
              <w:jc w:val="left"/>
            </w:pPr>
            <w:r>
              <w:t>Administrative efficiencies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6F36E7" w:rsidRDefault="006F36E7" w:rsidP="00911DED">
            <w:pPr>
              <w:pStyle w:val="TableDataEntries"/>
              <w:jc w:val="left"/>
            </w:pPr>
            <w:r>
              <w:t>$34 million in savings associated with review of existing structures and duplication</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6F36E7">
            <w:pPr>
              <w:jc w:val="center"/>
            </w:pPr>
            <w:r w:rsidRPr="00C44714">
              <w:rPr>
                <w:rFonts w:ascii="Symbol" w:hAnsi="Symbol" w:cs="Symbol"/>
                <w:color w:val="92D05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cente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center"/>
            </w:pPr>
            <w:r w:rsidRPr="00330CF0">
              <w:rPr>
                <w:rFonts w:ascii="Symbol" w:hAnsi="Symbol" w:cs="Symbol"/>
                <w:color w:val="FFC000"/>
                <w:sz w:val="28"/>
                <w:szCs w:val="28"/>
                <w:lang w:eastAsia="en-AU"/>
              </w:rPr>
              <w:t></w:t>
            </w: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ind w:left="85"/>
              <w:jc w:val="left"/>
            </w:pPr>
            <w:r>
              <w:t>Digital dividend investment strategy and transformational service delivery</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hideMark/>
          </w:tcPr>
          <w:p w:rsidR="006F36E7" w:rsidRDefault="006F36E7" w:rsidP="00911DED">
            <w:pPr>
              <w:pStyle w:val="TableDataEntries"/>
              <w:jc w:val="left"/>
            </w:pPr>
            <w:r>
              <w:t>$25 million in savings through greater application of electronic and online technologies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6F36E7">
            <w:pPr>
              <w:jc w:val="center"/>
            </w:pPr>
            <w:r w:rsidRPr="00C44714">
              <w:rPr>
                <w:rFonts w:ascii="Symbol" w:hAnsi="Symbol" w:cs="Symbol"/>
                <w:color w:val="92D05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r>
              <w:t>Less requirements for physical locations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center"/>
            </w:pPr>
            <w:r w:rsidRPr="006F36E7">
              <w:rPr>
                <w:rFonts w:ascii="Symbol" w:hAnsi="Symbol" w:cs="Symbol"/>
                <w:color w:val="92D05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center"/>
            </w:pPr>
          </w:p>
        </w:tc>
      </w:tr>
      <w:tr w:rsidR="008F54CE"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Pr="005F304C" w:rsidRDefault="008F54CE" w:rsidP="00911DED">
            <w:pPr>
              <w:pStyle w:val="TableDataEntries"/>
              <w:ind w:left="85"/>
              <w:jc w:val="left"/>
            </w:pPr>
            <w:r w:rsidRPr="005F304C">
              <w:t>Fire and Emergency Services levy</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8F54CE" w:rsidRPr="005F304C" w:rsidRDefault="008F54CE" w:rsidP="00911DED">
            <w:pPr>
              <w:pStyle w:val="TableDataEntries"/>
              <w:jc w:val="left"/>
            </w:pPr>
            <w:r w:rsidRPr="005F304C">
              <w:t>$19 million in revenue to cover additional costs incurred by the Emergency Services Authority in providing services; recovering funding lost through the cessation of a National Partnership Payment scheme</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Pr="005F304C" w:rsidRDefault="006F36E7" w:rsidP="00911DED">
            <w:pPr>
              <w:pStyle w:val="TableDataEntries"/>
              <w:jc w:val="center"/>
              <w:rPr>
                <w:rFonts w:ascii="Symbol" w:hAnsi="Symbol" w:cs="Symbol"/>
                <w:color w:val="6F6652"/>
                <w:sz w:val="28"/>
                <w:szCs w:val="28"/>
                <w:lang w:eastAsia="en-AU"/>
              </w:rPr>
            </w:pPr>
            <w:r w:rsidRPr="00330CF0">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Pr="004304F5" w:rsidRDefault="008F54CE" w:rsidP="00911DED">
            <w:pPr>
              <w:pStyle w:val="TableDataEntries"/>
              <w:jc w:val="left"/>
              <w:rPr>
                <w:highlight w:val="yellow"/>
              </w:rPr>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Pr="004304F5" w:rsidRDefault="008F54CE" w:rsidP="00911DED">
            <w:pPr>
              <w:pStyle w:val="TableDataEntries"/>
              <w:jc w:val="center"/>
              <w:rPr>
                <w:rFonts w:ascii="Symbol" w:hAnsi="Symbol" w:cs="Symbol"/>
                <w:color w:val="6F6652"/>
                <w:sz w:val="28"/>
                <w:szCs w:val="28"/>
                <w:highlight w:val="yellow"/>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Pr="004304F5" w:rsidRDefault="008F54CE" w:rsidP="00911DED">
            <w:pPr>
              <w:pStyle w:val="TableDataEntries"/>
              <w:jc w:val="left"/>
              <w:rPr>
                <w:highlight w:val="yellow"/>
              </w:rPr>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8F54CE" w:rsidRPr="004304F5" w:rsidRDefault="008F54CE" w:rsidP="00911DED">
            <w:pPr>
              <w:pStyle w:val="TableDataEntries"/>
              <w:jc w:val="center"/>
              <w:rPr>
                <w:highlight w:val="yellow"/>
              </w:rPr>
            </w:pP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5F304C" w:rsidRDefault="006F36E7" w:rsidP="00911DED">
            <w:pPr>
              <w:pStyle w:val="TableDataEntries"/>
              <w:ind w:left="85"/>
              <w:jc w:val="left"/>
            </w:pPr>
            <w:r w:rsidRPr="005F304C">
              <w:t>Land Tax Reforms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Pr="005F304C" w:rsidRDefault="006F36E7" w:rsidP="00911DED">
            <w:pPr>
              <w:pStyle w:val="TableDataEntries"/>
              <w:jc w:val="left"/>
            </w:pPr>
            <w:r w:rsidRPr="005F304C">
              <w:t>$40 million in revenue</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E765E5">
              <w:rPr>
                <w:rFonts w:ascii="Symbol" w:hAnsi="Symbol" w:cs="Symbol"/>
                <w:color w:val="92D05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left"/>
              <w:rPr>
                <w:highlight w:val="yellow"/>
              </w:rPr>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center"/>
              <w:rPr>
                <w:rFonts w:ascii="Symbol" w:hAnsi="Symbol" w:cs="Symbol"/>
                <w:color w:val="6F6652"/>
                <w:sz w:val="28"/>
                <w:szCs w:val="28"/>
                <w:highlight w:val="yellow"/>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left"/>
              <w:rPr>
                <w:highlight w:val="yellow"/>
              </w:rPr>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center"/>
              <w:rPr>
                <w:highlight w:val="yellow"/>
              </w:rPr>
            </w:pP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5F304C" w:rsidRDefault="006F36E7" w:rsidP="00911DED">
            <w:pPr>
              <w:pStyle w:val="TableDataEntries"/>
              <w:ind w:left="85"/>
              <w:jc w:val="left"/>
            </w:pPr>
            <w:r w:rsidRPr="005F304C">
              <w:t>Payroll tax harmonisation</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Pr="005F304C" w:rsidRDefault="006F36E7" w:rsidP="00911DED">
            <w:pPr>
              <w:pStyle w:val="TableDataEntries"/>
              <w:jc w:val="left"/>
            </w:pPr>
            <w:r w:rsidRPr="005F304C">
              <w:t>$40 million in revenue</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E765E5">
              <w:rPr>
                <w:rFonts w:ascii="Symbol" w:hAnsi="Symbol" w:cs="Symbol"/>
                <w:color w:val="92D05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left"/>
              <w:rPr>
                <w:highlight w:val="yellow"/>
              </w:rPr>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center"/>
              <w:rPr>
                <w:rFonts w:ascii="Symbol" w:hAnsi="Symbol" w:cs="Symbol"/>
                <w:color w:val="6F6652"/>
                <w:sz w:val="28"/>
                <w:szCs w:val="28"/>
                <w:highlight w:val="yellow"/>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left"/>
              <w:rPr>
                <w:highlight w:val="yellow"/>
              </w:rPr>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center"/>
              <w:rPr>
                <w:highlight w:val="yellow"/>
              </w:rPr>
            </w:pP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5F304C" w:rsidRDefault="006F36E7" w:rsidP="00911DED">
            <w:pPr>
              <w:pStyle w:val="TableDataEntries"/>
              <w:ind w:left="85"/>
              <w:jc w:val="left"/>
            </w:pPr>
            <w:r w:rsidRPr="005F304C">
              <w:t>Increase to payroll tax threshold</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Pr="005F304C" w:rsidRDefault="006F36E7" w:rsidP="00911DED">
            <w:pPr>
              <w:pStyle w:val="TableDataEntries"/>
              <w:jc w:val="left"/>
            </w:pPr>
            <w:r w:rsidRPr="005F304C">
              <w:t>$9.4 million in lost revenue</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636EF7">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left"/>
              <w:rPr>
                <w:highlight w:val="yellow"/>
              </w:rPr>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center"/>
              <w:rPr>
                <w:rFonts w:ascii="Symbol" w:hAnsi="Symbol" w:cs="Symbol"/>
                <w:color w:val="6F6652"/>
                <w:sz w:val="28"/>
                <w:szCs w:val="28"/>
                <w:highlight w:val="yellow"/>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left"/>
              <w:rPr>
                <w:highlight w:val="yellow"/>
              </w:rPr>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center"/>
              <w:rPr>
                <w:highlight w:val="yellow"/>
              </w:rPr>
            </w:pP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5F304C" w:rsidRDefault="006F36E7" w:rsidP="00911DED">
            <w:pPr>
              <w:pStyle w:val="TableDataEntries"/>
              <w:ind w:left="85"/>
              <w:jc w:val="left"/>
            </w:pPr>
            <w:r w:rsidRPr="005F304C">
              <w:t>Regulatory Service Fees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Pr="005F304C" w:rsidRDefault="006F36E7" w:rsidP="00911DED">
            <w:pPr>
              <w:pStyle w:val="TableDataEntries"/>
              <w:jc w:val="left"/>
            </w:pPr>
            <w:r w:rsidRPr="005F304C">
              <w:t xml:space="preserve">Establishes a 4 per cent rate of indexation of regulatory service fees </w:t>
            </w:r>
            <w:r w:rsidRPr="005F304C">
              <w:lastRenderedPageBreak/>
              <w:t>for each year of the forward estimates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636EF7">
              <w:rPr>
                <w:rFonts w:ascii="Symbol" w:hAnsi="Symbol" w:cs="Symbol"/>
                <w:color w:val="FFC000"/>
                <w:sz w:val="28"/>
                <w:szCs w:val="28"/>
              </w:rPr>
              <w:lastRenderedPageBreak/>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left"/>
              <w:rPr>
                <w:highlight w:val="yellow"/>
              </w:rPr>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center"/>
              <w:rPr>
                <w:rFonts w:ascii="Symbol" w:hAnsi="Symbol" w:cs="Symbol"/>
                <w:color w:val="6F6652"/>
                <w:sz w:val="28"/>
                <w:szCs w:val="28"/>
                <w:highlight w:val="yellow"/>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left"/>
              <w:rPr>
                <w:highlight w:val="yellow"/>
              </w:rPr>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center"/>
              <w:rPr>
                <w:highlight w:val="yellow"/>
              </w:rPr>
            </w:pP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5F304C" w:rsidRDefault="006F36E7" w:rsidP="00911DED">
            <w:pPr>
              <w:pStyle w:val="TableDataEntries"/>
              <w:ind w:left="85"/>
              <w:jc w:val="left"/>
            </w:pPr>
            <w:r w:rsidRPr="005F304C">
              <w:lastRenderedPageBreak/>
              <w:t>Traffic and Parking Fines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vAlign w:val="center"/>
          </w:tcPr>
          <w:p w:rsidR="006F36E7" w:rsidRPr="005F304C" w:rsidRDefault="006F36E7" w:rsidP="00911DED">
            <w:pPr>
              <w:pStyle w:val="TableDataEntries"/>
              <w:jc w:val="left"/>
            </w:pPr>
            <w:r w:rsidRPr="005F304C">
              <w:t>Indexation of these fines of 6 per cent for each year of the forward estimates</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6F36E7">
            <w:pPr>
              <w:jc w:val="center"/>
            </w:pPr>
            <w:r w:rsidRPr="00C3328F">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left"/>
              <w:rPr>
                <w:highlight w:val="yellow"/>
              </w:rPr>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center"/>
              <w:rPr>
                <w:rFonts w:ascii="Symbol" w:hAnsi="Symbol" w:cs="Symbol"/>
                <w:color w:val="6F6652"/>
                <w:sz w:val="28"/>
                <w:szCs w:val="28"/>
                <w:highlight w:val="yellow"/>
                <w:lang w:eastAsia="en-AU"/>
              </w:rPr>
            </w:pP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left"/>
              <w:rPr>
                <w:highlight w:val="yellow"/>
              </w:rPr>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Pr="004304F5" w:rsidRDefault="006F36E7" w:rsidP="00911DED">
            <w:pPr>
              <w:pStyle w:val="TableDataEntries"/>
              <w:jc w:val="center"/>
              <w:rPr>
                <w:highlight w:val="yellow"/>
              </w:rPr>
            </w:pPr>
          </w:p>
        </w:tc>
      </w:tr>
      <w:tr w:rsidR="006F36E7" w:rsidTr="00911DED">
        <w:tc>
          <w:tcPr>
            <w:tcW w:w="3544" w:type="dxa"/>
            <w:tcBorders>
              <w:top w:val="single" w:sz="4" w:space="0" w:color="6F6652"/>
              <w:left w:val="single" w:sz="4" w:space="0" w:color="6F6652"/>
              <w:bottom w:val="single" w:sz="4" w:space="0" w:color="6F6652"/>
              <w:right w:val="nil"/>
            </w:tcBorders>
            <w:shd w:val="clear" w:color="auto" w:fill="C2DADB" w:themeFill="accent6" w:themeFillTint="99"/>
            <w:tcMar>
              <w:top w:w="0" w:type="dxa"/>
              <w:left w:w="57" w:type="dxa"/>
              <w:bottom w:w="0" w:type="dxa"/>
              <w:right w:w="57" w:type="dxa"/>
            </w:tcMar>
            <w:hideMark/>
          </w:tcPr>
          <w:p w:rsidR="006F36E7" w:rsidRDefault="006F36E7" w:rsidP="00911DED">
            <w:pPr>
              <w:spacing w:before="120" w:after="80" w:line="240" w:lineRule="auto"/>
              <w:rPr>
                <w:rFonts w:ascii="Franklin Gothic Book" w:eastAsia="Times New Roman" w:hAnsi="Franklin Gothic Book"/>
                <w:b/>
                <w:bCs/>
                <w:i/>
                <w:iCs/>
                <w:sz w:val="20"/>
                <w:lang w:eastAsia="en-US"/>
              </w:rPr>
            </w:pPr>
            <w:r>
              <w:rPr>
                <w:rFonts w:ascii="Franklin Gothic Book" w:hAnsi="Franklin Gothic Book"/>
                <w:bCs/>
                <w:sz w:val="16"/>
                <w:szCs w:val="16"/>
              </w:rPr>
              <w:t>Canberra Institute of Technology</w:t>
            </w:r>
          </w:p>
        </w:tc>
        <w:tc>
          <w:tcPr>
            <w:tcW w:w="2761"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6F36E7" w:rsidRDefault="006F36E7"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6F36E7" w:rsidRDefault="006F36E7" w:rsidP="006F36E7">
            <w:pPr>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6F36E7" w:rsidRDefault="006F36E7" w:rsidP="00911DED">
            <w:pPr>
              <w:pStyle w:val="TableDataEntries"/>
              <w:spacing w:before="120" w:line="240" w:lineRule="auto"/>
              <w:jc w:val="left"/>
            </w:pPr>
          </w:p>
        </w:tc>
        <w:tc>
          <w:tcPr>
            <w:tcW w:w="57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6F36E7" w:rsidRDefault="006F36E7" w:rsidP="00911DED">
            <w:pPr>
              <w:pStyle w:val="TableDataEntries"/>
              <w:spacing w:before="120" w:line="240" w:lineRule="auto"/>
              <w:jc w:val="center"/>
            </w:pPr>
          </w:p>
        </w:tc>
        <w:tc>
          <w:tcPr>
            <w:tcW w:w="2723" w:type="dxa"/>
            <w:tcBorders>
              <w:top w:val="single" w:sz="4" w:space="0" w:color="6F6652"/>
              <w:left w:val="nil"/>
              <w:bottom w:val="single" w:sz="4" w:space="0" w:color="6F6652"/>
              <w:right w:val="nil"/>
            </w:tcBorders>
            <w:shd w:val="clear" w:color="auto" w:fill="C2DADB" w:themeFill="accent6" w:themeFillTint="99"/>
            <w:tcMar>
              <w:top w:w="0" w:type="dxa"/>
              <w:left w:w="57" w:type="dxa"/>
              <w:bottom w:w="0" w:type="dxa"/>
              <w:right w:w="57" w:type="dxa"/>
            </w:tcMar>
          </w:tcPr>
          <w:p w:rsidR="006F36E7" w:rsidRDefault="006F36E7" w:rsidP="00911DED">
            <w:pPr>
              <w:pStyle w:val="TableDataEntries"/>
              <w:spacing w:before="120" w:line="240" w:lineRule="auto"/>
              <w:jc w:val="left"/>
            </w:pPr>
          </w:p>
        </w:tc>
        <w:tc>
          <w:tcPr>
            <w:tcW w:w="573" w:type="dxa"/>
            <w:tcBorders>
              <w:top w:val="single" w:sz="4" w:space="0" w:color="6F6652"/>
              <w:left w:val="nil"/>
              <w:bottom w:val="single" w:sz="4" w:space="0" w:color="6F6652"/>
              <w:right w:val="single" w:sz="4" w:space="0" w:color="6F6652"/>
            </w:tcBorders>
            <w:shd w:val="clear" w:color="auto" w:fill="C2DADB" w:themeFill="accent6" w:themeFillTint="99"/>
            <w:tcMar>
              <w:top w:w="0" w:type="dxa"/>
              <w:left w:w="57" w:type="dxa"/>
              <w:bottom w:w="0" w:type="dxa"/>
              <w:right w:w="57" w:type="dxa"/>
            </w:tcMar>
          </w:tcPr>
          <w:p w:rsidR="006F36E7" w:rsidRDefault="006F36E7" w:rsidP="00911DED">
            <w:pPr>
              <w:pStyle w:val="TableDataEntries"/>
              <w:spacing w:before="120" w:line="240" w:lineRule="auto"/>
              <w:jc w:val="center"/>
            </w:pPr>
          </w:p>
        </w:tc>
      </w:tr>
      <w:tr w:rsidR="006F36E7" w:rsidTr="00911DED">
        <w:tc>
          <w:tcPr>
            <w:tcW w:w="3544"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ind w:left="85"/>
              <w:jc w:val="left"/>
            </w:pPr>
            <w:r>
              <w:t>CIT Campus Modernisation – Tuggeranong Campus</w:t>
            </w:r>
          </w:p>
        </w:tc>
        <w:tc>
          <w:tcPr>
            <w:tcW w:w="2761"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left"/>
            </w:pPr>
            <w:r>
              <w:t>Not for Publication expenses to develop a campus modernisation strategy and the allocation of funds for the provision of infrastructure</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6F36E7">
            <w:pPr>
              <w:jc w:val="center"/>
            </w:pPr>
            <w:r w:rsidRPr="00C3328F">
              <w:rPr>
                <w:rFonts w:ascii="Symbol" w:hAnsi="Symbol" w:cs="Symbol"/>
                <w:color w:val="FFC000"/>
                <w:sz w:val="28"/>
                <w:szCs w:val="28"/>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tcPr>
          <w:p w:rsidR="006F36E7" w:rsidRDefault="006F36E7" w:rsidP="00911DED">
            <w:pPr>
              <w:pStyle w:val="TableDataEntries"/>
              <w:jc w:val="left"/>
            </w:pP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center"/>
            </w:pPr>
            <w:r w:rsidRPr="00C3328F">
              <w:rPr>
                <w:rFonts w:ascii="Symbol" w:hAnsi="Symbol" w:cs="Symbol"/>
                <w:color w:val="FFC000"/>
                <w:sz w:val="28"/>
                <w:szCs w:val="28"/>
                <w:lang w:eastAsia="en-AU"/>
              </w:rPr>
              <w:t></w:t>
            </w:r>
          </w:p>
        </w:tc>
        <w:tc>
          <w:tcPr>
            <w:tcW w:w="272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left"/>
            </w:pPr>
            <w:r>
              <w:t>Improved outcomes for young people studying at CIT</w:t>
            </w:r>
          </w:p>
        </w:tc>
        <w:tc>
          <w:tcPr>
            <w:tcW w:w="573" w:type="dxa"/>
            <w:tcBorders>
              <w:top w:val="single" w:sz="4" w:space="0" w:color="6F6652"/>
              <w:left w:val="single" w:sz="4" w:space="0" w:color="6F6652"/>
              <w:bottom w:val="single" w:sz="4" w:space="0" w:color="6F6652"/>
              <w:right w:val="single" w:sz="4" w:space="0" w:color="6F6652"/>
            </w:tcBorders>
            <w:tcMar>
              <w:top w:w="0" w:type="dxa"/>
              <w:left w:w="57" w:type="dxa"/>
              <w:bottom w:w="0" w:type="dxa"/>
              <w:right w:w="57" w:type="dxa"/>
            </w:tcMar>
            <w:hideMark/>
          </w:tcPr>
          <w:p w:rsidR="006F36E7" w:rsidRDefault="006F36E7" w:rsidP="00911DED">
            <w:pPr>
              <w:pStyle w:val="TableDataEntries"/>
              <w:jc w:val="center"/>
            </w:pPr>
            <w:r w:rsidRPr="006F36E7">
              <w:rPr>
                <w:rFonts w:ascii="Symbol" w:hAnsi="Symbol" w:cs="Symbol"/>
                <w:color w:val="92D050"/>
                <w:sz w:val="28"/>
                <w:szCs w:val="28"/>
                <w:lang w:eastAsia="en-AU"/>
              </w:rPr>
              <w:t></w:t>
            </w:r>
          </w:p>
        </w:tc>
      </w:tr>
    </w:tbl>
    <w:p w:rsidR="008F54CE" w:rsidRDefault="008F54CE" w:rsidP="008F54CE">
      <w:pPr>
        <w:pStyle w:val="Source"/>
      </w:pPr>
      <w:r>
        <w:rPr>
          <w:i/>
        </w:rPr>
        <w:t>Source:</w:t>
      </w:r>
      <w:r>
        <w:t xml:space="preserve"> The CIE.</w:t>
      </w:r>
    </w:p>
    <w:p w:rsidR="008F54CE" w:rsidRDefault="008F54CE" w:rsidP="008F54CE">
      <w:pPr>
        <w:pStyle w:val="BodyText"/>
      </w:pPr>
    </w:p>
    <w:p w:rsidR="008F54CE" w:rsidRDefault="008F54CE" w:rsidP="008F54CE">
      <w:pPr>
        <w:pStyle w:val="BodyText"/>
      </w:pPr>
    </w:p>
    <w:p w:rsidR="008F54CE" w:rsidRDefault="008F54CE" w:rsidP="008F54CE">
      <w:pPr>
        <w:pStyle w:val="BodyText"/>
        <w:sectPr w:rsidR="008F54CE" w:rsidSect="00911DED">
          <w:headerReference w:type="even" r:id="rId39"/>
          <w:headerReference w:type="default" r:id="rId40"/>
          <w:footerReference w:type="even" r:id="rId41"/>
          <w:footerReference w:type="default" r:id="rId42"/>
          <w:pgSz w:w="16838" w:h="11906" w:orient="landscape" w:code="9"/>
          <w:pgMar w:top="993" w:right="2268" w:bottom="1276" w:left="1418" w:header="851" w:footer="510" w:gutter="0"/>
          <w:cols w:space="708"/>
          <w:docGrid w:linePitch="360"/>
        </w:sectPr>
      </w:pPr>
    </w:p>
    <w:p w:rsidR="008F54CE" w:rsidRPr="003966C8" w:rsidRDefault="008F54CE" w:rsidP="00FE1F43">
      <w:pPr>
        <w:pStyle w:val="Heading6"/>
        <w:numPr>
          <w:ilvl w:val="0"/>
          <w:numId w:val="0"/>
        </w:numPr>
        <w:ind w:left="567" w:hanging="567"/>
      </w:pPr>
      <w:bookmarkStart w:id="1079" w:name="_Toc358813437"/>
      <w:bookmarkStart w:id="1080" w:name="_Toc390427323"/>
      <w:r w:rsidRPr="003966C8">
        <w:lastRenderedPageBreak/>
        <w:t>References</w:t>
      </w:r>
      <w:bookmarkEnd w:id="1079"/>
      <w:bookmarkEnd w:id="1080"/>
    </w:p>
    <w:p w:rsidR="008F54CE" w:rsidRDefault="008F54CE" w:rsidP="008F54CE">
      <w:pPr>
        <w:pStyle w:val="Reference"/>
      </w:pPr>
      <w:r>
        <w:t xml:space="preserve">ACT Government, 2012, ‘Fairer, simpler and more efficient taxes’, Released 5 June 2012, </w:t>
      </w:r>
      <w:r w:rsidRPr="0077495B">
        <w:t>http://www.cmd.act.gov.au/open_government/inform/act_government_media_releases/barr/2012/fairer,_simpler_and_more_efficient_taxes</w:t>
      </w:r>
    </w:p>
    <w:p w:rsidR="008F54CE" w:rsidRDefault="008F54CE" w:rsidP="008F54CE">
      <w:pPr>
        <w:pStyle w:val="Reference"/>
      </w:pPr>
      <w:r>
        <w:t xml:space="preserve">ACT Government Chief Minister and Treasury (ACT Treasury), 2013a, </w:t>
      </w:r>
      <w:r w:rsidRPr="00465F41">
        <w:rPr>
          <w:i/>
        </w:rPr>
        <w:t>Labour Force – April 2013</w:t>
      </w:r>
      <w:r>
        <w:t xml:space="preserve">, </w:t>
      </w:r>
      <w:r w:rsidRPr="00465F41">
        <w:t>http://apps.treasury.act.gov.au/snapshot/?a=399983</w:t>
      </w:r>
    </w:p>
    <w:p w:rsidR="008F54CE" w:rsidRDefault="008F54CE" w:rsidP="008F54CE">
      <w:pPr>
        <w:pStyle w:val="Reference"/>
      </w:pPr>
      <w:r>
        <w:t xml:space="preserve">ACT Government Chief Minister and Treasury (ACT Treasury), 2013b, </w:t>
      </w:r>
      <w:r w:rsidRPr="0077495B">
        <w:rPr>
          <w:i/>
        </w:rPr>
        <w:t>Consumer Price Index – March Quarter 2013</w:t>
      </w:r>
      <w:r>
        <w:t xml:space="preserve">, </w:t>
      </w:r>
      <w:hyperlink r:id="rId43" w:history="1">
        <w:r w:rsidRPr="0077495B">
          <w:t>http://apps.treasury.act.gov.au/snapshot/?a=399978</w:t>
        </w:r>
      </w:hyperlink>
      <w:r>
        <w:t xml:space="preserve"> </w:t>
      </w:r>
    </w:p>
    <w:p w:rsidR="008F54CE" w:rsidRPr="0077495B" w:rsidRDefault="008F54CE" w:rsidP="008F54CE">
      <w:pPr>
        <w:pStyle w:val="Reference"/>
      </w:pPr>
      <w:r>
        <w:t xml:space="preserve">ACT Government Chief Minister and Treasury (ACT Treasury), 2013c, </w:t>
      </w:r>
      <w:r w:rsidRPr="0077495B">
        <w:rPr>
          <w:i/>
        </w:rPr>
        <w:t>Wage Price Index – March Quarter 2013</w:t>
      </w:r>
      <w:r>
        <w:rPr>
          <w:i/>
        </w:rPr>
        <w:t xml:space="preserve">, </w:t>
      </w:r>
      <w:r w:rsidRPr="0077495B">
        <w:t>http://apps.treasury.act.gov.au/snapshot/?a=399993</w:t>
      </w:r>
    </w:p>
    <w:p w:rsidR="008F54CE" w:rsidRDefault="008F54CE" w:rsidP="008F54CE">
      <w:pPr>
        <w:pStyle w:val="Reference"/>
      </w:pPr>
      <w:r>
        <w:t xml:space="preserve">Australian Industry Group (AIG), 2013, ‘Australian states outlook, February 2013’, </w:t>
      </w:r>
      <w:hyperlink r:id="rId44" w:history="1">
        <w:r w:rsidRPr="006D4951">
          <w:t>http://www.aigroup.com.au/portal/binary/com.epicentric.contentmanagement.servlet.ContentDeliveryServlet/LIVE_CONTENT/Publications/Reports/2013/States_Outlook_Feb_2013_Final.pdf</w:t>
        </w:r>
      </w:hyperlink>
      <w:r w:rsidR="00FE1F43">
        <w:t xml:space="preserve"> </w:t>
      </w:r>
    </w:p>
    <w:p w:rsidR="008F54CE" w:rsidRDefault="008F54CE" w:rsidP="008F54CE">
      <w:pPr>
        <w:pStyle w:val="Reference"/>
      </w:pPr>
      <w:r>
        <w:t xml:space="preserve">Australian Property Monitors, 2011, </w:t>
      </w:r>
      <w:r w:rsidRPr="0077495B">
        <w:rPr>
          <w:i/>
        </w:rPr>
        <w:t>House Price Report</w:t>
      </w:r>
      <w:r>
        <w:t xml:space="preserve">, December 2011, </w:t>
      </w:r>
      <w:r w:rsidRPr="0077495B">
        <w:t>h</w:t>
      </w:r>
      <w:bookmarkStart w:id="1081" w:name="OLE_LINK1"/>
      <w:bookmarkStart w:id="1082" w:name="OLE_LINK2"/>
      <w:r w:rsidRPr="0077495B">
        <w:t>ttp://www.domain.com.au/content/files/apm/reports/APM_House_Price_Report_Dec_11_FINAL.pdf</w:t>
      </w:r>
    </w:p>
    <w:bookmarkEnd w:id="1081"/>
    <w:bookmarkEnd w:id="1082"/>
    <w:p w:rsidR="008F54CE" w:rsidRDefault="008F54CE" w:rsidP="008F54CE">
      <w:pPr>
        <w:pStyle w:val="Reference"/>
      </w:pPr>
      <w:r>
        <w:t xml:space="preserve">RBA, 2012, Minutes of the monetary policy meeting of the Reserve Bank Board, 6 November 2012, </w:t>
      </w:r>
      <w:hyperlink r:id="rId45" w:history="1">
        <w:r w:rsidRPr="0077495B">
          <w:t>http://www.rba.gov.au/monetary-policy/rba-board-minutes/2012/06112012.html</w:t>
        </w:r>
      </w:hyperlink>
      <w:r>
        <w:t xml:space="preserve"> </w:t>
      </w:r>
    </w:p>
    <w:p w:rsidR="008F54CE" w:rsidRDefault="008F54CE" w:rsidP="008F54CE">
      <w:pPr>
        <w:pStyle w:val="Reference"/>
      </w:pPr>
      <w:r>
        <w:t xml:space="preserve">RBA, 2013, </w:t>
      </w:r>
      <w:r w:rsidRPr="00BE3558">
        <w:rPr>
          <w:i/>
        </w:rPr>
        <w:t>Economic Outlook: The International Economy</w:t>
      </w:r>
      <w:r>
        <w:t xml:space="preserve">, Statement on Monetary Policy, Ch. 6, </w:t>
      </w:r>
      <w:hyperlink r:id="rId46" w:history="1">
        <w:r w:rsidRPr="0077495B">
          <w:t>http://www.rba.gov.au/publications/smp/2013/feb/html/eco-outlook.html</w:t>
        </w:r>
      </w:hyperlink>
      <w:r>
        <w:t xml:space="preserve"> </w:t>
      </w:r>
    </w:p>
    <w:p w:rsidR="008F54CE" w:rsidRDefault="008F54CE" w:rsidP="008F54CE">
      <w:pPr>
        <w:pStyle w:val="Reference"/>
      </w:pPr>
      <w:r>
        <w:t xml:space="preserve">Super Ratings, 2013, Latest Returns, </w:t>
      </w:r>
      <w:hyperlink r:id="rId47" w:history="1">
        <w:r w:rsidRPr="00D42A5C">
          <w:t>http://www.superratings.com.au/latest-returns/returns</w:t>
        </w:r>
      </w:hyperlink>
      <w:r>
        <w:t xml:space="preserve"> </w:t>
      </w:r>
    </w:p>
    <w:p w:rsidR="008F54CE" w:rsidRDefault="008F54CE" w:rsidP="008F54CE">
      <w:pPr>
        <w:pStyle w:val="BodyText"/>
        <w:sectPr w:rsidR="008F54CE" w:rsidSect="008F54CE">
          <w:headerReference w:type="even" r:id="rId48"/>
          <w:headerReference w:type="default" r:id="rId49"/>
          <w:footerReference w:type="even" r:id="rId50"/>
          <w:footerReference w:type="default" r:id="rId51"/>
          <w:pgSz w:w="11906" w:h="16838" w:code="9"/>
          <w:pgMar w:top="2268" w:right="1701" w:bottom="1418" w:left="2268" w:header="680" w:footer="680" w:gutter="0"/>
          <w:cols w:space="708"/>
          <w:docGrid w:linePitch="360"/>
        </w:sectPr>
      </w:pPr>
    </w:p>
    <w:p w:rsidR="007C66FD" w:rsidRPr="007C66FD" w:rsidRDefault="008F54CE" w:rsidP="007C66FD">
      <w:pPr>
        <w:pStyle w:val="BodyText"/>
      </w:pPr>
      <w:r>
        <w:rPr>
          <w:noProof/>
        </w:rPr>
        <w:lastRenderedPageBreak/>
        <w:drawing>
          <wp:anchor distT="0" distB="0" distL="114300" distR="114300" simplePos="0" relativeHeight="251665408" behindDoc="0" locked="0" layoutInCell="0" allowOverlap="1">
            <wp:simplePos x="0" y="0"/>
            <wp:positionH relativeFrom="page">
              <wp:posOffset>0</wp:posOffset>
            </wp:positionH>
            <wp:positionV relativeFrom="page">
              <wp:posOffset>0</wp:posOffset>
            </wp:positionV>
            <wp:extent cx="7559675" cy="10691495"/>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ients\CIE, New templates\Logo &amp; cover options\Final artwork\report cover graphics\backcover_600dpi.png"/>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59675" cy="10691495"/>
                    </a:xfrm>
                    <a:prstGeom prst="rect">
                      <a:avLst/>
                    </a:prstGeom>
                    <a:noFill/>
                    <a:ln>
                      <a:noFill/>
                    </a:ln>
                  </pic:spPr>
                </pic:pic>
              </a:graphicData>
            </a:graphic>
          </wp:anchor>
        </w:drawing>
      </w:r>
      <w:r w:rsidR="00B40B86">
        <w:rPr>
          <w:noProof/>
        </w:rPr>
        <w:pict>
          <v:shapetype id="_x0000_t202" coordsize="21600,21600" o:spt="202" path="m,l,21600r21600,l21600,xe">
            <v:stroke joinstyle="miter"/>
            <v:path gradientshapeok="t" o:connecttype="rect"/>
          </v:shapetype>
          <v:shape id="Text Box 21" o:spid="_x0000_s1028" type="#_x0000_t202" style="position:absolute;margin-left:96.95pt;margin-top:564.15pt;width:263.9pt;height:4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" o:allowincell="f" filled="f" stroked="f" strokeweight=".5pt">
            <v:textbox inset="0,0,0,0">
              <w:txbxContent>
                <w:p w:rsidR="00D733F1" w:rsidRPr="003E1F01" w:rsidRDefault="00D733F1" w:rsidP="008F54CE">
                  <w:pPr>
                    <w:pStyle w:val="BodyText"/>
                    <w:spacing w:before="0" w:line="240" w:lineRule="auto"/>
                    <w:rPr>
                      <w:rFonts w:ascii="Franklin Gothic Demi" w:hAnsi="Franklin Gothic Demi"/>
                      <w:caps/>
                      <w:spacing w:val="10"/>
                      <w:sz w:val="18"/>
                    </w:rPr>
                  </w:pPr>
                  <w:r w:rsidRPr="003E1F01">
                    <w:rPr>
                      <w:rFonts w:ascii="Franklin Gothic Demi" w:hAnsi="Franklin Gothic Demi"/>
                      <w:caps/>
                      <w:spacing w:val="10"/>
                      <w:sz w:val="18"/>
                    </w:rPr>
                    <w:t>The Centre for International Economics</w:t>
                  </w:r>
                </w:p>
                <w:p w:rsidR="00D733F1" w:rsidRPr="003E1F01" w:rsidRDefault="00D733F1" w:rsidP="008F54CE">
                  <w:pPr>
                    <w:pStyle w:val="BodyText"/>
                    <w:spacing w:before="0" w:line="240" w:lineRule="auto"/>
                    <w:rPr>
                      <w:i/>
                      <w:sz w:val="22"/>
                    </w:rPr>
                  </w:pPr>
                  <w:r w:rsidRPr="003E1F01">
                    <w:rPr>
                      <w:i/>
                      <w:sz w:val="22"/>
                    </w:rPr>
                    <w:t>www.TheCIE.com.au</w:t>
                  </w:r>
                </w:p>
              </w:txbxContent>
            </v:textbox>
            <w10:wrap anchorx="page" anchory="page"/>
          </v:shape>
        </w:pict>
      </w:r>
      <w:r w:rsidR="00F80C58">
        <w:rPr>
          <w:noProof/>
        </w:rPr>
        <w:drawing>
          <wp:anchor distT="0" distB="0" distL="114300" distR="114300" simplePos="0" relativeHeight="251662336" behindDoc="0" locked="0" layoutInCell="0" allowOverlap="1">
            <wp:simplePos x="0" y="0"/>
            <wp:positionH relativeFrom="page">
              <wp:posOffset>0</wp:posOffset>
            </wp:positionH>
            <wp:positionV relativeFrom="page">
              <wp:posOffset>0</wp:posOffset>
            </wp:positionV>
            <wp:extent cx="7559675" cy="10691495"/>
            <wp:effectExtent l="0" t="0" r="317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ients\CIE, New templates\Logo &amp; cover options\Final artwork\report cover graphics\backcover_600dpi.png"/>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59675" cy="10691495"/>
                    </a:xfrm>
                    <a:prstGeom prst="rect">
                      <a:avLst/>
                    </a:prstGeom>
                    <a:noFill/>
                    <a:ln>
                      <a:noFill/>
                    </a:ln>
                  </pic:spPr>
                </pic:pic>
              </a:graphicData>
            </a:graphic>
          </wp:anchor>
        </w:drawing>
      </w:r>
      <w:r w:rsidR="00B40B86">
        <w:rPr>
          <w:noProof/>
        </w:rPr>
        <w:pict>
          <v:shape id="Text Box 35" o:spid="_x0000_s1027" type="#_x0000_t202" style="position:absolute;margin-left:96.95pt;margin-top:564.15pt;width:263.9pt;height: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" o:allowincell="f" filled="f" stroked="f" strokeweight=".5pt">
            <v:textbox inset="0,0,0,0">
              <w:txbxContent>
                <w:p w:rsidR="00D733F1" w:rsidRPr="003E1F01" w:rsidRDefault="00D733F1" w:rsidP="00845AAE">
                  <w:pPr>
                    <w:pStyle w:val="BodyText"/>
                    <w:spacing w:before="0" w:line="240" w:lineRule="auto"/>
                    <w:rPr>
                      <w:rFonts w:ascii="Franklin Gothic Demi" w:hAnsi="Franklin Gothic Demi"/>
                      <w:caps/>
                      <w:spacing w:val="10"/>
                      <w:sz w:val="18"/>
                    </w:rPr>
                  </w:pPr>
                  <w:r w:rsidRPr="003E1F01">
                    <w:rPr>
                      <w:rFonts w:ascii="Franklin Gothic Demi" w:hAnsi="Franklin Gothic Demi"/>
                      <w:caps/>
                      <w:spacing w:val="10"/>
                      <w:sz w:val="18"/>
                    </w:rPr>
                    <w:t>The Centre for International Economics</w:t>
                  </w:r>
                </w:p>
                <w:p w:rsidR="00D733F1" w:rsidRPr="003E1F01" w:rsidRDefault="00D733F1" w:rsidP="00845AAE">
                  <w:pPr>
                    <w:pStyle w:val="BodyText"/>
                    <w:spacing w:before="0" w:line="240" w:lineRule="auto"/>
                    <w:rPr>
                      <w:i/>
                      <w:sz w:val="22"/>
                    </w:rPr>
                  </w:pPr>
                  <w:r w:rsidRPr="003E1F01">
                    <w:rPr>
                      <w:i/>
                      <w:sz w:val="22"/>
                    </w:rPr>
                    <w:t>www.TheCIE.com.au</w:t>
                  </w:r>
                </w:p>
              </w:txbxContent>
            </v:textbox>
            <w10:wrap anchorx="page" anchory="page"/>
          </v:shape>
        </w:pict>
      </w:r>
    </w:p>
    <w:sectPr w:rsidR="007C66FD" w:rsidRPr="007C66FD" w:rsidSect="008F54CE">
      <w:headerReference w:type="even" r:id="rId53"/>
      <w:headerReference w:type="default" r:id="rId54"/>
      <w:footerReference w:type="even" r:id="rId55"/>
      <w:footerReference w:type="default" r:id="rId56"/>
      <w:type w:val="evenPage"/>
      <w:pgSz w:w="11906" w:h="16838" w:code="9"/>
      <w:pgMar w:top="2268" w:right="1701" w:bottom="1418" w:left="2268" w:header="680" w:footer="68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3F1" w:rsidRDefault="00D733F1" w:rsidP="00996DC5">
      <w:pPr>
        <w:spacing w:line="240" w:lineRule="auto"/>
      </w:pPr>
      <w:r>
        <w:separator/>
      </w:r>
    </w:p>
  </w:endnote>
  <w:endnote w:type="continuationSeparator" w:id="0">
    <w:p w:rsidR="00D733F1" w:rsidRDefault="00D733F1" w:rsidP="00996D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Pr="009C5A0E" w:rsidRDefault="00D733F1" w:rsidP="00526E83">
    <w:pPr>
      <w:pStyle w:val="Footer"/>
    </w:pPr>
    <w:r>
      <w:t>www.TheCIE.com.au</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Default="00D733F1">
    <w:pPr>
      <w:pStyle w:val="Footer"/>
    </w:pPr>
    <w:r>
      <w:t>www.TheCIE.com.au</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Default="00D733F1" w:rsidP="00911DED">
    <w:pPr>
      <w:pStyle w:val="Footer"/>
      <w:jc w:val="right"/>
    </w:pPr>
    <w:r>
      <w:t>www.TheCIE.com.au</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Default="00D733F1">
    <w:pPr>
      <w:pStyle w:val="Footer"/>
    </w:pPr>
    <w:r>
      <w:t>www.TheCIE.com.au</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Default="00D733F1" w:rsidP="007C4C46">
    <w:pPr>
      <w:pStyle w:val="Footer"/>
      <w:jc w:val="right"/>
    </w:pPr>
    <w:r>
      <w:t>www.TheCIE.com.au</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Pr="009C5A0E" w:rsidRDefault="00D733F1" w:rsidP="00526E83">
    <w:pPr>
      <w:pStyle w:val="Footer"/>
      <w:jc w:val="right"/>
    </w:pPr>
    <w:r>
      <w:t>www.TheCIE.com.au</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Pr="00A731D9" w:rsidRDefault="00D733F1" w:rsidP="00526E8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Default="00D733F1">
    <w:pPr>
      <w:pStyle w:val="Footer"/>
    </w:pPr>
    <w:r>
      <w:t>www.TheCIE.com.au</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Default="00D733F1" w:rsidP="00526E83">
    <w:pPr>
      <w:pStyle w:val="Footer"/>
      <w:jc w:val="right"/>
    </w:pPr>
    <w:r>
      <w:t>www.TheCIE.com.au</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Default="00D733F1">
    <w:pPr>
      <w:pStyle w:val="Footer"/>
    </w:pPr>
    <w:r>
      <w:t>www.TheCIE.com.au</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Default="00D733F1" w:rsidP="00845AAE">
    <w:pPr>
      <w:pStyle w:val="Footer"/>
      <w:jc w:val="right"/>
    </w:pPr>
    <w:r>
      <w:t>www.TheCIE.com.au</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50" w:type="dxa"/>
      <w:tblInd w:w="8474" w:type="dxa"/>
      <w:tblLayout w:type="fixed"/>
      <w:tblLook w:val="0000"/>
    </w:tblPr>
    <w:tblGrid>
      <w:gridCol w:w="1081"/>
      <w:gridCol w:w="425"/>
      <w:gridCol w:w="284"/>
      <w:gridCol w:w="1134"/>
      <w:gridCol w:w="425"/>
      <w:gridCol w:w="284"/>
      <w:gridCol w:w="992"/>
      <w:gridCol w:w="425"/>
    </w:tblGrid>
    <w:tr w:rsidR="00D733F1" w:rsidRPr="00DA0361" w:rsidTr="00911DED">
      <w:tc>
        <w:tcPr>
          <w:tcW w:w="1081" w:type="dxa"/>
          <w:tcBorders>
            <w:top w:val="single" w:sz="4" w:space="0" w:color="6F6652"/>
            <w:left w:val="single" w:sz="4" w:space="0" w:color="6F6652"/>
            <w:bottom w:val="single" w:sz="4" w:space="0" w:color="6F6652"/>
            <w:right w:val="single" w:sz="4" w:space="0" w:color="6F6652"/>
          </w:tcBorders>
          <w:shd w:val="clear" w:color="auto" w:fill="auto"/>
          <w:tcMar>
            <w:left w:w="57" w:type="dxa"/>
            <w:right w:w="57" w:type="dxa"/>
          </w:tcMar>
          <w:vAlign w:val="center"/>
        </w:tcPr>
        <w:p w:rsidR="00D733F1" w:rsidRPr="00DA0361" w:rsidRDefault="00D733F1" w:rsidP="00911DED">
          <w:pPr>
            <w:pStyle w:val="TableUnit"/>
            <w:spacing w:before="120" w:after="40" w:line="240" w:lineRule="auto"/>
            <w:jc w:val="left"/>
            <w:rPr>
              <w:sz w:val="14"/>
              <w:szCs w:val="14"/>
            </w:rPr>
          </w:pPr>
          <w:r w:rsidRPr="00DA0361">
            <w:rPr>
              <w:sz w:val="14"/>
              <w:szCs w:val="14"/>
            </w:rPr>
            <w:t>Positive</w:t>
          </w:r>
          <w:r>
            <w:rPr>
              <w:sz w:val="14"/>
              <w:szCs w:val="14"/>
            </w:rPr>
            <w:t xml:space="preserve"> </w:t>
          </w:r>
        </w:p>
      </w:tc>
      <w:tc>
        <w:tcPr>
          <w:tcW w:w="425" w:type="dxa"/>
          <w:tcBorders>
            <w:top w:val="single" w:sz="4" w:space="0" w:color="6F6652"/>
            <w:left w:val="single" w:sz="4" w:space="0" w:color="6F6652"/>
            <w:bottom w:val="single" w:sz="4" w:space="0" w:color="6F6652"/>
            <w:right w:val="single" w:sz="4" w:space="0" w:color="6F6652"/>
          </w:tcBorders>
          <w:shd w:val="clear" w:color="auto" w:fill="auto"/>
          <w:tcMar>
            <w:left w:w="57" w:type="dxa"/>
            <w:right w:w="57" w:type="dxa"/>
          </w:tcMar>
          <w:vAlign w:val="center"/>
        </w:tcPr>
        <w:p w:rsidR="00D733F1" w:rsidRPr="00DA0361" w:rsidRDefault="00D733F1" w:rsidP="00911DED">
          <w:pPr>
            <w:pStyle w:val="TableUnit"/>
            <w:spacing w:before="0" w:after="0" w:line="240" w:lineRule="auto"/>
            <w:jc w:val="center"/>
            <w:rPr>
              <w:sz w:val="24"/>
              <w:szCs w:val="24"/>
            </w:rPr>
          </w:pPr>
          <w:r w:rsidRPr="00DA0361">
            <w:rPr>
              <w:rFonts w:ascii="Symbol" w:hAnsi="Symbol" w:cs="Symbol"/>
              <w:color w:val="6F6652"/>
              <w:sz w:val="24"/>
              <w:szCs w:val="24"/>
              <w:lang w:eastAsia="en-AU"/>
            </w:rPr>
            <w:t></w:t>
          </w:r>
        </w:p>
      </w:tc>
      <w:tc>
        <w:tcPr>
          <w:tcW w:w="284" w:type="dxa"/>
          <w:tcBorders>
            <w:left w:val="single" w:sz="4" w:space="0" w:color="6F6652"/>
            <w:right w:val="single" w:sz="4" w:space="0" w:color="6F6652"/>
          </w:tcBorders>
          <w:vAlign w:val="center"/>
        </w:tcPr>
        <w:p w:rsidR="00D733F1" w:rsidRPr="00DA0361" w:rsidRDefault="00D733F1" w:rsidP="00911DED">
          <w:pPr>
            <w:pStyle w:val="TableUnit"/>
            <w:spacing w:before="40" w:after="40" w:line="240" w:lineRule="auto"/>
            <w:jc w:val="left"/>
            <w:rPr>
              <w:sz w:val="14"/>
              <w:szCs w:val="14"/>
            </w:rPr>
          </w:pPr>
        </w:p>
      </w:tc>
      <w:tc>
        <w:tcPr>
          <w:tcW w:w="1134" w:type="dxa"/>
          <w:tcBorders>
            <w:top w:val="single" w:sz="4" w:space="0" w:color="6F6652"/>
            <w:left w:val="single" w:sz="4" w:space="0" w:color="6F6652"/>
            <w:bottom w:val="single" w:sz="4" w:space="0" w:color="6F6652"/>
            <w:right w:val="single" w:sz="4" w:space="0" w:color="6F6652"/>
          </w:tcBorders>
          <w:shd w:val="clear" w:color="auto" w:fill="auto"/>
          <w:tcMar>
            <w:left w:w="57" w:type="dxa"/>
            <w:right w:w="57" w:type="dxa"/>
          </w:tcMar>
          <w:vAlign w:val="center"/>
        </w:tcPr>
        <w:p w:rsidR="00D733F1" w:rsidRPr="00DA0361" w:rsidRDefault="00D733F1" w:rsidP="00911DED">
          <w:pPr>
            <w:pStyle w:val="TableUnit"/>
            <w:spacing w:before="40" w:after="40" w:line="240" w:lineRule="auto"/>
            <w:jc w:val="left"/>
            <w:rPr>
              <w:sz w:val="14"/>
              <w:szCs w:val="14"/>
            </w:rPr>
          </w:pPr>
          <w:r w:rsidRPr="00DA0361">
            <w:rPr>
              <w:sz w:val="14"/>
              <w:szCs w:val="14"/>
            </w:rPr>
            <w:t>No discernible impact</w:t>
          </w:r>
        </w:p>
      </w:tc>
      <w:tc>
        <w:tcPr>
          <w:tcW w:w="425" w:type="dxa"/>
          <w:tcBorders>
            <w:top w:val="single" w:sz="4" w:space="0" w:color="6F6652"/>
            <w:left w:val="single" w:sz="4" w:space="0" w:color="6F6652"/>
            <w:bottom w:val="single" w:sz="4" w:space="0" w:color="6F6652"/>
            <w:right w:val="single" w:sz="4" w:space="0" w:color="6F6652"/>
          </w:tcBorders>
          <w:shd w:val="clear" w:color="auto" w:fill="auto"/>
          <w:tcMar>
            <w:left w:w="57" w:type="dxa"/>
            <w:right w:w="57" w:type="dxa"/>
          </w:tcMar>
          <w:vAlign w:val="center"/>
        </w:tcPr>
        <w:p w:rsidR="00D733F1" w:rsidRPr="00DA0361" w:rsidRDefault="00D733F1" w:rsidP="00911DED">
          <w:pPr>
            <w:pStyle w:val="TableUnit"/>
            <w:spacing w:before="40" w:after="40" w:line="240" w:lineRule="auto"/>
            <w:jc w:val="center"/>
            <w:rPr>
              <w:color w:val="F38464"/>
              <w:sz w:val="14"/>
              <w:szCs w:val="14"/>
            </w:rPr>
          </w:pPr>
          <w:r w:rsidRPr="00DA0361">
            <w:rPr>
              <w:rFonts w:ascii="Symbol" w:hAnsi="Symbol" w:cs="Symbol"/>
              <w:color w:val="F38464"/>
              <w:sz w:val="24"/>
              <w:szCs w:val="24"/>
              <w:lang w:eastAsia="en-AU"/>
            </w:rPr>
            <w:t></w:t>
          </w:r>
        </w:p>
      </w:tc>
      <w:tc>
        <w:tcPr>
          <w:tcW w:w="284" w:type="dxa"/>
          <w:tcBorders>
            <w:left w:val="single" w:sz="4" w:space="0" w:color="6F6652"/>
            <w:right w:val="single" w:sz="4" w:space="0" w:color="6F6652"/>
          </w:tcBorders>
          <w:vAlign w:val="center"/>
        </w:tcPr>
        <w:p w:rsidR="00D733F1" w:rsidRPr="00DA0361" w:rsidRDefault="00D733F1" w:rsidP="00911DED">
          <w:pPr>
            <w:pStyle w:val="TableUnit"/>
            <w:spacing w:before="40" w:after="40" w:line="240" w:lineRule="auto"/>
            <w:jc w:val="left"/>
            <w:rPr>
              <w:sz w:val="14"/>
              <w:szCs w:val="14"/>
            </w:rPr>
          </w:pPr>
        </w:p>
      </w:tc>
      <w:tc>
        <w:tcPr>
          <w:tcW w:w="992" w:type="dxa"/>
          <w:tcBorders>
            <w:top w:val="single" w:sz="4" w:space="0" w:color="6F6652"/>
            <w:left w:val="single" w:sz="4" w:space="0" w:color="6F6652"/>
            <w:bottom w:val="single" w:sz="4" w:space="0" w:color="6F6652"/>
            <w:right w:val="single" w:sz="4" w:space="0" w:color="6F6652"/>
          </w:tcBorders>
          <w:shd w:val="clear" w:color="auto" w:fill="auto"/>
          <w:tcMar>
            <w:left w:w="57" w:type="dxa"/>
            <w:right w:w="57" w:type="dxa"/>
          </w:tcMar>
          <w:vAlign w:val="center"/>
        </w:tcPr>
        <w:p w:rsidR="00D733F1" w:rsidRPr="00DA0361" w:rsidRDefault="00D733F1" w:rsidP="00911DED">
          <w:pPr>
            <w:pStyle w:val="TableUnit"/>
            <w:spacing w:before="120" w:after="40" w:line="240" w:lineRule="auto"/>
            <w:jc w:val="left"/>
            <w:rPr>
              <w:sz w:val="14"/>
              <w:szCs w:val="14"/>
            </w:rPr>
          </w:pPr>
          <w:r w:rsidRPr="00DA0361">
            <w:rPr>
              <w:sz w:val="14"/>
              <w:szCs w:val="14"/>
            </w:rPr>
            <w:t>Negative</w:t>
          </w:r>
        </w:p>
      </w:tc>
      <w:tc>
        <w:tcPr>
          <w:tcW w:w="425" w:type="dxa"/>
          <w:tcBorders>
            <w:top w:val="single" w:sz="4" w:space="0" w:color="6F6652"/>
            <w:left w:val="single" w:sz="4" w:space="0" w:color="6F6652"/>
            <w:bottom w:val="single" w:sz="4" w:space="0" w:color="6F6652"/>
            <w:right w:val="single" w:sz="4" w:space="0" w:color="6F6652"/>
          </w:tcBorders>
          <w:shd w:val="clear" w:color="auto" w:fill="auto"/>
          <w:tcMar>
            <w:left w:w="57" w:type="dxa"/>
            <w:right w:w="57" w:type="dxa"/>
          </w:tcMar>
          <w:vAlign w:val="center"/>
        </w:tcPr>
        <w:p w:rsidR="00D733F1" w:rsidRPr="00DA0361" w:rsidRDefault="00D733F1" w:rsidP="00911DED">
          <w:pPr>
            <w:pStyle w:val="TableUnit"/>
            <w:spacing w:before="40" w:after="40" w:line="240" w:lineRule="auto"/>
            <w:jc w:val="center"/>
            <w:rPr>
              <w:color w:val="EF1209"/>
              <w:sz w:val="14"/>
              <w:szCs w:val="14"/>
            </w:rPr>
          </w:pPr>
          <w:r w:rsidRPr="00DA0361">
            <w:rPr>
              <w:rFonts w:ascii="Symbol" w:hAnsi="Symbol" w:cs="Symbol"/>
              <w:color w:val="EF1209"/>
              <w:sz w:val="24"/>
              <w:szCs w:val="24"/>
              <w:lang w:eastAsia="en-AU"/>
            </w:rPr>
            <w:t></w:t>
          </w:r>
        </w:p>
      </w:tc>
    </w:tr>
  </w:tbl>
  <w:p w:rsidR="00D733F1" w:rsidRPr="003D6FA5" w:rsidRDefault="00D733F1" w:rsidP="00911DED">
    <w:pPr>
      <w:pStyle w:val="Footer"/>
    </w:pPr>
    <w:r>
      <w:rPr>
        <w:noProof/>
      </w:rPr>
      <w:pict>
        <v:rect id="Rectangle 47" o:spid="_x0000_s6145" style="position:absolute;margin-left:31.2pt;margin-top:113.4pt;width:14.15pt;height:39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" o:allowincell="f" filled="f" stroked="f" strokeweight="2pt">
          <v:textbox style="layout-flow:vertical" inset="0,0,0,0">
            <w:txbxContent>
              <w:p w:rsidR="00D733F1" w:rsidRPr="009C5A0E" w:rsidRDefault="00D733F1" w:rsidP="00911DED">
                <w:pPr>
                  <w:pStyle w:val="Footer"/>
                </w:pPr>
                <w:r>
                  <w:t>www.TheCIE.com.au</w:t>
                </w:r>
              </w:p>
            </w:txbxContent>
          </v:textbox>
          <w10:wrap anchorx="page" anchory="page"/>
        </v:rect>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50" w:type="dxa"/>
      <w:tblInd w:w="8474" w:type="dxa"/>
      <w:tblLayout w:type="fixed"/>
      <w:tblLook w:val="0000"/>
    </w:tblPr>
    <w:tblGrid>
      <w:gridCol w:w="1081"/>
      <w:gridCol w:w="425"/>
      <w:gridCol w:w="284"/>
      <w:gridCol w:w="1134"/>
      <w:gridCol w:w="425"/>
      <w:gridCol w:w="284"/>
      <w:gridCol w:w="992"/>
      <w:gridCol w:w="425"/>
    </w:tblGrid>
    <w:tr w:rsidR="00D733F1" w:rsidRPr="00DA0361" w:rsidTr="00911DED">
      <w:tc>
        <w:tcPr>
          <w:tcW w:w="1081" w:type="dxa"/>
          <w:tcBorders>
            <w:top w:val="single" w:sz="4" w:space="0" w:color="6F6652"/>
            <w:left w:val="single" w:sz="4" w:space="0" w:color="6F6652"/>
            <w:bottom w:val="single" w:sz="4" w:space="0" w:color="6F6652"/>
            <w:right w:val="single" w:sz="4" w:space="0" w:color="6F6652"/>
          </w:tcBorders>
          <w:shd w:val="clear" w:color="auto" w:fill="auto"/>
          <w:tcMar>
            <w:left w:w="57" w:type="dxa"/>
            <w:right w:w="57" w:type="dxa"/>
          </w:tcMar>
          <w:vAlign w:val="center"/>
        </w:tcPr>
        <w:p w:rsidR="00D733F1" w:rsidRPr="00DA0361" w:rsidRDefault="00D733F1" w:rsidP="00911DED">
          <w:pPr>
            <w:pStyle w:val="TableUnit"/>
            <w:spacing w:before="120" w:after="40" w:line="240" w:lineRule="auto"/>
            <w:jc w:val="left"/>
            <w:rPr>
              <w:sz w:val="14"/>
              <w:szCs w:val="14"/>
            </w:rPr>
          </w:pPr>
          <w:r w:rsidRPr="00DA0361">
            <w:rPr>
              <w:sz w:val="14"/>
              <w:szCs w:val="14"/>
            </w:rPr>
            <w:t>Positive</w:t>
          </w:r>
          <w:r>
            <w:rPr>
              <w:sz w:val="14"/>
              <w:szCs w:val="14"/>
            </w:rPr>
            <w:t xml:space="preserve"> </w:t>
          </w:r>
        </w:p>
      </w:tc>
      <w:tc>
        <w:tcPr>
          <w:tcW w:w="425" w:type="dxa"/>
          <w:tcBorders>
            <w:top w:val="single" w:sz="4" w:space="0" w:color="6F6652"/>
            <w:left w:val="single" w:sz="4" w:space="0" w:color="6F6652"/>
            <w:bottom w:val="single" w:sz="4" w:space="0" w:color="6F6652"/>
            <w:right w:val="single" w:sz="4" w:space="0" w:color="6F6652"/>
          </w:tcBorders>
          <w:shd w:val="clear" w:color="auto" w:fill="auto"/>
          <w:tcMar>
            <w:left w:w="57" w:type="dxa"/>
            <w:right w:w="57" w:type="dxa"/>
          </w:tcMar>
          <w:vAlign w:val="center"/>
        </w:tcPr>
        <w:p w:rsidR="00D733F1" w:rsidRPr="00DA0361" w:rsidRDefault="00D733F1" w:rsidP="00911DED">
          <w:pPr>
            <w:pStyle w:val="TableUnit"/>
            <w:spacing w:before="0" w:after="0" w:line="240" w:lineRule="auto"/>
            <w:jc w:val="center"/>
            <w:rPr>
              <w:sz w:val="24"/>
              <w:szCs w:val="24"/>
            </w:rPr>
          </w:pPr>
          <w:r w:rsidRPr="006F36E7">
            <w:rPr>
              <w:rFonts w:ascii="Symbol" w:hAnsi="Symbol" w:cs="Symbol"/>
              <w:color w:val="92D050"/>
              <w:sz w:val="24"/>
              <w:szCs w:val="24"/>
              <w:lang w:eastAsia="en-AU"/>
            </w:rPr>
            <w:t></w:t>
          </w:r>
        </w:p>
      </w:tc>
      <w:tc>
        <w:tcPr>
          <w:tcW w:w="284" w:type="dxa"/>
          <w:tcBorders>
            <w:left w:val="single" w:sz="4" w:space="0" w:color="6F6652"/>
            <w:right w:val="single" w:sz="4" w:space="0" w:color="6F6652"/>
          </w:tcBorders>
          <w:vAlign w:val="center"/>
        </w:tcPr>
        <w:p w:rsidR="00D733F1" w:rsidRPr="00DA0361" w:rsidRDefault="00D733F1" w:rsidP="00911DED">
          <w:pPr>
            <w:pStyle w:val="TableUnit"/>
            <w:spacing w:before="40" w:after="40" w:line="240" w:lineRule="auto"/>
            <w:jc w:val="left"/>
            <w:rPr>
              <w:sz w:val="14"/>
              <w:szCs w:val="14"/>
            </w:rPr>
          </w:pPr>
        </w:p>
      </w:tc>
      <w:tc>
        <w:tcPr>
          <w:tcW w:w="1134" w:type="dxa"/>
          <w:tcBorders>
            <w:top w:val="single" w:sz="4" w:space="0" w:color="6F6652"/>
            <w:left w:val="single" w:sz="4" w:space="0" w:color="6F6652"/>
            <w:bottom w:val="single" w:sz="4" w:space="0" w:color="6F6652"/>
            <w:right w:val="single" w:sz="4" w:space="0" w:color="6F6652"/>
          </w:tcBorders>
          <w:shd w:val="clear" w:color="auto" w:fill="auto"/>
          <w:tcMar>
            <w:left w:w="57" w:type="dxa"/>
            <w:right w:w="57" w:type="dxa"/>
          </w:tcMar>
          <w:vAlign w:val="center"/>
        </w:tcPr>
        <w:p w:rsidR="00D733F1" w:rsidRPr="00DA0361" w:rsidRDefault="00D733F1" w:rsidP="00911DED">
          <w:pPr>
            <w:pStyle w:val="TableUnit"/>
            <w:spacing w:before="40" w:after="40" w:line="240" w:lineRule="auto"/>
            <w:jc w:val="left"/>
            <w:rPr>
              <w:sz w:val="14"/>
              <w:szCs w:val="14"/>
            </w:rPr>
          </w:pPr>
          <w:r w:rsidRPr="00DA0361">
            <w:rPr>
              <w:sz w:val="14"/>
              <w:szCs w:val="14"/>
            </w:rPr>
            <w:t>No discernible impact</w:t>
          </w:r>
        </w:p>
      </w:tc>
      <w:tc>
        <w:tcPr>
          <w:tcW w:w="425" w:type="dxa"/>
          <w:tcBorders>
            <w:top w:val="single" w:sz="4" w:space="0" w:color="6F6652"/>
            <w:left w:val="single" w:sz="4" w:space="0" w:color="6F6652"/>
            <w:bottom w:val="single" w:sz="4" w:space="0" w:color="6F6652"/>
            <w:right w:val="single" w:sz="4" w:space="0" w:color="6F6652"/>
          </w:tcBorders>
          <w:shd w:val="clear" w:color="auto" w:fill="auto"/>
          <w:tcMar>
            <w:left w:w="57" w:type="dxa"/>
            <w:right w:w="57" w:type="dxa"/>
          </w:tcMar>
          <w:vAlign w:val="center"/>
        </w:tcPr>
        <w:p w:rsidR="00D733F1" w:rsidRPr="00DA0361" w:rsidRDefault="00D733F1" w:rsidP="00911DED">
          <w:pPr>
            <w:pStyle w:val="TableUnit"/>
            <w:spacing w:before="40" w:after="40" w:line="240" w:lineRule="auto"/>
            <w:jc w:val="center"/>
            <w:rPr>
              <w:color w:val="F38464"/>
              <w:sz w:val="14"/>
              <w:szCs w:val="14"/>
            </w:rPr>
          </w:pPr>
          <w:r w:rsidRPr="006F36E7">
            <w:rPr>
              <w:rFonts w:ascii="Symbol" w:hAnsi="Symbol" w:cs="Symbol"/>
              <w:color w:val="FFC000"/>
              <w:sz w:val="24"/>
              <w:szCs w:val="24"/>
              <w:lang w:eastAsia="en-AU"/>
            </w:rPr>
            <w:t></w:t>
          </w:r>
        </w:p>
      </w:tc>
      <w:tc>
        <w:tcPr>
          <w:tcW w:w="284" w:type="dxa"/>
          <w:tcBorders>
            <w:left w:val="single" w:sz="4" w:space="0" w:color="6F6652"/>
            <w:right w:val="single" w:sz="4" w:space="0" w:color="6F6652"/>
          </w:tcBorders>
          <w:vAlign w:val="center"/>
        </w:tcPr>
        <w:p w:rsidR="00D733F1" w:rsidRPr="00DA0361" w:rsidRDefault="00D733F1" w:rsidP="00911DED">
          <w:pPr>
            <w:pStyle w:val="TableUnit"/>
            <w:spacing w:before="40" w:after="40" w:line="240" w:lineRule="auto"/>
            <w:jc w:val="left"/>
            <w:rPr>
              <w:sz w:val="14"/>
              <w:szCs w:val="14"/>
            </w:rPr>
          </w:pPr>
        </w:p>
      </w:tc>
      <w:tc>
        <w:tcPr>
          <w:tcW w:w="992" w:type="dxa"/>
          <w:tcBorders>
            <w:top w:val="single" w:sz="4" w:space="0" w:color="6F6652"/>
            <w:left w:val="single" w:sz="4" w:space="0" w:color="6F6652"/>
            <w:bottom w:val="single" w:sz="4" w:space="0" w:color="6F6652"/>
            <w:right w:val="single" w:sz="4" w:space="0" w:color="6F6652"/>
          </w:tcBorders>
          <w:shd w:val="clear" w:color="auto" w:fill="auto"/>
          <w:tcMar>
            <w:left w:w="57" w:type="dxa"/>
            <w:right w:w="57" w:type="dxa"/>
          </w:tcMar>
          <w:vAlign w:val="center"/>
        </w:tcPr>
        <w:p w:rsidR="00D733F1" w:rsidRPr="00DA0361" w:rsidRDefault="00D733F1" w:rsidP="00911DED">
          <w:pPr>
            <w:pStyle w:val="TableUnit"/>
            <w:spacing w:before="120" w:after="40" w:line="240" w:lineRule="auto"/>
            <w:jc w:val="left"/>
            <w:rPr>
              <w:sz w:val="14"/>
              <w:szCs w:val="14"/>
            </w:rPr>
          </w:pPr>
          <w:r w:rsidRPr="00DA0361">
            <w:rPr>
              <w:sz w:val="14"/>
              <w:szCs w:val="14"/>
            </w:rPr>
            <w:t>Negative</w:t>
          </w:r>
        </w:p>
      </w:tc>
      <w:tc>
        <w:tcPr>
          <w:tcW w:w="425" w:type="dxa"/>
          <w:tcBorders>
            <w:top w:val="single" w:sz="4" w:space="0" w:color="6F6652"/>
            <w:left w:val="single" w:sz="4" w:space="0" w:color="6F6652"/>
            <w:bottom w:val="single" w:sz="4" w:space="0" w:color="6F6652"/>
            <w:right w:val="single" w:sz="4" w:space="0" w:color="6F6652"/>
          </w:tcBorders>
          <w:shd w:val="clear" w:color="auto" w:fill="auto"/>
          <w:tcMar>
            <w:left w:w="57" w:type="dxa"/>
            <w:right w:w="57" w:type="dxa"/>
          </w:tcMar>
          <w:vAlign w:val="center"/>
        </w:tcPr>
        <w:p w:rsidR="00D733F1" w:rsidRPr="00DA0361" w:rsidRDefault="00D733F1" w:rsidP="00911DED">
          <w:pPr>
            <w:pStyle w:val="TableUnit"/>
            <w:spacing w:before="40" w:after="40" w:line="240" w:lineRule="auto"/>
            <w:jc w:val="center"/>
            <w:rPr>
              <w:color w:val="EF1209"/>
              <w:sz w:val="14"/>
              <w:szCs w:val="14"/>
            </w:rPr>
          </w:pPr>
          <w:r w:rsidRPr="006F36E7">
            <w:rPr>
              <w:rFonts w:ascii="Symbol" w:hAnsi="Symbol" w:cs="Symbol"/>
              <w:color w:val="FF0000"/>
              <w:sz w:val="24"/>
              <w:szCs w:val="24"/>
              <w:lang w:eastAsia="en-AU"/>
            </w:rPr>
            <w:t></w:t>
          </w:r>
        </w:p>
      </w:tc>
    </w:tr>
  </w:tbl>
  <w:p w:rsidR="00D733F1" w:rsidRPr="003D6FA5" w:rsidRDefault="00D733F1" w:rsidP="00911D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3F1" w:rsidRDefault="00D733F1" w:rsidP="00996DC5">
      <w:pPr>
        <w:spacing w:line="240" w:lineRule="auto"/>
      </w:pPr>
      <w:r w:rsidRPr="00B75719">
        <w:rPr>
          <w:color w:val="6F6652" w:themeColor="text2"/>
        </w:rPr>
        <w:separator/>
      </w:r>
    </w:p>
  </w:footnote>
  <w:footnote w:type="continuationSeparator" w:id="0">
    <w:p w:rsidR="00D733F1" w:rsidRDefault="00D733F1" w:rsidP="00996DC5">
      <w:pPr>
        <w:spacing w:line="240" w:lineRule="auto"/>
      </w:pPr>
      <w:r>
        <w:continuationSeparator/>
      </w:r>
    </w:p>
  </w:footnote>
  <w:footnote w:id="1">
    <w:p w:rsidR="00D733F1" w:rsidRDefault="00D733F1" w:rsidP="00025C96">
      <w:pPr>
        <w:pStyle w:val="FootnoteText"/>
      </w:pPr>
      <w:r>
        <w:rPr>
          <w:rStyle w:val="FootnoteReference"/>
        </w:rPr>
        <w:footnoteRef/>
      </w:r>
      <w:r>
        <w:t xml:space="preserve"> This figure is based on the households featured in the cost of living statement</w:t>
      </w:r>
    </w:p>
  </w:footnote>
  <w:footnote w:id="2">
    <w:p w:rsidR="00D733F1" w:rsidRDefault="00D733F1" w:rsidP="00E84A20">
      <w:pPr>
        <w:pStyle w:val="FootnoteText"/>
        <w:ind w:left="142" w:hanging="142"/>
      </w:pPr>
      <w:r>
        <w:rPr>
          <w:rStyle w:val="FootnoteReference"/>
        </w:rPr>
        <w:footnoteRef/>
      </w:r>
      <w:r>
        <w:t xml:space="preserve"> For more information please see: </w:t>
      </w:r>
      <w:hyperlink r:id="rId1" w:history="1">
        <w:r w:rsidRPr="008511F0">
          <w:rPr>
            <w:rStyle w:val="Hyperlink"/>
          </w:rPr>
          <w:t>http://www.ausstats.abs.gov.au/ausstats/meisubs.nsf/0/E2C14B0655D6A059CA257CD100137B8E/$File/62020_apr%202014.pdf</w:t>
        </w:r>
      </w:hyperlink>
      <w:r>
        <w:t xml:space="preserve"> </w:t>
      </w:r>
    </w:p>
  </w:footnote>
  <w:footnote w:id="3">
    <w:p w:rsidR="00D733F1" w:rsidRPr="00886E06" w:rsidRDefault="00D733F1" w:rsidP="002E17F7">
      <w:pPr>
        <w:pStyle w:val="FootnoteText"/>
      </w:pPr>
      <w:r>
        <w:rPr>
          <w:rStyle w:val="FootnoteReference"/>
        </w:rPr>
        <w:footnoteRef/>
      </w:r>
      <w:r>
        <w:t xml:space="preserve"> </w:t>
      </w:r>
      <w:r>
        <w:tab/>
        <w:t xml:space="preserve">Australian Bureau of Statistics Mar 2014, </w:t>
      </w:r>
      <w:r>
        <w:rPr>
          <w:i/>
        </w:rPr>
        <w:t>Wage Price Index,</w:t>
      </w:r>
      <w:r>
        <w:t xml:space="preserve"> Cat. No. 6345.0, ABS, Canberra.</w:t>
      </w:r>
    </w:p>
  </w:footnote>
  <w:footnote w:id="4">
    <w:p w:rsidR="00D733F1" w:rsidRDefault="00D733F1" w:rsidP="00025C96">
      <w:pPr>
        <w:pStyle w:val="FootnoteText"/>
      </w:pPr>
      <w:r>
        <w:rPr>
          <w:rStyle w:val="FootnoteReference"/>
        </w:rPr>
        <w:footnoteRef/>
      </w:r>
      <w:r>
        <w:t xml:space="preserve"> </w:t>
      </w:r>
      <w:r>
        <w:rPr>
          <w:lang w:eastAsia="en-US"/>
        </w:rPr>
        <w:t>These obligations are from superannuation owing under the Defined Benefit Superannuation Schemes and the Public Sector Superannuation Scheme whereby the benefit is unfunded by the employer and the benefit is not required to be paid until a member takes their benefit entitlement.</w:t>
      </w:r>
    </w:p>
  </w:footnote>
  <w:footnote w:id="5">
    <w:p w:rsidR="00D733F1" w:rsidRDefault="00D733F1" w:rsidP="002F616F">
      <w:pPr>
        <w:pStyle w:val="FootnoteText"/>
      </w:pPr>
      <w:r>
        <w:rPr>
          <w:rStyle w:val="FootnoteReference"/>
        </w:rPr>
        <w:footnoteRef/>
      </w:r>
      <w:r>
        <w:t xml:space="preserve"> Federal Government staff cuts are expected to affect 6 500 jobs in the ACT. </w:t>
      </w:r>
    </w:p>
  </w:footnote>
  <w:footnote w:id="6">
    <w:p w:rsidR="00D733F1" w:rsidRDefault="00D733F1" w:rsidP="002F616F">
      <w:pPr>
        <w:pStyle w:val="FootnoteText"/>
      </w:pPr>
      <w:r>
        <w:rPr>
          <w:rStyle w:val="FootnoteReference"/>
        </w:rPr>
        <w:footnoteRef/>
      </w:r>
      <w:r>
        <w:t xml:space="preserve"> And by $50 million dollars over the four years between 2014-15 and 2017-18. </w:t>
      </w:r>
    </w:p>
  </w:footnote>
  <w:footnote w:id="7">
    <w:p w:rsidR="00D733F1" w:rsidRDefault="00D733F1">
      <w:pPr>
        <w:pStyle w:val="FootnoteText"/>
      </w:pPr>
      <w:r>
        <w:rPr>
          <w:rStyle w:val="FootnoteReference"/>
        </w:rPr>
        <w:footnoteRef/>
      </w:r>
      <w:r>
        <w:t xml:space="preserve"> R</w:t>
      </w:r>
      <w:r w:rsidRPr="00E84A20">
        <w:t>elates to contractors employed through recruitment agencies.</w:t>
      </w:r>
    </w:p>
  </w:footnote>
  <w:footnote w:id="8">
    <w:p w:rsidR="00D733F1" w:rsidRDefault="00D733F1" w:rsidP="002E17F7">
      <w:pPr>
        <w:pStyle w:val="FootnoteText"/>
      </w:pPr>
      <w:r>
        <w:rPr>
          <w:rStyle w:val="FootnoteReference"/>
        </w:rPr>
        <w:footnoteRef/>
      </w:r>
      <w:r>
        <w:t xml:space="preserve"> </w:t>
      </w:r>
      <w:r>
        <w:tab/>
        <w:t xml:space="preserve">Based on Health Directorate spending compared to total expense initiatives in Table 3.2.2 – Expense Initiatives, </w:t>
      </w:r>
      <w:r w:rsidRPr="00946C75">
        <w:rPr>
          <w:i/>
        </w:rPr>
        <w:t xml:space="preserve">ACT </w:t>
      </w:r>
      <w:r>
        <w:rPr>
          <w:i/>
        </w:rPr>
        <w:t>Budget</w:t>
      </w:r>
      <w:r w:rsidRPr="00946C75">
        <w:rPr>
          <w:i/>
        </w:rPr>
        <w:t xml:space="preserve"> Paper 3</w:t>
      </w:r>
      <w:r>
        <w:t>, June 2014.</w:t>
      </w:r>
    </w:p>
  </w:footnote>
  <w:footnote w:id="9">
    <w:p w:rsidR="00D733F1" w:rsidRDefault="00D733F1" w:rsidP="002E17F7">
      <w:pPr>
        <w:pStyle w:val="FootnoteText"/>
      </w:pPr>
      <w:r>
        <w:rPr>
          <w:rStyle w:val="FootnoteReference"/>
        </w:rPr>
        <w:footnoteRef/>
      </w:r>
      <w:r>
        <w:t xml:space="preserve"> The Health Funding Envelop is funded through ACT Government revenue, the major sources of which are Commonwealth Government grants (mainly GST) and Own Source Revenues. Its purpose is to fund indexation and growth funding for the Health Directorate. </w:t>
      </w:r>
    </w:p>
  </w:footnote>
  <w:footnote w:id="10">
    <w:p w:rsidR="00D733F1" w:rsidRDefault="00D733F1" w:rsidP="002E17F7">
      <w:pPr>
        <w:pStyle w:val="FootnoteText"/>
      </w:pPr>
      <w:r>
        <w:rPr>
          <w:rStyle w:val="FootnoteReference"/>
        </w:rPr>
        <w:footnoteRef/>
      </w:r>
      <w:r>
        <w:t xml:space="preserve"> </w:t>
      </w:r>
      <w:r>
        <w:tab/>
      </w:r>
      <w:r w:rsidRPr="003E7D09">
        <w:t>http://www.canberratimes.com.au/comment/act-light-rail-commitment-will-pay-major-dividends-20140605-zryif.html</w:t>
      </w:r>
    </w:p>
  </w:footnote>
  <w:footnote w:id="11">
    <w:p w:rsidR="00D733F1" w:rsidRPr="008D2889" w:rsidRDefault="00D733F1" w:rsidP="002E17F7">
      <w:pPr>
        <w:pStyle w:val="FootnoteText"/>
      </w:pPr>
      <w:r>
        <w:rPr>
          <w:rStyle w:val="FootnoteReference"/>
        </w:rPr>
        <w:footnoteRef/>
      </w:r>
      <w:r>
        <w:t xml:space="preserve"> </w:t>
      </w:r>
      <w:r>
        <w:tab/>
        <w:t xml:space="preserve">Australian Bureau of Statistics 2013, </w:t>
      </w:r>
      <w:r>
        <w:rPr>
          <w:i/>
        </w:rPr>
        <w:t>Regional Population Growth, Australia</w:t>
      </w:r>
      <w:r>
        <w:t>, cat. No. 3218.0, ABS, Canberra.</w:t>
      </w:r>
    </w:p>
  </w:footnote>
  <w:footnote w:id="12">
    <w:p w:rsidR="00D733F1" w:rsidRDefault="00D733F1" w:rsidP="002E17F7">
      <w:pPr>
        <w:pStyle w:val="FootnoteText"/>
      </w:pPr>
      <w:r>
        <w:rPr>
          <w:rStyle w:val="FootnoteReference"/>
        </w:rPr>
        <w:footnoteRef/>
      </w:r>
      <w:r>
        <w:t xml:space="preserve"> </w:t>
      </w:r>
      <w:r>
        <w:tab/>
      </w:r>
      <w:r w:rsidRPr="00E475E8">
        <w:t>https://www.nics.gov.au/Home/PriorityProjects</w:t>
      </w:r>
    </w:p>
  </w:footnote>
  <w:footnote w:id="13">
    <w:p w:rsidR="00D733F1" w:rsidRDefault="00D733F1" w:rsidP="002E17F7">
      <w:pPr>
        <w:pStyle w:val="FootnoteText"/>
      </w:pPr>
      <w:r>
        <w:rPr>
          <w:rStyle w:val="FootnoteReference"/>
        </w:rPr>
        <w:footnoteRef/>
      </w:r>
      <w:r>
        <w:t xml:space="preserve"> </w:t>
      </w:r>
      <w:r>
        <w:tab/>
      </w:r>
      <w:r w:rsidRPr="00E475E8">
        <w:t>http://www.canberratimes.com.au/act-news/act-government-considers-levy-and-special-rating-zone-to-pay-for-capital-metro-light-rail-20140509-zr7xl.html</w:t>
      </w:r>
    </w:p>
  </w:footnote>
  <w:footnote w:id="14">
    <w:p w:rsidR="00D733F1" w:rsidRDefault="00D733F1" w:rsidP="002E17F7">
      <w:pPr>
        <w:pStyle w:val="FootnoteText"/>
      </w:pPr>
      <w:r>
        <w:rPr>
          <w:rStyle w:val="FootnoteReference"/>
        </w:rPr>
        <w:footnoteRef/>
      </w:r>
      <w:r>
        <w:t xml:space="preserve"> </w:t>
      </w:r>
      <w:r>
        <w:tab/>
      </w:r>
      <w:r w:rsidRPr="00E15AF8">
        <w:t>http://canberratimes.domain.com.au/real-estate-news/property-prices-head-south-20140602-39d2z.html</w:t>
      </w:r>
    </w:p>
  </w:footnote>
  <w:footnote w:id="15">
    <w:p w:rsidR="00D733F1" w:rsidRDefault="00D733F1" w:rsidP="002E17F7">
      <w:pPr>
        <w:pStyle w:val="FootnoteText"/>
      </w:pPr>
      <w:r>
        <w:rPr>
          <w:rStyle w:val="FootnoteReference"/>
        </w:rPr>
        <w:footnoteRef/>
      </w:r>
      <w:r>
        <w:t xml:space="preserve"> </w:t>
      </w:r>
      <w:r>
        <w:tab/>
      </w:r>
      <w:r w:rsidRPr="001C6BAD">
        <w:t>http://www.canberratimes.com.au/act-news/trams-make-a-comeback-around-australia-20140607-zrzxr.html</w:t>
      </w:r>
    </w:p>
  </w:footnote>
  <w:footnote w:id="16">
    <w:p w:rsidR="00D733F1" w:rsidRDefault="00D733F1" w:rsidP="002E17F7">
      <w:pPr>
        <w:pStyle w:val="FootnoteText"/>
      </w:pPr>
      <w:r>
        <w:rPr>
          <w:rStyle w:val="FootnoteReference"/>
        </w:rPr>
        <w:footnoteRef/>
      </w:r>
      <w:r>
        <w:t xml:space="preserve"> </w:t>
      </w:r>
      <w:r>
        <w:tab/>
      </w:r>
      <w:r w:rsidRPr="00524161">
        <w:t>http://www.capitalmetro.act.gov.au/news-and-publications/frequently-asked-questions</w:t>
      </w:r>
    </w:p>
  </w:footnote>
  <w:footnote w:id="17">
    <w:p w:rsidR="00D733F1" w:rsidRPr="009A4E9A" w:rsidRDefault="00D733F1" w:rsidP="002E17F7">
      <w:pPr>
        <w:pStyle w:val="FootnoteText"/>
        <w:rPr>
          <w:lang w:val="en-US"/>
        </w:rPr>
      </w:pPr>
      <w:r>
        <w:rPr>
          <w:rStyle w:val="FootnoteReference"/>
        </w:rPr>
        <w:footnoteRef/>
      </w:r>
      <w:r>
        <w:t xml:space="preserve"> </w:t>
      </w:r>
      <w:r>
        <w:rPr>
          <w:lang w:val="en-US"/>
        </w:rPr>
        <w:t>Productivity Commission (2008) Financial Performance of Government Trading Enterprises 2004-05 to 2006-07. Productivity Commission Research Paper, p47.</w:t>
      </w:r>
    </w:p>
  </w:footnote>
  <w:footnote w:id="18">
    <w:p w:rsidR="00D733F1" w:rsidRDefault="00D733F1" w:rsidP="002E17F7">
      <w:pPr>
        <w:pStyle w:val="FootnoteText"/>
      </w:pPr>
      <w:r>
        <w:rPr>
          <w:rStyle w:val="FootnoteReference"/>
        </w:rPr>
        <w:footnoteRef/>
      </w:r>
      <w:r>
        <w:t xml:space="preserve"> </w:t>
      </w:r>
      <w:r>
        <w:tab/>
        <w:t>Includes Transport Service Contracts (TSCs), which were previously reported as Community Service Obligations.</w:t>
      </w:r>
    </w:p>
  </w:footnote>
  <w:footnote w:id="19">
    <w:p w:rsidR="00D733F1" w:rsidRDefault="00D733F1" w:rsidP="002E17F7">
      <w:pPr>
        <w:pStyle w:val="FootnoteText"/>
      </w:pPr>
      <w:r>
        <w:rPr>
          <w:rStyle w:val="FootnoteReference"/>
        </w:rPr>
        <w:footnoteRef/>
      </w:r>
      <w:r>
        <w:t xml:space="preserve"> Queensland Government (2013) Budget Strategy and Outlook 2013-14, page 134 and </w:t>
      </w:r>
      <w:r w:rsidRPr="00A7666D">
        <w:t xml:space="preserve">Northern Territory Government (2013) The </w:t>
      </w:r>
      <w:r>
        <w:t>Budget</w:t>
      </w:r>
      <w:r w:rsidRPr="00A7666D">
        <w:t xml:space="preserve"> 2013-14, </w:t>
      </w:r>
      <w:r>
        <w:t>Budget</w:t>
      </w:r>
      <w:r w:rsidRPr="00A7666D">
        <w:t xml:space="preserve"> Paper No. 3 p 332</w:t>
      </w:r>
    </w:p>
    <w:p w:rsidR="00D733F1" w:rsidRPr="009A4E9A" w:rsidRDefault="00D733F1" w:rsidP="002E17F7">
      <w:pPr>
        <w:pStyle w:val="FootnoteText"/>
        <w:rPr>
          <w:lang w:val="en-US"/>
        </w:rPr>
      </w:pPr>
    </w:p>
  </w:footnote>
  <w:footnote w:id="20">
    <w:p w:rsidR="00D733F1" w:rsidRDefault="00D733F1" w:rsidP="002E17F7">
      <w:pPr>
        <w:pStyle w:val="FootnoteText"/>
      </w:pPr>
      <w:r>
        <w:rPr>
          <w:rStyle w:val="FootnoteReference"/>
        </w:rPr>
        <w:footnoteRef/>
      </w:r>
      <w:r>
        <w:t xml:space="preserve"> </w:t>
      </w:r>
      <w:r>
        <w:tab/>
        <w:t>This is based on the difference between gross savings (ACT Budget (2014) Paper 3, Table 4.2.1) and the net impact on expenses in ACT Budget (2014) Paper 3, Table 3.2.2.</w:t>
      </w:r>
    </w:p>
  </w:footnote>
  <w:footnote w:id="21">
    <w:p w:rsidR="00D733F1" w:rsidRDefault="00D733F1">
      <w:pPr>
        <w:pStyle w:val="FootnoteText"/>
      </w:pPr>
      <w:r>
        <w:rPr>
          <w:rStyle w:val="FootnoteReference"/>
        </w:rPr>
        <w:footnoteRef/>
      </w:r>
      <w:r>
        <w:t xml:space="preserve"> More specifically, we have accounted for savings from reduced duty on life, car, and contents insurance, rewards for safe driving program, and utility concessions. And increased expenses due to general rate increases, the FESL, motor vehicle registration, utility prices and parking. </w:t>
      </w:r>
    </w:p>
  </w:footnote>
  <w:footnote w:id="22">
    <w:p w:rsidR="00D733F1" w:rsidRDefault="00D733F1" w:rsidP="008C28DA">
      <w:pPr>
        <w:pStyle w:val="FootnoteText"/>
        <w:spacing w:before="0"/>
        <w:ind w:firstLine="0"/>
      </w:pPr>
      <w:r>
        <w:t>Household 3 and 5 in table 1.1 were made up of pensioners and low-income earners who had access to concessions.</w:t>
      </w:r>
    </w:p>
  </w:footnote>
  <w:footnote w:id="23">
    <w:p w:rsidR="00D733F1" w:rsidRDefault="00D733F1" w:rsidP="002F616F">
      <w:pPr>
        <w:pStyle w:val="FootnoteText"/>
      </w:pPr>
      <w:r>
        <w:rPr>
          <w:rStyle w:val="FootnoteReference"/>
        </w:rPr>
        <w:footnoteRef/>
      </w:r>
      <w:r>
        <w:t xml:space="preserve"> This figure is based on the households featured in the cost of living statement.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Pr="009D4FBD" w:rsidRDefault="00D733F1" w:rsidP="00526E83">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r>
    <w:fldSimple w:instr=" STYLEREF  Title ">
      <w:r>
        <w:rPr>
          <w:noProof/>
        </w:rPr>
        <w:t>Review of the 2014-15 ACT Budget</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Default="00D733F1" w:rsidP="00911DED">
    <w:pPr>
      <w:pStyle w:val="Header"/>
    </w:pPr>
    <w:r>
      <w:rPr>
        <w:b/>
      </w:rPr>
      <w:tab/>
    </w:r>
    <w:sdt>
      <w:sdtPr>
        <w:id w:val="-1752045090"/>
        <w:docPartObj>
          <w:docPartGallery w:val="Page Numbers (Bottom of Page)"/>
          <w:docPartUnique/>
        </w:docPartObj>
      </w:sdtPr>
      <w:sdtEndPr>
        <w:rPr>
          <w:rStyle w:val="PageNumber"/>
          <w:rFonts w:ascii="Franklin Gothic Demi" w:hAnsi="Franklin Gothic Demi"/>
          <w:color w:val="006B7A" w:themeColor="accent1"/>
          <w:sz w:val="20"/>
          <w:szCs w:val="20"/>
        </w:rPr>
      </w:sdtEndPr>
      <w:sdtContent>
        <w:r w:rsidRPr="00D44D70">
          <w:rPr>
            <w:rStyle w:val="PageNumber"/>
          </w:rPr>
          <w:fldChar w:fldCharType="begin"/>
        </w:r>
        <w:r w:rsidRPr="00D44D70">
          <w:rPr>
            <w:rStyle w:val="PageNumber"/>
          </w:rPr>
          <w:instrText xml:space="preserve"> PAGE   \* MERGEFORMAT </w:instrText>
        </w:r>
        <w:r w:rsidRPr="00D44D70">
          <w:rPr>
            <w:rStyle w:val="PageNumber"/>
          </w:rPr>
          <w:fldChar w:fldCharType="separate"/>
        </w:r>
        <w:r w:rsidR="00145AF7">
          <w:rPr>
            <w:rStyle w:val="PageNumber"/>
            <w:noProof/>
          </w:rPr>
          <w:t>56</w:t>
        </w:r>
        <w:r w:rsidRPr="00D44D70">
          <w:rPr>
            <w:rStyle w:val="PageNumber"/>
          </w:rPr>
          <w:fldChar w:fldCharType="end"/>
        </w:r>
      </w:sdtContent>
    </w:sdt>
    <w:r>
      <w:rPr>
        <w:b/>
      </w:rPr>
      <w:tab/>
    </w:r>
    <w:fldSimple w:instr=" STYLEREF  Title ">
      <w:r w:rsidR="00145AF7">
        <w:rPr>
          <w:noProof/>
        </w:rPr>
        <w:t>Review of the 2014-15 ACT Budget</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Pr="003D2A2B" w:rsidRDefault="00D733F1" w:rsidP="00911DED">
    <w:pPr>
      <w:pStyle w:val="Header"/>
    </w:pPr>
    <w:r>
      <w:tab/>
    </w:r>
    <w:r>
      <w:tab/>
    </w:r>
    <w:r>
      <w:tab/>
    </w:r>
    <w:fldSimple w:instr=" STYLEREF  Title ">
      <w:r>
        <w:rPr>
          <w:noProof/>
        </w:rPr>
        <w:t>Review of the 2014-15 ACT Budget</w:t>
      </w:r>
    </w:fldSimple>
    <w:r>
      <w:tab/>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Pr="009D4FBD" w:rsidRDefault="00D733F1" w:rsidP="00A43AF7">
    <w:pPr>
      <w:pStyle w:val="Header"/>
    </w:pPr>
    <w:r>
      <w:tab/>
    </w:r>
    <w:r>
      <w:rPr>
        <w:rStyle w:val="PageNumber"/>
      </w:rPr>
      <w:fldChar w:fldCharType="begin"/>
    </w:r>
    <w:r>
      <w:rPr>
        <w:rStyle w:val="PageNumber"/>
      </w:rPr>
      <w:instrText xml:space="preserve"> PAGE </w:instrText>
    </w:r>
    <w:r>
      <w:rPr>
        <w:rStyle w:val="PageNumber"/>
      </w:rPr>
      <w:fldChar w:fldCharType="separate"/>
    </w:r>
    <w:r w:rsidR="00145AF7">
      <w:rPr>
        <w:rStyle w:val="PageNumber"/>
        <w:noProof/>
      </w:rPr>
      <w:t>2</w:t>
    </w:r>
    <w:r>
      <w:rPr>
        <w:rStyle w:val="PageNumber"/>
      </w:rPr>
      <w:fldChar w:fldCharType="end"/>
    </w:r>
    <w:r>
      <w:tab/>
    </w:r>
    <w:fldSimple w:instr=" STYLEREF  Title ">
      <w:r w:rsidR="00145AF7">
        <w:rPr>
          <w:noProof/>
        </w:rPr>
        <w:t>Review of the 2014-15 ACT Budget</w:t>
      </w:r>
    </w:fldSimple>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Pr="009D4FBD" w:rsidRDefault="00D733F1" w:rsidP="00A43AF7">
    <w:pPr>
      <w:pStyle w:val="Header"/>
    </w:pPr>
    <w:r>
      <w:tab/>
    </w:r>
    <w:r>
      <w:tab/>
    </w:r>
    <w:r>
      <w:tab/>
    </w:r>
    <w:fldSimple w:instr=" STYLEREF  Title ">
      <w:r>
        <w:rPr>
          <w:noProof/>
        </w:rPr>
        <w:t>Review of the 2014-15 ACT Budget</w:t>
      </w:r>
    </w:fldSimple>
    <w:r>
      <w:tab/>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Pr="00E95793" w:rsidRDefault="00D733F1" w:rsidP="00526E8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Pr="00A731D9" w:rsidRDefault="00D733F1" w:rsidP="00526E83">
    <w:pPr>
      <w:pStyle w:val="Header"/>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Default="00D733F1" w:rsidP="00526E83">
    <w:pPr>
      <w:pStyle w:val="Header"/>
    </w:pPr>
    <w:r>
      <w:rPr>
        <w:b/>
      </w:rPr>
      <w:tab/>
    </w:r>
    <w:sdt>
      <w:sdtPr>
        <w:id w:val="587430190"/>
        <w:docPartObj>
          <w:docPartGallery w:val="Page Numbers (Bottom of Page)"/>
          <w:docPartUnique/>
        </w:docPartObj>
      </w:sdtPr>
      <w:sdtEndPr>
        <w:rPr>
          <w:rStyle w:val="PageNumber"/>
          <w:rFonts w:ascii="Franklin Gothic Demi" w:hAnsi="Franklin Gothic Demi"/>
          <w:color w:val="006B7A" w:themeColor="accent1"/>
          <w:sz w:val="20"/>
          <w:szCs w:val="20"/>
        </w:rPr>
      </w:sdtEndPr>
      <w:sdtContent>
        <w:r w:rsidRPr="00D44D70">
          <w:rPr>
            <w:rStyle w:val="PageNumber"/>
          </w:rPr>
          <w:fldChar w:fldCharType="begin"/>
        </w:r>
        <w:r w:rsidRPr="00D44D70">
          <w:rPr>
            <w:rStyle w:val="PageNumber"/>
          </w:rPr>
          <w:instrText xml:space="preserve"> PAGE   \* MERGEFORMAT </w:instrText>
        </w:r>
        <w:r w:rsidRPr="00D44D70">
          <w:rPr>
            <w:rStyle w:val="PageNumber"/>
          </w:rPr>
          <w:fldChar w:fldCharType="separate"/>
        </w:r>
        <w:r w:rsidR="00145AF7">
          <w:rPr>
            <w:rStyle w:val="PageNumber"/>
            <w:noProof/>
          </w:rPr>
          <w:t>iv</w:t>
        </w:r>
        <w:r w:rsidRPr="00D44D70">
          <w:rPr>
            <w:rStyle w:val="PageNumber"/>
          </w:rPr>
          <w:fldChar w:fldCharType="end"/>
        </w:r>
      </w:sdtContent>
    </w:sdt>
    <w:r>
      <w:rPr>
        <w:b/>
      </w:rPr>
      <w:tab/>
    </w:r>
    <w:fldSimple w:instr=" STYLEREF  Title ">
      <w:r w:rsidR="00145AF7">
        <w:rPr>
          <w:noProof/>
        </w:rPr>
        <w:t>Review of the 2014-15 ACT Budget</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Pr="003D2A2B" w:rsidRDefault="00D733F1" w:rsidP="00526E83">
    <w:pPr>
      <w:pStyle w:val="Header"/>
    </w:pPr>
    <w:r>
      <w:tab/>
    </w:r>
    <w:r>
      <w:tab/>
    </w:r>
    <w:r>
      <w:tab/>
    </w:r>
    <w:fldSimple w:instr=" STYLEREF  Title ">
      <w:r w:rsidR="00145AF7">
        <w:rPr>
          <w:noProof/>
        </w:rPr>
        <w:t>Review of the 2014-15 ACT Budget</w:t>
      </w:r>
    </w:fldSimple>
    <w:r>
      <w:tab/>
    </w:r>
    <w:r>
      <w:rPr>
        <w:rStyle w:val="PageNumber"/>
      </w:rPr>
      <w:fldChar w:fldCharType="begin"/>
    </w:r>
    <w:r>
      <w:rPr>
        <w:rStyle w:val="PageNumber"/>
      </w:rPr>
      <w:instrText xml:space="preserve"> PAGE </w:instrText>
    </w:r>
    <w:r>
      <w:rPr>
        <w:rStyle w:val="PageNumber"/>
      </w:rPr>
      <w:fldChar w:fldCharType="separate"/>
    </w:r>
    <w:r w:rsidR="00145AF7">
      <w:rPr>
        <w:rStyle w:val="PageNumber"/>
        <w:noProof/>
      </w:rPr>
      <w:t>v</w:t>
    </w:r>
    <w:r>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Default="00D733F1" w:rsidP="00845AAE">
    <w:pPr>
      <w:pStyle w:val="Header"/>
    </w:pPr>
    <w:r>
      <w:rPr>
        <w:b/>
      </w:rPr>
      <w:tab/>
    </w:r>
    <w:sdt>
      <w:sdtPr>
        <w:id w:val="-1174789932"/>
        <w:docPartObj>
          <w:docPartGallery w:val="Page Numbers (Bottom of Page)"/>
          <w:docPartUnique/>
        </w:docPartObj>
      </w:sdtPr>
      <w:sdtEndPr>
        <w:rPr>
          <w:rStyle w:val="PageNumber"/>
          <w:rFonts w:ascii="Franklin Gothic Demi" w:hAnsi="Franklin Gothic Demi"/>
          <w:color w:val="006B7A" w:themeColor="accent1"/>
          <w:sz w:val="20"/>
          <w:szCs w:val="20"/>
        </w:rPr>
      </w:sdtEndPr>
      <w:sdtContent>
        <w:r w:rsidRPr="00D44D70">
          <w:rPr>
            <w:rStyle w:val="PageNumber"/>
          </w:rPr>
          <w:fldChar w:fldCharType="begin"/>
        </w:r>
        <w:r w:rsidRPr="00D44D70">
          <w:rPr>
            <w:rStyle w:val="PageNumber"/>
          </w:rPr>
          <w:instrText xml:space="preserve"> PAGE   \* MERGEFORMAT </w:instrText>
        </w:r>
        <w:r w:rsidRPr="00D44D70">
          <w:rPr>
            <w:rStyle w:val="PageNumber"/>
          </w:rPr>
          <w:fldChar w:fldCharType="separate"/>
        </w:r>
        <w:r w:rsidR="00145AF7">
          <w:rPr>
            <w:rStyle w:val="PageNumber"/>
            <w:noProof/>
          </w:rPr>
          <w:t>50</w:t>
        </w:r>
        <w:r w:rsidRPr="00D44D70">
          <w:rPr>
            <w:rStyle w:val="PageNumber"/>
          </w:rPr>
          <w:fldChar w:fldCharType="end"/>
        </w:r>
      </w:sdtContent>
    </w:sdt>
    <w:r>
      <w:rPr>
        <w:b/>
      </w:rPr>
      <w:tab/>
    </w:r>
    <w:fldSimple w:instr=" STYLEREF  Title ">
      <w:r w:rsidR="00145AF7">
        <w:rPr>
          <w:noProof/>
        </w:rPr>
        <w:t>Review of the 2014-15 ACT Budget</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Pr="003D2A2B" w:rsidRDefault="00D733F1" w:rsidP="00845AAE">
    <w:pPr>
      <w:pStyle w:val="Header"/>
    </w:pPr>
    <w:r>
      <w:tab/>
    </w:r>
    <w:r>
      <w:tab/>
    </w:r>
    <w:r>
      <w:tab/>
    </w:r>
    <w:fldSimple w:instr=" STYLEREF  Title ">
      <w:r w:rsidR="00145AF7">
        <w:rPr>
          <w:noProof/>
        </w:rPr>
        <w:t>Review of the 2014-15 ACT Budget</w:t>
      </w:r>
    </w:fldSimple>
    <w:r>
      <w:tab/>
    </w:r>
    <w:r>
      <w:rPr>
        <w:rStyle w:val="PageNumber"/>
      </w:rPr>
      <w:fldChar w:fldCharType="begin"/>
    </w:r>
    <w:r>
      <w:rPr>
        <w:rStyle w:val="PageNumber"/>
      </w:rPr>
      <w:instrText xml:space="preserve"> PAGE </w:instrText>
    </w:r>
    <w:r>
      <w:rPr>
        <w:rStyle w:val="PageNumber"/>
      </w:rPr>
      <w:fldChar w:fldCharType="separate"/>
    </w:r>
    <w:r w:rsidR="00145AF7">
      <w:rPr>
        <w:rStyle w:val="PageNumber"/>
        <w:noProof/>
      </w:rPr>
      <w:t>1</w:t>
    </w:r>
    <w:r>
      <w:rPr>
        <w:rStyle w:val="PageNumber"/>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Pr="003D6FA5" w:rsidRDefault="00D733F1" w:rsidP="00911DED">
    <w:pPr>
      <w:pStyle w:val="Header"/>
      <w:pBdr>
        <w:bottom w:val="none" w:sz="0" w:space="0" w:color="auto"/>
      </w:pBdr>
      <w:spacing w:before="0"/>
      <w:ind w:left="0" w:right="0"/>
    </w:pPr>
    <w:r>
      <w:rPr>
        <w:noProof/>
      </w:rPr>
      <w:pict>
        <v:line id="Straight Connector 58" o:spid="_x0000_s6150" style="position:absolute;z-index:2516633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69.4pt,0" to="769.4pt,5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" o:allowincell="f" strokecolor="#006573 [3044]" strokeweight=".5pt">
          <w10:wrap anchorx="page" anchory="page"/>
        </v:line>
      </w:pict>
    </w:r>
    <w:r>
      <w:rPr>
        <w:noProof/>
      </w:rPr>
      <w:pict>
        <v:rect id="Rectangle 59" o:spid="_x0000_s6149" style="position:absolute;margin-left:768.3pt;margin-top:0;width:17pt;height:595.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" o:allowincell="f" filled="f" stroked="f" strokeweight="2pt">
          <v:textbox style="layout-flow:vertical" inset="0,0,0,0">
            <w:txbxContent>
              <w:p w:rsidR="00D733F1" w:rsidRPr="009D4FBD" w:rsidRDefault="00D733F1" w:rsidP="00911DED">
                <w:pPr>
                  <w:pStyle w:val="Header"/>
                  <w:tabs>
                    <w:tab w:val="clear" w:pos="-567"/>
                    <w:tab w:val="clear" w:pos="0"/>
                    <w:tab w:val="clear" w:pos="7938"/>
                    <w:tab w:val="clear" w:pos="8505"/>
                    <w:tab w:val="left" w:pos="1701"/>
                    <w:tab w:val="left" w:pos="2268"/>
                    <w:tab w:val="right" w:pos="10206"/>
                    <w:tab w:val="right" w:pos="10773"/>
                  </w:tabs>
                  <w:spacing w:before="0"/>
                  <w:ind w:right="-1701"/>
                </w:pPr>
                <w:r>
                  <w:tab/>
                </w:r>
                <w:r>
                  <w:rPr>
                    <w:rStyle w:val="PageNumber"/>
                  </w:rPr>
                  <w:fldChar w:fldCharType="begin"/>
                </w:r>
                <w:r>
                  <w:rPr>
                    <w:rStyle w:val="PageNumber"/>
                  </w:rPr>
                  <w:instrText xml:space="preserve"> PAGE </w:instrText>
                </w:r>
                <w:r>
                  <w:rPr>
                    <w:rStyle w:val="PageNumber"/>
                  </w:rPr>
                  <w:fldChar w:fldCharType="separate"/>
                </w:r>
                <w:r w:rsidR="00145AF7">
                  <w:rPr>
                    <w:rStyle w:val="PageNumber"/>
                    <w:noProof/>
                  </w:rPr>
                  <w:t>54</w:t>
                </w:r>
                <w:r>
                  <w:rPr>
                    <w:rStyle w:val="PageNumber"/>
                  </w:rPr>
                  <w:fldChar w:fldCharType="end"/>
                </w:r>
                <w:r>
                  <w:tab/>
                </w:r>
                <w:r w:rsidRPr="00CD111E">
                  <w:rPr>
                    <w:color w:val="000000" w:themeColor="text1"/>
                  </w:rPr>
                  <w:fldChar w:fldCharType="begin"/>
                </w:r>
                <w:r w:rsidRPr="00CD111E">
                  <w:rPr>
                    <w:color w:val="000000" w:themeColor="text1"/>
                  </w:rPr>
                  <w:instrText xml:space="preserve"> STYLEREF  Title </w:instrText>
                </w:r>
                <w:r w:rsidRPr="00CD111E">
                  <w:rPr>
                    <w:color w:val="000000" w:themeColor="text1"/>
                  </w:rPr>
                  <w:fldChar w:fldCharType="separate"/>
                </w:r>
                <w:r w:rsidR="00145AF7">
                  <w:rPr>
                    <w:noProof/>
                    <w:color w:val="000000" w:themeColor="text1"/>
                  </w:rPr>
                  <w:t>Review of the 2014-15 ACT Budget</w:t>
                </w:r>
                <w:r w:rsidRPr="00CD111E">
                  <w:rPr>
                    <w:noProof/>
                    <w:color w:val="000000" w:themeColor="text1"/>
                  </w:rPr>
                  <w:fldChar w:fldCharType="end"/>
                </w:r>
                <w:r w:rsidRPr="00CD111E">
                  <w:rPr>
                    <w:color w:val="000000" w:themeColor="text1"/>
                  </w:rPr>
                  <w:tab/>
                </w:r>
              </w:p>
            </w:txbxContent>
          </v:textbox>
          <w10:wrap anchorx="page" anchory="page"/>
        </v:rect>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1" w:rsidRPr="003D6FA5" w:rsidRDefault="00D733F1" w:rsidP="00911DED">
    <w:pPr>
      <w:pStyle w:val="Header"/>
      <w:pBdr>
        <w:bottom w:val="none" w:sz="0" w:space="0" w:color="auto"/>
      </w:pBdr>
      <w:spacing w:before="0"/>
      <w:ind w:left="0" w:right="0"/>
    </w:pPr>
    <w:r>
      <w:rPr>
        <w:noProof/>
      </w:rPr>
      <w:pict>
        <v:line id="Straight Connector 23" o:spid="_x0000_s6148" style="position:absolute;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69.4pt,0" to="769.4pt,5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" o:allowincell="f" strokecolor="#006573 [3044]" strokeweight=".5pt">
          <w10:wrap anchorx="page" anchory="page"/>
        </v:line>
      </w:pict>
    </w:r>
    <w:r>
      <w:rPr>
        <w:noProof/>
      </w:rPr>
      <w:pict>
        <v:rect id="Rectangle 45" o:spid="_x0000_s6147" style="position:absolute;margin-left:768.3pt;margin-top:0;width:17pt;height:59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" o:allowincell="f" filled="f" stroked="f" strokeweight="2pt">
          <v:textbox style="layout-flow:vertical" inset="0,0,0,0">
            <w:txbxContent>
              <w:p w:rsidR="00D733F1" w:rsidRPr="009D4FBD" w:rsidRDefault="00D733F1" w:rsidP="00911DED">
                <w:pPr>
                  <w:pStyle w:val="Header"/>
                  <w:tabs>
                    <w:tab w:val="clear" w:pos="-567"/>
                    <w:tab w:val="clear" w:pos="0"/>
                    <w:tab w:val="clear" w:pos="7938"/>
                    <w:tab w:val="clear" w:pos="8505"/>
                    <w:tab w:val="left" w:pos="1701"/>
                    <w:tab w:val="left" w:pos="2268"/>
                    <w:tab w:val="right" w:pos="10206"/>
                    <w:tab w:val="right" w:pos="10773"/>
                  </w:tabs>
                  <w:spacing w:before="0"/>
                  <w:ind w:right="-1701"/>
                </w:pPr>
                <w:r>
                  <w:tab/>
                </w:r>
                <w:r>
                  <w:tab/>
                </w:r>
                <w:r>
                  <w:tab/>
                </w:r>
                <w:r w:rsidRPr="00F748C7">
                  <w:rPr>
                    <w:color w:val="000000" w:themeColor="text1"/>
                  </w:rPr>
                  <w:fldChar w:fldCharType="begin"/>
                </w:r>
                <w:r w:rsidRPr="00F748C7">
                  <w:rPr>
                    <w:color w:val="000000" w:themeColor="text1"/>
                  </w:rPr>
                  <w:instrText xml:space="preserve"> STYLEREF  Title </w:instrText>
                </w:r>
                <w:r w:rsidRPr="00F748C7">
                  <w:rPr>
                    <w:color w:val="000000" w:themeColor="text1"/>
                  </w:rPr>
                  <w:fldChar w:fldCharType="separate"/>
                </w:r>
                <w:r w:rsidR="00145AF7">
                  <w:rPr>
                    <w:noProof/>
                    <w:color w:val="000000" w:themeColor="text1"/>
                  </w:rPr>
                  <w:t>Review of the 2014-15 ACT Budget</w:t>
                </w:r>
                <w:r w:rsidRPr="00F748C7">
                  <w:rPr>
                    <w:noProof/>
                    <w:color w:val="000000" w:themeColor="text1"/>
                  </w:rPr>
                  <w:fldChar w:fldCharType="end"/>
                </w:r>
                <w:r>
                  <w:tab/>
                </w:r>
                <w:r>
                  <w:rPr>
                    <w:rStyle w:val="PageNumber"/>
                  </w:rPr>
                  <w:fldChar w:fldCharType="begin"/>
                </w:r>
                <w:r>
                  <w:rPr>
                    <w:rStyle w:val="PageNumber"/>
                  </w:rPr>
                  <w:instrText xml:space="preserve"> PAGE </w:instrText>
                </w:r>
                <w:r>
                  <w:rPr>
                    <w:rStyle w:val="PageNumber"/>
                  </w:rPr>
                  <w:fldChar w:fldCharType="separate"/>
                </w:r>
                <w:r w:rsidR="00145AF7">
                  <w:rPr>
                    <w:rStyle w:val="PageNumber"/>
                    <w:noProof/>
                  </w:rPr>
                  <w:t>55</w:t>
                </w:r>
                <w:r>
                  <w:rPr>
                    <w:rStyle w:val="PageNumber"/>
                  </w:rPr>
                  <w:fldChar w:fldCharType="end"/>
                </w:r>
              </w:p>
            </w:txbxContent>
          </v:textbox>
          <w10:wrap anchorx="page" anchory="page"/>
        </v:rect>
      </w:pict>
    </w:r>
    <w:r>
      <w:rPr>
        <w:noProof/>
      </w:rPr>
      <w:pict>
        <v:rect id="Rectangle 46" o:spid="_x0000_s6146" style="position:absolute;margin-left:31.2pt;margin-top:113.4pt;width:14.15pt;height:39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" o:allowincell="f" filled="f" stroked="f" strokeweight="2pt">
          <v:textbox style="layout-flow:vertical" inset="0,0,0,0">
            <w:txbxContent>
              <w:p w:rsidR="00D733F1" w:rsidRPr="009C5A0E" w:rsidRDefault="00D733F1" w:rsidP="00911DED">
                <w:pPr>
                  <w:pStyle w:val="Footer"/>
                  <w:jc w:val="right"/>
                </w:pPr>
                <w:r>
                  <w:t>www.TheCIE.com.au</w:t>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0714B"/>
    <w:multiLevelType w:val="multilevel"/>
    <w:tmpl w:val="0C09001F"/>
    <w:name w:val="NoteNumbers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1F659F"/>
    <w:multiLevelType w:val="multilevel"/>
    <w:tmpl w:val="60E6D4CC"/>
    <w:styleLink w:val="ListNumbers"/>
    <w:lvl w:ilvl="0">
      <w:start w:val="1"/>
      <w:numFmt w:val="decimal"/>
      <w:pStyle w:val="ListNumber"/>
      <w:lvlText w:val="%1"/>
      <w:lvlJc w:val="left"/>
      <w:pPr>
        <w:tabs>
          <w:tab w:val="num" w:pos="284"/>
        </w:tabs>
        <w:ind w:left="284" w:hanging="284"/>
      </w:pPr>
      <w:rPr>
        <w:rFonts w:ascii="Calisto MT" w:hAnsi="Calisto MT"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58D63BB"/>
    <w:multiLevelType w:val="multilevel"/>
    <w:tmpl w:val="5BCE45E4"/>
    <w:styleLink w:val="NoteListNumber"/>
    <w:lvl w:ilvl="0">
      <w:start w:val="1"/>
      <w:numFmt w:val="none"/>
      <w:lvlRestart w:val="0"/>
      <w:suff w:val="nothing"/>
      <w:lvlText w:val="%1"/>
      <w:lvlJc w:val="left"/>
      <w:pPr>
        <w:ind w:left="0" w:firstLine="0"/>
      </w:pPr>
      <w:rPr>
        <w:rFonts w:ascii="Calibri" w:hAnsi="Calibri" w:cs="Calibri" w:hint="default"/>
        <w:b/>
        <w:i w:val="0"/>
        <w:color w:val="C6BFAB" w:themeColor="accent3"/>
        <w:position w:val="4"/>
      </w:rPr>
    </w:lvl>
    <w:lvl w:ilvl="1">
      <w:start w:val="1"/>
      <w:numFmt w:val="lowerLetter"/>
      <w:lvlText w:val="%1%2"/>
      <w:lvlJc w:val="left"/>
      <w:pPr>
        <w:tabs>
          <w:tab w:val="num" w:pos="170"/>
        </w:tabs>
        <w:ind w:left="170" w:hanging="170"/>
      </w:pPr>
      <w:rPr>
        <w:rFonts w:hint="default"/>
        <w:b/>
        <w:i w:val="0"/>
        <w:color w:val="C6BFAB" w:themeColor="accent3"/>
        <w:position w:val="4"/>
      </w:rPr>
    </w:lvl>
    <w:lvl w:ilvl="2">
      <w:start w:val="1"/>
      <w:numFmt w:val="none"/>
      <w:lvlRestart w:val="0"/>
      <w:suff w:val="nothing"/>
      <w:lvlText w:val="%1"/>
      <w:lvlJc w:val="left"/>
      <w:pPr>
        <w:ind w:left="1224" w:hanging="504"/>
      </w:pPr>
      <w:rPr>
        <w:rFonts w:hint="default"/>
      </w:rPr>
    </w:lvl>
    <w:lvl w:ilvl="3">
      <w:start w:val="1"/>
      <w:numFmt w:val="none"/>
      <w:lvlRestart w:val="0"/>
      <w:suff w:val="nothing"/>
      <w:lvlText w:val="%1"/>
      <w:lvlJc w:val="left"/>
      <w:pPr>
        <w:ind w:left="1728" w:hanging="648"/>
      </w:pPr>
      <w:rPr>
        <w:rFonts w:hint="default"/>
      </w:rPr>
    </w:lvl>
    <w:lvl w:ilvl="4">
      <w:start w:val="1"/>
      <w:numFmt w:val="none"/>
      <w:lvlRestart w:val="0"/>
      <w:suff w:val="nothing"/>
      <w:lvlText w:val="%1"/>
      <w:lvlJc w:val="left"/>
      <w:pPr>
        <w:ind w:left="2232" w:hanging="792"/>
      </w:pPr>
      <w:rPr>
        <w:rFonts w:hint="default"/>
      </w:rPr>
    </w:lvl>
    <w:lvl w:ilvl="5">
      <w:start w:val="1"/>
      <w:numFmt w:val="none"/>
      <w:lvlRestart w:val="0"/>
      <w:suff w:val="nothing"/>
      <w:lvlText w:val="%1"/>
      <w:lvlJc w:val="left"/>
      <w:pPr>
        <w:ind w:left="2736" w:hanging="936"/>
      </w:pPr>
      <w:rPr>
        <w:rFonts w:hint="default"/>
      </w:rPr>
    </w:lvl>
    <w:lvl w:ilvl="6">
      <w:start w:val="1"/>
      <w:numFmt w:val="none"/>
      <w:lvlRestart w:val="0"/>
      <w:suff w:val="nothing"/>
      <w:lvlText w:val="%1"/>
      <w:lvlJc w:val="left"/>
      <w:pPr>
        <w:ind w:left="3240" w:hanging="1080"/>
      </w:pPr>
      <w:rPr>
        <w:rFonts w:hint="default"/>
      </w:rPr>
    </w:lvl>
    <w:lvl w:ilvl="7">
      <w:start w:val="1"/>
      <w:numFmt w:val="none"/>
      <w:lvlRestart w:val="0"/>
      <w:suff w:val="nothing"/>
      <w:lvlText w:val="%1"/>
      <w:lvlJc w:val="left"/>
      <w:pPr>
        <w:ind w:left="3744" w:hanging="1224"/>
      </w:pPr>
      <w:rPr>
        <w:rFonts w:hint="default"/>
      </w:rPr>
    </w:lvl>
    <w:lvl w:ilvl="8">
      <w:start w:val="1"/>
      <w:numFmt w:val="none"/>
      <w:lvlRestart w:val="0"/>
      <w:suff w:val="nothing"/>
      <w:lvlText w:val="%1"/>
      <w:lvlJc w:val="left"/>
      <w:pPr>
        <w:ind w:left="4320" w:hanging="1440"/>
      </w:pPr>
      <w:rPr>
        <w:rFonts w:hint="default"/>
      </w:rPr>
    </w:lvl>
  </w:abstractNum>
  <w:abstractNum w:abstractNumId="3">
    <w:nsid w:val="19B85820"/>
    <w:multiLevelType w:val="multilevel"/>
    <w:tmpl w:val="F94A5772"/>
    <w:styleLink w:val="ChartListBullets"/>
    <w:lvl w:ilvl="0">
      <w:start w:val="1"/>
      <w:numFmt w:val="bullet"/>
      <w:pStyle w:val="ChartListBullet"/>
      <w:lvlText w:val="■"/>
      <w:lvlJc w:val="left"/>
      <w:pPr>
        <w:tabs>
          <w:tab w:val="num" w:pos="170"/>
        </w:tabs>
        <w:ind w:left="170" w:hanging="170"/>
      </w:pPr>
      <w:rPr>
        <w:rFonts w:ascii="Franklin Gothic Book" w:hAnsi="Franklin Gothic Book" w:hint="default"/>
        <w:color w:val="9B917E" w:themeColor="accent4"/>
        <w:position w:val="2"/>
        <w:sz w:val="12"/>
      </w:rPr>
    </w:lvl>
    <w:lvl w:ilvl="1">
      <w:start w:val="1"/>
      <w:numFmt w:val="bullet"/>
      <w:pStyle w:val="ChartListBullet2"/>
      <w:lvlText w:val="–"/>
      <w:lvlJc w:val="left"/>
      <w:pPr>
        <w:tabs>
          <w:tab w:val="num" w:pos="340"/>
        </w:tabs>
        <w:ind w:left="340" w:hanging="170"/>
      </w:pPr>
      <w:rPr>
        <w:rFonts w:ascii="Franklin Gothic Book" w:hAnsi="Franklin Gothic Book"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7006C08"/>
    <w:multiLevelType w:val="multilevel"/>
    <w:tmpl w:val="149034BA"/>
    <w:styleLink w:val="KeyPointBullets"/>
    <w:lvl w:ilvl="0">
      <w:start w:val="1"/>
      <w:numFmt w:val="bullet"/>
      <w:pStyle w:val="KeyPoint"/>
      <w:lvlText w:val="■"/>
      <w:lvlJc w:val="left"/>
      <w:pPr>
        <w:tabs>
          <w:tab w:val="num" w:pos="284"/>
        </w:tabs>
        <w:ind w:left="284" w:hanging="284"/>
      </w:pPr>
      <w:rPr>
        <w:rFonts w:ascii="Franklin Gothic Demi" w:hAnsi="Franklin Gothic Demi" w:hint="default"/>
        <w:color w:val="F61D12" w:themeColor="accent2"/>
      </w:rPr>
    </w:lvl>
    <w:lvl w:ilvl="1">
      <w:start w:val="1"/>
      <w:numFmt w:val="bullet"/>
      <w:pStyle w:val="KeyPoint2"/>
      <w:lvlText w:val="–"/>
      <w:lvlJc w:val="left"/>
      <w:pPr>
        <w:tabs>
          <w:tab w:val="num" w:pos="567"/>
        </w:tabs>
        <w:ind w:left="567" w:hanging="283"/>
      </w:pPr>
      <w:rPr>
        <w:rFonts w:ascii="Franklin Gothic Demi" w:hAnsi="Franklin Gothic Demi" w:hint="default"/>
        <w:color w:val="F61D12" w:themeColor="accent2"/>
        <w:position w:val="2"/>
      </w:rPr>
    </w:lvl>
    <w:lvl w:ilvl="2">
      <w:start w:val="1"/>
      <w:numFmt w:val="bullet"/>
      <w:pStyle w:val="KeyPoint3"/>
      <w:lvlText w:val="…"/>
      <w:lvlJc w:val="left"/>
      <w:pPr>
        <w:tabs>
          <w:tab w:val="num" w:pos="992"/>
        </w:tabs>
        <w:ind w:left="992" w:hanging="425"/>
      </w:pPr>
      <w:rPr>
        <w:rFonts w:ascii="Franklin Gothic Demi" w:hAnsi="Franklin Gothic Demi" w:hint="default"/>
        <w:color w:val="F61D12" w:themeColor="accen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7E231F0"/>
    <w:multiLevelType w:val="multilevel"/>
    <w:tmpl w:val="A8A0795C"/>
    <w:styleLink w:val="RecommendationNumbers"/>
    <w:lvl w:ilvl="0">
      <w:start w:val="1"/>
      <w:numFmt w:val="decimal"/>
      <w:pStyle w:val="RecommendationNumber"/>
      <w:lvlText w:val="%1"/>
      <w:lvlJc w:val="left"/>
      <w:pPr>
        <w:tabs>
          <w:tab w:val="num" w:pos="284"/>
        </w:tabs>
        <w:ind w:left="284" w:hanging="284"/>
      </w:pPr>
      <w:rPr>
        <w:rFonts w:hint="default"/>
      </w:rPr>
    </w:lvl>
    <w:lvl w:ilvl="1">
      <w:start w:val="1"/>
      <w:numFmt w:val="lowerLetter"/>
      <w:pStyle w:val="RecommendationNumber2"/>
      <w:lvlText w:val="%2)"/>
      <w:lvlJc w:val="left"/>
      <w:pPr>
        <w:tabs>
          <w:tab w:val="num" w:pos="567"/>
        </w:tabs>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1535386"/>
    <w:multiLevelType w:val="multilevel"/>
    <w:tmpl w:val="8C8656A2"/>
    <w:styleLink w:val="TableListNumbers"/>
    <w:lvl w:ilvl="0">
      <w:start w:val="1"/>
      <w:numFmt w:val="decimal"/>
      <w:pStyle w:val="TableListNumber"/>
      <w:lvlText w:val="%1"/>
      <w:lvlJc w:val="left"/>
      <w:pPr>
        <w:tabs>
          <w:tab w:val="num" w:pos="170"/>
        </w:tabs>
        <w:ind w:left="170" w:hanging="170"/>
      </w:pPr>
      <w:rPr>
        <w:rFonts w:ascii="Franklin Gothic Book" w:hAnsi="Franklin Gothic Book" w:hint="default"/>
      </w:rPr>
    </w:lvl>
    <w:lvl w:ilvl="1">
      <w:start w:val="1"/>
      <w:numFmt w:val="lowerLetter"/>
      <w:pStyle w:val="TableListNumber2"/>
      <w:lvlText w:val="%2)"/>
      <w:lvlJc w:val="left"/>
      <w:pPr>
        <w:tabs>
          <w:tab w:val="num" w:pos="340"/>
        </w:tabs>
        <w:ind w:left="340" w:hanging="17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4E3E75E8"/>
    <w:multiLevelType w:val="multilevel"/>
    <w:tmpl w:val="A3AC9912"/>
    <w:styleLink w:val="HeadingNumbers"/>
    <w:lvl w:ilvl="0">
      <w:start w:val="1"/>
      <w:numFmt w:val="decimal"/>
      <w:pStyle w:val="Heading1"/>
      <w:lvlText w:val="%1"/>
      <w:lvlJc w:val="left"/>
      <w:pPr>
        <w:tabs>
          <w:tab w:val="num" w:pos="567"/>
        </w:tabs>
        <w:ind w:left="567" w:hanging="567"/>
      </w:pPr>
      <w:rPr>
        <w:rFonts w:hint="default"/>
        <w:b w:val="0"/>
        <w:i/>
        <w:color w:val="auto"/>
        <w:sz w:val="36"/>
      </w:rPr>
    </w:lvl>
    <w:lvl w:ilvl="1">
      <w:start w:val="1"/>
      <w:numFmt w:val="none"/>
      <w:lvlRestart w:val="0"/>
      <w:pStyle w:val="Heading2"/>
      <w:suff w:val="nothing"/>
      <w:lvlText w:val=""/>
      <w:lvlJc w:val="left"/>
      <w:pPr>
        <w:ind w:left="0" w:firstLine="0"/>
      </w:pPr>
      <w:rPr>
        <w:rFonts w:hint="default"/>
      </w:rPr>
    </w:lvl>
    <w:lvl w:ilvl="2">
      <w:start w:val="1"/>
      <w:numFmt w:val="none"/>
      <w:lvlRestart w:val="0"/>
      <w:pStyle w:val="Heading3"/>
      <w:suff w:val="nothing"/>
      <w:lvlText w:val=""/>
      <w:lvlJc w:val="left"/>
      <w:pPr>
        <w:ind w:left="0" w:firstLine="0"/>
      </w:pPr>
      <w:rPr>
        <w:rFonts w:hint="default"/>
      </w:rPr>
    </w:lvl>
    <w:lvl w:ilvl="3">
      <w:start w:val="1"/>
      <w:numFmt w:val="none"/>
      <w:lvlRestart w:val="0"/>
      <w:pStyle w:val="Heading4"/>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pStyle w:val="Heading6"/>
      <w:lvlText w:val="%6"/>
      <w:lvlJc w:val="left"/>
      <w:pPr>
        <w:tabs>
          <w:tab w:val="num" w:pos="567"/>
        </w:tabs>
        <w:ind w:left="567" w:hanging="567"/>
      </w:pPr>
      <w:rPr>
        <w:rFonts w:hint="default"/>
        <w:b w:val="0"/>
        <w:i/>
        <w:caps w:val="0"/>
        <w:sz w:val="36"/>
        <w:szCs w:val="28"/>
      </w:rPr>
    </w:lvl>
    <w:lvl w:ilvl="6">
      <w:start w:val="1"/>
      <w:numFmt w:val="none"/>
      <w:lvlRestart w:val="0"/>
      <w:pStyle w:val="Heading7"/>
      <w:suff w:val="nothing"/>
      <w:lvlText w:val=""/>
      <w:lvlJc w:val="left"/>
      <w:pPr>
        <w:ind w:left="0" w:firstLine="0"/>
      </w:pPr>
      <w:rPr>
        <w:rFonts w:hint="default"/>
        <w:caps/>
        <w:sz w:val="22"/>
        <w:szCs w:val="22"/>
      </w:rPr>
    </w:lvl>
    <w:lvl w:ilvl="7">
      <w:start w:val="1"/>
      <w:numFmt w:val="none"/>
      <w:lvlRestart w:val="0"/>
      <w:pStyle w:val="Heading8"/>
      <w:suff w:val="nothing"/>
      <w:lvlText w:val=""/>
      <w:lvlJc w:val="left"/>
      <w:pPr>
        <w:ind w:left="0" w:firstLine="0"/>
      </w:pPr>
      <w:rPr>
        <w:rFonts w:asciiTheme="majorHAnsi" w:hAnsiTheme="majorHAnsi" w:hint="default"/>
      </w:rPr>
    </w:lvl>
    <w:lvl w:ilvl="8">
      <w:start w:val="1"/>
      <w:numFmt w:val="none"/>
      <w:lvlRestart w:val="0"/>
      <w:pStyle w:val="Heading9"/>
      <w:suff w:val="nothing"/>
      <w:lvlText w:val=""/>
      <w:lvlJc w:val="left"/>
      <w:pPr>
        <w:ind w:left="0" w:firstLine="0"/>
      </w:pPr>
      <w:rPr>
        <w:rFonts w:asciiTheme="majorHAnsi" w:hAnsiTheme="majorHAnsi" w:hint="default"/>
      </w:rPr>
    </w:lvl>
  </w:abstractNum>
  <w:abstractNum w:abstractNumId="8">
    <w:nsid w:val="542E221A"/>
    <w:multiLevelType w:val="multilevel"/>
    <w:tmpl w:val="567ADE74"/>
    <w:styleLink w:val="TableListBullets"/>
    <w:lvl w:ilvl="0">
      <w:start w:val="1"/>
      <w:numFmt w:val="bullet"/>
      <w:pStyle w:val="TableListBullet"/>
      <w:lvlText w:val="■"/>
      <w:lvlJc w:val="left"/>
      <w:pPr>
        <w:tabs>
          <w:tab w:val="num" w:pos="170"/>
        </w:tabs>
        <w:ind w:left="170" w:hanging="170"/>
      </w:pPr>
      <w:rPr>
        <w:rFonts w:ascii="Franklin Gothic Book" w:hAnsi="Franklin Gothic Book"/>
        <w:color w:val="9B917E" w:themeColor="accent4"/>
        <w:spacing w:val="0"/>
        <w:w w:val="100"/>
        <w:position w:val="3"/>
        <w:sz w:val="12"/>
      </w:rPr>
    </w:lvl>
    <w:lvl w:ilvl="1">
      <w:start w:val="1"/>
      <w:numFmt w:val="bullet"/>
      <w:pStyle w:val="TableListBullet2"/>
      <w:lvlText w:val="–"/>
      <w:lvlJc w:val="left"/>
      <w:pPr>
        <w:tabs>
          <w:tab w:val="num" w:pos="340"/>
        </w:tabs>
        <w:ind w:left="340" w:hanging="170"/>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8B8648D"/>
    <w:multiLevelType w:val="multilevel"/>
    <w:tmpl w:val="5BCE45E4"/>
    <w:lvl w:ilvl="0">
      <w:start w:val="1"/>
      <w:numFmt w:val="none"/>
      <w:lvlRestart w:val="0"/>
      <w:suff w:val="nothing"/>
      <w:lvlText w:val="%1"/>
      <w:lvlJc w:val="left"/>
      <w:pPr>
        <w:ind w:left="0" w:firstLine="0"/>
      </w:pPr>
      <w:rPr>
        <w:rFonts w:ascii="Calibri" w:hAnsi="Calibri" w:cs="Calibri" w:hint="default"/>
        <w:b/>
        <w:i w:val="0"/>
        <w:color w:val="C6BFAB" w:themeColor="accent3"/>
        <w:position w:val="4"/>
      </w:rPr>
    </w:lvl>
    <w:lvl w:ilvl="1">
      <w:start w:val="1"/>
      <w:numFmt w:val="lowerLetter"/>
      <w:pStyle w:val="NoteNumber"/>
      <w:lvlText w:val="%1%2"/>
      <w:lvlJc w:val="left"/>
      <w:pPr>
        <w:tabs>
          <w:tab w:val="num" w:pos="170"/>
        </w:tabs>
        <w:ind w:left="170" w:hanging="170"/>
      </w:pPr>
      <w:rPr>
        <w:rFonts w:hint="default"/>
        <w:b/>
        <w:i w:val="0"/>
        <w:color w:val="C6BFAB" w:themeColor="accent3"/>
        <w:position w:val="4"/>
      </w:rPr>
    </w:lvl>
    <w:lvl w:ilvl="2">
      <w:start w:val="1"/>
      <w:numFmt w:val="none"/>
      <w:lvlRestart w:val="0"/>
      <w:suff w:val="nothing"/>
      <w:lvlText w:val="%1"/>
      <w:lvlJc w:val="left"/>
      <w:pPr>
        <w:ind w:left="1224" w:hanging="504"/>
      </w:pPr>
      <w:rPr>
        <w:rFonts w:hint="default"/>
      </w:rPr>
    </w:lvl>
    <w:lvl w:ilvl="3">
      <w:start w:val="1"/>
      <w:numFmt w:val="none"/>
      <w:lvlRestart w:val="0"/>
      <w:suff w:val="nothing"/>
      <w:lvlText w:val="%1"/>
      <w:lvlJc w:val="left"/>
      <w:pPr>
        <w:ind w:left="1728" w:hanging="648"/>
      </w:pPr>
      <w:rPr>
        <w:rFonts w:hint="default"/>
      </w:rPr>
    </w:lvl>
    <w:lvl w:ilvl="4">
      <w:start w:val="1"/>
      <w:numFmt w:val="none"/>
      <w:lvlRestart w:val="0"/>
      <w:suff w:val="nothing"/>
      <w:lvlText w:val="%1"/>
      <w:lvlJc w:val="left"/>
      <w:pPr>
        <w:ind w:left="2232" w:hanging="792"/>
      </w:pPr>
      <w:rPr>
        <w:rFonts w:hint="default"/>
      </w:rPr>
    </w:lvl>
    <w:lvl w:ilvl="5">
      <w:start w:val="1"/>
      <w:numFmt w:val="none"/>
      <w:lvlRestart w:val="0"/>
      <w:suff w:val="nothing"/>
      <w:lvlText w:val="%1"/>
      <w:lvlJc w:val="left"/>
      <w:pPr>
        <w:ind w:left="2736" w:hanging="936"/>
      </w:pPr>
      <w:rPr>
        <w:rFonts w:hint="default"/>
      </w:rPr>
    </w:lvl>
    <w:lvl w:ilvl="6">
      <w:start w:val="1"/>
      <w:numFmt w:val="none"/>
      <w:lvlRestart w:val="0"/>
      <w:suff w:val="nothing"/>
      <w:lvlText w:val="%1"/>
      <w:lvlJc w:val="left"/>
      <w:pPr>
        <w:ind w:left="3240" w:hanging="1080"/>
      </w:pPr>
      <w:rPr>
        <w:rFonts w:hint="default"/>
      </w:rPr>
    </w:lvl>
    <w:lvl w:ilvl="7">
      <w:start w:val="1"/>
      <w:numFmt w:val="none"/>
      <w:lvlRestart w:val="0"/>
      <w:suff w:val="nothing"/>
      <w:lvlText w:val="%1"/>
      <w:lvlJc w:val="left"/>
      <w:pPr>
        <w:ind w:left="3744" w:hanging="1224"/>
      </w:pPr>
      <w:rPr>
        <w:rFonts w:hint="default"/>
      </w:rPr>
    </w:lvl>
    <w:lvl w:ilvl="8">
      <w:start w:val="1"/>
      <w:numFmt w:val="none"/>
      <w:lvlRestart w:val="0"/>
      <w:suff w:val="nothing"/>
      <w:lvlText w:val="%1"/>
      <w:lvlJc w:val="left"/>
      <w:pPr>
        <w:ind w:left="4320" w:hanging="1440"/>
      </w:pPr>
      <w:rPr>
        <w:rFonts w:hint="default"/>
      </w:rPr>
    </w:lvl>
  </w:abstractNum>
  <w:abstractNum w:abstractNumId="10">
    <w:nsid w:val="6C420028"/>
    <w:multiLevelType w:val="multilevel"/>
    <w:tmpl w:val="AD122346"/>
    <w:styleLink w:val="ChartListNumber"/>
    <w:lvl w:ilvl="0">
      <w:start w:val="1"/>
      <w:numFmt w:val="decimal"/>
      <w:pStyle w:val="ChartListNumber0"/>
      <w:lvlText w:val="%1"/>
      <w:lvlJc w:val="left"/>
      <w:pPr>
        <w:tabs>
          <w:tab w:val="num" w:pos="170"/>
        </w:tabs>
        <w:ind w:left="170" w:hanging="17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718120EA"/>
    <w:multiLevelType w:val="multilevel"/>
    <w:tmpl w:val="CB3EC8D0"/>
    <w:styleLink w:val="ListBullets"/>
    <w:lvl w:ilvl="0">
      <w:start w:val="1"/>
      <w:numFmt w:val="bullet"/>
      <w:pStyle w:val="ListBullet"/>
      <w:lvlText w:val="■"/>
      <w:lvlJc w:val="left"/>
      <w:pPr>
        <w:tabs>
          <w:tab w:val="num" w:pos="284"/>
        </w:tabs>
        <w:ind w:left="284" w:hanging="284"/>
      </w:pPr>
      <w:rPr>
        <w:rFonts w:ascii="Franklin Gothic Demi" w:hAnsi="Franklin Gothic Demi" w:hint="default"/>
        <w:color w:val="9B917E" w:themeColor="accent4"/>
        <w:position w:val="3"/>
        <w:sz w:val="16"/>
      </w:rPr>
    </w:lvl>
    <w:lvl w:ilvl="1">
      <w:start w:val="1"/>
      <w:numFmt w:val="bullet"/>
      <w:pStyle w:val="ListBullet2"/>
      <w:lvlText w:val="–"/>
      <w:lvlJc w:val="left"/>
      <w:pPr>
        <w:tabs>
          <w:tab w:val="num" w:pos="567"/>
        </w:tabs>
        <w:ind w:left="567" w:hanging="283"/>
      </w:pPr>
      <w:rPr>
        <w:rFonts w:hint="default"/>
      </w:rPr>
    </w:lvl>
    <w:lvl w:ilvl="2">
      <w:start w:val="1"/>
      <w:numFmt w:val="bullet"/>
      <w:pStyle w:val="ListBullet3"/>
      <w:lvlText w:val="…"/>
      <w:lvlJc w:val="left"/>
      <w:pPr>
        <w:tabs>
          <w:tab w:val="num" w:pos="907"/>
        </w:tabs>
        <w:ind w:left="907" w:hanging="340"/>
      </w:pPr>
      <w:rPr>
        <w:rFonts w:ascii="Calisto MT" w:hAnsi="Calisto MT" w:hint="default"/>
        <w:color w:val="9B917E" w:themeColor="accent4"/>
        <w:position w:val="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20F67A8"/>
    <w:multiLevelType w:val="multilevel"/>
    <w:tmpl w:val="0C090029"/>
    <w:name w:val="NoteNumber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7C3A0DF8"/>
    <w:multiLevelType w:val="multilevel"/>
    <w:tmpl w:val="E6863C72"/>
    <w:lvl w:ilvl="0">
      <w:start w:val="1"/>
      <w:numFmt w:val="none"/>
      <w:lvlRestart w:val="0"/>
      <w:pStyle w:val="Caption"/>
      <w:suff w:val="nothing"/>
      <w:lvlText w:val="%1"/>
      <w:lvlJc w:val="left"/>
      <w:pPr>
        <w:ind w:left="0" w:firstLine="0"/>
      </w:pPr>
      <w:rPr>
        <w:rFonts w:ascii="Calibri" w:hAnsi="Calibri" w:cs="Calibri" w:hint="default"/>
        <w:b/>
        <w:i w:val="0"/>
        <w:color w:val="C6BFAB" w:themeColor="accent3"/>
        <w:position w:val="4"/>
      </w:rPr>
    </w:lvl>
    <w:lvl w:ilvl="1">
      <w:start w:val="1"/>
      <w:numFmt w:val="lowerLetter"/>
      <w:lvlText w:val="%1%2"/>
      <w:lvlJc w:val="left"/>
      <w:pPr>
        <w:tabs>
          <w:tab w:val="num" w:pos="170"/>
        </w:tabs>
        <w:ind w:left="170" w:hanging="170"/>
      </w:pPr>
      <w:rPr>
        <w:rFonts w:hint="default"/>
        <w:b/>
        <w:i w:val="0"/>
        <w:color w:val="C6BFAB" w:themeColor="accent3"/>
        <w:position w:val="4"/>
      </w:rPr>
    </w:lvl>
    <w:lvl w:ilvl="2">
      <w:start w:val="1"/>
      <w:numFmt w:val="none"/>
      <w:lvlRestart w:val="0"/>
      <w:suff w:val="nothing"/>
      <w:lvlText w:val="%1"/>
      <w:lvlJc w:val="left"/>
      <w:pPr>
        <w:ind w:left="1224" w:hanging="504"/>
      </w:pPr>
      <w:rPr>
        <w:rFonts w:hint="default"/>
      </w:rPr>
    </w:lvl>
    <w:lvl w:ilvl="3">
      <w:start w:val="1"/>
      <w:numFmt w:val="none"/>
      <w:lvlRestart w:val="0"/>
      <w:suff w:val="nothing"/>
      <w:lvlText w:val="%1"/>
      <w:lvlJc w:val="left"/>
      <w:pPr>
        <w:ind w:left="1728" w:hanging="648"/>
      </w:pPr>
      <w:rPr>
        <w:rFonts w:hint="default"/>
      </w:rPr>
    </w:lvl>
    <w:lvl w:ilvl="4">
      <w:start w:val="1"/>
      <w:numFmt w:val="none"/>
      <w:lvlRestart w:val="0"/>
      <w:suff w:val="nothing"/>
      <w:lvlText w:val="%1"/>
      <w:lvlJc w:val="left"/>
      <w:pPr>
        <w:ind w:left="2232" w:hanging="792"/>
      </w:pPr>
      <w:rPr>
        <w:rFonts w:hint="default"/>
      </w:rPr>
    </w:lvl>
    <w:lvl w:ilvl="5">
      <w:start w:val="1"/>
      <w:numFmt w:val="none"/>
      <w:lvlRestart w:val="0"/>
      <w:suff w:val="nothing"/>
      <w:lvlText w:val="%1"/>
      <w:lvlJc w:val="left"/>
      <w:pPr>
        <w:ind w:left="2736" w:hanging="936"/>
      </w:pPr>
      <w:rPr>
        <w:rFonts w:hint="default"/>
      </w:rPr>
    </w:lvl>
    <w:lvl w:ilvl="6">
      <w:start w:val="1"/>
      <w:numFmt w:val="none"/>
      <w:lvlRestart w:val="0"/>
      <w:suff w:val="nothing"/>
      <w:lvlText w:val="%1"/>
      <w:lvlJc w:val="left"/>
      <w:pPr>
        <w:ind w:left="3240" w:hanging="1080"/>
      </w:pPr>
      <w:rPr>
        <w:rFonts w:hint="default"/>
      </w:rPr>
    </w:lvl>
    <w:lvl w:ilvl="7">
      <w:start w:val="1"/>
      <w:numFmt w:val="none"/>
      <w:lvlRestart w:val="0"/>
      <w:suff w:val="nothing"/>
      <w:lvlText w:val="%1"/>
      <w:lvlJc w:val="left"/>
      <w:pPr>
        <w:ind w:left="3744" w:hanging="1224"/>
      </w:pPr>
      <w:rPr>
        <w:rFonts w:hint="default"/>
      </w:rPr>
    </w:lvl>
    <w:lvl w:ilvl="8">
      <w:start w:val="1"/>
      <w:numFmt w:val="none"/>
      <w:lvlRestart w:val="0"/>
      <w:suff w:val="nothing"/>
      <w:lvlText w:val="%1"/>
      <w:lvlJc w:val="left"/>
      <w:pPr>
        <w:ind w:left="4320" w:hanging="1440"/>
      </w:pPr>
      <w:rPr>
        <w:rFonts w:hint="default"/>
      </w:rPr>
    </w:lvl>
  </w:abstractNum>
  <w:num w:numId="1">
    <w:abstractNumId w:val="7"/>
  </w:num>
  <w:num w:numId="2">
    <w:abstractNumId w:val="13"/>
  </w:num>
  <w:num w:numId="3">
    <w:abstractNumId w:val="9"/>
  </w:num>
  <w:num w:numId="4">
    <w:abstractNumId w:val="11"/>
    <w:lvlOverride w:ilvl="0">
      <w:lvl w:ilvl="0">
        <w:start w:val="1"/>
        <w:numFmt w:val="bullet"/>
        <w:pStyle w:val="ListBullet"/>
        <w:lvlText w:val="■"/>
        <w:lvlJc w:val="left"/>
        <w:pPr>
          <w:tabs>
            <w:tab w:val="num" w:pos="284"/>
          </w:tabs>
          <w:ind w:left="284" w:hanging="284"/>
        </w:pPr>
        <w:rPr>
          <w:rFonts w:ascii="Franklin Gothic Demi" w:hAnsi="Franklin Gothic Demi" w:hint="default"/>
          <w:color w:val="9B917E" w:themeColor="accent4"/>
          <w:position w:val="3"/>
          <w:sz w:val="16"/>
        </w:rPr>
      </w:lvl>
    </w:lvlOverride>
  </w:num>
  <w:num w:numId="5">
    <w:abstractNumId w:val="3"/>
  </w:num>
  <w:num w:numId="6">
    <w:abstractNumId w:val="10"/>
  </w:num>
  <w:num w:numId="7">
    <w:abstractNumId w:val="7"/>
  </w:num>
  <w:num w:numId="8">
    <w:abstractNumId w:val="11"/>
  </w:num>
  <w:num w:numId="9">
    <w:abstractNumId w:val="4"/>
  </w:num>
  <w:num w:numId="10">
    <w:abstractNumId w:val="11"/>
  </w:num>
  <w:num w:numId="11">
    <w:abstractNumId w:val="1"/>
  </w:num>
  <w:num w:numId="12">
    <w:abstractNumId w:val="9"/>
  </w:num>
  <w:num w:numId="13">
    <w:abstractNumId w:val="2"/>
  </w:num>
  <w:num w:numId="14">
    <w:abstractNumId w:val="5"/>
  </w:num>
  <w:num w:numId="15">
    <w:abstractNumId w:val="13"/>
  </w:num>
  <w:num w:numId="16">
    <w:abstractNumId w:val="7"/>
  </w:num>
  <w:num w:numId="17">
    <w:abstractNumId w:val="8"/>
  </w:num>
  <w:num w:numId="18">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activeWritingStyle w:appName="MSWord" w:lang="en-AU" w:vendorID="64" w:dllVersion="131078" w:nlCheck="1" w:checkStyle="0"/>
  <w:activeWritingStyle w:appName="MSWord" w:lang="en-US" w:vendorID="64" w:dllVersion="131078" w:nlCheck="1" w:checkStyle="1"/>
  <w:proofState w:spelling="clean" w:grammar="clean"/>
  <w:attachedTemplate r:id="rId1"/>
  <w:stylePaneFormatFilter w:val="5004"/>
  <w:documentProtection w:edit="readOnly" w:enforcement="0"/>
  <w:defaultTabStop w:val="284"/>
  <w:clickAndTypeStyle w:val="BodyText"/>
  <w:evenAndOddHeaders/>
  <w:drawingGridHorizontalSpacing w:val="142"/>
  <w:drawingGridVerticalSpacing w:val="142"/>
  <w:characterSpacingControl w:val="doNotCompress"/>
  <w:hdrShapeDefaults>
    <o:shapedefaults v:ext="edit" spidmax="6154"/>
    <o:shapelayout v:ext="edit">
      <o:idmap v:ext="edit" data="6"/>
    </o:shapelayout>
  </w:hdrShapeDefaults>
  <w:footnotePr>
    <w:footnote w:id="-1"/>
    <w:footnote w:id="0"/>
  </w:footnotePr>
  <w:endnotePr>
    <w:endnote w:id="-1"/>
    <w:endnote w:id="0"/>
  </w:endnotePr>
  <w:compat>
    <w:noLeading/>
    <w:printColBlack/>
    <w:showBreaksInFrames/>
    <w:suppressSpBfAfterPgBrk/>
    <w:swapBordersFacingPages/>
    <w:noSpaceRaiseLower/>
    <w:layoutRawTableWidth/>
    <w:selectFldWithFirstOrLastChar/>
    <w:useFELayout/>
    <w:doNotAutofitConstrainedTables/>
    <w:splitPgBreakAndParaMark/>
  </w:compat>
  <w:rsids>
    <w:rsidRoot w:val="007C66FD"/>
    <w:rsid w:val="0000017E"/>
    <w:rsid w:val="00000259"/>
    <w:rsid w:val="00000726"/>
    <w:rsid w:val="00000B5C"/>
    <w:rsid w:val="000024AB"/>
    <w:rsid w:val="0000404E"/>
    <w:rsid w:val="000053BF"/>
    <w:rsid w:val="000055D8"/>
    <w:rsid w:val="00005768"/>
    <w:rsid w:val="00006740"/>
    <w:rsid w:val="00006FC0"/>
    <w:rsid w:val="000078F0"/>
    <w:rsid w:val="00007929"/>
    <w:rsid w:val="00010217"/>
    <w:rsid w:val="00012041"/>
    <w:rsid w:val="000128E8"/>
    <w:rsid w:val="00013EBD"/>
    <w:rsid w:val="00014030"/>
    <w:rsid w:val="0001418E"/>
    <w:rsid w:val="0001536A"/>
    <w:rsid w:val="00015528"/>
    <w:rsid w:val="000155D6"/>
    <w:rsid w:val="0001570F"/>
    <w:rsid w:val="000168BA"/>
    <w:rsid w:val="00017D5A"/>
    <w:rsid w:val="00017E72"/>
    <w:rsid w:val="00017F0A"/>
    <w:rsid w:val="0002020A"/>
    <w:rsid w:val="00021149"/>
    <w:rsid w:val="00022345"/>
    <w:rsid w:val="00022D46"/>
    <w:rsid w:val="0002337F"/>
    <w:rsid w:val="00024206"/>
    <w:rsid w:val="00024872"/>
    <w:rsid w:val="00025C96"/>
    <w:rsid w:val="00026ACD"/>
    <w:rsid w:val="0002736A"/>
    <w:rsid w:val="00027E7C"/>
    <w:rsid w:val="0003192F"/>
    <w:rsid w:val="000331D6"/>
    <w:rsid w:val="00036FD6"/>
    <w:rsid w:val="00037608"/>
    <w:rsid w:val="00040144"/>
    <w:rsid w:val="00041F65"/>
    <w:rsid w:val="00042363"/>
    <w:rsid w:val="000436F5"/>
    <w:rsid w:val="00043C19"/>
    <w:rsid w:val="00043FE2"/>
    <w:rsid w:val="000442E7"/>
    <w:rsid w:val="00045326"/>
    <w:rsid w:val="000453F1"/>
    <w:rsid w:val="000461CB"/>
    <w:rsid w:val="000473DD"/>
    <w:rsid w:val="00051172"/>
    <w:rsid w:val="00052303"/>
    <w:rsid w:val="0005436C"/>
    <w:rsid w:val="00054AAC"/>
    <w:rsid w:val="000619AC"/>
    <w:rsid w:val="00061C03"/>
    <w:rsid w:val="00061CDB"/>
    <w:rsid w:val="000638DB"/>
    <w:rsid w:val="00063D61"/>
    <w:rsid w:val="000642B7"/>
    <w:rsid w:val="00064624"/>
    <w:rsid w:val="000652FC"/>
    <w:rsid w:val="00065889"/>
    <w:rsid w:val="00066AD5"/>
    <w:rsid w:val="00067B37"/>
    <w:rsid w:val="00070083"/>
    <w:rsid w:val="00070654"/>
    <w:rsid w:val="00071995"/>
    <w:rsid w:val="000719EA"/>
    <w:rsid w:val="00072873"/>
    <w:rsid w:val="00073C36"/>
    <w:rsid w:val="00075707"/>
    <w:rsid w:val="000760F0"/>
    <w:rsid w:val="00077E49"/>
    <w:rsid w:val="000819DF"/>
    <w:rsid w:val="00082EE0"/>
    <w:rsid w:val="00083A60"/>
    <w:rsid w:val="00085CBA"/>
    <w:rsid w:val="000866A5"/>
    <w:rsid w:val="000872FB"/>
    <w:rsid w:val="000873CC"/>
    <w:rsid w:val="00087691"/>
    <w:rsid w:val="00087BBC"/>
    <w:rsid w:val="00087E02"/>
    <w:rsid w:val="00087E40"/>
    <w:rsid w:val="00090B41"/>
    <w:rsid w:val="0009154C"/>
    <w:rsid w:val="000923A8"/>
    <w:rsid w:val="00092BC9"/>
    <w:rsid w:val="00095461"/>
    <w:rsid w:val="000954FB"/>
    <w:rsid w:val="00095D2C"/>
    <w:rsid w:val="0009623A"/>
    <w:rsid w:val="000978D6"/>
    <w:rsid w:val="000A0087"/>
    <w:rsid w:val="000A04F6"/>
    <w:rsid w:val="000A1044"/>
    <w:rsid w:val="000A20DC"/>
    <w:rsid w:val="000A3975"/>
    <w:rsid w:val="000A4F02"/>
    <w:rsid w:val="000A744E"/>
    <w:rsid w:val="000B2602"/>
    <w:rsid w:val="000B2AFE"/>
    <w:rsid w:val="000B397D"/>
    <w:rsid w:val="000B4404"/>
    <w:rsid w:val="000B49D0"/>
    <w:rsid w:val="000B5700"/>
    <w:rsid w:val="000B6546"/>
    <w:rsid w:val="000B6AB0"/>
    <w:rsid w:val="000B76AC"/>
    <w:rsid w:val="000C35CB"/>
    <w:rsid w:val="000C3989"/>
    <w:rsid w:val="000C4A2B"/>
    <w:rsid w:val="000C5549"/>
    <w:rsid w:val="000C55C5"/>
    <w:rsid w:val="000C6441"/>
    <w:rsid w:val="000C6AF1"/>
    <w:rsid w:val="000C6C4B"/>
    <w:rsid w:val="000D052F"/>
    <w:rsid w:val="000D2B46"/>
    <w:rsid w:val="000D4C79"/>
    <w:rsid w:val="000D53CB"/>
    <w:rsid w:val="000D57F2"/>
    <w:rsid w:val="000D64DD"/>
    <w:rsid w:val="000D738C"/>
    <w:rsid w:val="000E05BB"/>
    <w:rsid w:val="000E06BD"/>
    <w:rsid w:val="000E3271"/>
    <w:rsid w:val="000E3DC6"/>
    <w:rsid w:val="000E5329"/>
    <w:rsid w:val="000E5731"/>
    <w:rsid w:val="000F0ECB"/>
    <w:rsid w:val="000F4F64"/>
    <w:rsid w:val="000F76FA"/>
    <w:rsid w:val="000F7DCD"/>
    <w:rsid w:val="00100EB8"/>
    <w:rsid w:val="001020F1"/>
    <w:rsid w:val="0010339F"/>
    <w:rsid w:val="001048BE"/>
    <w:rsid w:val="00106425"/>
    <w:rsid w:val="00106B92"/>
    <w:rsid w:val="0011016F"/>
    <w:rsid w:val="001113DF"/>
    <w:rsid w:val="00112299"/>
    <w:rsid w:val="001124BC"/>
    <w:rsid w:val="00112C38"/>
    <w:rsid w:val="001132FF"/>
    <w:rsid w:val="00114298"/>
    <w:rsid w:val="00114542"/>
    <w:rsid w:val="00122C1B"/>
    <w:rsid w:val="00122CBF"/>
    <w:rsid w:val="0012478E"/>
    <w:rsid w:val="00125045"/>
    <w:rsid w:val="001261BB"/>
    <w:rsid w:val="001267A4"/>
    <w:rsid w:val="00127068"/>
    <w:rsid w:val="00130D71"/>
    <w:rsid w:val="001311FE"/>
    <w:rsid w:val="00131EC3"/>
    <w:rsid w:val="00132A04"/>
    <w:rsid w:val="00134261"/>
    <w:rsid w:val="0013655A"/>
    <w:rsid w:val="00136B8E"/>
    <w:rsid w:val="00137548"/>
    <w:rsid w:val="001377F8"/>
    <w:rsid w:val="0014099A"/>
    <w:rsid w:val="00140F04"/>
    <w:rsid w:val="00141E1F"/>
    <w:rsid w:val="00141EF7"/>
    <w:rsid w:val="001423DA"/>
    <w:rsid w:val="00144AC4"/>
    <w:rsid w:val="00144B99"/>
    <w:rsid w:val="00145444"/>
    <w:rsid w:val="0014565C"/>
    <w:rsid w:val="00145AF7"/>
    <w:rsid w:val="00147133"/>
    <w:rsid w:val="0015116B"/>
    <w:rsid w:val="00151468"/>
    <w:rsid w:val="00151D8E"/>
    <w:rsid w:val="0015214B"/>
    <w:rsid w:val="0015309D"/>
    <w:rsid w:val="00154EE1"/>
    <w:rsid w:val="00155C18"/>
    <w:rsid w:val="00155EBB"/>
    <w:rsid w:val="00156AF7"/>
    <w:rsid w:val="00156FB3"/>
    <w:rsid w:val="00157456"/>
    <w:rsid w:val="00157BD6"/>
    <w:rsid w:val="00157D16"/>
    <w:rsid w:val="001605E1"/>
    <w:rsid w:val="00160701"/>
    <w:rsid w:val="00160A81"/>
    <w:rsid w:val="00160FB8"/>
    <w:rsid w:val="001610DC"/>
    <w:rsid w:val="00161357"/>
    <w:rsid w:val="00161FB8"/>
    <w:rsid w:val="001624ED"/>
    <w:rsid w:val="00162763"/>
    <w:rsid w:val="001647E4"/>
    <w:rsid w:val="00164A52"/>
    <w:rsid w:val="00165377"/>
    <w:rsid w:val="001661D7"/>
    <w:rsid w:val="00167266"/>
    <w:rsid w:val="00167329"/>
    <w:rsid w:val="00170E42"/>
    <w:rsid w:val="00171441"/>
    <w:rsid w:val="00172A23"/>
    <w:rsid w:val="00172EE8"/>
    <w:rsid w:val="001730EF"/>
    <w:rsid w:val="0017310D"/>
    <w:rsid w:val="00173B54"/>
    <w:rsid w:val="001750CC"/>
    <w:rsid w:val="001754CB"/>
    <w:rsid w:val="00176390"/>
    <w:rsid w:val="00176D50"/>
    <w:rsid w:val="00180FB3"/>
    <w:rsid w:val="00181984"/>
    <w:rsid w:val="00183D95"/>
    <w:rsid w:val="00184ECB"/>
    <w:rsid w:val="001850B1"/>
    <w:rsid w:val="001852E4"/>
    <w:rsid w:val="00185A39"/>
    <w:rsid w:val="0019242D"/>
    <w:rsid w:val="0019261A"/>
    <w:rsid w:val="00192D12"/>
    <w:rsid w:val="00193AD3"/>
    <w:rsid w:val="001951A7"/>
    <w:rsid w:val="00195939"/>
    <w:rsid w:val="00196E09"/>
    <w:rsid w:val="0019703F"/>
    <w:rsid w:val="00197E09"/>
    <w:rsid w:val="001A0013"/>
    <w:rsid w:val="001A066A"/>
    <w:rsid w:val="001A08AD"/>
    <w:rsid w:val="001A0B79"/>
    <w:rsid w:val="001A1065"/>
    <w:rsid w:val="001A2A99"/>
    <w:rsid w:val="001A2D20"/>
    <w:rsid w:val="001A49D7"/>
    <w:rsid w:val="001A4BDB"/>
    <w:rsid w:val="001A59B2"/>
    <w:rsid w:val="001A59BF"/>
    <w:rsid w:val="001A6BF9"/>
    <w:rsid w:val="001A6EA7"/>
    <w:rsid w:val="001A6EAB"/>
    <w:rsid w:val="001A7F42"/>
    <w:rsid w:val="001B0B61"/>
    <w:rsid w:val="001B1B01"/>
    <w:rsid w:val="001B2F94"/>
    <w:rsid w:val="001B3876"/>
    <w:rsid w:val="001B747F"/>
    <w:rsid w:val="001B7C37"/>
    <w:rsid w:val="001B7C8F"/>
    <w:rsid w:val="001C00CF"/>
    <w:rsid w:val="001C0972"/>
    <w:rsid w:val="001C0E54"/>
    <w:rsid w:val="001C20F9"/>
    <w:rsid w:val="001C24C9"/>
    <w:rsid w:val="001C3CC5"/>
    <w:rsid w:val="001C3E07"/>
    <w:rsid w:val="001C41C7"/>
    <w:rsid w:val="001C58F4"/>
    <w:rsid w:val="001C6315"/>
    <w:rsid w:val="001D1A8B"/>
    <w:rsid w:val="001D200A"/>
    <w:rsid w:val="001D2D60"/>
    <w:rsid w:val="001D3E1A"/>
    <w:rsid w:val="001D450F"/>
    <w:rsid w:val="001D4F8A"/>
    <w:rsid w:val="001D6065"/>
    <w:rsid w:val="001D6EB0"/>
    <w:rsid w:val="001D78EC"/>
    <w:rsid w:val="001E04F5"/>
    <w:rsid w:val="001E2A83"/>
    <w:rsid w:val="001E2D52"/>
    <w:rsid w:val="001E34F6"/>
    <w:rsid w:val="001E3D69"/>
    <w:rsid w:val="001E4E51"/>
    <w:rsid w:val="001E6A14"/>
    <w:rsid w:val="001E7374"/>
    <w:rsid w:val="001E77F9"/>
    <w:rsid w:val="001F057F"/>
    <w:rsid w:val="001F182E"/>
    <w:rsid w:val="001F2906"/>
    <w:rsid w:val="001F2BD7"/>
    <w:rsid w:val="001F3012"/>
    <w:rsid w:val="001F3BB9"/>
    <w:rsid w:val="001F3E78"/>
    <w:rsid w:val="001F438A"/>
    <w:rsid w:val="001F45EB"/>
    <w:rsid w:val="001F5579"/>
    <w:rsid w:val="001F5611"/>
    <w:rsid w:val="001F62C5"/>
    <w:rsid w:val="001F650C"/>
    <w:rsid w:val="001F6829"/>
    <w:rsid w:val="002006F2"/>
    <w:rsid w:val="00200DE7"/>
    <w:rsid w:val="00200E73"/>
    <w:rsid w:val="00200EAD"/>
    <w:rsid w:val="0020128F"/>
    <w:rsid w:val="0020199C"/>
    <w:rsid w:val="00202BB1"/>
    <w:rsid w:val="00203ABD"/>
    <w:rsid w:val="002043F1"/>
    <w:rsid w:val="002054AC"/>
    <w:rsid w:val="002078CE"/>
    <w:rsid w:val="00207A06"/>
    <w:rsid w:val="00212CA5"/>
    <w:rsid w:val="00213AC3"/>
    <w:rsid w:val="00213B84"/>
    <w:rsid w:val="002149A9"/>
    <w:rsid w:val="002149C9"/>
    <w:rsid w:val="0021522A"/>
    <w:rsid w:val="002164D6"/>
    <w:rsid w:val="00216C8F"/>
    <w:rsid w:val="00217000"/>
    <w:rsid w:val="0021708E"/>
    <w:rsid w:val="002175B7"/>
    <w:rsid w:val="0021770B"/>
    <w:rsid w:val="002210E3"/>
    <w:rsid w:val="00221BE0"/>
    <w:rsid w:val="00222007"/>
    <w:rsid w:val="002221A7"/>
    <w:rsid w:val="00222BF5"/>
    <w:rsid w:val="0022386A"/>
    <w:rsid w:val="002249BD"/>
    <w:rsid w:val="00225D69"/>
    <w:rsid w:val="00226230"/>
    <w:rsid w:val="002262E1"/>
    <w:rsid w:val="0022687D"/>
    <w:rsid w:val="002277BA"/>
    <w:rsid w:val="002278F7"/>
    <w:rsid w:val="00227F55"/>
    <w:rsid w:val="00230635"/>
    <w:rsid w:val="00231E5E"/>
    <w:rsid w:val="002321B8"/>
    <w:rsid w:val="00232F15"/>
    <w:rsid w:val="00233EF7"/>
    <w:rsid w:val="002346D5"/>
    <w:rsid w:val="00234760"/>
    <w:rsid w:val="00234EAC"/>
    <w:rsid w:val="002355AE"/>
    <w:rsid w:val="00235787"/>
    <w:rsid w:val="0023701E"/>
    <w:rsid w:val="00237D6C"/>
    <w:rsid w:val="0024043A"/>
    <w:rsid w:val="002411F9"/>
    <w:rsid w:val="0024172A"/>
    <w:rsid w:val="00242E6C"/>
    <w:rsid w:val="0024390F"/>
    <w:rsid w:val="002450C5"/>
    <w:rsid w:val="00247074"/>
    <w:rsid w:val="00247219"/>
    <w:rsid w:val="002473F7"/>
    <w:rsid w:val="002479E2"/>
    <w:rsid w:val="00247CD1"/>
    <w:rsid w:val="0025014B"/>
    <w:rsid w:val="002501B3"/>
    <w:rsid w:val="0025299B"/>
    <w:rsid w:val="00252A3F"/>
    <w:rsid w:val="00252DDF"/>
    <w:rsid w:val="0025306F"/>
    <w:rsid w:val="0025308B"/>
    <w:rsid w:val="00255187"/>
    <w:rsid w:val="00255341"/>
    <w:rsid w:val="002568C5"/>
    <w:rsid w:val="00257809"/>
    <w:rsid w:val="00257F35"/>
    <w:rsid w:val="00260F25"/>
    <w:rsid w:val="002613B7"/>
    <w:rsid w:val="00262F13"/>
    <w:rsid w:val="00264672"/>
    <w:rsid w:val="002646BA"/>
    <w:rsid w:val="002658EB"/>
    <w:rsid w:val="00266090"/>
    <w:rsid w:val="002664E3"/>
    <w:rsid w:val="0027008A"/>
    <w:rsid w:val="00270091"/>
    <w:rsid w:val="0027030C"/>
    <w:rsid w:val="00272656"/>
    <w:rsid w:val="00274BEB"/>
    <w:rsid w:val="00275958"/>
    <w:rsid w:val="002761F9"/>
    <w:rsid w:val="00276F4F"/>
    <w:rsid w:val="00280C4E"/>
    <w:rsid w:val="00280C8D"/>
    <w:rsid w:val="00280D84"/>
    <w:rsid w:val="00280FB4"/>
    <w:rsid w:val="002812E4"/>
    <w:rsid w:val="002827FE"/>
    <w:rsid w:val="00284F89"/>
    <w:rsid w:val="00285F13"/>
    <w:rsid w:val="00287996"/>
    <w:rsid w:val="00290273"/>
    <w:rsid w:val="002909F7"/>
    <w:rsid w:val="0029248B"/>
    <w:rsid w:val="00292E30"/>
    <w:rsid w:val="002930DD"/>
    <w:rsid w:val="002942E7"/>
    <w:rsid w:val="00295145"/>
    <w:rsid w:val="002A0311"/>
    <w:rsid w:val="002A206D"/>
    <w:rsid w:val="002A246C"/>
    <w:rsid w:val="002A3913"/>
    <w:rsid w:val="002A4BC3"/>
    <w:rsid w:val="002A5DFB"/>
    <w:rsid w:val="002A636C"/>
    <w:rsid w:val="002A7161"/>
    <w:rsid w:val="002A7FBB"/>
    <w:rsid w:val="002B1B67"/>
    <w:rsid w:val="002B1BC8"/>
    <w:rsid w:val="002B3628"/>
    <w:rsid w:val="002B418C"/>
    <w:rsid w:val="002B453E"/>
    <w:rsid w:val="002B599D"/>
    <w:rsid w:val="002B68C2"/>
    <w:rsid w:val="002B6CBF"/>
    <w:rsid w:val="002B76B3"/>
    <w:rsid w:val="002C0234"/>
    <w:rsid w:val="002C0478"/>
    <w:rsid w:val="002C0B69"/>
    <w:rsid w:val="002C1088"/>
    <w:rsid w:val="002C10C1"/>
    <w:rsid w:val="002C3087"/>
    <w:rsid w:val="002C37E3"/>
    <w:rsid w:val="002C4DAF"/>
    <w:rsid w:val="002C5E17"/>
    <w:rsid w:val="002D0F84"/>
    <w:rsid w:val="002D12E6"/>
    <w:rsid w:val="002D16DF"/>
    <w:rsid w:val="002D1EA5"/>
    <w:rsid w:val="002D219D"/>
    <w:rsid w:val="002D245D"/>
    <w:rsid w:val="002D4888"/>
    <w:rsid w:val="002D4C2F"/>
    <w:rsid w:val="002D5208"/>
    <w:rsid w:val="002D530A"/>
    <w:rsid w:val="002E17F7"/>
    <w:rsid w:val="002E20EB"/>
    <w:rsid w:val="002E3000"/>
    <w:rsid w:val="002E4014"/>
    <w:rsid w:val="002E42E5"/>
    <w:rsid w:val="002E4B26"/>
    <w:rsid w:val="002E5345"/>
    <w:rsid w:val="002E641C"/>
    <w:rsid w:val="002E7FE4"/>
    <w:rsid w:val="002F0710"/>
    <w:rsid w:val="002F1B5D"/>
    <w:rsid w:val="002F2AD2"/>
    <w:rsid w:val="002F2DAD"/>
    <w:rsid w:val="002F3A05"/>
    <w:rsid w:val="002F3BED"/>
    <w:rsid w:val="002F472F"/>
    <w:rsid w:val="002F4C50"/>
    <w:rsid w:val="002F54D7"/>
    <w:rsid w:val="002F616F"/>
    <w:rsid w:val="00300FE4"/>
    <w:rsid w:val="003034B4"/>
    <w:rsid w:val="00303CDD"/>
    <w:rsid w:val="00303E96"/>
    <w:rsid w:val="00304C10"/>
    <w:rsid w:val="00304DDB"/>
    <w:rsid w:val="00304EB4"/>
    <w:rsid w:val="003051BD"/>
    <w:rsid w:val="00305777"/>
    <w:rsid w:val="0030590B"/>
    <w:rsid w:val="00312244"/>
    <w:rsid w:val="00312355"/>
    <w:rsid w:val="003126F2"/>
    <w:rsid w:val="00314C70"/>
    <w:rsid w:val="00316FB2"/>
    <w:rsid w:val="003177C9"/>
    <w:rsid w:val="003202CB"/>
    <w:rsid w:val="00320B11"/>
    <w:rsid w:val="00323332"/>
    <w:rsid w:val="00323AD2"/>
    <w:rsid w:val="003247B1"/>
    <w:rsid w:val="00324AC0"/>
    <w:rsid w:val="003264FC"/>
    <w:rsid w:val="0032665B"/>
    <w:rsid w:val="00326D2F"/>
    <w:rsid w:val="0033219E"/>
    <w:rsid w:val="003330B3"/>
    <w:rsid w:val="00333190"/>
    <w:rsid w:val="00333489"/>
    <w:rsid w:val="003336FB"/>
    <w:rsid w:val="00337449"/>
    <w:rsid w:val="00343707"/>
    <w:rsid w:val="00344521"/>
    <w:rsid w:val="00345C21"/>
    <w:rsid w:val="003462AE"/>
    <w:rsid w:val="00347146"/>
    <w:rsid w:val="00347361"/>
    <w:rsid w:val="00347429"/>
    <w:rsid w:val="0034759A"/>
    <w:rsid w:val="00347B60"/>
    <w:rsid w:val="00347E35"/>
    <w:rsid w:val="003506C7"/>
    <w:rsid w:val="00350F84"/>
    <w:rsid w:val="0035105D"/>
    <w:rsid w:val="00351FA7"/>
    <w:rsid w:val="00352663"/>
    <w:rsid w:val="00352EC0"/>
    <w:rsid w:val="00354223"/>
    <w:rsid w:val="003561F3"/>
    <w:rsid w:val="0035659D"/>
    <w:rsid w:val="00357020"/>
    <w:rsid w:val="00357024"/>
    <w:rsid w:val="003573D1"/>
    <w:rsid w:val="00357593"/>
    <w:rsid w:val="00360168"/>
    <w:rsid w:val="00360679"/>
    <w:rsid w:val="00360F62"/>
    <w:rsid w:val="00363A6B"/>
    <w:rsid w:val="00363C20"/>
    <w:rsid w:val="00363CA0"/>
    <w:rsid w:val="00364961"/>
    <w:rsid w:val="00366737"/>
    <w:rsid w:val="00367620"/>
    <w:rsid w:val="00371296"/>
    <w:rsid w:val="0037167C"/>
    <w:rsid w:val="00371FAF"/>
    <w:rsid w:val="003726AE"/>
    <w:rsid w:val="0037281D"/>
    <w:rsid w:val="00372986"/>
    <w:rsid w:val="00372E7F"/>
    <w:rsid w:val="00373553"/>
    <w:rsid w:val="0037389E"/>
    <w:rsid w:val="00374D8B"/>
    <w:rsid w:val="00375025"/>
    <w:rsid w:val="003754C1"/>
    <w:rsid w:val="00375A3B"/>
    <w:rsid w:val="00375BA6"/>
    <w:rsid w:val="00375F1A"/>
    <w:rsid w:val="003818BB"/>
    <w:rsid w:val="00383D66"/>
    <w:rsid w:val="0038418E"/>
    <w:rsid w:val="00384412"/>
    <w:rsid w:val="00385378"/>
    <w:rsid w:val="0038569B"/>
    <w:rsid w:val="0038664C"/>
    <w:rsid w:val="00387343"/>
    <w:rsid w:val="00387CB5"/>
    <w:rsid w:val="00392952"/>
    <w:rsid w:val="00394D91"/>
    <w:rsid w:val="00395119"/>
    <w:rsid w:val="00395D18"/>
    <w:rsid w:val="003966C8"/>
    <w:rsid w:val="00396ABD"/>
    <w:rsid w:val="00397CF7"/>
    <w:rsid w:val="00397DC8"/>
    <w:rsid w:val="003A1DFF"/>
    <w:rsid w:val="003A20B3"/>
    <w:rsid w:val="003A22CD"/>
    <w:rsid w:val="003A24B5"/>
    <w:rsid w:val="003A28F7"/>
    <w:rsid w:val="003A4189"/>
    <w:rsid w:val="003B0F2C"/>
    <w:rsid w:val="003B187C"/>
    <w:rsid w:val="003B1CD7"/>
    <w:rsid w:val="003B2B11"/>
    <w:rsid w:val="003B2E96"/>
    <w:rsid w:val="003B3BE9"/>
    <w:rsid w:val="003B3D27"/>
    <w:rsid w:val="003B4AAA"/>
    <w:rsid w:val="003B5EBE"/>
    <w:rsid w:val="003B7167"/>
    <w:rsid w:val="003B7905"/>
    <w:rsid w:val="003C0184"/>
    <w:rsid w:val="003C166E"/>
    <w:rsid w:val="003C186F"/>
    <w:rsid w:val="003C1A59"/>
    <w:rsid w:val="003C27D3"/>
    <w:rsid w:val="003C392D"/>
    <w:rsid w:val="003C3A35"/>
    <w:rsid w:val="003C420B"/>
    <w:rsid w:val="003C45FF"/>
    <w:rsid w:val="003C4883"/>
    <w:rsid w:val="003C53D9"/>
    <w:rsid w:val="003C62AC"/>
    <w:rsid w:val="003C7CBC"/>
    <w:rsid w:val="003D007E"/>
    <w:rsid w:val="003D0A62"/>
    <w:rsid w:val="003D1EFD"/>
    <w:rsid w:val="003D2A2B"/>
    <w:rsid w:val="003D41EA"/>
    <w:rsid w:val="003D447F"/>
    <w:rsid w:val="003D44C8"/>
    <w:rsid w:val="003D4891"/>
    <w:rsid w:val="003D5A6C"/>
    <w:rsid w:val="003D65CD"/>
    <w:rsid w:val="003D6FA5"/>
    <w:rsid w:val="003D764D"/>
    <w:rsid w:val="003E1F01"/>
    <w:rsid w:val="003E2AB5"/>
    <w:rsid w:val="003E428F"/>
    <w:rsid w:val="003E547F"/>
    <w:rsid w:val="003E5943"/>
    <w:rsid w:val="003E73C0"/>
    <w:rsid w:val="003E774E"/>
    <w:rsid w:val="003F3859"/>
    <w:rsid w:val="003F3E18"/>
    <w:rsid w:val="003F4082"/>
    <w:rsid w:val="003F4D9B"/>
    <w:rsid w:val="003F6ACF"/>
    <w:rsid w:val="003F6E2A"/>
    <w:rsid w:val="004020C9"/>
    <w:rsid w:val="00402DAF"/>
    <w:rsid w:val="00407097"/>
    <w:rsid w:val="00407359"/>
    <w:rsid w:val="004073EA"/>
    <w:rsid w:val="00407B9C"/>
    <w:rsid w:val="00410919"/>
    <w:rsid w:val="004117C7"/>
    <w:rsid w:val="00411FDB"/>
    <w:rsid w:val="0041598E"/>
    <w:rsid w:val="00415E68"/>
    <w:rsid w:val="0041733A"/>
    <w:rsid w:val="004201BE"/>
    <w:rsid w:val="00420D56"/>
    <w:rsid w:val="00422897"/>
    <w:rsid w:val="00422A07"/>
    <w:rsid w:val="00423461"/>
    <w:rsid w:val="00423664"/>
    <w:rsid w:val="0042422C"/>
    <w:rsid w:val="00425BAF"/>
    <w:rsid w:val="00425E6A"/>
    <w:rsid w:val="0042634F"/>
    <w:rsid w:val="004263AE"/>
    <w:rsid w:val="00430E53"/>
    <w:rsid w:val="00431443"/>
    <w:rsid w:val="00431B6D"/>
    <w:rsid w:val="00434C46"/>
    <w:rsid w:val="00435EE9"/>
    <w:rsid w:val="00435F0C"/>
    <w:rsid w:val="00436EC7"/>
    <w:rsid w:val="00437D32"/>
    <w:rsid w:val="004411DB"/>
    <w:rsid w:val="00441A42"/>
    <w:rsid w:val="00442DD4"/>
    <w:rsid w:val="00443E7D"/>
    <w:rsid w:val="004446EA"/>
    <w:rsid w:val="00444736"/>
    <w:rsid w:val="004452F5"/>
    <w:rsid w:val="00445D6D"/>
    <w:rsid w:val="004463A5"/>
    <w:rsid w:val="0044762A"/>
    <w:rsid w:val="00450385"/>
    <w:rsid w:val="004511A8"/>
    <w:rsid w:val="00451784"/>
    <w:rsid w:val="00451CC6"/>
    <w:rsid w:val="00451F31"/>
    <w:rsid w:val="004526DD"/>
    <w:rsid w:val="0045456F"/>
    <w:rsid w:val="0045559C"/>
    <w:rsid w:val="004557E5"/>
    <w:rsid w:val="004559DC"/>
    <w:rsid w:val="004562C8"/>
    <w:rsid w:val="004563C5"/>
    <w:rsid w:val="00456601"/>
    <w:rsid w:val="004570B5"/>
    <w:rsid w:val="00457271"/>
    <w:rsid w:val="00457CDE"/>
    <w:rsid w:val="00457E0A"/>
    <w:rsid w:val="00461B22"/>
    <w:rsid w:val="00462EEE"/>
    <w:rsid w:val="004649C6"/>
    <w:rsid w:val="00464CE0"/>
    <w:rsid w:val="00465609"/>
    <w:rsid w:val="0046709B"/>
    <w:rsid w:val="00467D80"/>
    <w:rsid w:val="00467FBA"/>
    <w:rsid w:val="00470EA9"/>
    <w:rsid w:val="0047158C"/>
    <w:rsid w:val="0047188E"/>
    <w:rsid w:val="00471A32"/>
    <w:rsid w:val="004742B8"/>
    <w:rsid w:val="00474B78"/>
    <w:rsid w:val="00474CBB"/>
    <w:rsid w:val="00475A61"/>
    <w:rsid w:val="00475BA5"/>
    <w:rsid w:val="0047640F"/>
    <w:rsid w:val="004818B3"/>
    <w:rsid w:val="00481E74"/>
    <w:rsid w:val="004851C6"/>
    <w:rsid w:val="00486956"/>
    <w:rsid w:val="0049011A"/>
    <w:rsid w:val="00491C57"/>
    <w:rsid w:val="0049244A"/>
    <w:rsid w:val="00494674"/>
    <w:rsid w:val="00495E87"/>
    <w:rsid w:val="00496368"/>
    <w:rsid w:val="00497862"/>
    <w:rsid w:val="004A02A0"/>
    <w:rsid w:val="004A1B3F"/>
    <w:rsid w:val="004A1B8D"/>
    <w:rsid w:val="004A217A"/>
    <w:rsid w:val="004A272C"/>
    <w:rsid w:val="004A2B30"/>
    <w:rsid w:val="004A3029"/>
    <w:rsid w:val="004A3FA1"/>
    <w:rsid w:val="004A570B"/>
    <w:rsid w:val="004A6747"/>
    <w:rsid w:val="004A7F86"/>
    <w:rsid w:val="004B0C23"/>
    <w:rsid w:val="004B12B4"/>
    <w:rsid w:val="004B1755"/>
    <w:rsid w:val="004B1CE6"/>
    <w:rsid w:val="004B207C"/>
    <w:rsid w:val="004B22A1"/>
    <w:rsid w:val="004B36BD"/>
    <w:rsid w:val="004B3736"/>
    <w:rsid w:val="004B3814"/>
    <w:rsid w:val="004B781D"/>
    <w:rsid w:val="004B7EA5"/>
    <w:rsid w:val="004C0C9A"/>
    <w:rsid w:val="004C0CA5"/>
    <w:rsid w:val="004C1481"/>
    <w:rsid w:val="004C1DC5"/>
    <w:rsid w:val="004C2A24"/>
    <w:rsid w:val="004C31EE"/>
    <w:rsid w:val="004C50F9"/>
    <w:rsid w:val="004C5201"/>
    <w:rsid w:val="004C54C7"/>
    <w:rsid w:val="004C57F5"/>
    <w:rsid w:val="004C6101"/>
    <w:rsid w:val="004C6A36"/>
    <w:rsid w:val="004C7607"/>
    <w:rsid w:val="004D2679"/>
    <w:rsid w:val="004D2F78"/>
    <w:rsid w:val="004D3FB4"/>
    <w:rsid w:val="004D515B"/>
    <w:rsid w:val="004D55B1"/>
    <w:rsid w:val="004D5649"/>
    <w:rsid w:val="004D5B01"/>
    <w:rsid w:val="004D6AA5"/>
    <w:rsid w:val="004D76D8"/>
    <w:rsid w:val="004E0FE7"/>
    <w:rsid w:val="004E1233"/>
    <w:rsid w:val="004E29CF"/>
    <w:rsid w:val="004E3854"/>
    <w:rsid w:val="004E4A71"/>
    <w:rsid w:val="004E5295"/>
    <w:rsid w:val="004E6C8B"/>
    <w:rsid w:val="004F133C"/>
    <w:rsid w:val="004F5659"/>
    <w:rsid w:val="004F57BA"/>
    <w:rsid w:val="004F5810"/>
    <w:rsid w:val="004F6255"/>
    <w:rsid w:val="004F6764"/>
    <w:rsid w:val="004F70A8"/>
    <w:rsid w:val="004F7137"/>
    <w:rsid w:val="004F76C9"/>
    <w:rsid w:val="004F785D"/>
    <w:rsid w:val="004F7DFE"/>
    <w:rsid w:val="004F7EC4"/>
    <w:rsid w:val="00500DAC"/>
    <w:rsid w:val="00501A93"/>
    <w:rsid w:val="00502303"/>
    <w:rsid w:val="005030D2"/>
    <w:rsid w:val="0050505D"/>
    <w:rsid w:val="005051D0"/>
    <w:rsid w:val="00505430"/>
    <w:rsid w:val="00505BE4"/>
    <w:rsid w:val="005060A4"/>
    <w:rsid w:val="0051089E"/>
    <w:rsid w:val="005109E1"/>
    <w:rsid w:val="00511610"/>
    <w:rsid w:val="00511766"/>
    <w:rsid w:val="00512EC0"/>
    <w:rsid w:val="00512F65"/>
    <w:rsid w:val="005143E6"/>
    <w:rsid w:val="00515CB5"/>
    <w:rsid w:val="00516EAF"/>
    <w:rsid w:val="00521ABF"/>
    <w:rsid w:val="00521E59"/>
    <w:rsid w:val="00524132"/>
    <w:rsid w:val="00524339"/>
    <w:rsid w:val="00524A97"/>
    <w:rsid w:val="0052602A"/>
    <w:rsid w:val="00526E83"/>
    <w:rsid w:val="00527E7D"/>
    <w:rsid w:val="0053000A"/>
    <w:rsid w:val="00530183"/>
    <w:rsid w:val="0053103E"/>
    <w:rsid w:val="005312D1"/>
    <w:rsid w:val="005340BC"/>
    <w:rsid w:val="0053593F"/>
    <w:rsid w:val="00535D0B"/>
    <w:rsid w:val="005362A1"/>
    <w:rsid w:val="0053699A"/>
    <w:rsid w:val="00536D4D"/>
    <w:rsid w:val="00537163"/>
    <w:rsid w:val="0054086F"/>
    <w:rsid w:val="00541050"/>
    <w:rsid w:val="0054283E"/>
    <w:rsid w:val="00542F4B"/>
    <w:rsid w:val="00543728"/>
    <w:rsid w:val="005441EE"/>
    <w:rsid w:val="00544B7B"/>
    <w:rsid w:val="00546002"/>
    <w:rsid w:val="005506D4"/>
    <w:rsid w:val="00550FDA"/>
    <w:rsid w:val="00551A1C"/>
    <w:rsid w:val="00552321"/>
    <w:rsid w:val="005524EA"/>
    <w:rsid w:val="00552D9A"/>
    <w:rsid w:val="00556412"/>
    <w:rsid w:val="0056021E"/>
    <w:rsid w:val="005609AE"/>
    <w:rsid w:val="00562FEB"/>
    <w:rsid w:val="00564DE9"/>
    <w:rsid w:val="00566BC3"/>
    <w:rsid w:val="0056775D"/>
    <w:rsid w:val="005709FE"/>
    <w:rsid w:val="00570FDC"/>
    <w:rsid w:val="005718F0"/>
    <w:rsid w:val="0057294A"/>
    <w:rsid w:val="005738E7"/>
    <w:rsid w:val="00573B72"/>
    <w:rsid w:val="0057528A"/>
    <w:rsid w:val="00575AC1"/>
    <w:rsid w:val="005767CE"/>
    <w:rsid w:val="00576C2E"/>
    <w:rsid w:val="0057787E"/>
    <w:rsid w:val="00580192"/>
    <w:rsid w:val="005803FE"/>
    <w:rsid w:val="00580499"/>
    <w:rsid w:val="00581322"/>
    <w:rsid w:val="00581B69"/>
    <w:rsid w:val="0058597E"/>
    <w:rsid w:val="00587291"/>
    <w:rsid w:val="00590988"/>
    <w:rsid w:val="005912F9"/>
    <w:rsid w:val="00591C8C"/>
    <w:rsid w:val="00591F69"/>
    <w:rsid w:val="00592EA1"/>
    <w:rsid w:val="0059339F"/>
    <w:rsid w:val="00593C6D"/>
    <w:rsid w:val="00594CAA"/>
    <w:rsid w:val="005957D6"/>
    <w:rsid w:val="005961AB"/>
    <w:rsid w:val="005966CC"/>
    <w:rsid w:val="00596EBF"/>
    <w:rsid w:val="00597C4B"/>
    <w:rsid w:val="005A0F34"/>
    <w:rsid w:val="005A224A"/>
    <w:rsid w:val="005A2727"/>
    <w:rsid w:val="005A2F9F"/>
    <w:rsid w:val="005A34A6"/>
    <w:rsid w:val="005A3A26"/>
    <w:rsid w:val="005A4194"/>
    <w:rsid w:val="005A6113"/>
    <w:rsid w:val="005B04DD"/>
    <w:rsid w:val="005B0981"/>
    <w:rsid w:val="005B14B1"/>
    <w:rsid w:val="005B214B"/>
    <w:rsid w:val="005B2377"/>
    <w:rsid w:val="005B30E1"/>
    <w:rsid w:val="005B3A90"/>
    <w:rsid w:val="005B4267"/>
    <w:rsid w:val="005B435E"/>
    <w:rsid w:val="005B4670"/>
    <w:rsid w:val="005C01FA"/>
    <w:rsid w:val="005C046D"/>
    <w:rsid w:val="005C1436"/>
    <w:rsid w:val="005C22F6"/>
    <w:rsid w:val="005C2384"/>
    <w:rsid w:val="005C386A"/>
    <w:rsid w:val="005C3B34"/>
    <w:rsid w:val="005C42B4"/>
    <w:rsid w:val="005C5257"/>
    <w:rsid w:val="005C5337"/>
    <w:rsid w:val="005C5984"/>
    <w:rsid w:val="005C76A4"/>
    <w:rsid w:val="005C7918"/>
    <w:rsid w:val="005D2EB0"/>
    <w:rsid w:val="005D3C6B"/>
    <w:rsid w:val="005D5B85"/>
    <w:rsid w:val="005D6E9B"/>
    <w:rsid w:val="005D6F19"/>
    <w:rsid w:val="005D7C32"/>
    <w:rsid w:val="005E121B"/>
    <w:rsid w:val="005E139D"/>
    <w:rsid w:val="005E1D27"/>
    <w:rsid w:val="005E2466"/>
    <w:rsid w:val="005E2E48"/>
    <w:rsid w:val="005E43A8"/>
    <w:rsid w:val="005E468C"/>
    <w:rsid w:val="005E4B08"/>
    <w:rsid w:val="005E6B5F"/>
    <w:rsid w:val="005E710A"/>
    <w:rsid w:val="005E7AA5"/>
    <w:rsid w:val="005F1059"/>
    <w:rsid w:val="005F2E4B"/>
    <w:rsid w:val="005F3A7A"/>
    <w:rsid w:val="005F42E6"/>
    <w:rsid w:val="005F5015"/>
    <w:rsid w:val="005F636C"/>
    <w:rsid w:val="005F6E78"/>
    <w:rsid w:val="006010C7"/>
    <w:rsid w:val="00604284"/>
    <w:rsid w:val="0060478E"/>
    <w:rsid w:val="0060506D"/>
    <w:rsid w:val="00605299"/>
    <w:rsid w:val="00605AC1"/>
    <w:rsid w:val="00605D38"/>
    <w:rsid w:val="00606460"/>
    <w:rsid w:val="00606B6D"/>
    <w:rsid w:val="006104AF"/>
    <w:rsid w:val="00610DD5"/>
    <w:rsid w:val="006131AC"/>
    <w:rsid w:val="006132D8"/>
    <w:rsid w:val="00613E6C"/>
    <w:rsid w:val="00613EF7"/>
    <w:rsid w:val="00614605"/>
    <w:rsid w:val="00615336"/>
    <w:rsid w:val="00616E6E"/>
    <w:rsid w:val="00620E39"/>
    <w:rsid w:val="00621B0C"/>
    <w:rsid w:val="006220D4"/>
    <w:rsid w:val="00623078"/>
    <w:rsid w:val="0062327E"/>
    <w:rsid w:val="00623312"/>
    <w:rsid w:val="006235C7"/>
    <w:rsid w:val="00624E85"/>
    <w:rsid w:val="00624F08"/>
    <w:rsid w:val="00627DF4"/>
    <w:rsid w:val="00631A1E"/>
    <w:rsid w:val="00633BAC"/>
    <w:rsid w:val="00634DAF"/>
    <w:rsid w:val="00636B5B"/>
    <w:rsid w:val="00637168"/>
    <w:rsid w:val="00640507"/>
    <w:rsid w:val="00640BE2"/>
    <w:rsid w:val="006417B1"/>
    <w:rsid w:val="00642FCE"/>
    <w:rsid w:val="0064327D"/>
    <w:rsid w:val="006441ED"/>
    <w:rsid w:val="006448EE"/>
    <w:rsid w:val="00646E25"/>
    <w:rsid w:val="0064735E"/>
    <w:rsid w:val="00651D51"/>
    <w:rsid w:val="0065255D"/>
    <w:rsid w:val="00652CE1"/>
    <w:rsid w:val="00652D0A"/>
    <w:rsid w:val="00654141"/>
    <w:rsid w:val="006544F3"/>
    <w:rsid w:val="00655656"/>
    <w:rsid w:val="00656D9B"/>
    <w:rsid w:val="00660B2D"/>
    <w:rsid w:val="00661D2C"/>
    <w:rsid w:val="0066223A"/>
    <w:rsid w:val="006628D5"/>
    <w:rsid w:val="0066321F"/>
    <w:rsid w:val="00663324"/>
    <w:rsid w:val="00664723"/>
    <w:rsid w:val="00665E4E"/>
    <w:rsid w:val="00666146"/>
    <w:rsid w:val="00666F73"/>
    <w:rsid w:val="00667378"/>
    <w:rsid w:val="0066765D"/>
    <w:rsid w:val="006677C1"/>
    <w:rsid w:val="00667E37"/>
    <w:rsid w:val="0067052D"/>
    <w:rsid w:val="006705EA"/>
    <w:rsid w:val="006712CD"/>
    <w:rsid w:val="00674239"/>
    <w:rsid w:val="00674266"/>
    <w:rsid w:val="00676D83"/>
    <w:rsid w:val="00677ED3"/>
    <w:rsid w:val="0068075B"/>
    <w:rsid w:val="00680B6B"/>
    <w:rsid w:val="00682820"/>
    <w:rsid w:val="00686E72"/>
    <w:rsid w:val="006919D2"/>
    <w:rsid w:val="0069258E"/>
    <w:rsid w:val="00692803"/>
    <w:rsid w:val="00693CD2"/>
    <w:rsid w:val="00693EAE"/>
    <w:rsid w:val="0069563B"/>
    <w:rsid w:val="00695C93"/>
    <w:rsid w:val="006A0FFD"/>
    <w:rsid w:val="006A1DC0"/>
    <w:rsid w:val="006A5912"/>
    <w:rsid w:val="006A614B"/>
    <w:rsid w:val="006A62FB"/>
    <w:rsid w:val="006A7213"/>
    <w:rsid w:val="006A78D4"/>
    <w:rsid w:val="006B0120"/>
    <w:rsid w:val="006B1234"/>
    <w:rsid w:val="006B21B6"/>
    <w:rsid w:val="006B2862"/>
    <w:rsid w:val="006B2949"/>
    <w:rsid w:val="006B3382"/>
    <w:rsid w:val="006B34C3"/>
    <w:rsid w:val="006B352F"/>
    <w:rsid w:val="006B4B9F"/>
    <w:rsid w:val="006B6291"/>
    <w:rsid w:val="006B62AE"/>
    <w:rsid w:val="006C0CCD"/>
    <w:rsid w:val="006C27C9"/>
    <w:rsid w:val="006C3639"/>
    <w:rsid w:val="006C418F"/>
    <w:rsid w:val="006C4922"/>
    <w:rsid w:val="006C4A9A"/>
    <w:rsid w:val="006C560D"/>
    <w:rsid w:val="006C6289"/>
    <w:rsid w:val="006D0CA2"/>
    <w:rsid w:val="006D0F27"/>
    <w:rsid w:val="006D10AA"/>
    <w:rsid w:val="006D16DE"/>
    <w:rsid w:val="006D4079"/>
    <w:rsid w:val="006D48A6"/>
    <w:rsid w:val="006D48FE"/>
    <w:rsid w:val="006D4DC7"/>
    <w:rsid w:val="006D61A8"/>
    <w:rsid w:val="006D6517"/>
    <w:rsid w:val="006E0165"/>
    <w:rsid w:val="006E02EF"/>
    <w:rsid w:val="006E03FF"/>
    <w:rsid w:val="006E2350"/>
    <w:rsid w:val="006E2FE1"/>
    <w:rsid w:val="006E31DA"/>
    <w:rsid w:val="006E43E2"/>
    <w:rsid w:val="006E5440"/>
    <w:rsid w:val="006E571B"/>
    <w:rsid w:val="006E5B55"/>
    <w:rsid w:val="006E63E7"/>
    <w:rsid w:val="006E7AEA"/>
    <w:rsid w:val="006F043F"/>
    <w:rsid w:val="006F1376"/>
    <w:rsid w:val="006F1BD6"/>
    <w:rsid w:val="006F262C"/>
    <w:rsid w:val="006F36E7"/>
    <w:rsid w:val="006F4257"/>
    <w:rsid w:val="006F5DA3"/>
    <w:rsid w:val="006F62B4"/>
    <w:rsid w:val="006F644B"/>
    <w:rsid w:val="00700214"/>
    <w:rsid w:val="00702F7B"/>
    <w:rsid w:val="00704844"/>
    <w:rsid w:val="00706285"/>
    <w:rsid w:val="00706740"/>
    <w:rsid w:val="00707E73"/>
    <w:rsid w:val="0071092E"/>
    <w:rsid w:val="00711235"/>
    <w:rsid w:val="00712200"/>
    <w:rsid w:val="00712E5B"/>
    <w:rsid w:val="00713DA9"/>
    <w:rsid w:val="0071480D"/>
    <w:rsid w:val="0071617D"/>
    <w:rsid w:val="007162F3"/>
    <w:rsid w:val="00717610"/>
    <w:rsid w:val="007206E0"/>
    <w:rsid w:val="00721BD2"/>
    <w:rsid w:val="00723662"/>
    <w:rsid w:val="00723BE6"/>
    <w:rsid w:val="007248CB"/>
    <w:rsid w:val="00725391"/>
    <w:rsid w:val="0072548C"/>
    <w:rsid w:val="00726AA9"/>
    <w:rsid w:val="00727552"/>
    <w:rsid w:val="00730C14"/>
    <w:rsid w:val="0073118C"/>
    <w:rsid w:val="00731FC7"/>
    <w:rsid w:val="00733911"/>
    <w:rsid w:val="00733D75"/>
    <w:rsid w:val="007348DE"/>
    <w:rsid w:val="00736E88"/>
    <w:rsid w:val="00737B26"/>
    <w:rsid w:val="007402C4"/>
    <w:rsid w:val="00741406"/>
    <w:rsid w:val="007415B7"/>
    <w:rsid w:val="00742A5F"/>
    <w:rsid w:val="00742D3D"/>
    <w:rsid w:val="00743723"/>
    <w:rsid w:val="007438FF"/>
    <w:rsid w:val="0074502A"/>
    <w:rsid w:val="00745396"/>
    <w:rsid w:val="00745458"/>
    <w:rsid w:val="00745B58"/>
    <w:rsid w:val="0074727D"/>
    <w:rsid w:val="007505E8"/>
    <w:rsid w:val="00750E89"/>
    <w:rsid w:val="00753209"/>
    <w:rsid w:val="007539C0"/>
    <w:rsid w:val="00754061"/>
    <w:rsid w:val="007566D7"/>
    <w:rsid w:val="00756880"/>
    <w:rsid w:val="007604B6"/>
    <w:rsid w:val="00761663"/>
    <w:rsid w:val="00761F60"/>
    <w:rsid w:val="00765577"/>
    <w:rsid w:val="0076787A"/>
    <w:rsid w:val="00767B48"/>
    <w:rsid w:val="007701E2"/>
    <w:rsid w:val="00771BA4"/>
    <w:rsid w:val="00771D2E"/>
    <w:rsid w:val="00774332"/>
    <w:rsid w:val="00775130"/>
    <w:rsid w:val="00775F9A"/>
    <w:rsid w:val="00776B5B"/>
    <w:rsid w:val="007772AA"/>
    <w:rsid w:val="007804DC"/>
    <w:rsid w:val="00780804"/>
    <w:rsid w:val="00780E20"/>
    <w:rsid w:val="007811F6"/>
    <w:rsid w:val="00781F81"/>
    <w:rsid w:val="00784F08"/>
    <w:rsid w:val="00785447"/>
    <w:rsid w:val="00786E51"/>
    <w:rsid w:val="007914D9"/>
    <w:rsid w:val="00791C3D"/>
    <w:rsid w:val="007921A5"/>
    <w:rsid w:val="00793112"/>
    <w:rsid w:val="007938DE"/>
    <w:rsid w:val="00793E1E"/>
    <w:rsid w:val="0079671B"/>
    <w:rsid w:val="007969BE"/>
    <w:rsid w:val="00797ECE"/>
    <w:rsid w:val="007A0201"/>
    <w:rsid w:val="007A0AA6"/>
    <w:rsid w:val="007A1A0A"/>
    <w:rsid w:val="007A215F"/>
    <w:rsid w:val="007A2A3B"/>
    <w:rsid w:val="007A2EFE"/>
    <w:rsid w:val="007A3BC4"/>
    <w:rsid w:val="007A4A55"/>
    <w:rsid w:val="007A5039"/>
    <w:rsid w:val="007A522C"/>
    <w:rsid w:val="007A5368"/>
    <w:rsid w:val="007A5B73"/>
    <w:rsid w:val="007A61BD"/>
    <w:rsid w:val="007A6EDD"/>
    <w:rsid w:val="007A7117"/>
    <w:rsid w:val="007A79F2"/>
    <w:rsid w:val="007B0420"/>
    <w:rsid w:val="007B2C9B"/>
    <w:rsid w:val="007B3F04"/>
    <w:rsid w:val="007B5670"/>
    <w:rsid w:val="007B5C92"/>
    <w:rsid w:val="007B70E6"/>
    <w:rsid w:val="007B74B3"/>
    <w:rsid w:val="007B7CBE"/>
    <w:rsid w:val="007C0583"/>
    <w:rsid w:val="007C067F"/>
    <w:rsid w:val="007C2655"/>
    <w:rsid w:val="007C2C52"/>
    <w:rsid w:val="007C3085"/>
    <w:rsid w:val="007C4C46"/>
    <w:rsid w:val="007C56AB"/>
    <w:rsid w:val="007C626B"/>
    <w:rsid w:val="007C65E8"/>
    <w:rsid w:val="007C66FD"/>
    <w:rsid w:val="007C6A96"/>
    <w:rsid w:val="007C7036"/>
    <w:rsid w:val="007C703E"/>
    <w:rsid w:val="007C7A28"/>
    <w:rsid w:val="007D07A2"/>
    <w:rsid w:val="007D13E1"/>
    <w:rsid w:val="007D1B4F"/>
    <w:rsid w:val="007D3778"/>
    <w:rsid w:val="007D45A5"/>
    <w:rsid w:val="007D4B7A"/>
    <w:rsid w:val="007D58E9"/>
    <w:rsid w:val="007D5BBD"/>
    <w:rsid w:val="007D77FD"/>
    <w:rsid w:val="007D7931"/>
    <w:rsid w:val="007E0634"/>
    <w:rsid w:val="007E0671"/>
    <w:rsid w:val="007E0CC5"/>
    <w:rsid w:val="007E2151"/>
    <w:rsid w:val="007E2AB4"/>
    <w:rsid w:val="007E2F6B"/>
    <w:rsid w:val="007E44F6"/>
    <w:rsid w:val="007E770C"/>
    <w:rsid w:val="007F104C"/>
    <w:rsid w:val="007F153B"/>
    <w:rsid w:val="007F23CC"/>
    <w:rsid w:val="007F33BF"/>
    <w:rsid w:val="007F5117"/>
    <w:rsid w:val="007F525B"/>
    <w:rsid w:val="007F55D1"/>
    <w:rsid w:val="007F56B3"/>
    <w:rsid w:val="00800674"/>
    <w:rsid w:val="00800EC1"/>
    <w:rsid w:val="0080129B"/>
    <w:rsid w:val="00802B83"/>
    <w:rsid w:val="00802EE9"/>
    <w:rsid w:val="0080678B"/>
    <w:rsid w:val="008072FB"/>
    <w:rsid w:val="0081006C"/>
    <w:rsid w:val="0081013A"/>
    <w:rsid w:val="00811EC1"/>
    <w:rsid w:val="00812659"/>
    <w:rsid w:val="00813488"/>
    <w:rsid w:val="008137E2"/>
    <w:rsid w:val="00813860"/>
    <w:rsid w:val="00814A0C"/>
    <w:rsid w:val="00814B8B"/>
    <w:rsid w:val="0081507F"/>
    <w:rsid w:val="00815B7E"/>
    <w:rsid w:val="00817240"/>
    <w:rsid w:val="008209BC"/>
    <w:rsid w:val="008229C0"/>
    <w:rsid w:val="00823491"/>
    <w:rsid w:val="008234C1"/>
    <w:rsid w:val="00825668"/>
    <w:rsid w:val="0082579E"/>
    <w:rsid w:val="008258EF"/>
    <w:rsid w:val="00826061"/>
    <w:rsid w:val="00827105"/>
    <w:rsid w:val="008274D9"/>
    <w:rsid w:val="00830E27"/>
    <w:rsid w:val="00830E79"/>
    <w:rsid w:val="008311EE"/>
    <w:rsid w:val="008315E5"/>
    <w:rsid w:val="008332D6"/>
    <w:rsid w:val="00833C50"/>
    <w:rsid w:val="00834B4E"/>
    <w:rsid w:val="00834C53"/>
    <w:rsid w:val="00834FE3"/>
    <w:rsid w:val="008363EF"/>
    <w:rsid w:val="00842B43"/>
    <w:rsid w:val="00842DE9"/>
    <w:rsid w:val="00843742"/>
    <w:rsid w:val="0084412C"/>
    <w:rsid w:val="00845850"/>
    <w:rsid w:val="00845AAE"/>
    <w:rsid w:val="00845B31"/>
    <w:rsid w:val="0084633A"/>
    <w:rsid w:val="00846689"/>
    <w:rsid w:val="00847F97"/>
    <w:rsid w:val="00850B88"/>
    <w:rsid w:val="00851941"/>
    <w:rsid w:val="008519F1"/>
    <w:rsid w:val="0085245D"/>
    <w:rsid w:val="00852703"/>
    <w:rsid w:val="008544EC"/>
    <w:rsid w:val="008548E0"/>
    <w:rsid w:val="00856371"/>
    <w:rsid w:val="008566BE"/>
    <w:rsid w:val="008579F6"/>
    <w:rsid w:val="00860A7E"/>
    <w:rsid w:val="00861243"/>
    <w:rsid w:val="00861AA8"/>
    <w:rsid w:val="00861B7B"/>
    <w:rsid w:val="00861E71"/>
    <w:rsid w:val="00862E5B"/>
    <w:rsid w:val="0086389A"/>
    <w:rsid w:val="00863E3F"/>
    <w:rsid w:val="008652CC"/>
    <w:rsid w:val="0086538B"/>
    <w:rsid w:val="00865AF1"/>
    <w:rsid w:val="00865BAD"/>
    <w:rsid w:val="008661B8"/>
    <w:rsid w:val="00866943"/>
    <w:rsid w:val="00866F41"/>
    <w:rsid w:val="00867422"/>
    <w:rsid w:val="00867843"/>
    <w:rsid w:val="0087097F"/>
    <w:rsid w:val="0087184B"/>
    <w:rsid w:val="00872FC5"/>
    <w:rsid w:val="00873D6F"/>
    <w:rsid w:val="00873F95"/>
    <w:rsid w:val="00876C31"/>
    <w:rsid w:val="008771EC"/>
    <w:rsid w:val="00877619"/>
    <w:rsid w:val="00880026"/>
    <w:rsid w:val="00880622"/>
    <w:rsid w:val="0088084B"/>
    <w:rsid w:val="00881089"/>
    <w:rsid w:val="00881A81"/>
    <w:rsid w:val="008823DC"/>
    <w:rsid w:val="00883B7A"/>
    <w:rsid w:val="00883FCA"/>
    <w:rsid w:val="00884722"/>
    <w:rsid w:val="00886ACB"/>
    <w:rsid w:val="00886B2E"/>
    <w:rsid w:val="00887545"/>
    <w:rsid w:val="00887BDA"/>
    <w:rsid w:val="0089091C"/>
    <w:rsid w:val="00892628"/>
    <w:rsid w:val="0089278E"/>
    <w:rsid w:val="00893306"/>
    <w:rsid w:val="008933AE"/>
    <w:rsid w:val="00895BE1"/>
    <w:rsid w:val="0089698C"/>
    <w:rsid w:val="008A036A"/>
    <w:rsid w:val="008A09B4"/>
    <w:rsid w:val="008A0AE7"/>
    <w:rsid w:val="008A2494"/>
    <w:rsid w:val="008A31C7"/>
    <w:rsid w:val="008A4341"/>
    <w:rsid w:val="008A5DE8"/>
    <w:rsid w:val="008A6012"/>
    <w:rsid w:val="008A7198"/>
    <w:rsid w:val="008A779C"/>
    <w:rsid w:val="008B002D"/>
    <w:rsid w:val="008B0B08"/>
    <w:rsid w:val="008B3644"/>
    <w:rsid w:val="008B3E96"/>
    <w:rsid w:val="008B4E53"/>
    <w:rsid w:val="008B65AC"/>
    <w:rsid w:val="008B67FA"/>
    <w:rsid w:val="008C28DA"/>
    <w:rsid w:val="008C2B68"/>
    <w:rsid w:val="008C3C83"/>
    <w:rsid w:val="008C4375"/>
    <w:rsid w:val="008C5B32"/>
    <w:rsid w:val="008C5B49"/>
    <w:rsid w:val="008C6BD0"/>
    <w:rsid w:val="008C7204"/>
    <w:rsid w:val="008D029C"/>
    <w:rsid w:val="008D2E56"/>
    <w:rsid w:val="008D391C"/>
    <w:rsid w:val="008D3AB8"/>
    <w:rsid w:val="008D5439"/>
    <w:rsid w:val="008D5863"/>
    <w:rsid w:val="008D63BD"/>
    <w:rsid w:val="008E0259"/>
    <w:rsid w:val="008E1E19"/>
    <w:rsid w:val="008E1ECE"/>
    <w:rsid w:val="008E5B8B"/>
    <w:rsid w:val="008F01A4"/>
    <w:rsid w:val="008F087B"/>
    <w:rsid w:val="008F1D32"/>
    <w:rsid w:val="008F2AB0"/>
    <w:rsid w:val="008F2E64"/>
    <w:rsid w:val="008F30B6"/>
    <w:rsid w:val="008F38BF"/>
    <w:rsid w:val="008F48BB"/>
    <w:rsid w:val="008F54CE"/>
    <w:rsid w:val="008F57AF"/>
    <w:rsid w:val="008F6EB0"/>
    <w:rsid w:val="008F6EF9"/>
    <w:rsid w:val="008F71F4"/>
    <w:rsid w:val="008F7260"/>
    <w:rsid w:val="0090342C"/>
    <w:rsid w:val="00904CDC"/>
    <w:rsid w:val="009054FD"/>
    <w:rsid w:val="00906371"/>
    <w:rsid w:val="00910256"/>
    <w:rsid w:val="00911DED"/>
    <w:rsid w:val="009134EF"/>
    <w:rsid w:val="00913A16"/>
    <w:rsid w:val="00914357"/>
    <w:rsid w:val="00916F5A"/>
    <w:rsid w:val="00921CBC"/>
    <w:rsid w:val="00922132"/>
    <w:rsid w:val="0092216D"/>
    <w:rsid w:val="009226A4"/>
    <w:rsid w:val="009239F2"/>
    <w:rsid w:val="0092443D"/>
    <w:rsid w:val="0092489E"/>
    <w:rsid w:val="00924E3C"/>
    <w:rsid w:val="00925756"/>
    <w:rsid w:val="00925CD5"/>
    <w:rsid w:val="00927109"/>
    <w:rsid w:val="00930189"/>
    <w:rsid w:val="009301CE"/>
    <w:rsid w:val="00930C04"/>
    <w:rsid w:val="009314BA"/>
    <w:rsid w:val="00932EAF"/>
    <w:rsid w:val="00933446"/>
    <w:rsid w:val="00934464"/>
    <w:rsid w:val="009360A4"/>
    <w:rsid w:val="00940742"/>
    <w:rsid w:val="009424E9"/>
    <w:rsid w:val="009429FD"/>
    <w:rsid w:val="00942CAF"/>
    <w:rsid w:val="00942EBE"/>
    <w:rsid w:val="009467F1"/>
    <w:rsid w:val="00946822"/>
    <w:rsid w:val="009505EA"/>
    <w:rsid w:val="009505F5"/>
    <w:rsid w:val="00952622"/>
    <w:rsid w:val="00953051"/>
    <w:rsid w:val="00953E51"/>
    <w:rsid w:val="009545C4"/>
    <w:rsid w:val="00956657"/>
    <w:rsid w:val="00956C30"/>
    <w:rsid w:val="00957F31"/>
    <w:rsid w:val="00960CE0"/>
    <w:rsid w:val="00960D96"/>
    <w:rsid w:val="00961E84"/>
    <w:rsid w:val="00963315"/>
    <w:rsid w:val="00963A30"/>
    <w:rsid w:val="009641DB"/>
    <w:rsid w:val="009649CE"/>
    <w:rsid w:val="0096525C"/>
    <w:rsid w:val="00972529"/>
    <w:rsid w:val="00973FC8"/>
    <w:rsid w:val="00974BDC"/>
    <w:rsid w:val="00974C00"/>
    <w:rsid w:val="00975137"/>
    <w:rsid w:val="00975509"/>
    <w:rsid w:val="00975DC1"/>
    <w:rsid w:val="0097604B"/>
    <w:rsid w:val="009777ED"/>
    <w:rsid w:val="00977AEF"/>
    <w:rsid w:val="00977F66"/>
    <w:rsid w:val="009808F3"/>
    <w:rsid w:val="00980C3D"/>
    <w:rsid w:val="00980F39"/>
    <w:rsid w:val="00984A9D"/>
    <w:rsid w:val="00984D56"/>
    <w:rsid w:val="0098522C"/>
    <w:rsid w:val="00986F9D"/>
    <w:rsid w:val="009875FF"/>
    <w:rsid w:val="00992BFF"/>
    <w:rsid w:val="009931BB"/>
    <w:rsid w:val="00994109"/>
    <w:rsid w:val="009943BF"/>
    <w:rsid w:val="00994D80"/>
    <w:rsid w:val="00994EBA"/>
    <w:rsid w:val="00995299"/>
    <w:rsid w:val="009959B1"/>
    <w:rsid w:val="00995C93"/>
    <w:rsid w:val="00995D5B"/>
    <w:rsid w:val="0099602A"/>
    <w:rsid w:val="00996425"/>
    <w:rsid w:val="009966D6"/>
    <w:rsid w:val="00996DC5"/>
    <w:rsid w:val="00997AA5"/>
    <w:rsid w:val="00997F38"/>
    <w:rsid w:val="009A2056"/>
    <w:rsid w:val="009A3356"/>
    <w:rsid w:val="009A339F"/>
    <w:rsid w:val="009A4238"/>
    <w:rsid w:val="009A425A"/>
    <w:rsid w:val="009A451D"/>
    <w:rsid w:val="009A4680"/>
    <w:rsid w:val="009A56D9"/>
    <w:rsid w:val="009A6E90"/>
    <w:rsid w:val="009A75CE"/>
    <w:rsid w:val="009A7D9F"/>
    <w:rsid w:val="009B0BE0"/>
    <w:rsid w:val="009B0D79"/>
    <w:rsid w:val="009B169F"/>
    <w:rsid w:val="009B1852"/>
    <w:rsid w:val="009B6923"/>
    <w:rsid w:val="009B6B77"/>
    <w:rsid w:val="009C0B20"/>
    <w:rsid w:val="009C3029"/>
    <w:rsid w:val="009C49CE"/>
    <w:rsid w:val="009C52C6"/>
    <w:rsid w:val="009C5A0E"/>
    <w:rsid w:val="009C608D"/>
    <w:rsid w:val="009C6774"/>
    <w:rsid w:val="009C6CA2"/>
    <w:rsid w:val="009C6E6E"/>
    <w:rsid w:val="009C75CC"/>
    <w:rsid w:val="009D1764"/>
    <w:rsid w:val="009D2CE8"/>
    <w:rsid w:val="009D309F"/>
    <w:rsid w:val="009D3939"/>
    <w:rsid w:val="009D4FA8"/>
    <w:rsid w:val="009D519D"/>
    <w:rsid w:val="009D667E"/>
    <w:rsid w:val="009D69DA"/>
    <w:rsid w:val="009D771E"/>
    <w:rsid w:val="009E0370"/>
    <w:rsid w:val="009E03FA"/>
    <w:rsid w:val="009E1140"/>
    <w:rsid w:val="009E53B7"/>
    <w:rsid w:val="009E79BC"/>
    <w:rsid w:val="009E7DDD"/>
    <w:rsid w:val="009F0231"/>
    <w:rsid w:val="009F06F1"/>
    <w:rsid w:val="009F0BF9"/>
    <w:rsid w:val="009F1AFC"/>
    <w:rsid w:val="009F3D4A"/>
    <w:rsid w:val="009F4AF6"/>
    <w:rsid w:val="009F4B5A"/>
    <w:rsid w:val="009F5151"/>
    <w:rsid w:val="009F5E2D"/>
    <w:rsid w:val="00A01238"/>
    <w:rsid w:val="00A01B85"/>
    <w:rsid w:val="00A026A1"/>
    <w:rsid w:val="00A027E2"/>
    <w:rsid w:val="00A03FA5"/>
    <w:rsid w:val="00A044BE"/>
    <w:rsid w:val="00A05355"/>
    <w:rsid w:val="00A05B53"/>
    <w:rsid w:val="00A0602B"/>
    <w:rsid w:val="00A06836"/>
    <w:rsid w:val="00A06AE6"/>
    <w:rsid w:val="00A104AB"/>
    <w:rsid w:val="00A12A3A"/>
    <w:rsid w:val="00A12CD8"/>
    <w:rsid w:val="00A12D12"/>
    <w:rsid w:val="00A12EE2"/>
    <w:rsid w:val="00A13AAC"/>
    <w:rsid w:val="00A13D59"/>
    <w:rsid w:val="00A1477A"/>
    <w:rsid w:val="00A1495D"/>
    <w:rsid w:val="00A15018"/>
    <w:rsid w:val="00A154B5"/>
    <w:rsid w:val="00A15741"/>
    <w:rsid w:val="00A15AD9"/>
    <w:rsid w:val="00A15FBD"/>
    <w:rsid w:val="00A1694C"/>
    <w:rsid w:val="00A177A6"/>
    <w:rsid w:val="00A17E81"/>
    <w:rsid w:val="00A20331"/>
    <w:rsid w:val="00A2050B"/>
    <w:rsid w:val="00A20DAB"/>
    <w:rsid w:val="00A213F3"/>
    <w:rsid w:val="00A23674"/>
    <w:rsid w:val="00A25344"/>
    <w:rsid w:val="00A25D1A"/>
    <w:rsid w:val="00A25EA9"/>
    <w:rsid w:val="00A265E1"/>
    <w:rsid w:val="00A30229"/>
    <w:rsid w:val="00A32039"/>
    <w:rsid w:val="00A40BB8"/>
    <w:rsid w:val="00A416DC"/>
    <w:rsid w:val="00A416FA"/>
    <w:rsid w:val="00A422CC"/>
    <w:rsid w:val="00A43492"/>
    <w:rsid w:val="00A43AF7"/>
    <w:rsid w:val="00A44F41"/>
    <w:rsid w:val="00A46B33"/>
    <w:rsid w:val="00A473FA"/>
    <w:rsid w:val="00A4797F"/>
    <w:rsid w:val="00A50412"/>
    <w:rsid w:val="00A51B29"/>
    <w:rsid w:val="00A5220F"/>
    <w:rsid w:val="00A5318A"/>
    <w:rsid w:val="00A53AB5"/>
    <w:rsid w:val="00A54479"/>
    <w:rsid w:val="00A57402"/>
    <w:rsid w:val="00A57506"/>
    <w:rsid w:val="00A600AB"/>
    <w:rsid w:val="00A6014F"/>
    <w:rsid w:val="00A6044E"/>
    <w:rsid w:val="00A61CE7"/>
    <w:rsid w:val="00A6210B"/>
    <w:rsid w:val="00A6311F"/>
    <w:rsid w:val="00A644D7"/>
    <w:rsid w:val="00A64CA1"/>
    <w:rsid w:val="00A65253"/>
    <w:rsid w:val="00A67576"/>
    <w:rsid w:val="00A678E4"/>
    <w:rsid w:val="00A67DE0"/>
    <w:rsid w:val="00A714F3"/>
    <w:rsid w:val="00A72946"/>
    <w:rsid w:val="00A731D9"/>
    <w:rsid w:val="00A732EF"/>
    <w:rsid w:val="00A7369E"/>
    <w:rsid w:val="00A736B8"/>
    <w:rsid w:val="00A73873"/>
    <w:rsid w:val="00A73D6E"/>
    <w:rsid w:val="00A75854"/>
    <w:rsid w:val="00A76264"/>
    <w:rsid w:val="00A76A95"/>
    <w:rsid w:val="00A77690"/>
    <w:rsid w:val="00A8019C"/>
    <w:rsid w:val="00A816D5"/>
    <w:rsid w:val="00A827B1"/>
    <w:rsid w:val="00A830DD"/>
    <w:rsid w:val="00A833BB"/>
    <w:rsid w:val="00A84D61"/>
    <w:rsid w:val="00A85AB5"/>
    <w:rsid w:val="00A85C99"/>
    <w:rsid w:val="00A861CA"/>
    <w:rsid w:val="00A864B7"/>
    <w:rsid w:val="00A86A2E"/>
    <w:rsid w:val="00A90000"/>
    <w:rsid w:val="00A91AF7"/>
    <w:rsid w:val="00A91BC0"/>
    <w:rsid w:val="00A91C54"/>
    <w:rsid w:val="00A921E3"/>
    <w:rsid w:val="00A92362"/>
    <w:rsid w:val="00A926AB"/>
    <w:rsid w:val="00A92DE0"/>
    <w:rsid w:val="00A944A1"/>
    <w:rsid w:val="00A94F06"/>
    <w:rsid w:val="00A95537"/>
    <w:rsid w:val="00A97BEC"/>
    <w:rsid w:val="00AA07E6"/>
    <w:rsid w:val="00AA2506"/>
    <w:rsid w:val="00AA3BDF"/>
    <w:rsid w:val="00AA4661"/>
    <w:rsid w:val="00AA490F"/>
    <w:rsid w:val="00AA492B"/>
    <w:rsid w:val="00AA4F1B"/>
    <w:rsid w:val="00AA6255"/>
    <w:rsid w:val="00AA78E4"/>
    <w:rsid w:val="00AA7958"/>
    <w:rsid w:val="00AB00C7"/>
    <w:rsid w:val="00AB1838"/>
    <w:rsid w:val="00AB1D6A"/>
    <w:rsid w:val="00AB2647"/>
    <w:rsid w:val="00AB34E2"/>
    <w:rsid w:val="00AB381F"/>
    <w:rsid w:val="00AB3CFE"/>
    <w:rsid w:val="00AB6245"/>
    <w:rsid w:val="00AB68C4"/>
    <w:rsid w:val="00AB7613"/>
    <w:rsid w:val="00AB7899"/>
    <w:rsid w:val="00AB7C03"/>
    <w:rsid w:val="00AC0E9D"/>
    <w:rsid w:val="00AC2F35"/>
    <w:rsid w:val="00AC3156"/>
    <w:rsid w:val="00AC365E"/>
    <w:rsid w:val="00AC4A9C"/>
    <w:rsid w:val="00AC4DA1"/>
    <w:rsid w:val="00AC58CF"/>
    <w:rsid w:val="00AC5DED"/>
    <w:rsid w:val="00AD1397"/>
    <w:rsid w:val="00AD14EC"/>
    <w:rsid w:val="00AD14F1"/>
    <w:rsid w:val="00AD249A"/>
    <w:rsid w:val="00AD3C9C"/>
    <w:rsid w:val="00AD3EB6"/>
    <w:rsid w:val="00AD4296"/>
    <w:rsid w:val="00AD49D9"/>
    <w:rsid w:val="00AD6EFA"/>
    <w:rsid w:val="00AD70CB"/>
    <w:rsid w:val="00AE06F0"/>
    <w:rsid w:val="00AE1244"/>
    <w:rsid w:val="00AE16ED"/>
    <w:rsid w:val="00AE1803"/>
    <w:rsid w:val="00AE1AEB"/>
    <w:rsid w:val="00AE2134"/>
    <w:rsid w:val="00AE2669"/>
    <w:rsid w:val="00AE297F"/>
    <w:rsid w:val="00AE2FCE"/>
    <w:rsid w:val="00AE3C67"/>
    <w:rsid w:val="00AE4341"/>
    <w:rsid w:val="00AE441D"/>
    <w:rsid w:val="00AE4681"/>
    <w:rsid w:val="00AE4F83"/>
    <w:rsid w:val="00AE593F"/>
    <w:rsid w:val="00AE5980"/>
    <w:rsid w:val="00AE706E"/>
    <w:rsid w:val="00AE72E0"/>
    <w:rsid w:val="00AE73FA"/>
    <w:rsid w:val="00AF005F"/>
    <w:rsid w:val="00AF08A7"/>
    <w:rsid w:val="00AF0B26"/>
    <w:rsid w:val="00AF23F5"/>
    <w:rsid w:val="00AF2E03"/>
    <w:rsid w:val="00AF3722"/>
    <w:rsid w:val="00AF4E66"/>
    <w:rsid w:val="00AF4E79"/>
    <w:rsid w:val="00AF5770"/>
    <w:rsid w:val="00B00E5D"/>
    <w:rsid w:val="00B0163B"/>
    <w:rsid w:val="00B02339"/>
    <w:rsid w:val="00B024A6"/>
    <w:rsid w:val="00B041C1"/>
    <w:rsid w:val="00B04C9A"/>
    <w:rsid w:val="00B04DA0"/>
    <w:rsid w:val="00B04F8C"/>
    <w:rsid w:val="00B05146"/>
    <w:rsid w:val="00B05254"/>
    <w:rsid w:val="00B0676F"/>
    <w:rsid w:val="00B06EC9"/>
    <w:rsid w:val="00B071CF"/>
    <w:rsid w:val="00B0791B"/>
    <w:rsid w:val="00B11295"/>
    <w:rsid w:val="00B137DF"/>
    <w:rsid w:val="00B15A6E"/>
    <w:rsid w:val="00B162FF"/>
    <w:rsid w:val="00B16526"/>
    <w:rsid w:val="00B201A7"/>
    <w:rsid w:val="00B2056C"/>
    <w:rsid w:val="00B205D8"/>
    <w:rsid w:val="00B21A9B"/>
    <w:rsid w:val="00B21D75"/>
    <w:rsid w:val="00B21D82"/>
    <w:rsid w:val="00B23151"/>
    <w:rsid w:val="00B23461"/>
    <w:rsid w:val="00B27387"/>
    <w:rsid w:val="00B27B56"/>
    <w:rsid w:val="00B27B5A"/>
    <w:rsid w:val="00B27E6E"/>
    <w:rsid w:val="00B3029D"/>
    <w:rsid w:val="00B30AFA"/>
    <w:rsid w:val="00B318C9"/>
    <w:rsid w:val="00B34F5F"/>
    <w:rsid w:val="00B3590D"/>
    <w:rsid w:val="00B35B49"/>
    <w:rsid w:val="00B402A3"/>
    <w:rsid w:val="00B406C0"/>
    <w:rsid w:val="00B40B86"/>
    <w:rsid w:val="00B40CE7"/>
    <w:rsid w:val="00B4163F"/>
    <w:rsid w:val="00B43D17"/>
    <w:rsid w:val="00B443F0"/>
    <w:rsid w:val="00B44E99"/>
    <w:rsid w:val="00B45337"/>
    <w:rsid w:val="00B46024"/>
    <w:rsid w:val="00B46F4F"/>
    <w:rsid w:val="00B47215"/>
    <w:rsid w:val="00B52205"/>
    <w:rsid w:val="00B522DD"/>
    <w:rsid w:val="00B5322D"/>
    <w:rsid w:val="00B540F3"/>
    <w:rsid w:val="00B56615"/>
    <w:rsid w:val="00B566E5"/>
    <w:rsid w:val="00B56B4E"/>
    <w:rsid w:val="00B56E40"/>
    <w:rsid w:val="00B60289"/>
    <w:rsid w:val="00B61A1C"/>
    <w:rsid w:val="00B61C75"/>
    <w:rsid w:val="00B632F4"/>
    <w:rsid w:val="00B64886"/>
    <w:rsid w:val="00B64EAF"/>
    <w:rsid w:val="00B65389"/>
    <w:rsid w:val="00B669F8"/>
    <w:rsid w:val="00B70105"/>
    <w:rsid w:val="00B703C0"/>
    <w:rsid w:val="00B725DC"/>
    <w:rsid w:val="00B732A0"/>
    <w:rsid w:val="00B73911"/>
    <w:rsid w:val="00B73D25"/>
    <w:rsid w:val="00B74C2F"/>
    <w:rsid w:val="00B75719"/>
    <w:rsid w:val="00B75852"/>
    <w:rsid w:val="00B760F0"/>
    <w:rsid w:val="00B77ADA"/>
    <w:rsid w:val="00B80B3A"/>
    <w:rsid w:val="00B812A4"/>
    <w:rsid w:val="00B85CF0"/>
    <w:rsid w:val="00B876A1"/>
    <w:rsid w:val="00B878F2"/>
    <w:rsid w:val="00B90397"/>
    <w:rsid w:val="00B91A2D"/>
    <w:rsid w:val="00B942EA"/>
    <w:rsid w:val="00B94908"/>
    <w:rsid w:val="00B95507"/>
    <w:rsid w:val="00B95E37"/>
    <w:rsid w:val="00B966C6"/>
    <w:rsid w:val="00B96A0D"/>
    <w:rsid w:val="00B974A4"/>
    <w:rsid w:val="00B97B81"/>
    <w:rsid w:val="00BA0453"/>
    <w:rsid w:val="00BA1241"/>
    <w:rsid w:val="00BA1860"/>
    <w:rsid w:val="00BA277B"/>
    <w:rsid w:val="00BA3BE7"/>
    <w:rsid w:val="00BA3E31"/>
    <w:rsid w:val="00BA4BA3"/>
    <w:rsid w:val="00BA51A0"/>
    <w:rsid w:val="00BA5A04"/>
    <w:rsid w:val="00BA604E"/>
    <w:rsid w:val="00BA7AC6"/>
    <w:rsid w:val="00BB02C3"/>
    <w:rsid w:val="00BB1148"/>
    <w:rsid w:val="00BB1299"/>
    <w:rsid w:val="00BB4C6A"/>
    <w:rsid w:val="00BB63E7"/>
    <w:rsid w:val="00BB6BA1"/>
    <w:rsid w:val="00BB73F1"/>
    <w:rsid w:val="00BC0E70"/>
    <w:rsid w:val="00BC167A"/>
    <w:rsid w:val="00BC1E61"/>
    <w:rsid w:val="00BC243B"/>
    <w:rsid w:val="00BC4823"/>
    <w:rsid w:val="00BC5007"/>
    <w:rsid w:val="00BC5206"/>
    <w:rsid w:val="00BD079E"/>
    <w:rsid w:val="00BD1512"/>
    <w:rsid w:val="00BD43AF"/>
    <w:rsid w:val="00BD5376"/>
    <w:rsid w:val="00BD6A2F"/>
    <w:rsid w:val="00BD6D0E"/>
    <w:rsid w:val="00BE3A3B"/>
    <w:rsid w:val="00BE3E30"/>
    <w:rsid w:val="00BE52B8"/>
    <w:rsid w:val="00BE729A"/>
    <w:rsid w:val="00BF0E1A"/>
    <w:rsid w:val="00BF2179"/>
    <w:rsid w:val="00BF274D"/>
    <w:rsid w:val="00BF2F67"/>
    <w:rsid w:val="00BF5F50"/>
    <w:rsid w:val="00BF6096"/>
    <w:rsid w:val="00BF7951"/>
    <w:rsid w:val="00BF7CD4"/>
    <w:rsid w:val="00C00664"/>
    <w:rsid w:val="00C00763"/>
    <w:rsid w:val="00C00C65"/>
    <w:rsid w:val="00C0120E"/>
    <w:rsid w:val="00C01256"/>
    <w:rsid w:val="00C04685"/>
    <w:rsid w:val="00C046B0"/>
    <w:rsid w:val="00C0507E"/>
    <w:rsid w:val="00C05708"/>
    <w:rsid w:val="00C06228"/>
    <w:rsid w:val="00C0628F"/>
    <w:rsid w:val="00C06496"/>
    <w:rsid w:val="00C07171"/>
    <w:rsid w:val="00C10938"/>
    <w:rsid w:val="00C10B15"/>
    <w:rsid w:val="00C10EA6"/>
    <w:rsid w:val="00C144A1"/>
    <w:rsid w:val="00C154E7"/>
    <w:rsid w:val="00C17FC1"/>
    <w:rsid w:val="00C20CA3"/>
    <w:rsid w:val="00C211E2"/>
    <w:rsid w:val="00C2152C"/>
    <w:rsid w:val="00C222CA"/>
    <w:rsid w:val="00C22373"/>
    <w:rsid w:val="00C23DAE"/>
    <w:rsid w:val="00C25A9B"/>
    <w:rsid w:val="00C2793E"/>
    <w:rsid w:val="00C27D17"/>
    <w:rsid w:val="00C33581"/>
    <w:rsid w:val="00C33CBE"/>
    <w:rsid w:val="00C340CB"/>
    <w:rsid w:val="00C34700"/>
    <w:rsid w:val="00C34744"/>
    <w:rsid w:val="00C34B07"/>
    <w:rsid w:val="00C35D84"/>
    <w:rsid w:val="00C35EDB"/>
    <w:rsid w:val="00C35FEB"/>
    <w:rsid w:val="00C36B80"/>
    <w:rsid w:val="00C3710F"/>
    <w:rsid w:val="00C40056"/>
    <w:rsid w:val="00C40294"/>
    <w:rsid w:val="00C405D2"/>
    <w:rsid w:val="00C40EBB"/>
    <w:rsid w:val="00C41119"/>
    <w:rsid w:val="00C415B8"/>
    <w:rsid w:val="00C41B38"/>
    <w:rsid w:val="00C41F73"/>
    <w:rsid w:val="00C42B5B"/>
    <w:rsid w:val="00C43005"/>
    <w:rsid w:val="00C446DA"/>
    <w:rsid w:val="00C45676"/>
    <w:rsid w:val="00C456D1"/>
    <w:rsid w:val="00C46BA1"/>
    <w:rsid w:val="00C47981"/>
    <w:rsid w:val="00C5086E"/>
    <w:rsid w:val="00C52144"/>
    <w:rsid w:val="00C53E4F"/>
    <w:rsid w:val="00C541EB"/>
    <w:rsid w:val="00C55E7A"/>
    <w:rsid w:val="00C562CF"/>
    <w:rsid w:val="00C56748"/>
    <w:rsid w:val="00C56DDC"/>
    <w:rsid w:val="00C57479"/>
    <w:rsid w:val="00C62709"/>
    <w:rsid w:val="00C62C70"/>
    <w:rsid w:val="00C6345B"/>
    <w:rsid w:val="00C642E5"/>
    <w:rsid w:val="00C644AD"/>
    <w:rsid w:val="00C65068"/>
    <w:rsid w:val="00C651D0"/>
    <w:rsid w:val="00C65BB9"/>
    <w:rsid w:val="00C65F28"/>
    <w:rsid w:val="00C66295"/>
    <w:rsid w:val="00C66864"/>
    <w:rsid w:val="00C73487"/>
    <w:rsid w:val="00C746C8"/>
    <w:rsid w:val="00C759B8"/>
    <w:rsid w:val="00C77323"/>
    <w:rsid w:val="00C77639"/>
    <w:rsid w:val="00C778E9"/>
    <w:rsid w:val="00C809AB"/>
    <w:rsid w:val="00C8201D"/>
    <w:rsid w:val="00C82C2A"/>
    <w:rsid w:val="00C84F7B"/>
    <w:rsid w:val="00C85AAE"/>
    <w:rsid w:val="00C85E7E"/>
    <w:rsid w:val="00C86B8A"/>
    <w:rsid w:val="00C877D5"/>
    <w:rsid w:val="00C87812"/>
    <w:rsid w:val="00C87ED3"/>
    <w:rsid w:val="00C9093E"/>
    <w:rsid w:val="00C91A8F"/>
    <w:rsid w:val="00C9344B"/>
    <w:rsid w:val="00C93691"/>
    <w:rsid w:val="00C9370D"/>
    <w:rsid w:val="00C93B97"/>
    <w:rsid w:val="00C9425B"/>
    <w:rsid w:val="00C958A9"/>
    <w:rsid w:val="00C961E8"/>
    <w:rsid w:val="00CA1E05"/>
    <w:rsid w:val="00CA33E3"/>
    <w:rsid w:val="00CA364E"/>
    <w:rsid w:val="00CA5706"/>
    <w:rsid w:val="00CA5BAD"/>
    <w:rsid w:val="00CA5C02"/>
    <w:rsid w:val="00CA5EBA"/>
    <w:rsid w:val="00CA6440"/>
    <w:rsid w:val="00CA6E86"/>
    <w:rsid w:val="00CA7EA6"/>
    <w:rsid w:val="00CA7FB9"/>
    <w:rsid w:val="00CB0838"/>
    <w:rsid w:val="00CB1263"/>
    <w:rsid w:val="00CB1703"/>
    <w:rsid w:val="00CB1AE7"/>
    <w:rsid w:val="00CB28EF"/>
    <w:rsid w:val="00CB2D28"/>
    <w:rsid w:val="00CB4186"/>
    <w:rsid w:val="00CB4722"/>
    <w:rsid w:val="00CB561C"/>
    <w:rsid w:val="00CB5F45"/>
    <w:rsid w:val="00CC054E"/>
    <w:rsid w:val="00CC17B2"/>
    <w:rsid w:val="00CC1B1E"/>
    <w:rsid w:val="00CC1D44"/>
    <w:rsid w:val="00CC446E"/>
    <w:rsid w:val="00CC463F"/>
    <w:rsid w:val="00CC4851"/>
    <w:rsid w:val="00CC5B39"/>
    <w:rsid w:val="00CC5ECB"/>
    <w:rsid w:val="00CC7166"/>
    <w:rsid w:val="00CC71A3"/>
    <w:rsid w:val="00CD06B5"/>
    <w:rsid w:val="00CD111E"/>
    <w:rsid w:val="00CD19AD"/>
    <w:rsid w:val="00CD28EF"/>
    <w:rsid w:val="00CD4067"/>
    <w:rsid w:val="00CD4203"/>
    <w:rsid w:val="00CD59CF"/>
    <w:rsid w:val="00CE14AC"/>
    <w:rsid w:val="00CE1C7E"/>
    <w:rsid w:val="00CE3386"/>
    <w:rsid w:val="00CE3863"/>
    <w:rsid w:val="00CE4146"/>
    <w:rsid w:val="00CE64AD"/>
    <w:rsid w:val="00CE75D6"/>
    <w:rsid w:val="00CE7CE7"/>
    <w:rsid w:val="00CF09C0"/>
    <w:rsid w:val="00CF1B4C"/>
    <w:rsid w:val="00CF1D90"/>
    <w:rsid w:val="00CF4633"/>
    <w:rsid w:val="00CF4BFF"/>
    <w:rsid w:val="00CF4CE1"/>
    <w:rsid w:val="00CF57D6"/>
    <w:rsid w:val="00CF6739"/>
    <w:rsid w:val="00CF7B2B"/>
    <w:rsid w:val="00D00413"/>
    <w:rsid w:val="00D009C8"/>
    <w:rsid w:val="00D01160"/>
    <w:rsid w:val="00D013D6"/>
    <w:rsid w:val="00D03377"/>
    <w:rsid w:val="00D039F4"/>
    <w:rsid w:val="00D03F54"/>
    <w:rsid w:val="00D042D0"/>
    <w:rsid w:val="00D0609C"/>
    <w:rsid w:val="00D07454"/>
    <w:rsid w:val="00D07644"/>
    <w:rsid w:val="00D078E8"/>
    <w:rsid w:val="00D07BAE"/>
    <w:rsid w:val="00D11C02"/>
    <w:rsid w:val="00D12689"/>
    <w:rsid w:val="00D12983"/>
    <w:rsid w:val="00D1344A"/>
    <w:rsid w:val="00D15314"/>
    <w:rsid w:val="00D158FA"/>
    <w:rsid w:val="00D16137"/>
    <w:rsid w:val="00D201DD"/>
    <w:rsid w:val="00D206E4"/>
    <w:rsid w:val="00D21598"/>
    <w:rsid w:val="00D21E9D"/>
    <w:rsid w:val="00D21EBC"/>
    <w:rsid w:val="00D23370"/>
    <w:rsid w:val="00D24560"/>
    <w:rsid w:val="00D25526"/>
    <w:rsid w:val="00D25C8A"/>
    <w:rsid w:val="00D25DBE"/>
    <w:rsid w:val="00D27874"/>
    <w:rsid w:val="00D3068C"/>
    <w:rsid w:val="00D309CF"/>
    <w:rsid w:val="00D30FD7"/>
    <w:rsid w:val="00D31549"/>
    <w:rsid w:val="00D31A40"/>
    <w:rsid w:val="00D335B5"/>
    <w:rsid w:val="00D3373A"/>
    <w:rsid w:val="00D33D0C"/>
    <w:rsid w:val="00D3435F"/>
    <w:rsid w:val="00D36FAC"/>
    <w:rsid w:val="00D37BE8"/>
    <w:rsid w:val="00D37D30"/>
    <w:rsid w:val="00D419BB"/>
    <w:rsid w:val="00D419F9"/>
    <w:rsid w:val="00D42E7C"/>
    <w:rsid w:val="00D439DA"/>
    <w:rsid w:val="00D43B65"/>
    <w:rsid w:val="00D4488B"/>
    <w:rsid w:val="00D44D70"/>
    <w:rsid w:val="00D45893"/>
    <w:rsid w:val="00D45B0F"/>
    <w:rsid w:val="00D45C71"/>
    <w:rsid w:val="00D5127D"/>
    <w:rsid w:val="00D518A6"/>
    <w:rsid w:val="00D52089"/>
    <w:rsid w:val="00D53139"/>
    <w:rsid w:val="00D53179"/>
    <w:rsid w:val="00D531EC"/>
    <w:rsid w:val="00D53BC0"/>
    <w:rsid w:val="00D54257"/>
    <w:rsid w:val="00D54D32"/>
    <w:rsid w:val="00D56B24"/>
    <w:rsid w:val="00D578CF"/>
    <w:rsid w:val="00D57B7D"/>
    <w:rsid w:val="00D57CC7"/>
    <w:rsid w:val="00D60819"/>
    <w:rsid w:val="00D609A8"/>
    <w:rsid w:val="00D61E9E"/>
    <w:rsid w:val="00D6263F"/>
    <w:rsid w:val="00D66346"/>
    <w:rsid w:val="00D7066F"/>
    <w:rsid w:val="00D70A2B"/>
    <w:rsid w:val="00D71724"/>
    <w:rsid w:val="00D71EAD"/>
    <w:rsid w:val="00D72291"/>
    <w:rsid w:val="00D733F1"/>
    <w:rsid w:val="00D74B49"/>
    <w:rsid w:val="00D76DC6"/>
    <w:rsid w:val="00D76E19"/>
    <w:rsid w:val="00D77386"/>
    <w:rsid w:val="00D77AA6"/>
    <w:rsid w:val="00D8070D"/>
    <w:rsid w:val="00D81ED6"/>
    <w:rsid w:val="00D82A92"/>
    <w:rsid w:val="00D835FC"/>
    <w:rsid w:val="00D83A2B"/>
    <w:rsid w:val="00D842BB"/>
    <w:rsid w:val="00D84525"/>
    <w:rsid w:val="00D84E84"/>
    <w:rsid w:val="00D86F26"/>
    <w:rsid w:val="00D9067B"/>
    <w:rsid w:val="00D908FD"/>
    <w:rsid w:val="00D90CCD"/>
    <w:rsid w:val="00D91A6C"/>
    <w:rsid w:val="00D91B52"/>
    <w:rsid w:val="00D950CE"/>
    <w:rsid w:val="00D95A75"/>
    <w:rsid w:val="00D96BFC"/>
    <w:rsid w:val="00D9764E"/>
    <w:rsid w:val="00D97BF3"/>
    <w:rsid w:val="00DA2AB5"/>
    <w:rsid w:val="00DA3DE9"/>
    <w:rsid w:val="00DA40B0"/>
    <w:rsid w:val="00DA7854"/>
    <w:rsid w:val="00DB008B"/>
    <w:rsid w:val="00DB06BC"/>
    <w:rsid w:val="00DB15EF"/>
    <w:rsid w:val="00DB3B29"/>
    <w:rsid w:val="00DB3B9F"/>
    <w:rsid w:val="00DB6659"/>
    <w:rsid w:val="00DB6A41"/>
    <w:rsid w:val="00DB7240"/>
    <w:rsid w:val="00DC3D50"/>
    <w:rsid w:val="00DC4A71"/>
    <w:rsid w:val="00DC53CD"/>
    <w:rsid w:val="00DC683A"/>
    <w:rsid w:val="00DC6D13"/>
    <w:rsid w:val="00DC7109"/>
    <w:rsid w:val="00DC78C0"/>
    <w:rsid w:val="00DD0CB7"/>
    <w:rsid w:val="00DD0CD4"/>
    <w:rsid w:val="00DD126D"/>
    <w:rsid w:val="00DD24BA"/>
    <w:rsid w:val="00DD3C3C"/>
    <w:rsid w:val="00DD4841"/>
    <w:rsid w:val="00DD7304"/>
    <w:rsid w:val="00DD7B16"/>
    <w:rsid w:val="00DE1D6C"/>
    <w:rsid w:val="00DE2060"/>
    <w:rsid w:val="00DE2446"/>
    <w:rsid w:val="00DE409D"/>
    <w:rsid w:val="00DE48E3"/>
    <w:rsid w:val="00DE6165"/>
    <w:rsid w:val="00DE71FC"/>
    <w:rsid w:val="00DE76CF"/>
    <w:rsid w:val="00DE7CE0"/>
    <w:rsid w:val="00DF1724"/>
    <w:rsid w:val="00DF1836"/>
    <w:rsid w:val="00DF25A6"/>
    <w:rsid w:val="00DF2E4D"/>
    <w:rsid w:val="00DF2EDB"/>
    <w:rsid w:val="00DF353B"/>
    <w:rsid w:val="00DF4904"/>
    <w:rsid w:val="00DF4D27"/>
    <w:rsid w:val="00DF5AAB"/>
    <w:rsid w:val="00DF5CC3"/>
    <w:rsid w:val="00DF7CF6"/>
    <w:rsid w:val="00E00D0D"/>
    <w:rsid w:val="00E015C6"/>
    <w:rsid w:val="00E01CD2"/>
    <w:rsid w:val="00E01F9D"/>
    <w:rsid w:val="00E02613"/>
    <w:rsid w:val="00E046BF"/>
    <w:rsid w:val="00E05C8C"/>
    <w:rsid w:val="00E05CB3"/>
    <w:rsid w:val="00E0697B"/>
    <w:rsid w:val="00E07D31"/>
    <w:rsid w:val="00E10BA8"/>
    <w:rsid w:val="00E1100C"/>
    <w:rsid w:val="00E12AF6"/>
    <w:rsid w:val="00E177CE"/>
    <w:rsid w:val="00E1792C"/>
    <w:rsid w:val="00E202FF"/>
    <w:rsid w:val="00E2092B"/>
    <w:rsid w:val="00E21170"/>
    <w:rsid w:val="00E21D5B"/>
    <w:rsid w:val="00E2240B"/>
    <w:rsid w:val="00E2444F"/>
    <w:rsid w:val="00E2462A"/>
    <w:rsid w:val="00E2582A"/>
    <w:rsid w:val="00E260A5"/>
    <w:rsid w:val="00E26B0D"/>
    <w:rsid w:val="00E309AA"/>
    <w:rsid w:val="00E316AA"/>
    <w:rsid w:val="00E35815"/>
    <w:rsid w:val="00E35986"/>
    <w:rsid w:val="00E35B83"/>
    <w:rsid w:val="00E36CE2"/>
    <w:rsid w:val="00E4232C"/>
    <w:rsid w:val="00E42980"/>
    <w:rsid w:val="00E43751"/>
    <w:rsid w:val="00E44FCD"/>
    <w:rsid w:val="00E465EC"/>
    <w:rsid w:val="00E502EE"/>
    <w:rsid w:val="00E51129"/>
    <w:rsid w:val="00E52CA2"/>
    <w:rsid w:val="00E530B9"/>
    <w:rsid w:val="00E53E43"/>
    <w:rsid w:val="00E5748F"/>
    <w:rsid w:val="00E57857"/>
    <w:rsid w:val="00E60068"/>
    <w:rsid w:val="00E616BB"/>
    <w:rsid w:val="00E6199B"/>
    <w:rsid w:val="00E61FB7"/>
    <w:rsid w:val="00E63A50"/>
    <w:rsid w:val="00E643E8"/>
    <w:rsid w:val="00E654F3"/>
    <w:rsid w:val="00E6555A"/>
    <w:rsid w:val="00E6558D"/>
    <w:rsid w:val="00E66AF8"/>
    <w:rsid w:val="00E71F9C"/>
    <w:rsid w:val="00E75B60"/>
    <w:rsid w:val="00E75D59"/>
    <w:rsid w:val="00E773A8"/>
    <w:rsid w:val="00E807DE"/>
    <w:rsid w:val="00E833D4"/>
    <w:rsid w:val="00E84A20"/>
    <w:rsid w:val="00E850A7"/>
    <w:rsid w:val="00E864C1"/>
    <w:rsid w:val="00E864D0"/>
    <w:rsid w:val="00E864FF"/>
    <w:rsid w:val="00E867DE"/>
    <w:rsid w:val="00E86CBB"/>
    <w:rsid w:val="00E86DF0"/>
    <w:rsid w:val="00E879B8"/>
    <w:rsid w:val="00E87BF7"/>
    <w:rsid w:val="00E87E9F"/>
    <w:rsid w:val="00E92950"/>
    <w:rsid w:val="00E93626"/>
    <w:rsid w:val="00E94645"/>
    <w:rsid w:val="00E95793"/>
    <w:rsid w:val="00E95FA4"/>
    <w:rsid w:val="00E973FF"/>
    <w:rsid w:val="00EA00D3"/>
    <w:rsid w:val="00EA02E7"/>
    <w:rsid w:val="00EA13FE"/>
    <w:rsid w:val="00EA28BA"/>
    <w:rsid w:val="00EA2E86"/>
    <w:rsid w:val="00EA3DDA"/>
    <w:rsid w:val="00EA4DB6"/>
    <w:rsid w:val="00EA6A80"/>
    <w:rsid w:val="00EA72BC"/>
    <w:rsid w:val="00EA7848"/>
    <w:rsid w:val="00EB0BB2"/>
    <w:rsid w:val="00EB47FD"/>
    <w:rsid w:val="00EB5273"/>
    <w:rsid w:val="00EB532D"/>
    <w:rsid w:val="00EB66C5"/>
    <w:rsid w:val="00EB6761"/>
    <w:rsid w:val="00EB6E06"/>
    <w:rsid w:val="00EC2892"/>
    <w:rsid w:val="00EC350C"/>
    <w:rsid w:val="00EC48D7"/>
    <w:rsid w:val="00EC677F"/>
    <w:rsid w:val="00EC749D"/>
    <w:rsid w:val="00EC7878"/>
    <w:rsid w:val="00ED0958"/>
    <w:rsid w:val="00ED0B38"/>
    <w:rsid w:val="00ED1966"/>
    <w:rsid w:val="00ED220C"/>
    <w:rsid w:val="00ED4624"/>
    <w:rsid w:val="00ED5069"/>
    <w:rsid w:val="00ED59C6"/>
    <w:rsid w:val="00ED5D28"/>
    <w:rsid w:val="00ED5DD1"/>
    <w:rsid w:val="00ED653C"/>
    <w:rsid w:val="00ED721F"/>
    <w:rsid w:val="00ED7333"/>
    <w:rsid w:val="00EE15A6"/>
    <w:rsid w:val="00EE34B5"/>
    <w:rsid w:val="00EE39E6"/>
    <w:rsid w:val="00EE46CA"/>
    <w:rsid w:val="00EE55EC"/>
    <w:rsid w:val="00EF16A9"/>
    <w:rsid w:val="00EF18A0"/>
    <w:rsid w:val="00EF2FD0"/>
    <w:rsid w:val="00EF30F8"/>
    <w:rsid w:val="00EF4A43"/>
    <w:rsid w:val="00F00CAB"/>
    <w:rsid w:val="00F00D69"/>
    <w:rsid w:val="00F00EE3"/>
    <w:rsid w:val="00F022B8"/>
    <w:rsid w:val="00F0434E"/>
    <w:rsid w:val="00F0563F"/>
    <w:rsid w:val="00F062BF"/>
    <w:rsid w:val="00F06AF4"/>
    <w:rsid w:val="00F07133"/>
    <w:rsid w:val="00F117E4"/>
    <w:rsid w:val="00F11A2A"/>
    <w:rsid w:val="00F128E1"/>
    <w:rsid w:val="00F12FFC"/>
    <w:rsid w:val="00F133C0"/>
    <w:rsid w:val="00F14432"/>
    <w:rsid w:val="00F161BA"/>
    <w:rsid w:val="00F20844"/>
    <w:rsid w:val="00F21B7B"/>
    <w:rsid w:val="00F21CFB"/>
    <w:rsid w:val="00F2215E"/>
    <w:rsid w:val="00F222FE"/>
    <w:rsid w:val="00F22727"/>
    <w:rsid w:val="00F22CF0"/>
    <w:rsid w:val="00F24903"/>
    <w:rsid w:val="00F26993"/>
    <w:rsid w:val="00F30229"/>
    <w:rsid w:val="00F31AEF"/>
    <w:rsid w:val="00F34520"/>
    <w:rsid w:val="00F34EB7"/>
    <w:rsid w:val="00F35B68"/>
    <w:rsid w:val="00F360AE"/>
    <w:rsid w:val="00F36706"/>
    <w:rsid w:val="00F37396"/>
    <w:rsid w:val="00F4287C"/>
    <w:rsid w:val="00F42DBD"/>
    <w:rsid w:val="00F44412"/>
    <w:rsid w:val="00F44571"/>
    <w:rsid w:val="00F44DB9"/>
    <w:rsid w:val="00F453DE"/>
    <w:rsid w:val="00F453EC"/>
    <w:rsid w:val="00F456C9"/>
    <w:rsid w:val="00F4644B"/>
    <w:rsid w:val="00F46A01"/>
    <w:rsid w:val="00F474C1"/>
    <w:rsid w:val="00F47B3A"/>
    <w:rsid w:val="00F50083"/>
    <w:rsid w:val="00F50508"/>
    <w:rsid w:val="00F51A60"/>
    <w:rsid w:val="00F5249E"/>
    <w:rsid w:val="00F54BDF"/>
    <w:rsid w:val="00F54C09"/>
    <w:rsid w:val="00F54C8B"/>
    <w:rsid w:val="00F54F61"/>
    <w:rsid w:val="00F5601C"/>
    <w:rsid w:val="00F57564"/>
    <w:rsid w:val="00F57962"/>
    <w:rsid w:val="00F61550"/>
    <w:rsid w:val="00F6257D"/>
    <w:rsid w:val="00F63265"/>
    <w:rsid w:val="00F63D70"/>
    <w:rsid w:val="00F64EAD"/>
    <w:rsid w:val="00F659A4"/>
    <w:rsid w:val="00F66BF8"/>
    <w:rsid w:val="00F702FD"/>
    <w:rsid w:val="00F71F63"/>
    <w:rsid w:val="00F748C7"/>
    <w:rsid w:val="00F74B4F"/>
    <w:rsid w:val="00F74C32"/>
    <w:rsid w:val="00F75A48"/>
    <w:rsid w:val="00F7619D"/>
    <w:rsid w:val="00F76934"/>
    <w:rsid w:val="00F773CB"/>
    <w:rsid w:val="00F77748"/>
    <w:rsid w:val="00F77B0E"/>
    <w:rsid w:val="00F809A8"/>
    <w:rsid w:val="00F80C58"/>
    <w:rsid w:val="00F84252"/>
    <w:rsid w:val="00F854C9"/>
    <w:rsid w:val="00F85874"/>
    <w:rsid w:val="00F85C9E"/>
    <w:rsid w:val="00F87657"/>
    <w:rsid w:val="00F87747"/>
    <w:rsid w:val="00F87926"/>
    <w:rsid w:val="00F92722"/>
    <w:rsid w:val="00F9425D"/>
    <w:rsid w:val="00F94D68"/>
    <w:rsid w:val="00F951E0"/>
    <w:rsid w:val="00F961CC"/>
    <w:rsid w:val="00F96550"/>
    <w:rsid w:val="00F97741"/>
    <w:rsid w:val="00F97820"/>
    <w:rsid w:val="00FA121B"/>
    <w:rsid w:val="00FA1874"/>
    <w:rsid w:val="00FA45C6"/>
    <w:rsid w:val="00FA5712"/>
    <w:rsid w:val="00FA6040"/>
    <w:rsid w:val="00FA6679"/>
    <w:rsid w:val="00FA6D9C"/>
    <w:rsid w:val="00FB090D"/>
    <w:rsid w:val="00FB16CF"/>
    <w:rsid w:val="00FB25F0"/>
    <w:rsid w:val="00FB2C5B"/>
    <w:rsid w:val="00FB3363"/>
    <w:rsid w:val="00FB364D"/>
    <w:rsid w:val="00FB3678"/>
    <w:rsid w:val="00FB471C"/>
    <w:rsid w:val="00FB4E36"/>
    <w:rsid w:val="00FB4E6D"/>
    <w:rsid w:val="00FB626F"/>
    <w:rsid w:val="00FC141A"/>
    <w:rsid w:val="00FC1C95"/>
    <w:rsid w:val="00FC29F4"/>
    <w:rsid w:val="00FC3BC6"/>
    <w:rsid w:val="00FC4085"/>
    <w:rsid w:val="00FC438C"/>
    <w:rsid w:val="00FC45BE"/>
    <w:rsid w:val="00FC4CD2"/>
    <w:rsid w:val="00FC599C"/>
    <w:rsid w:val="00FC692D"/>
    <w:rsid w:val="00FC697A"/>
    <w:rsid w:val="00FD0E1A"/>
    <w:rsid w:val="00FD0F00"/>
    <w:rsid w:val="00FD22A6"/>
    <w:rsid w:val="00FD2FC0"/>
    <w:rsid w:val="00FD374C"/>
    <w:rsid w:val="00FD42FF"/>
    <w:rsid w:val="00FD5672"/>
    <w:rsid w:val="00FD5C57"/>
    <w:rsid w:val="00FD72E4"/>
    <w:rsid w:val="00FD7C5A"/>
    <w:rsid w:val="00FE0AD3"/>
    <w:rsid w:val="00FE11ED"/>
    <w:rsid w:val="00FE179A"/>
    <w:rsid w:val="00FE1F43"/>
    <w:rsid w:val="00FE28E4"/>
    <w:rsid w:val="00FE32B7"/>
    <w:rsid w:val="00FE35D8"/>
    <w:rsid w:val="00FE375B"/>
    <w:rsid w:val="00FE49F1"/>
    <w:rsid w:val="00FE534B"/>
    <w:rsid w:val="00FE6AD6"/>
    <w:rsid w:val="00FE7B9B"/>
    <w:rsid w:val="00FF01B7"/>
    <w:rsid w:val="00FF171B"/>
    <w:rsid w:val="00FF227E"/>
    <w:rsid w:val="00FF3224"/>
    <w:rsid w:val="00FF3370"/>
    <w:rsid w:val="00FF425A"/>
    <w:rsid w:val="00FF4631"/>
    <w:rsid w:val="00FF4E54"/>
    <w:rsid w:val="00FF4F74"/>
    <w:rsid w:val="00FF6650"/>
    <w:rsid w:val="00FF6C12"/>
    <w:rsid w:val="00FF702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sto MT" w:eastAsiaTheme="minorEastAsia" w:hAnsi="Calisto MT" w:cs="Times New Roman"/>
        <w:sz w:val="21"/>
        <w:szCs w:val="21"/>
        <w:lang w:val="en-AU" w:eastAsia="en-AU" w:bidi="ar-SA"/>
      </w:rPr>
    </w:rPrDefault>
    <w:pPrDefault>
      <w:pPr>
        <w:spacing w:before="140" w:line="280" w:lineRule="atLeast"/>
      </w:pPr>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39" w:unhideWhenUsed="1"/>
    <w:lsdException w:name="toc 4" w:uiPriority="39"/>
    <w:lsdException w:name="toc 5" w:uiPriority="39"/>
    <w:lsdException w:name="toc 6" w:uiPriority="39" w:unhideWhenUsed="1"/>
    <w:lsdException w:name="toc 7" w:uiPriority="39" w:unhideWhenUsed="1"/>
    <w:lsdException w:name="toc 8" w:uiPriority="39"/>
    <w:lsdException w:name="toc 9" w:uiPriority="39"/>
    <w:lsdException w:name="Normal Indent" w:unhideWhenUsed="1"/>
    <w:lsdException w:name="footnote text" w:semiHidden="0" w:uiPriority="25"/>
    <w:lsdException w:name="annotation text" w:semiHidden="0" w:uiPriority="49"/>
    <w:lsdException w:name="header" w:semiHidden="0"/>
    <w:lsdException w:name="footer" w:semiHidden="0"/>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semiHidden="0" w:uiPriority="25"/>
    <w:lsdException w:name="annotation reference" w:semiHidden="0" w:uiPriority="49"/>
    <w:lsdException w:name="line number" w:unhideWhenUsed="1"/>
    <w:lsdException w:name="page number" w:unhideWhenUsed="1"/>
    <w:lsdException w:name="endnote reference" w:unhideWhenUsed="1"/>
    <w:lsdException w:name="endnote text" w:unhideWhenUsed="1"/>
    <w:lsdException w:name="macro" w:unhideWhenUsed="1"/>
    <w:lsdException w:name="List" w:unhideWhenUsed="1"/>
    <w:lsdException w:name="List Bullet" w:semiHidden="0" w:uiPriority="2" w:qFormat="1"/>
    <w:lsdException w:name="List Number" w:semiHidden="0" w:uiPriority="2" w:qFormat="1"/>
    <w:lsdException w:name="List 2" w:unhideWhenUsed="1"/>
    <w:lsdException w:name="List 3" w:unhideWhenUsed="1"/>
    <w:lsdException w:name="List 4" w:unhideWhenUsed="1"/>
    <w:lsdException w:name="List 5" w:unhideWhenUsed="1"/>
    <w:lsdException w:name="List Bullet 2" w:semiHidden="0" w:uiPriority="2"/>
    <w:lsdException w:name="List Bullet 3" w:semiHidden="0" w:uiPriority="2"/>
    <w:lsdException w:name="List Number 2" w:semiHidden="0" w:uiPriority="2"/>
    <w:lsdException w:name="List Number 3" w:unhideWhenUsed="1"/>
    <w:lsdException w:name="List Number 4" w:unhideWhenUsed="1"/>
    <w:lsdException w:name="List Number 5" w:unhideWhenUsed="1"/>
    <w:lsdException w:name="Title" w:semiHidden="0" w:uiPriority="29" w:qFormat="1"/>
    <w:lsdException w:name="Closing" w:unhideWhenUsed="1"/>
    <w:lsdException w:name="Signature" w:unhideWhenUsed="1"/>
    <w:lsdException w:name="Default Paragraph Font" w:uiPriority="1" w:unhideWhenUsed="1"/>
    <w:lsdException w:name="Body Text" w:semiHidden="0" w:uiPriority="2"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30" w:qFormat="1"/>
    <w:lsdException w:name="Salutation" w:unhideWhenUsed="1"/>
    <w:lsdException w:name="Date" w:semiHidden="0" w:uiPriority="33"/>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59"/>
    <w:lsdException w:name="Table Theme" w:unhideWhenUsed="1"/>
    <w:lsdException w:name="No Spacing" w:uiPriority="1" w:unhideWhenUsed="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semiHidden="0" w:uiPriority="3"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qFormat="1"/>
    <w:lsdException w:name="Book Title" w:uiPriority="33" w:qFormat="1"/>
    <w:lsdException w:name="Bibliography" w:uiPriority="37"/>
    <w:lsdException w:name="TOC Heading" w:semiHidden="0" w:uiPriority="39"/>
  </w:latentStyles>
  <w:style w:type="paragraph" w:default="1" w:styleId="Normal">
    <w:name w:val="Normal"/>
    <w:semiHidden/>
    <w:rsid w:val="003E774E"/>
    <w:pPr>
      <w:spacing w:before="0"/>
    </w:pPr>
  </w:style>
  <w:style w:type="paragraph" w:styleId="Heading1">
    <w:name w:val="heading 1"/>
    <w:basedOn w:val="BodyText"/>
    <w:next w:val="BodyText"/>
    <w:link w:val="Heading1Char"/>
    <w:qFormat/>
    <w:rsid w:val="003E774E"/>
    <w:pPr>
      <w:keepNext/>
      <w:pageBreakBefore/>
      <w:numPr>
        <w:numId w:val="16"/>
      </w:numPr>
      <w:spacing w:before="0" w:after="1560" w:line="440" w:lineRule="atLeast"/>
      <w:outlineLvl w:val="0"/>
    </w:pPr>
    <w:rPr>
      <w:rFonts w:asciiTheme="majorHAnsi" w:hAnsiTheme="majorHAnsi"/>
      <w:i/>
      <w:kern w:val="28"/>
      <w:sz w:val="36"/>
      <w:szCs w:val="32"/>
    </w:rPr>
  </w:style>
  <w:style w:type="paragraph" w:styleId="Heading2">
    <w:name w:val="heading 2"/>
    <w:basedOn w:val="Heading1"/>
    <w:next w:val="BodyText"/>
    <w:link w:val="Heading2Char"/>
    <w:qFormat/>
    <w:rsid w:val="003E774E"/>
    <w:pPr>
      <w:pageBreakBefore w:val="0"/>
      <w:numPr>
        <w:ilvl w:val="1"/>
      </w:numPr>
      <w:spacing w:before="560" w:after="0" w:line="340" w:lineRule="atLeast"/>
      <w:outlineLvl w:val="1"/>
    </w:pPr>
    <w:rPr>
      <w:b/>
      <w:color w:val="F61D12" w:themeColor="accent2"/>
      <w:sz w:val="30"/>
      <w:szCs w:val="26"/>
    </w:rPr>
  </w:style>
  <w:style w:type="paragraph" w:styleId="Heading3">
    <w:name w:val="heading 3"/>
    <w:basedOn w:val="Heading2"/>
    <w:next w:val="BodyText"/>
    <w:link w:val="Heading3Char"/>
    <w:qFormat/>
    <w:rsid w:val="003E774E"/>
    <w:pPr>
      <w:numPr>
        <w:ilvl w:val="2"/>
      </w:numPr>
      <w:spacing w:before="440" w:line="280" w:lineRule="atLeast"/>
      <w:outlineLvl w:val="2"/>
    </w:pPr>
    <w:rPr>
      <w:color w:val="auto"/>
      <w:sz w:val="25"/>
      <w:szCs w:val="22"/>
    </w:rPr>
  </w:style>
  <w:style w:type="paragraph" w:styleId="Heading4">
    <w:name w:val="heading 4"/>
    <w:basedOn w:val="Heading3"/>
    <w:next w:val="BodyText"/>
    <w:link w:val="Heading4Char"/>
    <w:qFormat/>
    <w:rsid w:val="003E774E"/>
    <w:pPr>
      <w:numPr>
        <w:ilvl w:val="3"/>
      </w:numPr>
      <w:spacing w:before="400" w:line="260" w:lineRule="atLeast"/>
      <w:outlineLvl w:val="3"/>
    </w:pPr>
    <w:rPr>
      <w:color w:val="6F6652" w:themeColor="text2"/>
      <w:sz w:val="21"/>
    </w:rPr>
  </w:style>
  <w:style w:type="paragraph" w:styleId="Heading5">
    <w:name w:val="heading 5"/>
    <w:basedOn w:val="Heading4"/>
    <w:next w:val="BodyText"/>
    <w:link w:val="Heading5Char"/>
    <w:rsid w:val="003E774E"/>
    <w:pPr>
      <w:numPr>
        <w:ilvl w:val="4"/>
      </w:numPr>
      <w:outlineLvl w:val="4"/>
    </w:pPr>
    <w:rPr>
      <w:rFonts w:asciiTheme="minorHAnsi" w:hAnsiTheme="minorHAnsi"/>
      <w:b w:val="0"/>
    </w:rPr>
  </w:style>
  <w:style w:type="paragraph" w:styleId="Heading6">
    <w:name w:val="heading 6"/>
    <w:basedOn w:val="Heading1"/>
    <w:next w:val="BodyText"/>
    <w:link w:val="Heading6Char"/>
    <w:qFormat/>
    <w:rsid w:val="003E774E"/>
    <w:pPr>
      <w:numPr>
        <w:ilvl w:val="5"/>
      </w:numPr>
      <w:outlineLvl w:val="5"/>
    </w:pPr>
    <w:rPr>
      <w:bCs/>
    </w:rPr>
  </w:style>
  <w:style w:type="paragraph" w:styleId="Heading7">
    <w:name w:val="heading 7"/>
    <w:basedOn w:val="Heading2"/>
    <w:next w:val="BodyText"/>
    <w:link w:val="Heading7Char"/>
    <w:qFormat/>
    <w:rsid w:val="003E774E"/>
    <w:pPr>
      <w:numPr>
        <w:ilvl w:val="6"/>
      </w:numPr>
      <w:outlineLvl w:val="6"/>
    </w:pPr>
    <w:rPr>
      <w:color w:val="auto"/>
    </w:rPr>
  </w:style>
  <w:style w:type="paragraph" w:styleId="Heading8">
    <w:name w:val="heading 8"/>
    <w:basedOn w:val="Heading3"/>
    <w:next w:val="BodyText"/>
    <w:link w:val="Heading8Char"/>
    <w:qFormat/>
    <w:rsid w:val="003E774E"/>
    <w:pPr>
      <w:numPr>
        <w:ilvl w:val="7"/>
      </w:numPr>
      <w:outlineLvl w:val="7"/>
    </w:pPr>
  </w:style>
  <w:style w:type="paragraph" w:styleId="Heading9">
    <w:name w:val="heading 9"/>
    <w:basedOn w:val="Heading4"/>
    <w:next w:val="BodyText"/>
    <w:link w:val="Heading9Char"/>
    <w:qFormat/>
    <w:rsid w:val="003E774E"/>
    <w:pPr>
      <w:numPr>
        <w:ilvl w:val="8"/>
      </w:numPr>
      <w:outlineLvl w:val="8"/>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Bullets">
    <w:name w:val="ListBullets"/>
    <w:uiPriority w:val="99"/>
    <w:rsid w:val="003E774E"/>
    <w:pPr>
      <w:numPr>
        <w:numId w:val="8"/>
      </w:numPr>
    </w:pPr>
  </w:style>
  <w:style w:type="paragraph" w:styleId="ListBullet3">
    <w:name w:val="List Bullet 3"/>
    <w:basedOn w:val="ListBullet2"/>
    <w:uiPriority w:val="2"/>
    <w:rsid w:val="003E774E"/>
    <w:pPr>
      <w:numPr>
        <w:ilvl w:val="2"/>
      </w:numPr>
    </w:pPr>
  </w:style>
  <w:style w:type="paragraph" w:styleId="ListNumber">
    <w:name w:val="List Number"/>
    <w:basedOn w:val="BodyText"/>
    <w:uiPriority w:val="2"/>
    <w:qFormat/>
    <w:rsid w:val="003E774E"/>
    <w:pPr>
      <w:numPr>
        <w:numId w:val="11"/>
      </w:numPr>
      <w:spacing w:before="70"/>
    </w:pPr>
  </w:style>
  <w:style w:type="paragraph" w:styleId="ListBullet">
    <w:name w:val="List Bullet"/>
    <w:basedOn w:val="BodyText"/>
    <w:link w:val="ListBulletChar"/>
    <w:uiPriority w:val="2"/>
    <w:qFormat/>
    <w:rsid w:val="003E774E"/>
    <w:pPr>
      <w:numPr>
        <w:numId w:val="10"/>
      </w:numPr>
      <w:spacing w:before="70"/>
    </w:pPr>
  </w:style>
  <w:style w:type="paragraph" w:customStyle="1" w:styleId="Contents">
    <w:name w:val="Contents"/>
    <w:basedOn w:val="Heading1"/>
    <w:next w:val="TOC1"/>
    <w:uiPriority w:val="99"/>
    <w:rsid w:val="003E774E"/>
    <w:pPr>
      <w:pageBreakBefore w:val="0"/>
      <w:numPr>
        <w:numId w:val="0"/>
      </w:numPr>
    </w:pPr>
  </w:style>
  <w:style w:type="paragraph" w:customStyle="1" w:styleId="RecommendationNumber2">
    <w:name w:val="Recommendation Number 2"/>
    <w:basedOn w:val="RecommendationNumber"/>
    <w:uiPriority w:val="28"/>
    <w:rsid w:val="003E774E"/>
    <w:pPr>
      <w:numPr>
        <w:ilvl w:val="1"/>
      </w:numPr>
    </w:pPr>
  </w:style>
  <w:style w:type="paragraph" w:customStyle="1" w:styleId="RecommendationHeading">
    <w:name w:val="Recommendation Heading"/>
    <w:basedOn w:val="BodyText"/>
    <w:next w:val="RecommendationNumber"/>
    <w:uiPriority w:val="28"/>
    <w:unhideWhenUsed/>
    <w:rsid w:val="003E774E"/>
    <w:pPr>
      <w:spacing w:before="280"/>
    </w:pPr>
    <w:rPr>
      <w:rFonts w:ascii="Franklin Gothic Demi" w:hAnsi="Franklin Gothic Demi"/>
      <w:caps/>
      <w:color w:val="6F6652" w:themeColor="text2"/>
      <w:spacing w:val="10"/>
    </w:rPr>
  </w:style>
  <w:style w:type="paragraph" w:customStyle="1" w:styleId="Subtitlebox">
    <w:name w:val="Subtitle box"/>
    <w:aliases w:val="chart,table"/>
    <w:basedOn w:val="Caption"/>
    <w:uiPriority w:val="5"/>
    <w:rsid w:val="003E774E"/>
    <w:pPr>
      <w:numPr>
        <w:numId w:val="0"/>
      </w:numPr>
      <w:spacing w:before="0"/>
    </w:pPr>
    <w:rPr>
      <w:rFonts w:ascii="Franklin Gothic Book" w:hAnsi="Franklin Gothic Book"/>
      <w:sz w:val="17"/>
    </w:rPr>
  </w:style>
  <w:style w:type="paragraph" w:styleId="BodyText">
    <w:name w:val="Body Text"/>
    <w:basedOn w:val="Normal"/>
    <w:link w:val="BodyTextChar"/>
    <w:uiPriority w:val="2"/>
    <w:qFormat/>
    <w:rsid w:val="003E774E"/>
    <w:pPr>
      <w:spacing w:before="140"/>
    </w:pPr>
    <w:rPr>
      <w:rFonts w:asciiTheme="minorHAnsi" w:eastAsia="Times New Roman" w:hAnsiTheme="minorHAnsi"/>
    </w:rPr>
  </w:style>
  <w:style w:type="paragraph" w:styleId="ListNumber2">
    <w:name w:val="List Number 2"/>
    <w:basedOn w:val="BodyText"/>
    <w:uiPriority w:val="2"/>
    <w:rsid w:val="003E774E"/>
    <w:pPr>
      <w:numPr>
        <w:ilvl w:val="1"/>
        <w:numId w:val="11"/>
      </w:numPr>
      <w:spacing w:before="40"/>
    </w:pPr>
  </w:style>
  <w:style w:type="character" w:customStyle="1" w:styleId="BodyTextChar">
    <w:name w:val="Body Text Char"/>
    <w:link w:val="BodyText"/>
    <w:uiPriority w:val="2"/>
    <w:rsid w:val="003E774E"/>
    <w:rPr>
      <w:rFonts w:asciiTheme="minorHAnsi" w:eastAsia="Times New Roman" w:hAnsiTheme="minorHAnsi"/>
    </w:rPr>
  </w:style>
  <w:style w:type="paragraph" w:styleId="Caption">
    <w:name w:val="caption"/>
    <w:basedOn w:val="BodyText"/>
    <w:next w:val="Subtitlebox"/>
    <w:link w:val="CaptionChar"/>
    <w:uiPriority w:val="99"/>
    <w:unhideWhenUsed/>
    <w:rsid w:val="003E774E"/>
    <w:pPr>
      <w:keepNext/>
      <w:numPr>
        <w:numId w:val="15"/>
      </w:numPr>
      <w:spacing w:before="360" w:after="80" w:line="260" w:lineRule="atLeast"/>
    </w:pPr>
    <w:rPr>
      <w:rFonts w:ascii="Franklin Gothic Demi" w:hAnsi="Franklin Gothic Demi"/>
      <w:szCs w:val="20"/>
    </w:rPr>
  </w:style>
  <w:style w:type="paragraph" w:customStyle="1" w:styleId="BoxHeading1">
    <w:name w:val="Box Heading 1"/>
    <w:basedOn w:val="Heading4"/>
    <w:next w:val="BodyText"/>
    <w:uiPriority w:val="9"/>
    <w:rsid w:val="003E774E"/>
    <w:pPr>
      <w:numPr>
        <w:ilvl w:val="0"/>
        <w:numId w:val="0"/>
      </w:numPr>
      <w:spacing w:before="240"/>
    </w:pPr>
    <w:rPr>
      <w:rFonts w:ascii="Franklin Gothic Demi" w:hAnsi="Franklin Gothic Demi"/>
      <w:b w:val="0"/>
      <w:i w:val="0"/>
      <w:color w:val="F61D12" w:themeColor="accent2"/>
    </w:rPr>
  </w:style>
  <w:style w:type="paragraph" w:customStyle="1" w:styleId="BoxHeading2">
    <w:name w:val="Box Heading 2"/>
    <w:basedOn w:val="BoxHeading1"/>
    <w:next w:val="BodyText"/>
    <w:uiPriority w:val="9"/>
    <w:rsid w:val="003E774E"/>
    <w:pPr>
      <w:spacing w:before="200"/>
    </w:pPr>
    <w:rPr>
      <w:rFonts w:ascii="Franklin Gothic Medium" w:hAnsi="Franklin Gothic Medium"/>
      <w:szCs w:val="20"/>
    </w:rPr>
  </w:style>
  <w:style w:type="paragraph" w:customStyle="1" w:styleId="ChartText">
    <w:name w:val="Chart Text"/>
    <w:basedOn w:val="TableTextEntries"/>
    <w:link w:val="ChartTextChar"/>
    <w:uiPriority w:val="23"/>
    <w:rsid w:val="003E774E"/>
    <w:pPr>
      <w:spacing w:before="0"/>
    </w:pPr>
    <w:rPr>
      <w:rFonts w:ascii="Franklin Gothic Medium" w:hAnsi="Franklin Gothic Medium"/>
    </w:rPr>
  </w:style>
  <w:style w:type="character" w:customStyle="1" w:styleId="ChartTextChar">
    <w:name w:val="Chart Text Char"/>
    <w:link w:val="ChartText"/>
    <w:uiPriority w:val="23"/>
    <w:rsid w:val="003E774E"/>
    <w:rPr>
      <w:rFonts w:ascii="Franklin Gothic Medium" w:eastAsia="Times New Roman" w:hAnsi="Franklin Gothic Medium"/>
      <w:sz w:val="16"/>
      <w:szCs w:val="18"/>
      <w:lang w:eastAsia="en-US"/>
    </w:rPr>
  </w:style>
  <w:style w:type="paragraph" w:customStyle="1" w:styleId="ChartBoldText">
    <w:name w:val="Chart Bold Text"/>
    <w:basedOn w:val="ChartText"/>
    <w:next w:val="ChartText"/>
    <w:uiPriority w:val="23"/>
    <w:rsid w:val="003E774E"/>
    <w:pPr>
      <w:jc w:val="center"/>
    </w:pPr>
    <w:rPr>
      <w:rFonts w:ascii="Franklin Gothic Demi" w:hAnsi="Franklin Gothic Demi"/>
      <w:szCs w:val="17"/>
    </w:rPr>
  </w:style>
  <w:style w:type="paragraph" w:customStyle="1" w:styleId="ChartHighlight">
    <w:name w:val="Chart Highlight"/>
    <w:basedOn w:val="ChartBoldText"/>
    <w:uiPriority w:val="22"/>
    <w:rsid w:val="003E774E"/>
    <w:pPr>
      <w:spacing w:line="220" w:lineRule="atLeast"/>
    </w:pPr>
    <w:rPr>
      <w:caps/>
      <w:sz w:val="20"/>
    </w:rPr>
  </w:style>
  <w:style w:type="paragraph" w:customStyle="1" w:styleId="Client">
    <w:name w:val="Client"/>
    <w:basedOn w:val="BodyText"/>
    <w:uiPriority w:val="32"/>
    <w:rsid w:val="003E774E"/>
    <w:pPr>
      <w:spacing w:before="0"/>
    </w:pPr>
    <w:rPr>
      <w:i/>
      <w:sz w:val="25"/>
    </w:rPr>
  </w:style>
  <w:style w:type="character" w:styleId="CommentReference">
    <w:name w:val="annotation reference"/>
    <w:basedOn w:val="BodyTextChar"/>
    <w:uiPriority w:val="49"/>
    <w:semiHidden/>
    <w:rsid w:val="003E774E"/>
    <w:rPr>
      <w:rFonts w:ascii="Franklin Gothic Demi" w:eastAsia="Times New Roman" w:hAnsi="Franklin Gothic Demi" w:cs="Times New Roman"/>
      <w:b w:val="0"/>
      <w:vanish/>
      <w:color w:val="FF00FF"/>
      <w:sz w:val="18"/>
      <w:szCs w:val="16"/>
    </w:rPr>
  </w:style>
  <w:style w:type="paragraph" w:styleId="CommentText">
    <w:name w:val="annotation text"/>
    <w:basedOn w:val="BodyText"/>
    <w:link w:val="CommentTextChar"/>
    <w:uiPriority w:val="49"/>
    <w:semiHidden/>
    <w:rsid w:val="003E774E"/>
    <w:pPr>
      <w:spacing w:before="80" w:line="240" w:lineRule="atLeast"/>
    </w:pPr>
    <w:rPr>
      <w:sz w:val="20"/>
      <w:szCs w:val="20"/>
    </w:rPr>
  </w:style>
  <w:style w:type="character" w:customStyle="1" w:styleId="CommentTextChar">
    <w:name w:val="Comment Text Char"/>
    <w:basedOn w:val="DefaultParagraphFont"/>
    <w:link w:val="CommentText"/>
    <w:uiPriority w:val="49"/>
    <w:semiHidden/>
    <w:rsid w:val="003E774E"/>
    <w:rPr>
      <w:rFonts w:asciiTheme="minorHAnsi" w:eastAsia="Times New Roman" w:hAnsiTheme="minorHAnsi"/>
      <w:sz w:val="20"/>
      <w:szCs w:val="20"/>
    </w:rPr>
  </w:style>
  <w:style w:type="numbering" w:customStyle="1" w:styleId="ChartListBullets">
    <w:name w:val="ChartListBullets"/>
    <w:uiPriority w:val="99"/>
    <w:rsid w:val="003E774E"/>
    <w:pPr>
      <w:numPr>
        <w:numId w:val="5"/>
      </w:numPr>
    </w:pPr>
  </w:style>
  <w:style w:type="paragraph" w:customStyle="1" w:styleId="TableTextEntries">
    <w:name w:val="Table Text Entries"/>
    <w:basedOn w:val="BodyText"/>
    <w:uiPriority w:val="13"/>
    <w:rsid w:val="003E774E"/>
    <w:pPr>
      <w:keepLines/>
      <w:spacing w:before="80" w:after="80" w:line="200" w:lineRule="atLeast"/>
    </w:pPr>
    <w:rPr>
      <w:rFonts w:ascii="Franklin Gothic Book" w:hAnsi="Franklin Gothic Book"/>
      <w:sz w:val="16"/>
      <w:szCs w:val="18"/>
      <w:lang w:eastAsia="en-US"/>
    </w:rPr>
  </w:style>
  <w:style w:type="paragraph" w:customStyle="1" w:styleId="Note">
    <w:name w:val="Note"/>
    <w:basedOn w:val="TableTextEntries"/>
    <w:next w:val="Source"/>
    <w:link w:val="NoteCharChar"/>
    <w:uiPriority w:val="15"/>
    <w:rsid w:val="003E774E"/>
    <w:pPr>
      <w:spacing w:before="40" w:after="0" w:line="180" w:lineRule="atLeast"/>
    </w:pPr>
    <w:rPr>
      <w:sz w:val="14"/>
      <w:szCs w:val="16"/>
    </w:rPr>
  </w:style>
  <w:style w:type="character" w:customStyle="1" w:styleId="NoteCharChar">
    <w:name w:val="Note Char Char"/>
    <w:link w:val="Note"/>
    <w:uiPriority w:val="15"/>
    <w:rsid w:val="003E774E"/>
    <w:rPr>
      <w:rFonts w:ascii="Franklin Gothic Book" w:eastAsia="Times New Roman" w:hAnsi="Franklin Gothic Book"/>
      <w:sz w:val="14"/>
      <w:szCs w:val="16"/>
      <w:lang w:eastAsia="en-US"/>
    </w:rPr>
  </w:style>
  <w:style w:type="paragraph" w:customStyle="1" w:styleId="Source">
    <w:name w:val="Source"/>
    <w:basedOn w:val="Note"/>
    <w:next w:val="BodyText"/>
    <w:link w:val="SourceChar"/>
    <w:uiPriority w:val="16"/>
    <w:rsid w:val="003E774E"/>
    <w:pPr>
      <w:spacing w:after="60"/>
    </w:pPr>
  </w:style>
  <w:style w:type="paragraph" w:customStyle="1" w:styleId="Continued">
    <w:name w:val="Continued"/>
    <w:basedOn w:val="Source"/>
    <w:next w:val="BodyText"/>
    <w:link w:val="ContinuedChar"/>
    <w:uiPriority w:val="17"/>
    <w:rsid w:val="003E774E"/>
    <w:pPr>
      <w:jc w:val="right"/>
    </w:pPr>
  </w:style>
  <w:style w:type="paragraph" w:styleId="Title">
    <w:name w:val="Title"/>
    <w:basedOn w:val="Normal"/>
    <w:next w:val="Subtitle"/>
    <w:link w:val="TitleChar"/>
    <w:uiPriority w:val="29"/>
    <w:qFormat/>
    <w:rsid w:val="003E774E"/>
    <w:pPr>
      <w:spacing w:line="500" w:lineRule="atLeast"/>
    </w:pPr>
    <w:rPr>
      <w:rFonts w:asciiTheme="majorHAnsi" w:eastAsia="Times New Roman" w:hAnsiTheme="majorHAnsi"/>
      <w:spacing w:val="-2"/>
      <w:kern w:val="28"/>
      <w:sz w:val="44"/>
      <w:szCs w:val="48"/>
    </w:rPr>
  </w:style>
  <w:style w:type="character" w:customStyle="1" w:styleId="TitleChar">
    <w:name w:val="Title Char"/>
    <w:basedOn w:val="DefaultParagraphFont"/>
    <w:link w:val="Title"/>
    <w:uiPriority w:val="29"/>
    <w:rsid w:val="003E774E"/>
    <w:rPr>
      <w:rFonts w:asciiTheme="majorHAnsi" w:eastAsia="Times New Roman" w:hAnsiTheme="majorHAnsi"/>
      <w:spacing w:val="-2"/>
      <w:kern w:val="28"/>
      <w:sz w:val="44"/>
      <w:szCs w:val="48"/>
    </w:rPr>
  </w:style>
  <w:style w:type="paragraph" w:styleId="Subtitle">
    <w:name w:val="Subtitle"/>
    <w:basedOn w:val="Title"/>
    <w:link w:val="SubtitleChar"/>
    <w:uiPriority w:val="30"/>
    <w:qFormat/>
    <w:rsid w:val="003E774E"/>
    <w:pPr>
      <w:spacing w:before="280" w:line="320" w:lineRule="atLeast"/>
    </w:pPr>
    <w:rPr>
      <w:sz w:val="25"/>
      <w:szCs w:val="28"/>
    </w:rPr>
  </w:style>
  <w:style w:type="character" w:customStyle="1" w:styleId="SubtitleChar">
    <w:name w:val="Subtitle Char"/>
    <w:basedOn w:val="DefaultParagraphFont"/>
    <w:link w:val="Subtitle"/>
    <w:uiPriority w:val="30"/>
    <w:rsid w:val="003E774E"/>
    <w:rPr>
      <w:rFonts w:asciiTheme="majorHAnsi" w:eastAsia="Times New Roman" w:hAnsiTheme="majorHAnsi"/>
      <w:spacing w:val="-2"/>
      <w:kern w:val="28"/>
      <w:sz w:val="25"/>
      <w:szCs w:val="28"/>
    </w:rPr>
  </w:style>
  <w:style w:type="paragraph" w:styleId="Date">
    <w:name w:val="Date"/>
    <w:basedOn w:val="Subtitle"/>
    <w:link w:val="DateChar"/>
    <w:uiPriority w:val="33"/>
    <w:rsid w:val="003E774E"/>
    <w:pPr>
      <w:spacing w:before="140" w:line="280" w:lineRule="atLeast"/>
    </w:pPr>
    <w:rPr>
      <w:i/>
      <w:color w:val="6F6652" w:themeColor="text2"/>
      <w:spacing w:val="0"/>
    </w:rPr>
  </w:style>
  <w:style w:type="character" w:customStyle="1" w:styleId="DateChar">
    <w:name w:val="Date Char"/>
    <w:basedOn w:val="DefaultParagraphFont"/>
    <w:link w:val="Date"/>
    <w:uiPriority w:val="33"/>
    <w:rsid w:val="003E774E"/>
    <w:rPr>
      <w:rFonts w:asciiTheme="majorHAnsi" w:eastAsia="Times New Roman" w:hAnsiTheme="majorHAnsi"/>
      <w:i/>
      <w:color w:val="6F6652" w:themeColor="text2"/>
      <w:kern w:val="28"/>
      <w:sz w:val="25"/>
      <w:szCs w:val="28"/>
    </w:rPr>
  </w:style>
  <w:style w:type="character" w:customStyle="1" w:styleId="DraftingNote">
    <w:name w:val="Drafting Note"/>
    <w:uiPriority w:val="2"/>
    <w:rsid w:val="003E774E"/>
    <w:rPr>
      <w:rFonts w:asciiTheme="minorHAnsi" w:hAnsiTheme="minorHAnsi"/>
      <w:b/>
      <w:color w:val="0070C0"/>
      <w:u w:val="dotted"/>
    </w:rPr>
  </w:style>
  <w:style w:type="paragraph" w:styleId="Footer">
    <w:name w:val="footer"/>
    <w:basedOn w:val="BodyText"/>
    <w:link w:val="FooterChar"/>
    <w:uiPriority w:val="99"/>
    <w:rsid w:val="003E774E"/>
    <w:pPr>
      <w:spacing w:before="0" w:line="200" w:lineRule="atLeast"/>
    </w:pPr>
    <w:rPr>
      <w:i/>
      <w:color w:val="6F6652" w:themeColor="text2"/>
      <w:sz w:val="16"/>
      <w:szCs w:val="14"/>
    </w:rPr>
  </w:style>
  <w:style w:type="character" w:customStyle="1" w:styleId="FooterChar">
    <w:name w:val="Footer Char"/>
    <w:basedOn w:val="DefaultParagraphFont"/>
    <w:link w:val="Footer"/>
    <w:uiPriority w:val="99"/>
    <w:rsid w:val="003E774E"/>
    <w:rPr>
      <w:rFonts w:asciiTheme="minorHAnsi" w:eastAsia="Times New Roman" w:hAnsiTheme="minorHAnsi"/>
      <w:i/>
      <w:color w:val="6F6652" w:themeColor="text2"/>
      <w:sz w:val="16"/>
      <w:szCs w:val="14"/>
    </w:rPr>
  </w:style>
  <w:style w:type="character" w:styleId="FootnoteReference">
    <w:name w:val="footnote reference"/>
    <w:uiPriority w:val="25"/>
    <w:unhideWhenUsed/>
    <w:rsid w:val="003E774E"/>
    <w:rPr>
      <w:rFonts w:ascii="Calisto MT" w:hAnsi="Calisto MT"/>
      <w:b w:val="0"/>
      <w:i w:val="0"/>
      <w:color w:val="auto"/>
      <w:w w:val="100"/>
      <w:position w:val="4"/>
      <w:sz w:val="18"/>
      <w:szCs w:val="21"/>
      <w:vertAlign w:val="baseline"/>
    </w:rPr>
  </w:style>
  <w:style w:type="paragraph" w:styleId="FootnoteText">
    <w:name w:val="footnote text"/>
    <w:basedOn w:val="BodyText"/>
    <w:link w:val="FootnoteTextChar"/>
    <w:uiPriority w:val="25"/>
    <w:unhideWhenUsed/>
    <w:rsid w:val="003E774E"/>
    <w:pPr>
      <w:spacing w:before="80" w:line="240" w:lineRule="atLeast"/>
      <w:ind w:left="284" w:hanging="284"/>
    </w:pPr>
    <w:rPr>
      <w:sz w:val="19"/>
      <w:szCs w:val="18"/>
    </w:rPr>
  </w:style>
  <w:style w:type="character" w:customStyle="1" w:styleId="FootnoteTextChar">
    <w:name w:val="Footnote Text Char"/>
    <w:basedOn w:val="DefaultParagraphFont"/>
    <w:link w:val="FootnoteText"/>
    <w:uiPriority w:val="25"/>
    <w:rsid w:val="003E774E"/>
    <w:rPr>
      <w:rFonts w:asciiTheme="minorHAnsi" w:eastAsia="Times New Roman" w:hAnsiTheme="minorHAnsi"/>
      <w:sz w:val="19"/>
      <w:szCs w:val="18"/>
    </w:rPr>
  </w:style>
  <w:style w:type="paragraph" w:styleId="Header">
    <w:name w:val="header"/>
    <w:basedOn w:val="BodyText"/>
    <w:link w:val="HeaderChar"/>
    <w:uiPriority w:val="99"/>
    <w:rsid w:val="003E774E"/>
    <w:pPr>
      <w:pBdr>
        <w:bottom w:val="single" w:sz="4" w:space="1" w:color="F61D12" w:themeColor="accent2"/>
      </w:pBdr>
      <w:tabs>
        <w:tab w:val="left" w:pos="-567"/>
        <w:tab w:val="left" w:pos="0"/>
        <w:tab w:val="right" w:pos="7938"/>
        <w:tab w:val="right" w:pos="8505"/>
      </w:tabs>
      <w:spacing w:before="480" w:line="240" w:lineRule="atLeast"/>
      <w:ind w:left="-2268" w:right="-2268"/>
    </w:pPr>
    <w:rPr>
      <w:rFonts w:ascii="Franklin Gothic Medium" w:hAnsi="Franklin Gothic Medium"/>
      <w:sz w:val="14"/>
      <w:szCs w:val="14"/>
    </w:rPr>
  </w:style>
  <w:style w:type="character" w:customStyle="1" w:styleId="HeaderChar">
    <w:name w:val="Header Char"/>
    <w:basedOn w:val="DefaultParagraphFont"/>
    <w:link w:val="Header"/>
    <w:uiPriority w:val="99"/>
    <w:rsid w:val="003E774E"/>
    <w:rPr>
      <w:rFonts w:ascii="Franklin Gothic Medium" w:eastAsia="Times New Roman" w:hAnsi="Franklin Gothic Medium"/>
      <w:sz w:val="14"/>
      <w:szCs w:val="14"/>
    </w:rPr>
  </w:style>
  <w:style w:type="character" w:customStyle="1" w:styleId="Heading1Char">
    <w:name w:val="Heading 1 Char"/>
    <w:basedOn w:val="DefaultParagraphFont"/>
    <w:link w:val="Heading1"/>
    <w:rsid w:val="003E774E"/>
    <w:rPr>
      <w:rFonts w:asciiTheme="majorHAnsi" w:eastAsia="Times New Roman" w:hAnsiTheme="majorHAnsi"/>
      <w:i/>
      <w:kern w:val="28"/>
      <w:sz w:val="36"/>
      <w:szCs w:val="32"/>
    </w:rPr>
  </w:style>
  <w:style w:type="character" w:customStyle="1" w:styleId="Heading2Char">
    <w:name w:val="Heading 2 Char"/>
    <w:basedOn w:val="DefaultParagraphFont"/>
    <w:link w:val="Heading2"/>
    <w:rsid w:val="003E774E"/>
    <w:rPr>
      <w:rFonts w:asciiTheme="majorHAnsi" w:eastAsia="Times New Roman" w:hAnsiTheme="majorHAnsi"/>
      <w:b/>
      <w:i/>
      <w:color w:val="F61D12" w:themeColor="accent2"/>
      <w:kern w:val="28"/>
      <w:sz w:val="30"/>
      <w:szCs w:val="26"/>
    </w:rPr>
  </w:style>
  <w:style w:type="paragraph" w:styleId="ListBullet2">
    <w:name w:val="List Bullet 2"/>
    <w:basedOn w:val="ListBullet"/>
    <w:uiPriority w:val="2"/>
    <w:rsid w:val="003E774E"/>
    <w:pPr>
      <w:numPr>
        <w:ilvl w:val="1"/>
      </w:numPr>
      <w:spacing w:before="40"/>
    </w:pPr>
  </w:style>
  <w:style w:type="character" w:customStyle="1" w:styleId="Heading3Char">
    <w:name w:val="Heading 3 Char"/>
    <w:basedOn w:val="DefaultParagraphFont"/>
    <w:link w:val="Heading3"/>
    <w:rsid w:val="003E774E"/>
    <w:rPr>
      <w:rFonts w:asciiTheme="majorHAnsi" w:eastAsia="Times New Roman" w:hAnsiTheme="majorHAnsi"/>
      <w:b/>
      <w:i/>
      <w:kern w:val="28"/>
      <w:sz w:val="25"/>
      <w:szCs w:val="22"/>
    </w:rPr>
  </w:style>
  <w:style w:type="character" w:customStyle="1" w:styleId="Heading4Char">
    <w:name w:val="Heading 4 Char"/>
    <w:basedOn w:val="DefaultParagraphFont"/>
    <w:link w:val="Heading4"/>
    <w:rsid w:val="003E774E"/>
    <w:rPr>
      <w:rFonts w:asciiTheme="majorHAnsi" w:eastAsia="Times New Roman" w:hAnsiTheme="majorHAnsi"/>
      <w:b/>
      <w:i/>
      <w:color w:val="6F6652" w:themeColor="text2"/>
      <w:kern w:val="28"/>
      <w:szCs w:val="22"/>
    </w:rPr>
  </w:style>
  <w:style w:type="character" w:customStyle="1" w:styleId="Heading5Char">
    <w:name w:val="Heading 5 Char"/>
    <w:basedOn w:val="DefaultParagraphFont"/>
    <w:link w:val="Heading5"/>
    <w:rsid w:val="003E774E"/>
    <w:rPr>
      <w:rFonts w:asciiTheme="minorHAnsi" w:eastAsia="Times New Roman" w:hAnsiTheme="minorHAnsi"/>
      <w:i/>
      <w:color w:val="6F6652" w:themeColor="text2"/>
      <w:kern w:val="28"/>
      <w:szCs w:val="22"/>
    </w:rPr>
  </w:style>
  <w:style w:type="character" w:customStyle="1" w:styleId="Heading6Char">
    <w:name w:val="Heading 6 Char"/>
    <w:basedOn w:val="DefaultParagraphFont"/>
    <w:link w:val="Heading6"/>
    <w:rsid w:val="003E774E"/>
    <w:rPr>
      <w:rFonts w:asciiTheme="majorHAnsi" w:eastAsia="Times New Roman" w:hAnsiTheme="majorHAnsi"/>
      <w:bCs/>
      <w:i/>
      <w:kern w:val="28"/>
      <w:sz w:val="36"/>
      <w:szCs w:val="32"/>
    </w:rPr>
  </w:style>
  <w:style w:type="character" w:customStyle="1" w:styleId="Heading7Char">
    <w:name w:val="Heading 7 Char"/>
    <w:basedOn w:val="DefaultParagraphFont"/>
    <w:link w:val="Heading7"/>
    <w:rsid w:val="003E774E"/>
    <w:rPr>
      <w:rFonts w:asciiTheme="majorHAnsi" w:eastAsia="Times New Roman" w:hAnsiTheme="majorHAnsi"/>
      <w:b/>
      <w:i/>
      <w:kern w:val="28"/>
      <w:sz w:val="30"/>
      <w:szCs w:val="26"/>
    </w:rPr>
  </w:style>
  <w:style w:type="character" w:customStyle="1" w:styleId="Heading8Char">
    <w:name w:val="Heading 8 Char"/>
    <w:basedOn w:val="DefaultParagraphFont"/>
    <w:link w:val="Heading8"/>
    <w:rsid w:val="003E774E"/>
    <w:rPr>
      <w:rFonts w:asciiTheme="majorHAnsi" w:eastAsia="Times New Roman" w:hAnsiTheme="majorHAnsi"/>
      <w:b/>
      <w:i/>
      <w:kern w:val="28"/>
      <w:sz w:val="25"/>
      <w:szCs w:val="22"/>
    </w:rPr>
  </w:style>
  <w:style w:type="character" w:customStyle="1" w:styleId="Heading9Char">
    <w:name w:val="Heading 9 Char"/>
    <w:basedOn w:val="DefaultParagraphFont"/>
    <w:link w:val="Heading9"/>
    <w:rsid w:val="003E774E"/>
    <w:rPr>
      <w:rFonts w:asciiTheme="majorHAnsi" w:eastAsia="Times New Roman" w:hAnsiTheme="majorHAnsi"/>
      <w:b/>
      <w:i/>
      <w:kern w:val="28"/>
      <w:szCs w:val="22"/>
    </w:rPr>
  </w:style>
  <w:style w:type="character" w:styleId="Hyperlink">
    <w:name w:val="Hyperlink"/>
    <w:uiPriority w:val="99"/>
    <w:semiHidden/>
    <w:rsid w:val="003E774E"/>
    <w:rPr>
      <w:b w:val="0"/>
      <w:i w:val="0"/>
      <w:color w:val="6F6652" w:themeColor="text2"/>
      <w:u w:val="none"/>
    </w:rPr>
  </w:style>
  <w:style w:type="paragraph" w:customStyle="1" w:styleId="Invisiblepara">
    <w:name w:val="Invisible para"/>
    <w:basedOn w:val="Normal"/>
    <w:uiPriority w:val="99"/>
    <w:rsid w:val="003E774E"/>
    <w:pPr>
      <w:keepNext/>
      <w:spacing w:before="320" w:line="80" w:lineRule="exact"/>
    </w:pPr>
    <w:rPr>
      <w:rFonts w:eastAsia="Times New Roman"/>
      <w:szCs w:val="20"/>
    </w:rPr>
  </w:style>
  <w:style w:type="character" w:customStyle="1" w:styleId="NoteLabel">
    <w:name w:val="Note Label"/>
    <w:uiPriority w:val="15"/>
    <w:rsid w:val="003E774E"/>
    <w:rPr>
      <w:rFonts w:ascii="Franklin Gothic Demi" w:hAnsi="Franklin Gothic Demi"/>
      <w:b w:val="0"/>
      <w:i w:val="0"/>
      <w:color w:val="9B917E" w:themeColor="accent4"/>
      <w:position w:val="4"/>
      <w:sz w:val="14"/>
      <w:szCs w:val="16"/>
    </w:rPr>
  </w:style>
  <w:style w:type="character" w:styleId="PageNumber">
    <w:name w:val="page number"/>
    <w:uiPriority w:val="99"/>
    <w:rsid w:val="003E774E"/>
    <w:rPr>
      <w:rFonts w:ascii="Franklin Gothic Demi" w:hAnsi="Franklin Gothic Demi"/>
      <w:b w:val="0"/>
      <w:color w:val="006B7A" w:themeColor="accent1"/>
      <w:sz w:val="20"/>
      <w:szCs w:val="20"/>
    </w:rPr>
  </w:style>
  <w:style w:type="paragraph" w:styleId="Quote">
    <w:name w:val="Quote"/>
    <w:basedOn w:val="BodyText"/>
    <w:next w:val="BodyText"/>
    <w:link w:val="QuoteChar"/>
    <w:uiPriority w:val="3"/>
    <w:qFormat/>
    <w:rsid w:val="003E774E"/>
    <w:pPr>
      <w:spacing w:before="70" w:line="260" w:lineRule="atLeast"/>
      <w:ind w:left="284"/>
    </w:pPr>
    <w:rPr>
      <w:sz w:val="19"/>
      <w:szCs w:val="20"/>
    </w:rPr>
  </w:style>
  <w:style w:type="character" w:customStyle="1" w:styleId="QuoteChar">
    <w:name w:val="Quote Char"/>
    <w:basedOn w:val="DefaultParagraphFont"/>
    <w:link w:val="Quote"/>
    <w:uiPriority w:val="3"/>
    <w:rsid w:val="003E774E"/>
    <w:rPr>
      <w:rFonts w:asciiTheme="minorHAnsi" w:eastAsia="Times New Roman" w:hAnsiTheme="minorHAnsi"/>
      <w:sz w:val="19"/>
      <w:szCs w:val="20"/>
    </w:rPr>
  </w:style>
  <w:style w:type="paragraph" w:customStyle="1" w:styleId="RecommendationNumber">
    <w:name w:val="Recommendation Number"/>
    <w:basedOn w:val="BodyText"/>
    <w:next w:val="RecommendationNumber2"/>
    <w:uiPriority w:val="28"/>
    <w:rsid w:val="003E774E"/>
    <w:pPr>
      <w:numPr>
        <w:numId w:val="14"/>
      </w:numPr>
      <w:spacing w:before="80"/>
    </w:pPr>
    <w:rPr>
      <w:rFonts w:ascii="Franklin Gothic Book" w:eastAsia="MS Mincho" w:hAnsi="Franklin Gothic Book" w:cs="MS Mincho"/>
    </w:rPr>
  </w:style>
  <w:style w:type="paragraph" w:customStyle="1" w:styleId="Reference">
    <w:name w:val="Reference"/>
    <w:basedOn w:val="BodyText"/>
    <w:uiPriority w:val="3"/>
    <w:qFormat/>
    <w:rsid w:val="003E774E"/>
    <w:pPr>
      <w:spacing w:before="70" w:line="260" w:lineRule="atLeast"/>
      <w:ind w:left="284" w:hanging="284"/>
    </w:pPr>
    <w:rPr>
      <w:sz w:val="19"/>
      <w:szCs w:val="20"/>
    </w:rPr>
  </w:style>
  <w:style w:type="paragraph" w:customStyle="1" w:styleId="Reporttype">
    <w:name w:val="Report type"/>
    <w:basedOn w:val="Date"/>
    <w:next w:val="Title"/>
    <w:uiPriority w:val="31"/>
    <w:rsid w:val="003E774E"/>
    <w:pPr>
      <w:spacing w:before="0" w:after="280" w:line="260" w:lineRule="atLeast"/>
    </w:pPr>
    <w:rPr>
      <w:rFonts w:ascii="Franklin Gothic Demi" w:hAnsi="Franklin Gothic Demi"/>
      <w:i w:val="0"/>
      <w:caps/>
      <w:color w:val="F61D12" w:themeColor="accent2"/>
      <w:spacing w:val="44"/>
      <w:sz w:val="22"/>
    </w:rPr>
  </w:style>
  <w:style w:type="paragraph" w:customStyle="1" w:styleId="TableDataEntries">
    <w:name w:val="Table Data Entries"/>
    <w:basedOn w:val="TableTextEntries"/>
    <w:uiPriority w:val="11"/>
    <w:rsid w:val="003E774E"/>
    <w:pPr>
      <w:spacing w:before="40" w:after="40"/>
      <w:jc w:val="right"/>
    </w:pPr>
  </w:style>
  <w:style w:type="paragraph" w:customStyle="1" w:styleId="TableDataColumnHeading">
    <w:name w:val="Table Data Column Heading"/>
    <w:basedOn w:val="TableDataEntries"/>
    <w:uiPriority w:val="11"/>
    <w:rsid w:val="003E774E"/>
    <w:pPr>
      <w:keepNext/>
      <w:spacing w:before="80" w:after="80"/>
    </w:pPr>
    <w:rPr>
      <w:rFonts w:ascii="Franklin Gothic Demi" w:hAnsi="Franklin Gothic Demi"/>
      <w:color w:val="FFFFFF"/>
    </w:rPr>
  </w:style>
  <w:style w:type="paragraph" w:customStyle="1" w:styleId="TableHeading1">
    <w:name w:val="Table Heading 1"/>
    <w:basedOn w:val="TableTextEntries"/>
    <w:next w:val="TableTextEntries"/>
    <w:uiPriority w:val="10"/>
    <w:rsid w:val="003E774E"/>
    <w:pPr>
      <w:spacing w:before="140"/>
    </w:pPr>
    <w:rPr>
      <w:rFonts w:ascii="Franklin Gothic Demi" w:hAnsi="Franklin Gothic Demi"/>
      <w:color w:val="6F6652" w:themeColor="text2"/>
    </w:rPr>
  </w:style>
  <w:style w:type="paragraph" w:customStyle="1" w:styleId="TableHeading2">
    <w:name w:val="Table Heading 2"/>
    <w:basedOn w:val="TableHeading1"/>
    <w:next w:val="TableTextEntries"/>
    <w:uiPriority w:val="10"/>
    <w:rsid w:val="003E774E"/>
    <w:pPr>
      <w:spacing w:before="80"/>
    </w:pPr>
    <w:rPr>
      <w:rFonts w:ascii="Franklin Gothic Medium" w:hAnsi="Franklin Gothic Medium"/>
    </w:rPr>
  </w:style>
  <w:style w:type="paragraph" w:customStyle="1" w:styleId="TableTextColumnHeading">
    <w:name w:val="Table Text Column Heading"/>
    <w:basedOn w:val="TableDataColumnHeading"/>
    <w:uiPriority w:val="13"/>
    <w:rsid w:val="003E774E"/>
    <w:pPr>
      <w:jc w:val="left"/>
    </w:pPr>
  </w:style>
  <w:style w:type="paragraph" w:customStyle="1" w:styleId="TableUnit">
    <w:name w:val="Table Unit"/>
    <w:basedOn w:val="TableDataColumnHeading"/>
    <w:next w:val="TableDataEntries"/>
    <w:uiPriority w:val="11"/>
    <w:rsid w:val="003E774E"/>
    <w:rPr>
      <w:rFonts w:ascii="Franklin Gothic Book" w:hAnsi="Franklin Gothic Book"/>
      <w:color w:val="auto"/>
      <w:szCs w:val="17"/>
    </w:rPr>
  </w:style>
  <w:style w:type="paragraph" w:styleId="TOC1">
    <w:name w:val="toc 1"/>
    <w:basedOn w:val="BodyText"/>
    <w:next w:val="TOC2"/>
    <w:uiPriority w:val="39"/>
    <w:rsid w:val="003E774E"/>
    <w:pPr>
      <w:tabs>
        <w:tab w:val="left" w:pos="340"/>
        <w:tab w:val="right" w:pos="7938"/>
      </w:tabs>
      <w:spacing w:line="260" w:lineRule="atLeast"/>
      <w:ind w:right="567"/>
    </w:pPr>
    <w:rPr>
      <w:rFonts w:ascii="Franklin Gothic Demi" w:hAnsi="Franklin Gothic Demi"/>
      <w:szCs w:val="24"/>
    </w:rPr>
  </w:style>
  <w:style w:type="paragraph" w:styleId="TOC2">
    <w:name w:val="toc 2"/>
    <w:basedOn w:val="TOC1"/>
    <w:uiPriority w:val="39"/>
    <w:rsid w:val="003E774E"/>
    <w:pPr>
      <w:tabs>
        <w:tab w:val="clear" w:pos="340"/>
      </w:tabs>
      <w:spacing w:before="60"/>
      <w:ind w:left="340"/>
    </w:pPr>
    <w:rPr>
      <w:rFonts w:ascii="Calisto MT" w:hAnsi="Calisto MT"/>
    </w:rPr>
  </w:style>
  <w:style w:type="paragraph" w:styleId="TOC3">
    <w:name w:val="toc 3"/>
    <w:basedOn w:val="TOC2"/>
    <w:next w:val="BodyText"/>
    <w:uiPriority w:val="39"/>
    <w:semiHidden/>
    <w:rsid w:val="003E774E"/>
    <w:pPr>
      <w:ind w:left="680"/>
    </w:pPr>
  </w:style>
  <w:style w:type="paragraph" w:styleId="TOC6">
    <w:name w:val="toc 6"/>
    <w:basedOn w:val="BodyText"/>
    <w:next w:val="BodyText"/>
    <w:uiPriority w:val="39"/>
    <w:semiHidden/>
    <w:rsid w:val="003E774E"/>
    <w:pPr>
      <w:tabs>
        <w:tab w:val="left" w:pos="284"/>
        <w:tab w:val="right" w:pos="7655"/>
      </w:tabs>
      <w:ind w:left="284" w:right="567" w:hanging="284"/>
    </w:pPr>
  </w:style>
  <w:style w:type="paragraph" w:styleId="TOC7">
    <w:name w:val="toc 7"/>
    <w:basedOn w:val="TOC6"/>
    <w:next w:val="TOC1"/>
    <w:uiPriority w:val="39"/>
    <w:semiHidden/>
    <w:rsid w:val="003E774E"/>
    <w:pPr>
      <w:tabs>
        <w:tab w:val="left" w:pos="1418"/>
      </w:tabs>
      <w:spacing w:before="80"/>
      <w:ind w:left="709" w:hanging="425"/>
    </w:pPr>
  </w:style>
  <w:style w:type="numbering" w:customStyle="1" w:styleId="HeadingNumbers">
    <w:name w:val="HeadingNumbers"/>
    <w:uiPriority w:val="99"/>
    <w:rsid w:val="003E774E"/>
    <w:pPr>
      <w:numPr>
        <w:numId w:val="1"/>
      </w:numPr>
    </w:pPr>
  </w:style>
  <w:style w:type="paragraph" w:customStyle="1" w:styleId="TableListBullet">
    <w:name w:val="Table List Bullet"/>
    <w:basedOn w:val="TableTextEntries"/>
    <w:uiPriority w:val="14"/>
    <w:rsid w:val="003E774E"/>
    <w:pPr>
      <w:numPr>
        <w:numId w:val="17"/>
      </w:numPr>
      <w:spacing w:line="210" w:lineRule="atLeast"/>
    </w:pPr>
    <w:rPr>
      <w:szCs w:val="19"/>
    </w:rPr>
  </w:style>
  <w:style w:type="paragraph" w:customStyle="1" w:styleId="TableListBullet2">
    <w:name w:val="Table List Bullet 2"/>
    <w:basedOn w:val="TableListBullet"/>
    <w:uiPriority w:val="14"/>
    <w:rsid w:val="003E774E"/>
    <w:pPr>
      <w:numPr>
        <w:ilvl w:val="1"/>
      </w:numPr>
    </w:pPr>
  </w:style>
  <w:style w:type="paragraph" w:customStyle="1" w:styleId="TableListNumber">
    <w:name w:val="Table List Number"/>
    <w:basedOn w:val="TableTextEntries"/>
    <w:uiPriority w:val="14"/>
    <w:rsid w:val="003E774E"/>
    <w:pPr>
      <w:numPr>
        <w:numId w:val="18"/>
      </w:numPr>
      <w:spacing w:before="40" w:after="40"/>
    </w:pPr>
    <w:rPr>
      <w:szCs w:val="19"/>
    </w:rPr>
  </w:style>
  <w:style w:type="paragraph" w:customStyle="1" w:styleId="TableListNumber2">
    <w:name w:val="Table List Number 2"/>
    <w:basedOn w:val="TableListNumber"/>
    <w:uiPriority w:val="14"/>
    <w:rsid w:val="003E774E"/>
    <w:pPr>
      <w:numPr>
        <w:ilvl w:val="1"/>
      </w:numPr>
    </w:pPr>
  </w:style>
  <w:style w:type="numbering" w:customStyle="1" w:styleId="TableListBullets">
    <w:name w:val="TableListBullets"/>
    <w:uiPriority w:val="99"/>
    <w:rsid w:val="003E774E"/>
    <w:pPr>
      <w:numPr>
        <w:numId w:val="17"/>
      </w:numPr>
    </w:pPr>
  </w:style>
  <w:style w:type="numbering" w:customStyle="1" w:styleId="TableListNumbers">
    <w:name w:val="TableListNumbers"/>
    <w:uiPriority w:val="99"/>
    <w:rsid w:val="003E774E"/>
    <w:pPr>
      <w:numPr>
        <w:numId w:val="18"/>
      </w:numPr>
    </w:pPr>
  </w:style>
  <w:style w:type="character" w:styleId="PlaceholderText">
    <w:name w:val="Placeholder Text"/>
    <w:basedOn w:val="DefaultParagraphFont"/>
    <w:uiPriority w:val="99"/>
    <w:semiHidden/>
    <w:rsid w:val="003E774E"/>
    <w:rPr>
      <w:color w:val="808080"/>
    </w:rPr>
  </w:style>
  <w:style w:type="paragraph" w:customStyle="1" w:styleId="ChartListBullet">
    <w:name w:val="Chart List Bullet"/>
    <w:basedOn w:val="TableListBullet"/>
    <w:uiPriority w:val="24"/>
    <w:rsid w:val="003E774E"/>
    <w:pPr>
      <w:numPr>
        <w:numId w:val="5"/>
      </w:numPr>
      <w:spacing w:before="50" w:after="0" w:line="200" w:lineRule="atLeast"/>
    </w:pPr>
    <w:rPr>
      <w:rFonts w:ascii="Franklin Gothic Medium" w:hAnsi="Franklin Gothic Medium"/>
      <w:szCs w:val="18"/>
    </w:rPr>
  </w:style>
  <w:style w:type="paragraph" w:customStyle="1" w:styleId="ChartListBullet2">
    <w:name w:val="Chart List Bullet 2"/>
    <w:basedOn w:val="ChartText"/>
    <w:uiPriority w:val="24"/>
    <w:rsid w:val="003E774E"/>
    <w:pPr>
      <w:numPr>
        <w:ilvl w:val="1"/>
        <w:numId w:val="5"/>
      </w:numPr>
      <w:spacing w:before="30"/>
    </w:pPr>
  </w:style>
  <w:style w:type="paragraph" w:customStyle="1" w:styleId="ChartListNumber0">
    <w:name w:val="Chart List Number"/>
    <w:basedOn w:val="ChartText"/>
    <w:uiPriority w:val="24"/>
    <w:rsid w:val="003E774E"/>
    <w:pPr>
      <w:numPr>
        <w:numId w:val="6"/>
      </w:numPr>
      <w:spacing w:before="60"/>
    </w:pPr>
  </w:style>
  <w:style w:type="numbering" w:customStyle="1" w:styleId="ChartListNumber">
    <w:name w:val="ChartListNumber"/>
    <w:uiPriority w:val="99"/>
    <w:rsid w:val="003E774E"/>
    <w:pPr>
      <w:numPr>
        <w:numId w:val="6"/>
      </w:numPr>
    </w:pPr>
  </w:style>
  <w:style w:type="numbering" w:customStyle="1" w:styleId="RecommendationNumbers">
    <w:name w:val="RecommendationNumbers"/>
    <w:uiPriority w:val="99"/>
    <w:rsid w:val="003E774E"/>
    <w:pPr>
      <w:numPr>
        <w:numId w:val="14"/>
      </w:numPr>
    </w:pPr>
  </w:style>
  <w:style w:type="paragraph" w:customStyle="1" w:styleId="Abbreviation">
    <w:name w:val="Abbreviation"/>
    <w:basedOn w:val="BodyText"/>
    <w:uiPriority w:val="3"/>
    <w:rsid w:val="003E774E"/>
    <w:pPr>
      <w:ind w:left="1134" w:hanging="1134"/>
    </w:pPr>
  </w:style>
  <w:style w:type="paragraph" w:styleId="TableofFigures">
    <w:name w:val="table of figures"/>
    <w:basedOn w:val="BodyText"/>
    <w:next w:val="BodyText"/>
    <w:uiPriority w:val="99"/>
    <w:rsid w:val="003E774E"/>
    <w:pPr>
      <w:tabs>
        <w:tab w:val="left" w:pos="510"/>
        <w:tab w:val="right" w:pos="7938"/>
      </w:tabs>
      <w:spacing w:before="60" w:line="260" w:lineRule="atLeast"/>
      <w:ind w:left="510" w:right="567" w:hanging="510"/>
    </w:pPr>
  </w:style>
  <w:style w:type="table" w:styleId="TableGrid">
    <w:name w:val="Table Grid"/>
    <w:basedOn w:val="TableNormal"/>
    <w:uiPriority w:val="59"/>
    <w:rsid w:val="003E774E"/>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E774E"/>
    <w:rPr>
      <w:color w:val="9B917E" w:themeColor="followedHyperlink"/>
      <w:u w:val="single"/>
    </w:rPr>
  </w:style>
  <w:style w:type="paragraph" w:styleId="NoSpacing">
    <w:name w:val="No Spacing"/>
    <w:basedOn w:val="Normal"/>
    <w:uiPriority w:val="1"/>
    <w:semiHidden/>
    <w:qFormat/>
    <w:rsid w:val="003E774E"/>
    <w:pPr>
      <w:spacing w:line="240" w:lineRule="auto"/>
    </w:pPr>
    <w:rPr>
      <w:rFonts w:asciiTheme="minorHAnsi" w:eastAsiaTheme="minorHAnsi" w:hAnsiTheme="minorHAnsi"/>
      <w:color w:val="000000" w:themeColor="text1"/>
      <w:szCs w:val="20"/>
      <w:lang w:val="en-US" w:eastAsia="ja-JP"/>
    </w:rPr>
  </w:style>
  <w:style w:type="paragraph" w:styleId="CommentSubject">
    <w:name w:val="annotation subject"/>
    <w:basedOn w:val="CommentText"/>
    <w:next w:val="CommentText"/>
    <w:link w:val="CommentSubjectChar"/>
    <w:uiPriority w:val="99"/>
    <w:semiHidden/>
    <w:rsid w:val="003E774E"/>
    <w:pPr>
      <w:spacing w:before="0" w:line="240" w:lineRule="auto"/>
    </w:pPr>
    <w:rPr>
      <w:rFonts w:ascii="Calibri" w:hAnsi="Calibri" w:cstheme="minorBidi"/>
      <w:b/>
      <w:bCs/>
    </w:rPr>
  </w:style>
  <w:style w:type="character" w:customStyle="1" w:styleId="CommentSubjectChar">
    <w:name w:val="Comment Subject Char"/>
    <w:basedOn w:val="CommentTextChar"/>
    <w:link w:val="CommentSubject"/>
    <w:uiPriority w:val="99"/>
    <w:semiHidden/>
    <w:rsid w:val="003E774E"/>
    <w:rPr>
      <w:rFonts w:ascii="Calibri" w:eastAsia="Times New Roman" w:hAnsi="Calibri" w:cstheme="minorBidi"/>
      <w:b/>
      <w:bCs/>
      <w:sz w:val="20"/>
      <w:szCs w:val="20"/>
    </w:rPr>
  </w:style>
  <w:style w:type="paragraph" w:styleId="Revision">
    <w:name w:val="Revision"/>
    <w:hidden/>
    <w:uiPriority w:val="99"/>
    <w:semiHidden/>
    <w:rsid w:val="00EB66C5"/>
    <w:pPr>
      <w:spacing w:before="0" w:line="240" w:lineRule="auto"/>
    </w:pPr>
  </w:style>
  <w:style w:type="paragraph" w:styleId="BalloonText">
    <w:name w:val="Balloon Text"/>
    <w:basedOn w:val="Normal"/>
    <w:link w:val="BalloonTextChar"/>
    <w:semiHidden/>
    <w:unhideWhenUsed/>
    <w:rsid w:val="003E774E"/>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E774E"/>
    <w:rPr>
      <w:rFonts w:ascii="Tahoma" w:hAnsi="Tahoma" w:cs="Tahoma"/>
      <w:sz w:val="16"/>
      <w:szCs w:val="16"/>
    </w:rPr>
  </w:style>
  <w:style w:type="paragraph" w:customStyle="1" w:styleId="HighlightMessage">
    <w:name w:val="Highlight Message"/>
    <w:basedOn w:val="BodyText"/>
    <w:next w:val="BodyText"/>
    <w:rsid w:val="003E774E"/>
    <w:pPr>
      <w:keepNext/>
      <w:spacing w:before="360" w:line="260" w:lineRule="atLeast"/>
      <w:ind w:right="1701"/>
    </w:pPr>
    <w:rPr>
      <w:rFonts w:ascii="Franklin Gothic Heavy" w:hAnsi="Franklin Gothic Heavy"/>
      <w:color w:val="F61D12" w:themeColor="accent2"/>
      <w:szCs w:val="16"/>
      <w:lang w:eastAsia="en-US"/>
    </w:rPr>
  </w:style>
  <w:style w:type="paragraph" w:customStyle="1" w:styleId="Chart">
    <w:name w:val="Chart"/>
    <w:basedOn w:val="BodyText"/>
    <w:uiPriority w:val="99"/>
    <w:unhideWhenUsed/>
    <w:rsid w:val="003E774E"/>
    <w:pPr>
      <w:spacing w:before="0" w:line="200" w:lineRule="atLeast"/>
    </w:pPr>
    <w:rPr>
      <w:lang w:eastAsia="en-US"/>
    </w:rPr>
  </w:style>
  <w:style w:type="paragraph" w:customStyle="1" w:styleId="KeyPoint">
    <w:name w:val="Key Point"/>
    <w:basedOn w:val="BodyText"/>
    <w:uiPriority w:val="1"/>
    <w:rsid w:val="003E774E"/>
    <w:pPr>
      <w:numPr>
        <w:numId w:val="9"/>
      </w:numPr>
    </w:pPr>
    <w:rPr>
      <w:rFonts w:ascii="Franklin Gothic Demi" w:hAnsi="Franklin Gothic Demi"/>
      <w:color w:val="6F6652" w:themeColor="text2"/>
      <w:szCs w:val="20"/>
      <w:lang w:eastAsia="en-US"/>
    </w:rPr>
  </w:style>
  <w:style w:type="paragraph" w:customStyle="1" w:styleId="ChapterSummary">
    <w:name w:val="Chapter Summary"/>
    <w:basedOn w:val="KeyPoint"/>
    <w:uiPriority w:val="1"/>
    <w:rsid w:val="003E774E"/>
    <w:pPr>
      <w:numPr>
        <w:numId w:val="0"/>
      </w:numPr>
    </w:pPr>
  </w:style>
  <w:style w:type="paragraph" w:customStyle="1" w:styleId="ChapterIntroduction">
    <w:name w:val="Chapter Introduction"/>
    <w:basedOn w:val="ChapterSummary"/>
    <w:next w:val="BodyText"/>
    <w:uiPriority w:val="1"/>
    <w:rsid w:val="003E774E"/>
    <w:pPr>
      <w:pBdr>
        <w:top w:val="single" w:sz="4" w:space="4" w:color="9B917E" w:themeColor="accent4"/>
        <w:bottom w:val="single" w:sz="4" w:space="6" w:color="9B917E" w:themeColor="accent4"/>
      </w:pBdr>
      <w:spacing w:after="180"/>
    </w:pPr>
    <w:rPr>
      <w:rFonts w:asciiTheme="minorHAnsi" w:hAnsiTheme="minorHAnsi"/>
      <w:b/>
      <w:i/>
      <w:color w:val="F61D12" w:themeColor="accent2"/>
      <w:sz w:val="22"/>
    </w:rPr>
  </w:style>
  <w:style w:type="paragraph" w:customStyle="1" w:styleId="Confidential">
    <w:name w:val="Confidential"/>
    <w:basedOn w:val="Reporttype"/>
    <w:uiPriority w:val="31"/>
    <w:rsid w:val="003E774E"/>
    <w:pPr>
      <w:spacing w:after="0"/>
    </w:pPr>
    <w:rPr>
      <w:rFonts w:ascii="Franklin Gothic Book" w:hAnsi="Franklin Gothic Book"/>
      <w:color w:val="auto"/>
      <w:spacing w:val="10"/>
    </w:rPr>
  </w:style>
  <w:style w:type="numbering" w:customStyle="1" w:styleId="ListNumbers">
    <w:name w:val="ListNumbers"/>
    <w:next w:val="NoList"/>
    <w:uiPriority w:val="99"/>
    <w:rsid w:val="003E774E"/>
    <w:pPr>
      <w:numPr>
        <w:numId w:val="11"/>
      </w:numPr>
    </w:pPr>
  </w:style>
  <w:style w:type="paragraph" w:customStyle="1" w:styleId="PartNumber">
    <w:name w:val="Part Number"/>
    <w:basedOn w:val="Reporttype"/>
    <w:uiPriority w:val="34"/>
    <w:semiHidden/>
    <w:rsid w:val="003E774E"/>
  </w:style>
  <w:style w:type="paragraph" w:customStyle="1" w:styleId="PartTitle">
    <w:name w:val="Part Title"/>
    <w:basedOn w:val="Title"/>
    <w:link w:val="PartTitleChar"/>
    <w:uiPriority w:val="34"/>
    <w:semiHidden/>
    <w:rsid w:val="003E774E"/>
    <w:pPr>
      <w:spacing w:line="440" w:lineRule="atLeast"/>
    </w:pPr>
    <w:rPr>
      <w:sz w:val="36"/>
    </w:rPr>
  </w:style>
  <w:style w:type="character" w:customStyle="1" w:styleId="PartTitleChar">
    <w:name w:val="Part Title Char"/>
    <w:basedOn w:val="TitleChar"/>
    <w:link w:val="PartTitle"/>
    <w:uiPriority w:val="34"/>
    <w:semiHidden/>
    <w:rsid w:val="003E774E"/>
    <w:rPr>
      <w:rFonts w:asciiTheme="majorHAnsi" w:eastAsia="Times New Roman" w:hAnsiTheme="majorHAnsi"/>
      <w:spacing w:val="-2"/>
      <w:kern w:val="28"/>
      <w:sz w:val="36"/>
      <w:szCs w:val="48"/>
    </w:rPr>
  </w:style>
  <w:style w:type="character" w:customStyle="1" w:styleId="ListBulletChar">
    <w:name w:val="List Bullet Char"/>
    <w:link w:val="ListBullet"/>
    <w:uiPriority w:val="2"/>
    <w:locked/>
    <w:rsid w:val="003E774E"/>
    <w:rPr>
      <w:rFonts w:asciiTheme="minorHAnsi" w:eastAsia="Times New Roman" w:hAnsiTheme="minorHAnsi"/>
    </w:rPr>
  </w:style>
  <w:style w:type="paragraph" w:styleId="TOC4">
    <w:name w:val="toc 4"/>
    <w:basedOn w:val="TOC1"/>
    <w:next w:val="TOC1"/>
    <w:uiPriority w:val="39"/>
    <w:semiHidden/>
    <w:rsid w:val="003E774E"/>
    <w:pPr>
      <w:spacing w:before="360"/>
      <w:ind w:right="0"/>
    </w:pPr>
    <w:rPr>
      <w:caps/>
      <w:color w:val="9B917E" w:themeColor="accent4"/>
      <w:spacing w:val="10"/>
      <w:sz w:val="22"/>
    </w:rPr>
  </w:style>
  <w:style w:type="paragraph" w:styleId="TOCHeading">
    <w:name w:val="TOC Heading"/>
    <w:basedOn w:val="Heading4"/>
    <w:next w:val="TableofFigures"/>
    <w:uiPriority w:val="39"/>
    <w:semiHidden/>
    <w:rsid w:val="003E774E"/>
    <w:pPr>
      <w:keepLines/>
      <w:numPr>
        <w:ilvl w:val="0"/>
        <w:numId w:val="0"/>
      </w:numPr>
      <w:outlineLvl w:val="9"/>
    </w:pPr>
    <w:rPr>
      <w:rFonts w:ascii="Franklin Gothic Demi" w:eastAsiaTheme="majorEastAsia" w:hAnsi="Franklin Gothic Demi" w:cstheme="majorBidi"/>
      <w:b w:val="0"/>
      <w:bCs/>
      <w:i w:val="0"/>
      <w:caps/>
      <w:color w:val="006B7A" w:themeColor="accent1"/>
      <w:spacing w:val="10"/>
      <w:sz w:val="22"/>
      <w:szCs w:val="28"/>
    </w:rPr>
  </w:style>
  <w:style w:type="character" w:customStyle="1" w:styleId="ContinuedChar">
    <w:name w:val="Continued Char"/>
    <w:basedOn w:val="DefaultParagraphFont"/>
    <w:link w:val="Continued"/>
    <w:uiPriority w:val="17"/>
    <w:rsid w:val="003E774E"/>
    <w:rPr>
      <w:rFonts w:ascii="Franklin Gothic Book" w:eastAsia="Times New Roman" w:hAnsi="Franklin Gothic Book"/>
      <w:sz w:val="14"/>
      <w:szCs w:val="16"/>
      <w:lang w:eastAsia="en-US"/>
    </w:rPr>
  </w:style>
  <w:style w:type="paragraph" w:styleId="ListParagraph">
    <w:name w:val="List Paragraph"/>
    <w:basedOn w:val="Normal"/>
    <w:uiPriority w:val="34"/>
    <w:semiHidden/>
    <w:qFormat/>
    <w:rsid w:val="003E774E"/>
    <w:pPr>
      <w:ind w:left="720"/>
      <w:contextualSpacing/>
    </w:pPr>
  </w:style>
  <w:style w:type="character" w:customStyle="1" w:styleId="CaptionChar">
    <w:name w:val="Caption Char"/>
    <w:basedOn w:val="BodyTextChar"/>
    <w:link w:val="Caption"/>
    <w:uiPriority w:val="99"/>
    <w:rsid w:val="003E774E"/>
    <w:rPr>
      <w:rFonts w:ascii="Franklin Gothic Demi" w:eastAsia="Times New Roman" w:hAnsi="Franklin Gothic Demi"/>
      <w:szCs w:val="20"/>
    </w:rPr>
  </w:style>
  <w:style w:type="paragraph" w:customStyle="1" w:styleId="Summary2">
    <w:name w:val="Summary 2"/>
    <w:basedOn w:val="Heading2"/>
    <w:next w:val="BodyText"/>
    <w:rsid w:val="003E774E"/>
    <w:pPr>
      <w:numPr>
        <w:ilvl w:val="0"/>
        <w:numId w:val="0"/>
      </w:numPr>
    </w:pPr>
  </w:style>
  <w:style w:type="paragraph" w:customStyle="1" w:styleId="Summary3">
    <w:name w:val="Summary 3"/>
    <w:basedOn w:val="Heading3"/>
    <w:next w:val="BodyText"/>
    <w:rsid w:val="003E774E"/>
    <w:pPr>
      <w:numPr>
        <w:ilvl w:val="0"/>
        <w:numId w:val="0"/>
      </w:numPr>
    </w:pPr>
  </w:style>
  <w:style w:type="paragraph" w:customStyle="1" w:styleId="Summary4">
    <w:name w:val="Summary 4"/>
    <w:basedOn w:val="Heading4"/>
    <w:next w:val="BodyText"/>
    <w:rsid w:val="003E774E"/>
    <w:pPr>
      <w:numPr>
        <w:ilvl w:val="0"/>
        <w:numId w:val="0"/>
      </w:numPr>
    </w:pPr>
  </w:style>
  <w:style w:type="paragraph" w:customStyle="1" w:styleId="KeyPoint2">
    <w:name w:val="Key Point 2"/>
    <w:basedOn w:val="KeyPoint"/>
    <w:next w:val="BodyText"/>
    <w:uiPriority w:val="1"/>
    <w:rsid w:val="003E774E"/>
    <w:pPr>
      <w:numPr>
        <w:ilvl w:val="1"/>
      </w:numPr>
      <w:spacing w:before="80"/>
    </w:pPr>
  </w:style>
  <w:style w:type="paragraph" w:customStyle="1" w:styleId="KeyPoint3">
    <w:name w:val="Key Point 3"/>
    <w:basedOn w:val="KeyPoint2"/>
    <w:next w:val="BodyText"/>
    <w:uiPriority w:val="1"/>
    <w:rsid w:val="003E774E"/>
    <w:pPr>
      <w:numPr>
        <w:ilvl w:val="2"/>
      </w:numPr>
      <w:spacing w:before="60"/>
    </w:pPr>
  </w:style>
  <w:style w:type="numbering" w:customStyle="1" w:styleId="KeyPointBullets">
    <w:name w:val="KeyPointBullets"/>
    <w:basedOn w:val="ListBullets"/>
    <w:uiPriority w:val="99"/>
    <w:rsid w:val="003E774E"/>
    <w:pPr>
      <w:numPr>
        <w:numId w:val="9"/>
      </w:numPr>
    </w:pPr>
  </w:style>
  <w:style w:type="numbering" w:customStyle="1" w:styleId="NoteListNumber">
    <w:name w:val="NoteListNumber"/>
    <w:uiPriority w:val="99"/>
    <w:rsid w:val="003E774E"/>
    <w:pPr>
      <w:numPr>
        <w:numId w:val="13"/>
      </w:numPr>
    </w:pPr>
  </w:style>
  <w:style w:type="paragraph" w:styleId="NormalWeb">
    <w:name w:val="Normal (Web)"/>
    <w:basedOn w:val="Normal"/>
    <w:uiPriority w:val="99"/>
    <w:semiHidden/>
    <w:unhideWhenUsed/>
    <w:rsid w:val="003E774E"/>
    <w:pPr>
      <w:spacing w:before="100" w:beforeAutospacing="1" w:after="100" w:afterAutospacing="1" w:line="240" w:lineRule="auto"/>
    </w:pPr>
    <w:rPr>
      <w:rFonts w:ascii="Times New Roman" w:hAnsi="Times New Roman"/>
      <w:sz w:val="24"/>
      <w:szCs w:val="24"/>
    </w:rPr>
  </w:style>
  <w:style w:type="paragraph" w:customStyle="1" w:styleId="NoteNumber">
    <w:name w:val="Note Number"/>
    <w:basedOn w:val="Note"/>
    <w:uiPriority w:val="15"/>
    <w:rsid w:val="003E774E"/>
    <w:pPr>
      <w:numPr>
        <w:ilvl w:val="1"/>
        <w:numId w:val="12"/>
      </w:numPr>
    </w:pPr>
    <w:rPr>
      <w:szCs w:val="15"/>
    </w:rPr>
  </w:style>
  <w:style w:type="paragraph" w:customStyle="1" w:styleId="Customtabletitle">
    <w:name w:val="Custom table title"/>
    <w:rsid w:val="004C6A36"/>
    <w:pPr>
      <w:keepNext/>
      <w:spacing w:before="360" w:after="80" w:line="260" w:lineRule="atLeast"/>
    </w:pPr>
    <w:rPr>
      <w:rFonts w:ascii="Franklin Gothic Demi" w:eastAsia="Times New Roman" w:hAnsi="Franklin Gothic Demi"/>
      <w:szCs w:val="20"/>
    </w:rPr>
  </w:style>
  <w:style w:type="character" w:customStyle="1" w:styleId="SourceChar">
    <w:name w:val="Source Char"/>
    <w:basedOn w:val="BodyTextChar"/>
    <w:link w:val="Source"/>
    <w:uiPriority w:val="16"/>
    <w:rsid w:val="004F70A8"/>
    <w:rPr>
      <w:rFonts w:ascii="Franklin Gothic Book" w:eastAsia="Times New Roman" w:hAnsi="Franklin Gothic Book"/>
      <w:sz w:val="14"/>
      <w:szCs w:val="16"/>
      <w:lang w:eastAsia="en-US"/>
    </w:rPr>
  </w:style>
  <w:style w:type="paragraph" w:customStyle="1" w:styleId="TableTextLeft-BP3">
    <w:name w:val="Table Text Left - BP3"/>
    <w:basedOn w:val="Normal"/>
    <w:uiPriority w:val="99"/>
    <w:semiHidden/>
    <w:rsid w:val="008F54CE"/>
    <w:pPr>
      <w:spacing w:line="240" w:lineRule="auto"/>
      <w:ind w:left="142" w:hanging="142"/>
    </w:pPr>
    <w:rPr>
      <w:rFonts w:ascii="Calibri" w:eastAsia="Times New Roman" w:hAnsi="Calibri"/>
      <w:sz w:val="20"/>
      <w:szCs w:val="18"/>
      <w:lang w:eastAsia="en-US"/>
    </w:rPr>
  </w:style>
  <w:style w:type="character" w:customStyle="1" w:styleId="CharacterStyle1">
    <w:name w:val="Character Style 1"/>
    <w:uiPriority w:val="99"/>
    <w:rsid w:val="00200EAD"/>
    <w:rPr>
      <w:rFonts w:ascii="Arial" w:hAnsi="Arial" w:cs="Arial"/>
      <w:sz w:val="16"/>
      <w:szCs w:val="16"/>
    </w:rPr>
  </w:style>
  <w:style w:type="character" w:customStyle="1" w:styleId="st">
    <w:name w:val="st"/>
    <w:basedOn w:val="DefaultParagraphFont"/>
    <w:rsid w:val="00895B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sto MT" w:eastAsiaTheme="minorEastAsia" w:hAnsi="Calisto MT" w:cs="Times New Roman"/>
        <w:sz w:val="21"/>
        <w:szCs w:val="21"/>
        <w:lang w:val="en-AU" w:eastAsia="en-AU" w:bidi="ar-SA"/>
      </w:rPr>
    </w:rPrDefault>
    <w:pPrDefault>
      <w:pPr>
        <w:spacing w:before="140" w:line="280" w:lineRule="atLeast"/>
      </w:pPr>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39" w:unhideWhenUsed="1"/>
    <w:lsdException w:name="toc 4" w:uiPriority="39"/>
    <w:lsdException w:name="toc 5" w:uiPriority="39"/>
    <w:lsdException w:name="toc 6" w:uiPriority="39" w:unhideWhenUsed="1"/>
    <w:lsdException w:name="toc 7" w:uiPriority="39" w:unhideWhenUsed="1"/>
    <w:lsdException w:name="toc 8" w:uiPriority="39"/>
    <w:lsdException w:name="toc 9" w:uiPriority="39"/>
    <w:lsdException w:name="Normal Indent" w:unhideWhenUsed="1"/>
    <w:lsdException w:name="footnote text" w:semiHidden="0" w:uiPriority="25"/>
    <w:lsdException w:name="annotation text" w:semiHidden="0" w:uiPriority="49"/>
    <w:lsdException w:name="header" w:semiHidden="0"/>
    <w:lsdException w:name="footer" w:semiHidden="0"/>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semiHidden="0" w:uiPriority="25"/>
    <w:lsdException w:name="annotation reference" w:semiHidden="0" w:uiPriority="49"/>
    <w:lsdException w:name="line number" w:unhideWhenUsed="1"/>
    <w:lsdException w:name="page number" w:unhideWhenUsed="1"/>
    <w:lsdException w:name="endnote reference" w:unhideWhenUsed="1"/>
    <w:lsdException w:name="endnote text" w:unhideWhenUsed="1"/>
    <w:lsdException w:name="macro" w:unhideWhenUsed="1"/>
    <w:lsdException w:name="List" w:unhideWhenUsed="1"/>
    <w:lsdException w:name="List Bullet" w:semiHidden="0" w:uiPriority="2" w:qFormat="1"/>
    <w:lsdException w:name="List Number" w:semiHidden="0" w:uiPriority="2" w:qFormat="1"/>
    <w:lsdException w:name="List 2" w:unhideWhenUsed="1"/>
    <w:lsdException w:name="List 3" w:unhideWhenUsed="1"/>
    <w:lsdException w:name="List 4" w:unhideWhenUsed="1"/>
    <w:lsdException w:name="List 5" w:unhideWhenUsed="1"/>
    <w:lsdException w:name="List Bullet 2" w:semiHidden="0" w:uiPriority="2"/>
    <w:lsdException w:name="List Bullet 3" w:semiHidden="0" w:uiPriority="2"/>
    <w:lsdException w:name="List Number 2" w:semiHidden="0" w:uiPriority="2"/>
    <w:lsdException w:name="List Number 3" w:unhideWhenUsed="1"/>
    <w:lsdException w:name="List Number 4" w:unhideWhenUsed="1"/>
    <w:lsdException w:name="List Number 5" w:unhideWhenUsed="1"/>
    <w:lsdException w:name="Title" w:semiHidden="0" w:uiPriority="29" w:qFormat="1"/>
    <w:lsdException w:name="Closing" w:unhideWhenUsed="1"/>
    <w:lsdException w:name="Signature" w:unhideWhenUsed="1"/>
    <w:lsdException w:name="Default Paragraph Font" w:uiPriority="1" w:unhideWhenUsed="1"/>
    <w:lsdException w:name="Body Text" w:semiHidden="0" w:uiPriority="2"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30" w:qFormat="1"/>
    <w:lsdException w:name="Salutation" w:unhideWhenUsed="1"/>
    <w:lsdException w:name="Date" w:semiHidden="0" w:uiPriority="33"/>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59"/>
    <w:lsdException w:name="Table Theme" w:unhideWhenUsed="1"/>
    <w:lsdException w:name="No Spacing" w:uiPriority="1" w:unhideWhenUsed="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semiHidden="0" w:uiPriority="3"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qFormat="1"/>
    <w:lsdException w:name="Book Title" w:uiPriority="33" w:qFormat="1"/>
    <w:lsdException w:name="Bibliography" w:uiPriority="37"/>
    <w:lsdException w:name="TOC Heading" w:semiHidden="0" w:uiPriority="39"/>
  </w:latentStyles>
  <w:style w:type="paragraph" w:default="1" w:styleId="Normal">
    <w:name w:val="Normal"/>
    <w:semiHidden/>
    <w:rsid w:val="003E774E"/>
    <w:pPr>
      <w:spacing w:before="0"/>
    </w:pPr>
  </w:style>
  <w:style w:type="paragraph" w:styleId="Heading1">
    <w:name w:val="heading 1"/>
    <w:basedOn w:val="BodyText"/>
    <w:next w:val="BodyText"/>
    <w:link w:val="Heading1Char"/>
    <w:qFormat/>
    <w:rsid w:val="003E774E"/>
    <w:pPr>
      <w:keepNext/>
      <w:pageBreakBefore/>
      <w:numPr>
        <w:numId w:val="16"/>
      </w:numPr>
      <w:spacing w:before="0" w:after="1560" w:line="440" w:lineRule="atLeast"/>
      <w:outlineLvl w:val="0"/>
    </w:pPr>
    <w:rPr>
      <w:rFonts w:asciiTheme="majorHAnsi" w:hAnsiTheme="majorHAnsi"/>
      <w:i/>
      <w:kern w:val="28"/>
      <w:sz w:val="36"/>
      <w:szCs w:val="32"/>
    </w:rPr>
  </w:style>
  <w:style w:type="paragraph" w:styleId="Heading2">
    <w:name w:val="heading 2"/>
    <w:basedOn w:val="Heading1"/>
    <w:next w:val="BodyText"/>
    <w:link w:val="Heading2Char"/>
    <w:qFormat/>
    <w:rsid w:val="003E774E"/>
    <w:pPr>
      <w:pageBreakBefore w:val="0"/>
      <w:numPr>
        <w:ilvl w:val="1"/>
      </w:numPr>
      <w:spacing w:before="560" w:after="0" w:line="340" w:lineRule="atLeast"/>
      <w:outlineLvl w:val="1"/>
    </w:pPr>
    <w:rPr>
      <w:b/>
      <w:color w:val="F61D12" w:themeColor="accent2"/>
      <w:sz w:val="30"/>
      <w:szCs w:val="26"/>
    </w:rPr>
  </w:style>
  <w:style w:type="paragraph" w:styleId="Heading3">
    <w:name w:val="heading 3"/>
    <w:basedOn w:val="Heading2"/>
    <w:next w:val="BodyText"/>
    <w:link w:val="Heading3Char"/>
    <w:qFormat/>
    <w:rsid w:val="003E774E"/>
    <w:pPr>
      <w:numPr>
        <w:ilvl w:val="2"/>
      </w:numPr>
      <w:spacing w:before="440" w:line="280" w:lineRule="atLeast"/>
      <w:outlineLvl w:val="2"/>
    </w:pPr>
    <w:rPr>
      <w:color w:val="auto"/>
      <w:sz w:val="25"/>
      <w:szCs w:val="22"/>
    </w:rPr>
  </w:style>
  <w:style w:type="paragraph" w:styleId="Heading4">
    <w:name w:val="heading 4"/>
    <w:basedOn w:val="Heading3"/>
    <w:next w:val="BodyText"/>
    <w:link w:val="Heading4Char"/>
    <w:qFormat/>
    <w:rsid w:val="003E774E"/>
    <w:pPr>
      <w:numPr>
        <w:ilvl w:val="3"/>
      </w:numPr>
      <w:spacing w:before="400" w:line="260" w:lineRule="atLeast"/>
      <w:outlineLvl w:val="3"/>
    </w:pPr>
    <w:rPr>
      <w:color w:val="6F6652" w:themeColor="text2"/>
      <w:sz w:val="21"/>
    </w:rPr>
  </w:style>
  <w:style w:type="paragraph" w:styleId="Heading5">
    <w:name w:val="heading 5"/>
    <w:basedOn w:val="Heading4"/>
    <w:next w:val="BodyText"/>
    <w:link w:val="Heading5Char"/>
    <w:rsid w:val="003E774E"/>
    <w:pPr>
      <w:numPr>
        <w:ilvl w:val="4"/>
      </w:numPr>
      <w:outlineLvl w:val="4"/>
    </w:pPr>
    <w:rPr>
      <w:rFonts w:asciiTheme="minorHAnsi" w:hAnsiTheme="minorHAnsi"/>
      <w:b w:val="0"/>
    </w:rPr>
  </w:style>
  <w:style w:type="paragraph" w:styleId="Heading6">
    <w:name w:val="heading 6"/>
    <w:basedOn w:val="Heading1"/>
    <w:next w:val="BodyText"/>
    <w:link w:val="Heading6Char"/>
    <w:qFormat/>
    <w:rsid w:val="003E774E"/>
    <w:pPr>
      <w:numPr>
        <w:ilvl w:val="5"/>
      </w:numPr>
      <w:outlineLvl w:val="5"/>
    </w:pPr>
    <w:rPr>
      <w:bCs/>
    </w:rPr>
  </w:style>
  <w:style w:type="paragraph" w:styleId="Heading7">
    <w:name w:val="heading 7"/>
    <w:basedOn w:val="Heading2"/>
    <w:next w:val="BodyText"/>
    <w:link w:val="Heading7Char"/>
    <w:qFormat/>
    <w:rsid w:val="003E774E"/>
    <w:pPr>
      <w:numPr>
        <w:ilvl w:val="6"/>
      </w:numPr>
      <w:outlineLvl w:val="6"/>
    </w:pPr>
    <w:rPr>
      <w:color w:val="auto"/>
    </w:rPr>
  </w:style>
  <w:style w:type="paragraph" w:styleId="Heading8">
    <w:name w:val="heading 8"/>
    <w:basedOn w:val="Heading3"/>
    <w:next w:val="BodyText"/>
    <w:link w:val="Heading8Char"/>
    <w:qFormat/>
    <w:rsid w:val="003E774E"/>
    <w:pPr>
      <w:numPr>
        <w:ilvl w:val="7"/>
      </w:numPr>
      <w:outlineLvl w:val="7"/>
    </w:pPr>
  </w:style>
  <w:style w:type="paragraph" w:styleId="Heading9">
    <w:name w:val="heading 9"/>
    <w:basedOn w:val="Heading4"/>
    <w:next w:val="BodyText"/>
    <w:link w:val="Heading9Char"/>
    <w:qFormat/>
    <w:rsid w:val="003E774E"/>
    <w:pPr>
      <w:numPr>
        <w:ilvl w:val="8"/>
      </w:numPr>
      <w:outlineLvl w:val="8"/>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Bullets">
    <w:name w:val="ListBullets"/>
    <w:uiPriority w:val="99"/>
    <w:rsid w:val="003E774E"/>
    <w:pPr>
      <w:numPr>
        <w:numId w:val="8"/>
      </w:numPr>
    </w:pPr>
  </w:style>
  <w:style w:type="paragraph" w:styleId="ListBullet3">
    <w:name w:val="List Bullet 3"/>
    <w:basedOn w:val="ListBullet2"/>
    <w:uiPriority w:val="2"/>
    <w:rsid w:val="003E774E"/>
    <w:pPr>
      <w:numPr>
        <w:ilvl w:val="2"/>
      </w:numPr>
    </w:pPr>
  </w:style>
  <w:style w:type="paragraph" w:styleId="ListNumber">
    <w:name w:val="List Number"/>
    <w:basedOn w:val="BodyText"/>
    <w:uiPriority w:val="2"/>
    <w:qFormat/>
    <w:rsid w:val="003E774E"/>
    <w:pPr>
      <w:numPr>
        <w:numId w:val="11"/>
      </w:numPr>
      <w:spacing w:before="70"/>
    </w:pPr>
  </w:style>
  <w:style w:type="paragraph" w:styleId="ListBullet">
    <w:name w:val="List Bullet"/>
    <w:basedOn w:val="BodyText"/>
    <w:link w:val="ListBulletChar"/>
    <w:uiPriority w:val="2"/>
    <w:qFormat/>
    <w:rsid w:val="003E774E"/>
    <w:pPr>
      <w:numPr>
        <w:numId w:val="10"/>
      </w:numPr>
      <w:spacing w:before="70"/>
    </w:pPr>
  </w:style>
  <w:style w:type="paragraph" w:customStyle="1" w:styleId="Contents">
    <w:name w:val="Contents"/>
    <w:basedOn w:val="Heading1"/>
    <w:next w:val="TOC1"/>
    <w:uiPriority w:val="99"/>
    <w:rsid w:val="003E774E"/>
    <w:pPr>
      <w:pageBreakBefore w:val="0"/>
      <w:numPr>
        <w:numId w:val="0"/>
      </w:numPr>
    </w:pPr>
  </w:style>
  <w:style w:type="paragraph" w:customStyle="1" w:styleId="RecommendationNumber2">
    <w:name w:val="Recommendation Number 2"/>
    <w:basedOn w:val="RecommendationNumber"/>
    <w:uiPriority w:val="28"/>
    <w:rsid w:val="003E774E"/>
    <w:pPr>
      <w:numPr>
        <w:ilvl w:val="1"/>
      </w:numPr>
    </w:pPr>
  </w:style>
  <w:style w:type="paragraph" w:customStyle="1" w:styleId="RecommendationHeading">
    <w:name w:val="Recommendation Heading"/>
    <w:basedOn w:val="BodyText"/>
    <w:next w:val="RecommendationNumber"/>
    <w:uiPriority w:val="28"/>
    <w:unhideWhenUsed/>
    <w:rsid w:val="003E774E"/>
    <w:pPr>
      <w:spacing w:before="280"/>
    </w:pPr>
    <w:rPr>
      <w:rFonts w:ascii="Franklin Gothic Demi" w:hAnsi="Franklin Gothic Demi"/>
      <w:caps/>
      <w:color w:val="6F6652" w:themeColor="text2"/>
      <w:spacing w:val="10"/>
    </w:rPr>
  </w:style>
  <w:style w:type="paragraph" w:customStyle="1" w:styleId="Subtitlebox">
    <w:name w:val="Subtitle box"/>
    <w:aliases w:val="chart,table"/>
    <w:basedOn w:val="Caption"/>
    <w:uiPriority w:val="5"/>
    <w:rsid w:val="003E774E"/>
    <w:pPr>
      <w:numPr>
        <w:numId w:val="0"/>
      </w:numPr>
      <w:spacing w:before="0"/>
    </w:pPr>
    <w:rPr>
      <w:rFonts w:ascii="Franklin Gothic Book" w:hAnsi="Franklin Gothic Book"/>
      <w:sz w:val="17"/>
    </w:rPr>
  </w:style>
  <w:style w:type="paragraph" w:styleId="BodyText">
    <w:name w:val="Body Text"/>
    <w:basedOn w:val="Normal"/>
    <w:link w:val="BodyTextChar"/>
    <w:uiPriority w:val="2"/>
    <w:qFormat/>
    <w:rsid w:val="003E774E"/>
    <w:pPr>
      <w:spacing w:before="140"/>
    </w:pPr>
    <w:rPr>
      <w:rFonts w:asciiTheme="minorHAnsi" w:eastAsia="Times New Roman" w:hAnsiTheme="minorHAnsi"/>
    </w:rPr>
  </w:style>
  <w:style w:type="paragraph" w:styleId="ListNumber2">
    <w:name w:val="List Number 2"/>
    <w:basedOn w:val="BodyText"/>
    <w:uiPriority w:val="2"/>
    <w:rsid w:val="003E774E"/>
    <w:pPr>
      <w:numPr>
        <w:ilvl w:val="1"/>
        <w:numId w:val="11"/>
      </w:numPr>
      <w:spacing w:before="40"/>
    </w:pPr>
  </w:style>
  <w:style w:type="character" w:customStyle="1" w:styleId="BodyTextChar">
    <w:name w:val="Body Text Char"/>
    <w:link w:val="BodyText"/>
    <w:uiPriority w:val="2"/>
    <w:rsid w:val="003E774E"/>
    <w:rPr>
      <w:rFonts w:asciiTheme="minorHAnsi" w:eastAsia="Times New Roman" w:hAnsiTheme="minorHAnsi"/>
    </w:rPr>
  </w:style>
  <w:style w:type="paragraph" w:styleId="Caption">
    <w:name w:val="caption"/>
    <w:basedOn w:val="BodyText"/>
    <w:next w:val="Subtitlebox"/>
    <w:link w:val="CaptionChar"/>
    <w:uiPriority w:val="99"/>
    <w:unhideWhenUsed/>
    <w:rsid w:val="003E774E"/>
    <w:pPr>
      <w:keepNext/>
      <w:numPr>
        <w:numId w:val="15"/>
      </w:numPr>
      <w:spacing w:before="360" w:after="80" w:line="260" w:lineRule="atLeast"/>
    </w:pPr>
    <w:rPr>
      <w:rFonts w:ascii="Franklin Gothic Demi" w:hAnsi="Franklin Gothic Demi"/>
      <w:szCs w:val="20"/>
    </w:rPr>
  </w:style>
  <w:style w:type="paragraph" w:customStyle="1" w:styleId="BoxHeading1">
    <w:name w:val="Box Heading 1"/>
    <w:basedOn w:val="Heading4"/>
    <w:next w:val="BodyText"/>
    <w:uiPriority w:val="9"/>
    <w:rsid w:val="003E774E"/>
    <w:pPr>
      <w:numPr>
        <w:ilvl w:val="0"/>
        <w:numId w:val="0"/>
      </w:numPr>
      <w:spacing w:before="240"/>
    </w:pPr>
    <w:rPr>
      <w:rFonts w:ascii="Franklin Gothic Demi" w:hAnsi="Franklin Gothic Demi"/>
      <w:b w:val="0"/>
      <w:i w:val="0"/>
      <w:color w:val="F61D12" w:themeColor="accent2"/>
    </w:rPr>
  </w:style>
  <w:style w:type="paragraph" w:customStyle="1" w:styleId="BoxHeading2">
    <w:name w:val="Box Heading 2"/>
    <w:basedOn w:val="BoxHeading1"/>
    <w:next w:val="BodyText"/>
    <w:uiPriority w:val="9"/>
    <w:rsid w:val="003E774E"/>
    <w:pPr>
      <w:spacing w:before="200"/>
    </w:pPr>
    <w:rPr>
      <w:rFonts w:ascii="Franklin Gothic Medium" w:hAnsi="Franklin Gothic Medium"/>
      <w:szCs w:val="20"/>
    </w:rPr>
  </w:style>
  <w:style w:type="paragraph" w:customStyle="1" w:styleId="ChartText">
    <w:name w:val="Chart Text"/>
    <w:basedOn w:val="TableTextEntries"/>
    <w:link w:val="ChartTextChar"/>
    <w:uiPriority w:val="23"/>
    <w:rsid w:val="003E774E"/>
    <w:pPr>
      <w:spacing w:before="0"/>
    </w:pPr>
    <w:rPr>
      <w:rFonts w:ascii="Franklin Gothic Medium" w:hAnsi="Franklin Gothic Medium"/>
    </w:rPr>
  </w:style>
  <w:style w:type="character" w:customStyle="1" w:styleId="ChartTextChar">
    <w:name w:val="Chart Text Char"/>
    <w:link w:val="ChartText"/>
    <w:uiPriority w:val="23"/>
    <w:rsid w:val="003E774E"/>
    <w:rPr>
      <w:rFonts w:ascii="Franklin Gothic Medium" w:eastAsia="Times New Roman" w:hAnsi="Franklin Gothic Medium"/>
      <w:sz w:val="16"/>
      <w:szCs w:val="18"/>
      <w:lang w:eastAsia="en-US"/>
    </w:rPr>
  </w:style>
  <w:style w:type="paragraph" w:customStyle="1" w:styleId="ChartBoldText">
    <w:name w:val="Chart Bold Text"/>
    <w:basedOn w:val="ChartText"/>
    <w:next w:val="ChartText"/>
    <w:uiPriority w:val="23"/>
    <w:rsid w:val="003E774E"/>
    <w:pPr>
      <w:jc w:val="center"/>
    </w:pPr>
    <w:rPr>
      <w:rFonts w:ascii="Franklin Gothic Demi" w:hAnsi="Franklin Gothic Demi"/>
      <w:szCs w:val="17"/>
    </w:rPr>
  </w:style>
  <w:style w:type="paragraph" w:customStyle="1" w:styleId="ChartHighlight">
    <w:name w:val="Chart Highlight"/>
    <w:basedOn w:val="ChartBoldText"/>
    <w:uiPriority w:val="22"/>
    <w:rsid w:val="003E774E"/>
    <w:pPr>
      <w:spacing w:line="220" w:lineRule="atLeast"/>
    </w:pPr>
    <w:rPr>
      <w:caps/>
      <w:sz w:val="20"/>
    </w:rPr>
  </w:style>
  <w:style w:type="paragraph" w:customStyle="1" w:styleId="Client">
    <w:name w:val="Client"/>
    <w:basedOn w:val="BodyText"/>
    <w:uiPriority w:val="32"/>
    <w:rsid w:val="003E774E"/>
    <w:pPr>
      <w:spacing w:before="0"/>
    </w:pPr>
    <w:rPr>
      <w:i/>
      <w:sz w:val="25"/>
    </w:rPr>
  </w:style>
  <w:style w:type="character" w:styleId="CommentReference">
    <w:name w:val="annotation reference"/>
    <w:basedOn w:val="BodyTextChar"/>
    <w:uiPriority w:val="49"/>
    <w:semiHidden/>
    <w:rsid w:val="003E774E"/>
    <w:rPr>
      <w:rFonts w:ascii="Franklin Gothic Demi" w:eastAsia="Times New Roman" w:hAnsi="Franklin Gothic Demi" w:cs="Times New Roman"/>
      <w:b w:val="0"/>
      <w:vanish/>
      <w:color w:val="FF00FF"/>
      <w:sz w:val="18"/>
      <w:szCs w:val="16"/>
    </w:rPr>
  </w:style>
  <w:style w:type="paragraph" w:styleId="CommentText">
    <w:name w:val="annotation text"/>
    <w:basedOn w:val="BodyText"/>
    <w:link w:val="CommentTextChar"/>
    <w:uiPriority w:val="49"/>
    <w:semiHidden/>
    <w:rsid w:val="003E774E"/>
    <w:pPr>
      <w:spacing w:before="80" w:line="240" w:lineRule="atLeast"/>
    </w:pPr>
    <w:rPr>
      <w:sz w:val="20"/>
      <w:szCs w:val="20"/>
    </w:rPr>
  </w:style>
  <w:style w:type="character" w:customStyle="1" w:styleId="CommentTextChar">
    <w:name w:val="Comment Text Char"/>
    <w:basedOn w:val="DefaultParagraphFont"/>
    <w:link w:val="CommentText"/>
    <w:uiPriority w:val="49"/>
    <w:semiHidden/>
    <w:rsid w:val="003E774E"/>
    <w:rPr>
      <w:rFonts w:asciiTheme="minorHAnsi" w:eastAsia="Times New Roman" w:hAnsiTheme="minorHAnsi"/>
      <w:sz w:val="20"/>
      <w:szCs w:val="20"/>
    </w:rPr>
  </w:style>
  <w:style w:type="numbering" w:customStyle="1" w:styleId="ChartListBullets">
    <w:name w:val="ChartListBullets"/>
    <w:uiPriority w:val="99"/>
    <w:rsid w:val="003E774E"/>
    <w:pPr>
      <w:numPr>
        <w:numId w:val="5"/>
      </w:numPr>
    </w:pPr>
  </w:style>
  <w:style w:type="paragraph" w:customStyle="1" w:styleId="TableTextEntries">
    <w:name w:val="Table Text Entries"/>
    <w:basedOn w:val="BodyText"/>
    <w:uiPriority w:val="13"/>
    <w:rsid w:val="003E774E"/>
    <w:pPr>
      <w:keepLines/>
      <w:spacing w:before="80" w:after="80" w:line="200" w:lineRule="atLeast"/>
    </w:pPr>
    <w:rPr>
      <w:rFonts w:ascii="Franklin Gothic Book" w:hAnsi="Franklin Gothic Book"/>
      <w:sz w:val="16"/>
      <w:szCs w:val="18"/>
      <w:lang w:eastAsia="en-US"/>
    </w:rPr>
  </w:style>
  <w:style w:type="paragraph" w:customStyle="1" w:styleId="Note">
    <w:name w:val="Note"/>
    <w:basedOn w:val="TableTextEntries"/>
    <w:next w:val="Source"/>
    <w:link w:val="NoteCharChar"/>
    <w:uiPriority w:val="15"/>
    <w:rsid w:val="003E774E"/>
    <w:pPr>
      <w:spacing w:before="40" w:after="0" w:line="180" w:lineRule="atLeast"/>
    </w:pPr>
    <w:rPr>
      <w:sz w:val="14"/>
      <w:szCs w:val="16"/>
    </w:rPr>
  </w:style>
  <w:style w:type="character" w:customStyle="1" w:styleId="NoteCharChar">
    <w:name w:val="Note Char Char"/>
    <w:link w:val="Note"/>
    <w:uiPriority w:val="15"/>
    <w:rsid w:val="003E774E"/>
    <w:rPr>
      <w:rFonts w:ascii="Franklin Gothic Book" w:eastAsia="Times New Roman" w:hAnsi="Franklin Gothic Book"/>
      <w:sz w:val="14"/>
      <w:szCs w:val="16"/>
      <w:lang w:eastAsia="en-US"/>
    </w:rPr>
  </w:style>
  <w:style w:type="paragraph" w:customStyle="1" w:styleId="Source">
    <w:name w:val="Source"/>
    <w:basedOn w:val="Note"/>
    <w:next w:val="BodyText"/>
    <w:link w:val="SourceChar"/>
    <w:uiPriority w:val="16"/>
    <w:rsid w:val="003E774E"/>
    <w:pPr>
      <w:spacing w:after="60"/>
    </w:pPr>
  </w:style>
  <w:style w:type="paragraph" w:customStyle="1" w:styleId="Continued">
    <w:name w:val="Continued"/>
    <w:basedOn w:val="Source"/>
    <w:next w:val="BodyText"/>
    <w:link w:val="ContinuedChar"/>
    <w:uiPriority w:val="17"/>
    <w:rsid w:val="003E774E"/>
    <w:pPr>
      <w:jc w:val="right"/>
    </w:pPr>
  </w:style>
  <w:style w:type="paragraph" w:styleId="Title">
    <w:name w:val="Title"/>
    <w:basedOn w:val="Normal"/>
    <w:next w:val="Subtitle"/>
    <w:link w:val="TitleChar"/>
    <w:uiPriority w:val="29"/>
    <w:qFormat/>
    <w:rsid w:val="003E774E"/>
    <w:pPr>
      <w:spacing w:line="500" w:lineRule="atLeast"/>
    </w:pPr>
    <w:rPr>
      <w:rFonts w:asciiTheme="majorHAnsi" w:eastAsia="Times New Roman" w:hAnsiTheme="majorHAnsi"/>
      <w:spacing w:val="-2"/>
      <w:kern w:val="28"/>
      <w:sz w:val="44"/>
      <w:szCs w:val="48"/>
    </w:rPr>
  </w:style>
  <w:style w:type="character" w:customStyle="1" w:styleId="TitleChar">
    <w:name w:val="Title Char"/>
    <w:basedOn w:val="DefaultParagraphFont"/>
    <w:link w:val="Title"/>
    <w:uiPriority w:val="29"/>
    <w:rsid w:val="003E774E"/>
    <w:rPr>
      <w:rFonts w:asciiTheme="majorHAnsi" w:eastAsia="Times New Roman" w:hAnsiTheme="majorHAnsi"/>
      <w:spacing w:val="-2"/>
      <w:kern w:val="28"/>
      <w:sz w:val="44"/>
      <w:szCs w:val="48"/>
    </w:rPr>
  </w:style>
  <w:style w:type="paragraph" w:styleId="Subtitle">
    <w:name w:val="Subtitle"/>
    <w:basedOn w:val="Title"/>
    <w:link w:val="SubtitleChar"/>
    <w:uiPriority w:val="30"/>
    <w:qFormat/>
    <w:rsid w:val="003E774E"/>
    <w:pPr>
      <w:spacing w:before="280" w:line="320" w:lineRule="atLeast"/>
    </w:pPr>
    <w:rPr>
      <w:sz w:val="25"/>
      <w:szCs w:val="28"/>
    </w:rPr>
  </w:style>
  <w:style w:type="character" w:customStyle="1" w:styleId="SubtitleChar">
    <w:name w:val="Subtitle Char"/>
    <w:basedOn w:val="DefaultParagraphFont"/>
    <w:link w:val="Subtitle"/>
    <w:uiPriority w:val="30"/>
    <w:rsid w:val="003E774E"/>
    <w:rPr>
      <w:rFonts w:asciiTheme="majorHAnsi" w:eastAsia="Times New Roman" w:hAnsiTheme="majorHAnsi"/>
      <w:spacing w:val="-2"/>
      <w:kern w:val="28"/>
      <w:sz w:val="25"/>
      <w:szCs w:val="28"/>
    </w:rPr>
  </w:style>
  <w:style w:type="paragraph" w:styleId="Date">
    <w:name w:val="Date"/>
    <w:basedOn w:val="Subtitle"/>
    <w:link w:val="DateChar"/>
    <w:uiPriority w:val="33"/>
    <w:rsid w:val="003E774E"/>
    <w:pPr>
      <w:spacing w:before="140" w:line="280" w:lineRule="atLeast"/>
    </w:pPr>
    <w:rPr>
      <w:i/>
      <w:color w:val="6F6652" w:themeColor="text2"/>
      <w:spacing w:val="0"/>
    </w:rPr>
  </w:style>
  <w:style w:type="character" w:customStyle="1" w:styleId="DateChar">
    <w:name w:val="Date Char"/>
    <w:basedOn w:val="DefaultParagraphFont"/>
    <w:link w:val="Date"/>
    <w:uiPriority w:val="33"/>
    <w:rsid w:val="003E774E"/>
    <w:rPr>
      <w:rFonts w:asciiTheme="majorHAnsi" w:eastAsia="Times New Roman" w:hAnsiTheme="majorHAnsi"/>
      <w:i/>
      <w:color w:val="6F6652" w:themeColor="text2"/>
      <w:kern w:val="28"/>
      <w:sz w:val="25"/>
      <w:szCs w:val="28"/>
    </w:rPr>
  </w:style>
  <w:style w:type="character" w:customStyle="1" w:styleId="DraftingNote">
    <w:name w:val="Drafting Note"/>
    <w:uiPriority w:val="2"/>
    <w:rsid w:val="003E774E"/>
    <w:rPr>
      <w:rFonts w:asciiTheme="minorHAnsi" w:hAnsiTheme="minorHAnsi"/>
      <w:b/>
      <w:color w:val="0070C0"/>
      <w:u w:val="dotted"/>
    </w:rPr>
  </w:style>
  <w:style w:type="paragraph" w:styleId="Footer">
    <w:name w:val="footer"/>
    <w:basedOn w:val="BodyText"/>
    <w:link w:val="FooterChar"/>
    <w:uiPriority w:val="99"/>
    <w:rsid w:val="003E774E"/>
    <w:pPr>
      <w:spacing w:before="0" w:line="200" w:lineRule="atLeast"/>
    </w:pPr>
    <w:rPr>
      <w:i/>
      <w:color w:val="6F6652" w:themeColor="text2"/>
      <w:sz w:val="16"/>
      <w:szCs w:val="14"/>
    </w:rPr>
  </w:style>
  <w:style w:type="character" w:customStyle="1" w:styleId="FooterChar">
    <w:name w:val="Footer Char"/>
    <w:basedOn w:val="DefaultParagraphFont"/>
    <w:link w:val="Footer"/>
    <w:uiPriority w:val="99"/>
    <w:rsid w:val="003E774E"/>
    <w:rPr>
      <w:rFonts w:asciiTheme="minorHAnsi" w:eastAsia="Times New Roman" w:hAnsiTheme="minorHAnsi"/>
      <w:i/>
      <w:color w:val="6F6652" w:themeColor="text2"/>
      <w:sz w:val="16"/>
      <w:szCs w:val="14"/>
    </w:rPr>
  </w:style>
  <w:style w:type="character" w:styleId="FootnoteReference">
    <w:name w:val="footnote reference"/>
    <w:uiPriority w:val="25"/>
    <w:unhideWhenUsed/>
    <w:rsid w:val="003E774E"/>
    <w:rPr>
      <w:rFonts w:ascii="Calisto MT" w:hAnsi="Calisto MT"/>
      <w:b w:val="0"/>
      <w:i w:val="0"/>
      <w:color w:val="auto"/>
      <w:w w:val="100"/>
      <w:position w:val="4"/>
      <w:sz w:val="18"/>
      <w:szCs w:val="21"/>
      <w:vertAlign w:val="baseline"/>
    </w:rPr>
  </w:style>
  <w:style w:type="paragraph" w:styleId="FootnoteText">
    <w:name w:val="footnote text"/>
    <w:basedOn w:val="BodyText"/>
    <w:link w:val="FootnoteTextChar"/>
    <w:uiPriority w:val="25"/>
    <w:unhideWhenUsed/>
    <w:rsid w:val="003E774E"/>
    <w:pPr>
      <w:spacing w:before="80" w:line="240" w:lineRule="atLeast"/>
      <w:ind w:left="284" w:hanging="284"/>
    </w:pPr>
    <w:rPr>
      <w:sz w:val="19"/>
      <w:szCs w:val="18"/>
    </w:rPr>
  </w:style>
  <w:style w:type="character" w:customStyle="1" w:styleId="FootnoteTextChar">
    <w:name w:val="Footnote Text Char"/>
    <w:basedOn w:val="DefaultParagraphFont"/>
    <w:link w:val="FootnoteText"/>
    <w:uiPriority w:val="25"/>
    <w:rsid w:val="003E774E"/>
    <w:rPr>
      <w:rFonts w:asciiTheme="minorHAnsi" w:eastAsia="Times New Roman" w:hAnsiTheme="minorHAnsi"/>
      <w:sz w:val="19"/>
      <w:szCs w:val="18"/>
    </w:rPr>
  </w:style>
  <w:style w:type="paragraph" w:styleId="Header">
    <w:name w:val="header"/>
    <w:basedOn w:val="BodyText"/>
    <w:link w:val="HeaderChar"/>
    <w:uiPriority w:val="99"/>
    <w:rsid w:val="003E774E"/>
    <w:pPr>
      <w:pBdr>
        <w:bottom w:val="single" w:sz="4" w:space="1" w:color="F61D12" w:themeColor="accent2"/>
      </w:pBdr>
      <w:tabs>
        <w:tab w:val="left" w:pos="-567"/>
        <w:tab w:val="left" w:pos="0"/>
        <w:tab w:val="right" w:pos="7938"/>
        <w:tab w:val="right" w:pos="8505"/>
      </w:tabs>
      <w:spacing w:before="480" w:line="240" w:lineRule="atLeast"/>
      <w:ind w:left="-2268" w:right="-2268"/>
    </w:pPr>
    <w:rPr>
      <w:rFonts w:ascii="Franklin Gothic Medium" w:hAnsi="Franklin Gothic Medium"/>
      <w:sz w:val="14"/>
      <w:szCs w:val="14"/>
    </w:rPr>
  </w:style>
  <w:style w:type="character" w:customStyle="1" w:styleId="HeaderChar">
    <w:name w:val="Header Char"/>
    <w:basedOn w:val="DefaultParagraphFont"/>
    <w:link w:val="Header"/>
    <w:uiPriority w:val="99"/>
    <w:rsid w:val="003E774E"/>
    <w:rPr>
      <w:rFonts w:ascii="Franklin Gothic Medium" w:eastAsia="Times New Roman" w:hAnsi="Franklin Gothic Medium"/>
      <w:sz w:val="14"/>
      <w:szCs w:val="14"/>
    </w:rPr>
  </w:style>
  <w:style w:type="character" w:customStyle="1" w:styleId="Heading1Char">
    <w:name w:val="Heading 1 Char"/>
    <w:basedOn w:val="DefaultParagraphFont"/>
    <w:link w:val="Heading1"/>
    <w:rsid w:val="003E774E"/>
    <w:rPr>
      <w:rFonts w:asciiTheme="majorHAnsi" w:eastAsia="Times New Roman" w:hAnsiTheme="majorHAnsi"/>
      <w:i/>
      <w:kern w:val="28"/>
      <w:sz w:val="36"/>
      <w:szCs w:val="32"/>
    </w:rPr>
  </w:style>
  <w:style w:type="character" w:customStyle="1" w:styleId="Heading2Char">
    <w:name w:val="Heading 2 Char"/>
    <w:basedOn w:val="DefaultParagraphFont"/>
    <w:link w:val="Heading2"/>
    <w:rsid w:val="003E774E"/>
    <w:rPr>
      <w:rFonts w:asciiTheme="majorHAnsi" w:eastAsia="Times New Roman" w:hAnsiTheme="majorHAnsi"/>
      <w:b/>
      <w:i/>
      <w:color w:val="F61D12" w:themeColor="accent2"/>
      <w:kern w:val="28"/>
      <w:sz w:val="30"/>
      <w:szCs w:val="26"/>
    </w:rPr>
  </w:style>
  <w:style w:type="paragraph" w:styleId="ListBullet2">
    <w:name w:val="List Bullet 2"/>
    <w:basedOn w:val="ListBullet"/>
    <w:uiPriority w:val="2"/>
    <w:rsid w:val="003E774E"/>
    <w:pPr>
      <w:numPr>
        <w:ilvl w:val="1"/>
      </w:numPr>
      <w:spacing w:before="40"/>
    </w:pPr>
  </w:style>
  <w:style w:type="character" w:customStyle="1" w:styleId="Heading3Char">
    <w:name w:val="Heading 3 Char"/>
    <w:basedOn w:val="DefaultParagraphFont"/>
    <w:link w:val="Heading3"/>
    <w:rsid w:val="003E774E"/>
    <w:rPr>
      <w:rFonts w:asciiTheme="majorHAnsi" w:eastAsia="Times New Roman" w:hAnsiTheme="majorHAnsi"/>
      <w:b/>
      <w:i/>
      <w:kern w:val="28"/>
      <w:sz w:val="25"/>
      <w:szCs w:val="22"/>
    </w:rPr>
  </w:style>
  <w:style w:type="character" w:customStyle="1" w:styleId="Heading4Char">
    <w:name w:val="Heading 4 Char"/>
    <w:basedOn w:val="DefaultParagraphFont"/>
    <w:link w:val="Heading4"/>
    <w:rsid w:val="003E774E"/>
    <w:rPr>
      <w:rFonts w:asciiTheme="majorHAnsi" w:eastAsia="Times New Roman" w:hAnsiTheme="majorHAnsi"/>
      <w:b/>
      <w:i/>
      <w:color w:val="6F6652" w:themeColor="text2"/>
      <w:kern w:val="28"/>
      <w:szCs w:val="22"/>
    </w:rPr>
  </w:style>
  <w:style w:type="character" w:customStyle="1" w:styleId="Heading5Char">
    <w:name w:val="Heading 5 Char"/>
    <w:basedOn w:val="DefaultParagraphFont"/>
    <w:link w:val="Heading5"/>
    <w:rsid w:val="003E774E"/>
    <w:rPr>
      <w:rFonts w:asciiTheme="minorHAnsi" w:eastAsia="Times New Roman" w:hAnsiTheme="minorHAnsi"/>
      <w:i/>
      <w:color w:val="6F6652" w:themeColor="text2"/>
      <w:kern w:val="28"/>
      <w:szCs w:val="22"/>
    </w:rPr>
  </w:style>
  <w:style w:type="character" w:customStyle="1" w:styleId="Heading6Char">
    <w:name w:val="Heading 6 Char"/>
    <w:basedOn w:val="DefaultParagraphFont"/>
    <w:link w:val="Heading6"/>
    <w:rsid w:val="003E774E"/>
    <w:rPr>
      <w:rFonts w:asciiTheme="majorHAnsi" w:eastAsia="Times New Roman" w:hAnsiTheme="majorHAnsi"/>
      <w:bCs/>
      <w:i/>
      <w:kern w:val="28"/>
      <w:sz w:val="36"/>
      <w:szCs w:val="32"/>
    </w:rPr>
  </w:style>
  <w:style w:type="character" w:customStyle="1" w:styleId="Heading7Char">
    <w:name w:val="Heading 7 Char"/>
    <w:basedOn w:val="DefaultParagraphFont"/>
    <w:link w:val="Heading7"/>
    <w:rsid w:val="003E774E"/>
    <w:rPr>
      <w:rFonts w:asciiTheme="majorHAnsi" w:eastAsia="Times New Roman" w:hAnsiTheme="majorHAnsi"/>
      <w:b/>
      <w:i/>
      <w:kern w:val="28"/>
      <w:sz w:val="30"/>
      <w:szCs w:val="26"/>
    </w:rPr>
  </w:style>
  <w:style w:type="character" w:customStyle="1" w:styleId="Heading8Char">
    <w:name w:val="Heading 8 Char"/>
    <w:basedOn w:val="DefaultParagraphFont"/>
    <w:link w:val="Heading8"/>
    <w:rsid w:val="003E774E"/>
    <w:rPr>
      <w:rFonts w:asciiTheme="majorHAnsi" w:eastAsia="Times New Roman" w:hAnsiTheme="majorHAnsi"/>
      <w:b/>
      <w:i/>
      <w:kern w:val="28"/>
      <w:sz w:val="25"/>
      <w:szCs w:val="22"/>
    </w:rPr>
  </w:style>
  <w:style w:type="character" w:customStyle="1" w:styleId="Heading9Char">
    <w:name w:val="Heading 9 Char"/>
    <w:basedOn w:val="DefaultParagraphFont"/>
    <w:link w:val="Heading9"/>
    <w:rsid w:val="003E774E"/>
    <w:rPr>
      <w:rFonts w:asciiTheme="majorHAnsi" w:eastAsia="Times New Roman" w:hAnsiTheme="majorHAnsi"/>
      <w:b/>
      <w:i/>
      <w:kern w:val="28"/>
      <w:szCs w:val="22"/>
    </w:rPr>
  </w:style>
  <w:style w:type="character" w:styleId="Hyperlink">
    <w:name w:val="Hyperlink"/>
    <w:uiPriority w:val="99"/>
    <w:semiHidden/>
    <w:rsid w:val="003E774E"/>
    <w:rPr>
      <w:b w:val="0"/>
      <w:i w:val="0"/>
      <w:color w:val="6F6652" w:themeColor="text2"/>
      <w:u w:val="none"/>
    </w:rPr>
  </w:style>
  <w:style w:type="paragraph" w:customStyle="1" w:styleId="Invisiblepara">
    <w:name w:val="Invisible para"/>
    <w:basedOn w:val="Normal"/>
    <w:uiPriority w:val="99"/>
    <w:rsid w:val="003E774E"/>
    <w:pPr>
      <w:keepNext/>
      <w:spacing w:before="320" w:line="80" w:lineRule="exact"/>
    </w:pPr>
    <w:rPr>
      <w:rFonts w:eastAsia="Times New Roman"/>
      <w:szCs w:val="20"/>
    </w:rPr>
  </w:style>
  <w:style w:type="character" w:customStyle="1" w:styleId="NoteLabel">
    <w:name w:val="Note Label"/>
    <w:uiPriority w:val="15"/>
    <w:rsid w:val="003E774E"/>
    <w:rPr>
      <w:rFonts w:ascii="Franklin Gothic Demi" w:hAnsi="Franklin Gothic Demi"/>
      <w:b w:val="0"/>
      <w:i w:val="0"/>
      <w:color w:val="9B917E" w:themeColor="accent4"/>
      <w:position w:val="4"/>
      <w:sz w:val="14"/>
      <w:szCs w:val="16"/>
    </w:rPr>
  </w:style>
  <w:style w:type="character" w:styleId="PageNumber">
    <w:name w:val="page number"/>
    <w:uiPriority w:val="99"/>
    <w:rsid w:val="003E774E"/>
    <w:rPr>
      <w:rFonts w:ascii="Franklin Gothic Demi" w:hAnsi="Franklin Gothic Demi"/>
      <w:b w:val="0"/>
      <w:color w:val="006B7A" w:themeColor="accent1"/>
      <w:sz w:val="20"/>
      <w:szCs w:val="20"/>
    </w:rPr>
  </w:style>
  <w:style w:type="paragraph" w:styleId="Quote">
    <w:name w:val="Quote"/>
    <w:basedOn w:val="BodyText"/>
    <w:next w:val="BodyText"/>
    <w:link w:val="QuoteChar"/>
    <w:uiPriority w:val="3"/>
    <w:qFormat/>
    <w:rsid w:val="003E774E"/>
    <w:pPr>
      <w:spacing w:before="70" w:line="260" w:lineRule="atLeast"/>
      <w:ind w:left="284"/>
    </w:pPr>
    <w:rPr>
      <w:sz w:val="19"/>
      <w:szCs w:val="20"/>
    </w:rPr>
  </w:style>
  <w:style w:type="character" w:customStyle="1" w:styleId="QuoteChar">
    <w:name w:val="Quote Char"/>
    <w:basedOn w:val="DefaultParagraphFont"/>
    <w:link w:val="Quote"/>
    <w:uiPriority w:val="3"/>
    <w:rsid w:val="003E774E"/>
    <w:rPr>
      <w:rFonts w:asciiTheme="minorHAnsi" w:eastAsia="Times New Roman" w:hAnsiTheme="minorHAnsi"/>
      <w:sz w:val="19"/>
      <w:szCs w:val="20"/>
    </w:rPr>
  </w:style>
  <w:style w:type="paragraph" w:customStyle="1" w:styleId="RecommendationNumber">
    <w:name w:val="Recommendation Number"/>
    <w:basedOn w:val="BodyText"/>
    <w:next w:val="RecommendationNumber2"/>
    <w:uiPriority w:val="28"/>
    <w:rsid w:val="003E774E"/>
    <w:pPr>
      <w:numPr>
        <w:numId w:val="14"/>
      </w:numPr>
      <w:spacing w:before="80"/>
    </w:pPr>
    <w:rPr>
      <w:rFonts w:ascii="Franklin Gothic Book" w:eastAsia="MS Mincho" w:hAnsi="Franklin Gothic Book" w:cs="MS Mincho"/>
    </w:rPr>
  </w:style>
  <w:style w:type="paragraph" w:customStyle="1" w:styleId="Reference">
    <w:name w:val="Reference"/>
    <w:basedOn w:val="BodyText"/>
    <w:uiPriority w:val="3"/>
    <w:qFormat/>
    <w:rsid w:val="003E774E"/>
    <w:pPr>
      <w:spacing w:before="70" w:line="260" w:lineRule="atLeast"/>
      <w:ind w:left="284" w:hanging="284"/>
    </w:pPr>
    <w:rPr>
      <w:sz w:val="19"/>
      <w:szCs w:val="20"/>
    </w:rPr>
  </w:style>
  <w:style w:type="paragraph" w:customStyle="1" w:styleId="Reporttype">
    <w:name w:val="Report type"/>
    <w:basedOn w:val="Date"/>
    <w:next w:val="Title"/>
    <w:uiPriority w:val="31"/>
    <w:rsid w:val="003E774E"/>
    <w:pPr>
      <w:spacing w:before="0" w:after="280" w:line="260" w:lineRule="atLeast"/>
    </w:pPr>
    <w:rPr>
      <w:rFonts w:ascii="Franklin Gothic Demi" w:hAnsi="Franklin Gothic Demi"/>
      <w:i w:val="0"/>
      <w:caps/>
      <w:color w:val="F61D12" w:themeColor="accent2"/>
      <w:spacing w:val="44"/>
      <w:sz w:val="22"/>
    </w:rPr>
  </w:style>
  <w:style w:type="paragraph" w:customStyle="1" w:styleId="TableDataEntries">
    <w:name w:val="Table Data Entries"/>
    <w:basedOn w:val="TableTextEntries"/>
    <w:uiPriority w:val="11"/>
    <w:rsid w:val="003E774E"/>
    <w:pPr>
      <w:spacing w:before="40" w:after="40"/>
      <w:jc w:val="right"/>
    </w:pPr>
  </w:style>
  <w:style w:type="paragraph" w:customStyle="1" w:styleId="TableDataColumnHeading">
    <w:name w:val="Table Data Column Heading"/>
    <w:basedOn w:val="TableDataEntries"/>
    <w:uiPriority w:val="11"/>
    <w:rsid w:val="003E774E"/>
    <w:pPr>
      <w:keepNext/>
      <w:spacing w:before="80" w:after="80"/>
    </w:pPr>
    <w:rPr>
      <w:rFonts w:ascii="Franklin Gothic Demi" w:hAnsi="Franklin Gothic Demi"/>
      <w:color w:val="FFFFFF"/>
    </w:rPr>
  </w:style>
  <w:style w:type="paragraph" w:customStyle="1" w:styleId="TableHeading1">
    <w:name w:val="Table Heading 1"/>
    <w:basedOn w:val="TableTextEntries"/>
    <w:next w:val="TableTextEntries"/>
    <w:uiPriority w:val="10"/>
    <w:rsid w:val="003E774E"/>
    <w:pPr>
      <w:spacing w:before="140"/>
    </w:pPr>
    <w:rPr>
      <w:rFonts w:ascii="Franklin Gothic Demi" w:hAnsi="Franklin Gothic Demi"/>
      <w:color w:val="6F6652" w:themeColor="text2"/>
    </w:rPr>
  </w:style>
  <w:style w:type="paragraph" w:customStyle="1" w:styleId="TableHeading2">
    <w:name w:val="Table Heading 2"/>
    <w:basedOn w:val="TableHeading1"/>
    <w:next w:val="TableTextEntries"/>
    <w:uiPriority w:val="10"/>
    <w:rsid w:val="003E774E"/>
    <w:pPr>
      <w:spacing w:before="80"/>
    </w:pPr>
    <w:rPr>
      <w:rFonts w:ascii="Franklin Gothic Medium" w:hAnsi="Franklin Gothic Medium"/>
    </w:rPr>
  </w:style>
  <w:style w:type="paragraph" w:customStyle="1" w:styleId="TableTextColumnHeading">
    <w:name w:val="Table Text Column Heading"/>
    <w:basedOn w:val="TableDataColumnHeading"/>
    <w:uiPriority w:val="13"/>
    <w:rsid w:val="003E774E"/>
    <w:pPr>
      <w:jc w:val="left"/>
    </w:pPr>
  </w:style>
  <w:style w:type="paragraph" w:customStyle="1" w:styleId="TableUnit">
    <w:name w:val="Table Unit"/>
    <w:basedOn w:val="TableDataColumnHeading"/>
    <w:next w:val="TableDataEntries"/>
    <w:uiPriority w:val="11"/>
    <w:rsid w:val="003E774E"/>
    <w:rPr>
      <w:rFonts w:ascii="Franklin Gothic Book" w:hAnsi="Franklin Gothic Book"/>
      <w:color w:val="auto"/>
      <w:szCs w:val="17"/>
    </w:rPr>
  </w:style>
  <w:style w:type="paragraph" w:styleId="TOC1">
    <w:name w:val="toc 1"/>
    <w:basedOn w:val="BodyText"/>
    <w:next w:val="TOC2"/>
    <w:uiPriority w:val="39"/>
    <w:rsid w:val="003E774E"/>
    <w:pPr>
      <w:tabs>
        <w:tab w:val="left" w:pos="340"/>
        <w:tab w:val="right" w:pos="7938"/>
      </w:tabs>
      <w:spacing w:line="260" w:lineRule="atLeast"/>
      <w:ind w:right="567"/>
    </w:pPr>
    <w:rPr>
      <w:rFonts w:ascii="Franklin Gothic Demi" w:hAnsi="Franklin Gothic Demi"/>
      <w:szCs w:val="24"/>
    </w:rPr>
  </w:style>
  <w:style w:type="paragraph" w:styleId="TOC2">
    <w:name w:val="toc 2"/>
    <w:basedOn w:val="TOC1"/>
    <w:uiPriority w:val="39"/>
    <w:rsid w:val="003E774E"/>
    <w:pPr>
      <w:tabs>
        <w:tab w:val="clear" w:pos="340"/>
      </w:tabs>
      <w:spacing w:before="60"/>
      <w:ind w:left="340"/>
    </w:pPr>
    <w:rPr>
      <w:rFonts w:ascii="Calisto MT" w:hAnsi="Calisto MT"/>
    </w:rPr>
  </w:style>
  <w:style w:type="paragraph" w:styleId="TOC3">
    <w:name w:val="toc 3"/>
    <w:basedOn w:val="TOC2"/>
    <w:next w:val="BodyText"/>
    <w:uiPriority w:val="39"/>
    <w:semiHidden/>
    <w:rsid w:val="003E774E"/>
    <w:pPr>
      <w:ind w:left="680"/>
    </w:pPr>
  </w:style>
  <w:style w:type="paragraph" w:styleId="TOC6">
    <w:name w:val="toc 6"/>
    <w:basedOn w:val="BodyText"/>
    <w:next w:val="BodyText"/>
    <w:uiPriority w:val="39"/>
    <w:semiHidden/>
    <w:rsid w:val="003E774E"/>
    <w:pPr>
      <w:tabs>
        <w:tab w:val="left" w:pos="284"/>
        <w:tab w:val="right" w:pos="7655"/>
      </w:tabs>
      <w:ind w:left="284" w:right="567" w:hanging="284"/>
    </w:pPr>
  </w:style>
  <w:style w:type="paragraph" w:styleId="TOC7">
    <w:name w:val="toc 7"/>
    <w:basedOn w:val="TOC6"/>
    <w:next w:val="TOC1"/>
    <w:uiPriority w:val="39"/>
    <w:semiHidden/>
    <w:rsid w:val="003E774E"/>
    <w:pPr>
      <w:tabs>
        <w:tab w:val="left" w:pos="1418"/>
      </w:tabs>
      <w:spacing w:before="80"/>
      <w:ind w:left="709" w:hanging="425"/>
    </w:pPr>
  </w:style>
  <w:style w:type="numbering" w:customStyle="1" w:styleId="HeadingNumbers">
    <w:name w:val="HeadingNumbers"/>
    <w:uiPriority w:val="99"/>
    <w:rsid w:val="003E774E"/>
    <w:pPr>
      <w:numPr>
        <w:numId w:val="1"/>
      </w:numPr>
    </w:pPr>
  </w:style>
  <w:style w:type="paragraph" w:customStyle="1" w:styleId="TableListBullet">
    <w:name w:val="Table List Bullet"/>
    <w:basedOn w:val="TableTextEntries"/>
    <w:uiPriority w:val="14"/>
    <w:rsid w:val="003E774E"/>
    <w:pPr>
      <w:numPr>
        <w:numId w:val="17"/>
      </w:numPr>
      <w:spacing w:line="210" w:lineRule="atLeast"/>
    </w:pPr>
    <w:rPr>
      <w:szCs w:val="19"/>
    </w:rPr>
  </w:style>
  <w:style w:type="paragraph" w:customStyle="1" w:styleId="TableListBullet2">
    <w:name w:val="Table List Bullet 2"/>
    <w:basedOn w:val="TableListBullet"/>
    <w:uiPriority w:val="14"/>
    <w:rsid w:val="003E774E"/>
    <w:pPr>
      <w:numPr>
        <w:ilvl w:val="1"/>
      </w:numPr>
    </w:pPr>
  </w:style>
  <w:style w:type="paragraph" w:customStyle="1" w:styleId="TableListNumber">
    <w:name w:val="Table List Number"/>
    <w:basedOn w:val="TableTextEntries"/>
    <w:uiPriority w:val="14"/>
    <w:rsid w:val="003E774E"/>
    <w:pPr>
      <w:numPr>
        <w:numId w:val="18"/>
      </w:numPr>
      <w:spacing w:before="40" w:after="40"/>
    </w:pPr>
    <w:rPr>
      <w:szCs w:val="19"/>
    </w:rPr>
  </w:style>
  <w:style w:type="paragraph" w:customStyle="1" w:styleId="TableListNumber2">
    <w:name w:val="Table List Number 2"/>
    <w:basedOn w:val="TableListNumber"/>
    <w:uiPriority w:val="14"/>
    <w:rsid w:val="003E774E"/>
    <w:pPr>
      <w:numPr>
        <w:ilvl w:val="1"/>
      </w:numPr>
    </w:pPr>
  </w:style>
  <w:style w:type="numbering" w:customStyle="1" w:styleId="TableListBullets">
    <w:name w:val="TableListBullets"/>
    <w:uiPriority w:val="99"/>
    <w:rsid w:val="003E774E"/>
    <w:pPr>
      <w:numPr>
        <w:numId w:val="17"/>
      </w:numPr>
    </w:pPr>
  </w:style>
  <w:style w:type="numbering" w:customStyle="1" w:styleId="TableListNumbers">
    <w:name w:val="TableListNumbers"/>
    <w:uiPriority w:val="99"/>
    <w:rsid w:val="003E774E"/>
    <w:pPr>
      <w:numPr>
        <w:numId w:val="18"/>
      </w:numPr>
    </w:pPr>
  </w:style>
  <w:style w:type="character" w:styleId="PlaceholderText">
    <w:name w:val="Placeholder Text"/>
    <w:basedOn w:val="DefaultParagraphFont"/>
    <w:uiPriority w:val="99"/>
    <w:semiHidden/>
    <w:rsid w:val="003E774E"/>
    <w:rPr>
      <w:color w:val="808080"/>
    </w:rPr>
  </w:style>
  <w:style w:type="paragraph" w:customStyle="1" w:styleId="ChartListBullet">
    <w:name w:val="Chart List Bullet"/>
    <w:basedOn w:val="TableListBullet"/>
    <w:uiPriority w:val="24"/>
    <w:rsid w:val="003E774E"/>
    <w:pPr>
      <w:numPr>
        <w:numId w:val="5"/>
      </w:numPr>
      <w:spacing w:before="50" w:after="0" w:line="200" w:lineRule="atLeast"/>
    </w:pPr>
    <w:rPr>
      <w:rFonts w:ascii="Franklin Gothic Medium" w:hAnsi="Franklin Gothic Medium"/>
      <w:szCs w:val="18"/>
    </w:rPr>
  </w:style>
  <w:style w:type="paragraph" w:customStyle="1" w:styleId="ChartListBullet2">
    <w:name w:val="Chart List Bullet 2"/>
    <w:basedOn w:val="ChartText"/>
    <w:uiPriority w:val="24"/>
    <w:rsid w:val="003E774E"/>
    <w:pPr>
      <w:numPr>
        <w:ilvl w:val="1"/>
        <w:numId w:val="5"/>
      </w:numPr>
      <w:spacing w:before="30"/>
    </w:pPr>
  </w:style>
  <w:style w:type="paragraph" w:customStyle="1" w:styleId="ChartListNumber0">
    <w:name w:val="Chart List Number"/>
    <w:basedOn w:val="ChartText"/>
    <w:uiPriority w:val="24"/>
    <w:rsid w:val="003E774E"/>
    <w:pPr>
      <w:numPr>
        <w:numId w:val="6"/>
      </w:numPr>
      <w:spacing w:before="60"/>
    </w:pPr>
  </w:style>
  <w:style w:type="numbering" w:customStyle="1" w:styleId="ChartListNumber">
    <w:name w:val="ChartListNumber"/>
    <w:uiPriority w:val="99"/>
    <w:rsid w:val="003E774E"/>
    <w:pPr>
      <w:numPr>
        <w:numId w:val="6"/>
      </w:numPr>
    </w:pPr>
  </w:style>
  <w:style w:type="numbering" w:customStyle="1" w:styleId="RecommendationNumbers">
    <w:name w:val="RecommendationNumbers"/>
    <w:uiPriority w:val="99"/>
    <w:rsid w:val="003E774E"/>
    <w:pPr>
      <w:numPr>
        <w:numId w:val="14"/>
      </w:numPr>
    </w:pPr>
  </w:style>
  <w:style w:type="paragraph" w:customStyle="1" w:styleId="Abbreviation">
    <w:name w:val="Abbreviation"/>
    <w:basedOn w:val="BodyText"/>
    <w:uiPriority w:val="3"/>
    <w:rsid w:val="003E774E"/>
    <w:pPr>
      <w:ind w:left="1134" w:hanging="1134"/>
    </w:pPr>
  </w:style>
  <w:style w:type="paragraph" w:styleId="TableofFigures">
    <w:name w:val="table of figures"/>
    <w:basedOn w:val="BodyText"/>
    <w:next w:val="BodyText"/>
    <w:uiPriority w:val="99"/>
    <w:rsid w:val="003E774E"/>
    <w:pPr>
      <w:tabs>
        <w:tab w:val="left" w:pos="510"/>
        <w:tab w:val="right" w:pos="7938"/>
      </w:tabs>
      <w:spacing w:before="60" w:line="260" w:lineRule="atLeast"/>
      <w:ind w:left="510" w:right="567" w:hanging="510"/>
    </w:pPr>
  </w:style>
  <w:style w:type="table" w:styleId="TableGrid">
    <w:name w:val="Table Grid"/>
    <w:basedOn w:val="TableNormal"/>
    <w:uiPriority w:val="59"/>
    <w:rsid w:val="003E774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E774E"/>
    <w:rPr>
      <w:color w:val="9B917E" w:themeColor="followedHyperlink"/>
      <w:u w:val="single"/>
    </w:rPr>
  </w:style>
  <w:style w:type="paragraph" w:styleId="NoSpacing">
    <w:name w:val="No Spacing"/>
    <w:basedOn w:val="Normal"/>
    <w:uiPriority w:val="1"/>
    <w:semiHidden/>
    <w:qFormat/>
    <w:rsid w:val="003E774E"/>
    <w:pPr>
      <w:spacing w:line="240" w:lineRule="auto"/>
    </w:pPr>
    <w:rPr>
      <w:rFonts w:asciiTheme="minorHAnsi" w:eastAsiaTheme="minorHAnsi" w:hAnsiTheme="minorHAnsi"/>
      <w:color w:val="000000" w:themeColor="text1"/>
      <w:szCs w:val="20"/>
      <w:lang w:val="en-US" w:eastAsia="ja-JP"/>
    </w:rPr>
  </w:style>
  <w:style w:type="paragraph" w:styleId="CommentSubject">
    <w:name w:val="annotation subject"/>
    <w:basedOn w:val="CommentText"/>
    <w:next w:val="CommentText"/>
    <w:link w:val="CommentSubjectChar"/>
    <w:uiPriority w:val="99"/>
    <w:semiHidden/>
    <w:rsid w:val="003E774E"/>
    <w:pPr>
      <w:spacing w:before="0" w:line="240" w:lineRule="auto"/>
    </w:pPr>
    <w:rPr>
      <w:rFonts w:ascii="Calibri" w:hAnsi="Calibri" w:cstheme="minorBidi"/>
      <w:b/>
      <w:bCs/>
    </w:rPr>
  </w:style>
  <w:style w:type="character" w:customStyle="1" w:styleId="CommentSubjectChar">
    <w:name w:val="Comment Subject Char"/>
    <w:basedOn w:val="CommentTextChar"/>
    <w:link w:val="CommentSubject"/>
    <w:uiPriority w:val="99"/>
    <w:semiHidden/>
    <w:rsid w:val="003E774E"/>
    <w:rPr>
      <w:rFonts w:ascii="Calibri" w:eastAsia="Times New Roman" w:hAnsi="Calibri" w:cstheme="minorBidi"/>
      <w:b/>
      <w:bCs/>
      <w:sz w:val="20"/>
      <w:szCs w:val="20"/>
    </w:rPr>
  </w:style>
  <w:style w:type="paragraph" w:styleId="Revision">
    <w:name w:val="Revision"/>
    <w:hidden/>
    <w:uiPriority w:val="99"/>
    <w:semiHidden/>
    <w:rsid w:val="00EB66C5"/>
    <w:pPr>
      <w:spacing w:before="0" w:line="240" w:lineRule="auto"/>
    </w:pPr>
  </w:style>
  <w:style w:type="paragraph" w:styleId="BalloonText">
    <w:name w:val="Balloon Text"/>
    <w:basedOn w:val="Normal"/>
    <w:link w:val="BalloonTextChar"/>
    <w:semiHidden/>
    <w:unhideWhenUsed/>
    <w:rsid w:val="003E774E"/>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E774E"/>
    <w:rPr>
      <w:rFonts w:ascii="Tahoma" w:hAnsi="Tahoma" w:cs="Tahoma"/>
      <w:sz w:val="16"/>
      <w:szCs w:val="16"/>
    </w:rPr>
  </w:style>
  <w:style w:type="paragraph" w:customStyle="1" w:styleId="HighlightMessage">
    <w:name w:val="Highlight Message"/>
    <w:basedOn w:val="BodyText"/>
    <w:next w:val="BodyText"/>
    <w:rsid w:val="003E774E"/>
    <w:pPr>
      <w:keepNext/>
      <w:spacing w:before="360" w:line="260" w:lineRule="atLeast"/>
      <w:ind w:right="1701"/>
    </w:pPr>
    <w:rPr>
      <w:rFonts w:ascii="Franklin Gothic Heavy" w:hAnsi="Franklin Gothic Heavy"/>
      <w:color w:val="F61D12" w:themeColor="accent2"/>
      <w:szCs w:val="16"/>
      <w:lang w:eastAsia="en-US"/>
    </w:rPr>
  </w:style>
  <w:style w:type="paragraph" w:customStyle="1" w:styleId="Chart">
    <w:name w:val="Chart"/>
    <w:basedOn w:val="BodyText"/>
    <w:uiPriority w:val="99"/>
    <w:unhideWhenUsed/>
    <w:rsid w:val="003E774E"/>
    <w:pPr>
      <w:spacing w:before="0" w:line="200" w:lineRule="atLeast"/>
    </w:pPr>
    <w:rPr>
      <w:lang w:eastAsia="en-US"/>
    </w:rPr>
  </w:style>
  <w:style w:type="paragraph" w:customStyle="1" w:styleId="KeyPoint">
    <w:name w:val="Key Point"/>
    <w:basedOn w:val="BodyText"/>
    <w:uiPriority w:val="1"/>
    <w:rsid w:val="003E774E"/>
    <w:pPr>
      <w:numPr>
        <w:numId w:val="9"/>
      </w:numPr>
    </w:pPr>
    <w:rPr>
      <w:rFonts w:ascii="Franklin Gothic Demi" w:hAnsi="Franklin Gothic Demi"/>
      <w:color w:val="6F6652" w:themeColor="text2"/>
      <w:szCs w:val="20"/>
      <w:lang w:eastAsia="en-US"/>
    </w:rPr>
  </w:style>
  <w:style w:type="paragraph" w:customStyle="1" w:styleId="ChapterSummary">
    <w:name w:val="Chapter Summary"/>
    <w:basedOn w:val="KeyPoint"/>
    <w:uiPriority w:val="1"/>
    <w:rsid w:val="003E774E"/>
    <w:pPr>
      <w:numPr>
        <w:numId w:val="0"/>
      </w:numPr>
    </w:pPr>
  </w:style>
  <w:style w:type="paragraph" w:customStyle="1" w:styleId="ChapterIntroduction">
    <w:name w:val="Chapter Introduction"/>
    <w:basedOn w:val="ChapterSummary"/>
    <w:next w:val="BodyText"/>
    <w:uiPriority w:val="1"/>
    <w:rsid w:val="003E774E"/>
    <w:pPr>
      <w:pBdr>
        <w:top w:val="single" w:sz="4" w:space="4" w:color="9B917E" w:themeColor="accent4"/>
        <w:bottom w:val="single" w:sz="4" w:space="6" w:color="9B917E" w:themeColor="accent4"/>
      </w:pBdr>
      <w:spacing w:after="180"/>
    </w:pPr>
    <w:rPr>
      <w:rFonts w:asciiTheme="minorHAnsi" w:hAnsiTheme="minorHAnsi"/>
      <w:b/>
      <w:i/>
      <w:color w:val="F61D12" w:themeColor="accent2"/>
      <w:sz w:val="22"/>
    </w:rPr>
  </w:style>
  <w:style w:type="paragraph" w:customStyle="1" w:styleId="Confidential">
    <w:name w:val="Confidential"/>
    <w:basedOn w:val="Reporttype"/>
    <w:uiPriority w:val="31"/>
    <w:rsid w:val="003E774E"/>
    <w:pPr>
      <w:spacing w:after="0"/>
    </w:pPr>
    <w:rPr>
      <w:rFonts w:ascii="Franklin Gothic Book" w:hAnsi="Franklin Gothic Book"/>
      <w:color w:val="auto"/>
      <w:spacing w:val="10"/>
    </w:rPr>
  </w:style>
  <w:style w:type="numbering" w:customStyle="1" w:styleId="ListNumbers">
    <w:name w:val="ListNumbers"/>
    <w:next w:val="NoList"/>
    <w:uiPriority w:val="99"/>
    <w:rsid w:val="003E774E"/>
    <w:pPr>
      <w:numPr>
        <w:numId w:val="11"/>
      </w:numPr>
    </w:pPr>
  </w:style>
  <w:style w:type="paragraph" w:customStyle="1" w:styleId="PartNumber">
    <w:name w:val="Part Number"/>
    <w:basedOn w:val="Reporttype"/>
    <w:uiPriority w:val="34"/>
    <w:semiHidden/>
    <w:rsid w:val="003E774E"/>
  </w:style>
  <w:style w:type="paragraph" w:customStyle="1" w:styleId="PartTitle">
    <w:name w:val="Part Title"/>
    <w:basedOn w:val="Title"/>
    <w:link w:val="PartTitleChar"/>
    <w:uiPriority w:val="34"/>
    <w:semiHidden/>
    <w:rsid w:val="003E774E"/>
    <w:pPr>
      <w:spacing w:line="440" w:lineRule="atLeast"/>
    </w:pPr>
    <w:rPr>
      <w:sz w:val="36"/>
    </w:rPr>
  </w:style>
  <w:style w:type="character" w:customStyle="1" w:styleId="PartTitleChar">
    <w:name w:val="Part Title Char"/>
    <w:basedOn w:val="TitleChar"/>
    <w:link w:val="PartTitle"/>
    <w:uiPriority w:val="34"/>
    <w:semiHidden/>
    <w:rsid w:val="003E774E"/>
    <w:rPr>
      <w:rFonts w:asciiTheme="majorHAnsi" w:eastAsia="Times New Roman" w:hAnsiTheme="majorHAnsi"/>
      <w:spacing w:val="-2"/>
      <w:kern w:val="28"/>
      <w:sz w:val="36"/>
      <w:szCs w:val="48"/>
    </w:rPr>
  </w:style>
  <w:style w:type="character" w:customStyle="1" w:styleId="ListBulletChar">
    <w:name w:val="List Bullet Char"/>
    <w:link w:val="ListBullet"/>
    <w:uiPriority w:val="2"/>
    <w:locked/>
    <w:rsid w:val="003E774E"/>
    <w:rPr>
      <w:rFonts w:asciiTheme="minorHAnsi" w:eastAsia="Times New Roman" w:hAnsiTheme="minorHAnsi"/>
    </w:rPr>
  </w:style>
  <w:style w:type="paragraph" w:styleId="TOC4">
    <w:name w:val="toc 4"/>
    <w:basedOn w:val="TOC1"/>
    <w:next w:val="TOC1"/>
    <w:uiPriority w:val="39"/>
    <w:semiHidden/>
    <w:rsid w:val="003E774E"/>
    <w:pPr>
      <w:spacing w:before="360"/>
      <w:ind w:right="0"/>
    </w:pPr>
    <w:rPr>
      <w:caps/>
      <w:color w:val="9B917E" w:themeColor="accent4"/>
      <w:spacing w:val="10"/>
      <w:sz w:val="22"/>
    </w:rPr>
  </w:style>
  <w:style w:type="paragraph" w:styleId="TOCHeading">
    <w:name w:val="TOC Heading"/>
    <w:basedOn w:val="Heading4"/>
    <w:next w:val="TableofFigures"/>
    <w:uiPriority w:val="39"/>
    <w:semiHidden/>
    <w:rsid w:val="003E774E"/>
    <w:pPr>
      <w:keepLines/>
      <w:numPr>
        <w:ilvl w:val="0"/>
        <w:numId w:val="0"/>
      </w:numPr>
      <w:outlineLvl w:val="9"/>
    </w:pPr>
    <w:rPr>
      <w:rFonts w:ascii="Franklin Gothic Demi" w:eastAsiaTheme="majorEastAsia" w:hAnsi="Franklin Gothic Demi" w:cstheme="majorBidi"/>
      <w:b w:val="0"/>
      <w:bCs/>
      <w:i w:val="0"/>
      <w:caps/>
      <w:color w:val="006B7A" w:themeColor="accent1"/>
      <w:spacing w:val="10"/>
      <w:sz w:val="22"/>
      <w:szCs w:val="28"/>
    </w:rPr>
  </w:style>
  <w:style w:type="character" w:customStyle="1" w:styleId="ContinuedChar">
    <w:name w:val="Continued Char"/>
    <w:basedOn w:val="DefaultParagraphFont"/>
    <w:link w:val="Continued"/>
    <w:uiPriority w:val="17"/>
    <w:rsid w:val="003E774E"/>
    <w:rPr>
      <w:rFonts w:ascii="Franklin Gothic Book" w:eastAsia="Times New Roman" w:hAnsi="Franklin Gothic Book"/>
      <w:sz w:val="14"/>
      <w:szCs w:val="16"/>
      <w:lang w:eastAsia="en-US"/>
    </w:rPr>
  </w:style>
  <w:style w:type="paragraph" w:styleId="ListParagraph">
    <w:name w:val="List Paragraph"/>
    <w:basedOn w:val="Normal"/>
    <w:uiPriority w:val="34"/>
    <w:semiHidden/>
    <w:qFormat/>
    <w:rsid w:val="003E774E"/>
    <w:pPr>
      <w:ind w:left="720"/>
      <w:contextualSpacing/>
    </w:pPr>
  </w:style>
  <w:style w:type="character" w:customStyle="1" w:styleId="CaptionChar">
    <w:name w:val="Caption Char"/>
    <w:basedOn w:val="BodyTextChar"/>
    <w:link w:val="Caption"/>
    <w:uiPriority w:val="99"/>
    <w:rsid w:val="003E774E"/>
    <w:rPr>
      <w:rFonts w:ascii="Franklin Gothic Demi" w:eastAsia="Times New Roman" w:hAnsi="Franklin Gothic Demi"/>
      <w:szCs w:val="20"/>
    </w:rPr>
  </w:style>
  <w:style w:type="paragraph" w:customStyle="1" w:styleId="Summary2">
    <w:name w:val="Summary 2"/>
    <w:basedOn w:val="Heading2"/>
    <w:next w:val="BodyText"/>
    <w:rsid w:val="003E774E"/>
    <w:pPr>
      <w:numPr>
        <w:ilvl w:val="0"/>
        <w:numId w:val="0"/>
      </w:numPr>
    </w:pPr>
  </w:style>
  <w:style w:type="paragraph" w:customStyle="1" w:styleId="Summary3">
    <w:name w:val="Summary 3"/>
    <w:basedOn w:val="Heading3"/>
    <w:next w:val="BodyText"/>
    <w:rsid w:val="003E774E"/>
    <w:pPr>
      <w:numPr>
        <w:ilvl w:val="0"/>
        <w:numId w:val="0"/>
      </w:numPr>
    </w:pPr>
  </w:style>
  <w:style w:type="paragraph" w:customStyle="1" w:styleId="Summary4">
    <w:name w:val="Summary 4"/>
    <w:basedOn w:val="Heading4"/>
    <w:next w:val="BodyText"/>
    <w:rsid w:val="003E774E"/>
    <w:pPr>
      <w:numPr>
        <w:ilvl w:val="0"/>
        <w:numId w:val="0"/>
      </w:numPr>
    </w:pPr>
  </w:style>
  <w:style w:type="paragraph" w:customStyle="1" w:styleId="KeyPoint2">
    <w:name w:val="Key Point 2"/>
    <w:basedOn w:val="KeyPoint"/>
    <w:next w:val="BodyText"/>
    <w:uiPriority w:val="1"/>
    <w:rsid w:val="003E774E"/>
    <w:pPr>
      <w:numPr>
        <w:ilvl w:val="1"/>
      </w:numPr>
      <w:spacing w:before="80"/>
    </w:pPr>
  </w:style>
  <w:style w:type="paragraph" w:customStyle="1" w:styleId="KeyPoint3">
    <w:name w:val="Key Point 3"/>
    <w:basedOn w:val="KeyPoint2"/>
    <w:next w:val="BodyText"/>
    <w:uiPriority w:val="1"/>
    <w:rsid w:val="003E774E"/>
    <w:pPr>
      <w:numPr>
        <w:ilvl w:val="2"/>
      </w:numPr>
      <w:spacing w:before="60"/>
    </w:pPr>
  </w:style>
  <w:style w:type="numbering" w:customStyle="1" w:styleId="KeyPointBullets">
    <w:name w:val="KeyPointBullets"/>
    <w:basedOn w:val="ListBullets"/>
    <w:uiPriority w:val="99"/>
    <w:rsid w:val="003E774E"/>
    <w:pPr>
      <w:numPr>
        <w:numId w:val="9"/>
      </w:numPr>
    </w:pPr>
  </w:style>
  <w:style w:type="numbering" w:customStyle="1" w:styleId="NoteListNumber">
    <w:name w:val="NoteListNumber"/>
    <w:uiPriority w:val="99"/>
    <w:rsid w:val="003E774E"/>
    <w:pPr>
      <w:numPr>
        <w:numId w:val="13"/>
      </w:numPr>
    </w:pPr>
  </w:style>
  <w:style w:type="paragraph" w:styleId="NormalWeb">
    <w:name w:val="Normal (Web)"/>
    <w:basedOn w:val="Normal"/>
    <w:uiPriority w:val="99"/>
    <w:semiHidden/>
    <w:unhideWhenUsed/>
    <w:rsid w:val="003E774E"/>
    <w:pPr>
      <w:spacing w:before="100" w:beforeAutospacing="1" w:after="100" w:afterAutospacing="1" w:line="240" w:lineRule="auto"/>
    </w:pPr>
    <w:rPr>
      <w:rFonts w:ascii="Times New Roman" w:hAnsi="Times New Roman"/>
      <w:sz w:val="24"/>
      <w:szCs w:val="24"/>
    </w:rPr>
  </w:style>
  <w:style w:type="paragraph" w:customStyle="1" w:styleId="NoteNumber">
    <w:name w:val="Note Number"/>
    <w:basedOn w:val="Note"/>
    <w:uiPriority w:val="15"/>
    <w:rsid w:val="003E774E"/>
    <w:pPr>
      <w:numPr>
        <w:ilvl w:val="1"/>
        <w:numId w:val="12"/>
      </w:numPr>
    </w:pPr>
    <w:rPr>
      <w:szCs w:val="15"/>
    </w:rPr>
  </w:style>
  <w:style w:type="paragraph" w:customStyle="1" w:styleId="Customtabletitle">
    <w:name w:val="Custom table title"/>
    <w:rsid w:val="004C6A36"/>
    <w:pPr>
      <w:keepNext/>
      <w:spacing w:before="360" w:after="80" w:line="260" w:lineRule="atLeast"/>
    </w:pPr>
    <w:rPr>
      <w:rFonts w:ascii="Franklin Gothic Demi" w:eastAsia="Times New Roman" w:hAnsi="Franklin Gothic Demi"/>
      <w:szCs w:val="20"/>
    </w:rPr>
  </w:style>
  <w:style w:type="character" w:customStyle="1" w:styleId="SourceChar">
    <w:name w:val="Source Char"/>
    <w:basedOn w:val="BodyTextChar"/>
    <w:link w:val="Source"/>
    <w:uiPriority w:val="16"/>
    <w:rsid w:val="004F70A8"/>
    <w:rPr>
      <w:rFonts w:ascii="Franklin Gothic Book" w:eastAsia="Times New Roman" w:hAnsi="Franklin Gothic Book"/>
      <w:sz w:val="14"/>
      <w:szCs w:val="16"/>
      <w:lang w:eastAsia="en-US"/>
    </w:rPr>
  </w:style>
  <w:style w:type="paragraph" w:customStyle="1" w:styleId="TableTextLeft-BP3">
    <w:name w:val="Table Text Left - BP3"/>
    <w:basedOn w:val="Normal"/>
    <w:uiPriority w:val="99"/>
    <w:semiHidden/>
    <w:rsid w:val="008F54CE"/>
    <w:pPr>
      <w:spacing w:line="240" w:lineRule="auto"/>
      <w:ind w:left="142" w:hanging="142"/>
    </w:pPr>
    <w:rPr>
      <w:rFonts w:ascii="Calibri" w:eastAsia="Times New Roman" w:hAnsi="Calibri"/>
      <w:sz w:val="20"/>
      <w:szCs w:val="18"/>
      <w:lang w:eastAsia="en-US"/>
    </w:rPr>
  </w:style>
  <w:style w:type="character" w:customStyle="1" w:styleId="CharacterStyle1">
    <w:name w:val="Character Style 1"/>
    <w:uiPriority w:val="99"/>
    <w:rsid w:val="00200EAD"/>
    <w:rPr>
      <w:rFonts w:ascii="Arial" w:hAnsi="Arial" w:cs="Arial"/>
      <w:sz w:val="16"/>
      <w:szCs w:val="16"/>
    </w:rPr>
  </w:style>
  <w:style w:type="character" w:customStyle="1" w:styleId="st">
    <w:name w:val="st"/>
    <w:basedOn w:val="DefaultParagraphFont"/>
    <w:rsid w:val="00895BE1"/>
  </w:style>
</w:styles>
</file>

<file path=word/webSettings.xml><?xml version="1.0" encoding="utf-8"?>
<w:webSettings xmlns:r="http://schemas.openxmlformats.org/officeDocument/2006/relationships" xmlns:w="http://schemas.openxmlformats.org/wordprocessingml/2006/main">
  <w:divs>
    <w:div w:id="315961375">
      <w:bodyDiv w:val="1"/>
      <w:marLeft w:val="0"/>
      <w:marRight w:val="0"/>
      <w:marTop w:val="0"/>
      <w:marBottom w:val="0"/>
      <w:divBdr>
        <w:top w:val="none" w:sz="0" w:space="0" w:color="auto"/>
        <w:left w:val="none" w:sz="0" w:space="0" w:color="auto"/>
        <w:bottom w:val="none" w:sz="0" w:space="0" w:color="auto"/>
        <w:right w:val="none" w:sz="0" w:space="0" w:color="auto"/>
      </w:divBdr>
    </w:div>
    <w:div w:id="686180482">
      <w:bodyDiv w:val="1"/>
      <w:marLeft w:val="0"/>
      <w:marRight w:val="0"/>
      <w:marTop w:val="0"/>
      <w:marBottom w:val="0"/>
      <w:divBdr>
        <w:top w:val="none" w:sz="0" w:space="0" w:color="auto"/>
        <w:left w:val="none" w:sz="0" w:space="0" w:color="auto"/>
        <w:bottom w:val="none" w:sz="0" w:space="0" w:color="auto"/>
        <w:right w:val="none" w:sz="0" w:space="0" w:color="auto"/>
      </w:divBdr>
    </w:div>
    <w:div w:id="915242328">
      <w:bodyDiv w:val="1"/>
      <w:marLeft w:val="0"/>
      <w:marRight w:val="0"/>
      <w:marTop w:val="0"/>
      <w:marBottom w:val="0"/>
      <w:divBdr>
        <w:top w:val="none" w:sz="0" w:space="0" w:color="auto"/>
        <w:left w:val="none" w:sz="0" w:space="0" w:color="auto"/>
        <w:bottom w:val="none" w:sz="0" w:space="0" w:color="auto"/>
        <w:right w:val="none" w:sz="0" w:space="0" w:color="auto"/>
      </w:divBdr>
    </w:div>
    <w:div w:id="953906661">
      <w:bodyDiv w:val="1"/>
      <w:marLeft w:val="0"/>
      <w:marRight w:val="0"/>
      <w:marTop w:val="0"/>
      <w:marBottom w:val="0"/>
      <w:divBdr>
        <w:top w:val="none" w:sz="0" w:space="0" w:color="auto"/>
        <w:left w:val="none" w:sz="0" w:space="0" w:color="auto"/>
        <w:bottom w:val="none" w:sz="0" w:space="0" w:color="auto"/>
        <w:right w:val="none" w:sz="0" w:space="0" w:color="auto"/>
      </w:divBdr>
    </w:div>
    <w:div w:id="1298536351">
      <w:bodyDiv w:val="1"/>
      <w:marLeft w:val="0"/>
      <w:marRight w:val="0"/>
      <w:marTop w:val="0"/>
      <w:marBottom w:val="0"/>
      <w:divBdr>
        <w:top w:val="none" w:sz="0" w:space="0" w:color="auto"/>
        <w:left w:val="none" w:sz="0" w:space="0" w:color="auto"/>
        <w:bottom w:val="none" w:sz="0" w:space="0" w:color="auto"/>
        <w:right w:val="none" w:sz="0" w:space="0" w:color="auto"/>
      </w:divBdr>
    </w:div>
    <w:div w:id="1631086792">
      <w:bodyDiv w:val="1"/>
      <w:marLeft w:val="0"/>
      <w:marRight w:val="0"/>
      <w:marTop w:val="0"/>
      <w:marBottom w:val="0"/>
      <w:divBdr>
        <w:top w:val="none" w:sz="0" w:space="0" w:color="auto"/>
        <w:left w:val="none" w:sz="0" w:space="0" w:color="auto"/>
        <w:bottom w:val="none" w:sz="0" w:space="0" w:color="auto"/>
        <w:right w:val="none" w:sz="0" w:space="0" w:color="auto"/>
      </w:divBdr>
      <w:divsChild>
        <w:div w:id="191648703">
          <w:marLeft w:val="0"/>
          <w:marRight w:val="0"/>
          <w:marTop w:val="0"/>
          <w:marBottom w:val="0"/>
          <w:divBdr>
            <w:top w:val="none" w:sz="0" w:space="0" w:color="auto"/>
            <w:left w:val="none" w:sz="0" w:space="0" w:color="auto"/>
            <w:bottom w:val="none" w:sz="0" w:space="0" w:color="auto"/>
            <w:right w:val="none" w:sz="0" w:space="0" w:color="auto"/>
          </w:divBdr>
          <w:divsChild>
            <w:div w:id="70276899">
              <w:marLeft w:val="0"/>
              <w:marRight w:val="0"/>
              <w:marTop w:val="0"/>
              <w:marBottom w:val="0"/>
              <w:divBdr>
                <w:top w:val="none" w:sz="0" w:space="0" w:color="auto"/>
                <w:left w:val="none" w:sz="0" w:space="0" w:color="auto"/>
                <w:bottom w:val="none" w:sz="0" w:space="0" w:color="auto"/>
                <w:right w:val="none" w:sz="0" w:space="0" w:color="auto"/>
              </w:divBdr>
              <w:divsChild>
                <w:div w:id="945386517">
                  <w:marLeft w:val="0"/>
                  <w:marRight w:val="0"/>
                  <w:marTop w:val="0"/>
                  <w:marBottom w:val="150"/>
                  <w:divBdr>
                    <w:top w:val="single" w:sz="6" w:space="5" w:color="143351"/>
                    <w:left w:val="single" w:sz="6" w:space="11" w:color="143351"/>
                    <w:bottom w:val="single" w:sz="6" w:space="5" w:color="143351"/>
                    <w:right w:val="single" w:sz="6" w:space="11" w:color="143351"/>
                  </w:divBdr>
                  <w:divsChild>
                    <w:div w:id="714356471">
                      <w:marLeft w:val="0"/>
                      <w:marRight w:val="0"/>
                      <w:marTop w:val="0"/>
                      <w:marBottom w:val="0"/>
                      <w:divBdr>
                        <w:top w:val="none" w:sz="0" w:space="0" w:color="auto"/>
                        <w:left w:val="none" w:sz="0" w:space="0" w:color="auto"/>
                        <w:bottom w:val="none" w:sz="0" w:space="0" w:color="auto"/>
                        <w:right w:val="none" w:sz="0" w:space="0" w:color="auto"/>
                      </w:divBdr>
                      <w:divsChild>
                        <w:div w:id="1016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27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iesyd@TheCIE.com.au" TargetMode="External"/><Relationship Id="rId18" Type="http://schemas.openxmlformats.org/officeDocument/2006/relationships/header" Target="header5.xml"/><Relationship Id="rId26" Type="http://schemas.openxmlformats.org/officeDocument/2006/relationships/image" Target="media/image7.emf"/><Relationship Id="rId39" Type="http://schemas.openxmlformats.org/officeDocument/2006/relationships/header" Target="header8.xml"/><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footer" Target="footer9.xml"/><Relationship Id="rId47" Type="http://schemas.openxmlformats.org/officeDocument/2006/relationships/hyperlink" Target="http://www.superratings.com.au/latest-returns/returns" TargetMode="External"/><Relationship Id="rId50" Type="http://schemas.openxmlformats.org/officeDocument/2006/relationships/footer" Target="footer10.xml"/><Relationship Id="rId55"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footer" Target="footer7.xml"/><Relationship Id="rId46" Type="http://schemas.openxmlformats.org/officeDocument/2006/relationships/hyperlink" Target="http://www.rba.gov.au/publications/smp/2013/feb/html/eco-outlook.html" TargetMode="External"/><Relationship Id="rId59"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10.emf"/><Relationship Id="rId41" Type="http://schemas.openxmlformats.org/officeDocument/2006/relationships/footer" Target="footer8.xm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footer" Target="footer6.xml"/><Relationship Id="rId40" Type="http://schemas.openxmlformats.org/officeDocument/2006/relationships/header" Target="header9.xml"/><Relationship Id="rId45" Type="http://schemas.openxmlformats.org/officeDocument/2006/relationships/hyperlink" Target="http://www.rba.gov.au/monetary-policy/rba-board-minutes/2012/06112012.html" TargetMode="External"/><Relationship Id="rId53" Type="http://schemas.openxmlformats.org/officeDocument/2006/relationships/header" Target="header12.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header" Target="header7.xml"/><Relationship Id="rId49" Type="http://schemas.openxmlformats.org/officeDocument/2006/relationships/header" Target="header11.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12.emf"/><Relationship Id="rId44" Type="http://schemas.openxmlformats.org/officeDocument/2006/relationships/hyperlink" Target="http://www.aigroup.com.au/portal/binary/com.epicentric.contentmanagement.servlet.ContentDeliveryServlet/LIVE_CONTENT/Publications/Reports/2013/States_Outlook_Feb_2013_Final.pdf" TargetMode="External"/><Relationship Id="rId52"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heCIE.com.au" TargetMode="Externa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header" Target="header6.xml"/><Relationship Id="rId43" Type="http://schemas.openxmlformats.org/officeDocument/2006/relationships/hyperlink" Target="http://apps.treasury.act.gov.au/snapshot/?a=399978" TargetMode="External"/><Relationship Id="rId48" Type="http://schemas.openxmlformats.org/officeDocument/2006/relationships/header" Target="header10.xml"/><Relationship Id="rId56" Type="http://schemas.openxmlformats.org/officeDocument/2006/relationships/footer" Target="footer13.xml"/><Relationship Id="rId8" Type="http://schemas.openxmlformats.org/officeDocument/2006/relationships/image" Target="media/image1.png"/><Relationship Id="rId51" Type="http://schemas.openxmlformats.org/officeDocument/2006/relationships/footer" Target="footer1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ausstats.abs.gov.au/ausstats/meisubs.nsf/0/E2C14B0655D6A059CA257CD100137B8E/$File/62020_apr%2020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han%20Alexander\AppData\Roaming\Microsoft\Templates\CIE%20report.dotm" TargetMode="External"/></Relationships>
</file>

<file path=word/theme/theme1.xml><?xml version="1.0" encoding="utf-8"?>
<a:theme xmlns:a="http://schemas.openxmlformats.org/drawingml/2006/main" name="TheCIE">
  <a:themeElements>
    <a:clrScheme name="TheCIE">
      <a:dk1>
        <a:sysClr val="windowText" lastClr="000000"/>
      </a:dk1>
      <a:lt1>
        <a:sysClr val="window" lastClr="FFFFFF"/>
      </a:lt1>
      <a:dk2>
        <a:srgbClr val="6F6652"/>
      </a:dk2>
      <a:lt2>
        <a:srgbClr val="E9E8E5"/>
      </a:lt2>
      <a:accent1>
        <a:srgbClr val="006B7A"/>
      </a:accent1>
      <a:accent2>
        <a:srgbClr val="F61D12"/>
      </a:accent2>
      <a:accent3>
        <a:srgbClr val="C6BFAB"/>
      </a:accent3>
      <a:accent4>
        <a:srgbClr val="9B917E"/>
      </a:accent4>
      <a:accent5>
        <a:srgbClr val="6F6652"/>
      </a:accent5>
      <a:accent6>
        <a:srgbClr val="9AC2C4"/>
      </a:accent6>
      <a:hlink>
        <a:srgbClr val="6F6652"/>
      </a:hlink>
      <a:folHlink>
        <a:srgbClr val="9B917E"/>
      </a:folHlink>
    </a:clrScheme>
    <a:fontScheme name="TheCIE">
      <a:majorFont>
        <a:latin typeface="Calisto MT"/>
        <a:ea typeface=""/>
        <a:cs typeface=""/>
      </a:majorFont>
      <a:minorFont>
        <a:latin typeface="Calisto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0250463-686F-4610-83DC-EE9A104E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CIE report.dotm</Template>
  <TotalTime>1</TotalTime>
  <Pages>64</Pages>
  <Words>19491</Words>
  <Characters>111101</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ldavis</dc:creator>
  <cp:lastModifiedBy>brian lloyd</cp:lastModifiedBy>
  <cp:revision>2</cp:revision>
  <cp:lastPrinted>2014-06-13T03:47:00Z</cp:lastPrinted>
  <dcterms:created xsi:type="dcterms:W3CDTF">2014-06-13T05:59:00Z</dcterms:created>
  <dcterms:modified xsi:type="dcterms:W3CDTF">2014-06-13T05:59:00Z</dcterms:modified>
</cp:coreProperties>
</file>