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64FF71" w14:textId="26965CDD" w:rsidR="00C02510" w:rsidRPr="00C8358A" w:rsidRDefault="00C02510" w:rsidP="00AD25DE">
      <w:pPr>
        <w:pStyle w:val="Cover-Committeename"/>
        <w:ind w:left="1701" w:right="2222"/>
      </w:pPr>
      <w:bookmarkStart w:id="0" w:name="_Toc79133346"/>
      <w:r w:rsidRPr="00C8358A">
        <w:t>Standing Committee on</w:t>
      </w:r>
      <w:r w:rsidR="00FE46F2">
        <w:t xml:space="preserve"> </w:t>
      </w:r>
      <w:r w:rsidR="00AD25DE">
        <w:t>Legal Affairs</w:t>
      </w:r>
      <w:r w:rsidR="00FE46F2">
        <w:t xml:space="preserve"> (Legislative Scrutiny Role)</w:t>
      </w:r>
    </w:p>
    <w:p w14:paraId="6F1D36AD" w14:textId="12B7C6B6" w:rsidR="00A23A3E" w:rsidRDefault="00FE46F2" w:rsidP="00E31783">
      <w:pPr>
        <w:pStyle w:val="Title"/>
        <w:tabs>
          <w:tab w:val="left" w:pos="5006"/>
        </w:tabs>
        <w:sectPr w:rsidR="00A23A3E" w:rsidSect="003C3E0B">
          <w:footerReference w:type="even" r:id="rId8"/>
          <w:footerReference w:type="default" r:id="rId9"/>
          <w:headerReference w:type="first" r:id="rId10"/>
          <w:footerReference w:type="first" r:id="rId11"/>
          <w:pgSz w:w="11906" w:h="16838"/>
          <w:pgMar w:top="1440" w:right="1440" w:bottom="1440" w:left="1440" w:header="708" w:footer="708" w:gutter="0"/>
          <w:cols w:space="708"/>
          <w:titlePg/>
          <w:docGrid w:linePitch="360"/>
        </w:sectPr>
      </w:pPr>
      <w:r>
        <w:t xml:space="preserve">Scrutiny Report </w:t>
      </w:r>
      <w:r w:rsidR="00BF2EB2">
        <w:t>1</w:t>
      </w:r>
      <w:r w:rsidR="00640C3D">
        <w:t>8</w:t>
      </w:r>
    </w:p>
    <w:p w14:paraId="348D1164" w14:textId="2A8AD5BC" w:rsidR="00A23A3E" w:rsidRDefault="00123781" w:rsidP="009F5A83">
      <w:pPr>
        <w:pStyle w:val="Heading1nonumber"/>
      </w:pPr>
      <w:bookmarkStart w:id="1" w:name="_Toc227841468"/>
      <w:r>
        <w:lastRenderedPageBreak/>
        <w:t>About the</w:t>
      </w:r>
      <w:r w:rsidR="00A23A3E">
        <w:t xml:space="preserve"> committee</w:t>
      </w:r>
      <w:bookmarkEnd w:id="1"/>
    </w:p>
    <w:p w14:paraId="5F0FD841" w14:textId="4E43C4A1" w:rsidR="00123781" w:rsidRDefault="00D23E3A" w:rsidP="00911F03">
      <w:pPr>
        <w:pStyle w:val="Heading20"/>
      </w:pPr>
      <w:bookmarkStart w:id="2" w:name="_Toc227841469"/>
      <w:r>
        <w:t>Establishing resolution</w:t>
      </w:r>
      <w:bookmarkEnd w:id="2"/>
    </w:p>
    <w:p w14:paraId="12BE434B" w14:textId="7FB2C7BE" w:rsidR="00024F1A" w:rsidRDefault="00123781" w:rsidP="00123781">
      <w:r>
        <w:t xml:space="preserve">The Assembly established </w:t>
      </w:r>
      <w:r w:rsidR="00024F1A">
        <w:t>the</w:t>
      </w:r>
      <w:r>
        <w:t xml:space="preserve"> </w:t>
      </w:r>
      <w:fldSimple w:instr=" STYLEREF  &quot;Cover - Committee name&quot;  \* MERGEFORMAT ">
        <w:r w:rsidR="00480114">
          <w:rPr>
            <w:noProof/>
          </w:rPr>
          <w:t>Standing Committee on Legal Affairs (Legislative Scrutiny Role)</w:t>
        </w:r>
      </w:fldSimple>
      <w:r>
        <w:t xml:space="preserve"> on </w:t>
      </w:r>
      <w:r w:rsidR="00221E09">
        <w:t>3</w:t>
      </w:r>
      <w:r w:rsidR="00C31C58">
        <w:t> </w:t>
      </w:r>
      <w:r>
        <w:t>December 202</w:t>
      </w:r>
      <w:r w:rsidR="00221E09">
        <w:t>4</w:t>
      </w:r>
      <w:r>
        <w:t xml:space="preserve">. </w:t>
      </w:r>
    </w:p>
    <w:p w14:paraId="64CBB1EF" w14:textId="06545F2A" w:rsidR="005D0971" w:rsidRDefault="00024F1A" w:rsidP="005D0971">
      <w:pPr>
        <w:spacing w:after="120"/>
      </w:pPr>
      <w:r>
        <w:t>The Committee is responsible for the following areas</w:t>
      </w:r>
      <w:r w:rsidR="005D0971">
        <w:t>:</w:t>
      </w:r>
    </w:p>
    <w:p w14:paraId="016248E4" w14:textId="2AE0B25E" w:rsidR="00FB72F9" w:rsidRPr="00697120" w:rsidRDefault="00587A92" w:rsidP="00FB72F9">
      <w:pPr>
        <w:keepNext/>
        <w:keepLines/>
        <w:tabs>
          <w:tab w:val="left" w:pos="567"/>
        </w:tabs>
        <w:spacing w:before="60" w:after="60"/>
        <w:ind w:left="1134" w:hanging="567"/>
        <w:rPr>
          <w:rFonts w:ascii="Calibri" w:hAnsi="Calibri"/>
        </w:rPr>
      </w:pPr>
      <w:r>
        <w:rPr>
          <w:rFonts w:ascii="Calibri" w:hAnsi="Calibri"/>
        </w:rPr>
        <w:t>“</w:t>
      </w:r>
      <w:r w:rsidR="00FB72F9" w:rsidRPr="00697120">
        <w:rPr>
          <w:rFonts w:ascii="Calibri" w:hAnsi="Calibri"/>
        </w:rPr>
        <w:t>(</w:t>
      </w:r>
      <w:r w:rsidR="00221E09">
        <w:rPr>
          <w:rFonts w:ascii="Calibri" w:hAnsi="Calibri"/>
        </w:rPr>
        <w:t>9</w:t>
      </w:r>
      <w:r w:rsidR="00FB72F9" w:rsidRPr="00697120">
        <w:rPr>
          <w:rFonts w:ascii="Calibri" w:hAnsi="Calibri"/>
        </w:rPr>
        <w:t>)</w:t>
      </w:r>
      <w:r w:rsidR="00FB72F9" w:rsidRPr="00697120">
        <w:rPr>
          <w:rFonts w:ascii="Calibri" w:hAnsi="Calibri"/>
        </w:rPr>
        <w:tab/>
        <w:t xml:space="preserve">the Standing Committee on </w:t>
      </w:r>
      <w:r w:rsidR="00221E09">
        <w:rPr>
          <w:rFonts w:ascii="Calibri" w:hAnsi="Calibri"/>
        </w:rPr>
        <w:t>Legal Affairs</w:t>
      </w:r>
      <w:r w:rsidR="00FB72F9" w:rsidRPr="00697120">
        <w:rPr>
          <w:rFonts w:ascii="Calibri" w:hAnsi="Calibri"/>
        </w:rPr>
        <w:t xml:space="preserve"> is also to perform a</w:t>
      </w:r>
      <w:r w:rsidR="00C57B76">
        <w:rPr>
          <w:rFonts w:ascii="Calibri" w:hAnsi="Calibri"/>
        </w:rPr>
        <w:t> </w:t>
      </w:r>
      <w:r w:rsidR="00FB72F9" w:rsidRPr="00697120">
        <w:rPr>
          <w:rFonts w:ascii="Calibri" w:hAnsi="Calibri"/>
        </w:rPr>
        <w:t>legislative scrutiny role of bills and subordinate legislation by:</w:t>
      </w:r>
    </w:p>
    <w:p w14:paraId="3292F9CB" w14:textId="77777777" w:rsidR="00FB72F9" w:rsidRPr="00697120" w:rsidRDefault="00FB72F9" w:rsidP="00FB72F9">
      <w:pPr>
        <w:keepNext/>
        <w:keepLines/>
        <w:tabs>
          <w:tab w:val="left" w:pos="567"/>
        </w:tabs>
        <w:spacing w:before="60" w:after="60"/>
        <w:ind w:left="1701" w:hanging="567"/>
        <w:rPr>
          <w:rFonts w:ascii="Calibri" w:hAnsi="Calibri"/>
        </w:rPr>
      </w:pPr>
      <w:r w:rsidRPr="00697120">
        <w:rPr>
          <w:rFonts w:ascii="Calibri" w:hAnsi="Calibri"/>
        </w:rPr>
        <w:t>(a)</w:t>
      </w:r>
      <w:r w:rsidRPr="00697120">
        <w:rPr>
          <w:rFonts w:ascii="Calibri" w:hAnsi="Calibri"/>
        </w:rPr>
        <w:tab/>
        <w:t>considering whether the clauses of bills (and amendments proposed by the Government to its own bills) introduced into the Assembly:</w:t>
      </w:r>
    </w:p>
    <w:p w14:paraId="4B85A59B" w14:textId="77777777" w:rsidR="00FB72F9" w:rsidRPr="00697120" w:rsidRDefault="00FB72F9" w:rsidP="00FB72F9">
      <w:pPr>
        <w:keepNext/>
        <w:keepLines/>
        <w:spacing w:before="60" w:after="60"/>
        <w:ind w:left="2268" w:hanging="567"/>
        <w:rPr>
          <w:rFonts w:ascii="Calibri" w:hAnsi="Calibri"/>
        </w:rPr>
      </w:pPr>
      <w:r w:rsidRPr="00697120">
        <w:rPr>
          <w:rFonts w:ascii="Calibri" w:hAnsi="Calibri"/>
        </w:rPr>
        <w:t>(</w:t>
      </w:r>
      <w:proofErr w:type="spellStart"/>
      <w:r w:rsidRPr="00697120">
        <w:rPr>
          <w:rFonts w:ascii="Calibri" w:hAnsi="Calibri"/>
        </w:rPr>
        <w:t>i</w:t>
      </w:r>
      <w:proofErr w:type="spellEnd"/>
      <w:r w:rsidRPr="00697120">
        <w:rPr>
          <w:rFonts w:ascii="Calibri" w:hAnsi="Calibri"/>
        </w:rPr>
        <w:t>)</w:t>
      </w:r>
      <w:r w:rsidRPr="00697120">
        <w:rPr>
          <w:rFonts w:ascii="Calibri" w:hAnsi="Calibri"/>
        </w:rPr>
        <w:tab/>
        <w:t xml:space="preserve">unduly trespass on personal rights and </w:t>
      </w:r>
      <w:proofErr w:type="gramStart"/>
      <w:r w:rsidRPr="00697120">
        <w:rPr>
          <w:rFonts w:ascii="Calibri" w:hAnsi="Calibri"/>
        </w:rPr>
        <w:t>liberties;</w:t>
      </w:r>
      <w:proofErr w:type="gramEnd"/>
    </w:p>
    <w:p w14:paraId="612F0DE0" w14:textId="77777777" w:rsidR="00FB72F9" w:rsidRPr="00697120" w:rsidRDefault="00FB72F9" w:rsidP="00FB72F9">
      <w:pPr>
        <w:spacing w:before="60" w:after="60"/>
        <w:ind w:left="2268" w:hanging="567"/>
        <w:rPr>
          <w:rFonts w:ascii="Calibri" w:hAnsi="Calibri"/>
        </w:rPr>
      </w:pPr>
      <w:r w:rsidRPr="00697120">
        <w:rPr>
          <w:rFonts w:ascii="Calibri" w:hAnsi="Calibri"/>
        </w:rPr>
        <w:t>(ii)</w:t>
      </w:r>
      <w:r w:rsidRPr="00697120">
        <w:rPr>
          <w:rFonts w:ascii="Calibri" w:hAnsi="Calibri"/>
        </w:rPr>
        <w:tab/>
        <w:t xml:space="preserve">make rights, liberties and/or obligations unduly dependent upon insufficiently defined administrative </w:t>
      </w:r>
      <w:proofErr w:type="gramStart"/>
      <w:r w:rsidRPr="00697120">
        <w:rPr>
          <w:rFonts w:ascii="Calibri" w:hAnsi="Calibri"/>
        </w:rPr>
        <w:t>powers;</w:t>
      </w:r>
      <w:proofErr w:type="gramEnd"/>
    </w:p>
    <w:p w14:paraId="6534355F" w14:textId="77777777" w:rsidR="00FB72F9" w:rsidRPr="00697120" w:rsidRDefault="00FB72F9" w:rsidP="00FB72F9">
      <w:pPr>
        <w:spacing w:before="60" w:after="60"/>
        <w:ind w:left="2268" w:hanging="567"/>
        <w:rPr>
          <w:rFonts w:ascii="Calibri" w:hAnsi="Calibri"/>
        </w:rPr>
      </w:pPr>
      <w:r w:rsidRPr="00697120">
        <w:rPr>
          <w:rFonts w:ascii="Calibri" w:hAnsi="Calibri"/>
        </w:rPr>
        <w:t>(iii)</w:t>
      </w:r>
      <w:r w:rsidRPr="00697120">
        <w:rPr>
          <w:rFonts w:ascii="Calibri" w:hAnsi="Calibri"/>
        </w:rPr>
        <w:tab/>
        <w:t xml:space="preserve">make rights, liberties and/or obligations unduly dependent upon non-reviewable </w:t>
      </w:r>
      <w:proofErr w:type="gramStart"/>
      <w:r w:rsidRPr="00697120">
        <w:rPr>
          <w:rFonts w:ascii="Calibri" w:hAnsi="Calibri"/>
        </w:rPr>
        <w:t>decisions;</w:t>
      </w:r>
      <w:proofErr w:type="gramEnd"/>
    </w:p>
    <w:p w14:paraId="1EF0660A" w14:textId="77777777" w:rsidR="00FB72F9" w:rsidRPr="00697120" w:rsidRDefault="00FB72F9" w:rsidP="00FB72F9">
      <w:pPr>
        <w:spacing w:before="60" w:after="60"/>
        <w:ind w:left="2268" w:hanging="567"/>
        <w:rPr>
          <w:rFonts w:ascii="Calibri" w:hAnsi="Calibri"/>
        </w:rPr>
      </w:pPr>
      <w:r w:rsidRPr="00697120">
        <w:rPr>
          <w:rFonts w:ascii="Calibri" w:hAnsi="Calibri"/>
        </w:rPr>
        <w:t>(iv)</w:t>
      </w:r>
      <w:r w:rsidRPr="00697120">
        <w:rPr>
          <w:rFonts w:ascii="Calibri" w:hAnsi="Calibri"/>
        </w:rPr>
        <w:tab/>
        <w:t>inappropriately delegate legislative powers; or</w:t>
      </w:r>
    </w:p>
    <w:p w14:paraId="07875006" w14:textId="77777777" w:rsidR="00FB72F9" w:rsidRPr="00697120" w:rsidRDefault="00FB72F9" w:rsidP="00FB72F9">
      <w:pPr>
        <w:spacing w:before="60" w:after="60"/>
        <w:ind w:left="2268" w:hanging="567"/>
        <w:rPr>
          <w:rFonts w:ascii="Calibri" w:hAnsi="Calibri"/>
        </w:rPr>
      </w:pPr>
      <w:r w:rsidRPr="00697120">
        <w:rPr>
          <w:rFonts w:ascii="Calibri" w:hAnsi="Calibri"/>
        </w:rPr>
        <w:t>(v)</w:t>
      </w:r>
      <w:r w:rsidRPr="00697120">
        <w:rPr>
          <w:rFonts w:ascii="Calibri" w:hAnsi="Calibri"/>
        </w:rPr>
        <w:tab/>
        <w:t>insufficiently subject the exercise of legislative power to parliamentary scrutiny; and</w:t>
      </w:r>
    </w:p>
    <w:p w14:paraId="6D15A71B" w14:textId="77777777" w:rsidR="00FB72F9" w:rsidRPr="00697120" w:rsidRDefault="00FB72F9" w:rsidP="00FB72F9">
      <w:pPr>
        <w:spacing w:before="60" w:after="60"/>
        <w:ind w:left="2268" w:hanging="567"/>
        <w:rPr>
          <w:rFonts w:ascii="Calibri" w:hAnsi="Calibri"/>
        </w:rPr>
      </w:pPr>
      <w:r w:rsidRPr="00697120">
        <w:rPr>
          <w:rFonts w:ascii="Calibri" w:hAnsi="Calibri"/>
        </w:rPr>
        <w:t>(vi)</w:t>
      </w:r>
      <w:r w:rsidRPr="00697120">
        <w:rPr>
          <w:rFonts w:ascii="Calibri" w:hAnsi="Calibri"/>
        </w:rPr>
        <w:tab/>
        <w:t xml:space="preserve">consider whether any explanatory statement associated with legislation meets the technical or stylistic standards expected by the </w:t>
      </w:r>
      <w:proofErr w:type="gramStart"/>
      <w:r w:rsidRPr="00697120">
        <w:rPr>
          <w:rFonts w:ascii="Calibri" w:hAnsi="Calibri"/>
        </w:rPr>
        <w:t>Assembly;</w:t>
      </w:r>
      <w:proofErr w:type="gramEnd"/>
    </w:p>
    <w:p w14:paraId="72B8A819" w14:textId="79B29332" w:rsidR="00FB72F9" w:rsidRPr="00697120" w:rsidRDefault="00FB72F9" w:rsidP="00FB72F9">
      <w:pPr>
        <w:tabs>
          <w:tab w:val="left" w:pos="567"/>
        </w:tabs>
        <w:spacing w:before="60" w:after="60"/>
        <w:ind w:left="1701" w:hanging="567"/>
        <w:rPr>
          <w:rFonts w:ascii="Calibri" w:hAnsi="Calibri"/>
        </w:rPr>
      </w:pPr>
      <w:r w:rsidRPr="00697120">
        <w:rPr>
          <w:rFonts w:ascii="Calibri" w:hAnsi="Calibri"/>
        </w:rPr>
        <w:t>(b)</w:t>
      </w:r>
      <w:r w:rsidRPr="00697120">
        <w:rPr>
          <w:rFonts w:ascii="Calibri" w:hAnsi="Calibri"/>
        </w:rPr>
        <w:tab/>
        <w:t xml:space="preserve">reporting to the Legislative Assembly about human rights issues raised by bills </w:t>
      </w:r>
      <w:r w:rsidR="00221E09">
        <w:rPr>
          <w:rFonts w:ascii="Calibri" w:hAnsi="Calibri"/>
        </w:rPr>
        <w:t xml:space="preserve">and subordinate laws </w:t>
      </w:r>
      <w:r w:rsidRPr="00697120">
        <w:rPr>
          <w:rFonts w:ascii="Calibri" w:hAnsi="Calibri"/>
        </w:rPr>
        <w:t xml:space="preserve">presented to the Assembly pursuant to section 38 of the </w:t>
      </w:r>
      <w:r w:rsidRPr="00697120">
        <w:rPr>
          <w:rFonts w:ascii="Calibri" w:hAnsi="Calibri"/>
          <w:i/>
        </w:rPr>
        <w:t xml:space="preserve">Human Rights Act </w:t>
      </w:r>
      <w:proofErr w:type="gramStart"/>
      <w:r w:rsidRPr="00697120">
        <w:rPr>
          <w:rFonts w:ascii="Calibri" w:hAnsi="Calibri"/>
          <w:i/>
        </w:rPr>
        <w:t>2004</w:t>
      </w:r>
      <w:r w:rsidRPr="00697120">
        <w:rPr>
          <w:rFonts w:ascii="Calibri" w:hAnsi="Calibri"/>
        </w:rPr>
        <w:t>;</w:t>
      </w:r>
      <w:proofErr w:type="gramEnd"/>
      <w:r w:rsidRPr="00697120">
        <w:rPr>
          <w:rFonts w:ascii="Calibri" w:hAnsi="Calibri"/>
        </w:rPr>
        <w:t xml:space="preserve"> </w:t>
      </w:r>
    </w:p>
    <w:p w14:paraId="3115B980" w14:textId="3F7641EA" w:rsidR="00FB72F9" w:rsidRPr="00697120" w:rsidRDefault="00FB72F9" w:rsidP="00FB72F9">
      <w:pPr>
        <w:tabs>
          <w:tab w:val="left" w:pos="567"/>
        </w:tabs>
        <w:spacing w:before="60" w:after="60"/>
        <w:ind w:left="1701" w:hanging="567"/>
        <w:rPr>
          <w:rFonts w:ascii="Calibri" w:hAnsi="Calibri"/>
        </w:rPr>
      </w:pPr>
      <w:r w:rsidRPr="00697120">
        <w:rPr>
          <w:rFonts w:ascii="Calibri" w:hAnsi="Calibri"/>
        </w:rPr>
        <w:t>(c)</w:t>
      </w:r>
      <w:r w:rsidRPr="00697120">
        <w:rPr>
          <w:rFonts w:ascii="Calibri" w:hAnsi="Calibri"/>
        </w:rPr>
        <w:tab/>
        <w:t>considering whether any instrument of a legislative nature made under an Act which is subject to disallowance and/or disapproval by the Assembly (including a</w:t>
      </w:r>
      <w:r w:rsidR="00C57B76">
        <w:rPr>
          <w:rFonts w:ascii="Calibri" w:hAnsi="Calibri"/>
        </w:rPr>
        <w:t> </w:t>
      </w:r>
      <w:r w:rsidRPr="00697120">
        <w:rPr>
          <w:rFonts w:ascii="Calibri" w:hAnsi="Calibri"/>
        </w:rPr>
        <w:t>regulation, rule or by-law):</w:t>
      </w:r>
    </w:p>
    <w:p w14:paraId="297A2510" w14:textId="77777777" w:rsidR="00FB72F9" w:rsidRPr="00697120" w:rsidRDefault="00FB72F9" w:rsidP="00FB72F9">
      <w:pPr>
        <w:spacing w:before="60" w:after="60"/>
        <w:ind w:left="2268" w:hanging="567"/>
        <w:rPr>
          <w:rFonts w:ascii="Calibri" w:hAnsi="Calibri"/>
        </w:rPr>
      </w:pPr>
      <w:r w:rsidRPr="00697120">
        <w:rPr>
          <w:rFonts w:ascii="Calibri" w:hAnsi="Calibri"/>
        </w:rPr>
        <w:t>(</w:t>
      </w:r>
      <w:proofErr w:type="spellStart"/>
      <w:r w:rsidRPr="00697120">
        <w:rPr>
          <w:rFonts w:ascii="Calibri" w:hAnsi="Calibri"/>
        </w:rPr>
        <w:t>i</w:t>
      </w:r>
      <w:proofErr w:type="spellEnd"/>
      <w:r w:rsidRPr="00697120">
        <w:rPr>
          <w:rFonts w:ascii="Calibri" w:hAnsi="Calibri"/>
        </w:rPr>
        <w:t>)</w:t>
      </w:r>
      <w:r w:rsidRPr="00697120">
        <w:rPr>
          <w:rFonts w:ascii="Calibri" w:hAnsi="Calibri"/>
        </w:rPr>
        <w:tab/>
        <w:t xml:space="preserve">is in accord with the general objects of the Act under which it is </w:t>
      </w:r>
      <w:proofErr w:type="gramStart"/>
      <w:r w:rsidRPr="00697120">
        <w:rPr>
          <w:rFonts w:ascii="Calibri" w:hAnsi="Calibri"/>
        </w:rPr>
        <w:t>made;</w:t>
      </w:r>
      <w:proofErr w:type="gramEnd"/>
    </w:p>
    <w:p w14:paraId="4DECAE2E" w14:textId="77777777" w:rsidR="00FB72F9" w:rsidRPr="00697120" w:rsidRDefault="00FB72F9" w:rsidP="00FB72F9">
      <w:pPr>
        <w:spacing w:before="60" w:after="60"/>
        <w:ind w:left="2268" w:hanging="567"/>
        <w:rPr>
          <w:rFonts w:ascii="Calibri" w:hAnsi="Calibri"/>
        </w:rPr>
      </w:pPr>
      <w:r w:rsidRPr="00697120">
        <w:rPr>
          <w:rFonts w:ascii="Calibri" w:hAnsi="Calibri"/>
        </w:rPr>
        <w:t>(ii)</w:t>
      </w:r>
      <w:r w:rsidRPr="00697120">
        <w:rPr>
          <w:rFonts w:ascii="Calibri" w:hAnsi="Calibri"/>
        </w:rPr>
        <w:tab/>
        <w:t xml:space="preserve">unduly trespasses on rights previously established by </w:t>
      </w:r>
      <w:proofErr w:type="gramStart"/>
      <w:r w:rsidRPr="00697120">
        <w:rPr>
          <w:rFonts w:ascii="Calibri" w:hAnsi="Calibri"/>
        </w:rPr>
        <w:t>law;</w:t>
      </w:r>
      <w:proofErr w:type="gramEnd"/>
    </w:p>
    <w:p w14:paraId="0BE2EC9C" w14:textId="77777777" w:rsidR="00FB72F9" w:rsidRPr="00697120" w:rsidRDefault="00FB72F9" w:rsidP="00FB72F9">
      <w:pPr>
        <w:spacing w:before="60" w:after="60"/>
        <w:ind w:left="2268" w:hanging="567"/>
        <w:rPr>
          <w:rFonts w:ascii="Calibri" w:hAnsi="Calibri"/>
        </w:rPr>
      </w:pPr>
      <w:r w:rsidRPr="00697120">
        <w:rPr>
          <w:rFonts w:ascii="Calibri" w:hAnsi="Calibri"/>
        </w:rPr>
        <w:t>(iii)</w:t>
      </w:r>
      <w:r w:rsidRPr="00697120">
        <w:rPr>
          <w:rFonts w:ascii="Calibri" w:hAnsi="Calibri"/>
        </w:rPr>
        <w:tab/>
        <w:t>makes rights, liberties and/or obligations unduly dependent upon non-reviewable decisions; or</w:t>
      </w:r>
    </w:p>
    <w:p w14:paraId="1B9BE49B" w14:textId="77777777" w:rsidR="00FB72F9" w:rsidRPr="00697120" w:rsidRDefault="00FB72F9" w:rsidP="00FB72F9">
      <w:pPr>
        <w:spacing w:before="60" w:after="60"/>
        <w:ind w:left="2268" w:hanging="567"/>
        <w:rPr>
          <w:rFonts w:ascii="Calibri" w:hAnsi="Calibri"/>
        </w:rPr>
      </w:pPr>
      <w:r w:rsidRPr="00697120">
        <w:rPr>
          <w:rFonts w:ascii="Calibri" w:hAnsi="Calibri"/>
        </w:rPr>
        <w:t>(iv)</w:t>
      </w:r>
      <w:r w:rsidRPr="00697120">
        <w:rPr>
          <w:rFonts w:ascii="Calibri" w:hAnsi="Calibri"/>
        </w:rPr>
        <w:tab/>
        <w:t>contains matter which in the opinion of the Committee should properly be dealt with in an Act of the Legislative Assembly; and</w:t>
      </w:r>
    </w:p>
    <w:p w14:paraId="469DD02C" w14:textId="4AB0C59B" w:rsidR="00FB72F9" w:rsidRPr="00697120" w:rsidRDefault="00FB72F9" w:rsidP="00FB72F9">
      <w:pPr>
        <w:tabs>
          <w:tab w:val="left" w:pos="567"/>
        </w:tabs>
        <w:spacing w:before="60" w:after="60"/>
        <w:ind w:left="1701" w:hanging="567"/>
        <w:rPr>
          <w:rFonts w:ascii="Calibri" w:hAnsi="Calibri"/>
        </w:rPr>
      </w:pPr>
      <w:r w:rsidRPr="00697120">
        <w:rPr>
          <w:rFonts w:ascii="Calibri" w:hAnsi="Calibri"/>
        </w:rPr>
        <w:t>(d)</w:t>
      </w:r>
      <w:r w:rsidRPr="00697120">
        <w:rPr>
          <w:rFonts w:ascii="Calibri" w:hAnsi="Calibri"/>
        </w:rPr>
        <w:tab/>
        <w:t>consider whether any explanatory statement or explanatory memorandum associated with legislation and any regulatory impact statement meets the technical or stylistic standards expected by the Assembly;</w:t>
      </w:r>
      <w:r w:rsidR="00587A92">
        <w:rPr>
          <w:rFonts w:ascii="Calibri" w:hAnsi="Calibri"/>
        </w:rPr>
        <w:t>”</w:t>
      </w:r>
      <w:r w:rsidR="00C65340">
        <w:rPr>
          <w:rFonts w:ascii="Calibri" w:hAnsi="Calibri"/>
        </w:rPr>
        <w:t>.</w:t>
      </w:r>
    </w:p>
    <w:p w14:paraId="459E064D" w14:textId="30DCCE44" w:rsidR="007A7A8B" w:rsidRDefault="007A7A8B" w:rsidP="007A7A8B">
      <w:pPr>
        <w:spacing w:before="120"/>
        <w:rPr>
          <w:rStyle w:val="Hyperlink"/>
        </w:rPr>
      </w:pPr>
      <w:r>
        <w:t xml:space="preserve">You can read the full establishing resolution </w:t>
      </w:r>
      <w:hyperlink r:id="rId12" w:history="1">
        <w:r w:rsidRPr="003B5735">
          <w:rPr>
            <w:rStyle w:val="Hyperlink"/>
          </w:rPr>
          <w:t>on our website</w:t>
        </w:r>
      </w:hyperlink>
      <w:r w:rsidRPr="003B5735">
        <w:t>.</w:t>
      </w:r>
      <w:r w:rsidR="00BA149C">
        <w:rPr>
          <w:rStyle w:val="FootnoteReference"/>
        </w:rPr>
        <w:footnoteReference w:id="1"/>
      </w:r>
    </w:p>
    <w:p w14:paraId="15D66793" w14:textId="77777777" w:rsidR="008D102D" w:rsidRDefault="008D102D" w:rsidP="00911F03">
      <w:pPr>
        <w:pStyle w:val="Heading20"/>
      </w:pPr>
      <w:bookmarkStart w:id="3" w:name="_Toc148444489"/>
      <w:bookmarkStart w:id="4" w:name="_Toc227841470"/>
      <w:r>
        <w:lastRenderedPageBreak/>
        <w:t>Committee members</w:t>
      </w:r>
      <w:bookmarkEnd w:id="3"/>
      <w:bookmarkEnd w:id="4"/>
    </w:p>
    <w:p w14:paraId="5D504293" w14:textId="57267F1C" w:rsidR="008D102D" w:rsidRDefault="008E5AFB" w:rsidP="008D102D">
      <w:pPr>
        <w:pStyle w:val="List"/>
        <w:keepNext/>
      </w:pPr>
      <w:proofErr w:type="spellStart"/>
      <w:r>
        <w:t>Chiaka</w:t>
      </w:r>
      <w:proofErr w:type="spellEnd"/>
      <w:r>
        <w:t xml:space="preserve"> Barry</w:t>
      </w:r>
      <w:r w:rsidR="008D102D">
        <w:t xml:space="preserve"> MLA, Chair</w:t>
      </w:r>
    </w:p>
    <w:p w14:paraId="6B16E8E0" w14:textId="6963497D" w:rsidR="008D102D" w:rsidRDefault="00C3426A" w:rsidP="008D102D">
      <w:pPr>
        <w:pStyle w:val="List"/>
      </w:pPr>
      <w:r>
        <w:t>Taimus Werner-Gibbings MLA, Deputy Chair</w:t>
      </w:r>
    </w:p>
    <w:p w14:paraId="68F0D3A8" w14:textId="1CFA7B9A" w:rsidR="008D102D" w:rsidRDefault="00C3426A" w:rsidP="008D102D">
      <w:pPr>
        <w:pStyle w:val="List"/>
      </w:pPr>
      <w:r>
        <w:t>Shane Rattenbury</w:t>
      </w:r>
      <w:r w:rsidR="008D102D">
        <w:t xml:space="preserve"> MLA</w:t>
      </w:r>
    </w:p>
    <w:p w14:paraId="79F4BEA7" w14:textId="77777777" w:rsidR="008D102D" w:rsidRDefault="008D102D" w:rsidP="00911F03">
      <w:pPr>
        <w:pStyle w:val="Heading20"/>
      </w:pPr>
      <w:bookmarkStart w:id="5" w:name="_Toc148444490"/>
      <w:bookmarkStart w:id="6" w:name="_Toc227841471"/>
      <w:r>
        <w:t>Secretariat</w:t>
      </w:r>
      <w:bookmarkEnd w:id="5"/>
      <w:bookmarkEnd w:id="6"/>
    </w:p>
    <w:p w14:paraId="3D42F8B7" w14:textId="77777777" w:rsidR="008D102D" w:rsidRPr="00A23A3E" w:rsidRDefault="008D102D" w:rsidP="008D102D">
      <w:pPr>
        <w:pStyle w:val="List"/>
      </w:pPr>
      <w:r>
        <w:t>Hamish Finlay</w:t>
      </w:r>
      <w:r w:rsidRPr="00A23A3E">
        <w:t>, Committee Secretary</w:t>
      </w:r>
    </w:p>
    <w:p w14:paraId="0563C61F" w14:textId="766767ED" w:rsidR="008D102D" w:rsidRDefault="008D102D" w:rsidP="008D102D">
      <w:pPr>
        <w:pStyle w:val="List"/>
      </w:pPr>
      <w:r>
        <w:t xml:space="preserve">Frieda Scott, </w:t>
      </w:r>
      <w:r w:rsidR="00B46BE9">
        <w:t>Assistant Secretary</w:t>
      </w:r>
    </w:p>
    <w:p w14:paraId="123BA736" w14:textId="3F55A5CE" w:rsidR="00CE02FD" w:rsidRPr="00A23A3E" w:rsidRDefault="00CE02FD" w:rsidP="008D102D">
      <w:pPr>
        <w:pStyle w:val="List"/>
      </w:pPr>
      <w:r>
        <w:t xml:space="preserve">Melissa </w:t>
      </w:r>
      <w:r w:rsidRPr="00CE02FD">
        <w:t>Trpkovski</w:t>
      </w:r>
      <w:r>
        <w:t>, Administration Officer</w:t>
      </w:r>
    </w:p>
    <w:p w14:paraId="2135DBE8" w14:textId="77777777" w:rsidR="008D102D" w:rsidRDefault="008D102D" w:rsidP="008D102D">
      <w:pPr>
        <w:pStyle w:val="List"/>
      </w:pPr>
      <w:r>
        <w:t>Stephen Argument, Legal Adviser (Subordinate Legislation)</w:t>
      </w:r>
    </w:p>
    <w:p w14:paraId="3668809E" w14:textId="2D8E7AFD" w:rsidR="00DE714C" w:rsidRDefault="00DE714C" w:rsidP="008D102D">
      <w:pPr>
        <w:pStyle w:val="List"/>
      </w:pPr>
      <w:r>
        <w:t>Jacinta Dharmananda, Legal Adviser (Bills)</w:t>
      </w:r>
    </w:p>
    <w:p w14:paraId="2A42045C" w14:textId="77777777" w:rsidR="008D102D" w:rsidRDefault="008D102D" w:rsidP="00911F03">
      <w:pPr>
        <w:pStyle w:val="Heading20"/>
      </w:pPr>
      <w:bookmarkStart w:id="7" w:name="_Toc148444491"/>
      <w:bookmarkStart w:id="8" w:name="_Toc227841472"/>
      <w:r>
        <w:t>Contact us</w:t>
      </w:r>
      <w:bookmarkEnd w:id="7"/>
      <w:bookmarkEnd w:id="8"/>
    </w:p>
    <w:p w14:paraId="41AE1649" w14:textId="5865B1D3" w:rsidR="008D102D" w:rsidRDefault="008D102D" w:rsidP="008D102D">
      <w:pPr>
        <w:ind w:left="1134" w:hanging="1134"/>
      </w:pPr>
      <w:r>
        <w:rPr>
          <w:b/>
          <w:bCs/>
        </w:rPr>
        <w:t>Mail</w:t>
      </w:r>
      <w:r>
        <w:tab/>
      </w:r>
      <w:fldSimple w:instr=" STYLEREF  &quot;Cover - Committee name&quot;  \* MERGEFORMAT ">
        <w:r w:rsidR="00480114">
          <w:rPr>
            <w:noProof/>
          </w:rPr>
          <w:t>Standing Committee on Legal Affairs (Legislative Scrutiny Role)</w:t>
        </w:r>
      </w:fldSimple>
      <w:r>
        <w:br/>
        <w:t>Legislative Assembly for the Australian Capital Territory</w:t>
      </w:r>
      <w:r>
        <w:br/>
        <w:t>GPO Box 1020</w:t>
      </w:r>
      <w:r>
        <w:br/>
        <w:t>CANBERRA ACT 2601</w:t>
      </w:r>
    </w:p>
    <w:p w14:paraId="4E99D8B1" w14:textId="77777777" w:rsidR="008D102D" w:rsidRDefault="008D102D" w:rsidP="008D102D">
      <w:pPr>
        <w:ind w:left="1134" w:hanging="1134"/>
      </w:pPr>
      <w:r>
        <w:rPr>
          <w:b/>
          <w:bCs/>
        </w:rPr>
        <w:t>Phone</w:t>
      </w:r>
      <w:r>
        <w:rPr>
          <w:b/>
          <w:bCs/>
        </w:rPr>
        <w:tab/>
      </w:r>
      <w:r>
        <w:t xml:space="preserve">(02) </w:t>
      </w:r>
      <w:r w:rsidRPr="008E750D">
        <w:t>620</w:t>
      </w:r>
      <w:r>
        <w:t>5 0171</w:t>
      </w:r>
    </w:p>
    <w:p w14:paraId="7F1AE6E6" w14:textId="77777777" w:rsidR="008D102D" w:rsidRDefault="008D102D" w:rsidP="008D102D">
      <w:pPr>
        <w:ind w:left="1134" w:hanging="1134"/>
      </w:pPr>
      <w:r>
        <w:rPr>
          <w:b/>
          <w:bCs/>
        </w:rPr>
        <w:t>Email</w:t>
      </w:r>
      <w:r>
        <w:tab/>
      </w:r>
      <w:hyperlink r:id="rId13" w:history="1">
        <w:r w:rsidRPr="008845EF">
          <w:rPr>
            <w:rStyle w:val="Hyperlink"/>
          </w:rPr>
          <w:t>scrutiny@parliament.act.gov.au</w:t>
        </w:r>
      </w:hyperlink>
      <w:r>
        <w:t xml:space="preserve"> </w:t>
      </w:r>
    </w:p>
    <w:p w14:paraId="4618F546" w14:textId="77777777" w:rsidR="008D102D" w:rsidRDefault="008D102D" w:rsidP="008D102D">
      <w:pPr>
        <w:spacing w:line="259" w:lineRule="auto"/>
        <w:ind w:left="1134" w:hanging="1134"/>
      </w:pPr>
      <w:r>
        <w:rPr>
          <w:b/>
          <w:bCs/>
        </w:rPr>
        <w:t>Website</w:t>
      </w:r>
      <w:r>
        <w:rPr>
          <w:b/>
          <w:bCs/>
        </w:rPr>
        <w:tab/>
      </w:r>
      <w:hyperlink r:id="rId14" w:history="1">
        <w:r w:rsidRPr="001D22FC">
          <w:rPr>
            <w:rStyle w:val="Hyperlink"/>
          </w:rPr>
          <w:t>parliament.act.gov.au/parliamentary-business/in-committees</w:t>
        </w:r>
      </w:hyperlink>
    </w:p>
    <w:p w14:paraId="468651AD" w14:textId="77777777" w:rsidR="008D102D" w:rsidRPr="00AF7746" w:rsidRDefault="008D102D" w:rsidP="00911F03">
      <w:pPr>
        <w:pStyle w:val="Heading20"/>
      </w:pPr>
      <w:bookmarkStart w:id="9" w:name="_Toc500938172"/>
      <w:bookmarkStart w:id="10" w:name="_Toc500947020"/>
      <w:bookmarkStart w:id="11" w:name="_Toc501547029"/>
      <w:bookmarkStart w:id="12" w:name="_Toc501547384"/>
      <w:bookmarkStart w:id="13" w:name="_Toc505005668"/>
      <w:bookmarkStart w:id="14" w:name="_Toc505153759"/>
      <w:bookmarkStart w:id="15" w:name="_Toc508283427"/>
      <w:bookmarkStart w:id="16" w:name="_Toc510081783"/>
      <w:bookmarkStart w:id="17" w:name="_Toc511812220"/>
      <w:bookmarkStart w:id="18" w:name="_Toc512240158"/>
      <w:bookmarkStart w:id="19" w:name="_Toc513192155"/>
      <w:bookmarkStart w:id="20" w:name="_Toc514832417"/>
      <w:bookmarkStart w:id="21" w:name="_Toc514837962"/>
      <w:bookmarkStart w:id="22" w:name="_Toc514943596"/>
      <w:bookmarkStart w:id="23" w:name="_Toc515352039"/>
      <w:bookmarkStart w:id="24" w:name="_Toc518297248"/>
      <w:bookmarkStart w:id="25" w:name="_Toc519069306"/>
      <w:bookmarkStart w:id="26" w:name="_Toc519069367"/>
      <w:bookmarkStart w:id="27" w:name="_Toc519520734"/>
      <w:bookmarkStart w:id="28" w:name="_Toc520188713"/>
      <w:bookmarkStart w:id="29" w:name="_Toc521054230"/>
      <w:bookmarkStart w:id="30" w:name="_Toc521054317"/>
      <w:bookmarkStart w:id="31" w:name="_Toc521054389"/>
      <w:bookmarkStart w:id="32" w:name="_Toc523753612"/>
      <w:bookmarkStart w:id="33" w:name="_Toc523814161"/>
      <w:bookmarkStart w:id="34" w:name="_Toc523900452"/>
      <w:bookmarkStart w:id="35" w:name="_Toc526855813"/>
      <w:bookmarkStart w:id="36" w:name="_Toc528155839"/>
      <w:bookmarkStart w:id="37" w:name="_Toc528157198"/>
      <w:bookmarkStart w:id="38" w:name="_Toc528310851"/>
      <w:bookmarkStart w:id="39" w:name="_Toc529974530"/>
      <w:bookmarkStart w:id="40" w:name="_Toc530039425"/>
      <w:bookmarkStart w:id="41" w:name="_Toc536527673"/>
      <w:bookmarkStart w:id="42" w:name="_Toc536527836"/>
      <w:bookmarkStart w:id="43" w:name="_Toc536615374"/>
      <w:bookmarkStart w:id="44" w:name="_Toc172152"/>
      <w:bookmarkStart w:id="45" w:name="_Toc506077"/>
      <w:bookmarkStart w:id="46" w:name="_Toc945921"/>
      <w:bookmarkStart w:id="47" w:name="_Toc965811"/>
      <w:bookmarkStart w:id="48" w:name="_Toc2839575"/>
      <w:bookmarkStart w:id="49" w:name="_Toc2850235"/>
      <w:bookmarkStart w:id="50" w:name="_Toc3271212"/>
      <w:bookmarkStart w:id="51" w:name="_Toc4588273"/>
      <w:bookmarkStart w:id="52" w:name="_Toc4652919"/>
      <w:bookmarkStart w:id="53" w:name="_Toc5003661"/>
      <w:bookmarkStart w:id="54" w:name="_Toc6211034"/>
      <w:bookmarkStart w:id="55" w:name="_Toc9499992"/>
      <w:bookmarkStart w:id="56" w:name="_Toc14266114"/>
      <w:bookmarkStart w:id="57" w:name="_Toc14334603"/>
      <w:bookmarkStart w:id="58" w:name="_Toc14775953"/>
      <w:bookmarkStart w:id="59" w:name="_Toc15285031"/>
      <w:bookmarkStart w:id="60" w:name="_Toc15630651"/>
      <w:bookmarkStart w:id="61" w:name="_Toc18415323"/>
      <w:bookmarkStart w:id="62" w:name="_Toc18487691"/>
      <w:bookmarkStart w:id="63" w:name="_Toc19708394"/>
      <w:bookmarkStart w:id="64" w:name="_Toc20131683"/>
      <w:bookmarkStart w:id="65" w:name="_Toc21595441"/>
      <w:bookmarkStart w:id="66" w:name="_Toc22025442"/>
      <w:bookmarkStart w:id="67" w:name="_Toc24463705"/>
      <w:bookmarkStart w:id="68" w:name="_Toc24617702"/>
      <w:bookmarkStart w:id="69" w:name="_Toc25050774"/>
      <w:bookmarkStart w:id="70" w:name="_Toc31202138"/>
      <w:bookmarkStart w:id="71" w:name="_Toc31202259"/>
      <w:bookmarkStart w:id="72" w:name="_Toc32390199"/>
      <w:bookmarkStart w:id="73" w:name="_Toc32566840"/>
      <w:bookmarkStart w:id="74" w:name="_Toc35437930"/>
      <w:bookmarkStart w:id="75" w:name="_Toc38270540"/>
      <w:bookmarkStart w:id="76" w:name="_Toc38362391"/>
      <w:bookmarkStart w:id="77" w:name="_Toc38441872"/>
      <w:bookmarkStart w:id="78" w:name="_Toc38442379"/>
      <w:bookmarkStart w:id="79" w:name="_Toc38976317"/>
      <w:bookmarkStart w:id="80" w:name="_Toc40693088"/>
      <w:bookmarkStart w:id="81" w:name="_Toc40693229"/>
      <w:bookmarkStart w:id="82" w:name="_Toc41570915"/>
      <w:bookmarkStart w:id="83" w:name="_Toc42874997"/>
      <w:bookmarkStart w:id="84" w:name="_Toc44074214"/>
      <w:bookmarkStart w:id="85" w:name="_Toc44317225"/>
      <w:bookmarkStart w:id="86" w:name="_Toc44323928"/>
      <w:bookmarkStart w:id="87" w:name="_Toc80105327"/>
      <w:bookmarkStart w:id="88" w:name="_Toc80347171"/>
      <w:bookmarkStart w:id="89" w:name="_Toc80613167"/>
      <w:bookmarkStart w:id="90" w:name="_Toc80613257"/>
      <w:bookmarkStart w:id="91" w:name="_Toc80701764"/>
      <w:bookmarkStart w:id="92" w:name="_Toc83302219"/>
      <w:bookmarkStart w:id="93" w:name="_Toc83639599"/>
      <w:bookmarkStart w:id="94" w:name="_Toc86229552"/>
      <w:bookmarkStart w:id="95" w:name="_Toc148444492"/>
      <w:bookmarkStart w:id="96" w:name="_Toc227841473"/>
      <w:r w:rsidRPr="00AF7746">
        <w:t>Role of Committee</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29F82C1F" w14:textId="77777777" w:rsidR="008D102D" w:rsidRPr="00104A8B" w:rsidRDefault="008D102D" w:rsidP="008D102D">
      <w:r w:rsidRPr="00104A8B">
        <w:t>The Committee examines all Bills and subordinate legislation presented to the Assembly. It does not make any comments on the policy aspects of the legislation. The Committee’s terms of reference contain principles of scrutiny that enable it to operate in the best traditions of totally non-partisan, non-political technical scrutiny of legislation. These traditions have been adopted, without exception, by all scrutiny committees in Australia. Non-partisan, non-policy scrutiny allows the Committee to help the Assembly pass into law Acts and subordinate legislation which comply with the ideals set out in its terms of reference.</w:t>
      </w:r>
    </w:p>
    <w:p w14:paraId="7C256754" w14:textId="4CE93C2D" w:rsidR="008D102D" w:rsidRPr="008D102D" w:rsidRDefault="008D102D" w:rsidP="008D102D">
      <w:pPr>
        <w:spacing w:line="259" w:lineRule="auto"/>
        <w:rPr>
          <w:rStyle w:val="Hyperlink"/>
          <w:color w:val="auto"/>
          <w:u w:val="none"/>
        </w:rPr>
      </w:pPr>
      <w:r>
        <w:br w:type="page"/>
      </w:r>
    </w:p>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3CD36BCE" w14:textId="77777777" w:rsidR="00716E75" w:rsidRDefault="00716E75" w:rsidP="00716E75">
          <w:pPr>
            <w:pStyle w:val="TOCHeading"/>
          </w:pPr>
          <w:r>
            <w:t>Contents</w:t>
          </w:r>
        </w:p>
        <w:p w14:paraId="2EFFDE85" w14:textId="56C16F83" w:rsidR="00511B62" w:rsidRDefault="00B02BB7">
          <w:pPr>
            <w:pStyle w:val="TOC1"/>
            <w:rPr>
              <w:rFonts w:asciiTheme="minorHAnsi" w:eastAsiaTheme="minorEastAsia" w:hAnsiTheme="minorHAnsi"/>
              <w:b w:val="0"/>
              <w:bCs w:val="0"/>
              <w:color w:val="auto"/>
              <w:w w:val="100"/>
              <w:kern w:val="2"/>
              <w:sz w:val="24"/>
              <w:szCs w:val="24"/>
              <w:lang w:eastAsia="en-AU"/>
              <w14:ligatures w14:val="standardContextual"/>
            </w:rPr>
          </w:pPr>
          <w:r>
            <w:fldChar w:fldCharType="begin"/>
          </w:r>
          <w:r>
            <w:instrText xml:space="preserve"> TOC \o "1-4" \h \z \u </w:instrText>
          </w:r>
          <w:r>
            <w:fldChar w:fldCharType="separate"/>
          </w:r>
          <w:hyperlink w:anchor="_Toc227841468" w:history="1">
            <w:r w:rsidR="00511B62" w:rsidRPr="00287AE3">
              <w:rPr>
                <w:rStyle w:val="Hyperlink"/>
              </w:rPr>
              <w:t>About the committee</w:t>
            </w:r>
            <w:r w:rsidR="00511B62">
              <w:rPr>
                <w:webHidden/>
              </w:rPr>
              <w:tab/>
            </w:r>
            <w:r w:rsidR="00511B62">
              <w:rPr>
                <w:webHidden/>
              </w:rPr>
              <w:fldChar w:fldCharType="begin"/>
            </w:r>
            <w:r w:rsidR="00511B62">
              <w:rPr>
                <w:webHidden/>
              </w:rPr>
              <w:instrText xml:space="preserve"> PAGEREF _Toc227841468 \h </w:instrText>
            </w:r>
            <w:r w:rsidR="00511B62">
              <w:rPr>
                <w:webHidden/>
              </w:rPr>
            </w:r>
            <w:r w:rsidR="00511B62">
              <w:rPr>
                <w:webHidden/>
              </w:rPr>
              <w:fldChar w:fldCharType="separate"/>
            </w:r>
            <w:r w:rsidR="00480114">
              <w:rPr>
                <w:webHidden/>
              </w:rPr>
              <w:t>i</w:t>
            </w:r>
            <w:r w:rsidR="00511B62">
              <w:rPr>
                <w:webHidden/>
              </w:rPr>
              <w:fldChar w:fldCharType="end"/>
            </w:r>
          </w:hyperlink>
        </w:p>
        <w:p w14:paraId="29085CB3" w14:textId="0A18546F" w:rsidR="00511B62" w:rsidRDefault="00511B62">
          <w:pPr>
            <w:pStyle w:val="TOC2"/>
            <w:rPr>
              <w:rFonts w:eastAsiaTheme="minorEastAsia" w:cstheme="minorBidi"/>
              <w:kern w:val="2"/>
              <w:sz w:val="24"/>
              <w:szCs w:val="24"/>
              <w:lang w:eastAsia="en-AU"/>
              <w14:ligatures w14:val="standardContextual"/>
            </w:rPr>
          </w:pPr>
          <w:hyperlink w:anchor="_Toc227841469" w:history="1">
            <w:r w:rsidRPr="00287AE3">
              <w:rPr>
                <w:rStyle w:val="Hyperlink"/>
              </w:rPr>
              <w:t>Establishing resolution</w:t>
            </w:r>
            <w:r>
              <w:rPr>
                <w:webHidden/>
              </w:rPr>
              <w:tab/>
            </w:r>
            <w:r>
              <w:rPr>
                <w:webHidden/>
              </w:rPr>
              <w:fldChar w:fldCharType="begin"/>
            </w:r>
            <w:r>
              <w:rPr>
                <w:webHidden/>
              </w:rPr>
              <w:instrText xml:space="preserve"> PAGEREF _Toc227841469 \h </w:instrText>
            </w:r>
            <w:r>
              <w:rPr>
                <w:webHidden/>
              </w:rPr>
            </w:r>
            <w:r>
              <w:rPr>
                <w:webHidden/>
              </w:rPr>
              <w:fldChar w:fldCharType="separate"/>
            </w:r>
            <w:r w:rsidR="00480114">
              <w:rPr>
                <w:webHidden/>
              </w:rPr>
              <w:t>i</w:t>
            </w:r>
            <w:r>
              <w:rPr>
                <w:webHidden/>
              </w:rPr>
              <w:fldChar w:fldCharType="end"/>
            </w:r>
          </w:hyperlink>
        </w:p>
        <w:p w14:paraId="40D90456" w14:textId="5D4A8DC2" w:rsidR="00511B62" w:rsidRDefault="00511B62">
          <w:pPr>
            <w:pStyle w:val="TOC2"/>
            <w:rPr>
              <w:rFonts w:eastAsiaTheme="minorEastAsia" w:cstheme="minorBidi"/>
              <w:kern w:val="2"/>
              <w:sz w:val="24"/>
              <w:szCs w:val="24"/>
              <w:lang w:eastAsia="en-AU"/>
              <w14:ligatures w14:val="standardContextual"/>
            </w:rPr>
          </w:pPr>
          <w:hyperlink w:anchor="_Toc227841470" w:history="1">
            <w:r w:rsidRPr="00287AE3">
              <w:rPr>
                <w:rStyle w:val="Hyperlink"/>
              </w:rPr>
              <w:t>Committee members</w:t>
            </w:r>
            <w:r>
              <w:rPr>
                <w:webHidden/>
              </w:rPr>
              <w:tab/>
            </w:r>
            <w:r>
              <w:rPr>
                <w:webHidden/>
              </w:rPr>
              <w:fldChar w:fldCharType="begin"/>
            </w:r>
            <w:r>
              <w:rPr>
                <w:webHidden/>
              </w:rPr>
              <w:instrText xml:space="preserve"> PAGEREF _Toc227841470 \h </w:instrText>
            </w:r>
            <w:r>
              <w:rPr>
                <w:webHidden/>
              </w:rPr>
            </w:r>
            <w:r>
              <w:rPr>
                <w:webHidden/>
              </w:rPr>
              <w:fldChar w:fldCharType="separate"/>
            </w:r>
            <w:r w:rsidR="00480114">
              <w:rPr>
                <w:webHidden/>
              </w:rPr>
              <w:t>ii</w:t>
            </w:r>
            <w:r>
              <w:rPr>
                <w:webHidden/>
              </w:rPr>
              <w:fldChar w:fldCharType="end"/>
            </w:r>
          </w:hyperlink>
        </w:p>
        <w:p w14:paraId="608831C1" w14:textId="2FB83DB1" w:rsidR="00511B62" w:rsidRDefault="00511B62">
          <w:pPr>
            <w:pStyle w:val="TOC2"/>
            <w:rPr>
              <w:rFonts w:eastAsiaTheme="minorEastAsia" w:cstheme="minorBidi"/>
              <w:kern w:val="2"/>
              <w:sz w:val="24"/>
              <w:szCs w:val="24"/>
              <w:lang w:eastAsia="en-AU"/>
              <w14:ligatures w14:val="standardContextual"/>
            </w:rPr>
          </w:pPr>
          <w:hyperlink w:anchor="_Toc227841471" w:history="1">
            <w:r w:rsidRPr="00287AE3">
              <w:rPr>
                <w:rStyle w:val="Hyperlink"/>
              </w:rPr>
              <w:t>Secretariat</w:t>
            </w:r>
            <w:r>
              <w:rPr>
                <w:webHidden/>
              </w:rPr>
              <w:tab/>
            </w:r>
            <w:r>
              <w:rPr>
                <w:webHidden/>
              </w:rPr>
              <w:fldChar w:fldCharType="begin"/>
            </w:r>
            <w:r>
              <w:rPr>
                <w:webHidden/>
              </w:rPr>
              <w:instrText xml:space="preserve"> PAGEREF _Toc227841471 \h </w:instrText>
            </w:r>
            <w:r>
              <w:rPr>
                <w:webHidden/>
              </w:rPr>
            </w:r>
            <w:r>
              <w:rPr>
                <w:webHidden/>
              </w:rPr>
              <w:fldChar w:fldCharType="separate"/>
            </w:r>
            <w:r w:rsidR="00480114">
              <w:rPr>
                <w:webHidden/>
              </w:rPr>
              <w:t>ii</w:t>
            </w:r>
            <w:r>
              <w:rPr>
                <w:webHidden/>
              </w:rPr>
              <w:fldChar w:fldCharType="end"/>
            </w:r>
          </w:hyperlink>
        </w:p>
        <w:p w14:paraId="63E9A323" w14:textId="50599B5C" w:rsidR="00511B62" w:rsidRDefault="00511B62">
          <w:pPr>
            <w:pStyle w:val="TOC2"/>
            <w:rPr>
              <w:rFonts w:eastAsiaTheme="minorEastAsia" w:cstheme="minorBidi"/>
              <w:kern w:val="2"/>
              <w:sz w:val="24"/>
              <w:szCs w:val="24"/>
              <w:lang w:eastAsia="en-AU"/>
              <w14:ligatures w14:val="standardContextual"/>
            </w:rPr>
          </w:pPr>
          <w:hyperlink w:anchor="_Toc227841472" w:history="1">
            <w:r w:rsidRPr="00287AE3">
              <w:rPr>
                <w:rStyle w:val="Hyperlink"/>
              </w:rPr>
              <w:t>Contact us</w:t>
            </w:r>
            <w:r>
              <w:rPr>
                <w:webHidden/>
              </w:rPr>
              <w:tab/>
            </w:r>
            <w:r>
              <w:rPr>
                <w:webHidden/>
              </w:rPr>
              <w:fldChar w:fldCharType="begin"/>
            </w:r>
            <w:r>
              <w:rPr>
                <w:webHidden/>
              </w:rPr>
              <w:instrText xml:space="preserve"> PAGEREF _Toc227841472 \h </w:instrText>
            </w:r>
            <w:r>
              <w:rPr>
                <w:webHidden/>
              </w:rPr>
            </w:r>
            <w:r>
              <w:rPr>
                <w:webHidden/>
              </w:rPr>
              <w:fldChar w:fldCharType="separate"/>
            </w:r>
            <w:r w:rsidR="00480114">
              <w:rPr>
                <w:webHidden/>
              </w:rPr>
              <w:t>ii</w:t>
            </w:r>
            <w:r>
              <w:rPr>
                <w:webHidden/>
              </w:rPr>
              <w:fldChar w:fldCharType="end"/>
            </w:r>
          </w:hyperlink>
        </w:p>
        <w:p w14:paraId="15245062" w14:textId="4E93F9E9" w:rsidR="00511B62" w:rsidRDefault="00511B62">
          <w:pPr>
            <w:pStyle w:val="TOC2"/>
            <w:rPr>
              <w:rFonts w:eastAsiaTheme="minorEastAsia" w:cstheme="minorBidi"/>
              <w:kern w:val="2"/>
              <w:sz w:val="24"/>
              <w:szCs w:val="24"/>
              <w:lang w:eastAsia="en-AU"/>
              <w14:ligatures w14:val="standardContextual"/>
            </w:rPr>
          </w:pPr>
          <w:hyperlink w:anchor="_Toc227841473" w:history="1">
            <w:r w:rsidRPr="00287AE3">
              <w:rPr>
                <w:rStyle w:val="Hyperlink"/>
              </w:rPr>
              <w:t>Role of Committee</w:t>
            </w:r>
            <w:r>
              <w:rPr>
                <w:webHidden/>
              </w:rPr>
              <w:tab/>
            </w:r>
            <w:r>
              <w:rPr>
                <w:webHidden/>
              </w:rPr>
              <w:fldChar w:fldCharType="begin"/>
            </w:r>
            <w:r>
              <w:rPr>
                <w:webHidden/>
              </w:rPr>
              <w:instrText xml:space="preserve"> PAGEREF _Toc227841473 \h </w:instrText>
            </w:r>
            <w:r>
              <w:rPr>
                <w:webHidden/>
              </w:rPr>
            </w:r>
            <w:r>
              <w:rPr>
                <w:webHidden/>
              </w:rPr>
              <w:fldChar w:fldCharType="separate"/>
            </w:r>
            <w:r w:rsidR="00480114">
              <w:rPr>
                <w:webHidden/>
              </w:rPr>
              <w:t>ii</w:t>
            </w:r>
            <w:r>
              <w:rPr>
                <w:webHidden/>
              </w:rPr>
              <w:fldChar w:fldCharType="end"/>
            </w:r>
          </w:hyperlink>
        </w:p>
        <w:p w14:paraId="2D2C6AD6" w14:textId="4CA3240D" w:rsidR="00511B62" w:rsidRDefault="00511B62">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27841474" w:history="1">
            <w:r w:rsidRPr="00287AE3">
              <w:rPr>
                <w:rStyle w:val="Hyperlink"/>
              </w:rPr>
              <w:t>1.</w:t>
            </w:r>
            <w:r>
              <w:rPr>
                <w:rFonts w:asciiTheme="minorHAnsi" w:eastAsiaTheme="minorEastAsia" w:hAnsiTheme="minorHAnsi"/>
                <w:b w:val="0"/>
                <w:bCs w:val="0"/>
                <w:color w:val="auto"/>
                <w:w w:val="100"/>
                <w:kern w:val="2"/>
                <w:sz w:val="24"/>
                <w:szCs w:val="24"/>
                <w:lang w:eastAsia="en-AU"/>
                <w14:ligatures w14:val="standardContextual"/>
              </w:rPr>
              <w:tab/>
            </w:r>
            <w:r w:rsidRPr="00287AE3">
              <w:rPr>
                <w:rStyle w:val="Hyperlink"/>
              </w:rPr>
              <w:t>Bills</w:t>
            </w:r>
            <w:r>
              <w:rPr>
                <w:webHidden/>
              </w:rPr>
              <w:tab/>
            </w:r>
            <w:r>
              <w:rPr>
                <w:webHidden/>
              </w:rPr>
              <w:fldChar w:fldCharType="begin"/>
            </w:r>
            <w:r>
              <w:rPr>
                <w:webHidden/>
              </w:rPr>
              <w:instrText xml:space="preserve"> PAGEREF _Toc227841474 \h </w:instrText>
            </w:r>
            <w:r>
              <w:rPr>
                <w:webHidden/>
              </w:rPr>
            </w:r>
            <w:r>
              <w:rPr>
                <w:webHidden/>
              </w:rPr>
              <w:fldChar w:fldCharType="separate"/>
            </w:r>
            <w:r w:rsidR="00480114">
              <w:rPr>
                <w:webHidden/>
              </w:rPr>
              <w:t>1</w:t>
            </w:r>
            <w:r>
              <w:rPr>
                <w:webHidden/>
              </w:rPr>
              <w:fldChar w:fldCharType="end"/>
            </w:r>
          </w:hyperlink>
        </w:p>
        <w:p w14:paraId="1C0B662A" w14:textId="1D5B9021" w:rsidR="00511B62" w:rsidRDefault="00511B62">
          <w:pPr>
            <w:pStyle w:val="TOC2"/>
            <w:rPr>
              <w:rFonts w:eastAsiaTheme="minorEastAsia" w:cstheme="minorBidi"/>
              <w:kern w:val="2"/>
              <w:sz w:val="24"/>
              <w:szCs w:val="24"/>
              <w:lang w:eastAsia="en-AU"/>
              <w14:ligatures w14:val="standardContextual"/>
            </w:rPr>
          </w:pPr>
          <w:hyperlink w:anchor="_Toc227841475" w:history="1">
            <w:r w:rsidRPr="00287AE3">
              <w:rPr>
                <w:rStyle w:val="Hyperlink"/>
              </w:rPr>
              <w:t>Bills—Comment</w:t>
            </w:r>
            <w:r>
              <w:rPr>
                <w:webHidden/>
              </w:rPr>
              <w:tab/>
            </w:r>
            <w:r>
              <w:rPr>
                <w:webHidden/>
              </w:rPr>
              <w:fldChar w:fldCharType="begin"/>
            </w:r>
            <w:r>
              <w:rPr>
                <w:webHidden/>
              </w:rPr>
              <w:instrText xml:space="preserve"> PAGEREF _Toc227841475 \h </w:instrText>
            </w:r>
            <w:r>
              <w:rPr>
                <w:webHidden/>
              </w:rPr>
            </w:r>
            <w:r>
              <w:rPr>
                <w:webHidden/>
              </w:rPr>
              <w:fldChar w:fldCharType="separate"/>
            </w:r>
            <w:r w:rsidR="00480114">
              <w:rPr>
                <w:webHidden/>
              </w:rPr>
              <w:t>1</w:t>
            </w:r>
            <w:r>
              <w:rPr>
                <w:webHidden/>
              </w:rPr>
              <w:fldChar w:fldCharType="end"/>
            </w:r>
          </w:hyperlink>
        </w:p>
        <w:p w14:paraId="7C5B2B9A" w14:textId="2A0510AF" w:rsidR="00511B62" w:rsidRDefault="00511B62">
          <w:pPr>
            <w:pStyle w:val="TOC3"/>
            <w:rPr>
              <w:rFonts w:eastAsiaTheme="minorEastAsia"/>
              <w:kern w:val="2"/>
              <w:sz w:val="24"/>
              <w:szCs w:val="24"/>
              <w:lang w:val="en-AU" w:eastAsia="en-AU"/>
              <w14:ligatures w14:val="standardContextual"/>
            </w:rPr>
          </w:pPr>
          <w:hyperlink w:anchor="_Toc227841476" w:history="1">
            <w:r w:rsidRPr="00287AE3">
              <w:rPr>
                <w:rStyle w:val="Hyperlink"/>
              </w:rPr>
              <w:t>City and Environment Legislation Amendment Bill 2026</w:t>
            </w:r>
            <w:r>
              <w:rPr>
                <w:webHidden/>
              </w:rPr>
              <w:tab/>
            </w:r>
            <w:r>
              <w:rPr>
                <w:webHidden/>
              </w:rPr>
              <w:fldChar w:fldCharType="begin"/>
            </w:r>
            <w:r>
              <w:rPr>
                <w:webHidden/>
              </w:rPr>
              <w:instrText xml:space="preserve"> PAGEREF _Toc227841476 \h </w:instrText>
            </w:r>
            <w:r>
              <w:rPr>
                <w:webHidden/>
              </w:rPr>
            </w:r>
            <w:r>
              <w:rPr>
                <w:webHidden/>
              </w:rPr>
              <w:fldChar w:fldCharType="separate"/>
            </w:r>
            <w:r w:rsidR="00480114">
              <w:rPr>
                <w:webHidden/>
              </w:rPr>
              <w:t>1</w:t>
            </w:r>
            <w:r>
              <w:rPr>
                <w:webHidden/>
              </w:rPr>
              <w:fldChar w:fldCharType="end"/>
            </w:r>
          </w:hyperlink>
        </w:p>
        <w:p w14:paraId="574EC396" w14:textId="6AD9C581" w:rsidR="00511B62" w:rsidRDefault="00511B62">
          <w:pPr>
            <w:pStyle w:val="TOC3"/>
            <w:rPr>
              <w:rFonts w:eastAsiaTheme="minorEastAsia"/>
              <w:kern w:val="2"/>
              <w:sz w:val="24"/>
              <w:szCs w:val="24"/>
              <w:lang w:val="en-AU" w:eastAsia="en-AU"/>
              <w14:ligatures w14:val="standardContextual"/>
            </w:rPr>
          </w:pPr>
          <w:hyperlink w:anchor="_Toc227841478" w:history="1">
            <w:r w:rsidRPr="00287AE3">
              <w:rPr>
                <w:rStyle w:val="Hyperlink"/>
              </w:rPr>
              <w:t>Civil Law (Wrongs) Amendment Bill 2026</w:t>
            </w:r>
            <w:r>
              <w:rPr>
                <w:webHidden/>
              </w:rPr>
              <w:tab/>
            </w:r>
            <w:r>
              <w:rPr>
                <w:webHidden/>
              </w:rPr>
              <w:fldChar w:fldCharType="begin"/>
            </w:r>
            <w:r>
              <w:rPr>
                <w:webHidden/>
              </w:rPr>
              <w:instrText xml:space="preserve"> PAGEREF _Toc227841478 \h </w:instrText>
            </w:r>
            <w:r>
              <w:rPr>
                <w:webHidden/>
              </w:rPr>
            </w:r>
            <w:r>
              <w:rPr>
                <w:webHidden/>
              </w:rPr>
              <w:fldChar w:fldCharType="separate"/>
            </w:r>
            <w:r w:rsidR="00480114">
              <w:rPr>
                <w:webHidden/>
              </w:rPr>
              <w:t>2</w:t>
            </w:r>
            <w:r>
              <w:rPr>
                <w:webHidden/>
              </w:rPr>
              <w:fldChar w:fldCharType="end"/>
            </w:r>
          </w:hyperlink>
        </w:p>
        <w:p w14:paraId="49F51CE9" w14:textId="659A315F" w:rsidR="00511B62" w:rsidRDefault="00511B62">
          <w:pPr>
            <w:pStyle w:val="TOC3"/>
            <w:rPr>
              <w:rFonts w:eastAsiaTheme="minorEastAsia"/>
              <w:kern w:val="2"/>
              <w:sz w:val="24"/>
              <w:szCs w:val="24"/>
              <w:lang w:val="en-AU" w:eastAsia="en-AU"/>
              <w14:ligatures w14:val="standardContextual"/>
            </w:rPr>
          </w:pPr>
          <w:hyperlink w:anchor="_Toc227841481" w:history="1">
            <w:r w:rsidRPr="00287AE3">
              <w:rPr>
                <w:rStyle w:val="Hyperlink"/>
              </w:rPr>
              <w:t>Planning Legislation Amendment Bill 2026</w:t>
            </w:r>
            <w:r>
              <w:rPr>
                <w:webHidden/>
              </w:rPr>
              <w:tab/>
            </w:r>
            <w:r>
              <w:rPr>
                <w:webHidden/>
              </w:rPr>
              <w:fldChar w:fldCharType="begin"/>
            </w:r>
            <w:r>
              <w:rPr>
                <w:webHidden/>
              </w:rPr>
              <w:instrText xml:space="preserve"> PAGEREF _Toc227841481 \h </w:instrText>
            </w:r>
            <w:r>
              <w:rPr>
                <w:webHidden/>
              </w:rPr>
            </w:r>
            <w:r>
              <w:rPr>
                <w:webHidden/>
              </w:rPr>
              <w:fldChar w:fldCharType="separate"/>
            </w:r>
            <w:r w:rsidR="00480114">
              <w:rPr>
                <w:webHidden/>
              </w:rPr>
              <w:t>4</w:t>
            </w:r>
            <w:r>
              <w:rPr>
                <w:webHidden/>
              </w:rPr>
              <w:fldChar w:fldCharType="end"/>
            </w:r>
          </w:hyperlink>
        </w:p>
        <w:p w14:paraId="5B62F4FA" w14:textId="26BA4B1E" w:rsidR="00511B62" w:rsidRDefault="00511B62">
          <w:pPr>
            <w:pStyle w:val="TOC3"/>
            <w:rPr>
              <w:rFonts w:eastAsiaTheme="minorEastAsia"/>
              <w:kern w:val="2"/>
              <w:sz w:val="24"/>
              <w:szCs w:val="24"/>
              <w:lang w:val="en-AU" w:eastAsia="en-AU"/>
              <w14:ligatures w14:val="standardContextual"/>
            </w:rPr>
          </w:pPr>
          <w:hyperlink w:anchor="_Toc227841482" w:history="1">
            <w:r w:rsidRPr="00287AE3">
              <w:rPr>
                <w:rStyle w:val="Hyperlink"/>
              </w:rPr>
              <w:t>Planning (Missing Middle Housing) Amendment Bill 2026</w:t>
            </w:r>
            <w:r>
              <w:rPr>
                <w:webHidden/>
              </w:rPr>
              <w:tab/>
            </w:r>
            <w:r>
              <w:rPr>
                <w:webHidden/>
              </w:rPr>
              <w:fldChar w:fldCharType="begin"/>
            </w:r>
            <w:r>
              <w:rPr>
                <w:webHidden/>
              </w:rPr>
              <w:instrText xml:space="preserve"> PAGEREF _Toc227841482 \h </w:instrText>
            </w:r>
            <w:r>
              <w:rPr>
                <w:webHidden/>
              </w:rPr>
            </w:r>
            <w:r>
              <w:rPr>
                <w:webHidden/>
              </w:rPr>
              <w:fldChar w:fldCharType="separate"/>
            </w:r>
            <w:r w:rsidR="00480114">
              <w:rPr>
                <w:webHidden/>
              </w:rPr>
              <w:t>5</w:t>
            </w:r>
            <w:r>
              <w:rPr>
                <w:webHidden/>
              </w:rPr>
              <w:fldChar w:fldCharType="end"/>
            </w:r>
          </w:hyperlink>
        </w:p>
        <w:p w14:paraId="5313BBAC" w14:textId="65759584" w:rsidR="00511B62" w:rsidRDefault="00511B62">
          <w:pPr>
            <w:pStyle w:val="TOC2"/>
            <w:rPr>
              <w:rFonts w:eastAsiaTheme="minorEastAsia" w:cstheme="minorBidi"/>
              <w:kern w:val="2"/>
              <w:sz w:val="24"/>
              <w:szCs w:val="24"/>
              <w:lang w:eastAsia="en-AU"/>
              <w14:ligatures w14:val="standardContextual"/>
            </w:rPr>
          </w:pPr>
          <w:hyperlink w:anchor="_Toc227841484" w:history="1">
            <w:r w:rsidRPr="00287AE3">
              <w:rPr>
                <w:rStyle w:val="Hyperlink"/>
                <w:lang w:val="en-US"/>
              </w:rPr>
              <w:t>Proposed amendment—</w:t>
            </w:r>
            <w:r w:rsidR="00906EE7">
              <w:rPr>
                <w:rStyle w:val="Hyperlink"/>
                <w:lang w:val="en-US"/>
              </w:rPr>
              <w:t>C</w:t>
            </w:r>
            <w:r w:rsidRPr="00287AE3">
              <w:rPr>
                <w:rStyle w:val="Hyperlink"/>
                <w:lang w:val="en-US"/>
              </w:rPr>
              <w:t>omment</w:t>
            </w:r>
            <w:r>
              <w:rPr>
                <w:webHidden/>
              </w:rPr>
              <w:tab/>
            </w:r>
            <w:r>
              <w:rPr>
                <w:webHidden/>
              </w:rPr>
              <w:fldChar w:fldCharType="begin"/>
            </w:r>
            <w:r>
              <w:rPr>
                <w:webHidden/>
              </w:rPr>
              <w:instrText xml:space="preserve"> PAGEREF _Toc227841484 \h </w:instrText>
            </w:r>
            <w:r>
              <w:rPr>
                <w:webHidden/>
              </w:rPr>
            </w:r>
            <w:r>
              <w:rPr>
                <w:webHidden/>
              </w:rPr>
              <w:fldChar w:fldCharType="separate"/>
            </w:r>
            <w:r w:rsidR="00480114">
              <w:rPr>
                <w:webHidden/>
              </w:rPr>
              <w:t>11</w:t>
            </w:r>
            <w:r>
              <w:rPr>
                <w:webHidden/>
              </w:rPr>
              <w:fldChar w:fldCharType="end"/>
            </w:r>
          </w:hyperlink>
        </w:p>
        <w:p w14:paraId="37139A44" w14:textId="76FB9554" w:rsidR="00511B62" w:rsidRDefault="00511B62">
          <w:pPr>
            <w:pStyle w:val="TOC3"/>
            <w:rPr>
              <w:rFonts w:eastAsiaTheme="minorEastAsia"/>
              <w:kern w:val="2"/>
              <w:sz w:val="24"/>
              <w:szCs w:val="24"/>
              <w:lang w:val="en-AU" w:eastAsia="en-AU"/>
              <w14:ligatures w14:val="standardContextual"/>
            </w:rPr>
          </w:pPr>
          <w:hyperlink w:anchor="_Toc227841485" w:history="1">
            <w:r w:rsidRPr="00287AE3">
              <w:rPr>
                <w:rStyle w:val="Hyperlink"/>
              </w:rPr>
              <w:t>Juries (Peremptory Challenges) Amendment Bill 2025</w:t>
            </w:r>
            <w:r>
              <w:rPr>
                <w:webHidden/>
              </w:rPr>
              <w:tab/>
            </w:r>
            <w:r>
              <w:rPr>
                <w:webHidden/>
              </w:rPr>
              <w:fldChar w:fldCharType="begin"/>
            </w:r>
            <w:r>
              <w:rPr>
                <w:webHidden/>
              </w:rPr>
              <w:instrText xml:space="preserve"> PAGEREF _Toc227841485 \h </w:instrText>
            </w:r>
            <w:r>
              <w:rPr>
                <w:webHidden/>
              </w:rPr>
            </w:r>
            <w:r>
              <w:rPr>
                <w:webHidden/>
              </w:rPr>
              <w:fldChar w:fldCharType="separate"/>
            </w:r>
            <w:r w:rsidR="00480114">
              <w:rPr>
                <w:webHidden/>
              </w:rPr>
              <w:t>11</w:t>
            </w:r>
            <w:r>
              <w:rPr>
                <w:webHidden/>
              </w:rPr>
              <w:fldChar w:fldCharType="end"/>
            </w:r>
          </w:hyperlink>
        </w:p>
        <w:p w14:paraId="0611E1F2" w14:textId="13D09921" w:rsidR="00511B62" w:rsidRDefault="00511B62">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27841486" w:history="1">
            <w:r w:rsidRPr="00287AE3">
              <w:rPr>
                <w:rStyle w:val="Hyperlink"/>
              </w:rPr>
              <w:t>2.</w:t>
            </w:r>
            <w:r>
              <w:rPr>
                <w:rFonts w:asciiTheme="minorHAnsi" w:eastAsiaTheme="minorEastAsia" w:hAnsiTheme="minorHAnsi"/>
                <w:b w:val="0"/>
                <w:bCs w:val="0"/>
                <w:color w:val="auto"/>
                <w:w w:val="100"/>
                <w:kern w:val="2"/>
                <w:sz w:val="24"/>
                <w:szCs w:val="24"/>
                <w:lang w:eastAsia="en-AU"/>
                <w14:ligatures w14:val="standardContextual"/>
              </w:rPr>
              <w:tab/>
            </w:r>
            <w:r w:rsidRPr="00287AE3">
              <w:rPr>
                <w:rStyle w:val="Hyperlink"/>
              </w:rPr>
              <w:t>Subordinate Legislation</w:t>
            </w:r>
            <w:r>
              <w:rPr>
                <w:webHidden/>
              </w:rPr>
              <w:tab/>
            </w:r>
            <w:r>
              <w:rPr>
                <w:webHidden/>
              </w:rPr>
              <w:fldChar w:fldCharType="begin"/>
            </w:r>
            <w:r>
              <w:rPr>
                <w:webHidden/>
              </w:rPr>
              <w:instrText xml:space="preserve"> PAGEREF _Toc227841486 \h </w:instrText>
            </w:r>
            <w:r>
              <w:rPr>
                <w:webHidden/>
              </w:rPr>
            </w:r>
            <w:r>
              <w:rPr>
                <w:webHidden/>
              </w:rPr>
              <w:fldChar w:fldCharType="separate"/>
            </w:r>
            <w:r w:rsidR="00480114">
              <w:rPr>
                <w:webHidden/>
              </w:rPr>
              <w:t>12</w:t>
            </w:r>
            <w:r>
              <w:rPr>
                <w:webHidden/>
              </w:rPr>
              <w:fldChar w:fldCharType="end"/>
            </w:r>
          </w:hyperlink>
        </w:p>
        <w:p w14:paraId="7715C013" w14:textId="449AA639" w:rsidR="00511B62" w:rsidRDefault="00511B62">
          <w:pPr>
            <w:pStyle w:val="TOC2"/>
            <w:rPr>
              <w:rFonts w:eastAsiaTheme="minorEastAsia" w:cstheme="minorBidi"/>
              <w:kern w:val="2"/>
              <w:sz w:val="24"/>
              <w:szCs w:val="24"/>
              <w:lang w:eastAsia="en-AU"/>
              <w14:ligatures w14:val="standardContextual"/>
            </w:rPr>
          </w:pPr>
          <w:hyperlink w:anchor="_Toc227841487" w:history="1">
            <w:r w:rsidRPr="00287AE3">
              <w:rPr>
                <w:rStyle w:val="Hyperlink"/>
              </w:rPr>
              <w:t>Disallowable Instruments—No comment</w:t>
            </w:r>
            <w:r>
              <w:rPr>
                <w:webHidden/>
              </w:rPr>
              <w:tab/>
            </w:r>
            <w:r>
              <w:rPr>
                <w:webHidden/>
              </w:rPr>
              <w:fldChar w:fldCharType="begin"/>
            </w:r>
            <w:r>
              <w:rPr>
                <w:webHidden/>
              </w:rPr>
              <w:instrText xml:space="preserve"> PAGEREF _Toc227841487 \h </w:instrText>
            </w:r>
            <w:r>
              <w:rPr>
                <w:webHidden/>
              </w:rPr>
            </w:r>
            <w:r>
              <w:rPr>
                <w:webHidden/>
              </w:rPr>
              <w:fldChar w:fldCharType="separate"/>
            </w:r>
            <w:r w:rsidR="00480114">
              <w:rPr>
                <w:webHidden/>
              </w:rPr>
              <w:t>12</w:t>
            </w:r>
            <w:r>
              <w:rPr>
                <w:webHidden/>
              </w:rPr>
              <w:fldChar w:fldCharType="end"/>
            </w:r>
          </w:hyperlink>
        </w:p>
        <w:p w14:paraId="7F7A80EC" w14:textId="0307130B" w:rsidR="00511B62" w:rsidRPr="00511B62" w:rsidRDefault="00511B62" w:rsidP="00511B62">
          <w:pPr>
            <w:pStyle w:val="TOC2"/>
            <w:rPr>
              <w:rFonts w:eastAsiaTheme="minorEastAsia" w:cstheme="minorBidi"/>
              <w:kern w:val="2"/>
              <w:sz w:val="24"/>
              <w:szCs w:val="24"/>
              <w:lang w:eastAsia="en-AU"/>
              <w14:ligatures w14:val="standardContextual"/>
            </w:rPr>
          </w:pPr>
          <w:hyperlink w:anchor="_Toc227841488" w:history="1">
            <w:r w:rsidRPr="00287AE3">
              <w:rPr>
                <w:rStyle w:val="Hyperlink"/>
                <w:rFonts w:eastAsia="Times New Roman"/>
              </w:rPr>
              <w:t>Disallowable Instruments—Comment</w:t>
            </w:r>
            <w:r>
              <w:rPr>
                <w:webHidden/>
              </w:rPr>
              <w:tab/>
            </w:r>
            <w:r>
              <w:rPr>
                <w:webHidden/>
              </w:rPr>
              <w:fldChar w:fldCharType="begin"/>
            </w:r>
            <w:r>
              <w:rPr>
                <w:webHidden/>
              </w:rPr>
              <w:instrText xml:space="preserve"> PAGEREF _Toc227841488 \h </w:instrText>
            </w:r>
            <w:r>
              <w:rPr>
                <w:webHidden/>
              </w:rPr>
            </w:r>
            <w:r>
              <w:rPr>
                <w:webHidden/>
              </w:rPr>
              <w:fldChar w:fldCharType="separate"/>
            </w:r>
            <w:r w:rsidR="00480114">
              <w:rPr>
                <w:webHidden/>
              </w:rPr>
              <w:t>12</w:t>
            </w:r>
            <w:r>
              <w:rPr>
                <w:webHidden/>
              </w:rPr>
              <w:fldChar w:fldCharType="end"/>
            </w:r>
          </w:hyperlink>
        </w:p>
        <w:p w14:paraId="19B0E1B0" w14:textId="57A46DAE" w:rsidR="00511B62" w:rsidRDefault="00511B62">
          <w:pPr>
            <w:pStyle w:val="TOC2"/>
            <w:rPr>
              <w:rFonts w:eastAsiaTheme="minorEastAsia" w:cstheme="minorBidi"/>
              <w:kern w:val="2"/>
              <w:sz w:val="24"/>
              <w:szCs w:val="24"/>
              <w:lang w:eastAsia="en-AU"/>
              <w14:ligatures w14:val="standardContextual"/>
            </w:rPr>
          </w:pPr>
          <w:hyperlink w:anchor="_Toc227841491" w:history="1">
            <w:r w:rsidRPr="00287AE3">
              <w:rPr>
                <w:rStyle w:val="Hyperlink"/>
                <w:rFonts w:eastAsia="Calibri"/>
              </w:rPr>
              <w:t>National Law—Comment</w:t>
            </w:r>
            <w:r>
              <w:rPr>
                <w:webHidden/>
              </w:rPr>
              <w:tab/>
            </w:r>
            <w:r>
              <w:rPr>
                <w:webHidden/>
              </w:rPr>
              <w:fldChar w:fldCharType="begin"/>
            </w:r>
            <w:r>
              <w:rPr>
                <w:webHidden/>
              </w:rPr>
              <w:instrText xml:space="preserve"> PAGEREF _Toc227841491 \h </w:instrText>
            </w:r>
            <w:r>
              <w:rPr>
                <w:webHidden/>
              </w:rPr>
            </w:r>
            <w:r>
              <w:rPr>
                <w:webHidden/>
              </w:rPr>
              <w:fldChar w:fldCharType="separate"/>
            </w:r>
            <w:r w:rsidR="00480114">
              <w:rPr>
                <w:webHidden/>
              </w:rPr>
              <w:t>14</w:t>
            </w:r>
            <w:r>
              <w:rPr>
                <w:webHidden/>
              </w:rPr>
              <w:fldChar w:fldCharType="end"/>
            </w:r>
          </w:hyperlink>
        </w:p>
        <w:p w14:paraId="31CECB78" w14:textId="4AAAE796" w:rsidR="00511B62" w:rsidRDefault="00511B62">
          <w:pPr>
            <w:pStyle w:val="TOC2"/>
            <w:rPr>
              <w:rFonts w:eastAsiaTheme="minorEastAsia" w:cstheme="minorBidi"/>
              <w:kern w:val="2"/>
              <w:sz w:val="24"/>
              <w:szCs w:val="24"/>
              <w:lang w:eastAsia="en-AU"/>
              <w14:ligatures w14:val="standardContextual"/>
            </w:rPr>
          </w:pPr>
          <w:hyperlink w:anchor="_Toc227841492" w:history="1">
            <w:r w:rsidRPr="00287AE3">
              <w:rPr>
                <w:rStyle w:val="Hyperlink"/>
                <w:rFonts w:eastAsia="Calibri"/>
              </w:rPr>
              <w:t>Government response—Comment</w:t>
            </w:r>
            <w:r>
              <w:rPr>
                <w:webHidden/>
              </w:rPr>
              <w:tab/>
            </w:r>
            <w:r>
              <w:rPr>
                <w:webHidden/>
              </w:rPr>
              <w:fldChar w:fldCharType="begin"/>
            </w:r>
            <w:r>
              <w:rPr>
                <w:webHidden/>
              </w:rPr>
              <w:instrText xml:space="preserve"> PAGEREF _Toc227841492 \h </w:instrText>
            </w:r>
            <w:r>
              <w:rPr>
                <w:webHidden/>
              </w:rPr>
            </w:r>
            <w:r>
              <w:rPr>
                <w:webHidden/>
              </w:rPr>
              <w:fldChar w:fldCharType="separate"/>
            </w:r>
            <w:r w:rsidR="00480114">
              <w:rPr>
                <w:webHidden/>
              </w:rPr>
              <w:t>17</w:t>
            </w:r>
            <w:r>
              <w:rPr>
                <w:webHidden/>
              </w:rPr>
              <w:fldChar w:fldCharType="end"/>
            </w:r>
          </w:hyperlink>
        </w:p>
        <w:p w14:paraId="65608CB7" w14:textId="5D9CB4F8" w:rsidR="00511B62" w:rsidRDefault="00511B62">
          <w:pPr>
            <w:pStyle w:val="TOC2"/>
            <w:rPr>
              <w:rFonts w:eastAsiaTheme="minorEastAsia" w:cstheme="minorBidi"/>
              <w:kern w:val="2"/>
              <w:sz w:val="24"/>
              <w:szCs w:val="24"/>
              <w:lang w:eastAsia="en-AU"/>
              <w14:ligatures w14:val="standardContextual"/>
            </w:rPr>
          </w:pPr>
          <w:hyperlink w:anchor="_Toc227841493" w:history="1">
            <w:r w:rsidRPr="00287AE3">
              <w:rPr>
                <w:rStyle w:val="Hyperlink"/>
                <w:rFonts w:eastAsia="Calibri"/>
              </w:rPr>
              <w:t>Government responses—No comment</w:t>
            </w:r>
            <w:r>
              <w:rPr>
                <w:webHidden/>
              </w:rPr>
              <w:tab/>
            </w:r>
            <w:r>
              <w:rPr>
                <w:webHidden/>
              </w:rPr>
              <w:fldChar w:fldCharType="begin"/>
            </w:r>
            <w:r>
              <w:rPr>
                <w:webHidden/>
              </w:rPr>
              <w:instrText xml:space="preserve"> PAGEREF _Toc227841493 \h </w:instrText>
            </w:r>
            <w:r>
              <w:rPr>
                <w:webHidden/>
              </w:rPr>
            </w:r>
            <w:r>
              <w:rPr>
                <w:webHidden/>
              </w:rPr>
              <w:fldChar w:fldCharType="separate"/>
            </w:r>
            <w:r w:rsidR="00480114">
              <w:rPr>
                <w:webHidden/>
              </w:rPr>
              <w:t>23</w:t>
            </w:r>
            <w:r>
              <w:rPr>
                <w:webHidden/>
              </w:rPr>
              <w:fldChar w:fldCharType="end"/>
            </w:r>
          </w:hyperlink>
        </w:p>
        <w:p w14:paraId="44032551" w14:textId="67281D12" w:rsidR="00511B62" w:rsidRDefault="00511B62">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27841494" w:history="1">
            <w:r w:rsidRPr="00287AE3">
              <w:rPr>
                <w:rStyle w:val="Hyperlink"/>
                <w:rFonts w:eastAsia="Calibri"/>
              </w:rPr>
              <w:t>Outstanding responses</w:t>
            </w:r>
            <w:r>
              <w:rPr>
                <w:webHidden/>
              </w:rPr>
              <w:tab/>
            </w:r>
            <w:r>
              <w:rPr>
                <w:webHidden/>
              </w:rPr>
              <w:fldChar w:fldCharType="begin"/>
            </w:r>
            <w:r>
              <w:rPr>
                <w:webHidden/>
              </w:rPr>
              <w:instrText xml:space="preserve"> PAGEREF _Toc227841494 \h </w:instrText>
            </w:r>
            <w:r>
              <w:rPr>
                <w:webHidden/>
              </w:rPr>
            </w:r>
            <w:r>
              <w:rPr>
                <w:webHidden/>
              </w:rPr>
              <w:fldChar w:fldCharType="separate"/>
            </w:r>
            <w:r w:rsidR="00480114">
              <w:rPr>
                <w:webHidden/>
              </w:rPr>
              <w:t>24</w:t>
            </w:r>
            <w:r>
              <w:rPr>
                <w:webHidden/>
              </w:rPr>
              <w:fldChar w:fldCharType="end"/>
            </w:r>
          </w:hyperlink>
        </w:p>
        <w:p w14:paraId="47BB704A" w14:textId="7F6DC504" w:rsidR="00511B62" w:rsidRDefault="00511B62">
          <w:pPr>
            <w:pStyle w:val="TOC2"/>
            <w:rPr>
              <w:rFonts w:eastAsiaTheme="minorEastAsia" w:cstheme="minorBidi"/>
              <w:kern w:val="2"/>
              <w:sz w:val="24"/>
              <w:szCs w:val="24"/>
              <w:lang w:eastAsia="en-AU"/>
              <w14:ligatures w14:val="standardContextual"/>
            </w:rPr>
          </w:pPr>
          <w:hyperlink w:anchor="_Toc227841495" w:history="1">
            <w:r w:rsidRPr="00287AE3">
              <w:rPr>
                <w:rStyle w:val="Hyperlink"/>
              </w:rPr>
              <w:t>Bills/Subordinate Legislation/National Laws</w:t>
            </w:r>
            <w:r>
              <w:rPr>
                <w:webHidden/>
              </w:rPr>
              <w:tab/>
            </w:r>
            <w:r>
              <w:rPr>
                <w:webHidden/>
              </w:rPr>
              <w:fldChar w:fldCharType="begin"/>
            </w:r>
            <w:r>
              <w:rPr>
                <w:webHidden/>
              </w:rPr>
              <w:instrText xml:space="preserve"> PAGEREF _Toc227841495 \h </w:instrText>
            </w:r>
            <w:r>
              <w:rPr>
                <w:webHidden/>
              </w:rPr>
            </w:r>
            <w:r>
              <w:rPr>
                <w:webHidden/>
              </w:rPr>
              <w:fldChar w:fldCharType="separate"/>
            </w:r>
            <w:r w:rsidR="00480114">
              <w:rPr>
                <w:webHidden/>
              </w:rPr>
              <w:t>24</w:t>
            </w:r>
            <w:r>
              <w:rPr>
                <w:webHidden/>
              </w:rPr>
              <w:fldChar w:fldCharType="end"/>
            </w:r>
          </w:hyperlink>
        </w:p>
        <w:p w14:paraId="7CCF94E1" w14:textId="0647E28A" w:rsidR="00511B62" w:rsidRDefault="00511B62">
          <w:pPr>
            <w:pStyle w:val="TOC3"/>
            <w:rPr>
              <w:rFonts w:eastAsiaTheme="minorEastAsia"/>
              <w:kern w:val="2"/>
              <w:sz w:val="24"/>
              <w:szCs w:val="24"/>
              <w:lang w:val="en-AU" w:eastAsia="en-AU"/>
              <w14:ligatures w14:val="standardContextual"/>
            </w:rPr>
          </w:pPr>
          <w:hyperlink w:anchor="_Toc227841496" w:history="1">
            <w:r w:rsidRPr="00287AE3">
              <w:rPr>
                <w:rStyle w:val="Hyperlink"/>
              </w:rPr>
              <w:t>Report 14, dated 27 January 2026</w:t>
            </w:r>
            <w:r>
              <w:rPr>
                <w:webHidden/>
              </w:rPr>
              <w:tab/>
            </w:r>
            <w:r>
              <w:rPr>
                <w:webHidden/>
              </w:rPr>
              <w:fldChar w:fldCharType="begin"/>
            </w:r>
            <w:r>
              <w:rPr>
                <w:webHidden/>
              </w:rPr>
              <w:instrText xml:space="preserve"> PAGEREF _Toc227841496 \h </w:instrText>
            </w:r>
            <w:r>
              <w:rPr>
                <w:webHidden/>
              </w:rPr>
            </w:r>
            <w:r>
              <w:rPr>
                <w:webHidden/>
              </w:rPr>
              <w:fldChar w:fldCharType="separate"/>
            </w:r>
            <w:r w:rsidR="00480114">
              <w:rPr>
                <w:webHidden/>
              </w:rPr>
              <w:t>24</w:t>
            </w:r>
            <w:r>
              <w:rPr>
                <w:webHidden/>
              </w:rPr>
              <w:fldChar w:fldCharType="end"/>
            </w:r>
          </w:hyperlink>
        </w:p>
        <w:p w14:paraId="1613F868" w14:textId="07821208" w:rsidR="00511B62" w:rsidRDefault="00511B62">
          <w:pPr>
            <w:pStyle w:val="TOC3"/>
            <w:rPr>
              <w:rFonts w:eastAsiaTheme="minorEastAsia"/>
              <w:kern w:val="2"/>
              <w:sz w:val="24"/>
              <w:szCs w:val="24"/>
              <w:lang w:val="en-AU" w:eastAsia="en-AU"/>
              <w14:ligatures w14:val="standardContextual"/>
            </w:rPr>
          </w:pPr>
          <w:hyperlink w:anchor="_Toc227841498" w:history="1">
            <w:r w:rsidRPr="00287AE3">
              <w:rPr>
                <w:rStyle w:val="Hyperlink"/>
              </w:rPr>
              <w:t>Report 15, dated 17 February 2026</w:t>
            </w:r>
            <w:r>
              <w:rPr>
                <w:webHidden/>
              </w:rPr>
              <w:tab/>
            </w:r>
            <w:r>
              <w:rPr>
                <w:webHidden/>
              </w:rPr>
              <w:fldChar w:fldCharType="begin"/>
            </w:r>
            <w:r>
              <w:rPr>
                <w:webHidden/>
              </w:rPr>
              <w:instrText xml:space="preserve"> PAGEREF _Toc227841498 \h </w:instrText>
            </w:r>
            <w:r>
              <w:rPr>
                <w:webHidden/>
              </w:rPr>
            </w:r>
            <w:r>
              <w:rPr>
                <w:webHidden/>
              </w:rPr>
              <w:fldChar w:fldCharType="separate"/>
            </w:r>
            <w:r w:rsidR="00480114">
              <w:rPr>
                <w:webHidden/>
              </w:rPr>
              <w:t>24</w:t>
            </w:r>
            <w:r>
              <w:rPr>
                <w:webHidden/>
              </w:rPr>
              <w:fldChar w:fldCharType="end"/>
            </w:r>
          </w:hyperlink>
        </w:p>
        <w:p w14:paraId="43DC086F" w14:textId="58D31B7D" w:rsidR="00511B62" w:rsidRDefault="00511B62">
          <w:pPr>
            <w:pStyle w:val="TOC3"/>
            <w:rPr>
              <w:rFonts w:eastAsiaTheme="minorEastAsia"/>
              <w:kern w:val="2"/>
              <w:sz w:val="24"/>
              <w:szCs w:val="24"/>
              <w:lang w:val="en-AU" w:eastAsia="en-AU"/>
              <w14:ligatures w14:val="standardContextual"/>
            </w:rPr>
          </w:pPr>
          <w:hyperlink w:anchor="_Toc227841500" w:history="1">
            <w:r w:rsidRPr="00287AE3">
              <w:rPr>
                <w:rStyle w:val="Hyperlink"/>
              </w:rPr>
              <w:t>Report 16, dated 10 March 2026</w:t>
            </w:r>
            <w:r>
              <w:rPr>
                <w:webHidden/>
              </w:rPr>
              <w:tab/>
            </w:r>
            <w:r>
              <w:rPr>
                <w:webHidden/>
              </w:rPr>
              <w:fldChar w:fldCharType="begin"/>
            </w:r>
            <w:r>
              <w:rPr>
                <w:webHidden/>
              </w:rPr>
              <w:instrText xml:space="preserve"> PAGEREF _Toc227841500 \h </w:instrText>
            </w:r>
            <w:r>
              <w:rPr>
                <w:webHidden/>
              </w:rPr>
            </w:r>
            <w:r>
              <w:rPr>
                <w:webHidden/>
              </w:rPr>
              <w:fldChar w:fldCharType="separate"/>
            </w:r>
            <w:r w:rsidR="00480114">
              <w:rPr>
                <w:webHidden/>
              </w:rPr>
              <w:t>24</w:t>
            </w:r>
            <w:r>
              <w:rPr>
                <w:webHidden/>
              </w:rPr>
              <w:fldChar w:fldCharType="end"/>
            </w:r>
          </w:hyperlink>
        </w:p>
        <w:p w14:paraId="3D31C645" w14:textId="5364B9CE" w:rsidR="009F5A83" w:rsidRPr="0057740E" w:rsidRDefault="00B02BB7" w:rsidP="0057740E">
          <w:r>
            <w:rPr>
              <w:rFonts w:ascii="Montserrat" w:hAnsi="Montserrat"/>
              <w:noProof/>
              <w:color w:val="2F5496"/>
              <w:w w:val="90"/>
              <w:sz w:val="23"/>
            </w:rPr>
            <w:fldChar w:fldCharType="end"/>
          </w:r>
        </w:p>
      </w:sdtContent>
    </w:sdt>
    <w:bookmarkEnd w:id="0" w:displacedByCustomXml="prev"/>
    <w:bookmarkStart w:id="97" w:name="_Toc79133347" w:displacedByCustomXml="prev"/>
    <w:bookmarkStart w:id="98" w:name="_Hlk79475490" w:displacedByCustomXml="prev"/>
    <w:p w14:paraId="0DA4981F" w14:textId="77777777" w:rsidR="00B7541C" w:rsidRDefault="00B7541C" w:rsidP="00B7541C"/>
    <w:p w14:paraId="505B3C38" w14:textId="77777777" w:rsidR="00E724C8" w:rsidRPr="00E724C8" w:rsidRDefault="00E724C8" w:rsidP="00E724C8"/>
    <w:p w14:paraId="4ED3CB6B" w14:textId="77777777" w:rsidR="00E724C8" w:rsidRPr="00E724C8" w:rsidRDefault="00E724C8" w:rsidP="00E724C8"/>
    <w:p w14:paraId="0EC40713" w14:textId="57D4FA8E" w:rsidR="00E724C8" w:rsidRDefault="00276284" w:rsidP="00276284">
      <w:pPr>
        <w:tabs>
          <w:tab w:val="left" w:pos="3405"/>
        </w:tabs>
      </w:pPr>
      <w:r>
        <w:tab/>
      </w:r>
    </w:p>
    <w:p w14:paraId="344C4F63" w14:textId="64CA60AB" w:rsidR="00E724C8" w:rsidRPr="00E724C8" w:rsidRDefault="00E724C8" w:rsidP="00E724C8">
      <w:pPr>
        <w:tabs>
          <w:tab w:val="center" w:pos="4513"/>
        </w:tabs>
        <w:sectPr w:rsidR="00E724C8" w:rsidRPr="00E724C8" w:rsidSect="003C3E0B">
          <w:footerReference w:type="default" r:id="rId15"/>
          <w:pgSz w:w="11906" w:h="16838"/>
          <w:pgMar w:top="1288" w:right="1440" w:bottom="1440" w:left="1440" w:header="708" w:footer="708" w:gutter="0"/>
          <w:pgNumType w:fmt="lowerRoman" w:start="1"/>
          <w:cols w:space="708"/>
          <w:docGrid w:linePitch="360"/>
        </w:sectPr>
      </w:pPr>
      <w:r>
        <w:tab/>
      </w:r>
    </w:p>
    <w:p w14:paraId="7EE9116A" w14:textId="15189760" w:rsidR="009F3FB5" w:rsidRDefault="007A58DB" w:rsidP="00746850">
      <w:pPr>
        <w:pStyle w:val="Heading1"/>
        <w:numPr>
          <w:ilvl w:val="0"/>
          <w:numId w:val="4"/>
        </w:numPr>
        <w:ind w:left="426" w:hanging="426"/>
      </w:pPr>
      <w:bookmarkStart w:id="99" w:name="_Toc108788084"/>
      <w:bookmarkStart w:id="100" w:name="_Toc196313907"/>
      <w:bookmarkStart w:id="101" w:name="_Toc207975641"/>
      <w:bookmarkStart w:id="102" w:name="_Toc227841474"/>
      <w:bookmarkStart w:id="103" w:name="_Hlk159184171"/>
      <w:bookmarkStart w:id="104" w:name="_Hlk150688924"/>
      <w:bookmarkEnd w:id="98"/>
      <w:bookmarkEnd w:id="97"/>
      <w:r>
        <w:lastRenderedPageBreak/>
        <w:t>Bills</w:t>
      </w:r>
      <w:bookmarkEnd w:id="99"/>
      <w:bookmarkEnd w:id="100"/>
      <w:bookmarkEnd w:id="101"/>
      <w:bookmarkEnd w:id="102"/>
    </w:p>
    <w:p w14:paraId="57176F79" w14:textId="79D33954" w:rsidR="0016238D" w:rsidRPr="00D8444D" w:rsidRDefault="0016238D" w:rsidP="00911F03">
      <w:pPr>
        <w:pStyle w:val="Heading20"/>
      </w:pPr>
      <w:bookmarkStart w:id="105" w:name="_Toc227841475"/>
      <w:r w:rsidRPr="00D8444D">
        <w:t>Bills</w:t>
      </w:r>
      <w:r w:rsidR="006339E6">
        <w:t>—</w:t>
      </w:r>
      <w:r w:rsidRPr="00D8444D">
        <w:t>Comment</w:t>
      </w:r>
      <w:bookmarkEnd w:id="105"/>
    </w:p>
    <w:p w14:paraId="391C6127" w14:textId="77777777" w:rsidR="0016238D" w:rsidRPr="00D8444D" w:rsidRDefault="0016238D" w:rsidP="00911F03">
      <w:pPr>
        <w:pStyle w:val="Heading3"/>
      </w:pPr>
      <w:bookmarkStart w:id="106" w:name="_Toc227841476"/>
      <w:r w:rsidRPr="00D8444D">
        <w:t>City and Environment Legislation Amendment Bill 2026</w:t>
      </w:r>
      <w:bookmarkEnd w:id="106"/>
    </w:p>
    <w:p w14:paraId="10C7FA19" w14:textId="5914305F" w:rsidR="0016238D" w:rsidRPr="00D8444D" w:rsidRDefault="0016238D" w:rsidP="008A0201">
      <w:pPr>
        <w:pStyle w:val="ListNumber2"/>
        <w:numPr>
          <w:ilvl w:val="1"/>
          <w:numId w:val="4"/>
        </w:numPr>
        <w:spacing w:before="120" w:after="0"/>
        <w:ind w:left="851" w:hanging="851"/>
        <w:rPr>
          <w:rFonts w:eastAsia="Aptos"/>
          <w:kern w:val="2"/>
          <w14:ligatures w14:val="standardContextual"/>
        </w:rPr>
      </w:pPr>
      <w:r w:rsidRPr="00D8444D">
        <w:rPr>
          <w:rFonts w:eastAsia="Aptos"/>
          <w:kern w:val="2"/>
          <w14:ligatures w14:val="standardContextual"/>
        </w:rPr>
        <w:t>This Bill amends the following legislation:</w:t>
      </w:r>
    </w:p>
    <w:p w14:paraId="62D25E42" w14:textId="2F861841" w:rsidR="0016238D" w:rsidRPr="00600BC4" w:rsidRDefault="0016238D" w:rsidP="00906EE7">
      <w:pPr>
        <w:numPr>
          <w:ilvl w:val="0"/>
          <w:numId w:val="40"/>
        </w:numPr>
        <w:spacing w:before="80" w:after="0" w:line="276" w:lineRule="auto"/>
        <w:ind w:left="1276" w:hanging="357"/>
        <w:rPr>
          <w:rFonts w:eastAsia="Aptos" w:cstheme="minorHAnsi"/>
          <w:i/>
          <w:iCs/>
          <w:kern w:val="2"/>
          <w14:ligatures w14:val="standardContextual"/>
        </w:rPr>
      </w:pPr>
      <w:r w:rsidRPr="00600BC4">
        <w:rPr>
          <w:rFonts w:eastAsia="Aptos" w:cstheme="minorHAnsi"/>
          <w:i/>
          <w:iCs/>
          <w:kern w:val="2"/>
          <w14:ligatures w14:val="standardContextual"/>
        </w:rPr>
        <w:t xml:space="preserve">Cemeteries and Crematoria Act </w:t>
      </w:r>
      <w:proofErr w:type="gramStart"/>
      <w:r w:rsidRPr="00600BC4">
        <w:rPr>
          <w:rFonts w:eastAsia="Aptos" w:cstheme="minorHAnsi"/>
          <w:i/>
          <w:iCs/>
          <w:kern w:val="2"/>
          <w14:ligatures w14:val="standardContextual"/>
        </w:rPr>
        <w:t>2020</w:t>
      </w:r>
      <w:r w:rsidR="00906EE7">
        <w:rPr>
          <w:rFonts w:eastAsia="Aptos" w:cstheme="minorHAnsi"/>
          <w:kern w:val="2"/>
          <w14:ligatures w14:val="standardContextual"/>
        </w:rPr>
        <w:t>;</w:t>
      </w:r>
      <w:proofErr w:type="gramEnd"/>
    </w:p>
    <w:p w14:paraId="3B76E743" w14:textId="0E0FF416" w:rsidR="0016238D" w:rsidRPr="00600BC4" w:rsidRDefault="0016238D" w:rsidP="00906EE7">
      <w:pPr>
        <w:numPr>
          <w:ilvl w:val="0"/>
          <w:numId w:val="40"/>
        </w:numPr>
        <w:spacing w:before="80" w:after="0" w:line="276" w:lineRule="auto"/>
        <w:ind w:left="1276" w:hanging="357"/>
        <w:rPr>
          <w:rFonts w:eastAsia="Aptos" w:cstheme="minorHAnsi"/>
          <w:i/>
          <w:iCs/>
          <w:kern w:val="2"/>
          <w14:ligatures w14:val="standardContextual"/>
        </w:rPr>
      </w:pPr>
      <w:r w:rsidRPr="00600BC4">
        <w:rPr>
          <w:rFonts w:eastAsia="Aptos" w:cstheme="minorHAnsi"/>
          <w:i/>
          <w:iCs/>
          <w:kern w:val="2"/>
          <w14:ligatures w14:val="standardContextual"/>
        </w:rPr>
        <w:t xml:space="preserve">Electoral Act </w:t>
      </w:r>
      <w:proofErr w:type="gramStart"/>
      <w:r w:rsidRPr="00600BC4">
        <w:rPr>
          <w:rFonts w:eastAsia="Aptos" w:cstheme="minorHAnsi"/>
          <w:i/>
          <w:iCs/>
          <w:kern w:val="2"/>
          <w14:ligatures w14:val="standardContextual"/>
        </w:rPr>
        <w:t>1992</w:t>
      </w:r>
      <w:r w:rsidR="00906EE7">
        <w:rPr>
          <w:rFonts w:eastAsia="Aptos" w:cstheme="minorHAnsi"/>
          <w:kern w:val="2"/>
          <w14:ligatures w14:val="standardContextual"/>
        </w:rPr>
        <w:t>;</w:t>
      </w:r>
      <w:proofErr w:type="gramEnd"/>
    </w:p>
    <w:p w14:paraId="5B92D4A6" w14:textId="0A2A2575" w:rsidR="0016238D" w:rsidRPr="00600BC4" w:rsidRDefault="0016238D" w:rsidP="00906EE7">
      <w:pPr>
        <w:numPr>
          <w:ilvl w:val="0"/>
          <w:numId w:val="40"/>
        </w:numPr>
        <w:spacing w:before="80" w:after="0" w:line="276" w:lineRule="auto"/>
        <w:ind w:left="1276" w:hanging="357"/>
        <w:rPr>
          <w:rFonts w:eastAsia="Aptos" w:cstheme="minorHAnsi"/>
          <w:i/>
          <w:iCs/>
          <w:kern w:val="2"/>
          <w14:ligatures w14:val="standardContextual"/>
        </w:rPr>
      </w:pPr>
      <w:r w:rsidRPr="00600BC4">
        <w:rPr>
          <w:rFonts w:eastAsia="Aptos" w:cstheme="minorHAnsi"/>
          <w:i/>
          <w:iCs/>
          <w:kern w:val="2"/>
          <w14:ligatures w14:val="standardContextual"/>
        </w:rPr>
        <w:t xml:space="preserve">Heavy Vehicle National Law (ACT) Act </w:t>
      </w:r>
      <w:proofErr w:type="gramStart"/>
      <w:r w:rsidRPr="00600BC4">
        <w:rPr>
          <w:rFonts w:eastAsia="Aptos" w:cstheme="minorHAnsi"/>
          <w:i/>
          <w:iCs/>
          <w:kern w:val="2"/>
          <w14:ligatures w14:val="standardContextual"/>
        </w:rPr>
        <w:t>2013</w:t>
      </w:r>
      <w:r w:rsidR="00906EE7">
        <w:rPr>
          <w:rFonts w:eastAsia="Aptos" w:cstheme="minorHAnsi"/>
          <w:kern w:val="2"/>
          <w14:ligatures w14:val="standardContextual"/>
        </w:rPr>
        <w:t>;</w:t>
      </w:r>
      <w:proofErr w:type="gramEnd"/>
    </w:p>
    <w:p w14:paraId="2AF4BFF2" w14:textId="6EEE740B" w:rsidR="0016238D" w:rsidRPr="00600BC4" w:rsidRDefault="0016238D" w:rsidP="00906EE7">
      <w:pPr>
        <w:numPr>
          <w:ilvl w:val="0"/>
          <w:numId w:val="40"/>
        </w:numPr>
        <w:spacing w:before="80" w:after="0" w:line="276" w:lineRule="auto"/>
        <w:ind w:left="1276" w:hanging="357"/>
        <w:rPr>
          <w:rFonts w:eastAsia="Aptos" w:cstheme="minorHAnsi"/>
          <w:i/>
          <w:iCs/>
          <w:kern w:val="2"/>
          <w14:ligatures w14:val="standardContextual"/>
        </w:rPr>
      </w:pPr>
      <w:r w:rsidRPr="00600BC4">
        <w:rPr>
          <w:rFonts w:eastAsia="Aptos" w:cstheme="minorHAnsi"/>
          <w:i/>
          <w:iCs/>
          <w:kern w:val="2"/>
          <w14:ligatures w14:val="standardContextual"/>
        </w:rPr>
        <w:t>Road Transport (Offences) Regulation 2005</w:t>
      </w:r>
      <w:r w:rsidR="00906EE7">
        <w:rPr>
          <w:rFonts w:eastAsia="Aptos" w:cstheme="minorHAnsi"/>
          <w:kern w:val="2"/>
          <w14:ligatures w14:val="standardContextual"/>
        </w:rPr>
        <w:t>;</w:t>
      </w:r>
      <w:r w:rsidRPr="00600BC4">
        <w:rPr>
          <w:rFonts w:eastAsia="Aptos" w:cstheme="minorHAnsi"/>
          <w:i/>
          <w:iCs/>
          <w:kern w:val="2"/>
          <w14:ligatures w14:val="standardContextual"/>
        </w:rPr>
        <w:t xml:space="preserve"> </w:t>
      </w:r>
      <w:r w:rsidRPr="00600BC4">
        <w:rPr>
          <w:rFonts w:eastAsia="Aptos" w:cstheme="minorHAnsi"/>
          <w:kern w:val="2"/>
          <w14:ligatures w14:val="standardContextual"/>
        </w:rPr>
        <w:t>and</w:t>
      </w:r>
    </w:p>
    <w:p w14:paraId="0A746003" w14:textId="77777777" w:rsidR="0016238D" w:rsidRPr="00600BC4" w:rsidRDefault="0016238D" w:rsidP="00906EE7">
      <w:pPr>
        <w:numPr>
          <w:ilvl w:val="0"/>
          <w:numId w:val="40"/>
        </w:numPr>
        <w:spacing w:before="80" w:after="0" w:line="276" w:lineRule="auto"/>
        <w:ind w:left="1276" w:hanging="357"/>
        <w:rPr>
          <w:rFonts w:eastAsia="Aptos" w:cstheme="minorHAnsi"/>
          <w:kern w:val="2"/>
          <w14:ligatures w14:val="standardContextual"/>
        </w:rPr>
      </w:pPr>
      <w:r w:rsidRPr="00600BC4">
        <w:rPr>
          <w:rFonts w:eastAsia="Aptos" w:cstheme="minorHAnsi"/>
          <w:i/>
          <w:iCs/>
          <w:kern w:val="2"/>
          <w14:ligatures w14:val="standardContextual"/>
        </w:rPr>
        <w:t>Road Transport (Safety and Traffic Management) Regulation 2017</w:t>
      </w:r>
      <w:r w:rsidRPr="00600BC4">
        <w:rPr>
          <w:rFonts w:eastAsia="Aptos" w:cstheme="minorHAnsi"/>
          <w:kern w:val="2"/>
          <w14:ligatures w14:val="standardContextual"/>
        </w:rPr>
        <w:t>.</w:t>
      </w:r>
    </w:p>
    <w:p w14:paraId="2D94164D" w14:textId="7C4B1E3B" w:rsidR="0016238D" w:rsidRPr="00D8444D" w:rsidRDefault="0016238D" w:rsidP="00D8444D">
      <w:pPr>
        <w:pStyle w:val="ListNumber2"/>
        <w:numPr>
          <w:ilvl w:val="1"/>
          <w:numId w:val="4"/>
        </w:numPr>
        <w:spacing w:before="120" w:after="100" w:afterAutospacing="1"/>
        <w:ind w:left="851" w:hanging="851"/>
      </w:pPr>
      <w:r w:rsidRPr="00D8444D">
        <w:t xml:space="preserve">The </w:t>
      </w:r>
      <w:r w:rsidR="006339E6">
        <w:t>B</w:t>
      </w:r>
      <w:r w:rsidRPr="00D8444D">
        <w:t>ill is described in the explanatory statement as an omnibus bill to enable minor policy, technical and administrative amendments.</w:t>
      </w:r>
    </w:p>
    <w:p w14:paraId="25285F31" w14:textId="77777777" w:rsidR="0016238D" w:rsidRPr="00600BC4" w:rsidRDefault="0016238D" w:rsidP="00D8444D">
      <w:pPr>
        <w:pStyle w:val="ListNumber2"/>
        <w:numPr>
          <w:ilvl w:val="1"/>
          <w:numId w:val="4"/>
        </w:numPr>
        <w:spacing w:before="120" w:after="0"/>
        <w:ind w:left="851" w:hanging="851"/>
        <w:rPr>
          <w:rFonts w:eastAsia="Aptos"/>
          <w:kern w:val="2"/>
          <w:szCs w:val="22"/>
          <w14:ligatures w14:val="standardContextual"/>
        </w:rPr>
      </w:pPr>
      <w:r w:rsidRPr="00600BC4">
        <w:rPr>
          <w:rFonts w:eastAsia="Aptos"/>
          <w:kern w:val="2"/>
          <w:szCs w:val="22"/>
          <w14:ligatures w14:val="standardContextual"/>
        </w:rPr>
        <w:t xml:space="preserve">First, the Bill amends the </w:t>
      </w:r>
      <w:r w:rsidRPr="00600BC4">
        <w:rPr>
          <w:rFonts w:eastAsia="Aptos"/>
          <w:i/>
          <w:iCs/>
          <w:kern w:val="2"/>
          <w:szCs w:val="22"/>
          <w14:ligatures w14:val="standardContextual"/>
        </w:rPr>
        <w:t xml:space="preserve">Cemeteries and Crematoria Act 2020 </w:t>
      </w:r>
      <w:r w:rsidRPr="00600BC4">
        <w:rPr>
          <w:rFonts w:eastAsia="Aptos"/>
          <w:kern w:val="2"/>
          <w:szCs w:val="22"/>
          <w14:ligatures w14:val="standardContextual"/>
        </w:rPr>
        <w:t xml:space="preserve">to clarify the requirements of crematorium licensees with respect to notification of the availability of cremated remains for collection. The Bill also proposes new sections 25A and 25B that create offences where licensees contravene a notification requirement or do not dispose of cremated remains according to the Act. </w:t>
      </w:r>
    </w:p>
    <w:p w14:paraId="18D89EC3" w14:textId="7C26BA77" w:rsidR="0016238D" w:rsidRPr="00600BC4" w:rsidRDefault="0016238D" w:rsidP="00D8444D">
      <w:pPr>
        <w:pStyle w:val="ListNumber2"/>
        <w:numPr>
          <w:ilvl w:val="1"/>
          <w:numId w:val="4"/>
        </w:numPr>
        <w:spacing w:before="120" w:after="0"/>
        <w:ind w:left="851" w:hanging="851"/>
        <w:rPr>
          <w:rFonts w:eastAsia="Aptos"/>
          <w:kern w:val="2"/>
          <w:szCs w:val="22"/>
          <w14:ligatures w14:val="standardContextual"/>
        </w:rPr>
      </w:pPr>
      <w:r w:rsidRPr="00600BC4">
        <w:rPr>
          <w:rFonts w:eastAsia="Aptos"/>
          <w:kern w:val="2"/>
          <w:szCs w:val="22"/>
          <w14:ligatures w14:val="standardContextual"/>
        </w:rPr>
        <w:t xml:space="preserve">In addition, new section 63A provides for record keeping obligations in relation to cremated remains. The </w:t>
      </w:r>
      <w:r w:rsidR="006339E6">
        <w:rPr>
          <w:rFonts w:eastAsia="Aptos"/>
          <w:kern w:val="2"/>
          <w:szCs w:val="22"/>
          <w14:ligatures w14:val="standardContextual"/>
        </w:rPr>
        <w:t>B</w:t>
      </w:r>
      <w:r w:rsidRPr="00600BC4">
        <w:rPr>
          <w:rFonts w:eastAsia="Aptos"/>
          <w:kern w:val="2"/>
          <w:szCs w:val="22"/>
          <w14:ligatures w14:val="standardContextual"/>
        </w:rPr>
        <w:t>ill also makes consequential amendments to reflect the new provisions and corrects minor drafting errors.</w:t>
      </w:r>
    </w:p>
    <w:p w14:paraId="494F6F03" w14:textId="699DD90D" w:rsidR="0016238D" w:rsidRPr="00600BC4" w:rsidRDefault="0016238D" w:rsidP="00D8444D">
      <w:pPr>
        <w:pStyle w:val="ListNumber2"/>
        <w:numPr>
          <w:ilvl w:val="1"/>
          <w:numId w:val="4"/>
        </w:numPr>
        <w:spacing w:before="120" w:after="0"/>
        <w:ind w:left="851" w:hanging="851"/>
        <w:rPr>
          <w:rFonts w:eastAsia="Aptos"/>
          <w:kern w:val="2"/>
          <w:szCs w:val="22"/>
          <w14:ligatures w14:val="standardContextual"/>
        </w:rPr>
      </w:pPr>
      <w:r w:rsidRPr="00600BC4">
        <w:rPr>
          <w:rFonts w:eastAsia="Aptos"/>
          <w:kern w:val="2"/>
          <w:szCs w:val="22"/>
          <w14:ligatures w14:val="standardContextual"/>
        </w:rPr>
        <w:t xml:space="preserve">Second, the Bill amends the </w:t>
      </w:r>
      <w:r w:rsidRPr="00600BC4">
        <w:rPr>
          <w:rFonts w:eastAsia="Aptos"/>
          <w:i/>
          <w:iCs/>
          <w:kern w:val="2"/>
          <w:szCs w:val="22"/>
          <w14:ligatures w14:val="standardContextual"/>
        </w:rPr>
        <w:t xml:space="preserve">Electoral Act 1992 </w:t>
      </w:r>
      <w:r w:rsidRPr="00600BC4">
        <w:rPr>
          <w:rFonts w:eastAsia="Aptos"/>
          <w:kern w:val="2"/>
          <w:szCs w:val="22"/>
          <w14:ligatures w14:val="standardContextual"/>
        </w:rPr>
        <w:t xml:space="preserve">to </w:t>
      </w:r>
      <w:r w:rsidR="006723C9">
        <w:rPr>
          <w:rFonts w:eastAsia="Aptos"/>
          <w:kern w:val="2"/>
          <w:szCs w:val="22"/>
          <w14:ligatures w14:val="standardContextual"/>
        </w:rPr>
        <w:t>commence</w:t>
      </w:r>
      <w:r w:rsidRPr="00600BC4">
        <w:rPr>
          <w:rFonts w:eastAsia="Aptos"/>
          <w:kern w:val="2"/>
          <w:szCs w:val="22"/>
          <w14:ligatures w14:val="standardContextual"/>
        </w:rPr>
        <w:t xml:space="preserve"> the electoral distribution process </w:t>
      </w:r>
      <w:r w:rsidR="006339E6">
        <w:rPr>
          <w:rFonts w:eastAsia="Aptos"/>
          <w:kern w:val="2"/>
          <w:szCs w:val="22"/>
          <w14:ligatures w14:val="standardContextual"/>
        </w:rPr>
        <w:t>one</w:t>
      </w:r>
      <w:r w:rsidRPr="00600BC4">
        <w:rPr>
          <w:rFonts w:eastAsia="Aptos"/>
          <w:kern w:val="2"/>
          <w:szCs w:val="22"/>
          <w14:ligatures w14:val="standardContextual"/>
        </w:rPr>
        <w:t xml:space="preserve"> month </w:t>
      </w:r>
      <w:r w:rsidR="006723C9">
        <w:rPr>
          <w:rFonts w:eastAsia="Aptos"/>
          <w:kern w:val="2"/>
          <w:szCs w:val="22"/>
          <w14:ligatures w14:val="standardContextual"/>
        </w:rPr>
        <w:t>earlier pursuant to</w:t>
      </w:r>
      <w:r w:rsidRPr="00600BC4">
        <w:rPr>
          <w:rFonts w:eastAsia="Aptos"/>
          <w:kern w:val="2"/>
          <w:szCs w:val="22"/>
          <w14:ligatures w14:val="standardContextual"/>
        </w:rPr>
        <w:t xml:space="preserve"> a recommendation of the ACT Electoral Commission’s Report 2024.</w:t>
      </w:r>
    </w:p>
    <w:p w14:paraId="0762AD92" w14:textId="574B4167" w:rsidR="0016238D" w:rsidRPr="00600BC4" w:rsidRDefault="0016238D" w:rsidP="00D8444D">
      <w:pPr>
        <w:pStyle w:val="ListNumber2"/>
        <w:numPr>
          <w:ilvl w:val="1"/>
          <w:numId w:val="4"/>
        </w:numPr>
        <w:spacing w:before="120" w:after="0"/>
        <w:ind w:left="851" w:hanging="851"/>
        <w:rPr>
          <w:rFonts w:eastAsia="Aptos"/>
          <w:kern w:val="2"/>
          <w:szCs w:val="22"/>
          <w14:ligatures w14:val="standardContextual"/>
        </w:rPr>
      </w:pPr>
      <w:r w:rsidRPr="006339E6">
        <w:rPr>
          <w:rFonts w:eastAsia="Aptos"/>
          <w:bCs w:val="0"/>
          <w:spacing w:val="-2"/>
          <w:kern w:val="2"/>
          <w:szCs w:val="22"/>
          <w14:ligatures w14:val="standardContextual"/>
        </w:rPr>
        <w:t xml:space="preserve">Third, the Bill amends the </w:t>
      </w:r>
      <w:r w:rsidRPr="006339E6">
        <w:rPr>
          <w:rFonts w:eastAsia="Aptos"/>
          <w:bCs w:val="0"/>
          <w:i/>
          <w:iCs/>
          <w:spacing w:val="-2"/>
          <w:kern w:val="2"/>
          <w:szCs w:val="22"/>
          <w14:ligatures w14:val="standardContextual"/>
        </w:rPr>
        <w:t>Heavy Vehicle National Law (ACT) Act 2013</w:t>
      </w:r>
      <w:r w:rsidRPr="006339E6">
        <w:rPr>
          <w:rFonts w:eastAsia="Aptos"/>
          <w:bCs w:val="0"/>
          <w:spacing w:val="-2"/>
          <w:kern w:val="2"/>
          <w:szCs w:val="22"/>
          <w14:ligatures w14:val="standardContextual"/>
        </w:rPr>
        <w:t xml:space="preserve"> to remove a</w:t>
      </w:r>
      <w:r w:rsidR="006339E6" w:rsidRPr="006339E6">
        <w:rPr>
          <w:rFonts w:eastAsia="Aptos"/>
          <w:bCs w:val="0"/>
          <w:spacing w:val="-2"/>
          <w:kern w:val="2"/>
          <w:szCs w:val="22"/>
          <w14:ligatures w14:val="standardContextual"/>
        </w:rPr>
        <w:t> </w:t>
      </w:r>
      <w:r w:rsidRPr="006339E6">
        <w:rPr>
          <w:rFonts w:eastAsia="Aptos"/>
          <w:bCs w:val="0"/>
          <w:spacing w:val="-2"/>
          <w:kern w:val="2"/>
          <w:szCs w:val="22"/>
          <w14:ligatures w14:val="standardContextual"/>
        </w:rPr>
        <w:t>reference to the</w:t>
      </w:r>
      <w:r w:rsidRPr="006339E6">
        <w:rPr>
          <w:rFonts w:eastAsia="Aptos"/>
          <w:spacing w:val="-2"/>
          <w:kern w:val="2"/>
          <w:szCs w:val="22"/>
          <w14:ligatures w14:val="standardContextual"/>
        </w:rPr>
        <w:t xml:space="preserve"> mistake of fact defence. The explanatory statement and Clause Note 12 explain that </w:t>
      </w:r>
      <w:r w:rsidR="006339E6" w:rsidRPr="006339E6">
        <w:rPr>
          <w:rFonts w:eastAsia="Aptos"/>
          <w:spacing w:val="-2"/>
          <w:kern w:val="2"/>
          <w:szCs w:val="22"/>
          <w14:ligatures w14:val="standardContextual"/>
        </w:rPr>
        <w:t xml:space="preserve">the </w:t>
      </w:r>
      <w:r w:rsidRPr="006339E6">
        <w:rPr>
          <w:rFonts w:eastAsia="Aptos"/>
          <w:spacing w:val="-2"/>
          <w:kern w:val="2"/>
          <w:szCs w:val="22"/>
          <w14:ligatures w14:val="standardContextual"/>
        </w:rPr>
        <w:t xml:space="preserve">amendment is to omit an obsolete provision that refers to a </w:t>
      </w:r>
      <w:r w:rsidR="006339E6" w:rsidRPr="006339E6">
        <w:rPr>
          <w:rFonts w:eastAsia="Aptos"/>
          <w:spacing w:val="-2"/>
          <w:kern w:val="2"/>
          <w:szCs w:val="22"/>
          <w14:ligatures w14:val="standardContextual"/>
        </w:rPr>
        <w:t>“</w:t>
      </w:r>
      <w:r w:rsidRPr="006339E6">
        <w:rPr>
          <w:rFonts w:eastAsia="Aptos"/>
          <w:spacing w:val="-2"/>
          <w:kern w:val="2"/>
          <w:szCs w:val="22"/>
          <w14:ligatures w14:val="standardContextual"/>
        </w:rPr>
        <w:t>mistake of fact</w:t>
      </w:r>
      <w:r w:rsidR="006339E6" w:rsidRPr="006339E6">
        <w:rPr>
          <w:rFonts w:eastAsia="Aptos"/>
          <w:spacing w:val="-2"/>
          <w:kern w:val="2"/>
          <w:szCs w:val="22"/>
          <w14:ligatures w14:val="standardContextual"/>
        </w:rPr>
        <w:t>”</w:t>
      </w:r>
      <w:r w:rsidRPr="006339E6">
        <w:rPr>
          <w:rFonts w:eastAsia="Aptos"/>
          <w:spacing w:val="-2"/>
          <w:kern w:val="2"/>
          <w:szCs w:val="22"/>
          <w14:ligatures w14:val="standardContextual"/>
        </w:rPr>
        <w:t xml:space="preserve"> defence repealed by the Queensland parliament in 2016 in the Heavy Vehicle National Law. Clause Note 12 states that the same amendment was not subsequently made to the ACT legislation</w:t>
      </w:r>
      <w:r w:rsidRPr="00600BC4">
        <w:rPr>
          <w:rFonts w:eastAsia="Aptos"/>
          <w:kern w:val="2"/>
          <w:szCs w:val="22"/>
          <w14:ligatures w14:val="standardContextual"/>
        </w:rPr>
        <w:t>.</w:t>
      </w:r>
    </w:p>
    <w:p w14:paraId="6FA96798" w14:textId="77777777" w:rsidR="0016238D" w:rsidRPr="00D8444D" w:rsidRDefault="0016238D" w:rsidP="00911F03">
      <w:pPr>
        <w:pStyle w:val="Heading4"/>
        <w:rPr>
          <w:rFonts w:eastAsia="Calibri"/>
          <w:lang w:eastAsia="en-AU"/>
        </w:rPr>
      </w:pPr>
      <w:bookmarkStart w:id="107" w:name="_Toc227838170"/>
      <w:bookmarkStart w:id="108" w:name="_Toc227841477"/>
      <w:r w:rsidRPr="00D8444D">
        <w:rPr>
          <w:rFonts w:eastAsia="Calibri"/>
          <w:lang w:eastAsia="en-AU"/>
        </w:rPr>
        <w:t xml:space="preserve">Report under section 38 of the </w:t>
      </w:r>
      <w:r w:rsidRPr="006339E6">
        <w:rPr>
          <w:rFonts w:eastAsia="Calibri"/>
          <w:i/>
          <w:lang w:eastAsia="en-AU"/>
        </w:rPr>
        <w:t>Human Rights Act 2004</w:t>
      </w:r>
      <w:r w:rsidRPr="00D8444D">
        <w:rPr>
          <w:rFonts w:eastAsia="Calibri"/>
          <w:lang w:eastAsia="en-AU"/>
        </w:rPr>
        <w:t xml:space="preserve"> (HRA)</w:t>
      </w:r>
      <w:bookmarkEnd w:id="107"/>
      <w:bookmarkEnd w:id="108"/>
    </w:p>
    <w:p w14:paraId="50F81CD7" w14:textId="6FAB710C" w:rsidR="0016238D" w:rsidRPr="00D8444D" w:rsidRDefault="0016238D" w:rsidP="00384DC8">
      <w:pPr>
        <w:pStyle w:val="Heading5"/>
        <w:spacing w:before="120" w:after="200"/>
      </w:pPr>
      <w:r w:rsidRPr="00D8444D">
        <w:t>Rights in Criminal Proceedings (s</w:t>
      </w:r>
      <w:r w:rsidR="003862F2">
        <w:t>ection</w:t>
      </w:r>
      <w:r w:rsidRPr="00D8444D">
        <w:t xml:space="preserve"> 22 HRA)</w:t>
      </w:r>
    </w:p>
    <w:p w14:paraId="5977503A" w14:textId="66C60609" w:rsidR="0016238D" w:rsidRPr="00600BC4" w:rsidRDefault="0016238D" w:rsidP="00D8444D">
      <w:pPr>
        <w:pStyle w:val="ListNumber2"/>
        <w:numPr>
          <w:ilvl w:val="1"/>
          <w:numId w:val="4"/>
        </w:numPr>
        <w:spacing w:before="120" w:after="0"/>
        <w:ind w:left="851" w:hanging="851"/>
        <w:rPr>
          <w:rFonts w:eastAsia="Aptos"/>
          <w:kern w:val="2"/>
          <w:szCs w:val="22"/>
          <w14:ligatures w14:val="standardContextual"/>
        </w:rPr>
      </w:pPr>
      <w:r w:rsidRPr="00600BC4">
        <w:rPr>
          <w:rFonts w:eastAsia="Aptos"/>
          <w:kern w:val="2"/>
          <w:szCs w:val="22"/>
          <w14:ligatures w14:val="standardContextual"/>
        </w:rPr>
        <w:t>Under s</w:t>
      </w:r>
      <w:r w:rsidR="00D8444D">
        <w:rPr>
          <w:rFonts w:eastAsia="Aptos"/>
          <w:kern w:val="2"/>
          <w:szCs w:val="22"/>
          <w14:ligatures w14:val="standardContextual"/>
        </w:rPr>
        <w:t>ection</w:t>
      </w:r>
      <w:r w:rsidRPr="00600BC4">
        <w:rPr>
          <w:rFonts w:eastAsia="Aptos"/>
          <w:kern w:val="2"/>
          <w:szCs w:val="22"/>
          <w14:ligatures w14:val="standardContextual"/>
        </w:rPr>
        <w:t xml:space="preserve"> 22(1) of the HRA everyone charged with a criminal offence has the right to be presumed innocent until proved guilty according to law.</w:t>
      </w:r>
    </w:p>
    <w:p w14:paraId="514D9F08" w14:textId="48FD2CC3" w:rsidR="0016238D" w:rsidRPr="00600BC4" w:rsidRDefault="0016238D" w:rsidP="00D8444D">
      <w:pPr>
        <w:pStyle w:val="ListNumber2"/>
        <w:numPr>
          <w:ilvl w:val="1"/>
          <w:numId w:val="4"/>
        </w:numPr>
        <w:spacing w:before="120" w:after="0"/>
        <w:ind w:left="851" w:hanging="851"/>
        <w:rPr>
          <w:rFonts w:eastAsia="Aptos"/>
          <w:kern w:val="2"/>
          <w:szCs w:val="22"/>
          <w14:ligatures w14:val="standardContextual"/>
        </w:rPr>
      </w:pPr>
      <w:r w:rsidRPr="00600BC4">
        <w:rPr>
          <w:rFonts w:eastAsia="Aptos"/>
          <w:kern w:val="2"/>
          <w:szCs w:val="22"/>
          <w14:ligatures w14:val="standardContextual"/>
        </w:rPr>
        <w:t xml:space="preserve">The Bill removes a mistake of fact defence for an offence under the </w:t>
      </w:r>
      <w:r w:rsidRPr="00600BC4">
        <w:rPr>
          <w:rFonts w:eastAsia="Aptos"/>
          <w:i/>
          <w:iCs/>
          <w:kern w:val="2"/>
          <w:szCs w:val="22"/>
          <w14:ligatures w14:val="standardContextual"/>
        </w:rPr>
        <w:t xml:space="preserve">Heavy Vehicle National Law (ACT) Act 2013. </w:t>
      </w:r>
      <w:r w:rsidRPr="00600BC4">
        <w:rPr>
          <w:rFonts w:eastAsia="Aptos"/>
          <w:kern w:val="2"/>
          <w:szCs w:val="22"/>
          <w14:ligatures w14:val="standardContextual"/>
        </w:rPr>
        <w:t xml:space="preserve">While the explanatory statement and Clause Notes explain why the defence was removed, the statement does not address the impact of this removal of </w:t>
      </w:r>
      <w:r w:rsidR="008A0201">
        <w:rPr>
          <w:rFonts w:eastAsia="Aptos"/>
          <w:kern w:val="2"/>
          <w:szCs w:val="22"/>
          <w14:ligatures w14:val="standardContextual"/>
        </w:rPr>
        <w:br/>
      </w:r>
      <w:r w:rsidRPr="00600BC4">
        <w:rPr>
          <w:rFonts w:eastAsia="Aptos"/>
          <w:kern w:val="2"/>
          <w:szCs w:val="22"/>
          <w14:ligatures w14:val="standardContextual"/>
        </w:rPr>
        <w:t>a defence on an individual’s rights in criminal proceedings.</w:t>
      </w:r>
    </w:p>
    <w:p w14:paraId="66F95F4D" w14:textId="5C95A98B" w:rsidR="00D8444D" w:rsidRPr="00D8444D" w:rsidRDefault="0016238D" w:rsidP="00D8444D">
      <w:pPr>
        <w:pStyle w:val="ListNumber2"/>
        <w:numPr>
          <w:ilvl w:val="1"/>
          <w:numId w:val="4"/>
        </w:numPr>
        <w:spacing w:before="120" w:after="0"/>
        <w:ind w:left="851" w:hanging="851"/>
        <w:rPr>
          <w:rFonts w:eastAsia="Aptos"/>
          <w:b/>
          <w:bCs w:val="0"/>
          <w:kern w:val="2"/>
          <w:szCs w:val="22"/>
          <w14:ligatures w14:val="standardContextual"/>
        </w:rPr>
      </w:pPr>
      <w:r w:rsidRPr="00600BC4">
        <w:rPr>
          <w:rFonts w:eastAsia="Aptos"/>
          <w:b/>
          <w:kern w:val="2"/>
          <w:szCs w:val="22"/>
          <w14:ligatures w14:val="standardContextual"/>
        </w:rPr>
        <w:t xml:space="preserve">The Committee requests the Minister to address the impact of the removal of this defence from the </w:t>
      </w:r>
      <w:r w:rsidRPr="00600BC4">
        <w:rPr>
          <w:rFonts w:eastAsia="Aptos"/>
          <w:b/>
          <w:i/>
          <w:iCs/>
          <w:kern w:val="2"/>
          <w:szCs w:val="22"/>
          <w14:ligatures w14:val="standardContextual"/>
        </w:rPr>
        <w:t xml:space="preserve">Heavy Vehicle National Law (ACT) Act 2013 </w:t>
      </w:r>
      <w:r w:rsidRPr="00600BC4">
        <w:rPr>
          <w:rFonts w:eastAsia="Aptos"/>
          <w:b/>
          <w:kern w:val="2"/>
          <w:szCs w:val="22"/>
          <w14:ligatures w14:val="standardContextual"/>
        </w:rPr>
        <w:t>on an individual’s rights in criminal proceedings.</w:t>
      </w:r>
    </w:p>
    <w:tbl>
      <w:tblPr>
        <w:tblStyle w:val="Recommendationbox"/>
        <w:tblW w:w="8320" w:type="dxa"/>
        <w:tblLook w:val="0600" w:firstRow="0" w:lastRow="0" w:firstColumn="0" w:lastColumn="0" w:noHBand="1" w:noVBand="1"/>
      </w:tblPr>
      <w:tblGrid>
        <w:gridCol w:w="8320"/>
      </w:tblGrid>
      <w:tr w:rsidR="00D8444D" w14:paraId="68EA7CBF" w14:textId="77777777" w:rsidTr="00AD6ADE">
        <w:tc>
          <w:tcPr>
            <w:tcW w:w="8036" w:type="dxa"/>
          </w:tcPr>
          <w:p w14:paraId="07C9EF35" w14:textId="77777777" w:rsidR="00D8444D" w:rsidRPr="006B0503" w:rsidRDefault="00D8444D" w:rsidP="00AD6ADE">
            <w:pPr>
              <w:pStyle w:val="ListNumber2"/>
              <w:ind w:left="34"/>
            </w:pPr>
            <w:r w:rsidRPr="00E772A8">
              <w:lastRenderedPageBreak/>
              <w:t>The Committee draws this matter to the attention of the Assembly and asks the Minister to respond prior to the Bill being debated.</w:t>
            </w:r>
          </w:p>
        </w:tc>
      </w:tr>
    </w:tbl>
    <w:p w14:paraId="4918F2CD" w14:textId="0AA3F2DD" w:rsidR="0016238D" w:rsidRPr="00600BC4" w:rsidRDefault="00D8444D" w:rsidP="006339E6">
      <w:pPr>
        <w:pStyle w:val="ListNumber2"/>
        <w:numPr>
          <w:ilvl w:val="1"/>
          <w:numId w:val="4"/>
        </w:numPr>
        <w:spacing w:before="0" w:after="0"/>
        <w:ind w:left="851" w:hanging="851"/>
        <w:rPr>
          <w:rFonts w:eastAsia="Aptos"/>
          <w:kern w:val="2"/>
          <w:szCs w:val="22"/>
          <w14:ligatures w14:val="standardContextual"/>
        </w:rPr>
      </w:pPr>
      <w:r>
        <w:rPr>
          <w:rFonts w:eastAsia="Aptos"/>
          <w:kern w:val="2"/>
          <w:szCs w:val="22"/>
          <w14:ligatures w14:val="standardContextual"/>
        </w:rPr>
        <w:t>F</w:t>
      </w:r>
      <w:r w:rsidR="0016238D" w:rsidRPr="00600BC4">
        <w:rPr>
          <w:rFonts w:eastAsia="Aptos"/>
          <w:kern w:val="2"/>
          <w:szCs w:val="22"/>
          <w14:ligatures w14:val="standardContextual"/>
        </w:rPr>
        <w:t xml:space="preserve">ourth, the Bill amends the </w:t>
      </w:r>
      <w:r w:rsidR="0016238D" w:rsidRPr="00600BC4">
        <w:rPr>
          <w:rFonts w:eastAsia="Aptos"/>
          <w:i/>
          <w:iCs/>
          <w:kern w:val="2"/>
          <w:szCs w:val="22"/>
          <w14:ligatures w14:val="standardContextual"/>
        </w:rPr>
        <w:t xml:space="preserve">Road Transport (Offences) Regulation 2005 </w:t>
      </w:r>
      <w:r w:rsidR="0016238D" w:rsidRPr="00600BC4">
        <w:rPr>
          <w:rFonts w:eastAsia="Aptos"/>
          <w:kern w:val="2"/>
          <w:szCs w:val="22"/>
          <w14:ligatures w14:val="standardContextual"/>
        </w:rPr>
        <w:t xml:space="preserve">to substitute </w:t>
      </w:r>
      <w:r w:rsidR="008A0201">
        <w:rPr>
          <w:rFonts w:eastAsia="Aptos"/>
          <w:kern w:val="2"/>
          <w:szCs w:val="22"/>
          <w14:ligatures w14:val="standardContextual"/>
        </w:rPr>
        <w:br/>
      </w:r>
      <w:r w:rsidR="0016238D" w:rsidRPr="00600BC4">
        <w:rPr>
          <w:rFonts w:eastAsia="Aptos"/>
          <w:kern w:val="2"/>
          <w:szCs w:val="22"/>
          <w14:ligatures w14:val="standardContextual"/>
        </w:rPr>
        <w:t xml:space="preserve">a provision for penalties for infringement notices. Clause Note 13 states that this amendment is made “to omit the reference to a </w:t>
      </w:r>
      <w:r w:rsidR="0016238D" w:rsidRPr="00600BC4">
        <w:rPr>
          <w:rFonts w:eastAsia="Aptos"/>
          <w:b/>
          <w:i/>
          <w:iCs/>
          <w:kern w:val="2"/>
          <w:szCs w:val="22"/>
          <w14:ligatures w14:val="standardContextual"/>
        </w:rPr>
        <w:t>traffic offence detection device</w:t>
      </w:r>
      <w:r w:rsidR="0016238D" w:rsidRPr="00600BC4">
        <w:rPr>
          <w:rFonts w:eastAsia="Aptos"/>
          <w:kern w:val="2"/>
          <w:szCs w:val="22"/>
          <w14:ligatures w14:val="standardContextual"/>
        </w:rPr>
        <w:t xml:space="preserve"> in section 6(2)(b) to allow for technological advances in traffic offence detection.”</w:t>
      </w:r>
    </w:p>
    <w:p w14:paraId="5D27854D" w14:textId="77777777" w:rsidR="0016238D" w:rsidRPr="00600BC4" w:rsidRDefault="0016238D" w:rsidP="00D8444D">
      <w:pPr>
        <w:pStyle w:val="ListNumber2"/>
        <w:numPr>
          <w:ilvl w:val="1"/>
          <w:numId w:val="4"/>
        </w:numPr>
        <w:spacing w:before="120" w:after="0"/>
        <w:ind w:left="851" w:hanging="851"/>
        <w:rPr>
          <w:rFonts w:eastAsia="Aptos"/>
          <w:kern w:val="2"/>
          <w:szCs w:val="22"/>
          <w14:ligatures w14:val="standardContextual"/>
        </w:rPr>
      </w:pPr>
      <w:r w:rsidRPr="00600BC4">
        <w:rPr>
          <w:rFonts w:eastAsia="Aptos"/>
          <w:kern w:val="2"/>
          <w:szCs w:val="22"/>
          <w14:ligatures w14:val="standardContextual"/>
        </w:rPr>
        <w:t xml:space="preserve">It is not clear from Clause 13 of the Bill or the Clause Note how the amendment impacts technological advances. The Committee notes that the term </w:t>
      </w:r>
      <w:r w:rsidRPr="00600BC4">
        <w:rPr>
          <w:rFonts w:eastAsia="Aptos"/>
          <w:i/>
          <w:iCs/>
          <w:kern w:val="2"/>
          <w:szCs w:val="22"/>
          <w14:ligatures w14:val="standardContextual"/>
        </w:rPr>
        <w:t>traffic offence detection device</w:t>
      </w:r>
      <w:r w:rsidRPr="00600BC4">
        <w:rPr>
          <w:rFonts w:eastAsia="Aptos"/>
          <w:b/>
          <w:kern w:val="2"/>
          <w:szCs w:val="22"/>
          <w14:ligatures w14:val="standardContextual"/>
        </w:rPr>
        <w:t xml:space="preserve"> </w:t>
      </w:r>
      <w:r w:rsidRPr="00600BC4">
        <w:rPr>
          <w:rFonts w:eastAsia="Aptos"/>
          <w:kern w:val="2"/>
          <w:szCs w:val="22"/>
          <w14:ligatures w14:val="standardContextual"/>
        </w:rPr>
        <w:t>continues to be used elsewhere in the Regulation.</w:t>
      </w:r>
    </w:p>
    <w:p w14:paraId="5031CB37" w14:textId="77777777" w:rsidR="0016238D" w:rsidRPr="00D8444D" w:rsidRDefault="0016238D" w:rsidP="00D8444D">
      <w:pPr>
        <w:pStyle w:val="ListNumber2"/>
        <w:numPr>
          <w:ilvl w:val="1"/>
          <w:numId w:val="4"/>
        </w:numPr>
        <w:spacing w:before="120" w:after="0"/>
        <w:ind w:left="851" w:hanging="851"/>
        <w:rPr>
          <w:rFonts w:eastAsia="Aptos"/>
          <w:b/>
          <w:bCs w:val="0"/>
          <w:kern w:val="2"/>
          <w:szCs w:val="22"/>
          <w14:ligatures w14:val="standardContextual"/>
        </w:rPr>
      </w:pPr>
      <w:r w:rsidRPr="006339E6">
        <w:rPr>
          <w:rFonts w:eastAsia="Aptos"/>
          <w:b/>
          <w:spacing w:val="-4"/>
          <w:kern w:val="2"/>
          <w:szCs w:val="22"/>
          <w14:ligatures w14:val="standardContextual"/>
        </w:rPr>
        <w:t xml:space="preserve">The Committee requests the Minister to explain how the amendment to the </w:t>
      </w:r>
      <w:r w:rsidRPr="006339E6">
        <w:rPr>
          <w:rFonts w:eastAsia="Aptos"/>
          <w:b/>
          <w:i/>
          <w:iCs/>
          <w:spacing w:val="-4"/>
          <w:kern w:val="2"/>
          <w:szCs w:val="22"/>
          <w14:ligatures w14:val="standardContextual"/>
        </w:rPr>
        <w:t>Road Transport</w:t>
      </w:r>
      <w:r w:rsidRPr="00600BC4">
        <w:rPr>
          <w:rFonts w:eastAsia="Aptos"/>
          <w:b/>
          <w:i/>
          <w:iCs/>
          <w:kern w:val="2"/>
          <w:szCs w:val="22"/>
          <w14:ligatures w14:val="standardContextual"/>
        </w:rPr>
        <w:t xml:space="preserve"> (Offences) Regulation 2005 </w:t>
      </w:r>
      <w:r w:rsidRPr="00600BC4">
        <w:rPr>
          <w:rFonts w:eastAsia="Aptos"/>
          <w:b/>
          <w:kern w:val="2"/>
          <w:szCs w:val="22"/>
          <w14:ligatures w14:val="standardContextual"/>
        </w:rPr>
        <w:t>allows for technological advances in traffic offence detection.</w:t>
      </w:r>
    </w:p>
    <w:tbl>
      <w:tblPr>
        <w:tblStyle w:val="Recommendationbox"/>
        <w:tblW w:w="8320" w:type="dxa"/>
        <w:tblLook w:val="0600" w:firstRow="0" w:lastRow="0" w:firstColumn="0" w:lastColumn="0" w:noHBand="1" w:noVBand="1"/>
      </w:tblPr>
      <w:tblGrid>
        <w:gridCol w:w="8320"/>
      </w:tblGrid>
      <w:tr w:rsidR="00D8444D" w14:paraId="3A17DA5B" w14:textId="77777777" w:rsidTr="00AD6ADE">
        <w:tc>
          <w:tcPr>
            <w:tcW w:w="8036" w:type="dxa"/>
          </w:tcPr>
          <w:p w14:paraId="3E07536A" w14:textId="77777777" w:rsidR="00D8444D" w:rsidRPr="006B0503" w:rsidRDefault="00D8444D" w:rsidP="00AD6ADE">
            <w:pPr>
              <w:pStyle w:val="ListNumber2"/>
              <w:ind w:left="34"/>
            </w:pPr>
            <w:r w:rsidRPr="00E772A8">
              <w:t>The Committee draws this matter to the attention of the Assembly and asks the Minister to respond prior to the Bill being debated.</w:t>
            </w:r>
          </w:p>
        </w:tc>
      </w:tr>
    </w:tbl>
    <w:p w14:paraId="214DDA91" w14:textId="5026EAF4" w:rsidR="0016238D" w:rsidRPr="00600BC4" w:rsidRDefault="0016238D" w:rsidP="00D8444D">
      <w:pPr>
        <w:pStyle w:val="ListNumber2"/>
        <w:numPr>
          <w:ilvl w:val="1"/>
          <w:numId w:val="4"/>
        </w:numPr>
        <w:spacing w:before="120" w:after="0"/>
        <w:ind w:left="851" w:hanging="851"/>
        <w:rPr>
          <w:rFonts w:eastAsia="Aptos"/>
          <w:kern w:val="2"/>
          <w:szCs w:val="22"/>
          <w14:ligatures w14:val="standardContextual"/>
        </w:rPr>
      </w:pPr>
      <w:r w:rsidRPr="00600BC4">
        <w:rPr>
          <w:rFonts w:eastAsia="Aptos"/>
          <w:kern w:val="2"/>
          <w:szCs w:val="22"/>
          <w14:ligatures w14:val="standardContextual"/>
        </w:rPr>
        <w:t xml:space="preserve">Fifth, the Bill amends the </w:t>
      </w:r>
      <w:r w:rsidRPr="00600BC4">
        <w:rPr>
          <w:rFonts w:eastAsia="Aptos"/>
          <w:i/>
          <w:iCs/>
          <w:kern w:val="2"/>
          <w:szCs w:val="22"/>
          <w14:ligatures w14:val="standardContextual"/>
        </w:rPr>
        <w:t>Road Transport (Safety and Traffic Management) Regulation 2017</w:t>
      </w:r>
      <w:r w:rsidRPr="00600BC4">
        <w:rPr>
          <w:rFonts w:eastAsia="Aptos"/>
          <w:kern w:val="2"/>
          <w:szCs w:val="22"/>
          <w14:ligatures w14:val="standardContextual"/>
        </w:rPr>
        <w:t xml:space="preserve"> to standardise the accuracy tolerance for speed measuring devices and police vehicle speedometers (to either </w:t>
      </w:r>
      <w:r w:rsidR="006339E6">
        <w:rPr>
          <w:rFonts w:eastAsia="Aptos"/>
          <w:kern w:val="2"/>
          <w:szCs w:val="22"/>
          <w14:ligatures w14:val="standardContextual"/>
        </w:rPr>
        <w:t>two percent</w:t>
      </w:r>
      <w:r w:rsidRPr="00600BC4">
        <w:rPr>
          <w:rFonts w:eastAsia="Aptos"/>
          <w:kern w:val="2"/>
          <w:szCs w:val="22"/>
          <w14:ligatures w14:val="standardContextual"/>
        </w:rPr>
        <w:t xml:space="preserve"> or 2 km/h accuracy).</w:t>
      </w:r>
    </w:p>
    <w:p w14:paraId="42C6C17F" w14:textId="77777777" w:rsidR="0016238D" w:rsidRPr="00D8444D" w:rsidRDefault="0016238D" w:rsidP="00911F03">
      <w:pPr>
        <w:pStyle w:val="Heading3"/>
      </w:pPr>
      <w:bookmarkStart w:id="109" w:name="_Toc227841478"/>
      <w:r w:rsidRPr="00D8444D">
        <w:t>Civil Law (Wrongs) Amendment Bill 2026</w:t>
      </w:r>
      <w:bookmarkEnd w:id="109"/>
    </w:p>
    <w:p w14:paraId="5DF9F04A" w14:textId="77777777" w:rsidR="0016238D" w:rsidRPr="00600BC4" w:rsidRDefault="0016238D" w:rsidP="00D8444D">
      <w:pPr>
        <w:pStyle w:val="ListNumber2"/>
        <w:numPr>
          <w:ilvl w:val="1"/>
          <w:numId w:val="4"/>
        </w:numPr>
        <w:spacing w:before="120" w:after="0"/>
        <w:ind w:left="851" w:hanging="851"/>
        <w:rPr>
          <w:rFonts w:eastAsia="Aptos"/>
          <w:kern w:val="2"/>
          <w:szCs w:val="22"/>
          <w14:ligatures w14:val="standardContextual"/>
        </w:rPr>
      </w:pPr>
      <w:r w:rsidRPr="00600BC4">
        <w:rPr>
          <w:rFonts w:eastAsia="Aptos"/>
          <w:kern w:val="2"/>
          <w:szCs w:val="22"/>
          <w14:ligatures w14:val="standardContextual"/>
        </w:rPr>
        <w:t xml:space="preserve">This Bill amends the </w:t>
      </w:r>
      <w:r w:rsidRPr="00600BC4">
        <w:rPr>
          <w:rFonts w:eastAsia="Aptos"/>
          <w:i/>
          <w:iCs/>
          <w:kern w:val="2"/>
          <w:szCs w:val="22"/>
          <w14:ligatures w14:val="standardContextual"/>
        </w:rPr>
        <w:t>Civil Law (Wrongs) Act 2002</w:t>
      </w:r>
      <w:r w:rsidRPr="00600BC4">
        <w:rPr>
          <w:rFonts w:eastAsia="Aptos"/>
          <w:kern w:val="2"/>
          <w:szCs w:val="22"/>
          <w14:ligatures w14:val="standardContextual"/>
        </w:rPr>
        <w:t xml:space="preserve"> and the </w:t>
      </w:r>
      <w:r w:rsidRPr="00600BC4">
        <w:rPr>
          <w:rFonts w:eastAsia="Aptos"/>
          <w:i/>
          <w:iCs/>
          <w:kern w:val="2"/>
          <w:szCs w:val="22"/>
          <w14:ligatures w14:val="standardContextual"/>
        </w:rPr>
        <w:t>Legal Profession Act 2006</w:t>
      </w:r>
      <w:r w:rsidRPr="00600BC4">
        <w:rPr>
          <w:rFonts w:eastAsia="Aptos"/>
          <w:kern w:val="2"/>
          <w:szCs w:val="22"/>
          <w14:ligatures w14:val="standardContextual"/>
        </w:rPr>
        <w:t>.</w:t>
      </w:r>
    </w:p>
    <w:p w14:paraId="588427D7" w14:textId="5929D6BD" w:rsidR="0016238D" w:rsidRPr="00600BC4" w:rsidRDefault="0016238D" w:rsidP="00D8444D">
      <w:pPr>
        <w:pStyle w:val="ListNumber2"/>
        <w:numPr>
          <w:ilvl w:val="1"/>
          <w:numId w:val="4"/>
        </w:numPr>
        <w:spacing w:before="120" w:after="0"/>
        <w:ind w:left="851" w:hanging="851"/>
        <w:rPr>
          <w:rFonts w:eastAsia="Aptos"/>
          <w:kern w:val="2"/>
          <w:szCs w:val="22"/>
          <w14:ligatures w14:val="standardContextual"/>
        </w:rPr>
      </w:pPr>
      <w:r w:rsidRPr="00600BC4">
        <w:rPr>
          <w:rFonts w:eastAsia="Aptos"/>
          <w:kern w:val="2"/>
          <w:szCs w:val="22"/>
          <w14:ligatures w14:val="standardContextual"/>
        </w:rPr>
        <w:t xml:space="preserve">The two key amendments made by the Bill to the </w:t>
      </w:r>
      <w:r w:rsidRPr="00600BC4">
        <w:rPr>
          <w:rFonts w:eastAsia="Aptos"/>
          <w:i/>
          <w:iCs/>
          <w:kern w:val="2"/>
          <w:szCs w:val="22"/>
          <w14:ligatures w14:val="standardContextual"/>
        </w:rPr>
        <w:t>Civil Law (Wrongs) Act</w:t>
      </w:r>
      <w:r w:rsidRPr="00600BC4">
        <w:rPr>
          <w:rFonts w:eastAsia="Aptos"/>
          <w:kern w:val="2"/>
          <w:szCs w:val="22"/>
          <w14:ligatures w14:val="standardContextual"/>
        </w:rPr>
        <w:t xml:space="preserve"> are summarised as follows</w:t>
      </w:r>
      <w:r w:rsidR="00906EE7">
        <w:rPr>
          <w:rFonts w:eastAsia="Aptos"/>
          <w:kern w:val="2"/>
          <w:szCs w:val="22"/>
          <w14:ligatures w14:val="standardContextual"/>
        </w:rPr>
        <w:t>:</w:t>
      </w:r>
    </w:p>
    <w:p w14:paraId="60F93E97" w14:textId="652A0901" w:rsidR="0016238D" w:rsidRPr="00600BC4" w:rsidRDefault="006339E6" w:rsidP="006339E6">
      <w:pPr>
        <w:numPr>
          <w:ilvl w:val="0"/>
          <w:numId w:val="41"/>
        </w:numPr>
        <w:spacing w:before="120" w:after="0" w:line="276" w:lineRule="auto"/>
        <w:ind w:left="1276" w:hanging="357"/>
        <w:rPr>
          <w:rFonts w:eastAsia="Aptos" w:cstheme="minorHAnsi"/>
          <w:kern w:val="2"/>
          <w14:ligatures w14:val="standardContextual"/>
        </w:rPr>
      </w:pPr>
      <w:r>
        <w:rPr>
          <w:rFonts w:eastAsia="Aptos" w:cstheme="minorHAnsi"/>
          <w:kern w:val="2"/>
          <w14:ligatures w14:val="standardContextual"/>
        </w:rPr>
        <w:t>t</w:t>
      </w:r>
      <w:r w:rsidR="0016238D" w:rsidRPr="00600BC4">
        <w:rPr>
          <w:rFonts w:eastAsia="Aptos" w:cstheme="minorHAnsi"/>
          <w:kern w:val="2"/>
          <w14:ligatures w14:val="standardContextual"/>
        </w:rPr>
        <w:t xml:space="preserve">he Bill inserts a new division (Division 8A.1A.2) into chapter 8A of the Act imposing </w:t>
      </w:r>
      <w:r w:rsidR="008A0201">
        <w:rPr>
          <w:rFonts w:eastAsia="Aptos" w:cstheme="minorHAnsi"/>
          <w:kern w:val="2"/>
          <w14:ligatures w14:val="standardContextual"/>
        </w:rPr>
        <w:br/>
      </w:r>
      <w:r w:rsidR="0016238D" w:rsidRPr="00600BC4">
        <w:rPr>
          <w:rFonts w:eastAsia="Aptos" w:cstheme="minorHAnsi"/>
          <w:kern w:val="2"/>
          <w14:ligatures w14:val="standardContextual"/>
        </w:rPr>
        <w:t xml:space="preserve">a new duty of care on an </w:t>
      </w:r>
      <w:r w:rsidR="006723C9">
        <w:rPr>
          <w:rFonts w:eastAsia="Aptos" w:cstheme="minorHAnsi"/>
          <w:kern w:val="2"/>
          <w14:ligatures w14:val="standardContextual"/>
        </w:rPr>
        <w:t>“</w:t>
      </w:r>
      <w:r w:rsidR="0016238D" w:rsidRPr="00600BC4">
        <w:rPr>
          <w:rFonts w:eastAsia="Aptos" w:cstheme="minorHAnsi"/>
          <w:kern w:val="2"/>
          <w14:ligatures w14:val="standardContextual"/>
        </w:rPr>
        <w:t>organisation</w:t>
      </w:r>
      <w:r w:rsidR="006723C9">
        <w:rPr>
          <w:rFonts w:eastAsia="Aptos" w:cstheme="minorHAnsi"/>
          <w:kern w:val="2"/>
          <w14:ligatures w14:val="standardContextual"/>
        </w:rPr>
        <w:t>”</w:t>
      </w:r>
      <w:r w:rsidR="0016238D" w:rsidRPr="00600BC4">
        <w:rPr>
          <w:rFonts w:eastAsia="Aptos" w:cstheme="minorHAnsi"/>
          <w:kern w:val="2"/>
          <w14:ligatures w14:val="standardContextual"/>
        </w:rPr>
        <w:t xml:space="preserve"> responsible for a child to take reasonable precautions to prevent an individual associated with the organisation from perpetuating child abuse. By the amendment made in Clause 10, this new duty will apply to child abuse that happens or is alleged to have happened on or after the day the division commences. This is comparable to the rest of chapter 8A which the Bill provides will apply regardless of when the abuse occurred (Clause 5)</w:t>
      </w:r>
      <w:r>
        <w:rPr>
          <w:rFonts w:eastAsia="Aptos" w:cstheme="minorHAnsi"/>
          <w:kern w:val="2"/>
          <w14:ligatures w14:val="standardContextual"/>
        </w:rPr>
        <w:t>; and</w:t>
      </w:r>
    </w:p>
    <w:p w14:paraId="54E31EBD" w14:textId="112EF55A" w:rsidR="0016238D" w:rsidRPr="00600BC4" w:rsidRDefault="006339E6" w:rsidP="006339E6">
      <w:pPr>
        <w:numPr>
          <w:ilvl w:val="0"/>
          <w:numId w:val="41"/>
        </w:numPr>
        <w:spacing w:before="120" w:after="0" w:line="276" w:lineRule="auto"/>
        <w:ind w:left="1276" w:hanging="357"/>
        <w:rPr>
          <w:rFonts w:eastAsia="Aptos" w:cstheme="minorHAnsi"/>
          <w:kern w:val="2"/>
          <w14:ligatures w14:val="standardContextual"/>
        </w:rPr>
      </w:pPr>
      <w:r>
        <w:rPr>
          <w:rFonts w:eastAsia="Aptos" w:cstheme="minorHAnsi"/>
          <w:kern w:val="2"/>
          <w14:ligatures w14:val="standardContextual"/>
        </w:rPr>
        <w:t>t</w:t>
      </w:r>
      <w:r w:rsidR="0016238D" w:rsidRPr="00600BC4">
        <w:rPr>
          <w:rFonts w:eastAsia="Aptos" w:cstheme="minorHAnsi"/>
          <w:kern w:val="2"/>
          <w14:ligatures w14:val="standardContextual"/>
        </w:rPr>
        <w:t xml:space="preserve">he Bill inserts a new Part 15.4A prohibiting </w:t>
      </w:r>
      <w:r>
        <w:rPr>
          <w:rFonts w:eastAsia="Aptos" w:cstheme="minorHAnsi"/>
          <w:kern w:val="2"/>
          <w14:ligatures w14:val="standardContextual"/>
        </w:rPr>
        <w:t>“</w:t>
      </w:r>
      <w:r w:rsidR="0016238D" w:rsidRPr="00600BC4">
        <w:rPr>
          <w:rFonts w:eastAsia="Aptos" w:cstheme="minorHAnsi"/>
          <w:kern w:val="2"/>
          <w14:ligatures w14:val="standardContextual"/>
        </w:rPr>
        <w:t>claim farming</w:t>
      </w:r>
      <w:r>
        <w:rPr>
          <w:rFonts w:eastAsia="Aptos" w:cstheme="minorHAnsi"/>
          <w:kern w:val="2"/>
          <w14:ligatures w14:val="standardContextual"/>
        </w:rPr>
        <w:t>”</w:t>
      </w:r>
      <w:r w:rsidR="0016238D" w:rsidRPr="00600BC4">
        <w:rPr>
          <w:rFonts w:eastAsia="Aptos" w:cstheme="minorHAnsi"/>
          <w:kern w:val="2"/>
          <w14:ligatures w14:val="standardContextual"/>
        </w:rPr>
        <w:t xml:space="preserve"> in relation to claims for damages based on liability for personal injury and for claims for redress under the National Redress Scheme for Institutional Child Sexual Abuse (but excludes a motor accident claim). This new Part 15.4A applies to anything done or not done on or after the day the Bill commences.</w:t>
      </w:r>
    </w:p>
    <w:p w14:paraId="281F2A7A" w14:textId="77777777" w:rsidR="0016238D" w:rsidRPr="00600BC4" w:rsidRDefault="0016238D" w:rsidP="003862F2">
      <w:pPr>
        <w:pStyle w:val="ListNumber2"/>
        <w:numPr>
          <w:ilvl w:val="1"/>
          <w:numId w:val="4"/>
        </w:numPr>
        <w:spacing w:before="120" w:after="0"/>
        <w:ind w:left="851" w:hanging="851"/>
        <w:rPr>
          <w:rFonts w:eastAsia="Aptos"/>
          <w:kern w:val="2"/>
          <w:szCs w:val="22"/>
          <w14:ligatures w14:val="standardContextual"/>
        </w:rPr>
      </w:pPr>
      <w:r w:rsidRPr="00600BC4">
        <w:rPr>
          <w:rFonts w:eastAsia="Aptos"/>
          <w:kern w:val="2"/>
          <w:szCs w:val="22"/>
          <w14:ligatures w14:val="standardContextual"/>
        </w:rPr>
        <w:t>The Bill also makes amendments that are consequential to the above amendments or are drafting amendments.</w:t>
      </w:r>
    </w:p>
    <w:p w14:paraId="4EAD60C9" w14:textId="2BC39624" w:rsidR="0016238D" w:rsidRPr="00600BC4" w:rsidRDefault="0016238D" w:rsidP="003862F2">
      <w:pPr>
        <w:pStyle w:val="ListNumber2"/>
        <w:numPr>
          <w:ilvl w:val="1"/>
          <w:numId w:val="4"/>
        </w:numPr>
        <w:spacing w:before="120" w:after="0"/>
        <w:ind w:left="851" w:hanging="851"/>
        <w:rPr>
          <w:rFonts w:eastAsia="Aptos"/>
          <w:kern w:val="2"/>
          <w:szCs w:val="22"/>
          <w14:ligatures w14:val="standardContextual"/>
        </w:rPr>
      </w:pPr>
      <w:r w:rsidRPr="00600BC4">
        <w:rPr>
          <w:rFonts w:eastAsia="Aptos"/>
          <w:kern w:val="2"/>
          <w:szCs w:val="22"/>
          <w14:ligatures w14:val="standardContextual"/>
        </w:rPr>
        <w:t xml:space="preserve">The Bill amendments </w:t>
      </w:r>
      <w:r w:rsidRPr="00600BC4">
        <w:rPr>
          <w:rFonts w:eastAsia="Aptos"/>
          <w:i/>
          <w:iCs/>
          <w:kern w:val="2"/>
          <w:szCs w:val="22"/>
          <w14:ligatures w14:val="standardContextual"/>
        </w:rPr>
        <w:t>the Legal Profession Act 2006</w:t>
      </w:r>
      <w:r w:rsidRPr="00600BC4">
        <w:rPr>
          <w:rFonts w:eastAsia="Aptos"/>
          <w:kern w:val="2"/>
          <w:szCs w:val="22"/>
          <w14:ligatures w14:val="standardContextual"/>
        </w:rPr>
        <w:t xml:space="preserve"> to insert a new section 307A to provide that if a law practice or an associate of a law practice is convicted or found guilty of an offence under the new Part 15.4A (prohibition on claim farming)</w:t>
      </w:r>
      <w:r w:rsidR="006339E6">
        <w:rPr>
          <w:rFonts w:eastAsia="Aptos"/>
          <w:kern w:val="2"/>
          <w:szCs w:val="22"/>
          <w14:ligatures w14:val="standardContextual"/>
        </w:rPr>
        <w:t>,</w:t>
      </w:r>
      <w:r w:rsidRPr="00600BC4">
        <w:rPr>
          <w:rFonts w:eastAsia="Aptos"/>
          <w:kern w:val="2"/>
          <w:szCs w:val="22"/>
          <w14:ligatures w14:val="standardContextual"/>
        </w:rPr>
        <w:t xml:space="preserve"> then the practice is not entitled to recover any legal costs in relation to the claim the subject of the conviction or finding of guilt. In addition, the law practice must repay any legal costs received in relation to that claim.</w:t>
      </w:r>
    </w:p>
    <w:p w14:paraId="6C66F062" w14:textId="6996C952" w:rsidR="0016238D" w:rsidRPr="00600BC4" w:rsidRDefault="0016238D" w:rsidP="003862F2">
      <w:pPr>
        <w:pStyle w:val="ListNumber2"/>
        <w:numPr>
          <w:ilvl w:val="1"/>
          <w:numId w:val="4"/>
        </w:numPr>
        <w:spacing w:before="120" w:after="0"/>
        <w:ind w:left="851" w:hanging="851"/>
        <w:rPr>
          <w:rFonts w:eastAsia="Aptos"/>
          <w:kern w:val="2"/>
          <w:szCs w:val="22"/>
          <w14:ligatures w14:val="standardContextual"/>
        </w:rPr>
      </w:pPr>
      <w:r w:rsidRPr="00600BC4">
        <w:rPr>
          <w:rFonts w:eastAsia="Aptos"/>
          <w:kern w:val="2"/>
          <w:szCs w:val="22"/>
          <w14:ligatures w14:val="standardContextual"/>
        </w:rPr>
        <w:lastRenderedPageBreak/>
        <w:t>The Bill also amends s</w:t>
      </w:r>
      <w:r w:rsidR="008A0201">
        <w:rPr>
          <w:rFonts w:eastAsia="Aptos"/>
          <w:kern w:val="2"/>
          <w:szCs w:val="22"/>
          <w14:ligatures w14:val="standardContextual"/>
        </w:rPr>
        <w:t>ection</w:t>
      </w:r>
      <w:r w:rsidRPr="00600BC4">
        <w:rPr>
          <w:rFonts w:eastAsia="Aptos"/>
          <w:kern w:val="2"/>
          <w:szCs w:val="22"/>
          <w14:ligatures w14:val="standardContextual"/>
        </w:rPr>
        <w:t xml:space="preserve"> 389 of the </w:t>
      </w:r>
      <w:r w:rsidRPr="00600BC4">
        <w:rPr>
          <w:rFonts w:eastAsia="Aptos"/>
          <w:i/>
          <w:iCs/>
          <w:kern w:val="2"/>
          <w:szCs w:val="22"/>
          <w14:ligatures w14:val="standardContextual"/>
        </w:rPr>
        <w:t>Legal Profession Act</w:t>
      </w:r>
      <w:r w:rsidRPr="00600BC4">
        <w:rPr>
          <w:rFonts w:eastAsia="Aptos"/>
          <w:kern w:val="2"/>
          <w:szCs w:val="22"/>
          <w14:ligatures w14:val="standardContextual"/>
        </w:rPr>
        <w:t xml:space="preserve"> to provide that conduct of </w:t>
      </w:r>
      <w:r w:rsidR="008A0201">
        <w:rPr>
          <w:rFonts w:eastAsia="Aptos"/>
          <w:kern w:val="2"/>
          <w:szCs w:val="22"/>
          <w14:ligatures w14:val="standardContextual"/>
        </w:rPr>
        <w:br/>
      </w:r>
      <w:r w:rsidRPr="00600BC4">
        <w:rPr>
          <w:rFonts w:eastAsia="Aptos"/>
          <w:kern w:val="2"/>
          <w:szCs w:val="22"/>
          <w14:ligatures w14:val="standardContextual"/>
        </w:rPr>
        <w:t xml:space="preserve">a legal practitioner that consists of a contravention of Part 15.4A is capable of being considered </w:t>
      </w:r>
      <w:r w:rsidR="006339E6">
        <w:rPr>
          <w:rFonts w:eastAsia="Aptos"/>
          <w:kern w:val="2"/>
          <w:szCs w:val="22"/>
          <w14:ligatures w14:val="standardContextual"/>
        </w:rPr>
        <w:t>“</w:t>
      </w:r>
      <w:r w:rsidRPr="00600BC4">
        <w:rPr>
          <w:rFonts w:eastAsia="Aptos"/>
          <w:kern w:val="2"/>
          <w:szCs w:val="22"/>
          <w14:ligatures w14:val="standardContextual"/>
        </w:rPr>
        <w:t>unsatisfactory professional conduct</w:t>
      </w:r>
      <w:r w:rsidR="006339E6">
        <w:rPr>
          <w:rFonts w:eastAsia="Aptos"/>
          <w:kern w:val="2"/>
          <w:szCs w:val="22"/>
          <w14:ligatures w14:val="standardContextual"/>
        </w:rPr>
        <w:t>”</w:t>
      </w:r>
      <w:r w:rsidRPr="00600BC4">
        <w:rPr>
          <w:rFonts w:eastAsia="Aptos"/>
          <w:kern w:val="2"/>
          <w:szCs w:val="22"/>
          <w14:ligatures w14:val="standardContextual"/>
        </w:rPr>
        <w:t xml:space="preserve"> or </w:t>
      </w:r>
      <w:r w:rsidR="006339E6">
        <w:rPr>
          <w:rFonts w:eastAsia="Aptos"/>
          <w:kern w:val="2"/>
          <w:szCs w:val="22"/>
          <w14:ligatures w14:val="standardContextual"/>
        </w:rPr>
        <w:t>“</w:t>
      </w:r>
      <w:r w:rsidRPr="00600BC4">
        <w:rPr>
          <w:rFonts w:eastAsia="Aptos"/>
          <w:kern w:val="2"/>
          <w:szCs w:val="22"/>
          <w14:ligatures w14:val="standardContextual"/>
        </w:rPr>
        <w:t>professional misconduct</w:t>
      </w:r>
      <w:r w:rsidR="006339E6">
        <w:rPr>
          <w:rFonts w:eastAsia="Aptos"/>
          <w:kern w:val="2"/>
          <w:szCs w:val="22"/>
          <w14:ligatures w14:val="standardContextual"/>
        </w:rPr>
        <w:t>”</w:t>
      </w:r>
      <w:r w:rsidRPr="00600BC4">
        <w:rPr>
          <w:rFonts w:eastAsia="Aptos"/>
          <w:kern w:val="2"/>
          <w:szCs w:val="22"/>
          <w14:ligatures w14:val="standardContextual"/>
        </w:rPr>
        <w:t>.</w:t>
      </w:r>
    </w:p>
    <w:p w14:paraId="477776A6" w14:textId="0448E6B9" w:rsidR="006339E6" w:rsidRPr="00C77ACF" w:rsidRDefault="006339E6" w:rsidP="00911F03">
      <w:pPr>
        <w:pStyle w:val="Heading4"/>
      </w:pPr>
      <w:bookmarkStart w:id="110" w:name="_Toc223589155"/>
      <w:bookmarkStart w:id="111" w:name="_Toc223611527"/>
      <w:bookmarkStart w:id="112" w:name="_Toc227841479"/>
      <w:r w:rsidRPr="00644BE6">
        <w:t xml:space="preserve">Do any provisions of the Bill </w:t>
      </w:r>
      <w:r w:rsidR="00911F03" w:rsidRPr="00911F03">
        <w:t xml:space="preserve">unduly trespass on personal rights and </w:t>
      </w:r>
      <w:proofErr w:type="gramStart"/>
      <w:r w:rsidR="00911F03" w:rsidRPr="00911F03">
        <w:t>liberties</w:t>
      </w:r>
      <w:r>
        <w:t>?</w:t>
      </w:r>
      <w:r w:rsidRPr="00B60EE2">
        <w:t>—</w:t>
      </w:r>
      <w:proofErr w:type="gramEnd"/>
      <w:r w:rsidRPr="00C77ACF">
        <w:t>Committee resolution of appointment</w:t>
      </w:r>
      <w:r>
        <w:t xml:space="preserve"> </w:t>
      </w:r>
      <w:r w:rsidRPr="00C77ACF">
        <w:t>paragraph 9(a)(</w:t>
      </w:r>
      <w:proofErr w:type="spellStart"/>
      <w:r w:rsidRPr="00C77ACF">
        <w:t>i</w:t>
      </w:r>
      <w:proofErr w:type="spellEnd"/>
      <w:r w:rsidRPr="00C77ACF">
        <w:t>)</w:t>
      </w:r>
      <w:bookmarkEnd w:id="110"/>
      <w:bookmarkEnd w:id="111"/>
      <w:bookmarkEnd w:id="112"/>
    </w:p>
    <w:p w14:paraId="6689B790" w14:textId="77777777" w:rsidR="0016238D" w:rsidRPr="00600BC4" w:rsidRDefault="0016238D" w:rsidP="003862F2">
      <w:pPr>
        <w:pStyle w:val="ListNumber2"/>
        <w:numPr>
          <w:ilvl w:val="1"/>
          <w:numId w:val="4"/>
        </w:numPr>
        <w:spacing w:before="120" w:after="0"/>
        <w:ind w:left="851" w:hanging="851"/>
        <w:rPr>
          <w:rFonts w:eastAsia="Aptos"/>
          <w:kern w:val="2"/>
          <w:szCs w:val="22"/>
          <w14:ligatures w14:val="standardContextual"/>
        </w:rPr>
      </w:pPr>
      <w:r w:rsidRPr="00600BC4">
        <w:rPr>
          <w:rFonts w:eastAsia="Aptos"/>
          <w:kern w:val="2"/>
          <w:szCs w:val="22"/>
          <w14:ligatures w14:val="standardContextual"/>
        </w:rPr>
        <w:t>The Committee notes proposed section 114BBD in new Division 8A.1A.2 imposes a duty on an organisation in relation to an individual associated with the organisation.</w:t>
      </w:r>
    </w:p>
    <w:p w14:paraId="4C54082C" w14:textId="4CC4E056" w:rsidR="0016238D" w:rsidRPr="00600BC4" w:rsidRDefault="0016238D" w:rsidP="003862F2">
      <w:pPr>
        <w:pStyle w:val="ListNumber2"/>
        <w:numPr>
          <w:ilvl w:val="1"/>
          <w:numId w:val="4"/>
        </w:numPr>
        <w:spacing w:before="120" w:after="0"/>
        <w:ind w:left="851" w:hanging="851"/>
        <w:rPr>
          <w:rFonts w:eastAsia="Aptos"/>
          <w:kern w:val="2"/>
          <w:szCs w:val="22"/>
          <w14:ligatures w14:val="standardContextual"/>
        </w:rPr>
      </w:pPr>
      <w:r w:rsidRPr="00600BC4">
        <w:rPr>
          <w:rFonts w:eastAsia="Aptos"/>
          <w:kern w:val="2"/>
          <w:szCs w:val="22"/>
          <w14:ligatures w14:val="standardContextual"/>
        </w:rPr>
        <w:t xml:space="preserve">The Committee notes that the term </w:t>
      </w:r>
      <w:r w:rsidR="00911F03">
        <w:rPr>
          <w:rFonts w:eastAsia="Aptos"/>
          <w:kern w:val="2"/>
          <w:szCs w:val="22"/>
          <w14:ligatures w14:val="standardContextual"/>
        </w:rPr>
        <w:t>“</w:t>
      </w:r>
      <w:r w:rsidRPr="00600BC4">
        <w:rPr>
          <w:rFonts w:eastAsia="Aptos"/>
          <w:kern w:val="2"/>
          <w:szCs w:val="22"/>
          <w14:ligatures w14:val="standardContextual"/>
        </w:rPr>
        <w:t>organisation</w:t>
      </w:r>
      <w:r w:rsidR="00911F03">
        <w:rPr>
          <w:rFonts w:eastAsia="Aptos"/>
          <w:kern w:val="2"/>
          <w:szCs w:val="22"/>
          <w14:ligatures w14:val="standardContextual"/>
        </w:rPr>
        <w:t>”</w:t>
      </w:r>
      <w:r w:rsidRPr="00600BC4">
        <w:rPr>
          <w:rFonts w:eastAsia="Aptos"/>
          <w:kern w:val="2"/>
          <w:szCs w:val="22"/>
          <w14:ligatures w14:val="standardContextual"/>
        </w:rPr>
        <w:t xml:space="preserve"> is currently defined widely in the </w:t>
      </w:r>
      <w:r w:rsidRPr="00600BC4">
        <w:rPr>
          <w:rFonts w:eastAsia="Aptos"/>
          <w:i/>
          <w:iCs/>
          <w:kern w:val="2"/>
          <w:szCs w:val="22"/>
          <w14:ligatures w14:val="standardContextual"/>
        </w:rPr>
        <w:t>Civil Law (Wrongs) Act</w:t>
      </w:r>
      <w:r w:rsidRPr="00600BC4">
        <w:rPr>
          <w:rFonts w:eastAsia="Aptos"/>
          <w:kern w:val="2"/>
          <w:szCs w:val="22"/>
          <w14:ligatures w14:val="standardContextual"/>
        </w:rPr>
        <w:t xml:space="preserve"> for the purposes of dealing with liability of organisations. Existing section 114BB provides that:</w:t>
      </w:r>
    </w:p>
    <w:p w14:paraId="4ECA594C" w14:textId="77777777" w:rsidR="0016238D" w:rsidRPr="00600BC4" w:rsidRDefault="0016238D" w:rsidP="00911F03">
      <w:pPr>
        <w:pStyle w:val="Quote"/>
        <w:spacing w:before="120" w:after="0"/>
      </w:pPr>
      <w:r w:rsidRPr="00600BC4">
        <w:rPr>
          <w:b/>
          <w:bCs/>
        </w:rPr>
        <w:t>organisation</w:t>
      </w:r>
      <w:r w:rsidRPr="00600BC4">
        <w:t xml:space="preserve"> includes the following:</w:t>
      </w:r>
    </w:p>
    <w:p w14:paraId="43D0A63B" w14:textId="77777777" w:rsidR="0016238D" w:rsidRPr="00600BC4" w:rsidRDefault="0016238D" w:rsidP="00911F03">
      <w:pPr>
        <w:pStyle w:val="Quote"/>
        <w:spacing w:before="120" w:after="0"/>
      </w:pPr>
      <w:r w:rsidRPr="00600BC4">
        <w:tab/>
        <w:t>(a)</w:t>
      </w:r>
      <w:r w:rsidRPr="00600BC4">
        <w:tab/>
        <w:t xml:space="preserve">an administrative </w:t>
      </w:r>
      <w:proofErr w:type="gramStart"/>
      <w:r w:rsidRPr="00600BC4">
        <w:t>unit;</w:t>
      </w:r>
      <w:proofErr w:type="gramEnd"/>
    </w:p>
    <w:p w14:paraId="3685F54F" w14:textId="77777777" w:rsidR="0016238D" w:rsidRPr="00600BC4" w:rsidRDefault="0016238D" w:rsidP="00911F03">
      <w:pPr>
        <w:pStyle w:val="Quote"/>
        <w:spacing w:before="120" w:after="0"/>
      </w:pPr>
      <w:r w:rsidRPr="00600BC4">
        <w:tab/>
        <w:t>(b)</w:t>
      </w:r>
      <w:r w:rsidRPr="00600BC4">
        <w:tab/>
        <w:t xml:space="preserve">a territory </w:t>
      </w:r>
      <w:proofErr w:type="gramStart"/>
      <w:r w:rsidRPr="00600BC4">
        <w:t>authority;</w:t>
      </w:r>
      <w:proofErr w:type="gramEnd"/>
    </w:p>
    <w:p w14:paraId="4C20A34D" w14:textId="77777777" w:rsidR="0016238D" w:rsidRPr="00600BC4" w:rsidRDefault="0016238D" w:rsidP="00911F03">
      <w:pPr>
        <w:pStyle w:val="Quote"/>
        <w:spacing w:before="120" w:after="0"/>
      </w:pPr>
      <w:r w:rsidRPr="00600BC4">
        <w:tab/>
        <w:t>(c)</w:t>
      </w:r>
      <w:r w:rsidRPr="00600BC4">
        <w:tab/>
        <w:t>an unincorporated body.</w:t>
      </w:r>
    </w:p>
    <w:p w14:paraId="1B25A561" w14:textId="098DCFF4" w:rsidR="0016238D" w:rsidRPr="00600BC4" w:rsidRDefault="0016238D" w:rsidP="003862F2">
      <w:pPr>
        <w:pStyle w:val="ListNumber2"/>
        <w:numPr>
          <w:ilvl w:val="1"/>
          <w:numId w:val="4"/>
        </w:numPr>
        <w:spacing w:before="120" w:after="0"/>
        <w:ind w:left="851" w:hanging="851"/>
        <w:rPr>
          <w:rFonts w:eastAsia="Aptos"/>
          <w:kern w:val="2"/>
          <w:szCs w:val="22"/>
          <w14:ligatures w14:val="standardContextual"/>
        </w:rPr>
      </w:pPr>
      <w:r w:rsidRPr="00600BC4">
        <w:rPr>
          <w:rFonts w:eastAsia="Aptos"/>
          <w:kern w:val="2"/>
          <w:szCs w:val="22"/>
          <w14:ligatures w14:val="standardContextual"/>
        </w:rPr>
        <w:t xml:space="preserve">Unincorporated bodies are a group of individuals that do not have a separate legal identity (e.g. a volunteer group like a Parents and Friends Association). </w:t>
      </w:r>
    </w:p>
    <w:p w14:paraId="0E463D01" w14:textId="60A9654D" w:rsidR="0016238D" w:rsidRPr="00600BC4" w:rsidRDefault="0016238D" w:rsidP="003862F2">
      <w:pPr>
        <w:pStyle w:val="ListNumber2"/>
        <w:numPr>
          <w:ilvl w:val="1"/>
          <w:numId w:val="4"/>
        </w:numPr>
        <w:spacing w:before="120" w:after="0"/>
        <w:ind w:left="851" w:hanging="851"/>
        <w:rPr>
          <w:rFonts w:eastAsia="Aptos"/>
          <w:kern w:val="2"/>
          <w:szCs w:val="22"/>
          <w14:ligatures w14:val="standardContextual"/>
        </w:rPr>
      </w:pPr>
      <w:r w:rsidRPr="00600BC4">
        <w:rPr>
          <w:rFonts w:eastAsia="Aptos"/>
          <w:kern w:val="2"/>
          <w:szCs w:val="22"/>
          <w14:ligatures w14:val="standardContextual"/>
        </w:rPr>
        <w:t xml:space="preserve">The Committee also notes that an organisation’s duty extends to an individual </w:t>
      </w:r>
      <w:r w:rsidR="00911F03">
        <w:rPr>
          <w:rFonts w:eastAsia="Aptos"/>
          <w:kern w:val="2"/>
          <w:szCs w:val="22"/>
          <w14:ligatures w14:val="standardContextual"/>
        </w:rPr>
        <w:t>“</w:t>
      </w:r>
      <w:r w:rsidRPr="00600BC4">
        <w:rPr>
          <w:rFonts w:eastAsia="Aptos"/>
          <w:kern w:val="2"/>
          <w:szCs w:val="22"/>
          <w14:ligatures w14:val="standardContextual"/>
        </w:rPr>
        <w:t>associated</w:t>
      </w:r>
      <w:r w:rsidR="00911F03">
        <w:rPr>
          <w:rFonts w:eastAsia="Aptos"/>
          <w:kern w:val="2"/>
          <w:szCs w:val="22"/>
          <w14:ligatures w14:val="standardContextual"/>
        </w:rPr>
        <w:t>”</w:t>
      </w:r>
      <w:r w:rsidRPr="00600BC4">
        <w:rPr>
          <w:rFonts w:eastAsia="Aptos"/>
          <w:kern w:val="2"/>
          <w:szCs w:val="22"/>
          <w14:ligatures w14:val="standardContextual"/>
        </w:rPr>
        <w:t xml:space="preserve"> with the organisation. New section 114BBC provides that an individual </w:t>
      </w:r>
      <w:r w:rsidR="00911F03">
        <w:rPr>
          <w:rFonts w:eastAsia="Aptos"/>
          <w:kern w:val="2"/>
          <w:szCs w:val="22"/>
          <w14:ligatures w14:val="standardContextual"/>
        </w:rPr>
        <w:t>“</w:t>
      </w:r>
      <w:r w:rsidRPr="00600BC4">
        <w:rPr>
          <w:rFonts w:eastAsia="Aptos"/>
          <w:kern w:val="2"/>
          <w:szCs w:val="22"/>
          <w14:ligatures w14:val="standardContextual"/>
        </w:rPr>
        <w:t>associated</w:t>
      </w:r>
      <w:r w:rsidR="00911F03">
        <w:rPr>
          <w:rFonts w:eastAsia="Aptos"/>
          <w:kern w:val="2"/>
          <w:szCs w:val="22"/>
          <w14:ligatures w14:val="standardContextual"/>
        </w:rPr>
        <w:t>”</w:t>
      </w:r>
      <w:r w:rsidRPr="00600BC4">
        <w:rPr>
          <w:rFonts w:eastAsia="Aptos"/>
          <w:kern w:val="2"/>
          <w:szCs w:val="22"/>
          <w14:ligatures w14:val="standardContextual"/>
        </w:rPr>
        <w:t xml:space="preserve"> with an organisation includes an office holder, officer, owner, employee, agent, volunteer or contractor of the organisation</w:t>
      </w:r>
      <w:r w:rsidR="00911F03">
        <w:rPr>
          <w:rFonts w:eastAsia="Aptos"/>
          <w:kern w:val="2"/>
          <w:szCs w:val="22"/>
          <w14:ligatures w14:val="standardContextual"/>
        </w:rPr>
        <w:t>,</w:t>
      </w:r>
      <w:r w:rsidRPr="00600BC4">
        <w:rPr>
          <w:rFonts w:eastAsia="Aptos"/>
          <w:kern w:val="2"/>
          <w:szCs w:val="22"/>
          <w14:ligatures w14:val="standardContextual"/>
        </w:rPr>
        <w:t xml:space="preserve"> as well as certain members of religious groups.</w:t>
      </w:r>
    </w:p>
    <w:p w14:paraId="379EFCC5" w14:textId="388B2697" w:rsidR="0016238D" w:rsidRPr="00600BC4" w:rsidRDefault="0016238D" w:rsidP="003862F2">
      <w:pPr>
        <w:pStyle w:val="ListNumber2"/>
        <w:numPr>
          <w:ilvl w:val="1"/>
          <w:numId w:val="4"/>
        </w:numPr>
        <w:spacing w:before="120" w:after="0"/>
        <w:ind w:left="851" w:hanging="851"/>
        <w:rPr>
          <w:rFonts w:eastAsia="Aptos"/>
          <w:kern w:val="2"/>
          <w:szCs w:val="22"/>
          <w14:ligatures w14:val="standardContextual"/>
        </w:rPr>
      </w:pPr>
      <w:r w:rsidRPr="00600BC4">
        <w:rPr>
          <w:rFonts w:eastAsia="Aptos"/>
          <w:kern w:val="2"/>
          <w:szCs w:val="22"/>
          <w14:ligatures w14:val="standardContextual"/>
        </w:rPr>
        <w:t>Consequently, as the explanatory statement identifies, the amendments made by the Bill to impose a new statutory duty on organisation</w:t>
      </w:r>
      <w:r w:rsidR="00906EE7">
        <w:rPr>
          <w:rFonts w:eastAsia="Aptos"/>
          <w:kern w:val="2"/>
          <w:szCs w:val="22"/>
          <w14:ligatures w14:val="standardContextual"/>
        </w:rPr>
        <w:t>s</w:t>
      </w:r>
      <w:r w:rsidRPr="00600BC4">
        <w:rPr>
          <w:rFonts w:eastAsia="Aptos"/>
          <w:kern w:val="2"/>
          <w:szCs w:val="22"/>
          <w14:ligatures w14:val="standardContextual"/>
        </w:rPr>
        <w:t xml:space="preserve"> will affect natural persons (e.g. members of </w:t>
      </w:r>
      <w:r w:rsidR="008A0201">
        <w:rPr>
          <w:rFonts w:eastAsia="Aptos"/>
          <w:kern w:val="2"/>
          <w:szCs w:val="22"/>
          <w14:ligatures w14:val="standardContextual"/>
        </w:rPr>
        <w:br/>
      </w:r>
      <w:r w:rsidRPr="00600BC4">
        <w:rPr>
          <w:rFonts w:eastAsia="Aptos"/>
          <w:kern w:val="2"/>
          <w:szCs w:val="22"/>
          <w14:ligatures w14:val="standardContextual"/>
        </w:rPr>
        <w:t>a committee of an unincorporated organisation). The existing and new definitions mean that this duty is imposed on those individuals in relation to a potentially very wide range of persons.</w:t>
      </w:r>
    </w:p>
    <w:p w14:paraId="6953EE40" w14:textId="77777777" w:rsidR="0016238D" w:rsidRPr="00600BC4" w:rsidRDefault="0016238D" w:rsidP="003862F2">
      <w:pPr>
        <w:pStyle w:val="ListNumber2"/>
        <w:numPr>
          <w:ilvl w:val="1"/>
          <w:numId w:val="4"/>
        </w:numPr>
        <w:spacing w:before="120" w:after="0"/>
        <w:ind w:left="851" w:hanging="851"/>
        <w:rPr>
          <w:rFonts w:eastAsia="Aptos"/>
          <w:kern w:val="2"/>
          <w:szCs w:val="22"/>
          <w14:ligatures w14:val="standardContextual"/>
        </w:rPr>
      </w:pPr>
      <w:r w:rsidRPr="00600BC4">
        <w:rPr>
          <w:rFonts w:eastAsia="Aptos"/>
          <w:kern w:val="2"/>
          <w:szCs w:val="22"/>
          <w14:ligatures w14:val="standardContextual"/>
        </w:rPr>
        <w:t>The explanatory statement notes that the imposition of this duty on natural persons does not give rise to human rights limitations. The statement also notes that the amendments have the impact of shifting the evidential burden of proof for the civil liability to the organisation.</w:t>
      </w:r>
    </w:p>
    <w:p w14:paraId="53E8018A" w14:textId="77777777" w:rsidR="0016238D" w:rsidRPr="00600BC4" w:rsidRDefault="0016238D" w:rsidP="003862F2">
      <w:pPr>
        <w:pStyle w:val="ListNumber2"/>
        <w:numPr>
          <w:ilvl w:val="1"/>
          <w:numId w:val="4"/>
        </w:numPr>
        <w:spacing w:before="120" w:after="0"/>
        <w:ind w:left="851" w:hanging="851"/>
        <w:rPr>
          <w:rFonts w:eastAsia="Aptos"/>
          <w:b/>
          <w:bCs w:val="0"/>
          <w:kern w:val="2"/>
          <w:szCs w:val="22"/>
          <w14:ligatures w14:val="standardContextual"/>
        </w:rPr>
      </w:pPr>
      <w:r w:rsidRPr="00600BC4">
        <w:rPr>
          <w:rFonts w:eastAsia="Aptos"/>
          <w:b/>
          <w:kern w:val="2"/>
          <w:szCs w:val="22"/>
          <w14:ligatures w14:val="standardContextual"/>
        </w:rPr>
        <w:t>The Committee brings these matters to the attention of the Assembly but does not require a response from the Minister.</w:t>
      </w:r>
    </w:p>
    <w:p w14:paraId="4B6B1E4E" w14:textId="77777777" w:rsidR="00911F03" w:rsidRPr="00D8444D" w:rsidRDefault="00911F03" w:rsidP="00911F03">
      <w:pPr>
        <w:pStyle w:val="Heading4"/>
        <w:rPr>
          <w:rFonts w:eastAsia="Calibri"/>
          <w:lang w:eastAsia="en-AU"/>
        </w:rPr>
      </w:pPr>
      <w:bookmarkStart w:id="113" w:name="_Toc227841480"/>
      <w:r w:rsidRPr="00D8444D">
        <w:rPr>
          <w:rFonts w:eastAsia="Calibri"/>
          <w:lang w:eastAsia="en-AU"/>
        </w:rPr>
        <w:t xml:space="preserve">Report under section 38 of the </w:t>
      </w:r>
      <w:r w:rsidRPr="006339E6">
        <w:rPr>
          <w:rFonts w:eastAsia="Calibri"/>
          <w:i/>
          <w:lang w:eastAsia="en-AU"/>
        </w:rPr>
        <w:t>Human Rights Act 2004</w:t>
      </w:r>
      <w:r w:rsidRPr="00D8444D">
        <w:rPr>
          <w:rFonts w:eastAsia="Calibri"/>
          <w:lang w:eastAsia="en-AU"/>
        </w:rPr>
        <w:t xml:space="preserve"> (HRA)</w:t>
      </w:r>
      <w:bookmarkEnd w:id="113"/>
    </w:p>
    <w:p w14:paraId="068FE161" w14:textId="69995E22" w:rsidR="0016238D" w:rsidRPr="003862F2" w:rsidRDefault="0016238D" w:rsidP="00ED198F">
      <w:pPr>
        <w:pStyle w:val="Heading5"/>
        <w:spacing w:after="240"/>
      </w:pPr>
      <w:r w:rsidRPr="003862F2">
        <w:t xml:space="preserve">Rights in </w:t>
      </w:r>
      <w:r w:rsidR="00DB6B84">
        <w:t>c</w:t>
      </w:r>
      <w:r w:rsidRPr="003862F2">
        <w:t xml:space="preserve">riminal </w:t>
      </w:r>
      <w:r w:rsidR="00DB6B84">
        <w:t>p</w:t>
      </w:r>
      <w:r w:rsidRPr="003862F2">
        <w:t>roceedings (s</w:t>
      </w:r>
      <w:r w:rsidR="003862F2">
        <w:t xml:space="preserve">ection </w:t>
      </w:r>
      <w:r w:rsidRPr="003862F2">
        <w:t>22 HRA)</w:t>
      </w:r>
    </w:p>
    <w:p w14:paraId="58C5FC56" w14:textId="32116660" w:rsidR="0016238D" w:rsidRPr="00600BC4" w:rsidRDefault="0016238D" w:rsidP="003862F2">
      <w:pPr>
        <w:pStyle w:val="ListNumber2"/>
        <w:numPr>
          <w:ilvl w:val="1"/>
          <w:numId w:val="4"/>
        </w:numPr>
        <w:spacing w:before="120" w:after="0"/>
        <w:ind w:left="851" w:hanging="851"/>
        <w:rPr>
          <w:rFonts w:eastAsia="Aptos"/>
          <w:kern w:val="2"/>
          <w:szCs w:val="22"/>
          <w14:ligatures w14:val="standardContextual"/>
        </w:rPr>
      </w:pPr>
      <w:r w:rsidRPr="00600BC4">
        <w:rPr>
          <w:rFonts w:eastAsia="Aptos"/>
          <w:kern w:val="2"/>
          <w:szCs w:val="22"/>
          <w14:ligatures w14:val="standardContextual"/>
        </w:rPr>
        <w:t>Under s</w:t>
      </w:r>
      <w:r w:rsidR="003862F2">
        <w:rPr>
          <w:rFonts w:eastAsia="Aptos"/>
          <w:kern w:val="2"/>
          <w:szCs w:val="22"/>
          <w14:ligatures w14:val="standardContextual"/>
        </w:rPr>
        <w:t>ection</w:t>
      </w:r>
      <w:r w:rsidRPr="00600BC4">
        <w:rPr>
          <w:rFonts w:eastAsia="Aptos"/>
          <w:kern w:val="2"/>
          <w:szCs w:val="22"/>
          <w14:ligatures w14:val="standardContextual"/>
        </w:rPr>
        <w:t xml:space="preserve"> 22(1) of the HRA</w:t>
      </w:r>
      <w:r w:rsidR="00911F03">
        <w:rPr>
          <w:rFonts w:eastAsia="Aptos"/>
          <w:kern w:val="2"/>
          <w:szCs w:val="22"/>
          <w14:ligatures w14:val="standardContextual"/>
        </w:rPr>
        <w:t>,</w:t>
      </w:r>
      <w:r w:rsidRPr="00600BC4">
        <w:rPr>
          <w:rFonts w:eastAsia="Aptos"/>
          <w:kern w:val="2"/>
          <w:szCs w:val="22"/>
          <w14:ligatures w14:val="standardContextual"/>
        </w:rPr>
        <w:t xml:space="preserve"> everyone charged with a criminal offence has the right to be presumed innocent until proved guilty according to law.</w:t>
      </w:r>
    </w:p>
    <w:p w14:paraId="3E6E4EA0" w14:textId="1FB61D19" w:rsidR="0016238D" w:rsidRPr="00600BC4" w:rsidRDefault="0016238D" w:rsidP="003862F2">
      <w:pPr>
        <w:pStyle w:val="ListNumber2"/>
        <w:numPr>
          <w:ilvl w:val="1"/>
          <w:numId w:val="4"/>
        </w:numPr>
        <w:spacing w:before="120" w:after="0"/>
        <w:ind w:left="851" w:hanging="851"/>
        <w:rPr>
          <w:rFonts w:eastAsia="Aptos"/>
          <w:kern w:val="2"/>
          <w:szCs w:val="22"/>
          <w14:ligatures w14:val="standardContextual"/>
        </w:rPr>
      </w:pPr>
      <w:r w:rsidRPr="00600BC4">
        <w:rPr>
          <w:rFonts w:eastAsia="Aptos"/>
          <w:kern w:val="2"/>
          <w:szCs w:val="22"/>
          <w14:ligatures w14:val="standardContextual"/>
        </w:rPr>
        <w:t xml:space="preserve">In the new Part 15.4A proposed by the </w:t>
      </w:r>
      <w:r w:rsidR="00911F03">
        <w:rPr>
          <w:rFonts w:eastAsia="Aptos"/>
          <w:kern w:val="2"/>
          <w:szCs w:val="22"/>
          <w14:ligatures w14:val="standardContextual"/>
        </w:rPr>
        <w:t>B</w:t>
      </w:r>
      <w:r w:rsidRPr="00600BC4">
        <w:rPr>
          <w:rFonts w:eastAsia="Aptos"/>
          <w:kern w:val="2"/>
          <w:szCs w:val="22"/>
          <w14:ligatures w14:val="standardContextual"/>
        </w:rPr>
        <w:t xml:space="preserve">ill on prohibition on claim farming, several new offences are created in relation to: </w:t>
      </w:r>
    </w:p>
    <w:p w14:paraId="28CB32BB" w14:textId="34EEC241" w:rsidR="0016238D" w:rsidRPr="00600BC4" w:rsidRDefault="0016238D" w:rsidP="003862F2">
      <w:pPr>
        <w:numPr>
          <w:ilvl w:val="0"/>
          <w:numId w:val="42"/>
        </w:numPr>
        <w:spacing w:line="276" w:lineRule="auto"/>
        <w:ind w:left="1276"/>
        <w:contextualSpacing/>
        <w:rPr>
          <w:rFonts w:eastAsia="Aptos" w:cstheme="minorHAnsi"/>
          <w:kern w:val="2"/>
          <w14:ligatures w14:val="standardContextual"/>
        </w:rPr>
      </w:pPr>
      <w:r w:rsidRPr="00600BC4">
        <w:rPr>
          <w:rFonts w:eastAsia="Aptos" w:cstheme="minorHAnsi"/>
          <w:kern w:val="2"/>
          <w14:ligatures w14:val="standardContextual"/>
        </w:rPr>
        <w:t>contacting a claimant for the purpose of soliciting or inducing a person to make a claim where the person receives a fee or benefit;</w:t>
      </w:r>
      <w:r w:rsidR="00911F03">
        <w:rPr>
          <w:rFonts w:eastAsia="Aptos" w:cstheme="minorHAnsi"/>
          <w:kern w:val="2"/>
          <w14:ligatures w14:val="standardContextual"/>
        </w:rPr>
        <w:t xml:space="preserve"> and</w:t>
      </w:r>
    </w:p>
    <w:p w14:paraId="16660B46" w14:textId="77777777" w:rsidR="0016238D" w:rsidRPr="00600BC4" w:rsidRDefault="0016238D" w:rsidP="003862F2">
      <w:pPr>
        <w:numPr>
          <w:ilvl w:val="0"/>
          <w:numId w:val="42"/>
        </w:numPr>
        <w:spacing w:line="276" w:lineRule="auto"/>
        <w:ind w:left="1276"/>
        <w:contextualSpacing/>
        <w:rPr>
          <w:rFonts w:eastAsia="Aptos" w:cstheme="minorHAnsi"/>
          <w:kern w:val="2"/>
          <w14:ligatures w14:val="standardContextual"/>
        </w:rPr>
      </w:pPr>
      <w:r w:rsidRPr="00600BC4">
        <w:rPr>
          <w:rFonts w:eastAsia="Aptos" w:cstheme="minorHAnsi"/>
          <w:kern w:val="2"/>
          <w14:ligatures w14:val="standardContextual"/>
        </w:rPr>
        <w:lastRenderedPageBreak/>
        <w:t>giving or receiving or arranging for someone else to give or receive a fee or other benefit for a claim referral.</w:t>
      </w:r>
    </w:p>
    <w:p w14:paraId="63CB4003" w14:textId="1A16AC49" w:rsidR="0016238D" w:rsidRPr="00600BC4" w:rsidRDefault="0016238D" w:rsidP="003862F2">
      <w:pPr>
        <w:pStyle w:val="ListNumber2"/>
        <w:numPr>
          <w:ilvl w:val="1"/>
          <w:numId w:val="4"/>
        </w:numPr>
        <w:spacing w:before="120" w:after="0"/>
        <w:ind w:left="851" w:hanging="851"/>
        <w:rPr>
          <w:rFonts w:eastAsia="Aptos"/>
          <w:kern w:val="2"/>
          <w:szCs w:val="22"/>
          <w14:ligatures w14:val="standardContextual"/>
        </w:rPr>
      </w:pPr>
      <w:r w:rsidRPr="00600BC4">
        <w:rPr>
          <w:rFonts w:eastAsia="Aptos"/>
          <w:kern w:val="2"/>
          <w:szCs w:val="22"/>
          <w14:ligatures w14:val="standardContextual"/>
        </w:rPr>
        <w:t xml:space="preserve">For each offence, the </w:t>
      </w:r>
      <w:r w:rsidR="00911F03">
        <w:rPr>
          <w:rFonts w:eastAsia="Aptos"/>
          <w:kern w:val="2"/>
          <w:szCs w:val="22"/>
          <w14:ligatures w14:val="standardContextual"/>
        </w:rPr>
        <w:t>B</w:t>
      </w:r>
      <w:r w:rsidRPr="00600BC4">
        <w:rPr>
          <w:rFonts w:eastAsia="Aptos"/>
          <w:kern w:val="2"/>
          <w:szCs w:val="22"/>
          <w14:ligatures w14:val="standardContextual"/>
        </w:rPr>
        <w:t>ill contains statutory exceptions to that offence. The evidential burden falls on the defendant to prove that defence</w:t>
      </w:r>
      <w:r w:rsidR="00911F03">
        <w:rPr>
          <w:rFonts w:eastAsia="Aptos"/>
          <w:kern w:val="2"/>
          <w:szCs w:val="22"/>
          <w14:ligatures w14:val="standardContextual"/>
        </w:rPr>
        <w:t>.</w:t>
      </w:r>
      <w:r w:rsidRPr="00600BC4">
        <w:rPr>
          <w:rFonts w:eastAsia="Aptos"/>
          <w:kern w:val="2"/>
          <w:szCs w:val="22"/>
          <w14:ligatures w14:val="standardContextual"/>
        </w:rPr>
        <w:t xml:space="preserve"> </w:t>
      </w:r>
      <w:r w:rsidRPr="00600BC4">
        <w:rPr>
          <w:rFonts w:eastAsia="Aptos"/>
          <w:kern w:val="2"/>
          <w:szCs w:val="22"/>
          <w:vertAlign w:val="superscript"/>
          <w14:ligatures w14:val="standardContextual"/>
        </w:rPr>
        <w:footnoteReference w:id="2"/>
      </w:r>
      <w:r w:rsidRPr="00600BC4">
        <w:rPr>
          <w:rFonts w:eastAsia="Aptos"/>
          <w:kern w:val="2"/>
          <w:szCs w:val="22"/>
          <w14:ligatures w14:val="standardContextual"/>
        </w:rPr>
        <w:t xml:space="preserve"> As the explanatory statement identifies, because the defendant is required to prove that defence</w:t>
      </w:r>
      <w:r w:rsidR="00911F03">
        <w:rPr>
          <w:rFonts w:eastAsia="Aptos"/>
          <w:kern w:val="2"/>
          <w:szCs w:val="22"/>
          <w14:ligatures w14:val="standardContextual"/>
        </w:rPr>
        <w:t>,</w:t>
      </w:r>
      <w:r w:rsidRPr="00600BC4">
        <w:rPr>
          <w:rFonts w:eastAsia="Aptos"/>
          <w:kern w:val="2"/>
          <w:szCs w:val="22"/>
          <w14:ligatures w14:val="standardContextual"/>
        </w:rPr>
        <w:t xml:space="preserve"> the statutory exceptions limit the right to a defendant’s presumption of innocence. </w:t>
      </w:r>
    </w:p>
    <w:p w14:paraId="0763AD27" w14:textId="77777777" w:rsidR="0016238D" w:rsidRPr="00600BC4" w:rsidRDefault="0016238D" w:rsidP="003862F2">
      <w:pPr>
        <w:pStyle w:val="ListNumber2"/>
        <w:numPr>
          <w:ilvl w:val="1"/>
          <w:numId w:val="4"/>
        </w:numPr>
        <w:spacing w:before="120" w:after="0"/>
        <w:ind w:left="851" w:hanging="851"/>
        <w:rPr>
          <w:rFonts w:eastAsia="Aptos"/>
          <w:kern w:val="2"/>
          <w:szCs w:val="22"/>
          <w14:ligatures w14:val="standardContextual"/>
        </w:rPr>
      </w:pPr>
      <w:r w:rsidRPr="00600BC4">
        <w:rPr>
          <w:rFonts w:eastAsia="Aptos"/>
          <w:kern w:val="2"/>
          <w:szCs w:val="22"/>
          <w14:ligatures w14:val="standardContextual"/>
        </w:rPr>
        <w:t>The explanatory statement states that this limitation is for a legitimate purpose:</w:t>
      </w:r>
    </w:p>
    <w:p w14:paraId="15F66087" w14:textId="77777777" w:rsidR="0016238D" w:rsidRPr="00600BC4" w:rsidRDefault="0016238D" w:rsidP="003862F2">
      <w:pPr>
        <w:pStyle w:val="Quote"/>
      </w:pPr>
      <w:r w:rsidRPr="00600BC4">
        <w:t xml:space="preserve">The establishment of defences to the offences are intended to allow legal practitioners who provide legitimate legal services to assist victim survivors and personal injury claimants to continue to do so </w:t>
      </w:r>
      <w:proofErr w:type="gramStart"/>
      <w:r w:rsidRPr="00600BC4">
        <w:t>in the course of</w:t>
      </w:r>
      <w:proofErr w:type="gramEnd"/>
      <w:r w:rsidRPr="00600BC4">
        <w:t xml:space="preserve"> their business.</w:t>
      </w:r>
    </w:p>
    <w:p w14:paraId="27E1C6BA" w14:textId="77777777" w:rsidR="0016238D" w:rsidRPr="00600BC4" w:rsidRDefault="0016238D" w:rsidP="003862F2">
      <w:pPr>
        <w:pStyle w:val="Quote"/>
      </w:pPr>
      <w:r w:rsidRPr="00600BC4">
        <w:t xml:space="preserve">The evidential burden to demonstrate an exception/s applies falls on the defendant because they are better placed than the prosecution to provide evidence of their legitimacy in providing legal services to a claimant. If the defendant wishes to rely on one or more of the exceptions to the offence, the limitation from imposing the evidential burden on the accused is reasonable as they are better to provide evidence on why the defence applies, and to ensure appropriate regulatory action can be taken.  </w:t>
      </w:r>
    </w:p>
    <w:p w14:paraId="1B91A371" w14:textId="77777777" w:rsidR="0016238D" w:rsidRPr="008A0201" w:rsidRDefault="0016238D" w:rsidP="003862F2">
      <w:pPr>
        <w:pStyle w:val="ListNumber2"/>
        <w:numPr>
          <w:ilvl w:val="1"/>
          <w:numId w:val="4"/>
        </w:numPr>
        <w:spacing w:before="120" w:after="0"/>
        <w:ind w:left="851" w:hanging="851"/>
        <w:rPr>
          <w:rFonts w:eastAsia="Aptos"/>
          <w:spacing w:val="-4"/>
          <w:kern w:val="2"/>
          <w:szCs w:val="22"/>
          <w14:ligatures w14:val="standardContextual"/>
        </w:rPr>
      </w:pPr>
      <w:r w:rsidRPr="008A0201">
        <w:rPr>
          <w:rFonts w:eastAsia="Aptos"/>
          <w:spacing w:val="-4"/>
          <w:kern w:val="2"/>
          <w:szCs w:val="22"/>
          <w14:ligatures w14:val="standardContextual"/>
        </w:rPr>
        <w:t>The explanatory statement rationalises the connection between the limitation and the purpose:</w:t>
      </w:r>
    </w:p>
    <w:p w14:paraId="3D37DFAC" w14:textId="76F97F7A" w:rsidR="0016238D" w:rsidRPr="00600BC4" w:rsidRDefault="0016238D" w:rsidP="003862F2">
      <w:pPr>
        <w:pStyle w:val="Quote"/>
      </w:pPr>
      <w:r w:rsidRPr="00600BC4">
        <w:t>This limitation to section 22 of the HRA exists because it is unreasonable to impose this burden on prosecution to provide evidence to disprove all possible defences to claim farming offences. The accused person is uniquely or better place</w:t>
      </w:r>
      <w:r w:rsidR="00906EE7">
        <w:t xml:space="preserve"> [sic]</w:t>
      </w:r>
      <w:r w:rsidRPr="00600BC4">
        <w:t xml:space="preserve"> to produce evidence to explain why they should be excused.</w:t>
      </w:r>
    </w:p>
    <w:p w14:paraId="238C971D" w14:textId="3A2834C2" w:rsidR="0016238D" w:rsidRPr="00600BC4" w:rsidRDefault="0016238D" w:rsidP="003862F2">
      <w:pPr>
        <w:pStyle w:val="ListNumber2"/>
        <w:numPr>
          <w:ilvl w:val="1"/>
          <w:numId w:val="4"/>
        </w:numPr>
        <w:spacing w:before="120" w:after="0"/>
        <w:ind w:left="851" w:hanging="851"/>
        <w:rPr>
          <w:rFonts w:eastAsia="Aptos"/>
          <w:kern w:val="2"/>
          <w:szCs w:val="22"/>
          <w14:ligatures w14:val="standardContextual"/>
        </w:rPr>
      </w:pPr>
      <w:r w:rsidRPr="00600BC4">
        <w:rPr>
          <w:rFonts w:eastAsia="Aptos"/>
          <w:kern w:val="2"/>
          <w:szCs w:val="22"/>
          <w14:ligatures w14:val="standardContextual"/>
        </w:rPr>
        <w:t>The Committee notes that the explanatory statement refers to the limitations of a person’s rights under s</w:t>
      </w:r>
      <w:r w:rsidR="003862F2">
        <w:rPr>
          <w:rFonts w:eastAsia="Aptos"/>
          <w:kern w:val="2"/>
          <w14:ligatures w14:val="standardContextual"/>
        </w:rPr>
        <w:t>ection</w:t>
      </w:r>
      <w:r w:rsidRPr="00600BC4">
        <w:rPr>
          <w:rFonts w:eastAsia="Aptos"/>
          <w:kern w:val="2"/>
          <w:szCs w:val="22"/>
          <w14:ligatures w14:val="standardContextual"/>
        </w:rPr>
        <w:t xml:space="preserve"> 22 of the HRA imposed by this bill are “minor, necessary and appropriate”</w:t>
      </w:r>
      <w:r w:rsidR="00911F03">
        <w:rPr>
          <w:rFonts w:eastAsia="Aptos"/>
          <w:kern w:val="2"/>
          <w:szCs w:val="22"/>
          <w14:ligatures w14:val="standardContextual"/>
        </w:rPr>
        <w:t>.</w:t>
      </w:r>
      <w:r w:rsidRPr="00600BC4">
        <w:rPr>
          <w:rFonts w:eastAsia="Aptos"/>
          <w:kern w:val="2"/>
          <w:szCs w:val="22"/>
          <w14:ligatures w14:val="standardContextual"/>
        </w:rPr>
        <w:t xml:space="preserve"> While the explanatory statement has appropriately set out an explanation for how the limitation is necessary and appropriate, the Committee questions the aptness of describing the limitation as “minor” when rights in criminal proceedings are diminished.</w:t>
      </w:r>
    </w:p>
    <w:p w14:paraId="56ECA3DD" w14:textId="06989723" w:rsidR="0016238D" w:rsidRPr="008A0201" w:rsidRDefault="0016238D" w:rsidP="008A0201">
      <w:pPr>
        <w:pStyle w:val="ListNumber2"/>
        <w:numPr>
          <w:ilvl w:val="1"/>
          <w:numId w:val="4"/>
        </w:numPr>
        <w:spacing w:before="120" w:after="0"/>
        <w:ind w:left="851" w:hanging="851"/>
        <w:rPr>
          <w:rFonts w:eastAsia="Aptos"/>
          <w:b/>
          <w:bCs w:val="0"/>
          <w:kern w:val="2"/>
          <w:szCs w:val="22"/>
          <w14:ligatures w14:val="standardContextual"/>
        </w:rPr>
      </w:pPr>
      <w:r w:rsidRPr="00600BC4">
        <w:rPr>
          <w:rFonts w:eastAsia="Aptos"/>
          <w:b/>
          <w:kern w:val="2"/>
          <w:szCs w:val="22"/>
          <w14:ligatures w14:val="standardContextual"/>
        </w:rPr>
        <w:t>The Committee refers the discussion in the explanatory statement to the Assembly and does not require a response from the Minister.</w:t>
      </w:r>
    </w:p>
    <w:p w14:paraId="4F57332B" w14:textId="77777777" w:rsidR="0016238D" w:rsidRPr="003862F2" w:rsidRDefault="0016238D" w:rsidP="00911F03">
      <w:pPr>
        <w:pStyle w:val="Heading3"/>
      </w:pPr>
      <w:bookmarkStart w:id="114" w:name="_Toc227841481"/>
      <w:r w:rsidRPr="003862F2">
        <w:t>Planning Legislation Amendment Bill 2026</w:t>
      </w:r>
      <w:bookmarkEnd w:id="114"/>
    </w:p>
    <w:p w14:paraId="5F52E950" w14:textId="77777777" w:rsidR="0016238D" w:rsidRPr="00600BC4" w:rsidRDefault="0016238D" w:rsidP="00911F03">
      <w:pPr>
        <w:pStyle w:val="ListNumber2"/>
        <w:numPr>
          <w:ilvl w:val="1"/>
          <w:numId w:val="4"/>
        </w:numPr>
        <w:spacing w:before="120" w:after="0"/>
        <w:ind w:left="851" w:hanging="851"/>
        <w:rPr>
          <w:rFonts w:eastAsia="Aptos"/>
          <w:kern w:val="2"/>
          <w:szCs w:val="22"/>
          <w14:ligatures w14:val="standardContextual"/>
        </w:rPr>
      </w:pPr>
      <w:r w:rsidRPr="00600BC4">
        <w:rPr>
          <w:rFonts w:eastAsia="Aptos"/>
          <w:kern w:val="2"/>
          <w:szCs w:val="22"/>
          <w14:ligatures w14:val="standardContextual"/>
        </w:rPr>
        <w:t>This Bill makes amendments to legislation within the Planning and Sustainable Development portfolio. The Bill amends the:</w:t>
      </w:r>
    </w:p>
    <w:p w14:paraId="0ACD8319" w14:textId="58803CA2" w:rsidR="0016238D" w:rsidRPr="00600BC4" w:rsidRDefault="0016238D" w:rsidP="00C12A4B">
      <w:pPr>
        <w:numPr>
          <w:ilvl w:val="0"/>
          <w:numId w:val="43"/>
        </w:numPr>
        <w:spacing w:before="120" w:after="0" w:line="276" w:lineRule="auto"/>
        <w:ind w:left="1276" w:hanging="425"/>
        <w:rPr>
          <w:rFonts w:eastAsia="Aptos" w:cstheme="minorHAnsi"/>
          <w:i/>
          <w:iCs/>
          <w:kern w:val="2"/>
          <w14:ligatures w14:val="standardContextual"/>
        </w:rPr>
      </w:pPr>
      <w:r w:rsidRPr="00600BC4">
        <w:rPr>
          <w:rFonts w:eastAsia="Aptos" w:cstheme="minorHAnsi"/>
          <w:i/>
          <w:iCs/>
          <w:kern w:val="2"/>
          <w14:ligatures w14:val="standardContextual"/>
        </w:rPr>
        <w:t xml:space="preserve">Planning Act </w:t>
      </w:r>
      <w:proofErr w:type="gramStart"/>
      <w:r w:rsidRPr="00600BC4">
        <w:rPr>
          <w:rFonts w:eastAsia="Aptos" w:cstheme="minorHAnsi"/>
          <w:i/>
          <w:iCs/>
          <w:kern w:val="2"/>
          <w14:ligatures w14:val="standardContextual"/>
        </w:rPr>
        <w:t>202</w:t>
      </w:r>
      <w:r w:rsidR="00906EE7">
        <w:rPr>
          <w:rFonts w:eastAsia="Aptos" w:cstheme="minorHAnsi"/>
          <w:i/>
          <w:iCs/>
          <w:kern w:val="2"/>
          <w14:ligatures w14:val="standardContextual"/>
        </w:rPr>
        <w:t>3</w:t>
      </w:r>
      <w:r w:rsidR="00906EE7">
        <w:rPr>
          <w:rFonts w:eastAsia="Aptos" w:cstheme="minorHAnsi"/>
          <w:kern w:val="2"/>
          <w14:ligatures w14:val="standardContextual"/>
        </w:rPr>
        <w:t>;</w:t>
      </w:r>
      <w:proofErr w:type="gramEnd"/>
    </w:p>
    <w:p w14:paraId="092B122E" w14:textId="0B7BBD33" w:rsidR="0016238D" w:rsidRPr="00600BC4" w:rsidRDefault="0016238D" w:rsidP="00C12A4B">
      <w:pPr>
        <w:numPr>
          <w:ilvl w:val="0"/>
          <w:numId w:val="43"/>
        </w:numPr>
        <w:spacing w:before="120" w:after="0" w:line="276" w:lineRule="auto"/>
        <w:ind w:left="1276" w:hanging="425"/>
        <w:rPr>
          <w:rFonts w:eastAsia="Aptos" w:cstheme="minorHAnsi"/>
          <w:i/>
          <w:iCs/>
          <w:kern w:val="2"/>
          <w14:ligatures w14:val="standardContextual"/>
        </w:rPr>
      </w:pPr>
      <w:r w:rsidRPr="00600BC4">
        <w:rPr>
          <w:rFonts w:eastAsia="Aptos" w:cstheme="minorHAnsi"/>
          <w:i/>
          <w:iCs/>
          <w:kern w:val="2"/>
          <w14:ligatures w14:val="standardContextual"/>
        </w:rPr>
        <w:t xml:space="preserve">Planning (Exempt Development) Regulation </w:t>
      </w:r>
      <w:proofErr w:type="gramStart"/>
      <w:r w:rsidRPr="00600BC4">
        <w:rPr>
          <w:rFonts w:eastAsia="Aptos" w:cstheme="minorHAnsi"/>
          <w:i/>
          <w:iCs/>
          <w:kern w:val="2"/>
          <w14:ligatures w14:val="standardContextual"/>
        </w:rPr>
        <w:t>2023</w:t>
      </w:r>
      <w:r w:rsidR="00906EE7">
        <w:rPr>
          <w:rFonts w:eastAsia="Aptos" w:cstheme="minorHAnsi"/>
          <w:kern w:val="2"/>
          <w14:ligatures w14:val="standardContextual"/>
        </w:rPr>
        <w:t>;</w:t>
      </w:r>
      <w:proofErr w:type="gramEnd"/>
    </w:p>
    <w:p w14:paraId="546515BF" w14:textId="24F7DD0B" w:rsidR="0016238D" w:rsidRPr="00600BC4" w:rsidRDefault="0016238D" w:rsidP="00C12A4B">
      <w:pPr>
        <w:numPr>
          <w:ilvl w:val="0"/>
          <w:numId w:val="43"/>
        </w:numPr>
        <w:spacing w:before="120" w:after="0" w:line="276" w:lineRule="auto"/>
        <w:ind w:left="1276" w:hanging="425"/>
        <w:rPr>
          <w:rFonts w:eastAsia="Aptos" w:cstheme="minorHAnsi"/>
          <w:i/>
          <w:iCs/>
          <w:kern w:val="2"/>
          <w14:ligatures w14:val="standardContextual"/>
        </w:rPr>
      </w:pPr>
      <w:r w:rsidRPr="00600BC4">
        <w:rPr>
          <w:rFonts w:eastAsia="Aptos" w:cstheme="minorHAnsi"/>
          <w:i/>
          <w:iCs/>
          <w:kern w:val="2"/>
          <w14:ligatures w14:val="standardContextual"/>
        </w:rPr>
        <w:t xml:space="preserve">Planning (General) Regulation </w:t>
      </w:r>
      <w:proofErr w:type="gramStart"/>
      <w:r w:rsidRPr="00600BC4">
        <w:rPr>
          <w:rFonts w:eastAsia="Aptos" w:cstheme="minorHAnsi"/>
          <w:i/>
          <w:iCs/>
          <w:kern w:val="2"/>
          <w14:ligatures w14:val="standardContextual"/>
        </w:rPr>
        <w:t>2023</w:t>
      </w:r>
      <w:r w:rsidR="00906EE7">
        <w:rPr>
          <w:rFonts w:eastAsia="Aptos" w:cstheme="minorHAnsi"/>
          <w:kern w:val="2"/>
          <w14:ligatures w14:val="standardContextual"/>
        </w:rPr>
        <w:t>;</w:t>
      </w:r>
      <w:proofErr w:type="gramEnd"/>
    </w:p>
    <w:p w14:paraId="45003294" w14:textId="25E40856" w:rsidR="0016238D" w:rsidRPr="00600BC4" w:rsidRDefault="0016238D" w:rsidP="00C12A4B">
      <w:pPr>
        <w:numPr>
          <w:ilvl w:val="0"/>
          <w:numId w:val="43"/>
        </w:numPr>
        <w:spacing w:before="120" w:after="0" w:line="276" w:lineRule="auto"/>
        <w:ind w:left="1276" w:hanging="425"/>
        <w:rPr>
          <w:rFonts w:eastAsia="Aptos" w:cstheme="minorHAnsi"/>
          <w:i/>
          <w:iCs/>
          <w:kern w:val="2"/>
          <w14:ligatures w14:val="standardContextual"/>
        </w:rPr>
      </w:pPr>
      <w:r w:rsidRPr="00600BC4">
        <w:rPr>
          <w:rFonts w:eastAsia="Aptos" w:cstheme="minorHAnsi"/>
          <w:i/>
          <w:iCs/>
          <w:kern w:val="2"/>
          <w14:ligatures w14:val="standardContextual"/>
        </w:rPr>
        <w:t>Recovery of Lands Act 1929</w:t>
      </w:r>
      <w:r w:rsidR="00911F03">
        <w:rPr>
          <w:rFonts w:eastAsia="Aptos" w:cstheme="minorHAnsi"/>
          <w:kern w:val="2"/>
          <w14:ligatures w14:val="standardContextual"/>
        </w:rPr>
        <w:t>;</w:t>
      </w:r>
      <w:r w:rsidRPr="00600BC4">
        <w:rPr>
          <w:rFonts w:eastAsia="Aptos" w:cstheme="minorHAnsi"/>
          <w:i/>
          <w:iCs/>
          <w:kern w:val="2"/>
          <w14:ligatures w14:val="standardContextual"/>
        </w:rPr>
        <w:t xml:space="preserve"> </w:t>
      </w:r>
      <w:r w:rsidRPr="00911F03">
        <w:rPr>
          <w:rFonts w:eastAsia="Aptos" w:cstheme="minorHAnsi"/>
          <w:kern w:val="2"/>
          <w14:ligatures w14:val="standardContextual"/>
        </w:rPr>
        <w:t>and</w:t>
      </w:r>
      <w:r w:rsidRPr="00600BC4">
        <w:rPr>
          <w:rFonts w:eastAsia="Aptos" w:cstheme="minorHAnsi"/>
          <w:i/>
          <w:iCs/>
          <w:kern w:val="2"/>
          <w14:ligatures w14:val="standardContextual"/>
        </w:rPr>
        <w:t xml:space="preserve"> </w:t>
      </w:r>
    </w:p>
    <w:p w14:paraId="33A12AB6" w14:textId="77777777" w:rsidR="0016238D" w:rsidRPr="00600BC4" w:rsidRDefault="0016238D" w:rsidP="00C12A4B">
      <w:pPr>
        <w:numPr>
          <w:ilvl w:val="0"/>
          <w:numId w:val="43"/>
        </w:numPr>
        <w:spacing w:before="120" w:after="0" w:line="276" w:lineRule="auto"/>
        <w:ind w:left="1276" w:hanging="425"/>
        <w:rPr>
          <w:rFonts w:eastAsia="Aptos" w:cstheme="minorHAnsi"/>
          <w:i/>
          <w:iCs/>
          <w:kern w:val="2"/>
          <w14:ligatures w14:val="standardContextual"/>
        </w:rPr>
      </w:pPr>
      <w:r w:rsidRPr="00600BC4">
        <w:rPr>
          <w:rFonts w:eastAsia="Aptos" w:cstheme="minorHAnsi"/>
          <w:i/>
          <w:iCs/>
          <w:kern w:val="2"/>
          <w14:ligatures w14:val="standardContextual"/>
        </w:rPr>
        <w:t>Surveyors Act 2007.</w:t>
      </w:r>
    </w:p>
    <w:p w14:paraId="48F064E1" w14:textId="77777777" w:rsidR="0016238D" w:rsidRPr="00600BC4" w:rsidRDefault="0016238D" w:rsidP="003862F2">
      <w:pPr>
        <w:pStyle w:val="ListNumber2"/>
        <w:numPr>
          <w:ilvl w:val="1"/>
          <w:numId w:val="4"/>
        </w:numPr>
        <w:spacing w:before="120" w:after="0"/>
        <w:ind w:left="851" w:hanging="851"/>
        <w:rPr>
          <w:rFonts w:eastAsia="Aptos"/>
          <w:kern w:val="2"/>
          <w:szCs w:val="22"/>
          <w14:ligatures w14:val="standardContextual"/>
        </w:rPr>
      </w:pPr>
      <w:r w:rsidRPr="00600BC4">
        <w:rPr>
          <w:rFonts w:eastAsia="Aptos"/>
          <w:kern w:val="2"/>
          <w:szCs w:val="22"/>
          <w14:ligatures w14:val="standardContextual"/>
        </w:rPr>
        <w:lastRenderedPageBreak/>
        <w:t>The explanatory statement explains these amendments are “minor policy and technical amendments”. The Committee refers the Assembly to the summary of those amendments in the explanatory statement.</w:t>
      </w:r>
    </w:p>
    <w:p w14:paraId="495AE0A2" w14:textId="4A714A77" w:rsidR="0016238D" w:rsidRPr="00600BC4" w:rsidRDefault="0016238D" w:rsidP="003862F2">
      <w:pPr>
        <w:pStyle w:val="ListNumber2"/>
        <w:numPr>
          <w:ilvl w:val="1"/>
          <w:numId w:val="4"/>
        </w:numPr>
        <w:spacing w:before="120" w:after="100" w:afterAutospacing="1"/>
        <w:ind w:left="851" w:hanging="851"/>
        <w:rPr>
          <w:rFonts w:eastAsia="Aptos"/>
          <w:kern w:val="2"/>
          <w:szCs w:val="22"/>
          <w14:ligatures w14:val="standardContextual"/>
        </w:rPr>
      </w:pPr>
      <w:r w:rsidRPr="00600BC4">
        <w:rPr>
          <w:rFonts w:eastAsia="Aptos"/>
          <w:kern w:val="2"/>
          <w:szCs w:val="22"/>
          <w14:ligatures w14:val="standardContextual"/>
        </w:rPr>
        <w:t xml:space="preserve">The Committee notes that clause 6 of the Bill amends the </w:t>
      </w:r>
      <w:r w:rsidRPr="00600BC4">
        <w:rPr>
          <w:rFonts w:eastAsia="Aptos"/>
          <w:i/>
          <w:iCs/>
          <w:kern w:val="2"/>
          <w:szCs w:val="22"/>
          <w14:ligatures w14:val="standardContextual"/>
        </w:rPr>
        <w:t>Planning Act 2023</w:t>
      </w:r>
      <w:r w:rsidRPr="00600BC4">
        <w:rPr>
          <w:rFonts w:eastAsia="Aptos"/>
          <w:kern w:val="2"/>
          <w:szCs w:val="22"/>
          <w14:ligatures w14:val="standardContextual"/>
        </w:rPr>
        <w:t xml:space="preserve"> to insert a new s</w:t>
      </w:r>
      <w:r w:rsidR="003862F2">
        <w:rPr>
          <w:rFonts w:eastAsia="Aptos"/>
          <w:kern w:val="2"/>
          <w:szCs w:val="22"/>
          <w14:ligatures w14:val="standardContextual"/>
        </w:rPr>
        <w:t xml:space="preserve">ection </w:t>
      </w:r>
      <w:r w:rsidRPr="00600BC4">
        <w:rPr>
          <w:rFonts w:eastAsia="Aptos"/>
          <w:kern w:val="2"/>
          <w:szCs w:val="22"/>
          <w14:ligatures w14:val="standardContextual"/>
        </w:rPr>
        <w:t xml:space="preserve">63(1A) that provides that, for a draft major plan amendment, the territory planning authority must give a copy of the consultation notice to each person prescribed by regulation. Clause Note 6 states that these are adjoining lessees. </w:t>
      </w:r>
    </w:p>
    <w:p w14:paraId="3E6878F9" w14:textId="47553D89" w:rsidR="0016238D" w:rsidRPr="00600BC4" w:rsidRDefault="0016238D" w:rsidP="003862F2">
      <w:pPr>
        <w:pStyle w:val="ListNumber2"/>
        <w:numPr>
          <w:ilvl w:val="1"/>
          <w:numId w:val="4"/>
        </w:numPr>
        <w:spacing w:before="120" w:after="0"/>
        <w:ind w:left="851" w:hanging="851"/>
        <w:rPr>
          <w:rFonts w:eastAsia="Aptos"/>
          <w:kern w:val="2"/>
          <w:szCs w:val="22"/>
          <w14:ligatures w14:val="standardContextual"/>
        </w:rPr>
      </w:pPr>
      <w:r w:rsidRPr="00600BC4">
        <w:rPr>
          <w:rFonts w:eastAsia="Aptos"/>
          <w:kern w:val="2"/>
          <w:szCs w:val="22"/>
          <w14:ligatures w14:val="standardContextual"/>
        </w:rPr>
        <w:t>Clause Note 6 also states that this notice must be given at the commencement of the consultation period. However, the Committee does not identify any text in the new s</w:t>
      </w:r>
      <w:r w:rsidR="003862F2">
        <w:rPr>
          <w:rFonts w:eastAsia="Aptos"/>
          <w:kern w:val="2"/>
          <w:szCs w:val="22"/>
          <w14:ligatures w14:val="standardContextual"/>
        </w:rPr>
        <w:t xml:space="preserve">ection </w:t>
      </w:r>
      <w:r w:rsidRPr="00600BC4">
        <w:rPr>
          <w:rFonts w:eastAsia="Aptos"/>
          <w:kern w:val="2"/>
          <w:szCs w:val="22"/>
          <w14:ligatures w14:val="standardContextual"/>
        </w:rPr>
        <w:t>63(1A) proposed by the Bill to reflect this timing.</w:t>
      </w:r>
    </w:p>
    <w:p w14:paraId="48F5C54B" w14:textId="73EEED1A" w:rsidR="0016238D" w:rsidRPr="00911F03" w:rsidRDefault="0016238D" w:rsidP="00906EE7">
      <w:pPr>
        <w:pStyle w:val="ListNumber2"/>
        <w:numPr>
          <w:ilvl w:val="1"/>
          <w:numId w:val="4"/>
        </w:numPr>
        <w:spacing w:before="120" w:after="0"/>
        <w:ind w:left="851" w:hanging="851"/>
        <w:rPr>
          <w:rFonts w:eastAsia="Aptos"/>
          <w:b/>
          <w:bCs w:val="0"/>
          <w:kern w:val="2"/>
          <w:szCs w:val="22"/>
          <w14:ligatures w14:val="standardContextual"/>
        </w:rPr>
      </w:pPr>
      <w:r w:rsidRPr="00600BC4">
        <w:rPr>
          <w:rFonts w:eastAsia="Aptos"/>
          <w:b/>
          <w:kern w:val="2"/>
          <w:szCs w:val="22"/>
          <w14:ligatures w14:val="standardContextual"/>
        </w:rPr>
        <w:t>The Committee requests the Minister to explain how that timing can be inferred from the proposed new s</w:t>
      </w:r>
      <w:r w:rsidR="00911F03">
        <w:rPr>
          <w:rFonts w:eastAsia="Aptos"/>
          <w:b/>
          <w:kern w:val="2"/>
          <w:szCs w:val="22"/>
          <w14:ligatures w14:val="standardContextual"/>
        </w:rPr>
        <w:t>ection</w:t>
      </w:r>
      <w:r w:rsidRPr="00600BC4">
        <w:rPr>
          <w:rFonts w:eastAsia="Aptos"/>
          <w:b/>
          <w:kern w:val="2"/>
          <w:szCs w:val="22"/>
          <w14:ligatures w14:val="standardContextual"/>
        </w:rPr>
        <w:t xml:space="preserve"> 63(1A).</w:t>
      </w:r>
    </w:p>
    <w:tbl>
      <w:tblPr>
        <w:tblStyle w:val="Recommendationbox"/>
        <w:tblW w:w="8320" w:type="dxa"/>
        <w:tblLook w:val="0600" w:firstRow="0" w:lastRow="0" w:firstColumn="0" w:lastColumn="0" w:noHBand="1" w:noVBand="1"/>
      </w:tblPr>
      <w:tblGrid>
        <w:gridCol w:w="8320"/>
      </w:tblGrid>
      <w:tr w:rsidR="00911F03" w14:paraId="2890A186" w14:textId="77777777" w:rsidTr="00EA39A8">
        <w:tc>
          <w:tcPr>
            <w:tcW w:w="8036" w:type="dxa"/>
          </w:tcPr>
          <w:p w14:paraId="324BFF5F" w14:textId="77777777" w:rsidR="00911F03" w:rsidRPr="006B0503" w:rsidRDefault="00911F03" w:rsidP="00EA39A8">
            <w:pPr>
              <w:pStyle w:val="ListNumber2"/>
              <w:ind w:left="34"/>
            </w:pPr>
            <w:r w:rsidRPr="00E772A8">
              <w:t>The Committee draws this matter to the attention of the Assembly and asks the Minister to respond prior to the Bill being debated.</w:t>
            </w:r>
          </w:p>
        </w:tc>
      </w:tr>
    </w:tbl>
    <w:p w14:paraId="179EAA1C" w14:textId="77777777" w:rsidR="0016238D" w:rsidRPr="003862F2" w:rsidRDefault="0016238D" w:rsidP="00911F03">
      <w:pPr>
        <w:pStyle w:val="Heading3"/>
      </w:pPr>
      <w:bookmarkStart w:id="115" w:name="_Toc227841482"/>
      <w:r w:rsidRPr="003862F2">
        <w:t>Planning (Missing Middle Housing) Amendment Bill 2026</w:t>
      </w:r>
      <w:bookmarkEnd w:id="115"/>
    </w:p>
    <w:p w14:paraId="3CF0C22C" w14:textId="77777777" w:rsidR="0016238D" w:rsidRPr="00600BC4" w:rsidRDefault="0016238D" w:rsidP="00911F03">
      <w:pPr>
        <w:pStyle w:val="ListNumber2"/>
        <w:numPr>
          <w:ilvl w:val="1"/>
          <w:numId w:val="4"/>
        </w:numPr>
        <w:spacing w:before="120" w:after="0"/>
        <w:ind w:left="851" w:hanging="851"/>
        <w:rPr>
          <w:rFonts w:eastAsia="Aptos"/>
          <w:kern w:val="2"/>
          <w:szCs w:val="22"/>
          <w14:ligatures w14:val="standardContextual"/>
        </w:rPr>
      </w:pPr>
      <w:r w:rsidRPr="00600BC4">
        <w:rPr>
          <w:rFonts w:eastAsia="Aptos"/>
          <w:kern w:val="2"/>
          <w:szCs w:val="22"/>
          <w14:ligatures w14:val="standardContextual"/>
        </w:rPr>
        <w:t xml:space="preserve">This Bill amends the </w:t>
      </w:r>
      <w:r w:rsidRPr="00600BC4">
        <w:rPr>
          <w:rFonts w:eastAsia="Aptos"/>
          <w:i/>
          <w:iCs/>
          <w:kern w:val="2"/>
          <w:szCs w:val="22"/>
          <w14:ligatures w14:val="standardContextual"/>
        </w:rPr>
        <w:t>Planning Act 2023</w:t>
      </w:r>
      <w:r w:rsidRPr="00600BC4">
        <w:rPr>
          <w:rFonts w:eastAsia="Aptos"/>
          <w:kern w:val="2"/>
          <w:szCs w:val="22"/>
          <w14:ligatures w14:val="standardContextual"/>
        </w:rPr>
        <w:t xml:space="preserve"> (“Planning Act”) and the </w:t>
      </w:r>
      <w:r w:rsidRPr="00600BC4">
        <w:rPr>
          <w:rFonts w:eastAsia="Aptos"/>
          <w:i/>
          <w:iCs/>
          <w:kern w:val="2"/>
          <w:szCs w:val="22"/>
          <w14:ligatures w14:val="standardContextual"/>
        </w:rPr>
        <w:t>Planning (General) Regulation 2023</w:t>
      </w:r>
      <w:r w:rsidRPr="00600BC4">
        <w:rPr>
          <w:rFonts w:eastAsia="Aptos"/>
          <w:kern w:val="2"/>
          <w:szCs w:val="22"/>
          <w14:ligatures w14:val="standardContextual"/>
        </w:rPr>
        <w:t>. The amendments to the Planning Act:</w:t>
      </w:r>
    </w:p>
    <w:p w14:paraId="7B55EF31" w14:textId="6C56F7CA" w:rsidR="0016238D" w:rsidRPr="008A0201" w:rsidRDefault="00911F03" w:rsidP="00906EE7">
      <w:pPr>
        <w:pStyle w:val="ListParagraph"/>
        <w:numPr>
          <w:ilvl w:val="0"/>
          <w:numId w:val="44"/>
        </w:numPr>
        <w:spacing w:before="120" w:line="278" w:lineRule="auto"/>
        <w:ind w:left="1276" w:hanging="425"/>
        <w:contextualSpacing w:val="0"/>
        <w:rPr>
          <w:rFonts w:eastAsia="Aptos" w:cs="Times New Roman"/>
        </w:rPr>
      </w:pPr>
      <w:r>
        <w:rPr>
          <w:rFonts w:eastAsia="Aptos" w:cs="Times New Roman"/>
        </w:rPr>
        <w:t>r</w:t>
      </w:r>
      <w:r w:rsidR="0016238D" w:rsidRPr="008A0201">
        <w:rPr>
          <w:rFonts w:eastAsia="Aptos" w:cs="Times New Roman"/>
        </w:rPr>
        <w:t xml:space="preserve">evise the definition of “subdivision development proposal” to exclude small scale subdivisions from being designated as “significant development,” the latter of which requires additional assessment processes and extended time </w:t>
      </w:r>
      <w:proofErr w:type="gramStart"/>
      <w:r w:rsidR="0016238D" w:rsidRPr="008A0201">
        <w:rPr>
          <w:rFonts w:eastAsia="Aptos" w:cs="Times New Roman"/>
        </w:rPr>
        <w:t>frame;</w:t>
      </w:r>
      <w:proofErr w:type="gramEnd"/>
    </w:p>
    <w:p w14:paraId="2AC62982" w14:textId="4ABF4461" w:rsidR="0016238D" w:rsidRPr="008A0201" w:rsidRDefault="00911F03" w:rsidP="00906EE7">
      <w:pPr>
        <w:pStyle w:val="ListParagraph"/>
        <w:numPr>
          <w:ilvl w:val="0"/>
          <w:numId w:val="44"/>
        </w:numPr>
        <w:spacing w:before="120" w:line="278" w:lineRule="auto"/>
        <w:ind w:left="1276" w:hanging="425"/>
        <w:contextualSpacing w:val="0"/>
        <w:rPr>
          <w:rFonts w:eastAsia="Aptos" w:cs="Times New Roman"/>
        </w:rPr>
      </w:pPr>
      <w:r>
        <w:rPr>
          <w:rFonts w:eastAsia="Aptos" w:cs="Times New Roman"/>
        </w:rPr>
        <w:t>p</w:t>
      </w:r>
      <w:r w:rsidR="0016238D" w:rsidRPr="008A0201">
        <w:rPr>
          <w:rFonts w:eastAsia="Aptos" w:cs="Times New Roman"/>
        </w:rPr>
        <w:t>rovide that all single dwelling residential leases may be used for a “secondary residence”</w:t>
      </w:r>
      <w:r w:rsidR="0016238D" w:rsidRPr="00906EE7">
        <w:rPr>
          <w:rFonts w:eastAsia="Aptos" w:cs="Times New Roman"/>
          <w:vertAlign w:val="superscript"/>
        </w:rPr>
        <w:footnoteReference w:id="3"/>
      </w:r>
      <w:r w:rsidR="0016238D" w:rsidRPr="008A0201">
        <w:rPr>
          <w:rFonts w:eastAsia="Aptos" w:cs="Times New Roman"/>
        </w:rPr>
        <w:t xml:space="preserve"> (e.g. a </w:t>
      </w:r>
      <w:r>
        <w:rPr>
          <w:rFonts w:eastAsia="Aptos" w:cs="Times New Roman"/>
        </w:rPr>
        <w:t>“</w:t>
      </w:r>
      <w:r w:rsidR="0016238D" w:rsidRPr="008A0201">
        <w:rPr>
          <w:rFonts w:eastAsia="Aptos" w:cs="Times New Roman"/>
        </w:rPr>
        <w:t>granny flat</w:t>
      </w:r>
      <w:r>
        <w:rPr>
          <w:rFonts w:eastAsia="Aptos" w:cs="Times New Roman"/>
        </w:rPr>
        <w:t>”</w:t>
      </w:r>
      <w:r w:rsidR="0016238D" w:rsidRPr="008A0201">
        <w:rPr>
          <w:rFonts w:eastAsia="Aptos" w:cs="Times New Roman"/>
        </w:rPr>
        <w:t>) without the need for a lease variation;</w:t>
      </w:r>
      <w:r>
        <w:rPr>
          <w:rFonts w:eastAsia="Aptos" w:cs="Times New Roman"/>
        </w:rPr>
        <w:t xml:space="preserve"> and</w:t>
      </w:r>
    </w:p>
    <w:p w14:paraId="34F6351C" w14:textId="66077557" w:rsidR="003862F2" w:rsidRPr="00911F03" w:rsidRDefault="00911F03" w:rsidP="00906EE7">
      <w:pPr>
        <w:pStyle w:val="ListParagraph"/>
        <w:numPr>
          <w:ilvl w:val="0"/>
          <w:numId w:val="44"/>
        </w:numPr>
        <w:spacing w:before="120" w:line="278" w:lineRule="auto"/>
        <w:ind w:left="1276" w:hanging="425"/>
        <w:contextualSpacing w:val="0"/>
        <w:rPr>
          <w:rFonts w:eastAsia="Aptos" w:cs="Times New Roman"/>
        </w:rPr>
      </w:pPr>
      <w:r>
        <w:rPr>
          <w:rFonts w:eastAsia="Aptos" w:cs="Times New Roman"/>
        </w:rPr>
        <w:t>e</w:t>
      </w:r>
      <w:r w:rsidR="0016238D" w:rsidRPr="008A0201">
        <w:rPr>
          <w:rFonts w:eastAsia="Aptos" w:cs="Times New Roman"/>
        </w:rPr>
        <w:t>stablish a new process for certain types of lease variations (e.g.: to maximum number of permitted dwellings or units on a block), including other types prescribed by regulation, to “nominal rent leases”.</w:t>
      </w:r>
      <w:r w:rsidR="0016238D" w:rsidRPr="00906EE7">
        <w:rPr>
          <w:rFonts w:eastAsia="Aptos" w:cs="Times New Roman"/>
          <w:vertAlign w:val="superscript"/>
        </w:rPr>
        <w:footnoteReference w:id="4"/>
      </w:r>
      <w:r w:rsidR="0016238D" w:rsidRPr="008A0201">
        <w:rPr>
          <w:rFonts w:eastAsia="Aptos" w:cs="Times New Roman"/>
        </w:rPr>
        <w:t xml:space="preserve"> Such new processes include application to the territory planning authority, shorter decision making times, removal of the requirement of public notification or entity referral and removal of third-party ACT Civil &amp; Administrative Tribunal (ACAT) appeal rights on decisions.</w:t>
      </w:r>
    </w:p>
    <w:p w14:paraId="366DA7B8" w14:textId="77777777" w:rsidR="0016238D" w:rsidRPr="00600BC4" w:rsidRDefault="0016238D" w:rsidP="003862F2">
      <w:pPr>
        <w:pStyle w:val="ListNumber2"/>
        <w:numPr>
          <w:ilvl w:val="1"/>
          <w:numId w:val="4"/>
        </w:numPr>
        <w:spacing w:before="120" w:after="0"/>
        <w:ind w:left="851" w:hanging="851"/>
        <w:rPr>
          <w:rFonts w:eastAsia="Aptos"/>
          <w:kern w:val="2"/>
          <w:szCs w:val="22"/>
          <w14:ligatures w14:val="standardContextual"/>
        </w:rPr>
      </w:pPr>
      <w:r w:rsidRPr="00600BC4">
        <w:rPr>
          <w:rFonts w:eastAsia="Aptos"/>
          <w:kern w:val="2"/>
          <w:szCs w:val="22"/>
          <w14:ligatures w14:val="standardContextual"/>
        </w:rPr>
        <w:t xml:space="preserve">The amendments proposed by the Bill to the </w:t>
      </w:r>
      <w:r w:rsidRPr="00600BC4">
        <w:rPr>
          <w:rFonts w:eastAsia="Aptos"/>
          <w:i/>
          <w:iCs/>
          <w:kern w:val="2"/>
          <w:szCs w:val="22"/>
          <w14:ligatures w14:val="standardContextual"/>
        </w:rPr>
        <w:t>Planning (General) Regulation 2023</w:t>
      </w:r>
      <w:r w:rsidRPr="00600BC4">
        <w:rPr>
          <w:rFonts w:eastAsia="Aptos"/>
          <w:kern w:val="2"/>
          <w:szCs w:val="22"/>
          <w14:ligatures w14:val="standardContextual"/>
        </w:rPr>
        <w:t xml:space="preserve"> make amendments consequential to the amendments to the Planning Act.</w:t>
      </w:r>
    </w:p>
    <w:p w14:paraId="27C80075" w14:textId="77777777" w:rsidR="0016238D" w:rsidRPr="00600BC4" w:rsidRDefault="0016238D" w:rsidP="00911F03">
      <w:pPr>
        <w:pStyle w:val="ListNumber2"/>
        <w:numPr>
          <w:ilvl w:val="1"/>
          <w:numId w:val="4"/>
        </w:numPr>
        <w:spacing w:before="120" w:after="0"/>
        <w:ind w:left="851" w:hanging="851"/>
        <w:rPr>
          <w:rFonts w:eastAsia="Aptos"/>
          <w:kern w:val="2"/>
          <w:szCs w:val="22"/>
          <w14:ligatures w14:val="standardContextual"/>
        </w:rPr>
      </w:pPr>
      <w:r w:rsidRPr="00600BC4">
        <w:rPr>
          <w:rFonts w:eastAsia="Aptos"/>
          <w:kern w:val="2"/>
          <w:szCs w:val="22"/>
          <w14:ligatures w14:val="standardContextual"/>
        </w:rPr>
        <w:t>The explanatory statement explains:</w:t>
      </w:r>
    </w:p>
    <w:p w14:paraId="3EC64E56" w14:textId="77777777" w:rsidR="0016238D" w:rsidRPr="00911F03" w:rsidRDefault="0016238D" w:rsidP="00906EE7">
      <w:pPr>
        <w:pStyle w:val="Quote"/>
        <w:widowControl w:val="0"/>
        <w:spacing w:before="60" w:after="0"/>
        <w:rPr>
          <w:spacing w:val="-4"/>
        </w:rPr>
      </w:pPr>
      <w:r w:rsidRPr="00911F03">
        <w:rPr>
          <w:spacing w:val="-4"/>
        </w:rPr>
        <w:t>The amendments are focussed on process improvements to support applications for missing middle housing developments to progress through the planning approvals process in a timely manner. Each development proposal will still need to be assessed against the climate and environmental outcomes contained within the Territory Plan, including canopy cover, planting area and permeable surface requirements.</w:t>
      </w:r>
    </w:p>
    <w:p w14:paraId="58B81E2B" w14:textId="77777777" w:rsidR="0016238D" w:rsidRPr="00600BC4" w:rsidRDefault="0016238D" w:rsidP="003862F2">
      <w:pPr>
        <w:pStyle w:val="ListNumber2"/>
        <w:numPr>
          <w:ilvl w:val="1"/>
          <w:numId w:val="4"/>
        </w:numPr>
        <w:spacing w:before="120" w:after="0"/>
        <w:ind w:left="851" w:hanging="851"/>
        <w:rPr>
          <w:rFonts w:eastAsia="Aptos"/>
          <w:kern w:val="2"/>
          <w:szCs w:val="22"/>
          <w14:ligatures w14:val="standardContextual"/>
        </w:rPr>
      </w:pPr>
      <w:r w:rsidRPr="00600BC4">
        <w:rPr>
          <w:rFonts w:eastAsia="Aptos"/>
          <w:kern w:val="2"/>
          <w:szCs w:val="22"/>
          <w14:ligatures w14:val="standardContextual"/>
        </w:rPr>
        <w:lastRenderedPageBreak/>
        <w:t>The Committee notes that, addressing the human rights discussion separately (addressed below), some aspects of the explanatory statement are insufficient or unclear.</w:t>
      </w:r>
    </w:p>
    <w:p w14:paraId="2A6A4B2A" w14:textId="77777777" w:rsidR="0016238D" w:rsidRPr="00600BC4" w:rsidRDefault="0016238D" w:rsidP="003862F2">
      <w:pPr>
        <w:pStyle w:val="ListNumber2"/>
        <w:numPr>
          <w:ilvl w:val="1"/>
          <w:numId w:val="4"/>
        </w:numPr>
        <w:spacing w:before="120" w:after="0"/>
        <w:ind w:left="851" w:hanging="851"/>
        <w:rPr>
          <w:rFonts w:eastAsia="Aptos"/>
          <w:kern w:val="2"/>
          <w:szCs w:val="22"/>
          <w14:ligatures w14:val="standardContextual"/>
        </w:rPr>
      </w:pPr>
      <w:r w:rsidRPr="00600BC4">
        <w:rPr>
          <w:rFonts w:eastAsia="Aptos"/>
          <w:kern w:val="2"/>
          <w:szCs w:val="22"/>
          <w14:ligatures w14:val="standardContextual"/>
        </w:rPr>
        <w:t xml:space="preserve">First, the statement refers, by way of background, to the “Missing Middle Housing” reforms, but does not explain what these reforms are. The Committee notes that one of the purposes of an explanatory statement is:    </w:t>
      </w:r>
    </w:p>
    <w:p w14:paraId="4AD2412E" w14:textId="77777777" w:rsidR="0016238D" w:rsidRPr="00600BC4" w:rsidRDefault="0016238D" w:rsidP="003862F2">
      <w:pPr>
        <w:pStyle w:val="Quote"/>
      </w:pPr>
      <w:r w:rsidRPr="00600BC4">
        <w:t xml:space="preserve">to inform members of the public – who must be regarded as lacking both legal expertise, and technical expertise in the relevant subject matter - as to what it is proposed the Assembly should do by way of making or amending an Act. The explanatory statement should “help the reader grasp what the bill does, how it does it, and to provide helpful </w:t>
      </w:r>
      <w:proofErr w:type="gramStart"/>
      <w:r w:rsidRPr="00600BC4">
        <w:t>background”…</w:t>
      </w:r>
      <w:proofErr w:type="gramEnd"/>
      <w:r w:rsidRPr="00600BC4">
        <w:t>…</w:t>
      </w:r>
      <w:r w:rsidRPr="00600BC4">
        <w:rPr>
          <w:vertAlign w:val="superscript"/>
        </w:rPr>
        <w:footnoteReference w:id="5"/>
      </w:r>
    </w:p>
    <w:p w14:paraId="7F1B6104" w14:textId="77777777" w:rsidR="0016238D" w:rsidRPr="00600BC4" w:rsidRDefault="0016238D" w:rsidP="008A0201">
      <w:pPr>
        <w:pStyle w:val="ListNumber2"/>
        <w:numPr>
          <w:ilvl w:val="1"/>
          <w:numId w:val="4"/>
        </w:numPr>
        <w:spacing w:before="120" w:after="0"/>
        <w:ind w:left="851" w:hanging="851"/>
        <w:rPr>
          <w:rFonts w:eastAsia="Aptos"/>
          <w:kern w:val="2"/>
          <w:szCs w:val="22"/>
          <w14:ligatures w14:val="standardContextual"/>
        </w:rPr>
      </w:pPr>
      <w:r w:rsidRPr="00600BC4">
        <w:rPr>
          <w:rFonts w:eastAsia="Aptos"/>
          <w:kern w:val="2"/>
          <w:szCs w:val="22"/>
          <w14:ligatures w14:val="standardContextual"/>
        </w:rPr>
        <w:t>Second, in relation to reform (</w:t>
      </w:r>
      <w:proofErr w:type="spellStart"/>
      <w:r w:rsidRPr="00600BC4">
        <w:rPr>
          <w:rFonts w:eastAsia="Aptos"/>
          <w:kern w:val="2"/>
          <w:szCs w:val="22"/>
          <w14:ligatures w14:val="standardContextual"/>
        </w:rPr>
        <w:t>i</w:t>
      </w:r>
      <w:proofErr w:type="spellEnd"/>
      <w:r w:rsidRPr="00600BC4">
        <w:rPr>
          <w:rFonts w:eastAsia="Aptos"/>
          <w:kern w:val="2"/>
          <w:szCs w:val="22"/>
          <w14:ligatures w14:val="standardContextual"/>
        </w:rPr>
        <w:t>) mentioned above about subdivision development proposals, clause 4 of the Bill provides for the new definition of “subdivision development proposal” in new section 42A:</w:t>
      </w:r>
    </w:p>
    <w:p w14:paraId="5865D874" w14:textId="7326CB2F" w:rsidR="0016238D" w:rsidRPr="00600BC4" w:rsidRDefault="0016238D" w:rsidP="00906EE7">
      <w:pPr>
        <w:pStyle w:val="Quote"/>
        <w:numPr>
          <w:ilvl w:val="0"/>
          <w:numId w:val="47"/>
        </w:numPr>
        <w:spacing w:before="120" w:after="0"/>
      </w:pPr>
      <w:r w:rsidRPr="00600BC4">
        <w:t>In this part:</w:t>
      </w:r>
    </w:p>
    <w:p w14:paraId="562DB9AC" w14:textId="77777777" w:rsidR="0016238D" w:rsidRPr="00600BC4" w:rsidRDefault="0016238D" w:rsidP="00906EE7">
      <w:pPr>
        <w:pStyle w:val="Quote"/>
        <w:spacing w:before="120" w:after="0"/>
        <w:ind w:left="1560"/>
      </w:pPr>
      <w:r w:rsidRPr="00600BC4">
        <w:rPr>
          <w:b/>
          <w:bCs/>
          <w:i/>
          <w:iCs/>
        </w:rPr>
        <w:t>subdivision development proposal</w:t>
      </w:r>
      <w:r w:rsidRPr="00600BC4">
        <w:t xml:space="preserve"> means a development proposal to do both of the following:</w:t>
      </w:r>
    </w:p>
    <w:p w14:paraId="3338EC07" w14:textId="4FD1070F" w:rsidR="0016238D" w:rsidRPr="00600BC4" w:rsidRDefault="0016238D" w:rsidP="00906EE7">
      <w:pPr>
        <w:pStyle w:val="Quote"/>
        <w:spacing w:before="120" w:after="0"/>
        <w:ind w:left="1560"/>
      </w:pPr>
      <w:r w:rsidRPr="00600BC4">
        <w:t>(a)</w:t>
      </w:r>
      <w:r w:rsidRPr="00600BC4">
        <w:tab/>
        <w:t xml:space="preserve">create or consolidate </w:t>
      </w:r>
      <w:proofErr w:type="gramStart"/>
      <w:r w:rsidRPr="00600BC4">
        <w:t>blocks;</w:t>
      </w:r>
      <w:proofErr w:type="gramEnd"/>
      <w:r w:rsidRPr="00600BC4">
        <w:t xml:space="preserve"> </w:t>
      </w:r>
    </w:p>
    <w:p w14:paraId="29C39BA4" w14:textId="5DFE148B" w:rsidR="0016238D" w:rsidRPr="00600BC4" w:rsidRDefault="0016238D" w:rsidP="00906EE7">
      <w:pPr>
        <w:pStyle w:val="Quote"/>
        <w:spacing w:before="120" w:after="0"/>
        <w:ind w:left="1560" w:hanging="284"/>
      </w:pPr>
      <w:r w:rsidRPr="00600BC4">
        <w:tab/>
        <w:t>(b)</w:t>
      </w:r>
      <w:r w:rsidRPr="00600BC4">
        <w:tab/>
        <w:t>create or remove roads.</w:t>
      </w:r>
    </w:p>
    <w:p w14:paraId="5036A6E9" w14:textId="4035685D" w:rsidR="0016238D" w:rsidRPr="00600BC4" w:rsidRDefault="0016238D" w:rsidP="00911F03">
      <w:pPr>
        <w:pStyle w:val="Quote"/>
        <w:spacing w:before="120" w:after="0"/>
        <w:ind w:left="1560" w:hanging="426"/>
      </w:pPr>
      <w:r w:rsidRPr="00600BC4">
        <w:t>(2)</w:t>
      </w:r>
      <w:r w:rsidRPr="00600BC4">
        <w:tab/>
        <w:t>A subdivision development proposal may also involve 1 or more of the following:</w:t>
      </w:r>
    </w:p>
    <w:p w14:paraId="2025E10A" w14:textId="44313003" w:rsidR="00906EE7" w:rsidRDefault="0016238D" w:rsidP="00906EE7">
      <w:pPr>
        <w:pStyle w:val="Quote"/>
        <w:spacing w:before="120" w:after="0"/>
        <w:ind w:left="1560"/>
      </w:pPr>
      <w:r w:rsidRPr="00600BC4">
        <w:t>(a)</w:t>
      </w:r>
      <w:r w:rsidRPr="00600BC4">
        <w:tab/>
        <w:t xml:space="preserve">changes to land use </w:t>
      </w:r>
      <w:proofErr w:type="gramStart"/>
      <w:r w:rsidRPr="00600BC4">
        <w:t>zones;</w:t>
      </w:r>
      <w:proofErr w:type="gramEnd"/>
    </w:p>
    <w:p w14:paraId="24AEF06C" w14:textId="53633645" w:rsidR="00911F03" w:rsidRDefault="0016238D" w:rsidP="00906EE7">
      <w:pPr>
        <w:pStyle w:val="Quote"/>
        <w:spacing w:before="120" w:after="0"/>
        <w:ind w:left="1560"/>
      </w:pPr>
      <w:r w:rsidRPr="00600BC4">
        <w:t>(b)</w:t>
      </w:r>
      <w:r w:rsidRPr="00600BC4">
        <w:tab/>
        <w:t xml:space="preserve">design or construction requirements for roads or </w:t>
      </w:r>
      <w:proofErr w:type="gramStart"/>
      <w:r w:rsidRPr="00600BC4">
        <w:t>infrastructure;</w:t>
      </w:r>
      <w:proofErr w:type="gramEnd"/>
    </w:p>
    <w:p w14:paraId="4815977F" w14:textId="1C4F2E46" w:rsidR="0016238D" w:rsidRPr="00600BC4" w:rsidRDefault="0016238D" w:rsidP="00906EE7">
      <w:pPr>
        <w:pStyle w:val="Quote"/>
        <w:spacing w:before="120" w:after="0"/>
        <w:ind w:left="2127" w:hanging="567"/>
      </w:pPr>
      <w:r w:rsidRPr="00600BC4">
        <w:t>(c)</w:t>
      </w:r>
      <w:r w:rsidRPr="00600BC4">
        <w:tab/>
        <w:t>design or construction requirements for future development on the land the subject of the application.</w:t>
      </w:r>
    </w:p>
    <w:p w14:paraId="7F61BC26" w14:textId="78E1504C" w:rsidR="0016238D" w:rsidRPr="00600BC4" w:rsidRDefault="0016238D" w:rsidP="00911F03">
      <w:pPr>
        <w:pStyle w:val="ListNumber2"/>
        <w:numPr>
          <w:ilvl w:val="1"/>
          <w:numId w:val="4"/>
        </w:numPr>
        <w:spacing w:before="120" w:after="0"/>
        <w:ind w:left="851" w:hanging="851"/>
        <w:rPr>
          <w:rFonts w:eastAsia="Aptos"/>
          <w:kern w:val="2"/>
          <w:szCs w:val="22"/>
          <w14:ligatures w14:val="standardContextual"/>
        </w:rPr>
      </w:pPr>
      <w:r w:rsidRPr="00600BC4">
        <w:rPr>
          <w:rFonts w:eastAsia="Aptos"/>
          <w:kern w:val="2"/>
          <w:szCs w:val="22"/>
          <w14:ligatures w14:val="standardContextual"/>
        </w:rPr>
        <w:t xml:space="preserve">This drafting suggests that a proposal is only a subdivision development plan if it does </w:t>
      </w:r>
      <w:r w:rsidRPr="00600BC4">
        <w:rPr>
          <w:rFonts w:eastAsia="Aptos"/>
          <w:i/>
          <w:iCs/>
          <w:kern w:val="2"/>
          <w:szCs w:val="22"/>
          <w14:ligatures w14:val="standardContextual"/>
        </w:rPr>
        <w:t xml:space="preserve">both </w:t>
      </w:r>
      <w:r w:rsidR="00906EE7">
        <w:rPr>
          <w:rFonts w:eastAsia="Aptos"/>
          <w:kern w:val="2"/>
          <w:szCs w:val="22"/>
          <w14:ligatures w14:val="standardContextual"/>
        </w:rPr>
        <w:t>(1)</w:t>
      </w:r>
      <w:r w:rsidRPr="00600BC4">
        <w:rPr>
          <w:rFonts w:eastAsia="Aptos"/>
          <w:kern w:val="2"/>
          <w:szCs w:val="22"/>
          <w14:ligatures w14:val="standardContextual"/>
        </w:rPr>
        <w:t>(a) and (b). However, the explanation in the explanatory statement suggests that these are alternatives:</w:t>
      </w:r>
    </w:p>
    <w:p w14:paraId="637BF5EA" w14:textId="77777777" w:rsidR="0016238D" w:rsidRPr="00600BC4" w:rsidRDefault="0016238D" w:rsidP="00911F03">
      <w:pPr>
        <w:pStyle w:val="Quote"/>
        <w:spacing w:before="120" w:after="0"/>
      </w:pPr>
      <w:r w:rsidRPr="00600BC4">
        <w:t>A subdivision development proposal is defined as a development proposal that either creates or consolidates blocks, creates or removes roads, or involves land use zone, design and construction requirements for future development on the land that is the subject of the [development] application.</w:t>
      </w:r>
    </w:p>
    <w:p w14:paraId="2595F271" w14:textId="77777777" w:rsidR="0016238D" w:rsidRPr="00600BC4" w:rsidRDefault="0016238D" w:rsidP="003862F2">
      <w:pPr>
        <w:pStyle w:val="ListNumber2"/>
        <w:numPr>
          <w:ilvl w:val="1"/>
          <w:numId w:val="4"/>
        </w:numPr>
        <w:spacing w:before="120" w:after="0"/>
        <w:ind w:left="851" w:hanging="851"/>
        <w:rPr>
          <w:rFonts w:eastAsia="Aptos"/>
          <w:kern w:val="2"/>
          <w:szCs w:val="22"/>
          <w14:ligatures w14:val="standardContextual"/>
        </w:rPr>
      </w:pPr>
      <w:r w:rsidRPr="00600BC4">
        <w:rPr>
          <w:rFonts w:eastAsia="Aptos"/>
          <w:kern w:val="2"/>
          <w:szCs w:val="22"/>
          <w14:ligatures w14:val="standardContextual"/>
        </w:rPr>
        <w:t>The Committee does note that the Clause Note to Clause 4 appears to more accurately reflect the drafting. However, it is unclear from the explanatory statement and Clause Note 4 whether new sub-section 42A(2) permits a subdivision development proposal in (1) to also include the matters listed in (2)(a) to (c), or whether the matters listed in (2)(a) to (c) are of themselves each to be regarded as subdivision development proposals.</w:t>
      </w:r>
    </w:p>
    <w:p w14:paraId="0482AA21" w14:textId="3FE3B982" w:rsidR="0016238D" w:rsidRPr="00600BC4" w:rsidRDefault="0016238D" w:rsidP="003862F2">
      <w:pPr>
        <w:pStyle w:val="ListNumber2"/>
        <w:numPr>
          <w:ilvl w:val="1"/>
          <w:numId w:val="4"/>
        </w:numPr>
        <w:spacing w:before="120" w:after="0"/>
        <w:ind w:left="851" w:hanging="851"/>
        <w:rPr>
          <w:rFonts w:eastAsia="Aptos"/>
          <w:kern w:val="2"/>
          <w:szCs w:val="22"/>
          <w14:ligatures w14:val="standardContextual"/>
        </w:rPr>
      </w:pPr>
      <w:r w:rsidRPr="00600BC4">
        <w:rPr>
          <w:rFonts w:eastAsia="Aptos"/>
          <w:kern w:val="2"/>
          <w:szCs w:val="22"/>
          <w14:ligatures w14:val="standardContextual"/>
        </w:rPr>
        <w:lastRenderedPageBreak/>
        <w:t>Thirdly, the Committee notes that the Clause Notes for clauses 14 to 42 of the Bill are dealt with in summary form. The Clause Notes state that “Clauses 14 – 42 make various consequential amendments to the Act” to reflect the variations of nominal rent leases made by clause 7 with two brief bullet point explanations. This is not the standard that the Committee has come to expect for Clause Notes. Some of the Clauses are not obviously technical consequential amendments (e.g. Clause</w:t>
      </w:r>
      <w:r w:rsidR="00911F03">
        <w:rPr>
          <w:rFonts w:eastAsia="Aptos"/>
          <w:kern w:val="2"/>
          <w:szCs w:val="22"/>
          <w14:ligatures w14:val="standardContextual"/>
        </w:rPr>
        <w:t>s</w:t>
      </w:r>
      <w:r w:rsidRPr="00600BC4">
        <w:rPr>
          <w:rFonts w:eastAsia="Aptos"/>
          <w:kern w:val="2"/>
          <w:szCs w:val="22"/>
          <w14:ligatures w14:val="standardContextual"/>
        </w:rPr>
        <w:t xml:space="preserve"> 15, 16, 17, 18, 22, 30, 33, 36, 41). Even those clauses that might be described as such should be the subject of a separate clause note to explain how each of them relates to which amendment made by the Bill. This separate treatment is particularly important when a Bill is amending a lengthy, detailed and complex Act like the Planning Act; each amendment needs to be clearly and sufficiently explained in the Clause Notes so that the Committee can “identify all respects in which provisions of the bill may be fairly regarded as engaging a Committee term of reference”.</w:t>
      </w:r>
      <w:r w:rsidRPr="00600BC4">
        <w:rPr>
          <w:rFonts w:eastAsia="Aptos"/>
          <w:kern w:val="2"/>
          <w:szCs w:val="22"/>
          <w:vertAlign w:val="superscript"/>
          <w14:ligatures w14:val="standardContextual"/>
        </w:rPr>
        <w:footnoteReference w:id="6"/>
      </w:r>
    </w:p>
    <w:p w14:paraId="23C555A2" w14:textId="368D68F6" w:rsidR="0016238D" w:rsidRPr="00600BC4" w:rsidRDefault="0016238D" w:rsidP="003862F2">
      <w:pPr>
        <w:pStyle w:val="ListNumber2"/>
        <w:numPr>
          <w:ilvl w:val="1"/>
          <w:numId w:val="4"/>
        </w:numPr>
        <w:spacing w:before="120" w:after="0"/>
        <w:ind w:left="851" w:hanging="851"/>
        <w:rPr>
          <w:rFonts w:eastAsia="Aptos"/>
          <w:kern w:val="2"/>
          <w:szCs w:val="22"/>
          <w14:ligatures w14:val="standardContextual"/>
        </w:rPr>
      </w:pPr>
      <w:r w:rsidRPr="00600BC4">
        <w:rPr>
          <w:rFonts w:eastAsia="Aptos"/>
          <w:kern w:val="2"/>
          <w:szCs w:val="22"/>
          <w14:ligatures w14:val="standardContextual"/>
        </w:rPr>
        <w:t xml:space="preserve">As a general comment, much of “Overview of the Bill” in the explanatory statement and the summary for Clause Notes 14 to 42 appear to assume that the Committee and a member of the public have a sophisticated working understanding of the concepts and processes in the current Planning Act. Noting the Committee’s comment above in </w:t>
      </w:r>
      <w:r w:rsidR="00911F03">
        <w:rPr>
          <w:rFonts w:eastAsia="Aptos"/>
          <w:kern w:val="2"/>
          <w:szCs w:val="22"/>
          <w14:ligatures w14:val="standardContextual"/>
        </w:rPr>
        <w:t>paragraph 1.42</w:t>
      </w:r>
      <w:r w:rsidRPr="00600BC4">
        <w:rPr>
          <w:rFonts w:eastAsia="Aptos"/>
          <w:kern w:val="2"/>
          <w:szCs w:val="22"/>
          <w14:ligatures w14:val="standardContextual"/>
        </w:rPr>
        <w:t xml:space="preserve"> about the purpose of an explanatory statement, this is not an appropriate premise for drafting the statement.</w:t>
      </w:r>
    </w:p>
    <w:p w14:paraId="27ACF342" w14:textId="6BDA1572" w:rsidR="003862F2" w:rsidRPr="003862F2" w:rsidRDefault="0016238D" w:rsidP="003862F2">
      <w:pPr>
        <w:pStyle w:val="ListNumber2"/>
        <w:numPr>
          <w:ilvl w:val="1"/>
          <w:numId w:val="4"/>
        </w:numPr>
        <w:spacing w:before="120" w:after="0"/>
        <w:ind w:left="851" w:hanging="851"/>
        <w:rPr>
          <w:b/>
        </w:rPr>
      </w:pPr>
      <w:r w:rsidRPr="003862F2">
        <w:rPr>
          <w:b/>
        </w:rPr>
        <w:t>The Committee requests the Minister to revise the explanatory statement to explain more clearly the background reforms to the Planning Act</w:t>
      </w:r>
      <w:r w:rsidR="004F5D16">
        <w:rPr>
          <w:b/>
        </w:rPr>
        <w:t>, clarify how the subdivision development proposal works</w:t>
      </w:r>
      <w:r w:rsidRPr="003862F2">
        <w:rPr>
          <w:b/>
        </w:rPr>
        <w:t xml:space="preserve"> and to revise Clause Notes 14 to 42 to address each clause of the Bill separately to explain their purpose or their relevance to the rest of the Bill.</w:t>
      </w:r>
    </w:p>
    <w:tbl>
      <w:tblPr>
        <w:tblStyle w:val="Recommendationbox"/>
        <w:tblW w:w="8484" w:type="dxa"/>
        <w:tblLook w:val="0600" w:firstRow="0" w:lastRow="0" w:firstColumn="0" w:lastColumn="0" w:noHBand="1" w:noVBand="1"/>
      </w:tblPr>
      <w:tblGrid>
        <w:gridCol w:w="8484"/>
      </w:tblGrid>
      <w:tr w:rsidR="003862F2" w:rsidRPr="003862F2" w14:paraId="06030E88" w14:textId="77777777" w:rsidTr="00705857">
        <w:trPr>
          <w:trHeight w:val="787"/>
        </w:trPr>
        <w:tc>
          <w:tcPr>
            <w:tcW w:w="8200" w:type="dxa"/>
          </w:tcPr>
          <w:p w14:paraId="732FA613" w14:textId="27B26E65" w:rsidR="003862F2" w:rsidRPr="003862F2" w:rsidRDefault="003862F2" w:rsidP="00705857">
            <w:pPr>
              <w:pStyle w:val="ListNumber2"/>
              <w:spacing w:before="120" w:after="0"/>
              <w:ind w:left="34" w:right="-132"/>
              <w:rPr>
                <w:bCs w:val="0"/>
              </w:rPr>
            </w:pPr>
            <w:r w:rsidRPr="00E772A8">
              <w:t>The Committee draws this matter to the attention of the Assembly and asks the Minister to respond prior to the Bill being debated.</w:t>
            </w:r>
          </w:p>
        </w:tc>
      </w:tr>
    </w:tbl>
    <w:p w14:paraId="28883255" w14:textId="77777777" w:rsidR="0016238D" w:rsidRPr="003862F2" w:rsidRDefault="0016238D" w:rsidP="00911F03">
      <w:pPr>
        <w:pStyle w:val="Heading4"/>
        <w:rPr>
          <w:rFonts w:eastAsia="Calibri"/>
          <w:lang w:eastAsia="en-AU"/>
        </w:rPr>
      </w:pPr>
      <w:bookmarkStart w:id="116" w:name="_Toc227838175"/>
      <w:bookmarkStart w:id="117" w:name="_Toc227841483"/>
      <w:r w:rsidRPr="003862F2">
        <w:rPr>
          <w:rFonts w:eastAsia="Calibri"/>
          <w:lang w:eastAsia="en-AU"/>
        </w:rPr>
        <w:t xml:space="preserve">Report under section 38 of the </w:t>
      </w:r>
      <w:r w:rsidRPr="00911F03">
        <w:rPr>
          <w:rFonts w:eastAsia="Calibri"/>
          <w:i/>
          <w:lang w:eastAsia="en-AU"/>
        </w:rPr>
        <w:t>Human Rights Act 2004</w:t>
      </w:r>
      <w:r w:rsidRPr="003862F2">
        <w:rPr>
          <w:rFonts w:eastAsia="Calibri"/>
          <w:lang w:eastAsia="en-AU"/>
        </w:rPr>
        <w:t xml:space="preserve"> (HRA)</w:t>
      </w:r>
      <w:bookmarkEnd w:id="116"/>
      <w:bookmarkEnd w:id="117"/>
    </w:p>
    <w:p w14:paraId="0BFFA8AB" w14:textId="452FC944" w:rsidR="0016238D" w:rsidRPr="003862F2" w:rsidRDefault="0016238D" w:rsidP="00906EE7">
      <w:pPr>
        <w:pStyle w:val="Heading5"/>
        <w:spacing w:after="240"/>
      </w:pPr>
      <w:r w:rsidRPr="003862F2">
        <w:t xml:space="preserve">Right to a </w:t>
      </w:r>
      <w:r w:rsidR="00911F03">
        <w:t>f</w:t>
      </w:r>
      <w:r w:rsidRPr="003862F2">
        <w:t xml:space="preserve">air </w:t>
      </w:r>
      <w:r w:rsidR="00911F03">
        <w:t>t</w:t>
      </w:r>
      <w:r w:rsidRPr="003862F2">
        <w:t>rial (s</w:t>
      </w:r>
      <w:r w:rsidR="008A0201">
        <w:t>ection</w:t>
      </w:r>
      <w:r w:rsidRPr="003862F2">
        <w:t xml:space="preserve"> 21 HRA)</w:t>
      </w:r>
    </w:p>
    <w:p w14:paraId="69F66E07" w14:textId="67A5AE5A" w:rsidR="0016238D" w:rsidRPr="00600BC4" w:rsidRDefault="0016238D" w:rsidP="008A0201">
      <w:pPr>
        <w:pStyle w:val="ListNumber2"/>
        <w:numPr>
          <w:ilvl w:val="1"/>
          <w:numId w:val="4"/>
        </w:numPr>
        <w:spacing w:before="0" w:after="0"/>
        <w:ind w:left="851" w:hanging="851"/>
        <w:rPr>
          <w:rFonts w:eastAsia="Aptos"/>
          <w:kern w:val="2"/>
          <w:szCs w:val="22"/>
          <w14:ligatures w14:val="standardContextual"/>
        </w:rPr>
      </w:pPr>
      <w:r w:rsidRPr="00600BC4">
        <w:rPr>
          <w:rFonts w:eastAsia="Aptos"/>
          <w:kern w:val="2"/>
          <w:szCs w:val="22"/>
          <w14:ligatures w14:val="standardContextual"/>
        </w:rPr>
        <w:t>The right to a fair trial under section 21 of the HRA protects the right to procedural fairness.  The right to a fair trial includes all stages of proceedings in a court or tribunal and has been extended to include review processes in administrative decision-making. It therefore includes, as the explanatory statement identifies, the right of appeal for third parties whose substantive legal rights may be affected.</w:t>
      </w:r>
      <w:r w:rsidRPr="00600BC4">
        <w:rPr>
          <w:rFonts w:eastAsia="Aptos"/>
          <w:kern w:val="2"/>
          <w:szCs w:val="22"/>
          <w:vertAlign w:val="superscript"/>
          <w14:ligatures w14:val="standardContextual"/>
        </w:rPr>
        <w:footnoteReference w:id="7"/>
      </w:r>
    </w:p>
    <w:p w14:paraId="2DE7EE71" w14:textId="77777777" w:rsidR="0016238D" w:rsidRPr="00600BC4" w:rsidRDefault="0016238D" w:rsidP="003862F2">
      <w:pPr>
        <w:pStyle w:val="ListNumber2"/>
        <w:numPr>
          <w:ilvl w:val="1"/>
          <w:numId w:val="4"/>
        </w:numPr>
        <w:spacing w:before="120" w:after="100" w:afterAutospacing="1"/>
        <w:ind w:left="851" w:hanging="851"/>
        <w:rPr>
          <w:rFonts w:eastAsia="Aptos"/>
          <w:kern w:val="2"/>
          <w:szCs w:val="22"/>
          <w14:ligatures w14:val="standardContextual"/>
        </w:rPr>
      </w:pPr>
      <w:r w:rsidRPr="00600BC4">
        <w:rPr>
          <w:rFonts w:eastAsia="Aptos"/>
          <w:kern w:val="2"/>
          <w:szCs w:val="22"/>
          <w14:ligatures w14:val="standardContextual"/>
        </w:rPr>
        <w:t>Clause 10 of the Bill (which inserts the new Division 7.2.1A on exempt variations of nominal rent leases) contains new section 149A which provides that the division applies to the following nominal rent variations:</w:t>
      </w:r>
    </w:p>
    <w:p w14:paraId="35B32E1B" w14:textId="77777777" w:rsidR="0016238D" w:rsidRPr="00600BC4" w:rsidRDefault="0016238D" w:rsidP="00906EE7">
      <w:pPr>
        <w:pStyle w:val="Quote"/>
        <w:ind w:left="1701" w:hanging="567"/>
      </w:pPr>
      <w:r w:rsidRPr="00600BC4">
        <w:t xml:space="preserve">(a) </w:t>
      </w:r>
      <w:r w:rsidRPr="00600BC4">
        <w:tab/>
        <w:t xml:space="preserve">a variation to state the maximum number of dwellings permitted on the land under the </w:t>
      </w:r>
      <w:proofErr w:type="gramStart"/>
      <w:r w:rsidRPr="00600BC4">
        <w:t>lease;</w:t>
      </w:r>
      <w:proofErr w:type="gramEnd"/>
      <w:r w:rsidRPr="00600BC4">
        <w:t xml:space="preserve"> </w:t>
      </w:r>
    </w:p>
    <w:p w14:paraId="35FC9F78" w14:textId="77777777" w:rsidR="0016238D" w:rsidRPr="00600BC4" w:rsidRDefault="0016238D" w:rsidP="00906EE7">
      <w:pPr>
        <w:pStyle w:val="Quote"/>
        <w:ind w:left="1701" w:hanging="567"/>
      </w:pPr>
      <w:r w:rsidRPr="00600BC4">
        <w:lastRenderedPageBreak/>
        <w:t>(b)</w:t>
      </w:r>
      <w:r w:rsidRPr="00600BC4">
        <w:tab/>
        <w:t xml:space="preserve">a variation to change the maximum number of dwellings permitted on the land under the </w:t>
      </w:r>
      <w:proofErr w:type="gramStart"/>
      <w:r w:rsidRPr="00600BC4">
        <w:t>lease;</w:t>
      </w:r>
      <w:proofErr w:type="gramEnd"/>
      <w:r w:rsidRPr="00600BC4">
        <w:t xml:space="preserve"> </w:t>
      </w:r>
    </w:p>
    <w:p w14:paraId="377E9A62" w14:textId="6D45D4AD" w:rsidR="0016238D" w:rsidRPr="00600BC4" w:rsidRDefault="0016238D" w:rsidP="00906EE7">
      <w:pPr>
        <w:pStyle w:val="Quote"/>
        <w:ind w:left="1701" w:hanging="567"/>
      </w:pPr>
      <w:r w:rsidRPr="00600BC4">
        <w:t>(c)</w:t>
      </w:r>
      <w:r w:rsidRPr="00600BC4">
        <w:tab/>
        <w:t xml:space="preserve">a variation to authorise the use of the land for a secondary </w:t>
      </w:r>
      <w:proofErr w:type="gramStart"/>
      <w:r w:rsidRPr="00600BC4">
        <w:t>residence;</w:t>
      </w:r>
      <w:proofErr w:type="gramEnd"/>
    </w:p>
    <w:p w14:paraId="0EF568A3" w14:textId="427784DB" w:rsidR="0016238D" w:rsidRPr="00600BC4" w:rsidRDefault="0016238D" w:rsidP="00906EE7">
      <w:pPr>
        <w:pStyle w:val="Quote"/>
        <w:ind w:left="1701" w:hanging="567"/>
      </w:pPr>
      <w:r w:rsidRPr="00600BC4">
        <w:t>(d)</w:t>
      </w:r>
      <w:r w:rsidRPr="00600BC4">
        <w:tab/>
        <w:t xml:space="preserve">a variation to a provision of the lease relating to an </w:t>
      </w:r>
      <w:proofErr w:type="gramStart"/>
      <w:r w:rsidRPr="00600BC4">
        <w:t>easement;</w:t>
      </w:r>
      <w:proofErr w:type="gramEnd"/>
      <w:r w:rsidRPr="00600BC4">
        <w:t xml:space="preserve"> </w:t>
      </w:r>
    </w:p>
    <w:p w14:paraId="77BBF02E" w14:textId="0B760B39" w:rsidR="0016238D" w:rsidRPr="00600BC4" w:rsidRDefault="0016238D" w:rsidP="00906EE7">
      <w:pPr>
        <w:pStyle w:val="Quote"/>
        <w:ind w:left="1701" w:hanging="567"/>
      </w:pPr>
      <w:r w:rsidRPr="00600BC4">
        <w:t>(e)</w:t>
      </w:r>
      <w:r w:rsidRPr="00600BC4">
        <w:tab/>
        <w:t>a variation prescribed by regulation.</w:t>
      </w:r>
    </w:p>
    <w:p w14:paraId="7FFA1309" w14:textId="77777777" w:rsidR="0016238D" w:rsidRPr="00600BC4" w:rsidRDefault="0016238D" w:rsidP="00911F03">
      <w:pPr>
        <w:pStyle w:val="ListNumber2"/>
        <w:numPr>
          <w:ilvl w:val="1"/>
          <w:numId w:val="4"/>
        </w:numPr>
        <w:spacing w:before="120" w:after="0"/>
        <w:ind w:left="851" w:hanging="851"/>
        <w:rPr>
          <w:rFonts w:eastAsia="Aptos"/>
          <w:kern w:val="2"/>
          <w:szCs w:val="22"/>
          <w14:ligatures w14:val="standardContextual"/>
        </w:rPr>
      </w:pPr>
      <w:r w:rsidRPr="00600BC4">
        <w:rPr>
          <w:rFonts w:eastAsia="Aptos"/>
          <w:kern w:val="2"/>
          <w:szCs w:val="22"/>
          <w14:ligatures w14:val="standardContextual"/>
        </w:rPr>
        <w:t>The statement states that the Bill limits the right to a fair trial by removing third-party appeal rights in relation to certain planning and lease-related decisions:</w:t>
      </w:r>
    </w:p>
    <w:p w14:paraId="37B94A10" w14:textId="77777777" w:rsidR="0016238D" w:rsidRPr="00600BC4" w:rsidRDefault="0016238D" w:rsidP="00911F03">
      <w:pPr>
        <w:pStyle w:val="Quote"/>
        <w:spacing w:before="120" w:after="0"/>
      </w:pPr>
      <w:r w:rsidRPr="00600BC4">
        <w:t>The amendments will create a pathway for some Crown lease variations to be exempt from requiring a DA, thereby limiting opportunities to participate in planning decisions. The proposed amendments will also mean that these lease variations are exempt from third party appeal rights in the ACT Civil and Administrative Tribunal (ACAT), limiting individuals’ opportunity to pursue objections to planning decisions.</w:t>
      </w:r>
    </w:p>
    <w:p w14:paraId="5A5B2326" w14:textId="77777777" w:rsidR="0016238D" w:rsidRPr="00600BC4" w:rsidRDefault="0016238D" w:rsidP="003862F2">
      <w:pPr>
        <w:pStyle w:val="ListNumber2"/>
        <w:numPr>
          <w:ilvl w:val="1"/>
          <w:numId w:val="4"/>
        </w:numPr>
        <w:spacing w:before="120" w:after="0"/>
        <w:ind w:left="851" w:hanging="851"/>
        <w:rPr>
          <w:rFonts w:eastAsia="Aptos"/>
          <w:kern w:val="2"/>
          <w:szCs w:val="22"/>
          <w14:ligatures w14:val="standardContextual"/>
        </w:rPr>
      </w:pPr>
      <w:r w:rsidRPr="00600BC4">
        <w:rPr>
          <w:rFonts w:eastAsia="Aptos"/>
          <w:kern w:val="2"/>
          <w:szCs w:val="22"/>
          <w14:ligatures w14:val="standardContextual"/>
        </w:rPr>
        <w:t xml:space="preserve">However, neither the explanatory statement nor the Clause Notes clearly explain how the amendments lead to this outcome. They are clear that new Division 7.2.1A creates new processes for certain development decisions for nominal rent leases, but it is not clear from the statement how appeal rights are impacted by Crown lease variations becoming exempt from Development Application approval. </w:t>
      </w:r>
    </w:p>
    <w:p w14:paraId="756052C0" w14:textId="77777777" w:rsidR="0016238D" w:rsidRPr="003862F2" w:rsidRDefault="0016238D" w:rsidP="00911F03">
      <w:pPr>
        <w:pStyle w:val="ListNumber2"/>
        <w:numPr>
          <w:ilvl w:val="1"/>
          <w:numId w:val="4"/>
        </w:numPr>
        <w:spacing w:before="120" w:after="0"/>
        <w:ind w:left="851" w:hanging="851"/>
        <w:rPr>
          <w:rFonts w:eastAsia="Aptos"/>
          <w:b/>
          <w:bCs w:val="0"/>
          <w:kern w:val="2"/>
          <w:szCs w:val="22"/>
          <w14:ligatures w14:val="standardContextual"/>
        </w:rPr>
      </w:pPr>
      <w:r w:rsidRPr="00600BC4">
        <w:rPr>
          <w:rFonts w:eastAsia="Aptos"/>
          <w:b/>
          <w:kern w:val="2"/>
          <w:szCs w:val="22"/>
          <w14:ligatures w14:val="standardContextual"/>
        </w:rPr>
        <w:t>The Committee requests the Minister to explain in the explanatory statement how the new Division 7.2.1A results in such variations being exempt from third party appeal rights in ACAT by reference to relevant Planning Act provisions.</w:t>
      </w:r>
    </w:p>
    <w:tbl>
      <w:tblPr>
        <w:tblStyle w:val="Recommendationbox"/>
        <w:tblW w:w="8425" w:type="dxa"/>
        <w:tblLook w:val="0600" w:firstRow="0" w:lastRow="0" w:firstColumn="0" w:lastColumn="0" w:noHBand="1" w:noVBand="1"/>
      </w:tblPr>
      <w:tblGrid>
        <w:gridCol w:w="8425"/>
      </w:tblGrid>
      <w:tr w:rsidR="003862F2" w14:paraId="03A4BE94" w14:textId="77777777" w:rsidTr="003862F2">
        <w:trPr>
          <w:trHeight w:val="759"/>
        </w:trPr>
        <w:tc>
          <w:tcPr>
            <w:tcW w:w="8141" w:type="dxa"/>
          </w:tcPr>
          <w:p w14:paraId="09C5C860" w14:textId="77777777" w:rsidR="003862F2" w:rsidRPr="006B0503" w:rsidRDefault="003862F2" w:rsidP="00D458AF">
            <w:pPr>
              <w:pStyle w:val="ListNumber2"/>
              <w:ind w:left="34" w:right="-42"/>
            </w:pPr>
            <w:r w:rsidRPr="00E772A8">
              <w:t>The Committee draws this matter to the attention of the Assembly and asks the Minister to respond prior to the Bill being debated.</w:t>
            </w:r>
          </w:p>
        </w:tc>
      </w:tr>
    </w:tbl>
    <w:p w14:paraId="0B5389D0" w14:textId="77777777" w:rsidR="0016238D" w:rsidRPr="00600BC4" w:rsidRDefault="0016238D" w:rsidP="00911F03">
      <w:pPr>
        <w:pStyle w:val="ListNumber2"/>
        <w:numPr>
          <w:ilvl w:val="1"/>
          <w:numId w:val="4"/>
        </w:numPr>
        <w:spacing w:before="0"/>
        <w:ind w:left="851" w:hanging="851"/>
        <w:rPr>
          <w:rFonts w:eastAsia="Aptos"/>
          <w:kern w:val="2"/>
          <w:szCs w:val="22"/>
          <w14:ligatures w14:val="standardContextual"/>
        </w:rPr>
      </w:pPr>
      <w:r w:rsidRPr="00600BC4">
        <w:rPr>
          <w:rFonts w:eastAsia="Aptos"/>
          <w:kern w:val="2"/>
          <w:szCs w:val="22"/>
          <w14:ligatures w14:val="standardContextual"/>
        </w:rPr>
        <w:t>Subject to that Committee request, the statement rationalises the asserted limitation as follows:</w:t>
      </w:r>
    </w:p>
    <w:p w14:paraId="1EDA9FFF" w14:textId="77777777" w:rsidR="0016238D" w:rsidRPr="00600BC4" w:rsidRDefault="0016238D" w:rsidP="008A0201">
      <w:pPr>
        <w:pStyle w:val="Quote"/>
        <w:spacing w:before="0"/>
      </w:pPr>
      <w:r w:rsidRPr="00600BC4">
        <w:t>The objective sought to be achieved by these amendments is to provide for improved efficiency of the planning system that will facilitate the timely delivery of more housing, which is a matter that directly impacts all Canberrans. These changes will support greater supply of low-rise, sustainable and comfortable homes envisaged by the Missing Middle Housing reforms that can blend into our existing suburbs without too much change to the character of these areas, helping individuals, couples and families to find homes in existing suburbs, limiting urban sprawl and making it easier for older Canberrans to stay in their communities as they age. Ensuring the timely assessment and approval of development proposals through the planning system will enable additional housing to be constructed more quickly. This will also introduce opportunities for aging in place, inter-generational living, and greater opportunities for more marginalised or vulnerable groups such as young people, single persons and low-income earners to find housing.</w:t>
      </w:r>
    </w:p>
    <w:p w14:paraId="4438AC4A" w14:textId="77777777" w:rsidR="0016238D" w:rsidRPr="00600BC4" w:rsidRDefault="0016238D" w:rsidP="00911F03">
      <w:pPr>
        <w:pStyle w:val="ListNumber2"/>
        <w:keepNext/>
        <w:numPr>
          <w:ilvl w:val="1"/>
          <w:numId w:val="4"/>
        </w:numPr>
        <w:spacing w:before="120" w:after="0"/>
        <w:ind w:left="851" w:hanging="851"/>
        <w:rPr>
          <w:rFonts w:eastAsia="Aptos"/>
          <w:kern w:val="2"/>
          <w:szCs w:val="22"/>
          <w14:ligatures w14:val="standardContextual"/>
        </w:rPr>
      </w:pPr>
      <w:r w:rsidRPr="00600BC4">
        <w:rPr>
          <w:rFonts w:eastAsia="Aptos"/>
          <w:kern w:val="2"/>
          <w:szCs w:val="22"/>
          <w14:ligatures w14:val="standardContextual"/>
        </w:rPr>
        <w:lastRenderedPageBreak/>
        <w:t>The statement goes on to state:</w:t>
      </w:r>
    </w:p>
    <w:p w14:paraId="4D3664A1" w14:textId="77777777" w:rsidR="0016238D" w:rsidRPr="00600BC4" w:rsidRDefault="0016238D" w:rsidP="003862F2">
      <w:pPr>
        <w:pStyle w:val="Quote"/>
      </w:pPr>
      <w:r w:rsidRPr="00600BC4">
        <w:t xml:space="preserve">The limit on the ability to review decisions of the lease variations outlined in the Bill … will only apply to simple lease variations that are key to facilitating the future development on existing residential lease. The design and siting of future development permitted by the variations will continue to be considered through the relevant assessment and approvals pathway under the Act, such as DAs or DA exemptions. Also, DAs will continue to be required for the lease variations not specified in this Bill, which are generally the more complex variations. Through this process, current third-party appeal rights will remain. </w:t>
      </w:r>
    </w:p>
    <w:p w14:paraId="3ABF54D9" w14:textId="77777777" w:rsidR="0016238D" w:rsidRPr="00600BC4" w:rsidRDefault="0016238D" w:rsidP="003862F2">
      <w:pPr>
        <w:pStyle w:val="Quote"/>
      </w:pPr>
      <w:r w:rsidRPr="00600BC4">
        <w:t xml:space="preserve">Subdivisions and consolidations as envisaged by the Missing Middle Housing reforms will continue to be assessed through the DA process as non-significant developments (as opposed to significant development). Third party appeal rights in this case will remain largely unimpacted by the bill. </w:t>
      </w:r>
    </w:p>
    <w:p w14:paraId="5926D2EF" w14:textId="77777777" w:rsidR="0016238D" w:rsidRPr="00600BC4" w:rsidRDefault="0016238D" w:rsidP="003862F2">
      <w:pPr>
        <w:pStyle w:val="Quote"/>
      </w:pPr>
      <w:r w:rsidRPr="00600BC4">
        <w:t>A further safeguard is that members of the public may still seek judicial review of development decisions where this is available under the Administrative Decisions (Judicial Review) Act 1989. These measures balance the need for fair trial with the need to ensure suitable housing supply benefiting all Canberrans and the efficient functioning of the planning system.</w:t>
      </w:r>
    </w:p>
    <w:p w14:paraId="41770D51" w14:textId="77777777" w:rsidR="0016238D" w:rsidRPr="00600BC4" w:rsidRDefault="0016238D" w:rsidP="003862F2">
      <w:pPr>
        <w:pStyle w:val="ListNumber2"/>
        <w:numPr>
          <w:ilvl w:val="1"/>
          <w:numId w:val="4"/>
        </w:numPr>
        <w:spacing w:before="120" w:after="100" w:afterAutospacing="1"/>
        <w:ind w:left="851" w:hanging="851"/>
        <w:rPr>
          <w:rFonts w:eastAsia="Aptos"/>
          <w:b/>
          <w:bCs w:val="0"/>
          <w:kern w:val="2"/>
          <w:szCs w:val="22"/>
          <w14:ligatures w14:val="standardContextual"/>
        </w:rPr>
      </w:pPr>
      <w:r w:rsidRPr="00600BC4">
        <w:rPr>
          <w:rFonts w:eastAsia="Aptos"/>
          <w:b/>
          <w:kern w:val="2"/>
          <w:szCs w:val="22"/>
          <w14:ligatures w14:val="standardContextual"/>
        </w:rPr>
        <w:t>The Committee refers the Assembly to the discussion in the explanatory statement and notes that its final analysis is subject to the more detailed explanation requested above in relation to this right.</w:t>
      </w:r>
    </w:p>
    <w:p w14:paraId="0F46A4E2" w14:textId="23DD3515" w:rsidR="0016238D" w:rsidRPr="003862F2" w:rsidRDefault="0016238D" w:rsidP="00911F03">
      <w:pPr>
        <w:pStyle w:val="Heading5"/>
      </w:pPr>
      <w:r w:rsidRPr="003862F2">
        <w:t xml:space="preserve">Right to take part in </w:t>
      </w:r>
      <w:r w:rsidR="00911F03">
        <w:t>p</w:t>
      </w:r>
      <w:r w:rsidRPr="003862F2">
        <w:t xml:space="preserve">ublic </w:t>
      </w:r>
      <w:r w:rsidR="00911F03">
        <w:t>l</w:t>
      </w:r>
      <w:r w:rsidRPr="003862F2">
        <w:t>ife (s</w:t>
      </w:r>
      <w:r w:rsidR="003862F2">
        <w:t>ection</w:t>
      </w:r>
      <w:r w:rsidRPr="003862F2">
        <w:t xml:space="preserve"> 17 HRA)</w:t>
      </w:r>
    </w:p>
    <w:p w14:paraId="24303E61" w14:textId="77777777" w:rsidR="0016238D" w:rsidRPr="00600BC4" w:rsidRDefault="0016238D" w:rsidP="003862F2">
      <w:pPr>
        <w:pStyle w:val="ListNumber2"/>
        <w:numPr>
          <w:ilvl w:val="1"/>
          <w:numId w:val="4"/>
        </w:numPr>
        <w:spacing w:before="120" w:after="0"/>
        <w:ind w:left="851" w:hanging="851"/>
        <w:rPr>
          <w:rFonts w:eastAsia="Aptos"/>
          <w:kern w:val="2"/>
          <w:szCs w:val="22"/>
          <w14:ligatures w14:val="standardContextual"/>
        </w:rPr>
      </w:pPr>
      <w:r w:rsidRPr="00600BC4">
        <w:rPr>
          <w:rFonts w:eastAsia="Aptos"/>
          <w:kern w:val="2"/>
          <w:szCs w:val="22"/>
          <w14:ligatures w14:val="standardContextual"/>
        </w:rPr>
        <w:t xml:space="preserve">Section 17 of the HRA relevantly provides that every citizen has the right, and is to have the opportunity, to take part in the conduct of public affairs. As the explanatory statement identifies, this includes the right to meaningful participation in administrative and decision-making processes that affect the public or </w:t>
      </w:r>
      <w:proofErr w:type="gramStart"/>
      <w:r w:rsidRPr="00600BC4">
        <w:rPr>
          <w:rFonts w:eastAsia="Aptos"/>
          <w:kern w:val="2"/>
          <w:szCs w:val="22"/>
          <w14:ligatures w14:val="standardContextual"/>
        </w:rPr>
        <w:t>particular communities</w:t>
      </w:r>
      <w:proofErr w:type="gramEnd"/>
      <w:r w:rsidRPr="00600BC4">
        <w:rPr>
          <w:rFonts w:eastAsia="Aptos"/>
          <w:kern w:val="2"/>
          <w:szCs w:val="22"/>
          <w14:ligatures w14:val="standardContextual"/>
        </w:rPr>
        <w:t>.</w:t>
      </w:r>
    </w:p>
    <w:p w14:paraId="69D5E5A1" w14:textId="77777777" w:rsidR="0016238D" w:rsidRPr="00600BC4" w:rsidRDefault="0016238D" w:rsidP="003862F2">
      <w:pPr>
        <w:pStyle w:val="ListNumber2"/>
        <w:numPr>
          <w:ilvl w:val="1"/>
          <w:numId w:val="4"/>
        </w:numPr>
        <w:spacing w:before="120" w:after="100" w:afterAutospacing="1"/>
        <w:ind w:left="851" w:hanging="851"/>
        <w:rPr>
          <w:rFonts w:eastAsia="Aptos"/>
          <w:kern w:val="2"/>
          <w:szCs w:val="22"/>
          <w14:ligatures w14:val="standardContextual"/>
        </w:rPr>
      </w:pPr>
      <w:r w:rsidRPr="00600BC4">
        <w:rPr>
          <w:rFonts w:eastAsia="Aptos"/>
          <w:kern w:val="2"/>
          <w:szCs w:val="22"/>
          <w14:ligatures w14:val="standardContextual"/>
        </w:rPr>
        <w:t>The explanatory statement explains how the Bill limits this right:</w:t>
      </w:r>
    </w:p>
    <w:p w14:paraId="4DD73BE3" w14:textId="77777777" w:rsidR="0016238D" w:rsidRPr="00600BC4" w:rsidRDefault="0016238D" w:rsidP="003862F2">
      <w:pPr>
        <w:pStyle w:val="Quote"/>
      </w:pPr>
      <w:r w:rsidRPr="00600BC4">
        <w:t xml:space="preserve">The amendments will create a pathway for nominated lease variations to be exempt from requiring a DA and will therefore not be subject to public notification requirements under the Act, thereby limiting opportunities for members of the community to participate in planning decisions. </w:t>
      </w:r>
    </w:p>
    <w:p w14:paraId="55214A9B" w14:textId="77777777" w:rsidR="0016238D" w:rsidRPr="00600BC4" w:rsidRDefault="0016238D" w:rsidP="003862F2">
      <w:pPr>
        <w:pStyle w:val="Quote"/>
      </w:pPr>
      <w:r w:rsidRPr="00600BC4">
        <w:t xml:space="preserve">The amended definition of a subdivision development proposal means that small scale subdivisions, such as those associated with Missing Middle housing on typical residential blocks, will no longer be classified as significant development and will therefore not require two periods of public notification and a 60 working day DA decision timeframe. Rather, they will be subject to one period of public notification and the 30-45 working day DA decision timeframe that applies to non-significant developments. </w:t>
      </w:r>
    </w:p>
    <w:p w14:paraId="7937FFA9" w14:textId="77777777" w:rsidR="0016238D" w:rsidRPr="00600BC4" w:rsidRDefault="0016238D" w:rsidP="003862F2">
      <w:pPr>
        <w:pStyle w:val="Quote"/>
      </w:pPr>
      <w:r w:rsidRPr="00600BC4">
        <w:t>The clarification that secondary residences may be developed on all single dwelling leases without the need for a lease variation also removes public notification that is currently required through the DA process for this type of Crown lease variation.</w:t>
      </w:r>
    </w:p>
    <w:p w14:paraId="7457F10D" w14:textId="77777777" w:rsidR="0016238D" w:rsidRPr="00600BC4" w:rsidRDefault="0016238D" w:rsidP="003862F2">
      <w:pPr>
        <w:pStyle w:val="ListNumber2"/>
        <w:numPr>
          <w:ilvl w:val="1"/>
          <w:numId w:val="4"/>
        </w:numPr>
        <w:spacing w:before="120" w:after="0"/>
        <w:ind w:left="851" w:hanging="851"/>
        <w:rPr>
          <w:rFonts w:eastAsia="Aptos"/>
          <w:kern w:val="2"/>
          <w:szCs w:val="22"/>
          <w14:ligatures w14:val="standardContextual"/>
        </w:rPr>
      </w:pPr>
      <w:r w:rsidRPr="00600BC4">
        <w:rPr>
          <w:rFonts w:eastAsia="Aptos"/>
          <w:kern w:val="2"/>
          <w:szCs w:val="22"/>
          <w14:ligatures w14:val="standardContextual"/>
        </w:rPr>
        <w:lastRenderedPageBreak/>
        <w:t>The Committee thanks the Minister for this explanation, though notes that the explanation would be of greater assistance if it clearly identified the relevant provisions of the Planning Act that the lease variations will be exempt from. This would assist the Committee in its understanding of the effect of the Bill amendments on the operation of the Planning Act.</w:t>
      </w:r>
    </w:p>
    <w:p w14:paraId="6CC766E6" w14:textId="77777777" w:rsidR="0016238D" w:rsidRPr="00600BC4" w:rsidRDefault="0016238D" w:rsidP="003862F2">
      <w:pPr>
        <w:pStyle w:val="ListNumber2"/>
        <w:numPr>
          <w:ilvl w:val="1"/>
          <w:numId w:val="4"/>
        </w:numPr>
        <w:spacing w:before="120" w:after="0"/>
        <w:ind w:left="851" w:hanging="851"/>
        <w:rPr>
          <w:rFonts w:eastAsia="Aptos"/>
          <w:kern w:val="2"/>
          <w:szCs w:val="22"/>
          <w14:ligatures w14:val="standardContextual"/>
        </w:rPr>
      </w:pPr>
      <w:r w:rsidRPr="00600BC4">
        <w:rPr>
          <w:rFonts w:eastAsia="Aptos"/>
          <w:kern w:val="2"/>
          <w:szCs w:val="22"/>
          <w14:ligatures w14:val="standardContextual"/>
        </w:rPr>
        <w:t>The explanatory statement contains a discussion on the purpose of the amendments and their connection to the limitation on the right to take part in public life and its proportionality.</w:t>
      </w:r>
    </w:p>
    <w:p w14:paraId="38C3640A" w14:textId="77777777" w:rsidR="0016238D" w:rsidRPr="00600BC4" w:rsidRDefault="0016238D" w:rsidP="00911F03">
      <w:pPr>
        <w:pStyle w:val="ListNumber2"/>
        <w:numPr>
          <w:ilvl w:val="1"/>
          <w:numId w:val="4"/>
        </w:numPr>
        <w:spacing w:before="120" w:after="0"/>
        <w:ind w:left="851" w:hanging="851"/>
        <w:rPr>
          <w:rFonts w:eastAsia="Aptos"/>
          <w:b/>
          <w:bCs w:val="0"/>
          <w:kern w:val="2"/>
          <w:szCs w:val="22"/>
          <w14:ligatures w14:val="standardContextual"/>
        </w:rPr>
      </w:pPr>
      <w:r w:rsidRPr="00600BC4">
        <w:rPr>
          <w:rFonts w:eastAsia="Aptos"/>
          <w:b/>
          <w:kern w:val="2"/>
          <w:szCs w:val="22"/>
          <w14:ligatures w14:val="standardContextual"/>
        </w:rPr>
        <w:t xml:space="preserve">The Committee refers that discussion to the Assembly and does not require a response from the Minister.  </w:t>
      </w:r>
    </w:p>
    <w:p w14:paraId="3AE1AF6C" w14:textId="499B3507" w:rsidR="0016238D" w:rsidRPr="003862F2" w:rsidRDefault="0016238D" w:rsidP="00911F03">
      <w:pPr>
        <w:pStyle w:val="Heading5"/>
      </w:pPr>
      <w:r w:rsidRPr="003862F2">
        <w:t xml:space="preserve">Right to </w:t>
      </w:r>
      <w:r w:rsidR="00911F03">
        <w:t>p</w:t>
      </w:r>
      <w:r w:rsidRPr="003862F2">
        <w:t>rivacy (s</w:t>
      </w:r>
      <w:r w:rsidR="003862F2">
        <w:t>ection</w:t>
      </w:r>
      <w:r w:rsidRPr="003862F2">
        <w:t xml:space="preserve"> 12 HRA)</w:t>
      </w:r>
    </w:p>
    <w:p w14:paraId="7F138943" w14:textId="46D8D889" w:rsidR="0016238D" w:rsidRPr="00600BC4" w:rsidRDefault="0016238D" w:rsidP="003862F2">
      <w:pPr>
        <w:pStyle w:val="ListNumber2"/>
        <w:numPr>
          <w:ilvl w:val="1"/>
          <w:numId w:val="4"/>
        </w:numPr>
        <w:spacing w:before="120" w:after="0"/>
        <w:ind w:left="851" w:hanging="851"/>
        <w:rPr>
          <w:rFonts w:eastAsia="Aptos"/>
          <w:kern w:val="2"/>
          <w:szCs w:val="22"/>
          <w14:ligatures w14:val="standardContextual"/>
        </w:rPr>
      </w:pPr>
      <w:r w:rsidRPr="00600BC4">
        <w:rPr>
          <w:rFonts w:eastAsia="Aptos"/>
          <w:kern w:val="2"/>
          <w:szCs w:val="22"/>
          <w14:ligatures w14:val="standardContextual"/>
        </w:rPr>
        <w:t xml:space="preserve">Section 12 of the HRA relevantly provides that </w:t>
      </w:r>
      <w:proofErr w:type="gramStart"/>
      <w:r w:rsidRPr="00600BC4">
        <w:rPr>
          <w:rFonts w:eastAsia="Aptos"/>
          <w:kern w:val="2"/>
          <w:szCs w:val="22"/>
          <w14:ligatures w14:val="standardContextual"/>
        </w:rPr>
        <w:t>each individual</w:t>
      </w:r>
      <w:proofErr w:type="gramEnd"/>
      <w:r w:rsidRPr="00600BC4">
        <w:rPr>
          <w:rFonts w:eastAsia="Aptos"/>
          <w:kern w:val="2"/>
          <w:szCs w:val="22"/>
          <w14:ligatures w14:val="standardContextual"/>
        </w:rPr>
        <w:t xml:space="preserve"> has the right not to have their privacy, family, home or correspondence interfered with unlawfully or arbitrarily. </w:t>
      </w:r>
      <w:r w:rsidR="008A0201">
        <w:rPr>
          <w:rFonts w:eastAsia="Aptos"/>
          <w:kern w:val="2"/>
          <w:szCs w:val="22"/>
          <w14:ligatures w14:val="standardContextual"/>
        </w:rPr>
        <w:br/>
      </w:r>
      <w:r w:rsidRPr="00600BC4">
        <w:rPr>
          <w:rFonts w:eastAsia="Aptos"/>
          <w:kern w:val="2"/>
          <w:szCs w:val="22"/>
          <w14:ligatures w14:val="standardContextual"/>
        </w:rPr>
        <w:t>The explanatory statement identifies that the amendments made by the Bill “will allow the Authority to request more information from an applicant when applications are made through the DA exemption pathway” and that the “amendment will limit the right to privacy because it will authorise the collection and storage of personal information”.</w:t>
      </w:r>
    </w:p>
    <w:p w14:paraId="2B85D709" w14:textId="77777777" w:rsidR="0016238D" w:rsidRPr="00600BC4" w:rsidRDefault="0016238D" w:rsidP="003862F2">
      <w:pPr>
        <w:pStyle w:val="ListNumber2"/>
        <w:numPr>
          <w:ilvl w:val="1"/>
          <w:numId w:val="4"/>
        </w:numPr>
        <w:spacing w:before="120" w:after="0"/>
        <w:ind w:left="851" w:hanging="851"/>
        <w:rPr>
          <w:rFonts w:eastAsia="Aptos"/>
          <w:kern w:val="2"/>
          <w:szCs w:val="22"/>
          <w14:ligatures w14:val="standardContextual"/>
        </w:rPr>
      </w:pPr>
      <w:r w:rsidRPr="00600BC4">
        <w:rPr>
          <w:rFonts w:eastAsia="Aptos"/>
          <w:kern w:val="2"/>
          <w:szCs w:val="22"/>
          <w14:ligatures w14:val="standardContextual"/>
        </w:rPr>
        <w:t xml:space="preserve">The explanatory statement does not identify which </w:t>
      </w:r>
      <w:proofErr w:type="gramStart"/>
      <w:r w:rsidRPr="00600BC4">
        <w:rPr>
          <w:rFonts w:eastAsia="Aptos"/>
          <w:kern w:val="2"/>
          <w:szCs w:val="22"/>
          <w14:ligatures w14:val="standardContextual"/>
        </w:rPr>
        <w:t>particular amendments</w:t>
      </w:r>
      <w:proofErr w:type="gramEnd"/>
      <w:r w:rsidRPr="00600BC4">
        <w:rPr>
          <w:rFonts w:eastAsia="Aptos"/>
          <w:kern w:val="2"/>
          <w:szCs w:val="22"/>
          <w14:ligatures w14:val="standardContextual"/>
        </w:rPr>
        <w:t xml:space="preserve"> made by the Bill impose these limitations. The Committee assumes that the statement is intending to refer to new sections 149B(2)(c) and 149</w:t>
      </w:r>
      <w:proofErr w:type="gramStart"/>
      <w:r w:rsidRPr="00600BC4">
        <w:rPr>
          <w:rFonts w:eastAsia="Aptos"/>
          <w:kern w:val="2"/>
          <w:szCs w:val="22"/>
          <w14:ligatures w14:val="standardContextual"/>
        </w:rPr>
        <w:t>C(</w:t>
      </w:r>
      <w:proofErr w:type="gramEnd"/>
      <w:r w:rsidRPr="00600BC4">
        <w:rPr>
          <w:rFonts w:eastAsia="Aptos"/>
          <w:kern w:val="2"/>
          <w:szCs w:val="22"/>
          <w14:ligatures w14:val="standardContextual"/>
        </w:rPr>
        <w:t>3) and (4) which refer to the provision of information to the territory planning authority.</w:t>
      </w:r>
    </w:p>
    <w:p w14:paraId="48974C4F" w14:textId="77777777" w:rsidR="0016238D" w:rsidRPr="003862F2" w:rsidRDefault="0016238D" w:rsidP="003862F2">
      <w:pPr>
        <w:pStyle w:val="ListNumber2"/>
        <w:numPr>
          <w:ilvl w:val="1"/>
          <w:numId w:val="4"/>
        </w:numPr>
        <w:spacing w:before="120" w:after="0"/>
        <w:ind w:left="851" w:hanging="851"/>
        <w:rPr>
          <w:rFonts w:eastAsia="Aptos"/>
          <w:b/>
          <w:bCs w:val="0"/>
          <w:kern w:val="2"/>
          <w:szCs w:val="22"/>
          <w14:ligatures w14:val="standardContextual"/>
        </w:rPr>
      </w:pPr>
      <w:r w:rsidRPr="003862F2">
        <w:rPr>
          <w:rFonts w:eastAsia="Aptos"/>
          <w:b/>
          <w:bCs w:val="0"/>
          <w:kern w:val="2"/>
          <w:szCs w:val="22"/>
          <w14:ligatures w14:val="standardContextual"/>
        </w:rPr>
        <w:t xml:space="preserve">The </w:t>
      </w:r>
      <w:r w:rsidRPr="00600BC4">
        <w:rPr>
          <w:rFonts w:eastAsia="Aptos"/>
          <w:b/>
          <w:kern w:val="2"/>
          <w:szCs w:val="22"/>
          <w14:ligatures w14:val="standardContextual"/>
        </w:rPr>
        <w:t xml:space="preserve">Committee requests the Minister to confirm that the explanatory statement is referring to sections 149B and 149C in relation to the limitation on the right to privacy, and if not, the Committee requests the Minister to revise the explanatory statement to specifically identify the Bill amendments having this effect. </w:t>
      </w:r>
    </w:p>
    <w:tbl>
      <w:tblPr>
        <w:tblStyle w:val="Recommendationbox"/>
        <w:tblW w:w="0" w:type="auto"/>
        <w:tblLook w:val="0600" w:firstRow="0" w:lastRow="0" w:firstColumn="0" w:lastColumn="0" w:noHBand="1" w:noVBand="1"/>
      </w:tblPr>
      <w:tblGrid>
        <w:gridCol w:w="8175"/>
      </w:tblGrid>
      <w:tr w:rsidR="003862F2" w14:paraId="479880FD" w14:textId="77777777" w:rsidTr="00AD6ADE">
        <w:tc>
          <w:tcPr>
            <w:tcW w:w="7891" w:type="dxa"/>
          </w:tcPr>
          <w:p w14:paraId="54908704" w14:textId="77777777" w:rsidR="003862F2" w:rsidRPr="006B0503" w:rsidRDefault="003862F2" w:rsidP="00CF74F2">
            <w:pPr>
              <w:pStyle w:val="ListNumber2"/>
              <w:spacing w:after="0"/>
              <w:ind w:right="-151"/>
            </w:pPr>
            <w:r w:rsidRPr="00E772A8">
              <w:t>The Committee draws this matter to the attention of the Assembly and asks the Minister to respond prior to the Bill being debated.</w:t>
            </w:r>
          </w:p>
        </w:tc>
      </w:tr>
    </w:tbl>
    <w:p w14:paraId="6F575CF2" w14:textId="77777777" w:rsidR="0016238D" w:rsidRPr="00600BC4" w:rsidRDefault="0016238D" w:rsidP="008A0201">
      <w:pPr>
        <w:pStyle w:val="ListNumber2"/>
        <w:numPr>
          <w:ilvl w:val="1"/>
          <w:numId w:val="4"/>
        </w:numPr>
        <w:spacing w:before="100" w:beforeAutospacing="1" w:after="0"/>
        <w:ind w:left="851" w:hanging="851"/>
        <w:rPr>
          <w:rFonts w:eastAsia="Aptos"/>
          <w:kern w:val="2"/>
          <w:szCs w:val="22"/>
          <w14:ligatures w14:val="standardContextual"/>
        </w:rPr>
      </w:pPr>
      <w:r w:rsidRPr="00600BC4">
        <w:rPr>
          <w:rFonts w:eastAsia="Aptos"/>
          <w:kern w:val="2"/>
          <w:szCs w:val="22"/>
          <w14:ligatures w14:val="standardContextual"/>
        </w:rPr>
        <w:t xml:space="preserve">The explanatory statement contains a discussion on the limitation of this right. </w:t>
      </w:r>
      <w:proofErr w:type="gramStart"/>
      <w:r w:rsidRPr="00600BC4">
        <w:rPr>
          <w:rFonts w:eastAsia="Aptos"/>
          <w:kern w:val="2"/>
          <w:szCs w:val="22"/>
          <w14:ligatures w14:val="standardContextual"/>
        </w:rPr>
        <w:t>In particular the</w:t>
      </w:r>
      <w:proofErr w:type="gramEnd"/>
      <w:r w:rsidRPr="00600BC4">
        <w:rPr>
          <w:rFonts w:eastAsia="Aptos"/>
          <w:kern w:val="2"/>
          <w:szCs w:val="22"/>
          <w14:ligatures w14:val="standardContextual"/>
        </w:rPr>
        <w:t xml:space="preserve"> Committee notes the following.</w:t>
      </w:r>
    </w:p>
    <w:p w14:paraId="05959F7C" w14:textId="77777777" w:rsidR="0016238D" w:rsidRPr="00600BC4" w:rsidRDefault="0016238D" w:rsidP="00911F03">
      <w:pPr>
        <w:pStyle w:val="Quote"/>
        <w:spacing w:before="120" w:after="0"/>
      </w:pPr>
      <w:r w:rsidRPr="00600BC4">
        <w:t>The collection of relevant personal information is directly connected to achieving these administrative objectives. Without this information, the planning authority would be unable to confirm whether applications are being made by or on behalf of Crown lessees, maintain accurate records, or ensure accountability and legal compliance.</w:t>
      </w:r>
    </w:p>
    <w:p w14:paraId="58141D5B" w14:textId="77777777" w:rsidR="0016238D" w:rsidRPr="00600BC4" w:rsidRDefault="0016238D" w:rsidP="00911F03">
      <w:pPr>
        <w:pStyle w:val="Quote"/>
        <w:spacing w:before="120" w:after="0"/>
      </w:pPr>
      <w:r w:rsidRPr="00600BC4">
        <w:t>…</w:t>
      </w:r>
    </w:p>
    <w:p w14:paraId="16B70693" w14:textId="77777777" w:rsidR="0016238D" w:rsidRPr="00600BC4" w:rsidRDefault="0016238D" w:rsidP="00911F03">
      <w:pPr>
        <w:pStyle w:val="Quote"/>
        <w:spacing w:before="120" w:after="0"/>
      </w:pPr>
      <w:r w:rsidRPr="00600BC4">
        <w:t>The engagement of the right to privacy is proportionate because the information collected is minimal, limited to that which is required to support the administering the Act, and is consistent with information already routinely collected through comparable planning processes, such as the DA process. The Bill does not grant powers to collect information unrelated to the lease variation process. The information will also remain subject to existing privacy protections under the</w:t>
      </w:r>
      <w:r w:rsidRPr="00600BC4">
        <w:rPr>
          <w:i/>
          <w:iCs/>
        </w:rPr>
        <w:t xml:space="preserve"> Information Privacy Act 2014</w:t>
      </w:r>
      <w:r w:rsidRPr="00600BC4">
        <w:t>.</w:t>
      </w:r>
    </w:p>
    <w:p w14:paraId="0FF6B57B" w14:textId="0714AA28" w:rsidR="0016238D" w:rsidRPr="003862F2" w:rsidRDefault="0016238D" w:rsidP="003862F2">
      <w:pPr>
        <w:pStyle w:val="ListNumber2"/>
        <w:numPr>
          <w:ilvl w:val="1"/>
          <w:numId w:val="4"/>
        </w:numPr>
        <w:spacing w:before="120" w:after="0"/>
        <w:ind w:left="851" w:hanging="851"/>
        <w:rPr>
          <w:rFonts w:eastAsia="Aptos"/>
          <w:b/>
          <w:bCs w:val="0"/>
          <w:kern w:val="2"/>
          <w:szCs w:val="22"/>
          <w14:ligatures w14:val="standardContextual"/>
        </w:rPr>
      </w:pPr>
      <w:r w:rsidRPr="00600BC4">
        <w:rPr>
          <w:rFonts w:eastAsia="Aptos"/>
          <w:b/>
          <w:kern w:val="2"/>
          <w:szCs w:val="22"/>
          <w14:ligatures w14:val="standardContextual"/>
        </w:rPr>
        <w:lastRenderedPageBreak/>
        <w:t>Subject to the Committee’s requests above, the Committee refers the discussion in the explanatory statement to the Assembly and does not require any further response from the Minister.</w:t>
      </w:r>
    </w:p>
    <w:p w14:paraId="069CDAEC" w14:textId="593EDA2A" w:rsidR="0016238D" w:rsidRDefault="00911F03" w:rsidP="00911F03">
      <w:pPr>
        <w:pStyle w:val="Heading20"/>
        <w:rPr>
          <w:lang w:val="en-US"/>
        </w:rPr>
      </w:pPr>
      <w:bookmarkStart w:id="118" w:name="_Toc227841484"/>
      <w:r>
        <w:rPr>
          <w:lang w:val="en-US"/>
        </w:rPr>
        <w:t>Proposed a</w:t>
      </w:r>
      <w:r w:rsidR="00500930">
        <w:rPr>
          <w:lang w:val="en-US"/>
        </w:rPr>
        <w:t>mendment</w:t>
      </w:r>
      <w:r>
        <w:rPr>
          <w:lang w:val="en-US"/>
        </w:rPr>
        <w:t>—</w:t>
      </w:r>
      <w:r w:rsidR="00906EE7">
        <w:rPr>
          <w:lang w:val="en-US"/>
        </w:rPr>
        <w:t>C</w:t>
      </w:r>
      <w:r>
        <w:rPr>
          <w:lang w:val="en-US"/>
        </w:rPr>
        <w:t>omment</w:t>
      </w:r>
      <w:bookmarkEnd w:id="118"/>
    </w:p>
    <w:p w14:paraId="43E80CFB" w14:textId="236C9846" w:rsidR="00911F03" w:rsidRPr="00911F03" w:rsidRDefault="00911F03" w:rsidP="00911F03">
      <w:pPr>
        <w:pStyle w:val="Heading3"/>
      </w:pPr>
      <w:bookmarkStart w:id="119" w:name="_Toc227841485"/>
      <w:r w:rsidRPr="00911F03">
        <w:t>Juries (Peremptory Challenges) Amendment Bill 2025</w:t>
      </w:r>
      <w:bookmarkEnd w:id="119"/>
    </w:p>
    <w:p w14:paraId="4A873BCB" w14:textId="247302A8" w:rsidR="0016238D" w:rsidRPr="00600BC4" w:rsidRDefault="0016238D" w:rsidP="003862F2">
      <w:pPr>
        <w:pStyle w:val="ListNumber2"/>
        <w:numPr>
          <w:ilvl w:val="1"/>
          <w:numId w:val="4"/>
        </w:numPr>
        <w:spacing w:before="120" w:after="0"/>
        <w:ind w:left="851" w:hanging="851"/>
        <w:rPr>
          <w:rFonts w:eastAsia="Aptos"/>
          <w:kern w:val="2"/>
          <w:szCs w:val="22"/>
          <w14:ligatures w14:val="standardContextual"/>
        </w:rPr>
      </w:pPr>
      <w:r w:rsidRPr="00600BC4">
        <w:rPr>
          <w:rFonts w:eastAsia="Aptos"/>
          <w:kern w:val="2"/>
          <w:szCs w:val="22"/>
          <w14:ligatures w14:val="standardContextual"/>
        </w:rPr>
        <w:t>The Committee has received from the Attorney-General by letter dated 17 April 2026</w:t>
      </w:r>
      <w:r w:rsidR="00911F03">
        <w:rPr>
          <w:rFonts w:eastAsia="Aptos"/>
          <w:kern w:val="2"/>
          <w:szCs w:val="22"/>
          <w14:ligatures w14:val="standardContextual"/>
        </w:rPr>
        <w:t>,</w:t>
      </w:r>
      <w:r w:rsidRPr="00600BC4">
        <w:rPr>
          <w:rFonts w:eastAsia="Aptos"/>
          <w:kern w:val="2"/>
          <w:szCs w:val="22"/>
          <w14:ligatures w14:val="standardContextual"/>
        </w:rPr>
        <w:t xml:space="preserve"> proposed government amendments to the Juries (Peremptory Challenges) Amendment Bill 2025, together with a supplementary explanatory statement. The Juries (Peremptory Challenges) Amendment Bill 2025 was the subject of scrutiny by the Committee in </w:t>
      </w:r>
      <w:r w:rsidRPr="00600BC4">
        <w:rPr>
          <w:rFonts w:eastAsia="Aptos"/>
          <w:i/>
          <w:iCs/>
          <w:kern w:val="2"/>
          <w:szCs w:val="22"/>
          <w14:ligatures w14:val="standardContextual"/>
        </w:rPr>
        <w:t>Scrutiny Report 14</w:t>
      </w:r>
      <w:r w:rsidRPr="00600BC4">
        <w:rPr>
          <w:rFonts w:eastAsia="Aptos"/>
          <w:kern w:val="2"/>
          <w:szCs w:val="22"/>
          <w14:ligatures w14:val="standardContextual"/>
        </w:rPr>
        <w:t xml:space="preserve"> (January 2026).</w:t>
      </w:r>
    </w:p>
    <w:p w14:paraId="410DAD18" w14:textId="24AAAEDC" w:rsidR="0016238D" w:rsidRPr="00600BC4" w:rsidRDefault="0016238D" w:rsidP="003862F2">
      <w:pPr>
        <w:pStyle w:val="ListNumber2"/>
        <w:numPr>
          <w:ilvl w:val="1"/>
          <w:numId w:val="4"/>
        </w:numPr>
        <w:spacing w:before="120" w:after="0"/>
        <w:ind w:left="851" w:hanging="851"/>
        <w:rPr>
          <w:rFonts w:eastAsia="Aptos"/>
          <w:kern w:val="2"/>
          <w:szCs w:val="22"/>
          <w14:ligatures w14:val="standardContextual"/>
        </w:rPr>
      </w:pPr>
      <w:r w:rsidRPr="00600BC4">
        <w:rPr>
          <w:rFonts w:eastAsia="Aptos"/>
          <w:kern w:val="2"/>
          <w:szCs w:val="22"/>
          <w14:ligatures w14:val="standardContextual"/>
        </w:rPr>
        <w:t>The government amendment is to amend the Bill so that the Bill commences, once enacted, on the day after its notification day, rather than having the 6</w:t>
      </w:r>
      <w:r w:rsidR="00911F03">
        <w:rPr>
          <w:rFonts w:eastAsia="Aptos"/>
          <w:kern w:val="2"/>
          <w:szCs w:val="22"/>
          <w14:ligatures w14:val="standardContextual"/>
        </w:rPr>
        <w:t>-</w:t>
      </w:r>
      <w:r w:rsidRPr="00600BC4">
        <w:rPr>
          <w:rFonts w:eastAsia="Aptos"/>
          <w:kern w:val="2"/>
          <w:szCs w:val="22"/>
          <w14:ligatures w14:val="standardContextual"/>
        </w:rPr>
        <w:t>month delay proposed by the current version of the Bill.</w:t>
      </w:r>
    </w:p>
    <w:p w14:paraId="44B63D19" w14:textId="77777777" w:rsidR="0016238D" w:rsidRPr="00600BC4" w:rsidRDefault="0016238D" w:rsidP="003862F2">
      <w:pPr>
        <w:pStyle w:val="ListNumber2"/>
        <w:numPr>
          <w:ilvl w:val="1"/>
          <w:numId w:val="4"/>
        </w:numPr>
        <w:spacing w:before="120" w:after="0"/>
        <w:ind w:left="851" w:hanging="851"/>
        <w:rPr>
          <w:rFonts w:eastAsia="Aptos"/>
          <w:kern w:val="2"/>
          <w:szCs w:val="22"/>
          <w14:ligatures w14:val="standardContextual"/>
        </w:rPr>
      </w:pPr>
      <w:r w:rsidRPr="00600BC4">
        <w:rPr>
          <w:rFonts w:eastAsia="Aptos"/>
          <w:kern w:val="2"/>
          <w:szCs w:val="22"/>
          <w14:ligatures w14:val="standardContextual"/>
        </w:rPr>
        <w:t>The Committee brings these matters and the supplementary explanatory statement in relation to the government amendment to the attention of the Assembly.</w:t>
      </w:r>
    </w:p>
    <w:p w14:paraId="595C3C2C" w14:textId="786AA382" w:rsidR="0032265E" w:rsidRPr="00600BC4" w:rsidRDefault="0032265E">
      <w:pPr>
        <w:spacing w:line="259" w:lineRule="auto"/>
        <w:rPr>
          <w:rFonts w:cstheme="minorHAnsi"/>
          <w:bCs/>
          <w:color w:val="000000" w:themeColor="text1"/>
        </w:rPr>
      </w:pPr>
      <w:r w:rsidRPr="00600BC4">
        <w:rPr>
          <w:rFonts w:cstheme="minorHAnsi"/>
        </w:rPr>
        <w:br w:type="page"/>
      </w:r>
    </w:p>
    <w:p w14:paraId="2E0F9A9A" w14:textId="77777777" w:rsidR="0032265E" w:rsidRPr="0032265E" w:rsidRDefault="0032265E" w:rsidP="0032265E">
      <w:pPr>
        <w:pStyle w:val="ListNumber2"/>
      </w:pPr>
    </w:p>
    <w:p w14:paraId="2B9C71A7" w14:textId="79DDD0A7" w:rsidR="004277E2" w:rsidRDefault="004277E2" w:rsidP="00746850">
      <w:pPr>
        <w:pStyle w:val="Heading1"/>
        <w:numPr>
          <w:ilvl w:val="0"/>
          <w:numId w:val="4"/>
        </w:numPr>
        <w:ind w:left="567" w:hanging="501"/>
      </w:pPr>
      <w:bookmarkStart w:id="120" w:name="_Toc227841486"/>
      <w:r>
        <w:t>Subordinate Legislation</w:t>
      </w:r>
      <w:bookmarkEnd w:id="120"/>
    </w:p>
    <w:p w14:paraId="0813C7C7" w14:textId="40405347" w:rsidR="00641A18" w:rsidRPr="00641A18" w:rsidRDefault="00641A18" w:rsidP="00911F03">
      <w:pPr>
        <w:pStyle w:val="Heading20"/>
      </w:pPr>
      <w:bookmarkStart w:id="121" w:name="_Toc227841487"/>
      <w:bookmarkEnd w:id="103"/>
      <w:r w:rsidRPr="00641A18">
        <w:t>Disallowable Instruments</w:t>
      </w:r>
      <w:r>
        <w:t>—</w:t>
      </w:r>
      <w:r w:rsidRPr="00641A18">
        <w:t>No comment</w:t>
      </w:r>
      <w:bookmarkEnd w:id="121"/>
    </w:p>
    <w:p w14:paraId="4E883FB6" w14:textId="35EF7241" w:rsidR="00207130" w:rsidRPr="009D67E5" w:rsidRDefault="00207130" w:rsidP="009D67E5">
      <w:pPr>
        <w:pStyle w:val="ListNumber2"/>
        <w:numPr>
          <w:ilvl w:val="1"/>
          <w:numId w:val="4"/>
        </w:numPr>
        <w:spacing w:before="120" w:after="0"/>
        <w:ind w:left="851" w:hanging="851"/>
      </w:pPr>
      <w:r w:rsidRPr="009D67E5">
        <w:t>The Committee has examined the following disallowable instruments and has no comments on them:</w:t>
      </w:r>
    </w:p>
    <w:p w14:paraId="5C011AB5" w14:textId="23E45A7F" w:rsidR="00207130" w:rsidRPr="009D67E5" w:rsidRDefault="00207130" w:rsidP="009D67E5">
      <w:pPr>
        <w:numPr>
          <w:ilvl w:val="0"/>
          <w:numId w:val="36"/>
        </w:numPr>
        <w:spacing w:before="120" w:after="0"/>
        <w:ind w:left="1208" w:hanging="357"/>
        <w:rPr>
          <w:rFonts w:ascii="Calibri" w:eastAsia="Times New Roman" w:hAnsi="Calibri" w:cs="Calibri"/>
          <w:b/>
          <w:color w:val="000000"/>
          <w:szCs w:val="20"/>
          <w:lang w:eastAsia="en-AU"/>
        </w:rPr>
      </w:pPr>
      <w:r w:rsidRPr="009D67E5">
        <w:rPr>
          <w:rFonts w:ascii="Calibri" w:eastAsia="Times New Roman" w:hAnsi="Calibri" w:cs="Calibri"/>
          <w:b/>
          <w:color w:val="000000"/>
          <w:szCs w:val="20"/>
          <w:lang w:eastAsia="en-AU"/>
        </w:rPr>
        <w:t xml:space="preserve">Disallowable Instrument DI2026-18 being the Canberra Institute of Technology (CIT Board Chair) Appointment 2026 (No 1) made under section 9 of the </w:t>
      </w:r>
      <w:r w:rsidRPr="009D67E5">
        <w:rPr>
          <w:rFonts w:ascii="Calibri" w:eastAsia="Times New Roman" w:hAnsi="Calibri" w:cs="Calibri"/>
          <w:i/>
          <w:color w:val="000000"/>
          <w:szCs w:val="20"/>
          <w:lang w:eastAsia="en-AU"/>
        </w:rPr>
        <w:t xml:space="preserve">Canberra Institute of Technology Act 1987 </w:t>
      </w:r>
      <w:r w:rsidRPr="00906EE7">
        <w:rPr>
          <w:rFonts w:ascii="Calibri" w:eastAsia="Times New Roman" w:hAnsi="Calibri" w:cs="Calibri"/>
          <w:b/>
          <w:bCs/>
          <w:iCs/>
          <w:color w:val="000000"/>
          <w:szCs w:val="20"/>
          <w:lang w:eastAsia="en-AU"/>
        </w:rPr>
        <w:t>and section 79 of the</w:t>
      </w:r>
      <w:r w:rsidRPr="009D67E5">
        <w:rPr>
          <w:rFonts w:ascii="Calibri" w:eastAsia="Times New Roman" w:hAnsi="Calibri" w:cs="Calibri"/>
          <w:i/>
          <w:color w:val="000000"/>
          <w:szCs w:val="20"/>
          <w:lang w:eastAsia="en-AU"/>
        </w:rPr>
        <w:t xml:space="preserve"> Financial Management Act 1996</w:t>
      </w:r>
      <w:r w:rsidRPr="009D67E5">
        <w:rPr>
          <w:rFonts w:ascii="Calibri" w:eastAsia="Times New Roman" w:hAnsi="Calibri" w:cs="Calibri"/>
          <w:b/>
          <w:color w:val="000000"/>
          <w:szCs w:val="20"/>
          <w:lang w:eastAsia="en-AU"/>
        </w:rPr>
        <w:t xml:space="preserve"> appoints a specified person to be Chair of the Canberra Institute of Technology Board for a period of 3 years. </w:t>
      </w:r>
    </w:p>
    <w:p w14:paraId="316A79AE" w14:textId="7A837B7A" w:rsidR="00207130" w:rsidRPr="009D67E5" w:rsidRDefault="00207130" w:rsidP="009D67E5">
      <w:pPr>
        <w:numPr>
          <w:ilvl w:val="0"/>
          <w:numId w:val="36"/>
        </w:numPr>
        <w:spacing w:before="120" w:after="0"/>
        <w:ind w:left="1208" w:hanging="357"/>
        <w:rPr>
          <w:rFonts w:ascii="Calibri" w:eastAsia="Times New Roman" w:hAnsi="Calibri" w:cs="Calibri"/>
          <w:b/>
          <w:color w:val="000000"/>
          <w:szCs w:val="20"/>
          <w:lang w:eastAsia="en-AU"/>
        </w:rPr>
      </w:pPr>
      <w:r w:rsidRPr="009D67E5">
        <w:rPr>
          <w:rFonts w:ascii="Calibri" w:eastAsia="Times New Roman" w:hAnsi="Calibri" w:cs="Calibri"/>
          <w:b/>
          <w:color w:val="000000"/>
          <w:szCs w:val="20"/>
          <w:lang w:eastAsia="en-AU"/>
        </w:rPr>
        <w:t xml:space="preserve">Disallowable Instrument DI2026-19 being the Canberra Institute of Technology (CIT Board Deputy Chair) Appointment 2026 (No 1) made under section 9 of the </w:t>
      </w:r>
      <w:r w:rsidRPr="009D67E5">
        <w:rPr>
          <w:rFonts w:ascii="Calibri" w:eastAsia="Times New Roman" w:hAnsi="Calibri" w:cs="Calibri"/>
          <w:i/>
          <w:color w:val="000000"/>
          <w:szCs w:val="20"/>
          <w:lang w:eastAsia="en-AU"/>
        </w:rPr>
        <w:t xml:space="preserve">Canberra Institute of Technology Act 1987 </w:t>
      </w:r>
      <w:r w:rsidR="00911F03" w:rsidRPr="009D67E5">
        <w:rPr>
          <w:rFonts w:ascii="Calibri" w:eastAsia="Times New Roman" w:hAnsi="Calibri" w:cs="Calibri"/>
          <w:b/>
          <w:color w:val="000000"/>
          <w:szCs w:val="20"/>
          <w:lang w:eastAsia="en-AU"/>
        </w:rPr>
        <w:t>and section 79 of the</w:t>
      </w:r>
      <w:r w:rsidRPr="009D67E5">
        <w:rPr>
          <w:rFonts w:ascii="Calibri" w:eastAsia="Times New Roman" w:hAnsi="Calibri" w:cs="Calibri"/>
          <w:i/>
          <w:color w:val="000000"/>
          <w:szCs w:val="20"/>
          <w:lang w:eastAsia="en-AU"/>
        </w:rPr>
        <w:t xml:space="preserve"> Financial Management Act 1996</w:t>
      </w:r>
      <w:r w:rsidRPr="009D67E5">
        <w:rPr>
          <w:rFonts w:ascii="Calibri" w:eastAsia="Times New Roman" w:hAnsi="Calibri" w:cs="Calibri"/>
          <w:b/>
          <w:color w:val="000000"/>
          <w:szCs w:val="20"/>
          <w:lang w:eastAsia="en-AU"/>
        </w:rPr>
        <w:t xml:space="preserve"> appoints a specified person as Deputy Chair of the CIT Board for a period of 3 years. </w:t>
      </w:r>
    </w:p>
    <w:p w14:paraId="5CCADF93" w14:textId="77777777" w:rsidR="00207130" w:rsidRPr="009D67E5" w:rsidRDefault="00207130" w:rsidP="009D67E5">
      <w:pPr>
        <w:numPr>
          <w:ilvl w:val="0"/>
          <w:numId w:val="36"/>
        </w:numPr>
        <w:spacing w:before="120" w:after="0"/>
        <w:ind w:left="1208" w:hanging="357"/>
        <w:rPr>
          <w:rFonts w:ascii="Calibri" w:eastAsia="Times New Roman" w:hAnsi="Calibri" w:cs="Calibri"/>
          <w:b/>
          <w:color w:val="000000"/>
          <w:szCs w:val="20"/>
          <w:lang w:eastAsia="en-AU"/>
        </w:rPr>
      </w:pPr>
      <w:r w:rsidRPr="009D67E5">
        <w:rPr>
          <w:rFonts w:ascii="Calibri" w:eastAsia="Times New Roman" w:hAnsi="Calibri" w:cs="Calibri"/>
          <w:b/>
          <w:color w:val="000000"/>
          <w:szCs w:val="20"/>
          <w:lang w:eastAsia="en-AU"/>
        </w:rPr>
        <w:t xml:space="preserve">Disallowable Instrument DI2026-20 being the Board of Senior Secondary Studies Appointment 2026 (No 1) made under section 8 of the </w:t>
      </w:r>
      <w:r w:rsidRPr="009D67E5">
        <w:rPr>
          <w:rFonts w:ascii="Calibri" w:eastAsia="Times New Roman" w:hAnsi="Calibri" w:cs="Calibri"/>
          <w:i/>
          <w:color w:val="000000"/>
          <w:szCs w:val="20"/>
          <w:lang w:eastAsia="en-AU"/>
        </w:rPr>
        <w:t>Board of Senior Secondary Studies Act 1997</w:t>
      </w:r>
      <w:r w:rsidRPr="009D67E5">
        <w:rPr>
          <w:rFonts w:ascii="Calibri" w:eastAsia="Times New Roman" w:hAnsi="Calibri" w:cs="Calibri"/>
          <w:b/>
          <w:color w:val="000000"/>
          <w:szCs w:val="20"/>
          <w:lang w:eastAsia="en-AU"/>
        </w:rPr>
        <w:t xml:space="preserve"> revokes DI2023-291 and appoints a specified person as Chair of the Board of Senior Secondary Studies until 31 December 2026. </w:t>
      </w:r>
    </w:p>
    <w:p w14:paraId="6DF002A9" w14:textId="0CF29820" w:rsidR="00207130" w:rsidRPr="00207130" w:rsidRDefault="00207130" w:rsidP="00911F03">
      <w:pPr>
        <w:pStyle w:val="Heading20"/>
        <w:rPr>
          <w:rFonts w:eastAsia="Times New Roman"/>
        </w:rPr>
      </w:pPr>
      <w:bookmarkStart w:id="122" w:name="_Toc227841488"/>
      <w:r w:rsidRPr="00207130">
        <w:rPr>
          <w:rFonts w:eastAsia="Times New Roman"/>
        </w:rPr>
        <w:t>Disallowable Instruments</w:t>
      </w:r>
      <w:r w:rsidR="009D67E5">
        <w:rPr>
          <w:rFonts w:eastAsia="Times New Roman"/>
        </w:rPr>
        <w:t>—</w:t>
      </w:r>
      <w:r w:rsidRPr="00207130">
        <w:rPr>
          <w:rFonts w:eastAsia="Times New Roman"/>
        </w:rPr>
        <w:t>Comment</w:t>
      </w:r>
      <w:bookmarkEnd w:id="122"/>
    </w:p>
    <w:p w14:paraId="2BA2FBB1" w14:textId="77777777" w:rsidR="00207130" w:rsidRPr="00207130" w:rsidRDefault="00207130" w:rsidP="009D67E5">
      <w:pPr>
        <w:pStyle w:val="ListNumber2"/>
        <w:numPr>
          <w:ilvl w:val="1"/>
          <w:numId w:val="4"/>
        </w:numPr>
        <w:spacing w:before="120" w:after="0"/>
        <w:ind w:left="851" w:hanging="851"/>
        <w:rPr>
          <w:rFonts w:ascii="Calibri" w:eastAsia="Calibri" w:hAnsi="Calibri" w:cs="Times New Roman"/>
        </w:rPr>
      </w:pPr>
      <w:r w:rsidRPr="00207130">
        <w:rPr>
          <w:rFonts w:ascii="Calibri" w:eastAsia="Calibri" w:hAnsi="Calibri" w:cs="Times New Roman"/>
        </w:rPr>
        <w:t xml:space="preserve">The Committee has examined the </w:t>
      </w:r>
      <w:r w:rsidRPr="00207130">
        <w:rPr>
          <w:rFonts w:ascii="Calibri" w:eastAsia="Calibri" w:hAnsi="Calibri" w:cs="Calibri"/>
          <w:color w:val="000000"/>
          <w:lang w:eastAsia="en-AU"/>
        </w:rPr>
        <w:t>following</w:t>
      </w:r>
      <w:r w:rsidRPr="00207130">
        <w:rPr>
          <w:rFonts w:ascii="Calibri" w:eastAsia="Calibri" w:hAnsi="Calibri" w:cs="Times New Roman"/>
        </w:rPr>
        <w:t xml:space="preserve"> disallowable instruments and offers these comments on them:</w:t>
      </w:r>
    </w:p>
    <w:p w14:paraId="269E772A" w14:textId="4EDBBB2F" w:rsidR="00207130" w:rsidRPr="00207130" w:rsidRDefault="00207130" w:rsidP="00911F03">
      <w:pPr>
        <w:pStyle w:val="Heading3"/>
        <w:rPr>
          <w:rFonts w:eastAsia="Times New Roman"/>
        </w:rPr>
      </w:pPr>
      <w:bookmarkStart w:id="123" w:name="_Toc227838180"/>
      <w:bookmarkStart w:id="124" w:name="_Toc227841489"/>
      <w:bookmarkStart w:id="125" w:name="_Hlk112597483"/>
      <w:r w:rsidRPr="00207130">
        <w:rPr>
          <w:rFonts w:eastAsia="Times New Roman"/>
        </w:rPr>
        <w:t xml:space="preserve">No </w:t>
      </w:r>
      <w:r w:rsidR="00543B1A">
        <w:rPr>
          <w:rFonts w:eastAsia="Times New Roman"/>
        </w:rPr>
        <w:t>h</w:t>
      </w:r>
      <w:r w:rsidRPr="00207130">
        <w:rPr>
          <w:rFonts w:eastAsia="Times New Roman"/>
        </w:rPr>
        <w:t xml:space="preserve">uman </w:t>
      </w:r>
      <w:r w:rsidR="00511B62">
        <w:rPr>
          <w:rFonts w:eastAsia="Times New Roman"/>
        </w:rPr>
        <w:t>r</w:t>
      </w:r>
      <w:r w:rsidRPr="00207130">
        <w:rPr>
          <w:rFonts w:eastAsia="Times New Roman"/>
        </w:rPr>
        <w:t xml:space="preserve">ights </w:t>
      </w:r>
      <w:r w:rsidR="00511B62">
        <w:rPr>
          <w:rFonts w:eastAsia="Times New Roman"/>
        </w:rPr>
        <w:t>i</w:t>
      </w:r>
      <w:r w:rsidRPr="00207130">
        <w:rPr>
          <w:rFonts w:eastAsia="Times New Roman"/>
        </w:rPr>
        <w:t>ssues</w:t>
      </w:r>
      <w:bookmarkEnd w:id="123"/>
      <w:bookmarkEnd w:id="124"/>
    </w:p>
    <w:p w14:paraId="284E5323" w14:textId="77777777" w:rsidR="00207130" w:rsidRPr="009D67E5" w:rsidRDefault="00207130" w:rsidP="009D67E5">
      <w:pPr>
        <w:numPr>
          <w:ilvl w:val="0"/>
          <w:numId w:val="36"/>
        </w:numPr>
        <w:spacing w:before="120" w:after="0"/>
        <w:ind w:left="1208" w:hanging="357"/>
        <w:rPr>
          <w:rFonts w:ascii="Calibri" w:eastAsia="Times New Roman" w:hAnsi="Calibri" w:cs="Calibri"/>
          <w:b/>
          <w:color w:val="000000"/>
          <w:szCs w:val="20"/>
          <w:lang w:eastAsia="en-AU"/>
        </w:rPr>
      </w:pPr>
      <w:r w:rsidRPr="009D67E5">
        <w:rPr>
          <w:rFonts w:ascii="Calibri" w:eastAsia="Times New Roman" w:hAnsi="Calibri" w:cs="Calibri"/>
          <w:b/>
          <w:color w:val="000000"/>
          <w:szCs w:val="20"/>
          <w:lang w:eastAsia="en-AU"/>
        </w:rPr>
        <w:t xml:space="preserve">Disallowable Instrument DI2026-21 being the Unit Titles (Management) Rental Certificate Determination 2026 made under section 119 of the </w:t>
      </w:r>
      <w:r w:rsidRPr="009D67E5">
        <w:rPr>
          <w:rFonts w:ascii="Calibri" w:eastAsia="Times New Roman" w:hAnsi="Calibri" w:cs="Calibri"/>
          <w:i/>
          <w:color w:val="000000"/>
          <w:szCs w:val="20"/>
          <w:lang w:eastAsia="en-AU"/>
        </w:rPr>
        <w:t>Unit Titles (Management) Act 2011</w:t>
      </w:r>
      <w:r w:rsidRPr="009D67E5">
        <w:rPr>
          <w:rFonts w:ascii="Calibri" w:eastAsia="Times New Roman" w:hAnsi="Calibri" w:cs="Calibri"/>
          <w:b/>
          <w:color w:val="000000"/>
          <w:szCs w:val="20"/>
          <w:lang w:eastAsia="en-AU"/>
        </w:rPr>
        <w:t xml:space="preserve"> revokes DI2025-74 and determines information to be included in a unit title rental certificate. </w:t>
      </w:r>
    </w:p>
    <w:p w14:paraId="5FD82720" w14:textId="77777777" w:rsidR="00207130" w:rsidRPr="009D67E5" w:rsidRDefault="00207130" w:rsidP="009D67E5">
      <w:pPr>
        <w:numPr>
          <w:ilvl w:val="0"/>
          <w:numId w:val="36"/>
        </w:numPr>
        <w:spacing w:before="120" w:after="0"/>
        <w:ind w:left="1208" w:hanging="357"/>
        <w:rPr>
          <w:rFonts w:ascii="Calibri" w:eastAsia="Times New Roman" w:hAnsi="Calibri" w:cs="Calibri"/>
          <w:b/>
          <w:color w:val="000000"/>
          <w:szCs w:val="20"/>
          <w:lang w:eastAsia="en-AU"/>
        </w:rPr>
      </w:pPr>
      <w:r w:rsidRPr="009D67E5">
        <w:rPr>
          <w:rFonts w:ascii="Calibri" w:eastAsia="Times New Roman" w:hAnsi="Calibri" w:cs="Calibri"/>
          <w:b/>
          <w:color w:val="000000"/>
          <w:szCs w:val="20"/>
          <w:lang w:eastAsia="en-AU"/>
        </w:rPr>
        <w:t xml:space="preserve">Disallowable Instrument DI2026-22 being the Unit Titles (Management) Sale Certificate Determination 2026 made under section 119 of the </w:t>
      </w:r>
      <w:r w:rsidRPr="009D67E5">
        <w:rPr>
          <w:rFonts w:ascii="Calibri" w:eastAsia="Times New Roman" w:hAnsi="Calibri" w:cs="Calibri"/>
          <w:i/>
          <w:color w:val="000000"/>
          <w:szCs w:val="20"/>
          <w:lang w:eastAsia="en-AU"/>
        </w:rPr>
        <w:t>Unit Titles (Management) Act 2011</w:t>
      </w:r>
      <w:r w:rsidRPr="009D67E5">
        <w:rPr>
          <w:rFonts w:ascii="Calibri" w:eastAsia="Times New Roman" w:hAnsi="Calibri" w:cs="Calibri"/>
          <w:b/>
          <w:color w:val="000000"/>
          <w:szCs w:val="20"/>
          <w:lang w:eastAsia="en-AU"/>
        </w:rPr>
        <w:t xml:space="preserve"> revokes DI2025-75 and determines information to be included in a unit title sale certificate and a unit title sale update certificate. </w:t>
      </w:r>
    </w:p>
    <w:p w14:paraId="0261E66C" w14:textId="77777777" w:rsidR="00207130" w:rsidRPr="00207130" w:rsidRDefault="00207130" w:rsidP="009D67E5">
      <w:pPr>
        <w:pStyle w:val="ListNumber2"/>
        <w:numPr>
          <w:ilvl w:val="1"/>
          <w:numId w:val="4"/>
        </w:numPr>
        <w:spacing w:before="120" w:after="0"/>
        <w:ind w:left="851" w:hanging="851"/>
        <w:rPr>
          <w:rFonts w:ascii="Calibri" w:eastAsia="Times New Roman" w:hAnsi="Calibri" w:cs="Calibri"/>
          <w:color w:val="000000"/>
          <w:spacing w:val="-4"/>
          <w:lang w:eastAsia="en-AU"/>
        </w:rPr>
      </w:pPr>
      <w:r w:rsidRPr="00207130">
        <w:rPr>
          <w:rFonts w:ascii="Calibri" w:eastAsia="Times New Roman" w:hAnsi="Calibri" w:cs="Calibri"/>
          <w:color w:val="000000"/>
          <w:spacing w:val="-4"/>
          <w:lang w:eastAsia="en-AU"/>
        </w:rPr>
        <w:t>The Committee notes that the explanatory statements for each of the instruments mentioned above contain a statement that the instrument does not engage any human rights.</w:t>
      </w:r>
    </w:p>
    <w:p w14:paraId="00D17104" w14:textId="77777777" w:rsidR="00207130" w:rsidRPr="00207130" w:rsidRDefault="00207130" w:rsidP="009D67E5">
      <w:pPr>
        <w:pStyle w:val="ListNumber2"/>
        <w:numPr>
          <w:ilvl w:val="1"/>
          <w:numId w:val="4"/>
        </w:numPr>
        <w:spacing w:before="120" w:after="0"/>
        <w:ind w:left="851" w:hanging="851"/>
        <w:rPr>
          <w:rFonts w:ascii="Calibri" w:eastAsia="Times New Roman" w:hAnsi="Calibri" w:cs="Calibri"/>
          <w:b/>
          <w:lang w:eastAsia="en-AU"/>
        </w:rPr>
      </w:pPr>
      <w:r w:rsidRPr="00207130">
        <w:rPr>
          <w:rFonts w:ascii="Calibri" w:eastAsia="Times New Roman" w:hAnsi="Calibri" w:cs="Calibri"/>
          <w:b/>
          <w:lang w:eastAsia="en-AU"/>
        </w:rPr>
        <w:t>The Committee draws the attention of the Legislative Assembly to the discussion of human rights issues in the explanatory statements for these instruments.</w:t>
      </w:r>
    </w:p>
    <w:p w14:paraId="7DE94745" w14:textId="77777777" w:rsidR="00207130" w:rsidRPr="00207130" w:rsidRDefault="00207130" w:rsidP="009D67E5">
      <w:pPr>
        <w:pStyle w:val="ListNumber2"/>
        <w:numPr>
          <w:ilvl w:val="1"/>
          <w:numId w:val="4"/>
        </w:numPr>
        <w:spacing w:before="120" w:after="0"/>
        <w:ind w:left="851" w:hanging="851"/>
        <w:rPr>
          <w:rFonts w:ascii="Calibri" w:eastAsia="Times New Roman" w:hAnsi="Calibri" w:cs="Calibri"/>
          <w:b/>
          <w:lang w:eastAsia="en-AU"/>
        </w:rPr>
      </w:pPr>
      <w:r w:rsidRPr="00207130">
        <w:rPr>
          <w:rFonts w:ascii="Calibri" w:eastAsia="Times New Roman" w:hAnsi="Calibri" w:cs="Calibri"/>
          <w:b/>
          <w:lang w:eastAsia="en-AU"/>
        </w:rPr>
        <w:t>This comment does not require a response from the Minister.</w:t>
      </w:r>
    </w:p>
    <w:p w14:paraId="79602854" w14:textId="4ACFAEA2" w:rsidR="00207130" w:rsidRPr="00207130" w:rsidRDefault="00207130" w:rsidP="00911F03">
      <w:pPr>
        <w:pStyle w:val="Heading3"/>
        <w:rPr>
          <w:rFonts w:eastAsia="Times New Roman"/>
        </w:rPr>
      </w:pPr>
      <w:bookmarkStart w:id="126" w:name="_Toc227838181"/>
      <w:bookmarkStart w:id="127" w:name="_Toc227841490"/>
      <w:r w:rsidRPr="00207130">
        <w:rPr>
          <w:rFonts w:eastAsia="Times New Roman"/>
        </w:rPr>
        <w:lastRenderedPageBreak/>
        <w:t xml:space="preserve">Human </w:t>
      </w:r>
      <w:r w:rsidR="00511B62">
        <w:rPr>
          <w:rFonts w:eastAsia="Times New Roman"/>
        </w:rPr>
        <w:t>r</w:t>
      </w:r>
      <w:r w:rsidRPr="00207130">
        <w:rPr>
          <w:rFonts w:eastAsia="Times New Roman"/>
        </w:rPr>
        <w:t xml:space="preserve">ights </w:t>
      </w:r>
      <w:r w:rsidR="00511B62">
        <w:rPr>
          <w:rFonts w:eastAsia="Times New Roman"/>
        </w:rPr>
        <w:t>i</w:t>
      </w:r>
      <w:r w:rsidRPr="00207130">
        <w:rPr>
          <w:rFonts w:eastAsia="Times New Roman"/>
        </w:rPr>
        <w:t>ssues</w:t>
      </w:r>
      <w:bookmarkEnd w:id="126"/>
      <w:bookmarkEnd w:id="127"/>
    </w:p>
    <w:p w14:paraId="78F81EDD" w14:textId="77777777" w:rsidR="00207130" w:rsidRPr="009D67E5" w:rsidRDefault="00207130" w:rsidP="009D67E5">
      <w:pPr>
        <w:numPr>
          <w:ilvl w:val="0"/>
          <w:numId w:val="36"/>
        </w:numPr>
        <w:spacing w:before="120" w:after="0"/>
        <w:ind w:left="1208" w:hanging="357"/>
        <w:rPr>
          <w:rFonts w:ascii="Calibri" w:eastAsia="Times New Roman" w:hAnsi="Calibri" w:cs="Calibri"/>
          <w:b/>
          <w:color w:val="000000"/>
          <w:szCs w:val="20"/>
          <w:lang w:eastAsia="en-AU"/>
        </w:rPr>
      </w:pPr>
      <w:r w:rsidRPr="009D67E5">
        <w:rPr>
          <w:rFonts w:ascii="Calibri" w:eastAsia="Times New Roman" w:hAnsi="Calibri" w:cs="Calibri"/>
          <w:b/>
          <w:color w:val="000000"/>
          <w:szCs w:val="20"/>
          <w:lang w:eastAsia="en-AU"/>
        </w:rPr>
        <w:t xml:space="preserve">Disallowable Instrument DI2026-23 being the Medicines, Poisons and Therapeutic Goods (Vaccinations by Pharmacists) Direction 2026 (No 1) made under section 352 and paragraph 37(1)(b) of the </w:t>
      </w:r>
      <w:r w:rsidRPr="009D67E5">
        <w:rPr>
          <w:rFonts w:ascii="Calibri" w:eastAsia="Times New Roman" w:hAnsi="Calibri" w:cs="Calibri"/>
          <w:i/>
          <w:color w:val="000000"/>
          <w:szCs w:val="20"/>
          <w:lang w:eastAsia="en-AU"/>
        </w:rPr>
        <w:t>Medicines, Poisons and Therapeutic Goods Regulation 2008</w:t>
      </w:r>
      <w:r w:rsidRPr="009D67E5">
        <w:rPr>
          <w:rFonts w:ascii="Calibri" w:eastAsia="Times New Roman" w:hAnsi="Calibri" w:cs="Calibri"/>
          <w:b/>
          <w:color w:val="000000"/>
          <w:szCs w:val="20"/>
          <w:lang w:eastAsia="en-AU"/>
        </w:rPr>
        <w:t xml:space="preserve"> revokes DI2025-33 and provides that a pharmacist or intern pharmacist may administer vaccines without prescription if they comply with the Pharmacist Vaccination Standards as determined by the Chief Health Officer. </w:t>
      </w:r>
    </w:p>
    <w:p w14:paraId="61C50A55" w14:textId="24238E6A" w:rsidR="00207130" w:rsidRPr="00207130" w:rsidRDefault="00207130" w:rsidP="009D67E5">
      <w:pPr>
        <w:pStyle w:val="ListNumber2"/>
        <w:numPr>
          <w:ilvl w:val="1"/>
          <w:numId w:val="4"/>
        </w:numPr>
        <w:spacing w:before="120" w:after="0"/>
        <w:ind w:left="851" w:hanging="851"/>
        <w:rPr>
          <w:rFonts w:ascii="Calibri" w:eastAsia="Times New Roman" w:hAnsi="Calibri" w:cs="Calibri"/>
          <w:color w:val="000000"/>
          <w:spacing w:val="-4"/>
          <w:lang w:eastAsia="en-AU"/>
        </w:rPr>
      </w:pPr>
      <w:r w:rsidRPr="00207130">
        <w:rPr>
          <w:rFonts w:ascii="Calibri" w:eastAsia="Times New Roman" w:hAnsi="Calibri" w:cs="Calibri"/>
          <w:color w:val="000000"/>
          <w:spacing w:val="-4"/>
          <w:lang w:eastAsia="en-AU"/>
        </w:rPr>
        <w:t xml:space="preserve">This instrument, made by the Chief Health Officer </w:t>
      </w:r>
      <w:r w:rsidRPr="00911F03">
        <w:rPr>
          <w:rFonts w:ascii="Calibri" w:eastAsia="Times New Roman" w:hAnsi="Calibri" w:cs="Calibri"/>
          <w:color w:val="000000"/>
          <w:spacing w:val="-4"/>
          <w:lang w:eastAsia="en-AU"/>
        </w:rPr>
        <w:t>(CHO)</w:t>
      </w:r>
      <w:r w:rsidRPr="00207130">
        <w:rPr>
          <w:rFonts w:ascii="Calibri" w:eastAsia="Times New Roman" w:hAnsi="Calibri" w:cs="Calibri"/>
          <w:color w:val="000000"/>
          <w:spacing w:val="-4"/>
          <w:lang w:eastAsia="en-AU"/>
        </w:rPr>
        <w:t xml:space="preserve"> under section 352 and paragraph 37(1)(b) of the </w:t>
      </w:r>
      <w:r w:rsidRPr="00207130">
        <w:rPr>
          <w:rFonts w:ascii="Calibri" w:eastAsia="Times New Roman" w:hAnsi="Calibri" w:cs="Calibri"/>
          <w:i/>
          <w:iCs/>
          <w:color w:val="000000"/>
          <w:spacing w:val="-4"/>
          <w:lang w:eastAsia="en-AU"/>
        </w:rPr>
        <w:t>Medicines, Poisons and Therapeutic Goods Regulation 2008</w:t>
      </w:r>
      <w:r w:rsidRPr="00207130">
        <w:rPr>
          <w:rFonts w:ascii="Calibri" w:eastAsia="Times New Roman" w:hAnsi="Calibri" w:cs="Calibri"/>
          <w:color w:val="000000"/>
          <w:spacing w:val="-4"/>
          <w:lang w:eastAsia="en-AU"/>
        </w:rPr>
        <w:t xml:space="preserve">, gives a direction for the administration of a vaccine to a person without prescription by a pharmacist (or an intern pharmacist under the direct supervision of a pharmacist).  The direction instructs that </w:t>
      </w:r>
      <w:r w:rsidR="008A0201">
        <w:rPr>
          <w:rFonts w:ascii="Calibri" w:eastAsia="Times New Roman" w:hAnsi="Calibri" w:cs="Calibri"/>
          <w:color w:val="000000"/>
          <w:spacing w:val="-4"/>
          <w:lang w:eastAsia="en-AU"/>
        </w:rPr>
        <w:br/>
      </w:r>
      <w:r w:rsidRPr="00207130">
        <w:rPr>
          <w:rFonts w:ascii="Calibri" w:eastAsia="Times New Roman" w:hAnsi="Calibri" w:cs="Calibri"/>
          <w:color w:val="000000"/>
          <w:spacing w:val="-4"/>
          <w:lang w:eastAsia="en-AU"/>
        </w:rPr>
        <w:t>a pharmacist or intern pharmacist may administer a vaccine without prescription if they comply with the Pharmacist Vaccination Standards (Vaccination Standards) as determined by the CHO at Schedule 1 of this instrument.</w:t>
      </w:r>
    </w:p>
    <w:p w14:paraId="718F7F5C" w14:textId="5540EFAB" w:rsidR="00207130" w:rsidRPr="008A0201" w:rsidRDefault="00207130" w:rsidP="008A0201">
      <w:pPr>
        <w:pStyle w:val="ListNumber2"/>
        <w:numPr>
          <w:ilvl w:val="1"/>
          <w:numId w:val="4"/>
        </w:numPr>
        <w:spacing w:before="120" w:after="0"/>
        <w:ind w:left="851" w:hanging="851"/>
        <w:rPr>
          <w:rFonts w:ascii="Calibri" w:eastAsia="Times New Roman" w:hAnsi="Calibri" w:cs="Calibri"/>
          <w:color w:val="000000"/>
          <w:spacing w:val="-4"/>
          <w:lang w:eastAsia="en-AU"/>
        </w:rPr>
      </w:pPr>
      <w:r w:rsidRPr="00207130">
        <w:rPr>
          <w:rFonts w:ascii="Calibri" w:eastAsia="Times New Roman" w:hAnsi="Calibri" w:cs="Calibri"/>
          <w:color w:val="000000"/>
          <w:spacing w:val="-4"/>
          <w:lang w:eastAsia="en-AU"/>
        </w:rPr>
        <w:t>The explanatory statement for the instrument states:</w:t>
      </w:r>
    </w:p>
    <w:p w14:paraId="2915D3C0" w14:textId="77777777" w:rsidR="00207130" w:rsidRPr="00207130" w:rsidRDefault="00207130" w:rsidP="00911F03">
      <w:pPr>
        <w:pStyle w:val="Quote"/>
        <w:spacing w:before="120" w:after="0"/>
      </w:pPr>
      <w:bookmarkStart w:id="128" w:name="_Hlk219453983"/>
      <w:r w:rsidRPr="00207130">
        <w:t>The Vaccination Standards outline the need for administering pharmacists to comply with the following three components:</w:t>
      </w:r>
    </w:p>
    <w:bookmarkEnd w:id="128"/>
    <w:p w14:paraId="456932CF" w14:textId="77777777" w:rsidR="00207130" w:rsidRPr="00207130" w:rsidRDefault="00207130" w:rsidP="00911F03">
      <w:pPr>
        <w:pStyle w:val="Quote"/>
        <w:numPr>
          <w:ilvl w:val="0"/>
          <w:numId w:val="36"/>
        </w:numPr>
        <w:spacing w:before="120" w:after="0"/>
        <w:ind w:left="1560"/>
      </w:pPr>
      <w:r w:rsidRPr="00207130">
        <w:t xml:space="preserve">Part A of the Vaccination Standards specifies the training requirements for pharmacists to be authorised to administer an approved vaccines in the ACT. </w:t>
      </w:r>
    </w:p>
    <w:p w14:paraId="6FCF02AB" w14:textId="77777777" w:rsidR="00207130" w:rsidRPr="00207130" w:rsidRDefault="00207130" w:rsidP="00911F03">
      <w:pPr>
        <w:pStyle w:val="Quote"/>
        <w:numPr>
          <w:ilvl w:val="0"/>
          <w:numId w:val="36"/>
        </w:numPr>
        <w:spacing w:before="120" w:after="0"/>
        <w:ind w:left="1560"/>
      </w:pPr>
      <w:r w:rsidRPr="00207130">
        <w:t>Part B of the Vaccination Standards outline the practice standards, including general administration requirements, premises and equipment, and requirements for the area where vaccines are administered.</w:t>
      </w:r>
    </w:p>
    <w:p w14:paraId="73A6414B" w14:textId="77777777" w:rsidR="00207130" w:rsidRPr="00207130" w:rsidRDefault="00207130" w:rsidP="00911F03">
      <w:pPr>
        <w:pStyle w:val="Quote"/>
        <w:numPr>
          <w:ilvl w:val="0"/>
          <w:numId w:val="36"/>
        </w:numPr>
        <w:spacing w:before="120" w:after="0"/>
        <w:ind w:left="1560"/>
      </w:pPr>
      <w:r w:rsidRPr="00207130">
        <w:t xml:space="preserve">Part C of the Vaccination Standards sets out record keeping and reporting requirements for pharmacists. Consistent with requirements of the </w:t>
      </w:r>
      <w:r w:rsidRPr="00207130">
        <w:rPr>
          <w:i/>
          <w:iCs/>
        </w:rPr>
        <w:t>Australian Immunisation Register Act 2015</w:t>
      </w:r>
      <w:r w:rsidRPr="00207130">
        <w:t xml:space="preserve"> (Cwlth), this section requires pharmacists to record all vaccination events on the Australian Immunisation Register (AIR). </w:t>
      </w:r>
    </w:p>
    <w:p w14:paraId="4C23DF18" w14:textId="77777777" w:rsidR="00207130" w:rsidRPr="00207130" w:rsidRDefault="00207130" w:rsidP="00911F03">
      <w:pPr>
        <w:pStyle w:val="Quote"/>
        <w:spacing w:before="120" w:after="0"/>
      </w:pPr>
      <w:r w:rsidRPr="00207130">
        <w:t>Consistent with the Public Health (Reporting of Notifiable Conditions) Code of Practice 2022 (No 2) (ACT), Part C also outlines the requirement to report Adverse Events Following Immunisation.</w:t>
      </w:r>
    </w:p>
    <w:p w14:paraId="17327782" w14:textId="77777777" w:rsidR="00207130" w:rsidRPr="00207130" w:rsidRDefault="00207130" w:rsidP="00911F03">
      <w:pPr>
        <w:pStyle w:val="Quote"/>
        <w:spacing w:before="120" w:after="0"/>
      </w:pPr>
      <w:r w:rsidRPr="00207130">
        <w:t xml:space="preserve">Part C has been updated to include the requirement to report information about whether a person was pregnant at the time of vaccination. This became a requirement of the </w:t>
      </w:r>
      <w:r w:rsidRPr="00207130">
        <w:rPr>
          <w:i/>
          <w:iCs/>
        </w:rPr>
        <w:t>Australian Immunisation Register Act 2015</w:t>
      </w:r>
      <w:r w:rsidRPr="00207130">
        <w:t xml:space="preserve"> (Cwlth) from 1 March 2025.</w:t>
      </w:r>
    </w:p>
    <w:p w14:paraId="061F7D43" w14:textId="77777777" w:rsidR="00207130" w:rsidRPr="00207130" w:rsidRDefault="00207130" w:rsidP="00911F03">
      <w:pPr>
        <w:pStyle w:val="Quote"/>
        <w:spacing w:before="120" w:after="0"/>
      </w:pPr>
      <w:r w:rsidRPr="00207130">
        <w:t>Minor changes have been made to the Vaccination Standards to correct weblinks, phone numbers and team names, and</w:t>
      </w:r>
      <w:r w:rsidRPr="00207130">
        <w:rPr>
          <w:rFonts w:cs="Times New Roman"/>
          <w:spacing w:val="-4"/>
        </w:rPr>
        <w:t xml:space="preserve"> </w:t>
      </w:r>
      <w:r w:rsidRPr="00207130">
        <w:t>update references to refer to the Health and Community Services Directorate.</w:t>
      </w:r>
    </w:p>
    <w:p w14:paraId="01152E50" w14:textId="77777777" w:rsidR="00207130" w:rsidRPr="00207130" w:rsidRDefault="00207130" w:rsidP="00A1600A">
      <w:pPr>
        <w:pStyle w:val="ListNumber2"/>
        <w:numPr>
          <w:ilvl w:val="1"/>
          <w:numId w:val="4"/>
        </w:numPr>
        <w:spacing w:before="120" w:after="0"/>
        <w:ind w:left="851" w:hanging="851"/>
        <w:rPr>
          <w:rFonts w:ascii="Calibri" w:eastAsia="Times New Roman" w:hAnsi="Calibri" w:cs="Calibri"/>
          <w:color w:val="000000"/>
          <w:spacing w:val="-4"/>
          <w:lang w:eastAsia="en-AU"/>
        </w:rPr>
      </w:pPr>
      <w:r w:rsidRPr="00207130">
        <w:rPr>
          <w:rFonts w:ascii="Calibri" w:eastAsia="Times New Roman" w:hAnsi="Calibri" w:cs="Calibri"/>
          <w:color w:val="000000"/>
          <w:spacing w:val="-4"/>
          <w:lang w:eastAsia="en-AU"/>
        </w:rPr>
        <w:t xml:space="preserve">The Committee notes that the explanatory statement for the instrument discusses human rights, by reference to the right to life, the right to protection of the family and children and the right to privacy, protected by sections 9, 11 and 12 of the </w:t>
      </w:r>
      <w:r w:rsidRPr="00207130">
        <w:rPr>
          <w:rFonts w:ascii="Calibri" w:eastAsia="Times New Roman" w:hAnsi="Calibri" w:cs="Calibri"/>
          <w:i/>
          <w:iCs/>
          <w:color w:val="000000"/>
          <w:spacing w:val="-4"/>
          <w:lang w:eastAsia="en-AU"/>
        </w:rPr>
        <w:t>Human Rights Act 2004</w:t>
      </w:r>
      <w:r w:rsidRPr="00207130">
        <w:rPr>
          <w:rFonts w:ascii="Calibri" w:eastAsia="Times New Roman" w:hAnsi="Calibri" w:cs="Calibri"/>
          <w:color w:val="000000"/>
          <w:spacing w:val="-4"/>
          <w:lang w:eastAsia="en-AU"/>
        </w:rPr>
        <w:t>, respectively.  The first 2 rights mentioned are promoted.  Only the right to privacy is considered to potentially be limited.  The limitation arises from the collection of “sensitive personal health information, such as vaccine history, medical conditions, and contact details”.</w:t>
      </w:r>
    </w:p>
    <w:p w14:paraId="249E64AB" w14:textId="77777777" w:rsidR="00207130" w:rsidRPr="00207130" w:rsidRDefault="00207130" w:rsidP="00A1600A">
      <w:pPr>
        <w:pStyle w:val="ListNumber2"/>
        <w:numPr>
          <w:ilvl w:val="1"/>
          <w:numId w:val="4"/>
        </w:numPr>
        <w:spacing w:before="120" w:after="0"/>
        <w:ind w:left="851" w:hanging="851"/>
        <w:rPr>
          <w:rFonts w:ascii="Calibri" w:eastAsia="Times New Roman" w:hAnsi="Calibri" w:cs="Calibri"/>
          <w:color w:val="000000"/>
          <w:spacing w:val="-4"/>
          <w:lang w:eastAsia="en-AU"/>
        </w:rPr>
      </w:pPr>
      <w:r w:rsidRPr="00207130">
        <w:rPr>
          <w:rFonts w:ascii="Calibri" w:eastAsia="Times New Roman" w:hAnsi="Calibri" w:cs="Calibri"/>
          <w:color w:val="000000"/>
          <w:spacing w:val="-4"/>
          <w:lang w:eastAsia="en-AU"/>
        </w:rPr>
        <w:lastRenderedPageBreak/>
        <w:t>The explanatory statement for the instrument states:</w:t>
      </w:r>
    </w:p>
    <w:p w14:paraId="6B88B109" w14:textId="77777777" w:rsidR="00207130" w:rsidRPr="00207130" w:rsidRDefault="00207130" w:rsidP="00911F03">
      <w:pPr>
        <w:pStyle w:val="Quote"/>
        <w:spacing w:before="120" w:after="0"/>
      </w:pPr>
      <w:r w:rsidRPr="00207130">
        <w:t xml:space="preserve">The collection or reporting of health information by practitioners, including reports of adverse events following immunisation (AEFI), engages the right to privacy under section 12 of the HR Act. These engagements are governed by existing legislation including the </w:t>
      </w:r>
      <w:r w:rsidRPr="00207130">
        <w:rPr>
          <w:i/>
          <w:iCs/>
        </w:rPr>
        <w:t>Health Records (Privacy and Access) Act 1997, Information Privacy Act 2014</w:t>
      </w:r>
      <w:r w:rsidRPr="00207130">
        <w:t xml:space="preserve">, </w:t>
      </w:r>
      <w:r w:rsidRPr="00207130">
        <w:rPr>
          <w:i/>
          <w:iCs/>
        </w:rPr>
        <w:t>Australian Immunisation Register Act 2015</w:t>
      </w:r>
      <w:r w:rsidRPr="00207130">
        <w:t xml:space="preserve"> (Cwlth) as well as relevant professional standards overseen by the Australian Health Practitioner Regulation Agency. These frameworks collectively function to protect against unreasonable interference regarding the collection, use and disclosure of personal information; and outline how a person can access their personal information stored by an immunisation service provider. </w:t>
      </w:r>
    </w:p>
    <w:p w14:paraId="75FCA575" w14:textId="77777777" w:rsidR="00207130" w:rsidRPr="00207130" w:rsidRDefault="00207130" w:rsidP="00911F03">
      <w:pPr>
        <w:pStyle w:val="Quote"/>
        <w:spacing w:before="120" w:after="0"/>
      </w:pPr>
      <w:r w:rsidRPr="00207130">
        <w:t xml:space="preserve">Health consumers are also reasonably made aware of their human rights about pharmacy services. In accordance with section 95 of the </w:t>
      </w:r>
      <w:r w:rsidRPr="00207130">
        <w:rPr>
          <w:i/>
          <w:iCs/>
        </w:rPr>
        <w:t>Human Rights Commission Act 2005</w:t>
      </w:r>
      <w:r w:rsidRPr="00207130">
        <w:t>, all health service providers are required to prominently display information about how complaints may be made to the ACT Human Rights Commission or appropriate regulatory agency.</w:t>
      </w:r>
    </w:p>
    <w:p w14:paraId="78647369" w14:textId="77777777" w:rsidR="00207130" w:rsidRPr="00207130" w:rsidRDefault="00207130" w:rsidP="00911F03">
      <w:pPr>
        <w:pStyle w:val="Quote"/>
        <w:spacing w:before="120" w:after="0"/>
      </w:pPr>
      <w:r w:rsidRPr="00207130">
        <w:t>This instrument does not establish any new obligations on pharmacists or consumers in the collection, storage or reporting of information. The Vaccination Standards are therefore considered to engage with the right to privacy under the HRA, but do not operate as to arbitrarily or unlawfully interfere with or otherwise limit an individual’s right to privacy or reputation as described by the HR Act.</w:t>
      </w:r>
    </w:p>
    <w:p w14:paraId="40AC715D" w14:textId="77777777" w:rsidR="00207130" w:rsidRPr="00207130" w:rsidRDefault="00207130" w:rsidP="00A1600A">
      <w:pPr>
        <w:pStyle w:val="ListNumber2"/>
        <w:numPr>
          <w:ilvl w:val="1"/>
          <w:numId w:val="4"/>
        </w:numPr>
        <w:spacing w:before="120" w:after="0"/>
        <w:ind w:left="851" w:hanging="851"/>
        <w:rPr>
          <w:rFonts w:ascii="Calibri" w:eastAsia="Times New Roman" w:hAnsi="Calibri" w:cs="Calibri"/>
          <w:b/>
          <w:lang w:eastAsia="en-AU"/>
        </w:rPr>
      </w:pPr>
      <w:r w:rsidRPr="00207130">
        <w:rPr>
          <w:rFonts w:ascii="Calibri" w:eastAsia="Times New Roman" w:hAnsi="Calibri" w:cs="Calibri"/>
          <w:b/>
          <w:lang w:eastAsia="en-AU"/>
        </w:rPr>
        <w:t>The Committee draws the attention of the Legislative Assembly to the discussion of human rights issues in the explanatory statement for this instrument.</w:t>
      </w:r>
    </w:p>
    <w:p w14:paraId="6E820D77" w14:textId="6C55469E" w:rsidR="00207130" w:rsidRDefault="00207130" w:rsidP="00A1600A">
      <w:pPr>
        <w:pStyle w:val="ListNumber2"/>
        <w:numPr>
          <w:ilvl w:val="1"/>
          <w:numId w:val="4"/>
        </w:numPr>
        <w:spacing w:before="120" w:after="0"/>
        <w:ind w:left="851" w:hanging="851"/>
        <w:rPr>
          <w:rFonts w:ascii="Calibri" w:eastAsia="Times New Roman" w:hAnsi="Calibri" w:cs="Calibri"/>
          <w:b/>
          <w:lang w:eastAsia="en-AU"/>
        </w:rPr>
      </w:pPr>
      <w:r w:rsidRPr="00207130">
        <w:rPr>
          <w:rFonts w:ascii="Calibri" w:eastAsia="Times New Roman" w:hAnsi="Calibri" w:cs="Calibri"/>
          <w:b/>
          <w:lang w:eastAsia="en-AU"/>
        </w:rPr>
        <w:t>This comment does not require a response from the Minister.</w:t>
      </w:r>
    </w:p>
    <w:p w14:paraId="0E4B7496" w14:textId="2D7AD3B8" w:rsidR="00207130" w:rsidRPr="00207130" w:rsidRDefault="00207130" w:rsidP="00911F03">
      <w:pPr>
        <w:pStyle w:val="Heading20"/>
        <w:rPr>
          <w:rFonts w:eastAsia="Calibri"/>
        </w:rPr>
      </w:pPr>
      <w:bookmarkStart w:id="129" w:name="_Toc227841491"/>
      <w:r w:rsidRPr="00207130">
        <w:rPr>
          <w:rFonts w:eastAsia="Calibri"/>
        </w:rPr>
        <w:t>National Law</w:t>
      </w:r>
      <w:r w:rsidR="00A1600A">
        <w:rPr>
          <w:rFonts w:eastAsia="Calibri"/>
        </w:rPr>
        <w:t>—</w:t>
      </w:r>
      <w:r w:rsidRPr="00207130">
        <w:rPr>
          <w:rFonts w:eastAsia="Calibri"/>
        </w:rPr>
        <w:t>Comment</w:t>
      </w:r>
      <w:bookmarkEnd w:id="129"/>
    </w:p>
    <w:bookmarkEnd w:id="125"/>
    <w:p w14:paraId="7FC456C3" w14:textId="77777777" w:rsidR="00207130" w:rsidRPr="00207130" w:rsidRDefault="00207130" w:rsidP="00A1600A">
      <w:pPr>
        <w:pStyle w:val="ListNumber2"/>
        <w:numPr>
          <w:ilvl w:val="1"/>
          <w:numId w:val="4"/>
        </w:numPr>
        <w:spacing w:before="120" w:after="0"/>
        <w:ind w:left="851" w:hanging="851"/>
        <w:rPr>
          <w:rFonts w:ascii="Calibri" w:eastAsia="Calibri" w:hAnsi="Calibri" w:cs="Calibri"/>
        </w:rPr>
      </w:pPr>
      <w:r w:rsidRPr="00207130">
        <w:rPr>
          <w:rFonts w:ascii="Calibri" w:eastAsia="Calibri" w:hAnsi="Calibri" w:cs="Calibri"/>
        </w:rPr>
        <w:t>The Committee has examined the following National Law and offers these comments on it:</w:t>
      </w:r>
    </w:p>
    <w:p w14:paraId="2A41607E" w14:textId="77777777" w:rsidR="00207130" w:rsidRPr="00A1600A" w:rsidRDefault="00207130" w:rsidP="00A1600A">
      <w:pPr>
        <w:numPr>
          <w:ilvl w:val="0"/>
          <w:numId w:val="36"/>
        </w:numPr>
        <w:spacing w:before="120" w:after="0"/>
        <w:ind w:left="1208" w:hanging="357"/>
        <w:rPr>
          <w:rFonts w:ascii="Calibri" w:eastAsia="Calibri" w:hAnsi="Calibri" w:cs="Calibri"/>
          <w:b/>
          <w:color w:val="000000" w:themeColor="text1"/>
          <w:szCs w:val="20"/>
        </w:rPr>
      </w:pPr>
      <w:bookmarkStart w:id="130" w:name="_Hlk135239681"/>
      <w:r w:rsidRPr="00A1600A">
        <w:rPr>
          <w:rFonts w:ascii="Calibri" w:eastAsia="Calibri" w:hAnsi="Calibri" w:cs="Calibri"/>
          <w:b/>
          <w:color w:val="000000" w:themeColor="text1"/>
          <w:szCs w:val="20"/>
        </w:rPr>
        <w:t>Education and Care Services National Amendment Regulations 2026, made under the Education and Care Services National Law</w:t>
      </w:r>
    </w:p>
    <w:p w14:paraId="291F79BF" w14:textId="77777777" w:rsidR="00207130" w:rsidRPr="00207130" w:rsidRDefault="00207130" w:rsidP="00A1600A">
      <w:pPr>
        <w:pStyle w:val="ListNumber2"/>
        <w:numPr>
          <w:ilvl w:val="1"/>
          <w:numId w:val="4"/>
        </w:numPr>
        <w:spacing w:before="120" w:after="0"/>
        <w:ind w:left="851" w:hanging="851"/>
        <w:rPr>
          <w:rFonts w:ascii="Calibri" w:eastAsia="Calibri" w:hAnsi="Calibri" w:cs="Calibri"/>
        </w:rPr>
      </w:pPr>
      <w:r w:rsidRPr="00207130">
        <w:rPr>
          <w:rFonts w:ascii="Calibri" w:eastAsia="Calibri" w:hAnsi="Calibri" w:cs="Calibri"/>
        </w:rPr>
        <w:t xml:space="preserve">The Committee notes, with approval, that this National Law is accompanied by a detailed and helpful explanatory statement that includes a discussion of human rights issues, by reference to the right to protection of the family and children, the right to privacy, rights in criminal proceedings and the right to work, protected by sections 11, 12, 22 and 27B of the </w:t>
      </w:r>
      <w:r w:rsidRPr="00207130">
        <w:rPr>
          <w:rFonts w:ascii="Calibri" w:eastAsia="Calibri" w:hAnsi="Calibri" w:cs="Calibri"/>
          <w:i/>
          <w:iCs/>
        </w:rPr>
        <w:t>Human Rights Act 2004</w:t>
      </w:r>
      <w:r w:rsidRPr="00207130">
        <w:rPr>
          <w:rFonts w:ascii="Calibri" w:eastAsia="Calibri" w:hAnsi="Calibri" w:cs="Calibri"/>
        </w:rPr>
        <w:t>, respectively.  The right to protection of the family and children is promoted.</w:t>
      </w:r>
    </w:p>
    <w:p w14:paraId="378E622A" w14:textId="77777777" w:rsidR="00207130" w:rsidRPr="00207130" w:rsidRDefault="00207130" w:rsidP="00A1600A">
      <w:pPr>
        <w:pStyle w:val="ListNumber2"/>
        <w:numPr>
          <w:ilvl w:val="1"/>
          <w:numId w:val="4"/>
        </w:numPr>
        <w:spacing w:before="120" w:after="0"/>
        <w:ind w:left="851" w:hanging="851"/>
        <w:rPr>
          <w:rFonts w:ascii="Calibri" w:eastAsia="Calibri" w:hAnsi="Calibri" w:cs="Calibri"/>
        </w:rPr>
      </w:pPr>
      <w:r w:rsidRPr="00207130">
        <w:rPr>
          <w:rFonts w:ascii="Calibri" w:eastAsia="Calibri" w:hAnsi="Calibri" w:cs="Calibri"/>
        </w:rPr>
        <w:t>The right to privacy is engaged because the amendments made by the National Law …</w:t>
      </w:r>
    </w:p>
    <w:p w14:paraId="6C58AD90" w14:textId="77777777" w:rsidR="00207130" w:rsidRPr="00207130" w:rsidRDefault="00207130" w:rsidP="00A1600A">
      <w:pPr>
        <w:pStyle w:val="Quote"/>
      </w:pPr>
      <w:r w:rsidRPr="00207130">
        <w:t xml:space="preserve"> … support the establishment of a National Early Childhood Worker Register (National Register), to be created and maintained by the National Authority. The National Register will contain personal information about nominated supervisors, staff members and volunteers, including names, dates of birth, qualification, and employment details. This information will be uploaded to the National Register by approved providers and will be accessible by the National Authority and Regulatory Authorities.  Approved providers will be able to access the National Register to the extent that it applies to services they operate.</w:t>
      </w:r>
    </w:p>
    <w:p w14:paraId="21075205" w14:textId="77777777" w:rsidR="00207130" w:rsidRPr="00207130" w:rsidRDefault="00207130" w:rsidP="00A1600A">
      <w:pPr>
        <w:pStyle w:val="ListNumber2"/>
        <w:numPr>
          <w:ilvl w:val="1"/>
          <w:numId w:val="4"/>
        </w:numPr>
        <w:spacing w:before="120" w:after="0"/>
        <w:ind w:left="851" w:hanging="851"/>
        <w:rPr>
          <w:rFonts w:ascii="Calibri" w:eastAsia="Calibri" w:hAnsi="Calibri" w:cs="Calibri"/>
        </w:rPr>
      </w:pPr>
      <w:r w:rsidRPr="00207130">
        <w:rPr>
          <w:rFonts w:ascii="Calibri" w:eastAsia="Calibri" w:hAnsi="Calibri" w:cs="Calibri"/>
        </w:rPr>
        <w:lastRenderedPageBreak/>
        <w:t>The justification given in the explanatory statement is …</w:t>
      </w:r>
    </w:p>
    <w:p w14:paraId="30E24217" w14:textId="77777777" w:rsidR="00207130" w:rsidRPr="00207130" w:rsidRDefault="00207130" w:rsidP="00911F03">
      <w:pPr>
        <w:pStyle w:val="Quote"/>
        <w:spacing w:before="120" w:after="0"/>
      </w:pPr>
      <w:r w:rsidRPr="00207130">
        <w:t xml:space="preserve"> … to better facilitate information sharing amongst specified government entities, including Regulatory Authorities and Working with Children Check agencies, within and across jurisdictions. Effective information sharing is essential for managing risk posed by individuals who are not safe or need additional training to be working with children. The National Register will also facilitate monitoring of potentially unsafe individuals moving between services and participating jurisdictions. It supports child safety and risk management by ensuring that workforce safety requirements, such as training, qualifications and relevant registration status, are recorded and kept up to date.</w:t>
      </w:r>
    </w:p>
    <w:p w14:paraId="730E2FA3" w14:textId="77777777" w:rsidR="00207130" w:rsidRPr="00207130" w:rsidRDefault="00207130" w:rsidP="00A1600A">
      <w:pPr>
        <w:pStyle w:val="ListNumber2"/>
        <w:numPr>
          <w:ilvl w:val="1"/>
          <w:numId w:val="4"/>
        </w:numPr>
        <w:spacing w:before="120" w:after="0"/>
        <w:ind w:left="851" w:hanging="851"/>
        <w:rPr>
          <w:rFonts w:ascii="Calibri" w:eastAsia="Calibri" w:hAnsi="Calibri" w:cs="Calibri"/>
        </w:rPr>
      </w:pPr>
      <w:r w:rsidRPr="00207130">
        <w:rPr>
          <w:rFonts w:ascii="Calibri" w:eastAsia="Calibri" w:hAnsi="Calibri" w:cs="Calibri"/>
        </w:rPr>
        <w:t>The explanatory statement also notes:</w:t>
      </w:r>
    </w:p>
    <w:p w14:paraId="024684C4" w14:textId="77777777" w:rsidR="00207130" w:rsidRPr="00207130" w:rsidRDefault="00207130" w:rsidP="00911F03">
      <w:pPr>
        <w:pStyle w:val="Quote"/>
        <w:spacing w:before="120" w:after="0"/>
      </w:pPr>
      <w:r w:rsidRPr="00207130">
        <w:t xml:space="preserve">Information can only be used and shared for specified purposes, with the </w:t>
      </w:r>
      <w:r w:rsidRPr="00207130">
        <w:rPr>
          <w:i/>
          <w:iCs/>
        </w:rPr>
        <w:t>Privacy Act 1988</w:t>
      </w:r>
      <w:r w:rsidRPr="00207130">
        <w:t xml:space="preserve"> (</w:t>
      </w:r>
      <w:proofErr w:type="spellStart"/>
      <w:r w:rsidRPr="00207130">
        <w:t>Cth</w:t>
      </w:r>
      <w:proofErr w:type="spellEnd"/>
      <w:r w:rsidRPr="00207130">
        <w:t xml:space="preserve">) applying, and offences in place for unlawful disclosure. The National Authority requires access to the personal information </w:t>
      </w:r>
      <w:proofErr w:type="gramStart"/>
      <w:r w:rsidRPr="00207130">
        <w:t>in order to</w:t>
      </w:r>
      <w:proofErr w:type="gramEnd"/>
      <w:r w:rsidRPr="00207130">
        <w:t xml:space="preserve"> establish and maintain the National Register.</w:t>
      </w:r>
    </w:p>
    <w:p w14:paraId="6660131D" w14:textId="77777777" w:rsidR="00207130" w:rsidRPr="00207130" w:rsidRDefault="00207130" w:rsidP="00A1600A">
      <w:pPr>
        <w:pStyle w:val="ListNumber2"/>
        <w:numPr>
          <w:ilvl w:val="1"/>
          <w:numId w:val="4"/>
        </w:numPr>
        <w:spacing w:before="120" w:after="0"/>
        <w:ind w:left="851" w:hanging="851"/>
        <w:rPr>
          <w:rFonts w:ascii="Calibri" w:eastAsia="Calibri" w:hAnsi="Calibri" w:cs="Calibri"/>
        </w:rPr>
      </w:pPr>
      <w:r w:rsidRPr="00207130">
        <w:rPr>
          <w:rFonts w:ascii="Calibri" w:eastAsia="Calibri" w:hAnsi="Calibri" w:cs="Calibri"/>
        </w:rPr>
        <w:t>The explanatory statement goes on:</w:t>
      </w:r>
    </w:p>
    <w:p w14:paraId="0ECA3D6C" w14:textId="77777777" w:rsidR="00207130" w:rsidRPr="00207130" w:rsidRDefault="00207130" w:rsidP="00911F03">
      <w:pPr>
        <w:pStyle w:val="Quote"/>
        <w:spacing w:before="120" w:after="0"/>
      </w:pPr>
      <w:r w:rsidRPr="00207130">
        <w:t>The information in the National Register is already accessible by Regulatory Authorities under existing provisions, but this does not facilitate monitoring of high-risk individuals who may move across services and jurisdictions, including individuals subject to enforcement action. Including this information in the National Register is the only reasonable way to enable Regulatory Authorities to access essential information promptly, and share with relevant agencies, such as Working with Children Check agencies, to manage risk to children.</w:t>
      </w:r>
    </w:p>
    <w:p w14:paraId="7FA30257" w14:textId="68B66A56" w:rsidR="00207130" w:rsidRPr="00207130" w:rsidRDefault="00207130" w:rsidP="00A1600A">
      <w:pPr>
        <w:pStyle w:val="ListNumber2"/>
        <w:numPr>
          <w:ilvl w:val="1"/>
          <w:numId w:val="4"/>
        </w:numPr>
        <w:spacing w:before="120" w:after="0"/>
        <w:ind w:left="851" w:hanging="851"/>
        <w:rPr>
          <w:rFonts w:ascii="Calibri" w:eastAsia="Calibri" w:hAnsi="Calibri" w:cs="Calibri"/>
        </w:rPr>
      </w:pPr>
      <w:r w:rsidRPr="00207130">
        <w:rPr>
          <w:rFonts w:ascii="Calibri" w:eastAsia="Calibri" w:hAnsi="Calibri" w:cs="Calibri"/>
        </w:rPr>
        <w:t xml:space="preserve">In relation to the rights in criminal proceedings, the explanatory statement </w:t>
      </w:r>
      <w:r w:rsidR="00906EE7">
        <w:rPr>
          <w:rFonts w:ascii="Calibri" w:eastAsia="Calibri" w:hAnsi="Calibri" w:cs="Calibri"/>
        </w:rPr>
        <w:t xml:space="preserve">notes </w:t>
      </w:r>
      <w:r w:rsidRPr="00207130">
        <w:rPr>
          <w:rFonts w:ascii="Calibri" w:eastAsia="Calibri" w:hAnsi="Calibri" w:cs="Calibri"/>
        </w:rPr>
        <w:t xml:space="preserve">that, under section 22 of the Human Rights Act, everyone has the right to be presumed innocent until proved guilty according to law.  The explanatory statement notes that new clauses 5, 41, 59 and 60 create new strict liability offences for approved providers. </w:t>
      </w:r>
    </w:p>
    <w:p w14:paraId="2B9DC6F5" w14:textId="77777777" w:rsidR="00207130" w:rsidRPr="00207130" w:rsidRDefault="00207130" w:rsidP="00A1600A">
      <w:pPr>
        <w:pStyle w:val="ListNumber2"/>
        <w:numPr>
          <w:ilvl w:val="1"/>
          <w:numId w:val="4"/>
        </w:numPr>
        <w:spacing w:before="120" w:after="0"/>
        <w:ind w:left="851" w:hanging="851"/>
        <w:rPr>
          <w:rFonts w:ascii="Calibri" w:eastAsia="Calibri" w:hAnsi="Calibri" w:cs="Calibri"/>
        </w:rPr>
      </w:pPr>
      <w:r w:rsidRPr="00207130">
        <w:rPr>
          <w:rFonts w:ascii="Calibri" w:eastAsia="Calibri" w:hAnsi="Calibri" w:cs="Calibri"/>
        </w:rPr>
        <w:t>The explanatory statement goes on:</w:t>
      </w:r>
    </w:p>
    <w:p w14:paraId="5EE66883" w14:textId="77777777" w:rsidR="00207130" w:rsidRPr="00207130" w:rsidRDefault="00207130" w:rsidP="00A1600A">
      <w:pPr>
        <w:pStyle w:val="Quote"/>
      </w:pPr>
      <w:r w:rsidRPr="00207130">
        <w:t>These changes have been made to improve consistency within the National Regulations to ensure that, where appropriate, regulatory requirements have penalties attached, to align with other similar offences.</w:t>
      </w:r>
    </w:p>
    <w:p w14:paraId="48445CAE" w14:textId="77777777" w:rsidR="00207130" w:rsidRPr="00207130" w:rsidRDefault="00207130" w:rsidP="00A1600A">
      <w:pPr>
        <w:pStyle w:val="ListNumber2"/>
        <w:numPr>
          <w:ilvl w:val="1"/>
          <w:numId w:val="4"/>
        </w:numPr>
        <w:spacing w:before="120" w:after="0"/>
        <w:ind w:left="851" w:hanging="851"/>
        <w:rPr>
          <w:rFonts w:ascii="Calibri" w:eastAsia="Calibri" w:hAnsi="Calibri" w:cs="Calibri"/>
        </w:rPr>
      </w:pPr>
      <w:r w:rsidRPr="00207130">
        <w:rPr>
          <w:rFonts w:ascii="Calibri" w:eastAsia="Calibri" w:hAnsi="Calibri" w:cs="Calibri"/>
        </w:rPr>
        <w:t xml:space="preserve">After discussing the </w:t>
      </w:r>
      <w:proofErr w:type="gramStart"/>
      <w:r w:rsidRPr="00207130">
        <w:rPr>
          <w:rFonts w:ascii="Calibri" w:eastAsia="Calibri" w:hAnsi="Calibri" w:cs="Calibri"/>
        </w:rPr>
        <w:t>particular legislative</w:t>
      </w:r>
      <w:proofErr w:type="gramEnd"/>
      <w:r w:rsidRPr="00207130">
        <w:rPr>
          <w:rFonts w:ascii="Calibri" w:eastAsia="Calibri" w:hAnsi="Calibri" w:cs="Calibri"/>
        </w:rPr>
        <w:t xml:space="preserve"> requirements imposed, the explanatory statement states:</w:t>
      </w:r>
    </w:p>
    <w:p w14:paraId="01A4590E" w14:textId="77777777" w:rsidR="00207130" w:rsidRPr="00207130" w:rsidRDefault="00207130" w:rsidP="00911F03">
      <w:pPr>
        <w:pStyle w:val="Quote"/>
        <w:spacing w:before="120" w:after="0"/>
      </w:pPr>
      <w:r w:rsidRPr="00207130">
        <w:t>It is [the Education Ministers Meeting’s] intention that all offences set out in the National Law and Regulations are strict liability. This includes the offences set out in the Further Amendment Regulations. However, the ultimate arbiter of the characterisation of the offence will be a relevant Court. Therefore, a presumption exists that all offences under the National Law are interpreted as strict liability, unless determined otherwise.</w:t>
      </w:r>
    </w:p>
    <w:p w14:paraId="18F91966" w14:textId="77777777" w:rsidR="00207130" w:rsidRPr="00207130" w:rsidRDefault="00207130" w:rsidP="00911F03">
      <w:pPr>
        <w:pStyle w:val="Quote"/>
        <w:spacing w:before="120" w:after="0"/>
      </w:pPr>
      <w:r w:rsidRPr="00207130">
        <w:t>An accepted argument against a limitation of human rights in the context of strict liability offences is that strict liability offences are crafted to address unlawful behaviour in a context where the person or entity knows, or ought to know, their legal obligations.</w:t>
      </w:r>
    </w:p>
    <w:p w14:paraId="27501115" w14:textId="77777777" w:rsidR="00207130" w:rsidRPr="00207130" w:rsidRDefault="00207130" w:rsidP="00A1600A">
      <w:pPr>
        <w:pStyle w:val="Quote"/>
      </w:pPr>
      <w:r w:rsidRPr="00207130">
        <w:lastRenderedPageBreak/>
        <w:t xml:space="preserve">This concept, known as the licensing concept or approach, is discussed by Cory J (judgment of L’Heureux-Dube and Cory JJ) in </w:t>
      </w:r>
      <w:r w:rsidRPr="00207130">
        <w:rPr>
          <w:i/>
          <w:iCs/>
        </w:rPr>
        <w:t>R v Wholesale Travel Group Inc</w:t>
      </w:r>
      <w:r w:rsidRPr="00207130">
        <w:t xml:space="preserve"> [1991] 3 SCR 154 at [55]:</w:t>
      </w:r>
    </w:p>
    <w:p w14:paraId="45AC2C5B" w14:textId="77777777" w:rsidR="00207130" w:rsidRPr="00207130" w:rsidRDefault="00207130" w:rsidP="00A1600A">
      <w:pPr>
        <w:pStyle w:val="Quote"/>
        <w:ind w:left="1560"/>
      </w:pPr>
      <w:r w:rsidRPr="00207130">
        <w:t>The licensing concept rests on the view that those who choose to participate in regulated activities have, in doing so, placed themselves in a responsible relationship to the public generally and must accept the consequences of that responsibility. Therefore, it is said, those who engage in regulated activity should, as part of the burden of Responsible conduct attending participation in the regulated field, be deemed to have accepted certain terms and conditions applicable to those who act within the regulated sphere. Foremost among these implied terms is an undertaking that the conduct of the regulated actor will comply with and maintain a certain minimum standard of care. [p. 93]</w:t>
      </w:r>
    </w:p>
    <w:p w14:paraId="792E7975" w14:textId="77777777" w:rsidR="00207130" w:rsidRPr="00207130" w:rsidRDefault="00207130" w:rsidP="00A1600A">
      <w:pPr>
        <w:pStyle w:val="Quote"/>
      </w:pPr>
      <w:r w:rsidRPr="00207130">
        <w:t xml:space="preserve">The new offences in [this National Law] will apply to approved providers who are regulated under the National Law. Approved providers seeking to be involved in the [early childhood education and care - </w:t>
      </w:r>
      <w:r w:rsidRPr="00207130">
        <w:rPr>
          <w:b/>
        </w:rPr>
        <w:t>ECEC</w:t>
      </w:r>
      <w:r w:rsidRPr="00207130">
        <w:t>] sector must apply for approval under the Education and Care National Law, they are assessed for fitness and propriety, must be appropriately qualified where relevant and are obliged to familiarise themselves with their obligations under the National Law. Once approved they are deemed to have agreed with the obligations and liabilities of the law. This includes enforcement action by the regulatory authority when approved providers fail to meet their obligations. Particularly when this puts children at risk.</w:t>
      </w:r>
    </w:p>
    <w:p w14:paraId="06F6704C" w14:textId="77777777" w:rsidR="00207130" w:rsidRPr="00207130" w:rsidRDefault="00207130" w:rsidP="00A1600A">
      <w:pPr>
        <w:pStyle w:val="Quote"/>
      </w:pPr>
      <w:r w:rsidRPr="00207130">
        <w:t>There is a community expectation that the education and care of children is closely monitored and proactively regulated.</w:t>
      </w:r>
    </w:p>
    <w:p w14:paraId="373ED193" w14:textId="77777777" w:rsidR="00207130" w:rsidRPr="00207130" w:rsidRDefault="00207130" w:rsidP="00A1600A">
      <w:pPr>
        <w:pStyle w:val="ListNumber2"/>
        <w:numPr>
          <w:ilvl w:val="1"/>
          <w:numId w:val="4"/>
        </w:numPr>
        <w:spacing w:before="120" w:after="0"/>
        <w:ind w:left="851" w:hanging="851"/>
        <w:rPr>
          <w:rFonts w:ascii="Calibri" w:eastAsia="Calibri" w:hAnsi="Calibri" w:cs="Calibri"/>
        </w:rPr>
      </w:pPr>
      <w:r w:rsidRPr="00207130">
        <w:rPr>
          <w:rFonts w:ascii="Calibri" w:eastAsia="Calibri" w:hAnsi="Calibri" w:cs="Calibri"/>
        </w:rPr>
        <w:t>The discussion in the explanatory statement concludes:</w:t>
      </w:r>
    </w:p>
    <w:p w14:paraId="7FFAD68E" w14:textId="6B33D957" w:rsidR="00207130" w:rsidRPr="00207130" w:rsidRDefault="00207130" w:rsidP="00A1600A">
      <w:pPr>
        <w:pStyle w:val="Quote"/>
      </w:pPr>
      <w:r w:rsidRPr="00207130">
        <w:t xml:space="preserve">The new penalty offences relate to existing regulatory requirements which approved providers should be </w:t>
      </w:r>
      <w:proofErr w:type="gramStart"/>
      <w:r w:rsidRPr="00207130">
        <w:t>well aware</w:t>
      </w:r>
      <w:proofErr w:type="gramEnd"/>
      <w:r w:rsidRPr="00207130">
        <w:t xml:space="preserve"> of. The strict liability offences meet a</w:t>
      </w:r>
      <w:r w:rsidR="00ED198F">
        <w:t> </w:t>
      </w:r>
      <w:r w:rsidRPr="00207130">
        <w:t>legitimate aim, namely the protection of the safety, health and wellbeing of children attending education and care services. The offences apply to approved providers rather than individuals and are proportionate in the context of the high degree of knowledge expected of participants in the ECEC sector.</w:t>
      </w:r>
    </w:p>
    <w:p w14:paraId="550603D7" w14:textId="77777777" w:rsidR="00207130" w:rsidRPr="00207130" w:rsidRDefault="00207130" w:rsidP="00A1600A">
      <w:pPr>
        <w:pStyle w:val="Quote"/>
      </w:pPr>
      <w:r w:rsidRPr="00207130">
        <w:t>Additionally, all statutory enforcement actions are subject to review rights and, where appropriate, show cause processes.</w:t>
      </w:r>
    </w:p>
    <w:p w14:paraId="62CE2B7E" w14:textId="77777777" w:rsidR="00207130" w:rsidRPr="00207130" w:rsidRDefault="00207130" w:rsidP="00A1600A">
      <w:pPr>
        <w:pStyle w:val="ListNumber2"/>
        <w:numPr>
          <w:ilvl w:val="1"/>
          <w:numId w:val="4"/>
        </w:numPr>
        <w:spacing w:before="120" w:after="0"/>
        <w:ind w:left="851" w:hanging="851"/>
        <w:rPr>
          <w:rFonts w:ascii="Calibri" w:eastAsia="Calibri" w:hAnsi="Calibri" w:cs="Calibri"/>
        </w:rPr>
      </w:pPr>
      <w:r w:rsidRPr="00207130">
        <w:rPr>
          <w:rFonts w:ascii="Calibri" w:eastAsia="Calibri" w:hAnsi="Calibri" w:cs="Calibri"/>
        </w:rPr>
        <w:t>In relation to the right to work, the explanatory statement states:</w:t>
      </w:r>
    </w:p>
    <w:p w14:paraId="1A675931" w14:textId="095B3F1D" w:rsidR="00207130" w:rsidRPr="00207130" w:rsidRDefault="00207130" w:rsidP="00A1600A">
      <w:pPr>
        <w:pStyle w:val="Quote"/>
      </w:pPr>
      <w:r w:rsidRPr="00207130">
        <w:t>The right to work and other work-related rights provides that everyone has the right to work, including the right to choose their occupation or profession freely, and is entitled to enjoy those rights without discrimination. The Register may also limit the right to work as the information updated may affect whether a person is able to work in an education and care service. If the information shows that a</w:t>
      </w:r>
      <w:r w:rsidR="00ED198F">
        <w:t> </w:t>
      </w:r>
      <w:r w:rsidRPr="00207130">
        <w:t>requirement has expired or is not up to date, the individual should not be rostered until the requirement is met.</w:t>
      </w:r>
    </w:p>
    <w:p w14:paraId="09D56D2B" w14:textId="77777777" w:rsidR="00207130" w:rsidRPr="00207130" w:rsidRDefault="00207130" w:rsidP="00A1600A">
      <w:pPr>
        <w:pStyle w:val="ListNumber2"/>
        <w:numPr>
          <w:ilvl w:val="1"/>
          <w:numId w:val="4"/>
        </w:numPr>
        <w:spacing w:before="120" w:after="0"/>
        <w:ind w:left="851" w:hanging="851"/>
        <w:rPr>
          <w:rFonts w:ascii="Calibri" w:eastAsia="Calibri" w:hAnsi="Calibri" w:cs="Calibri"/>
        </w:rPr>
      </w:pPr>
      <w:r w:rsidRPr="00207130">
        <w:rPr>
          <w:rFonts w:ascii="Calibri" w:eastAsia="Calibri" w:hAnsi="Calibri" w:cs="Calibri"/>
        </w:rPr>
        <w:lastRenderedPageBreak/>
        <w:t>The explanatory statement does not directly provide a justification for the limitation of the right to work but the justification is implicit in the statement that the effect of the National Register will “facilitate monitoring of potentially unsafe individuals moving between services and participating jurisdictions. It supports child safety and risk management by ensuring that workforce safety requirements, such as training, qualifications and relevant registration status, are recorded and kept up to date.”</w:t>
      </w:r>
    </w:p>
    <w:p w14:paraId="5BC9BF38" w14:textId="77777777" w:rsidR="00207130" w:rsidRPr="00207130" w:rsidRDefault="00207130" w:rsidP="00A1600A">
      <w:pPr>
        <w:pStyle w:val="ListNumber2"/>
        <w:numPr>
          <w:ilvl w:val="1"/>
          <w:numId w:val="4"/>
        </w:numPr>
        <w:spacing w:before="120" w:after="0"/>
        <w:ind w:left="851" w:hanging="851"/>
        <w:rPr>
          <w:rFonts w:ascii="Calibri" w:eastAsia="Times New Roman" w:hAnsi="Calibri" w:cs="Calibri"/>
          <w:b/>
          <w:lang w:eastAsia="en-AU"/>
        </w:rPr>
      </w:pPr>
      <w:r w:rsidRPr="00207130">
        <w:rPr>
          <w:rFonts w:ascii="Calibri" w:eastAsia="Times New Roman" w:hAnsi="Calibri" w:cs="Calibri"/>
          <w:b/>
          <w:lang w:eastAsia="en-AU"/>
        </w:rPr>
        <w:t>The Committee draws the attention of the Legislative Assembly to the discussion of human rights issues in the explanatory statement for this National Law.</w:t>
      </w:r>
    </w:p>
    <w:p w14:paraId="65B9B4D0" w14:textId="77777777" w:rsidR="00207130" w:rsidRPr="00207130" w:rsidRDefault="00207130" w:rsidP="00A1600A">
      <w:pPr>
        <w:pStyle w:val="ListNumber2"/>
        <w:numPr>
          <w:ilvl w:val="1"/>
          <w:numId w:val="4"/>
        </w:numPr>
        <w:spacing w:before="120" w:after="0"/>
        <w:ind w:left="851" w:hanging="851"/>
        <w:rPr>
          <w:rFonts w:ascii="Calibri" w:eastAsia="Times New Roman" w:hAnsi="Calibri" w:cs="Calibri"/>
          <w:b/>
          <w:lang w:eastAsia="en-AU"/>
        </w:rPr>
      </w:pPr>
      <w:r w:rsidRPr="00207130">
        <w:rPr>
          <w:rFonts w:ascii="Calibri" w:eastAsia="Times New Roman" w:hAnsi="Calibri" w:cs="Calibri"/>
          <w:b/>
          <w:lang w:eastAsia="en-AU"/>
        </w:rPr>
        <w:t>This comment does not require a response from the Minister.</w:t>
      </w:r>
    </w:p>
    <w:p w14:paraId="2C5D319F" w14:textId="63786912" w:rsidR="00511B62" w:rsidRDefault="00911F03" w:rsidP="00911F03">
      <w:pPr>
        <w:pStyle w:val="Heading20"/>
        <w:rPr>
          <w:rFonts w:eastAsia="Calibri"/>
        </w:rPr>
      </w:pPr>
      <w:bookmarkStart w:id="131" w:name="_Toc227841492"/>
      <w:bookmarkEnd w:id="130"/>
      <w:r>
        <w:rPr>
          <w:rFonts w:eastAsia="Calibri"/>
        </w:rPr>
        <w:t>Government response</w:t>
      </w:r>
      <w:r w:rsidRPr="00B60EE2">
        <w:rPr>
          <w:rFonts w:eastAsia="Calibri"/>
        </w:rPr>
        <w:t>—</w:t>
      </w:r>
      <w:r w:rsidR="00511B62">
        <w:rPr>
          <w:rFonts w:eastAsia="Calibri"/>
        </w:rPr>
        <w:t>Comment</w:t>
      </w:r>
      <w:bookmarkEnd w:id="131"/>
    </w:p>
    <w:p w14:paraId="4766D077" w14:textId="77777777" w:rsidR="00511B62" w:rsidRPr="00880E55" w:rsidRDefault="00511B62" w:rsidP="00511B62">
      <w:pPr>
        <w:numPr>
          <w:ilvl w:val="0"/>
          <w:numId w:val="8"/>
        </w:numPr>
        <w:spacing w:before="120" w:after="0"/>
        <w:ind w:left="1208" w:hanging="357"/>
        <w:rPr>
          <w:rFonts w:eastAsia="Times New Roman"/>
          <w:b/>
        </w:rPr>
      </w:pPr>
      <w:r w:rsidRPr="00880E55">
        <w:rPr>
          <w:rFonts w:eastAsia="Times New Roman"/>
          <w:b/>
        </w:rPr>
        <w:t xml:space="preserve">Subordinate Law SL2026-1 being the Legal Profession (Barristers) Rules 2026 made under subsection 579(1) of the </w:t>
      </w:r>
      <w:r w:rsidRPr="00880E55">
        <w:rPr>
          <w:rFonts w:eastAsia="Times New Roman"/>
          <w:i/>
        </w:rPr>
        <w:t>Legal Profession Act 2006</w:t>
      </w:r>
      <w:r w:rsidRPr="00880E55">
        <w:rPr>
          <w:rFonts w:eastAsia="Times New Roman"/>
          <w:b/>
        </w:rPr>
        <w:t xml:space="preserve"> revokes SL2021-5 and makes the Legal Profession (Barristers) Rules. </w:t>
      </w:r>
    </w:p>
    <w:p w14:paraId="482CB2A4" w14:textId="1A8D72B9" w:rsidR="00073FC9" w:rsidRPr="00073FC9" w:rsidRDefault="00073FC9" w:rsidP="00073FC9">
      <w:pPr>
        <w:pStyle w:val="ListNumber2"/>
        <w:numPr>
          <w:ilvl w:val="1"/>
          <w:numId w:val="4"/>
        </w:numPr>
        <w:spacing w:before="120" w:after="0"/>
        <w:ind w:left="851" w:hanging="851"/>
        <w:rPr>
          <w:rFonts w:ascii="Calibri" w:eastAsia="Calibri" w:hAnsi="Calibri" w:cs="Calibri"/>
        </w:rPr>
      </w:pPr>
      <w:r w:rsidRPr="00073FC9">
        <w:rPr>
          <w:rFonts w:ascii="Calibri" w:eastAsia="Calibri" w:hAnsi="Calibri" w:cs="Calibri"/>
        </w:rPr>
        <w:t xml:space="preserve">The Committee commented on this subordinate law in </w:t>
      </w:r>
      <w:r w:rsidRPr="00073FC9">
        <w:rPr>
          <w:rFonts w:ascii="Calibri" w:eastAsia="Calibri" w:hAnsi="Calibri" w:cs="Calibri"/>
          <w:i/>
          <w:iCs/>
        </w:rPr>
        <w:t>Scrutiny Report 16</w:t>
      </w:r>
      <w:r w:rsidRPr="00073FC9">
        <w:rPr>
          <w:rFonts w:ascii="Calibri" w:eastAsia="Calibri" w:hAnsi="Calibri" w:cs="Calibri"/>
        </w:rPr>
        <w:t xml:space="preserve"> (10 March 2026).  The Committee noted that the explanatory statement for the subordinate law contained no discussion of possible human rights issues raised by the subordinate law, to assist the Committee in its (expanded) role under section 38 of the </w:t>
      </w:r>
      <w:r w:rsidRPr="00073FC9">
        <w:rPr>
          <w:rFonts w:ascii="Calibri" w:eastAsia="Calibri" w:hAnsi="Calibri" w:cs="Calibri"/>
          <w:i/>
          <w:iCs/>
        </w:rPr>
        <w:t>Human Rights Act 2004</w:t>
      </w:r>
      <w:r w:rsidRPr="00073FC9">
        <w:rPr>
          <w:rFonts w:ascii="Calibri" w:eastAsia="Calibri" w:hAnsi="Calibri" w:cs="Calibri"/>
        </w:rPr>
        <w:t xml:space="preserve">.  </w:t>
      </w:r>
    </w:p>
    <w:p w14:paraId="75CE1A30" w14:textId="5247E8CB" w:rsidR="00073FC9" w:rsidRPr="00073FC9" w:rsidRDefault="00073FC9" w:rsidP="00073FC9">
      <w:pPr>
        <w:pStyle w:val="ListNumber2"/>
        <w:numPr>
          <w:ilvl w:val="1"/>
          <w:numId w:val="4"/>
        </w:numPr>
        <w:spacing w:before="120" w:after="0"/>
        <w:ind w:left="851" w:hanging="851"/>
        <w:rPr>
          <w:rFonts w:ascii="Calibri" w:eastAsia="Calibri" w:hAnsi="Calibri" w:cs="Calibri"/>
        </w:rPr>
      </w:pPr>
      <w:r w:rsidRPr="00073FC9">
        <w:rPr>
          <w:rFonts w:ascii="Calibri" w:eastAsia="Calibri" w:hAnsi="Calibri" w:cs="Calibri"/>
        </w:rPr>
        <w:t>The Committee drew the attention of the Legislative Assembly to the subordinate law, under principle (10)(d) of the Committee’s resolution of appointment, on the basis that the explanatory statement for the instrument d</w:t>
      </w:r>
      <w:r w:rsidR="006723C9">
        <w:rPr>
          <w:rFonts w:ascii="Calibri" w:eastAsia="Calibri" w:hAnsi="Calibri" w:cs="Calibri"/>
        </w:rPr>
        <w:t>id</w:t>
      </w:r>
      <w:r w:rsidRPr="00073FC9">
        <w:rPr>
          <w:rFonts w:ascii="Calibri" w:eastAsia="Calibri" w:hAnsi="Calibri" w:cs="Calibri"/>
        </w:rPr>
        <w:t xml:space="preserve"> not meet the technical or stylistic standards expected by the Committee.</w:t>
      </w:r>
    </w:p>
    <w:p w14:paraId="7ECF90C1" w14:textId="16BA1C35" w:rsidR="00073FC9" w:rsidRPr="00073FC9" w:rsidRDefault="00073FC9" w:rsidP="00073FC9">
      <w:pPr>
        <w:pStyle w:val="ListNumber2"/>
        <w:numPr>
          <w:ilvl w:val="1"/>
          <w:numId w:val="4"/>
        </w:numPr>
        <w:spacing w:before="120" w:after="0"/>
        <w:ind w:left="851" w:hanging="851"/>
        <w:rPr>
          <w:rFonts w:ascii="Calibri" w:eastAsia="Calibri" w:hAnsi="Calibri" w:cs="Calibri"/>
        </w:rPr>
      </w:pPr>
      <w:r w:rsidRPr="00073FC9">
        <w:rPr>
          <w:rFonts w:ascii="Calibri" w:eastAsia="Calibri" w:hAnsi="Calibri" w:cs="Calibri"/>
        </w:rPr>
        <w:t xml:space="preserve">This comment required a response from the Minister, indicating that it would be grateful if the Minister could respond before the Legislative Assembly’s capacity to move to disallow the subordinate law expired. </w:t>
      </w:r>
    </w:p>
    <w:p w14:paraId="6F905DC0" w14:textId="153EDC8A" w:rsidR="00073FC9" w:rsidRDefault="00073FC9" w:rsidP="00073FC9">
      <w:pPr>
        <w:pStyle w:val="ListNumber2"/>
        <w:numPr>
          <w:ilvl w:val="1"/>
          <w:numId w:val="4"/>
        </w:numPr>
        <w:spacing w:before="120" w:after="0"/>
        <w:ind w:left="851" w:hanging="851"/>
        <w:rPr>
          <w:rFonts w:ascii="Calibri" w:eastAsia="Calibri" w:hAnsi="Calibri" w:cs="Calibri"/>
        </w:rPr>
      </w:pPr>
      <w:r>
        <w:rPr>
          <w:rFonts w:ascii="Calibri" w:eastAsia="Calibri" w:hAnsi="Calibri" w:cs="Calibri"/>
        </w:rPr>
        <w:t xml:space="preserve">After five sitting days elapsed following the presentation of </w:t>
      </w:r>
      <w:r w:rsidR="00540A22">
        <w:rPr>
          <w:rFonts w:ascii="Calibri" w:eastAsia="Calibri" w:hAnsi="Calibri" w:cs="Calibri"/>
        </w:rPr>
        <w:t>this subordinate law</w:t>
      </w:r>
      <w:r>
        <w:rPr>
          <w:rFonts w:ascii="Calibri" w:eastAsia="Calibri" w:hAnsi="Calibri" w:cs="Calibri"/>
        </w:rPr>
        <w:t xml:space="preserve"> in the Assembly and no response ha</w:t>
      </w:r>
      <w:r w:rsidR="00540A22">
        <w:rPr>
          <w:rFonts w:ascii="Calibri" w:eastAsia="Calibri" w:hAnsi="Calibri" w:cs="Calibri"/>
        </w:rPr>
        <w:t>d</w:t>
      </w:r>
      <w:r>
        <w:rPr>
          <w:rFonts w:ascii="Calibri" w:eastAsia="Calibri" w:hAnsi="Calibri" w:cs="Calibri"/>
        </w:rPr>
        <w:t xml:space="preserve"> been received by the Committee, on 23 March 2026</w:t>
      </w:r>
      <w:r w:rsidR="00540A22">
        <w:rPr>
          <w:rFonts w:ascii="Calibri" w:eastAsia="Calibri" w:hAnsi="Calibri" w:cs="Calibri"/>
        </w:rPr>
        <w:t>,</w:t>
      </w:r>
      <w:r>
        <w:rPr>
          <w:rFonts w:ascii="Calibri" w:eastAsia="Calibri" w:hAnsi="Calibri" w:cs="Calibri"/>
        </w:rPr>
        <w:t xml:space="preserve"> the Chair of the Committee lodged the following notice of motion to disallow</w:t>
      </w:r>
      <w:r w:rsidR="00ED198F">
        <w:rPr>
          <w:rFonts w:ascii="Calibri" w:eastAsia="Calibri" w:hAnsi="Calibri" w:cs="Calibri"/>
        </w:rPr>
        <w:t>:</w:t>
      </w:r>
      <w:r>
        <w:rPr>
          <w:rStyle w:val="FootnoteReference"/>
          <w:rFonts w:ascii="Calibri" w:eastAsia="Calibri" w:hAnsi="Calibri" w:cs="Calibri"/>
        </w:rPr>
        <w:footnoteReference w:id="8"/>
      </w:r>
    </w:p>
    <w:p w14:paraId="7BF13CE9" w14:textId="1E80E63E" w:rsidR="00073FC9" w:rsidRPr="00073FC9" w:rsidRDefault="00073FC9" w:rsidP="00073FC9">
      <w:pPr>
        <w:pStyle w:val="Quote"/>
        <w:ind w:left="1701" w:hanging="425"/>
      </w:pPr>
      <w:r w:rsidRPr="00073FC9">
        <w:t xml:space="preserve">*3 </w:t>
      </w:r>
      <w:r>
        <w:tab/>
      </w:r>
      <w:r w:rsidRPr="00073FC9">
        <w:t>MS BARRY: To move—That Subordinate Law SL2026-1 being the Legal Profession</w:t>
      </w:r>
      <w:r>
        <w:t xml:space="preserve"> </w:t>
      </w:r>
      <w:r w:rsidRPr="00073FC9">
        <w:t>(Barristers) Rules 2026, made pursuant to the Legal Profession Act 2006, be</w:t>
      </w:r>
      <w:r>
        <w:t xml:space="preserve"> </w:t>
      </w:r>
      <w:r w:rsidRPr="00073FC9">
        <w:t>disallowed. (Notice given 23 March 2026. Subordinate Law will be deemed to</w:t>
      </w:r>
      <w:r>
        <w:t xml:space="preserve"> </w:t>
      </w:r>
      <w:r w:rsidRPr="00073FC9">
        <w:t>have been disallowed unless disposed of within 6 sitting days, including today.).</w:t>
      </w:r>
    </w:p>
    <w:p w14:paraId="70BAC023" w14:textId="10561C94" w:rsidR="00073FC9" w:rsidRPr="00073FC9" w:rsidRDefault="00073FC9" w:rsidP="00073FC9">
      <w:pPr>
        <w:pStyle w:val="ListNumber2"/>
        <w:numPr>
          <w:ilvl w:val="1"/>
          <w:numId w:val="4"/>
        </w:numPr>
        <w:spacing w:before="120" w:after="0"/>
        <w:ind w:left="851" w:hanging="851"/>
        <w:rPr>
          <w:rFonts w:ascii="Calibri" w:eastAsia="Calibri" w:hAnsi="Calibri" w:cs="Calibri"/>
        </w:rPr>
      </w:pPr>
      <w:r w:rsidRPr="00073FC9">
        <w:rPr>
          <w:rFonts w:ascii="Calibri" w:eastAsia="Calibri" w:hAnsi="Calibri" w:cs="Calibri"/>
        </w:rPr>
        <w:t>The Attorney-General responded to the Committee on 21 April 2026.</w:t>
      </w:r>
      <w:r w:rsidR="003F39AA">
        <w:rPr>
          <w:rStyle w:val="FootnoteReference"/>
          <w:rFonts w:ascii="Calibri" w:eastAsia="Calibri" w:hAnsi="Calibri" w:cs="Calibri"/>
        </w:rPr>
        <w:footnoteReference w:id="9"/>
      </w:r>
      <w:r w:rsidRPr="00073FC9">
        <w:rPr>
          <w:rFonts w:ascii="Calibri" w:eastAsia="Calibri" w:hAnsi="Calibri" w:cs="Calibri"/>
        </w:rPr>
        <w:t xml:space="preserve">  The Attorney-General provided a revised explanatory statement for the subordinate law, prepared by the ACT Bar Association.</w:t>
      </w:r>
      <w:r w:rsidR="003F39AA" w:rsidRPr="003F39AA">
        <w:rPr>
          <w:rFonts w:eastAsia="Times New Roman" w:cs="Times New Roman"/>
          <w:bCs w:val="0"/>
          <w:color w:val="auto"/>
          <w:szCs w:val="22"/>
          <w:vertAlign w:val="superscript"/>
        </w:rPr>
        <w:t xml:space="preserve"> </w:t>
      </w:r>
      <w:r w:rsidR="003F39AA" w:rsidRPr="003F39AA">
        <w:rPr>
          <w:rFonts w:ascii="Calibri" w:eastAsia="Calibri" w:hAnsi="Calibri" w:cs="Calibri"/>
          <w:vertAlign w:val="superscript"/>
        </w:rPr>
        <w:footnoteReference w:id="10"/>
      </w:r>
      <w:r w:rsidRPr="00073FC9">
        <w:rPr>
          <w:rFonts w:ascii="Calibri" w:eastAsia="Calibri" w:hAnsi="Calibri" w:cs="Calibri"/>
        </w:rPr>
        <w:t xml:space="preserve"> The revised explanatory statement includes an assessment of human rights protected by the </w:t>
      </w:r>
      <w:r w:rsidRPr="00073FC9">
        <w:rPr>
          <w:rFonts w:ascii="Calibri" w:eastAsia="Calibri" w:hAnsi="Calibri" w:cs="Calibri"/>
          <w:i/>
          <w:iCs/>
        </w:rPr>
        <w:t>Human Rights Act 2004</w:t>
      </w:r>
      <w:r w:rsidRPr="00073FC9">
        <w:rPr>
          <w:rFonts w:ascii="Calibri" w:eastAsia="Calibri" w:hAnsi="Calibri" w:cs="Calibri"/>
        </w:rPr>
        <w:t>.</w:t>
      </w:r>
    </w:p>
    <w:p w14:paraId="4769E48B" w14:textId="77777777" w:rsidR="00073FC9" w:rsidRPr="00073FC9" w:rsidRDefault="00073FC9" w:rsidP="00073FC9">
      <w:pPr>
        <w:pStyle w:val="ListNumber2"/>
        <w:numPr>
          <w:ilvl w:val="1"/>
          <w:numId w:val="4"/>
        </w:numPr>
        <w:spacing w:before="120" w:after="0"/>
        <w:ind w:left="851" w:hanging="851"/>
        <w:rPr>
          <w:rFonts w:ascii="Calibri" w:eastAsia="Calibri" w:hAnsi="Calibri" w:cs="Calibri"/>
        </w:rPr>
      </w:pPr>
      <w:r w:rsidRPr="00073FC9">
        <w:rPr>
          <w:rFonts w:ascii="Calibri" w:eastAsia="Calibri" w:hAnsi="Calibri" w:cs="Calibri"/>
        </w:rPr>
        <w:lastRenderedPageBreak/>
        <w:t>The Attorney-General’s response states:</w:t>
      </w:r>
    </w:p>
    <w:p w14:paraId="44717CA4" w14:textId="77777777" w:rsidR="00073FC9" w:rsidRPr="00073FC9" w:rsidRDefault="00073FC9" w:rsidP="003F39AA">
      <w:pPr>
        <w:pStyle w:val="Quote"/>
        <w:spacing w:before="120" w:after="0"/>
      </w:pPr>
      <w:r w:rsidRPr="00073FC9">
        <w:t xml:space="preserve">Due to the operation of section 142 of the </w:t>
      </w:r>
      <w:r w:rsidRPr="00073FC9">
        <w:rPr>
          <w:i/>
          <w:iCs/>
        </w:rPr>
        <w:t>Legislation Act 2001</w:t>
      </w:r>
      <w:r w:rsidRPr="00073FC9">
        <w:t xml:space="preserve"> and time that has passed since notification of the Barristers Rules, the revised explanatory statement cannot be published on the ACT Legislation Register. </w:t>
      </w:r>
    </w:p>
    <w:p w14:paraId="50C778BE" w14:textId="77777777" w:rsidR="00073FC9" w:rsidRPr="00073FC9" w:rsidRDefault="00073FC9" w:rsidP="00073FC9">
      <w:pPr>
        <w:pStyle w:val="ListNumber2"/>
        <w:numPr>
          <w:ilvl w:val="1"/>
          <w:numId w:val="4"/>
        </w:numPr>
        <w:spacing w:before="120" w:after="0"/>
        <w:ind w:left="851" w:hanging="851"/>
        <w:rPr>
          <w:rFonts w:ascii="Calibri" w:eastAsia="Calibri" w:hAnsi="Calibri" w:cs="Calibri"/>
        </w:rPr>
      </w:pPr>
      <w:r w:rsidRPr="00073FC9">
        <w:rPr>
          <w:rFonts w:ascii="Calibri" w:eastAsia="Calibri" w:hAnsi="Calibri" w:cs="Calibri"/>
        </w:rPr>
        <w:t>The response goes on:</w:t>
      </w:r>
    </w:p>
    <w:p w14:paraId="0F6FF0B6" w14:textId="77777777" w:rsidR="00073FC9" w:rsidRPr="00073FC9" w:rsidRDefault="00073FC9" w:rsidP="003F39AA">
      <w:pPr>
        <w:pStyle w:val="Quote"/>
        <w:spacing w:before="120" w:after="0"/>
        <w:rPr>
          <w:rFonts w:ascii="Calibri" w:eastAsia="Calibri" w:hAnsi="Calibri" w:cs="Calibri"/>
        </w:rPr>
      </w:pPr>
      <w:r w:rsidRPr="00073FC9">
        <w:rPr>
          <w:rFonts w:ascii="Calibri" w:eastAsia="Calibri" w:hAnsi="Calibri" w:cs="Calibri"/>
        </w:rPr>
        <w:t>I request that the Committee consider publishing the revised explanatory statement on its website to support transparency and public accessibility. Subject to your agreement, the Justice and Community Safety Directorate will arrange for the Parliamentary Counsel’s Office to make a link to the relevant Assembly website page available from the Register.</w:t>
      </w:r>
    </w:p>
    <w:p w14:paraId="1F03A896" w14:textId="547227DE" w:rsidR="00511B62" w:rsidRDefault="00073FC9" w:rsidP="00073FC9">
      <w:pPr>
        <w:pStyle w:val="ListNumber2"/>
        <w:numPr>
          <w:ilvl w:val="1"/>
          <w:numId w:val="4"/>
        </w:numPr>
        <w:spacing w:before="120" w:after="0"/>
        <w:ind w:left="851" w:hanging="851"/>
        <w:rPr>
          <w:rFonts w:ascii="Calibri" w:eastAsia="Calibri" w:hAnsi="Calibri" w:cs="Calibri"/>
        </w:rPr>
      </w:pPr>
      <w:r w:rsidRPr="00073FC9">
        <w:rPr>
          <w:rFonts w:ascii="Calibri" w:eastAsia="Calibri" w:hAnsi="Calibri" w:cs="Calibri"/>
        </w:rPr>
        <w:t>Section 142 of the Legislation Act deals with the use of “non-legislative context” in interpreting legislation:</w:t>
      </w:r>
    </w:p>
    <w:p w14:paraId="082E9959" w14:textId="77777777" w:rsidR="003F39AA" w:rsidRPr="003F39AA" w:rsidRDefault="003F39AA" w:rsidP="003F39AA">
      <w:pPr>
        <w:pStyle w:val="Quote"/>
        <w:rPr>
          <w:b/>
          <w:bCs/>
        </w:rPr>
      </w:pPr>
      <w:bookmarkStart w:id="132" w:name="_Toc221787359"/>
      <w:r w:rsidRPr="003F39AA">
        <w:rPr>
          <w:rStyle w:val="CharSectNo"/>
          <w:b/>
          <w:bCs/>
        </w:rPr>
        <w:t>142</w:t>
      </w:r>
      <w:r w:rsidRPr="003F39AA">
        <w:rPr>
          <w:b/>
          <w:bCs/>
        </w:rPr>
        <w:tab/>
      </w:r>
      <w:proofErr w:type="gramStart"/>
      <w:r w:rsidRPr="003F39AA">
        <w:rPr>
          <w:b/>
          <w:bCs/>
        </w:rPr>
        <w:t>Non-legislative</w:t>
      </w:r>
      <w:proofErr w:type="gramEnd"/>
      <w:r w:rsidRPr="003F39AA">
        <w:rPr>
          <w:b/>
          <w:bCs/>
        </w:rPr>
        <w:t xml:space="preserve"> context—material that may be considered</w:t>
      </w:r>
      <w:bookmarkEnd w:id="132"/>
      <w:r w:rsidRPr="003F39AA">
        <w:rPr>
          <w:b/>
          <w:bCs/>
        </w:rPr>
        <w:t xml:space="preserve"> </w:t>
      </w:r>
    </w:p>
    <w:p w14:paraId="7EBDA253" w14:textId="059B016F" w:rsidR="003F39AA" w:rsidRDefault="003F39AA" w:rsidP="003F39AA">
      <w:pPr>
        <w:pStyle w:val="Quote"/>
        <w:ind w:left="2127" w:hanging="567"/>
      </w:pPr>
      <w:r>
        <w:t>(1)</w:t>
      </w:r>
      <w:r>
        <w:tab/>
        <w:t>In working out the meaning of an Act, material mentioned in table 142, column 2 may be considered.</w:t>
      </w:r>
    </w:p>
    <w:p w14:paraId="4C0956CB" w14:textId="591F1980" w:rsidR="003F39AA" w:rsidRDefault="003F39AA" w:rsidP="003F39AA">
      <w:pPr>
        <w:pStyle w:val="Quote"/>
        <w:ind w:left="2127" w:hanging="567"/>
      </w:pPr>
      <w:r>
        <w:t>(2)</w:t>
      </w:r>
      <w:r>
        <w:tab/>
        <w:t>In working out the meaning of a statutory instrument, material mentioned in table 142, column 3 may be considered.</w:t>
      </w:r>
    </w:p>
    <w:p w14:paraId="1D538157" w14:textId="0F215E84" w:rsidR="003F39AA" w:rsidRDefault="003F39AA" w:rsidP="003F39AA">
      <w:pPr>
        <w:pStyle w:val="Quote"/>
        <w:ind w:left="2127" w:hanging="567"/>
      </w:pPr>
      <w:r>
        <w:t>(3)</w:t>
      </w:r>
      <w:r>
        <w:tab/>
        <w:t>This section does not limit the material that may be considered in working out the meaning of an Act or statutory instrument.</w:t>
      </w:r>
    </w:p>
    <w:p w14:paraId="2795A70C" w14:textId="77777777" w:rsidR="003F39AA" w:rsidRPr="003F39AA" w:rsidRDefault="003F39AA" w:rsidP="003F39AA">
      <w:pPr>
        <w:pStyle w:val="TableHd"/>
        <w:ind w:left="1134" w:firstLine="0"/>
        <w:rPr>
          <w:rFonts w:ascii="Calibri" w:eastAsia="Calibri" w:hAnsi="Calibri" w:cs="Calibri"/>
          <w:bCs/>
          <w:color w:val="595959" w:themeColor="text1" w:themeTint="A6"/>
          <w:sz w:val="21"/>
          <w:szCs w:val="21"/>
        </w:rPr>
      </w:pPr>
      <w:r w:rsidRPr="003F39AA">
        <w:rPr>
          <w:rFonts w:ascii="Calibri" w:eastAsia="Calibri" w:hAnsi="Calibri" w:cs="Calibri"/>
          <w:bCs/>
          <w:color w:val="595959" w:themeColor="text1" w:themeTint="A6"/>
          <w:sz w:val="21"/>
          <w:szCs w:val="21"/>
        </w:rPr>
        <w:t>Table 142</w:t>
      </w:r>
    </w:p>
    <w:tbl>
      <w:tblPr>
        <w:tblW w:w="6521" w:type="dxa"/>
        <w:tblInd w:w="1271"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101"/>
        <w:gridCol w:w="2977"/>
        <w:gridCol w:w="2443"/>
      </w:tblGrid>
      <w:tr w:rsidR="003F39AA" w14:paraId="64DA27D3" w14:textId="77777777" w:rsidTr="00540A22">
        <w:trPr>
          <w:cantSplit/>
          <w:tblHeader/>
        </w:trPr>
        <w:tc>
          <w:tcPr>
            <w:tcW w:w="1101" w:type="dxa"/>
            <w:tcBorders>
              <w:top w:val="single" w:sz="4" w:space="0" w:color="C0C0C0"/>
              <w:left w:val="single" w:sz="4" w:space="0" w:color="C0C0C0"/>
              <w:bottom w:val="single" w:sz="4" w:space="0" w:color="auto"/>
              <w:right w:val="single" w:sz="4" w:space="0" w:color="C0C0C0"/>
            </w:tcBorders>
            <w:hideMark/>
          </w:tcPr>
          <w:p w14:paraId="333632EE" w14:textId="77777777" w:rsidR="003F39AA" w:rsidRPr="003F39AA" w:rsidRDefault="003F39AA">
            <w:pPr>
              <w:pStyle w:val="TableColHd"/>
              <w:spacing w:line="256" w:lineRule="auto"/>
              <w:rPr>
                <w:rFonts w:asciiTheme="minorHAnsi" w:hAnsiTheme="minorHAnsi" w:cstheme="minorHAnsi"/>
                <w:color w:val="595959"/>
                <w:sz w:val="21"/>
                <w:szCs w:val="21"/>
              </w:rPr>
            </w:pPr>
            <w:r w:rsidRPr="003F39AA">
              <w:rPr>
                <w:rFonts w:asciiTheme="minorHAnsi" w:hAnsiTheme="minorHAnsi" w:cstheme="minorHAnsi"/>
                <w:color w:val="595959"/>
                <w:sz w:val="21"/>
                <w:szCs w:val="21"/>
              </w:rPr>
              <w:t>column 1</w:t>
            </w:r>
          </w:p>
          <w:p w14:paraId="414C9772" w14:textId="77777777" w:rsidR="003F39AA" w:rsidRPr="003F39AA" w:rsidRDefault="003F39AA">
            <w:pPr>
              <w:pStyle w:val="TableColHd"/>
              <w:spacing w:line="256" w:lineRule="auto"/>
              <w:rPr>
                <w:rFonts w:asciiTheme="minorHAnsi" w:hAnsiTheme="minorHAnsi" w:cstheme="minorHAnsi"/>
                <w:color w:val="595959"/>
                <w:sz w:val="21"/>
                <w:szCs w:val="21"/>
              </w:rPr>
            </w:pPr>
            <w:r w:rsidRPr="003F39AA">
              <w:rPr>
                <w:rFonts w:asciiTheme="minorHAnsi" w:hAnsiTheme="minorHAnsi" w:cstheme="minorHAnsi"/>
                <w:color w:val="595959"/>
                <w:sz w:val="21"/>
                <w:szCs w:val="21"/>
              </w:rPr>
              <w:t>item</w:t>
            </w:r>
          </w:p>
        </w:tc>
        <w:tc>
          <w:tcPr>
            <w:tcW w:w="2977" w:type="dxa"/>
            <w:tcBorders>
              <w:top w:val="single" w:sz="4" w:space="0" w:color="C0C0C0"/>
              <w:left w:val="single" w:sz="4" w:space="0" w:color="C0C0C0"/>
              <w:bottom w:val="single" w:sz="4" w:space="0" w:color="auto"/>
              <w:right w:val="single" w:sz="4" w:space="0" w:color="C0C0C0"/>
            </w:tcBorders>
            <w:hideMark/>
          </w:tcPr>
          <w:p w14:paraId="325AD917" w14:textId="77777777" w:rsidR="003F39AA" w:rsidRPr="003F39AA" w:rsidRDefault="003F39AA">
            <w:pPr>
              <w:pStyle w:val="TableColHd"/>
              <w:spacing w:line="256" w:lineRule="auto"/>
              <w:rPr>
                <w:rFonts w:asciiTheme="minorHAnsi" w:hAnsiTheme="minorHAnsi" w:cstheme="minorHAnsi"/>
                <w:color w:val="595959"/>
                <w:sz w:val="21"/>
                <w:szCs w:val="21"/>
              </w:rPr>
            </w:pPr>
            <w:r w:rsidRPr="003F39AA">
              <w:rPr>
                <w:rFonts w:asciiTheme="minorHAnsi" w:hAnsiTheme="minorHAnsi" w:cstheme="minorHAnsi"/>
                <w:color w:val="595959"/>
                <w:sz w:val="21"/>
                <w:szCs w:val="21"/>
              </w:rPr>
              <w:t>column 2</w:t>
            </w:r>
          </w:p>
          <w:p w14:paraId="624717AD" w14:textId="77777777" w:rsidR="003F39AA" w:rsidRPr="003F39AA" w:rsidRDefault="003F39AA">
            <w:pPr>
              <w:pStyle w:val="TableColHd"/>
              <w:spacing w:line="256" w:lineRule="auto"/>
              <w:rPr>
                <w:rFonts w:asciiTheme="minorHAnsi" w:hAnsiTheme="minorHAnsi" w:cstheme="minorHAnsi"/>
                <w:color w:val="595959"/>
                <w:sz w:val="21"/>
                <w:szCs w:val="21"/>
              </w:rPr>
            </w:pPr>
            <w:r w:rsidRPr="003F39AA">
              <w:rPr>
                <w:rFonts w:asciiTheme="minorHAnsi" w:hAnsiTheme="minorHAnsi" w:cstheme="minorHAnsi"/>
                <w:color w:val="595959"/>
                <w:sz w:val="21"/>
                <w:szCs w:val="21"/>
              </w:rPr>
              <w:t>Act</w:t>
            </w:r>
          </w:p>
        </w:tc>
        <w:tc>
          <w:tcPr>
            <w:tcW w:w="2443" w:type="dxa"/>
            <w:tcBorders>
              <w:top w:val="single" w:sz="4" w:space="0" w:color="C0C0C0"/>
              <w:left w:val="single" w:sz="4" w:space="0" w:color="C0C0C0"/>
              <w:bottom w:val="single" w:sz="4" w:space="0" w:color="auto"/>
              <w:right w:val="single" w:sz="4" w:space="0" w:color="C0C0C0"/>
            </w:tcBorders>
            <w:hideMark/>
          </w:tcPr>
          <w:p w14:paraId="5C643D42" w14:textId="77777777" w:rsidR="003F39AA" w:rsidRPr="003F39AA" w:rsidRDefault="003F39AA">
            <w:pPr>
              <w:pStyle w:val="TableColHd"/>
              <w:spacing w:line="256" w:lineRule="auto"/>
              <w:rPr>
                <w:rFonts w:asciiTheme="minorHAnsi" w:hAnsiTheme="minorHAnsi" w:cstheme="minorHAnsi"/>
                <w:color w:val="595959"/>
                <w:sz w:val="21"/>
                <w:szCs w:val="21"/>
              </w:rPr>
            </w:pPr>
            <w:r w:rsidRPr="003F39AA">
              <w:rPr>
                <w:rFonts w:asciiTheme="minorHAnsi" w:hAnsiTheme="minorHAnsi" w:cstheme="minorHAnsi"/>
                <w:color w:val="595959"/>
                <w:sz w:val="21"/>
                <w:szCs w:val="21"/>
              </w:rPr>
              <w:t>column 3</w:t>
            </w:r>
          </w:p>
          <w:p w14:paraId="0C8EFF05" w14:textId="77777777" w:rsidR="003F39AA" w:rsidRPr="003F39AA" w:rsidRDefault="003F39AA">
            <w:pPr>
              <w:pStyle w:val="TableColHd"/>
              <w:spacing w:line="256" w:lineRule="auto"/>
              <w:rPr>
                <w:rFonts w:asciiTheme="minorHAnsi" w:hAnsiTheme="minorHAnsi" w:cstheme="minorHAnsi"/>
                <w:color w:val="595959"/>
                <w:sz w:val="21"/>
                <w:szCs w:val="21"/>
              </w:rPr>
            </w:pPr>
            <w:r w:rsidRPr="003F39AA">
              <w:rPr>
                <w:rFonts w:asciiTheme="minorHAnsi" w:hAnsiTheme="minorHAnsi" w:cstheme="minorHAnsi"/>
                <w:color w:val="595959"/>
                <w:sz w:val="21"/>
                <w:szCs w:val="21"/>
              </w:rPr>
              <w:t>statutory instrument</w:t>
            </w:r>
          </w:p>
        </w:tc>
      </w:tr>
      <w:tr w:rsidR="003F39AA" w14:paraId="6DB79D7E" w14:textId="77777777" w:rsidTr="00540A22">
        <w:trPr>
          <w:cantSplit/>
        </w:trPr>
        <w:tc>
          <w:tcPr>
            <w:tcW w:w="1101" w:type="dxa"/>
            <w:tcBorders>
              <w:top w:val="single" w:sz="4" w:space="0" w:color="auto"/>
              <w:left w:val="single" w:sz="4" w:space="0" w:color="C0C0C0"/>
              <w:bottom w:val="single" w:sz="4" w:space="0" w:color="C0C0C0"/>
              <w:right w:val="single" w:sz="4" w:space="0" w:color="C0C0C0"/>
            </w:tcBorders>
            <w:hideMark/>
          </w:tcPr>
          <w:p w14:paraId="2036AEA8" w14:textId="77777777" w:rsidR="003F39AA" w:rsidRPr="003F39AA" w:rsidRDefault="003F39AA">
            <w:pPr>
              <w:pStyle w:val="TableText10"/>
              <w:spacing w:line="256" w:lineRule="auto"/>
              <w:rPr>
                <w:rFonts w:asciiTheme="minorHAnsi" w:hAnsiTheme="minorHAnsi" w:cstheme="minorHAnsi"/>
                <w:color w:val="595959"/>
                <w:sz w:val="21"/>
                <w:szCs w:val="21"/>
              </w:rPr>
            </w:pPr>
            <w:r w:rsidRPr="003F39AA">
              <w:rPr>
                <w:rFonts w:asciiTheme="minorHAnsi" w:hAnsiTheme="minorHAnsi" w:cstheme="minorHAnsi"/>
                <w:color w:val="595959"/>
                <w:sz w:val="21"/>
                <w:szCs w:val="21"/>
              </w:rPr>
              <w:t>1</w:t>
            </w:r>
          </w:p>
        </w:tc>
        <w:tc>
          <w:tcPr>
            <w:tcW w:w="2977" w:type="dxa"/>
            <w:tcBorders>
              <w:top w:val="single" w:sz="4" w:space="0" w:color="auto"/>
              <w:left w:val="single" w:sz="4" w:space="0" w:color="C0C0C0"/>
              <w:bottom w:val="single" w:sz="4" w:space="0" w:color="C0C0C0"/>
              <w:right w:val="single" w:sz="4" w:space="0" w:color="C0C0C0"/>
            </w:tcBorders>
            <w:hideMark/>
          </w:tcPr>
          <w:p w14:paraId="6CD7372C" w14:textId="77777777" w:rsidR="003F39AA" w:rsidRPr="003F39AA" w:rsidRDefault="003F39AA">
            <w:pPr>
              <w:pStyle w:val="TableText10"/>
              <w:spacing w:line="256" w:lineRule="auto"/>
              <w:rPr>
                <w:rFonts w:asciiTheme="minorHAnsi" w:hAnsiTheme="minorHAnsi" w:cstheme="minorHAnsi"/>
                <w:color w:val="595959"/>
                <w:sz w:val="21"/>
                <w:szCs w:val="21"/>
              </w:rPr>
            </w:pPr>
            <w:r w:rsidRPr="003F39AA">
              <w:rPr>
                <w:rFonts w:asciiTheme="minorHAnsi" w:hAnsiTheme="minorHAnsi" w:cstheme="minorHAnsi"/>
                <w:color w:val="595959"/>
                <w:sz w:val="21"/>
                <w:szCs w:val="21"/>
              </w:rPr>
              <w:t>material not forming part of the Act contained in an authorised version of the Act</w:t>
            </w:r>
          </w:p>
          <w:p w14:paraId="176C9284" w14:textId="77777777" w:rsidR="003F39AA" w:rsidRPr="003F39AA" w:rsidRDefault="003F39AA">
            <w:pPr>
              <w:spacing w:before="60" w:after="60"/>
              <w:ind w:left="501" w:hanging="501"/>
              <w:rPr>
                <w:rFonts w:cstheme="minorHAnsi"/>
                <w:color w:val="595959"/>
                <w:sz w:val="21"/>
                <w:szCs w:val="21"/>
              </w:rPr>
            </w:pPr>
            <w:r w:rsidRPr="003F39AA">
              <w:rPr>
                <w:rStyle w:val="charItals"/>
                <w:rFonts w:cstheme="minorHAnsi"/>
                <w:color w:val="595959"/>
                <w:sz w:val="21"/>
                <w:szCs w:val="21"/>
              </w:rPr>
              <w:t>Note</w:t>
            </w:r>
            <w:r w:rsidRPr="003F39AA">
              <w:rPr>
                <w:rFonts w:cstheme="minorHAnsi"/>
                <w:color w:val="595959"/>
                <w:sz w:val="21"/>
                <w:szCs w:val="21"/>
              </w:rPr>
              <w:tab/>
              <w:t xml:space="preserve">See </w:t>
            </w:r>
            <w:proofErr w:type="spellStart"/>
            <w:r w:rsidRPr="003F39AA">
              <w:rPr>
                <w:rFonts w:cstheme="minorHAnsi"/>
                <w:color w:val="595959"/>
                <w:sz w:val="21"/>
                <w:szCs w:val="21"/>
              </w:rPr>
              <w:t>ch</w:t>
            </w:r>
            <w:proofErr w:type="spellEnd"/>
            <w:r w:rsidRPr="003F39AA">
              <w:rPr>
                <w:rFonts w:cstheme="minorHAnsi"/>
                <w:color w:val="595959"/>
                <w:sz w:val="21"/>
                <w:szCs w:val="21"/>
              </w:rPr>
              <w:t xml:space="preserve"> 3 (Authorised versions and evidence of laws and legislative material).</w:t>
            </w:r>
          </w:p>
        </w:tc>
        <w:tc>
          <w:tcPr>
            <w:tcW w:w="2443" w:type="dxa"/>
            <w:tcBorders>
              <w:top w:val="single" w:sz="4" w:space="0" w:color="auto"/>
              <w:left w:val="single" w:sz="4" w:space="0" w:color="C0C0C0"/>
              <w:bottom w:val="single" w:sz="4" w:space="0" w:color="C0C0C0"/>
              <w:right w:val="single" w:sz="4" w:space="0" w:color="C0C0C0"/>
            </w:tcBorders>
            <w:hideMark/>
          </w:tcPr>
          <w:p w14:paraId="3B3D8B6C" w14:textId="77777777" w:rsidR="003F39AA" w:rsidRPr="003F39AA" w:rsidRDefault="003F39AA">
            <w:pPr>
              <w:pStyle w:val="TableText10"/>
              <w:spacing w:line="256" w:lineRule="auto"/>
              <w:rPr>
                <w:rFonts w:asciiTheme="minorHAnsi" w:hAnsiTheme="minorHAnsi" w:cstheme="minorHAnsi"/>
                <w:color w:val="595959"/>
                <w:sz w:val="21"/>
                <w:szCs w:val="21"/>
              </w:rPr>
            </w:pPr>
            <w:r w:rsidRPr="003F39AA">
              <w:rPr>
                <w:rFonts w:asciiTheme="minorHAnsi" w:hAnsiTheme="minorHAnsi" w:cstheme="minorHAnsi"/>
                <w:color w:val="595959"/>
                <w:sz w:val="21"/>
                <w:szCs w:val="21"/>
              </w:rPr>
              <w:t>material not forming part of the statutory instrument contained in an authorised version of the instrument</w:t>
            </w:r>
          </w:p>
          <w:p w14:paraId="431A9449" w14:textId="77777777" w:rsidR="003F39AA" w:rsidRPr="003F39AA" w:rsidRDefault="003F39AA">
            <w:pPr>
              <w:spacing w:before="60" w:after="60"/>
              <w:ind w:left="501" w:hanging="501"/>
              <w:rPr>
                <w:rFonts w:cstheme="minorHAnsi"/>
                <w:color w:val="595959"/>
                <w:sz w:val="21"/>
                <w:szCs w:val="21"/>
              </w:rPr>
            </w:pPr>
            <w:r w:rsidRPr="003F39AA">
              <w:rPr>
                <w:rStyle w:val="charItals"/>
                <w:rFonts w:cstheme="minorHAnsi"/>
                <w:color w:val="595959"/>
                <w:sz w:val="21"/>
                <w:szCs w:val="21"/>
              </w:rPr>
              <w:t>Note</w:t>
            </w:r>
            <w:r w:rsidRPr="003F39AA">
              <w:rPr>
                <w:rFonts w:cstheme="minorHAnsi"/>
                <w:color w:val="595959"/>
                <w:sz w:val="21"/>
                <w:szCs w:val="21"/>
              </w:rPr>
              <w:tab/>
              <w:t xml:space="preserve">See </w:t>
            </w:r>
            <w:proofErr w:type="spellStart"/>
            <w:r w:rsidRPr="003F39AA">
              <w:rPr>
                <w:rFonts w:cstheme="minorHAnsi"/>
                <w:color w:val="595959"/>
                <w:sz w:val="21"/>
                <w:szCs w:val="21"/>
              </w:rPr>
              <w:t>ch</w:t>
            </w:r>
            <w:proofErr w:type="spellEnd"/>
            <w:r w:rsidRPr="003F39AA">
              <w:rPr>
                <w:rFonts w:cstheme="minorHAnsi"/>
                <w:color w:val="595959"/>
                <w:sz w:val="21"/>
                <w:szCs w:val="21"/>
              </w:rPr>
              <w:t xml:space="preserve"> 3 (Authorised versions and evidence of laws and legislative material).</w:t>
            </w:r>
          </w:p>
        </w:tc>
      </w:tr>
      <w:tr w:rsidR="003F39AA" w14:paraId="6A964E6E" w14:textId="77777777" w:rsidTr="00540A22">
        <w:trPr>
          <w:cantSplit/>
        </w:trPr>
        <w:tc>
          <w:tcPr>
            <w:tcW w:w="1101" w:type="dxa"/>
            <w:tcBorders>
              <w:top w:val="single" w:sz="4" w:space="0" w:color="C0C0C0"/>
              <w:left w:val="single" w:sz="4" w:space="0" w:color="C0C0C0"/>
              <w:bottom w:val="single" w:sz="4" w:space="0" w:color="C0C0C0"/>
              <w:right w:val="single" w:sz="4" w:space="0" w:color="C0C0C0"/>
            </w:tcBorders>
            <w:hideMark/>
          </w:tcPr>
          <w:p w14:paraId="3821D6F8" w14:textId="77777777" w:rsidR="003F39AA" w:rsidRPr="003F39AA" w:rsidRDefault="003F39AA" w:rsidP="00540A22">
            <w:pPr>
              <w:pStyle w:val="TableText10"/>
              <w:widowControl w:val="0"/>
              <w:spacing w:line="257" w:lineRule="auto"/>
              <w:rPr>
                <w:rFonts w:asciiTheme="minorHAnsi" w:hAnsiTheme="minorHAnsi" w:cstheme="minorHAnsi"/>
                <w:color w:val="595959"/>
                <w:sz w:val="21"/>
                <w:szCs w:val="21"/>
              </w:rPr>
            </w:pPr>
            <w:r w:rsidRPr="003F39AA">
              <w:rPr>
                <w:rFonts w:asciiTheme="minorHAnsi" w:hAnsiTheme="minorHAnsi" w:cstheme="minorHAnsi"/>
                <w:color w:val="595959"/>
                <w:sz w:val="21"/>
                <w:szCs w:val="21"/>
              </w:rPr>
              <w:lastRenderedPageBreak/>
              <w:t>2</w:t>
            </w:r>
          </w:p>
        </w:tc>
        <w:tc>
          <w:tcPr>
            <w:tcW w:w="2977" w:type="dxa"/>
            <w:tcBorders>
              <w:top w:val="single" w:sz="4" w:space="0" w:color="C0C0C0"/>
              <w:left w:val="single" w:sz="4" w:space="0" w:color="C0C0C0"/>
              <w:bottom w:val="single" w:sz="4" w:space="0" w:color="C0C0C0"/>
              <w:right w:val="single" w:sz="4" w:space="0" w:color="C0C0C0"/>
            </w:tcBorders>
            <w:hideMark/>
          </w:tcPr>
          <w:p w14:paraId="0540CD07" w14:textId="77777777" w:rsidR="003F39AA" w:rsidRPr="003F39AA" w:rsidRDefault="003F39AA" w:rsidP="00540A22">
            <w:pPr>
              <w:pStyle w:val="TableText10"/>
              <w:widowControl w:val="0"/>
              <w:spacing w:line="257" w:lineRule="auto"/>
              <w:rPr>
                <w:rFonts w:asciiTheme="minorHAnsi" w:hAnsiTheme="minorHAnsi" w:cstheme="minorHAnsi"/>
                <w:color w:val="595959"/>
                <w:sz w:val="21"/>
                <w:szCs w:val="21"/>
              </w:rPr>
            </w:pPr>
            <w:r w:rsidRPr="003F39AA">
              <w:rPr>
                <w:rFonts w:asciiTheme="minorHAnsi" w:hAnsiTheme="minorHAnsi" w:cstheme="minorHAnsi"/>
                <w:color w:val="595959"/>
                <w:sz w:val="21"/>
                <w:szCs w:val="21"/>
              </w:rPr>
              <w:t>any relevant report of a royal commission, law reform commission, committee of inquiry or other similar entity that was presented to the Legislative Assembly before the Act was passed</w:t>
            </w:r>
          </w:p>
        </w:tc>
        <w:tc>
          <w:tcPr>
            <w:tcW w:w="2443" w:type="dxa"/>
            <w:tcBorders>
              <w:top w:val="single" w:sz="4" w:space="0" w:color="C0C0C0"/>
              <w:left w:val="single" w:sz="4" w:space="0" w:color="C0C0C0"/>
              <w:bottom w:val="single" w:sz="4" w:space="0" w:color="C0C0C0"/>
              <w:right w:val="single" w:sz="4" w:space="0" w:color="C0C0C0"/>
            </w:tcBorders>
            <w:hideMark/>
          </w:tcPr>
          <w:p w14:paraId="22062C5C" w14:textId="77777777" w:rsidR="003F39AA" w:rsidRPr="003F39AA" w:rsidRDefault="003F39AA" w:rsidP="00540A22">
            <w:pPr>
              <w:pStyle w:val="TableText10"/>
              <w:widowControl w:val="0"/>
              <w:spacing w:line="257" w:lineRule="auto"/>
              <w:rPr>
                <w:rFonts w:asciiTheme="minorHAnsi" w:hAnsiTheme="minorHAnsi" w:cstheme="minorHAnsi"/>
                <w:color w:val="595959"/>
                <w:sz w:val="21"/>
                <w:szCs w:val="21"/>
              </w:rPr>
            </w:pPr>
            <w:r w:rsidRPr="003F39AA">
              <w:rPr>
                <w:rFonts w:asciiTheme="minorHAnsi" w:hAnsiTheme="minorHAnsi" w:cstheme="minorHAnsi"/>
                <w:color w:val="595959"/>
                <w:sz w:val="21"/>
                <w:szCs w:val="21"/>
              </w:rPr>
              <w:t>any relevant report of a royal commission, law reform commission, committee of inquiry or other similar entity that was presented to the Legislative Assembly—</w:t>
            </w:r>
          </w:p>
          <w:p w14:paraId="61E07C58" w14:textId="77777777" w:rsidR="003F39AA" w:rsidRPr="003F39AA" w:rsidRDefault="003F39AA" w:rsidP="00540A22">
            <w:pPr>
              <w:pStyle w:val="TablePara10"/>
              <w:widowControl w:val="0"/>
              <w:spacing w:line="257" w:lineRule="auto"/>
              <w:rPr>
                <w:rFonts w:asciiTheme="minorHAnsi" w:hAnsiTheme="minorHAnsi" w:cstheme="minorHAnsi"/>
                <w:color w:val="595959"/>
                <w:sz w:val="21"/>
                <w:szCs w:val="21"/>
              </w:rPr>
            </w:pPr>
            <w:r w:rsidRPr="003F39AA">
              <w:rPr>
                <w:rFonts w:asciiTheme="minorHAnsi" w:hAnsiTheme="minorHAnsi" w:cstheme="minorHAnsi"/>
                <w:color w:val="595959"/>
                <w:sz w:val="21"/>
                <w:szCs w:val="21"/>
              </w:rPr>
              <w:tab/>
              <w:t>(a)</w:t>
            </w:r>
            <w:r w:rsidRPr="003F39AA">
              <w:rPr>
                <w:rFonts w:asciiTheme="minorHAnsi" w:hAnsiTheme="minorHAnsi" w:cstheme="minorHAnsi"/>
                <w:color w:val="595959"/>
                <w:sz w:val="21"/>
                <w:szCs w:val="21"/>
              </w:rPr>
              <w:tab/>
              <w:t xml:space="preserve">if the statutory instrument was presented to the Assembly—before the end of 6 sitting days after the day the instrument was presented to the </w:t>
            </w:r>
            <w:proofErr w:type="gramStart"/>
            <w:r w:rsidRPr="003F39AA">
              <w:rPr>
                <w:rFonts w:asciiTheme="minorHAnsi" w:hAnsiTheme="minorHAnsi" w:cstheme="minorHAnsi"/>
                <w:color w:val="595959"/>
                <w:sz w:val="21"/>
                <w:szCs w:val="21"/>
              </w:rPr>
              <w:t>Assembly;</w:t>
            </w:r>
            <w:proofErr w:type="gramEnd"/>
            <w:r w:rsidRPr="003F39AA">
              <w:rPr>
                <w:rFonts w:asciiTheme="minorHAnsi" w:hAnsiTheme="minorHAnsi" w:cstheme="minorHAnsi"/>
                <w:color w:val="595959"/>
                <w:sz w:val="21"/>
                <w:szCs w:val="21"/>
              </w:rPr>
              <w:t xml:space="preserve"> or</w:t>
            </w:r>
          </w:p>
          <w:p w14:paraId="7C0F1B46" w14:textId="77777777" w:rsidR="003F39AA" w:rsidRPr="003F39AA" w:rsidRDefault="003F39AA" w:rsidP="00540A22">
            <w:pPr>
              <w:pStyle w:val="TablePara10"/>
              <w:widowControl w:val="0"/>
              <w:spacing w:line="257" w:lineRule="auto"/>
              <w:rPr>
                <w:rFonts w:asciiTheme="minorHAnsi" w:hAnsiTheme="minorHAnsi" w:cstheme="minorHAnsi"/>
                <w:color w:val="595959"/>
                <w:sz w:val="21"/>
                <w:szCs w:val="21"/>
              </w:rPr>
            </w:pPr>
            <w:r w:rsidRPr="003F39AA">
              <w:rPr>
                <w:rFonts w:asciiTheme="minorHAnsi" w:hAnsiTheme="minorHAnsi" w:cstheme="minorHAnsi"/>
                <w:color w:val="595959"/>
                <w:sz w:val="21"/>
                <w:szCs w:val="21"/>
              </w:rPr>
              <w:tab/>
              <w:t>(b)</w:t>
            </w:r>
            <w:r w:rsidRPr="003F39AA">
              <w:rPr>
                <w:rFonts w:asciiTheme="minorHAnsi" w:hAnsiTheme="minorHAnsi" w:cstheme="minorHAnsi"/>
                <w:color w:val="595959"/>
                <w:sz w:val="21"/>
                <w:szCs w:val="21"/>
              </w:rPr>
              <w:tab/>
              <w:t>in any other case—before the instrument was made</w:t>
            </w:r>
          </w:p>
        </w:tc>
      </w:tr>
      <w:tr w:rsidR="003F39AA" w14:paraId="6D466AAD" w14:textId="77777777" w:rsidTr="00540A22">
        <w:trPr>
          <w:cantSplit/>
        </w:trPr>
        <w:tc>
          <w:tcPr>
            <w:tcW w:w="1101" w:type="dxa"/>
            <w:tcBorders>
              <w:top w:val="single" w:sz="4" w:space="0" w:color="C0C0C0"/>
              <w:left w:val="single" w:sz="4" w:space="0" w:color="C0C0C0"/>
              <w:bottom w:val="single" w:sz="4" w:space="0" w:color="C0C0C0"/>
              <w:right w:val="single" w:sz="4" w:space="0" w:color="C0C0C0"/>
            </w:tcBorders>
            <w:hideMark/>
          </w:tcPr>
          <w:p w14:paraId="234BB17F" w14:textId="77777777" w:rsidR="003F39AA" w:rsidRPr="003F39AA" w:rsidRDefault="003F39AA" w:rsidP="00540A22">
            <w:pPr>
              <w:pStyle w:val="TableText10"/>
              <w:widowControl w:val="0"/>
              <w:spacing w:line="256" w:lineRule="auto"/>
              <w:rPr>
                <w:rFonts w:asciiTheme="minorHAnsi" w:hAnsiTheme="minorHAnsi" w:cstheme="minorHAnsi"/>
                <w:color w:val="595959"/>
                <w:sz w:val="21"/>
                <w:szCs w:val="21"/>
              </w:rPr>
            </w:pPr>
            <w:r w:rsidRPr="003F39AA">
              <w:rPr>
                <w:rFonts w:asciiTheme="minorHAnsi" w:hAnsiTheme="minorHAnsi" w:cstheme="minorHAnsi"/>
                <w:color w:val="595959"/>
                <w:sz w:val="21"/>
                <w:szCs w:val="21"/>
              </w:rPr>
              <w:t>3</w:t>
            </w:r>
          </w:p>
        </w:tc>
        <w:tc>
          <w:tcPr>
            <w:tcW w:w="2977" w:type="dxa"/>
            <w:tcBorders>
              <w:top w:val="single" w:sz="4" w:space="0" w:color="C0C0C0"/>
              <w:left w:val="single" w:sz="4" w:space="0" w:color="C0C0C0"/>
              <w:bottom w:val="single" w:sz="4" w:space="0" w:color="C0C0C0"/>
              <w:right w:val="single" w:sz="4" w:space="0" w:color="C0C0C0"/>
            </w:tcBorders>
            <w:hideMark/>
          </w:tcPr>
          <w:p w14:paraId="29E51F51" w14:textId="77777777" w:rsidR="003F39AA" w:rsidRPr="003F39AA" w:rsidRDefault="003F39AA" w:rsidP="00540A22">
            <w:pPr>
              <w:pStyle w:val="TableText10"/>
              <w:widowControl w:val="0"/>
              <w:spacing w:line="256" w:lineRule="auto"/>
              <w:rPr>
                <w:rFonts w:asciiTheme="minorHAnsi" w:hAnsiTheme="minorHAnsi" w:cstheme="minorHAnsi"/>
                <w:color w:val="595959"/>
                <w:sz w:val="21"/>
                <w:szCs w:val="21"/>
              </w:rPr>
            </w:pPr>
            <w:r w:rsidRPr="003F39AA">
              <w:rPr>
                <w:rFonts w:asciiTheme="minorHAnsi" w:hAnsiTheme="minorHAnsi" w:cstheme="minorHAnsi"/>
                <w:color w:val="595959"/>
                <w:sz w:val="21"/>
                <w:szCs w:val="21"/>
              </w:rPr>
              <w:t>any relevant report of a committee of the Legislative Assembly that was made to the Assembly before the Act was passed</w:t>
            </w:r>
          </w:p>
        </w:tc>
        <w:tc>
          <w:tcPr>
            <w:tcW w:w="2443" w:type="dxa"/>
            <w:tcBorders>
              <w:top w:val="single" w:sz="4" w:space="0" w:color="C0C0C0"/>
              <w:left w:val="single" w:sz="4" w:space="0" w:color="C0C0C0"/>
              <w:bottom w:val="single" w:sz="4" w:space="0" w:color="C0C0C0"/>
              <w:right w:val="single" w:sz="4" w:space="0" w:color="C0C0C0"/>
            </w:tcBorders>
            <w:hideMark/>
          </w:tcPr>
          <w:p w14:paraId="55EF3985" w14:textId="77777777" w:rsidR="003F39AA" w:rsidRPr="003F39AA" w:rsidRDefault="003F39AA" w:rsidP="00540A22">
            <w:pPr>
              <w:pStyle w:val="TableText10"/>
              <w:widowControl w:val="0"/>
              <w:spacing w:line="256" w:lineRule="auto"/>
              <w:rPr>
                <w:rFonts w:asciiTheme="minorHAnsi" w:hAnsiTheme="minorHAnsi" w:cstheme="minorHAnsi"/>
                <w:color w:val="595959"/>
                <w:sz w:val="21"/>
                <w:szCs w:val="21"/>
              </w:rPr>
            </w:pPr>
            <w:r w:rsidRPr="003F39AA">
              <w:rPr>
                <w:rFonts w:asciiTheme="minorHAnsi" w:hAnsiTheme="minorHAnsi" w:cstheme="minorHAnsi"/>
                <w:color w:val="595959"/>
                <w:sz w:val="21"/>
                <w:szCs w:val="21"/>
              </w:rPr>
              <w:t>any relevant report of a committee of the Legislative Assembly that was made to the Assembly—</w:t>
            </w:r>
          </w:p>
          <w:p w14:paraId="557E8E03" w14:textId="77777777" w:rsidR="003F39AA" w:rsidRPr="003F39AA" w:rsidRDefault="003F39AA" w:rsidP="00540A22">
            <w:pPr>
              <w:pStyle w:val="TablePara10"/>
              <w:widowControl w:val="0"/>
              <w:spacing w:line="256" w:lineRule="auto"/>
              <w:rPr>
                <w:rFonts w:asciiTheme="minorHAnsi" w:hAnsiTheme="minorHAnsi" w:cstheme="minorHAnsi"/>
                <w:color w:val="595959"/>
                <w:sz w:val="21"/>
                <w:szCs w:val="21"/>
              </w:rPr>
            </w:pPr>
            <w:r w:rsidRPr="003F39AA">
              <w:rPr>
                <w:rFonts w:asciiTheme="minorHAnsi" w:hAnsiTheme="minorHAnsi" w:cstheme="minorHAnsi"/>
                <w:color w:val="595959"/>
                <w:sz w:val="21"/>
                <w:szCs w:val="21"/>
              </w:rPr>
              <w:tab/>
              <w:t>(a)</w:t>
            </w:r>
            <w:r w:rsidRPr="003F39AA">
              <w:rPr>
                <w:rFonts w:asciiTheme="minorHAnsi" w:hAnsiTheme="minorHAnsi" w:cstheme="minorHAnsi"/>
                <w:color w:val="595959"/>
                <w:sz w:val="21"/>
                <w:szCs w:val="21"/>
              </w:rPr>
              <w:tab/>
              <w:t xml:space="preserve">if the statutory instrument was presented to the Assembly—before the end of 6 sitting days after the day the instrument was presented to the </w:t>
            </w:r>
            <w:proofErr w:type="gramStart"/>
            <w:r w:rsidRPr="003F39AA">
              <w:rPr>
                <w:rFonts w:asciiTheme="minorHAnsi" w:hAnsiTheme="minorHAnsi" w:cstheme="minorHAnsi"/>
                <w:color w:val="595959"/>
                <w:sz w:val="21"/>
                <w:szCs w:val="21"/>
              </w:rPr>
              <w:t>Assembly;</w:t>
            </w:r>
            <w:proofErr w:type="gramEnd"/>
            <w:r w:rsidRPr="003F39AA">
              <w:rPr>
                <w:rFonts w:asciiTheme="minorHAnsi" w:hAnsiTheme="minorHAnsi" w:cstheme="minorHAnsi"/>
                <w:color w:val="595959"/>
                <w:sz w:val="21"/>
                <w:szCs w:val="21"/>
              </w:rPr>
              <w:t xml:space="preserve"> or</w:t>
            </w:r>
          </w:p>
          <w:p w14:paraId="731AFC1A" w14:textId="77777777" w:rsidR="003F39AA" w:rsidRPr="003F39AA" w:rsidRDefault="003F39AA" w:rsidP="00540A22">
            <w:pPr>
              <w:pStyle w:val="TablePara10"/>
              <w:widowControl w:val="0"/>
              <w:spacing w:line="256" w:lineRule="auto"/>
              <w:rPr>
                <w:rFonts w:asciiTheme="minorHAnsi" w:hAnsiTheme="minorHAnsi" w:cstheme="minorHAnsi"/>
                <w:color w:val="595959"/>
                <w:sz w:val="21"/>
                <w:szCs w:val="21"/>
              </w:rPr>
            </w:pPr>
            <w:r w:rsidRPr="003F39AA">
              <w:rPr>
                <w:rFonts w:asciiTheme="minorHAnsi" w:hAnsiTheme="minorHAnsi" w:cstheme="minorHAnsi"/>
                <w:color w:val="595959"/>
                <w:sz w:val="21"/>
                <w:szCs w:val="21"/>
              </w:rPr>
              <w:tab/>
              <w:t>(b)</w:t>
            </w:r>
            <w:r w:rsidRPr="003F39AA">
              <w:rPr>
                <w:rFonts w:asciiTheme="minorHAnsi" w:hAnsiTheme="minorHAnsi" w:cstheme="minorHAnsi"/>
                <w:color w:val="595959"/>
                <w:sz w:val="21"/>
                <w:szCs w:val="21"/>
              </w:rPr>
              <w:tab/>
              <w:t>in any other case—before the instrument was made</w:t>
            </w:r>
          </w:p>
        </w:tc>
      </w:tr>
      <w:tr w:rsidR="003F39AA" w14:paraId="52C1AE33" w14:textId="77777777" w:rsidTr="00540A22">
        <w:trPr>
          <w:cantSplit/>
        </w:trPr>
        <w:tc>
          <w:tcPr>
            <w:tcW w:w="1101" w:type="dxa"/>
            <w:tcBorders>
              <w:top w:val="single" w:sz="4" w:space="0" w:color="C0C0C0"/>
              <w:left w:val="single" w:sz="4" w:space="0" w:color="C0C0C0"/>
              <w:bottom w:val="single" w:sz="4" w:space="0" w:color="C0C0C0"/>
              <w:right w:val="single" w:sz="4" w:space="0" w:color="C0C0C0"/>
            </w:tcBorders>
            <w:hideMark/>
          </w:tcPr>
          <w:p w14:paraId="41776B27" w14:textId="77777777" w:rsidR="003F39AA" w:rsidRPr="003F39AA" w:rsidRDefault="003F39AA">
            <w:pPr>
              <w:pStyle w:val="TableText10"/>
              <w:spacing w:line="256" w:lineRule="auto"/>
              <w:rPr>
                <w:rFonts w:asciiTheme="minorHAnsi" w:hAnsiTheme="minorHAnsi" w:cstheme="minorHAnsi"/>
                <w:b/>
                <w:bCs/>
                <w:color w:val="595959"/>
                <w:sz w:val="21"/>
                <w:szCs w:val="21"/>
              </w:rPr>
            </w:pPr>
            <w:r w:rsidRPr="003F39AA">
              <w:rPr>
                <w:rFonts w:asciiTheme="minorHAnsi" w:hAnsiTheme="minorHAnsi" w:cstheme="minorHAnsi"/>
                <w:b/>
                <w:bCs/>
                <w:color w:val="595959"/>
                <w:sz w:val="21"/>
                <w:szCs w:val="21"/>
              </w:rPr>
              <w:lastRenderedPageBreak/>
              <w:t>4</w:t>
            </w:r>
          </w:p>
        </w:tc>
        <w:tc>
          <w:tcPr>
            <w:tcW w:w="2977" w:type="dxa"/>
            <w:tcBorders>
              <w:top w:val="single" w:sz="4" w:space="0" w:color="C0C0C0"/>
              <w:left w:val="single" w:sz="4" w:space="0" w:color="C0C0C0"/>
              <w:bottom w:val="single" w:sz="4" w:space="0" w:color="C0C0C0"/>
              <w:right w:val="single" w:sz="4" w:space="0" w:color="C0C0C0"/>
            </w:tcBorders>
            <w:hideMark/>
          </w:tcPr>
          <w:p w14:paraId="1D569E32" w14:textId="77777777" w:rsidR="003F39AA" w:rsidRPr="003F39AA" w:rsidRDefault="003F39AA">
            <w:pPr>
              <w:pStyle w:val="TableText10"/>
              <w:spacing w:line="256" w:lineRule="auto"/>
              <w:rPr>
                <w:rFonts w:asciiTheme="minorHAnsi" w:hAnsiTheme="minorHAnsi" w:cstheme="minorHAnsi"/>
                <w:b/>
                <w:bCs/>
                <w:color w:val="595959"/>
                <w:sz w:val="21"/>
                <w:szCs w:val="21"/>
              </w:rPr>
            </w:pPr>
            <w:r w:rsidRPr="003F39AA">
              <w:rPr>
                <w:rFonts w:asciiTheme="minorHAnsi" w:hAnsiTheme="minorHAnsi" w:cstheme="minorHAnsi"/>
                <w:b/>
                <w:bCs/>
                <w:color w:val="595959"/>
                <w:sz w:val="21"/>
                <w:szCs w:val="21"/>
              </w:rPr>
              <w:t>any explanatory statement (however described) for the bill that became the Act, or any other relevant document, that was presented to the Legislative Assembly before the Act was passed</w:t>
            </w:r>
          </w:p>
        </w:tc>
        <w:tc>
          <w:tcPr>
            <w:tcW w:w="2443" w:type="dxa"/>
            <w:tcBorders>
              <w:top w:val="single" w:sz="4" w:space="0" w:color="C0C0C0"/>
              <w:left w:val="single" w:sz="4" w:space="0" w:color="C0C0C0"/>
              <w:bottom w:val="single" w:sz="4" w:space="0" w:color="C0C0C0"/>
              <w:right w:val="single" w:sz="4" w:space="0" w:color="C0C0C0"/>
            </w:tcBorders>
            <w:hideMark/>
          </w:tcPr>
          <w:p w14:paraId="1EFFB4A4" w14:textId="77777777" w:rsidR="003F39AA" w:rsidRPr="003F39AA" w:rsidRDefault="003F39AA">
            <w:pPr>
              <w:pStyle w:val="TableText10"/>
              <w:spacing w:line="256" w:lineRule="auto"/>
              <w:rPr>
                <w:rFonts w:asciiTheme="minorHAnsi" w:hAnsiTheme="minorHAnsi" w:cstheme="minorHAnsi"/>
                <w:b/>
                <w:bCs/>
                <w:color w:val="595959"/>
                <w:sz w:val="21"/>
                <w:szCs w:val="21"/>
              </w:rPr>
            </w:pPr>
            <w:r w:rsidRPr="003F39AA">
              <w:rPr>
                <w:rFonts w:asciiTheme="minorHAnsi" w:hAnsiTheme="minorHAnsi" w:cstheme="minorHAnsi"/>
                <w:b/>
                <w:bCs/>
                <w:color w:val="595959"/>
                <w:sz w:val="21"/>
                <w:szCs w:val="21"/>
              </w:rPr>
              <w:t>if the statutory instrument was presented to the Legislative Assembly—any explanatory statement (however described) for the instrument, or any other relevant document, that was presented to the Legislative Assembly before the end of 6 sitting days after the instrument was presented to the Assembly</w:t>
            </w:r>
          </w:p>
        </w:tc>
      </w:tr>
      <w:tr w:rsidR="003F39AA" w14:paraId="6B69CC7E" w14:textId="77777777" w:rsidTr="00540A22">
        <w:trPr>
          <w:cantSplit/>
        </w:trPr>
        <w:tc>
          <w:tcPr>
            <w:tcW w:w="1101" w:type="dxa"/>
            <w:tcBorders>
              <w:top w:val="single" w:sz="4" w:space="0" w:color="C0C0C0"/>
              <w:left w:val="single" w:sz="4" w:space="0" w:color="C0C0C0"/>
              <w:bottom w:val="single" w:sz="4" w:space="0" w:color="C0C0C0"/>
              <w:right w:val="single" w:sz="4" w:space="0" w:color="C0C0C0"/>
            </w:tcBorders>
            <w:hideMark/>
          </w:tcPr>
          <w:p w14:paraId="6B44C453" w14:textId="77777777" w:rsidR="003F39AA" w:rsidRPr="003F39AA" w:rsidRDefault="003F39AA">
            <w:pPr>
              <w:pStyle w:val="TableText10"/>
              <w:spacing w:line="256" w:lineRule="auto"/>
              <w:rPr>
                <w:rFonts w:asciiTheme="minorHAnsi" w:hAnsiTheme="minorHAnsi" w:cstheme="minorHAnsi"/>
                <w:color w:val="595959"/>
                <w:sz w:val="21"/>
                <w:szCs w:val="21"/>
              </w:rPr>
            </w:pPr>
            <w:r w:rsidRPr="003F39AA">
              <w:rPr>
                <w:rFonts w:asciiTheme="minorHAnsi" w:hAnsiTheme="minorHAnsi" w:cstheme="minorHAnsi"/>
                <w:color w:val="595959"/>
                <w:sz w:val="21"/>
                <w:szCs w:val="21"/>
              </w:rPr>
              <w:t>5</w:t>
            </w:r>
          </w:p>
        </w:tc>
        <w:tc>
          <w:tcPr>
            <w:tcW w:w="2977" w:type="dxa"/>
            <w:tcBorders>
              <w:top w:val="single" w:sz="4" w:space="0" w:color="C0C0C0"/>
              <w:left w:val="single" w:sz="4" w:space="0" w:color="C0C0C0"/>
              <w:bottom w:val="single" w:sz="4" w:space="0" w:color="C0C0C0"/>
              <w:right w:val="single" w:sz="4" w:space="0" w:color="C0C0C0"/>
            </w:tcBorders>
            <w:hideMark/>
          </w:tcPr>
          <w:p w14:paraId="482C9046" w14:textId="77777777" w:rsidR="003F39AA" w:rsidRPr="003F39AA" w:rsidRDefault="003F39AA">
            <w:pPr>
              <w:pStyle w:val="TableText10"/>
              <w:spacing w:line="256" w:lineRule="auto"/>
              <w:rPr>
                <w:rFonts w:asciiTheme="minorHAnsi" w:hAnsiTheme="minorHAnsi" w:cstheme="minorHAnsi"/>
                <w:color w:val="595959"/>
                <w:sz w:val="21"/>
                <w:szCs w:val="21"/>
              </w:rPr>
            </w:pPr>
            <w:r w:rsidRPr="003F39AA">
              <w:rPr>
                <w:rFonts w:asciiTheme="minorHAnsi" w:hAnsiTheme="minorHAnsi" w:cstheme="minorHAnsi"/>
                <w:color w:val="595959"/>
                <w:sz w:val="21"/>
                <w:szCs w:val="21"/>
              </w:rPr>
              <w:t xml:space="preserve">the presentation speech made to the Legislative Assembly during the passage of the bill that became the Act </w:t>
            </w:r>
          </w:p>
        </w:tc>
        <w:tc>
          <w:tcPr>
            <w:tcW w:w="2443" w:type="dxa"/>
            <w:tcBorders>
              <w:top w:val="single" w:sz="4" w:space="0" w:color="C0C0C0"/>
              <w:left w:val="single" w:sz="4" w:space="0" w:color="C0C0C0"/>
              <w:bottom w:val="single" w:sz="4" w:space="0" w:color="C0C0C0"/>
              <w:right w:val="single" w:sz="4" w:space="0" w:color="C0C0C0"/>
            </w:tcBorders>
            <w:hideMark/>
          </w:tcPr>
          <w:p w14:paraId="70A7AB76" w14:textId="77777777" w:rsidR="003F39AA" w:rsidRPr="003F39AA" w:rsidRDefault="003F39AA">
            <w:pPr>
              <w:pStyle w:val="TableText10"/>
              <w:spacing w:line="256" w:lineRule="auto"/>
              <w:rPr>
                <w:rFonts w:asciiTheme="minorHAnsi" w:hAnsiTheme="minorHAnsi" w:cstheme="minorHAnsi"/>
                <w:color w:val="595959"/>
                <w:sz w:val="21"/>
                <w:szCs w:val="21"/>
              </w:rPr>
            </w:pPr>
            <w:r w:rsidRPr="003F39AA">
              <w:rPr>
                <w:rFonts w:asciiTheme="minorHAnsi" w:hAnsiTheme="minorHAnsi" w:cstheme="minorHAnsi"/>
                <w:color w:val="595959"/>
                <w:sz w:val="21"/>
                <w:szCs w:val="21"/>
              </w:rPr>
              <w:t>if the statutory instrument was presented to the Legislative Assembly by a member of the Assembly—any presentation speech made to the Assembly</w:t>
            </w:r>
          </w:p>
        </w:tc>
      </w:tr>
      <w:tr w:rsidR="003F39AA" w14:paraId="488C28F1" w14:textId="77777777" w:rsidTr="00540A22">
        <w:trPr>
          <w:cantSplit/>
        </w:trPr>
        <w:tc>
          <w:tcPr>
            <w:tcW w:w="1101" w:type="dxa"/>
            <w:tcBorders>
              <w:top w:val="single" w:sz="4" w:space="0" w:color="C0C0C0"/>
              <w:left w:val="single" w:sz="4" w:space="0" w:color="C0C0C0"/>
              <w:bottom w:val="single" w:sz="4" w:space="0" w:color="C0C0C0"/>
              <w:right w:val="single" w:sz="4" w:space="0" w:color="C0C0C0"/>
            </w:tcBorders>
            <w:hideMark/>
          </w:tcPr>
          <w:p w14:paraId="54D6FD13" w14:textId="77777777" w:rsidR="003F39AA" w:rsidRPr="003F39AA" w:rsidRDefault="003F39AA">
            <w:pPr>
              <w:pStyle w:val="TableText10"/>
              <w:spacing w:line="256" w:lineRule="auto"/>
              <w:rPr>
                <w:rFonts w:asciiTheme="minorHAnsi" w:hAnsiTheme="minorHAnsi" w:cstheme="minorHAnsi"/>
                <w:color w:val="595959"/>
                <w:sz w:val="21"/>
                <w:szCs w:val="21"/>
              </w:rPr>
            </w:pPr>
            <w:r w:rsidRPr="003F39AA">
              <w:rPr>
                <w:rFonts w:asciiTheme="minorHAnsi" w:hAnsiTheme="minorHAnsi" w:cstheme="minorHAnsi"/>
                <w:color w:val="595959"/>
                <w:sz w:val="21"/>
                <w:szCs w:val="21"/>
              </w:rPr>
              <w:t>6</w:t>
            </w:r>
          </w:p>
        </w:tc>
        <w:tc>
          <w:tcPr>
            <w:tcW w:w="2977" w:type="dxa"/>
            <w:tcBorders>
              <w:top w:val="single" w:sz="4" w:space="0" w:color="C0C0C0"/>
              <w:left w:val="single" w:sz="4" w:space="0" w:color="C0C0C0"/>
              <w:bottom w:val="single" w:sz="4" w:space="0" w:color="C0C0C0"/>
              <w:right w:val="single" w:sz="4" w:space="0" w:color="C0C0C0"/>
            </w:tcBorders>
            <w:hideMark/>
          </w:tcPr>
          <w:p w14:paraId="56B7B31E" w14:textId="77777777" w:rsidR="003F39AA" w:rsidRPr="003F39AA" w:rsidRDefault="003F39AA">
            <w:pPr>
              <w:pStyle w:val="TableText10"/>
              <w:spacing w:line="256" w:lineRule="auto"/>
              <w:rPr>
                <w:rFonts w:asciiTheme="minorHAnsi" w:hAnsiTheme="minorHAnsi" w:cstheme="minorHAnsi"/>
                <w:color w:val="595959"/>
                <w:sz w:val="21"/>
                <w:szCs w:val="21"/>
              </w:rPr>
            </w:pPr>
            <w:r w:rsidRPr="003F39AA">
              <w:rPr>
                <w:rFonts w:asciiTheme="minorHAnsi" w:hAnsiTheme="minorHAnsi" w:cstheme="minorHAnsi"/>
                <w:color w:val="595959"/>
                <w:sz w:val="21"/>
                <w:szCs w:val="21"/>
              </w:rPr>
              <w:t>official reports of proceedings in the Legislative Assembly in relation to the bill that became the Act</w:t>
            </w:r>
          </w:p>
        </w:tc>
        <w:tc>
          <w:tcPr>
            <w:tcW w:w="2443" w:type="dxa"/>
            <w:tcBorders>
              <w:top w:val="single" w:sz="4" w:space="0" w:color="C0C0C0"/>
              <w:left w:val="single" w:sz="4" w:space="0" w:color="C0C0C0"/>
              <w:bottom w:val="single" w:sz="4" w:space="0" w:color="C0C0C0"/>
              <w:right w:val="single" w:sz="4" w:space="0" w:color="C0C0C0"/>
            </w:tcBorders>
            <w:hideMark/>
          </w:tcPr>
          <w:p w14:paraId="605F7158" w14:textId="77777777" w:rsidR="003F39AA" w:rsidRPr="003F39AA" w:rsidRDefault="003F39AA">
            <w:pPr>
              <w:pStyle w:val="TableText10"/>
              <w:spacing w:line="256" w:lineRule="auto"/>
              <w:rPr>
                <w:rFonts w:asciiTheme="minorHAnsi" w:hAnsiTheme="minorHAnsi" w:cstheme="minorHAnsi"/>
                <w:color w:val="595959"/>
                <w:sz w:val="21"/>
                <w:szCs w:val="21"/>
              </w:rPr>
            </w:pPr>
            <w:r w:rsidRPr="003F39AA">
              <w:rPr>
                <w:rFonts w:asciiTheme="minorHAnsi" w:hAnsiTheme="minorHAnsi" w:cstheme="minorHAnsi"/>
                <w:color w:val="595959"/>
                <w:sz w:val="21"/>
                <w:szCs w:val="21"/>
              </w:rPr>
              <w:t>if the statutory instrument was presented to the Legislative Assembly—official reports of proceedings in the Legislative Assembly in relation to the statutory instrument</w:t>
            </w:r>
          </w:p>
        </w:tc>
      </w:tr>
      <w:tr w:rsidR="003F39AA" w14:paraId="254BCDFE" w14:textId="77777777" w:rsidTr="00540A22">
        <w:trPr>
          <w:cantSplit/>
        </w:trPr>
        <w:tc>
          <w:tcPr>
            <w:tcW w:w="1101" w:type="dxa"/>
            <w:tcBorders>
              <w:top w:val="single" w:sz="4" w:space="0" w:color="C0C0C0"/>
              <w:left w:val="single" w:sz="4" w:space="0" w:color="C0C0C0"/>
              <w:bottom w:val="single" w:sz="4" w:space="0" w:color="C0C0C0"/>
              <w:right w:val="single" w:sz="4" w:space="0" w:color="C0C0C0"/>
            </w:tcBorders>
            <w:hideMark/>
          </w:tcPr>
          <w:p w14:paraId="440B7593" w14:textId="77777777" w:rsidR="003F39AA" w:rsidRPr="003F39AA" w:rsidRDefault="003F39AA">
            <w:pPr>
              <w:pStyle w:val="TableText10"/>
              <w:spacing w:line="256" w:lineRule="auto"/>
              <w:rPr>
                <w:rFonts w:asciiTheme="minorHAnsi" w:hAnsiTheme="minorHAnsi" w:cstheme="minorHAnsi"/>
                <w:color w:val="595959"/>
                <w:sz w:val="21"/>
                <w:szCs w:val="21"/>
              </w:rPr>
            </w:pPr>
            <w:r w:rsidRPr="003F39AA">
              <w:rPr>
                <w:rFonts w:asciiTheme="minorHAnsi" w:hAnsiTheme="minorHAnsi" w:cstheme="minorHAnsi"/>
                <w:color w:val="595959"/>
                <w:sz w:val="21"/>
                <w:szCs w:val="21"/>
              </w:rPr>
              <w:t>7</w:t>
            </w:r>
          </w:p>
        </w:tc>
        <w:tc>
          <w:tcPr>
            <w:tcW w:w="2977" w:type="dxa"/>
            <w:tcBorders>
              <w:top w:val="single" w:sz="4" w:space="0" w:color="C0C0C0"/>
              <w:left w:val="single" w:sz="4" w:space="0" w:color="C0C0C0"/>
              <w:bottom w:val="single" w:sz="4" w:space="0" w:color="C0C0C0"/>
              <w:right w:val="single" w:sz="4" w:space="0" w:color="C0C0C0"/>
            </w:tcBorders>
            <w:hideMark/>
          </w:tcPr>
          <w:p w14:paraId="06AA61F2" w14:textId="77777777" w:rsidR="003F39AA" w:rsidRPr="003F39AA" w:rsidRDefault="003F39AA">
            <w:pPr>
              <w:pStyle w:val="TableText10"/>
              <w:spacing w:line="256" w:lineRule="auto"/>
              <w:rPr>
                <w:rFonts w:asciiTheme="minorHAnsi" w:hAnsiTheme="minorHAnsi" w:cstheme="minorHAnsi"/>
                <w:color w:val="595959"/>
                <w:sz w:val="21"/>
                <w:szCs w:val="21"/>
              </w:rPr>
            </w:pPr>
            <w:r w:rsidRPr="003F39AA">
              <w:rPr>
                <w:rFonts w:asciiTheme="minorHAnsi" w:hAnsiTheme="minorHAnsi" w:cstheme="minorHAnsi"/>
                <w:color w:val="595959"/>
                <w:sz w:val="21"/>
                <w:szCs w:val="21"/>
              </w:rPr>
              <w:t>any relevant treaty or other international agreement to which Australia is a party</w:t>
            </w:r>
          </w:p>
        </w:tc>
        <w:tc>
          <w:tcPr>
            <w:tcW w:w="2443" w:type="dxa"/>
            <w:tcBorders>
              <w:top w:val="single" w:sz="4" w:space="0" w:color="C0C0C0"/>
              <w:left w:val="single" w:sz="4" w:space="0" w:color="C0C0C0"/>
              <w:bottom w:val="single" w:sz="4" w:space="0" w:color="C0C0C0"/>
              <w:right w:val="single" w:sz="4" w:space="0" w:color="C0C0C0"/>
            </w:tcBorders>
            <w:hideMark/>
          </w:tcPr>
          <w:p w14:paraId="517C36B6" w14:textId="77777777" w:rsidR="003F39AA" w:rsidRPr="003F39AA" w:rsidRDefault="003F39AA">
            <w:pPr>
              <w:pStyle w:val="TableText10"/>
              <w:spacing w:line="256" w:lineRule="auto"/>
              <w:rPr>
                <w:rFonts w:asciiTheme="minorHAnsi" w:hAnsiTheme="minorHAnsi" w:cstheme="minorHAnsi"/>
                <w:color w:val="595959"/>
                <w:sz w:val="21"/>
                <w:szCs w:val="21"/>
              </w:rPr>
            </w:pPr>
            <w:r w:rsidRPr="003F39AA">
              <w:rPr>
                <w:rFonts w:asciiTheme="minorHAnsi" w:hAnsiTheme="minorHAnsi" w:cstheme="minorHAnsi"/>
                <w:color w:val="595959"/>
                <w:sz w:val="21"/>
                <w:szCs w:val="21"/>
              </w:rPr>
              <w:t>any relevant treaty or other international agreement to which Australia is a party</w:t>
            </w:r>
          </w:p>
        </w:tc>
      </w:tr>
    </w:tbl>
    <w:p w14:paraId="7684E9EA" w14:textId="3029EC2B" w:rsidR="00073FC9" w:rsidRDefault="003F39AA" w:rsidP="00073FC9">
      <w:pPr>
        <w:pStyle w:val="ListNumber2"/>
        <w:spacing w:before="120" w:after="0"/>
        <w:ind w:left="851"/>
        <w:rPr>
          <w:rFonts w:ascii="Calibri" w:eastAsia="Calibri" w:hAnsi="Calibri" w:cs="Calibri"/>
        </w:rPr>
      </w:pPr>
      <w:r>
        <w:rPr>
          <w:rFonts w:ascii="Calibri" w:eastAsia="Calibri" w:hAnsi="Calibri" w:cs="Calibri"/>
        </w:rPr>
        <w:tab/>
      </w:r>
      <w:r w:rsidRPr="003F39AA">
        <w:rPr>
          <w:rFonts w:ascii="Calibri" w:eastAsia="Calibri" w:hAnsi="Calibri" w:cs="Calibri"/>
        </w:rPr>
        <w:t>[emphasis added]</w:t>
      </w:r>
    </w:p>
    <w:p w14:paraId="61B4BB20" w14:textId="77777777" w:rsidR="003F39AA" w:rsidRPr="003F39AA" w:rsidRDefault="003F39AA" w:rsidP="003F39AA">
      <w:pPr>
        <w:pStyle w:val="ListNumber2"/>
        <w:numPr>
          <w:ilvl w:val="1"/>
          <w:numId w:val="4"/>
        </w:numPr>
        <w:spacing w:before="120" w:after="0"/>
        <w:ind w:left="851" w:hanging="851"/>
        <w:rPr>
          <w:rFonts w:ascii="Calibri" w:eastAsia="Calibri" w:hAnsi="Calibri" w:cs="Calibri"/>
        </w:rPr>
      </w:pPr>
      <w:r w:rsidRPr="003F39AA">
        <w:rPr>
          <w:rFonts w:ascii="Calibri" w:eastAsia="Calibri" w:hAnsi="Calibri" w:cs="Calibri"/>
        </w:rPr>
        <w:t>The point is that a revised explanatory statement can only be used for interpretation purposes if it was tabled within 6 sitting days after the relevant subordinate law, etc was presented to the Assembly.</w:t>
      </w:r>
    </w:p>
    <w:p w14:paraId="6D7B924A" w14:textId="3F5AFBBA" w:rsidR="003F39AA" w:rsidRPr="003F39AA" w:rsidRDefault="003F39AA" w:rsidP="00540A22">
      <w:pPr>
        <w:pStyle w:val="ListNumber2"/>
        <w:keepLines/>
        <w:numPr>
          <w:ilvl w:val="1"/>
          <w:numId w:val="4"/>
        </w:numPr>
        <w:spacing w:before="120" w:after="0"/>
        <w:ind w:left="851" w:hanging="851"/>
        <w:rPr>
          <w:rFonts w:ascii="Calibri" w:eastAsia="Calibri" w:hAnsi="Calibri" w:cs="Calibri"/>
        </w:rPr>
      </w:pPr>
      <w:r w:rsidRPr="003F39AA">
        <w:rPr>
          <w:rFonts w:ascii="Calibri" w:eastAsia="Calibri" w:hAnsi="Calibri" w:cs="Calibri"/>
        </w:rPr>
        <w:lastRenderedPageBreak/>
        <w:t>The Committee notes that it discussed the effect of section 142 at some length in</w:t>
      </w:r>
      <w:r w:rsidRPr="004F541C">
        <w:rPr>
          <w:rFonts w:ascii="Calibri" w:eastAsia="Calibri" w:hAnsi="Calibri" w:cs="Calibri"/>
          <w:i/>
          <w:iCs/>
        </w:rPr>
        <w:t xml:space="preserve"> Scrutiny Report 40</w:t>
      </w:r>
      <w:r w:rsidRPr="003F39AA">
        <w:rPr>
          <w:rFonts w:ascii="Calibri" w:eastAsia="Calibri" w:hAnsi="Calibri" w:cs="Calibri"/>
        </w:rPr>
        <w:t xml:space="preserve"> of the 10</w:t>
      </w:r>
      <w:r w:rsidRPr="004F541C">
        <w:rPr>
          <w:rFonts w:ascii="Calibri" w:eastAsia="Calibri" w:hAnsi="Calibri" w:cs="Calibri"/>
          <w:vertAlign w:val="superscript"/>
        </w:rPr>
        <w:t>th</w:t>
      </w:r>
      <w:r w:rsidRPr="003F39AA">
        <w:rPr>
          <w:rFonts w:ascii="Calibri" w:eastAsia="Calibri" w:hAnsi="Calibri" w:cs="Calibri"/>
        </w:rPr>
        <w:t xml:space="preserve"> Assembly (2 April 2024), in the context of issues arising from the Children and Young People (Kinship and Foster Carers Risk Assessment) Guidelines 2023 (DI2023-202).</w:t>
      </w:r>
      <w:r w:rsidRPr="003F39AA">
        <w:rPr>
          <w:rFonts w:ascii="Calibri" w:eastAsia="Calibri" w:hAnsi="Calibri" w:cs="Calibri"/>
          <w:vertAlign w:val="superscript"/>
        </w:rPr>
        <w:footnoteReference w:id="11"/>
      </w:r>
      <w:r w:rsidRPr="003F39AA">
        <w:rPr>
          <w:rFonts w:ascii="Calibri" w:eastAsia="Calibri" w:hAnsi="Calibri" w:cs="Calibri"/>
        </w:rPr>
        <w:t xml:space="preserve">  In that instance, the relevant Minister agreed to amend an explanatory statement, in the light of the </w:t>
      </w:r>
      <w:r w:rsidR="00774FD3">
        <w:rPr>
          <w:rFonts w:ascii="Calibri" w:eastAsia="Calibri" w:hAnsi="Calibri" w:cs="Calibri"/>
        </w:rPr>
        <w:t>C</w:t>
      </w:r>
      <w:r w:rsidRPr="003F39AA">
        <w:rPr>
          <w:rFonts w:ascii="Calibri" w:eastAsia="Calibri" w:hAnsi="Calibri" w:cs="Calibri"/>
        </w:rPr>
        <w:t>ommittee’s concerns, then came back to the Committee to say that the explanatory statement couldn’t be amended, due to the limitations of section 142.</w:t>
      </w:r>
    </w:p>
    <w:p w14:paraId="38A80EA7" w14:textId="773E9D79" w:rsidR="003F39AA" w:rsidRPr="003F39AA" w:rsidRDefault="003F39AA" w:rsidP="003F39AA">
      <w:pPr>
        <w:pStyle w:val="ListNumber2"/>
        <w:numPr>
          <w:ilvl w:val="1"/>
          <w:numId w:val="4"/>
        </w:numPr>
        <w:spacing w:before="120" w:after="0"/>
        <w:ind w:left="851" w:hanging="851"/>
        <w:rPr>
          <w:rFonts w:ascii="Calibri" w:eastAsia="Calibri" w:hAnsi="Calibri" w:cs="Calibri"/>
        </w:rPr>
      </w:pPr>
      <w:r w:rsidRPr="003F39AA">
        <w:rPr>
          <w:rFonts w:ascii="Calibri" w:eastAsia="Calibri" w:hAnsi="Calibri" w:cs="Calibri"/>
        </w:rPr>
        <w:t>This had been a recurring issue for the Committee.  In the light of the recurrence, the Committee sought to identify a solution, to prevent further recurrence.  The Committee suggested that the most obvious solution was for Ministers to respond to such comments before the Legislative Assembly’s capacity to disallow the instrument/subordinate law in question expires, as the Committee request</w:t>
      </w:r>
      <w:r w:rsidR="00774FD3">
        <w:rPr>
          <w:rFonts w:ascii="Calibri" w:eastAsia="Calibri" w:hAnsi="Calibri" w:cs="Calibri"/>
        </w:rPr>
        <w:t>ed</w:t>
      </w:r>
      <w:r w:rsidRPr="003F39AA">
        <w:rPr>
          <w:rFonts w:ascii="Calibri" w:eastAsia="Calibri" w:hAnsi="Calibri" w:cs="Calibri"/>
        </w:rPr>
        <w:t>, in making the comment.</w:t>
      </w:r>
      <w:r w:rsidRPr="003F39AA">
        <w:rPr>
          <w:rFonts w:ascii="Calibri" w:eastAsia="Calibri" w:hAnsi="Calibri" w:cs="Calibri"/>
          <w:vertAlign w:val="superscript"/>
        </w:rPr>
        <w:footnoteReference w:id="12"/>
      </w:r>
    </w:p>
    <w:p w14:paraId="2246FA8E" w14:textId="77777777" w:rsidR="003F39AA" w:rsidRPr="003F39AA" w:rsidRDefault="003F39AA" w:rsidP="003F39AA">
      <w:pPr>
        <w:pStyle w:val="ListNumber2"/>
        <w:numPr>
          <w:ilvl w:val="1"/>
          <w:numId w:val="4"/>
        </w:numPr>
        <w:spacing w:before="120" w:after="0"/>
        <w:ind w:left="851" w:hanging="851"/>
        <w:rPr>
          <w:rFonts w:ascii="Calibri" w:eastAsia="Calibri" w:hAnsi="Calibri" w:cs="Calibri"/>
        </w:rPr>
      </w:pPr>
      <w:r w:rsidRPr="003F39AA">
        <w:rPr>
          <w:rFonts w:ascii="Calibri" w:eastAsia="Calibri" w:hAnsi="Calibri" w:cs="Calibri"/>
        </w:rPr>
        <w:t xml:space="preserve">The Committee went on to state that, if this was going to continue to be an issue, the Committee may have to </w:t>
      </w:r>
      <w:bookmarkStart w:id="133" w:name="_Hlk162177279"/>
      <w:r w:rsidRPr="003F39AA">
        <w:rPr>
          <w:rFonts w:ascii="Calibri" w:eastAsia="Calibri" w:hAnsi="Calibri" w:cs="Calibri"/>
        </w:rPr>
        <w:t>consider adopting a practice similar to the Senate Standing Committee for the Scrutiny of Delegated Legislation, which issues a “protective notice of motion to disallow”,</w:t>
      </w:r>
      <w:r w:rsidRPr="003F39AA">
        <w:rPr>
          <w:rFonts w:ascii="Calibri" w:eastAsia="Calibri" w:hAnsi="Calibri" w:cs="Calibri"/>
          <w:vertAlign w:val="superscript"/>
        </w:rPr>
        <w:footnoteReference w:id="13"/>
      </w:r>
      <w:r w:rsidRPr="003F39AA">
        <w:rPr>
          <w:rFonts w:ascii="Calibri" w:eastAsia="Calibri" w:hAnsi="Calibri" w:cs="Calibri"/>
        </w:rPr>
        <w:t xml:space="preserve"> to preserve the Senate’s capacity to disallow a legislative instrument, pending the receipt of a satisfactory response.  </w:t>
      </w:r>
      <w:bookmarkEnd w:id="133"/>
      <w:r w:rsidRPr="003F39AA">
        <w:rPr>
          <w:rFonts w:ascii="Calibri" w:eastAsia="Calibri" w:hAnsi="Calibri" w:cs="Calibri"/>
        </w:rPr>
        <w:t>The Committee suggested that this would appear to avoid the issue that has recently arisen with the instruments discussed, at that time.</w:t>
      </w:r>
    </w:p>
    <w:p w14:paraId="1806E3EB" w14:textId="77777777" w:rsidR="003F39AA" w:rsidRPr="003F39AA" w:rsidRDefault="003F39AA" w:rsidP="003F39AA">
      <w:pPr>
        <w:pStyle w:val="ListNumber2"/>
        <w:numPr>
          <w:ilvl w:val="1"/>
          <w:numId w:val="4"/>
        </w:numPr>
        <w:spacing w:before="120" w:after="0"/>
        <w:ind w:left="851" w:hanging="851"/>
        <w:rPr>
          <w:rFonts w:ascii="Calibri" w:eastAsia="Calibri" w:hAnsi="Calibri" w:cs="Calibri"/>
        </w:rPr>
      </w:pPr>
      <w:r w:rsidRPr="003F39AA">
        <w:rPr>
          <w:rFonts w:ascii="Calibri" w:eastAsia="Calibri" w:hAnsi="Calibri" w:cs="Calibri"/>
        </w:rPr>
        <w:t>The Committee also suggested that another option would appear to be to amend the Legislation Act, to remove the limitation on registering amended explanatory statements, outside of the 6-day period.</w:t>
      </w:r>
    </w:p>
    <w:p w14:paraId="5B62690A" w14:textId="77777777" w:rsidR="003F39AA" w:rsidRPr="003F39AA" w:rsidRDefault="003F39AA" w:rsidP="003F39AA">
      <w:pPr>
        <w:pStyle w:val="ListNumber2"/>
        <w:numPr>
          <w:ilvl w:val="1"/>
          <w:numId w:val="4"/>
        </w:numPr>
        <w:spacing w:before="120" w:after="0"/>
        <w:ind w:left="851" w:hanging="851"/>
        <w:rPr>
          <w:rFonts w:ascii="Calibri" w:eastAsia="Calibri" w:hAnsi="Calibri" w:cs="Calibri"/>
        </w:rPr>
      </w:pPr>
      <w:r w:rsidRPr="003F39AA">
        <w:rPr>
          <w:rFonts w:ascii="Calibri" w:eastAsia="Calibri" w:hAnsi="Calibri" w:cs="Calibri"/>
        </w:rPr>
        <w:t>Finally, the Committee suggested that another option, in the interim, might be to include information such as that generated in relation to the instruments it was then dealing with on the ACT Legislation Register, perhaps under the relevant “Law History” tab.</w:t>
      </w:r>
    </w:p>
    <w:p w14:paraId="69648716" w14:textId="77777777" w:rsidR="003F39AA" w:rsidRPr="003F39AA" w:rsidRDefault="003F39AA" w:rsidP="003F39AA">
      <w:pPr>
        <w:pStyle w:val="ListNumber2"/>
        <w:numPr>
          <w:ilvl w:val="1"/>
          <w:numId w:val="4"/>
        </w:numPr>
        <w:spacing w:before="120" w:after="0"/>
        <w:ind w:left="851" w:hanging="851"/>
        <w:rPr>
          <w:rFonts w:ascii="Calibri" w:eastAsia="Calibri" w:hAnsi="Calibri" w:cs="Calibri"/>
        </w:rPr>
      </w:pPr>
      <w:r w:rsidRPr="003F39AA">
        <w:rPr>
          <w:rFonts w:ascii="Calibri" w:eastAsia="Calibri" w:hAnsi="Calibri" w:cs="Calibri"/>
        </w:rPr>
        <w:t>The Committee sought the views of the Minister for Families and Community Services and the Attorney-General on the above discussion.</w:t>
      </w:r>
    </w:p>
    <w:p w14:paraId="509F4AC1" w14:textId="6AD30886" w:rsidR="003F39AA" w:rsidRPr="003F39AA" w:rsidRDefault="003F39AA" w:rsidP="003F39AA">
      <w:pPr>
        <w:pStyle w:val="ListNumber2"/>
        <w:numPr>
          <w:ilvl w:val="1"/>
          <w:numId w:val="4"/>
        </w:numPr>
        <w:spacing w:before="120" w:after="0"/>
        <w:ind w:left="851" w:hanging="851"/>
        <w:rPr>
          <w:rFonts w:ascii="Calibri" w:eastAsia="Calibri" w:hAnsi="Calibri" w:cs="Calibri"/>
        </w:rPr>
      </w:pPr>
      <w:r w:rsidRPr="003F39AA">
        <w:rPr>
          <w:rFonts w:ascii="Calibri" w:eastAsia="Calibri" w:hAnsi="Calibri" w:cs="Calibri"/>
        </w:rPr>
        <w:t>The Minister for Families and Community Services provided a further response, dated 15 March 2024.</w:t>
      </w:r>
      <w:r w:rsidRPr="003F39AA">
        <w:rPr>
          <w:rFonts w:ascii="Calibri" w:eastAsia="Calibri" w:hAnsi="Calibri" w:cs="Calibri"/>
          <w:vertAlign w:val="superscript"/>
        </w:rPr>
        <w:footnoteReference w:id="14"/>
      </w:r>
    </w:p>
    <w:p w14:paraId="0A03C04F" w14:textId="77777777" w:rsidR="003F39AA" w:rsidRPr="003F39AA" w:rsidRDefault="003F39AA" w:rsidP="003F39AA">
      <w:pPr>
        <w:pStyle w:val="ListNumber2"/>
        <w:numPr>
          <w:ilvl w:val="1"/>
          <w:numId w:val="4"/>
        </w:numPr>
        <w:spacing w:before="120" w:after="0"/>
        <w:ind w:left="851" w:hanging="851"/>
        <w:rPr>
          <w:rFonts w:ascii="Calibri" w:eastAsia="Calibri" w:hAnsi="Calibri" w:cs="Calibri"/>
        </w:rPr>
      </w:pPr>
      <w:r w:rsidRPr="003F39AA">
        <w:rPr>
          <w:rFonts w:ascii="Calibri" w:eastAsia="Calibri" w:hAnsi="Calibri" w:cs="Calibri"/>
        </w:rPr>
        <w:t>The Minister stated:</w:t>
      </w:r>
    </w:p>
    <w:p w14:paraId="4CF54348" w14:textId="77777777" w:rsidR="003F39AA" w:rsidRPr="003F39AA" w:rsidRDefault="003F39AA" w:rsidP="00897B84">
      <w:pPr>
        <w:pStyle w:val="Quote"/>
      </w:pPr>
      <w:r w:rsidRPr="003F39AA">
        <w:t>To prevent recurrence and ensure revised explanatory statements are tabled in the Legislative Assembly within the disallowance period in the future, whole of ACT Government directorate guidance material has been reviewed and updated. The information now includes clearer guidance regarding the timeframe for tabling of a revised explanatory statement being the same as the requirement to provide a response to the Committee within the disallowance period.</w:t>
      </w:r>
    </w:p>
    <w:p w14:paraId="7822FDEA" w14:textId="77777777" w:rsidR="003F39AA" w:rsidRPr="003F39AA" w:rsidRDefault="003F39AA" w:rsidP="003F39AA">
      <w:pPr>
        <w:pStyle w:val="ListNumber2"/>
        <w:numPr>
          <w:ilvl w:val="1"/>
          <w:numId w:val="4"/>
        </w:numPr>
        <w:spacing w:before="120" w:after="0"/>
        <w:ind w:left="851" w:hanging="851"/>
        <w:rPr>
          <w:rFonts w:ascii="Calibri" w:eastAsia="Calibri" w:hAnsi="Calibri" w:cs="Calibri"/>
        </w:rPr>
      </w:pPr>
      <w:r w:rsidRPr="003F39AA">
        <w:rPr>
          <w:rFonts w:ascii="Calibri" w:eastAsia="Calibri" w:hAnsi="Calibri" w:cs="Calibri"/>
        </w:rPr>
        <w:lastRenderedPageBreak/>
        <w:t>The Committee welcomed this response to the Committee’s concerns.</w:t>
      </w:r>
    </w:p>
    <w:p w14:paraId="7173F543" w14:textId="77777777" w:rsidR="003F39AA" w:rsidRPr="003F39AA" w:rsidRDefault="003F39AA" w:rsidP="003F39AA">
      <w:pPr>
        <w:pStyle w:val="ListNumber2"/>
        <w:numPr>
          <w:ilvl w:val="1"/>
          <w:numId w:val="4"/>
        </w:numPr>
        <w:spacing w:before="120" w:after="0"/>
        <w:ind w:left="851" w:hanging="851"/>
        <w:rPr>
          <w:rFonts w:ascii="Calibri" w:eastAsia="Calibri" w:hAnsi="Calibri" w:cs="Calibri"/>
        </w:rPr>
      </w:pPr>
      <w:r w:rsidRPr="003F39AA">
        <w:rPr>
          <w:rFonts w:ascii="Calibri" w:eastAsia="Calibri" w:hAnsi="Calibri" w:cs="Calibri"/>
        </w:rPr>
        <w:t>The Minister went on:</w:t>
      </w:r>
    </w:p>
    <w:p w14:paraId="089503E7" w14:textId="77777777" w:rsidR="003F39AA" w:rsidRPr="003F39AA" w:rsidRDefault="003F39AA" w:rsidP="00897B84">
      <w:pPr>
        <w:pStyle w:val="Quote"/>
      </w:pPr>
      <w:r w:rsidRPr="003F39AA">
        <w:t xml:space="preserve">The Committee also suggested the </w:t>
      </w:r>
      <w:r w:rsidRPr="00897B84">
        <w:rPr>
          <w:i/>
          <w:iCs/>
        </w:rPr>
        <w:t>Legislation Act 2001</w:t>
      </w:r>
      <w:r w:rsidRPr="003F39AA">
        <w:t xml:space="preserve"> could be amended ‘to remove the limitation on registering amended explanatory statements, outside of the disallowance period’. The main purposes of explanatory statements are to: </w:t>
      </w:r>
    </w:p>
    <w:p w14:paraId="1947CA46" w14:textId="77777777" w:rsidR="00897B84" w:rsidRDefault="003F39AA" w:rsidP="00897B84">
      <w:pPr>
        <w:pStyle w:val="Quote"/>
        <w:numPr>
          <w:ilvl w:val="4"/>
          <w:numId w:val="43"/>
        </w:numPr>
        <w:ind w:left="1560" w:hanging="426"/>
      </w:pPr>
      <w:r w:rsidRPr="003F39AA">
        <w:t xml:space="preserve">provide the Legislative Assembly with information about the purpose and effect of proposed legislation that is before the Assembly, to assist it in its deliberations on the legislation; and </w:t>
      </w:r>
    </w:p>
    <w:p w14:paraId="0009EB0A" w14:textId="7A5E935A" w:rsidR="003F39AA" w:rsidRPr="003F39AA" w:rsidRDefault="003F39AA" w:rsidP="00897B84">
      <w:pPr>
        <w:pStyle w:val="Quote"/>
        <w:numPr>
          <w:ilvl w:val="4"/>
          <w:numId w:val="43"/>
        </w:numPr>
        <w:ind w:left="1560" w:hanging="426"/>
      </w:pPr>
      <w:r w:rsidRPr="003F39AA">
        <w:t xml:space="preserve">aid in the interpretation of the legislation once it has taken effect. </w:t>
      </w:r>
    </w:p>
    <w:p w14:paraId="178A8287" w14:textId="77777777" w:rsidR="003F39AA" w:rsidRPr="003F39AA" w:rsidRDefault="003F39AA" w:rsidP="00897B84">
      <w:pPr>
        <w:pStyle w:val="Quote"/>
      </w:pPr>
      <w:r w:rsidRPr="003F39AA">
        <w:t xml:space="preserve">The Parliamentary Counsel notes explanatory statements tabled after the disallowance period do not achieve either of these main purposes and publishing them is potentially misleading. This is because deliberation on the legislation associated with explanatory statements provided outside of the disallowance period has concluded. Further, a court interpreting a law would only consider explanatory statements tabled while a law is before parliament. This is recognised in the Legislation Act 2001, section 142. As such, the Government does not intend to amend the Legislation Act 2001 in response to the Committee’s suggestion. </w:t>
      </w:r>
    </w:p>
    <w:p w14:paraId="37BE28BF" w14:textId="77777777" w:rsidR="003F39AA" w:rsidRPr="003F39AA" w:rsidRDefault="003F39AA" w:rsidP="003F39AA">
      <w:pPr>
        <w:pStyle w:val="ListNumber2"/>
        <w:numPr>
          <w:ilvl w:val="1"/>
          <w:numId w:val="4"/>
        </w:numPr>
        <w:spacing w:before="120" w:after="0"/>
        <w:ind w:left="851" w:hanging="851"/>
        <w:rPr>
          <w:rFonts w:ascii="Calibri" w:eastAsia="Calibri" w:hAnsi="Calibri" w:cs="Calibri"/>
        </w:rPr>
      </w:pPr>
      <w:r w:rsidRPr="003F39AA">
        <w:rPr>
          <w:rFonts w:ascii="Calibri" w:eastAsia="Calibri" w:hAnsi="Calibri" w:cs="Calibri"/>
        </w:rPr>
        <w:t>The Committee noted the Minister’s views relating to the limitations imposed by section 142 of the Legislation Act and observed that those limitations could, of course, be removed.</w:t>
      </w:r>
    </w:p>
    <w:p w14:paraId="152DF542" w14:textId="77777777" w:rsidR="003F39AA" w:rsidRPr="003F39AA" w:rsidRDefault="003F39AA" w:rsidP="003F39AA">
      <w:pPr>
        <w:pStyle w:val="ListNumber2"/>
        <w:numPr>
          <w:ilvl w:val="1"/>
          <w:numId w:val="4"/>
        </w:numPr>
        <w:spacing w:before="120" w:after="0"/>
        <w:ind w:left="851" w:hanging="851"/>
        <w:rPr>
          <w:rFonts w:ascii="Calibri" w:eastAsia="Calibri" w:hAnsi="Calibri" w:cs="Calibri"/>
        </w:rPr>
      </w:pPr>
      <w:r w:rsidRPr="003F39AA">
        <w:rPr>
          <w:rFonts w:ascii="Calibri" w:eastAsia="Calibri" w:hAnsi="Calibri" w:cs="Calibri"/>
        </w:rPr>
        <w:t xml:space="preserve">Finally, on the Committee’s suggestion that it might consider adopting a practice </w:t>
      </w:r>
      <w:proofErr w:type="gramStart"/>
      <w:r w:rsidRPr="003F39AA">
        <w:rPr>
          <w:rFonts w:ascii="Calibri" w:eastAsia="Calibri" w:hAnsi="Calibri" w:cs="Calibri"/>
        </w:rPr>
        <w:t>similar to</w:t>
      </w:r>
      <w:proofErr w:type="gramEnd"/>
      <w:r w:rsidRPr="003F39AA">
        <w:rPr>
          <w:rFonts w:ascii="Calibri" w:eastAsia="Calibri" w:hAnsi="Calibri" w:cs="Calibri"/>
        </w:rPr>
        <w:t xml:space="preserve"> the Senate Standing Committee for the Scrutiny of Delegated Legislation, which issues a “protective notice of motion to disallow”,</w:t>
      </w:r>
      <w:r w:rsidRPr="003F39AA">
        <w:rPr>
          <w:rFonts w:ascii="Calibri" w:eastAsia="Calibri" w:hAnsi="Calibri" w:cs="Calibri"/>
          <w:vertAlign w:val="superscript"/>
        </w:rPr>
        <w:footnoteReference w:id="15"/>
      </w:r>
      <w:r w:rsidRPr="003F39AA">
        <w:rPr>
          <w:rFonts w:ascii="Calibri" w:eastAsia="Calibri" w:hAnsi="Calibri" w:cs="Calibri"/>
        </w:rPr>
        <w:t xml:space="preserve"> to preserve the Senate’s capacity to disallow a legislative instrument, pending the receipt of a satisfactory response, the Minister stated:  </w:t>
      </w:r>
    </w:p>
    <w:p w14:paraId="1F26AC63" w14:textId="77777777" w:rsidR="003F39AA" w:rsidRPr="003F39AA" w:rsidRDefault="003F39AA" w:rsidP="00897B84">
      <w:pPr>
        <w:pStyle w:val="Quote"/>
      </w:pPr>
      <w:r w:rsidRPr="003F39AA">
        <w:t xml:space="preserve">I note the Committee’s comment regarding the possibility of the Committee adopting a practice </w:t>
      </w:r>
      <w:proofErr w:type="gramStart"/>
      <w:r w:rsidRPr="003F39AA">
        <w:t>similar to</w:t>
      </w:r>
      <w:proofErr w:type="gramEnd"/>
      <w:r w:rsidRPr="003F39AA">
        <w:t xml:space="preserve"> the Federal Government to move a ‘protective notice of motion to disallow’, which would grant an additional disallowance period to resolve any outstanding matters. It is at the discretion of the Committee as to </w:t>
      </w:r>
      <w:proofErr w:type="gramStart"/>
      <w:r w:rsidRPr="003F39AA">
        <w:t>whether or not</w:t>
      </w:r>
      <w:proofErr w:type="gramEnd"/>
      <w:r w:rsidRPr="003F39AA">
        <w:t xml:space="preserve"> to adopt this practice and to consider any legislative change which may be required to facilitate such a practice.</w:t>
      </w:r>
    </w:p>
    <w:p w14:paraId="29B0096A" w14:textId="7C02043F" w:rsidR="003F39AA" w:rsidRPr="003F39AA" w:rsidRDefault="003F39AA" w:rsidP="003F39AA">
      <w:pPr>
        <w:pStyle w:val="ListNumber2"/>
        <w:numPr>
          <w:ilvl w:val="1"/>
          <w:numId w:val="4"/>
        </w:numPr>
        <w:spacing w:before="120" w:after="0"/>
        <w:ind w:left="851" w:hanging="851"/>
        <w:rPr>
          <w:rFonts w:ascii="Calibri" w:eastAsia="Calibri" w:hAnsi="Calibri" w:cs="Calibri"/>
        </w:rPr>
      </w:pPr>
      <w:r w:rsidRPr="003F39AA">
        <w:rPr>
          <w:rFonts w:ascii="Calibri" w:eastAsia="Calibri" w:hAnsi="Calibri" w:cs="Calibri"/>
        </w:rPr>
        <w:t xml:space="preserve">In response, the Committee indicated that it was its understanding that the Senate Committee approach is merely a </w:t>
      </w:r>
      <w:proofErr w:type="gramStart"/>
      <w:r w:rsidRPr="003F39AA">
        <w:rPr>
          <w:rFonts w:ascii="Calibri" w:eastAsia="Calibri" w:hAnsi="Calibri" w:cs="Calibri"/>
        </w:rPr>
        <w:t>Committee</w:t>
      </w:r>
      <w:proofErr w:type="gramEnd"/>
      <w:r w:rsidRPr="003F39AA">
        <w:rPr>
          <w:rFonts w:ascii="Calibri" w:eastAsia="Calibri" w:hAnsi="Calibri" w:cs="Calibri"/>
        </w:rPr>
        <w:t xml:space="preserve"> practice and does not involve legislative or standing order authorisation.  The Committee decided, should there be a recurrence of this issue, it w</w:t>
      </w:r>
      <w:r w:rsidR="006723C9">
        <w:rPr>
          <w:rFonts w:ascii="Calibri" w:eastAsia="Calibri" w:hAnsi="Calibri" w:cs="Calibri"/>
        </w:rPr>
        <w:t>ould</w:t>
      </w:r>
      <w:r w:rsidRPr="003F39AA">
        <w:rPr>
          <w:rFonts w:ascii="Calibri" w:eastAsia="Calibri" w:hAnsi="Calibri" w:cs="Calibri"/>
        </w:rPr>
        <w:t xml:space="preserve"> move a protective notice of motion to disallow. </w:t>
      </w:r>
    </w:p>
    <w:p w14:paraId="6165EADE" w14:textId="77777777" w:rsidR="003F39AA" w:rsidRPr="003F39AA" w:rsidRDefault="003F39AA" w:rsidP="003F39AA">
      <w:pPr>
        <w:pStyle w:val="ListNumber2"/>
        <w:numPr>
          <w:ilvl w:val="1"/>
          <w:numId w:val="4"/>
        </w:numPr>
        <w:spacing w:before="120" w:after="0"/>
        <w:ind w:left="851" w:hanging="851"/>
        <w:rPr>
          <w:rFonts w:ascii="Calibri" w:eastAsia="Calibri" w:hAnsi="Calibri" w:cs="Calibri"/>
        </w:rPr>
      </w:pPr>
      <w:r w:rsidRPr="003F39AA">
        <w:rPr>
          <w:rFonts w:ascii="Calibri" w:eastAsia="Calibri" w:hAnsi="Calibri" w:cs="Calibri"/>
        </w:rPr>
        <w:t>This has occurred, in this case.</w:t>
      </w:r>
    </w:p>
    <w:p w14:paraId="1DF02BCE" w14:textId="538121A6" w:rsidR="003F39AA" w:rsidRPr="003F39AA" w:rsidRDefault="003F39AA" w:rsidP="003F39AA">
      <w:pPr>
        <w:pStyle w:val="ListNumber2"/>
        <w:numPr>
          <w:ilvl w:val="1"/>
          <w:numId w:val="4"/>
        </w:numPr>
        <w:spacing w:before="120" w:after="0"/>
        <w:ind w:left="851" w:hanging="851"/>
        <w:rPr>
          <w:rFonts w:ascii="Calibri" w:eastAsia="Calibri" w:hAnsi="Calibri" w:cs="Calibri"/>
        </w:rPr>
      </w:pPr>
      <w:r w:rsidRPr="003F39AA">
        <w:rPr>
          <w:rFonts w:ascii="Calibri" w:eastAsia="Calibri" w:hAnsi="Calibri" w:cs="Calibri"/>
        </w:rPr>
        <w:t xml:space="preserve">However, the problem has still arisen, because the amended explanatory statement was not made available until after the </w:t>
      </w:r>
      <w:r w:rsidR="00774FD3">
        <w:rPr>
          <w:rFonts w:ascii="Calibri" w:eastAsia="Calibri" w:hAnsi="Calibri" w:cs="Calibri"/>
        </w:rPr>
        <w:t>6</w:t>
      </w:r>
      <w:r w:rsidRPr="003F39AA">
        <w:rPr>
          <w:rFonts w:ascii="Calibri" w:eastAsia="Calibri" w:hAnsi="Calibri" w:cs="Calibri"/>
        </w:rPr>
        <w:t xml:space="preserve"> sitting day period had elapsed.</w:t>
      </w:r>
    </w:p>
    <w:p w14:paraId="21CD398E" w14:textId="77777777" w:rsidR="003F39AA" w:rsidRPr="003F39AA" w:rsidRDefault="003F39AA" w:rsidP="003F39AA">
      <w:pPr>
        <w:pStyle w:val="ListNumber2"/>
        <w:numPr>
          <w:ilvl w:val="1"/>
          <w:numId w:val="4"/>
        </w:numPr>
        <w:spacing w:before="120" w:after="0"/>
        <w:ind w:left="851" w:hanging="851"/>
        <w:rPr>
          <w:rFonts w:ascii="Calibri" w:eastAsia="Calibri" w:hAnsi="Calibri" w:cs="Calibri"/>
        </w:rPr>
      </w:pPr>
      <w:r w:rsidRPr="003F39AA">
        <w:rPr>
          <w:rFonts w:ascii="Calibri" w:eastAsia="Calibri" w:hAnsi="Calibri" w:cs="Calibri"/>
        </w:rPr>
        <w:lastRenderedPageBreak/>
        <w:t>The Committee notes that it could still support the current notice of motion to disallow the subordinate law.  This would, clearly, be unhelpful, especially given that a satisfactory explanatory statement has now been produced.  However, the problem (obviously) continues, to the Committee’s disappointment.</w:t>
      </w:r>
    </w:p>
    <w:p w14:paraId="5925CD82" w14:textId="77777777" w:rsidR="003F39AA" w:rsidRPr="003F39AA" w:rsidRDefault="003F39AA" w:rsidP="003F39AA">
      <w:pPr>
        <w:pStyle w:val="ListNumber2"/>
        <w:numPr>
          <w:ilvl w:val="1"/>
          <w:numId w:val="4"/>
        </w:numPr>
        <w:spacing w:before="120" w:after="0"/>
        <w:ind w:left="851" w:hanging="851"/>
        <w:rPr>
          <w:rFonts w:ascii="Calibri" w:eastAsia="Calibri" w:hAnsi="Calibri" w:cs="Calibri"/>
        </w:rPr>
      </w:pPr>
      <w:r w:rsidRPr="003F39AA">
        <w:rPr>
          <w:rFonts w:ascii="Calibri" w:eastAsia="Calibri" w:hAnsi="Calibri" w:cs="Calibri"/>
        </w:rPr>
        <w:t>The Committee’s expectations regarding explanatory statements are long-stated and should be well-known.  The more recent application of the Human Rights Act to subordinate laws might be less well-known but the Committee has been clear in stating its views and expectations.</w:t>
      </w:r>
    </w:p>
    <w:p w14:paraId="6FFA69DF" w14:textId="42E8E39D" w:rsidR="004C5EF8" w:rsidRDefault="003F39AA" w:rsidP="004F5D16">
      <w:pPr>
        <w:pStyle w:val="ListNumber2"/>
        <w:numPr>
          <w:ilvl w:val="1"/>
          <w:numId w:val="4"/>
        </w:numPr>
        <w:spacing w:before="120" w:after="0"/>
        <w:ind w:left="851" w:hanging="851"/>
        <w:rPr>
          <w:rFonts w:ascii="Calibri" w:eastAsia="Calibri" w:hAnsi="Calibri" w:cs="Calibri"/>
        </w:rPr>
      </w:pPr>
      <w:r w:rsidRPr="003F39AA">
        <w:rPr>
          <w:rFonts w:ascii="Calibri" w:eastAsia="Calibri" w:hAnsi="Calibri" w:cs="Calibri"/>
        </w:rPr>
        <w:t>The Attorney-General’s suggestions, regarding how the revised explanatory statement might be made accessible, in this instance, are welcome.  But the fundamental problem remains</w:t>
      </w:r>
      <w:r w:rsidR="003D79D0" w:rsidRPr="004F5D16">
        <w:rPr>
          <w:rFonts w:ascii="Calibri" w:eastAsia="Calibri" w:hAnsi="Calibri" w:cs="Calibri"/>
        </w:rPr>
        <w:t>.</w:t>
      </w:r>
    </w:p>
    <w:p w14:paraId="10E1601F" w14:textId="4C5683A8" w:rsidR="004F5D16" w:rsidRPr="004F5D16" w:rsidRDefault="004F5D16" w:rsidP="004F5D16">
      <w:pPr>
        <w:pStyle w:val="ListNumber2"/>
        <w:numPr>
          <w:ilvl w:val="1"/>
          <w:numId w:val="4"/>
        </w:numPr>
        <w:spacing w:before="120" w:after="0"/>
        <w:ind w:left="851" w:hanging="851"/>
        <w:rPr>
          <w:rFonts w:ascii="Calibri" w:eastAsia="Calibri" w:hAnsi="Calibri" w:cs="Calibri"/>
        </w:rPr>
      </w:pPr>
      <w:r>
        <w:rPr>
          <w:rFonts w:ascii="Calibri" w:eastAsia="Calibri" w:hAnsi="Calibri" w:cs="Calibri"/>
        </w:rPr>
        <w:t>The Committee would welcome further consideration of amend</w:t>
      </w:r>
      <w:r w:rsidR="0027330F">
        <w:rPr>
          <w:rFonts w:ascii="Calibri" w:eastAsia="Calibri" w:hAnsi="Calibri" w:cs="Calibri"/>
        </w:rPr>
        <w:t>ing</w:t>
      </w:r>
      <w:r>
        <w:rPr>
          <w:rFonts w:ascii="Calibri" w:eastAsia="Calibri" w:hAnsi="Calibri" w:cs="Calibri"/>
        </w:rPr>
        <w:t xml:space="preserve"> section 142 of the Legislation Act to cover extended disallowance period</w:t>
      </w:r>
      <w:r w:rsidR="00C0003D">
        <w:rPr>
          <w:rFonts w:ascii="Calibri" w:eastAsia="Calibri" w:hAnsi="Calibri" w:cs="Calibri"/>
        </w:rPr>
        <w:t>s</w:t>
      </w:r>
      <w:r>
        <w:rPr>
          <w:rFonts w:ascii="Calibri" w:eastAsia="Calibri" w:hAnsi="Calibri" w:cs="Calibri"/>
        </w:rPr>
        <w:t>.</w:t>
      </w:r>
    </w:p>
    <w:p w14:paraId="2F27A84E" w14:textId="1DBA654A" w:rsidR="00911F03" w:rsidRDefault="00511B62" w:rsidP="00911F03">
      <w:pPr>
        <w:pStyle w:val="Heading20"/>
        <w:rPr>
          <w:rFonts w:eastAsia="Calibri"/>
        </w:rPr>
      </w:pPr>
      <w:bookmarkStart w:id="134" w:name="_Toc227841493"/>
      <w:r>
        <w:rPr>
          <w:rFonts w:eastAsia="Calibri"/>
        </w:rPr>
        <w:t>Government responses—</w:t>
      </w:r>
      <w:r w:rsidR="00911F03">
        <w:rPr>
          <w:rFonts w:eastAsia="Calibri"/>
        </w:rPr>
        <w:t>No comment</w:t>
      </w:r>
      <w:bookmarkEnd w:id="134"/>
    </w:p>
    <w:p w14:paraId="1F708178" w14:textId="0BCD962F" w:rsidR="00911F03" w:rsidRDefault="00911F03" w:rsidP="00911F03">
      <w:pPr>
        <w:pStyle w:val="ListNumber2"/>
        <w:numPr>
          <w:ilvl w:val="1"/>
          <w:numId w:val="4"/>
        </w:numPr>
        <w:spacing w:before="120" w:after="0"/>
        <w:ind w:left="851" w:hanging="851"/>
        <w:rPr>
          <w:rFonts w:ascii="Calibri" w:eastAsia="Calibri" w:hAnsi="Calibri" w:cs="Calibri"/>
          <w:color w:val="000000"/>
        </w:rPr>
      </w:pPr>
      <w:r>
        <w:rPr>
          <w:rFonts w:ascii="Calibri" w:eastAsia="Calibri" w:hAnsi="Calibri" w:cs="Calibri"/>
          <w:color w:val="000000"/>
        </w:rPr>
        <w:t>The Committee received response</w:t>
      </w:r>
      <w:r w:rsidR="00511B62">
        <w:rPr>
          <w:rFonts w:ascii="Calibri" w:eastAsia="Calibri" w:hAnsi="Calibri" w:cs="Calibri"/>
          <w:color w:val="000000"/>
        </w:rPr>
        <w:t>s</w:t>
      </w:r>
      <w:r>
        <w:rPr>
          <w:rFonts w:ascii="Calibri" w:eastAsia="Calibri" w:hAnsi="Calibri" w:cs="Calibri"/>
          <w:color w:val="000000"/>
        </w:rPr>
        <w:t xml:space="preserve"> to the Committee’s comment on the following subordinate legislation and </w:t>
      </w:r>
      <w:r w:rsidR="00511B62">
        <w:rPr>
          <w:rFonts w:ascii="Calibri" w:eastAsia="Calibri" w:hAnsi="Calibri" w:cs="Calibri"/>
          <w:color w:val="000000"/>
        </w:rPr>
        <w:t xml:space="preserve">national law and </w:t>
      </w:r>
      <w:r>
        <w:rPr>
          <w:rFonts w:ascii="Calibri" w:eastAsia="Calibri" w:hAnsi="Calibri" w:cs="Calibri"/>
          <w:color w:val="000000"/>
        </w:rPr>
        <w:t xml:space="preserve">has no further comment: </w:t>
      </w:r>
    </w:p>
    <w:p w14:paraId="3A2396DC" w14:textId="66DA799F" w:rsidR="00911F03" w:rsidRDefault="00911F03" w:rsidP="00911F03">
      <w:pPr>
        <w:pStyle w:val="ListNumber2"/>
        <w:numPr>
          <w:ilvl w:val="0"/>
          <w:numId w:val="31"/>
        </w:numPr>
        <w:spacing w:before="120" w:after="0"/>
        <w:ind w:left="1208" w:hanging="357"/>
      </w:pPr>
      <w:r w:rsidRPr="00727383">
        <w:rPr>
          <w:rFonts w:ascii="Calibri" w:eastAsia="Calibri" w:hAnsi="Calibri" w:cs="Calibri"/>
          <w:color w:val="000000"/>
        </w:rPr>
        <w:t>Disallowable</w:t>
      </w:r>
      <w:r>
        <w:t xml:space="preserve"> Instrument DI2026-15 being the Major Events (2026 Winter Sports Season Events) Notice 2026.</w:t>
      </w:r>
    </w:p>
    <w:p w14:paraId="02909C72" w14:textId="4E798A18" w:rsidR="00511B62" w:rsidRDefault="00511B62" w:rsidP="00911F03">
      <w:pPr>
        <w:pStyle w:val="ListNumber2"/>
        <w:numPr>
          <w:ilvl w:val="0"/>
          <w:numId w:val="31"/>
        </w:numPr>
        <w:spacing w:before="120" w:after="0"/>
        <w:ind w:left="1208" w:hanging="357"/>
      </w:pPr>
      <w:r w:rsidRPr="00511B62">
        <w:t>Education and Care Services National Further Amendment Regulations 2025 (NSW)</w:t>
      </w:r>
      <w:r>
        <w:t>.</w:t>
      </w:r>
    </w:p>
    <w:p w14:paraId="025F4D98" w14:textId="2AAE85B2" w:rsidR="00911F03" w:rsidRDefault="00911F03" w:rsidP="00911F03">
      <w:pPr>
        <w:pStyle w:val="ListNumber2"/>
        <w:numPr>
          <w:ilvl w:val="1"/>
          <w:numId w:val="4"/>
        </w:numPr>
        <w:spacing w:before="120" w:after="0"/>
        <w:ind w:left="851" w:hanging="851"/>
        <w:rPr>
          <w:rFonts w:ascii="Calibri" w:eastAsia="Calibri" w:hAnsi="Calibri" w:cs="Calibri"/>
          <w:color w:val="000000"/>
        </w:rPr>
      </w:pPr>
      <w:r>
        <w:rPr>
          <w:rFonts w:ascii="Calibri" w:eastAsia="Calibri" w:hAnsi="Calibri" w:cs="Calibri"/>
          <w:color w:val="000000"/>
        </w:rPr>
        <w:t>The response</w:t>
      </w:r>
      <w:r w:rsidR="00511B62">
        <w:rPr>
          <w:rFonts w:ascii="Calibri" w:eastAsia="Calibri" w:hAnsi="Calibri" w:cs="Calibri"/>
          <w:color w:val="000000"/>
        </w:rPr>
        <w:t>s</w:t>
      </w:r>
      <w:r>
        <w:rPr>
          <w:rFonts w:ascii="Calibri" w:eastAsia="Calibri" w:hAnsi="Calibri" w:cs="Calibri"/>
          <w:color w:val="000000"/>
        </w:rPr>
        <w:t xml:space="preserve"> can be viewed online.</w:t>
      </w:r>
      <w:r>
        <w:rPr>
          <w:rStyle w:val="FootnoteReference"/>
          <w:rFonts w:ascii="Calibri" w:eastAsia="Calibri" w:hAnsi="Calibri" w:cs="Calibri"/>
          <w:color w:val="000000"/>
        </w:rPr>
        <w:footnoteReference w:id="16"/>
      </w:r>
    </w:p>
    <w:p w14:paraId="1D306144" w14:textId="653C5766" w:rsidR="00911F03" w:rsidRPr="00B3323C" w:rsidRDefault="00911F03" w:rsidP="00911F03">
      <w:pPr>
        <w:pStyle w:val="ListNumber2"/>
        <w:numPr>
          <w:ilvl w:val="1"/>
          <w:numId w:val="4"/>
        </w:numPr>
        <w:spacing w:before="120" w:after="0"/>
        <w:ind w:left="851" w:hanging="851"/>
        <w:rPr>
          <w:rFonts w:ascii="Calibri" w:eastAsia="Calibri" w:hAnsi="Calibri" w:cs="Calibri"/>
          <w:color w:val="000000"/>
        </w:rPr>
      </w:pPr>
      <w:r>
        <w:rPr>
          <w:rFonts w:ascii="Calibri" w:eastAsia="Calibri" w:hAnsi="Calibri" w:cs="Calibri"/>
          <w:color w:val="000000"/>
        </w:rPr>
        <w:t xml:space="preserve">The Committee thanks the Attorney-General </w:t>
      </w:r>
      <w:r w:rsidR="00511B62">
        <w:rPr>
          <w:rFonts w:ascii="Calibri" w:eastAsia="Calibri" w:hAnsi="Calibri" w:cs="Calibri"/>
          <w:color w:val="000000"/>
        </w:rPr>
        <w:t xml:space="preserve">and the Minister for Education and Early Childhood </w:t>
      </w:r>
      <w:r>
        <w:rPr>
          <w:rFonts w:ascii="Calibri" w:eastAsia="Calibri" w:hAnsi="Calibri" w:cs="Calibri"/>
          <w:color w:val="000000"/>
        </w:rPr>
        <w:t>for the</w:t>
      </w:r>
      <w:r w:rsidR="00511B62">
        <w:rPr>
          <w:rFonts w:ascii="Calibri" w:eastAsia="Calibri" w:hAnsi="Calibri" w:cs="Calibri"/>
          <w:color w:val="000000"/>
        </w:rPr>
        <w:t>se</w:t>
      </w:r>
      <w:r>
        <w:rPr>
          <w:rFonts w:ascii="Calibri" w:eastAsia="Calibri" w:hAnsi="Calibri" w:cs="Calibri"/>
          <w:color w:val="000000"/>
        </w:rPr>
        <w:t xml:space="preserve"> response</w:t>
      </w:r>
      <w:r w:rsidR="00511B62">
        <w:rPr>
          <w:rFonts w:ascii="Calibri" w:eastAsia="Calibri" w:hAnsi="Calibri" w:cs="Calibri"/>
          <w:color w:val="000000"/>
        </w:rPr>
        <w:t>s</w:t>
      </w:r>
      <w:r>
        <w:rPr>
          <w:rFonts w:ascii="Calibri" w:eastAsia="Calibri" w:hAnsi="Calibri" w:cs="Calibri"/>
          <w:color w:val="000000"/>
        </w:rPr>
        <w:t>.</w:t>
      </w:r>
    </w:p>
    <w:p w14:paraId="205A77DD" w14:textId="77777777" w:rsidR="00207130" w:rsidRPr="00207130" w:rsidRDefault="00207130" w:rsidP="00207130">
      <w:pPr>
        <w:spacing w:before="80" w:after="120" w:line="280" w:lineRule="auto"/>
        <w:rPr>
          <w:rFonts w:ascii="Calibri" w:eastAsia="Calibri" w:hAnsi="Calibri" w:cs="Calibri"/>
          <w:bCs/>
          <w:color w:val="000000" w:themeColor="text1"/>
          <w:szCs w:val="20"/>
        </w:rPr>
      </w:pPr>
    </w:p>
    <w:p w14:paraId="2C71A9F0" w14:textId="77777777" w:rsidR="00727383" w:rsidRDefault="00727383" w:rsidP="00727383">
      <w:pPr>
        <w:pStyle w:val="ListNumber2"/>
        <w:spacing w:before="120" w:after="0"/>
        <w:rPr>
          <w:rFonts w:ascii="Calibri" w:eastAsia="Calibri" w:hAnsi="Calibri" w:cs="Calibri"/>
          <w:color w:val="000000"/>
        </w:rPr>
      </w:pPr>
    </w:p>
    <w:p w14:paraId="2C3194E5" w14:textId="77777777" w:rsidR="00727383" w:rsidRDefault="00727383" w:rsidP="00727383">
      <w:pPr>
        <w:pStyle w:val="ListNumber2"/>
        <w:spacing w:before="120" w:after="0"/>
        <w:rPr>
          <w:rFonts w:ascii="Calibri" w:eastAsia="Calibri" w:hAnsi="Calibri" w:cs="Calibri"/>
          <w:color w:val="000000"/>
        </w:rPr>
      </w:pPr>
    </w:p>
    <w:p w14:paraId="528CA4DB" w14:textId="77777777" w:rsidR="00384DC8" w:rsidRPr="00727383" w:rsidRDefault="00384DC8" w:rsidP="00727383">
      <w:pPr>
        <w:pStyle w:val="ListNumber2"/>
        <w:spacing w:before="120" w:after="0"/>
        <w:rPr>
          <w:rFonts w:ascii="Calibri" w:eastAsia="Calibri" w:hAnsi="Calibri" w:cs="Calibri"/>
          <w:color w:val="000000"/>
        </w:rPr>
      </w:pPr>
    </w:p>
    <w:p w14:paraId="42B14AEA" w14:textId="75D37594" w:rsidR="002E768B" w:rsidRPr="00ED62E0" w:rsidRDefault="00555331" w:rsidP="005729A1">
      <w:pPr>
        <w:pStyle w:val="ListNumber2"/>
        <w:spacing w:before="240" w:after="0"/>
        <w:rPr>
          <w:rFonts w:ascii="Calibri" w:eastAsia="Calibri" w:hAnsi="Calibri" w:cs="Calibri"/>
          <w:b/>
          <w:bCs w:val="0"/>
          <w:color w:val="000000"/>
        </w:rPr>
      </w:pPr>
      <w:proofErr w:type="spellStart"/>
      <w:r>
        <w:rPr>
          <w:rFonts w:ascii="Calibri" w:hAnsi="Calibri" w:cs="Calibri"/>
          <w:szCs w:val="22"/>
          <w:lang w:eastAsia="en-AU"/>
        </w:rPr>
        <w:t>Chiaka</w:t>
      </w:r>
      <w:proofErr w:type="spellEnd"/>
      <w:r>
        <w:rPr>
          <w:rFonts w:ascii="Calibri" w:hAnsi="Calibri" w:cs="Calibri"/>
          <w:szCs w:val="22"/>
          <w:lang w:eastAsia="en-AU"/>
        </w:rPr>
        <w:t xml:space="preserve"> Barry MLA</w:t>
      </w:r>
    </w:p>
    <w:p w14:paraId="609255AB" w14:textId="77777777" w:rsidR="00367DE6" w:rsidRDefault="002E768B" w:rsidP="00367DE6">
      <w:pPr>
        <w:pStyle w:val="Paper"/>
        <w:spacing w:line="233" w:lineRule="auto"/>
        <w:rPr>
          <w:rFonts w:ascii="Calibri" w:hAnsi="Calibri" w:cs="Calibri"/>
          <w:sz w:val="22"/>
          <w:szCs w:val="22"/>
          <w:lang w:eastAsia="en-AU"/>
        </w:rPr>
      </w:pPr>
      <w:r>
        <w:rPr>
          <w:rFonts w:ascii="Calibri" w:hAnsi="Calibri" w:cs="Calibri"/>
          <w:sz w:val="22"/>
          <w:szCs w:val="22"/>
          <w:lang w:eastAsia="en-AU"/>
        </w:rPr>
        <w:t>Chair</w:t>
      </w:r>
      <w:bookmarkEnd w:id="104"/>
    </w:p>
    <w:p w14:paraId="11D0FB30" w14:textId="251047FB" w:rsidR="00DC7216" w:rsidRDefault="00A1600A" w:rsidP="005729A1">
      <w:pPr>
        <w:pStyle w:val="Paper"/>
        <w:spacing w:after="0" w:line="233" w:lineRule="auto"/>
        <w:rPr>
          <w:rFonts w:ascii="Calibri" w:eastAsia="Calibri" w:hAnsi="Calibri" w:cs="Calibri"/>
          <w:sz w:val="22"/>
          <w:szCs w:val="22"/>
        </w:rPr>
      </w:pPr>
      <w:r>
        <w:rPr>
          <w:rFonts w:ascii="Calibri" w:hAnsi="Calibri" w:cs="Calibri"/>
          <w:sz w:val="22"/>
          <w:szCs w:val="22"/>
          <w:lang w:eastAsia="en-AU"/>
        </w:rPr>
        <w:t>28 April</w:t>
      </w:r>
      <w:r w:rsidR="00880E55" w:rsidRPr="005729A1">
        <w:rPr>
          <w:rFonts w:ascii="Calibri" w:eastAsia="Calibri" w:hAnsi="Calibri" w:cs="Calibri"/>
          <w:sz w:val="22"/>
          <w:szCs w:val="22"/>
        </w:rPr>
        <w:t xml:space="preserve"> </w:t>
      </w:r>
      <w:r w:rsidR="00746850" w:rsidRPr="005729A1">
        <w:rPr>
          <w:rFonts w:ascii="Calibri" w:eastAsia="Calibri" w:hAnsi="Calibri" w:cs="Calibri"/>
          <w:sz w:val="22"/>
          <w:szCs w:val="22"/>
        </w:rPr>
        <w:t>2026</w:t>
      </w:r>
    </w:p>
    <w:p w14:paraId="55161D92" w14:textId="77777777" w:rsidR="00A1600A" w:rsidRDefault="00A1600A" w:rsidP="005729A1">
      <w:pPr>
        <w:pStyle w:val="Paper"/>
        <w:spacing w:after="0" w:line="233" w:lineRule="auto"/>
        <w:rPr>
          <w:rFonts w:ascii="Calibri" w:eastAsia="Calibri" w:hAnsi="Calibri" w:cs="Calibri"/>
          <w:sz w:val="22"/>
          <w:szCs w:val="22"/>
        </w:rPr>
      </w:pPr>
    </w:p>
    <w:p w14:paraId="41693705" w14:textId="77777777" w:rsidR="00A1600A" w:rsidRDefault="00A1600A" w:rsidP="005729A1">
      <w:pPr>
        <w:pStyle w:val="Paper"/>
        <w:spacing w:after="0" w:line="233" w:lineRule="auto"/>
        <w:rPr>
          <w:rFonts w:ascii="Calibri" w:eastAsia="Calibri" w:hAnsi="Calibri" w:cs="Calibri"/>
          <w:sz w:val="22"/>
          <w:szCs w:val="22"/>
        </w:rPr>
      </w:pPr>
    </w:p>
    <w:p w14:paraId="671EAB03" w14:textId="77777777" w:rsidR="00A1600A" w:rsidRDefault="00A1600A" w:rsidP="005729A1">
      <w:pPr>
        <w:pStyle w:val="Paper"/>
        <w:spacing w:after="0" w:line="233" w:lineRule="auto"/>
        <w:rPr>
          <w:rFonts w:ascii="Calibri" w:eastAsia="Calibri" w:hAnsi="Calibri" w:cs="Calibri"/>
          <w:sz w:val="22"/>
          <w:szCs w:val="22"/>
        </w:rPr>
      </w:pPr>
    </w:p>
    <w:p w14:paraId="7D015CED" w14:textId="77777777" w:rsidR="00A1600A" w:rsidRDefault="00A1600A" w:rsidP="005729A1">
      <w:pPr>
        <w:pStyle w:val="Paper"/>
        <w:spacing w:after="0" w:line="233" w:lineRule="auto"/>
        <w:rPr>
          <w:rFonts w:ascii="Calibri" w:eastAsia="Calibri" w:hAnsi="Calibri" w:cs="Calibri"/>
          <w:sz w:val="22"/>
          <w:szCs w:val="22"/>
        </w:rPr>
      </w:pPr>
    </w:p>
    <w:p w14:paraId="0E41B7AE" w14:textId="296A6AB3" w:rsidR="00A1600A" w:rsidRDefault="00A1600A">
      <w:pPr>
        <w:spacing w:line="259" w:lineRule="auto"/>
        <w:rPr>
          <w:rFonts w:ascii="Calibri" w:eastAsia="Calibri" w:hAnsi="Calibri" w:cs="Calibri"/>
        </w:rPr>
      </w:pPr>
      <w:r>
        <w:rPr>
          <w:rFonts w:ascii="Calibri" w:eastAsia="Calibri" w:hAnsi="Calibri" w:cs="Calibri"/>
        </w:rPr>
        <w:br w:type="page"/>
      </w:r>
    </w:p>
    <w:p w14:paraId="728C2666" w14:textId="77777777" w:rsidR="00A1600A" w:rsidRPr="005729A1" w:rsidRDefault="00A1600A" w:rsidP="005729A1">
      <w:pPr>
        <w:pStyle w:val="Paper"/>
        <w:spacing w:after="0" w:line="233" w:lineRule="auto"/>
        <w:rPr>
          <w:rFonts w:ascii="Calibri" w:eastAsia="Calibri" w:hAnsi="Calibri" w:cs="Calibri"/>
          <w:sz w:val="22"/>
          <w:szCs w:val="22"/>
        </w:rPr>
      </w:pPr>
    </w:p>
    <w:p w14:paraId="368C7C28" w14:textId="410E13DC" w:rsidR="00643199" w:rsidRPr="00727383" w:rsidRDefault="00643199" w:rsidP="00727383">
      <w:pPr>
        <w:pStyle w:val="Heading1"/>
        <w:rPr>
          <w:rFonts w:eastAsia="Calibri"/>
        </w:rPr>
      </w:pPr>
      <w:bookmarkStart w:id="135" w:name="_Toc210851275"/>
      <w:bookmarkStart w:id="136" w:name="_Toc227841494"/>
      <w:r>
        <w:rPr>
          <w:rFonts w:eastAsia="Calibri"/>
        </w:rPr>
        <w:t>Outstanding responses</w:t>
      </w:r>
      <w:bookmarkEnd w:id="135"/>
      <w:bookmarkEnd w:id="136"/>
    </w:p>
    <w:p w14:paraId="08784BCE" w14:textId="597447DD" w:rsidR="00EF7C6C" w:rsidRDefault="00EF7C6C" w:rsidP="00911F03">
      <w:pPr>
        <w:pStyle w:val="Heading20"/>
      </w:pPr>
      <w:bookmarkStart w:id="137" w:name="_Toc167305550"/>
      <w:bookmarkStart w:id="138" w:name="_Toc210851276"/>
      <w:bookmarkStart w:id="139" w:name="_Toc227841495"/>
      <w:r>
        <w:t>Bills/Subordinate Legislation</w:t>
      </w:r>
      <w:bookmarkEnd w:id="137"/>
      <w:bookmarkEnd w:id="138"/>
      <w:r w:rsidR="00BB5F98">
        <w:t>/National Law</w:t>
      </w:r>
      <w:r w:rsidR="00465BDA">
        <w:t>s</w:t>
      </w:r>
      <w:bookmarkEnd w:id="139"/>
    </w:p>
    <w:p w14:paraId="79B072CB" w14:textId="2BDABFAF" w:rsidR="00613EB5" w:rsidRDefault="00613EB5" w:rsidP="00911F03">
      <w:pPr>
        <w:pStyle w:val="Heading3"/>
      </w:pPr>
      <w:bookmarkStart w:id="140" w:name="_Toc227841496"/>
      <w:r>
        <w:t>Report 14, dated 27 January 2026</w:t>
      </w:r>
      <w:bookmarkEnd w:id="140"/>
    </w:p>
    <w:p w14:paraId="6E813678" w14:textId="7A5D4708" w:rsidR="00613EB5" w:rsidRPr="00613EB5" w:rsidRDefault="00613EB5" w:rsidP="00613EB5">
      <w:pPr>
        <w:keepNext/>
        <w:keepLines/>
        <w:spacing w:before="120" w:after="120"/>
        <w:outlineLvl w:val="3"/>
        <w:rPr>
          <w:rFonts w:ascii="Montserrat SemiBold" w:eastAsiaTheme="majorEastAsia" w:hAnsi="Montserrat SemiBold" w:cstheme="majorBidi"/>
          <w:iCs/>
          <w:color w:val="2F5496"/>
          <w:w w:val="90"/>
          <w:sz w:val="24"/>
          <w:szCs w:val="24"/>
        </w:rPr>
      </w:pPr>
      <w:bookmarkStart w:id="141" w:name="_Toc224743474"/>
      <w:bookmarkStart w:id="142" w:name="_Toc227838187"/>
      <w:bookmarkStart w:id="143" w:name="_Toc227841497"/>
      <w:r w:rsidRPr="00613EB5">
        <w:rPr>
          <w:rFonts w:ascii="Montserrat SemiBold" w:eastAsiaTheme="majorEastAsia" w:hAnsi="Montserrat SemiBold" w:cstheme="majorBidi"/>
          <w:iCs/>
          <w:color w:val="2F5496"/>
          <w:w w:val="90"/>
          <w:sz w:val="24"/>
          <w:szCs w:val="24"/>
        </w:rPr>
        <w:t>Bill</w:t>
      </w:r>
      <w:bookmarkEnd w:id="141"/>
      <w:bookmarkEnd w:id="142"/>
      <w:bookmarkEnd w:id="143"/>
    </w:p>
    <w:p w14:paraId="19792823" w14:textId="102910B2" w:rsidR="00613EB5" w:rsidRPr="00613EB5" w:rsidRDefault="00613EB5" w:rsidP="00613EB5">
      <w:pPr>
        <w:pStyle w:val="ListNumber2"/>
        <w:numPr>
          <w:ilvl w:val="0"/>
          <w:numId w:val="7"/>
        </w:numPr>
        <w:spacing w:after="240"/>
        <w:ind w:left="714" w:hanging="357"/>
      </w:pPr>
      <w:r w:rsidRPr="00613EB5">
        <w:t>Family, Personal and Sexual Violence Amendment Bill 2025 (</w:t>
      </w:r>
      <w:r>
        <w:t xml:space="preserve">an </w:t>
      </w:r>
      <w:r w:rsidRPr="00613EB5">
        <w:t>interim response was received on 5 March 2026).</w:t>
      </w:r>
    </w:p>
    <w:p w14:paraId="081A81F7" w14:textId="50BCE52B" w:rsidR="001C2CCD" w:rsidRDefault="001C2CCD" w:rsidP="00911F03">
      <w:pPr>
        <w:pStyle w:val="Heading3"/>
      </w:pPr>
      <w:bookmarkStart w:id="144" w:name="_Toc227841498"/>
      <w:r>
        <w:t xml:space="preserve">Report 15, </w:t>
      </w:r>
      <w:r w:rsidRPr="00FD5031">
        <w:rPr>
          <w:kern w:val="0"/>
        </w:rPr>
        <w:t>dated</w:t>
      </w:r>
      <w:r>
        <w:t xml:space="preserve"> 17 February 2026</w:t>
      </w:r>
      <w:bookmarkEnd w:id="144"/>
    </w:p>
    <w:p w14:paraId="00A6E3A9" w14:textId="0C7F3E43" w:rsidR="001C2CCD" w:rsidRPr="00EF7C6C" w:rsidRDefault="001C2CCD" w:rsidP="001C2CCD">
      <w:pPr>
        <w:keepNext/>
        <w:keepLines/>
        <w:spacing w:before="120" w:after="120"/>
        <w:outlineLvl w:val="3"/>
        <w:rPr>
          <w:rFonts w:ascii="Montserrat SemiBold" w:eastAsiaTheme="majorEastAsia" w:hAnsi="Montserrat SemiBold" w:cstheme="majorBidi"/>
          <w:iCs/>
          <w:color w:val="2F5496"/>
          <w:w w:val="90"/>
          <w:sz w:val="24"/>
          <w:szCs w:val="24"/>
        </w:rPr>
      </w:pPr>
      <w:bookmarkStart w:id="145" w:name="_Toc223550585"/>
      <w:bookmarkStart w:id="146" w:name="_Toc223589173"/>
      <w:bookmarkStart w:id="147" w:name="_Toc223611543"/>
      <w:bookmarkStart w:id="148" w:name="_Toc224729276"/>
      <w:bookmarkStart w:id="149" w:name="_Toc224731361"/>
      <w:bookmarkStart w:id="150" w:name="_Toc224743476"/>
      <w:bookmarkStart w:id="151" w:name="_Toc227838189"/>
      <w:bookmarkStart w:id="152" w:name="_Toc227841499"/>
      <w:r w:rsidRPr="00C618BF">
        <w:rPr>
          <w:rFonts w:ascii="Montserrat SemiBold" w:eastAsiaTheme="majorEastAsia" w:hAnsi="Montserrat SemiBold" w:cstheme="majorBidi"/>
          <w:iCs/>
          <w:color w:val="2F5496"/>
          <w:w w:val="90"/>
          <w:sz w:val="24"/>
          <w:szCs w:val="24"/>
        </w:rPr>
        <w:t>Bill</w:t>
      </w:r>
      <w:bookmarkEnd w:id="145"/>
      <w:bookmarkEnd w:id="146"/>
      <w:bookmarkEnd w:id="147"/>
      <w:bookmarkEnd w:id="148"/>
      <w:bookmarkEnd w:id="149"/>
      <w:bookmarkEnd w:id="150"/>
      <w:bookmarkEnd w:id="151"/>
      <w:bookmarkEnd w:id="152"/>
    </w:p>
    <w:p w14:paraId="142CAAD6" w14:textId="390FD43C" w:rsidR="001C2CCD" w:rsidRDefault="001C2CCD" w:rsidP="00222738">
      <w:pPr>
        <w:pStyle w:val="ListNumber2"/>
        <w:numPr>
          <w:ilvl w:val="0"/>
          <w:numId w:val="7"/>
        </w:numPr>
        <w:spacing w:after="240"/>
        <w:ind w:left="714" w:hanging="357"/>
      </w:pPr>
      <w:r>
        <w:t>Firearms (Public Safety) Amendment Bill 2026.</w:t>
      </w:r>
    </w:p>
    <w:p w14:paraId="43D243B1" w14:textId="12846001" w:rsidR="00D95F16" w:rsidRDefault="00D95F16" w:rsidP="00911F03">
      <w:pPr>
        <w:pStyle w:val="Heading3"/>
      </w:pPr>
      <w:bookmarkStart w:id="153" w:name="_Toc227841500"/>
      <w:r>
        <w:t xml:space="preserve">Report 16, </w:t>
      </w:r>
      <w:r w:rsidRPr="00FD5031">
        <w:rPr>
          <w:kern w:val="0"/>
        </w:rPr>
        <w:t>dated</w:t>
      </w:r>
      <w:r>
        <w:t xml:space="preserve"> 10 March 2026</w:t>
      </w:r>
      <w:bookmarkEnd w:id="153"/>
    </w:p>
    <w:p w14:paraId="747BC812" w14:textId="77777777" w:rsidR="00D95F16" w:rsidRPr="00EF7C6C" w:rsidRDefault="00D95F16" w:rsidP="00D95F16">
      <w:pPr>
        <w:keepNext/>
        <w:keepLines/>
        <w:spacing w:before="120" w:after="120"/>
        <w:outlineLvl w:val="3"/>
        <w:rPr>
          <w:rFonts w:ascii="Montserrat SemiBold" w:eastAsiaTheme="majorEastAsia" w:hAnsi="Montserrat SemiBold" w:cstheme="majorBidi"/>
          <w:iCs/>
          <w:color w:val="2F5496"/>
          <w:w w:val="90"/>
          <w:sz w:val="24"/>
          <w:szCs w:val="24"/>
        </w:rPr>
      </w:pPr>
      <w:bookmarkStart w:id="154" w:name="_Toc224731363"/>
      <w:bookmarkStart w:id="155" w:name="_Toc224743478"/>
      <w:bookmarkStart w:id="156" w:name="_Toc227838191"/>
      <w:bookmarkStart w:id="157" w:name="_Toc227841501"/>
      <w:r w:rsidRPr="00C618BF">
        <w:rPr>
          <w:rFonts w:ascii="Montserrat SemiBold" w:eastAsiaTheme="majorEastAsia" w:hAnsi="Montserrat SemiBold" w:cstheme="majorBidi"/>
          <w:iCs/>
          <w:color w:val="2F5496"/>
          <w:w w:val="90"/>
          <w:sz w:val="24"/>
          <w:szCs w:val="24"/>
        </w:rPr>
        <w:t>Bill</w:t>
      </w:r>
      <w:bookmarkEnd w:id="154"/>
      <w:bookmarkEnd w:id="155"/>
      <w:bookmarkEnd w:id="156"/>
      <w:bookmarkEnd w:id="157"/>
    </w:p>
    <w:p w14:paraId="525C98DF" w14:textId="41B9A1F0" w:rsidR="00D95F16" w:rsidRDefault="00D95F16" w:rsidP="00222738">
      <w:pPr>
        <w:pStyle w:val="ListNumber2"/>
        <w:numPr>
          <w:ilvl w:val="0"/>
          <w:numId w:val="7"/>
        </w:numPr>
        <w:spacing w:after="240"/>
        <w:ind w:left="714" w:hanging="357"/>
      </w:pPr>
      <w:r>
        <w:t xml:space="preserve">Firearms </w:t>
      </w:r>
      <w:r w:rsidRPr="00D95F16">
        <w:t>(Firearm Prohibition Orders)</w:t>
      </w:r>
      <w:r>
        <w:t xml:space="preserve"> Amendment Bill 2026.</w:t>
      </w:r>
    </w:p>
    <w:sectPr w:rsidR="00D95F16" w:rsidSect="003D21AE">
      <w:footerReference w:type="even" r:id="rId16"/>
      <w:footerReference w:type="default" r:id="rId17"/>
      <w:pgSz w:w="11906" w:h="16838"/>
      <w:pgMar w:top="993" w:right="1440" w:bottom="567" w:left="1440" w:header="708" w:footer="59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C6E229" w14:textId="77777777" w:rsidR="00A158E0" w:rsidRDefault="00A158E0" w:rsidP="00D376C4">
      <w:pPr>
        <w:spacing w:after="0" w:line="240" w:lineRule="auto"/>
      </w:pPr>
      <w:r>
        <w:separator/>
      </w:r>
    </w:p>
  </w:endnote>
  <w:endnote w:type="continuationSeparator" w:id="0">
    <w:p w14:paraId="31F89F27" w14:textId="77777777" w:rsidR="00A158E0" w:rsidRDefault="00A158E0"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Body)">
    <w:altName w:val="Calibri"/>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1" w:fontKey="{2E9875C5-E93F-4E99-A76F-E10456981958}"/>
    <w:embedBold r:id="rId2" w:fontKey="{DE22FF52-BD5E-4D6C-8479-7BCB9444E159}"/>
    <w:embedItalic r:id="rId3" w:fontKey="{EC42045B-1F3F-4F50-B749-CD84818707FB}"/>
    <w:embedBoldItalic r:id="rId4" w:fontKey="{B85C5708-07A6-47DF-9D35-22BCE7DF8B0E}"/>
  </w:font>
  <w:font w:name="Montserrat">
    <w:altName w:val="﷽﷽﷽﷽﷽﷽﷽﷽at"/>
    <w:panose1 w:val="00000500000000000000"/>
    <w:charset w:val="00"/>
    <w:family w:val="auto"/>
    <w:pitch w:val="variable"/>
    <w:sig w:usb0="2000020F" w:usb1="00000003" w:usb2="00000000" w:usb3="00000000" w:csb0="00000197" w:csb1="00000000"/>
    <w:embedRegular r:id="rId5" w:fontKey="{75E23AF4-F42D-4B47-9B95-C5CBE4576D7B}"/>
    <w:embedBold r:id="rId6" w:fontKey="{ED2E40ED-9A46-425F-AFFF-4B8567491B6B}"/>
  </w:font>
  <w:font w:name="Montserrat SemiBold">
    <w:panose1 w:val="00000700000000000000"/>
    <w:charset w:val="00"/>
    <w:family w:val="auto"/>
    <w:pitch w:val="variable"/>
    <w:sig w:usb0="2000020F" w:usb1="00000003" w:usb2="00000000" w:usb3="00000000" w:csb0="00000197" w:csb1="00000000"/>
    <w:embedRegular r:id="rId7" w:fontKey="{2D6C54C1-1CEB-494E-8D01-15EFF8EA9A9B}"/>
    <w:embedItalic r:id="rId8" w:fontKey="{3396D59A-2AFF-4339-B827-E26812214D4D}"/>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embedRegular r:id="rId9" w:subsetted="1" w:fontKey="{7BE6F117-3940-4101-BA6B-925A135CCFE9}"/>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Garamond MT Std">
    <w:altName w:val="Cambria"/>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9A57A" w14:textId="2B1DDF1B" w:rsidR="00836FFE" w:rsidRPr="00EE5B62" w:rsidRDefault="00623507"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00214315">
      <w:rPr>
        <w:rFonts w:ascii="Montserrat SemiBold" w:hAnsi="Montserrat SemiBold" w:cstheme="majorHAnsi"/>
        <w:noProof/>
        <w:color w:val="2F5496"/>
        <w:w w:val="90"/>
        <w:sz w:val="18"/>
        <w:szCs w:val="18"/>
      </w:rPr>
      <w:t>iv</w:t>
    </w:r>
    <w:r w:rsidRPr="00EE5B62">
      <w:rPr>
        <w:rFonts w:ascii="Montserrat SemiBold" w:hAnsi="Montserrat SemiBold" w:cstheme="majorHAnsi"/>
        <w:color w:val="2F5496"/>
        <w:w w:val="90"/>
        <w:sz w:val="18"/>
        <w:szCs w:val="18"/>
      </w:rPr>
      <w:fldChar w:fldCharType="end"/>
    </w:r>
    <w:r w:rsidR="00836FFE" w:rsidRPr="00EE5B62">
      <w:rPr>
        <w:rFonts w:ascii="Montserrat SemiBold" w:hAnsi="Montserrat SemiBold" w:cstheme="majorHAnsi"/>
        <w:color w:val="2F5496"/>
        <w:w w:val="90"/>
        <w:sz w:val="18"/>
        <w:szCs w:val="18"/>
      </w:rPr>
      <w:tab/>
    </w:r>
    <w:r w:rsidR="00836FFE" w:rsidRPr="00EE5B62">
      <w:rPr>
        <w:rFonts w:ascii="Montserrat SemiBold" w:hAnsi="Montserrat SemiBold" w:cstheme="majorHAnsi"/>
        <w:color w:val="2F5496"/>
        <w:w w:val="90"/>
        <w:sz w:val="18"/>
        <w:szCs w:val="18"/>
      </w:rPr>
      <w:fldChar w:fldCharType="begin"/>
    </w:r>
    <w:r w:rsidR="00836FFE" w:rsidRPr="00EE5B62">
      <w:rPr>
        <w:rFonts w:ascii="Montserrat SemiBold" w:hAnsi="Montserrat SemiBold" w:cstheme="majorHAnsi"/>
        <w:color w:val="2F5496"/>
        <w:w w:val="90"/>
        <w:sz w:val="18"/>
        <w:szCs w:val="18"/>
      </w:rPr>
      <w:instrText xml:space="preserve"> STYLEREF  Title  \* MERGEFORMAT </w:instrText>
    </w:r>
    <w:r w:rsidR="00836FFE" w:rsidRPr="00EE5B62">
      <w:rPr>
        <w:rFonts w:ascii="Montserrat SemiBold" w:hAnsi="Montserrat SemiBold" w:cstheme="majorHAnsi"/>
        <w:color w:val="2F5496"/>
        <w:w w:val="90"/>
        <w:sz w:val="18"/>
        <w:szCs w:val="18"/>
      </w:rPr>
      <w:fldChar w:fldCharType="separate"/>
    </w:r>
    <w:r w:rsidR="00480114">
      <w:rPr>
        <w:rFonts w:ascii="Montserrat SemiBold" w:hAnsi="Montserrat SemiBold" w:cstheme="majorHAnsi"/>
        <w:noProof/>
        <w:color w:val="2F5496"/>
        <w:w w:val="90"/>
        <w:sz w:val="18"/>
        <w:szCs w:val="18"/>
      </w:rPr>
      <w:t>Scrutiny Report 18</w:t>
    </w:r>
    <w:r w:rsidR="00836FFE" w:rsidRPr="00EE5B62">
      <w:rPr>
        <w:rFonts w:ascii="Montserrat SemiBold" w:hAnsi="Montserrat SemiBold" w:cstheme="majorHAnsi"/>
        <w:color w:val="2F5496"/>
        <w:w w:val="9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8B878" w14:textId="5B2BA200"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480114">
      <w:rPr>
        <w:rFonts w:ascii="Montserrat SemiBold" w:hAnsi="Montserrat SemiBold" w:cstheme="majorHAnsi"/>
        <w:noProof/>
        <w:color w:val="2F5496"/>
        <w:w w:val="90"/>
        <w:sz w:val="18"/>
        <w:szCs w:val="18"/>
      </w:rPr>
      <w:t>Scrutiny Report 18</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22E8368C"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480114">
      <w:rPr>
        <w:rFonts w:cstheme="minorHAnsi"/>
        <w:noProof/>
        <w:color w:val="404040" w:themeColor="text1" w:themeTint="BF"/>
      </w:rPr>
      <w:t>Standing Committee on Legal Affairs (Legislative Scrutiny Role)</w:t>
    </w:r>
    <w:r w:rsidR="00480114">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1321233216"/>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621248F7" w:rsidR="00836FFE" w:rsidRPr="00C8358A" w:rsidRDefault="00946D56"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 for publication</w:t>
        </w:r>
      </w:p>
    </w:sdtContent>
  </w:sdt>
  <w:p w14:paraId="602D822B" w14:textId="1B7D7A30" w:rsidR="00836FFE" w:rsidRPr="00C8358A" w:rsidRDefault="00836FFE" w:rsidP="00F101AB">
    <w:pPr>
      <w:pStyle w:val="Footer"/>
      <w:tabs>
        <w:tab w:val="clear" w:pos="4513"/>
        <w:tab w:val="clear" w:pos="9026"/>
      </w:tabs>
      <w:rPr>
        <w:rFonts w:cstheme="minorHAnsi"/>
        <w:color w:val="404040" w:themeColor="text1" w:themeTint="BF"/>
      </w:rPr>
    </w:pPr>
  </w:p>
  <w:p w14:paraId="765405D7" w14:textId="085DC8A2" w:rsidR="00836FFE" w:rsidRDefault="005078C2" w:rsidP="00B83B66">
    <w:pPr>
      <w:pStyle w:val="Footer"/>
      <w:tabs>
        <w:tab w:val="clear" w:pos="4513"/>
        <w:tab w:val="clear" w:pos="9026"/>
      </w:tabs>
      <w:rPr>
        <w:rFonts w:cstheme="minorHAnsi"/>
        <w:color w:val="404040" w:themeColor="text1" w:themeTint="BF"/>
      </w:rPr>
    </w:pPr>
    <w:r>
      <w:rPr>
        <w:rFonts w:cstheme="minorHAnsi"/>
        <w:color w:val="404040" w:themeColor="text1" w:themeTint="BF"/>
      </w:rPr>
      <w:t>11</w:t>
    </w:r>
    <w:r w:rsidR="00836FFE" w:rsidRPr="00C8358A">
      <w:rPr>
        <w:rFonts w:cstheme="minorHAnsi"/>
        <w:color w:val="404040" w:themeColor="text1" w:themeTint="BF"/>
      </w:rPr>
      <w:t>th Assembly</w:t>
    </w:r>
  </w:p>
  <w:p w14:paraId="6E9808B3" w14:textId="1F1F9F5E" w:rsidR="00B83B66" w:rsidRPr="00C8358A" w:rsidRDefault="001D6F2F" w:rsidP="00B83B66">
    <w:pPr>
      <w:pStyle w:val="Footer"/>
      <w:tabs>
        <w:tab w:val="clear" w:pos="4513"/>
        <w:tab w:val="clear" w:pos="9026"/>
      </w:tabs>
      <w:rPr>
        <w:rFonts w:cstheme="minorHAnsi"/>
        <w:color w:val="404040" w:themeColor="text1" w:themeTint="BF"/>
      </w:rPr>
    </w:pPr>
    <w:r>
      <w:rPr>
        <w:rFonts w:cstheme="minorHAnsi"/>
        <w:color w:val="404040" w:themeColor="text1" w:themeTint="BF"/>
      </w:rPr>
      <w:t>April</w:t>
    </w:r>
    <w:r w:rsidR="00641A18">
      <w:rPr>
        <w:rFonts w:cstheme="minorHAnsi"/>
        <w:color w:val="404040" w:themeColor="text1" w:themeTint="BF"/>
      </w:rPr>
      <w:t xml:space="preserve"> </w:t>
    </w:r>
    <w:r w:rsidR="00FE4158">
      <w:rPr>
        <w:rFonts w:cstheme="minorHAnsi"/>
        <w:color w:val="404040" w:themeColor="text1" w:themeTint="BF"/>
      </w:rPr>
      <w:t>2026</w:t>
    </w:r>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59A0D" w14:textId="19D5BFD8" w:rsidR="00603367" w:rsidRPr="007A6EB9" w:rsidRDefault="00603367" w:rsidP="005430F9">
    <w:pPr>
      <w:pStyle w:val="Footer"/>
      <w:tabs>
        <w:tab w:val="clear" w:pos="4513"/>
        <w:tab w:val="clear" w:pos="9026"/>
        <w:tab w:val="right" w:pos="5103"/>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480114">
      <w:rPr>
        <w:rFonts w:ascii="Montserrat SemiBold" w:hAnsi="Montserrat SemiBold" w:cstheme="majorHAnsi"/>
        <w:noProof/>
        <w:color w:val="2F5496"/>
        <w:w w:val="90"/>
        <w:sz w:val="18"/>
        <w:szCs w:val="18"/>
      </w:rPr>
      <w:t>Scrutiny Report 18</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214315">
      <w:rPr>
        <w:rFonts w:ascii="Montserrat SemiBold" w:hAnsi="Montserrat SemiBold" w:cstheme="majorHAnsi"/>
        <w:noProof/>
        <w:color w:val="2F5496"/>
        <w:w w:val="90"/>
        <w:sz w:val="18"/>
        <w:szCs w:val="18"/>
      </w:rPr>
      <w:t>iii</w:t>
    </w:r>
    <w:r w:rsidR="009F5A83">
      <w:rPr>
        <w:rFonts w:ascii="Montserrat SemiBold" w:hAnsi="Montserrat SemiBold" w:cstheme="majorHAnsi"/>
        <w:color w:val="2F5496"/>
        <w:w w:val="90"/>
        <w:sz w:val="18"/>
        <w:szCs w:val="18"/>
      </w:rPr>
      <w:fldChar w:fldCharType="end"/>
    </w:r>
  </w:p>
  <w:p w14:paraId="3143A310" w14:textId="77777777" w:rsidR="00603367" w:rsidRPr="007A6EB9" w:rsidRDefault="00603367" w:rsidP="009C2830">
    <w:pPr>
      <w:pStyle w:val="Footer"/>
      <w:jc w:val="right"/>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7B23A" w14:textId="065AAB79" w:rsidR="00877A94" w:rsidRPr="00EE5B62" w:rsidRDefault="00877A94" w:rsidP="00117296">
    <w:pPr>
      <w:pStyle w:val="Footer"/>
      <w:tabs>
        <w:tab w:val="clear" w:pos="4513"/>
        <w:tab w:val="clear" w:pos="9026"/>
        <w:tab w:val="left" w:pos="3686"/>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sidR="001D2063">
      <w:rPr>
        <w:rFonts w:ascii="Montserrat SemiBold" w:hAnsi="Montserrat SemiBold" w:cstheme="majorHAnsi"/>
        <w:noProof/>
        <w:color w:val="2F5496"/>
        <w:w w:val="90"/>
        <w:sz w:val="18"/>
        <w:szCs w:val="18"/>
      </w:rPr>
      <w:t>2</w:t>
    </w:r>
    <w:r>
      <w:rPr>
        <w:rFonts w:ascii="Montserrat SemiBold" w:hAnsi="Montserrat SemiBold" w:cstheme="majorHAnsi"/>
        <w:color w:val="2F5496"/>
        <w:w w:val="90"/>
        <w:sz w:val="18"/>
        <w:szCs w:val="18"/>
      </w:rPr>
      <w:fldChar w:fldCharType="end"/>
    </w:r>
    <w:r w:rsidR="00117296">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480114">
      <w:rPr>
        <w:rFonts w:ascii="Montserrat SemiBold" w:hAnsi="Montserrat SemiBold" w:cstheme="majorHAnsi"/>
        <w:noProof/>
        <w:color w:val="2F5496"/>
        <w:w w:val="90"/>
        <w:sz w:val="18"/>
        <w:szCs w:val="18"/>
      </w:rPr>
      <w:t>Scrutiny Report 18</w:t>
    </w:r>
    <w:r w:rsidRPr="00EE5B62">
      <w:rPr>
        <w:rFonts w:ascii="Montserrat SemiBold" w:hAnsi="Montserrat SemiBold" w:cstheme="majorHAnsi"/>
        <w:color w:val="2F5496"/>
        <w:w w:val="90"/>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73ABD" w14:textId="0BF95104" w:rsidR="009F5A83" w:rsidRPr="007A6EB9" w:rsidRDefault="009F5A83"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480114">
      <w:rPr>
        <w:rFonts w:ascii="Montserrat SemiBold" w:hAnsi="Montserrat SemiBold" w:cstheme="majorHAnsi"/>
        <w:noProof/>
        <w:color w:val="2F5496"/>
        <w:w w:val="90"/>
        <w:sz w:val="18"/>
        <w:szCs w:val="18"/>
      </w:rPr>
      <w:t>Scrutiny Report 18</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001D2063">
      <w:rPr>
        <w:rFonts w:ascii="Montserrat SemiBold" w:hAnsi="Montserrat SemiBold" w:cstheme="majorHAnsi"/>
        <w:noProof/>
        <w:color w:val="2F5496"/>
        <w:w w:val="90"/>
        <w:sz w:val="18"/>
        <w:szCs w:val="18"/>
      </w:rPr>
      <w:t>1</w:t>
    </w:r>
    <w:r w:rsidRPr="007A6EB9">
      <w:rPr>
        <w:rFonts w:ascii="Montserrat SemiBold" w:hAnsi="Montserrat SemiBold" w:cstheme="majorHAnsi"/>
        <w:color w:val="2F5496"/>
        <w:w w:val="9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324CAA" w14:textId="77777777" w:rsidR="00A158E0" w:rsidRDefault="00A158E0" w:rsidP="00D376C4">
      <w:pPr>
        <w:spacing w:after="0" w:line="240" w:lineRule="auto"/>
      </w:pPr>
      <w:r>
        <w:separator/>
      </w:r>
    </w:p>
  </w:footnote>
  <w:footnote w:type="continuationSeparator" w:id="0">
    <w:p w14:paraId="2D3E064D" w14:textId="77777777" w:rsidR="00A158E0" w:rsidRDefault="00A158E0" w:rsidP="00D376C4">
      <w:pPr>
        <w:spacing w:after="0" w:line="240" w:lineRule="auto"/>
      </w:pPr>
      <w:r>
        <w:continuationSeparator/>
      </w:r>
    </w:p>
  </w:footnote>
  <w:footnote w:id="1">
    <w:p w14:paraId="1F1568B6" w14:textId="2D46F0A2" w:rsidR="00BA149C" w:rsidRPr="00BA149C" w:rsidRDefault="00BA149C">
      <w:pPr>
        <w:pStyle w:val="FootnoteText"/>
        <w:rPr>
          <w:lang w:val="en-US"/>
        </w:rPr>
      </w:pPr>
      <w:r>
        <w:rPr>
          <w:rStyle w:val="FootnoteReference"/>
        </w:rPr>
        <w:footnoteRef/>
      </w:r>
      <w:r>
        <w:t xml:space="preserve"> </w:t>
      </w:r>
      <w:hyperlink r:id="rId1" w:history="1">
        <w:r w:rsidRPr="002F741F">
          <w:rPr>
            <w:rStyle w:val="Hyperlink"/>
          </w:rPr>
          <w:t>https://www.parliament.act.gov.au/parliamentary-business/in-committees/committees-11th-assembly/LA_Scrutiny</w:t>
        </w:r>
      </w:hyperlink>
      <w:r w:rsidR="008E5AFB">
        <w:t>.</w:t>
      </w:r>
    </w:p>
  </w:footnote>
  <w:footnote w:id="2">
    <w:p w14:paraId="1E52B795" w14:textId="48600369" w:rsidR="0016238D" w:rsidRDefault="0016238D" w:rsidP="0016238D">
      <w:pPr>
        <w:pStyle w:val="FootnoteText"/>
      </w:pPr>
      <w:r>
        <w:rPr>
          <w:rStyle w:val="FootnoteReference"/>
        </w:rPr>
        <w:footnoteRef/>
      </w:r>
      <w:r>
        <w:t xml:space="preserve"> </w:t>
      </w:r>
      <w:r>
        <w:rPr>
          <w:i/>
          <w:iCs/>
        </w:rPr>
        <w:t>Criminal Code</w:t>
      </w:r>
      <w:r>
        <w:t xml:space="preserve"> s</w:t>
      </w:r>
      <w:r w:rsidR="00911F03">
        <w:t>ection</w:t>
      </w:r>
      <w:r>
        <w:t xml:space="preserve"> 58 provides that a defendant who wishes to rely on any exception, exemption, excuse, qualification or justification provided by the law creating an offence (</w:t>
      </w:r>
      <w:proofErr w:type="gramStart"/>
      <w:r>
        <w:t>whether or not</w:t>
      </w:r>
      <w:proofErr w:type="gramEnd"/>
      <w:r>
        <w:t xml:space="preserve"> it accompanies the description of the offence) has an evidential burden in relation to the matter.</w:t>
      </w:r>
    </w:p>
  </w:footnote>
  <w:footnote w:id="3">
    <w:p w14:paraId="66599E40" w14:textId="77777777" w:rsidR="0016238D" w:rsidRDefault="0016238D" w:rsidP="0016238D">
      <w:pPr>
        <w:pStyle w:val="FootnoteText"/>
      </w:pPr>
      <w:r>
        <w:rPr>
          <w:rStyle w:val="FootnoteReference"/>
        </w:rPr>
        <w:footnoteRef/>
      </w:r>
      <w:r>
        <w:t xml:space="preserve"> Defined in the new definition inserted by clause 43 of the Bill as a “second dwelling on the land that is subordinate to the principal dwelling on the land.”</w:t>
      </w:r>
    </w:p>
  </w:footnote>
  <w:footnote w:id="4">
    <w:p w14:paraId="1718F643" w14:textId="2AE29D44" w:rsidR="0016238D" w:rsidRDefault="0016238D" w:rsidP="00911F03">
      <w:pPr>
        <w:pStyle w:val="FootnoteText"/>
        <w:spacing w:before="40"/>
      </w:pPr>
      <w:r>
        <w:rPr>
          <w:rStyle w:val="FootnoteReference"/>
        </w:rPr>
        <w:footnoteRef/>
      </w:r>
      <w:r>
        <w:t xml:space="preserve"> A “nominal rent lease” is defined in the current </w:t>
      </w:r>
      <w:r>
        <w:rPr>
          <w:i/>
          <w:iCs/>
        </w:rPr>
        <w:t>Planning Act 2023</w:t>
      </w:r>
      <w:r>
        <w:t xml:space="preserve"> </w:t>
      </w:r>
      <w:proofErr w:type="gramStart"/>
      <w:r>
        <w:t>as  meaning</w:t>
      </w:r>
      <w:proofErr w:type="gramEnd"/>
      <w:r>
        <w:t xml:space="preserve"> “a lease for a nominal rent” (Dictionary) and “lease” is defined as a lease (other than a sublease) of land (a) granted under the Act; or (b) granted or arising under the </w:t>
      </w:r>
      <w:r>
        <w:rPr>
          <w:i/>
          <w:iCs/>
        </w:rPr>
        <w:t>Unit Titles Act 2001</w:t>
      </w:r>
      <w:r>
        <w:t>. See also s</w:t>
      </w:r>
      <w:r w:rsidR="00911F03">
        <w:t>ection</w:t>
      </w:r>
      <w:r>
        <w:t xml:space="preserve"> 367. The territory planning authority has the power to grant leases on behalf of the executive under s</w:t>
      </w:r>
      <w:r w:rsidR="00911F03">
        <w:t>ection</w:t>
      </w:r>
      <w:r>
        <w:t xml:space="preserve"> 18 of the Act. See also s</w:t>
      </w:r>
      <w:r w:rsidR="00911F03">
        <w:t>ection</w:t>
      </w:r>
      <w:r>
        <w:t xml:space="preserve"> 262.</w:t>
      </w:r>
    </w:p>
  </w:footnote>
  <w:footnote w:id="5">
    <w:p w14:paraId="33AC293B" w14:textId="71764F0B" w:rsidR="0016238D" w:rsidRDefault="0016238D" w:rsidP="0016238D">
      <w:pPr>
        <w:pStyle w:val="FootnoteText"/>
      </w:pPr>
      <w:r>
        <w:rPr>
          <w:rStyle w:val="FootnoteReference"/>
        </w:rPr>
        <w:footnoteRef/>
      </w:r>
      <w:r>
        <w:t xml:space="preserve"> Standing Committee on Justice and Community Safety (performing the duties of a Scrutiny of Bills and Subordinate Legislation Committee), </w:t>
      </w:r>
      <w:r>
        <w:rPr>
          <w:i/>
          <w:iCs/>
        </w:rPr>
        <w:t>Guide to Writing an Explanatory Statement</w:t>
      </w:r>
      <w:r>
        <w:t xml:space="preserve"> (March 2011), p</w:t>
      </w:r>
      <w:r w:rsidR="00384DC8">
        <w:t xml:space="preserve">. </w:t>
      </w:r>
      <w:r>
        <w:t>2 (citations omitted).</w:t>
      </w:r>
    </w:p>
    <w:p w14:paraId="6EB67B72" w14:textId="77777777" w:rsidR="0016238D" w:rsidRDefault="0016238D" w:rsidP="0016238D">
      <w:pPr>
        <w:pStyle w:val="FootnoteText"/>
      </w:pPr>
      <w:hyperlink r:id="rId2" w:history="1">
        <w:r>
          <w:rPr>
            <w:rStyle w:val="Hyperlink"/>
          </w:rPr>
          <w:t>https://www.parliament.act.gov.au/__data/assets/pdf_file/0006/434346/Guide-to-writing-an-explanatory-statement.pdf</w:t>
        </w:r>
      </w:hyperlink>
      <w:r>
        <w:t xml:space="preserve"> </w:t>
      </w:r>
    </w:p>
  </w:footnote>
  <w:footnote w:id="6">
    <w:p w14:paraId="69AABB66" w14:textId="41670D2B" w:rsidR="0016238D" w:rsidRDefault="0016238D" w:rsidP="0016238D">
      <w:pPr>
        <w:pStyle w:val="FootnoteText"/>
      </w:pPr>
      <w:r>
        <w:rPr>
          <w:rStyle w:val="FootnoteReference"/>
        </w:rPr>
        <w:footnoteRef/>
      </w:r>
      <w:r>
        <w:t xml:space="preserve"> Ibid p</w:t>
      </w:r>
      <w:r w:rsidR="00384DC8">
        <w:t>.</w:t>
      </w:r>
      <w:r>
        <w:t xml:space="preserve"> 2.</w:t>
      </w:r>
    </w:p>
  </w:footnote>
  <w:footnote w:id="7">
    <w:p w14:paraId="55E422FA" w14:textId="77777777" w:rsidR="0016238D" w:rsidRDefault="0016238D" w:rsidP="0016238D">
      <w:pPr>
        <w:pStyle w:val="FootnoteText"/>
        <w:rPr>
          <w:rFonts w:eastAsia="Arial" w:cs="Arial"/>
        </w:rPr>
      </w:pPr>
      <w:r>
        <w:rPr>
          <w:rStyle w:val="FootnoteReference"/>
        </w:rPr>
        <w:footnoteRef/>
      </w:r>
      <w:r>
        <w:t xml:space="preserve"> </w:t>
      </w:r>
      <w:r>
        <w:rPr>
          <w:rFonts w:eastAsia="Arial" w:cs="Arial"/>
          <w:i/>
          <w:lang w:val="en-US"/>
        </w:rPr>
        <w:t xml:space="preserve">Thomson v ACT Planning and Land Authority (Administrative Review) </w:t>
      </w:r>
      <w:r>
        <w:rPr>
          <w:rFonts w:eastAsia="Arial" w:cs="Arial"/>
          <w:lang w:val="en-US"/>
        </w:rPr>
        <w:t>[2009] ACAT 38. See ACT Government</w:t>
      </w:r>
      <w:r>
        <w:rPr>
          <w:rFonts w:eastAsia="Arial" w:cs="Arial"/>
          <w:spacing w:val="-8"/>
          <w:lang w:val="en-US"/>
        </w:rPr>
        <w:t xml:space="preserve"> </w:t>
      </w:r>
      <w:r>
        <w:rPr>
          <w:rFonts w:eastAsia="Arial" w:cs="Arial"/>
          <w:lang w:val="en-US"/>
        </w:rPr>
        <w:t>Right</w:t>
      </w:r>
      <w:r>
        <w:rPr>
          <w:rFonts w:eastAsia="Arial" w:cs="Arial"/>
          <w:spacing w:val="-6"/>
          <w:lang w:val="en-US"/>
        </w:rPr>
        <w:t xml:space="preserve"> </w:t>
      </w:r>
      <w:r>
        <w:rPr>
          <w:rFonts w:eastAsia="Arial" w:cs="Arial"/>
          <w:lang w:val="en-US"/>
        </w:rPr>
        <w:t>to</w:t>
      </w:r>
      <w:r>
        <w:rPr>
          <w:rFonts w:eastAsia="Arial" w:cs="Arial"/>
          <w:spacing w:val="-8"/>
          <w:lang w:val="en-US"/>
        </w:rPr>
        <w:t xml:space="preserve"> </w:t>
      </w:r>
      <w:r>
        <w:rPr>
          <w:rFonts w:eastAsia="Arial" w:cs="Arial"/>
          <w:lang w:val="en-US"/>
        </w:rPr>
        <w:t>a</w:t>
      </w:r>
      <w:r>
        <w:rPr>
          <w:rFonts w:eastAsia="Arial" w:cs="Arial"/>
          <w:spacing w:val="-6"/>
          <w:lang w:val="en-US"/>
        </w:rPr>
        <w:t xml:space="preserve"> </w:t>
      </w:r>
      <w:r>
        <w:rPr>
          <w:rFonts w:eastAsia="Arial" w:cs="Arial"/>
          <w:lang w:val="en-US"/>
        </w:rPr>
        <w:t>Fair</w:t>
      </w:r>
      <w:r>
        <w:rPr>
          <w:rFonts w:eastAsia="Arial" w:cs="Arial"/>
          <w:spacing w:val="-2"/>
          <w:lang w:val="en-US"/>
        </w:rPr>
        <w:t xml:space="preserve"> </w:t>
      </w:r>
      <w:r>
        <w:rPr>
          <w:rFonts w:eastAsia="Arial" w:cs="Arial"/>
          <w:lang w:val="en-US"/>
        </w:rPr>
        <w:t>trial</w:t>
      </w:r>
      <w:r>
        <w:rPr>
          <w:rFonts w:eastAsia="Arial" w:cs="Arial"/>
          <w:spacing w:val="-6"/>
          <w:lang w:val="en-US"/>
        </w:rPr>
        <w:t xml:space="preserve"> </w:t>
      </w:r>
      <w:r>
        <w:rPr>
          <w:rFonts w:eastAsia="Arial" w:cs="Arial"/>
          <w:lang w:val="en-US"/>
        </w:rPr>
        <w:t>Fact</w:t>
      </w:r>
      <w:r>
        <w:rPr>
          <w:rFonts w:eastAsia="Arial" w:cs="Arial"/>
          <w:spacing w:val="-5"/>
          <w:lang w:val="en-US"/>
        </w:rPr>
        <w:t xml:space="preserve"> </w:t>
      </w:r>
      <w:r>
        <w:rPr>
          <w:rFonts w:eastAsia="Arial" w:cs="Arial"/>
          <w:lang w:val="en-US"/>
        </w:rPr>
        <w:t>Sheet:</w:t>
      </w:r>
      <w:r>
        <w:rPr>
          <w:rFonts w:eastAsia="Arial" w:cs="Arial"/>
          <w:spacing w:val="-5"/>
          <w:lang w:val="en-US"/>
        </w:rPr>
        <w:t xml:space="preserve"> </w:t>
      </w:r>
      <w:hyperlink r:id="rId3" w:history="1">
        <w:r>
          <w:rPr>
            <w:rStyle w:val="Hyperlink"/>
            <w:rFonts w:eastAsia="Arial" w:cs="Arial"/>
            <w:lang w:val="en-US"/>
          </w:rPr>
          <w:t>Fact</w:t>
        </w:r>
        <w:r>
          <w:rPr>
            <w:rStyle w:val="Hyperlink"/>
            <w:rFonts w:eastAsia="Arial" w:cs="Arial"/>
            <w:spacing w:val="-3"/>
            <w:lang w:val="en-US"/>
          </w:rPr>
          <w:t xml:space="preserve"> </w:t>
        </w:r>
        <w:r>
          <w:rPr>
            <w:rStyle w:val="Hyperlink"/>
            <w:rFonts w:eastAsia="Arial" w:cs="Arial"/>
            <w:lang w:val="en-US"/>
          </w:rPr>
          <w:t>Sheet</w:t>
        </w:r>
        <w:r>
          <w:rPr>
            <w:rStyle w:val="Hyperlink"/>
            <w:rFonts w:eastAsia="Arial" w:cs="Arial"/>
            <w:spacing w:val="-3"/>
            <w:lang w:val="en-US"/>
          </w:rPr>
          <w:t xml:space="preserve"> </w:t>
        </w:r>
        <w:r>
          <w:rPr>
            <w:rStyle w:val="Hyperlink"/>
            <w:rFonts w:eastAsia="Arial" w:cs="Arial"/>
            <w:lang w:val="en-US"/>
          </w:rPr>
          <w:t>-</w:t>
        </w:r>
        <w:r>
          <w:rPr>
            <w:rStyle w:val="Hyperlink"/>
            <w:rFonts w:eastAsia="Arial" w:cs="Arial"/>
            <w:spacing w:val="-7"/>
            <w:lang w:val="en-US"/>
          </w:rPr>
          <w:t xml:space="preserve"> </w:t>
        </w:r>
        <w:r>
          <w:rPr>
            <w:rStyle w:val="Hyperlink"/>
            <w:rFonts w:eastAsia="Arial" w:cs="Arial"/>
            <w:lang w:val="en-US"/>
          </w:rPr>
          <w:t>N</w:t>
        </w:r>
        <w:r>
          <w:rPr>
            <w:rStyle w:val="Hyperlink"/>
            <w:rFonts w:eastAsia="Arial" w:cs="Arial"/>
            <w:spacing w:val="-7"/>
            <w:lang w:val="en-US"/>
          </w:rPr>
          <w:t xml:space="preserve"> </w:t>
        </w:r>
        <w:r>
          <w:rPr>
            <w:rStyle w:val="Hyperlink"/>
            <w:rFonts w:eastAsia="Arial" w:cs="Arial"/>
            <w:lang w:val="en-US"/>
          </w:rPr>
          <w:t>-</w:t>
        </w:r>
        <w:r>
          <w:rPr>
            <w:rStyle w:val="Hyperlink"/>
            <w:rFonts w:eastAsia="Arial" w:cs="Arial"/>
            <w:spacing w:val="-7"/>
            <w:lang w:val="en-US"/>
          </w:rPr>
          <w:t xml:space="preserve"> </w:t>
        </w:r>
        <w:r>
          <w:rPr>
            <w:rStyle w:val="Hyperlink"/>
            <w:rFonts w:eastAsia="Arial" w:cs="Arial"/>
            <w:lang w:val="en-US"/>
          </w:rPr>
          <w:t>s</w:t>
        </w:r>
        <w:r>
          <w:rPr>
            <w:rStyle w:val="Hyperlink"/>
            <w:rFonts w:eastAsia="Arial" w:cs="Arial"/>
            <w:spacing w:val="-4"/>
            <w:lang w:val="en-US"/>
          </w:rPr>
          <w:t xml:space="preserve"> </w:t>
        </w:r>
        <w:r>
          <w:rPr>
            <w:rStyle w:val="Hyperlink"/>
            <w:rFonts w:eastAsia="Arial" w:cs="Arial"/>
            <w:lang w:val="en-US"/>
          </w:rPr>
          <w:t>21</w:t>
        </w:r>
        <w:r>
          <w:rPr>
            <w:rStyle w:val="Hyperlink"/>
            <w:rFonts w:eastAsia="Arial" w:cs="Arial"/>
            <w:spacing w:val="-10"/>
            <w:lang w:val="en-US"/>
          </w:rPr>
          <w:t xml:space="preserve"> </w:t>
        </w:r>
        <w:r>
          <w:rPr>
            <w:rStyle w:val="Hyperlink"/>
            <w:rFonts w:eastAsia="Arial" w:cs="Arial"/>
            <w:lang w:val="en-US"/>
          </w:rPr>
          <w:t>-</w:t>
        </w:r>
        <w:r>
          <w:rPr>
            <w:rStyle w:val="Hyperlink"/>
            <w:rFonts w:eastAsia="Arial" w:cs="Arial"/>
            <w:spacing w:val="-7"/>
            <w:lang w:val="en-US"/>
          </w:rPr>
          <w:t xml:space="preserve"> </w:t>
        </w:r>
        <w:r>
          <w:rPr>
            <w:rStyle w:val="Hyperlink"/>
            <w:rFonts w:eastAsia="Arial" w:cs="Arial"/>
            <w:lang w:val="en-US"/>
          </w:rPr>
          <w:t>Fair</w:t>
        </w:r>
        <w:r>
          <w:rPr>
            <w:rStyle w:val="Hyperlink"/>
            <w:rFonts w:eastAsia="Arial" w:cs="Arial"/>
            <w:spacing w:val="-7"/>
            <w:lang w:val="en-US"/>
          </w:rPr>
          <w:t xml:space="preserve"> </w:t>
        </w:r>
        <w:r>
          <w:rPr>
            <w:rStyle w:val="Hyperlink"/>
            <w:rFonts w:eastAsia="Arial" w:cs="Arial"/>
            <w:lang w:val="en-US"/>
          </w:rPr>
          <w:t>trial</w:t>
        </w:r>
        <w:r>
          <w:rPr>
            <w:rStyle w:val="Hyperlink"/>
            <w:rFonts w:eastAsia="Arial" w:cs="Arial"/>
            <w:spacing w:val="-9"/>
            <w:lang w:val="en-US"/>
          </w:rPr>
          <w:t xml:space="preserve"> </w:t>
        </w:r>
        <w:r>
          <w:rPr>
            <w:rStyle w:val="Hyperlink"/>
            <w:rFonts w:eastAsia="Arial" w:cs="Arial"/>
            <w:lang w:val="en-US"/>
          </w:rPr>
          <w:t>-</w:t>
        </w:r>
        <w:r>
          <w:rPr>
            <w:rStyle w:val="Hyperlink"/>
            <w:rFonts w:eastAsia="Arial" w:cs="Arial"/>
            <w:spacing w:val="-7"/>
            <w:lang w:val="en-US"/>
          </w:rPr>
          <w:t xml:space="preserve"> </w:t>
        </w:r>
        <w:r>
          <w:rPr>
            <w:rStyle w:val="Hyperlink"/>
            <w:rFonts w:eastAsia="Arial" w:cs="Arial"/>
            <w:lang w:val="en-US"/>
          </w:rPr>
          <w:t>Human</w:t>
        </w:r>
        <w:r>
          <w:rPr>
            <w:rStyle w:val="Hyperlink"/>
            <w:rFonts w:eastAsia="Arial" w:cs="Arial"/>
            <w:spacing w:val="-10"/>
            <w:lang w:val="en-US"/>
          </w:rPr>
          <w:t xml:space="preserve"> </w:t>
        </w:r>
        <w:r>
          <w:rPr>
            <w:rStyle w:val="Hyperlink"/>
            <w:rFonts w:eastAsia="Arial" w:cs="Arial"/>
            <w:lang w:val="en-US"/>
          </w:rPr>
          <w:t>Rights</w:t>
        </w:r>
        <w:r>
          <w:rPr>
            <w:rStyle w:val="Hyperlink"/>
            <w:rFonts w:eastAsia="Arial" w:cs="Arial"/>
            <w:spacing w:val="-4"/>
            <w:lang w:val="en-US"/>
          </w:rPr>
          <w:t xml:space="preserve"> </w:t>
        </w:r>
        <w:r>
          <w:rPr>
            <w:rStyle w:val="Hyperlink"/>
            <w:rFonts w:eastAsia="Arial" w:cs="Arial"/>
            <w:lang w:val="en-US"/>
          </w:rPr>
          <w:t>Education</w:t>
        </w:r>
      </w:hyperlink>
      <w:r>
        <w:rPr>
          <w:rFonts w:eastAsia="Arial" w:cs="Arial"/>
          <w:lang w:val="en-US"/>
        </w:rPr>
        <w:t>.</w:t>
      </w:r>
    </w:p>
    <w:p w14:paraId="2C1EB261" w14:textId="77777777" w:rsidR="0016238D" w:rsidRDefault="0016238D" w:rsidP="0016238D">
      <w:pPr>
        <w:pStyle w:val="FootnoteText"/>
        <w:rPr>
          <w:rFonts w:eastAsia="Aptos" w:cs="Times New Roman"/>
          <w:kern w:val="2"/>
          <w14:ligatures w14:val="standardContextual"/>
        </w:rPr>
      </w:pPr>
    </w:p>
  </w:footnote>
  <w:footnote w:id="8">
    <w:p w14:paraId="54F06116" w14:textId="2FEA6E2C" w:rsidR="00073FC9" w:rsidRDefault="00073FC9">
      <w:pPr>
        <w:pStyle w:val="FootnoteText"/>
      </w:pPr>
      <w:r>
        <w:rPr>
          <w:rStyle w:val="FootnoteReference"/>
        </w:rPr>
        <w:footnoteRef/>
      </w:r>
      <w:r>
        <w:t xml:space="preserve"> </w:t>
      </w:r>
      <w:r>
        <w:rPr>
          <w:rFonts w:ascii="Calibri" w:eastAsia="Calibri" w:hAnsi="Calibri" w:cs="Calibri"/>
          <w:i/>
          <w:iCs/>
        </w:rPr>
        <w:t>Notice Paper 52</w:t>
      </w:r>
      <w:r>
        <w:rPr>
          <w:rFonts w:ascii="Calibri" w:eastAsia="Calibri" w:hAnsi="Calibri" w:cs="Calibri"/>
        </w:rPr>
        <w:t>, Tuesday 24 March 2026</w:t>
      </w:r>
      <w:r w:rsidRPr="00073FC9">
        <w:t>,</w:t>
      </w:r>
      <w:r>
        <w:t xml:space="preserve"> p. 859. </w:t>
      </w:r>
      <w:hyperlink r:id="rId4" w:history="1">
        <w:r w:rsidRPr="005661E1">
          <w:rPr>
            <w:rStyle w:val="Hyperlink"/>
          </w:rPr>
          <w:t>https://www.parliament.act.gov.au/__data/assets/pdf_file/0012/3039798/NP-52-24-March-2026.pdf</w:t>
        </w:r>
      </w:hyperlink>
      <w:r>
        <w:t>.</w:t>
      </w:r>
    </w:p>
  </w:footnote>
  <w:footnote w:id="9">
    <w:p w14:paraId="69943263" w14:textId="724DD1A3" w:rsidR="003F39AA" w:rsidRDefault="003F39AA">
      <w:pPr>
        <w:pStyle w:val="FootnoteText"/>
      </w:pPr>
      <w:r>
        <w:rPr>
          <w:rStyle w:val="FootnoteReference"/>
        </w:rPr>
        <w:footnoteRef/>
      </w:r>
      <w:r>
        <w:t xml:space="preserve"> </w:t>
      </w:r>
      <w:r w:rsidRPr="003F39AA">
        <w:t xml:space="preserve">Available at </w:t>
      </w:r>
      <w:hyperlink r:id="rId5" w:history="1">
        <w:r w:rsidRPr="005661E1">
          <w:rPr>
            <w:rStyle w:val="Hyperlink"/>
          </w:rPr>
          <w:t>https://www.parliament.act.gov.au/__data/assets/pdf_file/0010/3052738/SL2026-1Legal-Profession-Barristers-Rules-2026Government-response.pdf</w:t>
        </w:r>
      </w:hyperlink>
      <w:r>
        <w:t xml:space="preserve">. </w:t>
      </w:r>
    </w:p>
  </w:footnote>
  <w:footnote w:id="10">
    <w:p w14:paraId="53DC103D" w14:textId="77777777" w:rsidR="003F39AA" w:rsidRDefault="003F39AA" w:rsidP="003F39AA">
      <w:pPr>
        <w:pStyle w:val="FootnoteText"/>
      </w:pPr>
      <w:r>
        <w:rPr>
          <w:rStyle w:val="FootnoteReference"/>
        </w:rPr>
        <w:footnoteRef/>
      </w:r>
      <w:r>
        <w:t xml:space="preserve"> </w:t>
      </w:r>
      <w:hyperlink r:id="rId6" w:history="1">
        <w:r w:rsidRPr="00F5133E">
          <w:rPr>
            <w:rStyle w:val="Hyperlink"/>
          </w:rPr>
          <w:t>https://www.parliament.act.gov.au/__data/assets/pdf_file/0004/3052741/SL2026-1Legal-Profession-Barristers-Rules-2026Revised-ES.pdf</w:t>
        </w:r>
      </w:hyperlink>
      <w:r>
        <w:t>.</w:t>
      </w:r>
    </w:p>
  </w:footnote>
  <w:footnote w:id="11">
    <w:p w14:paraId="1D702878" w14:textId="77777777" w:rsidR="003F39AA" w:rsidRDefault="003F39AA" w:rsidP="003F39AA">
      <w:pPr>
        <w:pStyle w:val="FootnoteText"/>
      </w:pPr>
      <w:r>
        <w:rPr>
          <w:rStyle w:val="FootnoteReference"/>
        </w:rPr>
        <w:footnoteRef/>
      </w:r>
      <w:r>
        <w:t xml:space="preserve"> Available at </w:t>
      </w:r>
      <w:hyperlink r:id="rId7" w:history="1">
        <w:r>
          <w:rPr>
            <w:rStyle w:val="Hyperlink"/>
          </w:rPr>
          <w:t>https://www.parliament.act.gov.au/__data/assets/pdf_file/0020/2426114/Scrutiny-Report-40-Final.pdf</w:t>
        </w:r>
      </w:hyperlink>
      <w:r>
        <w:t>.  See pp 13-5.</w:t>
      </w:r>
    </w:p>
  </w:footnote>
  <w:footnote w:id="12">
    <w:p w14:paraId="72CD4B99" w14:textId="41571B52" w:rsidR="003F39AA" w:rsidRDefault="003F39AA" w:rsidP="003F39AA">
      <w:pPr>
        <w:pStyle w:val="FootnoteText"/>
      </w:pPr>
      <w:r>
        <w:rPr>
          <w:rStyle w:val="FootnoteReference"/>
        </w:rPr>
        <w:footnoteRef/>
      </w:r>
      <w:r>
        <w:t xml:space="preserve"> See, e.g. </w:t>
      </w:r>
      <w:r>
        <w:rPr>
          <w:i/>
          <w:iCs/>
        </w:rPr>
        <w:t>Scrutiny Report 33</w:t>
      </w:r>
      <w:r>
        <w:t>, at page 24.</w:t>
      </w:r>
    </w:p>
  </w:footnote>
  <w:footnote w:id="13">
    <w:p w14:paraId="48DA1BC7" w14:textId="77777777" w:rsidR="003F39AA" w:rsidRDefault="003F39AA" w:rsidP="003F39AA">
      <w:pPr>
        <w:pStyle w:val="FootnoteText"/>
      </w:pPr>
      <w:r>
        <w:rPr>
          <w:rStyle w:val="FootnoteReference"/>
        </w:rPr>
        <w:footnoteRef/>
      </w:r>
      <w:r>
        <w:t xml:space="preserve"> See </w:t>
      </w:r>
      <w:hyperlink r:id="rId8" w:history="1">
        <w:r>
          <w:rPr>
            <w:rStyle w:val="Hyperlink"/>
          </w:rPr>
          <w:t>https://www.aph.gov.au/Parliamentary_Business/Committees/Senate/Scrutiny_of_Delegated_Legislation/Guidelines/Guide_to_working_with_the_committee</w:t>
        </w:r>
      </w:hyperlink>
      <w:r>
        <w:t>.</w:t>
      </w:r>
    </w:p>
  </w:footnote>
  <w:footnote w:id="14">
    <w:p w14:paraId="72686A0C" w14:textId="77777777" w:rsidR="003F39AA" w:rsidRDefault="003F39AA" w:rsidP="003F39AA">
      <w:pPr>
        <w:pStyle w:val="FootnoteText"/>
      </w:pPr>
      <w:r>
        <w:rPr>
          <w:rStyle w:val="FootnoteReference"/>
        </w:rPr>
        <w:footnoteRef/>
      </w:r>
      <w:r>
        <w:t xml:space="preserve"> Available at </w:t>
      </w:r>
      <w:hyperlink r:id="rId9" w:history="1">
        <w:r>
          <w:rPr>
            <w:rStyle w:val="Hyperlink"/>
          </w:rPr>
          <w:t>https://www.parliament.act.gov.au/__data/assets/pdf_file/0016/2421232/DI2023-202Further-response-to-Report-38.pdf</w:t>
        </w:r>
      </w:hyperlink>
      <w:r>
        <w:t>.</w:t>
      </w:r>
    </w:p>
  </w:footnote>
  <w:footnote w:id="15">
    <w:p w14:paraId="2AB93683" w14:textId="77777777" w:rsidR="003F39AA" w:rsidRDefault="003F39AA" w:rsidP="003F39AA">
      <w:pPr>
        <w:pStyle w:val="FootnoteText"/>
      </w:pPr>
      <w:r>
        <w:rPr>
          <w:rStyle w:val="FootnoteReference"/>
        </w:rPr>
        <w:footnoteRef/>
      </w:r>
      <w:r>
        <w:t xml:space="preserve"> See </w:t>
      </w:r>
      <w:hyperlink r:id="rId10" w:history="1">
        <w:r>
          <w:rPr>
            <w:rStyle w:val="Hyperlink"/>
          </w:rPr>
          <w:t>https://www.aph.gov.au/Parliamentary_Business/Committees/Senate/Scrutiny_of_Delegated_Legislation/Guidelines/Guide_to_working_with_the_committee</w:t>
        </w:r>
      </w:hyperlink>
      <w:r>
        <w:t>.</w:t>
      </w:r>
    </w:p>
  </w:footnote>
  <w:footnote w:id="16">
    <w:p w14:paraId="64102527" w14:textId="77777777" w:rsidR="00911F03" w:rsidRDefault="00911F03" w:rsidP="00911F03">
      <w:pPr>
        <w:pStyle w:val="FootnoteText"/>
      </w:pPr>
      <w:r>
        <w:rPr>
          <w:rStyle w:val="FootnoteReference"/>
        </w:rPr>
        <w:footnoteRef/>
      </w:r>
      <w:r>
        <w:t xml:space="preserve"> </w:t>
      </w:r>
      <w:hyperlink r:id="rId11" w:history="1">
        <w:r w:rsidRPr="001C5DBE">
          <w:rPr>
            <w:rStyle w:val="Hyperlink"/>
          </w:rPr>
          <w:t>https://www.parliament.act.gov.au/parliamentary-business/in-committees/committees-11th-assembly/LA_Scrutiny/response-to-comments-on-subordinate-legislation</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B0464" w14:textId="58ACFC3E" w:rsidR="00836FFE" w:rsidRPr="00C02510" w:rsidRDefault="00836FFE" w:rsidP="008B350E">
    <w:pPr>
      <w:pStyle w:val="Header"/>
      <w:jc w:val="center"/>
      <w:rPr>
        <w:color w:val="1A234C"/>
      </w:rPr>
    </w:pPr>
  </w:p>
  <w:p w14:paraId="67852F50" w14:textId="6D268154" w:rsidR="00836FFE" w:rsidRPr="00917B49" w:rsidRDefault="00836FFE" w:rsidP="00917B49">
    <w:pPr>
      <w:pStyle w:val="Cover-Assemblyname"/>
    </w:pPr>
    <w:r>
      <w:rPr>
        <w:rFonts w:ascii="Arial" w:hAnsi="Arial"/>
        <w:noProof/>
        <w:color w:val="000000" w:themeColor="text1"/>
        <w:lang w:eastAsia="en-AU"/>
      </w:rPr>
      <w:drawing>
        <wp:anchor distT="0" distB="0" distL="114300" distR="114300" simplePos="0" relativeHeight="251659264" behindDoc="1" locked="0" layoutInCell="1" allowOverlap="1" wp14:anchorId="793C53F3" wp14:editId="4AF4A051">
          <wp:simplePos x="0" y="0"/>
          <wp:positionH relativeFrom="margin">
            <wp:align>left</wp:align>
          </wp:positionH>
          <wp:positionV relativeFrom="page">
            <wp:posOffset>853441</wp:posOffset>
          </wp:positionV>
          <wp:extent cx="839349" cy="838200"/>
          <wp:effectExtent l="0" t="0" r="0" b="0"/>
          <wp:wrapNone/>
          <wp:docPr id="2028026595" name="Picture 20280265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70DF9"/>
    <w:multiLevelType w:val="hybridMultilevel"/>
    <w:tmpl w:val="76A64962"/>
    <w:lvl w:ilvl="0" w:tplc="F67E097E">
      <w:start w:val="1"/>
      <w:numFmt w:val="lowerRoman"/>
      <w:lvlText w:val="(%1)"/>
      <w:lvlJc w:val="left"/>
      <w:pPr>
        <w:ind w:left="770" w:hanging="720"/>
      </w:pPr>
    </w:lvl>
    <w:lvl w:ilvl="1" w:tplc="0C090019">
      <w:start w:val="1"/>
      <w:numFmt w:val="lowerLetter"/>
      <w:lvlText w:val="%2."/>
      <w:lvlJc w:val="left"/>
      <w:pPr>
        <w:ind w:left="1130" w:hanging="360"/>
      </w:pPr>
    </w:lvl>
    <w:lvl w:ilvl="2" w:tplc="0C09001B">
      <w:start w:val="1"/>
      <w:numFmt w:val="lowerRoman"/>
      <w:lvlText w:val="%3."/>
      <w:lvlJc w:val="right"/>
      <w:pPr>
        <w:ind w:left="1850" w:hanging="180"/>
      </w:pPr>
    </w:lvl>
    <w:lvl w:ilvl="3" w:tplc="0C09000F">
      <w:start w:val="1"/>
      <w:numFmt w:val="decimal"/>
      <w:lvlText w:val="%4."/>
      <w:lvlJc w:val="left"/>
      <w:pPr>
        <w:ind w:left="2570" w:hanging="360"/>
      </w:pPr>
    </w:lvl>
    <w:lvl w:ilvl="4" w:tplc="0C090019">
      <w:start w:val="1"/>
      <w:numFmt w:val="lowerLetter"/>
      <w:lvlText w:val="%5."/>
      <w:lvlJc w:val="left"/>
      <w:pPr>
        <w:ind w:left="3290" w:hanging="360"/>
      </w:pPr>
    </w:lvl>
    <w:lvl w:ilvl="5" w:tplc="0C09001B">
      <w:start w:val="1"/>
      <w:numFmt w:val="lowerRoman"/>
      <w:lvlText w:val="%6."/>
      <w:lvlJc w:val="right"/>
      <w:pPr>
        <w:ind w:left="4010" w:hanging="180"/>
      </w:pPr>
    </w:lvl>
    <w:lvl w:ilvl="6" w:tplc="0C09000F">
      <w:start w:val="1"/>
      <w:numFmt w:val="decimal"/>
      <w:lvlText w:val="%7."/>
      <w:lvlJc w:val="left"/>
      <w:pPr>
        <w:ind w:left="4730" w:hanging="360"/>
      </w:pPr>
    </w:lvl>
    <w:lvl w:ilvl="7" w:tplc="0C090019">
      <w:start w:val="1"/>
      <w:numFmt w:val="lowerLetter"/>
      <w:lvlText w:val="%8."/>
      <w:lvlJc w:val="left"/>
      <w:pPr>
        <w:ind w:left="5450" w:hanging="360"/>
      </w:pPr>
    </w:lvl>
    <w:lvl w:ilvl="8" w:tplc="0C09001B">
      <w:start w:val="1"/>
      <w:numFmt w:val="lowerRoman"/>
      <w:lvlText w:val="%9."/>
      <w:lvlJc w:val="right"/>
      <w:pPr>
        <w:ind w:left="6170" w:hanging="180"/>
      </w:pPr>
    </w:lvl>
  </w:abstractNum>
  <w:abstractNum w:abstractNumId="1" w15:restartNumberingAfterBreak="0">
    <w:nsid w:val="075F0153"/>
    <w:multiLevelType w:val="hybridMultilevel"/>
    <w:tmpl w:val="E8B4F180"/>
    <w:lvl w:ilvl="0" w:tplc="4DAC1F9C">
      <w:start w:val="1"/>
      <w:numFmt w:val="lowerRoman"/>
      <w:lvlText w:val="(%1)"/>
      <w:lvlJc w:val="left"/>
      <w:pPr>
        <w:ind w:left="720" w:hanging="360"/>
      </w:pPr>
      <w:rPr>
        <w:rFonts w:ascii="Aptos" w:eastAsia="Aptos" w:hAnsi="Aptos" w:cs="Times New Roman"/>
        <w:i w:val="0"/>
        <w:iCs w:val="0"/>
      </w:rPr>
    </w:lvl>
    <w:lvl w:ilvl="1" w:tplc="0680DDA6">
      <w:numFmt w:val="bullet"/>
      <w:lvlText w:val="•"/>
      <w:lvlJc w:val="left"/>
      <w:pPr>
        <w:ind w:left="1800" w:hanging="720"/>
      </w:pPr>
      <w:rPr>
        <w:rFonts w:ascii="Aptos" w:eastAsia="Aptos" w:hAnsi="Aptos" w:cs="Times New Roman"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 w15:restartNumberingAfterBreak="0">
    <w:nsid w:val="08875F9A"/>
    <w:multiLevelType w:val="hybridMultilevel"/>
    <w:tmpl w:val="A0BA8E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8D053CF"/>
    <w:multiLevelType w:val="hybridMultilevel"/>
    <w:tmpl w:val="0688F4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9C91EB3"/>
    <w:multiLevelType w:val="hybridMultilevel"/>
    <w:tmpl w:val="28F81F6C"/>
    <w:lvl w:ilvl="0" w:tplc="CD387134">
      <w:start w:val="1"/>
      <w:numFmt w:val="decimal"/>
      <w:lvlText w:val="%1."/>
      <w:lvlJc w:val="left"/>
      <w:pPr>
        <w:ind w:left="720" w:hanging="360"/>
      </w:pPr>
      <w:rPr>
        <w:color w:val="2F5496" w:themeColor="accent1" w:themeShade="BF"/>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09E3C9B"/>
    <w:multiLevelType w:val="hybridMultilevel"/>
    <w:tmpl w:val="69F4534A"/>
    <w:lvl w:ilvl="0" w:tplc="A3BCEB9C">
      <w:start w:val="1"/>
      <w:numFmt w:val="lowerRoman"/>
      <w:lvlText w:val="(%1)"/>
      <w:lvlJc w:val="left"/>
      <w:pPr>
        <w:ind w:left="720" w:hanging="360"/>
      </w:pPr>
      <w:rPr>
        <w:rFonts w:ascii="Aptos" w:eastAsia="Aptos" w:hAnsi="Aptos" w:cs="Times New Roman"/>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 w15:restartNumberingAfterBreak="0">
    <w:nsid w:val="114B13F3"/>
    <w:multiLevelType w:val="hybridMultilevel"/>
    <w:tmpl w:val="EE584980"/>
    <w:lvl w:ilvl="0" w:tplc="0C090001">
      <w:start w:val="1"/>
      <w:numFmt w:val="bullet"/>
      <w:lvlText w:val=""/>
      <w:lvlJc w:val="left"/>
      <w:pPr>
        <w:ind w:left="1211" w:hanging="360"/>
      </w:pPr>
      <w:rPr>
        <w:rFonts w:ascii="Symbol" w:hAnsi="Symbol" w:hint="default"/>
      </w:rPr>
    </w:lvl>
    <w:lvl w:ilvl="1" w:tplc="0C090003">
      <w:start w:val="1"/>
      <w:numFmt w:val="bullet"/>
      <w:lvlText w:val="o"/>
      <w:lvlJc w:val="left"/>
      <w:pPr>
        <w:ind w:left="1931" w:hanging="360"/>
      </w:pPr>
      <w:rPr>
        <w:rFonts w:ascii="Courier New" w:hAnsi="Courier New" w:cs="Courier New" w:hint="default"/>
      </w:rPr>
    </w:lvl>
    <w:lvl w:ilvl="2" w:tplc="0C090005">
      <w:start w:val="1"/>
      <w:numFmt w:val="bullet"/>
      <w:lvlText w:val=""/>
      <w:lvlJc w:val="left"/>
      <w:pPr>
        <w:ind w:left="2651" w:hanging="360"/>
      </w:pPr>
      <w:rPr>
        <w:rFonts w:ascii="Wingdings" w:hAnsi="Wingdings" w:hint="default"/>
      </w:rPr>
    </w:lvl>
    <w:lvl w:ilvl="3" w:tplc="0C090001">
      <w:start w:val="1"/>
      <w:numFmt w:val="bullet"/>
      <w:lvlText w:val=""/>
      <w:lvlJc w:val="left"/>
      <w:pPr>
        <w:ind w:left="3371" w:hanging="360"/>
      </w:pPr>
      <w:rPr>
        <w:rFonts w:ascii="Symbol" w:hAnsi="Symbol" w:hint="default"/>
      </w:rPr>
    </w:lvl>
    <w:lvl w:ilvl="4" w:tplc="0C090003">
      <w:start w:val="1"/>
      <w:numFmt w:val="bullet"/>
      <w:lvlText w:val="o"/>
      <w:lvlJc w:val="left"/>
      <w:pPr>
        <w:ind w:left="4091" w:hanging="360"/>
      </w:pPr>
      <w:rPr>
        <w:rFonts w:ascii="Courier New" w:hAnsi="Courier New" w:cs="Courier New" w:hint="default"/>
      </w:rPr>
    </w:lvl>
    <w:lvl w:ilvl="5" w:tplc="0C090005">
      <w:start w:val="1"/>
      <w:numFmt w:val="bullet"/>
      <w:lvlText w:val=""/>
      <w:lvlJc w:val="left"/>
      <w:pPr>
        <w:ind w:left="4811" w:hanging="360"/>
      </w:pPr>
      <w:rPr>
        <w:rFonts w:ascii="Wingdings" w:hAnsi="Wingdings" w:hint="default"/>
      </w:rPr>
    </w:lvl>
    <w:lvl w:ilvl="6" w:tplc="0C090001">
      <w:start w:val="1"/>
      <w:numFmt w:val="bullet"/>
      <w:lvlText w:val=""/>
      <w:lvlJc w:val="left"/>
      <w:pPr>
        <w:ind w:left="5531" w:hanging="360"/>
      </w:pPr>
      <w:rPr>
        <w:rFonts w:ascii="Symbol" w:hAnsi="Symbol" w:hint="default"/>
      </w:rPr>
    </w:lvl>
    <w:lvl w:ilvl="7" w:tplc="0C090003">
      <w:start w:val="1"/>
      <w:numFmt w:val="bullet"/>
      <w:lvlText w:val="o"/>
      <w:lvlJc w:val="left"/>
      <w:pPr>
        <w:ind w:left="6251" w:hanging="360"/>
      </w:pPr>
      <w:rPr>
        <w:rFonts w:ascii="Courier New" w:hAnsi="Courier New" w:cs="Courier New" w:hint="default"/>
      </w:rPr>
    </w:lvl>
    <w:lvl w:ilvl="8" w:tplc="0C090005">
      <w:start w:val="1"/>
      <w:numFmt w:val="bullet"/>
      <w:lvlText w:val=""/>
      <w:lvlJc w:val="left"/>
      <w:pPr>
        <w:ind w:left="6971" w:hanging="360"/>
      </w:pPr>
      <w:rPr>
        <w:rFonts w:ascii="Wingdings" w:hAnsi="Wingdings" w:hint="default"/>
      </w:rPr>
    </w:lvl>
  </w:abstractNum>
  <w:abstractNum w:abstractNumId="8" w15:restartNumberingAfterBreak="0">
    <w:nsid w:val="15B45839"/>
    <w:multiLevelType w:val="hybridMultilevel"/>
    <w:tmpl w:val="0E3E9B62"/>
    <w:lvl w:ilvl="0" w:tplc="C0D8A37A">
      <w:start w:val="1"/>
      <w:numFmt w:val="lowerLetter"/>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9" w15:restartNumberingAfterBreak="0">
    <w:nsid w:val="18035AE1"/>
    <w:multiLevelType w:val="hybridMultilevel"/>
    <w:tmpl w:val="A178EA3A"/>
    <w:lvl w:ilvl="0" w:tplc="9A4A855C">
      <w:start w:val="1"/>
      <w:numFmt w:val="lowerRoman"/>
      <w:lvlText w:val="(%1)"/>
      <w:lvlJc w:val="left"/>
      <w:pPr>
        <w:ind w:left="1440" w:hanging="72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10" w15:restartNumberingAfterBreak="0">
    <w:nsid w:val="1A653FCE"/>
    <w:multiLevelType w:val="multilevel"/>
    <w:tmpl w:val="A984A514"/>
    <w:lvl w:ilvl="0">
      <w:start w:val="1"/>
      <w:numFmt w:val="decimal"/>
      <w:lvlText w:val="%1."/>
      <w:lvlJc w:val="left"/>
      <w:pPr>
        <w:ind w:left="644" w:hanging="360"/>
      </w:pPr>
      <w:rPr>
        <w:rFonts w:hint="default"/>
      </w:rPr>
    </w:lvl>
    <w:lvl w:ilvl="1">
      <w:start w:val="1"/>
      <w:numFmt w:val="decimal"/>
      <w:isLgl/>
      <w:lvlText w:val="%1.%2"/>
      <w:lvlJc w:val="left"/>
      <w:pPr>
        <w:ind w:left="567" w:hanging="567"/>
      </w:pPr>
      <w:rPr>
        <w:rFonts w:ascii="Calibri (Body)" w:hAnsi="Calibri (Body)" w:hint="default"/>
        <w:b w:val="0"/>
        <w:bCs/>
        <w:i w:val="0"/>
        <w:iCs w:val="0"/>
        <w:color w:val="auto"/>
        <w:sz w:val="22"/>
        <w:szCs w:val="22"/>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11" w15:restartNumberingAfterBreak="0">
    <w:nsid w:val="1C1C10E4"/>
    <w:multiLevelType w:val="hybridMultilevel"/>
    <w:tmpl w:val="7666BD48"/>
    <w:lvl w:ilvl="0" w:tplc="0C09000F">
      <w:start w:val="1"/>
      <w:numFmt w:val="decimal"/>
      <w:lvlText w:val="%1."/>
      <w:lvlJc w:val="left"/>
      <w:pPr>
        <w:ind w:left="644" w:hanging="360"/>
      </w:p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2" w15:restartNumberingAfterBreak="0">
    <w:nsid w:val="203C609E"/>
    <w:multiLevelType w:val="hybridMultilevel"/>
    <w:tmpl w:val="D018DCDE"/>
    <w:lvl w:ilvl="0" w:tplc="47C85592">
      <w:start w:val="1"/>
      <w:numFmt w:val="lowerLetter"/>
      <w:lvlText w:val="(%1)"/>
      <w:lvlJc w:val="left"/>
      <w:pPr>
        <w:ind w:left="1854" w:hanging="360"/>
      </w:pPr>
    </w:lvl>
    <w:lvl w:ilvl="1" w:tplc="0C090019">
      <w:start w:val="1"/>
      <w:numFmt w:val="lowerLetter"/>
      <w:lvlText w:val="%2."/>
      <w:lvlJc w:val="left"/>
      <w:pPr>
        <w:ind w:left="2574" w:hanging="360"/>
      </w:pPr>
    </w:lvl>
    <w:lvl w:ilvl="2" w:tplc="0C09001B">
      <w:start w:val="1"/>
      <w:numFmt w:val="lowerRoman"/>
      <w:lvlText w:val="%3."/>
      <w:lvlJc w:val="right"/>
      <w:pPr>
        <w:ind w:left="3294" w:hanging="180"/>
      </w:pPr>
    </w:lvl>
    <w:lvl w:ilvl="3" w:tplc="0C09000F">
      <w:start w:val="1"/>
      <w:numFmt w:val="decimal"/>
      <w:lvlText w:val="%4."/>
      <w:lvlJc w:val="left"/>
      <w:pPr>
        <w:ind w:left="4014" w:hanging="360"/>
      </w:pPr>
    </w:lvl>
    <w:lvl w:ilvl="4" w:tplc="0C090019">
      <w:start w:val="1"/>
      <w:numFmt w:val="lowerLetter"/>
      <w:lvlText w:val="%5."/>
      <w:lvlJc w:val="left"/>
      <w:pPr>
        <w:ind w:left="4734" w:hanging="360"/>
      </w:pPr>
    </w:lvl>
    <w:lvl w:ilvl="5" w:tplc="0C09001B">
      <w:start w:val="1"/>
      <w:numFmt w:val="lowerRoman"/>
      <w:lvlText w:val="%6."/>
      <w:lvlJc w:val="right"/>
      <w:pPr>
        <w:ind w:left="5454" w:hanging="180"/>
      </w:pPr>
    </w:lvl>
    <w:lvl w:ilvl="6" w:tplc="0C09000F">
      <w:start w:val="1"/>
      <w:numFmt w:val="decimal"/>
      <w:lvlText w:val="%7."/>
      <w:lvlJc w:val="left"/>
      <w:pPr>
        <w:ind w:left="6174" w:hanging="360"/>
      </w:pPr>
    </w:lvl>
    <w:lvl w:ilvl="7" w:tplc="0C090019">
      <w:start w:val="1"/>
      <w:numFmt w:val="lowerLetter"/>
      <w:lvlText w:val="%8."/>
      <w:lvlJc w:val="left"/>
      <w:pPr>
        <w:ind w:left="6894" w:hanging="360"/>
      </w:pPr>
    </w:lvl>
    <w:lvl w:ilvl="8" w:tplc="0C09001B">
      <w:start w:val="1"/>
      <w:numFmt w:val="lowerRoman"/>
      <w:lvlText w:val="%9."/>
      <w:lvlJc w:val="right"/>
      <w:pPr>
        <w:ind w:left="7614" w:hanging="180"/>
      </w:pPr>
    </w:lvl>
  </w:abstractNum>
  <w:abstractNum w:abstractNumId="13" w15:restartNumberingAfterBreak="0">
    <w:nsid w:val="216B346C"/>
    <w:multiLevelType w:val="hybridMultilevel"/>
    <w:tmpl w:val="B268E060"/>
    <w:lvl w:ilvl="0" w:tplc="0C090001">
      <w:start w:val="1"/>
      <w:numFmt w:val="bullet"/>
      <w:lvlText w:val=""/>
      <w:lvlJc w:val="left"/>
      <w:pPr>
        <w:ind w:left="1854" w:hanging="360"/>
      </w:pPr>
      <w:rPr>
        <w:rFonts w:ascii="Symbol" w:hAnsi="Symbol" w:hint="default"/>
      </w:rPr>
    </w:lvl>
    <w:lvl w:ilvl="1" w:tplc="0C090003">
      <w:start w:val="1"/>
      <w:numFmt w:val="bullet"/>
      <w:lvlText w:val="o"/>
      <w:lvlJc w:val="left"/>
      <w:pPr>
        <w:ind w:left="2574" w:hanging="360"/>
      </w:pPr>
      <w:rPr>
        <w:rFonts w:ascii="Courier New" w:hAnsi="Courier New" w:cs="Courier New" w:hint="default"/>
      </w:rPr>
    </w:lvl>
    <w:lvl w:ilvl="2" w:tplc="0C090005">
      <w:start w:val="1"/>
      <w:numFmt w:val="bullet"/>
      <w:lvlText w:val=""/>
      <w:lvlJc w:val="left"/>
      <w:pPr>
        <w:ind w:left="3294" w:hanging="360"/>
      </w:pPr>
      <w:rPr>
        <w:rFonts w:ascii="Wingdings" w:hAnsi="Wingdings" w:hint="default"/>
      </w:rPr>
    </w:lvl>
    <w:lvl w:ilvl="3" w:tplc="0C090001">
      <w:start w:val="1"/>
      <w:numFmt w:val="bullet"/>
      <w:lvlText w:val=""/>
      <w:lvlJc w:val="left"/>
      <w:pPr>
        <w:ind w:left="4014" w:hanging="360"/>
      </w:pPr>
      <w:rPr>
        <w:rFonts w:ascii="Symbol" w:hAnsi="Symbol" w:hint="default"/>
      </w:rPr>
    </w:lvl>
    <w:lvl w:ilvl="4" w:tplc="0C090003">
      <w:start w:val="1"/>
      <w:numFmt w:val="bullet"/>
      <w:lvlText w:val="o"/>
      <w:lvlJc w:val="left"/>
      <w:pPr>
        <w:ind w:left="4734" w:hanging="360"/>
      </w:pPr>
      <w:rPr>
        <w:rFonts w:ascii="Courier New" w:hAnsi="Courier New" w:cs="Courier New" w:hint="default"/>
      </w:rPr>
    </w:lvl>
    <w:lvl w:ilvl="5" w:tplc="0C090005">
      <w:start w:val="1"/>
      <w:numFmt w:val="bullet"/>
      <w:lvlText w:val=""/>
      <w:lvlJc w:val="left"/>
      <w:pPr>
        <w:ind w:left="5454" w:hanging="360"/>
      </w:pPr>
      <w:rPr>
        <w:rFonts w:ascii="Wingdings" w:hAnsi="Wingdings" w:hint="default"/>
      </w:rPr>
    </w:lvl>
    <w:lvl w:ilvl="6" w:tplc="0C090001">
      <w:start w:val="1"/>
      <w:numFmt w:val="bullet"/>
      <w:lvlText w:val=""/>
      <w:lvlJc w:val="left"/>
      <w:pPr>
        <w:ind w:left="6174" w:hanging="360"/>
      </w:pPr>
      <w:rPr>
        <w:rFonts w:ascii="Symbol" w:hAnsi="Symbol" w:hint="default"/>
      </w:rPr>
    </w:lvl>
    <w:lvl w:ilvl="7" w:tplc="0C090003">
      <w:start w:val="1"/>
      <w:numFmt w:val="bullet"/>
      <w:lvlText w:val="o"/>
      <w:lvlJc w:val="left"/>
      <w:pPr>
        <w:ind w:left="6894" w:hanging="360"/>
      </w:pPr>
      <w:rPr>
        <w:rFonts w:ascii="Courier New" w:hAnsi="Courier New" w:cs="Courier New" w:hint="default"/>
      </w:rPr>
    </w:lvl>
    <w:lvl w:ilvl="8" w:tplc="0C090005">
      <w:start w:val="1"/>
      <w:numFmt w:val="bullet"/>
      <w:lvlText w:val=""/>
      <w:lvlJc w:val="left"/>
      <w:pPr>
        <w:ind w:left="7614" w:hanging="360"/>
      </w:pPr>
      <w:rPr>
        <w:rFonts w:ascii="Wingdings" w:hAnsi="Wingdings" w:hint="default"/>
      </w:rPr>
    </w:lvl>
  </w:abstractNum>
  <w:abstractNum w:abstractNumId="14" w15:restartNumberingAfterBreak="0">
    <w:nsid w:val="28B54F62"/>
    <w:multiLevelType w:val="hybridMultilevel"/>
    <w:tmpl w:val="A08A68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BF629F4"/>
    <w:multiLevelType w:val="hybridMultilevel"/>
    <w:tmpl w:val="80862A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2ECB6C65"/>
    <w:multiLevelType w:val="hybridMultilevel"/>
    <w:tmpl w:val="775472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FE531E7"/>
    <w:multiLevelType w:val="hybridMultilevel"/>
    <w:tmpl w:val="345AB5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35872B8"/>
    <w:multiLevelType w:val="hybridMultilevel"/>
    <w:tmpl w:val="39944286"/>
    <w:lvl w:ilvl="0" w:tplc="6DBAF65E">
      <w:start w:val="1"/>
      <w:numFmt w:val="decimal"/>
      <w:pStyle w:val="CS-Paragraphnumbering"/>
      <w:lvlText w:val="%1."/>
      <w:lvlJc w:val="left"/>
      <w:pPr>
        <w:ind w:left="720" w:hanging="360"/>
      </w:pPr>
      <w:rPr>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59E3AEA"/>
    <w:multiLevelType w:val="hybridMultilevel"/>
    <w:tmpl w:val="B5CA8C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7464813"/>
    <w:multiLevelType w:val="hybridMultilevel"/>
    <w:tmpl w:val="89805C32"/>
    <w:lvl w:ilvl="0" w:tplc="FFFFFFFF">
      <w:start w:val="1"/>
      <w:numFmt w:val="lowerRoman"/>
      <w:lvlText w:val="(%1)"/>
      <w:lvlJc w:val="left"/>
      <w:pPr>
        <w:ind w:left="1211" w:hanging="360"/>
      </w:pPr>
    </w:lvl>
    <w:lvl w:ilvl="1" w:tplc="FFFFFFFF">
      <w:start w:val="1"/>
      <w:numFmt w:val="lowerLetter"/>
      <w:lvlText w:val="%2."/>
      <w:lvlJc w:val="left"/>
      <w:pPr>
        <w:ind w:left="1931" w:hanging="360"/>
      </w:pPr>
    </w:lvl>
    <w:lvl w:ilvl="2" w:tplc="FFFFFFFF">
      <w:start w:val="1"/>
      <w:numFmt w:val="lowerRoman"/>
      <w:lvlText w:val="%3."/>
      <w:lvlJc w:val="right"/>
      <w:pPr>
        <w:ind w:left="2651" w:hanging="180"/>
      </w:pPr>
    </w:lvl>
    <w:lvl w:ilvl="3" w:tplc="FFFFFFFF">
      <w:start w:val="1"/>
      <w:numFmt w:val="decimal"/>
      <w:lvlText w:val="%4."/>
      <w:lvlJc w:val="left"/>
      <w:pPr>
        <w:ind w:left="3371" w:hanging="360"/>
      </w:pPr>
    </w:lvl>
    <w:lvl w:ilvl="4" w:tplc="FFFFFFFF">
      <w:start w:val="1"/>
      <w:numFmt w:val="lowerLetter"/>
      <w:lvlText w:val="%5."/>
      <w:lvlJc w:val="left"/>
      <w:pPr>
        <w:ind w:left="4091" w:hanging="360"/>
      </w:pPr>
    </w:lvl>
    <w:lvl w:ilvl="5" w:tplc="FFFFFFFF">
      <w:start w:val="1"/>
      <w:numFmt w:val="lowerRoman"/>
      <w:lvlText w:val="%6."/>
      <w:lvlJc w:val="right"/>
      <w:pPr>
        <w:ind w:left="4811" w:hanging="180"/>
      </w:pPr>
    </w:lvl>
    <w:lvl w:ilvl="6" w:tplc="FFFFFFFF">
      <w:start w:val="1"/>
      <w:numFmt w:val="decimal"/>
      <w:lvlText w:val="%7."/>
      <w:lvlJc w:val="left"/>
      <w:pPr>
        <w:ind w:left="5531" w:hanging="360"/>
      </w:pPr>
    </w:lvl>
    <w:lvl w:ilvl="7" w:tplc="FFFFFFFF">
      <w:start w:val="1"/>
      <w:numFmt w:val="lowerLetter"/>
      <w:lvlText w:val="%8."/>
      <w:lvlJc w:val="left"/>
      <w:pPr>
        <w:ind w:left="6251" w:hanging="360"/>
      </w:pPr>
    </w:lvl>
    <w:lvl w:ilvl="8" w:tplc="FFFFFFFF">
      <w:start w:val="1"/>
      <w:numFmt w:val="lowerRoman"/>
      <w:lvlText w:val="%9."/>
      <w:lvlJc w:val="right"/>
      <w:pPr>
        <w:ind w:left="6971" w:hanging="180"/>
      </w:pPr>
    </w:lvl>
  </w:abstractNum>
  <w:abstractNum w:abstractNumId="21" w15:restartNumberingAfterBreak="0">
    <w:nsid w:val="396637E5"/>
    <w:multiLevelType w:val="hybridMultilevel"/>
    <w:tmpl w:val="F700702A"/>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22" w15:restartNumberingAfterBreak="0">
    <w:nsid w:val="3A010734"/>
    <w:multiLevelType w:val="multilevel"/>
    <w:tmpl w:val="A75CE3B6"/>
    <w:lvl w:ilvl="0">
      <w:start w:val="1"/>
      <w:numFmt w:val="decimal"/>
      <w:pStyle w:val="Heading2"/>
      <w:lvlText w:val="%1."/>
      <w:lvlJc w:val="left"/>
      <w:pPr>
        <w:ind w:left="45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06117C3"/>
    <w:multiLevelType w:val="hybridMultilevel"/>
    <w:tmpl w:val="9FBEE14A"/>
    <w:lvl w:ilvl="0" w:tplc="98602AE2">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4" w15:restartNumberingAfterBreak="0">
    <w:nsid w:val="40EC4C58"/>
    <w:multiLevelType w:val="hybridMultilevel"/>
    <w:tmpl w:val="5A6C77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468D4163"/>
    <w:multiLevelType w:val="hybridMultilevel"/>
    <w:tmpl w:val="717054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470301FD"/>
    <w:multiLevelType w:val="hybridMultilevel"/>
    <w:tmpl w:val="FE62AD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A9C070A"/>
    <w:multiLevelType w:val="hybridMultilevel"/>
    <w:tmpl w:val="546ADE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D3F394F"/>
    <w:multiLevelType w:val="hybridMultilevel"/>
    <w:tmpl w:val="7D7469F2"/>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9" w15:restartNumberingAfterBreak="0">
    <w:nsid w:val="4EC0656F"/>
    <w:multiLevelType w:val="hybridMultilevel"/>
    <w:tmpl w:val="303015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52844965"/>
    <w:multiLevelType w:val="hybridMultilevel"/>
    <w:tmpl w:val="B3F2D4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496454E"/>
    <w:multiLevelType w:val="multilevel"/>
    <w:tmpl w:val="A984A514"/>
    <w:lvl w:ilvl="0">
      <w:start w:val="1"/>
      <w:numFmt w:val="decimal"/>
      <w:lvlText w:val="%1."/>
      <w:lvlJc w:val="left"/>
      <w:pPr>
        <w:ind w:left="502" w:hanging="360"/>
      </w:pPr>
      <w:rPr>
        <w:rFonts w:hint="default"/>
      </w:rPr>
    </w:lvl>
    <w:lvl w:ilvl="1">
      <w:start w:val="1"/>
      <w:numFmt w:val="decimal"/>
      <w:isLgl/>
      <w:lvlText w:val="%1.%2"/>
      <w:lvlJc w:val="left"/>
      <w:pPr>
        <w:ind w:left="425" w:hanging="567"/>
      </w:pPr>
      <w:rPr>
        <w:rFonts w:ascii="Calibri (Body)" w:hAnsi="Calibri (Body)" w:hint="default"/>
        <w:b w:val="0"/>
        <w:bCs/>
        <w:i w:val="0"/>
        <w:iCs w:val="0"/>
        <w:color w:val="auto"/>
        <w:sz w:val="22"/>
        <w:szCs w:val="22"/>
      </w:rPr>
    </w:lvl>
    <w:lvl w:ilvl="2">
      <w:start w:val="1"/>
      <w:numFmt w:val="decimal"/>
      <w:isLgl/>
      <w:lvlText w:val="%1.%2.%3"/>
      <w:lvlJc w:val="left"/>
      <w:pPr>
        <w:ind w:left="1352" w:hanging="720"/>
      </w:pPr>
      <w:rPr>
        <w:rFonts w:hint="default"/>
      </w:rPr>
    </w:lvl>
    <w:lvl w:ilvl="3">
      <w:start w:val="1"/>
      <w:numFmt w:val="decimal"/>
      <w:isLgl/>
      <w:lvlText w:val="%1.%2.%3.%4"/>
      <w:lvlJc w:val="left"/>
      <w:pPr>
        <w:ind w:left="1559" w:hanging="720"/>
      </w:pPr>
      <w:rPr>
        <w:rFonts w:hint="default"/>
      </w:rPr>
    </w:lvl>
    <w:lvl w:ilvl="4">
      <w:start w:val="1"/>
      <w:numFmt w:val="decimal"/>
      <w:isLgl/>
      <w:lvlText w:val="%1.%2.%3.%4.%5"/>
      <w:lvlJc w:val="left"/>
      <w:pPr>
        <w:ind w:left="2126" w:hanging="1080"/>
      </w:pPr>
      <w:rPr>
        <w:rFonts w:hint="default"/>
      </w:rPr>
    </w:lvl>
    <w:lvl w:ilvl="5">
      <w:start w:val="1"/>
      <w:numFmt w:val="decimal"/>
      <w:isLgl/>
      <w:lvlText w:val="%1.%2.%3.%4.%5.%6"/>
      <w:lvlJc w:val="left"/>
      <w:pPr>
        <w:ind w:left="2333" w:hanging="1080"/>
      </w:pPr>
      <w:rPr>
        <w:rFonts w:hint="default"/>
      </w:rPr>
    </w:lvl>
    <w:lvl w:ilvl="6">
      <w:start w:val="1"/>
      <w:numFmt w:val="decimal"/>
      <w:isLgl/>
      <w:lvlText w:val="%1.%2.%3.%4.%5.%6.%7"/>
      <w:lvlJc w:val="left"/>
      <w:pPr>
        <w:ind w:left="2900" w:hanging="1440"/>
      </w:pPr>
      <w:rPr>
        <w:rFonts w:hint="default"/>
      </w:rPr>
    </w:lvl>
    <w:lvl w:ilvl="7">
      <w:start w:val="1"/>
      <w:numFmt w:val="decimal"/>
      <w:isLgl/>
      <w:lvlText w:val="%1.%2.%3.%4.%5.%6.%7.%8"/>
      <w:lvlJc w:val="left"/>
      <w:pPr>
        <w:ind w:left="3107" w:hanging="1440"/>
      </w:pPr>
      <w:rPr>
        <w:rFonts w:hint="default"/>
      </w:rPr>
    </w:lvl>
    <w:lvl w:ilvl="8">
      <w:start w:val="1"/>
      <w:numFmt w:val="decimal"/>
      <w:isLgl/>
      <w:lvlText w:val="%1.%2.%3.%4.%5.%6.%7.%8.%9"/>
      <w:lvlJc w:val="left"/>
      <w:pPr>
        <w:ind w:left="3314" w:hanging="1440"/>
      </w:pPr>
      <w:rPr>
        <w:rFonts w:hint="default"/>
      </w:rPr>
    </w:lvl>
  </w:abstractNum>
  <w:abstractNum w:abstractNumId="32" w15:restartNumberingAfterBreak="0">
    <w:nsid w:val="560B3541"/>
    <w:multiLevelType w:val="hybridMultilevel"/>
    <w:tmpl w:val="7FDEF4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5BE6420E"/>
    <w:multiLevelType w:val="hybridMultilevel"/>
    <w:tmpl w:val="C2082E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5FDB297E"/>
    <w:multiLevelType w:val="hybridMultilevel"/>
    <w:tmpl w:val="7B04D6B0"/>
    <w:lvl w:ilvl="0" w:tplc="2FD0B5E4">
      <w:start w:val="1"/>
      <w:numFmt w:val="decimal"/>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35" w15:restartNumberingAfterBreak="0">
    <w:nsid w:val="60266B5E"/>
    <w:multiLevelType w:val="multilevel"/>
    <w:tmpl w:val="F676C4E6"/>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61012B07"/>
    <w:multiLevelType w:val="hybridMultilevel"/>
    <w:tmpl w:val="9C96B2FA"/>
    <w:lvl w:ilvl="0" w:tplc="AC26D63C">
      <w:start w:val="1"/>
      <w:numFmt w:val="decimal"/>
      <w:pStyle w:val="Nor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37" w15:restartNumberingAfterBreak="0">
    <w:nsid w:val="610F45D6"/>
    <w:multiLevelType w:val="hybridMultilevel"/>
    <w:tmpl w:val="FEB4CF04"/>
    <w:lvl w:ilvl="0" w:tplc="12A0CF7A">
      <w:start w:val="1"/>
      <w:numFmt w:val="decimal"/>
      <w:lvlText w:val="(%1)"/>
      <w:lvlJc w:val="left"/>
      <w:pPr>
        <w:ind w:left="1080" w:hanging="360"/>
      </w:pPr>
      <w:rPr>
        <w:sz w:val="24"/>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38" w15:restartNumberingAfterBreak="0">
    <w:nsid w:val="652C14A3"/>
    <w:multiLevelType w:val="hybridMultilevel"/>
    <w:tmpl w:val="DA1E715E"/>
    <w:lvl w:ilvl="0" w:tplc="0C090001">
      <w:start w:val="1"/>
      <w:numFmt w:val="bullet"/>
      <w:lvlText w:val=""/>
      <w:lvlJc w:val="left"/>
      <w:pPr>
        <w:ind w:left="1494" w:hanging="360"/>
      </w:pPr>
      <w:rPr>
        <w:rFonts w:ascii="Symbol" w:hAnsi="Symbol"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39" w15:restartNumberingAfterBreak="0">
    <w:nsid w:val="6612063F"/>
    <w:multiLevelType w:val="hybridMultilevel"/>
    <w:tmpl w:val="D0F60B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D1933BF"/>
    <w:multiLevelType w:val="hybridMultilevel"/>
    <w:tmpl w:val="89805C32"/>
    <w:lvl w:ilvl="0" w:tplc="9A4A855C">
      <w:start w:val="1"/>
      <w:numFmt w:val="lowerRoman"/>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1" w15:restartNumberingAfterBreak="0">
    <w:nsid w:val="752B51B9"/>
    <w:multiLevelType w:val="hybridMultilevel"/>
    <w:tmpl w:val="DF1E28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2" w15:restartNumberingAfterBreak="0">
    <w:nsid w:val="7B885CAC"/>
    <w:multiLevelType w:val="hybridMultilevel"/>
    <w:tmpl w:val="B0C627F6"/>
    <w:lvl w:ilvl="0" w:tplc="D850071A">
      <w:start w:val="1"/>
      <w:numFmt w:val="decimal"/>
      <w:lvlText w:val="(%1)"/>
      <w:lvlJc w:val="left"/>
      <w:pPr>
        <w:ind w:left="1684" w:hanging="360"/>
      </w:pPr>
      <w:rPr>
        <w:rFonts w:hint="default"/>
      </w:rPr>
    </w:lvl>
    <w:lvl w:ilvl="1" w:tplc="0C090019" w:tentative="1">
      <w:start w:val="1"/>
      <w:numFmt w:val="lowerLetter"/>
      <w:lvlText w:val="%2."/>
      <w:lvlJc w:val="left"/>
      <w:pPr>
        <w:ind w:left="2404" w:hanging="360"/>
      </w:pPr>
    </w:lvl>
    <w:lvl w:ilvl="2" w:tplc="0C09001B" w:tentative="1">
      <w:start w:val="1"/>
      <w:numFmt w:val="lowerRoman"/>
      <w:lvlText w:val="%3."/>
      <w:lvlJc w:val="right"/>
      <w:pPr>
        <w:ind w:left="3124" w:hanging="180"/>
      </w:pPr>
    </w:lvl>
    <w:lvl w:ilvl="3" w:tplc="0C09000F" w:tentative="1">
      <w:start w:val="1"/>
      <w:numFmt w:val="decimal"/>
      <w:lvlText w:val="%4."/>
      <w:lvlJc w:val="left"/>
      <w:pPr>
        <w:ind w:left="3844" w:hanging="360"/>
      </w:pPr>
    </w:lvl>
    <w:lvl w:ilvl="4" w:tplc="0C090019" w:tentative="1">
      <w:start w:val="1"/>
      <w:numFmt w:val="lowerLetter"/>
      <w:lvlText w:val="%5."/>
      <w:lvlJc w:val="left"/>
      <w:pPr>
        <w:ind w:left="4564" w:hanging="360"/>
      </w:pPr>
    </w:lvl>
    <w:lvl w:ilvl="5" w:tplc="0C09001B" w:tentative="1">
      <w:start w:val="1"/>
      <w:numFmt w:val="lowerRoman"/>
      <w:lvlText w:val="%6."/>
      <w:lvlJc w:val="right"/>
      <w:pPr>
        <w:ind w:left="5284" w:hanging="180"/>
      </w:pPr>
    </w:lvl>
    <w:lvl w:ilvl="6" w:tplc="0C09000F" w:tentative="1">
      <w:start w:val="1"/>
      <w:numFmt w:val="decimal"/>
      <w:lvlText w:val="%7."/>
      <w:lvlJc w:val="left"/>
      <w:pPr>
        <w:ind w:left="6004" w:hanging="360"/>
      </w:pPr>
    </w:lvl>
    <w:lvl w:ilvl="7" w:tplc="0C090019" w:tentative="1">
      <w:start w:val="1"/>
      <w:numFmt w:val="lowerLetter"/>
      <w:lvlText w:val="%8."/>
      <w:lvlJc w:val="left"/>
      <w:pPr>
        <w:ind w:left="6724" w:hanging="360"/>
      </w:pPr>
    </w:lvl>
    <w:lvl w:ilvl="8" w:tplc="0C09001B" w:tentative="1">
      <w:start w:val="1"/>
      <w:numFmt w:val="lowerRoman"/>
      <w:lvlText w:val="%9."/>
      <w:lvlJc w:val="right"/>
      <w:pPr>
        <w:ind w:left="7444" w:hanging="180"/>
      </w:pPr>
    </w:lvl>
  </w:abstractNum>
  <w:abstractNum w:abstractNumId="43" w15:restartNumberingAfterBreak="0">
    <w:nsid w:val="7C4F3642"/>
    <w:multiLevelType w:val="hybridMultilevel"/>
    <w:tmpl w:val="96BAEC42"/>
    <w:lvl w:ilvl="0" w:tplc="0C09000F">
      <w:start w:val="1"/>
      <w:numFmt w:val="decimal"/>
      <w:lvlText w:val="%1."/>
      <w:lvlJc w:val="left"/>
      <w:pPr>
        <w:ind w:left="644" w:hanging="360"/>
      </w:p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44" w15:restartNumberingAfterBreak="0">
    <w:nsid w:val="7F7510F4"/>
    <w:multiLevelType w:val="hybridMultilevel"/>
    <w:tmpl w:val="4BFC61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F95479B"/>
    <w:multiLevelType w:val="hybridMultilevel"/>
    <w:tmpl w:val="9FF282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48370003">
    <w:abstractNumId w:val="18"/>
  </w:num>
  <w:num w:numId="2" w16cid:durableId="734426583">
    <w:abstractNumId w:val="22"/>
  </w:num>
  <w:num w:numId="3" w16cid:durableId="164395069">
    <w:abstractNumId w:val="36"/>
  </w:num>
  <w:num w:numId="4" w16cid:durableId="1506280939">
    <w:abstractNumId w:val="10"/>
  </w:num>
  <w:num w:numId="5" w16cid:durableId="7803082">
    <w:abstractNumId w:val="27"/>
  </w:num>
  <w:num w:numId="6" w16cid:durableId="343285337">
    <w:abstractNumId w:val="45"/>
  </w:num>
  <w:num w:numId="7" w16cid:durableId="947274905">
    <w:abstractNumId w:val="39"/>
  </w:num>
  <w:num w:numId="8" w16cid:durableId="1571111024">
    <w:abstractNumId w:val="7"/>
  </w:num>
  <w:num w:numId="9" w16cid:durableId="108084144">
    <w:abstractNumId w:val="41"/>
  </w:num>
  <w:num w:numId="10" w16cid:durableId="30955630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1516915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62513228">
    <w:abstractNumId w:val="25"/>
  </w:num>
  <w:num w:numId="13" w16cid:durableId="614170600">
    <w:abstractNumId w:val="15"/>
  </w:num>
  <w:num w:numId="14" w16cid:durableId="1641181404">
    <w:abstractNumId w:val="21"/>
  </w:num>
  <w:num w:numId="15" w16cid:durableId="193006211">
    <w:abstractNumId w:val="33"/>
  </w:num>
  <w:num w:numId="16" w16cid:durableId="225915648">
    <w:abstractNumId w:val="29"/>
  </w:num>
  <w:num w:numId="17" w16cid:durableId="183691942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668508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055203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57459640">
    <w:abstractNumId w:val="7"/>
  </w:num>
  <w:num w:numId="21" w16cid:durableId="447048187">
    <w:abstractNumId w:val="0"/>
  </w:num>
  <w:num w:numId="22" w16cid:durableId="584152735">
    <w:abstractNumId w:val="28"/>
  </w:num>
  <w:num w:numId="23" w16cid:durableId="795484100">
    <w:abstractNumId w:val="38"/>
  </w:num>
  <w:num w:numId="24" w16cid:durableId="1240601139">
    <w:abstractNumId w:val="23"/>
  </w:num>
  <w:num w:numId="25" w16cid:durableId="1463187970">
    <w:abstractNumId w:val="42"/>
  </w:num>
  <w:num w:numId="26" w16cid:durableId="1335843316">
    <w:abstractNumId w:val="19"/>
  </w:num>
  <w:num w:numId="27" w16cid:durableId="1882015945">
    <w:abstractNumId w:val="44"/>
  </w:num>
  <w:num w:numId="28" w16cid:durableId="1015426352">
    <w:abstractNumId w:val="40"/>
  </w:num>
  <w:num w:numId="29" w16cid:durableId="319434080">
    <w:abstractNumId w:val="2"/>
  </w:num>
  <w:num w:numId="30" w16cid:durableId="286010149">
    <w:abstractNumId w:val="31"/>
  </w:num>
  <w:num w:numId="31" w16cid:durableId="282344260">
    <w:abstractNumId w:val="30"/>
  </w:num>
  <w:num w:numId="32" w16cid:durableId="1786073737">
    <w:abstractNumId w:val="9"/>
  </w:num>
  <w:num w:numId="33" w16cid:durableId="1422798333">
    <w:abstractNumId w:val="20"/>
  </w:num>
  <w:num w:numId="34" w16cid:durableId="2055150840">
    <w:abstractNumId w:val="13"/>
  </w:num>
  <w:num w:numId="35" w16cid:durableId="1002702567">
    <w:abstractNumId w:val="43"/>
  </w:num>
  <w:num w:numId="36" w16cid:durableId="1754664707">
    <w:abstractNumId w:val="14"/>
  </w:num>
  <w:num w:numId="37" w16cid:durableId="382994279">
    <w:abstractNumId w:val="16"/>
  </w:num>
  <w:num w:numId="38" w16cid:durableId="1269502398">
    <w:abstractNumId w:val="26"/>
  </w:num>
  <w:num w:numId="39" w16cid:durableId="29502037">
    <w:abstractNumId w:val="17"/>
  </w:num>
  <w:num w:numId="40" w16cid:durableId="1703049737">
    <w:abstractNumId w:val="3"/>
  </w:num>
  <w:num w:numId="41" w16cid:durableId="2097700859">
    <w:abstractNumId w:val="32"/>
  </w:num>
  <w:num w:numId="42" w16cid:durableId="1466770994">
    <w:abstractNumId w:val="24"/>
  </w:num>
  <w:num w:numId="43" w16cid:durableId="846213223">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406415112">
    <w:abstractNumId w:val="6"/>
    <w:lvlOverride w:ilvl="0">
      <w:startOverride w:val="1"/>
    </w:lvlOverride>
    <w:lvlOverride w:ilvl="1"/>
    <w:lvlOverride w:ilvl="2"/>
    <w:lvlOverride w:ilvl="3"/>
    <w:lvlOverride w:ilvl="4"/>
    <w:lvlOverride w:ilvl="5"/>
    <w:lvlOverride w:ilvl="6"/>
    <w:lvlOverride w:ilvl="7"/>
    <w:lvlOverride w:ilvl="8"/>
  </w:num>
  <w:num w:numId="45" w16cid:durableId="90565188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850754776">
    <w:abstractNumId w:val="11"/>
  </w:num>
  <w:num w:numId="47" w16cid:durableId="1689018668">
    <w:abstractNumId w:val="34"/>
  </w:num>
  <w:num w:numId="48" w16cid:durableId="5564016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9B9"/>
    <w:rsid w:val="00000FDE"/>
    <w:rsid w:val="0000302D"/>
    <w:rsid w:val="000030B4"/>
    <w:rsid w:val="000056BC"/>
    <w:rsid w:val="0001082A"/>
    <w:rsid w:val="00013602"/>
    <w:rsid w:val="00013877"/>
    <w:rsid w:val="00014BDE"/>
    <w:rsid w:val="000150AA"/>
    <w:rsid w:val="000157E0"/>
    <w:rsid w:val="00020C79"/>
    <w:rsid w:val="000211DC"/>
    <w:rsid w:val="00021A11"/>
    <w:rsid w:val="00021C1A"/>
    <w:rsid w:val="00022BC5"/>
    <w:rsid w:val="00024F1A"/>
    <w:rsid w:val="000257F7"/>
    <w:rsid w:val="000258B6"/>
    <w:rsid w:val="00026854"/>
    <w:rsid w:val="000268F2"/>
    <w:rsid w:val="00030DA7"/>
    <w:rsid w:val="00030FBC"/>
    <w:rsid w:val="00032D3D"/>
    <w:rsid w:val="00034056"/>
    <w:rsid w:val="00034EE4"/>
    <w:rsid w:val="00041ABB"/>
    <w:rsid w:val="0004686C"/>
    <w:rsid w:val="00047DD3"/>
    <w:rsid w:val="000508B2"/>
    <w:rsid w:val="00051748"/>
    <w:rsid w:val="00051C47"/>
    <w:rsid w:val="000523B7"/>
    <w:rsid w:val="00052624"/>
    <w:rsid w:val="00054268"/>
    <w:rsid w:val="00056797"/>
    <w:rsid w:val="00062340"/>
    <w:rsid w:val="00064DFF"/>
    <w:rsid w:val="0006592F"/>
    <w:rsid w:val="00065B71"/>
    <w:rsid w:val="00066CB4"/>
    <w:rsid w:val="00066FEB"/>
    <w:rsid w:val="0006752F"/>
    <w:rsid w:val="000675C8"/>
    <w:rsid w:val="00070B35"/>
    <w:rsid w:val="00070E76"/>
    <w:rsid w:val="000713A5"/>
    <w:rsid w:val="00073FC9"/>
    <w:rsid w:val="000744CE"/>
    <w:rsid w:val="00075F93"/>
    <w:rsid w:val="00082D9E"/>
    <w:rsid w:val="00084E6C"/>
    <w:rsid w:val="00090A05"/>
    <w:rsid w:val="00090DE7"/>
    <w:rsid w:val="0009251E"/>
    <w:rsid w:val="00093075"/>
    <w:rsid w:val="00094B01"/>
    <w:rsid w:val="00097BEC"/>
    <w:rsid w:val="000A1AB6"/>
    <w:rsid w:val="000A285B"/>
    <w:rsid w:val="000A315D"/>
    <w:rsid w:val="000A3713"/>
    <w:rsid w:val="000A4F2A"/>
    <w:rsid w:val="000A556E"/>
    <w:rsid w:val="000A66B9"/>
    <w:rsid w:val="000B3E1D"/>
    <w:rsid w:val="000B5DAD"/>
    <w:rsid w:val="000C0A42"/>
    <w:rsid w:val="000C142E"/>
    <w:rsid w:val="000C328F"/>
    <w:rsid w:val="000C4FC1"/>
    <w:rsid w:val="000C63B0"/>
    <w:rsid w:val="000C6B9B"/>
    <w:rsid w:val="000D032A"/>
    <w:rsid w:val="000D1C04"/>
    <w:rsid w:val="000D5BCA"/>
    <w:rsid w:val="000D5E20"/>
    <w:rsid w:val="000D70A2"/>
    <w:rsid w:val="000E556C"/>
    <w:rsid w:val="000E5592"/>
    <w:rsid w:val="000E560A"/>
    <w:rsid w:val="000E793D"/>
    <w:rsid w:val="000E7A2F"/>
    <w:rsid w:val="000F17AD"/>
    <w:rsid w:val="000F42DF"/>
    <w:rsid w:val="000F56E3"/>
    <w:rsid w:val="000F7958"/>
    <w:rsid w:val="001028F2"/>
    <w:rsid w:val="0010380E"/>
    <w:rsid w:val="00103965"/>
    <w:rsid w:val="00103A28"/>
    <w:rsid w:val="00106AB9"/>
    <w:rsid w:val="00107165"/>
    <w:rsid w:val="001101A5"/>
    <w:rsid w:val="00110EAD"/>
    <w:rsid w:val="00111154"/>
    <w:rsid w:val="001131F5"/>
    <w:rsid w:val="00114061"/>
    <w:rsid w:val="00117296"/>
    <w:rsid w:val="00117821"/>
    <w:rsid w:val="00121E7E"/>
    <w:rsid w:val="00122290"/>
    <w:rsid w:val="00122931"/>
    <w:rsid w:val="00122A5C"/>
    <w:rsid w:val="00123781"/>
    <w:rsid w:val="00124C5A"/>
    <w:rsid w:val="00126BE8"/>
    <w:rsid w:val="0013051B"/>
    <w:rsid w:val="0013363D"/>
    <w:rsid w:val="0013514A"/>
    <w:rsid w:val="00136FD6"/>
    <w:rsid w:val="00137399"/>
    <w:rsid w:val="00137926"/>
    <w:rsid w:val="00137AEE"/>
    <w:rsid w:val="001400C8"/>
    <w:rsid w:val="001404A0"/>
    <w:rsid w:val="00141190"/>
    <w:rsid w:val="00145C66"/>
    <w:rsid w:val="00146BB2"/>
    <w:rsid w:val="00146F46"/>
    <w:rsid w:val="0014714E"/>
    <w:rsid w:val="0014773D"/>
    <w:rsid w:val="001532AA"/>
    <w:rsid w:val="00153659"/>
    <w:rsid w:val="001541FE"/>
    <w:rsid w:val="00155869"/>
    <w:rsid w:val="00156E52"/>
    <w:rsid w:val="00161597"/>
    <w:rsid w:val="00161D96"/>
    <w:rsid w:val="0016238D"/>
    <w:rsid w:val="00162D2E"/>
    <w:rsid w:val="00165010"/>
    <w:rsid w:val="001676CF"/>
    <w:rsid w:val="0017094C"/>
    <w:rsid w:val="00170E82"/>
    <w:rsid w:val="001738A0"/>
    <w:rsid w:val="001745BD"/>
    <w:rsid w:val="0017525C"/>
    <w:rsid w:val="00176019"/>
    <w:rsid w:val="00180A5A"/>
    <w:rsid w:val="0018105F"/>
    <w:rsid w:val="00181A84"/>
    <w:rsid w:val="00181C26"/>
    <w:rsid w:val="00181EEF"/>
    <w:rsid w:val="001825E5"/>
    <w:rsid w:val="00182F50"/>
    <w:rsid w:val="00183EE2"/>
    <w:rsid w:val="00184790"/>
    <w:rsid w:val="00184D9D"/>
    <w:rsid w:val="001853D2"/>
    <w:rsid w:val="00186961"/>
    <w:rsid w:val="0018767F"/>
    <w:rsid w:val="0019298A"/>
    <w:rsid w:val="0019545D"/>
    <w:rsid w:val="00195F90"/>
    <w:rsid w:val="0019673C"/>
    <w:rsid w:val="001A1AF9"/>
    <w:rsid w:val="001A2E8F"/>
    <w:rsid w:val="001A2EDD"/>
    <w:rsid w:val="001A63CE"/>
    <w:rsid w:val="001A7A73"/>
    <w:rsid w:val="001B13A0"/>
    <w:rsid w:val="001B17AE"/>
    <w:rsid w:val="001B2622"/>
    <w:rsid w:val="001B3C02"/>
    <w:rsid w:val="001B401C"/>
    <w:rsid w:val="001B5599"/>
    <w:rsid w:val="001B60A2"/>
    <w:rsid w:val="001B692B"/>
    <w:rsid w:val="001C2CCD"/>
    <w:rsid w:val="001C320E"/>
    <w:rsid w:val="001C381F"/>
    <w:rsid w:val="001C4746"/>
    <w:rsid w:val="001C7708"/>
    <w:rsid w:val="001C7A12"/>
    <w:rsid w:val="001C7BE2"/>
    <w:rsid w:val="001D0583"/>
    <w:rsid w:val="001D074D"/>
    <w:rsid w:val="001D10CD"/>
    <w:rsid w:val="001D154B"/>
    <w:rsid w:val="001D2063"/>
    <w:rsid w:val="001D22FC"/>
    <w:rsid w:val="001D3A47"/>
    <w:rsid w:val="001D4B4E"/>
    <w:rsid w:val="001D627D"/>
    <w:rsid w:val="001D6F2F"/>
    <w:rsid w:val="001E1304"/>
    <w:rsid w:val="001E27ED"/>
    <w:rsid w:val="001E2DF1"/>
    <w:rsid w:val="001E4E75"/>
    <w:rsid w:val="001E5A79"/>
    <w:rsid w:val="001E61EC"/>
    <w:rsid w:val="001E65B9"/>
    <w:rsid w:val="001E6AA1"/>
    <w:rsid w:val="001F253D"/>
    <w:rsid w:val="001F30D0"/>
    <w:rsid w:val="001F3C5A"/>
    <w:rsid w:val="001F3EC3"/>
    <w:rsid w:val="001F56C1"/>
    <w:rsid w:val="001F5B67"/>
    <w:rsid w:val="001F5EA1"/>
    <w:rsid w:val="001F7978"/>
    <w:rsid w:val="002012DD"/>
    <w:rsid w:val="00201FCD"/>
    <w:rsid w:val="00205761"/>
    <w:rsid w:val="00207130"/>
    <w:rsid w:val="002101BE"/>
    <w:rsid w:val="002133BF"/>
    <w:rsid w:val="002138F5"/>
    <w:rsid w:val="00213ECC"/>
    <w:rsid w:val="00214315"/>
    <w:rsid w:val="0021483E"/>
    <w:rsid w:val="00216003"/>
    <w:rsid w:val="00216B8B"/>
    <w:rsid w:val="00216BB7"/>
    <w:rsid w:val="00216C0B"/>
    <w:rsid w:val="00221E09"/>
    <w:rsid w:val="00222738"/>
    <w:rsid w:val="002231B0"/>
    <w:rsid w:val="00223787"/>
    <w:rsid w:val="00226926"/>
    <w:rsid w:val="002303E6"/>
    <w:rsid w:val="00232128"/>
    <w:rsid w:val="00232882"/>
    <w:rsid w:val="0023468E"/>
    <w:rsid w:val="002371F5"/>
    <w:rsid w:val="00245529"/>
    <w:rsid w:val="00245811"/>
    <w:rsid w:val="00245B86"/>
    <w:rsid w:val="002467FB"/>
    <w:rsid w:val="00246DE0"/>
    <w:rsid w:val="00250DD6"/>
    <w:rsid w:val="002538FD"/>
    <w:rsid w:val="00260A84"/>
    <w:rsid w:val="002712A3"/>
    <w:rsid w:val="0027330F"/>
    <w:rsid w:val="002747B1"/>
    <w:rsid w:val="002750E2"/>
    <w:rsid w:val="002754BA"/>
    <w:rsid w:val="00276284"/>
    <w:rsid w:val="00277678"/>
    <w:rsid w:val="0028163E"/>
    <w:rsid w:val="00281D46"/>
    <w:rsid w:val="0028590F"/>
    <w:rsid w:val="00285B7A"/>
    <w:rsid w:val="00287231"/>
    <w:rsid w:val="00287732"/>
    <w:rsid w:val="002907EA"/>
    <w:rsid w:val="002909CC"/>
    <w:rsid w:val="00291387"/>
    <w:rsid w:val="002932CA"/>
    <w:rsid w:val="00297A82"/>
    <w:rsid w:val="002A04C9"/>
    <w:rsid w:val="002A11C6"/>
    <w:rsid w:val="002A33D1"/>
    <w:rsid w:val="002A35D2"/>
    <w:rsid w:val="002A475C"/>
    <w:rsid w:val="002A74B3"/>
    <w:rsid w:val="002B04B1"/>
    <w:rsid w:val="002B1016"/>
    <w:rsid w:val="002B36D3"/>
    <w:rsid w:val="002B376C"/>
    <w:rsid w:val="002B43FB"/>
    <w:rsid w:val="002B471B"/>
    <w:rsid w:val="002C0BBA"/>
    <w:rsid w:val="002C12B6"/>
    <w:rsid w:val="002C19AA"/>
    <w:rsid w:val="002C2F3D"/>
    <w:rsid w:val="002C5C1C"/>
    <w:rsid w:val="002C7107"/>
    <w:rsid w:val="002D13CB"/>
    <w:rsid w:val="002D1679"/>
    <w:rsid w:val="002D1F64"/>
    <w:rsid w:val="002D409E"/>
    <w:rsid w:val="002D57A2"/>
    <w:rsid w:val="002D741A"/>
    <w:rsid w:val="002E0D9E"/>
    <w:rsid w:val="002E1262"/>
    <w:rsid w:val="002E158B"/>
    <w:rsid w:val="002E3FE4"/>
    <w:rsid w:val="002E40C7"/>
    <w:rsid w:val="002E4AA8"/>
    <w:rsid w:val="002E768B"/>
    <w:rsid w:val="002F013B"/>
    <w:rsid w:val="002F04C6"/>
    <w:rsid w:val="002F1004"/>
    <w:rsid w:val="002F374E"/>
    <w:rsid w:val="002F46AB"/>
    <w:rsid w:val="00306115"/>
    <w:rsid w:val="00310DB0"/>
    <w:rsid w:val="00311CC5"/>
    <w:rsid w:val="00314606"/>
    <w:rsid w:val="00314D4E"/>
    <w:rsid w:val="003173D4"/>
    <w:rsid w:val="00320782"/>
    <w:rsid w:val="00321063"/>
    <w:rsid w:val="00322195"/>
    <w:rsid w:val="003221FB"/>
    <w:rsid w:val="0032265E"/>
    <w:rsid w:val="00324605"/>
    <w:rsid w:val="0032470A"/>
    <w:rsid w:val="00331580"/>
    <w:rsid w:val="00332CC1"/>
    <w:rsid w:val="003360D8"/>
    <w:rsid w:val="00336EDC"/>
    <w:rsid w:val="003374C0"/>
    <w:rsid w:val="00341B54"/>
    <w:rsid w:val="00343EFF"/>
    <w:rsid w:val="00344DF6"/>
    <w:rsid w:val="00346138"/>
    <w:rsid w:val="00346249"/>
    <w:rsid w:val="003465FB"/>
    <w:rsid w:val="00346C40"/>
    <w:rsid w:val="00351638"/>
    <w:rsid w:val="00351ED5"/>
    <w:rsid w:val="0035254E"/>
    <w:rsid w:val="00352718"/>
    <w:rsid w:val="00354391"/>
    <w:rsid w:val="0035482C"/>
    <w:rsid w:val="0035581D"/>
    <w:rsid w:val="00356712"/>
    <w:rsid w:val="003568AB"/>
    <w:rsid w:val="003569E4"/>
    <w:rsid w:val="0036134D"/>
    <w:rsid w:val="00362801"/>
    <w:rsid w:val="003634B3"/>
    <w:rsid w:val="003656D9"/>
    <w:rsid w:val="003658F4"/>
    <w:rsid w:val="00366284"/>
    <w:rsid w:val="0036775A"/>
    <w:rsid w:val="00367DE6"/>
    <w:rsid w:val="00371AE6"/>
    <w:rsid w:val="003720F9"/>
    <w:rsid w:val="00372132"/>
    <w:rsid w:val="00372D80"/>
    <w:rsid w:val="0037448D"/>
    <w:rsid w:val="00375B9D"/>
    <w:rsid w:val="00375E11"/>
    <w:rsid w:val="00376EB5"/>
    <w:rsid w:val="00380369"/>
    <w:rsid w:val="00382631"/>
    <w:rsid w:val="00383D46"/>
    <w:rsid w:val="00384662"/>
    <w:rsid w:val="00384DC8"/>
    <w:rsid w:val="003860C5"/>
    <w:rsid w:val="003862F2"/>
    <w:rsid w:val="003871FB"/>
    <w:rsid w:val="00387938"/>
    <w:rsid w:val="003916EC"/>
    <w:rsid w:val="00392330"/>
    <w:rsid w:val="00392376"/>
    <w:rsid w:val="00392A68"/>
    <w:rsid w:val="0039584B"/>
    <w:rsid w:val="00396862"/>
    <w:rsid w:val="00396B92"/>
    <w:rsid w:val="00397D2C"/>
    <w:rsid w:val="003A10BC"/>
    <w:rsid w:val="003A4A44"/>
    <w:rsid w:val="003A5873"/>
    <w:rsid w:val="003A6064"/>
    <w:rsid w:val="003B1D1C"/>
    <w:rsid w:val="003B26DC"/>
    <w:rsid w:val="003B2E19"/>
    <w:rsid w:val="003B5735"/>
    <w:rsid w:val="003B5945"/>
    <w:rsid w:val="003B5AA8"/>
    <w:rsid w:val="003C221A"/>
    <w:rsid w:val="003C33AC"/>
    <w:rsid w:val="003C3CF9"/>
    <w:rsid w:val="003C3E0B"/>
    <w:rsid w:val="003C3E54"/>
    <w:rsid w:val="003C5267"/>
    <w:rsid w:val="003D21AE"/>
    <w:rsid w:val="003D4084"/>
    <w:rsid w:val="003D410A"/>
    <w:rsid w:val="003D5021"/>
    <w:rsid w:val="003D635C"/>
    <w:rsid w:val="003D67A2"/>
    <w:rsid w:val="003D79D0"/>
    <w:rsid w:val="003E2C7C"/>
    <w:rsid w:val="003E4A01"/>
    <w:rsid w:val="003F0BCC"/>
    <w:rsid w:val="003F39AA"/>
    <w:rsid w:val="003F47CF"/>
    <w:rsid w:val="003F53A5"/>
    <w:rsid w:val="00400770"/>
    <w:rsid w:val="004011AD"/>
    <w:rsid w:val="00402758"/>
    <w:rsid w:val="00404E3D"/>
    <w:rsid w:val="00405835"/>
    <w:rsid w:val="00405BCB"/>
    <w:rsid w:val="00405C49"/>
    <w:rsid w:val="00405D25"/>
    <w:rsid w:val="00407FD6"/>
    <w:rsid w:val="00412E82"/>
    <w:rsid w:val="00414737"/>
    <w:rsid w:val="00414F84"/>
    <w:rsid w:val="00417021"/>
    <w:rsid w:val="00421A2C"/>
    <w:rsid w:val="004222A3"/>
    <w:rsid w:val="00422432"/>
    <w:rsid w:val="00423A7D"/>
    <w:rsid w:val="004277E2"/>
    <w:rsid w:val="00430D7A"/>
    <w:rsid w:val="004314B0"/>
    <w:rsid w:val="00434F62"/>
    <w:rsid w:val="00436FE1"/>
    <w:rsid w:val="00436FED"/>
    <w:rsid w:val="004376ED"/>
    <w:rsid w:val="00437C8B"/>
    <w:rsid w:val="00440E90"/>
    <w:rsid w:val="00443D2B"/>
    <w:rsid w:val="004470D8"/>
    <w:rsid w:val="00447EAD"/>
    <w:rsid w:val="004508E2"/>
    <w:rsid w:val="004508F1"/>
    <w:rsid w:val="00451433"/>
    <w:rsid w:val="00453C62"/>
    <w:rsid w:val="00456DCF"/>
    <w:rsid w:val="0045759B"/>
    <w:rsid w:val="004608D6"/>
    <w:rsid w:val="0046189E"/>
    <w:rsid w:val="0046234D"/>
    <w:rsid w:val="0046269C"/>
    <w:rsid w:val="0046458B"/>
    <w:rsid w:val="00465BDA"/>
    <w:rsid w:val="00466D2D"/>
    <w:rsid w:val="00471E8B"/>
    <w:rsid w:val="00473CF5"/>
    <w:rsid w:val="0047494A"/>
    <w:rsid w:val="004750C0"/>
    <w:rsid w:val="00475593"/>
    <w:rsid w:val="0047667F"/>
    <w:rsid w:val="00480114"/>
    <w:rsid w:val="00480A55"/>
    <w:rsid w:val="00481C8A"/>
    <w:rsid w:val="0048298C"/>
    <w:rsid w:val="004829D6"/>
    <w:rsid w:val="00483210"/>
    <w:rsid w:val="00485E01"/>
    <w:rsid w:val="00486315"/>
    <w:rsid w:val="0049572A"/>
    <w:rsid w:val="00495799"/>
    <w:rsid w:val="00495CE8"/>
    <w:rsid w:val="00496EED"/>
    <w:rsid w:val="004A11DC"/>
    <w:rsid w:val="004A298E"/>
    <w:rsid w:val="004A458B"/>
    <w:rsid w:val="004A489E"/>
    <w:rsid w:val="004A4CF9"/>
    <w:rsid w:val="004B2147"/>
    <w:rsid w:val="004B3159"/>
    <w:rsid w:val="004B3E74"/>
    <w:rsid w:val="004B531D"/>
    <w:rsid w:val="004B5383"/>
    <w:rsid w:val="004B6B01"/>
    <w:rsid w:val="004C034E"/>
    <w:rsid w:val="004C234D"/>
    <w:rsid w:val="004C2481"/>
    <w:rsid w:val="004C5EF8"/>
    <w:rsid w:val="004C7012"/>
    <w:rsid w:val="004C75D2"/>
    <w:rsid w:val="004D0797"/>
    <w:rsid w:val="004D1E5B"/>
    <w:rsid w:val="004D2E52"/>
    <w:rsid w:val="004D371F"/>
    <w:rsid w:val="004D4EBD"/>
    <w:rsid w:val="004D6D1E"/>
    <w:rsid w:val="004D6EB4"/>
    <w:rsid w:val="004E16C6"/>
    <w:rsid w:val="004E3974"/>
    <w:rsid w:val="004E3A64"/>
    <w:rsid w:val="004E5149"/>
    <w:rsid w:val="004E6C7F"/>
    <w:rsid w:val="004F0993"/>
    <w:rsid w:val="004F44AC"/>
    <w:rsid w:val="004F541C"/>
    <w:rsid w:val="004F5D16"/>
    <w:rsid w:val="004F6610"/>
    <w:rsid w:val="004F6959"/>
    <w:rsid w:val="004F789E"/>
    <w:rsid w:val="004F7B66"/>
    <w:rsid w:val="005004BB"/>
    <w:rsid w:val="00500930"/>
    <w:rsid w:val="00505337"/>
    <w:rsid w:val="0050715F"/>
    <w:rsid w:val="005078C2"/>
    <w:rsid w:val="00510D89"/>
    <w:rsid w:val="00511818"/>
    <w:rsid w:val="00511B62"/>
    <w:rsid w:val="00513070"/>
    <w:rsid w:val="0051354F"/>
    <w:rsid w:val="005141C3"/>
    <w:rsid w:val="0051686C"/>
    <w:rsid w:val="005204E8"/>
    <w:rsid w:val="00520B34"/>
    <w:rsid w:val="0052148B"/>
    <w:rsid w:val="00523235"/>
    <w:rsid w:val="005254DB"/>
    <w:rsid w:val="00525ED8"/>
    <w:rsid w:val="005269B6"/>
    <w:rsid w:val="00526CC9"/>
    <w:rsid w:val="00527FF1"/>
    <w:rsid w:val="00534B48"/>
    <w:rsid w:val="005379D9"/>
    <w:rsid w:val="00540A22"/>
    <w:rsid w:val="00540DBB"/>
    <w:rsid w:val="005430F9"/>
    <w:rsid w:val="00543B1A"/>
    <w:rsid w:val="0054639F"/>
    <w:rsid w:val="00547008"/>
    <w:rsid w:val="00552B10"/>
    <w:rsid w:val="0055439A"/>
    <w:rsid w:val="00555331"/>
    <w:rsid w:val="00555665"/>
    <w:rsid w:val="00555AF9"/>
    <w:rsid w:val="00560DB1"/>
    <w:rsid w:val="00561229"/>
    <w:rsid w:val="00562CC7"/>
    <w:rsid w:val="005660BC"/>
    <w:rsid w:val="00566CB1"/>
    <w:rsid w:val="005676FF"/>
    <w:rsid w:val="00570A7F"/>
    <w:rsid w:val="005729A1"/>
    <w:rsid w:val="00576F6E"/>
    <w:rsid w:val="0057740E"/>
    <w:rsid w:val="00581218"/>
    <w:rsid w:val="00584DCB"/>
    <w:rsid w:val="00585320"/>
    <w:rsid w:val="00587A92"/>
    <w:rsid w:val="00590E96"/>
    <w:rsid w:val="0059268F"/>
    <w:rsid w:val="00595B29"/>
    <w:rsid w:val="00596BF2"/>
    <w:rsid w:val="005A0D9F"/>
    <w:rsid w:val="005A3C69"/>
    <w:rsid w:val="005B04DC"/>
    <w:rsid w:val="005B0878"/>
    <w:rsid w:val="005B0E41"/>
    <w:rsid w:val="005B150F"/>
    <w:rsid w:val="005B2F75"/>
    <w:rsid w:val="005B7C45"/>
    <w:rsid w:val="005B7E98"/>
    <w:rsid w:val="005C0422"/>
    <w:rsid w:val="005C1ED8"/>
    <w:rsid w:val="005C6A5F"/>
    <w:rsid w:val="005C706E"/>
    <w:rsid w:val="005D0971"/>
    <w:rsid w:val="005D1067"/>
    <w:rsid w:val="005D1D58"/>
    <w:rsid w:val="005D2A71"/>
    <w:rsid w:val="005D2CB8"/>
    <w:rsid w:val="005D3F00"/>
    <w:rsid w:val="005D5548"/>
    <w:rsid w:val="005E18D9"/>
    <w:rsid w:val="005E1974"/>
    <w:rsid w:val="005E778F"/>
    <w:rsid w:val="005F067A"/>
    <w:rsid w:val="005F1B8A"/>
    <w:rsid w:val="005F21CC"/>
    <w:rsid w:val="005F2E8D"/>
    <w:rsid w:val="005F3315"/>
    <w:rsid w:val="005F383A"/>
    <w:rsid w:val="005F7594"/>
    <w:rsid w:val="00600BC4"/>
    <w:rsid w:val="00602501"/>
    <w:rsid w:val="00602DAE"/>
    <w:rsid w:val="00603039"/>
    <w:rsid w:val="00603367"/>
    <w:rsid w:val="006043AE"/>
    <w:rsid w:val="006046DA"/>
    <w:rsid w:val="00605726"/>
    <w:rsid w:val="00605773"/>
    <w:rsid w:val="00606D24"/>
    <w:rsid w:val="00611397"/>
    <w:rsid w:val="00611D9C"/>
    <w:rsid w:val="00613EB5"/>
    <w:rsid w:val="00615CC7"/>
    <w:rsid w:val="00616B73"/>
    <w:rsid w:val="00616E0A"/>
    <w:rsid w:val="00617EB9"/>
    <w:rsid w:val="006225F0"/>
    <w:rsid w:val="00622D37"/>
    <w:rsid w:val="00623288"/>
    <w:rsid w:val="00623507"/>
    <w:rsid w:val="00624316"/>
    <w:rsid w:val="006243AA"/>
    <w:rsid w:val="00625C18"/>
    <w:rsid w:val="0062680D"/>
    <w:rsid w:val="006278AF"/>
    <w:rsid w:val="006323F8"/>
    <w:rsid w:val="006325D2"/>
    <w:rsid w:val="00632D37"/>
    <w:rsid w:val="006339E6"/>
    <w:rsid w:val="00633B89"/>
    <w:rsid w:val="0063404F"/>
    <w:rsid w:val="0063643B"/>
    <w:rsid w:val="00640C3D"/>
    <w:rsid w:val="00640D6F"/>
    <w:rsid w:val="00641A18"/>
    <w:rsid w:val="006420CB"/>
    <w:rsid w:val="006426A1"/>
    <w:rsid w:val="00643199"/>
    <w:rsid w:val="0064341D"/>
    <w:rsid w:val="00644BE6"/>
    <w:rsid w:val="0064512C"/>
    <w:rsid w:val="00645240"/>
    <w:rsid w:val="00646782"/>
    <w:rsid w:val="006472C8"/>
    <w:rsid w:val="00647E8B"/>
    <w:rsid w:val="006510D3"/>
    <w:rsid w:val="006526F5"/>
    <w:rsid w:val="006531D6"/>
    <w:rsid w:val="00655DAB"/>
    <w:rsid w:val="006612F0"/>
    <w:rsid w:val="00661A56"/>
    <w:rsid w:val="00663715"/>
    <w:rsid w:val="006651B6"/>
    <w:rsid w:val="006673AB"/>
    <w:rsid w:val="006718E3"/>
    <w:rsid w:val="00671DF4"/>
    <w:rsid w:val="00671E19"/>
    <w:rsid w:val="006723C9"/>
    <w:rsid w:val="00672C95"/>
    <w:rsid w:val="00677FBF"/>
    <w:rsid w:val="0068014A"/>
    <w:rsid w:val="006817CA"/>
    <w:rsid w:val="00681FAC"/>
    <w:rsid w:val="00683DED"/>
    <w:rsid w:val="00684448"/>
    <w:rsid w:val="00684467"/>
    <w:rsid w:val="00684F07"/>
    <w:rsid w:val="00685005"/>
    <w:rsid w:val="00686BE0"/>
    <w:rsid w:val="006917C0"/>
    <w:rsid w:val="00692013"/>
    <w:rsid w:val="00692CCF"/>
    <w:rsid w:val="00694A4E"/>
    <w:rsid w:val="00694D93"/>
    <w:rsid w:val="006957A9"/>
    <w:rsid w:val="00696168"/>
    <w:rsid w:val="006963F3"/>
    <w:rsid w:val="00697622"/>
    <w:rsid w:val="00697D93"/>
    <w:rsid w:val="006A3885"/>
    <w:rsid w:val="006A48F8"/>
    <w:rsid w:val="006A532E"/>
    <w:rsid w:val="006A579C"/>
    <w:rsid w:val="006A718E"/>
    <w:rsid w:val="006A7A61"/>
    <w:rsid w:val="006A7E35"/>
    <w:rsid w:val="006B2132"/>
    <w:rsid w:val="006B2534"/>
    <w:rsid w:val="006B28A8"/>
    <w:rsid w:val="006B4599"/>
    <w:rsid w:val="006B48BE"/>
    <w:rsid w:val="006B5C30"/>
    <w:rsid w:val="006C15B9"/>
    <w:rsid w:val="006C194B"/>
    <w:rsid w:val="006C1D02"/>
    <w:rsid w:val="006C2A82"/>
    <w:rsid w:val="006C57D7"/>
    <w:rsid w:val="006C63AE"/>
    <w:rsid w:val="006D0DBD"/>
    <w:rsid w:val="006D10C8"/>
    <w:rsid w:val="006D1243"/>
    <w:rsid w:val="006D15FB"/>
    <w:rsid w:val="006D227A"/>
    <w:rsid w:val="006D363A"/>
    <w:rsid w:val="006D7518"/>
    <w:rsid w:val="006D7D0B"/>
    <w:rsid w:val="006E0108"/>
    <w:rsid w:val="006E13DC"/>
    <w:rsid w:val="006E1B8A"/>
    <w:rsid w:val="006E1CF3"/>
    <w:rsid w:val="006E210E"/>
    <w:rsid w:val="006E4D9C"/>
    <w:rsid w:val="006E54B5"/>
    <w:rsid w:val="006E7A95"/>
    <w:rsid w:val="006F04A2"/>
    <w:rsid w:val="006F061C"/>
    <w:rsid w:val="006F0D2E"/>
    <w:rsid w:val="006F1212"/>
    <w:rsid w:val="006F1A93"/>
    <w:rsid w:val="006F3A94"/>
    <w:rsid w:val="006F5925"/>
    <w:rsid w:val="006F5FA3"/>
    <w:rsid w:val="006F678C"/>
    <w:rsid w:val="006F7562"/>
    <w:rsid w:val="00700A3A"/>
    <w:rsid w:val="00700E75"/>
    <w:rsid w:val="007014F7"/>
    <w:rsid w:val="00702212"/>
    <w:rsid w:val="007039C4"/>
    <w:rsid w:val="00705857"/>
    <w:rsid w:val="00706E10"/>
    <w:rsid w:val="00706FF2"/>
    <w:rsid w:val="00707154"/>
    <w:rsid w:val="0071195D"/>
    <w:rsid w:val="00713B50"/>
    <w:rsid w:val="00714F6B"/>
    <w:rsid w:val="0071654A"/>
    <w:rsid w:val="00716DC9"/>
    <w:rsid w:val="00716E75"/>
    <w:rsid w:val="007224B9"/>
    <w:rsid w:val="007246C5"/>
    <w:rsid w:val="00724E68"/>
    <w:rsid w:val="00724EC9"/>
    <w:rsid w:val="00727383"/>
    <w:rsid w:val="0072770D"/>
    <w:rsid w:val="0072783D"/>
    <w:rsid w:val="00727B8C"/>
    <w:rsid w:val="00730402"/>
    <w:rsid w:val="007311C8"/>
    <w:rsid w:val="00731CE4"/>
    <w:rsid w:val="0073294A"/>
    <w:rsid w:val="0073300E"/>
    <w:rsid w:val="0074008F"/>
    <w:rsid w:val="0074096D"/>
    <w:rsid w:val="00742B15"/>
    <w:rsid w:val="007438C5"/>
    <w:rsid w:val="00744361"/>
    <w:rsid w:val="0074595F"/>
    <w:rsid w:val="007459A7"/>
    <w:rsid w:val="00746850"/>
    <w:rsid w:val="007469DE"/>
    <w:rsid w:val="00753C25"/>
    <w:rsid w:val="00753DDA"/>
    <w:rsid w:val="00754C91"/>
    <w:rsid w:val="00754DA5"/>
    <w:rsid w:val="00754F98"/>
    <w:rsid w:val="00757C24"/>
    <w:rsid w:val="007617C5"/>
    <w:rsid w:val="007634E9"/>
    <w:rsid w:val="00763671"/>
    <w:rsid w:val="00765756"/>
    <w:rsid w:val="007661BA"/>
    <w:rsid w:val="00770A26"/>
    <w:rsid w:val="00771607"/>
    <w:rsid w:val="007718F5"/>
    <w:rsid w:val="00774FD3"/>
    <w:rsid w:val="00777CC8"/>
    <w:rsid w:val="00780955"/>
    <w:rsid w:val="00780CBA"/>
    <w:rsid w:val="007810C9"/>
    <w:rsid w:val="0078151A"/>
    <w:rsid w:val="00781D9B"/>
    <w:rsid w:val="007825E1"/>
    <w:rsid w:val="00783B5C"/>
    <w:rsid w:val="00784319"/>
    <w:rsid w:val="0078567D"/>
    <w:rsid w:val="00786397"/>
    <w:rsid w:val="00786912"/>
    <w:rsid w:val="00791689"/>
    <w:rsid w:val="00791839"/>
    <w:rsid w:val="00791E32"/>
    <w:rsid w:val="00792238"/>
    <w:rsid w:val="00792CC2"/>
    <w:rsid w:val="00793041"/>
    <w:rsid w:val="007959F7"/>
    <w:rsid w:val="00795A34"/>
    <w:rsid w:val="00796204"/>
    <w:rsid w:val="00797128"/>
    <w:rsid w:val="007A00D9"/>
    <w:rsid w:val="007A1F2C"/>
    <w:rsid w:val="007A58DB"/>
    <w:rsid w:val="007A5F65"/>
    <w:rsid w:val="007A6874"/>
    <w:rsid w:val="007A6EB9"/>
    <w:rsid w:val="007A7A8B"/>
    <w:rsid w:val="007B0517"/>
    <w:rsid w:val="007B25CD"/>
    <w:rsid w:val="007B2EEF"/>
    <w:rsid w:val="007B3124"/>
    <w:rsid w:val="007B4BD7"/>
    <w:rsid w:val="007B60E0"/>
    <w:rsid w:val="007C040E"/>
    <w:rsid w:val="007C1747"/>
    <w:rsid w:val="007C1D03"/>
    <w:rsid w:val="007C3664"/>
    <w:rsid w:val="007C371D"/>
    <w:rsid w:val="007C3F24"/>
    <w:rsid w:val="007C54CE"/>
    <w:rsid w:val="007C622B"/>
    <w:rsid w:val="007D0758"/>
    <w:rsid w:val="007D0A3F"/>
    <w:rsid w:val="007D141A"/>
    <w:rsid w:val="007D429E"/>
    <w:rsid w:val="007D613E"/>
    <w:rsid w:val="007E2BE2"/>
    <w:rsid w:val="007E3130"/>
    <w:rsid w:val="007E58DE"/>
    <w:rsid w:val="007E62A9"/>
    <w:rsid w:val="007F0C11"/>
    <w:rsid w:val="007F2064"/>
    <w:rsid w:val="007F2A12"/>
    <w:rsid w:val="007F2EC2"/>
    <w:rsid w:val="007F48B6"/>
    <w:rsid w:val="007F4C62"/>
    <w:rsid w:val="007F52B4"/>
    <w:rsid w:val="007F763E"/>
    <w:rsid w:val="00804756"/>
    <w:rsid w:val="0080490A"/>
    <w:rsid w:val="00805618"/>
    <w:rsid w:val="008068F5"/>
    <w:rsid w:val="00807916"/>
    <w:rsid w:val="00807CB1"/>
    <w:rsid w:val="00812A50"/>
    <w:rsid w:val="00812C08"/>
    <w:rsid w:val="00815504"/>
    <w:rsid w:val="00815E21"/>
    <w:rsid w:val="008167FC"/>
    <w:rsid w:val="00816A02"/>
    <w:rsid w:val="00817793"/>
    <w:rsid w:val="00821ABD"/>
    <w:rsid w:val="00824ED1"/>
    <w:rsid w:val="008275FF"/>
    <w:rsid w:val="008300AF"/>
    <w:rsid w:val="008319F6"/>
    <w:rsid w:val="008359E2"/>
    <w:rsid w:val="008361AC"/>
    <w:rsid w:val="00836654"/>
    <w:rsid w:val="00836FFE"/>
    <w:rsid w:val="008379EB"/>
    <w:rsid w:val="00840604"/>
    <w:rsid w:val="00840729"/>
    <w:rsid w:val="00840DF7"/>
    <w:rsid w:val="008468D6"/>
    <w:rsid w:val="00847624"/>
    <w:rsid w:val="0085326E"/>
    <w:rsid w:val="00853E99"/>
    <w:rsid w:val="00855871"/>
    <w:rsid w:val="00857307"/>
    <w:rsid w:val="008600DC"/>
    <w:rsid w:val="00863D34"/>
    <w:rsid w:val="00867574"/>
    <w:rsid w:val="00870D43"/>
    <w:rsid w:val="00872235"/>
    <w:rsid w:val="008730FA"/>
    <w:rsid w:val="00877A94"/>
    <w:rsid w:val="008808A7"/>
    <w:rsid w:val="00880E55"/>
    <w:rsid w:val="00881DF0"/>
    <w:rsid w:val="00881F0A"/>
    <w:rsid w:val="0088239E"/>
    <w:rsid w:val="008842EB"/>
    <w:rsid w:val="008866AB"/>
    <w:rsid w:val="00887CCB"/>
    <w:rsid w:val="008942F3"/>
    <w:rsid w:val="00894EFE"/>
    <w:rsid w:val="00895C59"/>
    <w:rsid w:val="00897B84"/>
    <w:rsid w:val="008A0201"/>
    <w:rsid w:val="008A1966"/>
    <w:rsid w:val="008A2824"/>
    <w:rsid w:val="008A2C56"/>
    <w:rsid w:val="008A2DE9"/>
    <w:rsid w:val="008A4BB8"/>
    <w:rsid w:val="008A4E88"/>
    <w:rsid w:val="008A4F44"/>
    <w:rsid w:val="008A5C65"/>
    <w:rsid w:val="008A6130"/>
    <w:rsid w:val="008B0267"/>
    <w:rsid w:val="008B350E"/>
    <w:rsid w:val="008B3839"/>
    <w:rsid w:val="008B6A2F"/>
    <w:rsid w:val="008C491C"/>
    <w:rsid w:val="008C646A"/>
    <w:rsid w:val="008C7C7C"/>
    <w:rsid w:val="008C7DDC"/>
    <w:rsid w:val="008C7E9A"/>
    <w:rsid w:val="008D0771"/>
    <w:rsid w:val="008D102D"/>
    <w:rsid w:val="008D2249"/>
    <w:rsid w:val="008D2A94"/>
    <w:rsid w:val="008D331F"/>
    <w:rsid w:val="008D63A1"/>
    <w:rsid w:val="008D72C9"/>
    <w:rsid w:val="008E03B1"/>
    <w:rsid w:val="008E24E1"/>
    <w:rsid w:val="008E3B22"/>
    <w:rsid w:val="008E42F4"/>
    <w:rsid w:val="008E4D91"/>
    <w:rsid w:val="008E5AFB"/>
    <w:rsid w:val="008E635C"/>
    <w:rsid w:val="008E750D"/>
    <w:rsid w:val="008F02FB"/>
    <w:rsid w:val="008F269F"/>
    <w:rsid w:val="008F2EA9"/>
    <w:rsid w:val="008F3939"/>
    <w:rsid w:val="008F546F"/>
    <w:rsid w:val="00904B2C"/>
    <w:rsid w:val="009060CD"/>
    <w:rsid w:val="00906EE7"/>
    <w:rsid w:val="0091121F"/>
    <w:rsid w:val="00911F03"/>
    <w:rsid w:val="009141A8"/>
    <w:rsid w:val="009155A0"/>
    <w:rsid w:val="0091634F"/>
    <w:rsid w:val="00917B49"/>
    <w:rsid w:val="00924726"/>
    <w:rsid w:val="009255DE"/>
    <w:rsid w:val="00925CD6"/>
    <w:rsid w:val="00925EE7"/>
    <w:rsid w:val="009265E1"/>
    <w:rsid w:val="009267E9"/>
    <w:rsid w:val="009275ED"/>
    <w:rsid w:val="009276CD"/>
    <w:rsid w:val="009276E2"/>
    <w:rsid w:val="0093250F"/>
    <w:rsid w:val="0093427A"/>
    <w:rsid w:val="00934359"/>
    <w:rsid w:val="0093530E"/>
    <w:rsid w:val="00936602"/>
    <w:rsid w:val="0094276C"/>
    <w:rsid w:val="00943409"/>
    <w:rsid w:val="00946033"/>
    <w:rsid w:val="00946D56"/>
    <w:rsid w:val="009503FE"/>
    <w:rsid w:val="0095201C"/>
    <w:rsid w:val="00953672"/>
    <w:rsid w:val="0095480B"/>
    <w:rsid w:val="009552FD"/>
    <w:rsid w:val="0095540D"/>
    <w:rsid w:val="009613DB"/>
    <w:rsid w:val="009613F8"/>
    <w:rsid w:val="00962644"/>
    <w:rsid w:val="009653DC"/>
    <w:rsid w:val="00965E05"/>
    <w:rsid w:val="00966148"/>
    <w:rsid w:val="009661FD"/>
    <w:rsid w:val="00966BB8"/>
    <w:rsid w:val="0097061D"/>
    <w:rsid w:val="00970C24"/>
    <w:rsid w:val="009750B1"/>
    <w:rsid w:val="009765CA"/>
    <w:rsid w:val="00976637"/>
    <w:rsid w:val="009773FB"/>
    <w:rsid w:val="00980098"/>
    <w:rsid w:val="0098200A"/>
    <w:rsid w:val="0098373B"/>
    <w:rsid w:val="009847E4"/>
    <w:rsid w:val="00984AD0"/>
    <w:rsid w:val="00987601"/>
    <w:rsid w:val="00987D38"/>
    <w:rsid w:val="0099057C"/>
    <w:rsid w:val="0099088C"/>
    <w:rsid w:val="009950A0"/>
    <w:rsid w:val="009958FC"/>
    <w:rsid w:val="00995E50"/>
    <w:rsid w:val="00997957"/>
    <w:rsid w:val="009A0B11"/>
    <w:rsid w:val="009A15B5"/>
    <w:rsid w:val="009A267E"/>
    <w:rsid w:val="009A2D4F"/>
    <w:rsid w:val="009A2EDC"/>
    <w:rsid w:val="009A369B"/>
    <w:rsid w:val="009A7AD8"/>
    <w:rsid w:val="009B002F"/>
    <w:rsid w:val="009B3529"/>
    <w:rsid w:val="009B3D43"/>
    <w:rsid w:val="009B4EFF"/>
    <w:rsid w:val="009B774E"/>
    <w:rsid w:val="009C0564"/>
    <w:rsid w:val="009C1CB1"/>
    <w:rsid w:val="009C2830"/>
    <w:rsid w:val="009C5013"/>
    <w:rsid w:val="009C5275"/>
    <w:rsid w:val="009C54F5"/>
    <w:rsid w:val="009C6B01"/>
    <w:rsid w:val="009C7D41"/>
    <w:rsid w:val="009D04DC"/>
    <w:rsid w:val="009D0B74"/>
    <w:rsid w:val="009D108C"/>
    <w:rsid w:val="009D251E"/>
    <w:rsid w:val="009D331A"/>
    <w:rsid w:val="009D3320"/>
    <w:rsid w:val="009D4E7C"/>
    <w:rsid w:val="009D66BC"/>
    <w:rsid w:val="009D67E5"/>
    <w:rsid w:val="009D7033"/>
    <w:rsid w:val="009D77FC"/>
    <w:rsid w:val="009D7C3B"/>
    <w:rsid w:val="009E0486"/>
    <w:rsid w:val="009E049C"/>
    <w:rsid w:val="009E088A"/>
    <w:rsid w:val="009E08A7"/>
    <w:rsid w:val="009E19D2"/>
    <w:rsid w:val="009E2A99"/>
    <w:rsid w:val="009E4425"/>
    <w:rsid w:val="009E4DCF"/>
    <w:rsid w:val="009F1080"/>
    <w:rsid w:val="009F1A22"/>
    <w:rsid w:val="009F2823"/>
    <w:rsid w:val="009F2A1F"/>
    <w:rsid w:val="009F2A2D"/>
    <w:rsid w:val="009F2C86"/>
    <w:rsid w:val="009F3FB5"/>
    <w:rsid w:val="009F40CC"/>
    <w:rsid w:val="009F5A83"/>
    <w:rsid w:val="009F718E"/>
    <w:rsid w:val="009F7199"/>
    <w:rsid w:val="009F760C"/>
    <w:rsid w:val="009F7BFC"/>
    <w:rsid w:val="00A02B88"/>
    <w:rsid w:val="00A032E5"/>
    <w:rsid w:val="00A03EB4"/>
    <w:rsid w:val="00A066A3"/>
    <w:rsid w:val="00A06920"/>
    <w:rsid w:val="00A070D4"/>
    <w:rsid w:val="00A07F73"/>
    <w:rsid w:val="00A10E2D"/>
    <w:rsid w:val="00A1103E"/>
    <w:rsid w:val="00A11162"/>
    <w:rsid w:val="00A11F05"/>
    <w:rsid w:val="00A120B4"/>
    <w:rsid w:val="00A12E3D"/>
    <w:rsid w:val="00A146A0"/>
    <w:rsid w:val="00A14B2F"/>
    <w:rsid w:val="00A158E0"/>
    <w:rsid w:val="00A1600A"/>
    <w:rsid w:val="00A165D6"/>
    <w:rsid w:val="00A1687B"/>
    <w:rsid w:val="00A16C6D"/>
    <w:rsid w:val="00A20A3B"/>
    <w:rsid w:val="00A22118"/>
    <w:rsid w:val="00A22811"/>
    <w:rsid w:val="00A22D91"/>
    <w:rsid w:val="00A23A3E"/>
    <w:rsid w:val="00A24AAE"/>
    <w:rsid w:val="00A24DA1"/>
    <w:rsid w:val="00A26828"/>
    <w:rsid w:val="00A301AA"/>
    <w:rsid w:val="00A32BB8"/>
    <w:rsid w:val="00A34C5B"/>
    <w:rsid w:val="00A350BB"/>
    <w:rsid w:val="00A40A69"/>
    <w:rsid w:val="00A427C4"/>
    <w:rsid w:val="00A4425A"/>
    <w:rsid w:val="00A44B38"/>
    <w:rsid w:val="00A47A78"/>
    <w:rsid w:val="00A50011"/>
    <w:rsid w:val="00A504EC"/>
    <w:rsid w:val="00A50E6B"/>
    <w:rsid w:val="00A51856"/>
    <w:rsid w:val="00A51DD4"/>
    <w:rsid w:val="00A53703"/>
    <w:rsid w:val="00A61515"/>
    <w:rsid w:val="00A620E2"/>
    <w:rsid w:val="00A6597B"/>
    <w:rsid w:val="00A67677"/>
    <w:rsid w:val="00A701B9"/>
    <w:rsid w:val="00A710EE"/>
    <w:rsid w:val="00A71946"/>
    <w:rsid w:val="00A71EFF"/>
    <w:rsid w:val="00A7323E"/>
    <w:rsid w:val="00A75411"/>
    <w:rsid w:val="00A77A71"/>
    <w:rsid w:val="00A803E5"/>
    <w:rsid w:val="00A804F9"/>
    <w:rsid w:val="00A80B6C"/>
    <w:rsid w:val="00A83B31"/>
    <w:rsid w:val="00A845DA"/>
    <w:rsid w:val="00A850DA"/>
    <w:rsid w:val="00A8563A"/>
    <w:rsid w:val="00A903A4"/>
    <w:rsid w:val="00A90592"/>
    <w:rsid w:val="00A958C8"/>
    <w:rsid w:val="00A95A1E"/>
    <w:rsid w:val="00A95E65"/>
    <w:rsid w:val="00AA3491"/>
    <w:rsid w:val="00AA34C6"/>
    <w:rsid w:val="00AA6C17"/>
    <w:rsid w:val="00AA719E"/>
    <w:rsid w:val="00AB06DB"/>
    <w:rsid w:val="00AB3CFA"/>
    <w:rsid w:val="00AC3070"/>
    <w:rsid w:val="00AC34F4"/>
    <w:rsid w:val="00AC5875"/>
    <w:rsid w:val="00AC6D9D"/>
    <w:rsid w:val="00AC7253"/>
    <w:rsid w:val="00AD01D5"/>
    <w:rsid w:val="00AD125D"/>
    <w:rsid w:val="00AD218C"/>
    <w:rsid w:val="00AD25DE"/>
    <w:rsid w:val="00AD278F"/>
    <w:rsid w:val="00AD3CDA"/>
    <w:rsid w:val="00AD52DB"/>
    <w:rsid w:val="00AD5C05"/>
    <w:rsid w:val="00AE1E06"/>
    <w:rsid w:val="00AE6B19"/>
    <w:rsid w:val="00AE6E38"/>
    <w:rsid w:val="00AF0F99"/>
    <w:rsid w:val="00AF3CB4"/>
    <w:rsid w:val="00AF41D3"/>
    <w:rsid w:val="00AF7746"/>
    <w:rsid w:val="00B008FE"/>
    <w:rsid w:val="00B0149E"/>
    <w:rsid w:val="00B01774"/>
    <w:rsid w:val="00B02669"/>
    <w:rsid w:val="00B02BB7"/>
    <w:rsid w:val="00B0392E"/>
    <w:rsid w:val="00B053AB"/>
    <w:rsid w:val="00B05B71"/>
    <w:rsid w:val="00B0627D"/>
    <w:rsid w:val="00B070CD"/>
    <w:rsid w:val="00B0794E"/>
    <w:rsid w:val="00B07B85"/>
    <w:rsid w:val="00B07E5A"/>
    <w:rsid w:val="00B10274"/>
    <w:rsid w:val="00B10A8A"/>
    <w:rsid w:val="00B11C51"/>
    <w:rsid w:val="00B129AA"/>
    <w:rsid w:val="00B12D71"/>
    <w:rsid w:val="00B12EE6"/>
    <w:rsid w:val="00B13310"/>
    <w:rsid w:val="00B137FF"/>
    <w:rsid w:val="00B13C0F"/>
    <w:rsid w:val="00B15292"/>
    <w:rsid w:val="00B17FE0"/>
    <w:rsid w:val="00B2093C"/>
    <w:rsid w:val="00B2102C"/>
    <w:rsid w:val="00B21A37"/>
    <w:rsid w:val="00B2296D"/>
    <w:rsid w:val="00B244BA"/>
    <w:rsid w:val="00B26FC0"/>
    <w:rsid w:val="00B30CCF"/>
    <w:rsid w:val="00B3323C"/>
    <w:rsid w:val="00B35111"/>
    <w:rsid w:val="00B36C0F"/>
    <w:rsid w:val="00B37B7D"/>
    <w:rsid w:val="00B4025E"/>
    <w:rsid w:val="00B449C4"/>
    <w:rsid w:val="00B44FBB"/>
    <w:rsid w:val="00B451E8"/>
    <w:rsid w:val="00B46BE9"/>
    <w:rsid w:val="00B54AB2"/>
    <w:rsid w:val="00B54DC6"/>
    <w:rsid w:val="00B555E8"/>
    <w:rsid w:val="00B55D25"/>
    <w:rsid w:val="00B6016D"/>
    <w:rsid w:val="00B60EE2"/>
    <w:rsid w:val="00B6165C"/>
    <w:rsid w:val="00B616B5"/>
    <w:rsid w:val="00B61AE9"/>
    <w:rsid w:val="00B62005"/>
    <w:rsid w:val="00B63516"/>
    <w:rsid w:val="00B63B09"/>
    <w:rsid w:val="00B64D4D"/>
    <w:rsid w:val="00B679A7"/>
    <w:rsid w:val="00B70F50"/>
    <w:rsid w:val="00B736F7"/>
    <w:rsid w:val="00B73DA7"/>
    <w:rsid w:val="00B7515B"/>
    <w:rsid w:val="00B7541C"/>
    <w:rsid w:val="00B77CE4"/>
    <w:rsid w:val="00B806BF"/>
    <w:rsid w:val="00B826FD"/>
    <w:rsid w:val="00B83B66"/>
    <w:rsid w:val="00B84173"/>
    <w:rsid w:val="00B871DC"/>
    <w:rsid w:val="00B87FAC"/>
    <w:rsid w:val="00B91000"/>
    <w:rsid w:val="00B91ABE"/>
    <w:rsid w:val="00B949D1"/>
    <w:rsid w:val="00B94E90"/>
    <w:rsid w:val="00B97AC7"/>
    <w:rsid w:val="00B97C07"/>
    <w:rsid w:val="00BA082C"/>
    <w:rsid w:val="00BA149C"/>
    <w:rsid w:val="00BA14B1"/>
    <w:rsid w:val="00BA15C5"/>
    <w:rsid w:val="00BA2287"/>
    <w:rsid w:val="00BA25D5"/>
    <w:rsid w:val="00BA39BB"/>
    <w:rsid w:val="00BA5711"/>
    <w:rsid w:val="00BA622A"/>
    <w:rsid w:val="00BA74AA"/>
    <w:rsid w:val="00BB2892"/>
    <w:rsid w:val="00BB4E1E"/>
    <w:rsid w:val="00BB5F98"/>
    <w:rsid w:val="00BB61C8"/>
    <w:rsid w:val="00BB6D52"/>
    <w:rsid w:val="00BB70C3"/>
    <w:rsid w:val="00BC0651"/>
    <w:rsid w:val="00BC0F7F"/>
    <w:rsid w:val="00BC35B6"/>
    <w:rsid w:val="00BC3626"/>
    <w:rsid w:val="00BC5EBB"/>
    <w:rsid w:val="00BC7A7D"/>
    <w:rsid w:val="00BD071D"/>
    <w:rsid w:val="00BD5CBC"/>
    <w:rsid w:val="00BD6317"/>
    <w:rsid w:val="00BE0AB2"/>
    <w:rsid w:val="00BE1329"/>
    <w:rsid w:val="00BE43B4"/>
    <w:rsid w:val="00BE4C88"/>
    <w:rsid w:val="00BE5ABC"/>
    <w:rsid w:val="00BE5EF8"/>
    <w:rsid w:val="00BE6FE0"/>
    <w:rsid w:val="00BF0851"/>
    <w:rsid w:val="00BF2EB2"/>
    <w:rsid w:val="00BF3890"/>
    <w:rsid w:val="00BF5906"/>
    <w:rsid w:val="00BF72B9"/>
    <w:rsid w:val="00BF7864"/>
    <w:rsid w:val="00BF7A11"/>
    <w:rsid w:val="00C0003D"/>
    <w:rsid w:val="00C02124"/>
    <w:rsid w:val="00C02510"/>
    <w:rsid w:val="00C032BE"/>
    <w:rsid w:val="00C034BE"/>
    <w:rsid w:val="00C04008"/>
    <w:rsid w:val="00C1016B"/>
    <w:rsid w:val="00C10EFA"/>
    <w:rsid w:val="00C11939"/>
    <w:rsid w:val="00C11F21"/>
    <w:rsid w:val="00C12A4B"/>
    <w:rsid w:val="00C137F6"/>
    <w:rsid w:val="00C13BC4"/>
    <w:rsid w:val="00C148F6"/>
    <w:rsid w:val="00C16DCB"/>
    <w:rsid w:val="00C17BC9"/>
    <w:rsid w:val="00C20AFE"/>
    <w:rsid w:val="00C21E49"/>
    <w:rsid w:val="00C21FEE"/>
    <w:rsid w:val="00C24037"/>
    <w:rsid w:val="00C30954"/>
    <w:rsid w:val="00C30B02"/>
    <w:rsid w:val="00C30C5C"/>
    <w:rsid w:val="00C31994"/>
    <w:rsid w:val="00C31C58"/>
    <w:rsid w:val="00C32E57"/>
    <w:rsid w:val="00C33C28"/>
    <w:rsid w:val="00C3426A"/>
    <w:rsid w:val="00C36086"/>
    <w:rsid w:val="00C36B29"/>
    <w:rsid w:val="00C37FDB"/>
    <w:rsid w:val="00C421E4"/>
    <w:rsid w:val="00C42307"/>
    <w:rsid w:val="00C43E61"/>
    <w:rsid w:val="00C4415F"/>
    <w:rsid w:val="00C45724"/>
    <w:rsid w:val="00C46535"/>
    <w:rsid w:val="00C46E40"/>
    <w:rsid w:val="00C50315"/>
    <w:rsid w:val="00C50818"/>
    <w:rsid w:val="00C53CC1"/>
    <w:rsid w:val="00C53DB8"/>
    <w:rsid w:val="00C57B76"/>
    <w:rsid w:val="00C604FD"/>
    <w:rsid w:val="00C63113"/>
    <w:rsid w:val="00C64221"/>
    <w:rsid w:val="00C651A1"/>
    <w:rsid w:val="00C65340"/>
    <w:rsid w:val="00C657E6"/>
    <w:rsid w:val="00C667A0"/>
    <w:rsid w:val="00C703FB"/>
    <w:rsid w:val="00C71B10"/>
    <w:rsid w:val="00C75344"/>
    <w:rsid w:val="00C75735"/>
    <w:rsid w:val="00C77ACF"/>
    <w:rsid w:val="00C807E0"/>
    <w:rsid w:val="00C816E4"/>
    <w:rsid w:val="00C8358A"/>
    <w:rsid w:val="00C837A0"/>
    <w:rsid w:val="00C849F6"/>
    <w:rsid w:val="00C86703"/>
    <w:rsid w:val="00C86D50"/>
    <w:rsid w:val="00C86F02"/>
    <w:rsid w:val="00C92447"/>
    <w:rsid w:val="00C924CE"/>
    <w:rsid w:val="00C92DEC"/>
    <w:rsid w:val="00C945E1"/>
    <w:rsid w:val="00C957FB"/>
    <w:rsid w:val="00C967A5"/>
    <w:rsid w:val="00CA137F"/>
    <w:rsid w:val="00CA3CB7"/>
    <w:rsid w:val="00CA41EF"/>
    <w:rsid w:val="00CA6AA3"/>
    <w:rsid w:val="00CA6C45"/>
    <w:rsid w:val="00CA7F06"/>
    <w:rsid w:val="00CB3031"/>
    <w:rsid w:val="00CB3B63"/>
    <w:rsid w:val="00CB3C16"/>
    <w:rsid w:val="00CB4959"/>
    <w:rsid w:val="00CC4400"/>
    <w:rsid w:val="00CC463F"/>
    <w:rsid w:val="00CC4BE7"/>
    <w:rsid w:val="00CC5715"/>
    <w:rsid w:val="00CC7D3E"/>
    <w:rsid w:val="00CD73BC"/>
    <w:rsid w:val="00CD7AFC"/>
    <w:rsid w:val="00CE02FD"/>
    <w:rsid w:val="00CE5924"/>
    <w:rsid w:val="00CE5D26"/>
    <w:rsid w:val="00CF1E39"/>
    <w:rsid w:val="00CF74F2"/>
    <w:rsid w:val="00CF75DF"/>
    <w:rsid w:val="00CF7D3C"/>
    <w:rsid w:val="00D02036"/>
    <w:rsid w:val="00D02644"/>
    <w:rsid w:val="00D039DD"/>
    <w:rsid w:val="00D0627D"/>
    <w:rsid w:val="00D065AA"/>
    <w:rsid w:val="00D11181"/>
    <w:rsid w:val="00D1197C"/>
    <w:rsid w:val="00D12D1A"/>
    <w:rsid w:val="00D207EE"/>
    <w:rsid w:val="00D20E75"/>
    <w:rsid w:val="00D2359D"/>
    <w:rsid w:val="00D23E3A"/>
    <w:rsid w:val="00D242DB"/>
    <w:rsid w:val="00D279F3"/>
    <w:rsid w:val="00D31456"/>
    <w:rsid w:val="00D35642"/>
    <w:rsid w:val="00D376C4"/>
    <w:rsid w:val="00D37C1A"/>
    <w:rsid w:val="00D404C3"/>
    <w:rsid w:val="00D41C2C"/>
    <w:rsid w:val="00D458AF"/>
    <w:rsid w:val="00D46650"/>
    <w:rsid w:val="00D46D30"/>
    <w:rsid w:val="00D51464"/>
    <w:rsid w:val="00D51A39"/>
    <w:rsid w:val="00D5228B"/>
    <w:rsid w:val="00D556BF"/>
    <w:rsid w:val="00D63A90"/>
    <w:rsid w:val="00D63CE2"/>
    <w:rsid w:val="00D65CED"/>
    <w:rsid w:val="00D66C2E"/>
    <w:rsid w:val="00D66DD2"/>
    <w:rsid w:val="00D7092E"/>
    <w:rsid w:val="00D7159D"/>
    <w:rsid w:val="00D729CE"/>
    <w:rsid w:val="00D73665"/>
    <w:rsid w:val="00D745D7"/>
    <w:rsid w:val="00D7491C"/>
    <w:rsid w:val="00D76D4D"/>
    <w:rsid w:val="00D776BD"/>
    <w:rsid w:val="00D8444D"/>
    <w:rsid w:val="00D8583D"/>
    <w:rsid w:val="00D86353"/>
    <w:rsid w:val="00D86F7E"/>
    <w:rsid w:val="00D90770"/>
    <w:rsid w:val="00D90E56"/>
    <w:rsid w:val="00D93F6E"/>
    <w:rsid w:val="00D9519E"/>
    <w:rsid w:val="00D95F16"/>
    <w:rsid w:val="00D96EC6"/>
    <w:rsid w:val="00D97152"/>
    <w:rsid w:val="00DA023E"/>
    <w:rsid w:val="00DA0EEC"/>
    <w:rsid w:val="00DA1170"/>
    <w:rsid w:val="00DA138A"/>
    <w:rsid w:val="00DA4C95"/>
    <w:rsid w:val="00DA55ED"/>
    <w:rsid w:val="00DA7289"/>
    <w:rsid w:val="00DB0F91"/>
    <w:rsid w:val="00DB2C95"/>
    <w:rsid w:val="00DB4DAE"/>
    <w:rsid w:val="00DB6B84"/>
    <w:rsid w:val="00DC3D7F"/>
    <w:rsid w:val="00DC7216"/>
    <w:rsid w:val="00DD0188"/>
    <w:rsid w:val="00DD19F2"/>
    <w:rsid w:val="00DD1B5F"/>
    <w:rsid w:val="00DD2555"/>
    <w:rsid w:val="00DD4221"/>
    <w:rsid w:val="00DD49A9"/>
    <w:rsid w:val="00DD6F10"/>
    <w:rsid w:val="00DE0647"/>
    <w:rsid w:val="00DE0BE2"/>
    <w:rsid w:val="00DE211D"/>
    <w:rsid w:val="00DE2430"/>
    <w:rsid w:val="00DE441E"/>
    <w:rsid w:val="00DE56A4"/>
    <w:rsid w:val="00DE714C"/>
    <w:rsid w:val="00DF041E"/>
    <w:rsid w:val="00DF5370"/>
    <w:rsid w:val="00DF6D07"/>
    <w:rsid w:val="00E0054C"/>
    <w:rsid w:val="00E01458"/>
    <w:rsid w:val="00E01C44"/>
    <w:rsid w:val="00E023B4"/>
    <w:rsid w:val="00E025D3"/>
    <w:rsid w:val="00E06E58"/>
    <w:rsid w:val="00E12092"/>
    <w:rsid w:val="00E120D4"/>
    <w:rsid w:val="00E126A4"/>
    <w:rsid w:val="00E12E39"/>
    <w:rsid w:val="00E1597B"/>
    <w:rsid w:val="00E17645"/>
    <w:rsid w:val="00E20929"/>
    <w:rsid w:val="00E2109B"/>
    <w:rsid w:val="00E221A7"/>
    <w:rsid w:val="00E22398"/>
    <w:rsid w:val="00E232A1"/>
    <w:rsid w:val="00E24228"/>
    <w:rsid w:val="00E26635"/>
    <w:rsid w:val="00E27B6D"/>
    <w:rsid w:val="00E30B82"/>
    <w:rsid w:val="00E31783"/>
    <w:rsid w:val="00E32F27"/>
    <w:rsid w:val="00E34587"/>
    <w:rsid w:val="00E34A48"/>
    <w:rsid w:val="00E36BD9"/>
    <w:rsid w:val="00E463C3"/>
    <w:rsid w:val="00E4679F"/>
    <w:rsid w:val="00E479EA"/>
    <w:rsid w:val="00E50BFE"/>
    <w:rsid w:val="00E510A9"/>
    <w:rsid w:val="00E53E0B"/>
    <w:rsid w:val="00E53E60"/>
    <w:rsid w:val="00E553F8"/>
    <w:rsid w:val="00E56AC8"/>
    <w:rsid w:val="00E57069"/>
    <w:rsid w:val="00E61533"/>
    <w:rsid w:val="00E6168D"/>
    <w:rsid w:val="00E61F5C"/>
    <w:rsid w:val="00E63BE5"/>
    <w:rsid w:val="00E64B9D"/>
    <w:rsid w:val="00E64FB5"/>
    <w:rsid w:val="00E656B4"/>
    <w:rsid w:val="00E6761A"/>
    <w:rsid w:val="00E67B81"/>
    <w:rsid w:val="00E706F0"/>
    <w:rsid w:val="00E708EE"/>
    <w:rsid w:val="00E71138"/>
    <w:rsid w:val="00E724C8"/>
    <w:rsid w:val="00E73A48"/>
    <w:rsid w:val="00E73F66"/>
    <w:rsid w:val="00E76247"/>
    <w:rsid w:val="00E77259"/>
    <w:rsid w:val="00E77895"/>
    <w:rsid w:val="00E84638"/>
    <w:rsid w:val="00E8595B"/>
    <w:rsid w:val="00E86598"/>
    <w:rsid w:val="00E879B9"/>
    <w:rsid w:val="00E917D2"/>
    <w:rsid w:val="00E93618"/>
    <w:rsid w:val="00E94962"/>
    <w:rsid w:val="00E97482"/>
    <w:rsid w:val="00E978C1"/>
    <w:rsid w:val="00EA46BE"/>
    <w:rsid w:val="00EA7E5E"/>
    <w:rsid w:val="00EB00DE"/>
    <w:rsid w:val="00EB0922"/>
    <w:rsid w:val="00EB0B93"/>
    <w:rsid w:val="00EB179D"/>
    <w:rsid w:val="00EB1F6E"/>
    <w:rsid w:val="00EB223E"/>
    <w:rsid w:val="00EB2E14"/>
    <w:rsid w:val="00EB3179"/>
    <w:rsid w:val="00EB41B3"/>
    <w:rsid w:val="00EB4366"/>
    <w:rsid w:val="00EB7140"/>
    <w:rsid w:val="00EC1F20"/>
    <w:rsid w:val="00EC3429"/>
    <w:rsid w:val="00EC5581"/>
    <w:rsid w:val="00EC698A"/>
    <w:rsid w:val="00EC7AD3"/>
    <w:rsid w:val="00ED1750"/>
    <w:rsid w:val="00ED198F"/>
    <w:rsid w:val="00ED2558"/>
    <w:rsid w:val="00ED2984"/>
    <w:rsid w:val="00ED3906"/>
    <w:rsid w:val="00ED62E0"/>
    <w:rsid w:val="00ED77BC"/>
    <w:rsid w:val="00EE261C"/>
    <w:rsid w:val="00EE51E1"/>
    <w:rsid w:val="00EE5867"/>
    <w:rsid w:val="00EE5AEE"/>
    <w:rsid w:val="00EE5B62"/>
    <w:rsid w:val="00EE6EBC"/>
    <w:rsid w:val="00EF0E8D"/>
    <w:rsid w:val="00EF13C6"/>
    <w:rsid w:val="00EF4BD8"/>
    <w:rsid w:val="00EF567E"/>
    <w:rsid w:val="00EF64D1"/>
    <w:rsid w:val="00EF7C6C"/>
    <w:rsid w:val="00F01DE8"/>
    <w:rsid w:val="00F01E2E"/>
    <w:rsid w:val="00F0227A"/>
    <w:rsid w:val="00F04E03"/>
    <w:rsid w:val="00F0616E"/>
    <w:rsid w:val="00F06436"/>
    <w:rsid w:val="00F101AB"/>
    <w:rsid w:val="00F11957"/>
    <w:rsid w:val="00F13E73"/>
    <w:rsid w:val="00F14373"/>
    <w:rsid w:val="00F1584D"/>
    <w:rsid w:val="00F1796D"/>
    <w:rsid w:val="00F17BEF"/>
    <w:rsid w:val="00F20C1B"/>
    <w:rsid w:val="00F30B83"/>
    <w:rsid w:val="00F32AC7"/>
    <w:rsid w:val="00F333AC"/>
    <w:rsid w:val="00F335D1"/>
    <w:rsid w:val="00F335D3"/>
    <w:rsid w:val="00F3495E"/>
    <w:rsid w:val="00F3648F"/>
    <w:rsid w:val="00F36B8A"/>
    <w:rsid w:val="00F4029A"/>
    <w:rsid w:val="00F4296C"/>
    <w:rsid w:val="00F4391C"/>
    <w:rsid w:val="00F44123"/>
    <w:rsid w:val="00F4432A"/>
    <w:rsid w:val="00F45C2C"/>
    <w:rsid w:val="00F45D02"/>
    <w:rsid w:val="00F4685A"/>
    <w:rsid w:val="00F46A7D"/>
    <w:rsid w:val="00F504BD"/>
    <w:rsid w:val="00F5059E"/>
    <w:rsid w:val="00F53F47"/>
    <w:rsid w:val="00F5433C"/>
    <w:rsid w:val="00F551A8"/>
    <w:rsid w:val="00F557CD"/>
    <w:rsid w:val="00F55EC1"/>
    <w:rsid w:val="00F56340"/>
    <w:rsid w:val="00F64542"/>
    <w:rsid w:val="00F7050A"/>
    <w:rsid w:val="00F7135D"/>
    <w:rsid w:val="00F72C8D"/>
    <w:rsid w:val="00F746ED"/>
    <w:rsid w:val="00F74F6B"/>
    <w:rsid w:val="00F75397"/>
    <w:rsid w:val="00F75955"/>
    <w:rsid w:val="00F7656C"/>
    <w:rsid w:val="00F76D80"/>
    <w:rsid w:val="00F80DDD"/>
    <w:rsid w:val="00F82F18"/>
    <w:rsid w:val="00F84562"/>
    <w:rsid w:val="00F848C3"/>
    <w:rsid w:val="00F84B78"/>
    <w:rsid w:val="00F84DF3"/>
    <w:rsid w:val="00F873F4"/>
    <w:rsid w:val="00F91A78"/>
    <w:rsid w:val="00F9280D"/>
    <w:rsid w:val="00F93EE4"/>
    <w:rsid w:val="00F9748C"/>
    <w:rsid w:val="00FA0299"/>
    <w:rsid w:val="00FA443F"/>
    <w:rsid w:val="00FA4FE6"/>
    <w:rsid w:val="00FA78F1"/>
    <w:rsid w:val="00FB0E98"/>
    <w:rsid w:val="00FB10B0"/>
    <w:rsid w:val="00FB3F4C"/>
    <w:rsid w:val="00FB72F9"/>
    <w:rsid w:val="00FB732D"/>
    <w:rsid w:val="00FB7FB7"/>
    <w:rsid w:val="00FC2277"/>
    <w:rsid w:val="00FC2ECC"/>
    <w:rsid w:val="00FC307C"/>
    <w:rsid w:val="00FC7098"/>
    <w:rsid w:val="00FD081E"/>
    <w:rsid w:val="00FD3648"/>
    <w:rsid w:val="00FD5031"/>
    <w:rsid w:val="00FD6464"/>
    <w:rsid w:val="00FE0009"/>
    <w:rsid w:val="00FE1806"/>
    <w:rsid w:val="00FE3043"/>
    <w:rsid w:val="00FE3A8A"/>
    <w:rsid w:val="00FE3FA6"/>
    <w:rsid w:val="00FE4158"/>
    <w:rsid w:val="00FE46F2"/>
    <w:rsid w:val="00FF1465"/>
    <w:rsid w:val="00FF173A"/>
    <w:rsid w:val="00FF1AE3"/>
    <w:rsid w:val="00FF2043"/>
    <w:rsid w:val="00FF3387"/>
    <w:rsid w:val="00FF51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0">
    <w:name w:val="Normal"/>
    <w:qFormat/>
    <w:rsid w:val="008A2DE9"/>
    <w:pPr>
      <w:spacing w:line="283" w:lineRule="auto"/>
    </w:pPr>
  </w:style>
  <w:style w:type="paragraph" w:styleId="Heading1">
    <w:name w:val="heading 1"/>
    <w:next w:val="ListNumber2"/>
    <w:link w:val="Heading1Char"/>
    <w:uiPriority w:val="9"/>
    <w:qFormat/>
    <w:rsid w:val="009F5A83"/>
    <w:pPr>
      <w:keepNext/>
      <w:keepLines/>
      <w:spacing w:before="240" w:after="240"/>
      <w:outlineLvl w:val="0"/>
    </w:pPr>
    <w:rPr>
      <w:rFonts w:ascii="Montserrat" w:eastAsiaTheme="majorEastAsia" w:hAnsi="Montserrat" w:cstheme="majorBidi"/>
      <w:b/>
      <w:color w:val="1A234C"/>
      <w:w w:val="90"/>
      <w:kern w:val="2"/>
      <w:sz w:val="36"/>
      <w:szCs w:val="32"/>
    </w:rPr>
  </w:style>
  <w:style w:type="paragraph" w:styleId="Heading20">
    <w:name w:val="heading 2"/>
    <w:basedOn w:val="Heading1"/>
    <w:next w:val="ListNumber2"/>
    <w:link w:val="Heading2Char"/>
    <w:autoRedefine/>
    <w:uiPriority w:val="9"/>
    <w:unhideWhenUsed/>
    <w:qFormat/>
    <w:rsid w:val="00911F03"/>
    <w:pPr>
      <w:spacing w:after="0"/>
      <w:outlineLvl w:val="1"/>
    </w:pPr>
    <w:rPr>
      <w:color w:val="2F5496"/>
      <w:sz w:val="32"/>
      <w:szCs w:val="26"/>
    </w:rPr>
  </w:style>
  <w:style w:type="paragraph" w:styleId="Heading3">
    <w:name w:val="heading 3"/>
    <w:basedOn w:val="Heading20"/>
    <w:next w:val="ListNumber2"/>
    <w:link w:val="Heading3Char"/>
    <w:uiPriority w:val="9"/>
    <w:unhideWhenUsed/>
    <w:qFormat/>
    <w:rsid w:val="00A23A3E"/>
    <w:pPr>
      <w:outlineLvl w:val="2"/>
    </w:pPr>
    <w:rPr>
      <w:color w:val="7492CD"/>
      <w:sz w:val="28"/>
      <w:szCs w:val="24"/>
    </w:rPr>
  </w:style>
  <w:style w:type="paragraph" w:styleId="Heading4">
    <w:name w:val="heading 4"/>
    <w:basedOn w:val="Heading3"/>
    <w:next w:val="Normal0"/>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paragraph" w:styleId="Heading6">
    <w:name w:val="heading 6"/>
    <w:basedOn w:val="Normal0"/>
    <w:next w:val="Normal0"/>
    <w:link w:val="Heading6Char"/>
    <w:uiPriority w:val="9"/>
    <w:semiHidden/>
    <w:unhideWhenUsed/>
    <w:rsid w:val="0050715F"/>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0"/>
    <w:next w:val="Normal0"/>
    <w:link w:val="TitleChar"/>
    <w:uiPriority w:val="10"/>
    <w:qFormat/>
    <w:rsid w:val="00C8358A"/>
    <w:pPr>
      <w:spacing w:before="4000" w:after="360" w:line="259" w:lineRule="auto"/>
      <w:ind w:right="2790"/>
      <w:contextualSpacing/>
    </w:pPr>
    <w:rPr>
      <w:rFonts w:ascii="Montserrat" w:eastAsiaTheme="majorEastAsia" w:hAnsi="Montserrat" w:cstheme="majorBidi"/>
      <w:b/>
      <w:spacing w:val="-10"/>
      <w:w w:val="90"/>
      <w:kern w:val="28"/>
      <w:sz w:val="58"/>
      <w:szCs w:val="58"/>
    </w:rPr>
  </w:style>
  <w:style w:type="character" w:customStyle="1" w:styleId="TitleChar">
    <w:name w:val="Title Char"/>
    <w:basedOn w:val="DefaultParagraphFont"/>
    <w:link w:val="Title"/>
    <w:uiPriority w:val="10"/>
    <w:rsid w:val="00C8358A"/>
    <w:rPr>
      <w:rFonts w:ascii="Montserrat" w:eastAsiaTheme="majorEastAsia" w:hAnsi="Montserrat" w:cstheme="majorBidi"/>
      <w:b/>
      <w:spacing w:val="-10"/>
      <w:w w:val="90"/>
      <w:kern w:val="28"/>
      <w:sz w:val="58"/>
      <w:szCs w:val="58"/>
    </w:rPr>
  </w:style>
  <w:style w:type="paragraph" w:styleId="Subtitle">
    <w:name w:val="Subtitle"/>
    <w:basedOn w:val="Normal0"/>
    <w:next w:val="Normal0"/>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0"/>
    <w:uiPriority w:val="39"/>
    <w:unhideWhenUsed/>
    <w:qFormat/>
    <w:rsid w:val="009F5A83"/>
    <w:p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0"/>
    <w:uiPriority w:val="9"/>
    <w:rsid w:val="00911F03"/>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0"/>
    <w:next w:val="Normal0"/>
    <w:autoRedefine/>
    <w:uiPriority w:val="39"/>
    <w:unhideWhenUsed/>
    <w:rsid w:val="00E30B82"/>
    <w:pPr>
      <w:tabs>
        <w:tab w:val="left" w:pos="425"/>
        <w:tab w:val="right" w:pos="9016"/>
      </w:tabs>
      <w:spacing w:before="160" w:after="60"/>
    </w:pPr>
    <w:rPr>
      <w:rFonts w:ascii="Montserrat" w:hAnsi="Montserrat"/>
      <w:b/>
      <w:bCs/>
      <w:noProof/>
      <w:color w:val="2F5496"/>
      <w:w w:val="90"/>
      <w:sz w:val="23"/>
    </w:rPr>
  </w:style>
  <w:style w:type="paragraph" w:styleId="TOC2">
    <w:name w:val="toc 2"/>
    <w:basedOn w:val="Normal0"/>
    <w:next w:val="Normal0"/>
    <w:autoRedefine/>
    <w:uiPriority w:val="39"/>
    <w:unhideWhenUsed/>
    <w:rsid w:val="00605773"/>
    <w:pPr>
      <w:tabs>
        <w:tab w:val="right" w:pos="9016"/>
      </w:tabs>
      <w:spacing w:before="60" w:after="60"/>
      <w:ind w:left="425"/>
    </w:pPr>
    <w:rPr>
      <w:rFonts w:eastAsiaTheme="majorEastAsia" w:cstheme="minorHAnsi"/>
      <w:noProof/>
    </w:rPr>
  </w:style>
  <w:style w:type="paragraph" w:styleId="TOC3">
    <w:name w:val="toc 3"/>
    <w:basedOn w:val="Normal0"/>
    <w:next w:val="Normal0"/>
    <w:autoRedefine/>
    <w:uiPriority w:val="39"/>
    <w:unhideWhenUsed/>
    <w:rsid w:val="00414737"/>
    <w:pPr>
      <w:tabs>
        <w:tab w:val="right" w:pos="9016"/>
      </w:tabs>
      <w:spacing w:before="60" w:after="60"/>
      <w:ind w:left="709"/>
    </w:pPr>
    <w:rPr>
      <w:rFonts w:eastAsia="Aptos"/>
      <w:noProof/>
      <w:lang w:val="en-US"/>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0"/>
    <w:uiPriority w:val="99"/>
    <w:unhideWhenUsed/>
    <w:qFormat/>
    <w:rsid w:val="00A23A3E"/>
    <w:pPr>
      <w:spacing w:after="40"/>
    </w:pPr>
  </w:style>
  <w:style w:type="paragraph" w:styleId="Header">
    <w:name w:val="header"/>
    <w:basedOn w:val="Normal0"/>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0"/>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customStyle="1" w:styleId="UnresolvedMention1">
    <w:name w:val="Unresolved Mention1"/>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uiPriority w:val="99"/>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0"/>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5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0"/>
    <w:uiPriority w:val="99"/>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0"/>
    <w:link w:val="Heading1nonumberChar"/>
    <w:autoRedefine/>
    <w:qFormat/>
    <w:rsid w:val="009F5A83"/>
  </w:style>
  <w:style w:type="character" w:customStyle="1" w:styleId="Heading1nonumberChar">
    <w:name w:val="Heading 1 (no number) Char"/>
    <w:basedOn w:val="Heading1Char"/>
    <w:link w:val="Heading1nonumber"/>
    <w:rsid w:val="00ED3906"/>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A146A0"/>
    <w:pPr>
      <w:spacing w:before="120" w:after="120"/>
      <w:ind w:left="0"/>
      <w:contextualSpacing w:val="0"/>
    </w:pPr>
  </w:style>
  <w:style w:type="paragraph" w:styleId="ListBullet2">
    <w:name w:val="List Bullet 2"/>
    <w:basedOn w:val="ListParagraph"/>
    <w:uiPriority w:val="99"/>
    <w:unhideWhenUsed/>
    <w:rsid w:val="00A146A0"/>
    <w:pPr>
      <w:spacing w:before="120" w:after="120"/>
      <w:ind w:left="0"/>
      <w:contextualSpacing w:val="0"/>
    </w:pPr>
  </w:style>
  <w:style w:type="paragraph" w:styleId="ListBullet3">
    <w:name w:val="List Bullet 3"/>
    <w:basedOn w:val="ListParagraph"/>
    <w:uiPriority w:val="99"/>
    <w:unhideWhenUsed/>
    <w:rsid w:val="00A146A0"/>
    <w:pPr>
      <w:spacing w:before="120" w:after="120"/>
      <w:ind w:left="0"/>
      <w:contextualSpacing w:val="0"/>
    </w:pPr>
  </w:style>
  <w:style w:type="paragraph" w:styleId="ListParagraph">
    <w:name w:val="List Paragraph"/>
    <w:aliases w:val="List Paragraph1,List Paragraph11,Recommendation,Bullet point,L,List Paragraph111,F5 List Paragraph,Dot pt,CV text,Table text,Medium Grid 1 - Accent 21,Numbered Paragraph,List Paragraph2,NFP GP Bulleted List,FooterText,列出段,列出,列,lp1,numbere"/>
    <w:basedOn w:val="Normal0"/>
    <w:link w:val="ListParagraphChar"/>
    <w:uiPriority w:val="34"/>
    <w:qFormat/>
    <w:rsid w:val="005D0971"/>
    <w:pPr>
      <w:spacing w:after="80"/>
      <w:ind w:left="720"/>
      <w:contextualSpacing/>
    </w:pPr>
  </w:style>
  <w:style w:type="paragraph" w:styleId="ListBullet4">
    <w:name w:val="List Bullet 4"/>
    <w:basedOn w:val="ListParagraph"/>
    <w:uiPriority w:val="99"/>
    <w:unhideWhenUsed/>
    <w:rsid w:val="00A146A0"/>
    <w:pPr>
      <w:spacing w:before="120" w:after="120"/>
      <w:ind w:left="0"/>
      <w:contextualSpacing w:val="0"/>
    </w:pPr>
  </w:style>
  <w:style w:type="paragraph" w:styleId="ListBullet5">
    <w:name w:val="List Bullet 5"/>
    <w:basedOn w:val="ListParagraph"/>
    <w:uiPriority w:val="99"/>
    <w:unhideWhenUsed/>
    <w:rsid w:val="00A146A0"/>
    <w:pPr>
      <w:spacing w:before="120" w:after="120"/>
      <w:ind w:left="0"/>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uiPriority w:val="99"/>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qFormat/>
    <w:rsid w:val="00F873F4"/>
    <w:pPr>
      <w:spacing w:after="0" w:line="240" w:lineRule="auto"/>
    </w:pPr>
  </w:style>
  <w:style w:type="paragraph" w:styleId="ListNumber2">
    <w:name w:val="List Number 2"/>
    <w:basedOn w:val="Normal0"/>
    <w:uiPriority w:val="99"/>
    <w:unhideWhenUsed/>
    <w:qFormat/>
    <w:rsid w:val="00DE56A4"/>
    <w:p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0"/>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1C7708"/>
    <w:pPr>
      <w:adjustRightInd w:val="0"/>
      <w:spacing w:before="80" w:after="80" w:line="240" w:lineRule="auto"/>
    </w:pPr>
    <w:rPr>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2F5496"/>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uiPriority w:val="99"/>
    <w:qFormat/>
    <w:rsid w:val="001C7708"/>
    <w:pPr>
      <w:adjustRightInd w:val="0"/>
      <w:spacing w:before="80" w:after="80" w:line="240" w:lineRule="auto"/>
    </w:pPr>
    <w:rPr>
      <w:rFonts w:ascii="Calibri" w:hAnsi="Calibri" w:cstheme="minorHAnsi"/>
      <w:b/>
      <w:bCs/>
      <w:color w:val="2F5496"/>
      <w:sz w:val="20"/>
      <w:szCs w:val="20"/>
    </w:rPr>
  </w:style>
  <w:style w:type="paragraph" w:customStyle="1" w:styleId="Tablebody">
    <w:name w:val="Table body"/>
    <w:basedOn w:val="ListNumber3"/>
    <w:uiPriority w:val="99"/>
    <w:qFormat/>
    <w:rsid w:val="001C7708"/>
    <w:pPr>
      <w:adjustRightInd w:val="0"/>
      <w:spacing w:after="80" w:line="240" w:lineRule="auto"/>
    </w:pPr>
    <w:rPr>
      <w:sz w:val="20"/>
    </w:rPr>
  </w:style>
  <w:style w:type="paragraph" w:styleId="Caption">
    <w:name w:val="caption"/>
    <w:basedOn w:val="Normal0"/>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0"/>
    <w:uiPriority w:val="99"/>
    <w:rsid w:val="00B7541C"/>
  </w:style>
  <w:style w:type="paragraph" w:customStyle="1" w:styleId="FrontmatterRecommendationlistbody">
    <w:name w:val="Front matter (Recommendation list body)"/>
    <w:basedOn w:val="Normal0"/>
    <w:uiPriority w:val="99"/>
    <w:rsid w:val="00976637"/>
    <w:pPr>
      <w:spacing w:before="120" w:after="120" w:line="252" w:lineRule="auto"/>
    </w:pPr>
    <w:rPr>
      <w:color w:val="000000" w:themeColor="text1"/>
    </w:rPr>
  </w:style>
  <w:style w:type="paragraph" w:customStyle="1" w:styleId="Recommendationbody">
    <w:name w:val="Recommendation body"/>
    <w:basedOn w:val="Normal0"/>
    <w:next w:val="ListNumber2"/>
    <w:uiPriority w:val="99"/>
    <w:rsid w:val="00B7541C"/>
    <w:pPr>
      <w:spacing w:before="120" w:after="120"/>
    </w:pPr>
  </w:style>
  <w:style w:type="table" w:customStyle="1" w:styleId="Recommendationbox">
    <w:name w:val="Recommendation box"/>
    <w:basedOn w:val="TableNormal"/>
    <w:uiPriority w:val="99"/>
    <w:rsid w:val="009A2EDC"/>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0"/>
    <w:link w:val="FootnoteTextChar"/>
    <w:uiPriority w:val="99"/>
    <w:unhideWhenUsed/>
    <w:rsid w:val="00EB3179"/>
    <w:pPr>
      <w:spacing w:after="0" w:line="240" w:lineRule="auto"/>
      <w:ind w:left="142" w:hanging="142"/>
    </w:pPr>
    <w:rPr>
      <w:sz w:val="20"/>
      <w:szCs w:val="20"/>
    </w:rPr>
  </w:style>
  <w:style w:type="character" w:customStyle="1" w:styleId="FootnoteTextChar">
    <w:name w:val="Footnote Text Char"/>
    <w:basedOn w:val="DefaultParagraphFont"/>
    <w:link w:val="FootnoteText"/>
    <w:uiPriority w:val="99"/>
    <w:rsid w:val="00EB3179"/>
    <w:rPr>
      <w:sz w:val="20"/>
      <w:szCs w:val="20"/>
    </w:rPr>
  </w:style>
  <w:style w:type="character" w:styleId="FootnoteReference">
    <w:name w:val="footnote reference"/>
    <w:aliases w:val="Footnote number,Footnotes refss"/>
    <w:basedOn w:val="DefaultParagraphFont"/>
    <w:uiPriority w:val="99"/>
    <w:unhideWhenUsed/>
    <w:rsid w:val="00EB3179"/>
    <w:rPr>
      <w:vertAlign w:val="superscript"/>
    </w:rPr>
  </w:style>
  <w:style w:type="paragraph" w:styleId="List2">
    <w:name w:val="List 2"/>
    <w:basedOn w:val="Normal0"/>
    <w:uiPriority w:val="99"/>
    <w:semiHidden/>
    <w:unhideWhenUsed/>
    <w:rsid w:val="001B2622"/>
    <w:pPr>
      <w:ind w:left="566" w:hanging="283"/>
      <w:contextualSpacing/>
    </w:pPr>
  </w:style>
  <w:style w:type="character" w:customStyle="1" w:styleId="ListParagraphChar">
    <w:name w:val="List Paragraph Char"/>
    <w:aliases w:val="List Paragraph1 Char,List Paragraph11 Char,Recommendation Char,Bullet point Char,L Char,List Paragraph111 Char,F5 List Paragraph Char,Dot pt Char,CV text Char,Table text Char,Medium Grid 1 - Accent 21 Char,Numbered Paragraph Char"/>
    <w:link w:val="ListParagraph"/>
    <w:uiPriority w:val="34"/>
    <w:qFormat/>
    <w:locked/>
    <w:rsid w:val="00BF3890"/>
  </w:style>
  <w:style w:type="character" w:styleId="FollowedHyperlink">
    <w:name w:val="FollowedHyperlink"/>
    <w:basedOn w:val="DefaultParagraphFont"/>
    <w:uiPriority w:val="99"/>
    <w:semiHidden/>
    <w:unhideWhenUsed/>
    <w:rsid w:val="00250DD6"/>
    <w:rPr>
      <w:color w:val="954F72" w:themeColor="followedHyperlink"/>
      <w:u w:val="single"/>
    </w:rPr>
  </w:style>
  <w:style w:type="character" w:styleId="UnresolvedMention">
    <w:name w:val="Unresolved Mention"/>
    <w:basedOn w:val="DefaultParagraphFont"/>
    <w:uiPriority w:val="99"/>
    <w:semiHidden/>
    <w:unhideWhenUsed/>
    <w:rsid w:val="00186961"/>
    <w:rPr>
      <w:color w:val="605E5C"/>
      <w:shd w:val="clear" w:color="auto" w:fill="E1DFDD"/>
    </w:rPr>
  </w:style>
  <w:style w:type="character" w:customStyle="1" w:styleId="Heading6Char">
    <w:name w:val="Heading 6 Char"/>
    <w:basedOn w:val="DefaultParagraphFont"/>
    <w:link w:val="Heading6"/>
    <w:uiPriority w:val="9"/>
    <w:semiHidden/>
    <w:rsid w:val="0050715F"/>
    <w:rPr>
      <w:rFonts w:asciiTheme="majorHAnsi" w:eastAsiaTheme="majorEastAsia" w:hAnsiTheme="majorHAnsi" w:cstheme="majorBidi"/>
      <w:color w:val="1F3763" w:themeColor="accent1" w:themeShade="7F"/>
    </w:rPr>
  </w:style>
  <w:style w:type="paragraph" w:customStyle="1" w:styleId="Bodycopy">
    <w:name w:val="Body copy"/>
    <w:qFormat/>
    <w:rsid w:val="0050715F"/>
    <w:pPr>
      <w:widowControl w:val="0"/>
      <w:tabs>
        <w:tab w:val="left" w:pos="1276"/>
      </w:tabs>
      <w:spacing w:before="240" w:after="240" w:line="300" w:lineRule="exact"/>
    </w:pPr>
    <w:rPr>
      <w:rFonts w:ascii="Calibri" w:eastAsia="Calibri" w:hAnsi="Calibri" w:cs="Calibri"/>
      <w:color w:val="000000"/>
      <w:szCs w:val="20"/>
      <w:lang w:eastAsia="en-AU"/>
    </w:rPr>
  </w:style>
  <w:style w:type="paragraph" w:customStyle="1" w:styleId="Paper">
    <w:name w:val="Paper"/>
    <w:uiPriority w:val="99"/>
    <w:rsid w:val="00716E75"/>
    <w:pPr>
      <w:spacing w:after="120" w:line="240" w:lineRule="auto"/>
    </w:pPr>
    <w:rPr>
      <w:rFonts w:ascii="Times New Roman" w:eastAsia="Times New Roman" w:hAnsi="Times New Roman" w:cs="Times New Roman"/>
      <w:sz w:val="24"/>
      <w:szCs w:val="20"/>
    </w:rPr>
  </w:style>
  <w:style w:type="paragraph" w:styleId="EndnoteText">
    <w:name w:val="endnote text"/>
    <w:basedOn w:val="Normal0"/>
    <w:link w:val="EndnoteTextChar"/>
    <w:uiPriority w:val="99"/>
    <w:semiHidden/>
    <w:unhideWhenUsed/>
    <w:rsid w:val="00E479E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479EA"/>
    <w:rPr>
      <w:sz w:val="20"/>
      <w:szCs w:val="20"/>
    </w:rPr>
  </w:style>
  <w:style w:type="character" w:styleId="EndnoteReference">
    <w:name w:val="endnote reference"/>
    <w:basedOn w:val="DefaultParagraphFont"/>
    <w:uiPriority w:val="99"/>
    <w:semiHidden/>
    <w:unhideWhenUsed/>
    <w:rsid w:val="00E479EA"/>
    <w:rPr>
      <w:vertAlign w:val="superscript"/>
    </w:rPr>
  </w:style>
  <w:style w:type="paragraph" w:styleId="PlainText">
    <w:name w:val="Plain Text"/>
    <w:basedOn w:val="Normal0"/>
    <w:link w:val="PlainTextChar"/>
    <w:uiPriority w:val="99"/>
    <w:unhideWhenUsed/>
    <w:rsid w:val="00552B10"/>
    <w:pPr>
      <w:spacing w:before="220"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552B10"/>
    <w:rPr>
      <w:rFonts w:ascii="Consolas" w:hAnsi="Consolas" w:cs="Consolas"/>
      <w:sz w:val="21"/>
      <w:szCs w:val="21"/>
    </w:rPr>
  </w:style>
  <w:style w:type="paragraph" w:customStyle="1" w:styleId="LongTitle">
    <w:name w:val="LongTitle"/>
    <w:basedOn w:val="Normal0"/>
    <w:uiPriority w:val="99"/>
    <w:rsid w:val="00552B10"/>
    <w:pPr>
      <w:spacing w:before="240" w:after="60" w:line="240" w:lineRule="auto"/>
      <w:jc w:val="both"/>
    </w:pPr>
    <w:rPr>
      <w:rFonts w:ascii="Times New Roman" w:eastAsia="Times New Roman" w:hAnsi="Times New Roman" w:cs="Times New Roman"/>
      <w:sz w:val="24"/>
      <w:szCs w:val="24"/>
    </w:rPr>
  </w:style>
  <w:style w:type="paragraph" w:styleId="NormalWeb">
    <w:name w:val="Normal (Web)"/>
    <w:basedOn w:val="Normal0"/>
    <w:uiPriority w:val="99"/>
    <w:unhideWhenUsed/>
    <w:rsid w:val="00552B10"/>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Header1">
    <w:name w:val="Header1"/>
    <w:basedOn w:val="Normal0"/>
    <w:uiPriority w:val="99"/>
    <w:rsid w:val="00552B10"/>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MSCBodyChar">
    <w:name w:val="MSC Body Char"/>
    <w:basedOn w:val="DefaultParagraphFont"/>
    <w:link w:val="MSCBody"/>
    <w:locked/>
    <w:rsid w:val="00552B10"/>
    <w:rPr>
      <w:rFonts w:ascii="Calibri Light" w:eastAsiaTheme="majorEastAsia" w:hAnsi="Calibri Light" w:cs="Calibri Light"/>
      <w:szCs w:val="24"/>
    </w:rPr>
  </w:style>
  <w:style w:type="paragraph" w:customStyle="1" w:styleId="MSCBody">
    <w:name w:val="MSC Body"/>
    <w:link w:val="MSCBodyChar"/>
    <w:qFormat/>
    <w:rsid w:val="00552B10"/>
    <w:pPr>
      <w:spacing w:before="120" w:after="120" w:line="276" w:lineRule="auto"/>
    </w:pPr>
    <w:rPr>
      <w:rFonts w:ascii="Calibri Light" w:eastAsiaTheme="majorEastAsia" w:hAnsi="Calibri Light" w:cs="Calibri Light"/>
      <w:szCs w:val="24"/>
    </w:rPr>
  </w:style>
  <w:style w:type="paragraph" w:customStyle="1" w:styleId="CS-Paragraphnumbering">
    <w:name w:val="CS - Paragraph numbering"/>
    <w:basedOn w:val="Normal0"/>
    <w:uiPriority w:val="99"/>
    <w:rsid w:val="00552B10"/>
    <w:pPr>
      <w:numPr>
        <w:numId w:val="1"/>
      </w:numPr>
      <w:spacing w:after="120" w:line="276" w:lineRule="auto"/>
      <w:ind w:right="-45"/>
    </w:pPr>
    <w:rPr>
      <w:sz w:val="24"/>
      <w:szCs w:val="24"/>
    </w:rPr>
  </w:style>
  <w:style w:type="paragraph" w:customStyle="1" w:styleId="Asubpara">
    <w:name w:val="A subpara"/>
    <w:basedOn w:val="Normal0"/>
    <w:uiPriority w:val="99"/>
    <w:rsid w:val="00552B10"/>
    <w:pPr>
      <w:tabs>
        <w:tab w:val="num" w:pos="2140"/>
      </w:tabs>
      <w:spacing w:before="140" w:after="0" w:line="240" w:lineRule="auto"/>
      <w:ind w:left="2140" w:hanging="200"/>
      <w:jc w:val="both"/>
      <w:outlineLvl w:val="7"/>
    </w:pPr>
    <w:rPr>
      <w:rFonts w:ascii="Times New Roman" w:eastAsia="Times New Roman" w:hAnsi="Times New Roman" w:cs="Times New Roman"/>
      <w:sz w:val="24"/>
      <w:szCs w:val="20"/>
    </w:rPr>
  </w:style>
  <w:style w:type="paragraph" w:customStyle="1" w:styleId="Amain">
    <w:name w:val="A main"/>
    <w:basedOn w:val="Normal0"/>
    <w:link w:val="AmainChar"/>
    <w:rsid w:val="00552B10"/>
    <w:pPr>
      <w:tabs>
        <w:tab w:val="right" w:pos="900"/>
        <w:tab w:val="left" w:pos="1100"/>
      </w:tabs>
      <w:spacing w:before="140" w:after="0" w:line="240" w:lineRule="auto"/>
      <w:ind w:left="1100" w:hanging="1100"/>
      <w:jc w:val="both"/>
      <w:outlineLvl w:val="5"/>
    </w:pPr>
    <w:rPr>
      <w:rFonts w:ascii="Times New Roman" w:eastAsia="Times New Roman" w:hAnsi="Times New Roman" w:cs="Times New Roman"/>
      <w:sz w:val="24"/>
      <w:szCs w:val="20"/>
    </w:rPr>
  </w:style>
  <w:style w:type="paragraph" w:customStyle="1" w:styleId="Apara">
    <w:name w:val="A para"/>
    <w:basedOn w:val="Normal0"/>
    <w:link w:val="AparaChar"/>
    <w:rsid w:val="00552B10"/>
    <w:pPr>
      <w:tabs>
        <w:tab w:val="right" w:pos="1400"/>
        <w:tab w:val="left" w:pos="1600"/>
      </w:tabs>
      <w:spacing w:before="140" w:after="0" w:line="240" w:lineRule="auto"/>
      <w:ind w:left="1600" w:hanging="1600"/>
      <w:jc w:val="both"/>
      <w:outlineLvl w:val="6"/>
    </w:pPr>
    <w:rPr>
      <w:rFonts w:ascii="Times New Roman" w:eastAsia="Times New Roman" w:hAnsi="Times New Roman" w:cs="Times New Roman"/>
      <w:sz w:val="24"/>
      <w:szCs w:val="20"/>
    </w:rPr>
  </w:style>
  <w:style w:type="paragraph" w:customStyle="1" w:styleId="AH5Sec">
    <w:name w:val="A H5 Sec"/>
    <w:basedOn w:val="Normal0"/>
    <w:next w:val="Amain"/>
    <w:link w:val="AH5SecChar"/>
    <w:rsid w:val="00552B10"/>
    <w:pPr>
      <w:keepNext/>
      <w:tabs>
        <w:tab w:val="left" w:pos="1100"/>
      </w:tabs>
      <w:spacing w:before="240" w:after="0" w:line="240" w:lineRule="auto"/>
      <w:ind w:left="1100" w:hanging="1100"/>
      <w:outlineLvl w:val="4"/>
    </w:pPr>
    <w:rPr>
      <w:rFonts w:ascii="Arial" w:eastAsia="Times New Roman" w:hAnsi="Arial" w:cs="Times New Roman"/>
      <w:b/>
      <w:sz w:val="24"/>
      <w:szCs w:val="20"/>
    </w:rPr>
  </w:style>
  <w:style w:type="character" w:customStyle="1" w:styleId="CharSectNo">
    <w:name w:val="CharSectNo"/>
    <w:basedOn w:val="DefaultParagraphFont"/>
    <w:rsid w:val="00552B10"/>
  </w:style>
  <w:style w:type="character" w:customStyle="1" w:styleId="charBoldItals">
    <w:name w:val="charBoldItals"/>
    <w:basedOn w:val="DefaultParagraphFont"/>
    <w:rsid w:val="00552B10"/>
    <w:rPr>
      <w:b/>
      <w:i/>
    </w:rPr>
  </w:style>
  <w:style w:type="character" w:customStyle="1" w:styleId="AH5SecChar">
    <w:name w:val="A H5 Sec Char"/>
    <w:basedOn w:val="DefaultParagraphFont"/>
    <w:link w:val="AH5Sec"/>
    <w:locked/>
    <w:rsid w:val="00552B10"/>
    <w:rPr>
      <w:rFonts w:ascii="Arial" w:eastAsia="Times New Roman" w:hAnsi="Arial" w:cs="Times New Roman"/>
      <w:b/>
      <w:sz w:val="24"/>
      <w:szCs w:val="20"/>
    </w:rPr>
  </w:style>
  <w:style w:type="paragraph" w:customStyle="1" w:styleId="normalweb0">
    <w:name w:val="normalweb"/>
    <w:basedOn w:val="Normal0"/>
    <w:uiPriority w:val="99"/>
    <w:rsid w:val="00552B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ading2">
    <w:name w:val="Heading 2 #"/>
    <w:basedOn w:val="Heading20"/>
    <w:uiPriority w:val="99"/>
    <w:qFormat/>
    <w:rsid w:val="00552B10"/>
    <w:pPr>
      <w:keepLines w:val="0"/>
      <w:numPr>
        <w:numId w:val="2"/>
      </w:numPr>
      <w:autoSpaceDE w:val="0"/>
      <w:autoSpaceDN w:val="0"/>
      <w:adjustRightInd w:val="0"/>
      <w:spacing w:after="200" w:line="312" w:lineRule="auto"/>
      <w:ind w:left="709" w:hanging="709"/>
      <w:textAlignment w:val="center"/>
    </w:pPr>
    <w:rPr>
      <w:rFonts w:ascii="Calibri" w:eastAsiaTheme="minorHAnsi" w:hAnsi="Calibri" w:cs="Calibri"/>
      <w:color w:val="004A8B"/>
      <w:w w:val="100"/>
      <w:kern w:val="0"/>
      <w:sz w:val="40"/>
      <w:szCs w:val="48"/>
      <w:lang w:val="en-US"/>
    </w:rPr>
  </w:style>
  <w:style w:type="paragraph" w:customStyle="1" w:styleId="Normal">
    <w:name w:val="Normal #"/>
    <w:basedOn w:val="Normal0"/>
    <w:uiPriority w:val="99"/>
    <w:qFormat/>
    <w:rsid w:val="00552B10"/>
    <w:pPr>
      <w:numPr>
        <w:numId w:val="3"/>
      </w:numPr>
      <w:autoSpaceDE w:val="0"/>
      <w:autoSpaceDN w:val="0"/>
      <w:adjustRightInd w:val="0"/>
      <w:spacing w:before="60" w:after="60" w:line="276" w:lineRule="auto"/>
      <w:textAlignment w:val="center"/>
    </w:pPr>
    <w:rPr>
      <w:rFonts w:ascii="Calibri" w:hAnsi="Calibri" w:cs="Calibri"/>
      <w:color w:val="000000"/>
      <w:sz w:val="24"/>
      <w:szCs w:val="24"/>
    </w:rPr>
  </w:style>
  <w:style w:type="paragraph" w:styleId="BodyText">
    <w:name w:val="Body Text"/>
    <w:basedOn w:val="Normal0"/>
    <w:link w:val="BodyTextChar"/>
    <w:uiPriority w:val="1"/>
    <w:qFormat/>
    <w:rsid w:val="00552B10"/>
    <w:pPr>
      <w:widowControl w:val="0"/>
      <w:autoSpaceDE w:val="0"/>
      <w:autoSpaceDN w:val="0"/>
      <w:adjustRightInd w:val="0"/>
      <w:spacing w:after="0" w:line="240" w:lineRule="auto"/>
    </w:pPr>
    <w:rPr>
      <w:rFonts w:ascii="Montserrat" w:eastAsiaTheme="minorEastAsia" w:hAnsi="Montserrat" w:cs="Montserrat"/>
      <w:sz w:val="15"/>
      <w:szCs w:val="15"/>
      <w:lang w:eastAsia="en-AU"/>
    </w:rPr>
  </w:style>
  <w:style w:type="character" w:customStyle="1" w:styleId="BodyTextChar">
    <w:name w:val="Body Text Char"/>
    <w:basedOn w:val="DefaultParagraphFont"/>
    <w:link w:val="BodyText"/>
    <w:uiPriority w:val="1"/>
    <w:rsid w:val="00552B10"/>
    <w:rPr>
      <w:rFonts w:ascii="Montserrat" w:eastAsiaTheme="minorEastAsia" w:hAnsi="Montserrat" w:cs="Montserrat"/>
      <w:sz w:val="15"/>
      <w:szCs w:val="15"/>
      <w:lang w:eastAsia="en-AU"/>
    </w:rPr>
  </w:style>
  <w:style w:type="paragraph" w:customStyle="1" w:styleId="Ipara">
    <w:name w:val="I para"/>
    <w:basedOn w:val="Apara"/>
    <w:uiPriority w:val="99"/>
    <w:rsid w:val="00552B10"/>
    <w:pPr>
      <w:outlineLvl w:val="9"/>
    </w:pPr>
  </w:style>
  <w:style w:type="paragraph" w:customStyle="1" w:styleId="Amainreturn">
    <w:name w:val="A main return"/>
    <w:basedOn w:val="Normal0"/>
    <w:link w:val="AmainreturnChar"/>
    <w:uiPriority w:val="99"/>
    <w:rsid w:val="00552B10"/>
    <w:pPr>
      <w:spacing w:before="140" w:after="0" w:line="240" w:lineRule="auto"/>
      <w:ind w:left="1100"/>
      <w:jc w:val="both"/>
    </w:pPr>
    <w:rPr>
      <w:rFonts w:ascii="Times New Roman" w:eastAsia="Times New Roman" w:hAnsi="Times New Roman" w:cs="Times New Roman"/>
      <w:sz w:val="24"/>
      <w:szCs w:val="20"/>
    </w:rPr>
  </w:style>
  <w:style w:type="paragraph" w:customStyle="1" w:styleId="aNote">
    <w:name w:val="aNote"/>
    <w:basedOn w:val="Normal0"/>
    <w:link w:val="aNoteChar"/>
    <w:rsid w:val="00552B10"/>
    <w:pPr>
      <w:spacing w:before="140" w:after="0" w:line="240" w:lineRule="auto"/>
      <w:ind w:left="1900" w:hanging="800"/>
      <w:jc w:val="both"/>
    </w:pPr>
    <w:rPr>
      <w:rFonts w:ascii="Times New Roman" w:eastAsia="Times New Roman" w:hAnsi="Times New Roman" w:cs="Times New Roman"/>
      <w:sz w:val="20"/>
      <w:szCs w:val="20"/>
    </w:rPr>
  </w:style>
  <w:style w:type="paragraph" w:customStyle="1" w:styleId="IH5Sec">
    <w:name w:val="I H5 Sec"/>
    <w:basedOn w:val="Normal0"/>
    <w:next w:val="Normal0"/>
    <w:uiPriority w:val="99"/>
    <w:rsid w:val="00552B10"/>
    <w:pPr>
      <w:keepNext/>
      <w:tabs>
        <w:tab w:val="left" w:pos="1100"/>
      </w:tabs>
      <w:spacing w:before="240" w:after="0" w:line="240" w:lineRule="auto"/>
      <w:ind w:left="1100" w:hanging="1100"/>
    </w:pPr>
    <w:rPr>
      <w:rFonts w:ascii="Arial" w:eastAsia="Times New Roman" w:hAnsi="Arial" w:cs="Times New Roman"/>
      <w:b/>
      <w:sz w:val="24"/>
      <w:szCs w:val="20"/>
    </w:rPr>
  </w:style>
  <w:style w:type="character" w:customStyle="1" w:styleId="charItals">
    <w:name w:val="charItals"/>
    <w:basedOn w:val="DefaultParagraphFont"/>
    <w:rsid w:val="00552B10"/>
    <w:rPr>
      <w:i/>
    </w:rPr>
  </w:style>
  <w:style w:type="character" w:customStyle="1" w:styleId="aNoteChar">
    <w:name w:val="aNote Char"/>
    <w:basedOn w:val="DefaultParagraphFont"/>
    <w:link w:val="aNote"/>
    <w:locked/>
    <w:rsid w:val="00552B10"/>
    <w:rPr>
      <w:rFonts w:ascii="Times New Roman" w:eastAsia="Times New Roman" w:hAnsi="Times New Roman" w:cs="Times New Roman"/>
      <w:sz w:val="20"/>
      <w:szCs w:val="20"/>
    </w:rPr>
  </w:style>
  <w:style w:type="character" w:customStyle="1" w:styleId="charCitHyperlinkAbbrev">
    <w:name w:val="charCitHyperlinkAbbrev"/>
    <w:basedOn w:val="Hyperlink"/>
    <w:uiPriority w:val="1"/>
    <w:rsid w:val="00552B10"/>
    <w:rPr>
      <w:color w:val="0563C1" w:themeColor="hyperlink"/>
      <w:u w:val="none"/>
    </w:rPr>
  </w:style>
  <w:style w:type="paragraph" w:customStyle="1" w:styleId="tablenormal0">
    <w:name w:val="table normal"/>
    <w:basedOn w:val="Normal0"/>
    <w:uiPriority w:val="99"/>
    <w:rsid w:val="00552B10"/>
    <w:pPr>
      <w:spacing w:before="80" w:after="80" w:line="240" w:lineRule="auto"/>
    </w:pPr>
    <w:rPr>
      <w:rFonts w:ascii="Times New Roman" w:eastAsia="Times New Roman" w:hAnsi="Times New Roman" w:cs="Times New Roman"/>
    </w:rPr>
  </w:style>
  <w:style w:type="paragraph" w:styleId="BodyTextIndent2">
    <w:name w:val="Body Text Indent 2"/>
    <w:basedOn w:val="Normal0"/>
    <w:link w:val="BodyTextIndent2Char"/>
    <w:uiPriority w:val="99"/>
    <w:semiHidden/>
    <w:unhideWhenUsed/>
    <w:rsid w:val="00552B10"/>
    <w:pPr>
      <w:spacing w:after="120" w:line="480" w:lineRule="auto"/>
      <w:ind w:left="283"/>
    </w:pPr>
  </w:style>
  <w:style w:type="character" w:customStyle="1" w:styleId="BodyTextIndent2Char">
    <w:name w:val="Body Text Indent 2 Char"/>
    <w:basedOn w:val="DefaultParagraphFont"/>
    <w:link w:val="BodyTextIndent2"/>
    <w:uiPriority w:val="99"/>
    <w:semiHidden/>
    <w:rsid w:val="00552B10"/>
  </w:style>
  <w:style w:type="paragraph" w:customStyle="1" w:styleId="default">
    <w:name w:val="default"/>
    <w:basedOn w:val="Normal0"/>
    <w:uiPriority w:val="99"/>
    <w:rsid w:val="00552B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ading4nonumber">
    <w:name w:val="Heading 4 no number"/>
    <w:next w:val="Normal0"/>
    <w:uiPriority w:val="99"/>
    <w:rsid w:val="00552B10"/>
    <w:pPr>
      <w:keepNext/>
      <w:widowControl w:val="0"/>
      <w:spacing w:after="0" w:line="240" w:lineRule="auto"/>
    </w:pPr>
    <w:rPr>
      <w:rFonts w:ascii="Arial Narrow" w:eastAsia="Calibri" w:hAnsi="Arial Narrow" w:cs="Arial Narrow"/>
      <w:smallCaps/>
      <w:sz w:val="26"/>
      <w:szCs w:val="26"/>
    </w:rPr>
  </w:style>
  <w:style w:type="paragraph" w:customStyle="1" w:styleId="Default0">
    <w:name w:val="Default"/>
    <w:uiPriority w:val="99"/>
    <w:rsid w:val="00552B10"/>
    <w:pPr>
      <w:autoSpaceDE w:val="0"/>
      <w:autoSpaceDN w:val="0"/>
      <w:adjustRightInd w:val="0"/>
      <w:spacing w:after="0" w:line="240" w:lineRule="auto"/>
    </w:pPr>
    <w:rPr>
      <w:rFonts w:ascii="Arial Narrow" w:eastAsia="Times New Roman" w:hAnsi="Arial Narrow" w:cs="Arial Narrow"/>
      <w:color w:val="000000"/>
      <w:sz w:val="24"/>
      <w:szCs w:val="24"/>
      <w:lang w:eastAsia="en-AU"/>
    </w:rPr>
  </w:style>
  <w:style w:type="paragraph" w:customStyle="1" w:styleId="normalweb00">
    <w:name w:val="normalweb0"/>
    <w:basedOn w:val="Normal0"/>
    <w:uiPriority w:val="99"/>
    <w:rsid w:val="00552B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paragraph0">
    <w:name w:val="listparagraph"/>
    <w:basedOn w:val="Normal0"/>
    <w:uiPriority w:val="99"/>
    <w:rsid w:val="00552B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01Contents">
    <w:name w:val="01Contents"/>
    <w:basedOn w:val="Normal0"/>
    <w:uiPriority w:val="99"/>
    <w:rsid w:val="00552B10"/>
    <w:pPr>
      <w:tabs>
        <w:tab w:val="left" w:pos="2880"/>
      </w:tabs>
      <w:overflowPunct w:val="0"/>
      <w:autoSpaceDE w:val="0"/>
      <w:autoSpaceDN w:val="0"/>
      <w:adjustRightInd w:val="0"/>
      <w:spacing w:after="0" w:line="240" w:lineRule="auto"/>
      <w:textAlignment w:val="baseline"/>
    </w:pPr>
    <w:rPr>
      <w:rFonts w:ascii="Arial" w:eastAsia="Times New Roman" w:hAnsi="Arial" w:cs="Times New Roman"/>
      <w:sz w:val="24"/>
      <w:szCs w:val="24"/>
    </w:rPr>
  </w:style>
  <w:style w:type="paragraph" w:customStyle="1" w:styleId="pf0">
    <w:name w:val="pf0"/>
    <w:basedOn w:val="Normal0"/>
    <w:uiPriority w:val="99"/>
    <w:rsid w:val="00552B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
    <w:name w:val="Text"/>
    <w:basedOn w:val="Normal0"/>
    <w:uiPriority w:val="99"/>
    <w:rsid w:val="00552B10"/>
    <w:pPr>
      <w:widowControl w:val="0"/>
      <w:suppressAutoHyphens/>
      <w:autoSpaceDE w:val="0"/>
      <w:autoSpaceDN w:val="0"/>
      <w:adjustRightInd w:val="0"/>
      <w:spacing w:before="90" w:after="0" w:line="250" w:lineRule="atLeast"/>
      <w:ind w:firstLine="220"/>
      <w:jc w:val="both"/>
      <w:textAlignment w:val="center"/>
    </w:pPr>
    <w:rPr>
      <w:rFonts w:ascii="Garamond MT Std" w:eastAsia="Times New Roman" w:hAnsi="Garamond MT Std" w:cs="Garamond MT Std"/>
      <w:color w:val="000000"/>
      <w:lang w:val="en-US"/>
    </w:rPr>
  </w:style>
  <w:style w:type="paragraph" w:customStyle="1" w:styleId="Ext">
    <w:name w:val="Ext"/>
    <w:basedOn w:val="Normal0"/>
    <w:uiPriority w:val="99"/>
    <w:rsid w:val="00552B10"/>
    <w:pPr>
      <w:widowControl w:val="0"/>
      <w:suppressAutoHyphens/>
      <w:autoSpaceDE w:val="0"/>
      <w:autoSpaceDN w:val="0"/>
      <w:adjustRightInd w:val="0"/>
      <w:spacing w:before="110" w:after="0" w:line="230" w:lineRule="atLeast"/>
      <w:ind w:left="280" w:right="280"/>
      <w:jc w:val="both"/>
      <w:textAlignment w:val="center"/>
    </w:pPr>
    <w:rPr>
      <w:rFonts w:ascii="Garamond MT Std" w:eastAsia="Times New Roman" w:hAnsi="Garamond MT Std" w:cs="Garamond MT Std"/>
      <w:color w:val="000000"/>
      <w:sz w:val="20"/>
      <w:szCs w:val="20"/>
      <w:lang w:val="en-US"/>
    </w:rPr>
  </w:style>
  <w:style w:type="paragraph" w:customStyle="1" w:styleId="Textflushhead">
    <w:name w:val="Text flush (head)"/>
    <w:basedOn w:val="Normal0"/>
    <w:next w:val="Normal0"/>
    <w:uiPriority w:val="99"/>
    <w:rsid w:val="00552B10"/>
    <w:pPr>
      <w:widowControl w:val="0"/>
      <w:suppressAutoHyphens/>
      <w:autoSpaceDE w:val="0"/>
      <w:autoSpaceDN w:val="0"/>
      <w:adjustRightInd w:val="0"/>
      <w:spacing w:after="0" w:line="250" w:lineRule="atLeast"/>
      <w:jc w:val="both"/>
      <w:textAlignment w:val="center"/>
    </w:pPr>
    <w:rPr>
      <w:rFonts w:ascii="Garamond MT Std" w:eastAsia="Times New Roman" w:hAnsi="Garamond MT Std" w:cs="Garamond MT Std"/>
      <w:color w:val="000000"/>
      <w:lang w:val="en-US"/>
    </w:rPr>
  </w:style>
  <w:style w:type="paragraph" w:customStyle="1" w:styleId="2hd">
    <w:name w:val="2 hd"/>
    <w:basedOn w:val="Normal0"/>
    <w:uiPriority w:val="99"/>
    <w:rsid w:val="00552B10"/>
    <w:pPr>
      <w:keepNext/>
      <w:widowControl w:val="0"/>
      <w:suppressAutoHyphens/>
      <w:autoSpaceDE w:val="0"/>
      <w:autoSpaceDN w:val="0"/>
      <w:adjustRightInd w:val="0"/>
      <w:spacing w:before="100" w:after="90" w:line="260" w:lineRule="atLeast"/>
      <w:textAlignment w:val="center"/>
    </w:pPr>
    <w:rPr>
      <w:rFonts w:ascii="Garamond MT Std" w:eastAsia="Times New Roman" w:hAnsi="Garamond MT Std" w:cs="Garamond MT Std"/>
      <w:b/>
      <w:bCs/>
      <w:color w:val="000000"/>
      <w:lang w:val="en-US"/>
    </w:rPr>
  </w:style>
  <w:style w:type="paragraph" w:customStyle="1" w:styleId="Ftnote">
    <w:name w:val="Ftnote"/>
    <w:basedOn w:val="Normal0"/>
    <w:uiPriority w:val="99"/>
    <w:rsid w:val="00552B10"/>
    <w:pPr>
      <w:widowControl w:val="0"/>
      <w:suppressAutoHyphens/>
      <w:autoSpaceDE w:val="0"/>
      <w:autoSpaceDN w:val="0"/>
      <w:adjustRightInd w:val="0"/>
      <w:spacing w:after="0" w:line="210" w:lineRule="atLeast"/>
      <w:ind w:left="340" w:hanging="340"/>
      <w:jc w:val="both"/>
      <w:textAlignment w:val="center"/>
    </w:pPr>
    <w:rPr>
      <w:rFonts w:ascii="Garamond MT Std" w:eastAsia="Times New Roman" w:hAnsi="Garamond MT Std" w:cs="Garamond MT Std"/>
      <w:color w:val="000000"/>
      <w:sz w:val="19"/>
      <w:szCs w:val="19"/>
      <w:lang w:val="en-US"/>
    </w:rPr>
  </w:style>
  <w:style w:type="character" w:customStyle="1" w:styleId="Bold">
    <w:name w:val="Bold"/>
    <w:uiPriority w:val="99"/>
    <w:rsid w:val="00552B10"/>
    <w:rPr>
      <w:b/>
    </w:rPr>
  </w:style>
  <w:style w:type="character" w:customStyle="1" w:styleId="Superscript">
    <w:name w:val="Superscript"/>
    <w:uiPriority w:val="99"/>
    <w:rsid w:val="00552B10"/>
    <w:rPr>
      <w:vertAlign w:val="superscript"/>
    </w:rPr>
  </w:style>
  <w:style w:type="character" w:customStyle="1" w:styleId="Italic">
    <w:name w:val="Italic"/>
    <w:uiPriority w:val="99"/>
    <w:rsid w:val="00552B10"/>
    <w:rPr>
      <w:i/>
    </w:rPr>
  </w:style>
  <w:style w:type="character" w:customStyle="1" w:styleId="ftnotex-ref">
    <w:name w:val="ftnote x-ref"/>
    <w:uiPriority w:val="99"/>
    <w:rsid w:val="00552B10"/>
    <w:rPr>
      <w:rFonts w:ascii="Garamond MT Std" w:hAnsi="Garamond MT Std"/>
      <w:b/>
      <w:color w:val="000000"/>
      <w:sz w:val="17"/>
    </w:rPr>
  </w:style>
  <w:style w:type="paragraph" w:customStyle="1" w:styleId="Extnumlist">
    <w:name w:val="Ext num list"/>
    <w:basedOn w:val="Ext"/>
    <w:uiPriority w:val="99"/>
    <w:rsid w:val="00552B10"/>
    <w:pPr>
      <w:spacing w:before="30"/>
      <w:ind w:left="680" w:hanging="400"/>
    </w:pPr>
  </w:style>
  <w:style w:type="paragraph" w:customStyle="1" w:styleId="ExtnumlistTop">
    <w:name w:val="Ext num list (Top)"/>
    <w:basedOn w:val="Ext"/>
    <w:uiPriority w:val="99"/>
    <w:rsid w:val="00552B10"/>
    <w:pPr>
      <w:ind w:left="680" w:hanging="400"/>
    </w:pPr>
  </w:style>
  <w:style w:type="character" w:customStyle="1" w:styleId="charitals0">
    <w:name w:val="charitals"/>
    <w:basedOn w:val="DefaultParagraphFont"/>
    <w:rsid w:val="00552B10"/>
  </w:style>
  <w:style w:type="character" w:customStyle="1" w:styleId="ui-provider">
    <w:name w:val="ui-provider"/>
    <w:basedOn w:val="DefaultParagraphFont"/>
    <w:rsid w:val="00552B10"/>
  </w:style>
  <w:style w:type="paragraph" w:customStyle="1" w:styleId="EEISSectionHeading">
    <w:name w:val="EEIS Section Heading"/>
    <w:next w:val="Normal0"/>
    <w:uiPriority w:val="99"/>
    <w:rsid w:val="00552B10"/>
    <w:pPr>
      <w:spacing w:before="240" w:after="240" w:line="240" w:lineRule="auto"/>
      <w:ind w:left="567" w:hanging="567"/>
    </w:pPr>
    <w:rPr>
      <w:rFonts w:ascii="Arial" w:eastAsia="SimSun" w:hAnsi="Arial" w:cs="Arial"/>
      <w:b/>
      <w:sz w:val="34"/>
      <w:szCs w:val="20"/>
      <w:lang w:eastAsia="zh-CN"/>
    </w:rPr>
  </w:style>
  <w:style w:type="paragraph" w:styleId="TOC4">
    <w:name w:val="toc 4"/>
    <w:basedOn w:val="Normal0"/>
    <w:next w:val="Normal0"/>
    <w:autoRedefine/>
    <w:uiPriority w:val="39"/>
    <w:unhideWhenUsed/>
    <w:rsid w:val="00B02BB7"/>
    <w:pPr>
      <w:spacing w:after="100"/>
      <w:ind w:left="660"/>
    </w:pPr>
  </w:style>
  <w:style w:type="paragraph" w:styleId="Revision">
    <w:name w:val="Revision"/>
    <w:hidden/>
    <w:uiPriority w:val="99"/>
    <w:semiHidden/>
    <w:rsid w:val="00FB732D"/>
    <w:pPr>
      <w:spacing w:after="0" w:line="240" w:lineRule="auto"/>
    </w:pPr>
  </w:style>
  <w:style w:type="paragraph" w:customStyle="1" w:styleId="msonormal0">
    <w:name w:val="msonormal"/>
    <w:basedOn w:val="Normal0"/>
    <w:uiPriority w:val="99"/>
    <w:rsid w:val="00126BE8"/>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AmainChar">
    <w:name w:val="A main Char"/>
    <w:basedOn w:val="DefaultParagraphFont"/>
    <w:link w:val="Amain"/>
    <w:locked/>
    <w:rsid w:val="00126BE8"/>
    <w:rPr>
      <w:rFonts w:ascii="Times New Roman" w:eastAsia="Times New Roman" w:hAnsi="Times New Roman" w:cs="Times New Roman"/>
      <w:sz w:val="24"/>
      <w:szCs w:val="20"/>
    </w:rPr>
  </w:style>
  <w:style w:type="character" w:customStyle="1" w:styleId="AparaChar">
    <w:name w:val="A para Char"/>
    <w:basedOn w:val="DefaultParagraphFont"/>
    <w:link w:val="Apara"/>
    <w:locked/>
    <w:rsid w:val="00126BE8"/>
    <w:rPr>
      <w:rFonts w:ascii="Times New Roman" w:eastAsia="Times New Roman" w:hAnsi="Times New Roman" w:cs="Times New Roman"/>
      <w:sz w:val="24"/>
      <w:szCs w:val="20"/>
    </w:rPr>
  </w:style>
  <w:style w:type="character" w:customStyle="1" w:styleId="AmainreturnChar">
    <w:name w:val="A main return Char"/>
    <w:basedOn w:val="DefaultParagraphFont"/>
    <w:link w:val="Amainreturn"/>
    <w:locked/>
    <w:rsid w:val="00126BE8"/>
    <w:rPr>
      <w:rFonts w:ascii="Times New Roman" w:eastAsia="Times New Roman" w:hAnsi="Times New Roman" w:cs="Times New Roman"/>
      <w:sz w:val="24"/>
      <w:szCs w:val="20"/>
    </w:rPr>
  </w:style>
  <w:style w:type="paragraph" w:customStyle="1" w:styleId="CoverActName">
    <w:name w:val="CoverActName"/>
    <w:basedOn w:val="Normal0"/>
    <w:uiPriority w:val="99"/>
    <w:rsid w:val="00126BE8"/>
    <w:pPr>
      <w:tabs>
        <w:tab w:val="left" w:pos="2600"/>
      </w:tabs>
      <w:overflowPunct w:val="0"/>
      <w:autoSpaceDE w:val="0"/>
      <w:autoSpaceDN w:val="0"/>
      <w:adjustRightInd w:val="0"/>
      <w:spacing w:before="200" w:after="60" w:line="240" w:lineRule="auto"/>
      <w:jc w:val="both"/>
    </w:pPr>
    <w:rPr>
      <w:rFonts w:ascii="Arial" w:eastAsia="Times New Roman" w:hAnsi="Arial" w:cs="Arial"/>
      <w:b/>
      <w:bCs/>
      <w:sz w:val="24"/>
      <w:szCs w:val="24"/>
    </w:rPr>
  </w:style>
  <w:style w:type="character" w:customStyle="1" w:styleId="aDefChar">
    <w:name w:val="aDef Char"/>
    <w:basedOn w:val="DefaultParagraphFont"/>
    <w:link w:val="aDef"/>
    <w:locked/>
    <w:rsid w:val="00126BE8"/>
    <w:rPr>
      <w:rFonts w:ascii="Times New Roman" w:eastAsia="Times New Roman" w:hAnsi="Times New Roman" w:cs="Times New Roman"/>
      <w:sz w:val="24"/>
      <w:szCs w:val="20"/>
    </w:rPr>
  </w:style>
  <w:style w:type="paragraph" w:customStyle="1" w:styleId="aDef">
    <w:name w:val="aDef"/>
    <w:basedOn w:val="Normal0"/>
    <w:link w:val="aDefChar"/>
    <w:uiPriority w:val="99"/>
    <w:rsid w:val="00126BE8"/>
    <w:pPr>
      <w:spacing w:before="140" w:after="0" w:line="240" w:lineRule="auto"/>
      <w:ind w:left="1100"/>
      <w:jc w:val="both"/>
    </w:pPr>
    <w:rPr>
      <w:rFonts w:ascii="Times New Roman" w:eastAsia="Times New Roman" w:hAnsi="Times New Roman" w:cs="Times New Roman"/>
      <w:sz w:val="24"/>
      <w:szCs w:val="20"/>
    </w:rPr>
  </w:style>
  <w:style w:type="paragraph" w:customStyle="1" w:styleId="aDefpara">
    <w:name w:val="aDef para"/>
    <w:basedOn w:val="Apara"/>
    <w:uiPriority w:val="99"/>
    <w:rsid w:val="00126BE8"/>
  </w:style>
  <w:style w:type="paragraph" w:customStyle="1" w:styleId="aDefsubpara">
    <w:name w:val="aDef subpara"/>
    <w:basedOn w:val="Asubpara"/>
    <w:uiPriority w:val="99"/>
    <w:rsid w:val="00126BE8"/>
    <w:pPr>
      <w:tabs>
        <w:tab w:val="clear" w:pos="2140"/>
        <w:tab w:val="right" w:pos="1900"/>
        <w:tab w:val="left" w:pos="2100"/>
      </w:tabs>
      <w:ind w:left="2100" w:hanging="2100"/>
    </w:pPr>
  </w:style>
  <w:style w:type="paragraph" w:customStyle="1" w:styleId="aNotepar">
    <w:name w:val="aNotepar"/>
    <w:basedOn w:val="Normal0"/>
    <w:next w:val="Normal0"/>
    <w:uiPriority w:val="99"/>
    <w:rsid w:val="00126BE8"/>
    <w:pPr>
      <w:spacing w:before="140" w:after="0" w:line="240" w:lineRule="auto"/>
      <w:ind w:left="2400" w:hanging="800"/>
      <w:jc w:val="both"/>
    </w:pPr>
    <w:rPr>
      <w:rFonts w:ascii="Times New Roman" w:eastAsia="Times New Roman" w:hAnsi="Times New Roman" w:cs="Times New Roman"/>
      <w:sz w:val="20"/>
      <w:szCs w:val="20"/>
    </w:rPr>
  </w:style>
  <w:style w:type="paragraph" w:customStyle="1" w:styleId="Penalty">
    <w:name w:val="Penalty"/>
    <w:basedOn w:val="Amainreturn"/>
    <w:uiPriority w:val="99"/>
    <w:rsid w:val="00126BE8"/>
  </w:style>
  <w:style w:type="character" w:customStyle="1" w:styleId="Hyperlink1">
    <w:name w:val="Hyperlink1"/>
    <w:basedOn w:val="DefaultParagraphFont"/>
    <w:rsid w:val="00126BE8"/>
  </w:style>
  <w:style w:type="character" w:customStyle="1" w:styleId="charcithyperlinkital">
    <w:name w:val="charcithyperlinkital"/>
    <w:basedOn w:val="DefaultParagraphFont"/>
    <w:rsid w:val="00126BE8"/>
  </w:style>
  <w:style w:type="character" w:customStyle="1" w:styleId="Calibri12">
    <w:name w:val="Calibri 12"/>
    <w:basedOn w:val="DefaultParagraphFont"/>
    <w:uiPriority w:val="1"/>
    <w:qFormat/>
    <w:rsid w:val="00126BE8"/>
    <w:rPr>
      <w:rFonts w:ascii="Calibri" w:hAnsi="Calibri" w:cs="Calibri" w:hint="default"/>
      <w:sz w:val="24"/>
    </w:rPr>
  </w:style>
  <w:style w:type="character" w:customStyle="1" w:styleId="charCitHyperlinkItal0">
    <w:name w:val="charCitHyperlinkItal"/>
    <w:basedOn w:val="Hyperlink"/>
    <w:uiPriority w:val="1"/>
    <w:rsid w:val="00126BE8"/>
    <w:rPr>
      <w:i/>
      <w:iCs w:val="0"/>
      <w:strike w:val="0"/>
      <w:dstrike w:val="0"/>
      <w:color w:val="0563C1" w:themeColor="hyperlink"/>
      <w:u w:val="none"/>
      <w:effect w:val="none"/>
    </w:rPr>
  </w:style>
  <w:style w:type="numbering" w:customStyle="1" w:styleId="NoList1">
    <w:name w:val="No List1"/>
    <w:next w:val="NoList"/>
    <w:uiPriority w:val="99"/>
    <w:semiHidden/>
    <w:unhideWhenUsed/>
    <w:rsid w:val="005078C2"/>
  </w:style>
  <w:style w:type="paragraph" w:customStyle="1" w:styleId="apara0">
    <w:name w:val="apara"/>
    <w:basedOn w:val="Normal0"/>
    <w:uiPriority w:val="99"/>
    <w:rsid w:val="005078C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yperlink10">
    <w:name w:val="hyperlink1"/>
    <w:basedOn w:val="DefaultParagraphFont"/>
    <w:rsid w:val="005078C2"/>
  </w:style>
  <w:style w:type="table" w:customStyle="1" w:styleId="TableGrid1">
    <w:name w:val="Table Grid1"/>
    <w:basedOn w:val="TableNormal"/>
    <w:next w:val="TableGrid"/>
    <w:uiPriority w:val="39"/>
    <w:rsid w:val="005078C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ssemblystyletable1">
    <w:name w:val="Assembly style table1"/>
    <w:basedOn w:val="TableNormal"/>
    <w:uiPriority w:val="99"/>
    <w:rsid w:val="005078C2"/>
    <w:pPr>
      <w:adjustRightInd w:val="0"/>
      <w:spacing w:before="80" w:after="80" w:line="240" w:lineRule="auto"/>
    </w:pPr>
    <w:rPr>
      <w:rFonts w:ascii="Calibri" w:eastAsia="Calibri" w:hAnsi="Calibri" w:cs="Times New Roman"/>
      <w:sz w:val="20"/>
    </w:rPr>
    <w:tblPr>
      <w:tblStyleRowBandSize w:val="1"/>
      <w:tblInd w:w="0" w:type="nil"/>
      <w:tblBorders>
        <w:top w:val="single" w:sz="4" w:space="0" w:color="2F5496"/>
        <w:bottom w:val="single" w:sz="12" w:space="0" w:color="2F5496"/>
      </w:tblBorders>
    </w:tblPr>
    <w:tcPr>
      <w:vAlign w:val="center"/>
    </w:tcPr>
    <w:tblStylePr w:type="firstRow">
      <w:pPr>
        <w:jc w:val="left"/>
      </w:pPr>
      <w:rPr>
        <w:rFonts w:ascii="Calibri" w:hAnsi="Calibri" w:cs="Calibri" w:hint="default"/>
        <w:b w:val="0"/>
        <w:color w:val="2F5496"/>
        <w:sz w:val="20"/>
        <w:szCs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table" w:customStyle="1" w:styleId="Recommendationbox1">
    <w:name w:val="Recommendation box1"/>
    <w:basedOn w:val="TableNormal"/>
    <w:uiPriority w:val="99"/>
    <w:rsid w:val="005078C2"/>
    <w:pPr>
      <w:spacing w:after="0" w:line="240" w:lineRule="auto"/>
    </w:pPr>
    <w:rPr>
      <w:rFonts w:ascii="Calibri" w:eastAsia="Calibri" w:hAnsi="Calibri" w:cs="Times New Roman"/>
    </w:rPr>
    <w:tblPr>
      <w:tblCellSpacing w:w="71" w:type="dxa"/>
      <w:tblInd w:w="0" w:type="nil"/>
    </w:tblPr>
    <w:trPr>
      <w:tblCellSpacing w:w="71" w:type="dxa"/>
    </w:trPr>
    <w:tcPr>
      <w:shd w:val="clear" w:color="auto" w:fill="D5DEF0"/>
      <w:vAlign w:val="center"/>
    </w:tcPr>
  </w:style>
  <w:style w:type="character" w:customStyle="1" w:styleId="normaltextrun">
    <w:name w:val="normaltextrun"/>
    <w:basedOn w:val="DefaultParagraphFont"/>
    <w:rsid w:val="00145C66"/>
  </w:style>
  <w:style w:type="character" w:customStyle="1" w:styleId="eop">
    <w:name w:val="eop"/>
    <w:basedOn w:val="DefaultParagraphFont"/>
    <w:rsid w:val="00145C66"/>
  </w:style>
  <w:style w:type="character" w:styleId="Strong">
    <w:name w:val="Strong"/>
    <w:basedOn w:val="DefaultParagraphFont"/>
    <w:uiPriority w:val="22"/>
    <w:qFormat/>
    <w:rsid w:val="00B2102C"/>
    <w:rPr>
      <w:b/>
      <w:bCs/>
      <w:color w:val="0070C0"/>
    </w:rPr>
  </w:style>
  <w:style w:type="paragraph" w:customStyle="1" w:styleId="TableColHd">
    <w:name w:val="TableColHd"/>
    <w:basedOn w:val="Normal0"/>
    <w:rsid w:val="003F39AA"/>
    <w:pPr>
      <w:keepNext/>
      <w:spacing w:after="60" w:line="240" w:lineRule="auto"/>
    </w:pPr>
    <w:rPr>
      <w:rFonts w:ascii="Arial" w:eastAsia="Times New Roman" w:hAnsi="Arial" w:cs="Times New Roman"/>
      <w:b/>
      <w:sz w:val="18"/>
      <w:szCs w:val="20"/>
    </w:rPr>
  </w:style>
  <w:style w:type="paragraph" w:customStyle="1" w:styleId="TableHd">
    <w:name w:val="TableHd"/>
    <w:basedOn w:val="Normal0"/>
    <w:rsid w:val="003F39AA"/>
    <w:pPr>
      <w:keepNext/>
      <w:spacing w:before="300" w:after="0" w:line="240" w:lineRule="auto"/>
      <w:ind w:left="1200" w:hanging="1200"/>
    </w:pPr>
    <w:rPr>
      <w:rFonts w:ascii="Arial" w:eastAsia="Times New Roman" w:hAnsi="Arial" w:cs="Times New Roman"/>
      <w:b/>
      <w:sz w:val="20"/>
      <w:szCs w:val="20"/>
    </w:rPr>
  </w:style>
  <w:style w:type="paragraph" w:customStyle="1" w:styleId="TablePara10">
    <w:name w:val="TablePara10"/>
    <w:basedOn w:val="Normal0"/>
    <w:rsid w:val="003F39AA"/>
    <w:pPr>
      <w:tabs>
        <w:tab w:val="right" w:pos="400"/>
        <w:tab w:val="left" w:pos="700"/>
      </w:tabs>
      <w:spacing w:before="80" w:after="60" w:line="240" w:lineRule="auto"/>
      <w:ind w:left="700" w:hanging="700"/>
    </w:pPr>
    <w:rPr>
      <w:rFonts w:ascii="Times New Roman" w:eastAsia="Times New Roman" w:hAnsi="Times New Roman" w:cs="Times New Roman"/>
      <w:sz w:val="20"/>
      <w:szCs w:val="20"/>
    </w:rPr>
  </w:style>
  <w:style w:type="paragraph" w:customStyle="1" w:styleId="TableText10">
    <w:name w:val="TableText10"/>
    <w:basedOn w:val="Normal0"/>
    <w:rsid w:val="003F39AA"/>
    <w:pPr>
      <w:spacing w:before="60" w:after="6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42959">
      <w:bodyDiv w:val="1"/>
      <w:marLeft w:val="0"/>
      <w:marRight w:val="0"/>
      <w:marTop w:val="0"/>
      <w:marBottom w:val="0"/>
      <w:divBdr>
        <w:top w:val="none" w:sz="0" w:space="0" w:color="auto"/>
        <w:left w:val="none" w:sz="0" w:space="0" w:color="auto"/>
        <w:bottom w:val="none" w:sz="0" w:space="0" w:color="auto"/>
        <w:right w:val="none" w:sz="0" w:space="0" w:color="auto"/>
      </w:divBdr>
    </w:div>
    <w:div w:id="35005912">
      <w:bodyDiv w:val="1"/>
      <w:marLeft w:val="0"/>
      <w:marRight w:val="0"/>
      <w:marTop w:val="0"/>
      <w:marBottom w:val="0"/>
      <w:divBdr>
        <w:top w:val="none" w:sz="0" w:space="0" w:color="auto"/>
        <w:left w:val="none" w:sz="0" w:space="0" w:color="auto"/>
        <w:bottom w:val="none" w:sz="0" w:space="0" w:color="auto"/>
        <w:right w:val="none" w:sz="0" w:space="0" w:color="auto"/>
      </w:divBdr>
    </w:div>
    <w:div w:id="50273394">
      <w:bodyDiv w:val="1"/>
      <w:marLeft w:val="0"/>
      <w:marRight w:val="0"/>
      <w:marTop w:val="0"/>
      <w:marBottom w:val="0"/>
      <w:divBdr>
        <w:top w:val="none" w:sz="0" w:space="0" w:color="auto"/>
        <w:left w:val="none" w:sz="0" w:space="0" w:color="auto"/>
        <w:bottom w:val="none" w:sz="0" w:space="0" w:color="auto"/>
        <w:right w:val="none" w:sz="0" w:space="0" w:color="auto"/>
      </w:divBdr>
    </w:div>
    <w:div w:id="77144808">
      <w:bodyDiv w:val="1"/>
      <w:marLeft w:val="0"/>
      <w:marRight w:val="0"/>
      <w:marTop w:val="0"/>
      <w:marBottom w:val="0"/>
      <w:divBdr>
        <w:top w:val="none" w:sz="0" w:space="0" w:color="auto"/>
        <w:left w:val="none" w:sz="0" w:space="0" w:color="auto"/>
        <w:bottom w:val="none" w:sz="0" w:space="0" w:color="auto"/>
        <w:right w:val="none" w:sz="0" w:space="0" w:color="auto"/>
      </w:divBdr>
    </w:div>
    <w:div w:id="101077589">
      <w:bodyDiv w:val="1"/>
      <w:marLeft w:val="0"/>
      <w:marRight w:val="0"/>
      <w:marTop w:val="0"/>
      <w:marBottom w:val="0"/>
      <w:divBdr>
        <w:top w:val="none" w:sz="0" w:space="0" w:color="auto"/>
        <w:left w:val="none" w:sz="0" w:space="0" w:color="auto"/>
        <w:bottom w:val="none" w:sz="0" w:space="0" w:color="auto"/>
        <w:right w:val="none" w:sz="0" w:space="0" w:color="auto"/>
      </w:divBdr>
    </w:div>
    <w:div w:id="112988980">
      <w:bodyDiv w:val="1"/>
      <w:marLeft w:val="0"/>
      <w:marRight w:val="0"/>
      <w:marTop w:val="0"/>
      <w:marBottom w:val="0"/>
      <w:divBdr>
        <w:top w:val="none" w:sz="0" w:space="0" w:color="auto"/>
        <w:left w:val="none" w:sz="0" w:space="0" w:color="auto"/>
        <w:bottom w:val="none" w:sz="0" w:space="0" w:color="auto"/>
        <w:right w:val="none" w:sz="0" w:space="0" w:color="auto"/>
      </w:divBdr>
    </w:div>
    <w:div w:id="125895097">
      <w:bodyDiv w:val="1"/>
      <w:marLeft w:val="0"/>
      <w:marRight w:val="0"/>
      <w:marTop w:val="0"/>
      <w:marBottom w:val="0"/>
      <w:divBdr>
        <w:top w:val="none" w:sz="0" w:space="0" w:color="auto"/>
        <w:left w:val="none" w:sz="0" w:space="0" w:color="auto"/>
        <w:bottom w:val="none" w:sz="0" w:space="0" w:color="auto"/>
        <w:right w:val="none" w:sz="0" w:space="0" w:color="auto"/>
      </w:divBdr>
    </w:div>
    <w:div w:id="147795360">
      <w:bodyDiv w:val="1"/>
      <w:marLeft w:val="0"/>
      <w:marRight w:val="0"/>
      <w:marTop w:val="0"/>
      <w:marBottom w:val="0"/>
      <w:divBdr>
        <w:top w:val="none" w:sz="0" w:space="0" w:color="auto"/>
        <w:left w:val="none" w:sz="0" w:space="0" w:color="auto"/>
        <w:bottom w:val="none" w:sz="0" w:space="0" w:color="auto"/>
        <w:right w:val="none" w:sz="0" w:space="0" w:color="auto"/>
      </w:divBdr>
    </w:div>
    <w:div w:id="190337333">
      <w:bodyDiv w:val="1"/>
      <w:marLeft w:val="0"/>
      <w:marRight w:val="0"/>
      <w:marTop w:val="0"/>
      <w:marBottom w:val="0"/>
      <w:divBdr>
        <w:top w:val="none" w:sz="0" w:space="0" w:color="auto"/>
        <w:left w:val="none" w:sz="0" w:space="0" w:color="auto"/>
        <w:bottom w:val="none" w:sz="0" w:space="0" w:color="auto"/>
        <w:right w:val="none" w:sz="0" w:space="0" w:color="auto"/>
      </w:divBdr>
    </w:div>
    <w:div w:id="219637400">
      <w:bodyDiv w:val="1"/>
      <w:marLeft w:val="0"/>
      <w:marRight w:val="0"/>
      <w:marTop w:val="0"/>
      <w:marBottom w:val="0"/>
      <w:divBdr>
        <w:top w:val="none" w:sz="0" w:space="0" w:color="auto"/>
        <w:left w:val="none" w:sz="0" w:space="0" w:color="auto"/>
        <w:bottom w:val="none" w:sz="0" w:space="0" w:color="auto"/>
        <w:right w:val="none" w:sz="0" w:space="0" w:color="auto"/>
      </w:divBdr>
    </w:div>
    <w:div w:id="248664424">
      <w:bodyDiv w:val="1"/>
      <w:marLeft w:val="0"/>
      <w:marRight w:val="0"/>
      <w:marTop w:val="0"/>
      <w:marBottom w:val="0"/>
      <w:divBdr>
        <w:top w:val="none" w:sz="0" w:space="0" w:color="auto"/>
        <w:left w:val="none" w:sz="0" w:space="0" w:color="auto"/>
        <w:bottom w:val="none" w:sz="0" w:space="0" w:color="auto"/>
        <w:right w:val="none" w:sz="0" w:space="0" w:color="auto"/>
      </w:divBdr>
    </w:div>
    <w:div w:id="250627034">
      <w:bodyDiv w:val="1"/>
      <w:marLeft w:val="0"/>
      <w:marRight w:val="0"/>
      <w:marTop w:val="0"/>
      <w:marBottom w:val="0"/>
      <w:divBdr>
        <w:top w:val="none" w:sz="0" w:space="0" w:color="auto"/>
        <w:left w:val="none" w:sz="0" w:space="0" w:color="auto"/>
        <w:bottom w:val="none" w:sz="0" w:space="0" w:color="auto"/>
        <w:right w:val="none" w:sz="0" w:space="0" w:color="auto"/>
      </w:divBdr>
    </w:div>
    <w:div w:id="407767872">
      <w:bodyDiv w:val="1"/>
      <w:marLeft w:val="0"/>
      <w:marRight w:val="0"/>
      <w:marTop w:val="0"/>
      <w:marBottom w:val="0"/>
      <w:divBdr>
        <w:top w:val="none" w:sz="0" w:space="0" w:color="auto"/>
        <w:left w:val="none" w:sz="0" w:space="0" w:color="auto"/>
        <w:bottom w:val="none" w:sz="0" w:space="0" w:color="auto"/>
        <w:right w:val="none" w:sz="0" w:space="0" w:color="auto"/>
      </w:divBdr>
    </w:div>
    <w:div w:id="408309431">
      <w:bodyDiv w:val="1"/>
      <w:marLeft w:val="0"/>
      <w:marRight w:val="0"/>
      <w:marTop w:val="0"/>
      <w:marBottom w:val="0"/>
      <w:divBdr>
        <w:top w:val="none" w:sz="0" w:space="0" w:color="auto"/>
        <w:left w:val="none" w:sz="0" w:space="0" w:color="auto"/>
        <w:bottom w:val="none" w:sz="0" w:space="0" w:color="auto"/>
        <w:right w:val="none" w:sz="0" w:space="0" w:color="auto"/>
      </w:divBdr>
    </w:div>
    <w:div w:id="431124283">
      <w:bodyDiv w:val="1"/>
      <w:marLeft w:val="0"/>
      <w:marRight w:val="0"/>
      <w:marTop w:val="0"/>
      <w:marBottom w:val="0"/>
      <w:divBdr>
        <w:top w:val="none" w:sz="0" w:space="0" w:color="auto"/>
        <w:left w:val="none" w:sz="0" w:space="0" w:color="auto"/>
        <w:bottom w:val="none" w:sz="0" w:space="0" w:color="auto"/>
        <w:right w:val="none" w:sz="0" w:space="0" w:color="auto"/>
      </w:divBdr>
    </w:div>
    <w:div w:id="432670291">
      <w:bodyDiv w:val="1"/>
      <w:marLeft w:val="0"/>
      <w:marRight w:val="0"/>
      <w:marTop w:val="0"/>
      <w:marBottom w:val="0"/>
      <w:divBdr>
        <w:top w:val="none" w:sz="0" w:space="0" w:color="auto"/>
        <w:left w:val="none" w:sz="0" w:space="0" w:color="auto"/>
        <w:bottom w:val="none" w:sz="0" w:space="0" w:color="auto"/>
        <w:right w:val="none" w:sz="0" w:space="0" w:color="auto"/>
      </w:divBdr>
    </w:div>
    <w:div w:id="446001442">
      <w:bodyDiv w:val="1"/>
      <w:marLeft w:val="0"/>
      <w:marRight w:val="0"/>
      <w:marTop w:val="0"/>
      <w:marBottom w:val="0"/>
      <w:divBdr>
        <w:top w:val="none" w:sz="0" w:space="0" w:color="auto"/>
        <w:left w:val="none" w:sz="0" w:space="0" w:color="auto"/>
        <w:bottom w:val="none" w:sz="0" w:space="0" w:color="auto"/>
        <w:right w:val="none" w:sz="0" w:space="0" w:color="auto"/>
      </w:divBdr>
    </w:div>
    <w:div w:id="464204466">
      <w:bodyDiv w:val="1"/>
      <w:marLeft w:val="0"/>
      <w:marRight w:val="0"/>
      <w:marTop w:val="0"/>
      <w:marBottom w:val="0"/>
      <w:divBdr>
        <w:top w:val="none" w:sz="0" w:space="0" w:color="auto"/>
        <w:left w:val="none" w:sz="0" w:space="0" w:color="auto"/>
        <w:bottom w:val="none" w:sz="0" w:space="0" w:color="auto"/>
        <w:right w:val="none" w:sz="0" w:space="0" w:color="auto"/>
      </w:divBdr>
    </w:div>
    <w:div w:id="492991455">
      <w:bodyDiv w:val="1"/>
      <w:marLeft w:val="0"/>
      <w:marRight w:val="0"/>
      <w:marTop w:val="0"/>
      <w:marBottom w:val="0"/>
      <w:divBdr>
        <w:top w:val="none" w:sz="0" w:space="0" w:color="auto"/>
        <w:left w:val="none" w:sz="0" w:space="0" w:color="auto"/>
        <w:bottom w:val="none" w:sz="0" w:space="0" w:color="auto"/>
        <w:right w:val="none" w:sz="0" w:space="0" w:color="auto"/>
      </w:divBdr>
    </w:div>
    <w:div w:id="504394191">
      <w:bodyDiv w:val="1"/>
      <w:marLeft w:val="0"/>
      <w:marRight w:val="0"/>
      <w:marTop w:val="0"/>
      <w:marBottom w:val="0"/>
      <w:divBdr>
        <w:top w:val="none" w:sz="0" w:space="0" w:color="auto"/>
        <w:left w:val="none" w:sz="0" w:space="0" w:color="auto"/>
        <w:bottom w:val="none" w:sz="0" w:space="0" w:color="auto"/>
        <w:right w:val="none" w:sz="0" w:space="0" w:color="auto"/>
      </w:divBdr>
    </w:div>
    <w:div w:id="521289440">
      <w:bodyDiv w:val="1"/>
      <w:marLeft w:val="0"/>
      <w:marRight w:val="0"/>
      <w:marTop w:val="0"/>
      <w:marBottom w:val="0"/>
      <w:divBdr>
        <w:top w:val="none" w:sz="0" w:space="0" w:color="auto"/>
        <w:left w:val="none" w:sz="0" w:space="0" w:color="auto"/>
        <w:bottom w:val="none" w:sz="0" w:space="0" w:color="auto"/>
        <w:right w:val="none" w:sz="0" w:space="0" w:color="auto"/>
      </w:divBdr>
    </w:div>
    <w:div w:id="544372327">
      <w:bodyDiv w:val="1"/>
      <w:marLeft w:val="0"/>
      <w:marRight w:val="0"/>
      <w:marTop w:val="0"/>
      <w:marBottom w:val="0"/>
      <w:divBdr>
        <w:top w:val="none" w:sz="0" w:space="0" w:color="auto"/>
        <w:left w:val="none" w:sz="0" w:space="0" w:color="auto"/>
        <w:bottom w:val="none" w:sz="0" w:space="0" w:color="auto"/>
        <w:right w:val="none" w:sz="0" w:space="0" w:color="auto"/>
      </w:divBdr>
    </w:div>
    <w:div w:id="546986195">
      <w:bodyDiv w:val="1"/>
      <w:marLeft w:val="0"/>
      <w:marRight w:val="0"/>
      <w:marTop w:val="0"/>
      <w:marBottom w:val="0"/>
      <w:divBdr>
        <w:top w:val="none" w:sz="0" w:space="0" w:color="auto"/>
        <w:left w:val="none" w:sz="0" w:space="0" w:color="auto"/>
        <w:bottom w:val="none" w:sz="0" w:space="0" w:color="auto"/>
        <w:right w:val="none" w:sz="0" w:space="0" w:color="auto"/>
      </w:divBdr>
    </w:div>
    <w:div w:id="583495548">
      <w:bodyDiv w:val="1"/>
      <w:marLeft w:val="0"/>
      <w:marRight w:val="0"/>
      <w:marTop w:val="0"/>
      <w:marBottom w:val="0"/>
      <w:divBdr>
        <w:top w:val="none" w:sz="0" w:space="0" w:color="auto"/>
        <w:left w:val="none" w:sz="0" w:space="0" w:color="auto"/>
        <w:bottom w:val="none" w:sz="0" w:space="0" w:color="auto"/>
        <w:right w:val="none" w:sz="0" w:space="0" w:color="auto"/>
      </w:divBdr>
    </w:div>
    <w:div w:id="589048888">
      <w:bodyDiv w:val="1"/>
      <w:marLeft w:val="0"/>
      <w:marRight w:val="0"/>
      <w:marTop w:val="0"/>
      <w:marBottom w:val="0"/>
      <w:divBdr>
        <w:top w:val="none" w:sz="0" w:space="0" w:color="auto"/>
        <w:left w:val="none" w:sz="0" w:space="0" w:color="auto"/>
        <w:bottom w:val="none" w:sz="0" w:space="0" w:color="auto"/>
        <w:right w:val="none" w:sz="0" w:space="0" w:color="auto"/>
      </w:divBdr>
    </w:div>
    <w:div w:id="603077279">
      <w:bodyDiv w:val="1"/>
      <w:marLeft w:val="0"/>
      <w:marRight w:val="0"/>
      <w:marTop w:val="0"/>
      <w:marBottom w:val="0"/>
      <w:divBdr>
        <w:top w:val="none" w:sz="0" w:space="0" w:color="auto"/>
        <w:left w:val="none" w:sz="0" w:space="0" w:color="auto"/>
        <w:bottom w:val="none" w:sz="0" w:space="0" w:color="auto"/>
        <w:right w:val="none" w:sz="0" w:space="0" w:color="auto"/>
      </w:divBdr>
    </w:div>
    <w:div w:id="630211080">
      <w:bodyDiv w:val="1"/>
      <w:marLeft w:val="0"/>
      <w:marRight w:val="0"/>
      <w:marTop w:val="0"/>
      <w:marBottom w:val="0"/>
      <w:divBdr>
        <w:top w:val="none" w:sz="0" w:space="0" w:color="auto"/>
        <w:left w:val="none" w:sz="0" w:space="0" w:color="auto"/>
        <w:bottom w:val="none" w:sz="0" w:space="0" w:color="auto"/>
        <w:right w:val="none" w:sz="0" w:space="0" w:color="auto"/>
      </w:divBdr>
    </w:div>
    <w:div w:id="651565887">
      <w:bodyDiv w:val="1"/>
      <w:marLeft w:val="0"/>
      <w:marRight w:val="0"/>
      <w:marTop w:val="0"/>
      <w:marBottom w:val="0"/>
      <w:divBdr>
        <w:top w:val="none" w:sz="0" w:space="0" w:color="auto"/>
        <w:left w:val="none" w:sz="0" w:space="0" w:color="auto"/>
        <w:bottom w:val="none" w:sz="0" w:space="0" w:color="auto"/>
        <w:right w:val="none" w:sz="0" w:space="0" w:color="auto"/>
      </w:divBdr>
    </w:div>
    <w:div w:id="671881166">
      <w:bodyDiv w:val="1"/>
      <w:marLeft w:val="0"/>
      <w:marRight w:val="0"/>
      <w:marTop w:val="0"/>
      <w:marBottom w:val="0"/>
      <w:divBdr>
        <w:top w:val="none" w:sz="0" w:space="0" w:color="auto"/>
        <w:left w:val="none" w:sz="0" w:space="0" w:color="auto"/>
        <w:bottom w:val="none" w:sz="0" w:space="0" w:color="auto"/>
        <w:right w:val="none" w:sz="0" w:space="0" w:color="auto"/>
      </w:divBdr>
    </w:div>
    <w:div w:id="710039348">
      <w:bodyDiv w:val="1"/>
      <w:marLeft w:val="0"/>
      <w:marRight w:val="0"/>
      <w:marTop w:val="0"/>
      <w:marBottom w:val="0"/>
      <w:divBdr>
        <w:top w:val="none" w:sz="0" w:space="0" w:color="auto"/>
        <w:left w:val="none" w:sz="0" w:space="0" w:color="auto"/>
        <w:bottom w:val="none" w:sz="0" w:space="0" w:color="auto"/>
        <w:right w:val="none" w:sz="0" w:space="0" w:color="auto"/>
      </w:divBdr>
    </w:div>
    <w:div w:id="713891740">
      <w:bodyDiv w:val="1"/>
      <w:marLeft w:val="0"/>
      <w:marRight w:val="0"/>
      <w:marTop w:val="0"/>
      <w:marBottom w:val="0"/>
      <w:divBdr>
        <w:top w:val="none" w:sz="0" w:space="0" w:color="auto"/>
        <w:left w:val="none" w:sz="0" w:space="0" w:color="auto"/>
        <w:bottom w:val="none" w:sz="0" w:space="0" w:color="auto"/>
        <w:right w:val="none" w:sz="0" w:space="0" w:color="auto"/>
      </w:divBdr>
    </w:div>
    <w:div w:id="715813361">
      <w:bodyDiv w:val="1"/>
      <w:marLeft w:val="0"/>
      <w:marRight w:val="0"/>
      <w:marTop w:val="0"/>
      <w:marBottom w:val="0"/>
      <w:divBdr>
        <w:top w:val="none" w:sz="0" w:space="0" w:color="auto"/>
        <w:left w:val="none" w:sz="0" w:space="0" w:color="auto"/>
        <w:bottom w:val="none" w:sz="0" w:space="0" w:color="auto"/>
        <w:right w:val="none" w:sz="0" w:space="0" w:color="auto"/>
      </w:divBdr>
    </w:div>
    <w:div w:id="843862259">
      <w:bodyDiv w:val="1"/>
      <w:marLeft w:val="0"/>
      <w:marRight w:val="0"/>
      <w:marTop w:val="0"/>
      <w:marBottom w:val="0"/>
      <w:divBdr>
        <w:top w:val="none" w:sz="0" w:space="0" w:color="auto"/>
        <w:left w:val="none" w:sz="0" w:space="0" w:color="auto"/>
        <w:bottom w:val="none" w:sz="0" w:space="0" w:color="auto"/>
        <w:right w:val="none" w:sz="0" w:space="0" w:color="auto"/>
      </w:divBdr>
    </w:div>
    <w:div w:id="847982078">
      <w:bodyDiv w:val="1"/>
      <w:marLeft w:val="0"/>
      <w:marRight w:val="0"/>
      <w:marTop w:val="0"/>
      <w:marBottom w:val="0"/>
      <w:divBdr>
        <w:top w:val="none" w:sz="0" w:space="0" w:color="auto"/>
        <w:left w:val="none" w:sz="0" w:space="0" w:color="auto"/>
        <w:bottom w:val="none" w:sz="0" w:space="0" w:color="auto"/>
        <w:right w:val="none" w:sz="0" w:space="0" w:color="auto"/>
      </w:divBdr>
    </w:div>
    <w:div w:id="879324365">
      <w:bodyDiv w:val="1"/>
      <w:marLeft w:val="0"/>
      <w:marRight w:val="0"/>
      <w:marTop w:val="0"/>
      <w:marBottom w:val="0"/>
      <w:divBdr>
        <w:top w:val="none" w:sz="0" w:space="0" w:color="auto"/>
        <w:left w:val="none" w:sz="0" w:space="0" w:color="auto"/>
        <w:bottom w:val="none" w:sz="0" w:space="0" w:color="auto"/>
        <w:right w:val="none" w:sz="0" w:space="0" w:color="auto"/>
      </w:divBdr>
    </w:div>
    <w:div w:id="882785512">
      <w:bodyDiv w:val="1"/>
      <w:marLeft w:val="0"/>
      <w:marRight w:val="0"/>
      <w:marTop w:val="0"/>
      <w:marBottom w:val="0"/>
      <w:divBdr>
        <w:top w:val="none" w:sz="0" w:space="0" w:color="auto"/>
        <w:left w:val="none" w:sz="0" w:space="0" w:color="auto"/>
        <w:bottom w:val="none" w:sz="0" w:space="0" w:color="auto"/>
        <w:right w:val="none" w:sz="0" w:space="0" w:color="auto"/>
      </w:divBdr>
    </w:div>
    <w:div w:id="948195568">
      <w:bodyDiv w:val="1"/>
      <w:marLeft w:val="0"/>
      <w:marRight w:val="0"/>
      <w:marTop w:val="0"/>
      <w:marBottom w:val="0"/>
      <w:divBdr>
        <w:top w:val="none" w:sz="0" w:space="0" w:color="auto"/>
        <w:left w:val="none" w:sz="0" w:space="0" w:color="auto"/>
        <w:bottom w:val="none" w:sz="0" w:space="0" w:color="auto"/>
        <w:right w:val="none" w:sz="0" w:space="0" w:color="auto"/>
      </w:divBdr>
    </w:div>
    <w:div w:id="966664397">
      <w:bodyDiv w:val="1"/>
      <w:marLeft w:val="0"/>
      <w:marRight w:val="0"/>
      <w:marTop w:val="0"/>
      <w:marBottom w:val="0"/>
      <w:divBdr>
        <w:top w:val="none" w:sz="0" w:space="0" w:color="auto"/>
        <w:left w:val="none" w:sz="0" w:space="0" w:color="auto"/>
        <w:bottom w:val="none" w:sz="0" w:space="0" w:color="auto"/>
        <w:right w:val="none" w:sz="0" w:space="0" w:color="auto"/>
      </w:divBdr>
    </w:div>
    <w:div w:id="998536735">
      <w:bodyDiv w:val="1"/>
      <w:marLeft w:val="0"/>
      <w:marRight w:val="0"/>
      <w:marTop w:val="0"/>
      <w:marBottom w:val="0"/>
      <w:divBdr>
        <w:top w:val="none" w:sz="0" w:space="0" w:color="auto"/>
        <w:left w:val="none" w:sz="0" w:space="0" w:color="auto"/>
        <w:bottom w:val="none" w:sz="0" w:space="0" w:color="auto"/>
        <w:right w:val="none" w:sz="0" w:space="0" w:color="auto"/>
      </w:divBdr>
    </w:div>
    <w:div w:id="1026760046">
      <w:bodyDiv w:val="1"/>
      <w:marLeft w:val="0"/>
      <w:marRight w:val="0"/>
      <w:marTop w:val="0"/>
      <w:marBottom w:val="0"/>
      <w:divBdr>
        <w:top w:val="none" w:sz="0" w:space="0" w:color="auto"/>
        <w:left w:val="none" w:sz="0" w:space="0" w:color="auto"/>
        <w:bottom w:val="none" w:sz="0" w:space="0" w:color="auto"/>
        <w:right w:val="none" w:sz="0" w:space="0" w:color="auto"/>
      </w:divBdr>
    </w:div>
    <w:div w:id="1029530615">
      <w:bodyDiv w:val="1"/>
      <w:marLeft w:val="0"/>
      <w:marRight w:val="0"/>
      <w:marTop w:val="0"/>
      <w:marBottom w:val="0"/>
      <w:divBdr>
        <w:top w:val="none" w:sz="0" w:space="0" w:color="auto"/>
        <w:left w:val="none" w:sz="0" w:space="0" w:color="auto"/>
        <w:bottom w:val="none" w:sz="0" w:space="0" w:color="auto"/>
        <w:right w:val="none" w:sz="0" w:space="0" w:color="auto"/>
      </w:divBdr>
    </w:div>
    <w:div w:id="1079903725">
      <w:bodyDiv w:val="1"/>
      <w:marLeft w:val="0"/>
      <w:marRight w:val="0"/>
      <w:marTop w:val="0"/>
      <w:marBottom w:val="0"/>
      <w:divBdr>
        <w:top w:val="none" w:sz="0" w:space="0" w:color="auto"/>
        <w:left w:val="none" w:sz="0" w:space="0" w:color="auto"/>
        <w:bottom w:val="none" w:sz="0" w:space="0" w:color="auto"/>
        <w:right w:val="none" w:sz="0" w:space="0" w:color="auto"/>
      </w:divBdr>
    </w:div>
    <w:div w:id="1098872928">
      <w:bodyDiv w:val="1"/>
      <w:marLeft w:val="0"/>
      <w:marRight w:val="0"/>
      <w:marTop w:val="0"/>
      <w:marBottom w:val="0"/>
      <w:divBdr>
        <w:top w:val="none" w:sz="0" w:space="0" w:color="auto"/>
        <w:left w:val="none" w:sz="0" w:space="0" w:color="auto"/>
        <w:bottom w:val="none" w:sz="0" w:space="0" w:color="auto"/>
        <w:right w:val="none" w:sz="0" w:space="0" w:color="auto"/>
      </w:divBdr>
    </w:div>
    <w:div w:id="1101684843">
      <w:bodyDiv w:val="1"/>
      <w:marLeft w:val="0"/>
      <w:marRight w:val="0"/>
      <w:marTop w:val="0"/>
      <w:marBottom w:val="0"/>
      <w:divBdr>
        <w:top w:val="none" w:sz="0" w:space="0" w:color="auto"/>
        <w:left w:val="none" w:sz="0" w:space="0" w:color="auto"/>
        <w:bottom w:val="none" w:sz="0" w:space="0" w:color="auto"/>
        <w:right w:val="none" w:sz="0" w:space="0" w:color="auto"/>
      </w:divBdr>
    </w:div>
    <w:div w:id="1142652912">
      <w:bodyDiv w:val="1"/>
      <w:marLeft w:val="0"/>
      <w:marRight w:val="0"/>
      <w:marTop w:val="0"/>
      <w:marBottom w:val="0"/>
      <w:divBdr>
        <w:top w:val="none" w:sz="0" w:space="0" w:color="auto"/>
        <w:left w:val="none" w:sz="0" w:space="0" w:color="auto"/>
        <w:bottom w:val="none" w:sz="0" w:space="0" w:color="auto"/>
        <w:right w:val="none" w:sz="0" w:space="0" w:color="auto"/>
      </w:divBdr>
    </w:div>
    <w:div w:id="1148129262">
      <w:bodyDiv w:val="1"/>
      <w:marLeft w:val="0"/>
      <w:marRight w:val="0"/>
      <w:marTop w:val="0"/>
      <w:marBottom w:val="0"/>
      <w:divBdr>
        <w:top w:val="none" w:sz="0" w:space="0" w:color="auto"/>
        <w:left w:val="none" w:sz="0" w:space="0" w:color="auto"/>
        <w:bottom w:val="none" w:sz="0" w:space="0" w:color="auto"/>
        <w:right w:val="none" w:sz="0" w:space="0" w:color="auto"/>
      </w:divBdr>
    </w:div>
    <w:div w:id="1150363652">
      <w:bodyDiv w:val="1"/>
      <w:marLeft w:val="0"/>
      <w:marRight w:val="0"/>
      <w:marTop w:val="0"/>
      <w:marBottom w:val="0"/>
      <w:divBdr>
        <w:top w:val="none" w:sz="0" w:space="0" w:color="auto"/>
        <w:left w:val="none" w:sz="0" w:space="0" w:color="auto"/>
        <w:bottom w:val="none" w:sz="0" w:space="0" w:color="auto"/>
        <w:right w:val="none" w:sz="0" w:space="0" w:color="auto"/>
      </w:divBdr>
    </w:div>
    <w:div w:id="1156721710">
      <w:bodyDiv w:val="1"/>
      <w:marLeft w:val="0"/>
      <w:marRight w:val="0"/>
      <w:marTop w:val="0"/>
      <w:marBottom w:val="0"/>
      <w:divBdr>
        <w:top w:val="none" w:sz="0" w:space="0" w:color="auto"/>
        <w:left w:val="none" w:sz="0" w:space="0" w:color="auto"/>
        <w:bottom w:val="none" w:sz="0" w:space="0" w:color="auto"/>
        <w:right w:val="none" w:sz="0" w:space="0" w:color="auto"/>
      </w:divBdr>
    </w:div>
    <w:div w:id="1163861392">
      <w:bodyDiv w:val="1"/>
      <w:marLeft w:val="0"/>
      <w:marRight w:val="0"/>
      <w:marTop w:val="0"/>
      <w:marBottom w:val="0"/>
      <w:divBdr>
        <w:top w:val="none" w:sz="0" w:space="0" w:color="auto"/>
        <w:left w:val="none" w:sz="0" w:space="0" w:color="auto"/>
        <w:bottom w:val="none" w:sz="0" w:space="0" w:color="auto"/>
        <w:right w:val="none" w:sz="0" w:space="0" w:color="auto"/>
      </w:divBdr>
    </w:div>
    <w:div w:id="1184175825">
      <w:bodyDiv w:val="1"/>
      <w:marLeft w:val="0"/>
      <w:marRight w:val="0"/>
      <w:marTop w:val="0"/>
      <w:marBottom w:val="0"/>
      <w:divBdr>
        <w:top w:val="none" w:sz="0" w:space="0" w:color="auto"/>
        <w:left w:val="none" w:sz="0" w:space="0" w:color="auto"/>
        <w:bottom w:val="none" w:sz="0" w:space="0" w:color="auto"/>
        <w:right w:val="none" w:sz="0" w:space="0" w:color="auto"/>
      </w:divBdr>
    </w:div>
    <w:div w:id="1236933935">
      <w:bodyDiv w:val="1"/>
      <w:marLeft w:val="0"/>
      <w:marRight w:val="0"/>
      <w:marTop w:val="0"/>
      <w:marBottom w:val="0"/>
      <w:divBdr>
        <w:top w:val="none" w:sz="0" w:space="0" w:color="auto"/>
        <w:left w:val="none" w:sz="0" w:space="0" w:color="auto"/>
        <w:bottom w:val="none" w:sz="0" w:space="0" w:color="auto"/>
        <w:right w:val="none" w:sz="0" w:space="0" w:color="auto"/>
      </w:divBdr>
    </w:div>
    <w:div w:id="1271821749">
      <w:bodyDiv w:val="1"/>
      <w:marLeft w:val="0"/>
      <w:marRight w:val="0"/>
      <w:marTop w:val="0"/>
      <w:marBottom w:val="0"/>
      <w:divBdr>
        <w:top w:val="none" w:sz="0" w:space="0" w:color="auto"/>
        <w:left w:val="none" w:sz="0" w:space="0" w:color="auto"/>
        <w:bottom w:val="none" w:sz="0" w:space="0" w:color="auto"/>
        <w:right w:val="none" w:sz="0" w:space="0" w:color="auto"/>
      </w:divBdr>
    </w:div>
    <w:div w:id="1316835175">
      <w:bodyDiv w:val="1"/>
      <w:marLeft w:val="0"/>
      <w:marRight w:val="0"/>
      <w:marTop w:val="0"/>
      <w:marBottom w:val="0"/>
      <w:divBdr>
        <w:top w:val="none" w:sz="0" w:space="0" w:color="auto"/>
        <w:left w:val="none" w:sz="0" w:space="0" w:color="auto"/>
        <w:bottom w:val="none" w:sz="0" w:space="0" w:color="auto"/>
        <w:right w:val="none" w:sz="0" w:space="0" w:color="auto"/>
      </w:divBdr>
    </w:div>
    <w:div w:id="1337145695">
      <w:bodyDiv w:val="1"/>
      <w:marLeft w:val="0"/>
      <w:marRight w:val="0"/>
      <w:marTop w:val="0"/>
      <w:marBottom w:val="0"/>
      <w:divBdr>
        <w:top w:val="none" w:sz="0" w:space="0" w:color="auto"/>
        <w:left w:val="none" w:sz="0" w:space="0" w:color="auto"/>
        <w:bottom w:val="none" w:sz="0" w:space="0" w:color="auto"/>
        <w:right w:val="none" w:sz="0" w:space="0" w:color="auto"/>
      </w:divBdr>
    </w:div>
    <w:div w:id="1359818822">
      <w:bodyDiv w:val="1"/>
      <w:marLeft w:val="0"/>
      <w:marRight w:val="0"/>
      <w:marTop w:val="0"/>
      <w:marBottom w:val="0"/>
      <w:divBdr>
        <w:top w:val="none" w:sz="0" w:space="0" w:color="auto"/>
        <w:left w:val="none" w:sz="0" w:space="0" w:color="auto"/>
        <w:bottom w:val="none" w:sz="0" w:space="0" w:color="auto"/>
        <w:right w:val="none" w:sz="0" w:space="0" w:color="auto"/>
      </w:divBdr>
    </w:div>
    <w:div w:id="1403408105">
      <w:bodyDiv w:val="1"/>
      <w:marLeft w:val="0"/>
      <w:marRight w:val="0"/>
      <w:marTop w:val="0"/>
      <w:marBottom w:val="0"/>
      <w:divBdr>
        <w:top w:val="none" w:sz="0" w:space="0" w:color="auto"/>
        <w:left w:val="none" w:sz="0" w:space="0" w:color="auto"/>
        <w:bottom w:val="none" w:sz="0" w:space="0" w:color="auto"/>
        <w:right w:val="none" w:sz="0" w:space="0" w:color="auto"/>
      </w:divBdr>
    </w:div>
    <w:div w:id="1404445874">
      <w:bodyDiv w:val="1"/>
      <w:marLeft w:val="0"/>
      <w:marRight w:val="0"/>
      <w:marTop w:val="0"/>
      <w:marBottom w:val="0"/>
      <w:divBdr>
        <w:top w:val="none" w:sz="0" w:space="0" w:color="auto"/>
        <w:left w:val="none" w:sz="0" w:space="0" w:color="auto"/>
        <w:bottom w:val="none" w:sz="0" w:space="0" w:color="auto"/>
        <w:right w:val="none" w:sz="0" w:space="0" w:color="auto"/>
      </w:divBdr>
    </w:div>
    <w:div w:id="1420520525">
      <w:bodyDiv w:val="1"/>
      <w:marLeft w:val="0"/>
      <w:marRight w:val="0"/>
      <w:marTop w:val="0"/>
      <w:marBottom w:val="0"/>
      <w:divBdr>
        <w:top w:val="none" w:sz="0" w:space="0" w:color="auto"/>
        <w:left w:val="none" w:sz="0" w:space="0" w:color="auto"/>
        <w:bottom w:val="none" w:sz="0" w:space="0" w:color="auto"/>
        <w:right w:val="none" w:sz="0" w:space="0" w:color="auto"/>
      </w:divBdr>
    </w:div>
    <w:div w:id="1436708604">
      <w:bodyDiv w:val="1"/>
      <w:marLeft w:val="0"/>
      <w:marRight w:val="0"/>
      <w:marTop w:val="0"/>
      <w:marBottom w:val="0"/>
      <w:divBdr>
        <w:top w:val="none" w:sz="0" w:space="0" w:color="auto"/>
        <w:left w:val="none" w:sz="0" w:space="0" w:color="auto"/>
        <w:bottom w:val="none" w:sz="0" w:space="0" w:color="auto"/>
        <w:right w:val="none" w:sz="0" w:space="0" w:color="auto"/>
      </w:divBdr>
    </w:div>
    <w:div w:id="1453135501">
      <w:bodyDiv w:val="1"/>
      <w:marLeft w:val="0"/>
      <w:marRight w:val="0"/>
      <w:marTop w:val="0"/>
      <w:marBottom w:val="0"/>
      <w:divBdr>
        <w:top w:val="none" w:sz="0" w:space="0" w:color="auto"/>
        <w:left w:val="none" w:sz="0" w:space="0" w:color="auto"/>
        <w:bottom w:val="none" w:sz="0" w:space="0" w:color="auto"/>
        <w:right w:val="none" w:sz="0" w:space="0" w:color="auto"/>
      </w:divBdr>
    </w:div>
    <w:div w:id="1461149617">
      <w:bodyDiv w:val="1"/>
      <w:marLeft w:val="0"/>
      <w:marRight w:val="0"/>
      <w:marTop w:val="0"/>
      <w:marBottom w:val="0"/>
      <w:divBdr>
        <w:top w:val="none" w:sz="0" w:space="0" w:color="auto"/>
        <w:left w:val="none" w:sz="0" w:space="0" w:color="auto"/>
        <w:bottom w:val="none" w:sz="0" w:space="0" w:color="auto"/>
        <w:right w:val="none" w:sz="0" w:space="0" w:color="auto"/>
      </w:divBdr>
    </w:div>
    <w:div w:id="1462068488">
      <w:bodyDiv w:val="1"/>
      <w:marLeft w:val="0"/>
      <w:marRight w:val="0"/>
      <w:marTop w:val="0"/>
      <w:marBottom w:val="0"/>
      <w:divBdr>
        <w:top w:val="none" w:sz="0" w:space="0" w:color="auto"/>
        <w:left w:val="none" w:sz="0" w:space="0" w:color="auto"/>
        <w:bottom w:val="none" w:sz="0" w:space="0" w:color="auto"/>
        <w:right w:val="none" w:sz="0" w:space="0" w:color="auto"/>
      </w:divBdr>
    </w:div>
    <w:div w:id="1465125229">
      <w:bodyDiv w:val="1"/>
      <w:marLeft w:val="0"/>
      <w:marRight w:val="0"/>
      <w:marTop w:val="0"/>
      <w:marBottom w:val="0"/>
      <w:divBdr>
        <w:top w:val="none" w:sz="0" w:space="0" w:color="auto"/>
        <w:left w:val="none" w:sz="0" w:space="0" w:color="auto"/>
        <w:bottom w:val="none" w:sz="0" w:space="0" w:color="auto"/>
        <w:right w:val="none" w:sz="0" w:space="0" w:color="auto"/>
      </w:divBdr>
    </w:div>
    <w:div w:id="1491408592">
      <w:bodyDiv w:val="1"/>
      <w:marLeft w:val="0"/>
      <w:marRight w:val="0"/>
      <w:marTop w:val="0"/>
      <w:marBottom w:val="0"/>
      <w:divBdr>
        <w:top w:val="none" w:sz="0" w:space="0" w:color="auto"/>
        <w:left w:val="none" w:sz="0" w:space="0" w:color="auto"/>
        <w:bottom w:val="none" w:sz="0" w:space="0" w:color="auto"/>
        <w:right w:val="none" w:sz="0" w:space="0" w:color="auto"/>
      </w:divBdr>
    </w:div>
    <w:div w:id="1494103853">
      <w:bodyDiv w:val="1"/>
      <w:marLeft w:val="0"/>
      <w:marRight w:val="0"/>
      <w:marTop w:val="0"/>
      <w:marBottom w:val="0"/>
      <w:divBdr>
        <w:top w:val="none" w:sz="0" w:space="0" w:color="auto"/>
        <w:left w:val="none" w:sz="0" w:space="0" w:color="auto"/>
        <w:bottom w:val="none" w:sz="0" w:space="0" w:color="auto"/>
        <w:right w:val="none" w:sz="0" w:space="0" w:color="auto"/>
      </w:divBdr>
    </w:div>
    <w:div w:id="1497645345">
      <w:bodyDiv w:val="1"/>
      <w:marLeft w:val="0"/>
      <w:marRight w:val="0"/>
      <w:marTop w:val="0"/>
      <w:marBottom w:val="0"/>
      <w:divBdr>
        <w:top w:val="none" w:sz="0" w:space="0" w:color="auto"/>
        <w:left w:val="none" w:sz="0" w:space="0" w:color="auto"/>
        <w:bottom w:val="none" w:sz="0" w:space="0" w:color="auto"/>
        <w:right w:val="none" w:sz="0" w:space="0" w:color="auto"/>
      </w:divBdr>
    </w:div>
    <w:div w:id="1531183293">
      <w:bodyDiv w:val="1"/>
      <w:marLeft w:val="0"/>
      <w:marRight w:val="0"/>
      <w:marTop w:val="0"/>
      <w:marBottom w:val="0"/>
      <w:divBdr>
        <w:top w:val="none" w:sz="0" w:space="0" w:color="auto"/>
        <w:left w:val="none" w:sz="0" w:space="0" w:color="auto"/>
        <w:bottom w:val="none" w:sz="0" w:space="0" w:color="auto"/>
        <w:right w:val="none" w:sz="0" w:space="0" w:color="auto"/>
      </w:divBdr>
    </w:div>
    <w:div w:id="1591573909">
      <w:bodyDiv w:val="1"/>
      <w:marLeft w:val="0"/>
      <w:marRight w:val="0"/>
      <w:marTop w:val="0"/>
      <w:marBottom w:val="0"/>
      <w:divBdr>
        <w:top w:val="none" w:sz="0" w:space="0" w:color="auto"/>
        <w:left w:val="none" w:sz="0" w:space="0" w:color="auto"/>
        <w:bottom w:val="none" w:sz="0" w:space="0" w:color="auto"/>
        <w:right w:val="none" w:sz="0" w:space="0" w:color="auto"/>
      </w:divBdr>
    </w:div>
    <w:div w:id="1595239004">
      <w:bodyDiv w:val="1"/>
      <w:marLeft w:val="0"/>
      <w:marRight w:val="0"/>
      <w:marTop w:val="0"/>
      <w:marBottom w:val="0"/>
      <w:divBdr>
        <w:top w:val="none" w:sz="0" w:space="0" w:color="auto"/>
        <w:left w:val="none" w:sz="0" w:space="0" w:color="auto"/>
        <w:bottom w:val="none" w:sz="0" w:space="0" w:color="auto"/>
        <w:right w:val="none" w:sz="0" w:space="0" w:color="auto"/>
      </w:divBdr>
    </w:div>
    <w:div w:id="1596747978">
      <w:bodyDiv w:val="1"/>
      <w:marLeft w:val="0"/>
      <w:marRight w:val="0"/>
      <w:marTop w:val="0"/>
      <w:marBottom w:val="0"/>
      <w:divBdr>
        <w:top w:val="none" w:sz="0" w:space="0" w:color="auto"/>
        <w:left w:val="none" w:sz="0" w:space="0" w:color="auto"/>
        <w:bottom w:val="none" w:sz="0" w:space="0" w:color="auto"/>
        <w:right w:val="none" w:sz="0" w:space="0" w:color="auto"/>
      </w:divBdr>
    </w:div>
    <w:div w:id="1614050347">
      <w:bodyDiv w:val="1"/>
      <w:marLeft w:val="0"/>
      <w:marRight w:val="0"/>
      <w:marTop w:val="0"/>
      <w:marBottom w:val="0"/>
      <w:divBdr>
        <w:top w:val="none" w:sz="0" w:space="0" w:color="auto"/>
        <w:left w:val="none" w:sz="0" w:space="0" w:color="auto"/>
        <w:bottom w:val="none" w:sz="0" w:space="0" w:color="auto"/>
        <w:right w:val="none" w:sz="0" w:space="0" w:color="auto"/>
      </w:divBdr>
    </w:div>
    <w:div w:id="1644651903">
      <w:bodyDiv w:val="1"/>
      <w:marLeft w:val="0"/>
      <w:marRight w:val="0"/>
      <w:marTop w:val="0"/>
      <w:marBottom w:val="0"/>
      <w:divBdr>
        <w:top w:val="none" w:sz="0" w:space="0" w:color="auto"/>
        <w:left w:val="none" w:sz="0" w:space="0" w:color="auto"/>
        <w:bottom w:val="none" w:sz="0" w:space="0" w:color="auto"/>
        <w:right w:val="none" w:sz="0" w:space="0" w:color="auto"/>
      </w:divBdr>
    </w:div>
    <w:div w:id="1674453865">
      <w:bodyDiv w:val="1"/>
      <w:marLeft w:val="0"/>
      <w:marRight w:val="0"/>
      <w:marTop w:val="0"/>
      <w:marBottom w:val="0"/>
      <w:divBdr>
        <w:top w:val="none" w:sz="0" w:space="0" w:color="auto"/>
        <w:left w:val="none" w:sz="0" w:space="0" w:color="auto"/>
        <w:bottom w:val="none" w:sz="0" w:space="0" w:color="auto"/>
        <w:right w:val="none" w:sz="0" w:space="0" w:color="auto"/>
      </w:divBdr>
    </w:div>
    <w:div w:id="1697073221">
      <w:bodyDiv w:val="1"/>
      <w:marLeft w:val="0"/>
      <w:marRight w:val="0"/>
      <w:marTop w:val="0"/>
      <w:marBottom w:val="0"/>
      <w:divBdr>
        <w:top w:val="none" w:sz="0" w:space="0" w:color="auto"/>
        <w:left w:val="none" w:sz="0" w:space="0" w:color="auto"/>
        <w:bottom w:val="none" w:sz="0" w:space="0" w:color="auto"/>
        <w:right w:val="none" w:sz="0" w:space="0" w:color="auto"/>
      </w:divBdr>
    </w:div>
    <w:div w:id="1719091530">
      <w:bodyDiv w:val="1"/>
      <w:marLeft w:val="0"/>
      <w:marRight w:val="0"/>
      <w:marTop w:val="0"/>
      <w:marBottom w:val="0"/>
      <w:divBdr>
        <w:top w:val="none" w:sz="0" w:space="0" w:color="auto"/>
        <w:left w:val="none" w:sz="0" w:space="0" w:color="auto"/>
        <w:bottom w:val="none" w:sz="0" w:space="0" w:color="auto"/>
        <w:right w:val="none" w:sz="0" w:space="0" w:color="auto"/>
      </w:divBdr>
    </w:div>
    <w:div w:id="1732725496">
      <w:bodyDiv w:val="1"/>
      <w:marLeft w:val="0"/>
      <w:marRight w:val="0"/>
      <w:marTop w:val="0"/>
      <w:marBottom w:val="0"/>
      <w:divBdr>
        <w:top w:val="none" w:sz="0" w:space="0" w:color="auto"/>
        <w:left w:val="none" w:sz="0" w:space="0" w:color="auto"/>
        <w:bottom w:val="none" w:sz="0" w:space="0" w:color="auto"/>
        <w:right w:val="none" w:sz="0" w:space="0" w:color="auto"/>
      </w:divBdr>
    </w:div>
    <w:div w:id="1737897511">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 w:id="1777358666">
      <w:bodyDiv w:val="1"/>
      <w:marLeft w:val="0"/>
      <w:marRight w:val="0"/>
      <w:marTop w:val="0"/>
      <w:marBottom w:val="0"/>
      <w:divBdr>
        <w:top w:val="none" w:sz="0" w:space="0" w:color="auto"/>
        <w:left w:val="none" w:sz="0" w:space="0" w:color="auto"/>
        <w:bottom w:val="none" w:sz="0" w:space="0" w:color="auto"/>
        <w:right w:val="none" w:sz="0" w:space="0" w:color="auto"/>
      </w:divBdr>
    </w:div>
    <w:div w:id="1808162870">
      <w:bodyDiv w:val="1"/>
      <w:marLeft w:val="0"/>
      <w:marRight w:val="0"/>
      <w:marTop w:val="0"/>
      <w:marBottom w:val="0"/>
      <w:divBdr>
        <w:top w:val="none" w:sz="0" w:space="0" w:color="auto"/>
        <w:left w:val="none" w:sz="0" w:space="0" w:color="auto"/>
        <w:bottom w:val="none" w:sz="0" w:space="0" w:color="auto"/>
        <w:right w:val="none" w:sz="0" w:space="0" w:color="auto"/>
      </w:divBdr>
    </w:div>
    <w:div w:id="1875727409">
      <w:bodyDiv w:val="1"/>
      <w:marLeft w:val="0"/>
      <w:marRight w:val="0"/>
      <w:marTop w:val="0"/>
      <w:marBottom w:val="0"/>
      <w:divBdr>
        <w:top w:val="none" w:sz="0" w:space="0" w:color="auto"/>
        <w:left w:val="none" w:sz="0" w:space="0" w:color="auto"/>
        <w:bottom w:val="none" w:sz="0" w:space="0" w:color="auto"/>
        <w:right w:val="none" w:sz="0" w:space="0" w:color="auto"/>
      </w:divBdr>
    </w:div>
    <w:div w:id="1879587798">
      <w:bodyDiv w:val="1"/>
      <w:marLeft w:val="0"/>
      <w:marRight w:val="0"/>
      <w:marTop w:val="0"/>
      <w:marBottom w:val="0"/>
      <w:divBdr>
        <w:top w:val="none" w:sz="0" w:space="0" w:color="auto"/>
        <w:left w:val="none" w:sz="0" w:space="0" w:color="auto"/>
        <w:bottom w:val="none" w:sz="0" w:space="0" w:color="auto"/>
        <w:right w:val="none" w:sz="0" w:space="0" w:color="auto"/>
      </w:divBdr>
    </w:div>
    <w:div w:id="1948194824">
      <w:bodyDiv w:val="1"/>
      <w:marLeft w:val="0"/>
      <w:marRight w:val="0"/>
      <w:marTop w:val="0"/>
      <w:marBottom w:val="0"/>
      <w:divBdr>
        <w:top w:val="none" w:sz="0" w:space="0" w:color="auto"/>
        <w:left w:val="none" w:sz="0" w:space="0" w:color="auto"/>
        <w:bottom w:val="none" w:sz="0" w:space="0" w:color="auto"/>
        <w:right w:val="none" w:sz="0" w:space="0" w:color="auto"/>
      </w:divBdr>
    </w:div>
    <w:div w:id="1973362578">
      <w:bodyDiv w:val="1"/>
      <w:marLeft w:val="0"/>
      <w:marRight w:val="0"/>
      <w:marTop w:val="0"/>
      <w:marBottom w:val="0"/>
      <w:divBdr>
        <w:top w:val="none" w:sz="0" w:space="0" w:color="auto"/>
        <w:left w:val="none" w:sz="0" w:space="0" w:color="auto"/>
        <w:bottom w:val="none" w:sz="0" w:space="0" w:color="auto"/>
        <w:right w:val="none" w:sz="0" w:space="0" w:color="auto"/>
      </w:divBdr>
    </w:div>
    <w:div w:id="1991790990">
      <w:bodyDiv w:val="1"/>
      <w:marLeft w:val="0"/>
      <w:marRight w:val="0"/>
      <w:marTop w:val="0"/>
      <w:marBottom w:val="0"/>
      <w:divBdr>
        <w:top w:val="none" w:sz="0" w:space="0" w:color="auto"/>
        <w:left w:val="none" w:sz="0" w:space="0" w:color="auto"/>
        <w:bottom w:val="none" w:sz="0" w:space="0" w:color="auto"/>
        <w:right w:val="none" w:sz="0" w:space="0" w:color="auto"/>
      </w:divBdr>
    </w:div>
    <w:div w:id="2037658824">
      <w:bodyDiv w:val="1"/>
      <w:marLeft w:val="0"/>
      <w:marRight w:val="0"/>
      <w:marTop w:val="0"/>
      <w:marBottom w:val="0"/>
      <w:divBdr>
        <w:top w:val="none" w:sz="0" w:space="0" w:color="auto"/>
        <w:left w:val="none" w:sz="0" w:space="0" w:color="auto"/>
        <w:bottom w:val="none" w:sz="0" w:space="0" w:color="auto"/>
        <w:right w:val="none" w:sz="0" w:space="0" w:color="auto"/>
      </w:divBdr>
    </w:div>
    <w:div w:id="2137795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scrutiny@parliament.act.gov.a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parliament.act.gov.au/parliamentary-business/in-committees/committees-11th-assembly/LA_Scrutiny" TargetMode="External"/><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1.xm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www.parliament.act.gov.au/parliamentary-business/in-committe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www.aph.gov.au/Parliamentary_Business/Committees/Senate/Scrutiny_of_Delegated_Legislation/Guidelines/Guide_to_working_with_the_committee" TargetMode="External"/><Relationship Id="rId3" Type="http://schemas.openxmlformats.org/officeDocument/2006/relationships/hyperlink" Target="https://www.act.gov.au/__data/assets/pdf_file/0007/2595553/N-s-21-Fair-trial-Human-Rights-Education.pdf" TargetMode="External"/><Relationship Id="rId7" Type="http://schemas.openxmlformats.org/officeDocument/2006/relationships/hyperlink" Target="https://www.parliament.act.gov.au/__data/assets/pdf_file/0020/2426114/Scrutiny-Report-40-Final.pdf" TargetMode="External"/><Relationship Id="rId2" Type="http://schemas.openxmlformats.org/officeDocument/2006/relationships/hyperlink" Target="https://www.parliament.act.gov.au/__data/assets/pdf_file/0006/434346/Guide-to-writing-an-explanatory-statement.pdf" TargetMode="External"/><Relationship Id="rId1" Type="http://schemas.openxmlformats.org/officeDocument/2006/relationships/hyperlink" Target="https://www.parliament.act.gov.au/parliamentary-business/in-committees/committees-11th-assembly/LA_Scrutiny" TargetMode="External"/><Relationship Id="rId6" Type="http://schemas.openxmlformats.org/officeDocument/2006/relationships/hyperlink" Target="https://www.parliament.act.gov.au/__data/assets/pdf_file/0004/3052741/SL2026-1Legal-Profession-Barristers-Rules-2026Revised-ES.pdf" TargetMode="External"/><Relationship Id="rId11" Type="http://schemas.openxmlformats.org/officeDocument/2006/relationships/hyperlink" Target="https://www.parliament.act.gov.au/parliamentary-business/in-committees/committees-11th-assembly/LA_Scrutiny/response-to-comments-on-subordinate-legislation" TargetMode="External"/><Relationship Id="rId5" Type="http://schemas.openxmlformats.org/officeDocument/2006/relationships/hyperlink" Target="https://www.parliament.act.gov.au/__data/assets/pdf_file/0010/3052738/SL2026-1Legal-Profession-Barristers-Rules-2026Government-response.pdf" TargetMode="External"/><Relationship Id="rId10" Type="http://schemas.openxmlformats.org/officeDocument/2006/relationships/hyperlink" Target="https://www.aph.gov.au/Parliamentary_Business/Committees/Senate/Scrutiny_of_Delegated_Legislation/Guidelines/Guide_to_working_with_the_committee" TargetMode="External"/><Relationship Id="rId4" Type="http://schemas.openxmlformats.org/officeDocument/2006/relationships/hyperlink" Target="https://www.parliament.act.gov.au/__data/assets/pdf_file/0012/3039798/NP-52-24-March-2026.pdf" TargetMode="External"/><Relationship Id="rId9" Type="http://schemas.openxmlformats.org/officeDocument/2006/relationships/hyperlink" Target="https://www.parliament.act.gov.au/__data/assets/pdf_file/0016/2421232/DI2023-202Further-response-to-Report-38.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Body)">
    <w:altName w:val="Calibri"/>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Montserrat">
    <w:altName w:val="﷽﷽﷽﷽﷽﷽﷽﷽at"/>
    <w:panose1 w:val="00000500000000000000"/>
    <w:charset w:val="00"/>
    <w:family w:val="auto"/>
    <w:pitch w:val="variable"/>
    <w:sig w:usb0="2000020F" w:usb1="00000003" w:usb2="00000000" w:usb3="00000000" w:csb0="00000197" w:csb1="00000000"/>
  </w:font>
  <w:font w:name="Montserrat SemiBold">
    <w:panose1 w:val="000007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Garamond MT Std">
    <w:altName w:val="Cambria"/>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034"/>
    <w:rsid w:val="000211DC"/>
    <w:rsid w:val="00035633"/>
    <w:rsid w:val="00052624"/>
    <w:rsid w:val="000666B8"/>
    <w:rsid w:val="000744CE"/>
    <w:rsid w:val="000B3BD1"/>
    <w:rsid w:val="000C142E"/>
    <w:rsid w:val="000C63B0"/>
    <w:rsid w:val="00111154"/>
    <w:rsid w:val="0013070F"/>
    <w:rsid w:val="0013514A"/>
    <w:rsid w:val="00136AD7"/>
    <w:rsid w:val="00153659"/>
    <w:rsid w:val="001637A7"/>
    <w:rsid w:val="00175F31"/>
    <w:rsid w:val="0018767F"/>
    <w:rsid w:val="00195F90"/>
    <w:rsid w:val="001C320E"/>
    <w:rsid w:val="001C6AE0"/>
    <w:rsid w:val="001D0583"/>
    <w:rsid w:val="001F253D"/>
    <w:rsid w:val="001F5B67"/>
    <w:rsid w:val="00216C0B"/>
    <w:rsid w:val="002254CE"/>
    <w:rsid w:val="002278A4"/>
    <w:rsid w:val="00243009"/>
    <w:rsid w:val="00277678"/>
    <w:rsid w:val="0028163E"/>
    <w:rsid w:val="0028238F"/>
    <w:rsid w:val="0028590F"/>
    <w:rsid w:val="002D57A2"/>
    <w:rsid w:val="002E0418"/>
    <w:rsid w:val="002E7791"/>
    <w:rsid w:val="002F374E"/>
    <w:rsid w:val="002F6146"/>
    <w:rsid w:val="00310DB0"/>
    <w:rsid w:val="00332344"/>
    <w:rsid w:val="00337B79"/>
    <w:rsid w:val="0038322B"/>
    <w:rsid w:val="003C221A"/>
    <w:rsid w:val="003C3B8F"/>
    <w:rsid w:val="003C5267"/>
    <w:rsid w:val="003D4084"/>
    <w:rsid w:val="003D5F1D"/>
    <w:rsid w:val="004011AD"/>
    <w:rsid w:val="00405C49"/>
    <w:rsid w:val="00407E18"/>
    <w:rsid w:val="00437C8B"/>
    <w:rsid w:val="00453C62"/>
    <w:rsid w:val="00455D15"/>
    <w:rsid w:val="00465034"/>
    <w:rsid w:val="0047394C"/>
    <w:rsid w:val="0049572A"/>
    <w:rsid w:val="004A1015"/>
    <w:rsid w:val="004B24F4"/>
    <w:rsid w:val="004C034E"/>
    <w:rsid w:val="004C2481"/>
    <w:rsid w:val="004C6E5F"/>
    <w:rsid w:val="004D1E5B"/>
    <w:rsid w:val="004F727A"/>
    <w:rsid w:val="00546E8A"/>
    <w:rsid w:val="00555AF9"/>
    <w:rsid w:val="00561229"/>
    <w:rsid w:val="00562CC7"/>
    <w:rsid w:val="00591AF2"/>
    <w:rsid w:val="005A13F8"/>
    <w:rsid w:val="005A1920"/>
    <w:rsid w:val="005B04DC"/>
    <w:rsid w:val="005B3140"/>
    <w:rsid w:val="005B7C45"/>
    <w:rsid w:val="005B7E98"/>
    <w:rsid w:val="005E06B9"/>
    <w:rsid w:val="005F0866"/>
    <w:rsid w:val="0063557D"/>
    <w:rsid w:val="00646782"/>
    <w:rsid w:val="006548F9"/>
    <w:rsid w:val="00661A56"/>
    <w:rsid w:val="006673AB"/>
    <w:rsid w:val="00671DF4"/>
    <w:rsid w:val="00684448"/>
    <w:rsid w:val="00694A4E"/>
    <w:rsid w:val="00695922"/>
    <w:rsid w:val="0069732C"/>
    <w:rsid w:val="006A3B5E"/>
    <w:rsid w:val="006A3B6D"/>
    <w:rsid w:val="006A579C"/>
    <w:rsid w:val="006D2E2B"/>
    <w:rsid w:val="006F3A94"/>
    <w:rsid w:val="007376EF"/>
    <w:rsid w:val="00744361"/>
    <w:rsid w:val="0077148B"/>
    <w:rsid w:val="00777BAF"/>
    <w:rsid w:val="00782EDE"/>
    <w:rsid w:val="0078567D"/>
    <w:rsid w:val="00791E32"/>
    <w:rsid w:val="007B5A2E"/>
    <w:rsid w:val="007B60E0"/>
    <w:rsid w:val="007C040E"/>
    <w:rsid w:val="007C3664"/>
    <w:rsid w:val="007C54CE"/>
    <w:rsid w:val="007F2EC2"/>
    <w:rsid w:val="00807916"/>
    <w:rsid w:val="00807CB1"/>
    <w:rsid w:val="008170C4"/>
    <w:rsid w:val="0083543A"/>
    <w:rsid w:val="00876FDA"/>
    <w:rsid w:val="008927B5"/>
    <w:rsid w:val="008A2010"/>
    <w:rsid w:val="008A7D0C"/>
    <w:rsid w:val="008E2807"/>
    <w:rsid w:val="008E42F4"/>
    <w:rsid w:val="008F75D9"/>
    <w:rsid w:val="00901613"/>
    <w:rsid w:val="009276E2"/>
    <w:rsid w:val="0093479E"/>
    <w:rsid w:val="0093583E"/>
    <w:rsid w:val="00943409"/>
    <w:rsid w:val="009552FD"/>
    <w:rsid w:val="009613F8"/>
    <w:rsid w:val="0096205D"/>
    <w:rsid w:val="00970294"/>
    <w:rsid w:val="009773FB"/>
    <w:rsid w:val="00994AFF"/>
    <w:rsid w:val="009B774E"/>
    <w:rsid w:val="009D4E7C"/>
    <w:rsid w:val="009D77FC"/>
    <w:rsid w:val="009D7C3B"/>
    <w:rsid w:val="009F4016"/>
    <w:rsid w:val="009F6D59"/>
    <w:rsid w:val="00A427C4"/>
    <w:rsid w:val="00A437AA"/>
    <w:rsid w:val="00A57072"/>
    <w:rsid w:val="00A72746"/>
    <w:rsid w:val="00A80B6C"/>
    <w:rsid w:val="00A903A4"/>
    <w:rsid w:val="00A92CA9"/>
    <w:rsid w:val="00AD1F91"/>
    <w:rsid w:val="00AD2F42"/>
    <w:rsid w:val="00AD52DB"/>
    <w:rsid w:val="00AD5C05"/>
    <w:rsid w:val="00B01774"/>
    <w:rsid w:val="00B02770"/>
    <w:rsid w:val="00B13C0F"/>
    <w:rsid w:val="00B37B7D"/>
    <w:rsid w:val="00B54AB2"/>
    <w:rsid w:val="00B551B6"/>
    <w:rsid w:val="00B555E8"/>
    <w:rsid w:val="00B61AE9"/>
    <w:rsid w:val="00B71C7C"/>
    <w:rsid w:val="00B7316A"/>
    <w:rsid w:val="00B736F7"/>
    <w:rsid w:val="00BB3353"/>
    <w:rsid w:val="00BD31E4"/>
    <w:rsid w:val="00BD5812"/>
    <w:rsid w:val="00C11939"/>
    <w:rsid w:val="00C1299A"/>
    <w:rsid w:val="00C20AFE"/>
    <w:rsid w:val="00C33C28"/>
    <w:rsid w:val="00C576AC"/>
    <w:rsid w:val="00C657E6"/>
    <w:rsid w:val="00C667A0"/>
    <w:rsid w:val="00C83312"/>
    <w:rsid w:val="00C8550A"/>
    <w:rsid w:val="00C87409"/>
    <w:rsid w:val="00C92906"/>
    <w:rsid w:val="00CB3C16"/>
    <w:rsid w:val="00CD0E01"/>
    <w:rsid w:val="00CE7815"/>
    <w:rsid w:val="00D02036"/>
    <w:rsid w:val="00D05E85"/>
    <w:rsid w:val="00D203BD"/>
    <w:rsid w:val="00D25468"/>
    <w:rsid w:val="00D3077E"/>
    <w:rsid w:val="00D46D30"/>
    <w:rsid w:val="00D4737F"/>
    <w:rsid w:val="00D50F77"/>
    <w:rsid w:val="00D729CE"/>
    <w:rsid w:val="00DA0A3B"/>
    <w:rsid w:val="00DC17BA"/>
    <w:rsid w:val="00DD19F2"/>
    <w:rsid w:val="00E06E58"/>
    <w:rsid w:val="00E1597B"/>
    <w:rsid w:val="00E221A7"/>
    <w:rsid w:val="00E270AE"/>
    <w:rsid w:val="00E311A1"/>
    <w:rsid w:val="00E6168D"/>
    <w:rsid w:val="00E64FB5"/>
    <w:rsid w:val="00EA46BE"/>
    <w:rsid w:val="00EA643D"/>
    <w:rsid w:val="00EB2CFB"/>
    <w:rsid w:val="00EB41B3"/>
    <w:rsid w:val="00ED5EF4"/>
    <w:rsid w:val="00ED77BC"/>
    <w:rsid w:val="00EF567E"/>
    <w:rsid w:val="00F14373"/>
    <w:rsid w:val="00F272EA"/>
    <w:rsid w:val="00F4175F"/>
    <w:rsid w:val="00F44123"/>
    <w:rsid w:val="00F45D02"/>
    <w:rsid w:val="00F46A7D"/>
    <w:rsid w:val="00F52AD3"/>
    <w:rsid w:val="00F72C8D"/>
    <w:rsid w:val="00F74F6B"/>
    <w:rsid w:val="00F84DF3"/>
    <w:rsid w:val="00F91A78"/>
    <w:rsid w:val="00F93EE4"/>
    <w:rsid w:val="00FA443F"/>
    <w:rsid w:val="00FE77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5034"/>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4F2E4F-7ACE-4F29-B964-6826B51F9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30</Pages>
  <Words>9426</Words>
  <Characters>52009</Characters>
  <Application>Microsoft Office Word</Application>
  <DocSecurity>0</DocSecurity>
  <Lines>1023</Lines>
  <Paragraphs>368</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61163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Anne</dc:creator>
  <cp:keywords/>
  <dc:description/>
  <cp:lastModifiedBy>Scott, Frieda</cp:lastModifiedBy>
  <cp:revision>4</cp:revision>
  <cp:lastPrinted>2026-04-28T05:08:00Z</cp:lastPrinted>
  <dcterms:created xsi:type="dcterms:W3CDTF">2026-04-28T04:32:00Z</dcterms:created>
  <dcterms:modified xsi:type="dcterms:W3CDTF">2026-04-28T05:09:00Z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2024-01-25T00:41:27Z</vt:lpwstr>
  </property>
  <property fmtid="{D5CDD505-2E9C-101B-9397-08002B2CF9AE}" pid="4" name="MSIP_Label_69af8531-eb46-4968-8cb3-105d2f5ea87e_Method">
    <vt:lpwstr>Privileged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30da32b1-e2e3-4067-89f2-a4d980909a95</vt:lpwstr>
  </property>
  <property fmtid="{D5CDD505-2E9C-101B-9397-08002B2CF9AE}" pid="8" name="MSIP_Label_69af8531-eb46-4968-8cb3-105d2f5ea87e_ContentBits">
    <vt:lpwstr>0</vt:lpwstr>
  </property>
</Properties>
</file>