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D746401" w:rsidR="00C02510" w:rsidRPr="00C8358A" w:rsidRDefault="00C02510" w:rsidP="00C8358A">
      <w:pPr>
        <w:pStyle w:val="Cover-Committeename"/>
        <w:ind w:left="1701"/>
      </w:pPr>
      <w:bookmarkStart w:id="0" w:name="_Toc79133346"/>
      <w:r w:rsidRPr="00C8358A">
        <w:t xml:space="preserve">Standing Committee on </w:t>
      </w:r>
      <w:r w:rsidR="00C8044E">
        <w:t>Justice and Community Safety</w:t>
      </w:r>
    </w:p>
    <w:p w14:paraId="1F774161" w14:textId="77777777" w:rsidR="005426F5" w:rsidRDefault="00C02510" w:rsidP="0075417C">
      <w:pPr>
        <w:pStyle w:val="Title"/>
        <w:ind w:right="-46"/>
      </w:pPr>
      <w:r w:rsidRPr="00C8044E">
        <w:t xml:space="preserve">Inquiry into </w:t>
      </w:r>
      <w:bookmarkStart w:id="1" w:name="_Hlk146722756"/>
    </w:p>
    <w:p w14:paraId="6F1D36AD" w14:textId="68A866A9" w:rsidR="0075417C" w:rsidRDefault="00E70348" w:rsidP="0075417C">
      <w:pPr>
        <w:pStyle w:val="Title"/>
        <w:ind w:right="-46"/>
      </w:pPr>
      <w:r w:rsidRPr="00C8044E">
        <w:t>Gaming Machine Amendment Bill 2023</w:t>
      </w:r>
    </w:p>
    <w:bookmarkEnd w:id="1"/>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77777777" w:rsidR="00A23A3E" w:rsidRPr="0075417C" w:rsidRDefault="00A23A3E"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5ED5028A" w14:textId="77777777" w:rsidR="00466BED" w:rsidRDefault="00466BED" w:rsidP="0063473A">
      <w:pPr>
        <w:pStyle w:val="Heading1nonumber"/>
      </w:pPr>
      <w:bookmarkStart w:id="2" w:name="_Toc142567168"/>
      <w:bookmarkStart w:id="3" w:name="_Toc151541218"/>
      <w:r>
        <w:lastRenderedPageBreak/>
        <w:t>About the committee</w:t>
      </w:r>
      <w:bookmarkEnd w:id="2"/>
      <w:bookmarkEnd w:id="3"/>
    </w:p>
    <w:p w14:paraId="2CCF5BF9" w14:textId="77777777" w:rsidR="00466BED" w:rsidRDefault="00466BED" w:rsidP="002D6754">
      <w:pPr>
        <w:pStyle w:val="Heading2"/>
      </w:pPr>
      <w:bookmarkStart w:id="4" w:name="_Toc142567169"/>
      <w:bookmarkStart w:id="5" w:name="_Toc151541219"/>
      <w:r>
        <w:t>Establishing resolution</w:t>
      </w:r>
      <w:bookmarkEnd w:id="4"/>
      <w:bookmarkEnd w:id="5"/>
    </w:p>
    <w:p w14:paraId="2A083241" w14:textId="1530CACE" w:rsidR="00466BED" w:rsidRDefault="00466BED" w:rsidP="00466BED">
      <w:r>
        <w:t xml:space="preserve">The Assembly established the </w:t>
      </w:r>
      <w:r w:rsidR="00AF67F7">
        <w:fldChar w:fldCharType="begin"/>
      </w:r>
      <w:r w:rsidR="00AF67F7">
        <w:instrText xml:space="preserve"> STYLEREF  "Cover - Committee name"  \* MERGEFORMAT </w:instrText>
      </w:r>
      <w:r w:rsidR="00AF67F7">
        <w:fldChar w:fldCharType="separate"/>
      </w:r>
      <w:r w:rsidR="008E2DFD">
        <w:rPr>
          <w:noProof/>
        </w:rPr>
        <w:t>Standing Committee on Justice and Community Safety</w:t>
      </w:r>
      <w:r w:rsidR="00AF67F7">
        <w:rPr>
          <w:noProof/>
        </w:rPr>
        <w:fldChar w:fldCharType="end"/>
      </w:r>
      <w:r>
        <w:t xml:space="preserve"> on 2 December 2020. </w:t>
      </w:r>
      <w:r w:rsidR="005B1275">
        <w:t xml:space="preserve"> </w:t>
      </w:r>
    </w:p>
    <w:tbl>
      <w:tblPr>
        <w:tblStyle w:val="Assemblystyletable"/>
        <w:tblpPr w:leftFromText="180" w:rightFromText="180" w:vertAnchor="text" w:horzAnchor="margin" w:tblpY="344"/>
        <w:tblW w:w="9454" w:type="dxa"/>
        <w:tblBorders>
          <w:top w:val="none" w:sz="0" w:space="0" w:color="auto"/>
          <w:bottom w:val="none" w:sz="0" w:space="0" w:color="auto"/>
        </w:tblBorders>
        <w:tblLook w:val="04A0" w:firstRow="1" w:lastRow="0" w:firstColumn="1" w:lastColumn="0" w:noHBand="0" w:noVBand="1"/>
      </w:tblPr>
      <w:tblGrid>
        <w:gridCol w:w="4654"/>
        <w:gridCol w:w="4800"/>
      </w:tblGrid>
      <w:tr w:rsidR="005B1275" w14:paraId="49C919D3" w14:textId="77777777" w:rsidTr="005B1275">
        <w:trPr>
          <w:cnfStyle w:val="100000000000" w:firstRow="1" w:lastRow="0" w:firstColumn="0" w:lastColumn="0" w:oddVBand="0" w:evenVBand="0" w:oddHBand="0" w:evenHBand="0" w:firstRowFirstColumn="0" w:firstRowLastColumn="0" w:lastRowFirstColumn="0" w:lastRowLastColumn="0"/>
          <w:trHeight w:val="466"/>
        </w:trPr>
        <w:tc>
          <w:tcPr>
            <w:tcW w:w="0" w:type="auto"/>
            <w:tcBorders>
              <w:top w:val="none" w:sz="0" w:space="0" w:color="auto"/>
              <w:left w:val="none" w:sz="0" w:space="0" w:color="auto"/>
              <w:bottom w:val="none" w:sz="0" w:space="0" w:color="auto"/>
              <w:right w:val="none" w:sz="0" w:space="0" w:color="auto"/>
            </w:tcBorders>
          </w:tcPr>
          <w:p w14:paraId="1F2FA53F" w14:textId="77777777" w:rsidR="005B1275" w:rsidRDefault="005B1275" w:rsidP="005B1275">
            <w:pPr>
              <w:pStyle w:val="ListParagraph"/>
              <w:numPr>
                <w:ilvl w:val="0"/>
                <w:numId w:val="14"/>
              </w:numPr>
            </w:pPr>
            <w:r>
              <w:t>ACT Electoral Commission</w:t>
            </w:r>
          </w:p>
          <w:p w14:paraId="01E337AF" w14:textId="77777777" w:rsidR="005B1275" w:rsidRDefault="005B1275" w:rsidP="005B1275">
            <w:pPr>
              <w:pStyle w:val="ListParagraph"/>
              <w:numPr>
                <w:ilvl w:val="0"/>
                <w:numId w:val="14"/>
              </w:numPr>
            </w:pPr>
            <w:r>
              <w:t>ACT Integrity Commission</w:t>
            </w:r>
          </w:p>
          <w:p w14:paraId="04DBE73B" w14:textId="77777777" w:rsidR="005B1275" w:rsidRDefault="005B1275" w:rsidP="005B1275">
            <w:pPr>
              <w:pStyle w:val="ListParagraph"/>
              <w:numPr>
                <w:ilvl w:val="0"/>
                <w:numId w:val="14"/>
              </w:numPr>
            </w:pPr>
            <w:r>
              <w:t>Gaming</w:t>
            </w:r>
          </w:p>
          <w:p w14:paraId="03426DD3" w14:textId="77777777" w:rsidR="005B1275" w:rsidRDefault="005B1275" w:rsidP="005B1275">
            <w:pPr>
              <w:pStyle w:val="ListParagraph"/>
              <w:numPr>
                <w:ilvl w:val="0"/>
                <w:numId w:val="14"/>
              </w:numPr>
            </w:pPr>
            <w:r>
              <w:t>Minister of State (JACS reporting areas)</w:t>
            </w:r>
          </w:p>
          <w:p w14:paraId="267BE247" w14:textId="77777777" w:rsidR="005B1275" w:rsidRDefault="005B1275" w:rsidP="005B1275">
            <w:pPr>
              <w:pStyle w:val="ListParagraph"/>
              <w:numPr>
                <w:ilvl w:val="0"/>
                <w:numId w:val="14"/>
              </w:numPr>
            </w:pPr>
            <w:r>
              <w:t>Emergency management and the</w:t>
            </w:r>
          </w:p>
          <w:p w14:paraId="79A495F0" w14:textId="77777777" w:rsidR="005B1275" w:rsidRDefault="005B1275" w:rsidP="005B1275">
            <w:pPr>
              <w:pStyle w:val="ListParagraph"/>
              <w:ind w:left="340"/>
            </w:pPr>
            <w:r>
              <w:t>Emergency Services Agency</w:t>
            </w:r>
          </w:p>
          <w:p w14:paraId="3A190176" w14:textId="77777777" w:rsidR="005B1275" w:rsidRDefault="005B1275" w:rsidP="005B1275">
            <w:pPr>
              <w:pStyle w:val="ListParagraph"/>
              <w:numPr>
                <w:ilvl w:val="0"/>
                <w:numId w:val="14"/>
              </w:numPr>
            </w:pPr>
            <w:r>
              <w:t>Policing and ACT Policing</w:t>
            </w:r>
          </w:p>
          <w:p w14:paraId="6C59EDA5" w14:textId="77777777" w:rsidR="005B1275" w:rsidRPr="00466BED" w:rsidRDefault="005B1275" w:rsidP="005B1275">
            <w:pPr>
              <w:pStyle w:val="ListParagraph"/>
              <w:numPr>
                <w:ilvl w:val="0"/>
                <w:numId w:val="14"/>
              </w:numPr>
            </w:pPr>
            <w:r w:rsidRPr="00466BED">
              <w:t>ACT Ombudsman</w:t>
            </w:r>
          </w:p>
        </w:tc>
        <w:tc>
          <w:tcPr>
            <w:tcW w:w="0" w:type="auto"/>
            <w:tcBorders>
              <w:top w:val="none" w:sz="0" w:space="0" w:color="auto"/>
              <w:left w:val="none" w:sz="0" w:space="0" w:color="auto"/>
              <w:bottom w:val="none" w:sz="0" w:space="0" w:color="auto"/>
              <w:right w:val="none" w:sz="0" w:space="0" w:color="auto"/>
            </w:tcBorders>
          </w:tcPr>
          <w:p w14:paraId="50FED4B7" w14:textId="77777777" w:rsidR="005B1275" w:rsidRDefault="005B1275" w:rsidP="005B1275">
            <w:pPr>
              <w:pStyle w:val="ListParagraph"/>
              <w:numPr>
                <w:ilvl w:val="0"/>
                <w:numId w:val="14"/>
              </w:numPr>
            </w:pPr>
            <w:r>
              <w:t>Corrective services</w:t>
            </w:r>
          </w:p>
          <w:p w14:paraId="5B336165" w14:textId="77777777" w:rsidR="005B1275" w:rsidRDefault="005B1275" w:rsidP="005B1275">
            <w:pPr>
              <w:pStyle w:val="ListParagraph"/>
              <w:numPr>
                <w:ilvl w:val="0"/>
                <w:numId w:val="14"/>
              </w:numPr>
            </w:pPr>
            <w:r>
              <w:t>Attorney-General</w:t>
            </w:r>
          </w:p>
          <w:p w14:paraId="5D2C55A1" w14:textId="77777777" w:rsidR="005B1275" w:rsidRDefault="005B1275" w:rsidP="005B1275">
            <w:pPr>
              <w:pStyle w:val="ListParagraph"/>
              <w:numPr>
                <w:ilvl w:val="0"/>
                <w:numId w:val="14"/>
              </w:numPr>
            </w:pPr>
            <w:r>
              <w:t>Consumer affairs</w:t>
            </w:r>
          </w:p>
          <w:p w14:paraId="08DDD796" w14:textId="77777777" w:rsidR="005B1275" w:rsidRDefault="005B1275" w:rsidP="005B1275">
            <w:pPr>
              <w:pStyle w:val="ListParagraph"/>
              <w:numPr>
                <w:ilvl w:val="0"/>
                <w:numId w:val="14"/>
              </w:numPr>
            </w:pPr>
            <w:r>
              <w:t>Human rights</w:t>
            </w:r>
          </w:p>
          <w:p w14:paraId="41A43DA7" w14:textId="77777777" w:rsidR="005B1275" w:rsidRDefault="005B1275" w:rsidP="005B1275">
            <w:pPr>
              <w:pStyle w:val="ListParagraph"/>
              <w:numPr>
                <w:ilvl w:val="0"/>
                <w:numId w:val="14"/>
              </w:numPr>
            </w:pPr>
            <w:r>
              <w:t>Victims of crime</w:t>
            </w:r>
          </w:p>
          <w:p w14:paraId="54DE174B" w14:textId="77777777" w:rsidR="005B1275" w:rsidRDefault="005B1275" w:rsidP="005B1275">
            <w:pPr>
              <w:pStyle w:val="ListParagraph"/>
              <w:numPr>
                <w:ilvl w:val="0"/>
                <w:numId w:val="14"/>
              </w:numPr>
            </w:pPr>
            <w:r>
              <w:t>Access to justice and restorative practice</w:t>
            </w:r>
          </w:p>
          <w:p w14:paraId="67307A1A" w14:textId="77777777" w:rsidR="005B1275" w:rsidRPr="00466BED" w:rsidRDefault="005B1275" w:rsidP="005B1275">
            <w:pPr>
              <w:pStyle w:val="ListParagraph"/>
              <w:numPr>
                <w:ilvl w:val="0"/>
                <w:numId w:val="14"/>
              </w:numPr>
            </w:pPr>
            <w:r w:rsidRPr="00466BED">
              <w:t>Public Trustee and Guardian</w:t>
            </w:r>
          </w:p>
        </w:tc>
      </w:tr>
    </w:tbl>
    <w:p w14:paraId="177CB671" w14:textId="6F596451" w:rsidR="00466BED" w:rsidRDefault="00466BED" w:rsidP="00466BED">
      <w:pPr>
        <w:spacing w:after="120"/>
      </w:pPr>
      <w:r>
        <w:t>The Committee is responsible for the following areas:</w:t>
      </w:r>
    </w:p>
    <w:p w14:paraId="1002CD36" w14:textId="77777777" w:rsidR="00466BED" w:rsidRDefault="00466BED" w:rsidP="005B1275">
      <w:pPr>
        <w:spacing w:before="200"/>
      </w:pPr>
      <w:r>
        <w:t>You can read the full establishing resolution</w:t>
      </w:r>
      <w:hyperlink r:id="rId15" w:history="1">
        <w:r w:rsidRPr="00633A66">
          <w:t xml:space="preserve"> </w:t>
        </w:r>
        <w:r w:rsidRPr="00633A66">
          <w:rPr>
            <w:rStyle w:val="Hyperlink"/>
          </w:rPr>
          <w:t>on our website</w:t>
        </w:r>
        <w:r w:rsidRPr="006718E3">
          <w:rPr>
            <w:rStyle w:val="Hyperlink"/>
          </w:rPr>
          <w:t>.</w:t>
        </w:r>
      </w:hyperlink>
    </w:p>
    <w:p w14:paraId="568739E7" w14:textId="77777777" w:rsidR="00466BED" w:rsidRDefault="00466BED" w:rsidP="002D6754">
      <w:pPr>
        <w:pStyle w:val="Heading2"/>
      </w:pPr>
      <w:bookmarkStart w:id="6" w:name="_Toc142567170"/>
      <w:bookmarkStart w:id="7" w:name="_Toc151541220"/>
      <w:r>
        <w:t>Committee members</w:t>
      </w:r>
      <w:bookmarkEnd w:id="6"/>
      <w:bookmarkEnd w:id="7"/>
    </w:p>
    <w:p w14:paraId="1CC52FFB" w14:textId="77777777" w:rsidR="00466BED" w:rsidRDefault="00466BED" w:rsidP="00466BED">
      <w:pPr>
        <w:pStyle w:val="List"/>
      </w:pPr>
      <w:r>
        <w:t>Mr Peter Cain MLA, Chair</w:t>
      </w:r>
    </w:p>
    <w:p w14:paraId="53CE7A96" w14:textId="77777777" w:rsidR="00466BED" w:rsidRDefault="00466BED" w:rsidP="00466BED">
      <w:pPr>
        <w:pStyle w:val="List"/>
      </w:pPr>
      <w:r>
        <w:t>Dr Marisa Paterson MLA, Deputy Chair</w:t>
      </w:r>
    </w:p>
    <w:p w14:paraId="3341B47E" w14:textId="77777777" w:rsidR="00466BED" w:rsidRDefault="00466BED" w:rsidP="00466BED">
      <w:pPr>
        <w:pStyle w:val="List"/>
      </w:pPr>
      <w:r>
        <w:t xml:space="preserve">Mr Andrew Braddock MLA </w:t>
      </w:r>
    </w:p>
    <w:p w14:paraId="7AB6241B" w14:textId="77777777" w:rsidR="00466BED" w:rsidRDefault="00466BED" w:rsidP="002D6754">
      <w:pPr>
        <w:pStyle w:val="Heading2"/>
      </w:pPr>
      <w:bookmarkStart w:id="8" w:name="_Toc142567171"/>
      <w:bookmarkStart w:id="9" w:name="_Toc151541221"/>
      <w:r>
        <w:t>Secretariat</w:t>
      </w:r>
      <w:bookmarkEnd w:id="8"/>
      <w:bookmarkEnd w:id="9"/>
    </w:p>
    <w:p w14:paraId="389413F3" w14:textId="2CCF66F1" w:rsidR="00466BED" w:rsidRPr="00A23A3E" w:rsidRDefault="00466BED" w:rsidP="00466BED">
      <w:pPr>
        <w:pStyle w:val="List"/>
      </w:pPr>
      <w:r>
        <w:t>Ms Kathleen de Kleuver</w:t>
      </w:r>
      <w:r w:rsidRPr="00A23A3E">
        <w:t>, Committee Secretary</w:t>
      </w:r>
      <w:r>
        <w:t xml:space="preserve"> </w:t>
      </w:r>
      <w:r w:rsidR="00E76A58">
        <w:t xml:space="preserve"> </w:t>
      </w:r>
    </w:p>
    <w:p w14:paraId="34BE0D93" w14:textId="2F320E8A" w:rsidR="00466BED" w:rsidRDefault="00C8044E" w:rsidP="00466BED">
      <w:pPr>
        <w:pStyle w:val="List"/>
      </w:pPr>
      <w:r>
        <w:t>Mr Peter Materne</w:t>
      </w:r>
      <w:r w:rsidR="00466BED" w:rsidRPr="00A23A3E">
        <w:t xml:space="preserve">, </w:t>
      </w:r>
      <w:r w:rsidR="00466BED">
        <w:t>Assistant Secretary</w:t>
      </w:r>
      <w:r w:rsidR="00E76A58">
        <w:t xml:space="preserve"> </w:t>
      </w:r>
      <w:r w:rsidR="002D6754">
        <w:t>(until 23 November 2023)</w:t>
      </w:r>
      <w:r w:rsidR="00DD01DA">
        <w:t xml:space="preserve"> </w:t>
      </w:r>
    </w:p>
    <w:p w14:paraId="1818B46C" w14:textId="2488FC15" w:rsidR="005F0191" w:rsidRPr="00A23A3E" w:rsidRDefault="005F0191" w:rsidP="00466BED">
      <w:pPr>
        <w:pStyle w:val="List"/>
      </w:pPr>
      <w:r>
        <w:t>Ms Alicia Coupland, Assistant Secretary</w:t>
      </w:r>
    </w:p>
    <w:p w14:paraId="7A1B96CB" w14:textId="77777777" w:rsidR="00466BED" w:rsidRDefault="00466BED" w:rsidP="00466BED">
      <w:pPr>
        <w:pStyle w:val="List"/>
      </w:pPr>
      <w:r>
        <w:t>Mr Satyen Sharma,</w:t>
      </w:r>
      <w:r w:rsidRPr="00A23A3E">
        <w:t xml:space="preserve"> Administrative </w:t>
      </w:r>
      <w:r>
        <w:t>Officer</w:t>
      </w:r>
    </w:p>
    <w:p w14:paraId="0F74D426" w14:textId="77777777" w:rsidR="00466BED" w:rsidRDefault="00466BED" w:rsidP="002D6754">
      <w:pPr>
        <w:pStyle w:val="Heading2"/>
      </w:pPr>
      <w:bookmarkStart w:id="10" w:name="_Toc142567172"/>
      <w:bookmarkStart w:id="11" w:name="_Toc151541222"/>
      <w:r>
        <w:t>Contact us</w:t>
      </w:r>
      <w:bookmarkEnd w:id="10"/>
      <w:bookmarkEnd w:id="11"/>
    </w:p>
    <w:p w14:paraId="0FFB6696" w14:textId="51D83DEA" w:rsidR="00466BED" w:rsidRDefault="00466BED" w:rsidP="00466BED">
      <w:pPr>
        <w:ind w:left="1134" w:hanging="1134"/>
      </w:pPr>
      <w:r>
        <w:rPr>
          <w:b/>
          <w:bCs/>
        </w:rPr>
        <w:t>Mail</w:t>
      </w:r>
      <w:r>
        <w:tab/>
      </w:r>
      <w:r w:rsidR="00AF67F7">
        <w:fldChar w:fldCharType="begin"/>
      </w:r>
      <w:r w:rsidR="00AF67F7">
        <w:instrText xml:space="preserve"> STYLEREF  "Cover - Committee name"  \* MERGEFORMAT </w:instrText>
      </w:r>
      <w:r w:rsidR="00AF67F7">
        <w:fldChar w:fldCharType="separate"/>
      </w:r>
      <w:r w:rsidR="008E2DFD">
        <w:rPr>
          <w:noProof/>
        </w:rPr>
        <w:t>Standing Committee on Justice and Community Safety</w:t>
      </w:r>
      <w:r w:rsidR="00AF67F7">
        <w:rPr>
          <w:noProof/>
        </w:rPr>
        <w:fldChar w:fldCharType="end"/>
      </w:r>
      <w:r>
        <w:br/>
        <w:t>Legislative Assembly for the Australian Capital Territory</w:t>
      </w:r>
      <w:r>
        <w:br/>
        <w:t>GPO Box 1020</w:t>
      </w:r>
      <w:r>
        <w:br/>
        <w:t>CANBERRA ACT 2601</w:t>
      </w:r>
    </w:p>
    <w:p w14:paraId="3A9B457C" w14:textId="77777777" w:rsidR="00466BED" w:rsidRDefault="00466BED" w:rsidP="00466BED">
      <w:pPr>
        <w:ind w:left="1134" w:hanging="1134"/>
      </w:pPr>
      <w:r>
        <w:rPr>
          <w:b/>
          <w:bCs/>
        </w:rPr>
        <w:t>Phone</w:t>
      </w:r>
      <w:r>
        <w:rPr>
          <w:b/>
          <w:bCs/>
        </w:rPr>
        <w:tab/>
      </w:r>
      <w:r>
        <w:t xml:space="preserve">(02) </w:t>
      </w:r>
      <w:r w:rsidRPr="008E750D">
        <w:t>620</w:t>
      </w:r>
      <w:r>
        <w:t>7 0524</w:t>
      </w:r>
    </w:p>
    <w:p w14:paraId="71C57A57" w14:textId="77777777" w:rsidR="00466BED" w:rsidRDefault="00466BED" w:rsidP="00466BED">
      <w:pPr>
        <w:ind w:left="1134" w:hanging="1134"/>
      </w:pPr>
      <w:r>
        <w:rPr>
          <w:b/>
          <w:bCs/>
        </w:rPr>
        <w:t>Email</w:t>
      </w:r>
      <w:r>
        <w:tab/>
        <w:t xml:space="preserve">LACommitteeJCS@parliament.act.gov.au </w:t>
      </w:r>
    </w:p>
    <w:p w14:paraId="3FF342B5" w14:textId="77777777" w:rsidR="00466BED" w:rsidRDefault="00466BED" w:rsidP="00466BED">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F3C00A4" w:rsidR="00ED3906" w:rsidRDefault="006718E3" w:rsidP="0063473A">
      <w:pPr>
        <w:pStyle w:val="Heading1nonumber"/>
      </w:pPr>
      <w:bookmarkStart w:id="12" w:name="_Toc151541223"/>
      <w:r>
        <w:lastRenderedPageBreak/>
        <w:t>About this inquiry</w:t>
      </w:r>
      <w:bookmarkEnd w:id="12"/>
    </w:p>
    <w:p w14:paraId="452AB1C8" w14:textId="2E44A17C" w:rsidR="00D92B58" w:rsidRDefault="00D92B58" w:rsidP="00D92B58">
      <w:r>
        <w:t xml:space="preserve">The </w:t>
      </w:r>
      <w:r w:rsidRPr="007D11BA">
        <w:rPr>
          <w:rFonts w:cstheme="minorHAnsi"/>
          <w:i/>
          <w:iCs/>
          <w:color w:val="313131"/>
        </w:rPr>
        <w:t>Gaming Machine A</w:t>
      </w:r>
      <w:r>
        <w:rPr>
          <w:i/>
          <w:iCs/>
          <w:color w:val="313131"/>
        </w:rPr>
        <w:t>mendment Bill 2023</w:t>
      </w:r>
      <w:r>
        <w:rPr>
          <w:color w:val="313131"/>
        </w:rPr>
        <w:t xml:space="preserve"> </w:t>
      </w:r>
      <w:r>
        <w:t xml:space="preserve">was presented in the Assembly on 31 August 2023. It was then referred to the </w:t>
      </w:r>
      <w:r w:rsidR="00AF67F7">
        <w:fldChar w:fldCharType="begin"/>
      </w:r>
      <w:r w:rsidR="00AF67F7">
        <w:instrText xml:space="preserve"> STYLEREF  "Cover - Committee name"  \* MERGEFORMAT </w:instrText>
      </w:r>
      <w:r w:rsidR="00AF67F7">
        <w:fldChar w:fldCharType="separate"/>
      </w:r>
      <w:r w:rsidR="008E2DFD">
        <w:rPr>
          <w:noProof/>
        </w:rPr>
        <w:t>Standing Committee on Justice and Community Safety</w:t>
      </w:r>
      <w:r w:rsidR="00AF67F7">
        <w:rPr>
          <w:noProof/>
        </w:rPr>
        <w:fldChar w:fldCharType="end"/>
      </w:r>
      <w:r>
        <w:t xml:space="preserve"> as required by</w:t>
      </w:r>
      <w:r w:rsidR="003A5F51">
        <w:t xml:space="preserve"> </w:t>
      </w:r>
      <w:r>
        <w:t xml:space="preserve"> clause 5 of the establishing resolution on 6 September 2023. This clause allows committees to inquire into and report on bills within two months of their presentation. A further extension to three months was granted by a motion of the Assembly on </w:t>
      </w:r>
      <w:r w:rsidR="00233552">
        <w:t>14</w:t>
      </w:r>
      <w:r>
        <w:t xml:space="preserve"> September 2023</w:t>
      </w:r>
      <w:r w:rsidR="00233552">
        <w:t>, with a revised reporting date of 1 December 2023.</w:t>
      </w:r>
      <w:r>
        <w:t xml:space="preserve"> </w:t>
      </w:r>
    </w:p>
    <w:p w14:paraId="6BB27D78" w14:textId="77777777" w:rsidR="00D92B58" w:rsidRDefault="00D92B58" w:rsidP="00D92B58">
      <w:r>
        <w:t xml:space="preserve">At a private meeting on </w:t>
      </w:r>
      <w:r w:rsidRPr="00D92B58">
        <w:t>6 September 2023</w:t>
      </w:r>
      <w:r>
        <w:t xml:space="preserve">, the Committee resolved to undertake an inquiry into the Bill.  </w:t>
      </w:r>
      <w:r w:rsidRPr="00EA44D8">
        <w:t xml:space="preserve">The Committee called for public </w:t>
      </w:r>
      <w:r w:rsidRPr="002310FD">
        <w:t xml:space="preserve">submissions on </w:t>
      </w:r>
      <w:r w:rsidRPr="00D92B58">
        <w:t>7 September 2023</w:t>
      </w:r>
      <w:r w:rsidRPr="002310FD">
        <w:t>.</w:t>
      </w:r>
    </w:p>
    <w:p w14:paraId="7E36CA7F" w14:textId="5C20AA2F" w:rsidR="00E70348" w:rsidRDefault="00E70348" w:rsidP="00240823">
      <w:pPr>
        <w:pStyle w:val="NormalWeb"/>
        <w:spacing w:before="0" w:beforeAutospacing="0" w:after="160" w:afterAutospacing="0" w:line="283" w:lineRule="auto"/>
        <w:rPr>
          <w:rFonts w:asciiTheme="minorHAnsi" w:hAnsiTheme="minorHAnsi" w:cstheme="minorHAnsi"/>
          <w:color w:val="313131"/>
          <w:sz w:val="22"/>
          <w:szCs w:val="22"/>
        </w:rPr>
      </w:pPr>
      <w:r w:rsidRPr="007D11BA">
        <w:rPr>
          <w:rFonts w:asciiTheme="minorHAnsi" w:hAnsiTheme="minorHAnsi" w:cstheme="minorHAnsi"/>
          <w:color w:val="313131"/>
          <w:sz w:val="22"/>
          <w:szCs w:val="22"/>
        </w:rPr>
        <w:t xml:space="preserve">The Bill proposes to amend the </w:t>
      </w:r>
      <w:r w:rsidRPr="007D11BA">
        <w:rPr>
          <w:rFonts w:asciiTheme="minorHAnsi" w:hAnsiTheme="minorHAnsi" w:cstheme="minorHAnsi"/>
          <w:i/>
          <w:iCs/>
          <w:color w:val="313131"/>
          <w:sz w:val="22"/>
          <w:szCs w:val="22"/>
        </w:rPr>
        <w:t>Gaming Machine Act 2004</w:t>
      </w:r>
      <w:r w:rsidRPr="007D11BA">
        <w:rPr>
          <w:rFonts w:asciiTheme="minorHAnsi" w:hAnsiTheme="minorHAnsi" w:cstheme="minorHAnsi"/>
          <w:color w:val="313131"/>
          <w:sz w:val="22"/>
          <w:szCs w:val="22"/>
        </w:rPr>
        <w:t xml:space="preserve"> to ensure that the Gambling and Racing Commission will not be able to issue authorisation certificates for Class C gaming machines in Molonglo Valley and other undeveloped areas of the ACT.</w:t>
      </w:r>
      <w:r w:rsidR="00C161CF">
        <w:rPr>
          <w:rFonts w:asciiTheme="minorHAnsi" w:hAnsiTheme="minorHAnsi" w:cstheme="minorHAnsi"/>
          <w:color w:val="313131"/>
          <w:sz w:val="22"/>
          <w:szCs w:val="22"/>
        </w:rPr>
        <w:t xml:space="preserve"> </w:t>
      </w:r>
      <w:r w:rsidR="00C930DC">
        <w:rPr>
          <w:rFonts w:asciiTheme="minorHAnsi" w:hAnsiTheme="minorHAnsi" w:cstheme="minorHAnsi"/>
          <w:color w:val="313131"/>
          <w:sz w:val="22"/>
          <w:szCs w:val="22"/>
        </w:rPr>
        <w:t xml:space="preserve"> </w:t>
      </w:r>
    </w:p>
    <w:p w14:paraId="77AA787C" w14:textId="77777777" w:rsidR="00C055B3" w:rsidRDefault="00C055B3" w:rsidP="00240823">
      <w:pPr>
        <w:pStyle w:val="NormalWeb"/>
        <w:spacing w:before="0" w:beforeAutospacing="0" w:after="160" w:afterAutospacing="0" w:line="283" w:lineRule="auto"/>
        <w:rPr>
          <w:rFonts w:asciiTheme="minorHAnsi" w:hAnsiTheme="minorHAnsi" w:cstheme="minorHAnsi"/>
          <w:color w:val="313131"/>
          <w:sz w:val="22"/>
          <w:szCs w:val="22"/>
        </w:rPr>
      </w:pPr>
    </w:p>
    <w:p w14:paraId="0DA098BC" w14:textId="0D8794F1" w:rsidR="007F46CF" w:rsidRPr="00DB5886" w:rsidRDefault="00DB5886" w:rsidP="0063473A">
      <w:pPr>
        <w:pStyle w:val="Heading1nonumber"/>
      </w:pPr>
      <w:bookmarkStart w:id="13" w:name="_Toc151541224"/>
      <w:r w:rsidRPr="00DB5886">
        <w:t>Support</w:t>
      </w:r>
      <w:r w:rsidR="007F46CF" w:rsidRPr="00DB5886">
        <w:t xml:space="preserve"> for problem gambling</w:t>
      </w:r>
      <w:bookmarkEnd w:id="13"/>
    </w:p>
    <w:p w14:paraId="2E7285C3" w14:textId="623C88D6" w:rsidR="007F46CF" w:rsidRDefault="007F46CF" w:rsidP="00240823">
      <w:pPr>
        <w:pStyle w:val="NormalWeb"/>
        <w:spacing w:before="0" w:beforeAutospacing="0" w:after="160" w:afterAutospacing="0" w:line="283" w:lineRule="auto"/>
        <w:rPr>
          <w:rFonts w:asciiTheme="minorHAnsi" w:hAnsiTheme="minorHAnsi" w:cstheme="minorHAnsi"/>
          <w:color w:val="313131"/>
          <w:sz w:val="22"/>
          <w:szCs w:val="22"/>
        </w:rPr>
      </w:pPr>
      <w:r w:rsidRPr="007F46CF">
        <w:rPr>
          <w:rFonts w:asciiTheme="minorHAnsi" w:hAnsiTheme="minorHAnsi" w:cstheme="minorHAnsi"/>
          <w:color w:val="313131"/>
          <w:sz w:val="22"/>
          <w:szCs w:val="22"/>
        </w:rPr>
        <w:t xml:space="preserve">Gambling Support Services are available on TEL 1800 858 858 </w:t>
      </w:r>
      <w:r>
        <w:rPr>
          <w:rFonts w:asciiTheme="minorHAnsi" w:hAnsiTheme="minorHAnsi" w:cstheme="minorHAnsi"/>
          <w:color w:val="313131"/>
          <w:sz w:val="22"/>
          <w:szCs w:val="22"/>
        </w:rPr>
        <w:t xml:space="preserve">(Gambling Helpline - </w:t>
      </w:r>
      <w:r w:rsidRPr="007F46CF">
        <w:rPr>
          <w:rFonts w:asciiTheme="minorHAnsi" w:hAnsiTheme="minorHAnsi" w:cstheme="minorHAnsi"/>
          <w:color w:val="313131"/>
          <w:sz w:val="22"/>
          <w:szCs w:val="22"/>
        </w:rPr>
        <w:t xml:space="preserve">24/7 </w:t>
      </w:r>
      <w:r>
        <w:rPr>
          <w:rFonts w:asciiTheme="minorHAnsi" w:hAnsiTheme="minorHAnsi" w:cstheme="minorHAnsi"/>
          <w:color w:val="313131"/>
          <w:sz w:val="22"/>
          <w:szCs w:val="22"/>
        </w:rPr>
        <w:t xml:space="preserve">anonymous support) </w:t>
      </w:r>
      <w:r w:rsidRPr="007F46CF">
        <w:rPr>
          <w:rFonts w:asciiTheme="minorHAnsi" w:hAnsiTheme="minorHAnsi" w:cstheme="minorHAnsi"/>
          <w:color w:val="313131"/>
          <w:sz w:val="22"/>
          <w:szCs w:val="22"/>
        </w:rPr>
        <w:t xml:space="preserve">and at </w:t>
      </w:r>
      <w:hyperlink r:id="rId17" w:history="1">
        <w:r w:rsidRPr="00385242">
          <w:rPr>
            <w:rStyle w:val="Hyperlink"/>
            <w:rFonts w:asciiTheme="minorHAnsi" w:hAnsiTheme="minorHAnsi" w:cstheme="minorHAnsi"/>
            <w:sz w:val="22"/>
            <w:szCs w:val="22"/>
          </w:rPr>
          <w:t>www.gamblinghelponline.org.au</w:t>
        </w:r>
      </w:hyperlink>
      <w:r>
        <w:rPr>
          <w:rFonts w:asciiTheme="minorHAnsi" w:hAnsiTheme="minorHAnsi" w:cstheme="minorHAnsi"/>
          <w:color w:val="313131"/>
          <w:sz w:val="22"/>
          <w:szCs w:val="22"/>
        </w:rPr>
        <w:t xml:space="preserve">  </w:t>
      </w:r>
      <w:r w:rsidRPr="007F46CF">
        <w:rPr>
          <w:rFonts w:asciiTheme="minorHAnsi" w:hAnsiTheme="minorHAnsi" w:cstheme="minorHAnsi"/>
          <w:color w:val="313131"/>
          <w:sz w:val="22"/>
          <w:szCs w:val="22"/>
        </w:rPr>
        <w:t>(Gambling Help Online website)</w:t>
      </w:r>
      <w:r>
        <w:rPr>
          <w:rFonts w:asciiTheme="minorHAnsi" w:hAnsiTheme="minorHAnsi" w:cstheme="minorHAnsi"/>
          <w:color w:val="313131"/>
          <w:sz w:val="22"/>
          <w:szCs w:val="22"/>
        </w:rPr>
        <w:t xml:space="preserve">. </w:t>
      </w:r>
    </w:p>
    <w:p w14:paraId="7DCB3CC6" w14:textId="45CA4D88" w:rsidR="007F46CF" w:rsidRDefault="007F46CF" w:rsidP="00240823">
      <w:pPr>
        <w:pStyle w:val="NormalWeb"/>
        <w:spacing w:before="0" w:beforeAutospacing="0" w:after="160" w:afterAutospacing="0" w:line="283" w:lineRule="auto"/>
        <w:rPr>
          <w:rFonts w:asciiTheme="minorHAnsi" w:hAnsiTheme="minorHAnsi" w:cstheme="minorHAnsi"/>
          <w:color w:val="313131"/>
          <w:sz w:val="22"/>
          <w:szCs w:val="22"/>
        </w:rPr>
      </w:pPr>
      <w:r>
        <w:rPr>
          <w:rFonts w:asciiTheme="minorHAnsi" w:hAnsiTheme="minorHAnsi" w:cstheme="minorHAnsi"/>
          <w:color w:val="313131"/>
          <w:sz w:val="22"/>
          <w:szCs w:val="22"/>
        </w:rPr>
        <w:t xml:space="preserve">In addition, the </w:t>
      </w:r>
      <w:r w:rsidRPr="007F46CF">
        <w:rPr>
          <w:rFonts w:asciiTheme="minorHAnsi" w:hAnsiTheme="minorHAnsi" w:cstheme="minorHAnsi"/>
          <w:color w:val="313131"/>
          <w:sz w:val="22"/>
          <w:szCs w:val="22"/>
        </w:rPr>
        <w:t>ACT Gambling Support Service provides free specialised professional counselling</w:t>
      </w:r>
      <w:r>
        <w:rPr>
          <w:rFonts w:asciiTheme="minorHAnsi" w:hAnsiTheme="minorHAnsi" w:cstheme="minorHAnsi"/>
          <w:color w:val="313131"/>
          <w:sz w:val="22"/>
          <w:szCs w:val="22"/>
        </w:rPr>
        <w:t xml:space="preserve">, </w:t>
      </w:r>
      <w:r w:rsidRPr="007F46CF">
        <w:rPr>
          <w:rFonts w:asciiTheme="minorHAnsi" w:hAnsiTheme="minorHAnsi" w:cstheme="minorHAnsi"/>
          <w:color w:val="313131"/>
          <w:sz w:val="22"/>
          <w:szCs w:val="22"/>
        </w:rPr>
        <w:t xml:space="preserve">available for people who may be experiencing gambling harm </w:t>
      </w:r>
      <w:r w:rsidR="00086938" w:rsidRPr="007F46CF">
        <w:rPr>
          <w:rFonts w:asciiTheme="minorHAnsi" w:hAnsiTheme="minorHAnsi" w:cstheme="minorHAnsi"/>
          <w:color w:val="313131"/>
          <w:sz w:val="22"/>
          <w:szCs w:val="22"/>
        </w:rPr>
        <w:t>and</w:t>
      </w:r>
      <w:r w:rsidRPr="007F46CF">
        <w:rPr>
          <w:rFonts w:asciiTheme="minorHAnsi" w:hAnsiTheme="minorHAnsi" w:cstheme="minorHAnsi"/>
          <w:color w:val="313131"/>
          <w:sz w:val="22"/>
          <w:szCs w:val="22"/>
        </w:rPr>
        <w:t xml:space="preserve"> for their family members. Th</w:t>
      </w:r>
      <w:r>
        <w:rPr>
          <w:rFonts w:asciiTheme="minorHAnsi" w:hAnsiTheme="minorHAnsi" w:cstheme="minorHAnsi"/>
          <w:color w:val="313131"/>
          <w:sz w:val="22"/>
          <w:szCs w:val="22"/>
        </w:rPr>
        <w:t>is</w:t>
      </w:r>
      <w:r w:rsidRPr="007F46CF">
        <w:rPr>
          <w:rFonts w:asciiTheme="minorHAnsi" w:hAnsiTheme="minorHAnsi" w:cstheme="minorHAnsi"/>
          <w:color w:val="313131"/>
          <w:sz w:val="22"/>
          <w:szCs w:val="22"/>
        </w:rPr>
        <w:t xml:space="preserve"> </w:t>
      </w:r>
      <w:r>
        <w:rPr>
          <w:rFonts w:asciiTheme="minorHAnsi" w:hAnsiTheme="minorHAnsi" w:cstheme="minorHAnsi"/>
          <w:color w:val="313131"/>
          <w:sz w:val="22"/>
          <w:szCs w:val="22"/>
        </w:rPr>
        <w:t>s</w:t>
      </w:r>
      <w:r w:rsidRPr="007F46CF">
        <w:rPr>
          <w:rFonts w:asciiTheme="minorHAnsi" w:hAnsiTheme="minorHAnsi" w:cstheme="minorHAnsi"/>
          <w:color w:val="313131"/>
          <w:sz w:val="22"/>
          <w:szCs w:val="22"/>
        </w:rPr>
        <w:t>ervice provides free telephone and face to face counselling, peer support and outreach programs</w:t>
      </w:r>
      <w:r>
        <w:rPr>
          <w:rFonts w:asciiTheme="minorHAnsi" w:hAnsiTheme="minorHAnsi" w:cstheme="minorHAnsi"/>
          <w:color w:val="313131"/>
          <w:sz w:val="22"/>
          <w:szCs w:val="22"/>
        </w:rPr>
        <w:t xml:space="preserve"> – t</w:t>
      </w:r>
      <w:r w:rsidRPr="007F46CF">
        <w:rPr>
          <w:rFonts w:asciiTheme="minorHAnsi" w:hAnsiTheme="minorHAnsi" w:cstheme="minorHAnsi"/>
          <w:color w:val="313131"/>
          <w:sz w:val="22"/>
          <w:szCs w:val="22"/>
        </w:rPr>
        <w:t>o find out more visit</w:t>
      </w:r>
      <w:r>
        <w:rPr>
          <w:rFonts w:asciiTheme="minorHAnsi" w:hAnsiTheme="minorHAnsi" w:cstheme="minorHAnsi"/>
          <w:color w:val="313131"/>
          <w:sz w:val="22"/>
          <w:szCs w:val="22"/>
        </w:rPr>
        <w:t xml:space="preserve"> </w:t>
      </w:r>
      <w:hyperlink r:id="rId18" w:history="1">
        <w:r w:rsidRPr="00385242">
          <w:rPr>
            <w:rStyle w:val="Hyperlink"/>
            <w:rFonts w:asciiTheme="minorHAnsi" w:hAnsiTheme="minorHAnsi" w:cstheme="minorHAnsi"/>
            <w:sz w:val="22"/>
            <w:szCs w:val="22"/>
          </w:rPr>
          <w:t>www.actgamblingsupport.org.au</w:t>
        </w:r>
      </w:hyperlink>
      <w:r w:rsidRPr="007F46CF">
        <w:rPr>
          <w:rFonts w:asciiTheme="minorHAnsi" w:hAnsiTheme="minorHAnsi" w:cstheme="minorHAnsi"/>
          <w:color w:val="313131"/>
          <w:sz w:val="22"/>
          <w:szCs w:val="22"/>
        </w:rPr>
        <w:t>.</w:t>
      </w:r>
      <w:r w:rsidR="003E0260">
        <w:rPr>
          <w:rFonts w:asciiTheme="minorHAnsi" w:hAnsiTheme="minorHAnsi" w:cstheme="minorHAnsi"/>
          <w:color w:val="313131"/>
          <w:sz w:val="22"/>
          <w:szCs w:val="22"/>
        </w:rPr>
        <w:t xml:space="preserve"> </w:t>
      </w:r>
    </w:p>
    <w:p w14:paraId="781BAC1F" w14:textId="3517DE00" w:rsidR="003E0260" w:rsidRDefault="003E0260" w:rsidP="003E0260">
      <w:pPr>
        <w:pStyle w:val="NormalWeb"/>
        <w:spacing w:before="0" w:beforeAutospacing="0" w:after="160" w:afterAutospacing="0" w:line="283" w:lineRule="auto"/>
        <w:rPr>
          <w:rFonts w:asciiTheme="minorHAnsi" w:hAnsiTheme="minorHAnsi" w:cstheme="minorHAnsi"/>
          <w:color w:val="313131"/>
          <w:sz w:val="22"/>
          <w:szCs w:val="22"/>
        </w:rPr>
      </w:pPr>
      <w:r w:rsidRPr="003E0260">
        <w:rPr>
          <w:rFonts w:asciiTheme="minorHAnsi" w:hAnsiTheme="minorHAnsi" w:cstheme="minorHAnsi"/>
          <w:color w:val="313131"/>
          <w:sz w:val="22"/>
          <w:szCs w:val="22"/>
        </w:rPr>
        <w:t xml:space="preserve">Care's financial counselling program provides free, </w:t>
      </w:r>
      <w:r w:rsidR="00086938" w:rsidRPr="003E0260">
        <w:rPr>
          <w:rFonts w:asciiTheme="minorHAnsi" w:hAnsiTheme="minorHAnsi" w:cstheme="minorHAnsi"/>
          <w:color w:val="313131"/>
          <w:sz w:val="22"/>
          <w:szCs w:val="22"/>
        </w:rPr>
        <w:t>confidential,</w:t>
      </w:r>
      <w:r w:rsidRPr="003E0260">
        <w:rPr>
          <w:rFonts w:asciiTheme="minorHAnsi" w:hAnsiTheme="minorHAnsi" w:cstheme="minorHAnsi"/>
          <w:color w:val="313131"/>
          <w:sz w:val="22"/>
          <w:szCs w:val="22"/>
        </w:rPr>
        <w:t xml:space="preserve"> and independent services to assist people experiencing financial difficulty, including people impacted by gambling</w:t>
      </w:r>
      <w:r>
        <w:rPr>
          <w:rFonts w:asciiTheme="minorHAnsi" w:hAnsiTheme="minorHAnsi" w:cstheme="minorHAnsi"/>
          <w:color w:val="313131"/>
          <w:sz w:val="22"/>
          <w:szCs w:val="22"/>
        </w:rPr>
        <w:t xml:space="preserve">. </w:t>
      </w:r>
      <w:r w:rsidRPr="003E0260">
        <w:rPr>
          <w:rFonts w:asciiTheme="minorHAnsi" w:hAnsiTheme="minorHAnsi" w:cstheme="minorHAnsi"/>
          <w:color w:val="313131"/>
          <w:sz w:val="22"/>
          <w:szCs w:val="22"/>
        </w:rPr>
        <w:t>You can contact Care between 9:30</w:t>
      </w:r>
      <w:r>
        <w:rPr>
          <w:rFonts w:asciiTheme="minorHAnsi" w:hAnsiTheme="minorHAnsi" w:cstheme="minorHAnsi"/>
          <w:color w:val="313131"/>
          <w:sz w:val="22"/>
          <w:szCs w:val="22"/>
        </w:rPr>
        <w:t xml:space="preserve"> </w:t>
      </w:r>
      <w:r w:rsidRPr="003E0260">
        <w:rPr>
          <w:rFonts w:asciiTheme="minorHAnsi" w:hAnsiTheme="minorHAnsi" w:cstheme="minorHAnsi"/>
          <w:color w:val="313131"/>
          <w:sz w:val="22"/>
          <w:szCs w:val="22"/>
        </w:rPr>
        <w:t>am and 4:30</w:t>
      </w:r>
      <w:r>
        <w:rPr>
          <w:rFonts w:asciiTheme="minorHAnsi" w:hAnsiTheme="minorHAnsi" w:cstheme="minorHAnsi"/>
          <w:color w:val="313131"/>
          <w:sz w:val="22"/>
          <w:szCs w:val="22"/>
        </w:rPr>
        <w:t xml:space="preserve"> </w:t>
      </w:r>
      <w:r w:rsidRPr="003E0260">
        <w:rPr>
          <w:rFonts w:asciiTheme="minorHAnsi" w:hAnsiTheme="minorHAnsi" w:cstheme="minorHAnsi"/>
          <w:color w:val="313131"/>
          <w:sz w:val="22"/>
          <w:szCs w:val="22"/>
        </w:rPr>
        <w:t>pm Monday to Friday on 1800 007 007 or via their website</w:t>
      </w:r>
      <w:r>
        <w:rPr>
          <w:rFonts w:asciiTheme="minorHAnsi" w:hAnsiTheme="minorHAnsi" w:cstheme="minorHAnsi"/>
          <w:color w:val="313131"/>
          <w:sz w:val="22"/>
          <w:szCs w:val="22"/>
        </w:rPr>
        <w:t xml:space="preserve"> </w:t>
      </w:r>
      <w:r w:rsidRPr="003E0260">
        <w:rPr>
          <w:rFonts w:asciiTheme="minorHAnsi" w:hAnsiTheme="minorHAnsi" w:cstheme="minorHAnsi"/>
          <w:color w:val="313131"/>
          <w:sz w:val="22"/>
          <w:szCs w:val="22"/>
        </w:rPr>
        <w:t xml:space="preserve"> </w:t>
      </w:r>
      <w:hyperlink r:id="rId19" w:history="1">
        <w:r w:rsidRPr="00385242">
          <w:rPr>
            <w:rStyle w:val="Hyperlink"/>
            <w:rFonts w:asciiTheme="minorHAnsi" w:hAnsiTheme="minorHAnsi" w:cstheme="minorHAnsi"/>
            <w:sz w:val="22"/>
            <w:szCs w:val="22"/>
          </w:rPr>
          <w:t>www.carefcs.org/financial-counselling</w:t>
        </w:r>
      </w:hyperlink>
      <w:r w:rsidRPr="003E0260">
        <w:rPr>
          <w:rFonts w:asciiTheme="minorHAnsi" w:hAnsiTheme="minorHAnsi" w:cstheme="minorHAnsi"/>
          <w:color w:val="313131"/>
          <w:sz w:val="22"/>
          <w:szCs w:val="22"/>
        </w:rPr>
        <w:t>.</w:t>
      </w:r>
    </w:p>
    <w:p w14:paraId="03C73EF0" w14:textId="77777777" w:rsidR="003E0260" w:rsidRDefault="003E0260" w:rsidP="00240823">
      <w:pPr>
        <w:pStyle w:val="NormalWeb"/>
        <w:spacing w:before="0" w:beforeAutospacing="0" w:after="160" w:afterAutospacing="0" w:line="283" w:lineRule="auto"/>
        <w:rPr>
          <w:rFonts w:asciiTheme="minorHAnsi" w:hAnsiTheme="minorHAnsi" w:cstheme="minorHAnsi"/>
          <w:color w:val="313131"/>
          <w:sz w:val="22"/>
          <w:szCs w:val="22"/>
        </w:rPr>
      </w:pPr>
    </w:p>
    <w:p w14:paraId="5C19EF28" w14:textId="77777777" w:rsidR="007F46CF" w:rsidRPr="007D11BA" w:rsidRDefault="007F46CF" w:rsidP="00240823">
      <w:pPr>
        <w:pStyle w:val="NormalWeb"/>
        <w:spacing w:before="0" w:beforeAutospacing="0" w:after="160" w:afterAutospacing="0" w:line="283" w:lineRule="auto"/>
        <w:rPr>
          <w:sz w:val="22"/>
          <w:szCs w:val="22"/>
        </w:rPr>
      </w:pPr>
    </w:p>
    <w:p w14:paraId="69B9A2DD" w14:textId="170361BA" w:rsidR="00623507" w:rsidRDefault="00623507" w:rsidP="00E70348">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725BE38B" w14:textId="323E90AF" w:rsidR="00BE7AE7"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51541218" w:history="1">
            <w:r w:rsidR="00BE7AE7" w:rsidRPr="00C46F8E">
              <w:rPr>
                <w:rStyle w:val="Hyperlink"/>
              </w:rPr>
              <w:t>About the committee</w:t>
            </w:r>
            <w:r w:rsidR="00BE7AE7">
              <w:rPr>
                <w:webHidden/>
              </w:rPr>
              <w:tab/>
            </w:r>
            <w:r w:rsidR="00BE7AE7">
              <w:rPr>
                <w:webHidden/>
              </w:rPr>
              <w:fldChar w:fldCharType="begin"/>
            </w:r>
            <w:r w:rsidR="00BE7AE7">
              <w:rPr>
                <w:webHidden/>
              </w:rPr>
              <w:instrText xml:space="preserve"> PAGEREF _Toc151541218 \h </w:instrText>
            </w:r>
            <w:r w:rsidR="00BE7AE7">
              <w:rPr>
                <w:webHidden/>
              </w:rPr>
            </w:r>
            <w:r w:rsidR="00BE7AE7">
              <w:rPr>
                <w:webHidden/>
              </w:rPr>
              <w:fldChar w:fldCharType="separate"/>
            </w:r>
            <w:r w:rsidR="00BE7AE7">
              <w:rPr>
                <w:webHidden/>
              </w:rPr>
              <w:t>i</w:t>
            </w:r>
            <w:r w:rsidR="00BE7AE7">
              <w:rPr>
                <w:webHidden/>
              </w:rPr>
              <w:fldChar w:fldCharType="end"/>
            </w:r>
          </w:hyperlink>
        </w:p>
        <w:p w14:paraId="4A355331" w14:textId="48764963" w:rsidR="00BE7AE7" w:rsidRDefault="00AF67F7">
          <w:pPr>
            <w:pStyle w:val="TOC2"/>
            <w:rPr>
              <w:rFonts w:eastAsiaTheme="minorEastAsia"/>
              <w:kern w:val="2"/>
              <w:lang w:eastAsia="en-AU"/>
              <w14:ligatures w14:val="standardContextual"/>
            </w:rPr>
          </w:pPr>
          <w:hyperlink w:anchor="_Toc151541219" w:history="1">
            <w:r w:rsidR="00BE7AE7" w:rsidRPr="00C46F8E">
              <w:rPr>
                <w:rStyle w:val="Hyperlink"/>
              </w:rPr>
              <w:t>Establishing resolution</w:t>
            </w:r>
            <w:r w:rsidR="00BE7AE7">
              <w:rPr>
                <w:webHidden/>
              </w:rPr>
              <w:tab/>
            </w:r>
            <w:r w:rsidR="00BE7AE7">
              <w:rPr>
                <w:webHidden/>
              </w:rPr>
              <w:fldChar w:fldCharType="begin"/>
            </w:r>
            <w:r w:rsidR="00BE7AE7">
              <w:rPr>
                <w:webHidden/>
              </w:rPr>
              <w:instrText xml:space="preserve"> PAGEREF _Toc151541219 \h </w:instrText>
            </w:r>
            <w:r w:rsidR="00BE7AE7">
              <w:rPr>
                <w:webHidden/>
              </w:rPr>
            </w:r>
            <w:r w:rsidR="00BE7AE7">
              <w:rPr>
                <w:webHidden/>
              </w:rPr>
              <w:fldChar w:fldCharType="separate"/>
            </w:r>
            <w:r w:rsidR="00BE7AE7">
              <w:rPr>
                <w:webHidden/>
              </w:rPr>
              <w:t>i</w:t>
            </w:r>
            <w:r w:rsidR="00BE7AE7">
              <w:rPr>
                <w:webHidden/>
              </w:rPr>
              <w:fldChar w:fldCharType="end"/>
            </w:r>
          </w:hyperlink>
        </w:p>
        <w:p w14:paraId="7AC556D7" w14:textId="054C7135" w:rsidR="00BE7AE7" w:rsidRDefault="00AF67F7">
          <w:pPr>
            <w:pStyle w:val="TOC2"/>
            <w:rPr>
              <w:rFonts w:eastAsiaTheme="minorEastAsia"/>
              <w:kern w:val="2"/>
              <w:lang w:eastAsia="en-AU"/>
              <w14:ligatures w14:val="standardContextual"/>
            </w:rPr>
          </w:pPr>
          <w:hyperlink w:anchor="_Toc151541220" w:history="1">
            <w:r w:rsidR="00BE7AE7" w:rsidRPr="00C46F8E">
              <w:rPr>
                <w:rStyle w:val="Hyperlink"/>
              </w:rPr>
              <w:t>Committee members</w:t>
            </w:r>
            <w:r w:rsidR="00BE7AE7">
              <w:rPr>
                <w:webHidden/>
              </w:rPr>
              <w:tab/>
            </w:r>
            <w:r w:rsidR="00BE7AE7">
              <w:rPr>
                <w:webHidden/>
              </w:rPr>
              <w:fldChar w:fldCharType="begin"/>
            </w:r>
            <w:r w:rsidR="00BE7AE7">
              <w:rPr>
                <w:webHidden/>
              </w:rPr>
              <w:instrText xml:space="preserve"> PAGEREF _Toc151541220 \h </w:instrText>
            </w:r>
            <w:r w:rsidR="00BE7AE7">
              <w:rPr>
                <w:webHidden/>
              </w:rPr>
            </w:r>
            <w:r w:rsidR="00BE7AE7">
              <w:rPr>
                <w:webHidden/>
              </w:rPr>
              <w:fldChar w:fldCharType="separate"/>
            </w:r>
            <w:r w:rsidR="00BE7AE7">
              <w:rPr>
                <w:webHidden/>
              </w:rPr>
              <w:t>i</w:t>
            </w:r>
            <w:r w:rsidR="00BE7AE7">
              <w:rPr>
                <w:webHidden/>
              </w:rPr>
              <w:fldChar w:fldCharType="end"/>
            </w:r>
          </w:hyperlink>
        </w:p>
        <w:p w14:paraId="7FA1605A" w14:textId="17F9B480" w:rsidR="00BE7AE7" w:rsidRDefault="00AF67F7">
          <w:pPr>
            <w:pStyle w:val="TOC2"/>
            <w:rPr>
              <w:rFonts w:eastAsiaTheme="minorEastAsia"/>
              <w:kern w:val="2"/>
              <w:lang w:eastAsia="en-AU"/>
              <w14:ligatures w14:val="standardContextual"/>
            </w:rPr>
          </w:pPr>
          <w:hyperlink w:anchor="_Toc151541221" w:history="1">
            <w:r w:rsidR="00BE7AE7" w:rsidRPr="00C46F8E">
              <w:rPr>
                <w:rStyle w:val="Hyperlink"/>
              </w:rPr>
              <w:t>Secretariat</w:t>
            </w:r>
            <w:r w:rsidR="00BE7AE7">
              <w:rPr>
                <w:webHidden/>
              </w:rPr>
              <w:tab/>
            </w:r>
            <w:r w:rsidR="00BE7AE7">
              <w:rPr>
                <w:webHidden/>
              </w:rPr>
              <w:fldChar w:fldCharType="begin"/>
            </w:r>
            <w:r w:rsidR="00BE7AE7">
              <w:rPr>
                <w:webHidden/>
              </w:rPr>
              <w:instrText xml:space="preserve"> PAGEREF _Toc151541221 \h </w:instrText>
            </w:r>
            <w:r w:rsidR="00BE7AE7">
              <w:rPr>
                <w:webHidden/>
              </w:rPr>
            </w:r>
            <w:r w:rsidR="00BE7AE7">
              <w:rPr>
                <w:webHidden/>
              </w:rPr>
              <w:fldChar w:fldCharType="separate"/>
            </w:r>
            <w:r w:rsidR="00BE7AE7">
              <w:rPr>
                <w:webHidden/>
              </w:rPr>
              <w:t>i</w:t>
            </w:r>
            <w:r w:rsidR="00BE7AE7">
              <w:rPr>
                <w:webHidden/>
              </w:rPr>
              <w:fldChar w:fldCharType="end"/>
            </w:r>
          </w:hyperlink>
        </w:p>
        <w:p w14:paraId="6CFA4C69" w14:textId="7C37B318" w:rsidR="00BE7AE7" w:rsidRDefault="00AF67F7">
          <w:pPr>
            <w:pStyle w:val="TOC2"/>
            <w:rPr>
              <w:rFonts w:eastAsiaTheme="minorEastAsia"/>
              <w:kern w:val="2"/>
              <w:lang w:eastAsia="en-AU"/>
              <w14:ligatures w14:val="standardContextual"/>
            </w:rPr>
          </w:pPr>
          <w:hyperlink w:anchor="_Toc151541222" w:history="1">
            <w:r w:rsidR="00BE7AE7" w:rsidRPr="00C46F8E">
              <w:rPr>
                <w:rStyle w:val="Hyperlink"/>
              </w:rPr>
              <w:t>Contact us</w:t>
            </w:r>
            <w:r w:rsidR="00BE7AE7">
              <w:rPr>
                <w:webHidden/>
              </w:rPr>
              <w:tab/>
            </w:r>
            <w:r w:rsidR="00BE7AE7">
              <w:rPr>
                <w:webHidden/>
              </w:rPr>
              <w:fldChar w:fldCharType="begin"/>
            </w:r>
            <w:r w:rsidR="00BE7AE7">
              <w:rPr>
                <w:webHidden/>
              </w:rPr>
              <w:instrText xml:space="preserve"> PAGEREF _Toc151541222 \h </w:instrText>
            </w:r>
            <w:r w:rsidR="00BE7AE7">
              <w:rPr>
                <w:webHidden/>
              </w:rPr>
            </w:r>
            <w:r w:rsidR="00BE7AE7">
              <w:rPr>
                <w:webHidden/>
              </w:rPr>
              <w:fldChar w:fldCharType="separate"/>
            </w:r>
            <w:r w:rsidR="00BE7AE7">
              <w:rPr>
                <w:webHidden/>
              </w:rPr>
              <w:t>i</w:t>
            </w:r>
            <w:r w:rsidR="00BE7AE7">
              <w:rPr>
                <w:webHidden/>
              </w:rPr>
              <w:fldChar w:fldCharType="end"/>
            </w:r>
          </w:hyperlink>
        </w:p>
        <w:p w14:paraId="595251C0" w14:textId="6B7032E1"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23" w:history="1">
            <w:r w:rsidR="00BE7AE7" w:rsidRPr="00C46F8E">
              <w:rPr>
                <w:rStyle w:val="Hyperlink"/>
              </w:rPr>
              <w:t>About this inquiry</w:t>
            </w:r>
            <w:r w:rsidR="00BE7AE7">
              <w:rPr>
                <w:webHidden/>
              </w:rPr>
              <w:tab/>
            </w:r>
            <w:r w:rsidR="00BE7AE7">
              <w:rPr>
                <w:webHidden/>
              </w:rPr>
              <w:fldChar w:fldCharType="begin"/>
            </w:r>
            <w:r w:rsidR="00BE7AE7">
              <w:rPr>
                <w:webHidden/>
              </w:rPr>
              <w:instrText xml:space="preserve"> PAGEREF _Toc151541223 \h </w:instrText>
            </w:r>
            <w:r w:rsidR="00BE7AE7">
              <w:rPr>
                <w:webHidden/>
              </w:rPr>
            </w:r>
            <w:r w:rsidR="00BE7AE7">
              <w:rPr>
                <w:webHidden/>
              </w:rPr>
              <w:fldChar w:fldCharType="separate"/>
            </w:r>
            <w:r w:rsidR="00BE7AE7">
              <w:rPr>
                <w:webHidden/>
              </w:rPr>
              <w:t>ii</w:t>
            </w:r>
            <w:r w:rsidR="00BE7AE7">
              <w:rPr>
                <w:webHidden/>
              </w:rPr>
              <w:fldChar w:fldCharType="end"/>
            </w:r>
          </w:hyperlink>
        </w:p>
        <w:p w14:paraId="46172B76" w14:textId="6C8202CF"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24" w:history="1">
            <w:r w:rsidR="00BE7AE7" w:rsidRPr="00C46F8E">
              <w:rPr>
                <w:rStyle w:val="Hyperlink"/>
              </w:rPr>
              <w:t>Support for problem gambling</w:t>
            </w:r>
            <w:r w:rsidR="00BE7AE7">
              <w:rPr>
                <w:webHidden/>
              </w:rPr>
              <w:tab/>
            </w:r>
            <w:r w:rsidR="00BE7AE7">
              <w:rPr>
                <w:webHidden/>
              </w:rPr>
              <w:fldChar w:fldCharType="begin"/>
            </w:r>
            <w:r w:rsidR="00BE7AE7">
              <w:rPr>
                <w:webHidden/>
              </w:rPr>
              <w:instrText xml:space="preserve"> PAGEREF _Toc151541224 \h </w:instrText>
            </w:r>
            <w:r w:rsidR="00BE7AE7">
              <w:rPr>
                <w:webHidden/>
              </w:rPr>
            </w:r>
            <w:r w:rsidR="00BE7AE7">
              <w:rPr>
                <w:webHidden/>
              </w:rPr>
              <w:fldChar w:fldCharType="separate"/>
            </w:r>
            <w:r w:rsidR="00BE7AE7">
              <w:rPr>
                <w:webHidden/>
              </w:rPr>
              <w:t>ii</w:t>
            </w:r>
            <w:r w:rsidR="00BE7AE7">
              <w:rPr>
                <w:webHidden/>
              </w:rPr>
              <w:fldChar w:fldCharType="end"/>
            </w:r>
          </w:hyperlink>
        </w:p>
        <w:p w14:paraId="01EB1940" w14:textId="497D6985"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25" w:history="1">
            <w:r w:rsidR="00BE7AE7" w:rsidRPr="00C46F8E">
              <w:rPr>
                <w:rStyle w:val="Hyperlink"/>
              </w:rPr>
              <w:t>Acronyms</w:t>
            </w:r>
            <w:r w:rsidR="00BE7AE7">
              <w:rPr>
                <w:webHidden/>
              </w:rPr>
              <w:tab/>
            </w:r>
            <w:r w:rsidR="00BE7AE7">
              <w:rPr>
                <w:webHidden/>
              </w:rPr>
              <w:fldChar w:fldCharType="begin"/>
            </w:r>
            <w:r w:rsidR="00BE7AE7">
              <w:rPr>
                <w:webHidden/>
              </w:rPr>
              <w:instrText xml:space="preserve"> PAGEREF _Toc151541225 \h </w:instrText>
            </w:r>
            <w:r w:rsidR="00BE7AE7">
              <w:rPr>
                <w:webHidden/>
              </w:rPr>
            </w:r>
            <w:r w:rsidR="00BE7AE7">
              <w:rPr>
                <w:webHidden/>
              </w:rPr>
              <w:fldChar w:fldCharType="separate"/>
            </w:r>
            <w:r w:rsidR="00BE7AE7">
              <w:rPr>
                <w:webHidden/>
              </w:rPr>
              <w:t>iv</w:t>
            </w:r>
            <w:r w:rsidR="00BE7AE7">
              <w:rPr>
                <w:webHidden/>
              </w:rPr>
              <w:fldChar w:fldCharType="end"/>
            </w:r>
          </w:hyperlink>
        </w:p>
        <w:p w14:paraId="33345563" w14:textId="317785EF"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26" w:history="1">
            <w:r w:rsidR="00BE7AE7" w:rsidRPr="00C46F8E">
              <w:rPr>
                <w:rStyle w:val="Hyperlink"/>
              </w:rPr>
              <w:t>Recommendations</w:t>
            </w:r>
            <w:r w:rsidR="00BE7AE7">
              <w:rPr>
                <w:webHidden/>
              </w:rPr>
              <w:tab/>
            </w:r>
            <w:r w:rsidR="00BE7AE7">
              <w:rPr>
                <w:webHidden/>
              </w:rPr>
              <w:fldChar w:fldCharType="begin"/>
            </w:r>
            <w:r w:rsidR="00BE7AE7">
              <w:rPr>
                <w:webHidden/>
              </w:rPr>
              <w:instrText xml:space="preserve"> PAGEREF _Toc151541226 \h </w:instrText>
            </w:r>
            <w:r w:rsidR="00BE7AE7">
              <w:rPr>
                <w:webHidden/>
              </w:rPr>
            </w:r>
            <w:r w:rsidR="00BE7AE7">
              <w:rPr>
                <w:webHidden/>
              </w:rPr>
              <w:fldChar w:fldCharType="separate"/>
            </w:r>
            <w:r w:rsidR="00BE7AE7">
              <w:rPr>
                <w:webHidden/>
              </w:rPr>
              <w:t>v</w:t>
            </w:r>
            <w:r w:rsidR="00BE7AE7">
              <w:rPr>
                <w:webHidden/>
              </w:rPr>
              <w:fldChar w:fldCharType="end"/>
            </w:r>
          </w:hyperlink>
        </w:p>
        <w:p w14:paraId="79BC8617" w14:textId="62194A56"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27" w:history="1">
            <w:r w:rsidR="00BE7AE7" w:rsidRPr="00C46F8E">
              <w:rPr>
                <w:rStyle w:val="Hyperlink"/>
              </w:rPr>
              <w:t>1.</w:t>
            </w:r>
            <w:r w:rsidR="00BE7AE7">
              <w:rPr>
                <w:rFonts w:asciiTheme="minorHAnsi" w:eastAsiaTheme="minorEastAsia" w:hAnsiTheme="minorHAnsi"/>
                <w:b w:val="0"/>
                <w:bCs w:val="0"/>
                <w:color w:val="auto"/>
                <w:w w:val="100"/>
                <w:kern w:val="2"/>
                <w:sz w:val="22"/>
                <w:lang w:eastAsia="en-AU"/>
                <w14:ligatures w14:val="standardContextual"/>
              </w:rPr>
              <w:tab/>
            </w:r>
            <w:r w:rsidR="00BE7AE7" w:rsidRPr="00C46F8E">
              <w:rPr>
                <w:rStyle w:val="Hyperlink"/>
              </w:rPr>
              <w:t>Conduct of the inquiry</w:t>
            </w:r>
            <w:r w:rsidR="00BE7AE7">
              <w:rPr>
                <w:webHidden/>
              </w:rPr>
              <w:tab/>
            </w:r>
            <w:r w:rsidR="00BE7AE7">
              <w:rPr>
                <w:webHidden/>
              </w:rPr>
              <w:fldChar w:fldCharType="begin"/>
            </w:r>
            <w:r w:rsidR="00BE7AE7">
              <w:rPr>
                <w:webHidden/>
              </w:rPr>
              <w:instrText xml:space="preserve"> PAGEREF _Toc151541227 \h </w:instrText>
            </w:r>
            <w:r w:rsidR="00BE7AE7">
              <w:rPr>
                <w:webHidden/>
              </w:rPr>
            </w:r>
            <w:r w:rsidR="00BE7AE7">
              <w:rPr>
                <w:webHidden/>
              </w:rPr>
              <w:fldChar w:fldCharType="separate"/>
            </w:r>
            <w:r w:rsidR="00BE7AE7">
              <w:rPr>
                <w:webHidden/>
              </w:rPr>
              <w:t>1</w:t>
            </w:r>
            <w:r w:rsidR="00BE7AE7">
              <w:rPr>
                <w:webHidden/>
              </w:rPr>
              <w:fldChar w:fldCharType="end"/>
            </w:r>
          </w:hyperlink>
        </w:p>
        <w:p w14:paraId="50710A01" w14:textId="7BEAF389"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28" w:history="1">
            <w:r w:rsidR="00BE7AE7" w:rsidRPr="00C46F8E">
              <w:rPr>
                <w:rStyle w:val="Hyperlink"/>
              </w:rPr>
              <w:t>2.</w:t>
            </w:r>
            <w:r w:rsidR="00BE7AE7">
              <w:rPr>
                <w:rFonts w:asciiTheme="minorHAnsi" w:eastAsiaTheme="minorEastAsia" w:hAnsiTheme="minorHAnsi"/>
                <w:b w:val="0"/>
                <w:bCs w:val="0"/>
                <w:color w:val="auto"/>
                <w:w w:val="100"/>
                <w:kern w:val="2"/>
                <w:sz w:val="22"/>
                <w:lang w:eastAsia="en-AU"/>
                <w14:ligatures w14:val="standardContextual"/>
              </w:rPr>
              <w:tab/>
            </w:r>
            <w:r w:rsidR="00BE7AE7" w:rsidRPr="00C46F8E">
              <w:rPr>
                <w:rStyle w:val="Hyperlink"/>
              </w:rPr>
              <w:t>Introduction</w:t>
            </w:r>
            <w:r w:rsidR="00BE7AE7">
              <w:rPr>
                <w:webHidden/>
              </w:rPr>
              <w:tab/>
            </w:r>
            <w:r w:rsidR="00BE7AE7">
              <w:rPr>
                <w:webHidden/>
              </w:rPr>
              <w:fldChar w:fldCharType="begin"/>
            </w:r>
            <w:r w:rsidR="00BE7AE7">
              <w:rPr>
                <w:webHidden/>
              </w:rPr>
              <w:instrText xml:space="preserve"> PAGEREF _Toc151541228 \h </w:instrText>
            </w:r>
            <w:r w:rsidR="00BE7AE7">
              <w:rPr>
                <w:webHidden/>
              </w:rPr>
            </w:r>
            <w:r w:rsidR="00BE7AE7">
              <w:rPr>
                <w:webHidden/>
              </w:rPr>
              <w:fldChar w:fldCharType="separate"/>
            </w:r>
            <w:r w:rsidR="00BE7AE7">
              <w:rPr>
                <w:webHidden/>
              </w:rPr>
              <w:t>2</w:t>
            </w:r>
            <w:r w:rsidR="00BE7AE7">
              <w:rPr>
                <w:webHidden/>
              </w:rPr>
              <w:fldChar w:fldCharType="end"/>
            </w:r>
          </w:hyperlink>
        </w:p>
        <w:p w14:paraId="1B99A6B3" w14:textId="1A1AB24F" w:rsidR="00BE7AE7" w:rsidRDefault="00AF67F7">
          <w:pPr>
            <w:pStyle w:val="TOC2"/>
            <w:rPr>
              <w:rFonts w:eastAsiaTheme="minorEastAsia"/>
              <w:kern w:val="2"/>
              <w:lang w:eastAsia="en-AU"/>
              <w14:ligatures w14:val="standardContextual"/>
            </w:rPr>
          </w:pPr>
          <w:hyperlink w:anchor="_Toc151541229" w:history="1">
            <w:r w:rsidR="00BE7AE7" w:rsidRPr="00C46F8E">
              <w:rPr>
                <w:rStyle w:val="Hyperlink"/>
              </w:rPr>
              <w:t>Background to the Bill</w:t>
            </w:r>
            <w:r w:rsidR="00BE7AE7">
              <w:rPr>
                <w:webHidden/>
              </w:rPr>
              <w:tab/>
            </w:r>
            <w:r w:rsidR="00BE7AE7">
              <w:rPr>
                <w:webHidden/>
              </w:rPr>
              <w:fldChar w:fldCharType="begin"/>
            </w:r>
            <w:r w:rsidR="00BE7AE7">
              <w:rPr>
                <w:webHidden/>
              </w:rPr>
              <w:instrText xml:space="preserve"> PAGEREF _Toc151541229 \h </w:instrText>
            </w:r>
            <w:r w:rsidR="00BE7AE7">
              <w:rPr>
                <w:webHidden/>
              </w:rPr>
            </w:r>
            <w:r w:rsidR="00BE7AE7">
              <w:rPr>
                <w:webHidden/>
              </w:rPr>
              <w:fldChar w:fldCharType="separate"/>
            </w:r>
            <w:r w:rsidR="00BE7AE7">
              <w:rPr>
                <w:webHidden/>
              </w:rPr>
              <w:t>2</w:t>
            </w:r>
            <w:r w:rsidR="00BE7AE7">
              <w:rPr>
                <w:webHidden/>
              </w:rPr>
              <w:fldChar w:fldCharType="end"/>
            </w:r>
          </w:hyperlink>
        </w:p>
        <w:p w14:paraId="709CEECD" w14:textId="4DE04D76" w:rsidR="00BE7AE7" w:rsidRDefault="00AF67F7">
          <w:pPr>
            <w:pStyle w:val="TOC2"/>
            <w:rPr>
              <w:rFonts w:eastAsiaTheme="minorEastAsia"/>
              <w:kern w:val="2"/>
              <w:lang w:eastAsia="en-AU"/>
              <w14:ligatures w14:val="standardContextual"/>
            </w:rPr>
          </w:pPr>
          <w:hyperlink w:anchor="_Toc151541230" w:history="1">
            <w:r w:rsidR="00BE7AE7" w:rsidRPr="00C46F8E">
              <w:rPr>
                <w:rStyle w:val="Hyperlink"/>
              </w:rPr>
              <w:t>Legislative scrutiny</w:t>
            </w:r>
            <w:r w:rsidR="00BE7AE7">
              <w:rPr>
                <w:webHidden/>
              </w:rPr>
              <w:tab/>
            </w:r>
            <w:r w:rsidR="00BE7AE7">
              <w:rPr>
                <w:webHidden/>
              </w:rPr>
              <w:fldChar w:fldCharType="begin"/>
            </w:r>
            <w:r w:rsidR="00BE7AE7">
              <w:rPr>
                <w:webHidden/>
              </w:rPr>
              <w:instrText xml:space="preserve"> PAGEREF _Toc151541230 \h </w:instrText>
            </w:r>
            <w:r w:rsidR="00BE7AE7">
              <w:rPr>
                <w:webHidden/>
              </w:rPr>
            </w:r>
            <w:r w:rsidR="00BE7AE7">
              <w:rPr>
                <w:webHidden/>
              </w:rPr>
              <w:fldChar w:fldCharType="separate"/>
            </w:r>
            <w:r w:rsidR="00BE7AE7">
              <w:rPr>
                <w:webHidden/>
              </w:rPr>
              <w:t>2</w:t>
            </w:r>
            <w:r w:rsidR="00BE7AE7">
              <w:rPr>
                <w:webHidden/>
              </w:rPr>
              <w:fldChar w:fldCharType="end"/>
            </w:r>
          </w:hyperlink>
        </w:p>
        <w:p w14:paraId="4F821D24" w14:textId="40E3F131"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31" w:history="1">
            <w:r w:rsidR="00BE7AE7" w:rsidRPr="00C46F8E">
              <w:rPr>
                <w:rStyle w:val="Hyperlink"/>
              </w:rPr>
              <w:t>3.</w:t>
            </w:r>
            <w:r w:rsidR="00BE7AE7">
              <w:rPr>
                <w:rFonts w:asciiTheme="minorHAnsi" w:eastAsiaTheme="minorEastAsia" w:hAnsiTheme="minorHAnsi"/>
                <w:b w:val="0"/>
                <w:bCs w:val="0"/>
                <w:color w:val="auto"/>
                <w:w w:val="100"/>
                <w:kern w:val="2"/>
                <w:sz w:val="22"/>
                <w:lang w:eastAsia="en-AU"/>
                <w14:ligatures w14:val="standardContextual"/>
              </w:rPr>
              <w:tab/>
            </w:r>
            <w:r w:rsidR="00BE7AE7" w:rsidRPr="00C46F8E">
              <w:rPr>
                <w:rStyle w:val="Hyperlink"/>
              </w:rPr>
              <w:t>Gaming reforms in the ACT</w:t>
            </w:r>
            <w:r w:rsidR="00BE7AE7">
              <w:rPr>
                <w:webHidden/>
              </w:rPr>
              <w:tab/>
            </w:r>
            <w:r w:rsidR="00BE7AE7">
              <w:rPr>
                <w:webHidden/>
              </w:rPr>
              <w:fldChar w:fldCharType="begin"/>
            </w:r>
            <w:r w:rsidR="00BE7AE7">
              <w:rPr>
                <w:webHidden/>
              </w:rPr>
              <w:instrText xml:space="preserve"> PAGEREF _Toc151541231 \h </w:instrText>
            </w:r>
            <w:r w:rsidR="00BE7AE7">
              <w:rPr>
                <w:webHidden/>
              </w:rPr>
            </w:r>
            <w:r w:rsidR="00BE7AE7">
              <w:rPr>
                <w:webHidden/>
              </w:rPr>
              <w:fldChar w:fldCharType="separate"/>
            </w:r>
            <w:r w:rsidR="00BE7AE7">
              <w:rPr>
                <w:webHidden/>
              </w:rPr>
              <w:t>3</w:t>
            </w:r>
            <w:r w:rsidR="00BE7AE7">
              <w:rPr>
                <w:webHidden/>
              </w:rPr>
              <w:fldChar w:fldCharType="end"/>
            </w:r>
          </w:hyperlink>
        </w:p>
        <w:p w14:paraId="4DA4D2DB" w14:textId="1CAECF9D" w:rsidR="00BE7AE7" w:rsidRDefault="00AF67F7">
          <w:pPr>
            <w:pStyle w:val="TOC2"/>
            <w:rPr>
              <w:rFonts w:eastAsiaTheme="minorEastAsia"/>
              <w:kern w:val="2"/>
              <w:lang w:eastAsia="en-AU"/>
              <w14:ligatures w14:val="standardContextual"/>
            </w:rPr>
          </w:pPr>
          <w:hyperlink w:anchor="_Toc151541232" w:history="1">
            <w:r w:rsidR="00BE7AE7" w:rsidRPr="00C46F8E">
              <w:rPr>
                <w:rStyle w:val="Hyperlink"/>
              </w:rPr>
              <w:t>Electronic gaming machines in the ACT</w:t>
            </w:r>
            <w:r w:rsidR="00BE7AE7">
              <w:rPr>
                <w:webHidden/>
              </w:rPr>
              <w:tab/>
            </w:r>
            <w:r w:rsidR="00BE7AE7">
              <w:rPr>
                <w:webHidden/>
              </w:rPr>
              <w:fldChar w:fldCharType="begin"/>
            </w:r>
            <w:r w:rsidR="00BE7AE7">
              <w:rPr>
                <w:webHidden/>
              </w:rPr>
              <w:instrText xml:space="preserve"> PAGEREF _Toc151541232 \h </w:instrText>
            </w:r>
            <w:r w:rsidR="00BE7AE7">
              <w:rPr>
                <w:webHidden/>
              </w:rPr>
            </w:r>
            <w:r w:rsidR="00BE7AE7">
              <w:rPr>
                <w:webHidden/>
              </w:rPr>
              <w:fldChar w:fldCharType="separate"/>
            </w:r>
            <w:r w:rsidR="00BE7AE7">
              <w:rPr>
                <w:webHidden/>
              </w:rPr>
              <w:t>3</w:t>
            </w:r>
            <w:r w:rsidR="00BE7AE7">
              <w:rPr>
                <w:webHidden/>
              </w:rPr>
              <w:fldChar w:fldCharType="end"/>
            </w:r>
          </w:hyperlink>
        </w:p>
        <w:p w14:paraId="473A0129" w14:textId="6E440C94" w:rsidR="00BE7AE7" w:rsidRDefault="00AF67F7">
          <w:pPr>
            <w:pStyle w:val="TOC2"/>
            <w:rPr>
              <w:rFonts w:eastAsiaTheme="minorEastAsia"/>
              <w:kern w:val="2"/>
              <w:lang w:eastAsia="en-AU"/>
              <w14:ligatures w14:val="standardContextual"/>
            </w:rPr>
          </w:pPr>
          <w:hyperlink w:anchor="_Toc151541233" w:history="1">
            <w:r w:rsidR="00BE7AE7" w:rsidRPr="00C46F8E">
              <w:rPr>
                <w:rStyle w:val="Hyperlink"/>
              </w:rPr>
              <w:t>Parliamentary and Governing Agreement</w:t>
            </w:r>
            <w:r w:rsidR="00BE7AE7">
              <w:rPr>
                <w:webHidden/>
              </w:rPr>
              <w:tab/>
            </w:r>
            <w:r w:rsidR="00BE7AE7">
              <w:rPr>
                <w:webHidden/>
              </w:rPr>
              <w:fldChar w:fldCharType="begin"/>
            </w:r>
            <w:r w:rsidR="00BE7AE7">
              <w:rPr>
                <w:webHidden/>
              </w:rPr>
              <w:instrText xml:space="preserve"> PAGEREF _Toc151541233 \h </w:instrText>
            </w:r>
            <w:r w:rsidR="00BE7AE7">
              <w:rPr>
                <w:webHidden/>
              </w:rPr>
            </w:r>
            <w:r w:rsidR="00BE7AE7">
              <w:rPr>
                <w:webHidden/>
              </w:rPr>
              <w:fldChar w:fldCharType="separate"/>
            </w:r>
            <w:r w:rsidR="00BE7AE7">
              <w:rPr>
                <w:webHidden/>
              </w:rPr>
              <w:t>3</w:t>
            </w:r>
            <w:r w:rsidR="00BE7AE7">
              <w:rPr>
                <w:webHidden/>
              </w:rPr>
              <w:fldChar w:fldCharType="end"/>
            </w:r>
          </w:hyperlink>
        </w:p>
        <w:p w14:paraId="174B676D" w14:textId="05F86A62" w:rsidR="00BE7AE7" w:rsidRDefault="00AF67F7">
          <w:pPr>
            <w:pStyle w:val="TOC2"/>
            <w:rPr>
              <w:rFonts w:eastAsiaTheme="minorEastAsia"/>
              <w:kern w:val="2"/>
              <w:lang w:eastAsia="en-AU"/>
              <w14:ligatures w14:val="standardContextual"/>
            </w:rPr>
          </w:pPr>
          <w:hyperlink w:anchor="_Toc151541234" w:history="1">
            <w:r w:rsidR="00BE7AE7" w:rsidRPr="00C46F8E">
              <w:rPr>
                <w:rStyle w:val="Hyperlink"/>
              </w:rPr>
              <w:t>Surrender incentive payment</w:t>
            </w:r>
            <w:r w:rsidR="00BE7AE7">
              <w:rPr>
                <w:webHidden/>
              </w:rPr>
              <w:tab/>
            </w:r>
            <w:r w:rsidR="00BE7AE7">
              <w:rPr>
                <w:webHidden/>
              </w:rPr>
              <w:fldChar w:fldCharType="begin"/>
            </w:r>
            <w:r w:rsidR="00BE7AE7">
              <w:rPr>
                <w:webHidden/>
              </w:rPr>
              <w:instrText xml:space="preserve"> PAGEREF _Toc151541234 \h </w:instrText>
            </w:r>
            <w:r w:rsidR="00BE7AE7">
              <w:rPr>
                <w:webHidden/>
              </w:rPr>
            </w:r>
            <w:r w:rsidR="00BE7AE7">
              <w:rPr>
                <w:webHidden/>
              </w:rPr>
              <w:fldChar w:fldCharType="separate"/>
            </w:r>
            <w:r w:rsidR="00BE7AE7">
              <w:rPr>
                <w:webHidden/>
              </w:rPr>
              <w:t>4</w:t>
            </w:r>
            <w:r w:rsidR="00BE7AE7">
              <w:rPr>
                <w:webHidden/>
              </w:rPr>
              <w:fldChar w:fldCharType="end"/>
            </w:r>
          </w:hyperlink>
        </w:p>
        <w:p w14:paraId="42CB78CB" w14:textId="46ABA694" w:rsidR="00BE7AE7" w:rsidRDefault="00AF67F7">
          <w:pPr>
            <w:pStyle w:val="TOC2"/>
            <w:rPr>
              <w:rFonts w:eastAsiaTheme="minorEastAsia"/>
              <w:kern w:val="2"/>
              <w:lang w:eastAsia="en-AU"/>
              <w14:ligatures w14:val="standardContextual"/>
            </w:rPr>
          </w:pPr>
          <w:hyperlink w:anchor="_Toc151541235" w:history="1">
            <w:r w:rsidR="00BE7AE7" w:rsidRPr="00C46F8E">
              <w:rPr>
                <w:rStyle w:val="Hyperlink"/>
              </w:rPr>
              <w:t>Diversification and Sustainability Support Fund (DSSF)</w:t>
            </w:r>
            <w:r w:rsidR="00BE7AE7">
              <w:rPr>
                <w:webHidden/>
              </w:rPr>
              <w:tab/>
            </w:r>
            <w:r w:rsidR="00BE7AE7">
              <w:rPr>
                <w:webHidden/>
              </w:rPr>
              <w:fldChar w:fldCharType="begin"/>
            </w:r>
            <w:r w:rsidR="00BE7AE7">
              <w:rPr>
                <w:webHidden/>
              </w:rPr>
              <w:instrText xml:space="preserve"> PAGEREF _Toc151541235 \h </w:instrText>
            </w:r>
            <w:r w:rsidR="00BE7AE7">
              <w:rPr>
                <w:webHidden/>
              </w:rPr>
            </w:r>
            <w:r w:rsidR="00BE7AE7">
              <w:rPr>
                <w:webHidden/>
              </w:rPr>
              <w:fldChar w:fldCharType="separate"/>
            </w:r>
            <w:r w:rsidR="00BE7AE7">
              <w:rPr>
                <w:webHidden/>
              </w:rPr>
              <w:t>4</w:t>
            </w:r>
            <w:r w:rsidR="00BE7AE7">
              <w:rPr>
                <w:webHidden/>
              </w:rPr>
              <w:fldChar w:fldCharType="end"/>
            </w:r>
          </w:hyperlink>
        </w:p>
        <w:p w14:paraId="12E5E66E" w14:textId="15047289" w:rsidR="00BE7AE7" w:rsidRDefault="00AF67F7">
          <w:pPr>
            <w:pStyle w:val="TOC2"/>
            <w:rPr>
              <w:rFonts w:eastAsiaTheme="minorEastAsia"/>
              <w:kern w:val="2"/>
              <w:lang w:eastAsia="en-AU"/>
              <w14:ligatures w14:val="standardContextual"/>
            </w:rPr>
          </w:pPr>
          <w:hyperlink w:anchor="_Toc151541236" w:history="1">
            <w:r w:rsidR="00BE7AE7" w:rsidRPr="00C46F8E">
              <w:rPr>
                <w:rStyle w:val="Hyperlink"/>
              </w:rPr>
              <w:t>$5 bet and $100 credit limits</w:t>
            </w:r>
            <w:r w:rsidR="00BE7AE7">
              <w:rPr>
                <w:webHidden/>
              </w:rPr>
              <w:tab/>
            </w:r>
            <w:r w:rsidR="00BE7AE7">
              <w:rPr>
                <w:webHidden/>
              </w:rPr>
              <w:fldChar w:fldCharType="begin"/>
            </w:r>
            <w:r w:rsidR="00BE7AE7">
              <w:rPr>
                <w:webHidden/>
              </w:rPr>
              <w:instrText xml:space="preserve"> PAGEREF _Toc151541236 \h </w:instrText>
            </w:r>
            <w:r w:rsidR="00BE7AE7">
              <w:rPr>
                <w:webHidden/>
              </w:rPr>
            </w:r>
            <w:r w:rsidR="00BE7AE7">
              <w:rPr>
                <w:webHidden/>
              </w:rPr>
              <w:fldChar w:fldCharType="separate"/>
            </w:r>
            <w:r w:rsidR="00BE7AE7">
              <w:rPr>
                <w:webHidden/>
              </w:rPr>
              <w:t>4</w:t>
            </w:r>
            <w:r w:rsidR="00BE7AE7">
              <w:rPr>
                <w:webHidden/>
              </w:rPr>
              <w:fldChar w:fldCharType="end"/>
            </w:r>
          </w:hyperlink>
        </w:p>
        <w:p w14:paraId="18C5C5E8" w14:textId="02462911"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37" w:history="1">
            <w:r w:rsidR="00BE7AE7" w:rsidRPr="00C46F8E">
              <w:rPr>
                <w:rStyle w:val="Hyperlink"/>
              </w:rPr>
              <w:t>4.</w:t>
            </w:r>
            <w:r w:rsidR="00BE7AE7">
              <w:rPr>
                <w:rFonts w:asciiTheme="minorHAnsi" w:eastAsiaTheme="minorEastAsia" w:hAnsiTheme="minorHAnsi"/>
                <w:b w:val="0"/>
                <w:bCs w:val="0"/>
                <w:color w:val="auto"/>
                <w:w w:val="100"/>
                <w:kern w:val="2"/>
                <w:sz w:val="22"/>
                <w:lang w:eastAsia="en-AU"/>
                <w14:ligatures w14:val="standardContextual"/>
              </w:rPr>
              <w:tab/>
            </w:r>
            <w:r w:rsidR="00BE7AE7" w:rsidRPr="00C46F8E">
              <w:rPr>
                <w:rStyle w:val="Hyperlink"/>
              </w:rPr>
              <w:t>Issues raised in evidence</w:t>
            </w:r>
            <w:r w:rsidR="00BE7AE7">
              <w:rPr>
                <w:webHidden/>
              </w:rPr>
              <w:tab/>
            </w:r>
            <w:r w:rsidR="00BE7AE7">
              <w:rPr>
                <w:webHidden/>
              </w:rPr>
              <w:fldChar w:fldCharType="begin"/>
            </w:r>
            <w:r w:rsidR="00BE7AE7">
              <w:rPr>
                <w:webHidden/>
              </w:rPr>
              <w:instrText xml:space="preserve"> PAGEREF _Toc151541237 \h </w:instrText>
            </w:r>
            <w:r w:rsidR="00BE7AE7">
              <w:rPr>
                <w:webHidden/>
              </w:rPr>
            </w:r>
            <w:r w:rsidR="00BE7AE7">
              <w:rPr>
                <w:webHidden/>
              </w:rPr>
              <w:fldChar w:fldCharType="separate"/>
            </w:r>
            <w:r w:rsidR="00BE7AE7">
              <w:rPr>
                <w:webHidden/>
              </w:rPr>
              <w:t>4</w:t>
            </w:r>
            <w:r w:rsidR="00BE7AE7">
              <w:rPr>
                <w:webHidden/>
              </w:rPr>
              <w:fldChar w:fldCharType="end"/>
            </w:r>
          </w:hyperlink>
        </w:p>
        <w:p w14:paraId="764614BE" w14:textId="39A0968D" w:rsidR="00BE7AE7" w:rsidRDefault="00AF67F7">
          <w:pPr>
            <w:pStyle w:val="TOC2"/>
            <w:rPr>
              <w:rFonts w:eastAsiaTheme="minorEastAsia"/>
              <w:kern w:val="2"/>
              <w:lang w:eastAsia="en-AU"/>
              <w14:ligatures w14:val="standardContextual"/>
            </w:rPr>
          </w:pPr>
          <w:hyperlink w:anchor="_Toc151541238" w:history="1">
            <w:r w:rsidR="00BE7AE7" w:rsidRPr="00C46F8E">
              <w:rPr>
                <w:rStyle w:val="Hyperlink"/>
              </w:rPr>
              <w:t>Impact of the Bill</w:t>
            </w:r>
            <w:r w:rsidR="00BE7AE7">
              <w:rPr>
                <w:webHidden/>
              </w:rPr>
              <w:tab/>
            </w:r>
            <w:r w:rsidR="00BE7AE7">
              <w:rPr>
                <w:webHidden/>
              </w:rPr>
              <w:fldChar w:fldCharType="begin"/>
            </w:r>
            <w:r w:rsidR="00BE7AE7">
              <w:rPr>
                <w:webHidden/>
              </w:rPr>
              <w:instrText xml:space="preserve"> PAGEREF _Toc151541238 \h </w:instrText>
            </w:r>
            <w:r w:rsidR="00BE7AE7">
              <w:rPr>
                <w:webHidden/>
              </w:rPr>
            </w:r>
            <w:r w:rsidR="00BE7AE7">
              <w:rPr>
                <w:webHidden/>
              </w:rPr>
              <w:fldChar w:fldCharType="separate"/>
            </w:r>
            <w:r w:rsidR="00BE7AE7">
              <w:rPr>
                <w:webHidden/>
              </w:rPr>
              <w:t>4</w:t>
            </w:r>
            <w:r w:rsidR="00BE7AE7">
              <w:rPr>
                <w:webHidden/>
              </w:rPr>
              <w:fldChar w:fldCharType="end"/>
            </w:r>
          </w:hyperlink>
        </w:p>
        <w:p w14:paraId="7996B774" w14:textId="0C8ADB5B" w:rsidR="00BE7AE7" w:rsidRDefault="00AF67F7">
          <w:pPr>
            <w:pStyle w:val="TOC3"/>
            <w:rPr>
              <w:rFonts w:eastAsiaTheme="minorEastAsia"/>
              <w:kern w:val="2"/>
              <w:lang w:eastAsia="en-AU"/>
              <w14:ligatures w14:val="standardContextual"/>
            </w:rPr>
          </w:pPr>
          <w:hyperlink w:anchor="_Toc151541239" w:history="1">
            <w:r w:rsidR="00BE7AE7" w:rsidRPr="00C46F8E">
              <w:rPr>
                <w:rStyle w:val="Hyperlink"/>
              </w:rPr>
              <w:t>Reducing gambling harms in the ACT</w:t>
            </w:r>
            <w:r w:rsidR="00BE7AE7">
              <w:rPr>
                <w:webHidden/>
              </w:rPr>
              <w:tab/>
            </w:r>
            <w:r w:rsidR="00BE7AE7">
              <w:rPr>
                <w:webHidden/>
              </w:rPr>
              <w:fldChar w:fldCharType="begin"/>
            </w:r>
            <w:r w:rsidR="00BE7AE7">
              <w:rPr>
                <w:webHidden/>
              </w:rPr>
              <w:instrText xml:space="preserve"> PAGEREF _Toc151541239 \h </w:instrText>
            </w:r>
            <w:r w:rsidR="00BE7AE7">
              <w:rPr>
                <w:webHidden/>
              </w:rPr>
            </w:r>
            <w:r w:rsidR="00BE7AE7">
              <w:rPr>
                <w:webHidden/>
              </w:rPr>
              <w:fldChar w:fldCharType="separate"/>
            </w:r>
            <w:r w:rsidR="00BE7AE7">
              <w:rPr>
                <w:webHidden/>
              </w:rPr>
              <w:t>5</w:t>
            </w:r>
            <w:r w:rsidR="00BE7AE7">
              <w:rPr>
                <w:webHidden/>
              </w:rPr>
              <w:fldChar w:fldCharType="end"/>
            </w:r>
          </w:hyperlink>
        </w:p>
        <w:p w14:paraId="2608D5DA" w14:textId="40849201" w:rsidR="00BE7AE7" w:rsidRDefault="00AF67F7">
          <w:pPr>
            <w:pStyle w:val="TOC3"/>
            <w:rPr>
              <w:rFonts w:eastAsiaTheme="minorEastAsia"/>
              <w:kern w:val="2"/>
              <w:lang w:eastAsia="en-AU"/>
              <w14:ligatures w14:val="standardContextual"/>
            </w:rPr>
          </w:pPr>
          <w:hyperlink w:anchor="_Toc151541240" w:history="1">
            <w:r w:rsidR="00BE7AE7" w:rsidRPr="00C46F8E">
              <w:rPr>
                <w:rStyle w:val="Hyperlink"/>
              </w:rPr>
              <w:t>Concerns with limiting the impacts to certain parts of the ACT</w:t>
            </w:r>
            <w:r w:rsidR="00BE7AE7">
              <w:rPr>
                <w:webHidden/>
              </w:rPr>
              <w:tab/>
            </w:r>
            <w:r w:rsidR="00BE7AE7">
              <w:rPr>
                <w:webHidden/>
              </w:rPr>
              <w:fldChar w:fldCharType="begin"/>
            </w:r>
            <w:r w:rsidR="00BE7AE7">
              <w:rPr>
                <w:webHidden/>
              </w:rPr>
              <w:instrText xml:space="preserve"> PAGEREF _Toc151541240 \h </w:instrText>
            </w:r>
            <w:r w:rsidR="00BE7AE7">
              <w:rPr>
                <w:webHidden/>
              </w:rPr>
            </w:r>
            <w:r w:rsidR="00BE7AE7">
              <w:rPr>
                <w:webHidden/>
              </w:rPr>
              <w:fldChar w:fldCharType="separate"/>
            </w:r>
            <w:r w:rsidR="00BE7AE7">
              <w:rPr>
                <w:webHidden/>
              </w:rPr>
              <w:t>5</w:t>
            </w:r>
            <w:r w:rsidR="00BE7AE7">
              <w:rPr>
                <w:webHidden/>
              </w:rPr>
              <w:fldChar w:fldCharType="end"/>
            </w:r>
          </w:hyperlink>
        </w:p>
        <w:p w14:paraId="3C00D7A6" w14:textId="5A811C76" w:rsidR="00BE7AE7" w:rsidRDefault="00AF67F7">
          <w:pPr>
            <w:pStyle w:val="TOC3"/>
            <w:rPr>
              <w:rFonts w:eastAsiaTheme="minorEastAsia"/>
              <w:kern w:val="2"/>
              <w:lang w:eastAsia="en-AU"/>
              <w14:ligatures w14:val="standardContextual"/>
            </w:rPr>
          </w:pPr>
          <w:hyperlink w:anchor="_Toc151541241" w:history="1">
            <w:r w:rsidR="00BE7AE7" w:rsidRPr="00C46F8E">
              <w:rPr>
                <w:rStyle w:val="Hyperlink"/>
              </w:rPr>
              <w:t>Extending the scope of the bill to include for profit venues</w:t>
            </w:r>
            <w:r w:rsidR="00BE7AE7">
              <w:rPr>
                <w:webHidden/>
              </w:rPr>
              <w:tab/>
            </w:r>
            <w:r w:rsidR="00BE7AE7">
              <w:rPr>
                <w:webHidden/>
              </w:rPr>
              <w:fldChar w:fldCharType="begin"/>
            </w:r>
            <w:r w:rsidR="00BE7AE7">
              <w:rPr>
                <w:webHidden/>
              </w:rPr>
              <w:instrText xml:space="preserve"> PAGEREF _Toc151541241 \h </w:instrText>
            </w:r>
            <w:r w:rsidR="00BE7AE7">
              <w:rPr>
                <w:webHidden/>
              </w:rPr>
            </w:r>
            <w:r w:rsidR="00BE7AE7">
              <w:rPr>
                <w:webHidden/>
              </w:rPr>
              <w:fldChar w:fldCharType="separate"/>
            </w:r>
            <w:r w:rsidR="00BE7AE7">
              <w:rPr>
                <w:webHidden/>
              </w:rPr>
              <w:t>6</w:t>
            </w:r>
            <w:r w:rsidR="00BE7AE7">
              <w:rPr>
                <w:webHidden/>
              </w:rPr>
              <w:fldChar w:fldCharType="end"/>
            </w:r>
          </w:hyperlink>
        </w:p>
        <w:p w14:paraId="075DD1C7" w14:textId="7B884EC6" w:rsidR="00BE7AE7" w:rsidRDefault="00AF67F7">
          <w:pPr>
            <w:pStyle w:val="TOC3"/>
            <w:rPr>
              <w:rFonts w:eastAsiaTheme="minorEastAsia"/>
              <w:kern w:val="2"/>
              <w:lang w:eastAsia="en-AU"/>
              <w14:ligatures w14:val="standardContextual"/>
            </w:rPr>
          </w:pPr>
          <w:hyperlink w:anchor="_Toc151541242" w:history="1">
            <w:r w:rsidR="00BE7AE7" w:rsidRPr="00C46F8E">
              <w:rPr>
                <w:rStyle w:val="Hyperlink"/>
              </w:rPr>
              <w:t>Impact on clubs and the community</w:t>
            </w:r>
            <w:r w:rsidR="00BE7AE7">
              <w:rPr>
                <w:webHidden/>
              </w:rPr>
              <w:tab/>
            </w:r>
            <w:r w:rsidR="00BE7AE7">
              <w:rPr>
                <w:webHidden/>
              </w:rPr>
              <w:fldChar w:fldCharType="begin"/>
            </w:r>
            <w:r w:rsidR="00BE7AE7">
              <w:rPr>
                <w:webHidden/>
              </w:rPr>
              <w:instrText xml:space="preserve"> PAGEREF _Toc151541242 \h </w:instrText>
            </w:r>
            <w:r w:rsidR="00BE7AE7">
              <w:rPr>
                <w:webHidden/>
              </w:rPr>
            </w:r>
            <w:r w:rsidR="00BE7AE7">
              <w:rPr>
                <w:webHidden/>
              </w:rPr>
              <w:fldChar w:fldCharType="separate"/>
            </w:r>
            <w:r w:rsidR="00BE7AE7">
              <w:rPr>
                <w:webHidden/>
              </w:rPr>
              <w:t>6</w:t>
            </w:r>
            <w:r w:rsidR="00BE7AE7">
              <w:rPr>
                <w:webHidden/>
              </w:rPr>
              <w:fldChar w:fldCharType="end"/>
            </w:r>
          </w:hyperlink>
        </w:p>
        <w:p w14:paraId="354563EF" w14:textId="6BEBA029"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43" w:history="1">
            <w:r w:rsidR="00BE7AE7" w:rsidRPr="00C46F8E">
              <w:rPr>
                <w:rStyle w:val="Hyperlink"/>
              </w:rPr>
              <w:t>5.</w:t>
            </w:r>
            <w:r w:rsidR="00BE7AE7">
              <w:rPr>
                <w:rFonts w:asciiTheme="minorHAnsi" w:eastAsiaTheme="minorEastAsia" w:hAnsiTheme="minorHAnsi"/>
                <w:b w:val="0"/>
                <w:bCs w:val="0"/>
                <w:color w:val="auto"/>
                <w:w w:val="100"/>
                <w:kern w:val="2"/>
                <w:sz w:val="22"/>
                <w:lang w:eastAsia="en-AU"/>
                <w14:ligatures w14:val="standardContextual"/>
              </w:rPr>
              <w:tab/>
            </w:r>
            <w:r w:rsidR="00BE7AE7" w:rsidRPr="00C46F8E">
              <w:rPr>
                <w:rStyle w:val="Hyperlink"/>
              </w:rPr>
              <w:t>Conclusion</w:t>
            </w:r>
            <w:r w:rsidR="00BE7AE7">
              <w:rPr>
                <w:webHidden/>
              </w:rPr>
              <w:tab/>
            </w:r>
            <w:r w:rsidR="00BE7AE7">
              <w:rPr>
                <w:webHidden/>
              </w:rPr>
              <w:fldChar w:fldCharType="begin"/>
            </w:r>
            <w:r w:rsidR="00BE7AE7">
              <w:rPr>
                <w:webHidden/>
              </w:rPr>
              <w:instrText xml:space="preserve"> PAGEREF _Toc151541243 \h </w:instrText>
            </w:r>
            <w:r w:rsidR="00BE7AE7">
              <w:rPr>
                <w:webHidden/>
              </w:rPr>
            </w:r>
            <w:r w:rsidR="00BE7AE7">
              <w:rPr>
                <w:webHidden/>
              </w:rPr>
              <w:fldChar w:fldCharType="separate"/>
            </w:r>
            <w:r w:rsidR="00BE7AE7">
              <w:rPr>
                <w:webHidden/>
              </w:rPr>
              <w:t>7</w:t>
            </w:r>
            <w:r w:rsidR="00BE7AE7">
              <w:rPr>
                <w:webHidden/>
              </w:rPr>
              <w:fldChar w:fldCharType="end"/>
            </w:r>
          </w:hyperlink>
        </w:p>
        <w:p w14:paraId="42179AD8" w14:textId="42D9D5A5"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44" w:history="1">
            <w:r w:rsidR="00BE7AE7" w:rsidRPr="00C46F8E">
              <w:rPr>
                <w:rStyle w:val="Hyperlink"/>
              </w:rPr>
              <w:t>Appendix A: Submissions</w:t>
            </w:r>
            <w:r w:rsidR="00BE7AE7">
              <w:rPr>
                <w:webHidden/>
              </w:rPr>
              <w:tab/>
            </w:r>
            <w:r w:rsidR="00BE7AE7">
              <w:rPr>
                <w:webHidden/>
              </w:rPr>
              <w:fldChar w:fldCharType="begin"/>
            </w:r>
            <w:r w:rsidR="00BE7AE7">
              <w:rPr>
                <w:webHidden/>
              </w:rPr>
              <w:instrText xml:space="preserve"> PAGEREF _Toc151541244 \h </w:instrText>
            </w:r>
            <w:r w:rsidR="00BE7AE7">
              <w:rPr>
                <w:webHidden/>
              </w:rPr>
            </w:r>
            <w:r w:rsidR="00BE7AE7">
              <w:rPr>
                <w:webHidden/>
              </w:rPr>
              <w:fldChar w:fldCharType="separate"/>
            </w:r>
            <w:r w:rsidR="00BE7AE7">
              <w:rPr>
                <w:webHidden/>
              </w:rPr>
              <w:t>9</w:t>
            </w:r>
            <w:r w:rsidR="00BE7AE7">
              <w:rPr>
                <w:webHidden/>
              </w:rPr>
              <w:fldChar w:fldCharType="end"/>
            </w:r>
          </w:hyperlink>
        </w:p>
        <w:p w14:paraId="1E9C3433" w14:textId="4DB66147"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45" w:history="1">
            <w:r w:rsidR="00BE7AE7" w:rsidRPr="00C46F8E">
              <w:rPr>
                <w:rStyle w:val="Hyperlink"/>
              </w:rPr>
              <w:t>Appendix B: Witnesses</w:t>
            </w:r>
            <w:r w:rsidR="00BE7AE7">
              <w:rPr>
                <w:webHidden/>
              </w:rPr>
              <w:tab/>
            </w:r>
            <w:r w:rsidR="00BE7AE7">
              <w:rPr>
                <w:webHidden/>
              </w:rPr>
              <w:fldChar w:fldCharType="begin"/>
            </w:r>
            <w:r w:rsidR="00BE7AE7">
              <w:rPr>
                <w:webHidden/>
              </w:rPr>
              <w:instrText xml:space="preserve"> PAGEREF _Toc151541245 \h </w:instrText>
            </w:r>
            <w:r w:rsidR="00BE7AE7">
              <w:rPr>
                <w:webHidden/>
              </w:rPr>
            </w:r>
            <w:r w:rsidR="00BE7AE7">
              <w:rPr>
                <w:webHidden/>
              </w:rPr>
              <w:fldChar w:fldCharType="separate"/>
            </w:r>
            <w:r w:rsidR="00BE7AE7">
              <w:rPr>
                <w:webHidden/>
              </w:rPr>
              <w:t>10</w:t>
            </w:r>
            <w:r w:rsidR="00BE7AE7">
              <w:rPr>
                <w:webHidden/>
              </w:rPr>
              <w:fldChar w:fldCharType="end"/>
            </w:r>
          </w:hyperlink>
        </w:p>
        <w:p w14:paraId="698B594C" w14:textId="156743E5" w:rsidR="00BE7AE7" w:rsidRDefault="00AF67F7">
          <w:pPr>
            <w:pStyle w:val="TOC3"/>
            <w:rPr>
              <w:rFonts w:eastAsiaTheme="minorEastAsia"/>
              <w:kern w:val="2"/>
              <w:lang w:eastAsia="en-AU"/>
              <w14:ligatures w14:val="standardContextual"/>
            </w:rPr>
          </w:pPr>
          <w:hyperlink w:anchor="_Toc151541246" w:history="1">
            <w:r w:rsidR="00BE7AE7" w:rsidRPr="00C46F8E">
              <w:rPr>
                <w:rStyle w:val="Hyperlink"/>
              </w:rPr>
              <w:t>8 November 2023</w:t>
            </w:r>
            <w:r w:rsidR="00BE7AE7">
              <w:rPr>
                <w:webHidden/>
              </w:rPr>
              <w:tab/>
            </w:r>
            <w:r w:rsidR="00BE7AE7">
              <w:rPr>
                <w:webHidden/>
              </w:rPr>
              <w:fldChar w:fldCharType="begin"/>
            </w:r>
            <w:r w:rsidR="00BE7AE7">
              <w:rPr>
                <w:webHidden/>
              </w:rPr>
              <w:instrText xml:space="preserve"> PAGEREF _Toc151541246 \h </w:instrText>
            </w:r>
            <w:r w:rsidR="00BE7AE7">
              <w:rPr>
                <w:webHidden/>
              </w:rPr>
            </w:r>
            <w:r w:rsidR="00BE7AE7">
              <w:rPr>
                <w:webHidden/>
              </w:rPr>
              <w:fldChar w:fldCharType="separate"/>
            </w:r>
            <w:r w:rsidR="00BE7AE7">
              <w:rPr>
                <w:webHidden/>
              </w:rPr>
              <w:t>10</w:t>
            </w:r>
            <w:r w:rsidR="00BE7AE7">
              <w:rPr>
                <w:webHidden/>
              </w:rPr>
              <w:fldChar w:fldCharType="end"/>
            </w:r>
          </w:hyperlink>
        </w:p>
        <w:p w14:paraId="21EDB179" w14:textId="2689EF04"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47" w:history="1">
            <w:r w:rsidR="00BE7AE7" w:rsidRPr="00C46F8E">
              <w:rPr>
                <w:rStyle w:val="Hyperlink"/>
              </w:rPr>
              <w:t>Appendix C: Gender distribution of witnesses</w:t>
            </w:r>
            <w:r w:rsidR="00BE7AE7">
              <w:rPr>
                <w:webHidden/>
              </w:rPr>
              <w:tab/>
            </w:r>
            <w:r w:rsidR="00BE7AE7">
              <w:rPr>
                <w:webHidden/>
              </w:rPr>
              <w:fldChar w:fldCharType="begin"/>
            </w:r>
            <w:r w:rsidR="00BE7AE7">
              <w:rPr>
                <w:webHidden/>
              </w:rPr>
              <w:instrText xml:space="preserve"> PAGEREF _Toc151541247 \h </w:instrText>
            </w:r>
            <w:r w:rsidR="00BE7AE7">
              <w:rPr>
                <w:webHidden/>
              </w:rPr>
            </w:r>
            <w:r w:rsidR="00BE7AE7">
              <w:rPr>
                <w:webHidden/>
              </w:rPr>
              <w:fldChar w:fldCharType="separate"/>
            </w:r>
            <w:r w:rsidR="00BE7AE7">
              <w:rPr>
                <w:webHidden/>
              </w:rPr>
              <w:t>11</w:t>
            </w:r>
            <w:r w:rsidR="00BE7AE7">
              <w:rPr>
                <w:webHidden/>
              </w:rPr>
              <w:fldChar w:fldCharType="end"/>
            </w:r>
          </w:hyperlink>
        </w:p>
        <w:p w14:paraId="36BE21E9" w14:textId="37B572F7" w:rsidR="00BE7AE7" w:rsidRDefault="00AF67F7">
          <w:pPr>
            <w:pStyle w:val="TOC1"/>
            <w:rPr>
              <w:rFonts w:asciiTheme="minorHAnsi" w:eastAsiaTheme="minorEastAsia" w:hAnsiTheme="minorHAnsi"/>
              <w:b w:val="0"/>
              <w:bCs w:val="0"/>
              <w:color w:val="auto"/>
              <w:w w:val="100"/>
              <w:kern w:val="2"/>
              <w:sz w:val="22"/>
              <w:lang w:eastAsia="en-AU"/>
              <w14:ligatures w14:val="standardContextual"/>
            </w:rPr>
          </w:pPr>
          <w:hyperlink w:anchor="_Toc151541248" w:history="1">
            <w:r w:rsidR="00BE7AE7" w:rsidRPr="00C46F8E">
              <w:rPr>
                <w:rStyle w:val="Hyperlink"/>
              </w:rPr>
              <w:t>Appendix D: Dissenting report by Mr Peter Cain MLA</w:t>
            </w:r>
            <w:r w:rsidR="00BE7AE7">
              <w:rPr>
                <w:webHidden/>
              </w:rPr>
              <w:tab/>
            </w:r>
            <w:r w:rsidR="00BE7AE7">
              <w:rPr>
                <w:webHidden/>
              </w:rPr>
              <w:fldChar w:fldCharType="begin"/>
            </w:r>
            <w:r w:rsidR="00BE7AE7">
              <w:rPr>
                <w:webHidden/>
              </w:rPr>
              <w:instrText xml:space="preserve"> PAGEREF _Toc151541248 \h </w:instrText>
            </w:r>
            <w:r w:rsidR="00BE7AE7">
              <w:rPr>
                <w:webHidden/>
              </w:rPr>
            </w:r>
            <w:r w:rsidR="00BE7AE7">
              <w:rPr>
                <w:webHidden/>
              </w:rPr>
              <w:fldChar w:fldCharType="separate"/>
            </w:r>
            <w:r w:rsidR="00BE7AE7">
              <w:rPr>
                <w:webHidden/>
              </w:rPr>
              <w:t>12</w:t>
            </w:r>
            <w:r w:rsidR="00BE7AE7">
              <w:rPr>
                <w:webHidden/>
              </w:rPr>
              <w:fldChar w:fldCharType="end"/>
            </w:r>
          </w:hyperlink>
        </w:p>
        <w:p w14:paraId="1E1CDF38" w14:textId="3727AEE7" w:rsidR="008A6130" w:rsidRDefault="008A6130" w:rsidP="003C3CF9">
          <w:r>
            <w:rPr>
              <w:b/>
              <w:bCs/>
              <w:noProof/>
            </w:rPr>
            <w:fldChar w:fldCharType="end"/>
          </w:r>
        </w:p>
      </w:sdtContent>
    </w:sdt>
    <w:p w14:paraId="1F9FD703" w14:textId="77777777" w:rsidR="0031628A" w:rsidRDefault="0031628A" w:rsidP="0063473A">
      <w:pPr>
        <w:pStyle w:val="Heading1nonumber"/>
      </w:pPr>
      <w:bookmarkStart w:id="14" w:name="_Toc151541225"/>
      <w:bookmarkStart w:id="15" w:name="_Toc79133347"/>
      <w:bookmarkStart w:id="16" w:name="_Hlk79475490"/>
      <w:r>
        <w:t>Acronyms</w:t>
      </w:r>
      <w:bookmarkEnd w:id="14"/>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645A3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0F7FDD50" w:rsidR="00645A36" w:rsidRDefault="00645A36" w:rsidP="00645A36">
            <w:pPr>
              <w:pStyle w:val="Tablebody"/>
            </w:pPr>
            <w:r>
              <w:t>ABN</w:t>
            </w:r>
          </w:p>
        </w:tc>
        <w:tc>
          <w:tcPr>
            <w:tcW w:w="7183" w:type="dxa"/>
          </w:tcPr>
          <w:p w14:paraId="44AB3819" w14:textId="375A06F4" w:rsidR="00645A36" w:rsidRDefault="00645A36" w:rsidP="00645A36">
            <w:pPr>
              <w:pStyle w:val="Tablebody"/>
            </w:pPr>
            <w:r>
              <w:t>Australian Business Number</w:t>
            </w:r>
          </w:p>
        </w:tc>
      </w:tr>
      <w:tr w:rsidR="00645A3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13C97DA9" w:rsidR="00645A36" w:rsidRDefault="00645A36" w:rsidP="00645A36">
            <w:pPr>
              <w:pStyle w:val="Tablebody"/>
            </w:pPr>
            <w:r>
              <w:t>ACT</w:t>
            </w:r>
          </w:p>
        </w:tc>
        <w:tc>
          <w:tcPr>
            <w:tcW w:w="7183" w:type="dxa"/>
          </w:tcPr>
          <w:p w14:paraId="057F0D12" w14:textId="33E666A8" w:rsidR="00645A36" w:rsidRDefault="00645A36" w:rsidP="00645A36">
            <w:pPr>
              <w:pStyle w:val="Tablebody"/>
            </w:pPr>
            <w:r>
              <w:t>Australian Capital Territory</w:t>
            </w:r>
          </w:p>
        </w:tc>
      </w:tr>
      <w:tr w:rsidR="00180B97" w14:paraId="522A1BA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CBD041" w14:textId="0E9CA618" w:rsidR="00180B97" w:rsidRDefault="00180B97" w:rsidP="00645A36">
            <w:pPr>
              <w:pStyle w:val="Tablebody"/>
            </w:pPr>
            <w:r>
              <w:t>ACTCOSS</w:t>
            </w:r>
          </w:p>
        </w:tc>
        <w:tc>
          <w:tcPr>
            <w:tcW w:w="7183" w:type="dxa"/>
          </w:tcPr>
          <w:p w14:paraId="49014E6A" w14:textId="2638184E" w:rsidR="00180B97" w:rsidRDefault="00180B97" w:rsidP="00645A36">
            <w:pPr>
              <w:pStyle w:val="Tablebody"/>
            </w:pPr>
            <w:r>
              <w:t>ACT Council of Social Service</w:t>
            </w:r>
          </w:p>
        </w:tc>
      </w:tr>
      <w:tr w:rsidR="00645A3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74361A03" w:rsidR="00645A36" w:rsidRDefault="00645A36" w:rsidP="00645A36">
            <w:pPr>
              <w:pStyle w:val="Tablebody"/>
            </w:pPr>
            <w:r>
              <w:t>The Bill</w:t>
            </w:r>
          </w:p>
        </w:tc>
        <w:tc>
          <w:tcPr>
            <w:tcW w:w="7183" w:type="dxa"/>
          </w:tcPr>
          <w:p w14:paraId="7B1C4834" w14:textId="677C7574" w:rsidR="00645A36" w:rsidRDefault="00E70348" w:rsidP="00645A36">
            <w:pPr>
              <w:pStyle w:val="Tablebody"/>
            </w:pPr>
            <w:r w:rsidRPr="00C36EF3">
              <w:t>Gaming Machine Amendment Bill 2023</w:t>
            </w:r>
          </w:p>
        </w:tc>
      </w:tr>
      <w:tr w:rsidR="007602BF" w14:paraId="6225AEE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849918F" w14:textId="66171887" w:rsidR="007602BF" w:rsidRDefault="007602BF" w:rsidP="00645A36">
            <w:pPr>
              <w:pStyle w:val="Tablebody"/>
            </w:pPr>
            <w:r>
              <w:t xml:space="preserve">The Commission </w:t>
            </w:r>
          </w:p>
        </w:tc>
        <w:tc>
          <w:tcPr>
            <w:tcW w:w="7183" w:type="dxa"/>
          </w:tcPr>
          <w:p w14:paraId="196210A8" w14:textId="5AF1BF32" w:rsidR="007602BF" w:rsidRPr="00C36EF3" w:rsidRDefault="007602BF" w:rsidP="00645A36">
            <w:pPr>
              <w:pStyle w:val="Tablebody"/>
            </w:pPr>
            <w:r>
              <w:rPr>
                <w:color w:val="313131"/>
                <w:szCs w:val="22"/>
              </w:rPr>
              <w:t xml:space="preserve">ACT </w:t>
            </w:r>
            <w:r w:rsidRPr="000C7E03">
              <w:rPr>
                <w:color w:val="313131"/>
                <w:szCs w:val="22"/>
              </w:rPr>
              <w:t>Gambling and Racing Commission</w:t>
            </w:r>
          </w:p>
        </w:tc>
      </w:tr>
      <w:tr w:rsidR="00CE72D1" w14:paraId="606D1E5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1C2F7E4" w14:textId="657B773C" w:rsidR="00CE72D1" w:rsidRDefault="00C36EF3" w:rsidP="00645A36">
            <w:pPr>
              <w:pStyle w:val="Tablebody"/>
            </w:pPr>
            <w:r>
              <w:t>EGM(s)</w:t>
            </w:r>
          </w:p>
        </w:tc>
        <w:tc>
          <w:tcPr>
            <w:tcW w:w="7183" w:type="dxa"/>
          </w:tcPr>
          <w:p w14:paraId="3FACBA1F" w14:textId="2CCB080D" w:rsidR="00CE72D1" w:rsidRPr="00E70348" w:rsidRDefault="00C36EF3" w:rsidP="00645A36">
            <w:pPr>
              <w:pStyle w:val="Tablebody"/>
              <w:rPr>
                <w:highlight w:val="yellow"/>
              </w:rPr>
            </w:pPr>
            <w:r w:rsidRPr="00C36EF3">
              <w:t xml:space="preserve">Electronic </w:t>
            </w:r>
            <w:r w:rsidR="00A77955">
              <w:t>g</w:t>
            </w:r>
            <w:r w:rsidRPr="00C36EF3">
              <w:t xml:space="preserve">aming </w:t>
            </w:r>
            <w:r w:rsidR="00A77955">
              <w:t>m</w:t>
            </w:r>
            <w:r w:rsidRPr="00C36EF3">
              <w:t>achine(s)</w:t>
            </w:r>
          </w:p>
        </w:tc>
      </w:tr>
      <w:tr w:rsidR="00241576"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6D810B20" w:rsidR="00241576" w:rsidRDefault="00241576" w:rsidP="00241576">
            <w:pPr>
              <w:pStyle w:val="Tablebody"/>
            </w:pPr>
            <w:r>
              <w:t>HRA</w:t>
            </w:r>
          </w:p>
        </w:tc>
        <w:tc>
          <w:tcPr>
            <w:tcW w:w="7183" w:type="dxa"/>
          </w:tcPr>
          <w:p w14:paraId="69B4A0E4" w14:textId="0A94BE2B" w:rsidR="00241576" w:rsidRDefault="00241576" w:rsidP="00241576">
            <w:pPr>
              <w:pStyle w:val="Tablebody"/>
            </w:pPr>
            <w:r>
              <w:t>Human Rights Act 2004</w:t>
            </w:r>
          </w:p>
        </w:tc>
      </w:tr>
      <w:tr w:rsidR="00241576" w14:paraId="71CC5D3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9ED2488" w14:textId="7E05BD32" w:rsidR="00241576" w:rsidRPr="00457212" w:rsidRDefault="00241576" w:rsidP="00241576">
            <w:pPr>
              <w:pStyle w:val="Tablebody"/>
            </w:pPr>
            <w:r>
              <w:t>MLA</w:t>
            </w:r>
          </w:p>
        </w:tc>
        <w:tc>
          <w:tcPr>
            <w:tcW w:w="7183" w:type="dxa"/>
          </w:tcPr>
          <w:p w14:paraId="799F5D54" w14:textId="3D3811A3" w:rsidR="00241576" w:rsidRPr="00457212" w:rsidRDefault="00241576" w:rsidP="00241576">
            <w:pPr>
              <w:pStyle w:val="Tablebody"/>
              <w:rPr>
                <w:i/>
                <w:iCs/>
              </w:rPr>
            </w:pPr>
            <w:r>
              <w:t>Member of the Legislative Assembly</w:t>
            </w:r>
          </w:p>
        </w:tc>
      </w:tr>
      <w:tr w:rsidR="00241576" w14:paraId="4A34467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85219DA" w14:textId="2B097867" w:rsidR="00241576" w:rsidRPr="00F66D6E" w:rsidRDefault="00241576" w:rsidP="00241576">
            <w:pPr>
              <w:pStyle w:val="Tablebody"/>
            </w:pPr>
            <w:r>
              <w:t>NSW</w:t>
            </w:r>
          </w:p>
        </w:tc>
        <w:tc>
          <w:tcPr>
            <w:tcW w:w="7183" w:type="dxa"/>
          </w:tcPr>
          <w:p w14:paraId="10B6A713" w14:textId="255CC742" w:rsidR="00241576" w:rsidRDefault="00241576" w:rsidP="00241576">
            <w:pPr>
              <w:pStyle w:val="Tablebody"/>
            </w:pPr>
            <w:r>
              <w:t>New South Wales</w:t>
            </w:r>
          </w:p>
        </w:tc>
      </w:tr>
      <w:tr w:rsidR="00241576" w14:paraId="4CE5319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E073062" w14:textId="5D350EC2" w:rsidR="00241576" w:rsidRPr="00F66D6E" w:rsidRDefault="00241576" w:rsidP="00241576">
            <w:pPr>
              <w:pStyle w:val="Tablebody"/>
            </w:pPr>
            <w:r>
              <w:t>QON</w:t>
            </w:r>
          </w:p>
        </w:tc>
        <w:tc>
          <w:tcPr>
            <w:tcW w:w="7183" w:type="dxa"/>
          </w:tcPr>
          <w:p w14:paraId="64D7FBD6" w14:textId="5784230F" w:rsidR="00241576" w:rsidRDefault="00241576" w:rsidP="00241576">
            <w:pPr>
              <w:pStyle w:val="Tablebody"/>
            </w:pPr>
            <w:r>
              <w:t>Question on notice</w:t>
            </w:r>
          </w:p>
        </w:tc>
      </w:tr>
      <w:tr w:rsidR="00241576" w14:paraId="6A6FEA6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DA94C52" w14:textId="0341D696" w:rsidR="00241576" w:rsidRPr="00F66D6E" w:rsidRDefault="00241576" w:rsidP="00241576">
            <w:pPr>
              <w:pStyle w:val="Tablebody"/>
            </w:pPr>
            <w:r>
              <w:t>QTON</w:t>
            </w:r>
          </w:p>
        </w:tc>
        <w:tc>
          <w:tcPr>
            <w:tcW w:w="7183" w:type="dxa"/>
          </w:tcPr>
          <w:p w14:paraId="42E1C5D9" w14:textId="0FD1EDB2" w:rsidR="00241576" w:rsidRDefault="00241576" w:rsidP="00241576">
            <w:pPr>
              <w:pStyle w:val="Tablebody"/>
            </w:pPr>
            <w:r>
              <w:t>Question taken on notice</w:t>
            </w:r>
          </w:p>
        </w:tc>
      </w:tr>
      <w:tr w:rsidR="00241576" w14:paraId="290CEE7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D66E642" w14:textId="7A711C59" w:rsidR="00241576" w:rsidRPr="00F66D6E" w:rsidRDefault="00070FB0" w:rsidP="00241576">
            <w:pPr>
              <w:pStyle w:val="Tablebody"/>
            </w:pPr>
            <w:r>
              <w:t>The Scrutiny Committee</w:t>
            </w:r>
          </w:p>
        </w:tc>
        <w:tc>
          <w:tcPr>
            <w:tcW w:w="7183" w:type="dxa"/>
          </w:tcPr>
          <w:p w14:paraId="7F9C44EB" w14:textId="6DE80155" w:rsidR="00241576" w:rsidRDefault="00070FB0" w:rsidP="00241576">
            <w:pPr>
              <w:pStyle w:val="Tablebody"/>
            </w:pPr>
            <w:r>
              <w:t>Standing Committee on Justice and Community Safety (Legislative Scrutiny role)</w:t>
            </w:r>
          </w:p>
        </w:tc>
      </w:tr>
      <w:tr w:rsidR="00241576" w14:paraId="1DC7E77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15CA03F" w14:textId="7A683CEE" w:rsidR="00241576" w:rsidRPr="00F66D6E" w:rsidRDefault="00241576" w:rsidP="00241576">
            <w:pPr>
              <w:pStyle w:val="Tablebody"/>
            </w:pPr>
            <w:r w:rsidRPr="00F66D6E">
              <w:t>The Territory</w:t>
            </w:r>
          </w:p>
        </w:tc>
        <w:tc>
          <w:tcPr>
            <w:tcW w:w="7183" w:type="dxa"/>
          </w:tcPr>
          <w:p w14:paraId="297C39F3" w14:textId="0BF67757" w:rsidR="00241576" w:rsidRDefault="00241576" w:rsidP="00241576">
            <w:pPr>
              <w:pStyle w:val="Tablebody"/>
            </w:pPr>
            <w:r>
              <w:t>The Australian Capital Territory</w:t>
            </w:r>
          </w:p>
        </w:tc>
      </w:tr>
    </w:tbl>
    <w:p w14:paraId="5CC4E2AD" w14:textId="5BD1EDE2" w:rsidR="0031628A" w:rsidRDefault="0031628A" w:rsidP="0031628A">
      <w:pPr>
        <w:rPr>
          <w:w w:val="90"/>
        </w:rPr>
      </w:pPr>
      <w:r>
        <w:br w:type="page"/>
      </w:r>
    </w:p>
    <w:p w14:paraId="4044F508" w14:textId="767E15A0" w:rsidR="007A6EB9" w:rsidRDefault="008D72C9" w:rsidP="0063473A">
      <w:pPr>
        <w:pStyle w:val="Heading1nonumber"/>
      </w:pPr>
      <w:bookmarkStart w:id="17" w:name="_Toc151541226"/>
      <w:r>
        <w:t>R</w:t>
      </w:r>
      <w:r w:rsidR="007A6EB9" w:rsidRPr="0006752F">
        <w:t>ecommendations</w:t>
      </w:r>
      <w:bookmarkEnd w:id="17"/>
    </w:p>
    <w:p w14:paraId="6FADC57F" w14:textId="578130D4" w:rsidR="00F84575"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51043821" w:history="1">
        <w:r w:rsidR="00F84575" w:rsidRPr="00867EDF">
          <w:rPr>
            <w:rStyle w:val="Hyperlink"/>
          </w:rPr>
          <w:t>Recommendation 1</w:t>
        </w:r>
      </w:hyperlink>
    </w:p>
    <w:p w14:paraId="787E96CA" w14:textId="7E42BE66" w:rsidR="00F84575" w:rsidRDefault="00AF67F7">
      <w:pPr>
        <w:pStyle w:val="TOC2"/>
        <w:rPr>
          <w:rFonts w:eastAsiaTheme="minorEastAsia"/>
          <w:kern w:val="2"/>
          <w:lang w:eastAsia="en-AU"/>
          <w14:ligatures w14:val="standardContextual"/>
        </w:rPr>
      </w:pPr>
      <w:hyperlink w:anchor="_Toc151043822" w:history="1">
        <w:r w:rsidR="00F84575" w:rsidRPr="00867EDF">
          <w:rPr>
            <w:rStyle w:val="Hyperlink"/>
          </w:rPr>
          <w:t>The Committee recommends that the Assembly passes the Gaming Machine Amendment Bill 2023.</w:t>
        </w:r>
      </w:hyperlink>
    </w:p>
    <w:p w14:paraId="34234833" w14:textId="2B6BB4C0" w:rsidR="00B7541C" w:rsidRDefault="006A7A61" w:rsidP="00B7541C">
      <w:r>
        <w:fldChar w:fldCharType="end"/>
      </w:r>
    </w:p>
    <w:p w14:paraId="344C4F63" w14:textId="5C49D60C" w:rsidR="00B7541C" w:rsidRPr="00B7541C" w:rsidRDefault="00B7541C" w:rsidP="00B7541C">
      <w:pPr>
        <w:sectPr w:rsidR="00B7541C" w:rsidRPr="00B7541C" w:rsidSect="00B40636">
          <w:footerReference w:type="even" r:id="rId20"/>
          <w:footerReference w:type="default" r:id="rId21"/>
          <w:pgSz w:w="11906" w:h="16838"/>
          <w:pgMar w:top="1440" w:right="1440" w:bottom="1440" w:left="1440" w:header="709" w:footer="709" w:gutter="0"/>
          <w:pgNumType w:fmt="lowerRoman" w:start="1"/>
          <w:cols w:space="708"/>
          <w:docGrid w:linePitch="360"/>
        </w:sectPr>
      </w:pPr>
    </w:p>
    <w:p w14:paraId="34103DF8" w14:textId="77777777" w:rsidR="00CB41A5" w:rsidRPr="006323F8" w:rsidRDefault="00CB41A5" w:rsidP="00CB41A5">
      <w:pPr>
        <w:pStyle w:val="Heading1"/>
      </w:pPr>
      <w:bookmarkStart w:id="18" w:name="_Toc146717230"/>
      <w:bookmarkStart w:id="19" w:name="_Toc151541227"/>
      <w:r>
        <w:t>Conduct of the inquiry</w:t>
      </w:r>
      <w:bookmarkEnd w:id="18"/>
      <w:bookmarkEnd w:id="19"/>
    </w:p>
    <w:p w14:paraId="6E261733" w14:textId="589E7D75" w:rsidR="00CB41A5" w:rsidRDefault="002B640B" w:rsidP="00CB41A5">
      <w:pPr>
        <w:pStyle w:val="ListNumber2"/>
      </w:pPr>
      <w:r w:rsidRPr="002B640B">
        <w:t>The Committee announced that it would inquire into the</w:t>
      </w:r>
      <w:r>
        <w:t xml:space="preserve"> </w:t>
      </w:r>
      <w:r w:rsidRPr="007D11BA">
        <w:rPr>
          <w:i/>
          <w:iCs/>
          <w:color w:val="313131"/>
          <w:szCs w:val="22"/>
        </w:rPr>
        <w:t>Gaming Machine A</w:t>
      </w:r>
      <w:r>
        <w:rPr>
          <w:i/>
          <w:iCs/>
          <w:color w:val="313131"/>
          <w:szCs w:val="22"/>
        </w:rPr>
        <w:t>mendment Bill 2023</w:t>
      </w:r>
      <w:r>
        <w:rPr>
          <w:color w:val="313131"/>
          <w:szCs w:val="22"/>
        </w:rPr>
        <w:t xml:space="preserve"> </w:t>
      </w:r>
      <w:r w:rsidRPr="002B640B">
        <w:t>on 6 September 2023</w:t>
      </w:r>
      <w:r>
        <w:t xml:space="preserve">, </w:t>
      </w:r>
      <w:r w:rsidR="00CB41A5">
        <w:t xml:space="preserve">and issued a media release on </w:t>
      </w:r>
      <w:r>
        <w:t>7</w:t>
      </w:r>
      <w:r w:rsidR="00CB41A5">
        <w:t xml:space="preserve"> March 2023 inviting the community to participate in the inquiry by making a submission. </w:t>
      </w:r>
      <w:r w:rsidR="00CB41A5" w:rsidRPr="00B21333">
        <w:t>Invitations to make submissions to the inquiry were also emailed directly to stakeholders.</w:t>
      </w:r>
      <w:r w:rsidR="0092766F">
        <w:t xml:space="preserve"> </w:t>
      </w:r>
    </w:p>
    <w:p w14:paraId="46550400" w14:textId="4BC0A00C" w:rsidR="00CB41A5" w:rsidRDefault="00CB41A5" w:rsidP="00CB41A5">
      <w:pPr>
        <w:pStyle w:val="ListNumber2"/>
      </w:pPr>
      <w:r>
        <w:t xml:space="preserve">The </w:t>
      </w:r>
      <w:r w:rsidRPr="00510DF9">
        <w:t xml:space="preserve">Committee received </w:t>
      </w:r>
      <w:r w:rsidR="00B40636">
        <w:t>5</w:t>
      </w:r>
      <w:r w:rsidRPr="00510DF9">
        <w:t xml:space="preserve"> submissions</w:t>
      </w:r>
      <w:r>
        <w:t xml:space="preserve">. These are listed in </w:t>
      </w:r>
      <w:r w:rsidRPr="00DC4EAC">
        <w:rPr>
          <w:b/>
          <w:bCs w:val="0"/>
        </w:rPr>
        <w:t>Appendix A</w:t>
      </w:r>
      <w:r>
        <w:t>.</w:t>
      </w:r>
    </w:p>
    <w:p w14:paraId="4687533C" w14:textId="659DBB1E" w:rsidR="00CB41A5" w:rsidRPr="00E11A04" w:rsidRDefault="00CB41A5" w:rsidP="00CB41A5">
      <w:pPr>
        <w:pStyle w:val="ListNumber2"/>
      </w:pPr>
      <w:r w:rsidRPr="00E11A04">
        <w:t xml:space="preserve">The Committee held a public hearing on Wednesday, </w:t>
      </w:r>
      <w:r w:rsidR="00EA45EF" w:rsidRPr="00E11A04">
        <w:t>8</w:t>
      </w:r>
      <w:r w:rsidRPr="00E11A04">
        <w:t xml:space="preserve"> </w:t>
      </w:r>
      <w:r w:rsidR="00AC1D88" w:rsidRPr="00E11A04">
        <w:t>November</w:t>
      </w:r>
      <w:r w:rsidRPr="00E11A04">
        <w:t xml:space="preserve"> 2023. Witnesses who appeared at the hearing are listed in </w:t>
      </w:r>
      <w:r w:rsidRPr="00E11A04">
        <w:rPr>
          <w:b/>
          <w:bCs w:val="0"/>
        </w:rPr>
        <w:t>Appendix B</w:t>
      </w:r>
      <w:r w:rsidRPr="00E11A04">
        <w:t xml:space="preserve">. </w:t>
      </w:r>
    </w:p>
    <w:p w14:paraId="64BF2DCF" w14:textId="0220D078" w:rsidR="00CB41A5" w:rsidRPr="00E11A04" w:rsidRDefault="00CB41A5" w:rsidP="00CB41A5">
      <w:pPr>
        <w:pStyle w:val="ListNumber2"/>
      </w:pPr>
      <w:r w:rsidRPr="00E11A04">
        <w:t xml:space="preserve">A breakdown of witnesses at the public hearing by gender identity is given in </w:t>
      </w:r>
      <w:r w:rsidRPr="00E11A04">
        <w:rPr>
          <w:b/>
          <w:bCs w:val="0"/>
        </w:rPr>
        <w:t xml:space="preserve">Appendix </w:t>
      </w:r>
      <w:r w:rsidR="005933F6">
        <w:rPr>
          <w:b/>
          <w:bCs w:val="0"/>
        </w:rPr>
        <w:t>C</w:t>
      </w:r>
      <w:r w:rsidRPr="00E11A04">
        <w:t xml:space="preserve">. </w:t>
      </w:r>
    </w:p>
    <w:p w14:paraId="3AA32DD2" w14:textId="2EEB56AD" w:rsidR="002B640B" w:rsidRPr="00086938" w:rsidRDefault="002B640B" w:rsidP="002B640B">
      <w:pPr>
        <w:pStyle w:val="ListNumber2"/>
      </w:pPr>
      <w:r w:rsidRPr="00086938">
        <w:t xml:space="preserve">In this report, references to </w:t>
      </w:r>
      <w:r w:rsidRPr="00086938">
        <w:rPr>
          <w:i/>
          <w:iCs/>
        </w:rPr>
        <w:t>Committee Hansard</w:t>
      </w:r>
      <w:r w:rsidRPr="00086938">
        <w:t xml:space="preserve"> are to the </w:t>
      </w:r>
      <w:r w:rsidR="009D6D2C" w:rsidRPr="009D6D2C">
        <w:rPr>
          <w:i/>
          <w:iCs/>
        </w:rPr>
        <w:t>Uncorrected</w:t>
      </w:r>
      <w:r w:rsidR="009D6D2C">
        <w:t xml:space="preserve"> </w:t>
      </w:r>
      <w:r w:rsidRPr="00086938">
        <w:rPr>
          <w:i/>
          <w:iCs/>
        </w:rPr>
        <w:t>Proof Transcript</w:t>
      </w:r>
      <w:r w:rsidRPr="00086938">
        <w:t xml:space="preserve"> of evidence. Page numbers may vary between proof and final official transcripts.</w:t>
      </w:r>
    </w:p>
    <w:p w14:paraId="3A4E6866" w14:textId="77777777" w:rsidR="00501724" w:rsidRDefault="00501724">
      <w:pPr>
        <w:spacing w:line="259" w:lineRule="auto"/>
        <w:rPr>
          <w:rFonts w:ascii="Montserrat" w:eastAsiaTheme="majorEastAsia" w:hAnsi="Montserrat" w:cstheme="majorBidi"/>
          <w:b/>
          <w:color w:val="1A234C"/>
          <w:w w:val="90"/>
          <w:kern w:val="2"/>
          <w:sz w:val="36"/>
          <w:szCs w:val="32"/>
        </w:rPr>
      </w:pPr>
      <w:bookmarkStart w:id="20" w:name="_Toc146717231"/>
      <w:r>
        <w:br w:type="page"/>
      </w:r>
    </w:p>
    <w:p w14:paraId="422A8C37" w14:textId="7A366E63" w:rsidR="004A02AD" w:rsidRDefault="004A02AD" w:rsidP="004A02AD">
      <w:pPr>
        <w:pStyle w:val="ListNumber"/>
      </w:pPr>
      <w:bookmarkStart w:id="21" w:name="_Toc151541228"/>
      <w:r>
        <w:t>Introduction</w:t>
      </w:r>
      <w:bookmarkEnd w:id="20"/>
      <w:bookmarkEnd w:id="21"/>
      <w:r w:rsidR="00AA7CBC">
        <w:t xml:space="preserve"> </w:t>
      </w:r>
    </w:p>
    <w:p w14:paraId="13E06851" w14:textId="57ECBC87" w:rsidR="005C4F3E" w:rsidRPr="00E30E38" w:rsidRDefault="005C4F3E" w:rsidP="002D6754">
      <w:pPr>
        <w:pStyle w:val="Heading2"/>
      </w:pPr>
      <w:bookmarkStart w:id="22" w:name="_Toc139284175"/>
      <w:bookmarkStart w:id="23" w:name="_Toc151541229"/>
      <w:r>
        <w:t>Background to the Bill</w:t>
      </w:r>
      <w:bookmarkEnd w:id="22"/>
      <w:bookmarkEnd w:id="23"/>
      <w:r>
        <w:t xml:space="preserve"> </w:t>
      </w:r>
    </w:p>
    <w:p w14:paraId="724B7673" w14:textId="13D5609E" w:rsidR="00666CB5" w:rsidRPr="00D07EB5" w:rsidRDefault="00666CB5" w:rsidP="005C4F3E">
      <w:pPr>
        <w:pStyle w:val="ListNumber2"/>
      </w:pPr>
      <w:r>
        <w:rPr>
          <w:color w:val="313131"/>
          <w:szCs w:val="22"/>
        </w:rPr>
        <w:t xml:space="preserve">The </w:t>
      </w:r>
      <w:r w:rsidRPr="00897276">
        <w:rPr>
          <w:color w:val="313131"/>
          <w:szCs w:val="22"/>
        </w:rPr>
        <w:t>Gaming Machine Amendment Bill 2023</w:t>
      </w:r>
      <w:r>
        <w:rPr>
          <w:color w:val="313131"/>
          <w:szCs w:val="22"/>
        </w:rPr>
        <w:t xml:space="preserve"> (the Bill) </w:t>
      </w:r>
      <w:r w:rsidR="00DB5886">
        <w:rPr>
          <w:color w:val="313131"/>
          <w:szCs w:val="22"/>
        </w:rPr>
        <w:t xml:space="preserve">is a private members bill which </w:t>
      </w:r>
      <w:r>
        <w:rPr>
          <w:color w:val="313131"/>
          <w:szCs w:val="22"/>
        </w:rPr>
        <w:t xml:space="preserve">proposes to </w:t>
      </w:r>
      <w:r>
        <w:t xml:space="preserve">amend the </w:t>
      </w:r>
      <w:r w:rsidRPr="007D11BA">
        <w:rPr>
          <w:i/>
          <w:iCs/>
          <w:color w:val="313131"/>
          <w:szCs w:val="22"/>
        </w:rPr>
        <w:t xml:space="preserve">Gaming Machine Act </w:t>
      </w:r>
      <w:r w:rsidRPr="00226E19">
        <w:rPr>
          <w:i/>
          <w:iCs/>
          <w:color w:val="313131"/>
          <w:szCs w:val="22"/>
        </w:rPr>
        <w:t xml:space="preserve">2004 </w:t>
      </w:r>
      <w:r>
        <w:rPr>
          <w:color w:val="313131"/>
          <w:szCs w:val="22"/>
        </w:rPr>
        <w:t xml:space="preserve">to ensure that the </w:t>
      </w:r>
      <w:r w:rsidR="007602BF">
        <w:rPr>
          <w:color w:val="313131"/>
          <w:szCs w:val="22"/>
        </w:rPr>
        <w:t xml:space="preserve">ACT </w:t>
      </w:r>
      <w:r w:rsidRPr="000C7E03">
        <w:rPr>
          <w:color w:val="313131"/>
          <w:szCs w:val="22"/>
        </w:rPr>
        <w:t xml:space="preserve">Gambling and Racing Commission </w:t>
      </w:r>
      <w:r w:rsidR="001917B9">
        <w:rPr>
          <w:color w:val="313131"/>
          <w:szCs w:val="22"/>
        </w:rPr>
        <w:t xml:space="preserve">(the Commission) </w:t>
      </w:r>
      <w:r w:rsidRPr="000C7E03">
        <w:rPr>
          <w:color w:val="313131"/>
          <w:szCs w:val="22"/>
        </w:rPr>
        <w:t>will not be able to issue authorisation certificates for Class C gaming machines in Molonglo Valley and other undeveloped areas of the ACT.</w:t>
      </w:r>
      <w:r w:rsidR="0017749C">
        <w:rPr>
          <w:rStyle w:val="FootnoteReference"/>
        </w:rPr>
        <w:footnoteReference w:id="1"/>
      </w:r>
    </w:p>
    <w:p w14:paraId="0695D4C0" w14:textId="4B42CD6C" w:rsidR="00D07EB5" w:rsidRPr="00D07EB5" w:rsidRDefault="00D07EB5" w:rsidP="00500580">
      <w:pPr>
        <w:pStyle w:val="ListNumber2"/>
        <w:spacing w:after="0"/>
      </w:pPr>
      <w:r>
        <w:rPr>
          <w:color w:val="313131"/>
          <w:szCs w:val="22"/>
        </w:rPr>
        <w:t xml:space="preserve">A ‘class C gaming machine’ is defined by the </w:t>
      </w:r>
      <w:r w:rsidRPr="007D11BA">
        <w:rPr>
          <w:i/>
          <w:iCs/>
          <w:color w:val="313131"/>
          <w:szCs w:val="22"/>
        </w:rPr>
        <w:t xml:space="preserve">Gaming Machine Act </w:t>
      </w:r>
      <w:r w:rsidRPr="00226E19">
        <w:rPr>
          <w:i/>
          <w:iCs/>
          <w:color w:val="313131"/>
          <w:szCs w:val="22"/>
        </w:rPr>
        <w:t>2004</w:t>
      </w:r>
      <w:r>
        <w:rPr>
          <w:color w:val="313131"/>
          <w:szCs w:val="22"/>
        </w:rPr>
        <w:t xml:space="preserve"> as</w:t>
      </w:r>
      <w:r w:rsidR="00500580">
        <w:rPr>
          <w:color w:val="313131"/>
          <w:szCs w:val="22"/>
        </w:rPr>
        <w:t xml:space="preserve">: </w:t>
      </w:r>
      <w:r>
        <w:rPr>
          <w:color w:val="313131"/>
          <w:szCs w:val="22"/>
        </w:rPr>
        <w:t xml:space="preserve"> </w:t>
      </w:r>
    </w:p>
    <w:p w14:paraId="19963E7D" w14:textId="5B32E450" w:rsidR="00D07EB5" w:rsidRDefault="00D07EB5" w:rsidP="00500580">
      <w:pPr>
        <w:pStyle w:val="ListNumber3"/>
        <w:numPr>
          <w:ilvl w:val="2"/>
          <w:numId w:val="22"/>
        </w:numPr>
        <w:spacing w:before="0" w:after="0"/>
        <w:ind w:left="1208" w:hanging="357"/>
      </w:pPr>
      <w:r>
        <w:t xml:space="preserve">a gaming machine that consists of a game other than the following games or games derived from them: (i) roulette; (ii) blackjack; (iii) sic bo; (iv) craps; (v) pai gow; (vi) baccarat; (vii) two-up; (viii) money wheel; (ix) draw poker; </w:t>
      </w:r>
    </w:p>
    <w:p w14:paraId="49F71EF8" w14:textId="5F00C1E7" w:rsidR="00C93423" w:rsidRDefault="00D07EB5" w:rsidP="00B309D2">
      <w:pPr>
        <w:pStyle w:val="ListNumber3"/>
        <w:numPr>
          <w:ilvl w:val="2"/>
          <w:numId w:val="22"/>
        </w:numPr>
        <w:spacing w:before="0"/>
        <w:ind w:left="1208" w:hanging="357"/>
      </w:pPr>
      <w:r>
        <w:t>but does not include a gaming machine prescribed by regulation.</w:t>
      </w:r>
      <w:r w:rsidR="00015E49">
        <w:rPr>
          <w:rStyle w:val="FootnoteReference"/>
        </w:rPr>
        <w:footnoteReference w:id="2"/>
      </w:r>
    </w:p>
    <w:p w14:paraId="60590D72" w14:textId="2095D6E8" w:rsidR="00391837" w:rsidRDefault="00391837" w:rsidP="00010AB2">
      <w:pPr>
        <w:pStyle w:val="ListNumber2"/>
      </w:pPr>
      <w:r w:rsidRPr="00391837">
        <w:t xml:space="preserve">Section 15 of the </w:t>
      </w:r>
      <w:r w:rsidRPr="00391837">
        <w:rPr>
          <w:i/>
          <w:iCs/>
        </w:rPr>
        <w:t>Gaming Machine Act 2015</w:t>
      </w:r>
      <w:r w:rsidRPr="00391837">
        <w:t xml:space="preserve"> states that a</w:t>
      </w:r>
      <w:r w:rsidRPr="00E11A04">
        <w:t xml:space="preserve"> </w:t>
      </w:r>
      <w:r w:rsidR="00711D7E" w:rsidRPr="00E11A04">
        <w:t>C</w:t>
      </w:r>
      <w:r w:rsidRPr="00E11A04">
        <w:t>lub</w:t>
      </w:r>
      <w:r w:rsidRPr="00391837">
        <w:t xml:space="preserve"> may apply to the Commission for a licence for class C gaming machines (a class C licence application).</w:t>
      </w:r>
      <w:r>
        <w:rPr>
          <w:rStyle w:val="FootnoteReference"/>
        </w:rPr>
        <w:footnoteReference w:id="3"/>
      </w:r>
      <w:r>
        <w:t xml:space="preserve">  </w:t>
      </w:r>
    </w:p>
    <w:p w14:paraId="2976E9E8" w14:textId="6A11A8F0" w:rsidR="00C00BB4" w:rsidRDefault="00C00BB4" w:rsidP="00010AB2">
      <w:pPr>
        <w:pStyle w:val="ListNumber2"/>
      </w:pPr>
      <w:r>
        <w:t>The explanatory statement accompanying the</w:t>
      </w:r>
      <w:r w:rsidR="00897276">
        <w:t xml:space="preserve"> </w:t>
      </w:r>
      <w:r w:rsidR="00897276" w:rsidRPr="00897276">
        <w:t>Gaming Machine Amendment</w:t>
      </w:r>
      <w:r w:rsidRPr="00897276">
        <w:t xml:space="preserve"> Bill</w:t>
      </w:r>
      <w:r w:rsidR="00897276" w:rsidRPr="00897276">
        <w:t xml:space="preserve"> 2023</w:t>
      </w:r>
      <w:r>
        <w:t xml:space="preserve"> states that it was introduced on the basis of feedback received from residents of the Molonglo Valley to ‘address the fact that the closer in proximity that you live to venues with poker machines, the more likely you are to experience gambling harm’.</w:t>
      </w:r>
      <w:r>
        <w:rPr>
          <w:rStyle w:val="FootnoteReference"/>
        </w:rPr>
        <w:footnoteReference w:id="4"/>
      </w:r>
      <w:r w:rsidR="005955A4">
        <w:t xml:space="preserve"> </w:t>
      </w:r>
    </w:p>
    <w:p w14:paraId="1B05FB16" w14:textId="5A6C7554" w:rsidR="00E32931" w:rsidRDefault="00DD336C" w:rsidP="00010AB2">
      <w:pPr>
        <w:pStyle w:val="ListNumber2"/>
      </w:pPr>
      <w:r>
        <w:t xml:space="preserve">The explanatory statement notes that the Bill is consistent with human rights law, being compatible with the </w:t>
      </w:r>
      <w:r w:rsidRPr="00DD336C">
        <w:rPr>
          <w:i/>
          <w:iCs/>
        </w:rPr>
        <w:t>Human Rights Act 2004</w:t>
      </w:r>
      <w:r>
        <w:t xml:space="preserve"> (HRA), namely Section 11, </w:t>
      </w:r>
      <w:r w:rsidRPr="00637698">
        <w:rPr>
          <w:i/>
          <w:iCs/>
        </w:rPr>
        <w:t>Right to protection of the family and children</w:t>
      </w:r>
      <w:r>
        <w:t xml:space="preserve">, and Section 15, </w:t>
      </w:r>
      <w:r w:rsidRPr="00637698">
        <w:rPr>
          <w:i/>
          <w:iCs/>
        </w:rPr>
        <w:t>Right to peaceful assembly and freedom of association</w:t>
      </w:r>
      <w:r>
        <w:t>.</w:t>
      </w:r>
      <w:r w:rsidR="002B4D9A">
        <w:t xml:space="preserve"> Community clubs will be able to establish in the Molonglo Valley or newly developed areas of the ACT, just without poker machines.</w:t>
      </w:r>
      <w:r>
        <w:rPr>
          <w:rStyle w:val="FootnoteReference"/>
        </w:rPr>
        <w:footnoteReference w:id="5"/>
      </w:r>
      <w:r>
        <w:t xml:space="preserve">  </w:t>
      </w:r>
    </w:p>
    <w:p w14:paraId="259C9755" w14:textId="77777777" w:rsidR="00BC4C95" w:rsidRDefault="00BC4C95" w:rsidP="002D6754">
      <w:pPr>
        <w:pStyle w:val="Heading2"/>
      </w:pPr>
      <w:bookmarkStart w:id="24" w:name="_Toc139284176"/>
      <w:bookmarkStart w:id="25" w:name="_Toc151541230"/>
      <w:r>
        <w:t>Legislative scrutiny</w:t>
      </w:r>
      <w:bookmarkEnd w:id="24"/>
      <w:bookmarkEnd w:id="25"/>
    </w:p>
    <w:p w14:paraId="79E6AB80" w14:textId="5FD5679D" w:rsidR="004273F0" w:rsidRDefault="00BC4C95" w:rsidP="00BC4C95">
      <w:pPr>
        <w:pStyle w:val="ListNumber2"/>
      </w:pPr>
      <w:r>
        <w:t xml:space="preserve">The Bill was considered by the Standing Committee on Justice and Community Safety (Legislative Scrutiny role) (the Scrutiny Committee) in its </w:t>
      </w:r>
      <w:r w:rsidRPr="00BB7BA6">
        <w:rPr>
          <w:i/>
          <w:iCs/>
        </w:rPr>
        <w:t xml:space="preserve">Scrutiny Report </w:t>
      </w:r>
      <w:r w:rsidR="00254640">
        <w:rPr>
          <w:i/>
          <w:iCs/>
        </w:rPr>
        <w:t>34</w:t>
      </w:r>
      <w:r>
        <w:t xml:space="preserve"> of </w:t>
      </w:r>
      <w:r w:rsidR="00254640">
        <w:t>18</w:t>
      </w:r>
      <w:r w:rsidR="00DB5886">
        <w:t> </w:t>
      </w:r>
      <w:r w:rsidR="00254640">
        <w:t xml:space="preserve">September </w:t>
      </w:r>
      <w:r>
        <w:t>2023</w:t>
      </w:r>
      <w:r w:rsidRPr="002F48A0">
        <w:t>.</w:t>
      </w:r>
      <w:r w:rsidR="00480140">
        <w:t xml:space="preserve"> </w:t>
      </w:r>
    </w:p>
    <w:p w14:paraId="036653C0" w14:textId="4E681D34" w:rsidR="00BC4C95" w:rsidRDefault="00480140" w:rsidP="00BC4C95">
      <w:pPr>
        <w:pStyle w:val="ListNumber2"/>
      </w:pPr>
      <w:r w:rsidRPr="001F5604">
        <w:t xml:space="preserve">The </w:t>
      </w:r>
      <w:r w:rsidR="001D30CB">
        <w:t>Scrutiny Committee sought further information from the Member on</w:t>
      </w:r>
      <w:r w:rsidR="00C837B9">
        <w:t xml:space="preserve"> why </w:t>
      </w:r>
      <w:r w:rsidR="00073442">
        <w:t xml:space="preserve">the </w:t>
      </w:r>
      <w:r w:rsidR="001D30CB">
        <w:t xml:space="preserve">bill seeks to differentiate the operation of the Gaming Machine Act on the basis of locality and why this is a reasonable limitation using the framework in section 28 of the </w:t>
      </w:r>
      <w:r w:rsidR="001D30CB" w:rsidRPr="001D30CB">
        <w:rPr>
          <w:i/>
          <w:iCs/>
        </w:rPr>
        <w:t>Human Rights Act 2004</w:t>
      </w:r>
      <w:r w:rsidR="00C837B9">
        <w:t>.</w:t>
      </w:r>
      <w:r w:rsidR="00A26859">
        <w:rPr>
          <w:rStyle w:val="FootnoteReference"/>
        </w:rPr>
        <w:footnoteReference w:id="6"/>
      </w:r>
      <w:r w:rsidR="00A26859">
        <w:t xml:space="preserve"> </w:t>
      </w:r>
      <w:r w:rsidR="00C837B9">
        <w:t xml:space="preserve"> </w:t>
      </w:r>
    </w:p>
    <w:p w14:paraId="00941A5D" w14:textId="67583859" w:rsidR="00516397" w:rsidRDefault="00361C56" w:rsidP="00BC4C95">
      <w:pPr>
        <w:pStyle w:val="ListNumber2"/>
      </w:pPr>
      <w:r>
        <w:t>The Scrutiny Committee</w:t>
      </w:r>
      <w:r w:rsidR="00516397">
        <w:t xml:space="preserve"> expressed further concern that the explanatory statement accompanying the bill included information which in their view was confusing or unhelpful in identifying the effect of the clause on the operation of the Act being amended.</w:t>
      </w:r>
    </w:p>
    <w:p w14:paraId="6B908D18" w14:textId="6DA198CD" w:rsidR="00361C56" w:rsidRDefault="00516397" w:rsidP="00BC4C95">
      <w:pPr>
        <w:pStyle w:val="ListNumber2"/>
      </w:pPr>
      <w:r>
        <w:t>The Scrutiny Committee</w:t>
      </w:r>
      <w:r w:rsidR="00361C56">
        <w:t xml:space="preserve"> requested that the explanatory statement be revised to include an outline of the provisions which </w:t>
      </w:r>
      <w:r>
        <w:t xml:space="preserve">correctly </w:t>
      </w:r>
      <w:r w:rsidR="00361C56">
        <w:t>refers to the provisions in the Act being amended and provides the reader with an accurate indication of the effect and reason for the clause, and its relationship with other amendments and the overall objectives of the Bill.</w:t>
      </w:r>
      <w:r w:rsidR="003253A7">
        <w:rPr>
          <w:rStyle w:val="FootnoteReference"/>
        </w:rPr>
        <w:footnoteReference w:id="7"/>
      </w:r>
      <w:r w:rsidR="003253A7">
        <w:t xml:space="preserve"> </w:t>
      </w:r>
    </w:p>
    <w:p w14:paraId="1C2C6B46" w14:textId="0A4948EC" w:rsidR="007002E5" w:rsidRDefault="007002E5" w:rsidP="00B01A97">
      <w:pPr>
        <w:pStyle w:val="ListNumber2"/>
      </w:pPr>
      <w:r>
        <w:t xml:space="preserve">The Scrutiny Committee </w:t>
      </w:r>
      <w:r w:rsidR="003F61A8">
        <w:t xml:space="preserve">drew these matters to the attention of the Assembly and </w:t>
      </w:r>
      <w:r>
        <w:t>requested that the Minister respond to th</w:t>
      </w:r>
      <w:r w:rsidR="003F61A8">
        <w:t>ese</w:t>
      </w:r>
      <w:r>
        <w:t xml:space="preserve"> concern</w:t>
      </w:r>
      <w:r w:rsidR="003F61A8">
        <w:t>s</w:t>
      </w:r>
      <w:r>
        <w:t xml:space="preserve"> before the Bill was debated.</w:t>
      </w:r>
      <w:r w:rsidR="003E537B">
        <w:t xml:space="preserve"> </w:t>
      </w:r>
      <w:r>
        <w:rPr>
          <w:rStyle w:val="FootnoteReference"/>
        </w:rPr>
        <w:footnoteReference w:id="8"/>
      </w:r>
    </w:p>
    <w:p w14:paraId="188C5E77" w14:textId="7AEA29FE" w:rsidR="00A73B6A" w:rsidRPr="00D26953" w:rsidRDefault="00516397" w:rsidP="00B01A97">
      <w:pPr>
        <w:pStyle w:val="ListNumber2"/>
      </w:pPr>
      <w:r w:rsidRPr="00D26953">
        <w:t>At the time of writing</w:t>
      </w:r>
      <w:r w:rsidR="009D6D2C" w:rsidRPr="00D26953">
        <w:t xml:space="preserve"> this report</w:t>
      </w:r>
      <w:r w:rsidRPr="00D26953">
        <w:t xml:space="preserve">, the </w:t>
      </w:r>
      <w:r w:rsidR="009D6D2C" w:rsidRPr="00D26953">
        <w:t>Scrutiny Committee ha</w:t>
      </w:r>
      <w:r w:rsidR="00D26953" w:rsidRPr="00D26953">
        <w:t>d</w:t>
      </w:r>
      <w:r w:rsidR="009D6D2C" w:rsidRPr="00D26953">
        <w:t xml:space="preserve"> not yet seen the Member’s response to the Scrutiny </w:t>
      </w:r>
      <w:r w:rsidR="00A73B6A" w:rsidRPr="00D26953">
        <w:t>matters noted above</w:t>
      </w:r>
      <w:r w:rsidR="005F0213" w:rsidRPr="00D26953">
        <w:t xml:space="preserve"> – in report no. 3</w:t>
      </w:r>
      <w:r w:rsidRPr="00D26953">
        <w:t>6</w:t>
      </w:r>
      <w:r w:rsidR="005F0213" w:rsidRPr="00D26953">
        <w:t xml:space="preserve"> issued 17 October </w:t>
      </w:r>
      <w:r w:rsidR="00E11A04" w:rsidRPr="00D26953">
        <w:t xml:space="preserve">it is listed as </w:t>
      </w:r>
      <w:r w:rsidR="005F0213" w:rsidRPr="00D26953">
        <w:t>still outstanding</w:t>
      </w:r>
      <w:r w:rsidR="00A73B6A" w:rsidRPr="00D26953">
        <w:t xml:space="preserve">. </w:t>
      </w:r>
    </w:p>
    <w:p w14:paraId="29BE93D9" w14:textId="4F90FCAE" w:rsidR="00D53F86" w:rsidRDefault="00D53F86" w:rsidP="00A070D4">
      <w:pPr>
        <w:pStyle w:val="Heading1"/>
      </w:pPr>
      <w:bookmarkStart w:id="26" w:name="_Toc151541231"/>
      <w:r>
        <w:t>Gaming reforms in the ACT</w:t>
      </w:r>
      <w:bookmarkEnd w:id="26"/>
    </w:p>
    <w:p w14:paraId="0858A425" w14:textId="2575BF87" w:rsidR="00673168" w:rsidRDefault="00673168" w:rsidP="002D6754">
      <w:pPr>
        <w:pStyle w:val="Heading2"/>
      </w:pPr>
      <w:bookmarkStart w:id="27" w:name="_Toc151541232"/>
      <w:r>
        <w:t xml:space="preserve">Electronic </w:t>
      </w:r>
      <w:r w:rsidR="002D6754">
        <w:t>g</w:t>
      </w:r>
      <w:r>
        <w:t xml:space="preserve">aming </w:t>
      </w:r>
      <w:r w:rsidR="002D6754">
        <w:t>m</w:t>
      </w:r>
      <w:r>
        <w:t>achines in the ACT</w:t>
      </w:r>
      <w:bookmarkEnd w:id="27"/>
      <w:r w:rsidRPr="00774F8B">
        <w:t xml:space="preserve"> </w:t>
      </w:r>
    </w:p>
    <w:p w14:paraId="4B9DCD99" w14:textId="410D68EB" w:rsidR="00673168" w:rsidRDefault="00673168" w:rsidP="00673168">
      <w:pPr>
        <w:pStyle w:val="ListNumber2"/>
      </w:pPr>
      <w:r>
        <w:t>A</w:t>
      </w:r>
      <w:r w:rsidR="00986931">
        <w:t>t the public hearing, the Minister for Gaming said that there are now 3,793 authorisations available in the ACT, compared to 4,946 in August 2018.</w:t>
      </w:r>
      <w:r w:rsidR="00986931">
        <w:rPr>
          <w:rStyle w:val="FootnoteReference"/>
        </w:rPr>
        <w:footnoteReference w:id="9"/>
      </w:r>
      <w:r w:rsidR="00986931">
        <w:t xml:space="preserve">  </w:t>
      </w:r>
      <w:r>
        <w:t>There are 41 Class C authorisation certificates with clubs and five Class B authorisation certificates with hotels and/or taverns.  Of the 3587 gaming machines in operation, there are only two hotels/taverns operating a total of 20 machines.</w:t>
      </w:r>
      <w:r>
        <w:rPr>
          <w:rStyle w:val="FootnoteReference"/>
        </w:rPr>
        <w:footnoteReference w:id="10"/>
      </w:r>
    </w:p>
    <w:p w14:paraId="7FE53C39" w14:textId="77777777" w:rsidR="00673168" w:rsidRDefault="00673168" w:rsidP="00673168">
      <w:pPr>
        <w:pStyle w:val="ListNumber2"/>
      </w:pPr>
      <w:r>
        <w:t>Class B machines are being phased out, it is not possible to apply for a new licence or authorisation for a class B machine which are generally outdated and low-revenue machines mainly operating in hotels and taverns.</w:t>
      </w:r>
      <w:r>
        <w:rPr>
          <w:rStyle w:val="FootnoteReference"/>
        </w:rPr>
        <w:footnoteReference w:id="11"/>
      </w:r>
    </w:p>
    <w:p w14:paraId="6BB27EAE" w14:textId="41D22C16" w:rsidR="00D53F86" w:rsidRDefault="00D53F86" w:rsidP="002D6754">
      <w:pPr>
        <w:pStyle w:val="Heading2"/>
      </w:pPr>
      <w:bookmarkStart w:id="28" w:name="_Toc151541233"/>
      <w:r>
        <w:t>Parliamentary and Governing Agreement</w:t>
      </w:r>
      <w:bookmarkEnd w:id="28"/>
    </w:p>
    <w:p w14:paraId="0F053279" w14:textId="31416334" w:rsidR="00D53F86" w:rsidRPr="00D53F86" w:rsidRDefault="00D53F86" w:rsidP="00D53F86">
      <w:pPr>
        <w:pStyle w:val="ListNumber2"/>
      </w:pPr>
      <w:r>
        <w:t>Under the 10</w:t>
      </w:r>
      <w:r w:rsidRPr="00D53F86">
        <w:rPr>
          <w:vertAlign w:val="superscript"/>
        </w:rPr>
        <w:t>th</w:t>
      </w:r>
      <w:r>
        <w:t xml:space="preserve"> Legislative Assembly </w:t>
      </w:r>
      <w:hyperlink r:id="rId22" w:history="1">
        <w:r w:rsidRPr="00285354">
          <w:rPr>
            <w:rStyle w:val="Hyperlink"/>
          </w:rPr>
          <w:t>ACT Parliamentary and Governing Agreement</w:t>
        </w:r>
      </w:hyperlink>
      <w:r>
        <w:t xml:space="preserve"> </w:t>
      </w:r>
      <w:r w:rsidR="00285354">
        <w:t>between ACT Labor and the ACT Greens, an agreed target to reduce the number of electronic gaming machine</w:t>
      </w:r>
      <w:r w:rsidR="006C0E66">
        <w:t>(</w:t>
      </w:r>
      <w:r w:rsidR="00A77955">
        <w:t>EGM</w:t>
      </w:r>
      <w:r w:rsidR="006C0E66">
        <w:t>)</w:t>
      </w:r>
      <w:r w:rsidR="00A77955">
        <w:t xml:space="preserve"> </w:t>
      </w:r>
      <w:r w:rsidR="00285354">
        <w:t xml:space="preserve">licences in the ACT to 3500 by 1 July 2025 is in place, to be achieved through incentives.  In addition, it was agreed to assist clubs </w:t>
      </w:r>
      <w:r w:rsidR="00433C9D">
        <w:t xml:space="preserve">to </w:t>
      </w:r>
      <w:r w:rsidR="00285354">
        <w:t>move to other revenue generating streams.</w:t>
      </w:r>
      <w:r w:rsidR="00285354">
        <w:rPr>
          <w:rStyle w:val="FootnoteReference"/>
        </w:rPr>
        <w:footnoteReference w:id="12"/>
      </w:r>
    </w:p>
    <w:p w14:paraId="475B2FB6" w14:textId="1680F137" w:rsidR="00D53F86" w:rsidRDefault="00D53F86" w:rsidP="002D6754">
      <w:pPr>
        <w:pStyle w:val="Heading2"/>
      </w:pPr>
      <w:bookmarkStart w:id="29" w:name="_Toc151541234"/>
      <w:r>
        <w:t>Surrender incentive payment</w:t>
      </w:r>
      <w:bookmarkEnd w:id="29"/>
    </w:p>
    <w:p w14:paraId="0001AF4B" w14:textId="105927DE" w:rsidR="00D53F86" w:rsidRDefault="00D53F86" w:rsidP="00D53F86">
      <w:pPr>
        <w:pStyle w:val="ListNumber2"/>
      </w:pPr>
      <w:r>
        <w:t>In March 2022, the ACT Government announced that it was investing $1.74 million into a new gaming machine surrender incentive scheme to reduce the number of gaming machine authorisations.  Under the scheme, the ACT Government pays $15,000 for each authorisation surrendered, which increases to $20,000 where all authorisation certificates are surrendered.  Payments were to be paid up to 31 December 2022 or until the fund was exhausted.  The number of authorisations was to reduce by up to 116.</w:t>
      </w:r>
      <w:r>
        <w:rPr>
          <w:rStyle w:val="FootnoteReference"/>
        </w:rPr>
        <w:footnoteReference w:id="13"/>
      </w:r>
    </w:p>
    <w:p w14:paraId="332EB2A1" w14:textId="7ED8B7D7" w:rsidR="00BF33F3" w:rsidRDefault="00BF33F3" w:rsidP="002D6754">
      <w:pPr>
        <w:pStyle w:val="Heading2"/>
      </w:pPr>
      <w:bookmarkStart w:id="30" w:name="_Toc151541235"/>
      <w:r>
        <w:t>Diversification and Sustainability Support Fund (DSSF)</w:t>
      </w:r>
      <w:bookmarkEnd w:id="30"/>
    </w:p>
    <w:p w14:paraId="1CC12903" w14:textId="2FE0B04C" w:rsidR="00CA59D6" w:rsidRDefault="00541CB2" w:rsidP="00D53F86">
      <w:pPr>
        <w:pStyle w:val="ListNumber2"/>
      </w:pPr>
      <w:r>
        <w:t xml:space="preserve">The DSSF was established in 2015, with the fifth round of funding of up to $250,000 announced on 29 June 2023 to be used for projects and initiatives to help </w:t>
      </w:r>
      <w:r w:rsidR="00433C9D">
        <w:t>clubs</w:t>
      </w:r>
      <w:r>
        <w:t xml:space="preserve"> generate income from sources other than gaming machines, such as upgrading or adding new kitchen or dining </w:t>
      </w:r>
      <w:r w:rsidR="003A5F51">
        <w:t>facilities or</w:t>
      </w:r>
      <w:r>
        <w:t xml:space="preserve"> constructing a conference facility.</w:t>
      </w:r>
      <w:r>
        <w:rPr>
          <w:rStyle w:val="FootnoteReference"/>
        </w:rPr>
        <w:footnoteReference w:id="14"/>
      </w:r>
      <w:r>
        <w:t xml:space="preserve">  In the previous round six clubs were provided in total more than $950,000 in funding.</w:t>
      </w:r>
      <w:r>
        <w:rPr>
          <w:rStyle w:val="FootnoteReference"/>
        </w:rPr>
        <w:footnoteReference w:id="15"/>
      </w:r>
    </w:p>
    <w:p w14:paraId="6CF65F24" w14:textId="1A5ADD80" w:rsidR="00CA59D6" w:rsidRDefault="00541CB2" w:rsidP="002D6754">
      <w:pPr>
        <w:pStyle w:val="Heading2"/>
      </w:pPr>
      <w:bookmarkStart w:id="31" w:name="_Toc151541236"/>
      <w:r>
        <w:t>$5 bet and $100 credit limits</w:t>
      </w:r>
      <w:bookmarkEnd w:id="31"/>
    </w:p>
    <w:p w14:paraId="00192B3A" w14:textId="205EACC8" w:rsidR="009952C7" w:rsidRDefault="00541CB2" w:rsidP="0059314B">
      <w:pPr>
        <w:pStyle w:val="ListNumber2"/>
      </w:pPr>
      <w:r>
        <w:t>On 29 April 202</w:t>
      </w:r>
      <w:r w:rsidR="009952C7">
        <w:t>2</w:t>
      </w:r>
      <w:r>
        <w:t>, the Minister for Gaming released a discussion paper on a proposal to establish a ‘central monitoring system’ to introduce $5 bets and $100 credit limits in the ACT.</w:t>
      </w:r>
      <w:r w:rsidR="009952C7">
        <w:rPr>
          <w:rStyle w:val="FootnoteReference"/>
        </w:rPr>
        <w:footnoteReference w:id="16"/>
      </w:r>
      <w:r w:rsidR="009952C7">
        <w:t xml:space="preserve">  A listening report was published on 27 September 2022 with legislation to occur soon.</w:t>
      </w:r>
      <w:r w:rsidR="009952C7">
        <w:rPr>
          <w:rStyle w:val="FootnoteReference"/>
        </w:rPr>
        <w:footnoteReference w:id="17"/>
      </w:r>
    </w:p>
    <w:p w14:paraId="1DD6449F" w14:textId="01C62679" w:rsidR="007D2DBC" w:rsidRDefault="00C4403A" w:rsidP="00A070D4">
      <w:pPr>
        <w:pStyle w:val="Heading1"/>
      </w:pPr>
      <w:bookmarkStart w:id="32" w:name="_Toc151541237"/>
      <w:r>
        <w:t>Issues raised in evidence</w:t>
      </w:r>
      <w:bookmarkEnd w:id="32"/>
      <w:r>
        <w:t xml:space="preserve"> </w:t>
      </w:r>
    </w:p>
    <w:p w14:paraId="4CBA2395" w14:textId="0157AA41" w:rsidR="00BC4C95" w:rsidRDefault="00BC4C95" w:rsidP="002D6754">
      <w:pPr>
        <w:pStyle w:val="Heading2"/>
      </w:pPr>
      <w:bookmarkStart w:id="33" w:name="_Toc151541238"/>
      <w:bookmarkStart w:id="34" w:name="_Toc146717260"/>
      <w:r>
        <w:t>Impact of the Bill</w:t>
      </w:r>
      <w:bookmarkEnd w:id="33"/>
      <w:r>
        <w:t xml:space="preserve">   </w:t>
      </w:r>
    </w:p>
    <w:p w14:paraId="457BD1CC" w14:textId="77777777" w:rsidR="000313CC" w:rsidRPr="000C7E03" w:rsidRDefault="000313CC" w:rsidP="000313CC">
      <w:pPr>
        <w:pStyle w:val="ListNumber2"/>
      </w:pPr>
      <w:r w:rsidRPr="00510DF9">
        <w:t>Through the inquiry, the Committee sought to better understand the impact</w:t>
      </w:r>
      <w:r>
        <w:t>s of the Bill</w:t>
      </w:r>
      <w:r w:rsidRPr="000C7E03">
        <w:rPr>
          <w:color w:val="313131"/>
          <w:szCs w:val="22"/>
        </w:rPr>
        <w:t>.</w:t>
      </w:r>
    </w:p>
    <w:p w14:paraId="3E2C905F" w14:textId="4E67522B" w:rsidR="000D4403" w:rsidRDefault="000313CC" w:rsidP="00303B29">
      <w:pPr>
        <w:pStyle w:val="ListNumber2"/>
      </w:pPr>
      <w:r>
        <w:t xml:space="preserve">The Committee looked at </w:t>
      </w:r>
      <w:r w:rsidRPr="00510DF9">
        <w:t xml:space="preserve">whether the </w:t>
      </w:r>
      <w:r>
        <w:t xml:space="preserve">impacts of not allowing </w:t>
      </w:r>
      <w:r w:rsidR="00A77955">
        <w:t xml:space="preserve">EGMs </w:t>
      </w:r>
      <w:r>
        <w:t xml:space="preserve">in the Molonglo Valley and undeveloped areas in the ACT would provide overall benefits to the local community, as well as considered any adverse effects on the Clubs and gaming industry in the ACT. </w:t>
      </w:r>
    </w:p>
    <w:p w14:paraId="3A81965A" w14:textId="3B802587" w:rsidR="00303B29" w:rsidRDefault="00303B29" w:rsidP="002D6754">
      <w:pPr>
        <w:pStyle w:val="Heading3"/>
      </w:pPr>
      <w:bookmarkStart w:id="35" w:name="_Toc151541239"/>
      <w:r>
        <w:t>Reducing gambling harms in the ACT</w:t>
      </w:r>
      <w:bookmarkEnd w:id="35"/>
    </w:p>
    <w:p w14:paraId="3C851958" w14:textId="695C8D7F" w:rsidR="00BC4C95" w:rsidRDefault="000313CC" w:rsidP="005853E0">
      <w:pPr>
        <w:pStyle w:val="ListNumber2"/>
      </w:pPr>
      <w:r>
        <w:t xml:space="preserve">Clubs ACT </w:t>
      </w:r>
      <w:r w:rsidR="0054264E">
        <w:t>raised concerns that if individuals do not have a local venue to gamble at this may lead to online gaming, where there are fewer gambling harm assistance mechanisms</w:t>
      </w:r>
      <w:r w:rsidR="006E3CA2">
        <w:t xml:space="preserve"> in place to intervene and assist them to access support</w:t>
      </w:r>
      <w:r w:rsidR="0054264E">
        <w:t>.</w:t>
      </w:r>
      <w:r w:rsidR="0054264E">
        <w:rPr>
          <w:rStyle w:val="FootnoteReference"/>
        </w:rPr>
        <w:footnoteReference w:id="18"/>
      </w:r>
    </w:p>
    <w:p w14:paraId="364C88EA" w14:textId="6C155DD5" w:rsidR="00115331" w:rsidRDefault="00115331" w:rsidP="00BC4C95">
      <w:pPr>
        <w:pStyle w:val="ListNumber2"/>
      </w:pPr>
      <w:r>
        <w:t xml:space="preserve">ACTCOSS told the </w:t>
      </w:r>
      <w:r w:rsidR="006E449A">
        <w:t>C</w:t>
      </w:r>
      <w:r>
        <w:t xml:space="preserve">ommittee that </w:t>
      </w:r>
      <w:r w:rsidR="00ED75CE">
        <w:t xml:space="preserve">the Bill </w:t>
      </w:r>
      <w:r w:rsidR="006E3CA2">
        <w:t>w</w:t>
      </w:r>
      <w:r w:rsidR="00ED75CE">
        <w:t>as a</w:t>
      </w:r>
      <w:r w:rsidR="006E3CA2">
        <w:t xml:space="preserve"> welcome</w:t>
      </w:r>
      <w:r w:rsidR="00ED75CE">
        <w:t xml:space="preserve"> step to reduce gambling harms, noting it would </w:t>
      </w:r>
      <w:r w:rsidR="00622580">
        <w:t>keep those areas free from gambling venues and that there was support from the Molonglo Valley Community.</w:t>
      </w:r>
      <w:r w:rsidR="00622580">
        <w:rPr>
          <w:rStyle w:val="FootnoteReference"/>
        </w:rPr>
        <w:footnoteReference w:id="19"/>
      </w:r>
    </w:p>
    <w:p w14:paraId="59F84FCC" w14:textId="787FEDEC" w:rsidR="00755F84" w:rsidRDefault="00755F84" w:rsidP="00BC4C95">
      <w:pPr>
        <w:pStyle w:val="ListNumber2"/>
      </w:pPr>
      <w:r>
        <w:t>Dr Bruce Arnold from the University of Canberra felt that the Bill needed to go further to reduce gambling harms and make clubs less dependent on revenue from gaming.  He noted that there is</w:t>
      </w:r>
      <w:r w:rsidR="00BD46AA">
        <w:t xml:space="preserve"> a large body of scholarly</w:t>
      </w:r>
      <w:r>
        <w:t xml:space="preserve"> literature </w:t>
      </w:r>
      <w:r w:rsidR="003A5F51">
        <w:t>regarding</w:t>
      </w:r>
      <w:r>
        <w:t xml:space="preserve"> gambling harms across a diverse demographic range.</w:t>
      </w:r>
      <w:r>
        <w:rPr>
          <w:rStyle w:val="FootnoteReference"/>
        </w:rPr>
        <w:footnoteReference w:id="20"/>
      </w:r>
      <w:r>
        <w:t xml:space="preserve">  </w:t>
      </w:r>
    </w:p>
    <w:p w14:paraId="1A6AFF32" w14:textId="16EA76D1" w:rsidR="0021364B" w:rsidRDefault="0021364B" w:rsidP="00BC4C95">
      <w:pPr>
        <w:pStyle w:val="ListNumber2"/>
      </w:pPr>
      <w:r>
        <w:t>The Alliance for Gambling Reform welcomed the Bill as a measure to reduce gambling harms.  It quoted Victorian research which suggest</w:t>
      </w:r>
      <w:r w:rsidR="00BD46AA">
        <w:t>s</w:t>
      </w:r>
      <w:r>
        <w:t xml:space="preserve"> that people residing further from gambling venues are less likely to gamble.</w:t>
      </w:r>
      <w:r>
        <w:rPr>
          <w:rStyle w:val="FootnoteReference"/>
        </w:rPr>
        <w:footnoteReference w:id="21"/>
      </w:r>
    </w:p>
    <w:p w14:paraId="7E055EF9" w14:textId="1FBA73B8" w:rsidR="00307C29" w:rsidRDefault="00307C29" w:rsidP="00BC4C95">
      <w:pPr>
        <w:pStyle w:val="ListNumber2"/>
      </w:pPr>
      <w:r>
        <w:t>Mr Rattenbury, Minister for Gaming</w:t>
      </w:r>
      <w:r w:rsidR="00723E31">
        <w:t>,</w:t>
      </w:r>
      <w:r>
        <w:t xml:space="preserve"> reiterated that </w:t>
      </w:r>
      <w:r w:rsidR="00723E31">
        <w:t>the government has seen research confirming that those who live in closer proximity to gaming machines are more likely to gamble</w:t>
      </w:r>
      <w:r w:rsidR="00F7636D">
        <w:t>.</w:t>
      </w:r>
      <w:r w:rsidR="00723E31">
        <w:rPr>
          <w:rStyle w:val="FootnoteReference"/>
        </w:rPr>
        <w:footnoteReference w:id="22"/>
      </w:r>
    </w:p>
    <w:p w14:paraId="13D93305" w14:textId="198E7742" w:rsidR="00303B29" w:rsidRDefault="00755F84" w:rsidP="002D6754">
      <w:pPr>
        <w:pStyle w:val="Heading3"/>
      </w:pPr>
      <w:bookmarkStart w:id="36" w:name="_Toc151541240"/>
      <w:r>
        <w:t>Concerns with limiting the impacts to certain parts of the ACT</w:t>
      </w:r>
      <w:bookmarkEnd w:id="36"/>
    </w:p>
    <w:p w14:paraId="79929CAA" w14:textId="6CC8195B" w:rsidR="00EA45EF" w:rsidRDefault="00303B29" w:rsidP="00BC4C95">
      <w:pPr>
        <w:pStyle w:val="ListNumber2"/>
      </w:pPr>
      <w:r>
        <w:t xml:space="preserve">Rod Pitcher stated that not extending </w:t>
      </w:r>
      <w:r w:rsidR="00BD46AA">
        <w:t>the Bill</w:t>
      </w:r>
      <w:r>
        <w:t xml:space="preserve"> to other parts of the ACT could be construed as discrimination</w:t>
      </w:r>
      <w:r w:rsidR="00BD46AA">
        <w:t xml:space="preserve">, stating that </w:t>
      </w:r>
      <w:r w:rsidR="00755F84">
        <w:t>it is important that all people in the ACT should have protection against gambling harms</w:t>
      </w:r>
      <w:r>
        <w:t>.</w:t>
      </w:r>
      <w:r>
        <w:rPr>
          <w:rStyle w:val="FootnoteReference"/>
        </w:rPr>
        <w:footnoteReference w:id="23"/>
      </w:r>
      <w:r>
        <w:t xml:space="preserve">  This </w:t>
      </w:r>
      <w:r w:rsidR="00F7636D">
        <w:t xml:space="preserve">aligns with </w:t>
      </w:r>
      <w:r>
        <w:t>concern</w:t>
      </w:r>
      <w:r w:rsidR="00F7636D">
        <w:t>s</w:t>
      </w:r>
      <w:r>
        <w:t xml:space="preserve"> raised by the Scrutiny Committee.</w:t>
      </w:r>
      <w:r>
        <w:rPr>
          <w:rStyle w:val="FootnoteReference"/>
        </w:rPr>
        <w:footnoteReference w:id="24"/>
      </w:r>
    </w:p>
    <w:p w14:paraId="632CD798" w14:textId="4B08631B" w:rsidR="0021364B" w:rsidRDefault="0021364B" w:rsidP="00BC4C95">
      <w:pPr>
        <w:pStyle w:val="ListNumber2"/>
      </w:pPr>
      <w:r>
        <w:t xml:space="preserve">Dr Bruce Arnold told the </w:t>
      </w:r>
      <w:r w:rsidR="003A5F51">
        <w:t>c</w:t>
      </w:r>
      <w:r>
        <w:t>ommittee that on its own the Bill was not a solution</w:t>
      </w:r>
      <w:r w:rsidR="00BD46AA">
        <w:t xml:space="preserve"> as </w:t>
      </w:r>
      <w:r>
        <w:t>gamblers in the Molonglo Valley will be able to travel to a club outside the Molonglo Valley to gamble or game online.</w:t>
      </w:r>
      <w:r>
        <w:rPr>
          <w:rStyle w:val="FootnoteReference"/>
        </w:rPr>
        <w:footnoteReference w:id="25"/>
      </w:r>
      <w:r w:rsidR="009A6E2C">
        <w:t xml:space="preserve">  </w:t>
      </w:r>
    </w:p>
    <w:p w14:paraId="022A7BA6" w14:textId="1893B78B" w:rsidR="00801C07" w:rsidRDefault="00DF5CD1" w:rsidP="00801C07">
      <w:pPr>
        <w:pStyle w:val="ListNumber2"/>
      </w:pPr>
      <w:r>
        <w:t xml:space="preserve">Clubs ACT representing many clubs operating across the ACT and in collaboration with the Labour Club Group, told the </w:t>
      </w:r>
      <w:r w:rsidR="003A5F51">
        <w:t>c</w:t>
      </w:r>
      <w:r>
        <w:t xml:space="preserve">ommittee that they supported having the Molonglo Valley as a trial location for a pilot for the establishment </w:t>
      </w:r>
      <w:r w:rsidR="00EE6C2E">
        <w:t xml:space="preserve">of </w:t>
      </w:r>
      <w:r>
        <w:t xml:space="preserve">club facilities operating without </w:t>
      </w:r>
      <w:r w:rsidR="00A77955">
        <w:t>EGMs</w:t>
      </w:r>
      <w:r>
        <w:t>.  However, they did not support banning the machines from undeveloped areas beyond the Molonglo Valley, and instead suggested that ‘un-developed areas’ be replaced with ‘for</w:t>
      </w:r>
      <w:r w:rsidR="003A5F51">
        <w:t>-</w:t>
      </w:r>
      <w:r>
        <w:t>profit venues’.</w:t>
      </w:r>
      <w:r>
        <w:rPr>
          <w:rStyle w:val="FootnoteReference"/>
        </w:rPr>
        <w:footnoteReference w:id="26"/>
      </w:r>
      <w:r>
        <w:t xml:space="preserve">  </w:t>
      </w:r>
    </w:p>
    <w:p w14:paraId="3D134CD3" w14:textId="75F4FFE6" w:rsidR="00965AB7" w:rsidRDefault="00986931" w:rsidP="00801C07">
      <w:pPr>
        <w:pStyle w:val="ListNumber2"/>
      </w:pPr>
      <w:r>
        <w:t xml:space="preserve">The Minister for Gaming noted that there </w:t>
      </w:r>
      <w:r w:rsidR="006C0E66">
        <w:t xml:space="preserve">were </w:t>
      </w:r>
      <w:r>
        <w:t xml:space="preserve">already some restrictions in place as any venues seeking to establish in Molonglo would need to obtain their </w:t>
      </w:r>
      <w:r w:rsidR="00965AB7">
        <w:t>authorisations from other venues within the pool of available licences.</w:t>
      </w:r>
      <w:r w:rsidR="00965AB7">
        <w:rPr>
          <w:rStyle w:val="FootnoteReference"/>
        </w:rPr>
        <w:footnoteReference w:id="27"/>
      </w:r>
      <w:r w:rsidR="00965AB7">
        <w:t xml:space="preserve"> He further said that the Government had considered the legality of the legislation noting that there are some existing geographical trade restrictions (such as for the sex work industry) and that competition laws and policies are unlikely to be a limiting factor:</w:t>
      </w:r>
    </w:p>
    <w:p w14:paraId="66E4B5D2" w14:textId="13B1D6BF" w:rsidR="00986931" w:rsidRDefault="00735A63" w:rsidP="00965AB7">
      <w:pPr>
        <w:pStyle w:val="ListNumber2"/>
        <w:numPr>
          <w:ilvl w:val="0"/>
          <w:numId w:val="0"/>
        </w:numPr>
        <w:ind w:left="1440"/>
      </w:pPr>
      <w:r w:rsidRPr="00735A63">
        <w:rPr>
          <w:color w:val="7F7F7F" w:themeColor="text1" w:themeTint="80"/>
        </w:rPr>
        <w:t>the ACT is a party to the 2016 Intergovernmental Agreement on Competition and Productivity enhancing Reforms. That agreement commits parties to a number of competition principles, including that government policies binding the private sector should not unnecessarily restrict competition. An exception to this is that if the benefit outweighs the cost of the restriction to the community as a whole and the objective can only be achieved by restricting the competition to that extent. I think this argument may be made in the context of gaming harm that there is a clear other benefit that is seeking to be derived that outweighs the competition considerations that would arise under those intergovernmental agreements</w:t>
      </w:r>
      <w:r w:rsidR="00965AB7" w:rsidRPr="00965AB7">
        <w:rPr>
          <w:color w:val="7F7F7F" w:themeColor="text1" w:themeTint="80"/>
        </w:rPr>
        <w:t>.</w:t>
      </w:r>
      <w:r w:rsidR="00965AB7">
        <w:rPr>
          <w:rStyle w:val="FootnoteReference"/>
        </w:rPr>
        <w:footnoteReference w:id="28"/>
      </w:r>
    </w:p>
    <w:p w14:paraId="370E1585" w14:textId="71711E9D" w:rsidR="000313CC" w:rsidRDefault="000313CC" w:rsidP="002D6754">
      <w:pPr>
        <w:pStyle w:val="Heading3"/>
      </w:pPr>
      <w:bookmarkStart w:id="37" w:name="_Toc151541241"/>
      <w:r>
        <w:t>Extending the scope of the bill to include for profit venues</w:t>
      </w:r>
      <w:bookmarkEnd w:id="37"/>
    </w:p>
    <w:p w14:paraId="1A3924D3" w14:textId="5A2E4F14" w:rsidR="000313CC" w:rsidRDefault="000313CC" w:rsidP="002C4F01">
      <w:pPr>
        <w:pStyle w:val="ListNumber2"/>
      </w:pPr>
      <w:r>
        <w:t>Clubs ACT noted their concerns of for-profit venues in other jurisdictions failing to adhere to their regulatory obligations and highlighted that “gambling in connection with a profit motive can become a key driver for negative harm”</w:t>
      </w:r>
      <w:r>
        <w:rPr>
          <w:rStyle w:val="FootnoteReference"/>
        </w:rPr>
        <w:footnoteReference w:id="29"/>
      </w:r>
      <w:r>
        <w:t>. They suggested that the Bill be amended to specifically exclude any expansion of gaming machine license in for-profit venues</w:t>
      </w:r>
      <w:r w:rsidR="000D4403">
        <w:t xml:space="preserve"> and this would be of greater benefit than a geographic prohibition</w:t>
      </w:r>
      <w:r>
        <w:t>.</w:t>
      </w:r>
      <w:r w:rsidR="000D4403">
        <w:rPr>
          <w:rStyle w:val="FootnoteReference"/>
        </w:rPr>
        <w:footnoteReference w:id="30"/>
      </w:r>
    </w:p>
    <w:p w14:paraId="47252FD1" w14:textId="766EB2CE" w:rsidR="000313CC" w:rsidRPr="000313CC" w:rsidRDefault="000313CC" w:rsidP="000313CC">
      <w:pPr>
        <w:pStyle w:val="ListNumber2"/>
      </w:pPr>
      <w:r w:rsidRPr="000313CC">
        <w:t xml:space="preserve">Mr Rattenbury, Minister for Gaming, stated that the ACT has a historical position of not allowing </w:t>
      </w:r>
      <w:r w:rsidR="00A77955">
        <w:t>EGMs</w:t>
      </w:r>
      <w:r w:rsidRPr="000313CC">
        <w:t xml:space="preserve">in for-profit venues, but that current legislation does allow them to obtain </w:t>
      </w:r>
      <w:r w:rsidR="00A77955">
        <w:t>EGMs</w:t>
      </w:r>
      <w:r w:rsidRPr="000313CC">
        <w:t xml:space="preserve"> in certain circumstances. He stated that, as this Bill aims to take a geographic focus, it would be consistent for it to apply regardless of a venue’s profit or not-for-profit status, as the purpose is to have a geographical area with no poker machines in it.</w:t>
      </w:r>
      <w:r w:rsidRPr="000313CC">
        <w:rPr>
          <w:rStyle w:val="FootnoteReference"/>
        </w:rPr>
        <w:footnoteReference w:id="31"/>
      </w:r>
      <w:r w:rsidR="00B77503">
        <w:t xml:space="preserve">  He did however, also note that at the time of the hearing, the ACT government had not formed a formal position on the bill.</w:t>
      </w:r>
      <w:r w:rsidR="00B77503">
        <w:rPr>
          <w:rStyle w:val="FootnoteReference"/>
        </w:rPr>
        <w:footnoteReference w:id="32"/>
      </w:r>
    </w:p>
    <w:p w14:paraId="27F9A806" w14:textId="596D3C72" w:rsidR="0021364B" w:rsidRDefault="0021364B" w:rsidP="002D6754">
      <w:pPr>
        <w:pStyle w:val="Heading3"/>
      </w:pPr>
      <w:bookmarkStart w:id="38" w:name="_Toc151541242"/>
      <w:r>
        <w:t>Impact on clubs</w:t>
      </w:r>
      <w:r w:rsidR="00801C07">
        <w:t xml:space="preserve"> and the community</w:t>
      </w:r>
      <w:bookmarkEnd w:id="38"/>
    </w:p>
    <w:p w14:paraId="25208350" w14:textId="298985BC" w:rsidR="00BC4C95" w:rsidRDefault="00DF5CD1" w:rsidP="00BC4C95">
      <w:pPr>
        <w:pStyle w:val="ListNumber2"/>
      </w:pPr>
      <w:r>
        <w:t xml:space="preserve">Clubs ACT </w:t>
      </w:r>
      <w:r w:rsidR="00F7636D">
        <w:t>told the Committee</w:t>
      </w:r>
      <w:r w:rsidR="00DF5849">
        <w:t xml:space="preserve"> that without </w:t>
      </w:r>
      <w:r w:rsidR="00A77955">
        <w:t>EGMs</w:t>
      </w:r>
      <w:r w:rsidR="00DF5849">
        <w:t xml:space="preserve"> non-for-profit community clubs would require ACT Government funding </w:t>
      </w:r>
      <w:r w:rsidR="0001499E">
        <w:t xml:space="preserve">in order </w:t>
      </w:r>
      <w:r w:rsidR="00723E31">
        <w:t>to</w:t>
      </w:r>
      <w:r w:rsidR="00DF5849">
        <w:t xml:space="preserve"> continue provid</w:t>
      </w:r>
      <w:r w:rsidR="00551C27">
        <w:t>ing</w:t>
      </w:r>
      <w:r w:rsidR="00DF5849">
        <w:t xml:space="preserve"> </w:t>
      </w:r>
      <w:r w:rsidR="00551C27">
        <w:t>benefits</w:t>
      </w:r>
      <w:r w:rsidR="00DF5849">
        <w:t xml:space="preserve"> to local </w:t>
      </w:r>
      <w:r w:rsidR="00723E31">
        <w:t>communities.</w:t>
      </w:r>
      <w:r w:rsidR="00DF5849">
        <w:t xml:space="preserve"> They said that an alternative sustainable model for Club revenue was required before a ban could apply to undeveloped areas.</w:t>
      </w:r>
      <w:r w:rsidR="00DF5849">
        <w:rPr>
          <w:rStyle w:val="FootnoteReference"/>
        </w:rPr>
        <w:footnoteReference w:id="33"/>
      </w:r>
      <w:r w:rsidR="009A6E2C">
        <w:t xml:space="preserve">  There was some frustration expressed on planning and development processes including that for social housing developments.</w:t>
      </w:r>
      <w:r w:rsidR="009A6E2C">
        <w:rPr>
          <w:rStyle w:val="FootnoteReference"/>
        </w:rPr>
        <w:footnoteReference w:id="34"/>
      </w:r>
      <w:r w:rsidR="009A6E2C">
        <w:t xml:space="preserve"> </w:t>
      </w:r>
    </w:p>
    <w:p w14:paraId="0E1F2B91" w14:textId="2A98E47D" w:rsidR="000313CC" w:rsidRDefault="000313CC" w:rsidP="00BC4C95">
      <w:pPr>
        <w:pStyle w:val="ListNumber2"/>
      </w:pPr>
      <w:r>
        <w:t>They expressed concerned that future communities in currently undeveloped areas would not be able to benefit from the social cohesion provided by investments by clubs.</w:t>
      </w:r>
      <w:r w:rsidR="000D4403">
        <w:rPr>
          <w:rStyle w:val="FootnoteReference"/>
        </w:rPr>
        <w:footnoteReference w:id="35"/>
      </w:r>
    </w:p>
    <w:p w14:paraId="5290E8A5" w14:textId="74B57F29" w:rsidR="00801C07" w:rsidRDefault="00801C07" w:rsidP="00BC4C95">
      <w:pPr>
        <w:pStyle w:val="ListNumber2"/>
      </w:pPr>
      <w:r>
        <w:t>At the public hearing, the Minister for Gaming noted that amenities</w:t>
      </w:r>
      <w:r w:rsidR="00986931">
        <w:t xml:space="preserve"> that are often provided by clubs</w:t>
      </w:r>
      <w:r>
        <w:t xml:space="preserve"> could be provided by other means than by clubs.</w:t>
      </w:r>
      <w:r>
        <w:rPr>
          <w:rStyle w:val="FootnoteReference"/>
        </w:rPr>
        <w:footnoteReference w:id="36"/>
      </w:r>
      <w:r w:rsidR="00986931">
        <w:t xml:space="preserve">  Some examples could be a restaurant, café or a licensed club that doesn’t have poker machines.</w:t>
      </w:r>
      <w:r w:rsidR="00986931">
        <w:rPr>
          <w:rStyle w:val="FootnoteReference"/>
        </w:rPr>
        <w:footnoteReference w:id="37"/>
      </w:r>
    </w:p>
    <w:p w14:paraId="3B32B1DD" w14:textId="40A3F789" w:rsidR="000313CC" w:rsidRDefault="000313CC" w:rsidP="00BC4C95">
      <w:pPr>
        <w:pStyle w:val="ListNumber2"/>
      </w:pPr>
      <w:r>
        <w:t xml:space="preserve">The </w:t>
      </w:r>
      <w:r w:rsidR="00986931">
        <w:t>Minister provided the Committee</w:t>
      </w:r>
      <w:r w:rsidR="00801C07">
        <w:t xml:space="preserve"> with an example of a club that has gone ‘pokie-free’ at the public hearing. Under</w:t>
      </w:r>
      <w:r>
        <w:t xml:space="preserve"> the Surrender incentive payment, Yowani Golf Club </w:t>
      </w:r>
      <w:r w:rsidR="00801C07">
        <w:t xml:space="preserve">has surrendered their authorisation certificate and licensing in March 2023 and is now a venue free of </w:t>
      </w:r>
      <w:r w:rsidR="00A77955">
        <w:t>EGMs</w:t>
      </w:r>
      <w:r w:rsidR="00801C07">
        <w:t>.</w:t>
      </w:r>
      <w:r w:rsidR="00801C07">
        <w:rPr>
          <w:rStyle w:val="FootnoteReference"/>
        </w:rPr>
        <w:footnoteReference w:id="38"/>
      </w:r>
      <w:r w:rsidR="00801C07">
        <w:t xml:space="preserve"> </w:t>
      </w:r>
    </w:p>
    <w:p w14:paraId="4A74D874" w14:textId="77777777" w:rsidR="007D2DBC" w:rsidRDefault="007D2DBC" w:rsidP="007D2DBC">
      <w:pPr>
        <w:pStyle w:val="Heading1"/>
      </w:pPr>
      <w:bookmarkStart w:id="39" w:name="_Toc151541243"/>
      <w:r>
        <w:t>Conclusion</w:t>
      </w:r>
      <w:bookmarkEnd w:id="34"/>
      <w:bookmarkEnd w:id="39"/>
    </w:p>
    <w:p w14:paraId="39928AF6" w14:textId="53F41912" w:rsidR="00B77503" w:rsidRDefault="00B77503" w:rsidP="00B77503">
      <w:pPr>
        <w:pStyle w:val="ListNumber2"/>
      </w:pPr>
      <w:r>
        <w:t xml:space="preserve">The Committee notes that the Bill does not make any specific mention of for-profit venues and it may be beneficial to consider whether it is necessary to expand the scope of the Bill to expressly also exclude for-profit venues in the Molonglo Valley and undeveloped areas. </w:t>
      </w:r>
    </w:p>
    <w:p w14:paraId="523AF28B" w14:textId="31AA0AA7" w:rsidR="000E45F9" w:rsidRPr="00BB7BA6" w:rsidRDefault="000D4403" w:rsidP="00161F1E">
      <w:pPr>
        <w:pStyle w:val="ListNumber2"/>
      </w:pPr>
      <w:r>
        <w:t xml:space="preserve">The Committee makes 1 recommendation in its </w:t>
      </w:r>
      <w:r w:rsidRPr="000D4403">
        <w:rPr>
          <w:i/>
          <w:iCs/>
        </w:rPr>
        <w:t>Inquiry into the Gaming Machine Amendment Bill 2023</w:t>
      </w:r>
      <w:r>
        <w:t>.</w:t>
      </w:r>
    </w:p>
    <w:tbl>
      <w:tblPr>
        <w:tblStyle w:val="Recommendationbox"/>
        <w:tblW w:w="0" w:type="auto"/>
        <w:tblLook w:val="04A0" w:firstRow="1" w:lastRow="0" w:firstColumn="1" w:lastColumn="0" w:noHBand="0" w:noVBand="1"/>
      </w:tblPr>
      <w:tblGrid>
        <w:gridCol w:w="8175"/>
      </w:tblGrid>
      <w:tr w:rsidR="000E45F9" w14:paraId="66D9198B" w14:textId="77777777" w:rsidTr="00C67A58">
        <w:tc>
          <w:tcPr>
            <w:tcW w:w="7891" w:type="dxa"/>
          </w:tcPr>
          <w:p w14:paraId="3A77A7FF" w14:textId="1B77918C" w:rsidR="000E45F9" w:rsidRDefault="000E45F9" w:rsidP="00C67A58">
            <w:pPr>
              <w:pStyle w:val="Recommendationheading"/>
            </w:pPr>
            <w:bookmarkStart w:id="40" w:name="_Toc139284192"/>
            <w:bookmarkStart w:id="41" w:name="_Toc151043821"/>
            <w:bookmarkStart w:id="42" w:name="_Hlk138424804"/>
            <w:r>
              <w:t xml:space="preserve">Recommendation </w:t>
            </w:r>
            <w:bookmarkEnd w:id="40"/>
            <w:r w:rsidR="006B61FB">
              <w:t>1</w:t>
            </w:r>
            <w:bookmarkEnd w:id="41"/>
          </w:p>
          <w:p w14:paraId="1B74B1E3" w14:textId="17AD77F6" w:rsidR="000E45F9" w:rsidRPr="00CD05B9" w:rsidRDefault="000E45F9" w:rsidP="00C67A58">
            <w:pPr>
              <w:pStyle w:val="Recommendationbody"/>
            </w:pPr>
            <w:bookmarkStart w:id="43" w:name="_Toc139284193"/>
            <w:bookmarkStart w:id="44" w:name="_Toc151043822"/>
            <w:r>
              <w:t xml:space="preserve">The Committee recommends that the Assembly passes the </w:t>
            </w:r>
            <w:r w:rsidRPr="00B77503">
              <w:t>Gaming Machine Amendment Bill 2023.</w:t>
            </w:r>
            <w:bookmarkEnd w:id="43"/>
            <w:bookmarkEnd w:id="44"/>
          </w:p>
        </w:tc>
      </w:tr>
    </w:tbl>
    <w:bookmarkEnd w:id="42"/>
    <w:p w14:paraId="522B611B" w14:textId="1A038A22" w:rsidR="007D2DBC" w:rsidRDefault="007D2DBC" w:rsidP="007D2DBC">
      <w:pPr>
        <w:pStyle w:val="ListNumber2"/>
      </w:pPr>
      <w:r>
        <w:t xml:space="preserve">The Committee would like to thank all those who participated in this inquiry including those who made submissions </w:t>
      </w:r>
      <w:r w:rsidRPr="00B40636">
        <w:rPr>
          <w:shd w:val="clear" w:color="auto" w:fill="FFFFFF" w:themeFill="background1"/>
        </w:rPr>
        <w:t>and appeared at the public hearing</w:t>
      </w:r>
      <w:r w:rsidRPr="00B40636">
        <w:t>.</w:t>
      </w:r>
    </w:p>
    <w:p w14:paraId="65392F89" w14:textId="77777777" w:rsidR="007D2DBC" w:rsidRDefault="007D2DBC" w:rsidP="007D2DBC">
      <w:pPr>
        <w:spacing w:line="259" w:lineRule="auto"/>
      </w:pPr>
    </w:p>
    <w:p w14:paraId="5DE175BB" w14:textId="77777777" w:rsidR="007D2DBC" w:rsidRDefault="007D2DBC" w:rsidP="007D2DBC">
      <w:pPr>
        <w:spacing w:line="259" w:lineRule="auto"/>
      </w:pPr>
    </w:p>
    <w:p w14:paraId="5D5EBDC5" w14:textId="77777777" w:rsidR="000D4403" w:rsidRDefault="000D4403" w:rsidP="007D2DBC">
      <w:pPr>
        <w:spacing w:line="259" w:lineRule="auto"/>
      </w:pPr>
    </w:p>
    <w:p w14:paraId="2D6E7468" w14:textId="77777777" w:rsidR="007D2DBC" w:rsidRDefault="007D2DBC" w:rsidP="007D2DBC">
      <w:pPr>
        <w:spacing w:after="0" w:line="240" w:lineRule="auto"/>
      </w:pPr>
      <w:r>
        <w:t>Peter Cain MLA</w:t>
      </w:r>
    </w:p>
    <w:p w14:paraId="01747BB9" w14:textId="77777777" w:rsidR="007D2DBC" w:rsidRDefault="007D2DBC" w:rsidP="007D2DBC">
      <w:pPr>
        <w:spacing w:after="0" w:line="240" w:lineRule="auto"/>
      </w:pPr>
      <w:r>
        <w:t>Chair</w:t>
      </w:r>
    </w:p>
    <w:p w14:paraId="0491F0D7" w14:textId="0D14D1B9" w:rsidR="00F84575" w:rsidRPr="00BE7AE7" w:rsidRDefault="00B77503" w:rsidP="00BE7AE7">
      <w:pPr>
        <w:spacing w:after="0" w:line="240" w:lineRule="auto"/>
      </w:pPr>
      <w:r>
        <w:t xml:space="preserve">  </w:t>
      </w:r>
      <w:r w:rsidR="007D2DBC">
        <w:t xml:space="preserve">  </w:t>
      </w:r>
      <w:r w:rsidR="00E82651">
        <w:t>November</w:t>
      </w:r>
      <w:r w:rsidR="007D2DBC">
        <w:t xml:space="preserve"> 2023</w:t>
      </w:r>
      <w:r w:rsidR="000E5824">
        <w:t xml:space="preserve"> </w:t>
      </w:r>
      <w:bookmarkEnd w:id="15"/>
      <w:bookmarkEnd w:id="16"/>
      <w:r w:rsidR="00F84575">
        <w:br w:type="page"/>
      </w:r>
    </w:p>
    <w:p w14:paraId="7127DF32" w14:textId="4B1F2316" w:rsidR="00E833AA" w:rsidRDefault="00E833AA" w:rsidP="0063473A">
      <w:pPr>
        <w:pStyle w:val="Heading1nonumber"/>
      </w:pPr>
      <w:bookmarkStart w:id="45" w:name="_Toc151541244"/>
      <w:r>
        <w:t xml:space="preserve">Appendix </w:t>
      </w:r>
      <w:r w:rsidR="00247A37">
        <w:t>A</w:t>
      </w:r>
      <w:r>
        <w:t>: Submissions</w:t>
      </w:r>
      <w:bookmarkEnd w:id="45"/>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6EE10383" w:rsidR="00870AE1" w:rsidRPr="00387293" w:rsidRDefault="00387293" w:rsidP="00247A37">
            <w:pPr>
              <w:pStyle w:val="Tablebody"/>
              <w:rPr>
                <w:highlight w:val="yellow"/>
              </w:rPr>
            </w:pPr>
            <w:r w:rsidRPr="002B5E1E">
              <w:t>Rod Pitcher</w:t>
            </w:r>
          </w:p>
        </w:tc>
        <w:tc>
          <w:tcPr>
            <w:tcW w:w="1346" w:type="dxa"/>
          </w:tcPr>
          <w:p w14:paraId="3EFED712" w14:textId="4A666520" w:rsidR="00870AE1" w:rsidRPr="00645A36" w:rsidRDefault="00387293" w:rsidP="00247A37">
            <w:pPr>
              <w:pStyle w:val="Tablebody"/>
              <w:rPr>
                <w:highlight w:val="yellow"/>
              </w:rPr>
            </w:pPr>
            <w:r>
              <w:t>09</w:t>
            </w:r>
            <w:r w:rsidR="00870AE1" w:rsidRPr="00FD2DE7">
              <w:t>/</w:t>
            </w:r>
            <w:r w:rsidR="00645A36" w:rsidRPr="00FD2DE7">
              <w:t>0</w:t>
            </w:r>
            <w:r w:rsidR="0010382D">
              <w:t>9</w:t>
            </w:r>
            <w:r w:rsidR="00870AE1" w:rsidRPr="00FD2DE7">
              <w:t>/</w:t>
            </w:r>
            <w:r w:rsidR="00645A36" w:rsidRPr="00FD2DE7">
              <w:t>2023</w:t>
            </w:r>
          </w:p>
        </w:tc>
        <w:tc>
          <w:tcPr>
            <w:tcW w:w="1347" w:type="dxa"/>
          </w:tcPr>
          <w:p w14:paraId="07A93217" w14:textId="4A750C94" w:rsidR="00870AE1" w:rsidRDefault="002A735D" w:rsidP="00247A37">
            <w:pPr>
              <w:pStyle w:val="Tablebody"/>
            </w:pPr>
            <w:r>
              <w:t>04</w:t>
            </w:r>
            <w:r w:rsidR="00870AE1">
              <w:t>/</w:t>
            </w:r>
            <w:r>
              <w:t>10</w:t>
            </w:r>
            <w:r w:rsidR="00870AE1">
              <w:t>/</w:t>
            </w:r>
            <w:r>
              <w:t>2023</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2D7103BB" w:rsidR="00870AE1" w:rsidRDefault="005A5142" w:rsidP="00247A37">
            <w:pPr>
              <w:pStyle w:val="Tablebody"/>
            </w:pPr>
            <w:r>
              <w:t>Bruce Baer Arnold</w:t>
            </w:r>
            <w:r w:rsidR="00C8044E">
              <w:t xml:space="preserve">, </w:t>
            </w:r>
            <w:r w:rsidR="00286C4D">
              <w:t xml:space="preserve">Canberra Law School, University of </w:t>
            </w:r>
            <w:r w:rsidR="00C8044E">
              <w:t>Canberra</w:t>
            </w:r>
          </w:p>
        </w:tc>
        <w:tc>
          <w:tcPr>
            <w:tcW w:w="1346" w:type="dxa"/>
          </w:tcPr>
          <w:p w14:paraId="0DB77781" w14:textId="686E1643" w:rsidR="00870AE1" w:rsidRDefault="005A5142" w:rsidP="00247A37">
            <w:pPr>
              <w:pStyle w:val="Tablebody"/>
            </w:pPr>
            <w:r>
              <w:t>18/09/2023</w:t>
            </w:r>
          </w:p>
        </w:tc>
        <w:tc>
          <w:tcPr>
            <w:tcW w:w="1347" w:type="dxa"/>
          </w:tcPr>
          <w:p w14:paraId="128C6192" w14:textId="5FB37DB5" w:rsidR="00870AE1" w:rsidRDefault="002A735D" w:rsidP="00247A37">
            <w:pPr>
              <w:pStyle w:val="Tablebody"/>
            </w:pPr>
            <w:r>
              <w:t>04/10/2023</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5240DCCB" w:rsidR="00870AE1" w:rsidRDefault="00EF48FB" w:rsidP="00247A37">
            <w:pPr>
              <w:pStyle w:val="Tablebody"/>
            </w:pPr>
            <w:r>
              <w:t>Alliance for Gambling Reform</w:t>
            </w:r>
          </w:p>
        </w:tc>
        <w:tc>
          <w:tcPr>
            <w:tcW w:w="1346" w:type="dxa"/>
          </w:tcPr>
          <w:p w14:paraId="07695424" w14:textId="2AD9297A" w:rsidR="00870AE1" w:rsidRDefault="00EF48FB" w:rsidP="00247A37">
            <w:pPr>
              <w:pStyle w:val="Tablebody"/>
            </w:pPr>
            <w:r>
              <w:t>21/09/2023</w:t>
            </w:r>
          </w:p>
        </w:tc>
        <w:tc>
          <w:tcPr>
            <w:tcW w:w="1347" w:type="dxa"/>
          </w:tcPr>
          <w:p w14:paraId="2B3E54F9" w14:textId="0D16F48A" w:rsidR="00870AE1" w:rsidRDefault="002A735D" w:rsidP="00247A37">
            <w:pPr>
              <w:pStyle w:val="Tablebody"/>
            </w:pPr>
            <w:r>
              <w:t>04/10/2023</w:t>
            </w:r>
          </w:p>
        </w:tc>
      </w:tr>
      <w:tr w:rsidR="007F2A85" w14:paraId="38EB015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AD065A3" w14:textId="0CB5DFC2" w:rsidR="007F2A85" w:rsidRDefault="0094192A" w:rsidP="00247A37">
            <w:pPr>
              <w:pStyle w:val="Tablebody"/>
            </w:pPr>
            <w:r>
              <w:t>4</w:t>
            </w:r>
          </w:p>
        </w:tc>
        <w:tc>
          <w:tcPr>
            <w:tcW w:w="5665" w:type="dxa"/>
          </w:tcPr>
          <w:p w14:paraId="27D822C4" w14:textId="60DA7EC4" w:rsidR="007F2A85" w:rsidRDefault="00623F5D" w:rsidP="00247A37">
            <w:pPr>
              <w:pStyle w:val="Tablebody"/>
            </w:pPr>
            <w:r>
              <w:t>ACTCOSS</w:t>
            </w:r>
          </w:p>
        </w:tc>
        <w:tc>
          <w:tcPr>
            <w:tcW w:w="1346" w:type="dxa"/>
          </w:tcPr>
          <w:p w14:paraId="29BA791E" w14:textId="03EA072B" w:rsidR="007F2A85" w:rsidRDefault="00623F5D" w:rsidP="00247A37">
            <w:pPr>
              <w:pStyle w:val="Tablebody"/>
            </w:pPr>
            <w:r>
              <w:t>29/09/2023</w:t>
            </w:r>
          </w:p>
        </w:tc>
        <w:tc>
          <w:tcPr>
            <w:tcW w:w="1347" w:type="dxa"/>
          </w:tcPr>
          <w:p w14:paraId="71C54B69" w14:textId="62D134EE" w:rsidR="007F2A85" w:rsidRDefault="002A735D" w:rsidP="00247A37">
            <w:pPr>
              <w:pStyle w:val="Tablebody"/>
            </w:pPr>
            <w:r>
              <w:t>04/10/2023</w:t>
            </w:r>
          </w:p>
        </w:tc>
      </w:tr>
      <w:tr w:rsidR="007F2A85" w14:paraId="57D8C34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AF07156" w14:textId="4641F306" w:rsidR="007F2A85" w:rsidRDefault="0094192A" w:rsidP="00247A37">
            <w:pPr>
              <w:pStyle w:val="Tablebody"/>
            </w:pPr>
            <w:r>
              <w:t>5</w:t>
            </w:r>
          </w:p>
        </w:tc>
        <w:tc>
          <w:tcPr>
            <w:tcW w:w="5665" w:type="dxa"/>
          </w:tcPr>
          <w:p w14:paraId="4538AB83" w14:textId="3F9FD2A6" w:rsidR="007F2A85" w:rsidRDefault="00162A20" w:rsidP="00247A37">
            <w:pPr>
              <w:pStyle w:val="Tablebody"/>
            </w:pPr>
            <w:r>
              <w:t>Clubs</w:t>
            </w:r>
            <w:r w:rsidR="00213288">
              <w:t xml:space="preserve"> ACT</w:t>
            </w:r>
          </w:p>
        </w:tc>
        <w:tc>
          <w:tcPr>
            <w:tcW w:w="1346" w:type="dxa"/>
          </w:tcPr>
          <w:p w14:paraId="2A188E11" w14:textId="30445C5A" w:rsidR="007F2A85" w:rsidRDefault="0003768C" w:rsidP="00247A37">
            <w:pPr>
              <w:pStyle w:val="Tablebody"/>
            </w:pPr>
            <w:r>
              <w:t>09</w:t>
            </w:r>
            <w:r w:rsidR="00162A20">
              <w:t>/10/2023</w:t>
            </w:r>
          </w:p>
        </w:tc>
        <w:tc>
          <w:tcPr>
            <w:tcW w:w="1347" w:type="dxa"/>
          </w:tcPr>
          <w:p w14:paraId="0B0EF4FA" w14:textId="0BBA97D5" w:rsidR="007F2A85" w:rsidRDefault="002A735D" w:rsidP="00247A37">
            <w:pPr>
              <w:pStyle w:val="Tablebody"/>
            </w:pPr>
            <w:r>
              <w:t>12/10/2023</w:t>
            </w:r>
          </w:p>
        </w:tc>
      </w:tr>
    </w:tbl>
    <w:p w14:paraId="1180F728" w14:textId="54F44383" w:rsidR="00E833AA" w:rsidRDefault="00E833AA">
      <w:pPr>
        <w:spacing w:line="259" w:lineRule="auto"/>
      </w:pPr>
      <w:r>
        <w:br w:type="page"/>
      </w:r>
    </w:p>
    <w:p w14:paraId="797800F5" w14:textId="7682FA04" w:rsidR="00247A37" w:rsidRDefault="00247A37" w:rsidP="0063473A">
      <w:pPr>
        <w:pStyle w:val="Heading1nonumber"/>
      </w:pPr>
      <w:bookmarkStart w:id="46" w:name="_Toc151541245"/>
      <w:r>
        <w:t>Appendix B: Witnesses</w:t>
      </w:r>
      <w:bookmarkEnd w:id="46"/>
    </w:p>
    <w:p w14:paraId="0BC9BF60" w14:textId="72D1C1C4" w:rsidR="00247A37" w:rsidRDefault="00FA61EE" w:rsidP="002D6754">
      <w:pPr>
        <w:pStyle w:val="Heading3"/>
      </w:pPr>
      <w:bookmarkStart w:id="47" w:name="_Toc151541246"/>
      <w:r>
        <w:t>8 November 2023</w:t>
      </w:r>
      <w:bookmarkEnd w:id="47"/>
    </w:p>
    <w:p w14:paraId="1505A543" w14:textId="285E2830" w:rsidR="003D69C2" w:rsidRDefault="00260C2F" w:rsidP="003D69C2">
      <w:pPr>
        <w:pStyle w:val="ListNumber2"/>
        <w:numPr>
          <w:ilvl w:val="0"/>
          <w:numId w:val="0"/>
        </w:numPr>
        <w:ind w:left="426" w:hanging="426"/>
      </w:pPr>
      <w:r>
        <w:rPr>
          <w:b/>
          <w:bCs w:val="0"/>
        </w:rPr>
        <w:t>Mr Shane Rattenbury MLA</w:t>
      </w:r>
      <w:r w:rsidR="003D69C2" w:rsidRPr="006E449A">
        <w:rPr>
          <w:b/>
          <w:bCs w:val="0"/>
        </w:rPr>
        <w:t>,</w:t>
      </w:r>
      <w:r w:rsidR="003D69C2">
        <w:t xml:space="preserve"> </w:t>
      </w:r>
      <w:r>
        <w:t>Minister for Gaming</w:t>
      </w:r>
    </w:p>
    <w:p w14:paraId="6A39580F" w14:textId="4EBEB5CC" w:rsidR="003D69C2" w:rsidRDefault="00260C2F" w:rsidP="00260C2F">
      <w:pPr>
        <w:pStyle w:val="ListNumber2"/>
        <w:numPr>
          <w:ilvl w:val="0"/>
          <w:numId w:val="0"/>
        </w:numPr>
        <w:rPr>
          <w:lang w:val="en-GB"/>
        </w:rPr>
      </w:pPr>
      <w:r w:rsidRPr="00260C2F">
        <w:rPr>
          <w:b/>
          <w:bCs w:val="0"/>
          <w:szCs w:val="22"/>
          <w:lang w:val="en-GB"/>
        </w:rPr>
        <w:t>Mr Daniel Ng</w:t>
      </w:r>
      <w:r w:rsidRPr="00260C2F">
        <w:rPr>
          <w:b/>
          <w:bCs w:val="0"/>
        </w:rPr>
        <w:t>,</w:t>
      </w:r>
      <w:r>
        <w:rPr>
          <w:b/>
          <w:bCs w:val="0"/>
        </w:rPr>
        <w:t xml:space="preserve"> </w:t>
      </w:r>
      <w:r>
        <w:rPr>
          <w:lang w:val="en-GB"/>
        </w:rPr>
        <w:t>Executive Branch Manager Civil &amp; Regulatory Law Branch, Legislation Policy and Programs, Justice and Community Safety Directorate</w:t>
      </w:r>
    </w:p>
    <w:p w14:paraId="04DD0FC7" w14:textId="5EA622B6" w:rsidR="006E449A" w:rsidRPr="003D69C2" w:rsidRDefault="006E449A" w:rsidP="00260C2F">
      <w:pPr>
        <w:pStyle w:val="ListNumber2"/>
        <w:numPr>
          <w:ilvl w:val="0"/>
          <w:numId w:val="0"/>
        </w:numPr>
      </w:pPr>
      <w:r w:rsidRPr="006E449A">
        <w:rPr>
          <w:b/>
          <w:bCs w:val="0"/>
          <w:lang w:val="en-GB"/>
        </w:rPr>
        <w:t>Mr Giuseppe Mangeruca,</w:t>
      </w:r>
      <w:r>
        <w:rPr>
          <w:lang w:val="en-GB"/>
        </w:rPr>
        <w:t xml:space="preserve"> </w:t>
      </w:r>
      <w:r w:rsidRPr="00744E0B">
        <w:t>Acting Executive Branch Manager, Fair Trading and Compliance, Access Canberra</w:t>
      </w:r>
    </w:p>
    <w:p w14:paraId="1E323060" w14:textId="77777777" w:rsidR="00247A37" w:rsidRDefault="00247A37" w:rsidP="00247A37">
      <w:pPr>
        <w:pStyle w:val="ListBullet"/>
        <w:numPr>
          <w:ilvl w:val="0"/>
          <w:numId w:val="0"/>
        </w:numPr>
        <w:spacing w:before="40" w:after="40"/>
      </w:pP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02FA962" w14:textId="183F3862" w:rsidR="0010382D" w:rsidRDefault="0010382D" w:rsidP="0063473A">
      <w:pPr>
        <w:pStyle w:val="Heading1nonumber"/>
      </w:pPr>
      <w:bookmarkStart w:id="48" w:name="_Toc133250017"/>
      <w:bookmarkStart w:id="49" w:name="_Toc134693199"/>
      <w:bookmarkStart w:id="50" w:name="_Toc146717267"/>
      <w:bookmarkStart w:id="51" w:name="_Toc151541247"/>
      <w:r>
        <w:t xml:space="preserve">Appendix </w:t>
      </w:r>
      <w:r w:rsidR="006E449A">
        <w:t>C</w:t>
      </w:r>
      <w:r>
        <w:t xml:space="preserve">: </w:t>
      </w:r>
      <w:bookmarkEnd w:id="48"/>
      <w:r>
        <w:t>Gender distribution of witnesses</w:t>
      </w:r>
      <w:bookmarkEnd w:id="49"/>
      <w:bookmarkEnd w:id="50"/>
      <w:bookmarkEnd w:id="51"/>
    </w:p>
    <w:p w14:paraId="0F81C8E8" w14:textId="77777777" w:rsidR="0010382D" w:rsidRPr="00BA4979" w:rsidRDefault="0010382D" w:rsidP="0010382D">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10382D" w14:paraId="04C9363A" w14:textId="77777777" w:rsidTr="00C67A58">
        <w:trPr>
          <w:cnfStyle w:val="100000000000" w:firstRow="1" w:lastRow="0" w:firstColumn="0" w:lastColumn="0" w:oddVBand="0" w:evenVBand="0" w:oddHBand="0" w:evenHBand="0" w:firstRowFirstColumn="0" w:firstRowLastColumn="0" w:lastRowFirstColumn="0" w:lastRowLastColumn="0"/>
        </w:trPr>
        <w:tc>
          <w:tcPr>
            <w:tcW w:w="4820" w:type="dxa"/>
          </w:tcPr>
          <w:p w14:paraId="01051785" w14:textId="77777777" w:rsidR="0010382D" w:rsidRDefault="0010382D" w:rsidP="00C67A58">
            <w:pPr>
              <w:pStyle w:val="Tableheading"/>
            </w:pPr>
            <w:r>
              <w:t>Gender indication</w:t>
            </w:r>
          </w:p>
        </w:tc>
        <w:tc>
          <w:tcPr>
            <w:tcW w:w="4252" w:type="dxa"/>
          </w:tcPr>
          <w:p w14:paraId="3B63F560" w14:textId="77777777" w:rsidR="0010382D" w:rsidRDefault="0010382D" w:rsidP="00C67A58">
            <w:pPr>
              <w:pStyle w:val="Tableheading"/>
            </w:pPr>
            <w:r>
              <w:t>Total</w:t>
            </w:r>
          </w:p>
        </w:tc>
      </w:tr>
      <w:tr w:rsidR="0010382D" w:rsidRPr="00636E3F" w14:paraId="366D5D2C" w14:textId="77777777" w:rsidTr="00C67A58">
        <w:trPr>
          <w:cnfStyle w:val="000000100000" w:firstRow="0" w:lastRow="0" w:firstColumn="0" w:lastColumn="0" w:oddVBand="0" w:evenVBand="0" w:oddHBand="1" w:evenHBand="0" w:firstRowFirstColumn="0" w:firstRowLastColumn="0" w:lastRowFirstColumn="0" w:lastRowLastColumn="0"/>
        </w:trPr>
        <w:tc>
          <w:tcPr>
            <w:tcW w:w="4820" w:type="dxa"/>
          </w:tcPr>
          <w:p w14:paraId="3631FF8D" w14:textId="77777777" w:rsidR="0010382D" w:rsidRPr="00A6597A" w:rsidRDefault="0010382D" w:rsidP="00C67A58">
            <w:pPr>
              <w:pStyle w:val="Tablebody"/>
            </w:pPr>
            <w:r w:rsidRPr="00A6597A">
              <w:t>Female</w:t>
            </w:r>
          </w:p>
        </w:tc>
        <w:tc>
          <w:tcPr>
            <w:tcW w:w="4252" w:type="dxa"/>
          </w:tcPr>
          <w:p w14:paraId="37258BB5" w14:textId="48F3D68F" w:rsidR="0010382D" w:rsidRPr="00A6597A" w:rsidRDefault="00260C2F" w:rsidP="00C67A58">
            <w:pPr>
              <w:pStyle w:val="Tablebody"/>
            </w:pPr>
            <w:r>
              <w:t>0</w:t>
            </w:r>
          </w:p>
        </w:tc>
      </w:tr>
      <w:tr w:rsidR="0010382D" w:rsidRPr="00636E3F" w14:paraId="3AB4AC5B" w14:textId="77777777" w:rsidTr="00C67A58">
        <w:trPr>
          <w:cnfStyle w:val="000000010000" w:firstRow="0" w:lastRow="0" w:firstColumn="0" w:lastColumn="0" w:oddVBand="0" w:evenVBand="0" w:oddHBand="0" w:evenHBand="1" w:firstRowFirstColumn="0" w:firstRowLastColumn="0" w:lastRowFirstColumn="0" w:lastRowLastColumn="0"/>
        </w:trPr>
        <w:tc>
          <w:tcPr>
            <w:tcW w:w="4820" w:type="dxa"/>
          </w:tcPr>
          <w:p w14:paraId="1C9C203A" w14:textId="77777777" w:rsidR="0010382D" w:rsidRPr="00A6597A" w:rsidRDefault="0010382D" w:rsidP="00C67A58">
            <w:pPr>
              <w:pStyle w:val="Tablebody"/>
            </w:pPr>
            <w:r w:rsidRPr="00A6597A">
              <w:t>Male</w:t>
            </w:r>
          </w:p>
        </w:tc>
        <w:tc>
          <w:tcPr>
            <w:tcW w:w="4252" w:type="dxa"/>
          </w:tcPr>
          <w:p w14:paraId="2C8D103D" w14:textId="1F0E7605" w:rsidR="0010382D" w:rsidRPr="00A6597A" w:rsidRDefault="00B40636" w:rsidP="00C67A58">
            <w:pPr>
              <w:pStyle w:val="Tablebody"/>
            </w:pPr>
            <w:r>
              <w:t>3</w:t>
            </w:r>
          </w:p>
        </w:tc>
      </w:tr>
      <w:tr w:rsidR="0010382D" w:rsidRPr="00636E3F" w14:paraId="3DCC968F" w14:textId="77777777" w:rsidTr="00C67A58">
        <w:trPr>
          <w:cnfStyle w:val="000000100000" w:firstRow="0" w:lastRow="0" w:firstColumn="0" w:lastColumn="0" w:oddVBand="0" w:evenVBand="0" w:oddHBand="1" w:evenHBand="0" w:firstRowFirstColumn="0" w:firstRowLastColumn="0" w:lastRowFirstColumn="0" w:lastRowLastColumn="0"/>
        </w:trPr>
        <w:tc>
          <w:tcPr>
            <w:tcW w:w="4820" w:type="dxa"/>
          </w:tcPr>
          <w:p w14:paraId="404501BD" w14:textId="77777777" w:rsidR="0010382D" w:rsidRPr="00A6597A" w:rsidRDefault="0010382D" w:rsidP="00C67A58">
            <w:pPr>
              <w:pStyle w:val="Tablebody"/>
            </w:pPr>
            <w:r w:rsidRPr="00A6597A">
              <w:t>Non-binary</w:t>
            </w:r>
          </w:p>
        </w:tc>
        <w:tc>
          <w:tcPr>
            <w:tcW w:w="4252" w:type="dxa"/>
          </w:tcPr>
          <w:p w14:paraId="326091F8" w14:textId="77777777" w:rsidR="0010382D" w:rsidRPr="00A6597A" w:rsidRDefault="0010382D" w:rsidP="00C67A58">
            <w:pPr>
              <w:pStyle w:val="Tablebody"/>
            </w:pPr>
            <w:r w:rsidRPr="00A6597A">
              <w:t>0</w:t>
            </w:r>
          </w:p>
        </w:tc>
      </w:tr>
      <w:tr w:rsidR="0010382D" w:rsidRPr="00636E3F" w14:paraId="757620F7" w14:textId="77777777" w:rsidTr="00C67A58">
        <w:trPr>
          <w:cnfStyle w:val="000000010000" w:firstRow="0" w:lastRow="0" w:firstColumn="0" w:lastColumn="0" w:oddVBand="0" w:evenVBand="0" w:oddHBand="0" w:evenHBand="1" w:firstRowFirstColumn="0" w:firstRowLastColumn="0" w:lastRowFirstColumn="0" w:lastRowLastColumn="0"/>
        </w:trPr>
        <w:tc>
          <w:tcPr>
            <w:tcW w:w="4820" w:type="dxa"/>
          </w:tcPr>
          <w:p w14:paraId="6CB8C004" w14:textId="77777777" w:rsidR="0010382D" w:rsidRPr="00A6597A" w:rsidRDefault="0010382D" w:rsidP="00C67A58">
            <w:pPr>
              <w:pStyle w:val="Tablebody"/>
            </w:pPr>
            <w:r w:rsidRPr="00A6597A">
              <w:t>Gender neutral</w:t>
            </w:r>
          </w:p>
        </w:tc>
        <w:tc>
          <w:tcPr>
            <w:tcW w:w="4252" w:type="dxa"/>
          </w:tcPr>
          <w:p w14:paraId="06AB5204" w14:textId="77777777" w:rsidR="0010382D" w:rsidRPr="00A6597A" w:rsidRDefault="0010382D" w:rsidP="00C67A58">
            <w:pPr>
              <w:pStyle w:val="Tablebody"/>
            </w:pPr>
            <w:r w:rsidRPr="00A6597A">
              <w:t>0</w:t>
            </w:r>
          </w:p>
        </w:tc>
      </w:tr>
      <w:tr w:rsidR="0010382D" w14:paraId="2B81996C" w14:textId="77777777" w:rsidTr="00C67A58">
        <w:trPr>
          <w:cnfStyle w:val="000000100000" w:firstRow="0" w:lastRow="0" w:firstColumn="0" w:lastColumn="0" w:oddVBand="0" w:evenVBand="0" w:oddHBand="1" w:evenHBand="0" w:firstRowFirstColumn="0" w:firstRowLastColumn="0" w:lastRowFirstColumn="0" w:lastRowLastColumn="0"/>
        </w:trPr>
        <w:tc>
          <w:tcPr>
            <w:tcW w:w="4820" w:type="dxa"/>
          </w:tcPr>
          <w:p w14:paraId="4FDBA8CD" w14:textId="77777777" w:rsidR="0010382D" w:rsidRPr="00A6597A" w:rsidRDefault="0010382D" w:rsidP="00C67A58">
            <w:pPr>
              <w:pStyle w:val="Tablebody"/>
            </w:pPr>
            <w:r w:rsidRPr="00A6597A">
              <w:t>No data</w:t>
            </w:r>
          </w:p>
        </w:tc>
        <w:tc>
          <w:tcPr>
            <w:tcW w:w="4252" w:type="dxa"/>
          </w:tcPr>
          <w:p w14:paraId="38E7B117" w14:textId="1CA0F053" w:rsidR="0010382D" w:rsidRPr="00A6597A" w:rsidRDefault="00260C2F" w:rsidP="00C67A58">
            <w:pPr>
              <w:pStyle w:val="Tablebody"/>
            </w:pPr>
            <w:r>
              <w:t>0</w:t>
            </w:r>
          </w:p>
        </w:tc>
      </w:tr>
    </w:tbl>
    <w:p w14:paraId="291D65F2" w14:textId="77777777" w:rsidR="0010382D" w:rsidRDefault="0010382D" w:rsidP="00247A37">
      <w:pPr>
        <w:spacing w:line="259" w:lineRule="auto"/>
      </w:pPr>
    </w:p>
    <w:p w14:paraId="3621F909" w14:textId="2D6D5CF5" w:rsidR="00AF5EC6" w:rsidRDefault="00AF5EC6" w:rsidP="00BE7AE7">
      <w:pPr>
        <w:spacing w:line="259" w:lineRule="auto"/>
      </w:pPr>
      <w:r>
        <w:br w:type="page"/>
      </w:r>
      <w:bookmarkStart w:id="52" w:name="_Toc149305551"/>
      <w:bookmarkStart w:id="53" w:name="_Hlk149578668"/>
    </w:p>
    <w:p w14:paraId="2D891526" w14:textId="028CA19D" w:rsidR="00AF5EC6" w:rsidRPr="00AF5EC6" w:rsidRDefault="00AF5EC6" w:rsidP="001716C7">
      <w:pPr>
        <w:pStyle w:val="Heading1nonumber"/>
      </w:pPr>
      <w:bookmarkStart w:id="54" w:name="_Toc151541248"/>
      <w:r w:rsidRPr="00B604AF">
        <w:t xml:space="preserve">Appendix </w:t>
      </w:r>
      <w:r>
        <w:t>D</w:t>
      </w:r>
      <w:r w:rsidRPr="00B604AF">
        <w:t xml:space="preserve">: Dissenting report by </w:t>
      </w:r>
      <w:r>
        <w:t>Mr Peter Cain</w:t>
      </w:r>
      <w:r w:rsidRPr="00B604AF">
        <w:t xml:space="preserve"> </w:t>
      </w:r>
      <w:bookmarkEnd w:id="52"/>
      <w:r w:rsidRPr="00B604AF">
        <w:t>MLA</w:t>
      </w:r>
      <w:bookmarkEnd w:id="53"/>
      <w:bookmarkEnd w:id="54"/>
    </w:p>
    <w:p w14:paraId="1F6A72CB" w14:textId="2DAE70A7" w:rsidR="00AF5EC6" w:rsidRPr="00BE7AE7" w:rsidRDefault="00AF5EC6" w:rsidP="00BE7AE7">
      <w:pPr>
        <w:pStyle w:val="ListNumber2"/>
        <w:numPr>
          <w:ilvl w:val="1"/>
          <w:numId w:val="30"/>
        </w:numPr>
        <w:rPr>
          <w:b/>
        </w:rPr>
      </w:pPr>
      <w:r w:rsidRPr="00AF5EC6">
        <w:t>If the Gaming Machine Amendment Bill 2023 is passed, then this will mean that the Molonglo valley, and undeveloped areas of Canberra, will not have the benefit of a community club.</w:t>
      </w:r>
    </w:p>
    <w:p w14:paraId="51C28E77" w14:textId="77777777" w:rsidR="00AF5EC6" w:rsidRPr="00BE7AE7" w:rsidRDefault="00AF5EC6" w:rsidP="00BE7AE7">
      <w:pPr>
        <w:pStyle w:val="ListNumber2"/>
        <w:numPr>
          <w:ilvl w:val="1"/>
          <w:numId w:val="30"/>
        </w:numPr>
        <w:rPr>
          <w:b/>
        </w:rPr>
      </w:pPr>
      <w:r w:rsidRPr="00AF5EC6">
        <w:t>As noted under heading 3. in the Report, “Gaming reforms in the ACT”, there are currently 3,793 authorisations for gaming machines, to be reduced to 3,500 by 1 July 2025. The commercial reality is that clubs depend upon these machines to be financially viable. While there are measures designed to reduce the dependency of clubs upon gaming machine revenue, they will be tolerated for some time under any Labor/Green alliance.</w:t>
      </w:r>
    </w:p>
    <w:p w14:paraId="2FE05854" w14:textId="77777777" w:rsidR="00AF5EC6" w:rsidRPr="00BE7AE7" w:rsidRDefault="00AF5EC6" w:rsidP="00BE7AE7">
      <w:pPr>
        <w:pStyle w:val="ListNumber2"/>
        <w:numPr>
          <w:ilvl w:val="1"/>
          <w:numId w:val="30"/>
        </w:numPr>
        <w:rPr>
          <w:b/>
        </w:rPr>
      </w:pPr>
      <w:r w:rsidRPr="00AF5EC6">
        <w:t>The Bill if passed will deny established clubs the opportunity to use some of their current authorisations to help support a club venue in the Molonglo Valley and in future developments. My conclusion is supported by the submissions from Clubs ACT-see Clubs ACT submission, page 4:</w:t>
      </w:r>
    </w:p>
    <w:p w14:paraId="4CA953F9" w14:textId="77777777" w:rsidR="00AF5EC6" w:rsidRPr="00BE7AE7" w:rsidRDefault="00AF5EC6" w:rsidP="00BE7AE7">
      <w:pPr>
        <w:pStyle w:val="Quote"/>
        <w:rPr>
          <w:b/>
        </w:rPr>
      </w:pPr>
      <w:r w:rsidRPr="00AF5EC6">
        <w:t xml:space="preserve">It cannot be denied, however, that EGM’s are a fundamental contributor to the capacity of Canberra’s not-for-profit Community Clubs to provide community facilities and support on a range of fronts including sporting and recreational facilities, emergency evacuation venues, and direct financial support for community sporting and cultural organisations. </w:t>
      </w:r>
    </w:p>
    <w:p w14:paraId="17075FE9" w14:textId="77777777" w:rsidR="00AF5EC6" w:rsidRPr="00BE7AE7" w:rsidRDefault="00AF5EC6" w:rsidP="00BE7AE7">
      <w:pPr>
        <w:pStyle w:val="Quote"/>
        <w:rPr>
          <w:b/>
        </w:rPr>
      </w:pPr>
      <w:r w:rsidRPr="00AF5EC6">
        <w:t>In the absence of these revenue options from EGM’s, much of the capacity for Clubs to support local communities would be unavailable without direct ACT Government funding at some considerable expense to the budget.</w:t>
      </w:r>
    </w:p>
    <w:p w14:paraId="10F72911" w14:textId="77777777" w:rsidR="00AF5EC6" w:rsidRPr="00BE7AE7" w:rsidRDefault="00AF5EC6" w:rsidP="00BE7AE7">
      <w:pPr>
        <w:pStyle w:val="ListNumber2"/>
        <w:numPr>
          <w:ilvl w:val="1"/>
          <w:numId w:val="29"/>
        </w:numPr>
        <w:rPr>
          <w:b/>
        </w:rPr>
      </w:pPr>
      <w:r w:rsidRPr="00AF5EC6">
        <w:t>Further, individuals from these areas addicted to playing these machines would simply travel to a current club to use the machines there, and so there the likelihood that this Bill if passed would do little to reduce gambling harm.</w:t>
      </w:r>
    </w:p>
    <w:p w14:paraId="28A7D7DD" w14:textId="7C59C42B" w:rsidR="00AF5EC6" w:rsidRPr="00BE7AE7" w:rsidRDefault="00AF5EC6" w:rsidP="00BE7AE7">
      <w:pPr>
        <w:pStyle w:val="ListNumber2"/>
        <w:numPr>
          <w:ilvl w:val="1"/>
          <w:numId w:val="29"/>
        </w:numPr>
        <w:rPr>
          <w:b/>
        </w:rPr>
      </w:pPr>
      <w:r w:rsidRPr="00AF5EC6">
        <w:t>I note that the absence of a community club in the Molonglo Valley would also mean greater trade for nearby clubs, like the Weston Creek Labor Club in Stirling, which offer recreational, dining and meeting opportunities unable to be accessed in the Molonglo Valley.</w:t>
      </w:r>
    </w:p>
    <w:p w14:paraId="159A49A0" w14:textId="77777777" w:rsidR="00AF5EC6" w:rsidRPr="00BE7AE7" w:rsidRDefault="00AF5EC6" w:rsidP="00BE7AE7">
      <w:pPr>
        <w:pStyle w:val="ListNumber2"/>
        <w:numPr>
          <w:ilvl w:val="1"/>
          <w:numId w:val="29"/>
        </w:numPr>
        <w:rPr>
          <w:b/>
        </w:rPr>
      </w:pPr>
      <w:r w:rsidRPr="00AF5EC6">
        <w:t>The residents of the Molonglo Valley and subsequently developed land should not be denied the opportunity to enjoy the range of services offered by clubs in the ACT, opportunities that would be denied them if this Bill is passed.</w:t>
      </w:r>
    </w:p>
    <w:tbl>
      <w:tblPr>
        <w:tblStyle w:val="Recommendationbox"/>
        <w:tblW w:w="0" w:type="auto"/>
        <w:tblLook w:val="0600" w:firstRow="0" w:lastRow="0" w:firstColumn="0" w:lastColumn="0" w:noHBand="1" w:noVBand="1"/>
      </w:tblPr>
      <w:tblGrid>
        <w:gridCol w:w="8175"/>
      </w:tblGrid>
      <w:tr w:rsidR="00AF5EC6" w14:paraId="592880AD" w14:textId="77777777" w:rsidTr="00CE5CFF">
        <w:trPr>
          <w:cantSplit/>
        </w:trPr>
        <w:tc>
          <w:tcPr>
            <w:tcW w:w="9026" w:type="dxa"/>
          </w:tcPr>
          <w:p w14:paraId="5B074EC6" w14:textId="77777777" w:rsidR="00AF5EC6" w:rsidRPr="00C90D42" w:rsidRDefault="00AF5EC6" w:rsidP="00CE5CFF">
            <w:pPr>
              <w:pStyle w:val="Recommendationheading"/>
            </w:pPr>
            <w:bookmarkStart w:id="55" w:name="_Toc149305518"/>
            <w:r w:rsidRPr="00C90D42">
              <w:t>Recommendation</w:t>
            </w:r>
            <w:bookmarkEnd w:id="55"/>
          </w:p>
          <w:p w14:paraId="4265DEFE" w14:textId="77777777" w:rsidR="00AF5EC6" w:rsidRPr="000A5577" w:rsidRDefault="00AF5EC6" w:rsidP="00CE5CFF">
            <w:pPr>
              <w:pStyle w:val="Recommendationbody"/>
            </w:pPr>
            <w:r>
              <w:t>I recommend that the Legislative Assembly does not pass the Gaming Machine Amendment Bill 2023</w:t>
            </w:r>
          </w:p>
        </w:tc>
      </w:tr>
    </w:tbl>
    <w:p w14:paraId="398C348F" w14:textId="77777777" w:rsidR="00AF5EC6" w:rsidRDefault="00AF5EC6" w:rsidP="00BE7AE7">
      <w:pPr>
        <w:pStyle w:val="ListNumber2"/>
        <w:numPr>
          <w:ilvl w:val="0"/>
          <w:numId w:val="0"/>
        </w:numPr>
      </w:pPr>
    </w:p>
    <w:p w14:paraId="41101E27" w14:textId="77777777" w:rsidR="00AF5EC6" w:rsidRDefault="00AF5EC6" w:rsidP="00AF5EC6">
      <w:pPr>
        <w:pStyle w:val="ListNumber2"/>
        <w:numPr>
          <w:ilvl w:val="0"/>
          <w:numId w:val="0"/>
        </w:numPr>
        <w:ind w:left="851" w:hanging="851"/>
      </w:pPr>
    </w:p>
    <w:p w14:paraId="01DD54DA" w14:textId="4BFF3B2E" w:rsidR="00AF5EC6" w:rsidRDefault="00AF5EC6" w:rsidP="00AF5EC6">
      <w:pPr>
        <w:pStyle w:val="ListNumber2"/>
        <w:numPr>
          <w:ilvl w:val="0"/>
          <w:numId w:val="0"/>
        </w:numPr>
        <w:ind w:left="851" w:hanging="851"/>
      </w:pPr>
      <w:r>
        <w:t xml:space="preserve">Mr Peter Cain MLA   </w:t>
      </w:r>
    </w:p>
    <w:p w14:paraId="31FB9A6D" w14:textId="26930719" w:rsidR="00AF5EC6" w:rsidRPr="00BE7AE7" w:rsidRDefault="00AF5EC6" w:rsidP="00BE7AE7">
      <w:pPr>
        <w:pStyle w:val="ListNumber2"/>
        <w:numPr>
          <w:ilvl w:val="0"/>
          <w:numId w:val="0"/>
        </w:numPr>
        <w:ind w:left="851" w:hanging="851"/>
        <w:rPr>
          <w:bCs w:val="0"/>
        </w:rPr>
      </w:pPr>
      <w:r>
        <w:t xml:space="preserve">   November 2023</w:t>
      </w:r>
    </w:p>
    <w:sectPr w:rsidR="00AF5EC6" w:rsidRPr="00BE7AE7" w:rsidSect="00603367">
      <w:footerReference w:type="even" r:id="rId23"/>
      <w:footerReference w:type="default" r:id="rId24"/>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D38915-DBFB-4CD9-9993-B65DB0A66843}"/>
    <w:embedBold r:id="rId2" w:fontKey="{A4689AFD-9DB5-4D26-BBE9-F339ACF20D1A}"/>
    <w:embedItalic r:id="rId3" w:fontKey="{A44502F7-CB36-462F-A299-C08A9AEF2AF6}"/>
    <w:embedBoldItalic r:id="rId4" w:fontKey="{0D02FD4F-FCA6-41FB-B37E-1EF115CAE64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33FD096B-1617-4A48-95DF-6BC550B260C9}"/>
  </w:font>
  <w:font w:name="Montserrat">
    <w:panose1 w:val="00000500000000000000"/>
    <w:charset w:val="00"/>
    <w:family w:val="auto"/>
    <w:pitch w:val="variable"/>
    <w:sig w:usb0="2000020F" w:usb1="00000003" w:usb2="00000000" w:usb3="00000000" w:csb0="00000197" w:csb1="00000000"/>
    <w:embedRegular r:id="rId6" w:fontKey="{2C931AB9-8E44-4550-AB77-436D50AB435E}"/>
    <w:embedBold r:id="rId7" w:fontKey="{02BE89BC-97FB-4FE6-856D-32ADF85859FF}"/>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6F76ECED-8F62-4515-A801-8B1B6EFFF90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6AC67E3"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E2DFD">
      <w:rPr>
        <w:rFonts w:ascii="Montserrat SemiBold" w:hAnsi="Montserrat SemiBold" w:cstheme="majorHAnsi"/>
        <w:noProof/>
        <w:color w:val="2F5496"/>
        <w:w w:val="90"/>
        <w:sz w:val="18"/>
        <w:szCs w:val="18"/>
      </w:rPr>
      <w:t>Inquiry into</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31CBD5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AF67F7">
      <w:rPr>
        <w:rFonts w:cstheme="minorHAnsi"/>
        <w:noProof/>
        <w:color w:val="404040" w:themeColor="text1" w:themeTint="BF"/>
      </w:rPr>
      <w:t>Standing Committee on Justice and Community Safety</w:t>
    </w:r>
    <w:r w:rsidR="00AF67F7">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0C02FC67" w:rsidR="00836FFE" w:rsidRPr="00F84575" w:rsidRDefault="00F84575"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F84575">
          <w:rPr>
            <w:rFonts w:cstheme="minorHAnsi"/>
            <w:color w:val="404040" w:themeColor="text1" w:themeTint="BF"/>
          </w:rPr>
          <w:t>Approved for publication</w:t>
        </w:r>
      </w:p>
    </w:sdtContent>
  </w:sdt>
  <w:p w14:paraId="602D822B" w14:textId="1B7D7A30" w:rsidR="00836FFE" w:rsidRPr="00C8044E" w:rsidRDefault="00836FFE" w:rsidP="00F101AB">
    <w:pPr>
      <w:pStyle w:val="Footer"/>
      <w:tabs>
        <w:tab w:val="clear" w:pos="4513"/>
        <w:tab w:val="clear" w:pos="9026"/>
      </w:tabs>
      <w:rPr>
        <w:rFonts w:cstheme="minorHAnsi"/>
        <w:color w:val="404040" w:themeColor="text1" w:themeTint="BF"/>
        <w:highlight w:val="yellow"/>
      </w:rPr>
    </w:pPr>
  </w:p>
  <w:p w14:paraId="3E01CA39" w14:textId="244AA2BD" w:rsidR="00CD05B9" w:rsidRPr="00F84575" w:rsidRDefault="00CD05B9" w:rsidP="00F101AB">
    <w:pPr>
      <w:pStyle w:val="Footer"/>
      <w:tabs>
        <w:tab w:val="clear" w:pos="4513"/>
        <w:tab w:val="clear" w:pos="9026"/>
      </w:tabs>
      <w:rPr>
        <w:rFonts w:cstheme="minorHAnsi"/>
        <w:color w:val="404040" w:themeColor="text1" w:themeTint="BF"/>
      </w:rPr>
    </w:pPr>
    <w:r w:rsidRPr="00F84575">
      <w:rPr>
        <w:rFonts w:cstheme="minorHAnsi"/>
        <w:color w:val="404040" w:themeColor="text1" w:themeTint="BF"/>
      </w:rPr>
      <w:t xml:space="preserve">Report </w:t>
    </w:r>
    <w:r w:rsidR="00F84575" w:rsidRPr="00F84575">
      <w:rPr>
        <w:rFonts w:cstheme="minorHAnsi"/>
        <w:color w:val="404040" w:themeColor="text1" w:themeTint="BF"/>
      </w:rPr>
      <w:t>21</w:t>
    </w:r>
  </w:p>
  <w:p w14:paraId="388934F0" w14:textId="4B05F12B" w:rsidR="00836FFE" w:rsidRPr="00F84575" w:rsidRDefault="00836FFE" w:rsidP="00F101AB">
    <w:pPr>
      <w:pStyle w:val="Footer"/>
      <w:tabs>
        <w:tab w:val="clear" w:pos="4513"/>
        <w:tab w:val="clear" w:pos="9026"/>
      </w:tabs>
      <w:rPr>
        <w:rFonts w:cstheme="minorHAnsi"/>
        <w:color w:val="404040" w:themeColor="text1" w:themeTint="BF"/>
      </w:rPr>
    </w:pPr>
    <w:r w:rsidRPr="00F84575">
      <w:rPr>
        <w:rFonts w:cstheme="minorHAnsi"/>
        <w:color w:val="404040" w:themeColor="text1" w:themeTint="BF"/>
      </w:rPr>
      <w:t>10th Assembly</w:t>
    </w:r>
  </w:p>
  <w:p w14:paraId="765405D7" w14:textId="0D9034C4" w:rsidR="00836FFE" w:rsidRPr="00C8358A" w:rsidRDefault="00836FFE" w:rsidP="00F101AB">
    <w:pPr>
      <w:pStyle w:val="Footer"/>
      <w:tabs>
        <w:tab w:val="clear" w:pos="4513"/>
        <w:tab w:val="clear" w:pos="9026"/>
      </w:tabs>
      <w:rPr>
        <w:rFonts w:cstheme="minorHAnsi"/>
        <w:color w:val="404040" w:themeColor="text1" w:themeTint="BF"/>
      </w:rPr>
    </w:pPr>
    <w:r w:rsidRPr="00F84575">
      <w:rPr>
        <w:rFonts w:cstheme="minorHAnsi"/>
        <w:color w:val="404040" w:themeColor="text1" w:themeTint="BF"/>
      </w:rPr>
      <w:fldChar w:fldCharType="begin"/>
    </w:r>
    <w:r w:rsidRPr="00F84575">
      <w:rPr>
        <w:rFonts w:cstheme="minorHAnsi"/>
        <w:color w:val="404040" w:themeColor="text1" w:themeTint="BF"/>
      </w:rPr>
      <w:instrText xml:space="preserve"> DATE  \@ "MMMM yyyy"  \* MERGEFORMAT </w:instrText>
    </w:r>
    <w:r w:rsidRPr="00F84575">
      <w:rPr>
        <w:rFonts w:cstheme="minorHAnsi"/>
        <w:color w:val="404040" w:themeColor="text1" w:themeTint="BF"/>
      </w:rPr>
      <w:fldChar w:fldCharType="separate"/>
    </w:r>
    <w:r w:rsidR="00AF67F7">
      <w:rPr>
        <w:rFonts w:cstheme="minorHAnsi"/>
        <w:noProof/>
        <w:color w:val="404040" w:themeColor="text1" w:themeTint="BF"/>
      </w:rPr>
      <w:t>November 2023</w:t>
    </w:r>
    <w:r w:rsidRPr="00F84575">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25CF7A46"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9541F8">
      <w:rPr>
        <w:rFonts w:ascii="Montserrat SemiBold" w:hAnsi="Montserrat SemiBold" w:cstheme="majorHAnsi"/>
        <w:noProof/>
        <w:color w:val="2F5496"/>
        <w:w w:val="90"/>
        <w:sz w:val="18"/>
        <w:szCs w:val="18"/>
      </w:rPr>
      <w:t>Gaming Machine Amendment Bill 2023</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7440670C"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F67F7">
      <w:rPr>
        <w:rFonts w:ascii="Montserrat SemiBold" w:hAnsi="Montserrat SemiBold" w:cstheme="majorHAnsi"/>
        <w:noProof/>
        <w:color w:val="2F5496"/>
        <w:w w:val="90"/>
        <w:sz w:val="18"/>
        <w:szCs w:val="18"/>
      </w:rPr>
      <w:t>Gaming Machine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4E927C4"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9541F8">
      <w:rPr>
        <w:rFonts w:ascii="Montserrat SemiBold" w:hAnsi="Montserrat SemiBold" w:cstheme="majorHAnsi"/>
        <w:noProof/>
        <w:color w:val="2F5496"/>
        <w:w w:val="90"/>
        <w:sz w:val="18"/>
        <w:szCs w:val="18"/>
      </w:rPr>
      <w:t>Gaming Machine Amendment Bill 2023</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AA5B150"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541F8">
      <w:rPr>
        <w:rFonts w:ascii="Montserrat SemiBold" w:hAnsi="Montserrat SemiBold" w:cstheme="majorHAnsi"/>
        <w:noProof/>
        <w:color w:val="2F5496"/>
        <w:w w:val="90"/>
        <w:sz w:val="18"/>
        <w:szCs w:val="18"/>
      </w:rPr>
      <w:t>Gaming Machine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ABD7FF5" w14:textId="2FDE7A3A" w:rsidR="0017749C" w:rsidRPr="00A051C7" w:rsidRDefault="0017749C" w:rsidP="0017749C">
      <w:pPr>
        <w:pStyle w:val="FootnoteText"/>
        <w:rPr>
          <w:sz w:val="18"/>
          <w:szCs w:val="18"/>
        </w:rPr>
      </w:pPr>
      <w:r w:rsidRPr="00A051C7">
        <w:rPr>
          <w:rStyle w:val="FootnoteReference"/>
          <w:sz w:val="18"/>
          <w:szCs w:val="18"/>
        </w:rPr>
        <w:footnoteRef/>
      </w:r>
      <w:r w:rsidRPr="00A051C7">
        <w:rPr>
          <w:sz w:val="18"/>
          <w:szCs w:val="18"/>
        </w:rPr>
        <w:t xml:space="preserve"> </w:t>
      </w:r>
      <w:r w:rsidRPr="00C00BB4">
        <w:rPr>
          <w:sz w:val="18"/>
          <w:szCs w:val="18"/>
        </w:rPr>
        <w:t>Gaming Machine Amendment Bill 2023</w:t>
      </w:r>
      <w:r w:rsidRPr="00A051C7">
        <w:rPr>
          <w:sz w:val="18"/>
          <w:szCs w:val="18"/>
        </w:rPr>
        <w:t xml:space="preserve">, </w:t>
      </w:r>
      <w:r w:rsidRPr="00A051C7">
        <w:rPr>
          <w:i/>
          <w:iCs/>
          <w:sz w:val="18"/>
          <w:szCs w:val="18"/>
        </w:rPr>
        <w:t>Explanatory Statement</w:t>
      </w:r>
      <w:r w:rsidRPr="00A051C7">
        <w:rPr>
          <w:sz w:val="18"/>
          <w:szCs w:val="18"/>
        </w:rPr>
        <w:t xml:space="preserve">, p </w:t>
      </w:r>
      <w:r w:rsidR="001D30CB">
        <w:rPr>
          <w:sz w:val="18"/>
          <w:szCs w:val="18"/>
        </w:rPr>
        <w:t>2</w:t>
      </w:r>
      <w:r w:rsidRPr="00A051C7">
        <w:rPr>
          <w:sz w:val="18"/>
          <w:szCs w:val="18"/>
        </w:rPr>
        <w:t>.</w:t>
      </w:r>
    </w:p>
  </w:footnote>
  <w:footnote w:id="2">
    <w:p w14:paraId="79A80E80" w14:textId="77777777" w:rsidR="00015E49" w:rsidRPr="00A051C7" w:rsidRDefault="00015E49" w:rsidP="00015E49">
      <w:pPr>
        <w:pStyle w:val="FootnoteText"/>
        <w:rPr>
          <w:sz w:val="18"/>
          <w:szCs w:val="18"/>
        </w:rPr>
      </w:pPr>
      <w:r w:rsidRPr="00A051C7">
        <w:rPr>
          <w:rStyle w:val="FootnoteReference"/>
          <w:sz w:val="18"/>
          <w:szCs w:val="18"/>
        </w:rPr>
        <w:footnoteRef/>
      </w:r>
      <w:r w:rsidRPr="00A051C7">
        <w:rPr>
          <w:sz w:val="18"/>
          <w:szCs w:val="18"/>
        </w:rPr>
        <w:t xml:space="preserve"> </w:t>
      </w:r>
      <w:r w:rsidRPr="00C00BB4">
        <w:rPr>
          <w:sz w:val="18"/>
          <w:szCs w:val="18"/>
        </w:rPr>
        <w:t xml:space="preserve">Gaming Machine </w:t>
      </w:r>
      <w:r>
        <w:rPr>
          <w:sz w:val="18"/>
          <w:szCs w:val="18"/>
        </w:rPr>
        <w:t>Act 2004</w:t>
      </w:r>
      <w:r w:rsidRPr="00A051C7">
        <w:rPr>
          <w:sz w:val="18"/>
          <w:szCs w:val="18"/>
        </w:rPr>
        <w:t xml:space="preserve">, </w:t>
      </w:r>
      <w:r>
        <w:rPr>
          <w:i/>
          <w:iCs/>
          <w:sz w:val="18"/>
          <w:szCs w:val="18"/>
        </w:rPr>
        <w:t>Dictionary,</w:t>
      </w:r>
      <w:r w:rsidRPr="00A051C7">
        <w:rPr>
          <w:sz w:val="18"/>
          <w:szCs w:val="18"/>
        </w:rPr>
        <w:t xml:space="preserve"> p</w:t>
      </w:r>
      <w:r>
        <w:rPr>
          <w:sz w:val="18"/>
          <w:szCs w:val="18"/>
        </w:rPr>
        <w:t>p</w:t>
      </w:r>
      <w:r w:rsidRPr="00A051C7">
        <w:rPr>
          <w:sz w:val="18"/>
          <w:szCs w:val="18"/>
        </w:rPr>
        <w:t xml:space="preserve"> </w:t>
      </w:r>
      <w:r>
        <w:rPr>
          <w:sz w:val="18"/>
          <w:szCs w:val="18"/>
        </w:rPr>
        <w:t>236 - 237</w:t>
      </w:r>
      <w:r w:rsidRPr="00A051C7">
        <w:rPr>
          <w:sz w:val="18"/>
          <w:szCs w:val="18"/>
        </w:rPr>
        <w:t>.</w:t>
      </w:r>
    </w:p>
  </w:footnote>
  <w:footnote w:id="3">
    <w:p w14:paraId="4A3E7A8A" w14:textId="77777777" w:rsidR="00391837" w:rsidRPr="00A051C7" w:rsidRDefault="00391837" w:rsidP="00391837">
      <w:pPr>
        <w:pStyle w:val="FootnoteText"/>
        <w:rPr>
          <w:sz w:val="18"/>
          <w:szCs w:val="18"/>
        </w:rPr>
      </w:pPr>
      <w:r w:rsidRPr="00A051C7">
        <w:rPr>
          <w:rStyle w:val="FootnoteReference"/>
          <w:sz w:val="18"/>
          <w:szCs w:val="18"/>
        </w:rPr>
        <w:footnoteRef/>
      </w:r>
      <w:r w:rsidRPr="00A051C7">
        <w:rPr>
          <w:sz w:val="18"/>
          <w:szCs w:val="18"/>
        </w:rPr>
        <w:t xml:space="preserve"> </w:t>
      </w:r>
      <w:r w:rsidRPr="00015E49">
        <w:rPr>
          <w:sz w:val="18"/>
          <w:szCs w:val="18"/>
        </w:rPr>
        <w:t>Gaming Machine (Reform) Amendment Act 2015</w:t>
      </w:r>
      <w:r w:rsidRPr="00A051C7">
        <w:rPr>
          <w:sz w:val="18"/>
          <w:szCs w:val="18"/>
        </w:rPr>
        <w:t xml:space="preserve">, </w:t>
      </w:r>
      <w:r w:rsidRPr="00015E49">
        <w:rPr>
          <w:i/>
          <w:iCs/>
        </w:rPr>
        <w:t>Division 2B.2 Class C licences - application and issue</w:t>
      </w:r>
      <w:r>
        <w:t xml:space="preserve">, </w:t>
      </w:r>
      <w:r w:rsidRPr="00015E49">
        <w:rPr>
          <w:i/>
          <w:iCs/>
        </w:rPr>
        <w:t>Section 15</w:t>
      </w:r>
      <w:r>
        <w:t>,</w:t>
      </w:r>
      <w:r w:rsidRPr="00A051C7">
        <w:rPr>
          <w:sz w:val="18"/>
          <w:szCs w:val="18"/>
        </w:rPr>
        <w:t xml:space="preserve"> p </w:t>
      </w:r>
      <w:r>
        <w:rPr>
          <w:sz w:val="18"/>
          <w:szCs w:val="18"/>
        </w:rPr>
        <w:t>15</w:t>
      </w:r>
      <w:r w:rsidRPr="00A051C7">
        <w:rPr>
          <w:sz w:val="18"/>
          <w:szCs w:val="18"/>
        </w:rPr>
        <w:t>.</w:t>
      </w:r>
    </w:p>
  </w:footnote>
  <w:footnote w:id="4">
    <w:p w14:paraId="3DB79FD0" w14:textId="7E73F490" w:rsidR="00C00BB4" w:rsidRPr="00A051C7" w:rsidRDefault="00C00BB4" w:rsidP="00C00BB4">
      <w:pPr>
        <w:pStyle w:val="FootnoteText"/>
        <w:rPr>
          <w:sz w:val="18"/>
          <w:szCs w:val="18"/>
        </w:rPr>
      </w:pPr>
      <w:r w:rsidRPr="00A051C7">
        <w:rPr>
          <w:rStyle w:val="FootnoteReference"/>
          <w:sz w:val="18"/>
          <w:szCs w:val="18"/>
        </w:rPr>
        <w:footnoteRef/>
      </w:r>
      <w:r w:rsidRPr="00A051C7">
        <w:rPr>
          <w:sz w:val="18"/>
          <w:szCs w:val="18"/>
        </w:rPr>
        <w:t xml:space="preserve"> </w:t>
      </w:r>
      <w:r w:rsidRPr="00C00BB4">
        <w:rPr>
          <w:sz w:val="18"/>
          <w:szCs w:val="18"/>
        </w:rPr>
        <w:t>Gaming Machine Amendment Bill 2023</w:t>
      </w:r>
      <w:r w:rsidRPr="00A051C7">
        <w:rPr>
          <w:sz w:val="18"/>
          <w:szCs w:val="18"/>
        </w:rPr>
        <w:t xml:space="preserve">, </w:t>
      </w:r>
      <w:r w:rsidRPr="00A051C7">
        <w:rPr>
          <w:i/>
          <w:iCs/>
          <w:sz w:val="18"/>
          <w:szCs w:val="18"/>
        </w:rPr>
        <w:t>Explanatory Statement</w:t>
      </w:r>
      <w:r w:rsidRPr="00A051C7">
        <w:rPr>
          <w:sz w:val="18"/>
          <w:szCs w:val="18"/>
        </w:rPr>
        <w:t xml:space="preserve">, p </w:t>
      </w:r>
      <w:r w:rsidR="00B460F8">
        <w:rPr>
          <w:sz w:val="18"/>
          <w:szCs w:val="18"/>
        </w:rPr>
        <w:t>2</w:t>
      </w:r>
      <w:r w:rsidRPr="00A051C7">
        <w:rPr>
          <w:sz w:val="18"/>
          <w:szCs w:val="18"/>
        </w:rPr>
        <w:t>.</w:t>
      </w:r>
    </w:p>
  </w:footnote>
  <w:footnote w:id="5">
    <w:p w14:paraId="21AB4430" w14:textId="0436C1D8" w:rsidR="00DD336C" w:rsidRPr="00A051C7" w:rsidRDefault="00DD336C" w:rsidP="00DD336C">
      <w:pPr>
        <w:pStyle w:val="FootnoteText"/>
        <w:rPr>
          <w:sz w:val="18"/>
          <w:szCs w:val="18"/>
        </w:rPr>
      </w:pPr>
      <w:r w:rsidRPr="00A051C7">
        <w:rPr>
          <w:rStyle w:val="FootnoteReference"/>
          <w:sz w:val="18"/>
          <w:szCs w:val="18"/>
        </w:rPr>
        <w:footnoteRef/>
      </w:r>
      <w:r w:rsidRPr="00A051C7">
        <w:rPr>
          <w:sz w:val="18"/>
          <w:szCs w:val="18"/>
        </w:rPr>
        <w:t xml:space="preserve"> </w:t>
      </w:r>
      <w:r w:rsidRPr="00C00BB4">
        <w:rPr>
          <w:sz w:val="18"/>
          <w:szCs w:val="18"/>
        </w:rPr>
        <w:t>Gaming Machine Amendment Bill 2023</w:t>
      </w:r>
      <w:r w:rsidRPr="00A051C7">
        <w:rPr>
          <w:sz w:val="18"/>
          <w:szCs w:val="18"/>
        </w:rPr>
        <w:t xml:space="preserve">, </w:t>
      </w:r>
      <w:r w:rsidRPr="00A051C7">
        <w:rPr>
          <w:i/>
          <w:iCs/>
          <w:sz w:val="18"/>
          <w:szCs w:val="18"/>
        </w:rPr>
        <w:t>Explanatory Statement</w:t>
      </w:r>
      <w:r w:rsidRPr="00A051C7">
        <w:rPr>
          <w:sz w:val="18"/>
          <w:szCs w:val="18"/>
        </w:rPr>
        <w:t>, p</w:t>
      </w:r>
      <w:r w:rsidR="002B4D9A">
        <w:rPr>
          <w:sz w:val="18"/>
          <w:szCs w:val="18"/>
        </w:rPr>
        <w:t>p</w:t>
      </w:r>
      <w:r w:rsidRPr="00A051C7">
        <w:rPr>
          <w:sz w:val="18"/>
          <w:szCs w:val="18"/>
        </w:rPr>
        <w:t xml:space="preserve"> </w:t>
      </w:r>
      <w:r>
        <w:rPr>
          <w:sz w:val="18"/>
          <w:szCs w:val="18"/>
        </w:rPr>
        <w:t>2</w:t>
      </w:r>
      <w:r w:rsidR="002B4D9A">
        <w:rPr>
          <w:sz w:val="18"/>
          <w:szCs w:val="18"/>
        </w:rPr>
        <w:t xml:space="preserve"> - 3</w:t>
      </w:r>
      <w:r w:rsidRPr="00A051C7">
        <w:rPr>
          <w:sz w:val="18"/>
          <w:szCs w:val="18"/>
        </w:rPr>
        <w:t>.</w:t>
      </w:r>
    </w:p>
  </w:footnote>
  <w:footnote w:id="6">
    <w:p w14:paraId="78BF23E9" w14:textId="0D33630D" w:rsidR="00A26859" w:rsidRDefault="00A26859" w:rsidP="00A26859">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Scrutiny Report 3</w:t>
      </w:r>
      <w:r w:rsidR="001212F7">
        <w:rPr>
          <w:i/>
          <w:iCs/>
          <w:sz w:val="18"/>
          <w:szCs w:val="18"/>
        </w:rPr>
        <w:t>4</w:t>
      </w:r>
      <w:r w:rsidRPr="0006492F">
        <w:rPr>
          <w:sz w:val="18"/>
          <w:szCs w:val="18"/>
        </w:rPr>
        <w:t xml:space="preserve">, </w:t>
      </w:r>
      <w:r w:rsidR="001212F7">
        <w:rPr>
          <w:sz w:val="18"/>
          <w:szCs w:val="18"/>
        </w:rPr>
        <w:t>18</w:t>
      </w:r>
      <w:r w:rsidRPr="0006492F">
        <w:rPr>
          <w:sz w:val="18"/>
          <w:szCs w:val="18"/>
        </w:rPr>
        <w:t xml:space="preserve"> </w:t>
      </w:r>
      <w:r>
        <w:rPr>
          <w:sz w:val="18"/>
          <w:szCs w:val="18"/>
        </w:rPr>
        <w:t>September</w:t>
      </w:r>
      <w:r w:rsidRPr="0006492F">
        <w:rPr>
          <w:sz w:val="18"/>
          <w:szCs w:val="18"/>
        </w:rPr>
        <w:t xml:space="preserve"> 2023, p</w:t>
      </w:r>
      <w:r>
        <w:rPr>
          <w:sz w:val="18"/>
          <w:szCs w:val="18"/>
        </w:rPr>
        <w:t xml:space="preserve"> </w:t>
      </w:r>
      <w:r w:rsidR="001212F7">
        <w:rPr>
          <w:sz w:val="18"/>
          <w:szCs w:val="18"/>
        </w:rPr>
        <w:t>11</w:t>
      </w:r>
      <w:r>
        <w:rPr>
          <w:sz w:val="18"/>
          <w:szCs w:val="18"/>
        </w:rPr>
        <w:t>.</w:t>
      </w:r>
    </w:p>
  </w:footnote>
  <w:footnote w:id="7">
    <w:p w14:paraId="5AD49516" w14:textId="77777777" w:rsidR="003253A7" w:rsidRDefault="003253A7" w:rsidP="003253A7">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Scrutiny Report 3</w:t>
      </w:r>
      <w:r>
        <w:rPr>
          <w:i/>
          <w:iCs/>
          <w:sz w:val="18"/>
          <w:szCs w:val="18"/>
        </w:rPr>
        <w:t>4</w:t>
      </w:r>
      <w:r w:rsidRPr="0006492F">
        <w:rPr>
          <w:sz w:val="18"/>
          <w:szCs w:val="18"/>
        </w:rPr>
        <w:t xml:space="preserve">, </w:t>
      </w:r>
      <w:r>
        <w:rPr>
          <w:sz w:val="18"/>
          <w:szCs w:val="18"/>
        </w:rPr>
        <w:t>18</w:t>
      </w:r>
      <w:r w:rsidRPr="0006492F">
        <w:rPr>
          <w:sz w:val="18"/>
          <w:szCs w:val="18"/>
        </w:rPr>
        <w:t xml:space="preserve"> </w:t>
      </w:r>
      <w:r>
        <w:rPr>
          <w:sz w:val="18"/>
          <w:szCs w:val="18"/>
        </w:rPr>
        <w:t>September</w:t>
      </w:r>
      <w:r w:rsidRPr="0006492F">
        <w:rPr>
          <w:sz w:val="18"/>
          <w:szCs w:val="18"/>
        </w:rPr>
        <w:t xml:space="preserve"> 2023, p</w:t>
      </w:r>
      <w:r>
        <w:rPr>
          <w:sz w:val="18"/>
          <w:szCs w:val="18"/>
        </w:rPr>
        <w:t xml:space="preserve"> 12.</w:t>
      </w:r>
    </w:p>
  </w:footnote>
  <w:footnote w:id="8">
    <w:p w14:paraId="6F1C1F0A" w14:textId="2E6826F5" w:rsidR="007002E5" w:rsidRDefault="007002E5" w:rsidP="007002E5">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Scrutiny Report 3</w:t>
      </w:r>
      <w:r w:rsidR="001212F7">
        <w:rPr>
          <w:i/>
          <w:iCs/>
          <w:sz w:val="18"/>
          <w:szCs w:val="18"/>
        </w:rPr>
        <w:t>4</w:t>
      </w:r>
      <w:r w:rsidRPr="0006492F">
        <w:rPr>
          <w:sz w:val="18"/>
          <w:szCs w:val="18"/>
        </w:rPr>
        <w:t xml:space="preserve">, </w:t>
      </w:r>
      <w:r w:rsidR="001212F7">
        <w:rPr>
          <w:sz w:val="18"/>
          <w:szCs w:val="18"/>
        </w:rPr>
        <w:t>18</w:t>
      </w:r>
      <w:r w:rsidRPr="0006492F">
        <w:rPr>
          <w:sz w:val="18"/>
          <w:szCs w:val="18"/>
        </w:rPr>
        <w:t xml:space="preserve"> </w:t>
      </w:r>
      <w:r>
        <w:rPr>
          <w:sz w:val="18"/>
          <w:szCs w:val="18"/>
        </w:rPr>
        <w:t>September</w:t>
      </w:r>
      <w:r w:rsidRPr="0006492F">
        <w:rPr>
          <w:sz w:val="18"/>
          <w:szCs w:val="18"/>
        </w:rPr>
        <w:t xml:space="preserve"> 2023, p</w:t>
      </w:r>
      <w:r>
        <w:rPr>
          <w:sz w:val="18"/>
          <w:szCs w:val="18"/>
        </w:rPr>
        <w:t xml:space="preserve"> </w:t>
      </w:r>
      <w:r w:rsidR="001212F7">
        <w:rPr>
          <w:sz w:val="18"/>
          <w:szCs w:val="18"/>
        </w:rPr>
        <w:t>1</w:t>
      </w:r>
      <w:r w:rsidR="003F61A8">
        <w:rPr>
          <w:sz w:val="18"/>
          <w:szCs w:val="18"/>
        </w:rPr>
        <w:t>2</w:t>
      </w:r>
      <w:r>
        <w:rPr>
          <w:sz w:val="18"/>
          <w:szCs w:val="18"/>
        </w:rPr>
        <w:t>.</w:t>
      </w:r>
    </w:p>
  </w:footnote>
  <w:footnote w:id="9">
    <w:p w14:paraId="3A7ECD5F" w14:textId="23E8695E" w:rsidR="00986931" w:rsidRDefault="00986931">
      <w:pPr>
        <w:pStyle w:val="FootnoteText"/>
      </w:pPr>
      <w:r>
        <w:rPr>
          <w:rStyle w:val="FootnoteReference"/>
        </w:rPr>
        <w:footnoteRef/>
      </w:r>
      <w:r>
        <w:t xml:space="preserve"> Mr Shane Rattenbury, Minister for Gaming, </w:t>
      </w:r>
      <w:r w:rsidRPr="00680585">
        <w:rPr>
          <w:i/>
          <w:iCs/>
        </w:rPr>
        <w:t>Uncorrected Proof Committee Hansard</w:t>
      </w:r>
      <w:r>
        <w:t>, 8 November 2023.</w:t>
      </w:r>
    </w:p>
  </w:footnote>
  <w:footnote w:id="10">
    <w:p w14:paraId="18444827" w14:textId="0715BBEE" w:rsidR="00673168" w:rsidRDefault="00673168" w:rsidP="00673168">
      <w:pPr>
        <w:pStyle w:val="FootnoteText"/>
      </w:pPr>
      <w:r>
        <w:rPr>
          <w:rStyle w:val="FootnoteReference"/>
        </w:rPr>
        <w:footnoteRef/>
      </w:r>
      <w:r>
        <w:t xml:space="preserve"> ACT Gambling and Racing Commission, Gaming Machine Reform Package – trading scheme, information provided as at 1 October 2023.</w:t>
      </w:r>
      <w:r w:rsidRPr="008E2DFD">
        <w:t xml:space="preserve"> </w:t>
      </w:r>
      <w:hyperlink r:id="rId1" w:history="1">
        <w:r>
          <w:rPr>
            <w:rStyle w:val="Hyperlink"/>
          </w:rPr>
          <w:t>Trading-Scheme-Information-as-at-01-October-2023.pdf (act.gov.au)</w:t>
        </w:r>
      </w:hyperlink>
      <w:r>
        <w:t xml:space="preserve"> (accessed </w:t>
      </w:r>
      <w:r w:rsidR="00516397">
        <w:t>9 November</w:t>
      </w:r>
      <w:r>
        <w:t xml:space="preserve"> 2023)</w:t>
      </w:r>
    </w:p>
  </w:footnote>
  <w:footnote w:id="11">
    <w:p w14:paraId="0E90B3F2" w14:textId="77777777" w:rsidR="00673168" w:rsidRDefault="00673168" w:rsidP="00673168">
      <w:pPr>
        <w:pStyle w:val="FootnoteText"/>
      </w:pPr>
      <w:r>
        <w:rPr>
          <w:rStyle w:val="FootnoteReference"/>
        </w:rPr>
        <w:footnoteRef/>
      </w:r>
      <w:r>
        <w:t xml:space="preserve"> ACT Gambling and Racing Commission, Fact Sheet 007 Class B Licences </w:t>
      </w:r>
      <w:hyperlink r:id="rId2" w:history="1">
        <w:r>
          <w:rPr>
            <w:rStyle w:val="Hyperlink"/>
          </w:rPr>
          <w:t>007-Class-B-licences.pdf (act.gov.au)</w:t>
        </w:r>
      </w:hyperlink>
      <w:r>
        <w:t xml:space="preserve"> (accessed 10 October 2023)</w:t>
      </w:r>
    </w:p>
  </w:footnote>
  <w:footnote w:id="12">
    <w:p w14:paraId="48916411" w14:textId="6078BA81" w:rsidR="00285354" w:rsidRDefault="00285354">
      <w:pPr>
        <w:pStyle w:val="FootnoteText"/>
      </w:pPr>
      <w:r>
        <w:rPr>
          <w:rStyle w:val="FootnoteReference"/>
        </w:rPr>
        <w:footnoteRef/>
      </w:r>
      <w:r>
        <w:t xml:space="preserve"> Parliamentary &amp; Governing Agreement, 10</w:t>
      </w:r>
      <w:r w:rsidRPr="00285354">
        <w:rPr>
          <w:vertAlign w:val="superscript"/>
        </w:rPr>
        <w:t>th</w:t>
      </w:r>
      <w:r>
        <w:t xml:space="preserve"> Legislative Assembly, Australian Capital Territory, p 11.</w:t>
      </w:r>
    </w:p>
  </w:footnote>
  <w:footnote w:id="13">
    <w:p w14:paraId="4E588CB9" w14:textId="2587AE2B" w:rsidR="00D53F86" w:rsidRDefault="00D53F86">
      <w:pPr>
        <w:pStyle w:val="FootnoteText"/>
      </w:pPr>
      <w:r>
        <w:rPr>
          <w:rStyle w:val="FootnoteReference"/>
        </w:rPr>
        <w:footnoteRef/>
      </w:r>
      <w:r>
        <w:t xml:space="preserve"> ACT Government Media Release, Mr Shane Rattenbury MLA, Cutting the number of pokies with new  surrender incentive, 18 March 2022.</w:t>
      </w:r>
    </w:p>
  </w:footnote>
  <w:footnote w:id="14">
    <w:p w14:paraId="50C180B8" w14:textId="6F1579BB" w:rsidR="00541CB2" w:rsidRDefault="00541CB2">
      <w:pPr>
        <w:pStyle w:val="FootnoteText"/>
      </w:pPr>
      <w:r>
        <w:rPr>
          <w:rStyle w:val="FootnoteReference"/>
        </w:rPr>
        <w:footnoteRef/>
      </w:r>
      <w:r>
        <w:t xml:space="preserve"> Mr Shane Rattenbury, MLA, </w:t>
      </w:r>
      <w:hyperlink r:id="rId3" w:history="1">
        <w:r w:rsidRPr="00541CB2">
          <w:rPr>
            <w:rStyle w:val="Hyperlink"/>
          </w:rPr>
          <w:t>Media Release Funding round opens for sustainable clubs</w:t>
        </w:r>
      </w:hyperlink>
      <w:r>
        <w:t>, 29 June 2023.</w:t>
      </w:r>
    </w:p>
  </w:footnote>
  <w:footnote w:id="15">
    <w:p w14:paraId="2BAFBB4A" w14:textId="01E41E43" w:rsidR="00541CB2" w:rsidRDefault="00541CB2">
      <w:pPr>
        <w:pStyle w:val="FootnoteText"/>
      </w:pPr>
      <w:r>
        <w:rPr>
          <w:rStyle w:val="FootnoteReference"/>
        </w:rPr>
        <w:footnoteRef/>
      </w:r>
      <w:r>
        <w:t xml:space="preserve"> Mr Shane Rattenbury, MLA, Media Release, </w:t>
      </w:r>
      <w:hyperlink r:id="rId4" w:history="1">
        <w:r w:rsidRPr="00541CB2">
          <w:rPr>
            <w:rStyle w:val="Hyperlink"/>
          </w:rPr>
          <w:t>New funding for clubs will reduce reliance on gambling revenue</w:t>
        </w:r>
      </w:hyperlink>
      <w:r>
        <w:t>, 25 April 2023.</w:t>
      </w:r>
    </w:p>
  </w:footnote>
  <w:footnote w:id="16">
    <w:p w14:paraId="2D304016" w14:textId="30FB8517" w:rsidR="009952C7" w:rsidRDefault="009952C7">
      <w:pPr>
        <w:pStyle w:val="FootnoteText"/>
      </w:pPr>
      <w:r>
        <w:rPr>
          <w:rStyle w:val="FootnoteReference"/>
        </w:rPr>
        <w:footnoteRef/>
      </w:r>
      <w:r>
        <w:t xml:space="preserve"> Mr Shane Rattenbury, MLA, Media Release, </w:t>
      </w:r>
      <w:hyperlink r:id="rId5" w:history="1">
        <w:r w:rsidRPr="009952C7">
          <w:rPr>
            <w:rStyle w:val="Hyperlink"/>
          </w:rPr>
          <w:t>Reducing gambling harm from poker machines</w:t>
        </w:r>
      </w:hyperlink>
      <w:r>
        <w:t>, 29 April 2022</w:t>
      </w:r>
    </w:p>
  </w:footnote>
  <w:footnote w:id="17">
    <w:p w14:paraId="3C598C34" w14:textId="74B3B47D" w:rsidR="009952C7" w:rsidRDefault="009952C7">
      <w:pPr>
        <w:pStyle w:val="FootnoteText"/>
      </w:pPr>
      <w:r>
        <w:rPr>
          <w:rStyle w:val="FootnoteReference"/>
        </w:rPr>
        <w:footnoteRef/>
      </w:r>
      <w:r>
        <w:t xml:space="preserve"> ACT Government, Your Say, </w:t>
      </w:r>
      <w:hyperlink r:id="rId6" w:history="1">
        <w:r w:rsidRPr="009952C7">
          <w:rPr>
            <w:rStyle w:val="Hyperlink"/>
          </w:rPr>
          <w:t>Electronic gaming machine reform</w:t>
        </w:r>
      </w:hyperlink>
      <w:r>
        <w:t>, (accessed 10 October 2023)</w:t>
      </w:r>
    </w:p>
  </w:footnote>
  <w:footnote w:id="18">
    <w:p w14:paraId="4069E48D" w14:textId="7026A091" w:rsidR="0054264E" w:rsidRDefault="0054264E">
      <w:pPr>
        <w:pStyle w:val="FootnoteText"/>
      </w:pPr>
      <w:r>
        <w:rPr>
          <w:rStyle w:val="FootnoteReference"/>
        </w:rPr>
        <w:footnoteRef/>
      </w:r>
      <w:r>
        <w:t xml:space="preserve"> </w:t>
      </w:r>
      <w:r w:rsidRPr="00680585">
        <w:rPr>
          <w:sz w:val="18"/>
          <w:szCs w:val="18"/>
        </w:rPr>
        <w:t xml:space="preserve">Clubs ACT, </w:t>
      </w:r>
      <w:r w:rsidRPr="00680585">
        <w:rPr>
          <w:i/>
          <w:iCs/>
          <w:sz w:val="18"/>
          <w:szCs w:val="18"/>
        </w:rPr>
        <w:t>Submission 005</w:t>
      </w:r>
      <w:r w:rsidRPr="00680585">
        <w:rPr>
          <w:sz w:val="18"/>
          <w:szCs w:val="18"/>
        </w:rPr>
        <w:t>, p 6.</w:t>
      </w:r>
    </w:p>
  </w:footnote>
  <w:footnote w:id="19">
    <w:p w14:paraId="5D12FA34" w14:textId="5DDD5B92" w:rsidR="00622580" w:rsidRDefault="00622580">
      <w:pPr>
        <w:pStyle w:val="FootnoteText"/>
      </w:pPr>
      <w:r>
        <w:rPr>
          <w:rStyle w:val="FootnoteReference"/>
        </w:rPr>
        <w:footnoteRef/>
      </w:r>
      <w:r>
        <w:t xml:space="preserve"> </w:t>
      </w:r>
      <w:r w:rsidRPr="00680585">
        <w:rPr>
          <w:sz w:val="18"/>
          <w:szCs w:val="18"/>
        </w:rPr>
        <w:t xml:space="preserve">ACTCOSS, </w:t>
      </w:r>
      <w:r w:rsidRPr="00680585">
        <w:rPr>
          <w:i/>
          <w:iCs/>
          <w:sz w:val="18"/>
          <w:szCs w:val="18"/>
        </w:rPr>
        <w:t>Submission 004</w:t>
      </w:r>
      <w:r w:rsidRPr="00680585">
        <w:rPr>
          <w:sz w:val="18"/>
          <w:szCs w:val="18"/>
        </w:rPr>
        <w:t>, p 1.</w:t>
      </w:r>
    </w:p>
  </w:footnote>
  <w:footnote w:id="20">
    <w:p w14:paraId="4875D9F1" w14:textId="46D334F9" w:rsidR="00755F84" w:rsidRPr="00680585" w:rsidRDefault="00755F84">
      <w:pPr>
        <w:pStyle w:val="FootnoteText"/>
        <w:rPr>
          <w:sz w:val="18"/>
          <w:szCs w:val="18"/>
        </w:rPr>
      </w:pPr>
      <w:r>
        <w:rPr>
          <w:rStyle w:val="FootnoteReference"/>
        </w:rPr>
        <w:footnoteRef/>
      </w:r>
      <w:r>
        <w:t xml:space="preserve"> </w:t>
      </w:r>
      <w:r w:rsidRPr="00680585">
        <w:rPr>
          <w:sz w:val="18"/>
          <w:szCs w:val="18"/>
        </w:rPr>
        <w:t>Associate Professor (Law) Dr Bruce Arnold</w:t>
      </w:r>
      <w:r w:rsidRPr="00680585">
        <w:rPr>
          <w:i/>
          <w:iCs/>
          <w:sz w:val="18"/>
          <w:szCs w:val="18"/>
        </w:rPr>
        <w:t>, Submission 002</w:t>
      </w:r>
      <w:r w:rsidRPr="00680585">
        <w:rPr>
          <w:sz w:val="18"/>
          <w:szCs w:val="18"/>
        </w:rPr>
        <w:t>, p 1.</w:t>
      </w:r>
    </w:p>
  </w:footnote>
  <w:footnote w:id="21">
    <w:p w14:paraId="2CEF16DB" w14:textId="523BDBFC" w:rsidR="0021364B" w:rsidRPr="00680585" w:rsidRDefault="0021364B">
      <w:pPr>
        <w:pStyle w:val="FootnoteText"/>
        <w:rPr>
          <w:sz w:val="18"/>
          <w:szCs w:val="18"/>
        </w:rPr>
      </w:pPr>
      <w:r>
        <w:rPr>
          <w:rStyle w:val="FootnoteReference"/>
        </w:rPr>
        <w:footnoteRef/>
      </w:r>
      <w:r>
        <w:t xml:space="preserve"> </w:t>
      </w:r>
      <w:r w:rsidRPr="00680585">
        <w:rPr>
          <w:sz w:val="18"/>
          <w:szCs w:val="18"/>
        </w:rPr>
        <w:t xml:space="preserve">Alliance for Gambling Reform, </w:t>
      </w:r>
      <w:r w:rsidRPr="00680585">
        <w:rPr>
          <w:i/>
          <w:iCs/>
          <w:sz w:val="18"/>
          <w:szCs w:val="18"/>
        </w:rPr>
        <w:t>Submission 003</w:t>
      </w:r>
      <w:r w:rsidRPr="00680585">
        <w:rPr>
          <w:sz w:val="18"/>
          <w:szCs w:val="18"/>
        </w:rPr>
        <w:t>, pp 1-2.</w:t>
      </w:r>
    </w:p>
  </w:footnote>
  <w:footnote w:id="22">
    <w:p w14:paraId="7674ACF5" w14:textId="18B52EE4" w:rsidR="00723E31" w:rsidRDefault="00723E31">
      <w:pPr>
        <w:pStyle w:val="FootnoteText"/>
      </w:pPr>
      <w:r>
        <w:rPr>
          <w:rStyle w:val="FootnoteReference"/>
        </w:rPr>
        <w:footnoteRef/>
      </w:r>
      <w:r>
        <w:t xml:space="preserve"> </w:t>
      </w:r>
      <w:r w:rsidR="00680585" w:rsidRPr="00680585">
        <w:rPr>
          <w:sz w:val="18"/>
          <w:szCs w:val="18"/>
        </w:rPr>
        <w:t>Mr Shane Rattenbury, Minister for Gaming,</w:t>
      </w:r>
      <w:r w:rsidR="00680585">
        <w:t xml:space="preserve"> </w:t>
      </w:r>
      <w:r w:rsidRPr="00680585">
        <w:rPr>
          <w:i/>
          <w:iCs/>
          <w:sz w:val="18"/>
          <w:szCs w:val="18"/>
        </w:rPr>
        <w:t>Proof Committee Hansard</w:t>
      </w:r>
      <w:r w:rsidRPr="00680585">
        <w:rPr>
          <w:sz w:val="18"/>
          <w:szCs w:val="18"/>
        </w:rPr>
        <w:t xml:space="preserve">, 8 November 2023, p </w:t>
      </w:r>
      <w:r w:rsidR="00735A63">
        <w:rPr>
          <w:sz w:val="18"/>
          <w:szCs w:val="18"/>
        </w:rPr>
        <w:t>4</w:t>
      </w:r>
      <w:r w:rsidRPr="00680585">
        <w:rPr>
          <w:sz w:val="18"/>
          <w:szCs w:val="18"/>
        </w:rPr>
        <w:t>.</w:t>
      </w:r>
    </w:p>
  </w:footnote>
  <w:footnote w:id="23">
    <w:p w14:paraId="4919B30A" w14:textId="00BED509" w:rsidR="00303B29" w:rsidRDefault="00303B29">
      <w:pPr>
        <w:pStyle w:val="FootnoteText"/>
      </w:pPr>
      <w:r>
        <w:rPr>
          <w:rStyle w:val="FootnoteReference"/>
        </w:rPr>
        <w:footnoteRef/>
      </w:r>
      <w:r>
        <w:t xml:space="preserve"> </w:t>
      </w:r>
      <w:r w:rsidR="004A525A" w:rsidRPr="00680585">
        <w:rPr>
          <w:sz w:val="18"/>
          <w:szCs w:val="18"/>
        </w:rPr>
        <w:t xml:space="preserve">Rod Pitcher, </w:t>
      </w:r>
      <w:r w:rsidR="004A525A" w:rsidRPr="00680585">
        <w:rPr>
          <w:i/>
          <w:iCs/>
          <w:sz w:val="18"/>
          <w:szCs w:val="18"/>
        </w:rPr>
        <w:t>Submission 001</w:t>
      </w:r>
      <w:r w:rsidR="004A525A" w:rsidRPr="00680585">
        <w:rPr>
          <w:sz w:val="18"/>
          <w:szCs w:val="18"/>
        </w:rPr>
        <w:t>, p 2.</w:t>
      </w:r>
    </w:p>
  </w:footnote>
  <w:footnote w:id="24">
    <w:p w14:paraId="6FD8F202" w14:textId="4F27D172" w:rsidR="00303B29" w:rsidRDefault="00303B29" w:rsidP="00303B29">
      <w:pPr>
        <w:pStyle w:val="FootnoteText"/>
      </w:pPr>
      <w:r>
        <w:rPr>
          <w:rStyle w:val="FootnoteReference"/>
        </w:rPr>
        <w:footnoteRef/>
      </w:r>
      <w:r>
        <w:t xml:space="preserve"> </w:t>
      </w:r>
      <w:r w:rsidR="00680585" w:rsidRPr="00680585">
        <w:rPr>
          <w:sz w:val="18"/>
          <w:szCs w:val="18"/>
        </w:rPr>
        <w:t xml:space="preserve">Standing Committee on Justice and Community Safety (Legislative Scrutiny), </w:t>
      </w:r>
      <w:r w:rsidR="00680585" w:rsidRPr="00680585">
        <w:rPr>
          <w:i/>
          <w:iCs/>
          <w:sz w:val="18"/>
          <w:szCs w:val="18"/>
        </w:rPr>
        <w:t>Scrutiny Report 34</w:t>
      </w:r>
      <w:r w:rsidR="00680585" w:rsidRPr="00680585">
        <w:rPr>
          <w:sz w:val="18"/>
          <w:szCs w:val="18"/>
        </w:rPr>
        <w:t>, 18 September 2023</w:t>
      </w:r>
      <w:r w:rsidR="004A525A" w:rsidRPr="00680585">
        <w:rPr>
          <w:sz w:val="18"/>
          <w:szCs w:val="18"/>
        </w:rPr>
        <w:t>, p 11.</w:t>
      </w:r>
    </w:p>
  </w:footnote>
  <w:footnote w:id="25">
    <w:p w14:paraId="60CE5EBD" w14:textId="2A1A82B0" w:rsidR="0021364B" w:rsidRDefault="0021364B">
      <w:pPr>
        <w:pStyle w:val="FootnoteText"/>
      </w:pPr>
      <w:r>
        <w:rPr>
          <w:rStyle w:val="FootnoteReference"/>
        </w:rPr>
        <w:footnoteRef/>
      </w:r>
      <w:r>
        <w:t xml:space="preserve"> </w:t>
      </w:r>
      <w:r w:rsidRPr="00680585">
        <w:rPr>
          <w:sz w:val="18"/>
          <w:szCs w:val="18"/>
        </w:rPr>
        <w:t>Associate Professor</w:t>
      </w:r>
      <w:r>
        <w:t xml:space="preserve"> (Law) Dr Bruce Arnold, </w:t>
      </w:r>
      <w:r w:rsidRPr="00680585">
        <w:rPr>
          <w:i/>
          <w:iCs/>
        </w:rPr>
        <w:t>Submission 002</w:t>
      </w:r>
      <w:r>
        <w:t>, p 2.</w:t>
      </w:r>
    </w:p>
  </w:footnote>
  <w:footnote w:id="26">
    <w:p w14:paraId="6C1FE00A" w14:textId="77777777" w:rsidR="00DF5CD1" w:rsidRDefault="00DF5CD1" w:rsidP="00DF5CD1">
      <w:pPr>
        <w:pStyle w:val="FootnoteText"/>
      </w:pPr>
      <w:r>
        <w:rPr>
          <w:rStyle w:val="FootnoteReference"/>
        </w:rPr>
        <w:footnoteRef/>
      </w:r>
      <w:r>
        <w:t xml:space="preserve"> </w:t>
      </w:r>
      <w:r w:rsidRPr="00680585">
        <w:rPr>
          <w:sz w:val="18"/>
          <w:szCs w:val="18"/>
        </w:rPr>
        <w:t xml:space="preserve">Clubs ACT, </w:t>
      </w:r>
      <w:r w:rsidRPr="00680585">
        <w:rPr>
          <w:i/>
          <w:iCs/>
          <w:sz w:val="18"/>
          <w:szCs w:val="18"/>
        </w:rPr>
        <w:t>Submission 005</w:t>
      </w:r>
      <w:r w:rsidRPr="00680585">
        <w:rPr>
          <w:sz w:val="18"/>
          <w:szCs w:val="18"/>
        </w:rPr>
        <w:t>, p 4.</w:t>
      </w:r>
    </w:p>
  </w:footnote>
  <w:footnote w:id="27">
    <w:p w14:paraId="674573E6" w14:textId="6D0AB1D5" w:rsidR="00965AB7" w:rsidRPr="00680585" w:rsidRDefault="00965AB7">
      <w:pPr>
        <w:pStyle w:val="FootnoteText"/>
        <w:rPr>
          <w:sz w:val="18"/>
          <w:szCs w:val="18"/>
        </w:rPr>
      </w:pPr>
      <w:r>
        <w:rPr>
          <w:rStyle w:val="FootnoteReference"/>
        </w:rPr>
        <w:footnoteRef/>
      </w:r>
      <w:r>
        <w:t xml:space="preserve"> </w:t>
      </w:r>
      <w:r w:rsidRPr="00680585">
        <w:rPr>
          <w:sz w:val="18"/>
          <w:szCs w:val="18"/>
        </w:rPr>
        <w:t xml:space="preserve">Mr Shane Rattenbury, Minister for Gaming, </w:t>
      </w:r>
      <w:r w:rsidRPr="00680585">
        <w:rPr>
          <w:i/>
          <w:iCs/>
          <w:sz w:val="18"/>
          <w:szCs w:val="18"/>
        </w:rPr>
        <w:t>Proof Committee Hansard</w:t>
      </w:r>
      <w:r w:rsidRPr="00680585">
        <w:rPr>
          <w:sz w:val="18"/>
          <w:szCs w:val="18"/>
        </w:rPr>
        <w:t xml:space="preserve">, 8 November 2023, p </w:t>
      </w:r>
      <w:r w:rsidR="00735A63">
        <w:rPr>
          <w:sz w:val="18"/>
          <w:szCs w:val="18"/>
        </w:rPr>
        <w:t>5</w:t>
      </w:r>
      <w:r w:rsidRPr="00680585">
        <w:rPr>
          <w:sz w:val="18"/>
          <w:szCs w:val="18"/>
        </w:rPr>
        <w:t>.</w:t>
      </w:r>
    </w:p>
  </w:footnote>
  <w:footnote w:id="28">
    <w:p w14:paraId="6EA0E62F" w14:textId="3201B093" w:rsidR="00965AB7" w:rsidRPr="00680585" w:rsidRDefault="00965AB7">
      <w:pPr>
        <w:pStyle w:val="FootnoteText"/>
        <w:rPr>
          <w:sz w:val="18"/>
          <w:szCs w:val="18"/>
        </w:rPr>
      </w:pPr>
      <w:r>
        <w:rPr>
          <w:rStyle w:val="FootnoteReference"/>
        </w:rPr>
        <w:footnoteRef/>
      </w:r>
      <w:r>
        <w:t xml:space="preserve"> </w:t>
      </w:r>
      <w:r w:rsidRPr="00680585">
        <w:rPr>
          <w:sz w:val="18"/>
          <w:szCs w:val="18"/>
        </w:rPr>
        <w:t xml:space="preserve">Mr Shane Rattenbury, Minister for Gaming, </w:t>
      </w:r>
      <w:r w:rsidRPr="00680585">
        <w:rPr>
          <w:i/>
          <w:iCs/>
          <w:sz w:val="18"/>
          <w:szCs w:val="18"/>
        </w:rPr>
        <w:t>Proof Committee Hansard</w:t>
      </w:r>
      <w:r w:rsidRPr="00680585">
        <w:rPr>
          <w:sz w:val="18"/>
          <w:szCs w:val="18"/>
        </w:rPr>
        <w:t xml:space="preserve">, 8 November 2023, p </w:t>
      </w:r>
      <w:r w:rsidR="00735A63">
        <w:rPr>
          <w:sz w:val="18"/>
          <w:szCs w:val="18"/>
        </w:rPr>
        <w:t>5</w:t>
      </w:r>
      <w:r w:rsidRPr="00680585">
        <w:rPr>
          <w:sz w:val="18"/>
          <w:szCs w:val="18"/>
        </w:rPr>
        <w:t>.</w:t>
      </w:r>
    </w:p>
  </w:footnote>
  <w:footnote w:id="29">
    <w:p w14:paraId="13BF6FF8" w14:textId="77777777" w:rsidR="000313CC" w:rsidRDefault="000313CC" w:rsidP="000313CC">
      <w:pPr>
        <w:pStyle w:val="FootnoteText"/>
      </w:pPr>
      <w:r w:rsidRPr="00680585">
        <w:rPr>
          <w:rStyle w:val="FootnoteReference"/>
          <w:sz w:val="18"/>
          <w:szCs w:val="18"/>
        </w:rPr>
        <w:footnoteRef/>
      </w:r>
      <w:r w:rsidRPr="00680585">
        <w:rPr>
          <w:sz w:val="18"/>
          <w:szCs w:val="18"/>
        </w:rPr>
        <w:t xml:space="preserve"> Clubs ACT, </w:t>
      </w:r>
      <w:r w:rsidRPr="00680585">
        <w:rPr>
          <w:i/>
          <w:iCs/>
          <w:sz w:val="18"/>
          <w:szCs w:val="18"/>
        </w:rPr>
        <w:t>Submission 005</w:t>
      </w:r>
      <w:r w:rsidRPr="00680585">
        <w:rPr>
          <w:sz w:val="18"/>
          <w:szCs w:val="18"/>
        </w:rPr>
        <w:t>, p 3.</w:t>
      </w:r>
    </w:p>
  </w:footnote>
  <w:footnote w:id="30">
    <w:p w14:paraId="3D9C947F" w14:textId="3E61184A" w:rsidR="000D4403" w:rsidRDefault="000D4403">
      <w:pPr>
        <w:pStyle w:val="FootnoteText"/>
      </w:pPr>
      <w:r>
        <w:rPr>
          <w:rStyle w:val="FootnoteReference"/>
        </w:rPr>
        <w:footnoteRef/>
      </w:r>
      <w:r>
        <w:t xml:space="preserve"> </w:t>
      </w:r>
      <w:r w:rsidRPr="00680585">
        <w:rPr>
          <w:sz w:val="18"/>
          <w:szCs w:val="18"/>
        </w:rPr>
        <w:t>Clubs ACT, Submission 005, p 3.</w:t>
      </w:r>
    </w:p>
  </w:footnote>
  <w:footnote w:id="31">
    <w:p w14:paraId="78A84608" w14:textId="724658EA" w:rsidR="000313CC" w:rsidRDefault="000313CC" w:rsidP="000313CC">
      <w:pPr>
        <w:pStyle w:val="FootnoteText"/>
      </w:pPr>
      <w:r>
        <w:rPr>
          <w:rStyle w:val="FootnoteReference"/>
        </w:rPr>
        <w:footnoteRef/>
      </w:r>
      <w:r>
        <w:t xml:space="preserve"> </w:t>
      </w:r>
      <w:r w:rsidR="00801C07" w:rsidRPr="00680585">
        <w:rPr>
          <w:sz w:val="18"/>
          <w:szCs w:val="18"/>
        </w:rPr>
        <w:t xml:space="preserve">Mr Shane Rattenbury, Minister for Gaming, </w:t>
      </w:r>
      <w:r w:rsidRPr="00680585">
        <w:rPr>
          <w:i/>
          <w:iCs/>
          <w:sz w:val="18"/>
          <w:szCs w:val="18"/>
        </w:rPr>
        <w:t>Proof Committee Hansard</w:t>
      </w:r>
      <w:r w:rsidRPr="00680585">
        <w:rPr>
          <w:sz w:val="18"/>
          <w:szCs w:val="18"/>
        </w:rPr>
        <w:t xml:space="preserve">, 8 November 2023, p </w:t>
      </w:r>
      <w:r w:rsidR="00735A63">
        <w:rPr>
          <w:sz w:val="18"/>
          <w:szCs w:val="18"/>
        </w:rPr>
        <w:t>2</w:t>
      </w:r>
      <w:r w:rsidR="00801C07">
        <w:t>.</w:t>
      </w:r>
    </w:p>
  </w:footnote>
  <w:footnote w:id="32">
    <w:p w14:paraId="3FFC17AA" w14:textId="6C1F26FD" w:rsidR="00B77503" w:rsidRDefault="00B77503">
      <w:pPr>
        <w:pStyle w:val="FootnoteText"/>
      </w:pPr>
      <w:r>
        <w:rPr>
          <w:rStyle w:val="FootnoteReference"/>
        </w:rPr>
        <w:footnoteRef/>
      </w:r>
      <w:r>
        <w:t xml:space="preserve"> </w:t>
      </w:r>
      <w:r w:rsidRPr="00680585">
        <w:rPr>
          <w:sz w:val="18"/>
          <w:szCs w:val="18"/>
        </w:rPr>
        <w:t xml:space="preserve">Mr Shane Rattenbury, Minister for Gaming, </w:t>
      </w:r>
      <w:r w:rsidRPr="00680585">
        <w:rPr>
          <w:i/>
          <w:iCs/>
          <w:sz w:val="18"/>
          <w:szCs w:val="18"/>
        </w:rPr>
        <w:t>Proof Committee Hansard</w:t>
      </w:r>
      <w:r w:rsidRPr="00680585">
        <w:rPr>
          <w:sz w:val="18"/>
          <w:szCs w:val="18"/>
        </w:rPr>
        <w:t xml:space="preserve">, 8 November 2023, p </w:t>
      </w:r>
      <w:r w:rsidR="00735A63">
        <w:rPr>
          <w:sz w:val="18"/>
          <w:szCs w:val="18"/>
        </w:rPr>
        <w:t>1</w:t>
      </w:r>
      <w:r w:rsidRPr="00680585">
        <w:rPr>
          <w:sz w:val="18"/>
          <w:szCs w:val="18"/>
        </w:rPr>
        <w:t>.</w:t>
      </w:r>
    </w:p>
  </w:footnote>
  <w:footnote w:id="33">
    <w:p w14:paraId="449EDDBC" w14:textId="7609049B" w:rsidR="00DF5849" w:rsidRPr="00680585" w:rsidRDefault="00DF5849">
      <w:pPr>
        <w:pStyle w:val="FootnoteText"/>
        <w:rPr>
          <w:sz w:val="18"/>
          <w:szCs w:val="18"/>
        </w:rPr>
      </w:pPr>
      <w:r>
        <w:rPr>
          <w:rStyle w:val="FootnoteReference"/>
        </w:rPr>
        <w:footnoteRef/>
      </w:r>
      <w:r>
        <w:t xml:space="preserve"> </w:t>
      </w:r>
      <w:r w:rsidRPr="00680585">
        <w:rPr>
          <w:sz w:val="18"/>
          <w:szCs w:val="18"/>
        </w:rPr>
        <w:t xml:space="preserve">Clubs ACT, </w:t>
      </w:r>
      <w:r w:rsidRPr="00680585">
        <w:rPr>
          <w:i/>
          <w:iCs/>
          <w:sz w:val="18"/>
          <w:szCs w:val="18"/>
        </w:rPr>
        <w:t>Submission 005</w:t>
      </w:r>
      <w:r w:rsidRPr="00680585">
        <w:rPr>
          <w:sz w:val="18"/>
          <w:szCs w:val="18"/>
        </w:rPr>
        <w:t>, p 4.</w:t>
      </w:r>
    </w:p>
  </w:footnote>
  <w:footnote w:id="34">
    <w:p w14:paraId="69EEA5C7" w14:textId="035899BA" w:rsidR="009A6E2C" w:rsidRPr="009A6E2C" w:rsidRDefault="009A6E2C">
      <w:pPr>
        <w:pStyle w:val="FootnoteText"/>
        <w:rPr>
          <w:i/>
          <w:iCs/>
        </w:rPr>
      </w:pPr>
      <w:r w:rsidRPr="009A6E2C">
        <w:rPr>
          <w:rStyle w:val="FootnoteReference"/>
          <w:i/>
          <w:iCs/>
        </w:rPr>
        <w:footnoteRef/>
      </w:r>
      <w:r w:rsidRPr="009A6E2C">
        <w:rPr>
          <w:i/>
          <w:iCs/>
        </w:rPr>
        <w:t xml:space="preserve"> </w:t>
      </w:r>
      <w:r w:rsidRPr="00680585">
        <w:rPr>
          <w:sz w:val="18"/>
          <w:szCs w:val="18"/>
        </w:rPr>
        <w:t>Clubs ACT, Submission 005, p 4.</w:t>
      </w:r>
    </w:p>
  </w:footnote>
  <w:footnote w:id="35">
    <w:p w14:paraId="46825E29" w14:textId="7AF5DFCE" w:rsidR="000D4403" w:rsidRDefault="000D4403">
      <w:pPr>
        <w:pStyle w:val="FootnoteText"/>
      </w:pPr>
      <w:r>
        <w:rPr>
          <w:rStyle w:val="FootnoteReference"/>
        </w:rPr>
        <w:footnoteRef/>
      </w:r>
      <w:r>
        <w:t xml:space="preserve"> </w:t>
      </w:r>
      <w:r w:rsidRPr="00680585">
        <w:rPr>
          <w:sz w:val="18"/>
          <w:szCs w:val="18"/>
        </w:rPr>
        <w:t>Clubs ACT, Submission 005, p 4.</w:t>
      </w:r>
    </w:p>
  </w:footnote>
  <w:footnote w:id="36">
    <w:p w14:paraId="3C0EE14E" w14:textId="4D039E0C" w:rsidR="00801C07" w:rsidRDefault="00801C07">
      <w:pPr>
        <w:pStyle w:val="FootnoteText"/>
      </w:pPr>
      <w:r>
        <w:rPr>
          <w:rStyle w:val="FootnoteReference"/>
        </w:rPr>
        <w:footnoteRef/>
      </w:r>
      <w:r>
        <w:t xml:space="preserve"> </w:t>
      </w:r>
      <w:r w:rsidR="00680585" w:rsidRPr="00680585">
        <w:rPr>
          <w:sz w:val="18"/>
          <w:szCs w:val="18"/>
        </w:rPr>
        <w:t xml:space="preserve">Mr Shane Rattenbury, Minister for Gaming, </w:t>
      </w:r>
      <w:r w:rsidRPr="00680585">
        <w:rPr>
          <w:i/>
          <w:iCs/>
          <w:sz w:val="18"/>
          <w:szCs w:val="18"/>
        </w:rPr>
        <w:t>Proof Committee Hansard</w:t>
      </w:r>
      <w:r w:rsidRPr="00680585">
        <w:rPr>
          <w:sz w:val="18"/>
          <w:szCs w:val="18"/>
        </w:rPr>
        <w:t xml:space="preserve">, 8 November 2023, pp </w:t>
      </w:r>
      <w:r w:rsidR="005F052A">
        <w:rPr>
          <w:sz w:val="18"/>
          <w:szCs w:val="18"/>
        </w:rPr>
        <w:t>3</w:t>
      </w:r>
      <w:r w:rsidR="00986931" w:rsidRPr="00680585">
        <w:rPr>
          <w:sz w:val="18"/>
          <w:szCs w:val="18"/>
        </w:rPr>
        <w:t>.</w:t>
      </w:r>
    </w:p>
  </w:footnote>
  <w:footnote w:id="37">
    <w:p w14:paraId="71DC4147" w14:textId="250B89B9" w:rsidR="00986931" w:rsidRDefault="00986931">
      <w:pPr>
        <w:pStyle w:val="FootnoteText"/>
      </w:pPr>
      <w:r>
        <w:rPr>
          <w:rStyle w:val="FootnoteReference"/>
        </w:rPr>
        <w:footnoteRef/>
      </w:r>
      <w:r>
        <w:t xml:space="preserve"> </w:t>
      </w:r>
      <w:r w:rsidR="004B2122" w:rsidRPr="004B2122">
        <w:rPr>
          <w:sz w:val="18"/>
          <w:szCs w:val="18"/>
        </w:rPr>
        <w:t xml:space="preserve">Mr Shane Rattenbury, Minister for Gaming, </w:t>
      </w:r>
      <w:r w:rsidRPr="004B2122">
        <w:rPr>
          <w:i/>
          <w:iCs/>
          <w:sz w:val="18"/>
          <w:szCs w:val="18"/>
        </w:rPr>
        <w:t>Proof Committee Hansard</w:t>
      </w:r>
      <w:r w:rsidRPr="004B2122">
        <w:rPr>
          <w:sz w:val="18"/>
          <w:szCs w:val="18"/>
        </w:rPr>
        <w:t xml:space="preserve">, 8 November 2023, p </w:t>
      </w:r>
      <w:r w:rsidR="005F052A">
        <w:rPr>
          <w:sz w:val="18"/>
          <w:szCs w:val="18"/>
        </w:rPr>
        <w:t>4</w:t>
      </w:r>
      <w:r w:rsidRPr="004B2122">
        <w:rPr>
          <w:sz w:val="18"/>
          <w:szCs w:val="18"/>
        </w:rPr>
        <w:t>.</w:t>
      </w:r>
    </w:p>
  </w:footnote>
  <w:footnote w:id="38">
    <w:p w14:paraId="0CE6805D" w14:textId="37111BD5" w:rsidR="00801C07" w:rsidRDefault="00801C07">
      <w:pPr>
        <w:pStyle w:val="FootnoteText"/>
      </w:pPr>
      <w:r>
        <w:rPr>
          <w:rStyle w:val="FootnoteReference"/>
        </w:rPr>
        <w:footnoteRef/>
      </w:r>
      <w:r>
        <w:t xml:space="preserve"> </w:t>
      </w:r>
      <w:r w:rsidR="004B2122" w:rsidRPr="004B2122">
        <w:rPr>
          <w:sz w:val="18"/>
          <w:szCs w:val="18"/>
        </w:rPr>
        <w:t xml:space="preserve">Mr Shane Rattenbury, Minister for Gaming and Mr Daniel Ng, </w:t>
      </w:r>
      <w:r w:rsidR="004B2122" w:rsidRPr="004B2122">
        <w:rPr>
          <w:sz w:val="18"/>
          <w:szCs w:val="18"/>
          <w:lang w:val="en-GB"/>
        </w:rPr>
        <w:t>Executive Branch Manager Civil &amp; Regulatory Law Branch, Legislation Policy and Programs, Justice and Community Safety Directorate,</w:t>
      </w:r>
      <w:r w:rsidR="004B2122" w:rsidRPr="004B2122">
        <w:rPr>
          <w:sz w:val="18"/>
          <w:szCs w:val="18"/>
        </w:rPr>
        <w:t xml:space="preserve"> </w:t>
      </w:r>
      <w:r w:rsidRPr="004B2122">
        <w:rPr>
          <w:i/>
          <w:iCs/>
          <w:sz w:val="18"/>
          <w:szCs w:val="18"/>
        </w:rPr>
        <w:t>Proof Committee Hansard</w:t>
      </w:r>
      <w:r w:rsidRPr="004B2122">
        <w:rPr>
          <w:sz w:val="18"/>
          <w:szCs w:val="18"/>
        </w:rPr>
        <w:t xml:space="preserve">, 8 November 2023, pp </w:t>
      </w:r>
      <w:r w:rsidR="005F052A">
        <w:rPr>
          <w:sz w:val="18"/>
          <w:szCs w:val="18"/>
        </w:rPr>
        <w:t>3</w:t>
      </w:r>
      <w:r w:rsidRPr="004B2122">
        <w:rPr>
          <w:sz w:val="18"/>
          <w:szCs w:val="18"/>
        </w:rPr>
        <w:t>,</w:t>
      </w:r>
      <w:r w:rsidR="005F052A">
        <w:rPr>
          <w:sz w:val="18"/>
          <w:szCs w:val="18"/>
        </w:rPr>
        <w:t>6</w:t>
      </w:r>
      <w:r w:rsidRPr="004B2122">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24B4" w14:textId="77777777" w:rsidR="009541F8" w:rsidRDefault="009541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8FDB" w14:textId="77777777" w:rsidR="009541F8" w:rsidRDefault="009541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1D5696E8"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BEF8CC80"/>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3A3335E"/>
    <w:multiLevelType w:val="hybridMultilevel"/>
    <w:tmpl w:val="B77823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4F3C40"/>
    <w:multiLevelType w:val="multilevel"/>
    <w:tmpl w:val="1C6A998C"/>
    <w:lvl w:ilvl="0">
      <w:start w:val="1"/>
      <w:numFmt w:val="decimal"/>
      <w:lvlText w:val="%1."/>
      <w:lvlJc w:val="left"/>
      <w:pPr>
        <w:ind w:left="851" w:hanging="851"/>
      </w:pPr>
      <w:rPr>
        <w:rFonts w:hint="default"/>
      </w:rPr>
    </w:lvl>
    <w:lvl w:ilvl="1">
      <w:start w:val="4"/>
      <w:numFmt w:val="decimal"/>
      <w:lvlText w:val="%2."/>
      <w:lvlJc w:val="left"/>
      <w:pPr>
        <w:ind w:left="360" w:hanging="360"/>
      </w:pPr>
      <w:rPr>
        <w:rFonts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00237A"/>
    <w:multiLevelType w:val="hybridMultilevel"/>
    <w:tmpl w:val="71DA2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414117E5"/>
    <w:multiLevelType w:val="multilevel"/>
    <w:tmpl w:val="8438F33A"/>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8" w15:restartNumberingAfterBreak="0">
    <w:nsid w:val="42061F31"/>
    <w:multiLevelType w:val="hybridMultilevel"/>
    <w:tmpl w:val="92F2E1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7102EC"/>
    <w:multiLevelType w:val="multilevel"/>
    <w:tmpl w:val="8542B27A"/>
    <w:lvl w:ilvl="0">
      <w:start w:val="1"/>
      <w:numFmt w:val="decimal"/>
      <w:lvlText w:val="%1."/>
      <w:lvlJc w:val="left"/>
      <w:pPr>
        <w:ind w:left="851" w:hanging="851"/>
      </w:pPr>
      <w:rPr>
        <w:rFonts w:hint="default"/>
      </w:rPr>
    </w:lvl>
    <w:lvl w:ilvl="1">
      <w:start w:val="1"/>
      <w:numFmt w:val="decimal"/>
      <w:lvlText w:val="%2."/>
      <w:lvlJc w:val="left"/>
      <w:pPr>
        <w:ind w:left="360" w:hanging="360"/>
      </w:p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1"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7836B90"/>
    <w:multiLevelType w:val="hybridMultilevel"/>
    <w:tmpl w:val="A912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3570055">
    <w:abstractNumId w:val="9"/>
  </w:num>
  <w:num w:numId="2" w16cid:durableId="1545023275">
    <w:abstractNumId w:val="7"/>
  </w:num>
  <w:num w:numId="3" w16cid:durableId="29578821">
    <w:abstractNumId w:val="6"/>
  </w:num>
  <w:num w:numId="4" w16cid:durableId="1512259284">
    <w:abstractNumId w:val="5"/>
  </w:num>
  <w:num w:numId="5" w16cid:durableId="733620447">
    <w:abstractNumId w:val="4"/>
  </w:num>
  <w:num w:numId="6" w16cid:durableId="391004309">
    <w:abstractNumId w:val="8"/>
  </w:num>
  <w:num w:numId="7" w16cid:durableId="57482690">
    <w:abstractNumId w:val="3"/>
  </w:num>
  <w:num w:numId="8" w16cid:durableId="1650014140">
    <w:abstractNumId w:val="2"/>
  </w:num>
  <w:num w:numId="9" w16cid:durableId="599417476">
    <w:abstractNumId w:val="1"/>
  </w:num>
  <w:num w:numId="10" w16cid:durableId="1388410594">
    <w:abstractNumId w:val="0"/>
  </w:num>
  <w:num w:numId="11" w16cid:durableId="1041128825">
    <w:abstractNumId w:val="19"/>
  </w:num>
  <w:num w:numId="12" w16cid:durableId="129639996">
    <w:abstractNumId w:val="14"/>
  </w:num>
  <w:num w:numId="13" w16cid:durableId="114103590">
    <w:abstractNumId w:val="23"/>
  </w:num>
  <w:num w:numId="14" w16cid:durableId="1959994186">
    <w:abstractNumId w:val="13"/>
  </w:num>
  <w:num w:numId="15" w16cid:durableId="1621765233">
    <w:abstractNumId w:val="25"/>
  </w:num>
  <w:num w:numId="16" w16cid:durableId="1104571997">
    <w:abstractNumId w:val="10"/>
  </w:num>
  <w:num w:numId="17" w16cid:durableId="417604949">
    <w:abstractNumId w:val="16"/>
  </w:num>
  <w:num w:numId="18" w16cid:durableId="734934893">
    <w:abstractNumId w:val="21"/>
  </w:num>
  <w:num w:numId="19" w16cid:durableId="20324854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7991048">
    <w:abstractNumId w:val="22"/>
  </w:num>
  <w:num w:numId="21" w16cid:durableId="1434013471">
    <w:abstractNumId w:val="24"/>
  </w:num>
  <w:num w:numId="22" w16cid:durableId="1415200089">
    <w:abstractNumId w:val="17"/>
  </w:num>
  <w:num w:numId="23" w16cid:durableId="15064767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628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3257968">
    <w:abstractNumId w:val="10"/>
  </w:num>
  <w:num w:numId="26" w16cid:durableId="935481032">
    <w:abstractNumId w:val="11"/>
  </w:num>
  <w:num w:numId="27" w16cid:durableId="536242978">
    <w:abstractNumId w:val="18"/>
  </w:num>
  <w:num w:numId="28" w16cid:durableId="1360855177">
    <w:abstractNumId w:val="15"/>
  </w:num>
  <w:num w:numId="29" w16cid:durableId="383331534">
    <w:abstractNumId w:val="12"/>
  </w:num>
  <w:num w:numId="30" w16cid:durableId="14399068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499E"/>
    <w:rsid w:val="00015E49"/>
    <w:rsid w:val="00024F1A"/>
    <w:rsid w:val="00030FBC"/>
    <w:rsid w:val="000313CC"/>
    <w:rsid w:val="00034056"/>
    <w:rsid w:val="00036860"/>
    <w:rsid w:val="0003768C"/>
    <w:rsid w:val="00047DD3"/>
    <w:rsid w:val="0006752F"/>
    <w:rsid w:val="00070E76"/>
    <w:rsid w:val="00070FB0"/>
    <w:rsid w:val="00073442"/>
    <w:rsid w:val="0008093A"/>
    <w:rsid w:val="00086938"/>
    <w:rsid w:val="000C293D"/>
    <w:rsid w:val="000C7E03"/>
    <w:rsid w:val="000D0D1A"/>
    <w:rsid w:val="000D4403"/>
    <w:rsid w:val="000E45F9"/>
    <w:rsid w:val="000E4DDB"/>
    <w:rsid w:val="000E5824"/>
    <w:rsid w:val="0010382D"/>
    <w:rsid w:val="00115331"/>
    <w:rsid w:val="001212F7"/>
    <w:rsid w:val="00123781"/>
    <w:rsid w:val="001241B6"/>
    <w:rsid w:val="001272A4"/>
    <w:rsid w:val="00132947"/>
    <w:rsid w:val="0014714E"/>
    <w:rsid w:val="001477F0"/>
    <w:rsid w:val="00150531"/>
    <w:rsid w:val="00156E52"/>
    <w:rsid w:val="00162A20"/>
    <w:rsid w:val="001716C7"/>
    <w:rsid w:val="001738A0"/>
    <w:rsid w:val="0017749C"/>
    <w:rsid w:val="00180B97"/>
    <w:rsid w:val="0018105F"/>
    <w:rsid w:val="001825E5"/>
    <w:rsid w:val="001917B9"/>
    <w:rsid w:val="001922B9"/>
    <w:rsid w:val="0019545D"/>
    <w:rsid w:val="001A2EDD"/>
    <w:rsid w:val="001A5CF5"/>
    <w:rsid w:val="001B13A0"/>
    <w:rsid w:val="001B2622"/>
    <w:rsid w:val="001B3C02"/>
    <w:rsid w:val="001B4FEF"/>
    <w:rsid w:val="001C7708"/>
    <w:rsid w:val="001D10CD"/>
    <w:rsid w:val="001D22FC"/>
    <w:rsid w:val="001D30CB"/>
    <w:rsid w:val="001F30D0"/>
    <w:rsid w:val="001F746E"/>
    <w:rsid w:val="00205761"/>
    <w:rsid w:val="002101BE"/>
    <w:rsid w:val="00213288"/>
    <w:rsid w:val="0021364B"/>
    <w:rsid w:val="00216BB7"/>
    <w:rsid w:val="00226E19"/>
    <w:rsid w:val="00233552"/>
    <w:rsid w:val="00240823"/>
    <w:rsid w:val="00241576"/>
    <w:rsid w:val="00247A37"/>
    <w:rsid w:val="00254640"/>
    <w:rsid w:val="00260C2F"/>
    <w:rsid w:val="00285354"/>
    <w:rsid w:val="002861BB"/>
    <w:rsid w:val="00286C4D"/>
    <w:rsid w:val="002A2D5A"/>
    <w:rsid w:val="002A33D1"/>
    <w:rsid w:val="002A52B1"/>
    <w:rsid w:val="002A735D"/>
    <w:rsid w:val="002B4D9A"/>
    <w:rsid w:val="002B5E1E"/>
    <w:rsid w:val="002B640B"/>
    <w:rsid w:val="002C0C4C"/>
    <w:rsid w:val="002D3653"/>
    <w:rsid w:val="002D6754"/>
    <w:rsid w:val="00303B29"/>
    <w:rsid w:val="00303CB7"/>
    <w:rsid w:val="00307C29"/>
    <w:rsid w:val="0031628A"/>
    <w:rsid w:val="003253A7"/>
    <w:rsid w:val="00344DF6"/>
    <w:rsid w:val="00361C56"/>
    <w:rsid w:val="00362801"/>
    <w:rsid w:val="0036775A"/>
    <w:rsid w:val="00387293"/>
    <w:rsid w:val="00387920"/>
    <w:rsid w:val="00387938"/>
    <w:rsid w:val="00391837"/>
    <w:rsid w:val="003A3CCC"/>
    <w:rsid w:val="003A5F51"/>
    <w:rsid w:val="003C11C0"/>
    <w:rsid w:val="003C3CF9"/>
    <w:rsid w:val="003D4D66"/>
    <w:rsid w:val="003D69C2"/>
    <w:rsid w:val="003D71F9"/>
    <w:rsid w:val="003E0260"/>
    <w:rsid w:val="003E0702"/>
    <w:rsid w:val="003E11D0"/>
    <w:rsid w:val="003E537B"/>
    <w:rsid w:val="003F61A8"/>
    <w:rsid w:val="00402758"/>
    <w:rsid w:val="004245CD"/>
    <w:rsid w:val="004273F0"/>
    <w:rsid w:val="00433C9D"/>
    <w:rsid w:val="00436F70"/>
    <w:rsid w:val="004508F1"/>
    <w:rsid w:val="00456DCF"/>
    <w:rsid w:val="0045759B"/>
    <w:rsid w:val="004608D6"/>
    <w:rsid w:val="0046189E"/>
    <w:rsid w:val="00466BED"/>
    <w:rsid w:val="00471E8B"/>
    <w:rsid w:val="00480140"/>
    <w:rsid w:val="00483210"/>
    <w:rsid w:val="00487E8C"/>
    <w:rsid w:val="0049482D"/>
    <w:rsid w:val="0049562E"/>
    <w:rsid w:val="00495A21"/>
    <w:rsid w:val="004976C3"/>
    <w:rsid w:val="004A02AD"/>
    <w:rsid w:val="004A525A"/>
    <w:rsid w:val="004B2122"/>
    <w:rsid w:val="004C7AF6"/>
    <w:rsid w:val="004E5149"/>
    <w:rsid w:val="00500580"/>
    <w:rsid w:val="00501724"/>
    <w:rsid w:val="005072BC"/>
    <w:rsid w:val="00510D89"/>
    <w:rsid w:val="00516397"/>
    <w:rsid w:val="0051686C"/>
    <w:rsid w:val="00520040"/>
    <w:rsid w:val="00524F57"/>
    <w:rsid w:val="00525ED8"/>
    <w:rsid w:val="00541CB2"/>
    <w:rsid w:val="0054264E"/>
    <w:rsid w:val="005426F5"/>
    <w:rsid w:val="005500BE"/>
    <w:rsid w:val="00551C27"/>
    <w:rsid w:val="00562D9C"/>
    <w:rsid w:val="005933F6"/>
    <w:rsid w:val="005955A4"/>
    <w:rsid w:val="005A5142"/>
    <w:rsid w:val="005B1275"/>
    <w:rsid w:val="005B61A8"/>
    <w:rsid w:val="005C4F2A"/>
    <w:rsid w:val="005C4F3E"/>
    <w:rsid w:val="005D0971"/>
    <w:rsid w:val="005D1067"/>
    <w:rsid w:val="005F0191"/>
    <w:rsid w:val="005F0213"/>
    <w:rsid w:val="005F052A"/>
    <w:rsid w:val="00602DF9"/>
    <w:rsid w:val="00603039"/>
    <w:rsid w:val="00603367"/>
    <w:rsid w:val="006043AE"/>
    <w:rsid w:val="00622580"/>
    <w:rsid w:val="00623507"/>
    <w:rsid w:val="00623F5D"/>
    <w:rsid w:val="00624316"/>
    <w:rsid w:val="006323F8"/>
    <w:rsid w:val="0063473A"/>
    <w:rsid w:val="00637698"/>
    <w:rsid w:val="00645A36"/>
    <w:rsid w:val="00647E8B"/>
    <w:rsid w:val="00663C77"/>
    <w:rsid w:val="00666CB5"/>
    <w:rsid w:val="006718E3"/>
    <w:rsid w:val="00673168"/>
    <w:rsid w:val="00676C26"/>
    <w:rsid w:val="0068014A"/>
    <w:rsid w:val="00680585"/>
    <w:rsid w:val="006815A4"/>
    <w:rsid w:val="00695DA3"/>
    <w:rsid w:val="006A7A61"/>
    <w:rsid w:val="006B28A8"/>
    <w:rsid w:val="006B50C2"/>
    <w:rsid w:val="006B61FB"/>
    <w:rsid w:val="006C0E66"/>
    <w:rsid w:val="006C194B"/>
    <w:rsid w:val="006D1243"/>
    <w:rsid w:val="006E3CA2"/>
    <w:rsid w:val="006E449A"/>
    <w:rsid w:val="006F04A2"/>
    <w:rsid w:val="007002E5"/>
    <w:rsid w:val="00700A3A"/>
    <w:rsid w:val="007015A0"/>
    <w:rsid w:val="0070442A"/>
    <w:rsid w:val="00711D7E"/>
    <w:rsid w:val="00723E31"/>
    <w:rsid w:val="00727F06"/>
    <w:rsid w:val="00735A63"/>
    <w:rsid w:val="0074595F"/>
    <w:rsid w:val="007469DE"/>
    <w:rsid w:val="0075417C"/>
    <w:rsid w:val="00755F84"/>
    <w:rsid w:val="00757C24"/>
    <w:rsid w:val="007602BF"/>
    <w:rsid w:val="00766811"/>
    <w:rsid w:val="00774F8B"/>
    <w:rsid w:val="00777CC8"/>
    <w:rsid w:val="0078151A"/>
    <w:rsid w:val="00783B5C"/>
    <w:rsid w:val="00792238"/>
    <w:rsid w:val="00792CC2"/>
    <w:rsid w:val="007A6EB9"/>
    <w:rsid w:val="007A7A8B"/>
    <w:rsid w:val="007C0AE3"/>
    <w:rsid w:val="007C1747"/>
    <w:rsid w:val="007C371D"/>
    <w:rsid w:val="007C3F24"/>
    <w:rsid w:val="007C74E1"/>
    <w:rsid w:val="007D11BA"/>
    <w:rsid w:val="007D2DBC"/>
    <w:rsid w:val="007F2A85"/>
    <w:rsid w:val="007F46CF"/>
    <w:rsid w:val="007F4C62"/>
    <w:rsid w:val="00801C07"/>
    <w:rsid w:val="00804756"/>
    <w:rsid w:val="008313A2"/>
    <w:rsid w:val="00835BC8"/>
    <w:rsid w:val="00836FFE"/>
    <w:rsid w:val="008379EB"/>
    <w:rsid w:val="00861626"/>
    <w:rsid w:val="00870AE1"/>
    <w:rsid w:val="00877A94"/>
    <w:rsid w:val="00897276"/>
    <w:rsid w:val="008A6130"/>
    <w:rsid w:val="008B232A"/>
    <w:rsid w:val="008B350E"/>
    <w:rsid w:val="008C2228"/>
    <w:rsid w:val="008D2F53"/>
    <w:rsid w:val="008D72C9"/>
    <w:rsid w:val="008E2DFD"/>
    <w:rsid w:val="008E750D"/>
    <w:rsid w:val="008F2652"/>
    <w:rsid w:val="0090435F"/>
    <w:rsid w:val="00917B49"/>
    <w:rsid w:val="00926B51"/>
    <w:rsid w:val="0092766F"/>
    <w:rsid w:val="009276CD"/>
    <w:rsid w:val="0094192A"/>
    <w:rsid w:val="009541F8"/>
    <w:rsid w:val="00957272"/>
    <w:rsid w:val="00963E0C"/>
    <w:rsid w:val="00965AB7"/>
    <w:rsid w:val="009661FD"/>
    <w:rsid w:val="00976366"/>
    <w:rsid w:val="00976637"/>
    <w:rsid w:val="00986931"/>
    <w:rsid w:val="009952C7"/>
    <w:rsid w:val="009A2EDC"/>
    <w:rsid w:val="009A6786"/>
    <w:rsid w:val="009A6E2C"/>
    <w:rsid w:val="009A7BE9"/>
    <w:rsid w:val="009B3567"/>
    <w:rsid w:val="009B4EFF"/>
    <w:rsid w:val="009C2830"/>
    <w:rsid w:val="009D2D5A"/>
    <w:rsid w:val="009D6D2C"/>
    <w:rsid w:val="009F40CC"/>
    <w:rsid w:val="009F5A83"/>
    <w:rsid w:val="009F5C05"/>
    <w:rsid w:val="00A070D4"/>
    <w:rsid w:val="00A12410"/>
    <w:rsid w:val="00A146A0"/>
    <w:rsid w:val="00A23A3E"/>
    <w:rsid w:val="00A26859"/>
    <w:rsid w:val="00A67677"/>
    <w:rsid w:val="00A71EFF"/>
    <w:rsid w:val="00A73B6A"/>
    <w:rsid w:val="00A77955"/>
    <w:rsid w:val="00A818DB"/>
    <w:rsid w:val="00AA719E"/>
    <w:rsid w:val="00AA7CBC"/>
    <w:rsid w:val="00AC1D88"/>
    <w:rsid w:val="00AD0A92"/>
    <w:rsid w:val="00AD5769"/>
    <w:rsid w:val="00AE34C2"/>
    <w:rsid w:val="00AE3B01"/>
    <w:rsid w:val="00AE6E38"/>
    <w:rsid w:val="00AF5EC6"/>
    <w:rsid w:val="00AF67F7"/>
    <w:rsid w:val="00B053AB"/>
    <w:rsid w:val="00B21333"/>
    <w:rsid w:val="00B21A37"/>
    <w:rsid w:val="00B24E23"/>
    <w:rsid w:val="00B309D2"/>
    <w:rsid w:val="00B343A8"/>
    <w:rsid w:val="00B40636"/>
    <w:rsid w:val="00B460F8"/>
    <w:rsid w:val="00B535F2"/>
    <w:rsid w:val="00B54835"/>
    <w:rsid w:val="00B55D4E"/>
    <w:rsid w:val="00B65E54"/>
    <w:rsid w:val="00B7541C"/>
    <w:rsid w:val="00B77503"/>
    <w:rsid w:val="00B949D1"/>
    <w:rsid w:val="00BA6CEF"/>
    <w:rsid w:val="00BA6D16"/>
    <w:rsid w:val="00BB4F6D"/>
    <w:rsid w:val="00BC0651"/>
    <w:rsid w:val="00BC3241"/>
    <w:rsid w:val="00BC35B6"/>
    <w:rsid w:val="00BC4C95"/>
    <w:rsid w:val="00BD1A13"/>
    <w:rsid w:val="00BD46AA"/>
    <w:rsid w:val="00BE0AB2"/>
    <w:rsid w:val="00BE4421"/>
    <w:rsid w:val="00BE7AE7"/>
    <w:rsid w:val="00BF33F3"/>
    <w:rsid w:val="00BF7BBA"/>
    <w:rsid w:val="00C00BB4"/>
    <w:rsid w:val="00C013DC"/>
    <w:rsid w:val="00C02510"/>
    <w:rsid w:val="00C055B3"/>
    <w:rsid w:val="00C161CF"/>
    <w:rsid w:val="00C16DCB"/>
    <w:rsid w:val="00C21E49"/>
    <w:rsid w:val="00C22A1E"/>
    <w:rsid w:val="00C2608C"/>
    <w:rsid w:val="00C36EF3"/>
    <w:rsid w:val="00C4403A"/>
    <w:rsid w:val="00C4629E"/>
    <w:rsid w:val="00C74D36"/>
    <w:rsid w:val="00C8044E"/>
    <w:rsid w:val="00C8125E"/>
    <w:rsid w:val="00C8358A"/>
    <w:rsid w:val="00C837A0"/>
    <w:rsid w:val="00C837B9"/>
    <w:rsid w:val="00C91E27"/>
    <w:rsid w:val="00C924CE"/>
    <w:rsid w:val="00C930DC"/>
    <w:rsid w:val="00C9321E"/>
    <w:rsid w:val="00C93423"/>
    <w:rsid w:val="00C9438A"/>
    <w:rsid w:val="00CA04EF"/>
    <w:rsid w:val="00CA1BA3"/>
    <w:rsid w:val="00CA252E"/>
    <w:rsid w:val="00CA59D6"/>
    <w:rsid w:val="00CB41A5"/>
    <w:rsid w:val="00CC4644"/>
    <w:rsid w:val="00CC4BE7"/>
    <w:rsid w:val="00CC50F5"/>
    <w:rsid w:val="00CD05B9"/>
    <w:rsid w:val="00CD09FE"/>
    <w:rsid w:val="00CD1C45"/>
    <w:rsid w:val="00CD73BC"/>
    <w:rsid w:val="00CE72D1"/>
    <w:rsid w:val="00CF75A5"/>
    <w:rsid w:val="00D07EB5"/>
    <w:rsid w:val="00D23E3A"/>
    <w:rsid w:val="00D26953"/>
    <w:rsid w:val="00D376C4"/>
    <w:rsid w:val="00D40DAF"/>
    <w:rsid w:val="00D42B03"/>
    <w:rsid w:val="00D53F86"/>
    <w:rsid w:val="00D7159D"/>
    <w:rsid w:val="00D83AEB"/>
    <w:rsid w:val="00D84E9F"/>
    <w:rsid w:val="00D873F8"/>
    <w:rsid w:val="00D90ED8"/>
    <w:rsid w:val="00D92B58"/>
    <w:rsid w:val="00D97152"/>
    <w:rsid w:val="00DA28D0"/>
    <w:rsid w:val="00DA7289"/>
    <w:rsid w:val="00DB157A"/>
    <w:rsid w:val="00DB5886"/>
    <w:rsid w:val="00DC7532"/>
    <w:rsid w:val="00DC7ECB"/>
    <w:rsid w:val="00DD0188"/>
    <w:rsid w:val="00DD01DA"/>
    <w:rsid w:val="00DD27E6"/>
    <w:rsid w:val="00DD3206"/>
    <w:rsid w:val="00DD336C"/>
    <w:rsid w:val="00DD62EF"/>
    <w:rsid w:val="00DE56A4"/>
    <w:rsid w:val="00DF5849"/>
    <w:rsid w:val="00DF5CD1"/>
    <w:rsid w:val="00DF6937"/>
    <w:rsid w:val="00E00EB7"/>
    <w:rsid w:val="00E06460"/>
    <w:rsid w:val="00E11A04"/>
    <w:rsid w:val="00E12092"/>
    <w:rsid w:val="00E20929"/>
    <w:rsid w:val="00E2406B"/>
    <w:rsid w:val="00E26635"/>
    <w:rsid w:val="00E30A56"/>
    <w:rsid w:val="00E30B82"/>
    <w:rsid w:val="00E32931"/>
    <w:rsid w:val="00E33C01"/>
    <w:rsid w:val="00E6630F"/>
    <w:rsid w:val="00E70348"/>
    <w:rsid w:val="00E76A58"/>
    <w:rsid w:val="00E82651"/>
    <w:rsid w:val="00E833AA"/>
    <w:rsid w:val="00E84638"/>
    <w:rsid w:val="00E869D5"/>
    <w:rsid w:val="00E879B9"/>
    <w:rsid w:val="00E93618"/>
    <w:rsid w:val="00EA3FCE"/>
    <w:rsid w:val="00EA45EF"/>
    <w:rsid w:val="00EB00DE"/>
    <w:rsid w:val="00EB3179"/>
    <w:rsid w:val="00ED19B8"/>
    <w:rsid w:val="00ED3906"/>
    <w:rsid w:val="00ED75CE"/>
    <w:rsid w:val="00EE5AEE"/>
    <w:rsid w:val="00EE5B62"/>
    <w:rsid w:val="00EE6C2E"/>
    <w:rsid w:val="00EF48FB"/>
    <w:rsid w:val="00EF64D1"/>
    <w:rsid w:val="00F101AB"/>
    <w:rsid w:val="00F238AC"/>
    <w:rsid w:val="00F42A17"/>
    <w:rsid w:val="00F463DC"/>
    <w:rsid w:val="00F4685A"/>
    <w:rsid w:val="00F64542"/>
    <w:rsid w:val="00F726F4"/>
    <w:rsid w:val="00F746ED"/>
    <w:rsid w:val="00F7636D"/>
    <w:rsid w:val="00F7656C"/>
    <w:rsid w:val="00F84575"/>
    <w:rsid w:val="00F847B9"/>
    <w:rsid w:val="00F873F4"/>
    <w:rsid w:val="00F90833"/>
    <w:rsid w:val="00F9280D"/>
    <w:rsid w:val="00F93995"/>
    <w:rsid w:val="00FA3157"/>
    <w:rsid w:val="00FA61EE"/>
    <w:rsid w:val="00FC0865"/>
    <w:rsid w:val="00FC2D54"/>
    <w:rsid w:val="00FD2DE7"/>
    <w:rsid w:val="00FE1710"/>
    <w:rsid w:val="00FF173A"/>
    <w:rsid w:val="00FF2043"/>
    <w:rsid w:val="00FF55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2D6754"/>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2D6754"/>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A77955"/>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63473A"/>
    <w:pPr>
      <w:numPr>
        <w:numId w:val="0"/>
      </w:numPr>
    </w:pPr>
  </w:style>
  <w:style w:type="character" w:customStyle="1" w:styleId="Heading1nonumberChar">
    <w:name w:val="Heading 1 (no number) Char"/>
    <w:basedOn w:val="Heading1Char"/>
    <w:link w:val="Heading1nonumber"/>
    <w:rsid w:val="0063473A"/>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NormalWeb">
    <w:name w:val="Normal (Web)"/>
    <w:basedOn w:val="Normal"/>
    <w:uiPriority w:val="99"/>
    <w:unhideWhenUsed/>
    <w:rsid w:val="00E703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8044E"/>
    <w:rPr>
      <w:color w:val="954F72" w:themeColor="followedHyperlink"/>
      <w:u w:val="single"/>
    </w:rPr>
  </w:style>
  <w:style w:type="paragraph" w:styleId="EndnoteText">
    <w:name w:val="endnote text"/>
    <w:basedOn w:val="Normal"/>
    <w:link w:val="EndnoteTextChar"/>
    <w:uiPriority w:val="99"/>
    <w:semiHidden/>
    <w:unhideWhenUsed/>
    <w:rsid w:val="006E3C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3CA2"/>
    <w:rPr>
      <w:sz w:val="20"/>
      <w:szCs w:val="20"/>
    </w:rPr>
  </w:style>
  <w:style w:type="character" w:styleId="EndnoteReference">
    <w:name w:val="endnote reference"/>
    <w:basedOn w:val="DefaultParagraphFont"/>
    <w:uiPriority w:val="99"/>
    <w:semiHidden/>
    <w:unhideWhenUsed/>
    <w:rsid w:val="006E3CA2"/>
    <w:rPr>
      <w:vertAlign w:val="superscript"/>
    </w:rPr>
  </w:style>
  <w:style w:type="paragraph" w:styleId="Revision">
    <w:name w:val="Revision"/>
    <w:hidden/>
    <w:uiPriority w:val="99"/>
    <w:semiHidden/>
    <w:rsid w:val="002D67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30621">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ctgamblingsupport.org.au"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gamblinghelponline.org.a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jcs" TargetMode="Externa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http://www.carefcs.org/financial-counselling"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cmtedd.act.gov.au/__data/assets/pdf_file/0003/1654077/Parliamentary-Agreement-for-the-10th-Legislative-Assembly.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cmtedd.act.gov.au/open_government/inform/act_government_media_releases/rattenbury/2023/funding-round-opens-for-sustainable-clubs" TargetMode="External"/><Relationship Id="rId2" Type="http://schemas.openxmlformats.org/officeDocument/2006/relationships/hyperlink" Target="https://www.gamblingandracing.act.gov.au/__data/assets/pdf_file/0008/764792/007-Class-B-licences.pdf" TargetMode="External"/><Relationship Id="rId1" Type="http://schemas.openxmlformats.org/officeDocument/2006/relationships/hyperlink" Target="https://www.gamblingandracing.act.gov.au/__data/assets/pdf_file/0004/2298136/Trading-Scheme-Information-as-at-01-October-2023.pdf" TargetMode="External"/><Relationship Id="rId6" Type="http://schemas.openxmlformats.org/officeDocument/2006/relationships/hyperlink" Target="https://yoursayconversations.act.gov.au/electronic-gaming-machine-bet-and-credit-limits" TargetMode="External"/><Relationship Id="rId5" Type="http://schemas.openxmlformats.org/officeDocument/2006/relationships/hyperlink" Target="https://www.cmtedd.act.gov.au/open_government/inform/act_government_media_releases/rattenbury/2022/reducing-gambling-harm-from-poker-machines" TargetMode="External"/><Relationship Id="rId4" Type="http://schemas.openxmlformats.org/officeDocument/2006/relationships/hyperlink" Target="https://www.cmtedd.act.gov.au/open_government/inform/act_government_media_releases/rattenbury/2023/new-funding-for-clubs-will-reduce-reliance-on-gambling-revenu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A3E0D"/>
    <w:rsid w:val="000E6FC2"/>
    <w:rsid w:val="001D5227"/>
    <w:rsid w:val="00465034"/>
    <w:rsid w:val="004C3D59"/>
    <w:rsid w:val="005B2AAD"/>
    <w:rsid w:val="006C174A"/>
    <w:rsid w:val="006D7380"/>
    <w:rsid w:val="00944F21"/>
    <w:rsid w:val="00970294"/>
    <w:rsid w:val="00AC0E6D"/>
    <w:rsid w:val="00BC5886"/>
    <w:rsid w:val="00D74836"/>
    <w:rsid w:val="00E75710"/>
    <w:rsid w:val="00F4175F"/>
    <w:rsid w:val="00F53E47"/>
    <w:rsid w:val="00FC1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3589</Words>
  <Characters>20460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24001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Coupland, Alicia</dc:creator>
  <cp:keywords/>
  <dc:description/>
  <cp:lastModifiedBy>Sharma, Satyenx</cp:lastModifiedBy>
  <cp:revision>2</cp:revision>
  <cp:lastPrinted>2023-10-03T07:56:00Z</cp:lastPrinted>
  <dcterms:created xsi:type="dcterms:W3CDTF">2023-11-28T04:48:00Z</dcterms:created>
  <dcterms:modified xsi:type="dcterms:W3CDTF">2023-11-28T04:48:00Z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2023-11-16T05:24:08Z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126d29dd-3069-4ac2-9a09-b52f7acd7531</vt:lpwstr>
  </property>
  <property fmtid="{D5CDD505-2E9C-101B-9397-08002B2CF9AE}" pid="8" name="MSIP_Label_69af8531-eb46-4968-8cb3-105d2f5ea87e_ContentBits">
    <vt:lpwstr>0</vt:lpwstr>
  </property>
</Properties>
</file>