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BFA2" w14:textId="34DC23E0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  <w:r w:rsidR="00AC0A11">
        <w:rPr>
          <w:sz w:val="24"/>
          <w:szCs w:val="24"/>
          <w:lang w:val="en-US"/>
        </w:rPr>
        <w:t xml:space="preserve">                  </w:t>
      </w:r>
      <w:r w:rsidR="00E657F2">
        <w:rPr>
          <w:lang w:val="en-US"/>
        </w:rPr>
        <w:t>22/070</w:t>
      </w:r>
    </w:p>
    <w:p w14:paraId="2C9A72B4" w14:textId="77777777" w:rsidR="00655042" w:rsidRDefault="00655042" w:rsidP="00AD7D31">
      <w:pPr>
        <w:spacing w:after="0" w:line="240" w:lineRule="auto"/>
        <w:rPr>
          <w:sz w:val="24"/>
          <w:szCs w:val="24"/>
        </w:rPr>
      </w:pPr>
    </w:p>
    <w:p w14:paraId="3C2F244C" w14:textId="3D6B0F9D" w:rsidR="00AD7D31" w:rsidRDefault="008B0C9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Peter Cain MLA</w:t>
      </w:r>
    </w:p>
    <w:p w14:paraId="4F42D393" w14:textId="11436D1C" w:rsidR="008B0C9A" w:rsidRDefault="008B0C9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2BD9726" w14:textId="2C4CEC45" w:rsidR="008B0C9A" w:rsidRDefault="008B0C9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 (Legislative Scrutiny Role)</w:t>
      </w:r>
    </w:p>
    <w:p w14:paraId="1E10E950" w14:textId="0AE0E5F4" w:rsidR="008B0C9A" w:rsidRDefault="008B0C9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70E273B1" w14:textId="2FAC25DA" w:rsidR="008B0C9A" w:rsidRPr="00A031A0" w:rsidRDefault="00000000" w:rsidP="00AD7D31">
      <w:pPr>
        <w:spacing w:after="0" w:line="240" w:lineRule="auto"/>
        <w:rPr>
          <w:sz w:val="24"/>
          <w:szCs w:val="24"/>
        </w:rPr>
      </w:pPr>
      <w:hyperlink r:id="rId11" w:history="1">
        <w:r w:rsidR="008B0C9A" w:rsidRPr="0018737E">
          <w:rPr>
            <w:rStyle w:val="Hyperlink"/>
            <w:sz w:val="24"/>
            <w:szCs w:val="24"/>
          </w:rPr>
          <w:t>Scrutiny@parliament.act.gov.au</w:t>
        </w:r>
      </w:hyperlink>
      <w:r w:rsidR="008B0C9A">
        <w:rPr>
          <w:sz w:val="24"/>
          <w:szCs w:val="24"/>
        </w:rPr>
        <w:t xml:space="preserve"> </w:t>
      </w:r>
    </w:p>
    <w:p w14:paraId="28BD5B9E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03708C5A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0FC504E8" w14:textId="18ED2754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8B0C9A">
        <w:rPr>
          <w:sz w:val="24"/>
          <w:szCs w:val="24"/>
          <w:lang w:val="en-US"/>
        </w:rPr>
        <w:t>Mr Cain</w:t>
      </w:r>
    </w:p>
    <w:p w14:paraId="1459F234" w14:textId="77777777" w:rsidR="00D3136D" w:rsidRDefault="00D3136D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4781CD18" w14:textId="72E9DF93" w:rsidR="008B0C9A" w:rsidRDefault="008B0C9A" w:rsidP="008B0C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write in response to the Standing Committee on Justice and Community Safety (Legislative Scrutiny Role) Scrutiny Report 25</w:t>
      </w:r>
      <w:r w:rsidR="0006323E">
        <w:rPr>
          <w:sz w:val="24"/>
          <w:szCs w:val="24"/>
        </w:rPr>
        <w:t>, which was release</w:t>
      </w:r>
      <w:r w:rsidR="00897668">
        <w:rPr>
          <w:sz w:val="24"/>
          <w:szCs w:val="24"/>
        </w:rPr>
        <w:t>d</w:t>
      </w:r>
      <w:r w:rsidR="0006323E">
        <w:rPr>
          <w:sz w:val="24"/>
          <w:szCs w:val="24"/>
        </w:rPr>
        <w:t xml:space="preserve"> on 31 January 2023. This letter addresses comments made about </w:t>
      </w:r>
      <w:r w:rsidR="00F90C1B">
        <w:rPr>
          <w:sz w:val="24"/>
          <w:szCs w:val="24"/>
        </w:rPr>
        <w:t xml:space="preserve">the </w:t>
      </w:r>
      <w:r w:rsidR="00897668">
        <w:rPr>
          <w:sz w:val="24"/>
          <w:szCs w:val="24"/>
        </w:rPr>
        <w:t xml:space="preserve">explanatory statement for the </w:t>
      </w:r>
      <w:r w:rsidR="0006323E" w:rsidRPr="00EA1153">
        <w:rPr>
          <w:i/>
          <w:iCs/>
          <w:sz w:val="24"/>
          <w:szCs w:val="24"/>
        </w:rPr>
        <w:t>Residential Tenancies Amendment Regulation 2022 (No 1)</w:t>
      </w:r>
      <w:r w:rsidR="0006323E">
        <w:rPr>
          <w:sz w:val="24"/>
          <w:szCs w:val="24"/>
        </w:rPr>
        <w:t xml:space="preserve"> </w:t>
      </w:r>
      <w:r w:rsidR="00F90C1B">
        <w:rPr>
          <w:sz w:val="24"/>
          <w:szCs w:val="24"/>
        </w:rPr>
        <w:t>[SL2022-16]</w:t>
      </w:r>
      <w:r w:rsidR="00CA2210">
        <w:rPr>
          <w:sz w:val="24"/>
          <w:szCs w:val="24"/>
        </w:rPr>
        <w:t xml:space="preserve"> </w:t>
      </w:r>
      <w:r w:rsidR="00D80990">
        <w:rPr>
          <w:sz w:val="24"/>
          <w:szCs w:val="24"/>
        </w:rPr>
        <w:t xml:space="preserve">(the regulation) </w:t>
      </w:r>
      <w:r w:rsidR="00CA2210" w:rsidRPr="00A12251">
        <w:rPr>
          <w:sz w:val="24"/>
          <w:szCs w:val="24"/>
        </w:rPr>
        <w:t xml:space="preserve">as well as </w:t>
      </w:r>
      <w:r w:rsidR="0006323E" w:rsidRPr="00A12251">
        <w:rPr>
          <w:sz w:val="24"/>
          <w:szCs w:val="24"/>
        </w:rPr>
        <w:t xml:space="preserve">the accompanying </w:t>
      </w:r>
      <w:r w:rsidR="00A12251">
        <w:rPr>
          <w:sz w:val="24"/>
          <w:szCs w:val="24"/>
        </w:rPr>
        <w:t>r</w:t>
      </w:r>
      <w:r w:rsidR="0006323E" w:rsidRPr="00A12251">
        <w:rPr>
          <w:sz w:val="24"/>
          <w:szCs w:val="24"/>
        </w:rPr>
        <w:t xml:space="preserve">egulatory </w:t>
      </w:r>
      <w:r w:rsidR="00A12251">
        <w:rPr>
          <w:sz w:val="24"/>
          <w:szCs w:val="24"/>
        </w:rPr>
        <w:t>i</w:t>
      </w:r>
      <w:r w:rsidR="0006323E" w:rsidRPr="00A12251">
        <w:rPr>
          <w:sz w:val="24"/>
          <w:szCs w:val="24"/>
        </w:rPr>
        <w:t xml:space="preserve">mpact </w:t>
      </w:r>
      <w:r w:rsidR="00A12251">
        <w:rPr>
          <w:sz w:val="24"/>
          <w:szCs w:val="24"/>
        </w:rPr>
        <w:t>s</w:t>
      </w:r>
      <w:r w:rsidR="0006323E" w:rsidRPr="00A12251">
        <w:rPr>
          <w:sz w:val="24"/>
          <w:szCs w:val="24"/>
        </w:rPr>
        <w:t>tatement.</w:t>
      </w:r>
    </w:p>
    <w:p w14:paraId="50FEFFF4" w14:textId="297BD344" w:rsidR="00B572AB" w:rsidRDefault="00B572AB" w:rsidP="00F90C1B">
      <w:pPr>
        <w:spacing w:after="0" w:line="240" w:lineRule="auto"/>
        <w:rPr>
          <w:sz w:val="24"/>
          <w:szCs w:val="24"/>
        </w:rPr>
      </w:pPr>
    </w:p>
    <w:p w14:paraId="207AB746" w14:textId="734809B7" w:rsidR="00F8494B" w:rsidRDefault="005D6A62" w:rsidP="00F8494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confirm the statement about the disapplication of section</w:t>
      </w:r>
      <w:r w:rsidR="00BA111D">
        <w:rPr>
          <w:sz w:val="24"/>
          <w:szCs w:val="24"/>
        </w:rPr>
        <w:t> </w:t>
      </w:r>
      <w:r>
        <w:rPr>
          <w:sz w:val="24"/>
          <w:szCs w:val="24"/>
        </w:rPr>
        <w:t>47</w:t>
      </w:r>
      <w:r w:rsidR="00BA111D">
        <w:rPr>
          <w:sz w:val="24"/>
          <w:szCs w:val="24"/>
        </w:rPr>
        <w:t> </w:t>
      </w:r>
      <w:r>
        <w:rPr>
          <w:sz w:val="24"/>
          <w:szCs w:val="24"/>
        </w:rPr>
        <w:t>(5)</w:t>
      </w:r>
      <w:r w:rsidR="00BA111D">
        <w:rPr>
          <w:sz w:val="24"/>
          <w:szCs w:val="24"/>
        </w:rPr>
        <w:t> </w:t>
      </w:r>
      <w:r>
        <w:rPr>
          <w:sz w:val="24"/>
          <w:szCs w:val="24"/>
        </w:rPr>
        <w:t>and</w:t>
      </w:r>
      <w:r w:rsidR="00BA111D">
        <w:rPr>
          <w:sz w:val="24"/>
          <w:szCs w:val="24"/>
        </w:rPr>
        <w:t> </w:t>
      </w:r>
      <w:r>
        <w:rPr>
          <w:sz w:val="24"/>
          <w:szCs w:val="24"/>
        </w:rPr>
        <w:t xml:space="preserve">(6) of </w:t>
      </w:r>
      <w:r w:rsidRPr="00B77C98">
        <w:rPr>
          <w:sz w:val="24"/>
          <w:szCs w:val="24"/>
        </w:rPr>
        <w:t xml:space="preserve">the </w:t>
      </w:r>
      <w:r w:rsidR="00B77C98" w:rsidRPr="00B77C98">
        <w:rPr>
          <w:i/>
          <w:iCs/>
          <w:sz w:val="24"/>
          <w:szCs w:val="24"/>
        </w:rPr>
        <w:t xml:space="preserve">Legislation Act 2001 </w:t>
      </w:r>
      <w:r w:rsidR="00BA111D" w:rsidRPr="00B77C98">
        <w:rPr>
          <w:sz w:val="24"/>
          <w:szCs w:val="24"/>
        </w:rPr>
        <w:t>in</w:t>
      </w:r>
      <w:r w:rsidR="00BA111D">
        <w:rPr>
          <w:sz w:val="24"/>
          <w:szCs w:val="24"/>
        </w:rPr>
        <w:t xml:space="preserve"> the explanatory statement </w:t>
      </w:r>
      <w:r>
        <w:rPr>
          <w:sz w:val="24"/>
          <w:szCs w:val="24"/>
        </w:rPr>
        <w:t>is correct</w:t>
      </w:r>
      <w:r w:rsidR="00B77C98">
        <w:rPr>
          <w:sz w:val="24"/>
          <w:szCs w:val="24"/>
        </w:rPr>
        <w:t xml:space="preserve">. </w:t>
      </w:r>
      <w:r w:rsidR="00BA111D">
        <w:rPr>
          <w:sz w:val="24"/>
          <w:szCs w:val="24"/>
        </w:rPr>
        <w:t xml:space="preserve">Supplementing this explanation, I can advise that as </w:t>
      </w:r>
      <w:r>
        <w:rPr>
          <w:sz w:val="24"/>
          <w:szCs w:val="24"/>
        </w:rPr>
        <w:t xml:space="preserve">the Australian Standards </w:t>
      </w:r>
      <w:r w:rsidR="00BA111D">
        <w:rPr>
          <w:sz w:val="24"/>
          <w:szCs w:val="24"/>
        </w:rPr>
        <w:t xml:space="preserve">are </w:t>
      </w:r>
      <w:r w:rsidR="00FC3664">
        <w:rPr>
          <w:sz w:val="24"/>
          <w:szCs w:val="24"/>
        </w:rPr>
        <w:t xml:space="preserve">protected by </w:t>
      </w:r>
      <w:r>
        <w:rPr>
          <w:sz w:val="24"/>
          <w:szCs w:val="24"/>
        </w:rPr>
        <w:t xml:space="preserve">copyright, </w:t>
      </w:r>
      <w:r w:rsidR="00BA111D">
        <w:rPr>
          <w:sz w:val="24"/>
          <w:szCs w:val="24"/>
        </w:rPr>
        <w:t xml:space="preserve">they are </w:t>
      </w:r>
      <w:r>
        <w:rPr>
          <w:sz w:val="24"/>
          <w:szCs w:val="24"/>
        </w:rPr>
        <w:t>not able to be published as a notifiable instrument</w:t>
      </w:r>
      <w:r w:rsidR="00BA111D">
        <w:rPr>
          <w:sz w:val="24"/>
          <w:szCs w:val="24"/>
        </w:rPr>
        <w:t xml:space="preserve"> on the ACT Legislation Register.</w:t>
      </w:r>
    </w:p>
    <w:p w14:paraId="6F3AB0D5" w14:textId="77777777" w:rsidR="0064342C" w:rsidRPr="0064342C" w:rsidRDefault="0064342C" w:rsidP="0064342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635C2300" w14:textId="4D7F47D9" w:rsidR="0063076F" w:rsidRDefault="00897668" w:rsidP="0063076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C</w:t>
      </w:r>
      <w:r w:rsidR="00F8494B">
        <w:rPr>
          <w:rFonts w:cs="Calibri"/>
          <w:sz w:val="24"/>
          <w:szCs w:val="24"/>
          <w:lang w:eastAsia="en-AU"/>
        </w:rPr>
        <w:t xml:space="preserve">opyright in Australian Standards </w:t>
      </w:r>
      <w:r w:rsidR="008F2CA2">
        <w:rPr>
          <w:rFonts w:cs="Calibri"/>
          <w:sz w:val="24"/>
          <w:szCs w:val="24"/>
          <w:lang w:eastAsia="en-AU"/>
        </w:rPr>
        <w:t>is</w:t>
      </w:r>
      <w:r w:rsidR="00F8494B">
        <w:rPr>
          <w:rFonts w:cs="Calibri"/>
          <w:sz w:val="24"/>
          <w:szCs w:val="24"/>
          <w:lang w:eastAsia="en-AU"/>
        </w:rPr>
        <w:t xml:space="preserve"> owned by Standards Australia, a private organisation</w:t>
      </w:r>
      <w:r>
        <w:rPr>
          <w:rFonts w:cs="Calibri"/>
          <w:sz w:val="24"/>
          <w:szCs w:val="24"/>
          <w:lang w:eastAsia="en-AU"/>
        </w:rPr>
        <w:t>.</w:t>
      </w:r>
      <w:r w:rsidR="00F8494B">
        <w:rPr>
          <w:rFonts w:cs="Calibri"/>
          <w:sz w:val="24"/>
          <w:szCs w:val="24"/>
          <w:lang w:eastAsia="en-AU"/>
        </w:rPr>
        <w:t xml:space="preserve"> </w:t>
      </w:r>
      <w:r>
        <w:rPr>
          <w:rFonts w:cs="Calibri"/>
          <w:sz w:val="24"/>
          <w:szCs w:val="24"/>
          <w:lang w:eastAsia="en-AU"/>
        </w:rPr>
        <w:t>T</w:t>
      </w:r>
      <w:r w:rsidR="0063076F">
        <w:rPr>
          <w:rFonts w:cs="Calibri"/>
          <w:sz w:val="24"/>
          <w:szCs w:val="24"/>
          <w:lang w:eastAsia="en-AU"/>
        </w:rPr>
        <w:t>he ACT Government cannot notify these documents on the Legislation Register</w:t>
      </w:r>
      <w:r>
        <w:rPr>
          <w:rFonts w:cs="Calibri"/>
          <w:sz w:val="24"/>
          <w:szCs w:val="24"/>
          <w:lang w:eastAsia="en-AU"/>
        </w:rPr>
        <w:t xml:space="preserve"> without breaching </w:t>
      </w:r>
      <w:r w:rsidR="008F2CA2">
        <w:rPr>
          <w:rFonts w:cs="Calibri"/>
          <w:sz w:val="24"/>
          <w:szCs w:val="24"/>
          <w:lang w:eastAsia="en-AU"/>
        </w:rPr>
        <w:t xml:space="preserve">Standards Australia’s </w:t>
      </w:r>
      <w:r>
        <w:rPr>
          <w:rFonts w:cs="Calibri"/>
          <w:sz w:val="24"/>
          <w:szCs w:val="24"/>
          <w:lang w:eastAsia="en-AU"/>
        </w:rPr>
        <w:t>copyright</w:t>
      </w:r>
      <w:r w:rsidR="0063076F">
        <w:rPr>
          <w:rFonts w:cs="Calibri"/>
          <w:sz w:val="24"/>
          <w:szCs w:val="24"/>
          <w:lang w:eastAsia="en-AU"/>
        </w:rPr>
        <w:t>. As such, there is no real alternative other than to disapply section 47 (5) and (6) in this instance.</w:t>
      </w:r>
      <w:r w:rsidR="00A12251">
        <w:rPr>
          <w:rFonts w:cs="Calibri"/>
          <w:sz w:val="24"/>
          <w:szCs w:val="24"/>
          <w:lang w:eastAsia="en-AU"/>
        </w:rPr>
        <w:t xml:space="preserve"> </w:t>
      </w:r>
      <w:r w:rsidR="00A12251">
        <w:rPr>
          <w:sz w:val="24"/>
          <w:szCs w:val="24"/>
        </w:rPr>
        <w:t>Australian Standards are available for viewing at the National Library of Australia.</w:t>
      </w:r>
    </w:p>
    <w:p w14:paraId="413C0273" w14:textId="77777777" w:rsidR="0063076F" w:rsidRPr="00F8494B" w:rsidRDefault="0063076F" w:rsidP="00F8494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3BED7C1F" w14:textId="1D204EB5" w:rsidR="00F8494B" w:rsidRPr="0063076F" w:rsidRDefault="00897668" w:rsidP="0063076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I</w:t>
      </w:r>
      <w:r w:rsidR="00F8494B">
        <w:rPr>
          <w:rFonts w:cs="Calibri"/>
          <w:sz w:val="24"/>
          <w:szCs w:val="24"/>
          <w:lang w:eastAsia="en-AU"/>
        </w:rPr>
        <w:t xml:space="preserve">n disapplying section 47 (5) and (6), I note the organisations that </w:t>
      </w:r>
      <w:r w:rsidR="0064342C">
        <w:rPr>
          <w:rFonts w:cs="Calibri"/>
          <w:sz w:val="24"/>
          <w:szCs w:val="24"/>
          <w:lang w:eastAsia="en-AU"/>
        </w:rPr>
        <w:t xml:space="preserve">will be </w:t>
      </w:r>
      <w:r w:rsidR="002F3DFC">
        <w:rPr>
          <w:rFonts w:cs="Calibri"/>
          <w:sz w:val="24"/>
          <w:szCs w:val="24"/>
          <w:lang w:eastAsia="en-AU"/>
        </w:rPr>
        <w:t xml:space="preserve">engaged </w:t>
      </w:r>
      <w:r w:rsidR="0064342C">
        <w:rPr>
          <w:rFonts w:cs="Calibri"/>
          <w:sz w:val="24"/>
          <w:szCs w:val="24"/>
          <w:lang w:eastAsia="en-AU"/>
        </w:rPr>
        <w:t xml:space="preserve">to undertake inspections and upgrades to ensure compliance with the minimum standards in the </w:t>
      </w:r>
      <w:r w:rsidR="00D80990">
        <w:rPr>
          <w:rFonts w:cs="Calibri"/>
          <w:sz w:val="24"/>
          <w:szCs w:val="24"/>
          <w:lang w:eastAsia="en-AU"/>
        </w:rPr>
        <w:t>regulation</w:t>
      </w:r>
      <w:r w:rsidR="0064342C">
        <w:rPr>
          <w:rFonts w:cs="Calibri"/>
          <w:sz w:val="24"/>
          <w:szCs w:val="24"/>
          <w:lang w:eastAsia="en-AU"/>
        </w:rPr>
        <w:t xml:space="preserve"> </w:t>
      </w:r>
      <w:r w:rsidR="00F8494B">
        <w:rPr>
          <w:rFonts w:cs="Calibri"/>
          <w:sz w:val="24"/>
          <w:szCs w:val="24"/>
          <w:lang w:eastAsia="en-AU"/>
        </w:rPr>
        <w:t>are already required to comply with Australian Standards</w:t>
      </w:r>
      <w:r w:rsidR="004E06C7">
        <w:rPr>
          <w:rFonts w:cs="Calibri"/>
          <w:sz w:val="24"/>
          <w:szCs w:val="24"/>
          <w:lang w:eastAsia="en-AU"/>
        </w:rPr>
        <w:t>. As such, they</w:t>
      </w:r>
      <w:r w:rsidR="0063076F">
        <w:rPr>
          <w:rFonts w:cs="Calibri"/>
          <w:sz w:val="24"/>
          <w:szCs w:val="24"/>
          <w:lang w:eastAsia="en-AU"/>
        </w:rPr>
        <w:t xml:space="preserve"> </w:t>
      </w:r>
      <w:r w:rsidR="00F8494B">
        <w:rPr>
          <w:rFonts w:cs="Calibri"/>
          <w:sz w:val="24"/>
          <w:szCs w:val="24"/>
          <w:lang w:eastAsia="en-AU"/>
        </w:rPr>
        <w:t>already have a good working knowledge of these documents</w:t>
      </w:r>
      <w:r w:rsidR="0064342C">
        <w:rPr>
          <w:rFonts w:cs="Calibri"/>
          <w:sz w:val="24"/>
          <w:szCs w:val="24"/>
          <w:lang w:eastAsia="en-AU"/>
        </w:rPr>
        <w:t xml:space="preserve"> </w:t>
      </w:r>
      <w:r w:rsidR="0063076F">
        <w:rPr>
          <w:rFonts w:cs="Calibri"/>
          <w:sz w:val="24"/>
          <w:szCs w:val="24"/>
          <w:lang w:eastAsia="en-AU"/>
        </w:rPr>
        <w:t>to</w:t>
      </w:r>
      <w:r w:rsidR="0064342C">
        <w:rPr>
          <w:rFonts w:cs="Calibri"/>
          <w:sz w:val="24"/>
          <w:szCs w:val="24"/>
          <w:lang w:eastAsia="en-AU"/>
        </w:rPr>
        <w:t xml:space="preserve"> provide a report or any document </w:t>
      </w:r>
      <w:r w:rsidR="0063076F">
        <w:rPr>
          <w:rFonts w:cs="Calibri"/>
          <w:sz w:val="24"/>
          <w:szCs w:val="24"/>
          <w:lang w:eastAsia="en-AU"/>
        </w:rPr>
        <w:t>to</w:t>
      </w:r>
      <w:r w:rsidR="0064342C">
        <w:rPr>
          <w:rFonts w:cs="Calibri"/>
          <w:sz w:val="24"/>
          <w:szCs w:val="24"/>
          <w:lang w:eastAsia="en-AU"/>
        </w:rPr>
        <w:t xml:space="preserve"> the lessor</w:t>
      </w:r>
      <w:r w:rsidR="0063076F">
        <w:rPr>
          <w:rFonts w:cs="Calibri"/>
          <w:sz w:val="24"/>
          <w:szCs w:val="24"/>
          <w:lang w:eastAsia="en-AU"/>
        </w:rPr>
        <w:t xml:space="preserve"> (and subsequently, any prospective tenant)</w:t>
      </w:r>
      <w:r w:rsidR="0064342C">
        <w:rPr>
          <w:rFonts w:cs="Calibri"/>
          <w:sz w:val="24"/>
          <w:szCs w:val="24"/>
          <w:lang w:eastAsia="en-AU"/>
        </w:rPr>
        <w:t>.</w:t>
      </w:r>
    </w:p>
    <w:p w14:paraId="44011CC5" w14:textId="5B3F33E0" w:rsidR="00F8494B" w:rsidRDefault="00F8494B" w:rsidP="00655042">
      <w:pPr>
        <w:spacing w:after="0" w:line="240" w:lineRule="auto"/>
        <w:rPr>
          <w:sz w:val="24"/>
          <w:szCs w:val="24"/>
        </w:rPr>
      </w:pPr>
    </w:p>
    <w:p w14:paraId="63AE5335" w14:textId="07C0F95D" w:rsidR="001F44E5" w:rsidRPr="002F3DFC" w:rsidRDefault="0022242F" w:rsidP="002F3DFC">
      <w:pPr>
        <w:spacing w:after="0"/>
        <w:rPr>
          <w:sz w:val="24"/>
          <w:szCs w:val="24"/>
        </w:rPr>
      </w:pPr>
      <w:r w:rsidRPr="00711489">
        <w:rPr>
          <w:sz w:val="24"/>
          <w:szCs w:val="24"/>
        </w:rPr>
        <w:t xml:space="preserve">Finally, I note the Committee’s comments about the </w:t>
      </w:r>
      <w:r w:rsidR="0014556C">
        <w:rPr>
          <w:sz w:val="24"/>
          <w:szCs w:val="24"/>
        </w:rPr>
        <w:t>regulatory impact statement</w:t>
      </w:r>
      <w:r w:rsidRPr="00711489">
        <w:rPr>
          <w:sz w:val="24"/>
          <w:szCs w:val="24"/>
        </w:rPr>
        <w:t xml:space="preserve"> for the </w:t>
      </w:r>
      <w:r w:rsidR="00D80990" w:rsidRPr="00711489">
        <w:rPr>
          <w:sz w:val="24"/>
          <w:szCs w:val="24"/>
        </w:rPr>
        <w:t>regulation</w:t>
      </w:r>
      <w:r w:rsidRPr="00711489">
        <w:rPr>
          <w:sz w:val="24"/>
          <w:szCs w:val="24"/>
        </w:rPr>
        <w:t>.</w:t>
      </w:r>
      <w:r w:rsidR="001F44E5" w:rsidRPr="00711489">
        <w:rPr>
          <w:sz w:val="24"/>
          <w:szCs w:val="24"/>
        </w:rPr>
        <w:t xml:space="preserve"> </w:t>
      </w:r>
      <w:r w:rsidR="002F3DFC">
        <w:rPr>
          <w:rFonts w:cstheme="minorHAnsi"/>
          <w:bCs/>
          <w:color w:val="000000"/>
          <w:sz w:val="24"/>
          <w:szCs w:val="24"/>
        </w:rPr>
        <w:t>Section 136 of the</w:t>
      </w:r>
      <w:r w:rsidR="00711489" w:rsidRPr="00711489">
        <w:rPr>
          <w:rFonts w:cstheme="minorHAnsi"/>
          <w:bCs/>
          <w:color w:val="000000"/>
          <w:sz w:val="24"/>
          <w:szCs w:val="24"/>
        </w:rPr>
        <w:t xml:space="preserve"> </w:t>
      </w:r>
      <w:r w:rsidR="00711489" w:rsidRPr="00711489">
        <w:rPr>
          <w:rFonts w:cstheme="minorHAnsi"/>
          <w:i/>
          <w:iCs/>
          <w:sz w:val="24"/>
          <w:szCs w:val="24"/>
        </w:rPr>
        <w:t xml:space="preserve">Residential Tenancies Act 1997 </w:t>
      </w:r>
      <w:r w:rsidR="00711489" w:rsidRPr="00711489">
        <w:rPr>
          <w:rFonts w:cstheme="minorHAnsi"/>
          <w:sz w:val="24"/>
          <w:szCs w:val="24"/>
        </w:rPr>
        <w:t xml:space="preserve">(the Act) </w:t>
      </w:r>
      <w:r w:rsidR="002F3DFC">
        <w:rPr>
          <w:rFonts w:cstheme="minorHAnsi"/>
          <w:sz w:val="24"/>
          <w:szCs w:val="24"/>
        </w:rPr>
        <w:t xml:space="preserve">provides the power </w:t>
      </w:r>
      <w:r w:rsidR="00711489" w:rsidRPr="00711489">
        <w:rPr>
          <w:rFonts w:cstheme="minorHAnsi"/>
          <w:sz w:val="24"/>
          <w:szCs w:val="24"/>
        </w:rPr>
        <w:t xml:space="preserve">for a regulation to be </w:t>
      </w:r>
      <w:r w:rsidR="00711489" w:rsidRPr="00711489">
        <w:rPr>
          <w:rFonts w:cstheme="minorHAnsi"/>
          <w:sz w:val="24"/>
          <w:szCs w:val="24"/>
        </w:rPr>
        <w:lastRenderedPageBreak/>
        <w:t xml:space="preserve">made to require minimum standards for residential rental properties. </w:t>
      </w:r>
      <w:r w:rsidR="002F3DFC">
        <w:rPr>
          <w:rFonts w:cstheme="minorHAnsi"/>
          <w:sz w:val="24"/>
          <w:szCs w:val="24"/>
        </w:rPr>
        <w:t>T</w:t>
      </w:r>
      <w:r w:rsidR="00711489" w:rsidRPr="00711489">
        <w:rPr>
          <w:rFonts w:cstheme="minorHAnsi"/>
          <w:sz w:val="24"/>
          <w:szCs w:val="24"/>
        </w:rPr>
        <w:t xml:space="preserve">he regulation </w:t>
      </w:r>
      <w:r w:rsidR="002F3DFC">
        <w:rPr>
          <w:rFonts w:cstheme="minorHAnsi"/>
          <w:sz w:val="24"/>
          <w:szCs w:val="24"/>
        </w:rPr>
        <w:t>provides</w:t>
      </w:r>
      <w:r w:rsidR="00711489" w:rsidRPr="00711489">
        <w:rPr>
          <w:rFonts w:cstheme="minorHAnsi"/>
          <w:sz w:val="24"/>
          <w:szCs w:val="24"/>
        </w:rPr>
        <w:t xml:space="preserve"> a minimum energy efficiency standard for ceiling insulation (the standard) in residential rental properties in the ACT. </w:t>
      </w:r>
      <w:r w:rsidR="002F3DFC">
        <w:rPr>
          <w:rFonts w:cstheme="minorHAnsi"/>
          <w:sz w:val="24"/>
          <w:szCs w:val="24"/>
        </w:rPr>
        <w:t>I note paragraph 10</w:t>
      </w:r>
      <w:r w:rsidR="00982D74">
        <w:rPr>
          <w:rFonts w:cstheme="minorHAnsi"/>
          <w:sz w:val="24"/>
          <w:szCs w:val="24"/>
        </w:rPr>
        <w:t>(c)</w:t>
      </w:r>
      <w:r w:rsidR="002F3DFC">
        <w:rPr>
          <w:rFonts w:cstheme="minorHAnsi"/>
          <w:sz w:val="24"/>
          <w:szCs w:val="24"/>
        </w:rPr>
        <w:t xml:space="preserve"> </w:t>
      </w:r>
      <w:r w:rsidR="00982D74">
        <w:rPr>
          <w:rFonts w:cstheme="minorHAnsi"/>
          <w:sz w:val="24"/>
          <w:szCs w:val="24"/>
        </w:rPr>
        <w:t xml:space="preserve">and 10(d) </w:t>
      </w:r>
      <w:r w:rsidR="002F3DFC">
        <w:rPr>
          <w:rFonts w:cstheme="minorHAnsi"/>
          <w:sz w:val="24"/>
          <w:szCs w:val="24"/>
        </w:rPr>
        <w:t xml:space="preserve">of the Committee’s Resolution of Appointment and </w:t>
      </w:r>
      <w:r w:rsidR="002F3DFC">
        <w:rPr>
          <w:sz w:val="24"/>
          <w:szCs w:val="24"/>
        </w:rPr>
        <w:t xml:space="preserve">provide a discussion of the requirements of section 35 (h) of the </w:t>
      </w:r>
      <w:r w:rsidR="002F3DFC">
        <w:rPr>
          <w:i/>
          <w:iCs/>
          <w:sz w:val="24"/>
          <w:szCs w:val="24"/>
        </w:rPr>
        <w:t>Legislation Act 2001</w:t>
      </w:r>
      <w:r w:rsidR="002F3DFC">
        <w:rPr>
          <w:sz w:val="24"/>
          <w:szCs w:val="24"/>
        </w:rPr>
        <w:t>.</w:t>
      </w:r>
    </w:p>
    <w:p w14:paraId="3D0B6446" w14:textId="77777777" w:rsidR="00711489" w:rsidRPr="00711489" w:rsidRDefault="00711489" w:rsidP="00711489">
      <w:pPr>
        <w:spacing w:after="0" w:line="240" w:lineRule="auto"/>
        <w:rPr>
          <w:sz w:val="24"/>
          <w:szCs w:val="24"/>
        </w:rPr>
      </w:pPr>
    </w:p>
    <w:p w14:paraId="44742E59" w14:textId="002B416D" w:rsidR="00A12251" w:rsidRDefault="001F44E5" w:rsidP="00CD551D">
      <w:pPr>
        <w:pStyle w:val="ListParagraph"/>
        <w:numPr>
          <w:ilvl w:val="0"/>
          <w:numId w:val="1"/>
        </w:numPr>
        <w:spacing w:after="0"/>
        <w:ind w:left="426" w:hanging="375"/>
        <w:rPr>
          <w:sz w:val="24"/>
          <w:szCs w:val="24"/>
        </w:rPr>
      </w:pPr>
      <w:r w:rsidRPr="00931992">
        <w:rPr>
          <w:sz w:val="24"/>
          <w:szCs w:val="24"/>
        </w:rPr>
        <w:t xml:space="preserve">The </w:t>
      </w:r>
      <w:r w:rsidR="00D80990">
        <w:rPr>
          <w:sz w:val="24"/>
          <w:szCs w:val="24"/>
        </w:rPr>
        <w:t>r</w:t>
      </w:r>
      <w:r w:rsidRPr="00931992">
        <w:rPr>
          <w:sz w:val="24"/>
          <w:szCs w:val="24"/>
        </w:rPr>
        <w:t>egulation</w:t>
      </w:r>
      <w:r w:rsidRPr="00931992">
        <w:rPr>
          <w:i/>
          <w:iCs/>
          <w:sz w:val="24"/>
          <w:szCs w:val="24"/>
        </w:rPr>
        <w:t xml:space="preserve"> </w:t>
      </w:r>
      <w:r w:rsidRPr="00931992">
        <w:rPr>
          <w:sz w:val="24"/>
          <w:szCs w:val="24"/>
        </w:rPr>
        <w:t xml:space="preserve">is consistent with the </w:t>
      </w:r>
      <w:r w:rsidR="0014556C">
        <w:rPr>
          <w:sz w:val="24"/>
          <w:szCs w:val="24"/>
        </w:rPr>
        <w:t xml:space="preserve">general </w:t>
      </w:r>
      <w:r w:rsidRPr="00931992">
        <w:rPr>
          <w:sz w:val="24"/>
          <w:szCs w:val="24"/>
        </w:rPr>
        <w:t>objects of the Act</w:t>
      </w:r>
      <w:r w:rsidR="0014556C">
        <w:rPr>
          <w:sz w:val="24"/>
          <w:szCs w:val="24"/>
        </w:rPr>
        <w:t xml:space="preserve"> under which it is made</w:t>
      </w:r>
      <w:r w:rsidRPr="00931992">
        <w:rPr>
          <w:sz w:val="24"/>
          <w:szCs w:val="24"/>
        </w:rPr>
        <w:t xml:space="preserve">.  </w:t>
      </w:r>
    </w:p>
    <w:p w14:paraId="14E299F1" w14:textId="77777777" w:rsidR="00D80990" w:rsidRDefault="00D80990" w:rsidP="00A12251">
      <w:pPr>
        <w:spacing w:after="0"/>
        <w:rPr>
          <w:sz w:val="24"/>
          <w:szCs w:val="24"/>
          <w:u w:val="single"/>
        </w:rPr>
      </w:pPr>
    </w:p>
    <w:p w14:paraId="5733F34A" w14:textId="3B67BCD1" w:rsidR="00CD551D" w:rsidRPr="00CD551D" w:rsidRDefault="00A74277" w:rsidP="00CD551D">
      <w:pPr>
        <w:pStyle w:val="ListParagraph"/>
        <w:numPr>
          <w:ilvl w:val="0"/>
          <w:numId w:val="1"/>
        </w:numPr>
        <w:spacing w:after="0"/>
        <w:ind w:left="426" w:hanging="375"/>
        <w:rPr>
          <w:iCs/>
          <w:sz w:val="24"/>
          <w:szCs w:val="24"/>
          <w:lang w:eastAsia="en-AU"/>
        </w:rPr>
      </w:pPr>
      <w:r w:rsidRPr="005B267F">
        <w:rPr>
          <w:sz w:val="24"/>
          <w:szCs w:val="24"/>
        </w:rPr>
        <w:t xml:space="preserve">The </w:t>
      </w:r>
      <w:r w:rsidR="00D80990">
        <w:rPr>
          <w:sz w:val="24"/>
          <w:szCs w:val="24"/>
        </w:rPr>
        <w:t>r</w:t>
      </w:r>
      <w:r w:rsidRPr="005B267F">
        <w:rPr>
          <w:sz w:val="24"/>
          <w:szCs w:val="24"/>
        </w:rPr>
        <w:t>egulation</w:t>
      </w:r>
      <w:r w:rsidR="00711489">
        <w:rPr>
          <w:sz w:val="24"/>
          <w:szCs w:val="24"/>
        </w:rPr>
        <w:t xml:space="preserve"> does not unduly trespass on rights previously established by law</w:t>
      </w:r>
      <w:r w:rsidR="00CD551D">
        <w:rPr>
          <w:sz w:val="24"/>
          <w:szCs w:val="24"/>
        </w:rPr>
        <w:t xml:space="preserve"> however as an additional transparency measure, t</w:t>
      </w:r>
      <w:r w:rsidR="00711489">
        <w:rPr>
          <w:sz w:val="24"/>
          <w:szCs w:val="24"/>
        </w:rPr>
        <w:t xml:space="preserve">he </w:t>
      </w:r>
      <w:r w:rsidR="00CD551D">
        <w:rPr>
          <w:sz w:val="24"/>
          <w:szCs w:val="24"/>
        </w:rPr>
        <w:t>r</w:t>
      </w:r>
      <w:r w:rsidR="00711489">
        <w:rPr>
          <w:sz w:val="24"/>
          <w:szCs w:val="24"/>
        </w:rPr>
        <w:t>egulation</w:t>
      </w:r>
      <w:r w:rsidR="00CD551D">
        <w:rPr>
          <w:sz w:val="24"/>
          <w:szCs w:val="24"/>
        </w:rPr>
        <w:t xml:space="preserve"> </w:t>
      </w:r>
      <w:r w:rsidRPr="005B267F">
        <w:rPr>
          <w:sz w:val="24"/>
          <w:szCs w:val="24"/>
        </w:rPr>
        <w:t xml:space="preserve">has been analysed for </w:t>
      </w:r>
      <w:r w:rsidR="0014556C">
        <w:rPr>
          <w:sz w:val="24"/>
          <w:szCs w:val="24"/>
        </w:rPr>
        <w:t>compatibility</w:t>
      </w:r>
      <w:r w:rsidRPr="005B267F">
        <w:rPr>
          <w:sz w:val="24"/>
          <w:szCs w:val="24"/>
        </w:rPr>
        <w:t xml:space="preserve"> with the </w:t>
      </w:r>
      <w:r w:rsidRPr="00D80990">
        <w:rPr>
          <w:i/>
          <w:iCs/>
          <w:sz w:val="24"/>
          <w:szCs w:val="24"/>
        </w:rPr>
        <w:t>Human Rights Act 2004</w:t>
      </w:r>
      <w:r w:rsidRPr="005B267F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Pr="005B267F">
        <w:rPr>
          <w:sz w:val="24"/>
          <w:szCs w:val="24"/>
        </w:rPr>
        <w:t xml:space="preserve">he </w:t>
      </w:r>
      <w:r w:rsidR="00D80990">
        <w:rPr>
          <w:sz w:val="24"/>
          <w:szCs w:val="24"/>
        </w:rPr>
        <w:t>r</w:t>
      </w:r>
      <w:r w:rsidRPr="005B267F">
        <w:rPr>
          <w:sz w:val="24"/>
          <w:szCs w:val="24"/>
        </w:rPr>
        <w:t xml:space="preserve">egulation will marginally limit the right </w:t>
      </w:r>
      <w:r w:rsidR="0014556C">
        <w:rPr>
          <w:sz w:val="24"/>
          <w:szCs w:val="24"/>
        </w:rPr>
        <w:t>to</w:t>
      </w:r>
      <w:r w:rsidRPr="005B267F">
        <w:rPr>
          <w:sz w:val="24"/>
          <w:szCs w:val="24"/>
        </w:rPr>
        <w:t xml:space="preserve"> privacy for lessors in relation to their rental properties and may also limit the rights of tenants to privacy if upgrades are required at the</w:t>
      </w:r>
      <w:r w:rsidR="0014556C">
        <w:rPr>
          <w:sz w:val="24"/>
          <w:szCs w:val="24"/>
        </w:rPr>
        <w:t>ir</w:t>
      </w:r>
      <w:r w:rsidRPr="005B267F">
        <w:rPr>
          <w:sz w:val="24"/>
          <w:szCs w:val="24"/>
        </w:rPr>
        <w:t xml:space="preserve"> rental premises to meet the standard during a period of tenant occupation. </w:t>
      </w:r>
    </w:p>
    <w:p w14:paraId="1E9D520A" w14:textId="77777777" w:rsidR="00CD551D" w:rsidRPr="00CD551D" w:rsidRDefault="00CD551D" w:rsidP="00CD551D">
      <w:pPr>
        <w:pStyle w:val="ListParagraph"/>
        <w:spacing w:after="0"/>
        <w:ind w:left="426"/>
        <w:rPr>
          <w:iCs/>
          <w:sz w:val="24"/>
          <w:szCs w:val="24"/>
          <w:lang w:eastAsia="en-AU"/>
        </w:rPr>
      </w:pPr>
    </w:p>
    <w:p w14:paraId="2F1FAE30" w14:textId="198B5FB7" w:rsidR="00A74277" w:rsidRPr="00D80990" w:rsidRDefault="00A74277" w:rsidP="00CD551D">
      <w:pPr>
        <w:pStyle w:val="ListParagraph"/>
        <w:spacing w:after="0"/>
        <w:ind w:left="426"/>
        <w:rPr>
          <w:iCs/>
          <w:sz w:val="24"/>
          <w:szCs w:val="24"/>
          <w:lang w:eastAsia="en-AU"/>
        </w:rPr>
      </w:pPr>
      <w:r w:rsidRPr="005B267F">
        <w:rPr>
          <w:sz w:val="24"/>
          <w:szCs w:val="24"/>
        </w:rPr>
        <w:t xml:space="preserve">The requirement for </w:t>
      </w:r>
      <w:r>
        <w:rPr>
          <w:sz w:val="24"/>
          <w:szCs w:val="24"/>
        </w:rPr>
        <w:t xml:space="preserve">a </w:t>
      </w:r>
      <w:r w:rsidRPr="005B267F">
        <w:rPr>
          <w:sz w:val="24"/>
          <w:szCs w:val="24"/>
        </w:rPr>
        <w:t xml:space="preserve">lessor to </w:t>
      </w:r>
      <w:r>
        <w:rPr>
          <w:sz w:val="24"/>
          <w:szCs w:val="24"/>
        </w:rPr>
        <w:t xml:space="preserve">maintain and </w:t>
      </w:r>
      <w:r w:rsidRPr="005B267F">
        <w:rPr>
          <w:sz w:val="24"/>
          <w:szCs w:val="24"/>
        </w:rPr>
        <w:t xml:space="preserve">disclose documents pertaining to the property </w:t>
      </w:r>
      <w:r>
        <w:rPr>
          <w:sz w:val="24"/>
          <w:szCs w:val="24"/>
        </w:rPr>
        <w:t xml:space="preserve">to their tenants on request </w:t>
      </w:r>
      <w:r w:rsidRPr="005B267F">
        <w:rPr>
          <w:sz w:val="24"/>
          <w:szCs w:val="24"/>
        </w:rPr>
        <w:t xml:space="preserve">is intended to ensure lessors comply with the standard and </w:t>
      </w:r>
      <w:r>
        <w:rPr>
          <w:sz w:val="24"/>
          <w:szCs w:val="24"/>
        </w:rPr>
        <w:t xml:space="preserve">give </w:t>
      </w:r>
      <w:r w:rsidRPr="005B267F">
        <w:rPr>
          <w:sz w:val="24"/>
          <w:szCs w:val="24"/>
        </w:rPr>
        <w:t xml:space="preserve">tenants </w:t>
      </w:r>
      <w:r>
        <w:rPr>
          <w:sz w:val="24"/>
          <w:szCs w:val="24"/>
        </w:rPr>
        <w:t>confidence that the property mee</w:t>
      </w:r>
      <w:r w:rsidR="00711489">
        <w:rPr>
          <w:sz w:val="24"/>
          <w:szCs w:val="24"/>
        </w:rPr>
        <w:t>ts</w:t>
      </w:r>
      <w:r>
        <w:rPr>
          <w:sz w:val="24"/>
          <w:szCs w:val="24"/>
        </w:rPr>
        <w:t xml:space="preserve"> the standard. In relation to </w:t>
      </w:r>
      <w:r w:rsidRPr="005B267F">
        <w:rPr>
          <w:sz w:val="24"/>
          <w:szCs w:val="24"/>
        </w:rPr>
        <w:t>tenant rights with respect to home and privacy</w:t>
      </w:r>
      <w:r>
        <w:rPr>
          <w:sz w:val="24"/>
          <w:szCs w:val="24"/>
        </w:rPr>
        <w:t xml:space="preserve">, </w:t>
      </w:r>
      <w:r w:rsidR="00CD551D">
        <w:rPr>
          <w:sz w:val="24"/>
          <w:szCs w:val="24"/>
        </w:rPr>
        <w:t>u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 xml:space="preserve">nder the regulation, tenants have the right to refuse to have the insulation </w:t>
      </w:r>
      <w:r w:rsidR="0014556C">
        <w:rPr>
          <w:rFonts w:cstheme="minorHAnsi"/>
          <w:iCs/>
          <w:sz w:val="24"/>
          <w:szCs w:val="24"/>
          <w:lang w:eastAsia="en-AU"/>
        </w:rPr>
        <w:t xml:space="preserve">of their rental premises 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 xml:space="preserve">upgraded. The standard tenancy agreement terms protect the rights of tenants to private enjoyment of the property and apply to lessors making upgrades, meaning that lessors must give notice to tenants </w:t>
      </w:r>
      <w:r w:rsidR="0014556C">
        <w:rPr>
          <w:rFonts w:cstheme="minorHAnsi"/>
          <w:iCs/>
          <w:sz w:val="24"/>
          <w:szCs w:val="24"/>
          <w:lang w:eastAsia="en-AU"/>
        </w:rPr>
        <w:t>before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 xml:space="preserve"> undertak</w:t>
      </w:r>
      <w:r w:rsidR="0014556C">
        <w:rPr>
          <w:rFonts w:cstheme="minorHAnsi"/>
          <w:iCs/>
          <w:sz w:val="24"/>
          <w:szCs w:val="24"/>
          <w:lang w:eastAsia="en-AU"/>
        </w:rPr>
        <w:t>ing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 xml:space="preserve"> maintenance. These protections for tenants</w:t>
      </w:r>
      <w:r w:rsidR="00982D74">
        <w:rPr>
          <w:rFonts w:cstheme="minorHAnsi"/>
          <w:iCs/>
          <w:sz w:val="24"/>
          <w:szCs w:val="24"/>
          <w:lang w:eastAsia="en-AU"/>
        </w:rPr>
        <w:t>’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 xml:space="preserve"> rights balance the limitation on </w:t>
      </w:r>
      <w:r w:rsidR="0014556C">
        <w:rPr>
          <w:rFonts w:cstheme="minorHAnsi"/>
          <w:iCs/>
          <w:sz w:val="24"/>
          <w:szCs w:val="24"/>
          <w:lang w:eastAsia="en-AU"/>
        </w:rPr>
        <w:t xml:space="preserve">a </w:t>
      </w:r>
      <w:r w:rsidR="00CD551D" w:rsidRPr="00CD551D">
        <w:rPr>
          <w:rFonts w:cstheme="minorHAnsi"/>
          <w:iCs/>
          <w:sz w:val="24"/>
          <w:szCs w:val="24"/>
          <w:lang w:eastAsia="en-AU"/>
        </w:rPr>
        <w:t>tenant’s right to privacy and home, ensuring proportionality.</w:t>
      </w:r>
    </w:p>
    <w:p w14:paraId="4486F6A7" w14:textId="497C032A" w:rsidR="00D80990" w:rsidRDefault="00D80990" w:rsidP="00D80990">
      <w:pPr>
        <w:spacing w:after="0"/>
        <w:rPr>
          <w:sz w:val="24"/>
          <w:szCs w:val="24"/>
          <w:u w:val="single"/>
        </w:rPr>
      </w:pPr>
    </w:p>
    <w:p w14:paraId="4E830885" w14:textId="6D066B80" w:rsidR="001F44E5" w:rsidRDefault="001F44E5" w:rsidP="00CD551D">
      <w:pPr>
        <w:pStyle w:val="ListParagraph"/>
        <w:numPr>
          <w:ilvl w:val="0"/>
          <w:numId w:val="1"/>
        </w:numPr>
        <w:spacing w:after="0"/>
        <w:ind w:left="426" w:hanging="375"/>
        <w:rPr>
          <w:rStyle w:val="ui-provider"/>
          <w:sz w:val="24"/>
          <w:szCs w:val="24"/>
        </w:rPr>
      </w:pPr>
      <w:r w:rsidRPr="00931992">
        <w:rPr>
          <w:rStyle w:val="ui-provider"/>
          <w:sz w:val="24"/>
          <w:szCs w:val="24"/>
        </w:rPr>
        <w:t xml:space="preserve"> Th</w:t>
      </w:r>
      <w:r w:rsidR="00711489">
        <w:rPr>
          <w:rStyle w:val="ui-provider"/>
          <w:sz w:val="24"/>
          <w:szCs w:val="24"/>
        </w:rPr>
        <w:t>e</w:t>
      </w:r>
      <w:r w:rsidRPr="00931992">
        <w:rPr>
          <w:rStyle w:val="ui-provider"/>
          <w:sz w:val="24"/>
          <w:szCs w:val="24"/>
        </w:rPr>
        <w:t xml:space="preserve"> regulation does not contain any non-reviewable decisions</w:t>
      </w:r>
      <w:r w:rsidR="00CD551D">
        <w:rPr>
          <w:rStyle w:val="ui-provider"/>
          <w:sz w:val="24"/>
          <w:szCs w:val="24"/>
        </w:rPr>
        <w:t>.</w:t>
      </w:r>
    </w:p>
    <w:p w14:paraId="6314B01A" w14:textId="2BB4D0EE" w:rsidR="00D80990" w:rsidRDefault="00D80990" w:rsidP="00D80990">
      <w:pPr>
        <w:pStyle w:val="ListParagraph"/>
        <w:spacing w:after="0"/>
        <w:ind w:left="771"/>
        <w:rPr>
          <w:rStyle w:val="ui-provider"/>
          <w:sz w:val="24"/>
          <w:szCs w:val="24"/>
        </w:rPr>
      </w:pPr>
    </w:p>
    <w:p w14:paraId="2CAB8942" w14:textId="6771F9CA" w:rsidR="001F44E5" w:rsidRPr="00711489" w:rsidRDefault="001F44E5" w:rsidP="00CD551D">
      <w:pPr>
        <w:pStyle w:val="ListParagraph"/>
        <w:numPr>
          <w:ilvl w:val="0"/>
          <w:numId w:val="1"/>
        </w:numPr>
        <w:spacing w:after="0"/>
        <w:ind w:left="426" w:hanging="375"/>
        <w:rPr>
          <w:sz w:val="24"/>
          <w:szCs w:val="24"/>
        </w:rPr>
      </w:pPr>
      <w:r w:rsidRPr="00711489">
        <w:rPr>
          <w:sz w:val="24"/>
          <w:szCs w:val="24"/>
        </w:rPr>
        <w:t>The</w:t>
      </w:r>
      <w:r w:rsidR="00711489" w:rsidRPr="00711489">
        <w:rPr>
          <w:sz w:val="24"/>
          <w:szCs w:val="24"/>
        </w:rPr>
        <w:t xml:space="preserve"> </w:t>
      </w:r>
      <w:r w:rsidR="00711489" w:rsidRPr="00CD551D">
        <w:rPr>
          <w:rStyle w:val="ui-provider"/>
        </w:rPr>
        <w:t>regulation</w:t>
      </w:r>
      <w:r w:rsidR="00711489" w:rsidRPr="00711489">
        <w:rPr>
          <w:sz w:val="24"/>
          <w:szCs w:val="24"/>
        </w:rPr>
        <w:t xml:space="preserve"> does not contain any matters which should more properly be dealt with in an Act of the Assembly. The</w:t>
      </w:r>
      <w:r w:rsidRPr="00711489">
        <w:rPr>
          <w:sz w:val="24"/>
          <w:szCs w:val="24"/>
        </w:rPr>
        <w:t xml:space="preserve"> </w:t>
      </w:r>
      <w:r w:rsidR="00711489" w:rsidRPr="00982D74">
        <w:rPr>
          <w:rFonts w:cstheme="minorHAnsi"/>
          <w:sz w:val="24"/>
          <w:szCs w:val="24"/>
        </w:rPr>
        <w:t>Residential Tenancies Legislation Amendment Bill 2022</w:t>
      </w:r>
      <w:r w:rsidR="00711489" w:rsidRPr="00711489">
        <w:rPr>
          <w:rFonts w:cstheme="minorHAnsi"/>
          <w:sz w:val="24"/>
          <w:szCs w:val="24"/>
        </w:rPr>
        <w:t xml:space="preserve"> (the Bill) proposes changes to the minimum housing standards provisions in the</w:t>
      </w:r>
      <w:r w:rsidR="00982D74">
        <w:rPr>
          <w:rFonts w:cstheme="minorHAnsi"/>
          <w:sz w:val="24"/>
          <w:szCs w:val="24"/>
        </w:rPr>
        <w:t xml:space="preserve"> Act</w:t>
      </w:r>
      <w:r w:rsidR="00711489" w:rsidRPr="00711489">
        <w:rPr>
          <w:rFonts w:cstheme="minorHAnsi"/>
          <w:sz w:val="24"/>
          <w:szCs w:val="24"/>
        </w:rPr>
        <w:t xml:space="preserve">. The provisions relating to the standard that are not appropriate for </w:t>
      </w:r>
      <w:r w:rsidR="0014556C">
        <w:rPr>
          <w:rFonts w:cstheme="minorHAnsi"/>
          <w:sz w:val="24"/>
          <w:szCs w:val="24"/>
        </w:rPr>
        <w:t xml:space="preserve">inclusion in </w:t>
      </w:r>
      <w:r w:rsidR="00711489" w:rsidRPr="00711489">
        <w:rPr>
          <w:rFonts w:cstheme="minorHAnsi"/>
          <w:sz w:val="24"/>
          <w:szCs w:val="24"/>
        </w:rPr>
        <w:t xml:space="preserve">subordinate legislation have been introduced to the Legislative Assembly </w:t>
      </w:r>
      <w:r w:rsidR="0014556C">
        <w:rPr>
          <w:rFonts w:cstheme="minorHAnsi"/>
          <w:sz w:val="24"/>
          <w:szCs w:val="24"/>
        </w:rPr>
        <w:t xml:space="preserve">in the Bill </w:t>
      </w:r>
      <w:r w:rsidR="00711489" w:rsidRPr="00711489">
        <w:rPr>
          <w:rFonts w:cstheme="minorHAnsi"/>
          <w:sz w:val="24"/>
          <w:szCs w:val="24"/>
        </w:rPr>
        <w:t xml:space="preserve">and will be the subject of debate, including (among other provisions) mandatory disclosure of compliance with the standard, and the right of </w:t>
      </w:r>
      <w:r w:rsidR="0014556C">
        <w:rPr>
          <w:rFonts w:cstheme="minorHAnsi"/>
          <w:sz w:val="24"/>
          <w:szCs w:val="24"/>
        </w:rPr>
        <w:t>a</w:t>
      </w:r>
      <w:r w:rsidR="00711489" w:rsidRPr="00711489">
        <w:rPr>
          <w:rFonts w:cstheme="minorHAnsi"/>
          <w:sz w:val="24"/>
          <w:szCs w:val="24"/>
        </w:rPr>
        <w:t xml:space="preserve"> tenant to request records in relation to compliance with the standard.</w:t>
      </w:r>
    </w:p>
    <w:p w14:paraId="510E1848" w14:textId="24C652B5" w:rsidR="00897668" w:rsidRDefault="00897668" w:rsidP="00655042">
      <w:pPr>
        <w:spacing w:after="0" w:line="240" w:lineRule="auto"/>
        <w:rPr>
          <w:sz w:val="24"/>
          <w:szCs w:val="24"/>
        </w:rPr>
      </w:pPr>
    </w:p>
    <w:p w14:paraId="5611E988" w14:textId="068B193A" w:rsidR="00AD7D31" w:rsidRPr="00A031A0" w:rsidRDefault="0064342C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trust this </w:t>
      </w:r>
      <w:r w:rsidR="0063076F">
        <w:rPr>
          <w:sz w:val="24"/>
          <w:szCs w:val="24"/>
        </w:rPr>
        <w:t>information is of assistance.</w:t>
      </w:r>
    </w:p>
    <w:p w14:paraId="0838F408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0BF6806C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18E6B2FE" w14:textId="77777777" w:rsidR="0063076F" w:rsidRDefault="0063076F" w:rsidP="00AD7D31">
      <w:pPr>
        <w:spacing w:after="0" w:line="240" w:lineRule="auto"/>
        <w:rPr>
          <w:sz w:val="24"/>
          <w:szCs w:val="24"/>
        </w:rPr>
      </w:pPr>
    </w:p>
    <w:p w14:paraId="49B2AE8D" w14:textId="77777777" w:rsidR="001F44E5" w:rsidRDefault="001F44E5" w:rsidP="00AD7D31">
      <w:pPr>
        <w:spacing w:after="0" w:line="240" w:lineRule="auto"/>
        <w:rPr>
          <w:sz w:val="24"/>
          <w:szCs w:val="24"/>
        </w:rPr>
      </w:pPr>
    </w:p>
    <w:p w14:paraId="696EEBC1" w14:textId="66DF37CE" w:rsidR="00725519" w:rsidRPr="007B7CD9" w:rsidRDefault="00834846" w:rsidP="001F44E5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  <w:r w:rsidR="00F255AE"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sectPr w:rsidR="00725519" w:rsidRPr="007B7CD9" w:rsidSect="003D4C74">
      <w:headerReference w:type="first" r:id="rId12"/>
      <w:footerReference w:type="first" r:id="rId13"/>
      <w:pgSz w:w="11906" w:h="16838" w:code="9"/>
      <w:pgMar w:top="1418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62B4" w14:textId="77777777" w:rsidR="003D6DAE" w:rsidRDefault="003D6DAE" w:rsidP="00AD7D31">
      <w:pPr>
        <w:spacing w:after="0" w:line="240" w:lineRule="auto"/>
      </w:pPr>
      <w:r>
        <w:separator/>
      </w:r>
    </w:p>
  </w:endnote>
  <w:endnote w:type="continuationSeparator" w:id="0">
    <w:p w14:paraId="729BAD15" w14:textId="77777777" w:rsidR="003D6DAE" w:rsidRDefault="003D6DAE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CD08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3A9DBF8" wp14:editId="0668ADB0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21" name="Picture 2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4C1B185D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1362B088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656D65E7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46828226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17C7C7E5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664C58BB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78DBDE53" wp14:editId="25ED087F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9EB33A6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19F4F526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16BAACF" wp14:editId="6A84834A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BB4FF7C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7DB13720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30EB4A7A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4D94F1F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8ADA1A5" wp14:editId="381F2922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750B850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6612E9FE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E79D04D" wp14:editId="4238D05F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9DEFD9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</w:p>
      </w:tc>
      <w:tc>
        <w:tcPr>
          <w:tcW w:w="2268" w:type="dxa"/>
          <w:vAlign w:val="center"/>
        </w:tcPr>
        <w:p w14:paraId="7EA792A1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89EA169" wp14:editId="18A2E4E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DBBEF3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</w:tr>
  </w:tbl>
  <w:p w14:paraId="129CC495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232E48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9CF9" w14:textId="77777777" w:rsidR="003D6DAE" w:rsidRDefault="003D6DAE" w:rsidP="00AD7D31">
      <w:pPr>
        <w:spacing w:after="0" w:line="240" w:lineRule="auto"/>
      </w:pPr>
      <w:r>
        <w:separator/>
      </w:r>
    </w:p>
  </w:footnote>
  <w:footnote w:type="continuationSeparator" w:id="0">
    <w:p w14:paraId="4599C1B2" w14:textId="77777777" w:rsidR="003D6DAE" w:rsidRDefault="003D6DAE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6F9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74500E9" wp14:editId="3D40B772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6CA7138" wp14:editId="4F666542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458B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4806F927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4E912C54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6476ED1" wp14:editId="1D73199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B57489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r>
      <w:rPr>
        <w:rFonts w:ascii="Calibri" w:hAnsi="Calibri"/>
        <w:sz w:val="20"/>
        <w:szCs w:val="20"/>
      </w:rPr>
      <w:t>Kurrajong</w:t>
    </w:r>
  </w:p>
  <w:p w14:paraId="325E6038" w14:textId="77777777" w:rsidR="00A6097C" w:rsidRPr="00AC0A11" w:rsidRDefault="00AC0A11" w:rsidP="00F255AE">
    <w:pPr>
      <w:pStyle w:val="Portfolio"/>
      <w:spacing w:after="80" w:line="240" w:lineRule="exact"/>
      <w:ind w:right="-626"/>
      <w:rPr>
        <w:rFonts w:ascii="Calibri" w:hAnsi="Calibri"/>
        <w:sz w:val="22"/>
        <w:szCs w:val="22"/>
      </w:rPr>
    </w:pPr>
    <w:r>
      <w:rPr>
        <w:rFonts w:ascii="Calibri" w:hAnsi="Calibri"/>
        <w:sz w:val="20"/>
        <w:szCs w:val="20"/>
      </w:rPr>
      <w:t xml:space="preserve">                                     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 xml:space="preserve">         </w:t>
    </w:r>
    <w:r w:rsidRPr="00AC0A11">
      <w:rPr>
        <w:rFonts w:ascii="Calibri" w:hAnsi="Calibri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940"/>
    <w:multiLevelType w:val="hybridMultilevel"/>
    <w:tmpl w:val="3A565F3A"/>
    <w:lvl w:ilvl="0" w:tplc="1E2839FE">
      <w:start w:val="1"/>
      <w:numFmt w:val="lowerRoman"/>
      <w:lvlText w:val="%1."/>
      <w:lvlJc w:val="left"/>
      <w:pPr>
        <w:ind w:left="7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1" w:hanging="360"/>
      </w:pPr>
    </w:lvl>
    <w:lvl w:ilvl="2" w:tplc="0C09001B" w:tentative="1">
      <w:start w:val="1"/>
      <w:numFmt w:val="lowerRoman"/>
      <w:lvlText w:val="%3."/>
      <w:lvlJc w:val="right"/>
      <w:pPr>
        <w:ind w:left="1851" w:hanging="180"/>
      </w:pPr>
    </w:lvl>
    <w:lvl w:ilvl="3" w:tplc="0C09000F" w:tentative="1">
      <w:start w:val="1"/>
      <w:numFmt w:val="decimal"/>
      <w:lvlText w:val="%4."/>
      <w:lvlJc w:val="left"/>
      <w:pPr>
        <w:ind w:left="2571" w:hanging="360"/>
      </w:pPr>
    </w:lvl>
    <w:lvl w:ilvl="4" w:tplc="0C090019" w:tentative="1">
      <w:start w:val="1"/>
      <w:numFmt w:val="lowerLetter"/>
      <w:lvlText w:val="%5."/>
      <w:lvlJc w:val="left"/>
      <w:pPr>
        <w:ind w:left="3291" w:hanging="360"/>
      </w:pPr>
    </w:lvl>
    <w:lvl w:ilvl="5" w:tplc="0C09001B" w:tentative="1">
      <w:start w:val="1"/>
      <w:numFmt w:val="lowerRoman"/>
      <w:lvlText w:val="%6."/>
      <w:lvlJc w:val="right"/>
      <w:pPr>
        <w:ind w:left="4011" w:hanging="180"/>
      </w:pPr>
    </w:lvl>
    <w:lvl w:ilvl="6" w:tplc="0C09000F" w:tentative="1">
      <w:start w:val="1"/>
      <w:numFmt w:val="decimal"/>
      <w:lvlText w:val="%7."/>
      <w:lvlJc w:val="left"/>
      <w:pPr>
        <w:ind w:left="4731" w:hanging="360"/>
      </w:pPr>
    </w:lvl>
    <w:lvl w:ilvl="7" w:tplc="0C090019" w:tentative="1">
      <w:start w:val="1"/>
      <w:numFmt w:val="lowerLetter"/>
      <w:lvlText w:val="%8."/>
      <w:lvlJc w:val="left"/>
      <w:pPr>
        <w:ind w:left="5451" w:hanging="360"/>
      </w:pPr>
    </w:lvl>
    <w:lvl w:ilvl="8" w:tplc="0C0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127062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7F"/>
    <w:rsid w:val="00003B4A"/>
    <w:rsid w:val="000125FC"/>
    <w:rsid w:val="00027AFE"/>
    <w:rsid w:val="0006323E"/>
    <w:rsid w:val="0006371F"/>
    <w:rsid w:val="000C331E"/>
    <w:rsid w:val="00131016"/>
    <w:rsid w:val="00133EED"/>
    <w:rsid w:val="00144498"/>
    <w:rsid w:val="001450DC"/>
    <w:rsid w:val="0014556C"/>
    <w:rsid w:val="001517AC"/>
    <w:rsid w:val="001804F3"/>
    <w:rsid w:val="001851B2"/>
    <w:rsid w:val="00195EAD"/>
    <w:rsid w:val="001D7389"/>
    <w:rsid w:val="001E1C2A"/>
    <w:rsid w:val="001F44E5"/>
    <w:rsid w:val="0022242F"/>
    <w:rsid w:val="00240F3E"/>
    <w:rsid w:val="002450E9"/>
    <w:rsid w:val="00261999"/>
    <w:rsid w:val="002A2093"/>
    <w:rsid w:val="002D4441"/>
    <w:rsid w:val="002E1D40"/>
    <w:rsid w:val="002F3DFC"/>
    <w:rsid w:val="00313E4A"/>
    <w:rsid w:val="00392E07"/>
    <w:rsid w:val="003D4C74"/>
    <w:rsid w:val="003D6DAE"/>
    <w:rsid w:val="003E4068"/>
    <w:rsid w:val="0041104E"/>
    <w:rsid w:val="0043223E"/>
    <w:rsid w:val="004517FA"/>
    <w:rsid w:val="00455C28"/>
    <w:rsid w:val="004971F4"/>
    <w:rsid w:val="004E06C7"/>
    <w:rsid w:val="005351C5"/>
    <w:rsid w:val="00551379"/>
    <w:rsid w:val="0055749D"/>
    <w:rsid w:val="005915BF"/>
    <w:rsid w:val="005C4787"/>
    <w:rsid w:val="005D6A62"/>
    <w:rsid w:val="005E7DE1"/>
    <w:rsid w:val="0061634E"/>
    <w:rsid w:val="00622D72"/>
    <w:rsid w:val="0063076F"/>
    <w:rsid w:val="0064342C"/>
    <w:rsid w:val="0064748B"/>
    <w:rsid w:val="00655042"/>
    <w:rsid w:val="00655CD8"/>
    <w:rsid w:val="00696899"/>
    <w:rsid w:val="006A1B70"/>
    <w:rsid w:val="006C2D7F"/>
    <w:rsid w:val="006C6335"/>
    <w:rsid w:val="006F4E04"/>
    <w:rsid w:val="00711489"/>
    <w:rsid w:val="00712BA7"/>
    <w:rsid w:val="00725519"/>
    <w:rsid w:val="00742013"/>
    <w:rsid w:val="00751F7B"/>
    <w:rsid w:val="00753B55"/>
    <w:rsid w:val="00795E1D"/>
    <w:rsid w:val="007B465C"/>
    <w:rsid w:val="007B7CD9"/>
    <w:rsid w:val="007D17EF"/>
    <w:rsid w:val="007D7FAC"/>
    <w:rsid w:val="007F5BA8"/>
    <w:rsid w:val="00806ACB"/>
    <w:rsid w:val="00834846"/>
    <w:rsid w:val="00855531"/>
    <w:rsid w:val="00897668"/>
    <w:rsid w:val="008A04F4"/>
    <w:rsid w:val="008B0C9A"/>
    <w:rsid w:val="008C5119"/>
    <w:rsid w:val="008D15E5"/>
    <w:rsid w:val="008D37E0"/>
    <w:rsid w:val="008F2CA2"/>
    <w:rsid w:val="00905F4F"/>
    <w:rsid w:val="00907257"/>
    <w:rsid w:val="009438C3"/>
    <w:rsid w:val="00956F0A"/>
    <w:rsid w:val="00960FDD"/>
    <w:rsid w:val="00982D74"/>
    <w:rsid w:val="009B6D21"/>
    <w:rsid w:val="009B7D00"/>
    <w:rsid w:val="009C2877"/>
    <w:rsid w:val="00A031A0"/>
    <w:rsid w:val="00A06721"/>
    <w:rsid w:val="00A12251"/>
    <w:rsid w:val="00A2718B"/>
    <w:rsid w:val="00A301ED"/>
    <w:rsid w:val="00A6097C"/>
    <w:rsid w:val="00A74277"/>
    <w:rsid w:val="00AC0A11"/>
    <w:rsid w:val="00AD7D31"/>
    <w:rsid w:val="00AE26A4"/>
    <w:rsid w:val="00AF08DA"/>
    <w:rsid w:val="00AF2B15"/>
    <w:rsid w:val="00B54B0F"/>
    <w:rsid w:val="00B572AB"/>
    <w:rsid w:val="00B77C98"/>
    <w:rsid w:val="00B85096"/>
    <w:rsid w:val="00B91F55"/>
    <w:rsid w:val="00BA111D"/>
    <w:rsid w:val="00C04DFF"/>
    <w:rsid w:val="00CA0045"/>
    <w:rsid w:val="00CA2210"/>
    <w:rsid w:val="00CA4B9B"/>
    <w:rsid w:val="00CD551D"/>
    <w:rsid w:val="00D3136D"/>
    <w:rsid w:val="00D80990"/>
    <w:rsid w:val="00DD3A6F"/>
    <w:rsid w:val="00DD766A"/>
    <w:rsid w:val="00E04FD9"/>
    <w:rsid w:val="00E50106"/>
    <w:rsid w:val="00E657F2"/>
    <w:rsid w:val="00E80BC3"/>
    <w:rsid w:val="00EA1153"/>
    <w:rsid w:val="00EA7B1C"/>
    <w:rsid w:val="00EB388C"/>
    <w:rsid w:val="00ED5634"/>
    <w:rsid w:val="00EE2A35"/>
    <w:rsid w:val="00EE6CA3"/>
    <w:rsid w:val="00EF0A8B"/>
    <w:rsid w:val="00F14007"/>
    <w:rsid w:val="00F14939"/>
    <w:rsid w:val="00F255AE"/>
    <w:rsid w:val="00F50739"/>
    <w:rsid w:val="00F8494B"/>
    <w:rsid w:val="00F90C1B"/>
    <w:rsid w:val="00FB6C11"/>
    <w:rsid w:val="00FC3664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E1DFA"/>
  <w15:chartTrackingRefBased/>
  <w15:docId w15:val="{4E46F8A1-523D-4FC6-842E-2DB4FE1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Revision">
    <w:name w:val="Revision"/>
    <w:hidden/>
    <w:uiPriority w:val="99"/>
    <w:semiHidden/>
    <w:rsid w:val="00455C2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0C9A"/>
    <w:rPr>
      <w:color w:val="605E5C"/>
      <w:shd w:val="clear" w:color="auto" w:fill="E1DFDD"/>
    </w:rPr>
  </w:style>
  <w:style w:type="paragraph" w:customStyle="1" w:styleId="Default">
    <w:name w:val="Default"/>
    <w:rsid w:val="00F90C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4E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DefaultParagraphFont"/>
    <w:rsid w:val="001F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aghan%20evans\Objective\Home\objective_8030\Meaghan%20Evans\Objects\Rattenbury%20-%20Letterhead%20-%20Aug%2022%20(A18603566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Rattenbury - Letterhead - Aug 22 (A18603566)</Template>
  <TotalTime>313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Evans, Meaghan</dc:creator>
  <cp:keywords/>
  <dc:description/>
  <cp:lastModifiedBy>Evans, Meaghan</cp:lastModifiedBy>
  <cp:revision>18</cp:revision>
  <cp:lastPrinted>2018-08-24T07:17:00Z</cp:lastPrinted>
  <dcterms:created xsi:type="dcterms:W3CDTF">2023-02-05T23:35:00Z</dcterms:created>
  <dcterms:modified xsi:type="dcterms:W3CDTF">2023-03-07T02:21:00Z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A40672625</vt:lpwstr>
  </property>
  <property fmtid="{D5CDD505-2E9C-101B-9397-08002B2CF9AE}" pid="4" name="Objective-Title">
    <vt:lpwstr>MIn Rattenbury response to Scrutiny Committee</vt:lpwstr>
  </property>
  <property fmtid="{D5CDD505-2E9C-101B-9397-08002B2CF9AE}" pid="5" name="Objective-Comment">
    <vt:lpwstr/>
  </property>
  <property fmtid="{D5CDD505-2E9C-101B-9397-08002B2CF9AE}" pid="6" name="Objective-CreationStamp">
    <vt:filetime>2023-02-05T23:36:23Z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2023-03-07T02:21:53Z</vt:filetime>
  </property>
  <property fmtid="{D5CDD505-2E9C-101B-9397-08002B2CF9AE}" pid="10" name="Objective-ModificationStamp">
    <vt:filetime>2023-03-07T02:21:53Z</vt:filetime>
  </property>
  <property fmtid="{D5CDD505-2E9C-101B-9397-08002B2CF9AE}" pid="11" name="Objective-Owner">
    <vt:lpwstr>Meaghan Evans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Cabinet:04. OTHER ACTIVE Directorate Cabinet Submissions - For Comment:Completed:2022:22/070 - Cabinet (JACS) Residential Tenancies Amendment Bill 2022 - Agreement to Introduce:02. Scrutiny Comments:</vt:lpwstr>
  </property>
  <property fmtid="{D5CDD505-2E9C-101B-9397-08002B2CF9AE}" pid="13" name="Objective-Parent">
    <vt:lpwstr>02. Scrutiny Comments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1-2022/151035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