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F74BA" w14:textId="77777777" w:rsidR="005B5DE9" w:rsidRPr="00C8358A" w:rsidRDefault="005B5DE9" w:rsidP="005B5DE9">
      <w:pPr>
        <w:pStyle w:val="Cover-Committeename"/>
        <w:ind w:left="1701"/>
      </w:pPr>
      <w:bookmarkStart w:id="0" w:name="_Toc79133346"/>
      <w:r w:rsidRPr="00C8358A">
        <w:t xml:space="preserve">Standing Committee on </w:t>
      </w:r>
      <w:r>
        <w:t>Planning, Transport and City Services</w:t>
      </w:r>
    </w:p>
    <w:p w14:paraId="59EDFDDA" w14:textId="033F2084" w:rsidR="005B5DE9" w:rsidRDefault="005B5DE9" w:rsidP="005B5DE9">
      <w:pPr>
        <w:pStyle w:val="Title"/>
        <w:ind w:right="-46"/>
      </w:pPr>
      <w:r w:rsidRPr="00C8358A">
        <w:t xml:space="preserve">Inquiry into </w:t>
      </w:r>
      <w:r w:rsidR="00A93B60">
        <w:t>Annual and Financial Reports 2021-22</w:t>
      </w:r>
    </w:p>
    <w:p w14:paraId="1A307ED2" w14:textId="77777777" w:rsidR="005B5DE9" w:rsidRDefault="005B5DE9" w:rsidP="005B5DE9">
      <w:pPr>
        <w:spacing w:line="259" w:lineRule="auto"/>
        <w:rPr>
          <w:rFonts w:ascii="Montserrat" w:eastAsiaTheme="majorEastAsia" w:hAnsi="Montserrat" w:cstheme="majorBidi"/>
          <w:b/>
          <w:spacing w:val="-10"/>
          <w:w w:val="90"/>
          <w:kern w:val="28"/>
          <w:sz w:val="58"/>
          <w:szCs w:val="58"/>
        </w:rPr>
      </w:pPr>
      <w:r>
        <w:br w:type="page"/>
      </w:r>
    </w:p>
    <w:p w14:paraId="517E03F9" w14:textId="77777777" w:rsidR="005B5DE9" w:rsidRPr="0075417C" w:rsidRDefault="005B5DE9" w:rsidP="005B5DE9">
      <w:pPr>
        <w:tabs>
          <w:tab w:val="left" w:pos="3165"/>
        </w:tabs>
        <w:rPr>
          <w:rFonts w:ascii="Montserrat" w:eastAsiaTheme="majorEastAsia" w:hAnsi="Montserrat" w:cstheme="majorBidi"/>
          <w:spacing w:val="-10"/>
          <w:w w:val="90"/>
          <w:kern w:val="28"/>
          <w:sz w:val="58"/>
          <w:szCs w:val="58"/>
        </w:rPr>
        <w:sectPr w:rsidR="005B5DE9" w:rsidRPr="0075417C" w:rsidSect="00D376C4">
          <w:footerReference w:type="even"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4A3D5AFC" w14:textId="77777777" w:rsidR="00904BBE" w:rsidRDefault="00904BBE">
      <w:pPr>
        <w:spacing w:line="259" w:lineRule="auto"/>
        <w:rPr>
          <w:rFonts w:ascii="Montserrat" w:eastAsiaTheme="majorEastAsia" w:hAnsi="Montserrat" w:cstheme="majorBidi"/>
          <w:b/>
          <w:color w:val="1A234C"/>
          <w:w w:val="90"/>
          <w:kern w:val="2"/>
          <w:sz w:val="36"/>
          <w:szCs w:val="32"/>
        </w:rPr>
      </w:pPr>
      <w:r>
        <w:lastRenderedPageBreak/>
        <w:br w:type="page"/>
      </w:r>
    </w:p>
    <w:p w14:paraId="6A6B3E72" w14:textId="2446C697" w:rsidR="005B5DE9" w:rsidRDefault="005B5DE9" w:rsidP="005B5DE9">
      <w:pPr>
        <w:pStyle w:val="Heading1nonumber"/>
      </w:pPr>
      <w:bookmarkStart w:id="1" w:name="_Toc129873684"/>
      <w:r>
        <w:lastRenderedPageBreak/>
        <w:t>About the committee</w:t>
      </w:r>
      <w:bookmarkEnd w:id="1"/>
    </w:p>
    <w:p w14:paraId="2F479732" w14:textId="77777777" w:rsidR="005B5DE9" w:rsidRDefault="005B5DE9" w:rsidP="005B5DE9">
      <w:pPr>
        <w:pStyle w:val="Heading2"/>
      </w:pPr>
      <w:bookmarkStart w:id="2" w:name="_Toc129873685"/>
      <w:r>
        <w:t>Establishing resolution</w:t>
      </w:r>
      <w:bookmarkEnd w:id="2"/>
    </w:p>
    <w:p w14:paraId="688035B3" w14:textId="77777777" w:rsidR="005B5DE9" w:rsidRDefault="005B5DE9" w:rsidP="005B5DE9">
      <w:r>
        <w:t xml:space="preserve">The Assembly established the </w:t>
      </w:r>
      <w:fldSimple w:instr=" STYLEREF  &quot;Cover - Committee name&quot;  \* MERGEFORMAT ">
        <w:r>
          <w:rPr>
            <w:noProof/>
          </w:rPr>
          <w:t>Standing Committee on Planning, Transport and City Services</w:t>
        </w:r>
      </w:fldSimple>
      <w:r>
        <w:t xml:space="preserve"> on 2 December 2020.</w:t>
      </w:r>
    </w:p>
    <w:p w14:paraId="1998FA62" w14:textId="77777777" w:rsidR="005B5DE9" w:rsidRDefault="005B5DE9" w:rsidP="005B5DE9">
      <w:pPr>
        <w:spacing w:after="120"/>
      </w:pPr>
      <w:r>
        <w:t>The Committee’s areas of responsibility are:</w:t>
      </w:r>
    </w:p>
    <w:p w14:paraId="1CCA39BA" w14:textId="77777777" w:rsidR="005B5DE9" w:rsidRDefault="005B5DE9" w:rsidP="005B5DE9">
      <w:pPr>
        <w:pStyle w:val="ListParagraph"/>
        <w:numPr>
          <w:ilvl w:val="0"/>
          <w:numId w:val="14"/>
        </w:numPr>
        <w:sectPr w:rsidR="005B5DE9" w:rsidSect="009F5A83">
          <w:footerReference w:type="even" r:id="rId12"/>
          <w:footerReference w:type="default" r:id="rId13"/>
          <w:pgSz w:w="11906" w:h="16838"/>
          <w:pgMar w:top="1440" w:right="1440" w:bottom="1440" w:left="1440" w:header="708" w:footer="708" w:gutter="0"/>
          <w:pgNumType w:fmt="lowerRoman" w:start="1"/>
          <w:cols w:space="708"/>
          <w:docGrid w:linePitch="360"/>
        </w:sectPr>
      </w:pPr>
    </w:p>
    <w:p w14:paraId="151549EC" w14:textId="0EE5EBB9" w:rsidR="005B5DE9" w:rsidRDefault="00630A92" w:rsidP="005B5DE9">
      <w:pPr>
        <w:pStyle w:val="ListParagraph"/>
        <w:numPr>
          <w:ilvl w:val="0"/>
          <w:numId w:val="14"/>
        </w:numPr>
      </w:pPr>
      <w:r>
        <w:t>City Renewal Authority</w:t>
      </w:r>
      <w:r>
        <w:tab/>
      </w:r>
      <w:r>
        <w:tab/>
      </w:r>
    </w:p>
    <w:p w14:paraId="6CC1A2CC" w14:textId="68FC8355" w:rsidR="005B5DE9" w:rsidRDefault="00630A92" w:rsidP="005B5DE9">
      <w:pPr>
        <w:pStyle w:val="ListParagraph"/>
        <w:numPr>
          <w:ilvl w:val="0"/>
          <w:numId w:val="14"/>
        </w:numPr>
      </w:pPr>
      <w:r>
        <w:t>Suburban Land Agency</w:t>
      </w:r>
    </w:p>
    <w:p w14:paraId="5B8F5190" w14:textId="1DE2B7CA" w:rsidR="005B5DE9" w:rsidRDefault="00630A92" w:rsidP="005B5DE9">
      <w:pPr>
        <w:pStyle w:val="ListParagraph"/>
        <w:numPr>
          <w:ilvl w:val="0"/>
          <w:numId w:val="14"/>
        </w:numPr>
      </w:pPr>
      <w:r>
        <w:t>Planning and land management (excluding parks and conservation)</w:t>
      </w:r>
    </w:p>
    <w:p w14:paraId="2438D90E" w14:textId="42507A34" w:rsidR="005B5DE9" w:rsidRDefault="00630A92" w:rsidP="005B5DE9">
      <w:pPr>
        <w:pStyle w:val="ListParagraph"/>
        <w:numPr>
          <w:ilvl w:val="0"/>
          <w:numId w:val="14"/>
        </w:numPr>
      </w:pPr>
      <w:r>
        <w:t>Transport</w:t>
      </w:r>
    </w:p>
    <w:p w14:paraId="75A9D48E" w14:textId="6294ACB5" w:rsidR="005B5DE9" w:rsidRDefault="00630A92" w:rsidP="005B5DE9">
      <w:pPr>
        <w:pStyle w:val="ListParagraph"/>
        <w:numPr>
          <w:ilvl w:val="0"/>
          <w:numId w:val="14"/>
        </w:numPr>
      </w:pPr>
      <w:r>
        <w:t>City services including waste and recycling</w:t>
      </w:r>
    </w:p>
    <w:p w14:paraId="0F4C35B0" w14:textId="5DC970F4" w:rsidR="005B5DE9" w:rsidRDefault="00630A92" w:rsidP="005B5DE9">
      <w:pPr>
        <w:pStyle w:val="ListParagraph"/>
        <w:numPr>
          <w:ilvl w:val="0"/>
          <w:numId w:val="14"/>
        </w:numPr>
      </w:pPr>
      <w:r>
        <w:t>Housing (excluding service provision)</w:t>
      </w:r>
    </w:p>
    <w:p w14:paraId="606E1AE1" w14:textId="789883D1" w:rsidR="005B5DE9" w:rsidRDefault="00630A92" w:rsidP="005B5DE9">
      <w:pPr>
        <w:pStyle w:val="ListParagraph"/>
        <w:numPr>
          <w:ilvl w:val="0"/>
          <w:numId w:val="14"/>
        </w:numPr>
        <w:sectPr w:rsidR="005B5DE9" w:rsidSect="004D5396">
          <w:type w:val="continuous"/>
          <w:pgSz w:w="11906" w:h="16838"/>
          <w:pgMar w:top="1440" w:right="1440" w:bottom="1440" w:left="1440" w:header="708" w:footer="708" w:gutter="0"/>
          <w:pgNumType w:fmt="lowerRoman" w:start="1"/>
          <w:cols w:num="2" w:space="708"/>
          <w:docGrid w:linePitch="360"/>
        </w:sectPr>
      </w:pPr>
      <w:r>
        <w:t>Building and construction</w:t>
      </w:r>
    </w:p>
    <w:p w14:paraId="7B0A067F" w14:textId="77777777" w:rsidR="005B5DE9" w:rsidRDefault="005B5DE9" w:rsidP="005B5DE9">
      <w:pPr>
        <w:spacing w:before="120"/>
      </w:pPr>
      <w:r>
        <w:br/>
        <w:t xml:space="preserve">You can read the full establishing resolution </w:t>
      </w:r>
      <w:hyperlink r:id="rId14" w:history="1">
        <w:r w:rsidRPr="00033949">
          <w:rPr>
            <w:rStyle w:val="Hyperlink"/>
          </w:rPr>
          <w:t>here</w:t>
        </w:r>
      </w:hyperlink>
      <w:r>
        <w:t>.</w:t>
      </w:r>
    </w:p>
    <w:p w14:paraId="4AA83165" w14:textId="77777777" w:rsidR="005B5DE9" w:rsidRDefault="005B5DE9" w:rsidP="005B5DE9">
      <w:pPr>
        <w:pStyle w:val="Heading2"/>
      </w:pPr>
      <w:bookmarkStart w:id="3" w:name="_Toc129873686"/>
      <w:r>
        <w:t>Committee members</w:t>
      </w:r>
      <w:bookmarkEnd w:id="3"/>
    </w:p>
    <w:p w14:paraId="317BC1E4" w14:textId="2116E231" w:rsidR="005B5DE9" w:rsidRDefault="005B5DE9" w:rsidP="00595D45">
      <w:pPr>
        <w:pStyle w:val="List"/>
        <w:tabs>
          <w:tab w:val="center" w:pos="4513"/>
        </w:tabs>
      </w:pPr>
      <w:r>
        <w:t>Ms Jo Clay MLA, Chair</w:t>
      </w:r>
      <w:r w:rsidR="00595D45">
        <w:tab/>
      </w:r>
    </w:p>
    <w:p w14:paraId="73CA0544" w14:textId="77777777" w:rsidR="005B5DE9" w:rsidRDefault="005B5DE9" w:rsidP="005B5DE9">
      <w:pPr>
        <w:pStyle w:val="List"/>
      </w:pPr>
      <w:r>
        <w:t>Ms Suzanne Orr MLA, Deputy Chair</w:t>
      </w:r>
    </w:p>
    <w:p w14:paraId="2838FFCF" w14:textId="77777777" w:rsidR="005B5DE9" w:rsidRDefault="005B5DE9" w:rsidP="005B5DE9">
      <w:pPr>
        <w:pStyle w:val="List"/>
      </w:pPr>
      <w:r>
        <w:t>Mr Mark Parton MLA</w:t>
      </w:r>
    </w:p>
    <w:p w14:paraId="2DBA76A7" w14:textId="77777777" w:rsidR="005B5DE9" w:rsidRDefault="005B5DE9" w:rsidP="005B5DE9">
      <w:pPr>
        <w:pStyle w:val="Heading2"/>
      </w:pPr>
      <w:bookmarkStart w:id="4" w:name="_Toc129873687"/>
      <w:r>
        <w:t>Secretariat</w:t>
      </w:r>
      <w:bookmarkEnd w:id="4"/>
    </w:p>
    <w:p w14:paraId="65669EF6" w14:textId="778E5286" w:rsidR="005B5DE9" w:rsidRPr="00A23A3E" w:rsidRDefault="005B5DE9" w:rsidP="005B5DE9">
      <w:pPr>
        <w:pStyle w:val="List"/>
      </w:pPr>
      <w:r>
        <w:t xml:space="preserve">Ms </w:t>
      </w:r>
      <w:r w:rsidR="00630A92">
        <w:t>Miona Ikeda</w:t>
      </w:r>
      <w:r>
        <w:t>, Acting Committee Secretary</w:t>
      </w:r>
    </w:p>
    <w:p w14:paraId="2CED2959" w14:textId="66010955" w:rsidR="005B5DE9" w:rsidRDefault="005B5DE9" w:rsidP="005B5DE9">
      <w:pPr>
        <w:pStyle w:val="List"/>
      </w:pPr>
      <w:r>
        <w:t xml:space="preserve">Ms </w:t>
      </w:r>
      <w:r w:rsidR="00630A92">
        <w:t>Kate Mickelson</w:t>
      </w:r>
      <w:r>
        <w:t>, Assistant Secretary</w:t>
      </w:r>
      <w:r w:rsidR="00630A92">
        <w:t xml:space="preserve"> (Acting Committee Secretary until 21 November 2022)</w:t>
      </w:r>
    </w:p>
    <w:p w14:paraId="2157F6FA" w14:textId="20741DAF" w:rsidR="005B5DE9" w:rsidRDefault="005B5DE9" w:rsidP="005B5DE9">
      <w:pPr>
        <w:pStyle w:val="List"/>
      </w:pPr>
      <w:r>
        <w:t>Mr Adam Walker, Assistant Secretary</w:t>
      </w:r>
    </w:p>
    <w:p w14:paraId="46AA9EC6" w14:textId="77777777" w:rsidR="005B5DE9" w:rsidRDefault="005B5DE9" w:rsidP="005B5DE9">
      <w:pPr>
        <w:pStyle w:val="List"/>
      </w:pPr>
      <w:r>
        <w:t>Ms Lydia Chung</w:t>
      </w:r>
      <w:r w:rsidRPr="00A23A3E">
        <w:t>, Administrative Assistant</w:t>
      </w:r>
    </w:p>
    <w:p w14:paraId="1A99F67C" w14:textId="77777777" w:rsidR="005B5DE9" w:rsidRDefault="005B5DE9" w:rsidP="005B5DE9">
      <w:pPr>
        <w:pStyle w:val="Heading2"/>
      </w:pPr>
      <w:bookmarkStart w:id="5" w:name="_Toc129873688"/>
      <w:r>
        <w:t>Contact us</w:t>
      </w:r>
      <w:bookmarkEnd w:id="5"/>
    </w:p>
    <w:p w14:paraId="1F91C3BF" w14:textId="77777777" w:rsidR="005B5DE9" w:rsidRDefault="005B5DE9" w:rsidP="005B5DE9">
      <w:pPr>
        <w:ind w:left="1134" w:hanging="1134"/>
      </w:pPr>
      <w:r>
        <w:rPr>
          <w:b/>
          <w:bCs/>
        </w:rPr>
        <w:t>Mail</w:t>
      </w:r>
      <w:r>
        <w:tab/>
      </w:r>
      <w:fldSimple w:instr=" STYLEREF  &quot;Cover - Committee name&quot;  \* MERGEFORMAT ">
        <w:r>
          <w:rPr>
            <w:noProof/>
          </w:rPr>
          <w:t>Standing Committee on Planning, Transport and City Services</w:t>
        </w:r>
      </w:fldSimple>
      <w:r>
        <w:br/>
        <w:t>Legislative Assembly for the Australian Capital Territory</w:t>
      </w:r>
      <w:r>
        <w:br/>
        <w:t>GPO Box 1020</w:t>
      </w:r>
      <w:r>
        <w:br/>
        <w:t>CANBERRA ACT 2601</w:t>
      </w:r>
    </w:p>
    <w:p w14:paraId="360F41EA" w14:textId="77777777" w:rsidR="005B5DE9" w:rsidRDefault="005B5DE9" w:rsidP="005B5DE9">
      <w:pPr>
        <w:ind w:left="1134" w:hanging="1134"/>
      </w:pPr>
      <w:r>
        <w:rPr>
          <w:b/>
          <w:bCs/>
        </w:rPr>
        <w:t>Phone</w:t>
      </w:r>
      <w:r>
        <w:rPr>
          <w:b/>
          <w:bCs/>
        </w:rPr>
        <w:tab/>
      </w:r>
      <w:r>
        <w:t xml:space="preserve">(02) </w:t>
      </w:r>
      <w:r w:rsidRPr="008E750D">
        <w:t>620</w:t>
      </w:r>
      <w:r>
        <w:t>5 0199</w:t>
      </w:r>
    </w:p>
    <w:p w14:paraId="02608B73" w14:textId="345285F2" w:rsidR="005B5DE9" w:rsidRDefault="005B5DE9" w:rsidP="005B5DE9">
      <w:pPr>
        <w:ind w:left="1134" w:hanging="1134"/>
      </w:pPr>
      <w:r>
        <w:rPr>
          <w:b/>
          <w:bCs/>
        </w:rPr>
        <w:t>Email</w:t>
      </w:r>
      <w:r>
        <w:tab/>
      </w:r>
      <w:hyperlink r:id="rId15" w:history="1">
        <w:r w:rsidR="00630A92" w:rsidRPr="00077C42">
          <w:rPr>
            <w:rStyle w:val="Hyperlink"/>
          </w:rPr>
          <w:t>LACommitteePTCS@parliament.act.gov.au</w:t>
        </w:r>
      </w:hyperlink>
      <w:r>
        <w:t xml:space="preserve"> </w:t>
      </w:r>
    </w:p>
    <w:p w14:paraId="4CD25B4C" w14:textId="77777777" w:rsidR="005B5DE9" w:rsidRDefault="005B5DE9" w:rsidP="005B5DE9">
      <w:pPr>
        <w:spacing w:line="259" w:lineRule="auto"/>
        <w:ind w:left="1134" w:hanging="1134"/>
      </w:pPr>
      <w:r>
        <w:rPr>
          <w:b/>
          <w:bCs/>
        </w:rPr>
        <w:t>Website</w:t>
      </w:r>
      <w:r>
        <w:rPr>
          <w:b/>
          <w:bCs/>
        </w:rPr>
        <w:tab/>
      </w:r>
      <w:hyperlink r:id="rId16" w:history="1">
        <w:r w:rsidRPr="001D22FC">
          <w:rPr>
            <w:rStyle w:val="Hyperlink"/>
          </w:rPr>
          <w:t>parliament.act.gov.au/parliamentary-business/in-committees</w:t>
        </w:r>
      </w:hyperlink>
    </w:p>
    <w:p w14:paraId="3D054602" w14:textId="77777777" w:rsidR="005B5DE9" w:rsidRDefault="005B5DE9" w:rsidP="005B5DE9">
      <w:pPr>
        <w:spacing w:line="259" w:lineRule="auto"/>
      </w:pPr>
      <w:r>
        <w:br w:type="page"/>
      </w:r>
    </w:p>
    <w:p w14:paraId="0E5B8B94" w14:textId="77777777" w:rsidR="005B5DE9" w:rsidRDefault="005B5DE9" w:rsidP="005B5DE9">
      <w:pPr>
        <w:pStyle w:val="Heading1nonumber"/>
      </w:pPr>
      <w:bookmarkStart w:id="6" w:name="_Toc129873689"/>
      <w:r>
        <w:lastRenderedPageBreak/>
        <w:t>About this inquiry</w:t>
      </w:r>
      <w:bookmarkEnd w:id="6"/>
    </w:p>
    <w:p w14:paraId="5DC5D219" w14:textId="2D1F975F" w:rsidR="005B5DE9" w:rsidRDefault="00630A92" w:rsidP="005B5DE9">
      <w:r>
        <w:t>Clause 3A of the establishing resolution refers all</w:t>
      </w:r>
      <w:r w:rsidRPr="002F1CBF">
        <w:t xml:space="preserve"> calendar and financial year annual and financial reports for 202</w:t>
      </w:r>
      <w:r>
        <w:t>1</w:t>
      </w:r>
      <w:r w:rsidRPr="002F1CBF">
        <w:t>-202</w:t>
      </w:r>
      <w:r>
        <w:t>2</w:t>
      </w:r>
      <w:r w:rsidRPr="002F1CBF">
        <w:t xml:space="preserve"> to the relevant standing committee for inquiry and report by </w:t>
      </w:r>
      <w:r>
        <w:t>9 April</w:t>
      </w:r>
      <w:r w:rsidRPr="002F1CBF">
        <w:t xml:space="preserve"> 202</w:t>
      </w:r>
      <w:r>
        <w:t>3</w:t>
      </w:r>
      <w:r w:rsidRPr="002F1CBF">
        <w:t xml:space="preserve"> of the year after the presentation of the report to the Assembly pursuant to the </w:t>
      </w:r>
      <w:r w:rsidRPr="002F1CBF">
        <w:rPr>
          <w:i/>
          <w:iCs/>
        </w:rPr>
        <w:t>Annual Reports (Government Agencies) Act 2004</w:t>
      </w:r>
      <w:r>
        <w:t>.</w:t>
      </w:r>
    </w:p>
    <w:p w14:paraId="0919FBCD" w14:textId="77777777" w:rsidR="005B5DE9" w:rsidRDefault="005B5DE9" w:rsidP="005B5DE9">
      <w:pPr>
        <w:pStyle w:val="ListBullet"/>
        <w:numPr>
          <w:ilvl w:val="0"/>
          <w:numId w:val="0"/>
        </w:numPr>
      </w:pPr>
      <w:r>
        <w:br w:type="page"/>
      </w:r>
    </w:p>
    <w:bookmarkEnd w:id="0" w:displacedByCustomXml="next"/>
    <w:sdt>
      <w:sdtPr>
        <w:rPr>
          <w:rFonts w:asciiTheme="minorHAnsi" w:eastAsiaTheme="minorHAnsi" w:hAnsiTheme="minorHAnsi" w:cstheme="minorBidi"/>
          <w:b w:val="0"/>
          <w:color w:val="auto"/>
          <w:w w:val="100"/>
          <w:kern w:val="0"/>
          <w:sz w:val="22"/>
          <w:szCs w:val="22"/>
          <w:lang w:val="en-AU"/>
        </w:rPr>
        <w:id w:val="-1748188642"/>
        <w:docPartObj>
          <w:docPartGallery w:val="Table of Contents"/>
          <w:docPartUnique/>
        </w:docPartObj>
      </w:sdtPr>
      <w:sdtEndPr>
        <w:rPr>
          <w:bCs/>
          <w:noProof/>
        </w:rPr>
      </w:sdtEndPr>
      <w:sdtContent>
        <w:p w14:paraId="44DD9E78" w14:textId="77777777" w:rsidR="005B5DE9" w:rsidRDefault="005B5DE9" w:rsidP="005B5DE9">
          <w:pPr>
            <w:pStyle w:val="TOCHeading"/>
          </w:pPr>
          <w:r>
            <w:t>Contents</w:t>
          </w:r>
        </w:p>
        <w:p w14:paraId="14FB7E7C" w14:textId="77ADE728" w:rsidR="00303927" w:rsidRDefault="005B5DE9">
          <w:pPr>
            <w:pStyle w:val="TOC1"/>
            <w:rPr>
              <w:rFonts w:asciiTheme="minorHAnsi" w:eastAsiaTheme="minorEastAsia" w:hAnsiTheme="minorHAnsi"/>
              <w:b w:val="0"/>
              <w:bCs w:val="0"/>
              <w:color w:val="auto"/>
              <w:w w:val="100"/>
              <w:sz w:val="22"/>
              <w:lang w:eastAsia="en-AU"/>
            </w:rPr>
          </w:pPr>
          <w:r>
            <w:fldChar w:fldCharType="begin"/>
          </w:r>
          <w:r>
            <w:instrText xml:space="preserve"> TOC \o "1-3" \h \z \u </w:instrText>
          </w:r>
          <w:r>
            <w:fldChar w:fldCharType="separate"/>
          </w:r>
          <w:hyperlink w:anchor="_Toc129873684" w:history="1">
            <w:r w:rsidR="00303927" w:rsidRPr="006E5CFA">
              <w:rPr>
                <w:rStyle w:val="Hyperlink"/>
              </w:rPr>
              <w:t>About the committee</w:t>
            </w:r>
            <w:r w:rsidR="00303927">
              <w:rPr>
                <w:webHidden/>
              </w:rPr>
              <w:tab/>
            </w:r>
            <w:r w:rsidR="00303927">
              <w:rPr>
                <w:webHidden/>
              </w:rPr>
              <w:fldChar w:fldCharType="begin"/>
            </w:r>
            <w:r w:rsidR="00303927">
              <w:rPr>
                <w:webHidden/>
              </w:rPr>
              <w:instrText xml:space="preserve"> PAGEREF _Toc129873684 \h </w:instrText>
            </w:r>
            <w:r w:rsidR="00303927">
              <w:rPr>
                <w:webHidden/>
              </w:rPr>
            </w:r>
            <w:r w:rsidR="00303927">
              <w:rPr>
                <w:webHidden/>
              </w:rPr>
              <w:fldChar w:fldCharType="separate"/>
            </w:r>
            <w:r w:rsidR="00303927">
              <w:rPr>
                <w:webHidden/>
              </w:rPr>
              <w:t>ii</w:t>
            </w:r>
            <w:r w:rsidR="00303927">
              <w:rPr>
                <w:webHidden/>
              </w:rPr>
              <w:fldChar w:fldCharType="end"/>
            </w:r>
          </w:hyperlink>
        </w:p>
        <w:p w14:paraId="0F301EC9" w14:textId="0771DCEF" w:rsidR="00303927" w:rsidRDefault="00303927">
          <w:pPr>
            <w:pStyle w:val="TOC2"/>
            <w:rPr>
              <w:rFonts w:eastAsiaTheme="minorEastAsia"/>
              <w:lang w:eastAsia="en-AU"/>
            </w:rPr>
          </w:pPr>
          <w:hyperlink w:anchor="_Toc129873685" w:history="1">
            <w:r w:rsidRPr="006E5CFA">
              <w:rPr>
                <w:rStyle w:val="Hyperlink"/>
              </w:rPr>
              <w:t>Establishing resolution</w:t>
            </w:r>
            <w:r>
              <w:rPr>
                <w:webHidden/>
              </w:rPr>
              <w:tab/>
            </w:r>
            <w:r>
              <w:rPr>
                <w:webHidden/>
              </w:rPr>
              <w:fldChar w:fldCharType="begin"/>
            </w:r>
            <w:r>
              <w:rPr>
                <w:webHidden/>
              </w:rPr>
              <w:instrText xml:space="preserve"> PAGEREF _Toc129873685 \h </w:instrText>
            </w:r>
            <w:r>
              <w:rPr>
                <w:webHidden/>
              </w:rPr>
            </w:r>
            <w:r>
              <w:rPr>
                <w:webHidden/>
              </w:rPr>
              <w:fldChar w:fldCharType="separate"/>
            </w:r>
            <w:r>
              <w:rPr>
                <w:webHidden/>
              </w:rPr>
              <w:t>ii</w:t>
            </w:r>
            <w:r>
              <w:rPr>
                <w:webHidden/>
              </w:rPr>
              <w:fldChar w:fldCharType="end"/>
            </w:r>
          </w:hyperlink>
        </w:p>
        <w:p w14:paraId="4419C04A" w14:textId="22EFB7C0" w:rsidR="00303927" w:rsidRDefault="00303927">
          <w:pPr>
            <w:pStyle w:val="TOC2"/>
            <w:rPr>
              <w:rFonts w:eastAsiaTheme="minorEastAsia"/>
              <w:lang w:eastAsia="en-AU"/>
            </w:rPr>
          </w:pPr>
          <w:hyperlink w:anchor="_Toc129873686" w:history="1">
            <w:r w:rsidRPr="006E5CFA">
              <w:rPr>
                <w:rStyle w:val="Hyperlink"/>
              </w:rPr>
              <w:t>Committee members</w:t>
            </w:r>
            <w:r>
              <w:rPr>
                <w:webHidden/>
              </w:rPr>
              <w:tab/>
            </w:r>
            <w:r>
              <w:rPr>
                <w:webHidden/>
              </w:rPr>
              <w:fldChar w:fldCharType="begin"/>
            </w:r>
            <w:r>
              <w:rPr>
                <w:webHidden/>
              </w:rPr>
              <w:instrText xml:space="preserve"> PAGEREF _Toc129873686 \h </w:instrText>
            </w:r>
            <w:r>
              <w:rPr>
                <w:webHidden/>
              </w:rPr>
            </w:r>
            <w:r>
              <w:rPr>
                <w:webHidden/>
              </w:rPr>
              <w:fldChar w:fldCharType="separate"/>
            </w:r>
            <w:r>
              <w:rPr>
                <w:webHidden/>
              </w:rPr>
              <w:t>ii</w:t>
            </w:r>
            <w:r>
              <w:rPr>
                <w:webHidden/>
              </w:rPr>
              <w:fldChar w:fldCharType="end"/>
            </w:r>
          </w:hyperlink>
        </w:p>
        <w:p w14:paraId="2AF2A45C" w14:textId="6239425D" w:rsidR="00303927" w:rsidRDefault="00303927">
          <w:pPr>
            <w:pStyle w:val="TOC2"/>
            <w:rPr>
              <w:rFonts w:eastAsiaTheme="minorEastAsia"/>
              <w:lang w:eastAsia="en-AU"/>
            </w:rPr>
          </w:pPr>
          <w:hyperlink w:anchor="_Toc129873687" w:history="1">
            <w:r w:rsidRPr="006E5CFA">
              <w:rPr>
                <w:rStyle w:val="Hyperlink"/>
              </w:rPr>
              <w:t>Secretariat</w:t>
            </w:r>
            <w:r>
              <w:rPr>
                <w:webHidden/>
              </w:rPr>
              <w:tab/>
            </w:r>
            <w:r>
              <w:rPr>
                <w:webHidden/>
              </w:rPr>
              <w:fldChar w:fldCharType="begin"/>
            </w:r>
            <w:r>
              <w:rPr>
                <w:webHidden/>
              </w:rPr>
              <w:instrText xml:space="preserve"> PAGEREF _Toc129873687 \h </w:instrText>
            </w:r>
            <w:r>
              <w:rPr>
                <w:webHidden/>
              </w:rPr>
            </w:r>
            <w:r>
              <w:rPr>
                <w:webHidden/>
              </w:rPr>
              <w:fldChar w:fldCharType="separate"/>
            </w:r>
            <w:r>
              <w:rPr>
                <w:webHidden/>
              </w:rPr>
              <w:t>ii</w:t>
            </w:r>
            <w:r>
              <w:rPr>
                <w:webHidden/>
              </w:rPr>
              <w:fldChar w:fldCharType="end"/>
            </w:r>
          </w:hyperlink>
        </w:p>
        <w:p w14:paraId="39983038" w14:textId="2685996B" w:rsidR="00303927" w:rsidRDefault="00303927">
          <w:pPr>
            <w:pStyle w:val="TOC2"/>
            <w:rPr>
              <w:rFonts w:eastAsiaTheme="minorEastAsia"/>
              <w:lang w:eastAsia="en-AU"/>
            </w:rPr>
          </w:pPr>
          <w:hyperlink w:anchor="_Toc129873688" w:history="1">
            <w:r w:rsidRPr="006E5CFA">
              <w:rPr>
                <w:rStyle w:val="Hyperlink"/>
              </w:rPr>
              <w:t>Contact us</w:t>
            </w:r>
            <w:r>
              <w:rPr>
                <w:webHidden/>
              </w:rPr>
              <w:tab/>
            </w:r>
            <w:r>
              <w:rPr>
                <w:webHidden/>
              </w:rPr>
              <w:fldChar w:fldCharType="begin"/>
            </w:r>
            <w:r>
              <w:rPr>
                <w:webHidden/>
              </w:rPr>
              <w:instrText xml:space="preserve"> PAGEREF _Toc129873688 \h </w:instrText>
            </w:r>
            <w:r>
              <w:rPr>
                <w:webHidden/>
              </w:rPr>
            </w:r>
            <w:r>
              <w:rPr>
                <w:webHidden/>
              </w:rPr>
              <w:fldChar w:fldCharType="separate"/>
            </w:r>
            <w:r>
              <w:rPr>
                <w:webHidden/>
              </w:rPr>
              <w:t>ii</w:t>
            </w:r>
            <w:r>
              <w:rPr>
                <w:webHidden/>
              </w:rPr>
              <w:fldChar w:fldCharType="end"/>
            </w:r>
          </w:hyperlink>
        </w:p>
        <w:p w14:paraId="1E7EA32C" w14:textId="1B949406" w:rsidR="00303927" w:rsidRDefault="00303927">
          <w:pPr>
            <w:pStyle w:val="TOC1"/>
            <w:rPr>
              <w:rFonts w:asciiTheme="minorHAnsi" w:eastAsiaTheme="minorEastAsia" w:hAnsiTheme="minorHAnsi"/>
              <w:b w:val="0"/>
              <w:bCs w:val="0"/>
              <w:color w:val="auto"/>
              <w:w w:val="100"/>
              <w:sz w:val="22"/>
              <w:lang w:eastAsia="en-AU"/>
            </w:rPr>
          </w:pPr>
          <w:hyperlink w:anchor="_Toc129873689" w:history="1">
            <w:r w:rsidRPr="006E5CFA">
              <w:rPr>
                <w:rStyle w:val="Hyperlink"/>
              </w:rPr>
              <w:t>About this inquiry</w:t>
            </w:r>
            <w:r>
              <w:rPr>
                <w:webHidden/>
              </w:rPr>
              <w:tab/>
            </w:r>
            <w:r>
              <w:rPr>
                <w:webHidden/>
              </w:rPr>
              <w:fldChar w:fldCharType="begin"/>
            </w:r>
            <w:r>
              <w:rPr>
                <w:webHidden/>
              </w:rPr>
              <w:instrText xml:space="preserve"> PAGEREF _Toc129873689 \h </w:instrText>
            </w:r>
            <w:r>
              <w:rPr>
                <w:webHidden/>
              </w:rPr>
            </w:r>
            <w:r>
              <w:rPr>
                <w:webHidden/>
              </w:rPr>
              <w:fldChar w:fldCharType="separate"/>
            </w:r>
            <w:r>
              <w:rPr>
                <w:webHidden/>
              </w:rPr>
              <w:t>ii</w:t>
            </w:r>
            <w:r>
              <w:rPr>
                <w:webHidden/>
              </w:rPr>
              <w:fldChar w:fldCharType="end"/>
            </w:r>
          </w:hyperlink>
        </w:p>
        <w:p w14:paraId="7B4685C1" w14:textId="2A4CB21B" w:rsidR="00303927" w:rsidRDefault="00303927">
          <w:pPr>
            <w:pStyle w:val="TOC1"/>
            <w:rPr>
              <w:rFonts w:asciiTheme="minorHAnsi" w:eastAsiaTheme="minorEastAsia" w:hAnsiTheme="minorHAnsi"/>
              <w:b w:val="0"/>
              <w:bCs w:val="0"/>
              <w:color w:val="auto"/>
              <w:w w:val="100"/>
              <w:sz w:val="22"/>
              <w:lang w:eastAsia="en-AU"/>
            </w:rPr>
          </w:pPr>
          <w:hyperlink w:anchor="_Toc129873690" w:history="1">
            <w:r w:rsidRPr="006E5CFA">
              <w:rPr>
                <w:rStyle w:val="Hyperlink"/>
              </w:rPr>
              <w:t>Acronyms and abbreviations</w:t>
            </w:r>
            <w:r>
              <w:rPr>
                <w:webHidden/>
              </w:rPr>
              <w:tab/>
            </w:r>
            <w:r>
              <w:rPr>
                <w:webHidden/>
              </w:rPr>
              <w:fldChar w:fldCharType="begin"/>
            </w:r>
            <w:r>
              <w:rPr>
                <w:webHidden/>
              </w:rPr>
              <w:instrText xml:space="preserve"> PAGEREF _Toc129873690 \h </w:instrText>
            </w:r>
            <w:r>
              <w:rPr>
                <w:webHidden/>
              </w:rPr>
            </w:r>
            <w:r>
              <w:rPr>
                <w:webHidden/>
              </w:rPr>
              <w:fldChar w:fldCharType="separate"/>
            </w:r>
            <w:r>
              <w:rPr>
                <w:webHidden/>
              </w:rPr>
              <w:t>v</w:t>
            </w:r>
            <w:r>
              <w:rPr>
                <w:webHidden/>
              </w:rPr>
              <w:fldChar w:fldCharType="end"/>
            </w:r>
          </w:hyperlink>
        </w:p>
        <w:p w14:paraId="5B8634D9" w14:textId="7E9B09B9" w:rsidR="00303927" w:rsidRDefault="00303927">
          <w:pPr>
            <w:pStyle w:val="TOC1"/>
            <w:rPr>
              <w:rFonts w:asciiTheme="minorHAnsi" w:eastAsiaTheme="minorEastAsia" w:hAnsiTheme="minorHAnsi"/>
              <w:b w:val="0"/>
              <w:bCs w:val="0"/>
              <w:color w:val="auto"/>
              <w:w w:val="100"/>
              <w:sz w:val="22"/>
              <w:lang w:eastAsia="en-AU"/>
            </w:rPr>
          </w:pPr>
          <w:hyperlink w:anchor="_Toc129873691" w:history="1">
            <w:r w:rsidRPr="006E5CFA">
              <w:rPr>
                <w:rStyle w:val="Hyperlink"/>
              </w:rPr>
              <w:t>Recommendations</w:t>
            </w:r>
            <w:r>
              <w:rPr>
                <w:webHidden/>
              </w:rPr>
              <w:tab/>
            </w:r>
            <w:r>
              <w:rPr>
                <w:webHidden/>
              </w:rPr>
              <w:fldChar w:fldCharType="begin"/>
            </w:r>
            <w:r>
              <w:rPr>
                <w:webHidden/>
              </w:rPr>
              <w:instrText xml:space="preserve"> PAGEREF _Toc129873691 \h </w:instrText>
            </w:r>
            <w:r>
              <w:rPr>
                <w:webHidden/>
              </w:rPr>
            </w:r>
            <w:r>
              <w:rPr>
                <w:webHidden/>
              </w:rPr>
              <w:fldChar w:fldCharType="separate"/>
            </w:r>
            <w:r>
              <w:rPr>
                <w:webHidden/>
              </w:rPr>
              <w:t>vi</w:t>
            </w:r>
            <w:r>
              <w:rPr>
                <w:webHidden/>
              </w:rPr>
              <w:fldChar w:fldCharType="end"/>
            </w:r>
          </w:hyperlink>
        </w:p>
        <w:p w14:paraId="46A64CDC" w14:textId="6C23847F" w:rsidR="00303927" w:rsidRDefault="00303927">
          <w:pPr>
            <w:pStyle w:val="TOC1"/>
            <w:rPr>
              <w:rFonts w:asciiTheme="minorHAnsi" w:eastAsiaTheme="minorEastAsia" w:hAnsiTheme="minorHAnsi"/>
              <w:b w:val="0"/>
              <w:bCs w:val="0"/>
              <w:color w:val="auto"/>
              <w:w w:val="100"/>
              <w:sz w:val="22"/>
              <w:lang w:eastAsia="en-AU"/>
            </w:rPr>
          </w:pPr>
          <w:hyperlink w:anchor="_Toc129873692" w:history="1">
            <w:r w:rsidRPr="006E5CFA">
              <w:rPr>
                <w:rStyle w:val="Hyperlink"/>
              </w:rPr>
              <w:t>1.</w:t>
            </w:r>
            <w:r>
              <w:rPr>
                <w:rFonts w:asciiTheme="minorHAnsi" w:eastAsiaTheme="minorEastAsia" w:hAnsiTheme="minorHAnsi"/>
                <w:b w:val="0"/>
                <w:bCs w:val="0"/>
                <w:color w:val="auto"/>
                <w:w w:val="100"/>
                <w:sz w:val="22"/>
                <w:lang w:eastAsia="en-AU"/>
              </w:rPr>
              <w:tab/>
            </w:r>
            <w:r w:rsidRPr="006E5CFA">
              <w:rPr>
                <w:rStyle w:val="Hyperlink"/>
              </w:rPr>
              <w:t>Introduction</w:t>
            </w:r>
            <w:r>
              <w:rPr>
                <w:webHidden/>
              </w:rPr>
              <w:tab/>
            </w:r>
            <w:r>
              <w:rPr>
                <w:webHidden/>
              </w:rPr>
              <w:fldChar w:fldCharType="begin"/>
            </w:r>
            <w:r>
              <w:rPr>
                <w:webHidden/>
              </w:rPr>
              <w:instrText xml:space="preserve"> PAGEREF _Toc129873692 \h </w:instrText>
            </w:r>
            <w:r>
              <w:rPr>
                <w:webHidden/>
              </w:rPr>
            </w:r>
            <w:r>
              <w:rPr>
                <w:webHidden/>
              </w:rPr>
              <w:fldChar w:fldCharType="separate"/>
            </w:r>
            <w:r>
              <w:rPr>
                <w:webHidden/>
              </w:rPr>
              <w:t>1</w:t>
            </w:r>
            <w:r>
              <w:rPr>
                <w:webHidden/>
              </w:rPr>
              <w:fldChar w:fldCharType="end"/>
            </w:r>
          </w:hyperlink>
        </w:p>
        <w:p w14:paraId="74DF8091" w14:textId="39539C66" w:rsidR="00303927" w:rsidRDefault="00303927">
          <w:pPr>
            <w:pStyle w:val="TOC2"/>
            <w:rPr>
              <w:rFonts w:eastAsiaTheme="minorEastAsia"/>
              <w:lang w:eastAsia="en-AU"/>
            </w:rPr>
          </w:pPr>
          <w:hyperlink w:anchor="_Toc129873693" w:history="1">
            <w:r w:rsidRPr="006E5CFA">
              <w:rPr>
                <w:rStyle w:val="Hyperlink"/>
              </w:rPr>
              <w:t>Presentation of 2021-22 annual and financial reports</w:t>
            </w:r>
            <w:r>
              <w:rPr>
                <w:webHidden/>
              </w:rPr>
              <w:tab/>
            </w:r>
            <w:r>
              <w:rPr>
                <w:webHidden/>
              </w:rPr>
              <w:fldChar w:fldCharType="begin"/>
            </w:r>
            <w:r>
              <w:rPr>
                <w:webHidden/>
              </w:rPr>
              <w:instrText xml:space="preserve"> PAGEREF _Toc129873693 \h </w:instrText>
            </w:r>
            <w:r>
              <w:rPr>
                <w:webHidden/>
              </w:rPr>
            </w:r>
            <w:r>
              <w:rPr>
                <w:webHidden/>
              </w:rPr>
              <w:fldChar w:fldCharType="separate"/>
            </w:r>
            <w:r>
              <w:rPr>
                <w:webHidden/>
              </w:rPr>
              <w:t>1</w:t>
            </w:r>
            <w:r>
              <w:rPr>
                <w:webHidden/>
              </w:rPr>
              <w:fldChar w:fldCharType="end"/>
            </w:r>
          </w:hyperlink>
        </w:p>
        <w:p w14:paraId="3D54230D" w14:textId="0DC5D909" w:rsidR="00303927" w:rsidRDefault="00303927">
          <w:pPr>
            <w:pStyle w:val="TOC2"/>
            <w:rPr>
              <w:rFonts w:eastAsiaTheme="minorEastAsia"/>
              <w:lang w:eastAsia="en-AU"/>
            </w:rPr>
          </w:pPr>
          <w:hyperlink w:anchor="_Toc129873694" w:history="1">
            <w:r w:rsidRPr="006E5CFA">
              <w:rPr>
                <w:rStyle w:val="Hyperlink"/>
              </w:rPr>
              <w:t>Public hearings</w:t>
            </w:r>
            <w:r>
              <w:rPr>
                <w:webHidden/>
              </w:rPr>
              <w:tab/>
            </w:r>
            <w:r>
              <w:rPr>
                <w:webHidden/>
              </w:rPr>
              <w:fldChar w:fldCharType="begin"/>
            </w:r>
            <w:r>
              <w:rPr>
                <w:webHidden/>
              </w:rPr>
              <w:instrText xml:space="preserve"> PAGEREF _Toc129873694 \h </w:instrText>
            </w:r>
            <w:r>
              <w:rPr>
                <w:webHidden/>
              </w:rPr>
            </w:r>
            <w:r>
              <w:rPr>
                <w:webHidden/>
              </w:rPr>
              <w:fldChar w:fldCharType="separate"/>
            </w:r>
            <w:r>
              <w:rPr>
                <w:webHidden/>
              </w:rPr>
              <w:t>1</w:t>
            </w:r>
            <w:r>
              <w:rPr>
                <w:webHidden/>
              </w:rPr>
              <w:fldChar w:fldCharType="end"/>
            </w:r>
          </w:hyperlink>
        </w:p>
        <w:p w14:paraId="5FD1849C" w14:textId="481ACDD3" w:rsidR="00303927" w:rsidRDefault="00303927">
          <w:pPr>
            <w:pStyle w:val="TOC2"/>
            <w:rPr>
              <w:rFonts w:eastAsiaTheme="minorEastAsia"/>
              <w:lang w:eastAsia="en-AU"/>
            </w:rPr>
          </w:pPr>
          <w:hyperlink w:anchor="_Toc129873695" w:history="1">
            <w:r w:rsidRPr="006E5CFA">
              <w:rPr>
                <w:rStyle w:val="Hyperlink"/>
              </w:rPr>
              <w:t>Questions on Notice and Questions Taken on Notice</w:t>
            </w:r>
            <w:r>
              <w:rPr>
                <w:webHidden/>
              </w:rPr>
              <w:tab/>
            </w:r>
            <w:r>
              <w:rPr>
                <w:webHidden/>
              </w:rPr>
              <w:fldChar w:fldCharType="begin"/>
            </w:r>
            <w:r>
              <w:rPr>
                <w:webHidden/>
              </w:rPr>
              <w:instrText xml:space="preserve"> PAGEREF _Toc129873695 \h </w:instrText>
            </w:r>
            <w:r>
              <w:rPr>
                <w:webHidden/>
              </w:rPr>
            </w:r>
            <w:r>
              <w:rPr>
                <w:webHidden/>
              </w:rPr>
              <w:fldChar w:fldCharType="separate"/>
            </w:r>
            <w:r>
              <w:rPr>
                <w:webHidden/>
              </w:rPr>
              <w:t>1</w:t>
            </w:r>
            <w:r>
              <w:rPr>
                <w:webHidden/>
              </w:rPr>
              <w:fldChar w:fldCharType="end"/>
            </w:r>
          </w:hyperlink>
        </w:p>
        <w:p w14:paraId="03D93B2E" w14:textId="202C6224" w:rsidR="00303927" w:rsidRDefault="00303927">
          <w:pPr>
            <w:pStyle w:val="TOC1"/>
            <w:rPr>
              <w:rFonts w:asciiTheme="minorHAnsi" w:eastAsiaTheme="minorEastAsia" w:hAnsiTheme="minorHAnsi"/>
              <w:b w:val="0"/>
              <w:bCs w:val="0"/>
              <w:color w:val="auto"/>
              <w:w w:val="100"/>
              <w:sz w:val="22"/>
              <w:lang w:eastAsia="en-AU"/>
            </w:rPr>
          </w:pPr>
          <w:hyperlink w:anchor="_Toc129873696" w:history="1">
            <w:r w:rsidRPr="006E5CFA">
              <w:rPr>
                <w:rStyle w:val="Hyperlink"/>
              </w:rPr>
              <w:t>2.</w:t>
            </w:r>
            <w:r>
              <w:rPr>
                <w:rFonts w:asciiTheme="minorHAnsi" w:eastAsiaTheme="minorEastAsia" w:hAnsiTheme="minorHAnsi"/>
                <w:b w:val="0"/>
                <w:bCs w:val="0"/>
                <w:color w:val="auto"/>
                <w:w w:val="100"/>
                <w:sz w:val="22"/>
                <w:lang w:eastAsia="en-AU"/>
              </w:rPr>
              <w:tab/>
            </w:r>
            <w:r w:rsidRPr="006E5CFA">
              <w:rPr>
                <w:rStyle w:val="Hyperlink"/>
              </w:rPr>
              <w:t>Environment, Planning and Sustainable Development Directorate</w:t>
            </w:r>
            <w:r>
              <w:rPr>
                <w:webHidden/>
              </w:rPr>
              <w:tab/>
            </w:r>
            <w:r>
              <w:rPr>
                <w:webHidden/>
              </w:rPr>
              <w:fldChar w:fldCharType="begin"/>
            </w:r>
            <w:r>
              <w:rPr>
                <w:webHidden/>
              </w:rPr>
              <w:instrText xml:space="preserve"> PAGEREF _Toc129873696 \h </w:instrText>
            </w:r>
            <w:r>
              <w:rPr>
                <w:webHidden/>
              </w:rPr>
            </w:r>
            <w:r>
              <w:rPr>
                <w:webHidden/>
              </w:rPr>
              <w:fldChar w:fldCharType="separate"/>
            </w:r>
            <w:r>
              <w:rPr>
                <w:webHidden/>
              </w:rPr>
              <w:t>2</w:t>
            </w:r>
            <w:r>
              <w:rPr>
                <w:webHidden/>
              </w:rPr>
              <w:fldChar w:fldCharType="end"/>
            </w:r>
          </w:hyperlink>
        </w:p>
        <w:p w14:paraId="3FBFF368" w14:textId="331FD666" w:rsidR="00303927" w:rsidRDefault="00303927">
          <w:pPr>
            <w:pStyle w:val="TOC2"/>
            <w:rPr>
              <w:rFonts w:eastAsiaTheme="minorEastAsia"/>
              <w:lang w:eastAsia="en-AU"/>
            </w:rPr>
          </w:pPr>
          <w:hyperlink w:anchor="_Toc129873697" w:history="1">
            <w:r w:rsidRPr="006E5CFA">
              <w:rPr>
                <w:rStyle w:val="Hyperlink"/>
              </w:rPr>
              <w:t>Minister for Planning and Land Management—Administrative arrangements</w:t>
            </w:r>
            <w:r>
              <w:rPr>
                <w:webHidden/>
              </w:rPr>
              <w:tab/>
            </w:r>
            <w:r>
              <w:rPr>
                <w:webHidden/>
              </w:rPr>
              <w:fldChar w:fldCharType="begin"/>
            </w:r>
            <w:r>
              <w:rPr>
                <w:webHidden/>
              </w:rPr>
              <w:instrText xml:space="preserve"> PAGEREF _Toc129873697 \h </w:instrText>
            </w:r>
            <w:r>
              <w:rPr>
                <w:webHidden/>
              </w:rPr>
            </w:r>
            <w:r>
              <w:rPr>
                <w:webHidden/>
              </w:rPr>
              <w:fldChar w:fldCharType="separate"/>
            </w:r>
            <w:r>
              <w:rPr>
                <w:webHidden/>
              </w:rPr>
              <w:t>2</w:t>
            </w:r>
            <w:r>
              <w:rPr>
                <w:webHidden/>
              </w:rPr>
              <w:fldChar w:fldCharType="end"/>
            </w:r>
          </w:hyperlink>
        </w:p>
        <w:p w14:paraId="41E9B040" w14:textId="77B828A3" w:rsidR="00303927" w:rsidRDefault="00303927">
          <w:pPr>
            <w:pStyle w:val="TOC3"/>
            <w:rPr>
              <w:rFonts w:eastAsiaTheme="minorEastAsia"/>
              <w:lang w:eastAsia="en-AU"/>
            </w:rPr>
          </w:pPr>
          <w:hyperlink w:anchor="_Toc129873698" w:history="1">
            <w:r w:rsidRPr="006E5CFA">
              <w:rPr>
                <w:rStyle w:val="Hyperlink"/>
              </w:rPr>
              <w:t>Matters considered – Session 1</w:t>
            </w:r>
            <w:r>
              <w:rPr>
                <w:webHidden/>
              </w:rPr>
              <w:tab/>
            </w:r>
            <w:r>
              <w:rPr>
                <w:webHidden/>
              </w:rPr>
              <w:fldChar w:fldCharType="begin"/>
            </w:r>
            <w:r>
              <w:rPr>
                <w:webHidden/>
              </w:rPr>
              <w:instrText xml:space="preserve"> PAGEREF _Toc129873698 \h </w:instrText>
            </w:r>
            <w:r>
              <w:rPr>
                <w:webHidden/>
              </w:rPr>
            </w:r>
            <w:r>
              <w:rPr>
                <w:webHidden/>
              </w:rPr>
              <w:fldChar w:fldCharType="separate"/>
            </w:r>
            <w:r>
              <w:rPr>
                <w:webHidden/>
              </w:rPr>
              <w:t>3</w:t>
            </w:r>
            <w:r>
              <w:rPr>
                <w:webHidden/>
              </w:rPr>
              <w:fldChar w:fldCharType="end"/>
            </w:r>
          </w:hyperlink>
        </w:p>
        <w:p w14:paraId="3D1B6E6D" w14:textId="6011EF0A" w:rsidR="00303927" w:rsidRDefault="00303927">
          <w:pPr>
            <w:pStyle w:val="TOC3"/>
            <w:rPr>
              <w:rFonts w:eastAsiaTheme="minorEastAsia"/>
              <w:lang w:eastAsia="en-AU"/>
            </w:rPr>
          </w:pPr>
          <w:hyperlink w:anchor="_Toc129873699" w:history="1">
            <w:r w:rsidRPr="006E5CFA">
              <w:rPr>
                <w:rStyle w:val="Hyperlink"/>
              </w:rPr>
              <w:t>Key Issues</w:t>
            </w:r>
            <w:r>
              <w:rPr>
                <w:webHidden/>
              </w:rPr>
              <w:tab/>
            </w:r>
            <w:r>
              <w:rPr>
                <w:webHidden/>
              </w:rPr>
              <w:fldChar w:fldCharType="begin"/>
            </w:r>
            <w:r>
              <w:rPr>
                <w:webHidden/>
              </w:rPr>
              <w:instrText xml:space="preserve"> PAGEREF _Toc129873699 \h </w:instrText>
            </w:r>
            <w:r>
              <w:rPr>
                <w:webHidden/>
              </w:rPr>
            </w:r>
            <w:r>
              <w:rPr>
                <w:webHidden/>
              </w:rPr>
              <w:fldChar w:fldCharType="separate"/>
            </w:r>
            <w:r>
              <w:rPr>
                <w:webHidden/>
              </w:rPr>
              <w:t>4</w:t>
            </w:r>
            <w:r>
              <w:rPr>
                <w:webHidden/>
              </w:rPr>
              <w:fldChar w:fldCharType="end"/>
            </w:r>
          </w:hyperlink>
        </w:p>
        <w:p w14:paraId="60682A01" w14:textId="69E16A74" w:rsidR="00303927" w:rsidRDefault="00303927">
          <w:pPr>
            <w:pStyle w:val="TOC3"/>
            <w:rPr>
              <w:rFonts w:eastAsiaTheme="minorEastAsia"/>
              <w:lang w:eastAsia="en-AU"/>
            </w:rPr>
          </w:pPr>
          <w:hyperlink w:anchor="_Toc129873700" w:history="1">
            <w:r w:rsidRPr="006E5CFA">
              <w:rPr>
                <w:rStyle w:val="Hyperlink"/>
              </w:rPr>
              <w:t>Matters considered – Session 2</w:t>
            </w:r>
            <w:r>
              <w:rPr>
                <w:webHidden/>
              </w:rPr>
              <w:tab/>
            </w:r>
            <w:r>
              <w:rPr>
                <w:webHidden/>
              </w:rPr>
              <w:fldChar w:fldCharType="begin"/>
            </w:r>
            <w:r>
              <w:rPr>
                <w:webHidden/>
              </w:rPr>
              <w:instrText xml:space="preserve"> PAGEREF _Toc129873700 \h </w:instrText>
            </w:r>
            <w:r>
              <w:rPr>
                <w:webHidden/>
              </w:rPr>
            </w:r>
            <w:r>
              <w:rPr>
                <w:webHidden/>
              </w:rPr>
              <w:fldChar w:fldCharType="separate"/>
            </w:r>
            <w:r>
              <w:rPr>
                <w:webHidden/>
              </w:rPr>
              <w:t>5</w:t>
            </w:r>
            <w:r>
              <w:rPr>
                <w:webHidden/>
              </w:rPr>
              <w:fldChar w:fldCharType="end"/>
            </w:r>
          </w:hyperlink>
        </w:p>
        <w:p w14:paraId="17206379" w14:textId="625A7B0A" w:rsidR="00303927" w:rsidRDefault="00303927">
          <w:pPr>
            <w:pStyle w:val="TOC2"/>
            <w:rPr>
              <w:rFonts w:eastAsiaTheme="minorEastAsia"/>
              <w:lang w:eastAsia="en-AU"/>
            </w:rPr>
          </w:pPr>
          <w:hyperlink w:anchor="_Toc129873701" w:history="1">
            <w:r w:rsidRPr="006E5CFA">
              <w:rPr>
                <w:rStyle w:val="Hyperlink"/>
              </w:rPr>
              <w:t>Minister for Sustainable Building and Construction—Administrative arrangements</w:t>
            </w:r>
            <w:r>
              <w:rPr>
                <w:webHidden/>
              </w:rPr>
              <w:tab/>
            </w:r>
            <w:r>
              <w:rPr>
                <w:webHidden/>
              </w:rPr>
              <w:fldChar w:fldCharType="begin"/>
            </w:r>
            <w:r>
              <w:rPr>
                <w:webHidden/>
              </w:rPr>
              <w:instrText xml:space="preserve"> PAGEREF _Toc129873701 \h </w:instrText>
            </w:r>
            <w:r>
              <w:rPr>
                <w:webHidden/>
              </w:rPr>
            </w:r>
            <w:r>
              <w:rPr>
                <w:webHidden/>
              </w:rPr>
              <w:fldChar w:fldCharType="separate"/>
            </w:r>
            <w:r>
              <w:rPr>
                <w:webHidden/>
              </w:rPr>
              <w:t>6</w:t>
            </w:r>
            <w:r>
              <w:rPr>
                <w:webHidden/>
              </w:rPr>
              <w:fldChar w:fldCharType="end"/>
            </w:r>
          </w:hyperlink>
        </w:p>
        <w:p w14:paraId="5094DD24" w14:textId="4B952AC6" w:rsidR="00303927" w:rsidRDefault="00303927">
          <w:pPr>
            <w:pStyle w:val="TOC3"/>
            <w:rPr>
              <w:rFonts w:eastAsiaTheme="minorEastAsia"/>
              <w:lang w:eastAsia="en-AU"/>
            </w:rPr>
          </w:pPr>
          <w:hyperlink w:anchor="_Toc129873702" w:history="1">
            <w:r w:rsidRPr="006E5CFA">
              <w:rPr>
                <w:rStyle w:val="Hyperlink"/>
              </w:rPr>
              <w:t>Matters considered</w:t>
            </w:r>
            <w:r>
              <w:rPr>
                <w:webHidden/>
              </w:rPr>
              <w:tab/>
            </w:r>
            <w:r>
              <w:rPr>
                <w:webHidden/>
              </w:rPr>
              <w:fldChar w:fldCharType="begin"/>
            </w:r>
            <w:r>
              <w:rPr>
                <w:webHidden/>
              </w:rPr>
              <w:instrText xml:space="preserve"> PAGEREF _Toc129873702 \h </w:instrText>
            </w:r>
            <w:r>
              <w:rPr>
                <w:webHidden/>
              </w:rPr>
            </w:r>
            <w:r>
              <w:rPr>
                <w:webHidden/>
              </w:rPr>
              <w:fldChar w:fldCharType="separate"/>
            </w:r>
            <w:r>
              <w:rPr>
                <w:webHidden/>
              </w:rPr>
              <w:t>6</w:t>
            </w:r>
            <w:r>
              <w:rPr>
                <w:webHidden/>
              </w:rPr>
              <w:fldChar w:fldCharType="end"/>
            </w:r>
          </w:hyperlink>
        </w:p>
        <w:p w14:paraId="79F49327" w14:textId="38F6B2BE" w:rsidR="00303927" w:rsidRDefault="00303927">
          <w:pPr>
            <w:pStyle w:val="TOC2"/>
            <w:rPr>
              <w:rFonts w:eastAsiaTheme="minorEastAsia"/>
              <w:lang w:eastAsia="en-AU"/>
            </w:rPr>
          </w:pPr>
          <w:hyperlink w:anchor="_Toc129873703" w:history="1">
            <w:r w:rsidRPr="006E5CFA">
              <w:rPr>
                <w:rStyle w:val="Hyperlink"/>
              </w:rPr>
              <w:t>Chief Minister—Administrative arrangements</w:t>
            </w:r>
            <w:r>
              <w:rPr>
                <w:webHidden/>
              </w:rPr>
              <w:tab/>
            </w:r>
            <w:r>
              <w:rPr>
                <w:webHidden/>
              </w:rPr>
              <w:fldChar w:fldCharType="begin"/>
            </w:r>
            <w:r>
              <w:rPr>
                <w:webHidden/>
              </w:rPr>
              <w:instrText xml:space="preserve"> PAGEREF _Toc129873703 \h </w:instrText>
            </w:r>
            <w:r>
              <w:rPr>
                <w:webHidden/>
              </w:rPr>
            </w:r>
            <w:r>
              <w:rPr>
                <w:webHidden/>
              </w:rPr>
              <w:fldChar w:fldCharType="separate"/>
            </w:r>
            <w:r>
              <w:rPr>
                <w:webHidden/>
              </w:rPr>
              <w:t>7</w:t>
            </w:r>
            <w:r>
              <w:rPr>
                <w:webHidden/>
              </w:rPr>
              <w:fldChar w:fldCharType="end"/>
            </w:r>
          </w:hyperlink>
        </w:p>
        <w:p w14:paraId="36BE40A5" w14:textId="51F2EB56" w:rsidR="00303927" w:rsidRDefault="00303927">
          <w:pPr>
            <w:pStyle w:val="TOC3"/>
            <w:rPr>
              <w:rFonts w:eastAsiaTheme="minorEastAsia"/>
              <w:lang w:eastAsia="en-AU"/>
            </w:rPr>
          </w:pPr>
          <w:hyperlink w:anchor="_Toc129873704" w:history="1">
            <w:r w:rsidRPr="006E5CFA">
              <w:rPr>
                <w:rStyle w:val="Hyperlink"/>
              </w:rPr>
              <w:t>Matters considered</w:t>
            </w:r>
            <w:r>
              <w:rPr>
                <w:webHidden/>
              </w:rPr>
              <w:tab/>
            </w:r>
            <w:r>
              <w:rPr>
                <w:webHidden/>
              </w:rPr>
              <w:fldChar w:fldCharType="begin"/>
            </w:r>
            <w:r>
              <w:rPr>
                <w:webHidden/>
              </w:rPr>
              <w:instrText xml:space="preserve"> PAGEREF _Toc129873704 \h </w:instrText>
            </w:r>
            <w:r>
              <w:rPr>
                <w:webHidden/>
              </w:rPr>
            </w:r>
            <w:r>
              <w:rPr>
                <w:webHidden/>
              </w:rPr>
              <w:fldChar w:fldCharType="separate"/>
            </w:r>
            <w:r>
              <w:rPr>
                <w:webHidden/>
              </w:rPr>
              <w:t>7</w:t>
            </w:r>
            <w:r>
              <w:rPr>
                <w:webHidden/>
              </w:rPr>
              <w:fldChar w:fldCharType="end"/>
            </w:r>
          </w:hyperlink>
        </w:p>
        <w:p w14:paraId="3BC2CEFC" w14:textId="0B77463F" w:rsidR="00303927" w:rsidRDefault="00303927">
          <w:pPr>
            <w:pStyle w:val="TOC2"/>
            <w:rPr>
              <w:rFonts w:eastAsiaTheme="minorEastAsia"/>
              <w:lang w:eastAsia="en-AU"/>
            </w:rPr>
          </w:pPr>
          <w:hyperlink w:anchor="_Toc129873705" w:history="1">
            <w:r w:rsidRPr="006E5CFA">
              <w:rPr>
                <w:rStyle w:val="Hyperlink"/>
              </w:rPr>
              <w:t>Minister for Housing and Suburban Development—Administrative arrangements</w:t>
            </w:r>
            <w:r>
              <w:rPr>
                <w:webHidden/>
              </w:rPr>
              <w:tab/>
            </w:r>
            <w:r>
              <w:rPr>
                <w:webHidden/>
              </w:rPr>
              <w:fldChar w:fldCharType="begin"/>
            </w:r>
            <w:r>
              <w:rPr>
                <w:webHidden/>
              </w:rPr>
              <w:instrText xml:space="preserve"> PAGEREF _Toc129873705 \h </w:instrText>
            </w:r>
            <w:r>
              <w:rPr>
                <w:webHidden/>
              </w:rPr>
            </w:r>
            <w:r>
              <w:rPr>
                <w:webHidden/>
              </w:rPr>
              <w:fldChar w:fldCharType="separate"/>
            </w:r>
            <w:r>
              <w:rPr>
                <w:webHidden/>
              </w:rPr>
              <w:t>8</w:t>
            </w:r>
            <w:r>
              <w:rPr>
                <w:webHidden/>
              </w:rPr>
              <w:fldChar w:fldCharType="end"/>
            </w:r>
          </w:hyperlink>
        </w:p>
        <w:p w14:paraId="3B8B799B" w14:textId="73725D28" w:rsidR="00303927" w:rsidRDefault="00303927">
          <w:pPr>
            <w:pStyle w:val="TOC3"/>
            <w:rPr>
              <w:rFonts w:eastAsiaTheme="minorEastAsia"/>
              <w:lang w:eastAsia="en-AU"/>
            </w:rPr>
          </w:pPr>
          <w:hyperlink w:anchor="_Toc129873706" w:history="1">
            <w:r w:rsidRPr="006E5CFA">
              <w:rPr>
                <w:rStyle w:val="Hyperlink"/>
              </w:rPr>
              <w:t>Matters considered</w:t>
            </w:r>
            <w:r>
              <w:rPr>
                <w:webHidden/>
              </w:rPr>
              <w:tab/>
            </w:r>
            <w:r>
              <w:rPr>
                <w:webHidden/>
              </w:rPr>
              <w:fldChar w:fldCharType="begin"/>
            </w:r>
            <w:r>
              <w:rPr>
                <w:webHidden/>
              </w:rPr>
              <w:instrText xml:space="preserve"> PAGEREF _Toc129873706 \h </w:instrText>
            </w:r>
            <w:r>
              <w:rPr>
                <w:webHidden/>
              </w:rPr>
            </w:r>
            <w:r>
              <w:rPr>
                <w:webHidden/>
              </w:rPr>
              <w:fldChar w:fldCharType="separate"/>
            </w:r>
            <w:r>
              <w:rPr>
                <w:webHidden/>
              </w:rPr>
              <w:t>8</w:t>
            </w:r>
            <w:r>
              <w:rPr>
                <w:webHidden/>
              </w:rPr>
              <w:fldChar w:fldCharType="end"/>
            </w:r>
          </w:hyperlink>
        </w:p>
        <w:p w14:paraId="70C503E6" w14:textId="083868E3" w:rsidR="00303927" w:rsidRDefault="00303927">
          <w:pPr>
            <w:pStyle w:val="TOC3"/>
            <w:rPr>
              <w:rFonts w:eastAsiaTheme="minorEastAsia"/>
              <w:lang w:eastAsia="en-AU"/>
            </w:rPr>
          </w:pPr>
          <w:hyperlink w:anchor="_Toc129873707" w:history="1">
            <w:r w:rsidRPr="006E5CFA">
              <w:rPr>
                <w:rStyle w:val="Hyperlink"/>
              </w:rPr>
              <w:t>Key Issues</w:t>
            </w:r>
            <w:r>
              <w:rPr>
                <w:webHidden/>
              </w:rPr>
              <w:tab/>
            </w:r>
            <w:r>
              <w:rPr>
                <w:webHidden/>
              </w:rPr>
              <w:fldChar w:fldCharType="begin"/>
            </w:r>
            <w:r>
              <w:rPr>
                <w:webHidden/>
              </w:rPr>
              <w:instrText xml:space="preserve"> PAGEREF _Toc129873707 \h </w:instrText>
            </w:r>
            <w:r>
              <w:rPr>
                <w:webHidden/>
              </w:rPr>
            </w:r>
            <w:r>
              <w:rPr>
                <w:webHidden/>
              </w:rPr>
              <w:fldChar w:fldCharType="separate"/>
            </w:r>
            <w:r>
              <w:rPr>
                <w:webHidden/>
              </w:rPr>
              <w:t>9</w:t>
            </w:r>
            <w:r>
              <w:rPr>
                <w:webHidden/>
              </w:rPr>
              <w:fldChar w:fldCharType="end"/>
            </w:r>
          </w:hyperlink>
        </w:p>
        <w:p w14:paraId="51339187" w14:textId="155A790B" w:rsidR="00303927" w:rsidRDefault="00303927">
          <w:pPr>
            <w:pStyle w:val="TOC1"/>
            <w:rPr>
              <w:rFonts w:asciiTheme="minorHAnsi" w:eastAsiaTheme="minorEastAsia" w:hAnsiTheme="minorHAnsi"/>
              <w:b w:val="0"/>
              <w:bCs w:val="0"/>
              <w:color w:val="auto"/>
              <w:w w:val="100"/>
              <w:sz w:val="22"/>
              <w:lang w:eastAsia="en-AU"/>
            </w:rPr>
          </w:pPr>
          <w:hyperlink w:anchor="_Toc129873708" w:history="1">
            <w:r w:rsidRPr="006E5CFA">
              <w:rPr>
                <w:rStyle w:val="Hyperlink"/>
              </w:rPr>
              <w:t>3.</w:t>
            </w:r>
            <w:r>
              <w:rPr>
                <w:rFonts w:asciiTheme="minorHAnsi" w:eastAsiaTheme="minorEastAsia" w:hAnsiTheme="minorHAnsi"/>
                <w:b w:val="0"/>
                <w:bCs w:val="0"/>
                <w:color w:val="auto"/>
                <w:w w:val="100"/>
                <w:sz w:val="22"/>
                <w:lang w:eastAsia="en-AU"/>
              </w:rPr>
              <w:tab/>
            </w:r>
            <w:r w:rsidRPr="006E5CFA">
              <w:rPr>
                <w:rStyle w:val="Hyperlink"/>
              </w:rPr>
              <w:t>Transport Canberra and City Services Directorate</w:t>
            </w:r>
            <w:r>
              <w:rPr>
                <w:webHidden/>
              </w:rPr>
              <w:tab/>
            </w:r>
            <w:r>
              <w:rPr>
                <w:webHidden/>
              </w:rPr>
              <w:fldChar w:fldCharType="begin"/>
            </w:r>
            <w:r>
              <w:rPr>
                <w:webHidden/>
              </w:rPr>
              <w:instrText xml:space="preserve"> PAGEREF _Toc129873708 \h </w:instrText>
            </w:r>
            <w:r>
              <w:rPr>
                <w:webHidden/>
              </w:rPr>
            </w:r>
            <w:r>
              <w:rPr>
                <w:webHidden/>
              </w:rPr>
              <w:fldChar w:fldCharType="separate"/>
            </w:r>
            <w:r>
              <w:rPr>
                <w:webHidden/>
              </w:rPr>
              <w:t>10</w:t>
            </w:r>
            <w:r>
              <w:rPr>
                <w:webHidden/>
              </w:rPr>
              <w:fldChar w:fldCharType="end"/>
            </w:r>
          </w:hyperlink>
        </w:p>
        <w:p w14:paraId="4262D55D" w14:textId="71B3CE7C" w:rsidR="00303927" w:rsidRDefault="00303927">
          <w:pPr>
            <w:pStyle w:val="TOC2"/>
            <w:rPr>
              <w:rFonts w:eastAsiaTheme="minorEastAsia"/>
              <w:lang w:eastAsia="en-AU"/>
            </w:rPr>
          </w:pPr>
          <w:hyperlink w:anchor="_Toc129873709" w:history="1">
            <w:r w:rsidRPr="006E5CFA">
              <w:rPr>
                <w:rStyle w:val="Hyperlink"/>
              </w:rPr>
              <w:t>Minister for Transport and City Services—Administrative arrangements</w:t>
            </w:r>
            <w:r>
              <w:rPr>
                <w:webHidden/>
              </w:rPr>
              <w:tab/>
            </w:r>
            <w:r>
              <w:rPr>
                <w:webHidden/>
              </w:rPr>
              <w:fldChar w:fldCharType="begin"/>
            </w:r>
            <w:r>
              <w:rPr>
                <w:webHidden/>
              </w:rPr>
              <w:instrText xml:space="preserve"> PAGEREF _Toc129873709 \h </w:instrText>
            </w:r>
            <w:r>
              <w:rPr>
                <w:webHidden/>
              </w:rPr>
            </w:r>
            <w:r>
              <w:rPr>
                <w:webHidden/>
              </w:rPr>
              <w:fldChar w:fldCharType="separate"/>
            </w:r>
            <w:r>
              <w:rPr>
                <w:webHidden/>
              </w:rPr>
              <w:t>10</w:t>
            </w:r>
            <w:r>
              <w:rPr>
                <w:webHidden/>
              </w:rPr>
              <w:fldChar w:fldCharType="end"/>
            </w:r>
          </w:hyperlink>
        </w:p>
        <w:p w14:paraId="64A02B26" w14:textId="527B3F3D" w:rsidR="00303927" w:rsidRDefault="00303927">
          <w:pPr>
            <w:pStyle w:val="TOC3"/>
            <w:rPr>
              <w:rFonts w:eastAsiaTheme="minorEastAsia"/>
              <w:lang w:eastAsia="en-AU"/>
            </w:rPr>
          </w:pPr>
          <w:hyperlink w:anchor="_Toc129873710" w:history="1">
            <w:r w:rsidRPr="006E5CFA">
              <w:rPr>
                <w:rStyle w:val="Hyperlink"/>
              </w:rPr>
              <w:t>Matters considered – Session 1</w:t>
            </w:r>
            <w:r>
              <w:rPr>
                <w:webHidden/>
              </w:rPr>
              <w:tab/>
            </w:r>
            <w:r>
              <w:rPr>
                <w:webHidden/>
              </w:rPr>
              <w:fldChar w:fldCharType="begin"/>
            </w:r>
            <w:r>
              <w:rPr>
                <w:webHidden/>
              </w:rPr>
              <w:instrText xml:space="preserve"> PAGEREF _Toc129873710 \h </w:instrText>
            </w:r>
            <w:r>
              <w:rPr>
                <w:webHidden/>
              </w:rPr>
            </w:r>
            <w:r>
              <w:rPr>
                <w:webHidden/>
              </w:rPr>
              <w:fldChar w:fldCharType="separate"/>
            </w:r>
            <w:r>
              <w:rPr>
                <w:webHidden/>
              </w:rPr>
              <w:t>11</w:t>
            </w:r>
            <w:r>
              <w:rPr>
                <w:webHidden/>
              </w:rPr>
              <w:fldChar w:fldCharType="end"/>
            </w:r>
          </w:hyperlink>
        </w:p>
        <w:p w14:paraId="6FA42CE4" w14:textId="3750C737" w:rsidR="00303927" w:rsidRDefault="00303927">
          <w:pPr>
            <w:pStyle w:val="TOC3"/>
            <w:rPr>
              <w:rFonts w:eastAsiaTheme="minorEastAsia"/>
              <w:lang w:eastAsia="en-AU"/>
            </w:rPr>
          </w:pPr>
          <w:hyperlink w:anchor="_Toc129873711" w:history="1">
            <w:r w:rsidRPr="006E5CFA">
              <w:rPr>
                <w:rStyle w:val="Hyperlink"/>
              </w:rPr>
              <w:t>Key Issues</w:t>
            </w:r>
            <w:r>
              <w:rPr>
                <w:webHidden/>
              </w:rPr>
              <w:tab/>
            </w:r>
            <w:r>
              <w:rPr>
                <w:webHidden/>
              </w:rPr>
              <w:fldChar w:fldCharType="begin"/>
            </w:r>
            <w:r>
              <w:rPr>
                <w:webHidden/>
              </w:rPr>
              <w:instrText xml:space="preserve"> PAGEREF _Toc129873711 \h </w:instrText>
            </w:r>
            <w:r>
              <w:rPr>
                <w:webHidden/>
              </w:rPr>
            </w:r>
            <w:r>
              <w:rPr>
                <w:webHidden/>
              </w:rPr>
              <w:fldChar w:fldCharType="separate"/>
            </w:r>
            <w:r>
              <w:rPr>
                <w:webHidden/>
              </w:rPr>
              <w:t>12</w:t>
            </w:r>
            <w:r>
              <w:rPr>
                <w:webHidden/>
              </w:rPr>
              <w:fldChar w:fldCharType="end"/>
            </w:r>
          </w:hyperlink>
        </w:p>
        <w:p w14:paraId="085B09BD" w14:textId="2F329F08" w:rsidR="00303927" w:rsidRDefault="00303927">
          <w:pPr>
            <w:pStyle w:val="TOC3"/>
            <w:rPr>
              <w:rFonts w:eastAsiaTheme="minorEastAsia"/>
              <w:lang w:eastAsia="en-AU"/>
            </w:rPr>
          </w:pPr>
          <w:hyperlink w:anchor="_Toc129873712" w:history="1">
            <w:r w:rsidRPr="006E5CFA">
              <w:rPr>
                <w:rStyle w:val="Hyperlink"/>
              </w:rPr>
              <w:t>Matters considered – Session 2</w:t>
            </w:r>
            <w:r>
              <w:rPr>
                <w:webHidden/>
              </w:rPr>
              <w:tab/>
            </w:r>
            <w:r>
              <w:rPr>
                <w:webHidden/>
              </w:rPr>
              <w:fldChar w:fldCharType="begin"/>
            </w:r>
            <w:r>
              <w:rPr>
                <w:webHidden/>
              </w:rPr>
              <w:instrText xml:space="preserve"> PAGEREF _Toc129873712 \h </w:instrText>
            </w:r>
            <w:r>
              <w:rPr>
                <w:webHidden/>
              </w:rPr>
            </w:r>
            <w:r>
              <w:rPr>
                <w:webHidden/>
              </w:rPr>
              <w:fldChar w:fldCharType="separate"/>
            </w:r>
            <w:r>
              <w:rPr>
                <w:webHidden/>
              </w:rPr>
              <w:t>17</w:t>
            </w:r>
            <w:r>
              <w:rPr>
                <w:webHidden/>
              </w:rPr>
              <w:fldChar w:fldCharType="end"/>
            </w:r>
          </w:hyperlink>
        </w:p>
        <w:p w14:paraId="27914225" w14:textId="70A7F7B9" w:rsidR="00303927" w:rsidRDefault="00303927">
          <w:pPr>
            <w:pStyle w:val="TOC3"/>
            <w:rPr>
              <w:rFonts w:eastAsiaTheme="minorEastAsia"/>
              <w:lang w:eastAsia="en-AU"/>
            </w:rPr>
          </w:pPr>
          <w:hyperlink w:anchor="_Toc129873713" w:history="1">
            <w:r w:rsidRPr="006E5CFA">
              <w:rPr>
                <w:rStyle w:val="Hyperlink"/>
              </w:rPr>
              <w:t>Key Issues</w:t>
            </w:r>
            <w:r>
              <w:rPr>
                <w:webHidden/>
              </w:rPr>
              <w:tab/>
            </w:r>
            <w:r>
              <w:rPr>
                <w:webHidden/>
              </w:rPr>
              <w:fldChar w:fldCharType="begin"/>
            </w:r>
            <w:r>
              <w:rPr>
                <w:webHidden/>
              </w:rPr>
              <w:instrText xml:space="preserve"> PAGEREF _Toc129873713 \h </w:instrText>
            </w:r>
            <w:r>
              <w:rPr>
                <w:webHidden/>
              </w:rPr>
            </w:r>
            <w:r>
              <w:rPr>
                <w:webHidden/>
              </w:rPr>
              <w:fldChar w:fldCharType="separate"/>
            </w:r>
            <w:r>
              <w:rPr>
                <w:webHidden/>
              </w:rPr>
              <w:t>18</w:t>
            </w:r>
            <w:r>
              <w:rPr>
                <w:webHidden/>
              </w:rPr>
              <w:fldChar w:fldCharType="end"/>
            </w:r>
          </w:hyperlink>
        </w:p>
        <w:p w14:paraId="0AA35EE9" w14:textId="2A089D8E" w:rsidR="00303927" w:rsidRDefault="00303927">
          <w:pPr>
            <w:pStyle w:val="TOC2"/>
            <w:rPr>
              <w:rFonts w:eastAsiaTheme="minorEastAsia"/>
              <w:lang w:eastAsia="en-AU"/>
            </w:rPr>
          </w:pPr>
          <w:hyperlink w:anchor="_Toc129873714" w:history="1">
            <w:r w:rsidRPr="006E5CFA">
              <w:rPr>
                <w:rStyle w:val="Hyperlink"/>
              </w:rPr>
              <w:t>Minister for Sport and Recreation—Administrative arrangements</w:t>
            </w:r>
            <w:r>
              <w:rPr>
                <w:webHidden/>
              </w:rPr>
              <w:tab/>
            </w:r>
            <w:r>
              <w:rPr>
                <w:webHidden/>
              </w:rPr>
              <w:fldChar w:fldCharType="begin"/>
            </w:r>
            <w:r>
              <w:rPr>
                <w:webHidden/>
              </w:rPr>
              <w:instrText xml:space="preserve"> PAGEREF _Toc129873714 \h </w:instrText>
            </w:r>
            <w:r>
              <w:rPr>
                <w:webHidden/>
              </w:rPr>
            </w:r>
            <w:r>
              <w:rPr>
                <w:webHidden/>
              </w:rPr>
              <w:fldChar w:fldCharType="separate"/>
            </w:r>
            <w:r>
              <w:rPr>
                <w:webHidden/>
              </w:rPr>
              <w:t>29</w:t>
            </w:r>
            <w:r>
              <w:rPr>
                <w:webHidden/>
              </w:rPr>
              <w:fldChar w:fldCharType="end"/>
            </w:r>
          </w:hyperlink>
        </w:p>
        <w:p w14:paraId="387CBF7A" w14:textId="7EE4E85C" w:rsidR="00303927" w:rsidRDefault="00303927">
          <w:pPr>
            <w:pStyle w:val="TOC3"/>
            <w:rPr>
              <w:rFonts w:eastAsiaTheme="minorEastAsia"/>
              <w:lang w:eastAsia="en-AU"/>
            </w:rPr>
          </w:pPr>
          <w:hyperlink w:anchor="_Toc129873715" w:history="1">
            <w:r w:rsidRPr="006E5CFA">
              <w:rPr>
                <w:rStyle w:val="Hyperlink"/>
              </w:rPr>
              <w:t>Matters considered</w:t>
            </w:r>
            <w:r>
              <w:rPr>
                <w:webHidden/>
              </w:rPr>
              <w:tab/>
            </w:r>
            <w:r>
              <w:rPr>
                <w:webHidden/>
              </w:rPr>
              <w:fldChar w:fldCharType="begin"/>
            </w:r>
            <w:r>
              <w:rPr>
                <w:webHidden/>
              </w:rPr>
              <w:instrText xml:space="preserve"> PAGEREF _Toc129873715 \h </w:instrText>
            </w:r>
            <w:r>
              <w:rPr>
                <w:webHidden/>
              </w:rPr>
            </w:r>
            <w:r>
              <w:rPr>
                <w:webHidden/>
              </w:rPr>
              <w:fldChar w:fldCharType="separate"/>
            </w:r>
            <w:r>
              <w:rPr>
                <w:webHidden/>
              </w:rPr>
              <w:t>29</w:t>
            </w:r>
            <w:r>
              <w:rPr>
                <w:webHidden/>
              </w:rPr>
              <w:fldChar w:fldCharType="end"/>
            </w:r>
          </w:hyperlink>
        </w:p>
        <w:p w14:paraId="24CA72F4" w14:textId="2CEFD720" w:rsidR="00303927" w:rsidRDefault="00303927">
          <w:pPr>
            <w:pStyle w:val="TOC1"/>
            <w:rPr>
              <w:rFonts w:asciiTheme="minorHAnsi" w:eastAsiaTheme="minorEastAsia" w:hAnsiTheme="minorHAnsi"/>
              <w:b w:val="0"/>
              <w:bCs w:val="0"/>
              <w:color w:val="auto"/>
              <w:w w:val="100"/>
              <w:sz w:val="22"/>
              <w:lang w:eastAsia="en-AU"/>
            </w:rPr>
          </w:pPr>
          <w:hyperlink w:anchor="_Toc129873716" w:history="1">
            <w:r w:rsidRPr="006E5CFA">
              <w:rPr>
                <w:rStyle w:val="Hyperlink"/>
              </w:rPr>
              <w:t>4.</w:t>
            </w:r>
            <w:r>
              <w:rPr>
                <w:rFonts w:asciiTheme="minorHAnsi" w:eastAsiaTheme="minorEastAsia" w:hAnsiTheme="minorHAnsi"/>
                <w:b w:val="0"/>
                <w:bCs w:val="0"/>
                <w:color w:val="auto"/>
                <w:w w:val="100"/>
                <w:sz w:val="22"/>
                <w:lang w:eastAsia="en-AU"/>
              </w:rPr>
              <w:tab/>
            </w:r>
            <w:r w:rsidRPr="006E5CFA">
              <w:rPr>
                <w:rStyle w:val="Hyperlink"/>
              </w:rPr>
              <w:t>Conclusion</w:t>
            </w:r>
            <w:r>
              <w:rPr>
                <w:webHidden/>
              </w:rPr>
              <w:tab/>
            </w:r>
            <w:r>
              <w:rPr>
                <w:webHidden/>
              </w:rPr>
              <w:fldChar w:fldCharType="begin"/>
            </w:r>
            <w:r>
              <w:rPr>
                <w:webHidden/>
              </w:rPr>
              <w:instrText xml:space="preserve"> PAGEREF _Toc129873716 \h </w:instrText>
            </w:r>
            <w:r>
              <w:rPr>
                <w:webHidden/>
              </w:rPr>
            </w:r>
            <w:r>
              <w:rPr>
                <w:webHidden/>
              </w:rPr>
              <w:fldChar w:fldCharType="separate"/>
            </w:r>
            <w:r>
              <w:rPr>
                <w:webHidden/>
              </w:rPr>
              <w:t>30</w:t>
            </w:r>
            <w:r>
              <w:rPr>
                <w:webHidden/>
              </w:rPr>
              <w:fldChar w:fldCharType="end"/>
            </w:r>
          </w:hyperlink>
        </w:p>
        <w:p w14:paraId="05A8C6FF" w14:textId="4AFBCA01" w:rsidR="00303927" w:rsidRDefault="00303927">
          <w:pPr>
            <w:pStyle w:val="TOC1"/>
            <w:rPr>
              <w:rFonts w:asciiTheme="minorHAnsi" w:eastAsiaTheme="minorEastAsia" w:hAnsiTheme="minorHAnsi"/>
              <w:b w:val="0"/>
              <w:bCs w:val="0"/>
              <w:color w:val="auto"/>
              <w:w w:val="100"/>
              <w:sz w:val="22"/>
              <w:lang w:eastAsia="en-AU"/>
            </w:rPr>
          </w:pPr>
          <w:hyperlink w:anchor="_Toc129873717" w:history="1">
            <w:r w:rsidRPr="006E5CFA">
              <w:rPr>
                <w:rStyle w:val="Hyperlink"/>
              </w:rPr>
              <w:t>Appendix A: Witnesses</w:t>
            </w:r>
            <w:r>
              <w:rPr>
                <w:webHidden/>
              </w:rPr>
              <w:tab/>
            </w:r>
            <w:r>
              <w:rPr>
                <w:webHidden/>
              </w:rPr>
              <w:fldChar w:fldCharType="begin"/>
            </w:r>
            <w:r>
              <w:rPr>
                <w:webHidden/>
              </w:rPr>
              <w:instrText xml:space="preserve"> PAGEREF _Toc129873717 \h </w:instrText>
            </w:r>
            <w:r>
              <w:rPr>
                <w:webHidden/>
              </w:rPr>
            </w:r>
            <w:r>
              <w:rPr>
                <w:webHidden/>
              </w:rPr>
              <w:fldChar w:fldCharType="separate"/>
            </w:r>
            <w:r>
              <w:rPr>
                <w:webHidden/>
              </w:rPr>
              <w:t>31</w:t>
            </w:r>
            <w:r>
              <w:rPr>
                <w:webHidden/>
              </w:rPr>
              <w:fldChar w:fldCharType="end"/>
            </w:r>
          </w:hyperlink>
        </w:p>
        <w:p w14:paraId="36E6DBA3" w14:textId="6EF29B80" w:rsidR="00303927" w:rsidRDefault="00303927">
          <w:pPr>
            <w:pStyle w:val="TOC3"/>
            <w:rPr>
              <w:rFonts w:eastAsiaTheme="minorEastAsia"/>
              <w:lang w:eastAsia="en-AU"/>
            </w:rPr>
          </w:pPr>
          <w:hyperlink w:anchor="_Toc129873718" w:history="1">
            <w:r w:rsidRPr="006E5CFA">
              <w:rPr>
                <w:rStyle w:val="Hyperlink"/>
              </w:rPr>
              <w:t>Monday, 31 October 2022</w:t>
            </w:r>
            <w:r>
              <w:rPr>
                <w:webHidden/>
              </w:rPr>
              <w:tab/>
            </w:r>
            <w:r>
              <w:rPr>
                <w:webHidden/>
              </w:rPr>
              <w:fldChar w:fldCharType="begin"/>
            </w:r>
            <w:r>
              <w:rPr>
                <w:webHidden/>
              </w:rPr>
              <w:instrText xml:space="preserve"> PAGEREF _Toc129873718 \h </w:instrText>
            </w:r>
            <w:r>
              <w:rPr>
                <w:webHidden/>
              </w:rPr>
            </w:r>
            <w:r>
              <w:rPr>
                <w:webHidden/>
              </w:rPr>
              <w:fldChar w:fldCharType="separate"/>
            </w:r>
            <w:r>
              <w:rPr>
                <w:webHidden/>
              </w:rPr>
              <w:t>31</w:t>
            </w:r>
            <w:r>
              <w:rPr>
                <w:webHidden/>
              </w:rPr>
              <w:fldChar w:fldCharType="end"/>
            </w:r>
          </w:hyperlink>
        </w:p>
        <w:p w14:paraId="5184BC21" w14:textId="09853CA4" w:rsidR="00303927" w:rsidRDefault="00303927">
          <w:pPr>
            <w:pStyle w:val="TOC3"/>
            <w:rPr>
              <w:rFonts w:eastAsiaTheme="minorEastAsia"/>
              <w:lang w:eastAsia="en-AU"/>
            </w:rPr>
          </w:pPr>
          <w:hyperlink w:anchor="_Toc129873719" w:history="1">
            <w:r w:rsidRPr="006E5CFA">
              <w:rPr>
                <w:rStyle w:val="Hyperlink"/>
              </w:rPr>
              <w:t>Wednesday, 2 November 2022</w:t>
            </w:r>
            <w:r>
              <w:rPr>
                <w:webHidden/>
              </w:rPr>
              <w:tab/>
            </w:r>
            <w:r>
              <w:rPr>
                <w:webHidden/>
              </w:rPr>
              <w:fldChar w:fldCharType="begin"/>
            </w:r>
            <w:r>
              <w:rPr>
                <w:webHidden/>
              </w:rPr>
              <w:instrText xml:space="preserve"> PAGEREF _Toc129873719 \h </w:instrText>
            </w:r>
            <w:r>
              <w:rPr>
                <w:webHidden/>
              </w:rPr>
            </w:r>
            <w:r>
              <w:rPr>
                <w:webHidden/>
              </w:rPr>
              <w:fldChar w:fldCharType="separate"/>
            </w:r>
            <w:r>
              <w:rPr>
                <w:webHidden/>
              </w:rPr>
              <w:t>31</w:t>
            </w:r>
            <w:r>
              <w:rPr>
                <w:webHidden/>
              </w:rPr>
              <w:fldChar w:fldCharType="end"/>
            </w:r>
          </w:hyperlink>
        </w:p>
        <w:p w14:paraId="6C321581" w14:textId="44DA3D54" w:rsidR="00303927" w:rsidRDefault="00303927">
          <w:pPr>
            <w:pStyle w:val="TOC3"/>
            <w:rPr>
              <w:rFonts w:eastAsiaTheme="minorEastAsia"/>
              <w:lang w:eastAsia="en-AU"/>
            </w:rPr>
          </w:pPr>
          <w:hyperlink w:anchor="_Toc129873720" w:history="1">
            <w:r w:rsidRPr="006E5CFA">
              <w:rPr>
                <w:rStyle w:val="Hyperlink"/>
              </w:rPr>
              <w:t>Monday, 7 November 2022</w:t>
            </w:r>
            <w:r>
              <w:rPr>
                <w:webHidden/>
              </w:rPr>
              <w:tab/>
            </w:r>
            <w:r>
              <w:rPr>
                <w:webHidden/>
              </w:rPr>
              <w:fldChar w:fldCharType="begin"/>
            </w:r>
            <w:r>
              <w:rPr>
                <w:webHidden/>
              </w:rPr>
              <w:instrText xml:space="preserve"> PAGEREF _Toc129873720 \h </w:instrText>
            </w:r>
            <w:r>
              <w:rPr>
                <w:webHidden/>
              </w:rPr>
            </w:r>
            <w:r>
              <w:rPr>
                <w:webHidden/>
              </w:rPr>
              <w:fldChar w:fldCharType="separate"/>
            </w:r>
            <w:r>
              <w:rPr>
                <w:webHidden/>
              </w:rPr>
              <w:t>32</w:t>
            </w:r>
            <w:r>
              <w:rPr>
                <w:webHidden/>
              </w:rPr>
              <w:fldChar w:fldCharType="end"/>
            </w:r>
          </w:hyperlink>
        </w:p>
        <w:p w14:paraId="586FD5B2" w14:textId="7805419F" w:rsidR="00303927" w:rsidRDefault="00303927">
          <w:pPr>
            <w:pStyle w:val="TOC3"/>
            <w:rPr>
              <w:rFonts w:eastAsiaTheme="minorEastAsia"/>
              <w:lang w:eastAsia="en-AU"/>
            </w:rPr>
          </w:pPr>
          <w:hyperlink w:anchor="_Toc129873721" w:history="1">
            <w:r w:rsidRPr="006E5CFA">
              <w:rPr>
                <w:rStyle w:val="Hyperlink"/>
              </w:rPr>
              <w:t>Tuesday, 8 November 2022</w:t>
            </w:r>
            <w:r>
              <w:rPr>
                <w:webHidden/>
              </w:rPr>
              <w:tab/>
            </w:r>
            <w:r>
              <w:rPr>
                <w:webHidden/>
              </w:rPr>
              <w:fldChar w:fldCharType="begin"/>
            </w:r>
            <w:r>
              <w:rPr>
                <w:webHidden/>
              </w:rPr>
              <w:instrText xml:space="preserve"> PAGEREF _Toc129873721 \h </w:instrText>
            </w:r>
            <w:r>
              <w:rPr>
                <w:webHidden/>
              </w:rPr>
            </w:r>
            <w:r>
              <w:rPr>
                <w:webHidden/>
              </w:rPr>
              <w:fldChar w:fldCharType="separate"/>
            </w:r>
            <w:r>
              <w:rPr>
                <w:webHidden/>
              </w:rPr>
              <w:t>32</w:t>
            </w:r>
            <w:r>
              <w:rPr>
                <w:webHidden/>
              </w:rPr>
              <w:fldChar w:fldCharType="end"/>
            </w:r>
          </w:hyperlink>
        </w:p>
        <w:p w14:paraId="5565F3CA" w14:textId="4432A223" w:rsidR="00303927" w:rsidRDefault="00303927">
          <w:pPr>
            <w:pStyle w:val="TOC3"/>
            <w:rPr>
              <w:rFonts w:eastAsiaTheme="minorEastAsia"/>
              <w:lang w:eastAsia="en-AU"/>
            </w:rPr>
          </w:pPr>
          <w:hyperlink w:anchor="_Toc129873722" w:history="1">
            <w:r w:rsidRPr="006E5CFA">
              <w:rPr>
                <w:rStyle w:val="Hyperlink"/>
              </w:rPr>
              <w:t>Thursday, 10 November 2022</w:t>
            </w:r>
            <w:r>
              <w:rPr>
                <w:webHidden/>
              </w:rPr>
              <w:tab/>
            </w:r>
            <w:r>
              <w:rPr>
                <w:webHidden/>
              </w:rPr>
              <w:fldChar w:fldCharType="begin"/>
            </w:r>
            <w:r>
              <w:rPr>
                <w:webHidden/>
              </w:rPr>
              <w:instrText xml:space="preserve"> PAGEREF _Toc129873722 \h </w:instrText>
            </w:r>
            <w:r>
              <w:rPr>
                <w:webHidden/>
              </w:rPr>
            </w:r>
            <w:r>
              <w:rPr>
                <w:webHidden/>
              </w:rPr>
              <w:fldChar w:fldCharType="separate"/>
            </w:r>
            <w:r>
              <w:rPr>
                <w:webHidden/>
              </w:rPr>
              <w:t>32</w:t>
            </w:r>
            <w:r>
              <w:rPr>
                <w:webHidden/>
              </w:rPr>
              <w:fldChar w:fldCharType="end"/>
            </w:r>
          </w:hyperlink>
        </w:p>
        <w:p w14:paraId="43467C53" w14:textId="201BA48B" w:rsidR="00303927" w:rsidRDefault="00303927">
          <w:pPr>
            <w:pStyle w:val="TOC3"/>
            <w:rPr>
              <w:rFonts w:eastAsiaTheme="minorEastAsia"/>
              <w:lang w:eastAsia="en-AU"/>
            </w:rPr>
          </w:pPr>
          <w:hyperlink w:anchor="_Toc129873723" w:history="1">
            <w:r w:rsidRPr="006E5CFA">
              <w:rPr>
                <w:rStyle w:val="Hyperlink"/>
              </w:rPr>
              <w:t>Monday, 14 November 2022</w:t>
            </w:r>
            <w:r>
              <w:rPr>
                <w:webHidden/>
              </w:rPr>
              <w:tab/>
            </w:r>
            <w:r>
              <w:rPr>
                <w:webHidden/>
              </w:rPr>
              <w:fldChar w:fldCharType="begin"/>
            </w:r>
            <w:r>
              <w:rPr>
                <w:webHidden/>
              </w:rPr>
              <w:instrText xml:space="preserve"> PAGEREF _Toc129873723 \h </w:instrText>
            </w:r>
            <w:r>
              <w:rPr>
                <w:webHidden/>
              </w:rPr>
            </w:r>
            <w:r>
              <w:rPr>
                <w:webHidden/>
              </w:rPr>
              <w:fldChar w:fldCharType="separate"/>
            </w:r>
            <w:r>
              <w:rPr>
                <w:webHidden/>
              </w:rPr>
              <w:t>33</w:t>
            </w:r>
            <w:r>
              <w:rPr>
                <w:webHidden/>
              </w:rPr>
              <w:fldChar w:fldCharType="end"/>
            </w:r>
          </w:hyperlink>
        </w:p>
        <w:p w14:paraId="021C643B" w14:textId="4D4DE7E4" w:rsidR="00303927" w:rsidRDefault="00303927">
          <w:pPr>
            <w:pStyle w:val="TOC1"/>
            <w:rPr>
              <w:rFonts w:asciiTheme="minorHAnsi" w:eastAsiaTheme="minorEastAsia" w:hAnsiTheme="minorHAnsi"/>
              <w:b w:val="0"/>
              <w:bCs w:val="0"/>
              <w:color w:val="auto"/>
              <w:w w:val="100"/>
              <w:sz w:val="22"/>
              <w:lang w:eastAsia="en-AU"/>
            </w:rPr>
          </w:pPr>
          <w:hyperlink w:anchor="_Toc129873724" w:history="1">
            <w:r w:rsidRPr="006E5CFA">
              <w:rPr>
                <w:rStyle w:val="Hyperlink"/>
              </w:rPr>
              <w:t>Appendix B: Questions On Notice / Questions Taken on Notice</w:t>
            </w:r>
            <w:r>
              <w:rPr>
                <w:webHidden/>
              </w:rPr>
              <w:tab/>
            </w:r>
            <w:r>
              <w:rPr>
                <w:webHidden/>
              </w:rPr>
              <w:fldChar w:fldCharType="begin"/>
            </w:r>
            <w:r>
              <w:rPr>
                <w:webHidden/>
              </w:rPr>
              <w:instrText xml:space="preserve"> PAGEREF _Toc129873724 \h </w:instrText>
            </w:r>
            <w:r>
              <w:rPr>
                <w:webHidden/>
              </w:rPr>
            </w:r>
            <w:r>
              <w:rPr>
                <w:webHidden/>
              </w:rPr>
              <w:fldChar w:fldCharType="separate"/>
            </w:r>
            <w:r>
              <w:rPr>
                <w:webHidden/>
              </w:rPr>
              <w:t>34</w:t>
            </w:r>
            <w:r>
              <w:rPr>
                <w:webHidden/>
              </w:rPr>
              <w:fldChar w:fldCharType="end"/>
            </w:r>
          </w:hyperlink>
        </w:p>
        <w:p w14:paraId="163DEA60" w14:textId="69A6CC5C" w:rsidR="00303927" w:rsidRDefault="00303927">
          <w:pPr>
            <w:pStyle w:val="TOC2"/>
            <w:rPr>
              <w:rFonts w:eastAsiaTheme="minorEastAsia"/>
              <w:lang w:eastAsia="en-AU"/>
            </w:rPr>
          </w:pPr>
          <w:hyperlink w:anchor="_Toc129873725" w:history="1">
            <w:r w:rsidRPr="006E5CFA">
              <w:rPr>
                <w:rStyle w:val="Hyperlink"/>
              </w:rPr>
              <w:t>Questions on Notice</w:t>
            </w:r>
            <w:r>
              <w:rPr>
                <w:webHidden/>
              </w:rPr>
              <w:tab/>
            </w:r>
            <w:r>
              <w:rPr>
                <w:webHidden/>
              </w:rPr>
              <w:fldChar w:fldCharType="begin"/>
            </w:r>
            <w:r>
              <w:rPr>
                <w:webHidden/>
              </w:rPr>
              <w:instrText xml:space="preserve"> PAGEREF _Toc129873725 \h </w:instrText>
            </w:r>
            <w:r>
              <w:rPr>
                <w:webHidden/>
              </w:rPr>
            </w:r>
            <w:r>
              <w:rPr>
                <w:webHidden/>
              </w:rPr>
              <w:fldChar w:fldCharType="separate"/>
            </w:r>
            <w:r>
              <w:rPr>
                <w:webHidden/>
              </w:rPr>
              <w:t>34</w:t>
            </w:r>
            <w:r>
              <w:rPr>
                <w:webHidden/>
              </w:rPr>
              <w:fldChar w:fldCharType="end"/>
            </w:r>
          </w:hyperlink>
        </w:p>
        <w:p w14:paraId="60552E88" w14:textId="20308BC7" w:rsidR="00303927" w:rsidRDefault="00303927">
          <w:pPr>
            <w:pStyle w:val="TOC2"/>
            <w:rPr>
              <w:rFonts w:eastAsiaTheme="minorEastAsia"/>
              <w:lang w:eastAsia="en-AU"/>
            </w:rPr>
          </w:pPr>
          <w:hyperlink w:anchor="_Toc129873726" w:history="1">
            <w:r w:rsidRPr="006E5CFA">
              <w:rPr>
                <w:rStyle w:val="Hyperlink"/>
              </w:rPr>
              <w:t>Questions Taken on Notice</w:t>
            </w:r>
            <w:r>
              <w:rPr>
                <w:webHidden/>
              </w:rPr>
              <w:tab/>
            </w:r>
            <w:r>
              <w:rPr>
                <w:webHidden/>
              </w:rPr>
              <w:fldChar w:fldCharType="begin"/>
            </w:r>
            <w:r>
              <w:rPr>
                <w:webHidden/>
              </w:rPr>
              <w:instrText xml:space="preserve"> PAGEREF _Toc129873726 \h </w:instrText>
            </w:r>
            <w:r>
              <w:rPr>
                <w:webHidden/>
              </w:rPr>
            </w:r>
            <w:r>
              <w:rPr>
                <w:webHidden/>
              </w:rPr>
              <w:fldChar w:fldCharType="separate"/>
            </w:r>
            <w:r>
              <w:rPr>
                <w:webHidden/>
              </w:rPr>
              <w:t>35</w:t>
            </w:r>
            <w:r>
              <w:rPr>
                <w:webHidden/>
              </w:rPr>
              <w:fldChar w:fldCharType="end"/>
            </w:r>
          </w:hyperlink>
        </w:p>
        <w:p w14:paraId="7D593451" w14:textId="3EE6F717" w:rsidR="005B5DE9" w:rsidRDefault="005B5DE9" w:rsidP="005B5DE9">
          <w:r>
            <w:rPr>
              <w:b/>
              <w:bCs/>
              <w:noProof/>
            </w:rPr>
            <w:fldChar w:fldCharType="end"/>
          </w:r>
        </w:p>
      </w:sdtContent>
    </w:sdt>
    <w:p w14:paraId="6239011C" w14:textId="77777777" w:rsidR="005B5DE9" w:rsidRDefault="005B5DE9" w:rsidP="005B5DE9">
      <w:pPr>
        <w:spacing w:line="259" w:lineRule="auto"/>
        <w:rPr>
          <w:rFonts w:ascii="Montserrat" w:eastAsiaTheme="majorEastAsia" w:hAnsi="Montserrat" w:cstheme="majorBidi"/>
          <w:b/>
          <w:color w:val="1A234C"/>
          <w:w w:val="90"/>
          <w:kern w:val="2"/>
          <w:sz w:val="36"/>
          <w:szCs w:val="32"/>
        </w:rPr>
      </w:pPr>
      <w:bookmarkStart w:id="7" w:name="_Toc79133347"/>
      <w:bookmarkStart w:id="8" w:name="_Hlk79475490"/>
      <w:r>
        <w:br w:type="page"/>
      </w:r>
    </w:p>
    <w:p w14:paraId="3FEC6869" w14:textId="77777777" w:rsidR="005B5DE9" w:rsidRDefault="005B5DE9" w:rsidP="005B5DE9">
      <w:pPr>
        <w:pStyle w:val="Heading1nonumber"/>
      </w:pPr>
      <w:bookmarkStart w:id="9" w:name="_Toc129873690"/>
      <w:r>
        <w:lastRenderedPageBreak/>
        <w:t>Acronyms and abbreviations</w:t>
      </w:r>
      <w:bookmarkEnd w:id="9"/>
    </w:p>
    <w:tbl>
      <w:tblPr>
        <w:tblStyle w:val="Assemblystyletable"/>
        <w:tblW w:w="0" w:type="auto"/>
        <w:tblLook w:val="04A0" w:firstRow="1" w:lastRow="0" w:firstColumn="1" w:lastColumn="0" w:noHBand="0" w:noVBand="1"/>
      </w:tblPr>
      <w:tblGrid>
        <w:gridCol w:w="1843"/>
        <w:gridCol w:w="7183"/>
      </w:tblGrid>
      <w:tr w:rsidR="005B5DE9" w14:paraId="5EEC1F1C" w14:textId="77777777" w:rsidTr="00BE4405">
        <w:trPr>
          <w:cnfStyle w:val="100000000000" w:firstRow="1" w:lastRow="0" w:firstColumn="0" w:lastColumn="0" w:oddVBand="0" w:evenVBand="0" w:oddHBand="0" w:evenHBand="0" w:firstRowFirstColumn="0" w:firstRowLastColumn="0" w:lastRowFirstColumn="0" w:lastRowLastColumn="0"/>
        </w:trPr>
        <w:tc>
          <w:tcPr>
            <w:tcW w:w="1843" w:type="dxa"/>
          </w:tcPr>
          <w:p w14:paraId="6B6E6ACB" w14:textId="77777777" w:rsidR="005B5DE9" w:rsidRDefault="005B5DE9" w:rsidP="00BE4405">
            <w:pPr>
              <w:pStyle w:val="Tableheading"/>
            </w:pPr>
            <w:r>
              <w:t>Acronym</w:t>
            </w:r>
          </w:p>
        </w:tc>
        <w:tc>
          <w:tcPr>
            <w:tcW w:w="7183" w:type="dxa"/>
          </w:tcPr>
          <w:p w14:paraId="0603E81C" w14:textId="77777777" w:rsidR="005B5DE9" w:rsidRDefault="005B5DE9" w:rsidP="00BE4405">
            <w:pPr>
              <w:pStyle w:val="Tableheading"/>
            </w:pPr>
            <w:r>
              <w:t>Long form</w:t>
            </w:r>
          </w:p>
        </w:tc>
      </w:tr>
      <w:tr w:rsidR="004119F4" w14:paraId="76B04B6F" w14:textId="77777777" w:rsidTr="00BE4405">
        <w:trPr>
          <w:cnfStyle w:val="000000100000" w:firstRow="0" w:lastRow="0" w:firstColumn="0" w:lastColumn="0" w:oddVBand="0" w:evenVBand="0" w:oddHBand="1" w:evenHBand="0" w:firstRowFirstColumn="0" w:firstRowLastColumn="0" w:lastRowFirstColumn="0" w:lastRowLastColumn="0"/>
        </w:trPr>
        <w:tc>
          <w:tcPr>
            <w:tcW w:w="1843" w:type="dxa"/>
          </w:tcPr>
          <w:p w14:paraId="64FF972B" w14:textId="10430EA5" w:rsidR="004119F4" w:rsidRPr="004119F4" w:rsidRDefault="004119F4" w:rsidP="00BE4405">
            <w:pPr>
              <w:pStyle w:val="Tableheading"/>
              <w:rPr>
                <w:b w:val="0"/>
                <w:bCs w:val="0"/>
              </w:rPr>
            </w:pPr>
            <w:r w:rsidRPr="004119F4">
              <w:rPr>
                <w:b w:val="0"/>
                <w:bCs w:val="0"/>
              </w:rPr>
              <w:t>ABS</w:t>
            </w:r>
          </w:p>
        </w:tc>
        <w:tc>
          <w:tcPr>
            <w:tcW w:w="7183" w:type="dxa"/>
          </w:tcPr>
          <w:p w14:paraId="3C572842" w14:textId="21A2EE69" w:rsidR="004119F4" w:rsidRPr="004119F4" w:rsidRDefault="004119F4" w:rsidP="00BE4405">
            <w:pPr>
              <w:pStyle w:val="Tableheading"/>
              <w:rPr>
                <w:b w:val="0"/>
                <w:bCs w:val="0"/>
              </w:rPr>
            </w:pPr>
            <w:r>
              <w:rPr>
                <w:b w:val="0"/>
                <w:bCs w:val="0"/>
              </w:rPr>
              <w:t>Australian Bureau of Statistics</w:t>
            </w:r>
          </w:p>
        </w:tc>
      </w:tr>
      <w:tr w:rsidR="005B5DE9" w14:paraId="3DB20A13" w14:textId="77777777" w:rsidTr="00BE4405">
        <w:trPr>
          <w:cnfStyle w:val="000000010000" w:firstRow="0" w:lastRow="0" w:firstColumn="0" w:lastColumn="0" w:oddVBand="0" w:evenVBand="0" w:oddHBand="0" w:evenHBand="1" w:firstRowFirstColumn="0" w:firstRowLastColumn="0" w:lastRowFirstColumn="0" w:lastRowLastColumn="0"/>
        </w:trPr>
        <w:tc>
          <w:tcPr>
            <w:tcW w:w="1843" w:type="dxa"/>
          </w:tcPr>
          <w:p w14:paraId="131DBB6D" w14:textId="77777777" w:rsidR="005B5DE9" w:rsidRDefault="005B5DE9" w:rsidP="00BE4405">
            <w:pPr>
              <w:pStyle w:val="Tablebody"/>
            </w:pPr>
            <w:r>
              <w:t>ACT</w:t>
            </w:r>
          </w:p>
        </w:tc>
        <w:tc>
          <w:tcPr>
            <w:tcW w:w="7183" w:type="dxa"/>
          </w:tcPr>
          <w:p w14:paraId="76ABF3B9" w14:textId="77777777" w:rsidR="005B5DE9" w:rsidRDefault="005B5DE9" w:rsidP="00BE4405">
            <w:pPr>
              <w:pStyle w:val="Tablebody"/>
            </w:pPr>
            <w:r>
              <w:t>Australian Capital Territory</w:t>
            </w:r>
          </w:p>
        </w:tc>
      </w:tr>
      <w:tr w:rsidR="005B5DE9" w14:paraId="4124D6D5" w14:textId="77777777" w:rsidTr="00BE4405">
        <w:trPr>
          <w:cnfStyle w:val="000000100000" w:firstRow="0" w:lastRow="0" w:firstColumn="0" w:lastColumn="0" w:oddVBand="0" w:evenVBand="0" w:oddHBand="1" w:evenHBand="0" w:firstRowFirstColumn="0" w:firstRowLastColumn="0" w:lastRowFirstColumn="0" w:lastRowLastColumn="0"/>
        </w:trPr>
        <w:tc>
          <w:tcPr>
            <w:tcW w:w="1843" w:type="dxa"/>
          </w:tcPr>
          <w:p w14:paraId="0D8329C4" w14:textId="77777777" w:rsidR="005B5DE9" w:rsidRDefault="005B5DE9" w:rsidP="00BE4405">
            <w:pPr>
              <w:pStyle w:val="Tablebody"/>
            </w:pPr>
            <w:r>
              <w:t>The Committee</w:t>
            </w:r>
          </w:p>
        </w:tc>
        <w:tc>
          <w:tcPr>
            <w:tcW w:w="7183" w:type="dxa"/>
          </w:tcPr>
          <w:p w14:paraId="7BE5FCEC" w14:textId="77777777" w:rsidR="005B5DE9" w:rsidRPr="000A5F5A" w:rsidRDefault="005B5DE9" w:rsidP="00BE4405">
            <w:pPr>
              <w:pStyle w:val="Tablebody"/>
            </w:pPr>
            <w:r w:rsidRPr="000A5F5A">
              <w:t xml:space="preserve">Standing Committee on </w:t>
            </w:r>
            <w:r>
              <w:t>Planning, Transport and City Services</w:t>
            </w:r>
          </w:p>
        </w:tc>
      </w:tr>
      <w:tr w:rsidR="005B5DE9" w14:paraId="3A756995" w14:textId="77777777" w:rsidTr="00BE4405">
        <w:trPr>
          <w:cnfStyle w:val="000000010000" w:firstRow="0" w:lastRow="0" w:firstColumn="0" w:lastColumn="0" w:oddVBand="0" w:evenVBand="0" w:oddHBand="0" w:evenHBand="1" w:firstRowFirstColumn="0" w:firstRowLastColumn="0" w:lastRowFirstColumn="0" w:lastRowLastColumn="0"/>
        </w:trPr>
        <w:tc>
          <w:tcPr>
            <w:tcW w:w="1843" w:type="dxa"/>
          </w:tcPr>
          <w:p w14:paraId="3D526ED7" w14:textId="107222DB" w:rsidR="005B5DE9" w:rsidRDefault="004E2F4F" w:rsidP="00BE4405">
            <w:pPr>
              <w:pStyle w:val="Tablebody"/>
            </w:pPr>
            <w:r>
              <w:t>CMTEDD</w:t>
            </w:r>
          </w:p>
        </w:tc>
        <w:tc>
          <w:tcPr>
            <w:tcW w:w="7183" w:type="dxa"/>
          </w:tcPr>
          <w:p w14:paraId="1E72F032" w14:textId="3F416339" w:rsidR="005B5DE9" w:rsidRPr="000A5F5A" w:rsidRDefault="0069778A" w:rsidP="00BE4405">
            <w:pPr>
              <w:pStyle w:val="Tablebody"/>
            </w:pPr>
            <w:r>
              <w:t>Chief Minister, Treasury and Economic Development Directorate</w:t>
            </w:r>
          </w:p>
        </w:tc>
      </w:tr>
      <w:tr w:rsidR="004119F4" w14:paraId="599A93B4" w14:textId="77777777" w:rsidTr="00BE4405">
        <w:trPr>
          <w:cnfStyle w:val="000000100000" w:firstRow="0" w:lastRow="0" w:firstColumn="0" w:lastColumn="0" w:oddVBand="0" w:evenVBand="0" w:oddHBand="1" w:evenHBand="0" w:firstRowFirstColumn="0" w:firstRowLastColumn="0" w:lastRowFirstColumn="0" w:lastRowLastColumn="0"/>
        </w:trPr>
        <w:tc>
          <w:tcPr>
            <w:tcW w:w="1843" w:type="dxa"/>
          </w:tcPr>
          <w:p w14:paraId="67EC35DD" w14:textId="4D0DB653" w:rsidR="004119F4" w:rsidRDefault="004119F4" w:rsidP="00BE4405">
            <w:pPr>
              <w:pStyle w:val="Tablebody"/>
            </w:pPr>
            <w:r>
              <w:t>CRA</w:t>
            </w:r>
          </w:p>
        </w:tc>
        <w:tc>
          <w:tcPr>
            <w:tcW w:w="7183" w:type="dxa"/>
          </w:tcPr>
          <w:p w14:paraId="6BDB5D63" w14:textId="04386100" w:rsidR="004119F4" w:rsidRDefault="004119F4" w:rsidP="00BE4405">
            <w:pPr>
              <w:pStyle w:val="Tablebody"/>
            </w:pPr>
            <w:r>
              <w:t>City Renewal Authority</w:t>
            </w:r>
          </w:p>
        </w:tc>
      </w:tr>
      <w:tr w:rsidR="004119F4" w14:paraId="019F904E" w14:textId="77777777" w:rsidTr="00BE4405">
        <w:trPr>
          <w:cnfStyle w:val="000000010000" w:firstRow="0" w:lastRow="0" w:firstColumn="0" w:lastColumn="0" w:oddVBand="0" w:evenVBand="0" w:oddHBand="0" w:evenHBand="1" w:firstRowFirstColumn="0" w:firstRowLastColumn="0" w:lastRowFirstColumn="0" w:lastRowLastColumn="0"/>
        </w:trPr>
        <w:tc>
          <w:tcPr>
            <w:tcW w:w="1843" w:type="dxa"/>
          </w:tcPr>
          <w:p w14:paraId="37AEF84E" w14:textId="76A22840" w:rsidR="004119F4" w:rsidRDefault="004119F4" w:rsidP="00BE4405">
            <w:pPr>
              <w:pStyle w:val="Tablebody"/>
            </w:pPr>
            <w:r>
              <w:t>DA</w:t>
            </w:r>
          </w:p>
        </w:tc>
        <w:tc>
          <w:tcPr>
            <w:tcW w:w="7183" w:type="dxa"/>
          </w:tcPr>
          <w:p w14:paraId="4E788BFF" w14:textId="599ED4E6" w:rsidR="004119F4" w:rsidRDefault="004119F4" w:rsidP="00BE4405">
            <w:pPr>
              <w:pStyle w:val="Tablebody"/>
            </w:pPr>
            <w:r>
              <w:t>Development Application</w:t>
            </w:r>
          </w:p>
        </w:tc>
      </w:tr>
      <w:tr w:rsidR="00A21102" w14:paraId="0E1C66A1" w14:textId="77777777" w:rsidTr="00BE4405">
        <w:trPr>
          <w:cnfStyle w:val="000000100000" w:firstRow="0" w:lastRow="0" w:firstColumn="0" w:lastColumn="0" w:oddVBand="0" w:evenVBand="0" w:oddHBand="1" w:evenHBand="0" w:firstRowFirstColumn="0" w:firstRowLastColumn="0" w:lastRowFirstColumn="0" w:lastRowLastColumn="0"/>
        </w:trPr>
        <w:tc>
          <w:tcPr>
            <w:tcW w:w="1843" w:type="dxa"/>
          </w:tcPr>
          <w:p w14:paraId="43A37B1D" w14:textId="49FC349A" w:rsidR="00A21102" w:rsidRDefault="00A21102" w:rsidP="00BE4405">
            <w:pPr>
              <w:pStyle w:val="Tablebody"/>
            </w:pPr>
            <w:r>
              <w:t>DAS</w:t>
            </w:r>
          </w:p>
        </w:tc>
        <w:tc>
          <w:tcPr>
            <w:tcW w:w="7183" w:type="dxa"/>
          </w:tcPr>
          <w:p w14:paraId="71B6D528" w14:textId="459727BD" w:rsidR="00A21102" w:rsidRDefault="004119F4" w:rsidP="00BE4405">
            <w:pPr>
              <w:pStyle w:val="Tablebody"/>
            </w:pPr>
            <w:r>
              <w:t>Domestic Animal Services</w:t>
            </w:r>
          </w:p>
        </w:tc>
      </w:tr>
      <w:tr w:rsidR="005B5DE9" w14:paraId="216A61A3" w14:textId="77777777" w:rsidTr="00BE4405">
        <w:trPr>
          <w:cnfStyle w:val="000000010000" w:firstRow="0" w:lastRow="0" w:firstColumn="0" w:lastColumn="0" w:oddVBand="0" w:evenVBand="0" w:oddHBand="0" w:evenHBand="1" w:firstRowFirstColumn="0" w:firstRowLastColumn="0" w:lastRowFirstColumn="0" w:lastRowLastColumn="0"/>
        </w:trPr>
        <w:tc>
          <w:tcPr>
            <w:tcW w:w="1843" w:type="dxa"/>
          </w:tcPr>
          <w:p w14:paraId="398B2EB4" w14:textId="77777777" w:rsidR="005B5DE9" w:rsidRDefault="005B5DE9" w:rsidP="00BE4405">
            <w:pPr>
              <w:pStyle w:val="Tablebody"/>
            </w:pPr>
            <w:r>
              <w:t>EPSDD</w:t>
            </w:r>
          </w:p>
        </w:tc>
        <w:tc>
          <w:tcPr>
            <w:tcW w:w="7183" w:type="dxa"/>
          </w:tcPr>
          <w:p w14:paraId="2B8B7DEB" w14:textId="77777777" w:rsidR="005B5DE9" w:rsidRPr="000A5F5A" w:rsidRDefault="005B5DE9" w:rsidP="00BE4405">
            <w:pPr>
              <w:pStyle w:val="Tablebody"/>
            </w:pPr>
            <w:r w:rsidRPr="004D5A7E">
              <w:t>Environment, Planning and Sustainable Development Directorate</w:t>
            </w:r>
          </w:p>
        </w:tc>
      </w:tr>
      <w:tr w:rsidR="005B5DE9" w14:paraId="35770C26" w14:textId="77777777" w:rsidTr="00BE4405">
        <w:trPr>
          <w:cnfStyle w:val="000000100000" w:firstRow="0" w:lastRow="0" w:firstColumn="0" w:lastColumn="0" w:oddVBand="0" w:evenVBand="0" w:oddHBand="1" w:evenHBand="0" w:firstRowFirstColumn="0" w:firstRowLastColumn="0" w:lastRowFirstColumn="0" w:lastRowLastColumn="0"/>
        </w:trPr>
        <w:tc>
          <w:tcPr>
            <w:tcW w:w="1843" w:type="dxa"/>
          </w:tcPr>
          <w:p w14:paraId="093065B6" w14:textId="26599CF4" w:rsidR="005B5DE9" w:rsidRDefault="00A21102" w:rsidP="00BE4405">
            <w:pPr>
              <w:pStyle w:val="Tablebody"/>
            </w:pPr>
            <w:r>
              <w:t>FOGO</w:t>
            </w:r>
          </w:p>
        </w:tc>
        <w:tc>
          <w:tcPr>
            <w:tcW w:w="7183" w:type="dxa"/>
          </w:tcPr>
          <w:p w14:paraId="20BAB323" w14:textId="25D773C8" w:rsidR="005B5DE9" w:rsidRPr="004D5A7E" w:rsidRDefault="004119F4" w:rsidP="00BE4405">
            <w:pPr>
              <w:pStyle w:val="Tablebody"/>
            </w:pPr>
            <w:r>
              <w:t>Food Organics and Garden Organics</w:t>
            </w:r>
          </w:p>
        </w:tc>
      </w:tr>
      <w:tr w:rsidR="004119F4" w14:paraId="1DC0A3A6" w14:textId="77777777" w:rsidTr="00BE4405">
        <w:trPr>
          <w:cnfStyle w:val="000000010000" w:firstRow="0" w:lastRow="0" w:firstColumn="0" w:lastColumn="0" w:oddVBand="0" w:evenVBand="0" w:oddHBand="0" w:evenHBand="1" w:firstRowFirstColumn="0" w:firstRowLastColumn="0" w:lastRowFirstColumn="0" w:lastRowLastColumn="0"/>
        </w:trPr>
        <w:tc>
          <w:tcPr>
            <w:tcW w:w="1843" w:type="dxa"/>
          </w:tcPr>
          <w:p w14:paraId="7C784B22" w14:textId="1FC63B2C" w:rsidR="004119F4" w:rsidRDefault="004119F4" w:rsidP="00BE4405">
            <w:pPr>
              <w:pStyle w:val="Tablebody"/>
            </w:pPr>
            <w:r>
              <w:t>FTE</w:t>
            </w:r>
          </w:p>
        </w:tc>
        <w:tc>
          <w:tcPr>
            <w:tcW w:w="7183" w:type="dxa"/>
          </w:tcPr>
          <w:p w14:paraId="2DE74EA4" w14:textId="4D71A6AE" w:rsidR="004119F4" w:rsidRDefault="004119F4" w:rsidP="00BE4405">
            <w:pPr>
              <w:pStyle w:val="Tablebody"/>
            </w:pPr>
            <w:r>
              <w:t>Full-time equivalent</w:t>
            </w:r>
          </w:p>
        </w:tc>
      </w:tr>
      <w:tr w:rsidR="004119F4" w14:paraId="47BECC50" w14:textId="77777777" w:rsidTr="00BE4405">
        <w:trPr>
          <w:cnfStyle w:val="000000100000" w:firstRow="0" w:lastRow="0" w:firstColumn="0" w:lastColumn="0" w:oddVBand="0" w:evenVBand="0" w:oddHBand="1" w:evenHBand="0" w:firstRowFirstColumn="0" w:firstRowLastColumn="0" w:lastRowFirstColumn="0" w:lastRowLastColumn="0"/>
        </w:trPr>
        <w:tc>
          <w:tcPr>
            <w:tcW w:w="1843" w:type="dxa"/>
          </w:tcPr>
          <w:p w14:paraId="4C68416E" w14:textId="235C6621" w:rsidR="004119F4" w:rsidRDefault="004119F4" w:rsidP="00BE4405">
            <w:pPr>
              <w:pStyle w:val="Tablebody"/>
            </w:pPr>
            <w:r>
              <w:t>GST</w:t>
            </w:r>
          </w:p>
        </w:tc>
        <w:tc>
          <w:tcPr>
            <w:tcW w:w="7183" w:type="dxa"/>
          </w:tcPr>
          <w:p w14:paraId="56A309E0" w14:textId="2F2C9CC5" w:rsidR="004119F4" w:rsidRDefault="00CB619D" w:rsidP="00BE4405">
            <w:pPr>
              <w:pStyle w:val="Tablebody"/>
            </w:pPr>
            <w:r>
              <w:t>Goods and Services Tax</w:t>
            </w:r>
          </w:p>
        </w:tc>
      </w:tr>
      <w:tr w:rsidR="004119F4" w14:paraId="79412304" w14:textId="77777777" w:rsidTr="00BE4405">
        <w:trPr>
          <w:cnfStyle w:val="000000010000" w:firstRow="0" w:lastRow="0" w:firstColumn="0" w:lastColumn="0" w:oddVBand="0" w:evenVBand="0" w:oddHBand="0" w:evenHBand="1" w:firstRowFirstColumn="0" w:firstRowLastColumn="0" w:lastRowFirstColumn="0" w:lastRowLastColumn="0"/>
        </w:trPr>
        <w:tc>
          <w:tcPr>
            <w:tcW w:w="1843" w:type="dxa"/>
          </w:tcPr>
          <w:p w14:paraId="60FA3FD2" w14:textId="1B9E2CAA" w:rsidR="004119F4" w:rsidRDefault="004119F4" w:rsidP="00BE4405">
            <w:pPr>
              <w:pStyle w:val="Tablebody"/>
            </w:pPr>
            <w:r>
              <w:t>ILRP</w:t>
            </w:r>
          </w:p>
        </w:tc>
        <w:tc>
          <w:tcPr>
            <w:tcW w:w="7183" w:type="dxa"/>
          </w:tcPr>
          <w:p w14:paraId="7B6F55F2" w14:textId="0854A4B8" w:rsidR="004119F4" w:rsidRDefault="004119F4" w:rsidP="00BE4405">
            <w:pPr>
              <w:pStyle w:val="Tablebody"/>
            </w:pPr>
            <w:r>
              <w:t>Indicative Land Release Program</w:t>
            </w:r>
          </w:p>
        </w:tc>
      </w:tr>
      <w:tr w:rsidR="004119F4" w14:paraId="3FE3C6DF" w14:textId="77777777" w:rsidTr="00BE4405">
        <w:trPr>
          <w:cnfStyle w:val="000000100000" w:firstRow="0" w:lastRow="0" w:firstColumn="0" w:lastColumn="0" w:oddVBand="0" w:evenVBand="0" w:oddHBand="1" w:evenHBand="0" w:firstRowFirstColumn="0" w:firstRowLastColumn="0" w:lastRowFirstColumn="0" w:lastRowLastColumn="0"/>
        </w:trPr>
        <w:tc>
          <w:tcPr>
            <w:tcW w:w="1843" w:type="dxa"/>
          </w:tcPr>
          <w:p w14:paraId="05481755" w14:textId="0D9243D6" w:rsidR="004119F4" w:rsidRDefault="004119F4" w:rsidP="00BE4405">
            <w:pPr>
              <w:pStyle w:val="Tablebody"/>
            </w:pPr>
            <w:r>
              <w:t>LRV</w:t>
            </w:r>
          </w:p>
        </w:tc>
        <w:tc>
          <w:tcPr>
            <w:tcW w:w="7183" w:type="dxa"/>
          </w:tcPr>
          <w:p w14:paraId="39B3C044" w14:textId="48BC6007" w:rsidR="004119F4" w:rsidRDefault="004119F4" w:rsidP="00BE4405">
            <w:pPr>
              <w:pStyle w:val="Tablebody"/>
            </w:pPr>
            <w:r>
              <w:t>Light Rail Vehicle</w:t>
            </w:r>
          </w:p>
        </w:tc>
      </w:tr>
      <w:tr w:rsidR="005B5DE9" w14:paraId="45FCA4DB" w14:textId="77777777" w:rsidTr="00BE4405">
        <w:trPr>
          <w:cnfStyle w:val="000000010000" w:firstRow="0" w:lastRow="0" w:firstColumn="0" w:lastColumn="0" w:oddVBand="0" w:evenVBand="0" w:oddHBand="0" w:evenHBand="1" w:firstRowFirstColumn="0" w:firstRowLastColumn="0" w:lastRowFirstColumn="0" w:lastRowLastColumn="0"/>
        </w:trPr>
        <w:tc>
          <w:tcPr>
            <w:tcW w:w="1843" w:type="dxa"/>
          </w:tcPr>
          <w:p w14:paraId="3319DDC1" w14:textId="4D32AE67" w:rsidR="005B5DE9" w:rsidRDefault="004E2F4F" w:rsidP="00BE4405">
            <w:pPr>
              <w:pStyle w:val="Tablebody"/>
            </w:pPr>
            <w:r>
              <w:t>MLA</w:t>
            </w:r>
          </w:p>
        </w:tc>
        <w:tc>
          <w:tcPr>
            <w:tcW w:w="7183" w:type="dxa"/>
          </w:tcPr>
          <w:p w14:paraId="025D07B0" w14:textId="7586D7DE" w:rsidR="005B5DE9" w:rsidRDefault="0069778A" w:rsidP="00BE4405">
            <w:pPr>
              <w:pStyle w:val="Tablebody"/>
            </w:pPr>
            <w:r>
              <w:t>Member of the Legislative Assembly</w:t>
            </w:r>
          </w:p>
        </w:tc>
      </w:tr>
      <w:tr w:rsidR="00CB619D" w14:paraId="55035BE0" w14:textId="77777777" w:rsidTr="00BE4405">
        <w:trPr>
          <w:cnfStyle w:val="000000100000" w:firstRow="0" w:lastRow="0" w:firstColumn="0" w:lastColumn="0" w:oddVBand="0" w:evenVBand="0" w:oddHBand="1" w:evenHBand="0" w:firstRowFirstColumn="0" w:firstRowLastColumn="0" w:lastRowFirstColumn="0" w:lastRowLastColumn="0"/>
        </w:trPr>
        <w:tc>
          <w:tcPr>
            <w:tcW w:w="1843" w:type="dxa"/>
          </w:tcPr>
          <w:p w14:paraId="200FFE44" w14:textId="776A2AE5" w:rsidR="00CB619D" w:rsidRDefault="00CB619D" w:rsidP="00BE4405">
            <w:pPr>
              <w:pStyle w:val="Tablebody"/>
            </w:pPr>
            <w:r>
              <w:t>MP</w:t>
            </w:r>
          </w:p>
        </w:tc>
        <w:tc>
          <w:tcPr>
            <w:tcW w:w="7183" w:type="dxa"/>
          </w:tcPr>
          <w:p w14:paraId="209A2828" w14:textId="4F4A9E0F" w:rsidR="00CB619D" w:rsidRDefault="00CB619D" w:rsidP="00BE4405">
            <w:pPr>
              <w:pStyle w:val="Tablebody"/>
            </w:pPr>
            <w:r>
              <w:t>Member of Parliament</w:t>
            </w:r>
          </w:p>
        </w:tc>
      </w:tr>
      <w:tr w:rsidR="004119F4" w14:paraId="5C6A4325" w14:textId="77777777" w:rsidTr="00BE4405">
        <w:trPr>
          <w:cnfStyle w:val="000000010000" w:firstRow="0" w:lastRow="0" w:firstColumn="0" w:lastColumn="0" w:oddVBand="0" w:evenVBand="0" w:oddHBand="0" w:evenHBand="1" w:firstRowFirstColumn="0" w:firstRowLastColumn="0" w:lastRowFirstColumn="0" w:lastRowLastColumn="0"/>
        </w:trPr>
        <w:tc>
          <w:tcPr>
            <w:tcW w:w="1843" w:type="dxa"/>
          </w:tcPr>
          <w:p w14:paraId="13A0B661" w14:textId="383589F5" w:rsidR="004119F4" w:rsidRDefault="004119F4" w:rsidP="00BE4405">
            <w:pPr>
              <w:pStyle w:val="Tablebody"/>
            </w:pPr>
            <w:r>
              <w:t>MPC</w:t>
            </w:r>
          </w:p>
        </w:tc>
        <w:tc>
          <w:tcPr>
            <w:tcW w:w="7183" w:type="dxa"/>
          </w:tcPr>
          <w:p w14:paraId="178174CB" w14:textId="6A4E9524" w:rsidR="004119F4" w:rsidRDefault="00CB619D" w:rsidP="00BE4405">
            <w:pPr>
              <w:pStyle w:val="Tablebody"/>
            </w:pPr>
            <w:r>
              <w:t>Major Projects Canberra</w:t>
            </w:r>
          </w:p>
        </w:tc>
      </w:tr>
      <w:tr w:rsidR="00CB619D" w14:paraId="17BA20BB" w14:textId="77777777" w:rsidTr="00BE4405">
        <w:trPr>
          <w:cnfStyle w:val="000000100000" w:firstRow="0" w:lastRow="0" w:firstColumn="0" w:lastColumn="0" w:oddVBand="0" w:evenVBand="0" w:oddHBand="1" w:evenHBand="0" w:firstRowFirstColumn="0" w:firstRowLastColumn="0" w:lastRowFirstColumn="0" w:lastRowLastColumn="0"/>
        </w:trPr>
        <w:tc>
          <w:tcPr>
            <w:tcW w:w="1843" w:type="dxa"/>
          </w:tcPr>
          <w:p w14:paraId="722DE995" w14:textId="21EF6570" w:rsidR="00CB619D" w:rsidRDefault="00CB619D" w:rsidP="00BE4405">
            <w:pPr>
              <w:pStyle w:val="Tablebody"/>
            </w:pPr>
            <w:r>
              <w:t>MRF</w:t>
            </w:r>
          </w:p>
        </w:tc>
        <w:tc>
          <w:tcPr>
            <w:tcW w:w="7183" w:type="dxa"/>
          </w:tcPr>
          <w:p w14:paraId="6666FB0D" w14:textId="32602DB6" w:rsidR="00CB619D" w:rsidRDefault="00CB619D" w:rsidP="00BE4405">
            <w:pPr>
              <w:pStyle w:val="Tablebody"/>
            </w:pPr>
            <w:r>
              <w:t>Materials Recovery Facility</w:t>
            </w:r>
          </w:p>
        </w:tc>
      </w:tr>
      <w:tr w:rsidR="004119F4" w14:paraId="7FFF6D8D" w14:textId="77777777" w:rsidTr="00BE4405">
        <w:trPr>
          <w:cnfStyle w:val="000000010000" w:firstRow="0" w:lastRow="0" w:firstColumn="0" w:lastColumn="0" w:oddVBand="0" w:evenVBand="0" w:oddHBand="0" w:evenHBand="1" w:firstRowFirstColumn="0" w:firstRowLastColumn="0" w:lastRowFirstColumn="0" w:lastRowLastColumn="0"/>
        </w:trPr>
        <w:tc>
          <w:tcPr>
            <w:tcW w:w="1843" w:type="dxa"/>
          </w:tcPr>
          <w:p w14:paraId="231E32B2" w14:textId="34C313FC" w:rsidR="004119F4" w:rsidRDefault="004119F4" w:rsidP="00BE4405">
            <w:pPr>
              <w:pStyle w:val="Tablebody"/>
            </w:pPr>
            <w:r>
              <w:t>NSW</w:t>
            </w:r>
          </w:p>
        </w:tc>
        <w:tc>
          <w:tcPr>
            <w:tcW w:w="7183" w:type="dxa"/>
          </w:tcPr>
          <w:p w14:paraId="588BA32A" w14:textId="07001816" w:rsidR="004119F4" w:rsidRDefault="004119F4" w:rsidP="00BE4405">
            <w:pPr>
              <w:pStyle w:val="Tablebody"/>
            </w:pPr>
            <w:r>
              <w:t>New South Wales</w:t>
            </w:r>
          </w:p>
        </w:tc>
      </w:tr>
      <w:tr w:rsidR="00CB619D" w14:paraId="2037AEB7" w14:textId="77777777" w:rsidTr="00BE4405">
        <w:trPr>
          <w:cnfStyle w:val="000000100000" w:firstRow="0" w:lastRow="0" w:firstColumn="0" w:lastColumn="0" w:oddVBand="0" w:evenVBand="0" w:oddHBand="1" w:evenHBand="0" w:firstRowFirstColumn="0" w:firstRowLastColumn="0" w:lastRowFirstColumn="0" w:lastRowLastColumn="0"/>
        </w:trPr>
        <w:tc>
          <w:tcPr>
            <w:tcW w:w="1843" w:type="dxa"/>
          </w:tcPr>
          <w:p w14:paraId="457235C4" w14:textId="53C5F6C3" w:rsidR="005B5DE9" w:rsidRDefault="004E2F4F" w:rsidP="00BE4405">
            <w:pPr>
              <w:pStyle w:val="Tablebody"/>
            </w:pPr>
            <w:r>
              <w:t>QON</w:t>
            </w:r>
          </w:p>
        </w:tc>
        <w:tc>
          <w:tcPr>
            <w:tcW w:w="7183" w:type="dxa"/>
          </w:tcPr>
          <w:p w14:paraId="4985771F" w14:textId="27F3EA51" w:rsidR="005B5DE9" w:rsidRPr="005A7A96" w:rsidRDefault="004E2F4F" w:rsidP="00BE4405">
            <w:pPr>
              <w:pStyle w:val="Tablebody"/>
            </w:pPr>
            <w:r>
              <w:t>Question on Notice</w:t>
            </w:r>
          </w:p>
        </w:tc>
      </w:tr>
      <w:tr w:rsidR="00CB619D" w14:paraId="26C68F4A" w14:textId="77777777" w:rsidTr="00BE4405">
        <w:trPr>
          <w:cnfStyle w:val="000000010000" w:firstRow="0" w:lastRow="0" w:firstColumn="0" w:lastColumn="0" w:oddVBand="0" w:evenVBand="0" w:oddHBand="0" w:evenHBand="1" w:firstRowFirstColumn="0" w:firstRowLastColumn="0" w:lastRowFirstColumn="0" w:lastRowLastColumn="0"/>
        </w:trPr>
        <w:tc>
          <w:tcPr>
            <w:tcW w:w="1843" w:type="dxa"/>
          </w:tcPr>
          <w:p w14:paraId="13365CC7" w14:textId="77777777" w:rsidR="005B5DE9" w:rsidRDefault="005B5DE9" w:rsidP="00BE4405">
            <w:pPr>
              <w:pStyle w:val="Tablebody"/>
            </w:pPr>
            <w:r>
              <w:t>QTON</w:t>
            </w:r>
          </w:p>
        </w:tc>
        <w:tc>
          <w:tcPr>
            <w:tcW w:w="7183" w:type="dxa"/>
          </w:tcPr>
          <w:p w14:paraId="2791FDE9" w14:textId="77777777" w:rsidR="005B5DE9" w:rsidRDefault="005B5DE9" w:rsidP="00BE4405">
            <w:pPr>
              <w:pStyle w:val="Tablebody"/>
            </w:pPr>
            <w:r>
              <w:t>Question Taken on Notice</w:t>
            </w:r>
          </w:p>
        </w:tc>
      </w:tr>
      <w:tr w:rsidR="00CB619D" w14:paraId="251D74DD" w14:textId="77777777" w:rsidTr="00BE4405">
        <w:trPr>
          <w:cnfStyle w:val="000000100000" w:firstRow="0" w:lastRow="0" w:firstColumn="0" w:lastColumn="0" w:oddVBand="0" w:evenVBand="0" w:oddHBand="1" w:evenHBand="0" w:firstRowFirstColumn="0" w:firstRowLastColumn="0" w:lastRowFirstColumn="0" w:lastRowLastColumn="0"/>
        </w:trPr>
        <w:tc>
          <w:tcPr>
            <w:tcW w:w="1843" w:type="dxa"/>
          </w:tcPr>
          <w:p w14:paraId="254A191E" w14:textId="736AAC58" w:rsidR="00CB619D" w:rsidRDefault="00CB619D" w:rsidP="00BE4405">
            <w:pPr>
              <w:pStyle w:val="Tablebody"/>
            </w:pPr>
            <w:r>
              <w:t>RDOC</w:t>
            </w:r>
          </w:p>
        </w:tc>
        <w:tc>
          <w:tcPr>
            <w:tcW w:w="7183" w:type="dxa"/>
          </w:tcPr>
          <w:p w14:paraId="26B266C6" w14:textId="366E1FA4" w:rsidR="00CB619D" w:rsidRDefault="00CB619D" w:rsidP="00BE4405">
            <w:pPr>
              <w:pStyle w:val="Tablebody"/>
            </w:pPr>
            <w:r>
              <w:t>Recycling Drop Off Centre</w:t>
            </w:r>
          </w:p>
        </w:tc>
      </w:tr>
      <w:tr w:rsidR="004119F4" w14:paraId="5056AE67" w14:textId="77777777" w:rsidTr="00BE4405">
        <w:trPr>
          <w:cnfStyle w:val="000000010000" w:firstRow="0" w:lastRow="0" w:firstColumn="0" w:lastColumn="0" w:oddVBand="0" w:evenVBand="0" w:oddHBand="0" w:evenHBand="1" w:firstRowFirstColumn="0" w:firstRowLastColumn="0" w:lastRowFirstColumn="0" w:lastRowLastColumn="0"/>
        </w:trPr>
        <w:tc>
          <w:tcPr>
            <w:tcW w:w="1843" w:type="dxa"/>
          </w:tcPr>
          <w:p w14:paraId="27C9DC9F" w14:textId="627BD34B" w:rsidR="004119F4" w:rsidRDefault="004119F4" w:rsidP="00BE4405">
            <w:pPr>
              <w:pStyle w:val="Tablebody"/>
            </w:pPr>
            <w:r>
              <w:t>RFT</w:t>
            </w:r>
          </w:p>
        </w:tc>
        <w:tc>
          <w:tcPr>
            <w:tcW w:w="7183" w:type="dxa"/>
          </w:tcPr>
          <w:p w14:paraId="06218E24" w14:textId="169AAD88" w:rsidR="004119F4" w:rsidRDefault="00CB619D" w:rsidP="00BE4405">
            <w:pPr>
              <w:pStyle w:val="Tablebody"/>
            </w:pPr>
            <w:r>
              <w:t>Request for tender</w:t>
            </w:r>
          </w:p>
        </w:tc>
      </w:tr>
      <w:tr w:rsidR="004119F4" w14:paraId="36FD8D48" w14:textId="77777777" w:rsidTr="00BE4405">
        <w:trPr>
          <w:cnfStyle w:val="000000100000" w:firstRow="0" w:lastRow="0" w:firstColumn="0" w:lastColumn="0" w:oddVBand="0" w:evenVBand="0" w:oddHBand="1" w:evenHBand="0" w:firstRowFirstColumn="0" w:firstRowLastColumn="0" w:lastRowFirstColumn="0" w:lastRowLastColumn="0"/>
        </w:trPr>
        <w:tc>
          <w:tcPr>
            <w:tcW w:w="1843" w:type="dxa"/>
          </w:tcPr>
          <w:p w14:paraId="6A89F63B" w14:textId="5AA4D31D" w:rsidR="004119F4" w:rsidRDefault="004119F4" w:rsidP="00BE4405">
            <w:pPr>
              <w:pStyle w:val="Tablebody"/>
            </w:pPr>
            <w:r>
              <w:t>RLC Project</w:t>
            </w:r>
          </w:p>
        </w:tc>
        <w:tc>
          <w:tcPr>
            <w:tcW w:w="7183" w:type="dxa"/>
          </w:tcPr>
          <w:p w14:paraId="49B81B56" w14:textId="23B0D5F5" w:rsidR="004119F4" w:rsidRDefault="004119F4" w:rsidP="00BE4405">
            <w:pPr>
              <w:pStyle w:val="Tablebody"/>
            </w:pPr>
            <w:r>
              <w:t>Raising of London Circuit Project</w:t>
            </w:r>
          </w:p>
        </w:tc>
      </w:tr>
      <w:tr w:rsidR="004119F4" w14:paraId="0995ABDD" w14:textId="77777777" w:rsidTr="00BE4405">
        <w:trPr>
          <w:cnfStyle w:val="000000010000" w:firstRow="0" w:lastRow="0" w:firstColumn="0" w:lastColumn="0" w:oddVBand="0" w:evenVBand="0" w:oddHBand="0" w:evenHBand="1" w:firstRowFirstColumn="0" w:firstRowLastColumn="0" w:lastRowFirstColumn="0" w:lastRowLastColumn="0"/>
        </w:trPr>
        <w:tc>
          <w:tcPr>
            <w:tcW w:w="1843" w:type="dxa"/>
          </w:tcPr>
          <w:p w14:paraId="2F4471BD" w14:textId="0D88771A" w:rsidR="004119F4" w:rsidRDefault="004119F4" w:rsidP="00BE4405">
            <w:pPr>
              <w:pStyle w:val="Tablebody"/>
            </w:pPr>
            <w:r>
              <w:t>RMC</w:t>
            </w:r>
          </w:p>
        </w:tc>
        <w:tc>
          <w:tcPr>
            <w:tcW w:w="7183" w:type="dxa"/>
          </w:tcPr>
          <w:p w14:paraId="6FCC3EE4" w14:textId="218D8F2D" w:rsidR="004119F4" w:rsidRDefault="004119F4" w:rsidP="00BE4405">
            <w:pPr>
              <w:pStyle w:val="Tablebody"/>
            </w:pPr>
            <w:r>
              <w:t xml:space="preserve">Resource </w:t>
            </w:r>
            <w:r w:rsidR="00CB619D">
              <w:t>Management Centre</w:t>
            </w:r>
          </w:p>
        </w:tc>
      </w:tr>
      <w:tr w:rsidR="004119F4" w14:paraId="0A8C73D4" w14:textId="77777777" w:rsidTr="00BE4405">
        <w:trPr>
          <w:cnfStyle w:val="000000100000" w:firstRow="0" w:lastRow="0" w:firstColumn="0" w:lastColumn="0" w:oddVBand="0" w:evenVBand="0" w:oddHBand="1" w:evenHBand="0" w:firstRowFirstColumn="0" w:firstRowLastColumn="0" w:lastRowFirstColumn="0" w:lastRowLastColumn="0"/>
        </w:trPr>
        <w:tc>
          <w:tcPr>
            <w:tcW w:w="1843" w:type="dxa"/>
          </w:tcPr>
          <w:p w14:paraId="37487A7B" w14:textId="0A4F960E" w:rsidR="004119F4" w:rsidRDefault="004119F4" w:rsidP="00BE4405">
            <w:pPr>
              <w:pStyle w:val="Tablebody"/>
            </w:pPr>
            <w:r>
              <w:t>SLA</w:t>
            </w:r>
          </w:p>
        </w:tc>
        <w:tc>
          <w:tcPr>
            <w:tcW w:w="7183" w:type="dxa"/>
          </w:tcPr>
          <w:p w14:paraId="728F9D24" w14:textId="0CC6D901" w:rsidR="004119F4" w:rsidRDefault="004119F4" w:rsidP="00BE4405">
            <w:pPr>
              <w:pStyle w:val="Tablebody"/>
            </w:pPr>
            <w:r>
              <w:t>Suburban Land Agency</w:t>
            </w:r>
          </w:p>
        </w:tc>
      </w:tr>
      <w:tr w:rsidR="004119F4" w14:paraId="2235B837" w14:textId="77777777" w:rsidTr="00BE4405">
        <w:trPr>
          <w:cnfStyle w:val="000000010000" w:firstRow="0" w:lastRow="0" w:firstColumn="0" w:lastColumn="0" w:oddVBand="0" w:evenVBand="0" w:oddHBand="0" w:evenHBand="1" w:firstRowFirstColumn="0" w:firstRowLastColumn="0" w:lastRowFirstColumn="0" w:lastRowLastColumn="0"/>
        </w:trPr>
        <w:tc>
          <w:tcPr>
            <w:tcW w:w="1843" w:type="dxa"/>
          </w:tcPr>
          <w:p w14:paraId="4538BB02" w14:textId="1C0A312B" w:rsidR="004E2F4F" w:rsidRDefault="004E2F4F" w:rsidP="00BE4405">
            <w:pPr>
              <w:pStyle w:val="Tablebody"/>
            </w:pPr>
            <w:r>
              <w:t>TCCS</w:t>
            </w:r>
          </w:p>
        </w:tc>
        <w:tc>
          <w:tcPr>
            <w:tcW w:w="7183" w:type="dxa"/>
          </w:tcPr>
          <w:p w14:paraId="2C6B0F46" w14:textId="1D2420F4" w:rsidR="004E2F4F" w:rsidRDefault="0069778A" w:rsidP="00BE4405">
            <w:pPr>
              <w:pStyle w:val="Tablebody"/>
            </w:pPr>
            <w:r>
              <w:t>Transport Canberra and City Services</w:t>
            </w:r>
          </w:p>
        </w:tc>
      </w:tr>
    </w:tbl>
    <w:p w14:paraId="10BB3C6A" w14:textId="77777777" w:rsidR="005B5DE9" w:rsidRDefault="005B5DE9" w:rsidP="005B5DE9">
      <w:pPr>
        <w:rPr>
          <w:w w:val="90"/>
        </w:rPr>
      </w:pPr>
      <w:r>
        <w:br w:type="page"/>
      </w:r>
    </w:p>
    <w:p w14:paraId="7A095E75" w14:textId="77777777" w:rsidR="005B5DE9" w:rsidRDefault="005B5DE9" w:rsidP="005B5DE9">
      <w:pPr>
        <w:pStyle w:val="Heading1nonumber"/>
      </w:pPr>
      <w:bookmarkStart w:id="10" w:name="_Toc129873691"/>
      <w:r>
        <w:lastRenderedPageBreak/>
        <w:t>R</w:t>
      </w:r>
      <w:r w:rsidRPr="0006752F">
        <w:t>ecommendations</w:t>
      </w:r>
      <w:bookmarkEnd w:id="10"/>
    </w:p>
    <w:p w14:paraId="16A5E041" w14:textId="12100B0C" w:rsidR="00303927" w:rsidRDefault="005B5DE9">
      <w:pPr>
        <w:pStyle w:val="TOC1"/>
        <w:rPr>
          <w:rFonts w:asciiTheme="minorHAnsi" w:eastAsiaTheme="minorEastAsia" w:hAnsiTheme="minorHAnsi"/>
          <w:b w:val="0"/>
          <w:bCs w:val="0"/>
          <w:color w:val="auto"/>
          <w:w w:val="100"/>
          <w:sz w:val="22"/>
          <w:lang w:eastAsia="en-AU"/>
        </w:rPr>
      </w:pPr>
      <w:r>
        <w:fldChar w:fldCharType="begin"/>
      </w:r>
      <w:r>
        <w:instrText xml:space="preserve"> TOC \n \h \z \t "Recommendation heading,1,Recommendation body,2" </w:instrText>
      </w:r>
      <w:r>
        <w:fldChar w:fldCharType="separate"/>
      </w:r>
      <w:hyperlink w:anchor="_Toc129873727" w:history="1">
        <w:r w:rsidR="00303927" w:rsidRPr="0017341F">
          <w:rPr>
            <w:rStyle w:val="Hyperlink"/>
          </w:rPr>
          <w:t>Recommendation 1</w:t>
        </w:r>
      </w:hyperlink>
    </w:p>
    <w:p w14:paraId="7498E2B2" w14:textId="54305053" w:rsidR="00303927" w:rsidRDefault="00303927">
      <w:pPr>
        <w:pStyle w:val="TOC2"/>
        <w:rPr>
          <w:rFonts w:eastAsiaTheme="minorEastAsia"/>
          <w:lang w:eastAsia="en-AU"/>
        </w:rPr>
      </w:pPr>
      <w:hyperlink w:anchor="_Toc129873728" w:history="1">
        <w:r w:rsidRPr="0017341F">
          <w:rPr>
            <w:rStyle w:val="Hyperlink"/>
            <w:rFonts w:ascii="Calibri-Bold" w:hAnsi="Calibri-Bold" w:cs="Calibri-Bold"/>
          </w:rPr>
          <w:t>The Committee recommends that the ACT Government ensure the cumulative environmental impact is considered with any environmental studies, lease variations and planning decisions in relation to the Western Edge.</w:t>
        </w:r>
      </w:hyperlink>
    </w:p>
    <w:p w14:paraId="283DB2A3" w14:textId="2A11AD1E" w:rsidR="00303927" w:rsidRDefault="00303927">
      <w:pPr>
        <w:pStyle w:val="TOC1"/>
        <w:rPr>
          <w:rFonts w:asciiTheme="minorHAnsi" w:eastAsiaTheme="minorEastAsia" w:hAnsiTheme="minorHAnsi"/>
          <w:b w:val="0"/>
          <w:bCs w:val="0"/>
          <w:color w:val="auto"/>
          <w:w w:val="100"/>
          <w:sz w:val="22"/>
          <w:lang w:eastAsia="en-AU"/>
        </w:rPr>
      </w:pPr>
      <w:hyperlink w:anchor="_Toc129873729" w:history="1">
        <w:r w:rsidRPr="0017341F">
          <w:rPr>
            <w:rStyle w:val="Hyperlink"/>
          </w:rPr>
          <w:t>Recommendation 2</w:t>
        </w:r>
      </w:hyperlink>
    </w:p>
    <w:p w14:paraId="61FAE750" w14:textId="2A1D3CF9" w:rsidR="00303927" w:rsidRDefault="00303927">
      <w:pPr>
        <w:pStyle w:val="TOC2"/>
        <w:rPr>
          <w:rFonts w:eastAsiaTheme="minorEastAsia"/>
          <w:lang w:eastAsia="en-AU"/>
        </w:rPr>
      </w:pPr>
      <w:hyperlink w:anchor="_Toc129873730" w:history="1">
        <w:r w:rsidRPr="0017341F">
          <w:rPr>
            <w:rStyle w:val="Hyperlink"/>
            <w:rFonts w:ascii="Calibri-Bold" w:hAnsi="Calibri-Bold" w:cs="Calibri-Bold"/>
          </w:rPr>
          <w:t>The Committee recommends that the ACT Government clarify and outline the steps it will take to meet the District Strategy target for 7-10 percent of all new developments to be social and affordable housing.</w:t>
        </w:r>
      </w:hyperlink>
    </w:p>
    <w:p w14:paraId="7188C891" w14:textId="56D3C10B" w:rsidR="00303927" w:rsidRDefault="00303927">
      <w:pPr>
        <w:pStyle w:val="TOC1"/>
        <w:rPr>
          <w:rFonts w:asciiTheme="minorHAnsi" w:eastAsiaTheme="minorEastAsia" w:hAnsiTheme="minorHAnsi"/>
          <w:b w:val="0"/>
          <w:bCs w:val="0"/>
          <w:color w:val="auto"/>
          <w:w w:val="100"/>
          <w:sz w:val="22"/>
          <w:lang w:eastAsia="en-AU"/>
        </w:rPr>
      </w:pPr>
      <w:hyperlink w:anchor="_Toc129873731" w:history="1">
        <w:r w:rsidRPr="0017341F">
          <w:rPr>
            <w:rStyle w:val="Hyperlink"/>
          </w:rPr>
          <w:t>Recommendation 3</w:t>
        </w:r>
      </w:hyperlink>
    </w:p>
    <w:p w14:paraId="27836115" w14:textId="1AD343D5" w:rsidR="00303927" w:rsidRDefault="00303927">
      <w:pPr>
        <w:pStyle w:val="TOC2"/>
        <w:rPr>
          <w:rFonts w:eastAsiaTheme="minorEastAsia"/>
          <w:lang w:eastAsia="en-AU"/>
        </w:rPr>
      </w:pPr>
      <w:hyperlink w:anchor="_Toc129873732" w:history="1">
        <w:r w:rsidRPr="0017341F">
          <w:rPr>
            <w:rStyle w:val="Hyperlink"/>
            <w:rFonts w:ascii="Calibri-Bold" w:hAnsi="Calibri-Bold" w:cs="Calibri-Bold"/>
          </w:rPr>
          <w:t xml:space="preserve">The Committee recommends that Transport Canberra publish six-monthly reporting against the </w:t>
        </w:r>
        <w:r w:rsidRPr="0017341F">
          <w:rPr>
            <w:rStyle w:val="Hyperlink"/>
            <w:rFonts w:ascii="Calibri-Bold" w:hAnsi="Calibri-Bold" w:cs="Calibri-Bold"/>
            <w:i/>
            <w:iCs/>
          </w:rPr>
          <w:t>ACT Climate Change Strategy 2019-25</w:t>
        </w:r>
        <w:r w:rsidRPr="0017341F">
          <w:rPr>
            <w:rStyle w:val="Hyperlink"/>
            <w:rFonts w:ascii="Calibri-Bold" w:hAnsi="Calibri-Bold" w:cs="Calibri-Bold"/>
          </w:rPr>
          <w:t xml:space="preserve"> as per the measure in the TCCS Strategic Plan 2021-24.</w:t>
        </w:r>
      </w:hyperlink>
    </w:p>
    <w:p w14:paraId="76302696" w14:textId="23B4101D" w:rsidR="00303927" w:rsidRDefault="00303927">
      <w:pPr>
        <w:pStyle w:val="TOC1"/>
        <w:rPr>
          <w:rFonts w:asciiTheme="minorHAnsi" w:eastAsiaTheme="minorEastAsia" w:hAnsiTheme="minorHAnsi"/>
          <w:b w:val="0"/>
          <w:bCs w:val="0"/>
          <w:color w:val="auto"/>
          <w:w w:val="100"/>
          <w:sz w:val="22"/>
          <w:lang w:eastAsia="en-AU"/>
        </w:rPr>
      </w:pPr>
      <w:hyperlink w:anchor="_Toc129873733" w:history="1">
        <w:r w:rsidRPr="0017341F">
          <w:rPr>
            <w:rStyle w:val="Hyperlink"/>
          </w:rPr>
          <w:t>Recommendation 4</w:t>
        </w:r>
      </w:hyperlink>
    </w:p>
    <w:p w14:paraId="30453F08" w14:textId="64396297" w:rsidR="00303927" w:rsidRDefault="00303927">
      <w:pPr>
        <w:pStyle w:val="TOC2"/>
        <w:rPr>
          <w:rFonts w:eastAsiaTheme="minorEastAsia"/>
          <w:lang w:eastAsia="en-AU"/>
        </w:rPr>
      </w:pPr>
      <w:hyperlink w:anchor="_Toc129873734" w:history="1">
        <w:r w:rsidRPr="0017341F">
          <w:rPr>
            <w:rStyle w:val="Hyperlink"/>
            <w:rFonts w:ascii="Calibri-Bold" w:hAnsi="Calibri-Bold" w:cs="Calibri-Bold"/>
          </w:rPr>
          <w:t xml:space="preserve">The Committee recommends that Transport Canberra and City Services publish its Emissions Reduction Plan 2019-20 to 2024-25 and clarify which of the 24 emissions reduction actions assigned to TCCS have been completed to date on the </w:t>
        </w:r>
        <w:r w:rsidRPr="0017341F">
          <w:rPr>
            <w:rStyle w:val="Hyperlink"/>
            <w:rFonts w:ascii="Calibri-Bold" w:hAnsi="Calibri-Bold" w:cs="Calibri-Bold"/>
            <w:i/>
            <w:iCs/>
          </w:rPr>
          <w:t>ACT Climate Change Strategy 2019-25</w:t>
        </w:r>
        <w:r w:rsidRPr="0017341F">
          <w:rPr>
            <w:rStyle w:val="Hyperlink"/>
            <w:rFonts w:ascii="Calibri-Bold" w:hAnsi="Calibri-Bold" w:cs="Calibri-Bold"/>
          </w:rPr>
          <w:t>.</w:t>
        </w:r>
      </w:hyperlink>
    </w:p>
    <w:p w14:paraId="6B8FD72B" w14:textId="6B3AB80B" w:rsidR="00303927" w:rsidRDefault="00303927">
      <w:pPr>
        <w:pStyle w:val="TOC1"/>
        <w:rPr>
          <w:rFonts w:asciiTheme="minorHAnsi" w:eastAsiaTheme="minorEastAsia" w:hAnsiTheme="minorHAnsi"/>
          <w:b w:val="0"/>
          <w:bCs w:val="0"/>
          <w:color w:val="auto"/>
          <w:w w:val="100"/>
          <w:sz w:val="22"/>
          <w:lang w:eastAsia="en-AU"/>
        </w:rPr>
      </w:pPr>
      <w:hyperlink w:anchor="_Toc129873735" w:history="1">
        <w:r w:rsidRPr="0017341F">
          <w:rPr>
            <w:rStyle w:val="Hyperlink"/>
          </w:rPr>
          <w:t>Recommendation 5</w:t>
        </w:r>
      </w:hyperlink>
    </w:p>
    <w:p w14:paraId="083E6E7B" w14:textId="6E312561" w:rsidR="00303927" w:rsidRDefault="00303927">
      <w:pPr>
        <w:pStyle w:val="TOC2"/>
        <w:rPr>
          <w:rFonts w:eastAsiaTheme="minorEastAsia"/>
          <w:lang w:eastAsia="en-AU"/>
        </w:rPr>
      </w:pPr>
      <w:hyperlink w:anchor="_Toc129873736" w:history="1">
        <w:r w:rsidRPr="0017341F">
          <w:rPr>
            <w:rStyle w:val="Hyperlink"/>
            <w:rFonts w:ascii="Calibri-Bold" w:hAnsi="Calibri-Bold" w:cs="Calibri-Bold"/>
          </w:rPr>
          <w:t>The Committee recommends that the ACT Government announce the estimated completion date for the raising of London Circuit as soon as practicable.</w:t>
        </w:r>
      </w:hyperlink>
    </w:p>
    <w:p w14:paraId="5E2120D9" w14:textId="70254C59" w:rsidR="00303927" w:rsidRDefault="00303927">
      <w:pPr>
        <w:pStyle w:val="TOC1"/>
        <w:rPr>
          <w:rFonts w:asciiTheme="minorHAnsi" w:eastAsiaTheme="minorEastAsia" w:hAnsiTheme="minorHAnsi"/>
          <w:b w:val="0"/>
          <w:bCs w:val="0"/>
          <w:color w:val="auto"/>
          <w:w w:val="100"/>
          <w:sz w:val="22"/>
          <w:lang w:eastAsia="en-AU"/>
        </w:rPr>
      </w:pPr>
      <w:hyperlink w:anchor="_Toc129873737" w:history="1">
        <w:r w:rsidRPr="0017341F">
          <w:rPr>
            <w:rStyle w:val="Hyperlink"/>
          </w:rPr>
          <w:t>Recommendation 6</w:t>
        </w:r>
      </w:hyperlink>
    </w:p>
    <w:p w14:paraId="37F61F91" w14:textId="24126397" w:rsidR="00303927" w:rsidRDefault="00303927">
      <w:pPr>
        <w:pStyle w:val="TOC2"/>
        <w:rPr>
          <w:rFonts w:eastAsiaTheme="minorEastAsia"/>
          <w:lang w:eastAsia="en-AU"/>
        </w:rPr>
      </w:pPr>
      <w:hyperlink w:anchor="_Toc129873738" w:history="1">
        <w:r w:rsidRPr="0017341F">
          <w:rPr>
            <w:rStyle w:val="Hyperlink"/>
            <w:rFonts w:ascii="Calibri-Bold" w:hAnsi="Calibri-Bold" w:cs="Calibri-Bold"/>
          </w:rPr>
          <w:t>The Committee recommends that the ACT Government announce the estimated completion date and cost for Stage 2B as soon as practicable, as well as updating the estimated timeframes after contracts are signed.</w:t>
        </w:r>
      </w:hyperlink>
    </w:p>
    <w:p w14:paraId="7825C561" w14:textId="7C96B7E1" w:rsidR="00303927" w:rsidRDefault="00303927">
      <w:pPr>
        <w:pStyle w:val="TOC1"/>
        <w:rPr>
          <w:rFonts w:asciiTheme="minorHAnsi" w:eastAsiaTheme="minorEastAsia" w:hAnsiTheme="minorHAnsi"/>
          <w:b w:val="0"/>
          <w:bCs w:val="0"/>
          <w:color w:val="auto"/>
          <w:w w:val="100"/>
          <w:sz w:val="22"/>
          <w:lang w:eastAsia="en-AU"/>
        </w:rPr>
      </w:pPr>
      <w:hyperlink w:anchor="_Toc129873739" w:history="1">
        <w:r w:rsidRPr="0017341F">
          <w:rPr>
            <w:rStyle w:val="Hyperlink"/>
          </w:rPr>
          <w:t>Recommendation 7</w:t>
        </w:r>
      </w:hyperlink>
    </w:p>
    <w:p w14:paraId="5C1213EC" w14:textId="0760005C" w:rsidR="00303927" w:rsidRDefault="00303927">
      <w:pPr>
        <w:pStyle w:val="TOC2"/>
        <w:rPr>
          <w:rFonts w:eastAsiaTheme="minorEastAsia"/>
          <w:lang w:eastAsia="en-AU"/>
        </w:rPr>
      </w:pPr>
      <w:hyperlink w:anchor="_Toc129873740" w:history="1">
        <w:r w:rsidRPr="0017341F">
          <w:rPr>
            <w:rStyle w:val="Hyperlink"/>
            <w:rFonts w:ascii="Calibri-Bold" w:hAnsi="Calibri-Bold" w:cs="Calibri-Bold"/>
          </w:rPr>
          <w:t>The Committee recommends that the ACT Government considers publishing the procurement date for the 90 electric buses to be acquired in the near future, as soon as practicable.</w:t>
        </w:r>
      </w:hyperlink>
    </w:p>
    <w:p w14:paraId="3C931DF9" w14:textId="0A5A4EF7" w:rsidR="00303927" w:rsidRDefault="00303927">
      <w:pPr>
        <w:pStyle w:val="TOC1"/>
        <w:rPr>
          <w:rFonts w:asciiTheme="minorHAnsi" w:eastAsiaTheme="minorEastAsia" w:hAnsiTheme="minorHAnsi"/>
          <w:b w:val="0"/>
          <w:bCs w:val="0"/>
          <w:color w:val="auto"/>
          <w:w w:val="100"/>
          <w:sz w:val="22"/>
          <w:lang w:eastAsia="en-AU"/>
        </w:rPr>
      </w:pPr>
      <w:hyperlink w:anchor="_Toc129873741" w:history="1">
        <w:r w:rsidRPr="0017341F">
          <w:rPr>
            <w:rStyle w:val="Hyperlink"/>
          </w:rPr>
          <w:t>Recommendation 8</w:t>
        </w:r>
      </w:hyperlink>
    </w:p>
    <w:p w14:paraId="72F1C01B" w14:textId="5DE503BE" w:rsidR="00303927" w:rsidRDefault="00303927">
      <w:pPr>
        <w:pStyle w:val="TOC2"/>
        <w:rPr>
          <w:rFonts w:eastAsiaTheme="minorEastAsia"/>
          <w:lang w:eastAsia="en-AU"/>
        </w:rPr>
      </w:pPr>
      <w:hyperlink w:anchor="_Toc129873742" w:history="1">
        <w:r w:rsidRPr="0017341F">
          <w:rPr>
            <w:rStyle w:val="Hyperlink"/>
            <w:rFonts w:ascii="Calibri-Bold" w:hAnsi="Calibri-Bold" w:cs="Calibri-Bold"/>
          </w:rPr>
          <w:t>The Committee recommends that the ACT Government publish in their annual reports the number of buses and Light Rail Vehicles in the government fleet.</w:t>
        </w:r>
      </w:hyperlink>
    </w:p>
    <w:p w14:paraId="3F63C62B" w14:textId="23D07B8E" w:rsidR="00303927" w:rsidRDefault="00303927">
      <w:pPr>
        <w:pStyle w:val="TOC1"/>
        <w:rPr>
          <w:rFonts w:asciiTheme="minorHAnsi" w:eastAsiaTheme="minorEastAsia" w:hAnsiTheme="minorHAnsi"/>
          <w:b w:val="0"/>
          <w:bCs w:val="0"/>
          <w:color w:val="auto"/>
          <w:w w:val="100"/>
          <w:sz w:val="22"/>
          <w:lang w:eastAsia="en-AU"/>
        </w:rPr>
      </w:pPr>
      <w:hyperlink w:anchor="_Toc129873743" w:history="1">
        <w:r w:rsidRPr="0017341F">
          <w:rPr>
            <w:rStyle w:val="Hyperlink"/>
          </w:rPr>
          <w:t>Recommendation 9</w:t>
        </w:r>
      </w:hyperlink>
    </w:p>
    <w:p w14:paraId="71B62AEC" w14:textId="52D7FA93" w:rsidR="00303927" w:rsidRDefault="00303927">
      <w:pPr>
        <w:pStyle w:val="TOC2"/>
        <w:rPr>
          <w:rFonts w:eastAsiaTheme="minorEastAsia"/>
          <w:lang w:eastAsia="en-AU"/>
        </w:rPr>
      </w:pPr>
      <w:hyperlink w:anchor="_Toc129873744" w:history="1">
        <w:r w:rsidRPr="0017341F">
          <w:rPr>
            <w:rStyle w:val="Hyperlink"/>
            <w:rFonts w:ascii="Calibri-Bold" w:hAnsi="Calibri-Bold" w:cs="Calibri-Bold"/>
          </w:rPr>
          <w:t>The Committee recommends that the ACT Government require end-of-life reuse and recycling for electric bus batteries, just as solar panels will be recycled for the Big Canberra Battery.</w:t>
        </w:r>
      </w:hyperlink>
    </w:p>
    <w:p w14:paraId="74998EA0" w14:textId="2B1BEE60" w:rsidR="00303927" w:rsidRDefault="00303927">
      <w:pPr>
        <w:pStyle w:val="TOC1"/>
        <w:rPr>
          <w:rFonts w:asciiTheme="minorHAnsi" w:eastAsiaTheme="minorEastAsia" w:hAnsiTheme="minorHAnsi"/>
          <w:b w:val="0"/>
          <w:bCs w:val="0"/>
          <w:color w:val="auto"/>
          <w:w w:val="100"/>
          <w:sz w:val="22"/>
          <w:lang w:eastAsia="en-AU"/>
        </w:rPr>
      </w:pPr>
      <w:hyperlink w:anchor="_Toc129873745" w:history="1">
        <w:r w:rsidRPr="0017341F">
          <w:rPr>
            <w:rStyle w:val="Hyperlink"/>
          </w:rPr>
          <w:t>Recommendation 10</w:t>
        </w:r>
      </w:hyperlink>
    </w:p>
    <w:p w14:paraId="420189BC" w14:textId="06D59C76" w:rsidR="00303927" w:rsidRDefault="00303927">
      <w:pPr>
        <w:pStyle w:val="TOC2"/>
        <w:rPr>
          <w:rFonts w:eastAsiaTheme="minorEastAsia"/>
          <w:lang w:eastAsia="en-AU"/>
        </w:rPr>
      </w:pPr>
      <w:hyperlink w:anchor="_Toc129873746" w:history="1">
        <w:r w:rsidRPr="0017341F">
          <w:rPr>
            <w:rStyle w:val="Hyperlink"/>
            <w:rFonts w:ascii="Calibri-Bold" w:hAnsi="Calibri-Bold" w:cs="Calibri-Bold"/>
          </w:rPr>
          <w:t>The Committee recommends that the ACT Government include the organics and composting sector businesses in their industry consultation as part of the procurement for the new FOGO composting facility.</w:t>
        </w:r>
      </w:hyperlink>
    </w:p>
    <w:p w14:paraId="500DC3A4" w14:textId="6CBB8156" w:rsidR="00303927" w:rsidRDefault="00303927">
      <w:pPr>
        <w:pStyle w:val="TOC1"/>
        <w:rPr>
          <w:rFonts w:asciiTheme="minorHAnsi" w:eastAsiaTheme="minorEastAsia" w:hAnsiTheme="minorHAnsi"/>
          <w:b w:val="0"/>
          <w:bCs w:val="0"/>
          <w:color w:val="auto"/>
          <w:w w:val="100"/>
          <w:sz w:val="22"/>
          <w:lang w:eastAsia="en-AU"/>
        </w:rPr>
      </w:pPr>
      <w:hyperlink w:anchor="_Toc129873747" w:history="1">
        <w:r w:rsidRPr="0017341F">
          <w:rPr>
            <w:rStyle w:val="Hyperlink"/>
          </w:rPr>
          <w:t>Recommendation 11</w:t>
        </w:r>
      </w:hyperlink>
    </w:p>
    <w:p w14:paraId="3B175C52" w14:textId="57EEC443" w:rsidR="00303927" w:rsidRDefault="00303927">
      <w:pPr>
        <w:pStyle w:val="TOC2"/>
        <w:rPr>
          <w:rFonts w:eastAsiaTheme="minorEastAsia"/>
          <w:lang w:eastAsia="en-AU"/>
        </w:rPr>
      </w:pPr>
      <w:hyperlink w:anchor="_Toc129873748" w:history="1">
        <w:r w:rsidRPr="0017341F">
          <w:rPr>
            <w:rStyle w:val="Hyperlink"/>
            <w:rFonts w:ascii="Calibri-Bold" w:hAnsi="Calibri-Bold" w:cs="Calibri-Bold"/>
          </w:rPr>
          <w:t xml:space="preserve">The Committee recommends that the ACT Government review the plant species on the </w:t>
        </w:r>
        <w:r w:rsidRPr="0017341F">
          <w:rPr>
            <w:rStyle w:val="Hyperlink"/>
            <w:rFonts w:ascii="Calibri-Bold" w:hAnsi="Calibri-Bold" w:cs="Calibri-Bold"/>
            <w:i/>
            <w:iCs/>
          </w:rPr>
          <w:t>Plant Species for Urban Landscape Projects</w:t>
        </w:r>
        <w:r w:rsidRPr="0017341F">
          <w:rPr>
            <w:rStyle w:val="Hyperlink"/>
            <w:rFonts w:ascii="Calibri-Bold" w:hAnsi="Calibri-Bold" w:cs="Calibri-Bold"/>
          </w:rPr>
          <w:t xml:space="preserve"> list, to ensure that the list only contains appropriate native and exotic species that will not spread to become an invasive species.</w:t>
        </w:r>
      </w:hyperlink>
    </w:p>
    <w:p w14:paraId="0A3D854B" w14:textId="64BBF624" w:rsidR="00303927" w:rsidRDefault="00303927">
      <w:pPr>
        <w:pStyle w:val="TOC1"/>
        <w:rPr>
          <w:rFonts w:asciiTheme="minorHAnsi" w:eastAsiaTheme="minorEastAsia" w:hAnsiTheme="minorHAnsi"/>
          <w:b w:val="0"/>
          <w:bCs w:val="0"/>
          <w:color w:val="auto"/>
          <w:w w:val="100"/>
          <w:sz w:val="22"/>
          <w:lang w:eastAsia="en-AU"/>
        </w:rPr>
      </w:pPr>
      <w:hyperlink w:anchor="_Toc129873749" w:history="1">
        <w:r w:rsidRPr="0017341F">
          <w:rPr>
            <w:rStyle w:val="Hyperlink"/>
          </w:rPr>
          <w:t>Recommendation 12</w:t>
        </w:r>
      </w:hyperlink>
    </w:p>
    <w:p w14:paraId="752F3701" w14:textId="0EBA9814" w:rsidR="00303927" w:rsidRDefault="00303927">
      <w:pPr>
        <w:pStyle w:val="TOC2"/>
        <w:rPr>
          <w:rFonts w:eastAsiaTheme="minorEastAsia"/>
          <w:lang w:eastAsia="en-AU"/>
        </w:rPr>
      </w:pPr>
      <w:hyperlink w:anchor="_Toc129873750" w:history="1">
        <w:r w:rsidRPr="0017341F">
          <w:rPr>
            <w:rStyle w:val="Hyperlink"/>
            <w:rFonts w:ascii="Calibri-Bold" w:hAnsi="Calibri-Bold" w:cs="Calibri-Bold"/>
          </w:rPr>
          <w:t>The Committee recommends that the ACT Government advise what the after-hours arrangements are for animal welfare calls made to the Domestic Animal Services and advise what inspector and veterinary care options are available for these after-hours matters.</w:t>
        </w:r>
      </w:hyperlink>
    </w:p>
    <w:p w14:paraId="2F5E1A60" w14:textId="7E95119B" w:rsidR="00303927" w:rsidRDefault="00303927">
      <w:pPr>
        <w:pStyle w:val="TOC1"/>
        <w:rPr>
          <w:rFonts w:asciiTheme="minorHAnsi" w:eastAsiaTheme="minorEastAsia" w:hAnsiTheme="minorHAnsi"/>
          <w:b w:val="0"/>
          <w:bCs w:val="0"/>
          <w:color w:val="auto"/>
          <w:w w:val="100"/>
          <w:sz w:val="22"/>
          <w:lang w:eastAsia="en-AU"/>
        </w:rPr>
      </w:pPr>
      <w:hyperlink w:anchor="_Toc129873751" w:history="1">
        <w:r w:rsidRPr="0017341F">
          <w:rPr>
            <w:rStyle w:val="Hyperlink"/>
          </w:rPr>
          <w:t>Recommendation 13</w:t>
        </w:r>
      </w:hyperlink>
    </w:p>
    <w:p w14:paraId="482695D6" w14:textId="77E459AE" w:rsidR="00303927" w:rsidRDefault="00303927">
      <w:pPr>
        <w:pStyle w:val="TOC2"/>
        <w:rPr>
          <w:rFonts w:eastAsiaTheme="minorEastAsia"/>
          <w:lang w:eastAsia="en-AU"/>
        </w:rPr>
      </w:pPr>
      <w:hyperlink w:anchor="_Toc129873752" w:history="1">
        <w:r w:rsidRPr="0017341F">
          <w:rPr>
            <w:rStyle w:val="Hyperlink"/>
            <w:rFonts w:ascii="Calibri-Bold" w:hAnsi="Calibri-Bold" w:cs="Calibri-Bold"/>
          </w:rPr>
          <w:t>The Committee recommends that the ACT Government report against the amount, incentives and outcomes of the education funds in the new household waste collections contracts.</w:t>
        </w:r>
      </w:hyperlink>
    </w:p>
    <w:p w14:paraId="0B4F1F18" w14:textId="601D4A7F" w:rsidR="00303927" w:rsidRDefault="00303927">
      <w:pPr>
        <w:pStyle w:val="TOC1"/>
        <w:rPr>
          <w:rFonts w:asciiTheme="minorHAnsi" w:eastAsiaTheme="minorEastAsia" w:hAnsiTheme="minorHAnsi"/>
          <w:b w:val="0"/>
          <w:bCs w:val="0"/>
          <w:color w:val="auto"/>
          <w:w w:val="100"/>
          <w:sz w:val="22"/>
          <w:lang w:eastAsia="en-AU"/>
        </w:rPr>
      </w:pPr>
      <w:hyperlink w:anchor="_Toc129873753" w:history="1">
        <w:r w:rsidRPr="0017341F">
          <w:rPr>
            <w:rStyle w:val="Hyperlink"/>
          </w:rPr>
          <w:t>Recommendation 14</w:t>
        </w:r>
      </w:hyperlink>
    </w:p>
    <w:p w14:paraId="756881DB" w14:textId="01D61111" w:rsidR="00303927" w:rsidRDefault="00303927">
      <w:pPr>
        <w:pStyle w:val="TOC2"/>
        <w:rPr>
          <w:rFonts w:eastAsiaTheme="minorEastAsia"/>
          <w:lang w:eastAsia="en-AU"/>
        </w:rPr>
      </w:pPr>
      <w:hyperlink w:anchor="_Toc129873754" w:history="1">
        <w:r w:rsidRPr="0017341F">
          <w:rPr>
            <w:rStyle w:val="Hyperlink"/>
            <w:rFonts w:ascii="Calibri-Bold" w:hAnsi="Calibri-Bold" w:cs="Calibri-Bold"/>
          </w:rPr>
          <w:t>The Committee recommends that the ACT Government ensure the new contracts for household waste and recycling collections prioritise zero emissions trucks, and if this is not currently feasible, there be a provision in the new contracts to establish a transition to zero emissions trucks during the term of the contract.</w:t>
        </w:r>
      </w:hyperlink>
    </w:p>
    <w:p w14:paraId="454A99DB" w14:textId="6019D847" w:rsidR="00303927" w:rsidRDefault="00303927">
      <w:pPr>
        <w:pStyle w:val="TOC1"/>
        <w:rPr>
          <w:rFonts w:asciiTheme="minorHAnsi" w:eastAsiaTheme="minorEastAsia" w:hAnsiTheme="minorHAnsi"/>
          <w:b w:val="0"/>
          <w:bCs w:val="0"/>
          <w:color w:val="auto"/>
          <w:w w:val="100"/>
          <w:sz w:val="22"/>
          <w:lang w:eastAsia="en-AU"/>
        </w:rPr>
      </w:pPr>
      <w:hyperlink w:anchor="_Toc129873755" w:history="1">
        <w:r w:rsidRPr="0017341F">
          <w:rPr>
            <w:rStyle w:val="Hyperlink"/>
          </w:rPr>
          <w:t>Recommendation 15</w:t>
        </w:r>
      </w:hyperlink>
    </w:p>
    <w:p w14:paraId="59FD4498" w14:textId="2195EB26" w:rsidR="00303927" w:rsidRDefault="00303927">
      <w:pPr>
        <w:pStyle w:val="TOC2"/>
        <w:rPr>
          <w:rFonts w:eastAsiaTheme="minorEastAsia"/>
          <w:lang w:eastAsia="en-AU"/>
        </w:rPr>
      </w:pPr>
      <w:hyperlink w:anchor="_Toc129873756" w:history="1">
        <w:r w:rsidRPr="0017341F">
          <w:rPr>
            <w:rStyle w:val="Hyperlink"/>
            <w:rFonts w:ascii="Calibri-Bold" w:hAnsi="Calibri-Bold" w:cs="Calibri-Bold"/>
          </w:rPr>
          <w:t xml:space="preserve">The Committee recommends that the ACT Government engage in targeted consultation with the residents of Belconnen and Gungahlin on the </w:t>
        </w:r>
        <w:r w:rsidRPr="0017341F">
          <w:rPr>
            <w:rStyle w:val="Hyperlink"/>
            <w:rFonts w:ascii="Calibri-Bold" w:hAnsi="Calibri-Bold" w:cs="Calibri-Bold"/>
            <w:i/>
            <w:iCs/>
          </w:rPr>
          <w:t>Feasibility Study – Mitchell RMC and Identification of Future Waste Sites in North Canberra</w:t>
        </w:r>
        <w:r w:rsidRPr="0017341F">
          <w:rPr>
            <w:rStyle w:val="Hyperlink"/>
            <w:rFonts w:ascii="Calibri-Bold" w:hAnsi="Calibri-Bold" w:cs="Calibri-Bold"/>
          </w:rPr>
          <w:t xml:space="preserve"> report.</w:t>
        </w:r>
      </w:hyperlink>
    </w:p>
    <w:p w14:paraId="643D537B" w14:textId="11E122D3" w:rsidR="00303927" w:rsidRDefault="00303927">
      <w:pPr>
        <w:pStyle w:val="TOC1"/>
        <w:rPr>
          <w:rFonts w:asciiTheme="minorHAnsi" w:eastAsiaTheme="minorEastAsia" w:hAnsiTheme="minorHAnsi"/>
          <w:b w:val="0"/>
          <w:bCs w:val="0"/>
          <w:color w:val="auto"/>
          <w:w w:val="100"/>
          <w:sz w:val="22"/>
          <w:lang w:eastAsia="en-AU"/>
        </w:rPr>
      </w:pPr>
      <w:hyperlink w:anchor="_Toc129873757" w:history="1">
        <w:r w:rsidRPr="0017341F">
          <w:rPr>
            <w:rStyle w:val="Hyperlink"/>
          </w:rPr>
          <w:t>Recommendation 16</w:t>
        </w:r>
      </w:hyperlink>
    </w:p>
    <w:p w14:paraId="1FB894D7" w14:textId="2FB05792" w:rsidR="00303927" w:rsidRDefault="00303927">
      <w:pPr>
        <w:pStyle w:val="TOC2"/>
        <w:rPr>
          <w:rFonts w:eastAsiaTheme="minorEastAsia"/>
          <w:lang w:eastAsia="en-AU"/>
        </w:rPr>
      </w:pPr>
      <w:hyperlink w:anchor="_Toc129873758" w:history="1">
        <w:r w:rsidRPr="0017341F">
          <w:rPr>
            <w:rStyle w:val="Hyperlink"/>
          </w:rPr>
          <w:t>The Committee recommends that the ACT Government publish in their annual and financial reports in detail the number of FTE rangers:</w:t>
        </w:r>
      </w:hyperlink>
    </w:p>
    <w:p w14:paraId="0732B8F3" w14:textId="274B7F1B" w:rsidR="00303927" w:rsidRDefault="00303927">
      <w:pPr>
        <w:pStyle w:val="TOC2"/>
        <w:tabs>
          <w:tab w:val="left" w:pos="880"/>
        </w:tabs>
        <w:rPr>
          <w:rFonts w:eastAsiaTheme="minorEastAsia"/>
          <w:lang w:eastAsia="en-AU"/>
        </w:rPr>
      </w:pPr>
      <w:hyperlink w:anchor="_Toc129873759" w:history="1">
        <w:r w:rsidRPr="0017341F">
          <w:rPr>
            <w:rStyle w:val="Hyperlink"/>
            <w:rFonts w:ascii="Symbol" w:hAnsi="Symbol"/>
          </w:rPr>
          <w:t></w:t>
        </w:r>
        <w:r>
          <w:rPr>
            <w:rFonts w:eastAsiaTheme="minorEastAsia"/>
            <w:lang w:eastAsia="en-AU"/>
          </w:rPr>
          <w:tab/>
        </w:r>
        <w:r w:rsidRPr="0017341F">
          <w:rPr>
            <w:rStyle w:val="Hyperlink"/>
          </w:rPr>
          <w:t>employed in all fields, including land management, illegal dumping, illegal parking, and animal welfare; and</w:t>
        </w:r>
      </w:hyperlink>
    </w:p>
    <w:p w14:paraId="3FEE08A3" w14:textId="4593908D" w:rsidR="00303927" w:rsidRDefault="00303927">
      <w:pPr>
        <w:pStyle w:val="TOC2"/>
        <w:tabs>
          <w:tab w:val="left" w:pos="880"/>
        </w:tabs>
        <w:rPr>
          <w:rFonts w:eastAsiaTheme="minorEastAsia"/>
          <w:lang w:eastAsia="en-AU"/>
        </w:rPr>
      </w:pPr>
      <w:hyperlink w:anchor="_Toc129873760" w:history="1">
        <w:r w:rsidRPr="0017341F">
          <w:rPr>
            <w:rStyle w:val="Hyperlink"/>
            <w:rFonts w:ascii="Symbol" w:hAnsi="Symbol"/>
          </w:rPr>
          <w:t></w:t>
        </w:r>
        <w:r>
          <w:rPr>
            <w:rFonts w:eastAsiaTheme="minorEastAsia"/>
            <w:lang w:eastAsia="en-AU"/>
          </w:rPr>
          <w:tab/>
        </w:r>
        <w:r w:rsidRPr="0017341F">
          <w:rPr>
            <w:rStyle w:val="Hyperlink"/>
          </w:rPr>
          <w:t>that are available for after-hour calls.</w:t>
        </w:r>
      </w:hyperlink>
    </w:p>
    <w:p w14:paraId="29CE1E32" w14:textId="05ACE147" w:rsidR="00303927" w:rsidRDefault="00303927">
      <w:pPr>
        <w:pStyle w:val="TOC1"/>
        <w:rPr>
          <w:rFonts w:asciiTheme="minorHAnsi" w:eastAsiaTheme="minorEastAsia" w:hAnsiTheme="minorHAnsi"/>
          <w:b w:val="0"/>
          <w:bCs w:val="0"/>
          <w:color w:val="auto"/>
          <w:w w:val="100"/>
          <w:sz w:val="22"/>
          <w:lang w:eastAsia="en-AU"/>
        </w:rPr>
      </w:pPr>
      <w:hyperlink w:anchor="_Toc129873761" w:history="1">
        <w:r w:rsidRPr="0017341F">
          <w:rPr>
            <w:rStyle w:val="Hyperlink"/>
          </w:rPr>
          <w:t>Recommendation 17</w:t>
        </w:r>
      </w:hyperlink>
    </w:p>
    <w:p w14:paraId="63693ADB" w14:textId="6177942A" w:rsidR="00303927" w:rsidRDefault="00303927">
      <w:pPr>
        <w:pStyle w:val="TOC2"/>
        <w:rPr>
          <w:rFonts w:eastAsiaTheme="minorEastAsia"/>
          <w:lang w:eastAsia="en-AU"/>
        </w:rPr>
      </w:pPr>
      <w:hyperlink w:anchor="_Toc129873762" w:history="1">
        <w:r w:rsidRPr="0017341F">
          <w:rPr>
            <w:rStyle w:val="Hyperlink"/>
            <w:rFonts w:ascii="Calibri-Bold" w:hAnsi="Calibri-Bold" w:cs="Calibri-Bold"/>
          </w:rPr>
          <w:t>The Committee recommends that the ACT Government publish all of the waste and recycling audits recently conducted, as soon as practicable.</w:t>
        </w:r>
      </w:hyperlink>
    </w:p>
    <w:p w14:paraId="5703C377" w14:textId="06FD0F7A" w:rsidR="00303927" w:rsidRDefault="00303927">
      <w:pPr>
        <w:pStyle w:val="TOC1"/>
        <w:rPr>
          <w:rFonts w:asciiTheme="minorHAnsi" w:eastAsiaTheme="minorEastAsia" w:hAnsiTheme="minorHAnsi"/>
          <w:b w:val="0"/>
          <w:bCs w:val="0"/>
          <w:color w:val="auto"/>
          <w:w w:val="100"/>
          <w:sz w:val="22"/>
          <w:lang w:eastAsia="en-AU"/>
        </w:rPr>
      </w:pPr>
      <w:hyperlink w:anchor="_Toc129873763" w:history="1">
        <w:r w:rsidRPr="0017341F">
          <w:rPr>
            <w:rStyle w:val="Hyperlink"/>
          </w:rPr>
          <w:t>Recommendation 18</w:t>
        </w:r>
      </w:hyperlink>
    </w:p>
    <w:p w14:paraId="466E9940" w14:textId="118C0D1C" w:rsidR="00303927" w:rsidRDefault="00303927">
      <w:pPr>
        <w:pStyle w:val="TOC2"/>
        <w:rPr>
          <w:rFonts w:eastAsiaTheme="minorEastAsia"/>
          <w:lang w:eastAsia="en-AU"/>
        </w:rPr>
      </w:pPr>
      <w:hyperlink w:anchor="_Toc129873764" w:history="1">
        <w:r w:rsidRPr="0017341F">
          <w:rPr>
            <w:rStyle w:val="Hyperlink"/>
          </w:rPr>
          <w:t>The Committee recommends that the ACT Government continue to publish a time series of public transport usage as a Strategic Objective Indicator in annual and financial reports through:</w:t>
        </w:r>
      </w:hyperlink>
    </w:p>
    <w:p w14:paraId="1BFA111B" w14:textId="547C7974" w:rsidR="00303927" w:rsidRDefault="00303927">
      <w:pPr>
        <w:pStyle w:val="TOC2"/>
        <w:tabs>
          <w:tab w:val="left" w:pos="880"/>
        </w:tabs>
        <w:rPr>
          <w:rFonts w:eastAsiaTheme="minorEastAsia"/>
          <w:lang w:eastAsia="en-AU"/>
        </w:rPr>
      </w:pPr>
      <w:hyperlink w:anchor="_Toc129873765" w:history="1">
        <w:r w:rsidRPr="0017341F">
          <w:rPr>
            <w:rStyle w:val="Hyperlink"/>
            <w:rFonts w:ascii="Symbol" w:hAnsi="Symbol"/>
          </w:rPr>
          <w:t></w:t>
        </w:r>
        <w:r>
          <w:rPr>
            <w:rFonts w:eastAsiaTheme="minorEastAsia"/>
            <w:lang w:eastAsia="en-AU"/>
          </w:rPr>
          <w:tab/>
        </w:r>
        <w:r w:rsidRPr="0017341F">
          <w:rPr>
            <w:rStyle w:val="Hyperlink"/>
          </w:rPr>
          <w:t>keeping patronage data reporting;</w:t>
        </w:r>
      </w:hyperlink>
    </w:p>
    <w:p w14:paraId="636EFF04" w14:textId="77A8F4B1" w:rsidR="00303927" w:rsidRDefault="00303927">
      <w:pPr>
        <w:pStyle w:val="TOC2"/>
        <w:tabs>
          <w:tab w:val="left" w:pos="880"/>
        </w:tabs>
        <w:rPr>
          <w:rFonts w:eastAsiaTheme="minorEastAsia"/>
          <w:lang w:eastAsia="en-AU"/>
        </w:rPr>
      </w:pPr>
      <w:hyperlink w:anchor="_Toc129873766" w:history="1">
        <w:r w:rsidRPr="0017341F">
          <w:rPr>
            <w:rStyle w:val="Hyperlink"/>
            <w:rFonts w:ascii="Symbol" w:hAnsi="Symbol"/>
          </w:rPr>
          <w:t></w:t>
        </w:r>
        <w:r>
          <w:rPr>
            <w:rFonts w:eastAsiaTheme="minorEastAsia"/>
            <w:lang w:eastAsia="en-AU"/>
          </w:rPr>
          <w:tab/>
        </w:r>
        <w:r w:rsidRPr="0017341F">
          <w:rPr>
            <w:rStyle w:val="Hyperlink"/>
          </w:rPr>
          <w:t>adding journey data reporting; and</w:t>
        </w:r>
      </w:hyperlink>
    </w:p>
    <w:p w14:paraId="52F27B6B" w14:textId="41D7D04B" w:rsidR="00303927" w:rsidRDefault="00303927" w:rsidP="00303927">
      <w:pPr>
        <w:pStyle w:val="TOC2"/>
        <w:tabs>
          <w:tab w:val="left" w:pos="880"/>
        </w:tabs>
        <w:rPr>
          <w:rStyle w:val="Hyperlink"/>
        </w:rPr>
      </w:pPr>
      <w:hyperlink w:anchor="_Toc129873767" w:history="1">
        <w:r w:rsidRPr="0017341F">
          <w:rPr>
            <w:rStyle w:val="Hyperlink"/>
            <w:rFonts w:ascii="Symbol" w:hAnsi="Symbol"/>
          </w:rPr>
          <w:t></w:t>
        </w:r>
        <w:r>
          <w:rPr>
            <w:rFonts w:eastAsiaTheme="minorEastAsia"/>
            <w:lang w:eastAsia="en-AU"/>
          </w:rPr>
          <w:tab/>
        </w:r>
        <w:r w:rsidRPr="0017341F">
          <w:rPr>
            <w:rStyle w:val="Hyperlink"/>
          </w:rPr>
          <w:t>adding the percentage of the population that uses public transport.</w:t>
        </w:r>
      </w:hyperlink>
    </w:p>
    <w:p w14:paraId="0F5EB10E" w14:textId="77777777" w:rsidR="00303927" w:rsidRPr="00303927" w:rsidRDefault="00303927" w:rsidP="00303927"/>
    <w:p w14:paraId="34985FDB" w14:textId="0BF73EC5" w:rsidR="00303927" w:rsidRDefault="00303927">
      <w:pPr>
        <w:pStyle w:val="TOC1"/>
        <w:rPr>
          <w:rFonts w:asciiTheme="minorHAnsi" w:eastAsiaTheme="minorEastAsia" w:hAnsiTheme="minorHAnsi"/>
          <w:b w:val="0"/>
          <w:bCs w:val="0"/>
          <w:color w:val="auto"/>
          <w:w w:val="100"/>
          <w:sz w:val="22"/>
          <w:lang w:eastAsia="en-AU"/>
        </w:rPr>
      </w:pPr>
      <w:hyperlink w:anchor="_Toc129873768" w:history="1">
        <w:r w:rsidRPr="0017341F">
          <w:rPr>
            <w:rStyle w:val="Hyperlink"/>
          </w:rPr>
          <w:t>Recommendation 19</w:t>
        </w:r>
      </w:hyperlink>
    </w:p>
    <w:p w14:paraId="54A233B7" w14:textId="6E64B34B" w:rsidR="00303927" w:rsidRDefault="00303927">
      <w:pPr>
        <w:pStyle w:val="TOC2"/>
        <w:rPr>
          <w:rFonts w:eastAsiaTheme="minorEastAsia"/>
          <w:lang w:eastAsia="en-AU"/>
        </w:rPr>
      </w:pPr>
      <w:hyperlink w:anchor="_Toc129873769" w:history="1">
        <w:r w:rsidRPr="0017341F">
          <w:rPr>
            <w:rStyle w:val="Hyperlink"/>
            <w:rFonts w:ascii="Calibri-Bold" w:hAnsi="Calibri-Bold" w:cs="Calibri-Bold"/>
          </w:rPr>
          <w:t>The Committee recommends that the ACT Government considers continuing to publish a time series of Government subsidy per passenger boarding (or journey) in the TCCS Annual and Financial Reports.</w:t>
        </w:r>
      </w:hyperlink>
    </w:p>
    <w:p w14:paraId="41A70165" w14:textId="6DA6E78B" w:rsidR="005B5DE9" w:rsidRDefault="005B5DE9" w:rsidP="005B5DE9">
      <w:r>
        <w:fldChar w:fldCharType="end"/>
      </w:r>
    </w:p>
    <w:p w14:paraId="3EED52A3" w14:textId="77777777" w:rsidR="005B5DE9" w:rsidRPr="00B7541C" w:rsidRDefault="005B5DE9" w:rsidP="005B5DE9">
      <w:pPr>
        <w:sectPr w:rsidR="005B5DE9" w:rsidRPr="00B7541C" w:rsidSect="004D5396">
          <w:type w:val="continuous"/>
          <w:pgSz w:w="11906" w:h="16838"/>
          <w:pgMar w:top="1440" w:right="1440" w:bottom="1440" w:left="1440" w:header="708" w:footer="708" w:gutter="0"/>
          <w:pgNumType w:fmt="lowerRoman" w:start="1"/>
          <w:cols w:space="708"/>
          <w:docGrid w:linePitch="360"/>
        </w:sectPr>
      </w:pPr>
    </w:p>
    <w:p w14:paraId="318813FA" w14:textId="77777777" w:rsidR="005B5DE9" w:rsidRDefault="005B5DE9" w:rsidP="005B5DE9">
      <w:pPr>
        <w:pStyle w:val="Heading1"/>
      </w:pPr>
      <w:bookmarkStart w:id="11" w:name="_Toc129873692"/>
      <w:bookmarkEnd w:id="7"/>
      <w:r>
        <w:lastRenderedPageBreak/>
        <w:t>Introduction</w:t>
      </w:r>
      <w:bookmarkEnd w:id="11"/>
      <w:r>
        <w:t xml:space="preserve"> </w:t>
      </w:r>
    </w:p>
    <w:p w14:paraId="7671C851" w14:textId="77777777" w:rsidR="00630A92" w:rsidRPr="00106AD2" w:rsidRDefault="00630A92" w:rsidP="00630A92">
      <w:pPr>
        <w:pStyle w:val="Heading2"/>
      </w:pPr>
      <w:bookmarkStart w:id="12" w:name="_Toc119591053"/>
      <w:bookmarkStart w:id="13" w:name="_Toc129873693"/>
      <w:bookmarkEnd w:id="8"/>
      <w:r>
        <w:t>Presentation of 2021-22 annual and financial reports</w:t>
      </w:r>
      <w:bookmarkEnd w:id="12"/>
      <w:bookmarkEnd w:id="13"/>
    </w:p>
    <w:p w14:paraId="061ECB55" w14:textId="6B848D09" w:rsidR="00630A92" w:rsidRDefault="00630A92" w:rsidP="00630A92">
      <w:pPr>
        <w:pStyle w:val="ListNumber2"/>
      </w:pPr>
      <w:r>
        <w:t>All annual and financial reports for the Territory were tabled between 12 October 2022</w:t>
      </w:r>
      <w:r>
        <w:rPr>
          <w:rStyle w:val="FootnoteReference"/>
        </w:rPr>
        <w:footnoteReference w:id="1"/>
      </w:r>
      <w:r>
        <w:t xml:space="preserve"> and 13 October 2022</w:t>
      </w:r>
      <w:r>
        <w:rPr>
          <w:rStyle w:val="FootnoteReference"/>
        </w:rPr>
        <w:footnoteReference w:id="2"/>
      </w:r>
      <w:r>
        <w:t xml:space="preserve"> in the ACT Legislative Assembly. A collated list of annual and financial reports is available </w:t>
      </w:r>
      <w:hyperlink r:id="rId17" w:history="1">
        <w:r w:rsidRPr="00630A92">
          <w:rPr>
            <w:rStyle w:val="Hyperlink"/>
          </w:rPr>
          <w:t>online</w:t>
        </w:r>
      </w:hyperlink>
      <w:r>
        <w:t>.</w:t>
      </w:r>
      <w:r>
        <w:rPr>
          <w:rStyle w:val="FootnoteReference"/>
        </w:rPr>
        <w:footnoteReference w:id="3"/>
      </w:r>
    </w:p>
    <w:p w14:paraId="768A4B0C" w14:textId="7E5BD90D" w:rsidR="00630A92" w:rsidRDefault="00630A92" w:rsidP="00630A92">
      <w:pPr>
        <w:pStyle w:val="ListNumber2"/>
      </w:pPr>
      <w:r>
        <w:t>During</w:t>
      </w:r>
      <w:r>
        <w:rPr>
          <w:spacing w:val="-3"/>
        </w:rPr>
        <w:t xml:space="preserve"> </w:t>
      </w:r>
      <w:r>
        <w:t>its</w:t>
      </w:r>
      <w:r>
        <w:rPr>
          <w:spacing w:val="-2"/>
        </w:rPr>
        <w:t xml:space="preserve"> </w:t>
      </w:r>
      <w:r w:rsidR="00E91F3C">
        <w:t>inquiry,</w:t>
      </w:r>
      <w:r>
        <w:rPr>
          <w:spacing w:val="-4"/>
        </w:rPr>
        <w:t xml:space="preserve"> </w:t>
      </w:r>
      <w:r>
        <w:t>the</w:t>
      </w:r>
      <w:r>
        <w:rPr>
          <w:spacing w:val="-3"/>
        </w:rPr>
        <w:t xml:space="preserve"> </w:t>
      </w:r>
      <w:r>
        <w:t>Standing</w:t>
      </w:r>
      <w:r>
        <w:rPr>
          <w:spacing w:val="-3"/>
        </w:rPr>
        <w:t xml:space="preserve"> </w:t>
      </w:r>
      <w:r>
        <w:t>Committee</w:t>
      </w:r>
      <w:r>
        <w:rPr>
          <w:spacing w:val="-2"/>
        </w:rPr>
        <w:t xml:space="preserve"> </w:t>
      </w:r>
      <w:r>
        <w:t>on</w:t>
      </w:r>
      <w:r>
        <w:rPr>
          <w:spacing w:val="-4"/>
        </w:rPr>
        <w:t xml:space="preserve"> </w:t>
      </w:r>
      <w:r>
        <w:t>Planning, Transport and City Services was required</w:t>
      </w:r>
      <w:r>
        <w:rPr>
          <w:spacing w:val="-1"/>
        </w:rPr>
        <w:t xml:space="preserve"> </w:t>
      </w:r>
      <w:r>
        <w:t>to examine all or part of the following annual and financial reports for 2021-2022:</w:t>
      </w:r>
    </w:p>
    <w:p w14:paraId="11B3E06D" w14:textId="7BC48CF6" w:rsidR="00630A92" w:rsidRDefault="00A43CB3" w:rsidP="00630A92">
      <w:pPr>
        <w:pStyle w:val="ListBullet"/>
      </w:pPr>
      <w:r>
        <w:t>Environment, Planning and Sustainable Development Directorate;</w:t>
      </w:r>
      <w:r w:rsidR="00B96B7C">
        <w:t xml:space="preserve"> and</w:t>
      </w:r>
    </w:p>
    <w:p w14:paraId="1451A43E" w14:textId="57EDA8CE" w:rsidR="00A43CB3" w:rsidRDefault="00A43CB3" w:rsidP="00630A92">
      <w:pPr>
        <w:pStyle w:val="ListBullet"/>
      </w:pPr>
      <w:r>
        <w:t>Transport Canberra and City Services Directorate</w:t>
      </w:r>
      <w:r w:rsidR="00B96B7C">
        <w:t>.</w:t>
      </w:r>
    </w:p>
    <w:p w14:paraId="326E0C89" w14:textId="4EAC005C" w:rsidR="00630A92" w:rsidRPr="00172958" w:rsidRDefault="00630A92" w:rsidP="00630A92">
      <w:pPr>
        <w:pStyle w:val="ListNumber2"/>
        <w:rPr>
          <w:color w:val="auto"/>
        </w:rPr>
      </w:pPr>
      <w:r w:rsidRPr="007E7E39">
        <w:rPr>
          <w:color w:val="auto"/>
        </w:rPr>
        <w:t xml:space="preserve">The Committee’s inquiry was undertaken amid the continuing COVID-19 pandemic. In light of this, all annual and financial report hearings were conducted in the </w:t>
      </w:r>
      <w:r>
        <w:rPr>
          <w:color w:val="auto"/>
        </w:rPr>
        <w:t xml:space="preserve">ACT </w:t>
      </w:r>
      <w:r w:rsidRPr="007E7E39">
        <w:rPr>
          <w:color w:val="auto"/>
        </w:rPr>
        <w:t xml:space="preserve">Legislative Assembly Chamber to allow for appropriate </w:t>
      </w:r>
      <w:r>
        <w:rPr>
          <w:color w:val="auto"/>
        </w:rPr>
        <w:t xml:space="preserve">social </w:t>
      </w:r>
      <w:r w:rsidRPr="007E7E39">
        <w:rPr>
          <w:color w:val="auto"/>
        </w:rPr>
        <w:t>distancing and other control measures. Witnesses were also able to attend via Webex</w:t>
      </w:r>
      <w:r>
        <w:rPr>
          <w:color w:val="auto"/>
        </w:rPr>
        <w:t>.</w:t>
      </w:r>
    </w:p>
    <w:p w14:paraId="42E3C34E" w14:textId="77777777" w:rsidR="00630A92" w:rsidRPr="00FC6F1B" w:rsidRDefault="00630A92" w:rsidP="00630A92">
      <w:pPr>
        <w:pStyle w:val="Heading2"/>
      </w:pPr>
      <w:bookmarkStart w:id="14" w:name="_Toc119591055"/>
      <w:bookmarkStart w:id="15" w:name="_Toc129873694"/>
      <w:r w:rsidRPr="00FC6F1B">
        <w:t>Public hearings</w:t>
      </w:r>
      <w:bookmarkEnd w:id="14"/>
      <w:bookmarkEnd w:id="15"/>
    </w:p>
    <w:p w14:paraId="36C85184" w14:textId="673C020B" w:rsidR="00630A92" w:rsidRPr="002D5C7B" w:rsidRDefault="00630A92" w:rsidP="00630A92">
      <w:pPr>
        <w:pStyle w:val="ListNumber2"/>
        <w:keepNext/>
        <w:keepLines/>
        <w:rPr>
          <w:color w:val="auto"/>
        </w:rPr>
      </w:pPr>
      <w:r w:rsidRPr="0004476A">
        <w:rPr>
          <w:color w:val="auto"/>
        </w:rPr>
        <w:t xml:space="preserve">The Committee held public hearings on </w:t>
      </w:r>
      <w:r w:rsidR="00A43CB3">
        <w:rPr>
          <w:color w:val="auto"/>
        </w:rPr>
        <w:t>31 October 2022, 2 November 2022, 7 November 2022, 8 November 2022, 10 November 2022 and 14 November 2022</w:t>
      </w:r>
      <w:r w:rsidRPr="0004476A">
        <w:rPr>
          <w:color w:val="auto"/>
        </w:rPr>
        <w:t>. At the hearings</w:t>
      </w:r>
      <w:r w:rsidR="00A43CB3">
        <w:rPr>
          <w:color w:val="auto"/>
        </w:rPr>
        <w:t>,</w:t>
      </w:r>
      <w:r w:rsidRPr="0004476A">
        <w:rPr>
          <w:color w:val="auto"/>
        </w:rPr>
        <w:t xml:space="preserve"> the Committee heard from </w:t>
      </w:r>
      <w:r w:rsidRPr="002D5C7B">
        <w:rPr>
          <w:color w:val="auto"/>
        </w:rPr>
        <w:t>ACT Government Ministers</w:t>
      </w:r>
      <w:r w:rsidR="00B61BB2">
        <w:rPr>
          <w:color w:val="auto"/>
        </w:rPr>
        <w:t xml:space="preserve">, </w:t>
      </w:r>
      <w:r w:rsidRPr="002D5C7B">
        <w:rPr>
          <w:color w:val="auto"/>
        </w:rPr>
        <w:t>Directorate officials</w:t>
      </w:r>
      <w:r w:rsidR="00B61BB2">
        <w:rPr>
          <w:color w:val="auto"/>
        </w:rPr>
        <w:t>,</w:t>
      </w:r>
      <w:r w:rsidR="00A43CB3">
        <w:rPr>
          <w:color w:val="auto"/>
        </w:rPr>
        <w:t xml:space="preserve"> and</w:t>
      </w:r>
      <w:r w:rsidRPr="002D5C7B">
        <w:rPr>
          <w:color w:val="auto"/>
        </w:rPr>
        <w:t xml:space="preserve"> statutory officers</w:t>
      </w:r>
      <w:r w:rsidR="00A43CB3">
        <w:rPr>
          <w:color w:val="auto"/>
        </w:rPr>
        <w:t>.</w:t>
      </w:r>
    </w:p>
    <w:p w14:paraId="3DEC080D" w14:textId="2FDB4105" w:rsidR="00630A92" w:rsidRPr="0004476A" w:rsidRDefault="00630A92" w:rsidP="00630A92">
      <w:pPr>
        <w:pStyle w:val="ListNumber2"/>
        <w:rPr>
          <w:color w:val="auto"/>
        </w:rPr>
      </w:pPr>
      <w:r w:rsidRPr="0004476A">
        <w:rPr>
          <w:color w:val="auto"/>
        </w:rPr>
        <w:t xml:space="preserve">Witnesses who appeared before the Committee are listed at </w:t>
      </w:r>
      <w:r w:rsidRPr="00A43CB3">
        <w:rPr>
          <w:b/>
          <w:bCs w:val="0"/>
          <w:color w:val="auto"/>
        </w:rPr>
        <w:t>Appendix A</w:t>
      </w:r>
      <w:r w:rsidRPr="0004476A">
        <w:rPr>
          <w:color w:val="auto"/>
        </w:rPr>
        <w:t xml:space="preserve">. Transcripts from the </w:t>
      </w:r>
      <w:r w:rsidR="00A43CB3">
        <w:rPr>
          <w:color w:val="auto"/>
        </w:rPr>
        <w:t xml:space="preserve">public </w:t>
      </w:r>
      <w:r w:rsidRPr="0004476A">
        <w:rPr>
          <w:color w:val="auto"/>
        </w:rPr>
        <w:t xml:space="preserve">hearings are available on the </w:t>
      </w:r>
      <w:r w:rsidR="00A43CB3">
        <w:rPr>
          <w:color w:val="auto"/>
        </w:rPr>
        <w:t xml:space="preserve">ACT Legislative </w:t>
      </w:r>
      <w:r w:rsidRPr="0004476A">
        <w:rPr>
          <w:color w:val="auto"/>
        </w:rPr>
        <w:t xml:space="preserve">Assembly </w:t>
      </w:r>
      <w:hyperlink r:id="rId18" w:anchor="6_ptcs" w:history="1">
        <w:r w:rsidRPr="00A43CB3">
          <w:rPr>
            <w:rStyle w:val="Hyperlink"/>
          </w:rPr>
          <w:t>website</w:t>
        </w:r>
      </w:hyperlink>
      <w:r w:rsidRPr="0004476A">
        <w:rPr>
          <w:color w:val="auto"/>
        </w:rPr>
        <w:t xml:space="preserve">. Footage of the </w:t>
      </w:r>
      <w:r w:rsidR="00A43CB3">
        <w:rPr>
          <w:color w:val="auto"/>
        </w:rPr>
        <w:t xml:space="preserve">public </w:t>
      </w:r>
      <w:r w:rsidRPr="0004476A">
        <w:rPr>
          <w:color w:val="auto"/>
        </w:rPr>
        <w:t xml:space="preserve">hearings </w:t>
      </w:r>
      <w:r w:rsidR="00A43CB3">
        <w:rPr>
          <w:color w:val="auto"/>
        </w:rPr>
        <w:t>are</w:t>
      </w:r>
      <w:r w:rsidRPr="0004476A">
        <w:rPr>
          <w:color w:val="auto"/>
        </w:rPr>
        <w:t xml:space="preserve"> available </w:t>
      </w:r>
      <w:r w:rsidR="00A43CB3">
        <w:rPr>
          <w:color w:val="auto"/>
        </w:rPr>
        <w:t xml:space="preserve">on the ACT Legislative Assembly </w:t>
      </w:r>
      <w:hyperlink r:id="rId19" w:history="1">
        <w:r w:rsidR="00A43CB3" w:rsidRPr="00A43CB3">
          <w:rPr>
            <w:rStyle w:val="Hyperlink"/>
          </w:rPr>
          <w:t>V</w:t>
        </w:r>
        <w:r w:rsidRPr="00A43CB3">
          <w:rPr>
            <w:rStyle w:val="Hyperlink"/>
          </w:rPr>
          <w:t xml:space="preserve">ideo on </w:t>
        </w:r>
        <w:r w:rsidR="00A43CB3" w:rsidRPr="00A43CB3">
          <w:rPr>
            <w:rStyle w:val="Hyperlink"/>
          </w:rPr>
          <w:t>D</w:t>
        </w:r>
        <w:r w:rsidRPr="00A43CB3">
          <w:rPr>
            <w:rStyle w:val="Hyperlink"/>
          </w:rPr>
          <w:t>emand website</w:t>
        </w:r>
      </w:hyperlink>
      <w:r w:rsidRPr="0004476A">
        <w:rPr>
          <w:color w:val="auto"/>
        </w:rPr>
        <w:t>.</w:t>
      </w:r>
    </w:p>
    <w:p w14:paraId="0C40E848" w14:textId="0970466D" w:rsidR="00B61BB2" w:rsidRDefault="00630A92" w:rsidP="00630A92">
      <w:pPr>
        <w:pStyle w:val="Heading2"/>
      </w:pPr>
      <w:bookmarkStart w:id="16" w:name="_Toc119591056"/>
      <w:bookmarkStart w:id="17" w:name="_Toc129873695"/>
      <w:r>
        <w:t xml:space="preserve">Questions </w:t>
      </w:r>
      <w:r w:rsidR="00B61BB2">
        <w:t>on Notice and Questions Taken on Notice</w:t>
      </w:r>
      <w:bookmarkEnd w:id="17"/>
    </w:p>
    <w:bookmarkEnd w:id="16"/>
    <w:p w14:paraId="76CBCF19" w14:textId="1B4539F5" w:rsidR="00630A92" w:rsidRPr="0004476A" w:rsidRDefault="00630A92" w:rsidP="00630A92">
      <w:pPr>
        <w:pStyle w:val="ListNumber2"/>
        <w:rPr>
          <w:color w:val="auto"/>
        </w:rPr>
      </w:pPr>
      <w:r w:rsidRPr="0004476A">
        <w:rPr>
          <w:color w:val="auto"/>
        </w:rPr>
        <w:t xml:space="preserve">A total of </w:t>
      </w:r>
      <w:r w:rsidR="00147861">
        <w:rPr>
          <w:color w:val="auto"/>
        </w:rPr>
        <w:t>52</w:t>
      </w:r>
      <w:r w:rsidRPr="0004476A">
        <w:rPr>
          <w:color w:val="auto"/>
        </w:rPr>
        <w:t xml:space="preserve"> questions were lodged during the inquiry. </w:t>
      </w:r>
      <w:r w:rsidR="00147861">
        <w:rPr>
          <w:color w:val="auto"/>
        </w:rPr>
        <w:t>Thirty-one</w:t>
      </w:r>
      <w:r w:rsidRPr="0004476A">
        <w:rPr>
          <w:color w:val="auto"/>
        </w:rPr>
        <w:t xml:space="preserve"> questions were taken on notice by Ministers and statutory office holders during the hearings, and </w:t>
      </w:r>
      <w:r w:rsidR="00D67415">
        <w:rPr>
          <w:color w:val="auto"/>
        </w:rPr>
        <w:t>21</w:t>
      </w:r>
      <w:r>
        <w:rPr>
          <w:color w:val="auto"/>
        </w:rPr>
        <w:t xml:space="preserve"> </w:t>
      </w:r>
      <w:r w:rsidR="00D67415">
        <w:rPr>
          <w:color w:val="auto"/>
        </w:rPr>
        <w:t>Q</w:t>
      </w:r>
      <w:r w:rsidRPr="0004476A">
        <w:rPr>
          <w:color w:val="auto"/>
        </w:rPr>
        <w:t xml:space="preserve">uestions on </w:t>
      </w:r>
      <w:r w:rsidR="00D67415">
        <w:rPr>
          <w:color w:val="auto"/>
        </w:rPr>
        <w:t>N</w:t>
      </w:r>
      <w:r w:rsidRPr="0004476A">
        <w:rPr>
          <w:color w:val="auto"/>
        </w:rPr>
        <w:t>otice were submitted by Committee Members and visiting MLAs following the hearings.</w:t>
      </w:r>
    </w:p>
    <w:p w14:paraId="03D4EB52" w14:textId="5B999066" w:rsidR="00630A92" w:rsidRDefault="00630A92" w:rsidP="00630A92">
      <w:pPr>
        <w:pStyle w:val="ListNumber2"/>
        <w:rPr>
          <w:color w:val="auto"/>
        </w:rPr>
      </w:pPr>
      <w:r w:rsidRPr="0004476A">
        <w:rPr>
          <w:color w:val="auto"/>
        </w:rPr>
        <w:t xml:space="preserve">The list of </w:t>
      </w:r>
      <w:r w:rsidR="00B61BB2">
        <w:rPr>
          <w:color w:val="auto"/>
        </w:rPr>
        <w:t xml:space="preserve">questions lodged during the inquiry </w:t>
      </w:r>
      <w:r w:rsidRPr="0004476A">
        <w:rPr>
          <w:color w:val="auto"/>
        </w:rPr>
        <w:t xml:space="preserve">are available at </w:t>
      </w:r>
      <w:r w:rsidRPr="00B61BB2">
        <w:rPr>
          <w:b/>
          <w:bCs w:val="0"/>
          <w:color w:val="auto"/>
        </w:rPr>
        <w:t>Appendix B</w:t>
      </w:r>
      <w:r w:rsidRPr="0004476A">
        <w:rPr>
          <w:color w:val="auto"/>
        </w:rPr>
        <w:t>, an</w:t>
      </w:r>
      <w:r w:rsidR="00B61BB2">
        <w:rPr>
          <w:color w:val="auto"/>
        </w:rPr>
        <w:t xml:space="preserve">d all answers have been published on the inquiry </w:t>
      </w:r>
      <w:hyperlink r:id="rId20" w:anchor="tab2092222-4id" w:history="1">
        <w:r w:rsidR="00B61BB2" w:rsidRPr="00B61BB2">
          <w:rPr>
            <w:rStyle w:val="Hyperlink"/>
          </w:rPr>
          <w:t>website</w:t>
        </w:r>
      </w:hyperlink>
      <w:r w:rsidRPr="0004476A">
        <w:rPr>
          <w:color w:val="auto"/>
        </w:rPr>
        <w:t>.</w:t>
      </w:r>
    </w:p>
    <w:p w14:paraId="76C850D1" w14:textId="34224A3E" w:rsidR="005B5DE9" w:rsidRPr="00A93B60" w:rsidRDefault="005B5DE9" w:rsidP="005B5DE9">
      <w:pPr>
        <w:spacing w:line="259" w:lineRule="auto"/>
        <w:rPr>
          <w:rFonts w:cstheme="minorHAnsi"/>
          <w:bCs/>
          <w:color w:val="000000" w:themeColor="text1"/>
          <w:szCs w:val="20"/>
          <w:highlight w:val="yellow"/>
        </w:rPr>
      </w:pPr>
      <w:r>
        <w:br w:type="page"/>
      </w:r>
    </w:p>
    <w:p w14:paraId="238D549F" w14:textId="5AB0D7B6" w:rsidR="00B61BB2" w:rsidRPr="007761CF" w:rsidRDefault="00B61BB2" w:rsidP="00B61BB2">
      <w:pPr>
        <w:pStyle w:val="Heading1"/>
        <w:pageBreakBefore/>
      </w:pPr>
      <w:bookmarkStart w:id="18" w:name="_Toc119591058"/>
      <w:bookmarkStart w:id="19" w:name="_Toc129873696"/>
      <w:r>
        <w:lastRenderedPageBreak/>
        <w:t>Environment, Planning and Sustainable Development Directorate</w:t>
      </w:r>
      <w:bookmarkEnd w:id="19"/>
    </w:p>
    <w:p w14:paraId="6CDF39F9" w14:textId="0FF699B4" w:rsidR="004B7955" w:rsidRDefault="00B61BB2" w:rsidP="004B7955">
      <w:pPr>
        <w:pStyle w:val="ListNumber2"/>
        <w:rPr>
          <w:bdr w:val="nil"/>
        </w:rPr>
      </w:pPr>
      <w:r>
        <w:t>The Environment, Planning and Sustainable Development Directorate (EPSDD</w:t>
      </w:r>
      <w:r w:rsidRPr="004B7955">
        <w:rPr>
          <w:bdr w:val="nil"/>
        </w:rPr>
        <w:t xml:space="preserve">) </w:t>
      </w:r>
      <w:r w:rsidR="004B7955" w:rsidRPr="004B7955">
        <w:rPr>
          <w:bdr w:val="nil"/>
        </w:rPr>
        <w:t>delivers on the ACT Government’s key planning, land management, climate action and environment priorities through a wide range of policies and programs.</w:t>
      </w:r>
      <w:r w:rsidR="004B7955">
        <w:rPr>
          <w:rStyle w:val="FootnoteReference"/>
          <w:bdr w:val="nil"/>
        </w:rPr>
        <w:footnoteReference w:id="4"/>
      </w:r>
    </w:p>
    <w:p w14:paraId="2815A45D" w14:textId="6FE729A2" w:rsidR="004B7955" w:rsidRPr="004B7955" w:rsidRDefault="004B7955" w:rsidP="004B7955">
      <w:pPr>
        <w:pStyle w:val="ListNumber2"/>
        <w:rPr>
          <w:bdr w:val="nil"/>
        </w:rPr>
      </w:pPr>
      <w:r w:rsidRPr="004B7955">
        <w:rPr>
          <w:bdr w:val="nil"/>
        </w:rPr>
        <w:t>Responsibilities cover areas such as the built environment, land strategy, planning policy, urban renewal, building policy, development and leasing applications, environment, water policy, heritage, nature parks, nature conservation, climate change and energy.</w:t>
      </w:r>
      <w:r>
        <w:rPr>
          <w:rStyle w:val="FootnoteReference"/>
          <w:bdr w:val="nil"/>
        </w:rPr>
        <w:footnoteReference w:id="5"/>
      </w:r>
    </w:p>
    <w:p w14:paraId="7FF40B75" w14:textId="11AAADBC" w:rsidR="00B61BB2" w:rsidRPr="004B7955" w:rsidRDefault="004B7955" w:rsidP="004B7955">
      <w:pPr>
        <w:pStyle w:val="ListNumber2"/>
        <w:rPr>
          <w:bdr w:val="nil"/>
        </w:rPr>
      </w:pPr>
      <w:r w:rsidRPr="004B7955">
        <w:rPr>
          <w:bdr w:val="nil"/>
        </w:rPr>
        <w:t xml:space="preserve">The </w:t>
      </w:r>
      <w:r>
        <w:rPr>
          <w:bdr w:val="nil"/>
        </w:rPr>
        <w:t>EPSDD</w:t>
      </w:r>
      <w:r w:rsidRPr="004B7955">
        <w:rPr>
          <w:bdr w:val="nil"/>
        </w:rPr>
        <w:t xml:space="preserve"> also provides corporate and governance support for the Suburban Land Agency (SLA) and the City Renewal Authority (CRA). When considered together, the </w:t>
      </w:r>
      <w:r>
        <w:rPr>
          <w:bdr w:val="nil"/>
        </w:rPr>
        <w:t>ESPDD</w:t>
      </w:r>
      <w:r w:rsidRPr="004B7955">
        <w:rPr>
          <w:bdr w:val="nil"/>
        </w:rPr>
        <w:t>, SLA and CRA are referred to as the EPSDD Portfolio.</w:t>
      </w:r>
      <w:r>
        <w:rPr>
          <w:rStyle w:val="FootnoteReference"/>
          <w:bdr w:val="nil"/>
        </w:rPr>
        <w:footnoteReference w:id="6"/>
      </w:r>
    </w:p>
    <w:p w14:paraId="50689471" w14:textId="1ECE63F4" w:rsidR="00B61BB2" w:rsidRDefault="00B61BB2" w:rsidP="00B61BB2">
      <w:pPr>
        <w:pStyle w:val="Heading2"/>
      </w:pPr>
      <w:bookmarkStart w:id="20" w:name="_Toc129873697"/>
      <w:r>
        <w:t>Minister for Planning and Land Management</w:t>
      </w:r>
      <w:r w:rsidR="0011205B">
        <w:t>—Administrative arrangements</w:t>
      </w:r>
      <w:bookmarkEnd w:id="20"/>
    </w:p>
    <w:p w14:paraId="71B23FF1" w14:textId="145BFE6D" w:rsidR="009A3435" w:rsidRDefault="009A3435" w:rsidP="009A3435">
      <w:pPr>
        <w:pStyle w:val="ListNumber2"/>
      </w:pPr>
      <w:r>
        <w:t xml:space="preserve">The areas of responsibility covered by the Minister for Planning and Land Management </w:t>
      </w:r>
      <w:r w:rsidR="004B7955">
        <w:t xml:space="preserve">with EPSDD </w:t>
      </w:r>
      <w:r>
        <w:t>are:</w:t>
      </w:r>
    </w:p>
    <w:p w14:paraId="6EDD5C28" w14:textId="708FBA97" w:rsidR="009A3435" w:rsidRDefault="004B7955" w:rsidP="009A3435">
      <w:pPr>
        <w:pStyle w:val="ListBullet"/>
        <w:tabs>
          <w:tab w:val="clear" w:pos="360"/>
        </w:tabs>
        <w:ind w:hanging="340"/>
      </w:pPr>
      <w:r>
        <w:t>Government Architect;</w:t>
      </w:r>
    </w:p>
    <w:p w14:paraId="54F63694" w14:textId="150C0650" w:rsidR="004B7955" w:rsidRDefault="004B7955" w:rsidP="009A3435">
      <w:pPr>
        <w:pStyle w:val="ListBullet"/>
        <w:tabs>
          <w:tab w:val="clear" w:pos="360"/>
        </w:tabs>
        <w:ind w:hanging="340"/>
      </w:pPr>
      <w:r>
        <w:t>Land release policy (including the land release program);</w:t>
      </w:r>
    </w:p>
    <w:p w14:paraId="095AD5A0" w14:textId="2841FED8" w:rsidR="004B7955" w:rsidRDefault="004B7955" w:rsidP="009A3435">
      <w:pPr>
        <w:pStyle w:val="ListBullet"/>
        <w:tabs>
          <w:tab w:val="clear" w:pos="360"/>
        </w:tabs>
        <w:ind w:hanging="340"/>
      </w:pPr>
      <w:r>
        <w:t>Parks and Conservation;</w:t>
      </w:r>
    </w:p>
    <w:p w14:paraId="06DA7DC9" w14:textId="5114BA87" w:rsidR="004B7955" w:rsidRDefault="004B7955" w:rsidP="009A3435">
      <w:pPr>
        <w:pStyle w:val="ListBullet"/>
        <w:tabs>
          <w:tab w:val="clear" w:pos="360"/>
        </w:tabs>
        <w:ind w:hanging="340"/>
      </w:pPr>
      <w:r>
        <w:t>Planning and development;</w:t>
      </w:r>
    </w:p>
    <w:p w14:paraId="2344AFBA" w14:textId="389F69F8" w:rsidR="004B7955" w:rsidRDefault="004B7955" w:rsidP="009A3435">
      <w:pPr>
        <w:pStyle w:val="ListBullet"/>
        <w:tabs>
          <w:tab w:val="clear" w:pos="360"/>
        </w:tabs>
        <w:ind w:hanging="340"/>
      </w:pPr>
      <w:r>
        <w:t>Planning and development enforcement policy;</w:t>
      </w:r>
    </w:p>
    <w:p w14:paraId="56B12689" w14:textId="3D701992" w:rsidR="004B7955" w:rsidRDefault="004B7955" w:rsidP="009A3435">
      <w:pPr>
        <w:pStyle w:val="ListBullet"/>
        <w:tabs>
          <w:tab w:val="clear" w:pos="360"/>
        </w:tabs>
        <w:ind w:hanging="340"/>
      </w:pPr>
      <w:r>
        <w:t>Site identification and facilitation for major land and property projects;</w:t>
      </w:r>
    </w:p>
    <w:p w14:paraId="1091DB45" w14:textId="1C60AE18" w:rsidR="004B7955" w:rsidRDefault="004B7955" w:rsidP="009A3435">
      <w:pPr>
        <w:pStyle w:val="ListBullet"/>
        <w:tabs>
          <w:tab w:val="clear" w:pos="360"/>
        </w:tabs>
        <w:ind w:hanging="340"/>
      </w:pPr>
      <w:r>
        <w:t>Strategic land use; and</w:t>
      </w:r>
    </w:p>
    <w:p w14:paraId="4403923B" w14:textId="5111A84C" w:rsidR="004B7955" w:rsidRDefault="004B7955" w:rsidP="009A3435">
      <w:pPr>
        <w:pStyle w:val="ListBullet"/>
        <w:tabs>
          <w:tab w:val="clear" w:pos="360"/>
        </w:tabs>
        <w:ind w:hanging="340"/>
      </w:pPr>
      <w:r>
        <w:t>Survey and leasing.</w:t>
      </w:r>
      <w:r>
        <w:rPr>
          <w:rStyle w:val="FootnoteReference"/>
        </w:rPr>
        <w:footnoteReference w:id="7"/>
      </w:r>
    </w:p>
    <w:p w14:paraId="7C2676B9" w14:textId="0A29DA04" w:rsidR="004C4495" w:rsidRDefault="004C4495" w:rsidP="004C4495">
      <w:pPr>
        <w:pStyle w:val="ListNumber2"/>
      </w:pPr>
      <w:r>
        <w:t>The areas of responsibility covered by the Minister for Planning and Land Management with CMTEDD are:</w:t>
      </w:r>
    </w:p>
    <w:p w14:paraId="0CB83431" w14:textId="7EC1447F" w:rsidR="004C4495" w:rsidRDefault="004C4495" w:rsidP="004C4495">
      <w:pPr>
        <w:pStyle w:val="ListBullet"/>
        <w:tabs>
          <w:tab w:val="clear" w:pos="360"/>
        </w:tabs>
        <w:ind w:hanging="340"/>
      </w:pPr>
      <w:r>
        <w:t>Access Canberra (only in relation to planning, development, land and lease regulation); and</w:t>
      </w:r>
    </w:p>
    <w:p w14:paraId="576DAF9A" w14:textId="33B334E2" w:rsidR="004C4495" w:rsidRDefault="004C4495" w:rsidP="004C4495">
      <w:pPr>
        <w:pStyle w:val="ListBullet"/>
        <w:tabs>
          <w:tab w:val="clear" w:pos="360"/>
        </w:tabs>
        <w:ind w:hanging="340"/>
      </w:pPr>
      <w:r>
        <w:t>Planning, development, land and lease regulation.</w:t>
      </w:r>
      <w:r>
        <w:rPr>
          <w:rStyle w:val="FootnoteReference"/>
        </w:rPr>
        <w:footnoteReference w:id="8"/>
      </w:r>
    </w:p>
    <w:p w14:paraId="1559FF93" w14:textId="41D888D2" w:rsidR="009002A8" w:rsidRPr="00AD5C04" w:rsidRDefault="009002A8" w:rsidP="009002A8">
      <w:pPr>
        <w:pStyle w:val="Heading3"/>
      </w:pPr>
      <w:bookmarkStart w:id="21" w:name="_Toc129873698"/>
      <w:r w:rsidRPr="00AD5C04">
        <w:lastRenderedPageBreak/>
        <w:t>Matters considered</w:t>
      </w:r>
      <w:r w:rsidR="005E6330">
        <w:t xml:space="preserve"> </w:t>
      </w:r>
      <w:r w:rsidR="005E6330">
        <w:softHyphen/>
      </w:r>
      <w:r w:rsidR="005E6330">
        <w:softHyphen/>
        <w:t>– Session 1</w:t>
      </w:r>
      <w:bookmarkEnd w:id="21"/>
    </w:p>
    <w:p w14:paraId="38AE5FC1" w14:textId="4076A5EE" w:rsidR="009002A8" w:rsidRDefault="009002A8" w:rsidP="004C4495">
      <w:pPr>
        <w:pStyle w:val="ListNumber2"/>
      </w:pPr>
      <w:r w:rsidRPr="00C04DBC">
        <w:t xml:space="preserve">During the </w:t>
      </w:r>
      <w:r>
        <w:t>Minister for Planning and Land Management’s</w:t>
      </w:r>
      <w:r w:rsidRPr="00C04DBC">
        <w:t xml:space="preserve"> appearance before the Committee on </w:t>
      </w:r>
      <w:r>
        <w:t>31 October</w:t>
      </w:r>
      <w:r w:rsidRPr="00C04DBC">
        <w:t xml:space="preserve"> 2022</w:t>
      </w:r>
      <w:r w:rsidR="005E6330">
        <w:t xml:space="preserve"> (Session 1)</w:t>
      </w:r>
      <w:r>
        <w:t>,</w:t>
      </w:r>
      <w:r w:rsidRPr="00C04DBC">
        <w:t xml:space="preserve"> the following matters were considered</w:t>
      </w:r>
      <w:r>
        <w:t>:</w:t>
      </w:r>
    </w:p>
    <w:p w14:paraId="27E7EC46" w14:textId="623F4122" w:rsidR="00B61BB2" w:rsidRDefault="00147861" w:rsidP="00B65DF0">
      <w:pPr>
        <w:pStyle w:val="ListBullet2"/>
      </w:pPr>
      <w:r>
        <w:t>Development Applications (DAs)</w:t>
      </w:r>
      <w:r w:rsidR="00B61BB2">
        <w:t>;</w:t>
      </w:r>
      <w:r>
        <w:rPr>
          <w:rStyle w:val="FootnoteReference"/>
        </w:rPr>
        <w:footnoteReference w:id="9"/>
      </w:r>
    </w:p>
    <w:p w14:paraId="2FB2B136" w14:textId="4B18D642" w:rsidR="00147861" w:rsidRDefault="00147861" w:rsidP="00B65DF0">
      <w:pPr>
        <w:pStyle w:val="ListBullet2"/>
      </w:pPr>
      <w:r>
        <w:t>Planning System Review and Reform Project;</w:t>
      </w:r>
      <w:r>
        <w:rPr>
          <w:rStyle w:val="FootnoteReference"/>
        </w:rPr>
        <w:footnoteReference w:id="10"/>
      </w:r>
    </w:p>
    <w:p w14:paraId="12E085A2" w14:textId="44267BE7" w:rsidR="00147861" w:rsidRDefault="00147861" w:rsidP="00B65DF0">
      <w:pPr>
        <w:pStyle w:val="ListBullet2"/>
      </w:pPr>
      <w:r>
        <w:t>Territory Plan and District Strategies;</w:t>
      </w:r>
      <w:r>
        <w:rPr>
          <w:rStyle w:val="FootnoteReference"/>
        </w:rPr>
        <w:footnoteReference w:id="11"/>
      </w:r>
    </w:p>
    <w:p w14:paraId="136C2470" w14:textId="0955049D" w:rsidR="00147861" w:rsidRDefault="009527E0" w:rsidP="00B65DF0">
      <w:pPr>
        <w:pStyle w:val="ListBullet2"/>
      </w:pPr>
      <w:r>
        <w:t>Indicative Land Release Program (ILRP);</w:t>
      </w:r>
      <w:r>
        <w:rPr>
          <w:rStyle w:val="FootnoteReference"/>
        </w:rPr>
        <w:footnoteReference w:id="12"/>
      </w:r>
    </w:p>
    <w:p w14:paraId="41C161C9" w14:textId="14A73D19" w:rsidR="009527E0" w:rsidRDefault="00B62883" w:rsidP="00B65DF0">
      <w:pPr>
        <w:pStyle w:val="ListBullet2"/>
      </w:pPr>
      <w:r>
        <w:t>Delivery of affordable dwellings</w:t>
      </w:r>
      <w:r>
        <w:rPr>
          <w:rStyle w:val="FootnoteReference"/>
        </w:rPr>
        <w:footnoteReference w:id="13"/>
      </w:r>
      <w:r w:rsidR="000C58FD">
        <w:t xml:space="preserve"> and housing affordability;</w:t>
      </w:r>
      <w:r w:rsidR="009002A8">
        <w:rPr>
          <w:rStyle w:val="FootnoteReference"/>
        </w:rPr>
        <w:footnoteReference w:id="14"/>
      </w:r>
    </w:p>
    <w:p w14:paraId="5726D342" w14:textId="59E2B4E4" w:rsidR="00235E54" w:rsidRDefault="009002A8" w:rsidP="00B65DF0">
      <w:pPr>
        <w:pStyle w:val="ListBullet2"/>
      </w:pPr>
      <w:r>
        <w:t>DA decision-making process;</w:t>
      </w:r>
      <w:r>
        <w:rPr>
          <w:rStyle w:val="FootnoteReference"/>
        </w:rPr>
        <w:footnoteReference w:id="15"/>
      </w:r>
    </w:p>
    <w:p w14:paraId="753FF090" w14:textId="12B8A350" w:rsidR="00B62883" w:rsidRDefault="00B62883" w:rsidP="00B65DF0">
      <w:pPr>
        <w:pStyle w:val="ListBullet2"/>
      </w:pPr>
      <w:r>
        <w:t>Staff qualifications;</w:t>
      </w:r>
      <w:r>
        <w:rPr>
          <w:rStyle w:val="FootnoteReference"/>
        </w:rPr>
        <w:footnoteReference w:id="16"/>
      </w:r>
    </w:p>
    <w:p w14:paraId="5FF9DB30" w14:textId="325218AF" w:rsidR="009002A8" w:rsidRDefault="009002A8" w:rsidP="00B65DF0">
      <w:pPr>
        <w:pStyle w:val="ListBullet2"/>
      </w:pPr>
      <w:r>
        <w:t>Registered degrees;</w:t>
      </w:r>
      <w:r>
        <w:rPr>
          <w:rStyle w:val="FootnoteReference"/>
        </w:rPr>
        <w:footnoteReference w:id="17"/>
      </w:r>
    </w:p>
    <w:p w14:paraId="1289C319" w14:textId="77882B04" w:rsidR="00B62883" w:rsidRDefault="00B62883" w:rsidP="00B65DF0">
      <w:pPr>
        <w:pStyle w:val="ListBullet2"/>
      </w:pPr>
      <w:r>
        <w:t>Human resources and staffing;</w:t>
      </w:r>
      <w:r>
        <w:rPr>
          <w:rStyle w:val="FootnoteReference"/>
        </w:rPr>
        <w:footnoteReference w:id="18"/>
      </w:r>
    </w:p>
    <w:p w14:paraId="08D35567" w14:textId="5649811B" w:rsidR="009002A8" w:rsidRDefault="009002A8" w:rsidP="00B65DF0">
      <w:pPr>
        <w:pStyle w:val="ListBullet2"/>
      </w:pPr>
      <w:r>
        <w:t>Unit Titles Reform Project;</w:t>
      </w:r>
      <w:r>
        <w:rPr>
          <w:rStyle w:val="FootnoteReference"/>
        </w:rPr>
        <w:footnoteReference w:id="19"/>
      </w:r>
    </w:p>
    <w:p w14:paraId="4FAED8C1" w14:textId="37918FC5" w:rsidR="009002A8" w:rsidRDefault="00B62883" w:rsidP="00B65DF0">
      <w:pPr>
        <w:pStyle w:val="ListBullet2"/>
      </w:pPr>
      <w:r>
        <w:t>DA assessment timeframes;</w:t>
      </w:r>
      <w:r>
        <w:rPr>
          <w:rStyle w:val="FootnoteReference"/>
        </w:rPr>
        <w:footnoteReference w:id="20"/>
      </w:r>
    </w:p>
    <w:p w14:paraId="66454FEE" w14:textId="74C73F09" w:rsidR="00B62883" w:rsidRDefault="00B62883" w:rsidP="00B65DF0">
      <w:pPr>
        <w:pStyle w:val="ListBullet2"/>
      </w:pPr>
      <w:r>
        <w:t>Western Edge</w:t>
      </w:r>
      <w:r>
        <w:rPr>
          <w:rStyle w:val="FootnoteReference"/>
        </w:rPr>
        <w:footnoteReference w:id="21"/>
      </w:r>
      <w:r w:rsidR="000C58FD">
        <w:t xml:space="preserve"> and Western Edge investigation studies;</w:t>
      </w:r>
      <w:r w:rsidR="000C58FD">
        <w:rPr>
          <w:rStyle w:val="FootnoteReference"/>
        </w:rPr>
        <w:footnoteReference w:id="22"/>
      </w:r>
    </w:p>
    <w:p w14:paraId="4806ACBB" w14:textId="40007518" w:rsidR="00B62883" w:rsidRDefault="00B62883" w:rsidP="00B65DF0">
      <w:pPr>
        <w:pStyle w:val="ListBullet2"/>
      </w:pPr>
      <w:r>
        <w:t>Private leaseholders;</w:t>
      </w:r>
      <w:r>
        <w:rPr>
          <w:rStyle w:val="FootnoteReference"/>
        </w:rPr>
        <w:footnoteReference w:id="23"/>
      </w:r>
    </w:p>
    <w:p w14:paraId="6C98E7DE" w14:textId="40BBA520" w:rsidR="00B62883" w:rsidRDefault="00B62883" w:rsidP="00B65DF0">
      <w:pPr>
        <w:pStyle w:val="ListBullet2"/>
      </w:pPr>
      <w:r>
        <w:t>Environmental assessments;</w:t>
      </w:r>
      <w:r>
        <w:rPr>
          <w:rStyle w:val="FootnoteReference"/>
        </w:rPr>
        <w:footnoteReference w:id="24"/>
      </w:r>
    </w:p>
    <w:p w14:paraId="79BA96FC" w14:textId="5CB299AF" w:rsidR="000C58FD" w:rsidRDefault="000C58FD" w:rsidP="00B65DF0">
      <w:pPr>
        <w:pStyle w:val="ListBullet2"/>
      </w:pPr>
      <w:r>
        <w:t>Gungahlin Community Centre feasibility study;</w:t>
      </w:r>
      <w:r>
        <w:rPr>
          <w:rStyle w:val="FootnoteReference"/>
        </w:rPr>
        <w:footnoteReference w:id="25"/>
      </w:r>
    </w:p>
    <w:p w14:paraId="4ABEAFE8" w14:textId="63440821" w:rsidR="000C58FD" w:rsidRDefault="000C58FD" w:rsidP="00B65DF0">
      <w:pPr>
        <w:pStyle w:val="ListBullet2"/>
      </w:pPr>
      <w:r>
        <w:t>Planning Bill 2022;</w:t>
      </w:r>
      <w:r>
        <w:rPr>
          <w:rStyle w:val="FootnoteReference"/>
        </w:rPr>
        <w:footnoteReference w:id="26"/>
      </w:r>
    </w:p>
    <w:p w14:paraId="418F760A" w14:textId="45181FE9" w:rsidR="000C58FD" w:rsidRDefault="000C58FD" w:rsidP="00B65DF0">
      <w:pPr>
        <w:pStyle w:val="ListBullet2"/>
      </w:pPr>
      <w:r>
        <w:lastRenderedPageBreak/>
        <w:t>Community engagement practices</w:t>
      </w:r>
      <w:r>
        <w:rPr>
          <w:rStyle w:val="FootnoteReference"/>
        </w:rPr>
        <w:footnoteReference w:id="27"/>
      </w:r>
      <w:r>
        <w:t xml:space="preserve"> and strategy;</w:t>
      </w:r>
      <w:r>
        <w:rPr>
          <w:rStyle w:val="FootnoteReference"/>
        </w:rPr>
        <w:footnoteReference w:id="28"/>
      </w:r>
      <w:r>
        <w:t xml:space="preserve"> and</w:t>
      </w:r>
    </w:p>
    <w:p w14:paraId="750BDEB7" w14:textId="3BC84CD5" w:rsidR="000C58FD" w:rsidRDefault="000C58FD" w:rsidP="00B65DF0">
      <w:pPr>
        <w:pStyle w:val="ListBullet2"/>
      </w:pPr>
      <w:r>
        <w:t>DA finder app.</w:t>
      </w:r>
      <w:r>
        <w:rPr>
          <w:rStyle w:val="FootnoteReference"/>
        </w:rPr>
        <w:footnoteReference w:id="29"/>
      </w:r>
    </w:p>
    <w:p w14:paraId="1434C81F" w14:textId="77777777" w:rsidR="00220A90" w:rsidRDefault="00220A90" w:rsidP="00220A90">
      <w:pPr>
        <w:pStyle w:val="Heading3"/>
      </w:pPr>
      <w:bookmarkStart w:id="22" w:name="_Toc129873699"/>
      <w:r w:rsidRPr="00AD5C04">
        <w:t>Key Issues</w:t>
      </w:r>
      <w:bookmarkEnd w:id="22"/>
    </w:p>
    <w:p w14:paraId="47EE08E8" w14:textId="79EDEA2B" w:rsidR="00220A90" w:rsidRPr="00AD5C04" w:rsidRDefault="00E367DE" w:rsidP="00220A90">
      <w:pPr>
        <w:pStyle w:val="Heading4"/>
      </w:pPr>
      <w:r>
        <w:t>Western Edge</w:t>
      </w:r>
    </w:p>
    <w:p w14:paraId="350FA0AD" w14:textId="5E5635C1" w:rsidR="00642E00" w:rsidRDefault="0052323D" w:rsidP="00642E00">
      <w:pPr>
        <w:pStyle w:val="ListNumber2"/>
      </w:pPr>
      <w:r w:rsidRPr="0052323D">
        <w:t xml:space="preserve">The Western Edge investigation area is approximately 9,800 hectares </w:t>
      </w:r>
      <w:r w:rsidR="00116D09">
        <w:t>and</w:t>
      </w:r>
      <w:r w:rsidRPr="0052323D">
        <w:t xml:space="preserve"> is bordered by the Murrumbidgee River and the existing urban areas of Weston Creek, Molonglo Valley</w:t>
      </w:r>
      <w:r w:rsidR="00116D09">
        <w:t>,</w:t>
      </w:r>
      <w:r w:rsidRPr="0052323D">
        <w:t xml:space="preserve"> and Belconnen, as shown on the map below</w:t>
      </w:r>
      <w:r w:rsidR="002C5DED">
        <w:t>:</w:t>
      </w:r>
      <w:r w:rsidR="002C5DED">
        <w:rPr>
          <w:rStyle w:val="FootnoteReference"/>
        </w:rPr>
        <w:footnoteReference w:id="30"/>
      </w:r>
    </w:p>
    <w:p w14:paraId="22BB221B" w14:textId="2EB4C6FA" w:rsidR="00D005E0" w:rsidRDefault="00D005E0" w:rsidP="00CD75F9">
      <w:pPr>
        <w:pStyle w:val="Bodycopy"/>
      </w:pPr>
      <w:r>
        <w:rPr>
          <w:noProof/>
        </w:rPr>
        <w:drawing>
          <wp:anchor distT="0" distB="0" distL="114300" distR="114300" simplePos="0" relativeHeight="251658240" behindDoc="0" locked="0" layoutInCell="1" allowOverlap="1" wp14:anchorId="72750FA3" wp14:editId="0CB9E5DB">
            <wp:simplePos x="0" y="0"/>
            <wp:positionH relativeFrom="column">
              <wp:posOffset>542925</wp:posOffset>
            </wp:positionH>
            <wp:positionV relativeFrom="paragraph">
              <wp:posOffset>24765</wp:posOffset>
            </wp:positionV>
            <wp:extent cx="3981450" cy="52774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81450" cy="52774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422EC6" w14:textId="1095BFFA" w:rsidR="00D005E0" w:rsidRDefault="00D005E0" w:rsidP="00D005E0">
      <w:pPr>
        <w:pStyle w:val="ListNumber2"/>
        <w:numPr>
          <w:ilvl w:val="0"/>
          <w:numId w:val="0"/>
        </w:numPr>
        <w:ind w:left="851"/>
      </w:pPr>
    </w:p>
    <w:p w14:paraId="5BF295E9" w14:textId="7CDAB88E" w:rsidR="00D005E0" w:rsidRDefault="00D005E0" w:rsidP="00D005E0">
      <w:pPr>
        <w:pStyle w:val="ListNumber2"/>
        <w:numPr>
          <w:ilvl w:val="0"/>
          <w:numId w:val="0"/>
        </w:numPr>
        <w:ind w:left="851"/>
      </w:pPr>
    </w:p>
    <w:p w14:paraId="6DE714FF" w14:textId="09FFB9F7" w:rsidR="00D005E0" w:rsidRDefault="00D005E0" w:rsidP="00D005E0">
      <w:pPr>
        <w:pStyle w:val="ListNumber2"/>
        <w:numPr>
          <w:ilvl w:val="0"/>
          <w:numId w:val="0"/>
        </w:numPr>
        <w:ind w:left="851"/>
      </w:pPr>
    </w:p>
    <w:p w14:paraId="328DFFB0" w14:textId="2A4503DF" w:rsidR="00D005E0" w:rsidRDefault="00D005E0" w:rsidP="00D005E0">
      <w:pPr>
        <w:pStyle w:val="ListNumber2"/>
        <w:numPr>
          <w:ilvl w:val="0"/>
          <w:numId w:val="0"/>
        </w:numPr>
        <w:ind w:left="851"/>
      </w:pPr>
    </w:p>
    <w:p w14:paraId="34B24D3E" w14:textId="34704732" w:rsidR="00D005E0" w:rsidRDefault="00D005E0" w:rsidP="00D005E0">
      <w:pPr>
        <w:pStyle w:val="ListNumber2"/>
        <w:numPr>
          <w:ilvl w:val="0"/>
          <w:numId w:val="0"/>
        </w:numPr>
        <w:ind w:left="851"/>
      </w:pPr>
    </w:p>
    <w:p w14:paraId="5268155E" w14:textId="707A7B8C" w:rsidR="00D005E0" w:rsidRDefault="00D005E0" w:rsidP="00D005E0">
      <w:pPr>
        <w:pStyle w:val="ListNumber2"/>
        <w:numPr>
          <w:ilvl w:val="0"/>
          <w:numId w:val="0"/>
        </w:numPr>
        <w:ind w:left="851"/>
      </w:pPr>
    </w:p>
    <w:p w14:paraId="25E2A45E" w14:textId="59942C06" w:rsidR="00D005E0" w:rsidRDefault="00D005E0" w:rsidP="00D005E0">
      <w:pPr>
        <w:pStyle w:val="ListNumber2"/>
        <w:numPr>
          <w:ilvl w:val="0"/>
          <w:numId w:val="0"/>
        </w:numPr>
        <w:ind w:left="851"/>
      </w:pPr>
    </w:p>
    <w:p w14:paraId="2469C72F" w14:textId="453B0C2E" w:rsidR="00D005E0" w:rsidRDefault="00D005E0" w:rsidP="00D005E0">
      <w:pPr>
        <w:pStyle w:val="ListNumber2"/>
        <w:numPr>
          <w:ilvl w:val="0"/>
          <w:numId w:val="0"/>
        </w:numPr>
        <w:ind w:left="851"/>
      </w:pPr>
    </w:p>
    <w:p w14:paraId="054F0772" w14:textId="1CF5D3CF" w:rsidR="00D005E0" w:rsidRDefault="00D005E0" w:rsidP="00D005E0">
      <w:pPr>
        <w:pStyle w:val="ListNumber2"/>
        <w:numPr>
          <w:ilvl w:val="0"/>
          <w:numId w:val="0"/>
        </w:numPr>
        <w:ind w:left="851"/>
      </w:pPr>
    </w:p>
    <w:p w14:paraId="1DCB7B7A" w14:textId="0471F3FD" w:rsidR="00D005E0" w:rsidRDefault="00D005E0" w:rsidP="00D005E0">
      <w:pPr>
        <w:pStyle w:val="ListNumber2"/>
        <w:numPr>
          <w:ilvl w:val="0"/>
          <w:numId w:val="0"/>
        </w:numPr>
        <w:ind w:left="851"/>
      </w:pPr>
    </w:p>
    <w:p w14:paraId="22A9E330" w14:textId="4050250F" w:rsidR="00D005E0" w:rsidRDefault="00D005E0" w:rsidP="00D005E0">
      <w:pPr>
        <w:pStyle w:val="ListNumber2"/>
        <w:numPr>
          <w:ilvl w:val="0"/>
          <w:numId w:val="0"/>
        </w:numPr>
        <w:ind w:left="851"/>
      </w:pPr>
    </w:p>
    <w:p w14:paraId="0C4A965B" w14:textId="312A2F7D" w:rsidR="00D005E0" w:rsidRDefault="00D005E0" w:rsidP="00D005E0">
      <w:pPr>
        <w:pStyle w:val="ListNumber2"/>
        <w:numPr>
          <w:ilvl w:val="0"/>
          <w:numId w:val="0"/>
        </w:numPr>
        <w:ind w:left="851"/>
      </w:pPr>
    </w:p>
    <w:p w14:paraId="1E8DDC54" w14:textId="13274185" w:rsidR="00D005E0" w:rsidRDefault="00D005E0" w:rsidP="00D005E0">
      <w:pPr>
        <w:pStyle w:val="ListNumber2"/>
        <w:numPr>
          <w:ilvl w:val="0"/>
          <w:numId w:val="0"/>
        </w:numPr>
        <w:ind w:left="851"/>
      </w:pPr>
    </w:p>
    <w:p w14:paraId="64094DED" w14:textId="6B511093" w:rsidR="00D005E0" w:rsidRDefault="00116D09" w:rsidP="00D005E0">
      <w:pPr>
        <w:pStyle w:val="ListNumber2"/>
        <w:numPr>
          <w:ilvl w:val="0"/>
          <w:numId w:val="0"/>
        </w:numPr>
        <w:ind w:left="851"/>
      </w:pPr>
      <w:r>
        <w:rPr>
          <w:noProof/>
        </w:rPr>
        <mc:AlternateContent>
          <mc:Choice Requires="wps">
            <w:drawing>
              <wp:anchor distT="0" distB="0" distL="114300" distR="114300" simplePos="0" relativeHeight="251659264" behindDoc="0" locked="0" layoutInCell="1" allowOverlap="1" wp14:anchorId="1FF5B703" wp14:editId="7EDB0338">
                <wp:simplePos x="0" y="0"/>
                <wp:positionH relativeFrom="column">
                  <wp:posOffset>394970</wp:posOffset>
                </wp:positionH>
                <wp:positionV relativeFrom="paragraph">
                  <wp:posOffset>43180</wp:posOffset>
                </wp:positionV>
                <wp:extent cx="1630907" cy="566382"/>
                <wp:effectExtent l="0" t="0" r="0" b="0"/>
                <wp:wrapNone/>
                <wp:docPr id="6" name="Minus Sign 6"/>
                <wp:cNvGraphicFramePr/>
                <a:graphic xmlns:a="http://schemas.openxmlformats.org/drawingml/2006/main">
                  <a:graphicData uri="http://schemas.microsoft.com/office/word/2010/wordprocessingShape">
                    <wps:wsp>
                      <wps:cNvSpPr/>
                      <wps:spPr>
                        <a:xfrm>
                          <a:off x="0" y="0"/>
                          <a:ext cx="1630907" cy="566382"/>
                        </a:xfrm>
                        <a:prstGeom prst="mathMinus">
                          <a:avLst/>
                        </a:prstGeom>
                        <a:noFill/>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157D84" id="Minus Sign 6" o:spid="_x0000_s1026" style="position:absolute;margin-left:31.1pt;margin-top:3.4pt;width:128.4pt;height:44.6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630907,56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" path="m216177,216584r1198553,l1414730,349798r-1198553,l216177,216584xe" filled="f" strokecolor="#7f5f00 [1607]" strokeweight="1pt">
                <v:stroke joinstyle="miter"/>
                <v:path arrowok="t" o:connecttype="custom" o:connectlocs="216177,216584;1414730,216584;1414730,349798;216177,349798;216177,216584" o:connectangles="0,0,0,0,0"/>
              </v:shape>
            </w:pict>
          </mc:Fallback>
        </mc:AlternateContent>
      </w:r>
    </w:p>
    <w:p w14:paraId="6F8DA05C" w14:textId="44A8C48C" w:rsidR="00D005E0" w:rsidRDefault="00D005E0" w:rsidP="00D005E0">
      <w:pPr>
        <w:pStyle w:val="ListNumber2"/>
        <w:numPr>
          <w:ilvl w:val="0"/>
          <w:numId w:val="0"/>
        </w:numPr>
        <w:ind w:left="851"/>
      </w:pPr>
    </w:p>
    <w:p w14:paraId="1988F598" w14:textId="7F1BAF6D" w:rsidR="00D005E0" w:rsidRDefault="00D005E0" w:rsidP="00D005E0">
      <w:pPr>
        <w:pStyle w:val="ListNumber2"/>
        <w:numPr>
          <w:ilvl w:val="0"/>
          <w:numId w:val="0"/>
        </w:numPr>
        <w:ind w:left="851"/>
      </w:pPr>
    </w:p>
    <w:p w14:paraId="6425F516" w14:textId="65109CC2" w:rsidR="00D005E0" w:rsidRDefault="00D005E0" w:rsidP="00D005E0">
      <w:pPr>
        <w:pStyle w:val="ListNumber2"/>
        <w:numPr>
          <w:ilvl w:val="0"/>
          <w:numId w:val="0"/>
        </w:numPr>
        <w:ind w:left="851"/>
      </w:pPr>
    </w:p>
    <w:p w14:paraId="495AA67A" w14:textId="77777777" w:rsidR="00D005E0" w:rsidRPr="00D005E0" w:rsidRDefault="00D005E0" w:rsidP="00D005E0">
      <w:pPr>
        <w:pStyle w:val="ListNumber2"/>
        <w:numPr>
          <w:ilvl w:val="0"/>
          <w:numId w:val="0"/>
        </w:numPr>
        <w:ind w:left="851"/>
      </w:pPr>
    </w:p>
    <w:p w14:paraId="16F29BD7" w14:textId="50671EC9" w:rsidR="0052323D" w:rsidRDefault="00D005E0" w:rsidP="00D005E0">
      <w:pPr>
        <w:pStyle w:val="Caption"/>
      </w:pPr>
      <w:r>
        <w:t xml:space="preserve">[Figure 1: </w:t>
      </w:r>
      <w:r w:rsidR="00116D09">
        <w:t xml:space="preserve">ACT Government, </w:t>
      </w:r>
      <w:hyperlink r:id="rId22" w:history="1">
        <w:r w:rsidR="00116D09" w:rsidRPr="00116D09">
          <w:rPr>
            <w:rStyle w:val="Hyperlink"/>
            <w:i/>
            <w:iCs w:val="0"/>
          </w:rPr>
          <w:t>2018 ACT Planning Strategy – Growth Map</w:t>
        </w:r>
      </w:hyperlink>
      <w:r w:rsidR="00116D09">
        <w:t xml:space="preserve">, 5 December 2018] </w:t>
      </w:r>
    </w:p>
    <w:p w14:paraId="63040622" w14:textId="4E36C759" w:rsidR="00D005E0" w:rsidRDefault="002C5DED" w:rsidP="002C5DED">
      <w:pPr>
        <w:pStyle w:val="ListNumber2"/>
      </w:pPr>
      <w:r>
        <w:lastRenderedPageBreak/>
        <w:t>According to the EPSDD’s Annual and Financial Report 2021-22, one of the priorities during 2022-23 for the Directorate will be to continue the preliminary studies on the Western Edge, with a focus on the capability and suitability assessment, ecological habitat survey, and cultural values assessment.</w:t>
      </w:r>
      <w:r w:rsidR="00670DF4">
        <w:rPr>
          <w:rStyle w:val="FootnoteReference"/>
        </w:rPr>
        <w:footnoteReference w:id="31"/>
      </w:r>
    </w:p>
    <w:p w14:paraId="784537A6" w14:textId="52136629" w:rsidR="00670DF4" w:rsidRDefault="002C5DED" w:rsidP="002C5DED">
      <w:pPr>
        <w:pStyle w:val="ListNumber2"/>
      </w:pPr>
      <w:r>
        <w:t xml:space="preserve">The Committee asked the </w:t>
      </w:r>
      <w:r w:rsidR="00670DF4">
        <w:t>Minister for Planning and Land Management how the ACT Government will take into account the cumulative environmental impacts at the Western Edge since investigations are still ongoing, especially in relation to private landholders.</w:t>
      </w:r>
      <w:r w:rsidR="00645FFF">
        <w:rPr>
          <w:rStyle w:val="FootnoteReference"/>
        </w:rPr>
        <w:footnoteReference w:id="32"/>
      </w:r>
    </w:p>
    <w:p w14:paraId="1CCBC592" w14:textId="3C5F940E" w:rsidR="002B529E" w:rsidRDefault="002B529E" w:rsidP="002C5DED">
      <w:pPr>
        <w:pStyle w:val="ListNumber2"/>
      </w:pPr>
      <w:r>
        <w:t>Mr Mick Gentleman MLA, Minister for Planning and Land Management, responded:</w:t>
      </w:r>
    </w:p>
    <w:p w14:paraId="55FD9436" w14:textId="3A069F34" w:rsidR="002B529E" w:rsidRDefault="002B529E" w:rsidP="002B529E">
      <w:pPr>
        <w:pStyle w:val="Quote"/>
      </w:pPr>
      <w:r>
        <w:t>There are leaseholders within the area of the western edge that will continue to operate within their lease conditions. They may seek to do different things that are within their lease conditions into the future. We will have to work with them to see what is available for them to do on their leases, whilst we work through this important work for the western edge as well.</w:t>
      </w:r>
      <w:r>
        <w:rPr>
          <w:rStyle w:val="FootnoteReference"/>
        </w:rPr>
        <w:footnoteReference w:id="33"/>
      </w:r>
    </w:p>
    <w:p w14:paraId="1C8AA739" w14:textId="43FF5293" w:rsidR="00220A90" w:rsidRDefault="00220A90" w:rsidP="00E367DE">
      <w:pPr>
        <w:pStyle w:val="Heading5"/>
      </w:pPr>
      <w:r>
        <w:t>Committee comment</w:t>
      </w:r>
    </w:p>
    <w:p w14:paraId="48C813C6" w14:textId="5B4A17DD" w:rsidR="00AA6468" w:rsidRPr="00DB65A8" w:rsidRDefault="00220A90" w:rsidP="00625997">
      <w:pPr>
        <w:pStyle w:val="ListNumber2"/>
      </w:pPr>
      <w:r w:rsidRPr="00DB65A8">
        <w:t>The Committee</w:t>
      </w:r>
      <w:r w:rsidR="00AA6468">
        <w:t xml:space="preserve"> is concerned that there will be decisions taken on areas in the Western Edge </w:t>
      </w:r>
      <w:r w:rsidR="00AE0EDF">
        <w:t>while the investigations and strategic environmental assessments are still ongoing.</w:t>
      </w:r>
      <w:r w:rsidR="00411A2B">
        <w:t xml:space="preserve"> The Committee is of the view that cumulative environmental impact</w:t>
      </w:r>
      <w:r w:rsidR="00625997">
        <w:t>s</w:t>
      </w:r>
      <w:r w:rsidR="00411A2B">
        <w:t xml:space="preserve"> </w:t>
      </w:r>
      <w:r w:rsidR="00625997">
        <w:t>should be</w:t>
      </w:r>
      <w:r w:rsidR="00411A2B">
        <w:t xml:space="preserve"> considered </w:t>
      </w:r>
      <w:r w:rsidR="00625997">
        <w:t>in this area, as the individual direct impacts of development may be relatively minor</w:t>
      </w:r>
      <w:r w:rsidR="00D123AB">
        <w:t>, but collectively over time, their impact can be significant.</w:t>
      </w:r>
    </w:p>
    <w:tbl>
      <w:tblPr>
        <w:tblStyle w:val="Recommendationbox"/>
        <w:tblW w:w="0" w:type="auto"/>
        <w:tblLook w:val="04A0" w:firstRow="1" w:lastRow="0" w:firstColumn="1" w:lastColumn="0" w:noHBand="0" w:noVBand="1"/>
      </w:tblPr>
      <w:tblGrid>
        <w:gridCol w:w="8175"/>
      </w:tblGrid>
      <w:tr w:rsidR="00220A90" w14:paraId="7F9B8B53" w14:textId="77777777" w:rsidTr="00746FE7">
        <w:tc>
          <w:tcPr>
            <w:tcW w:w="7891" w:type="dxa"/>
          </w:tcPr>
          <w:p w14:paraId="78B17B89" w14:textId="77777777" w:rsidR="00220A90" w:rsidRDefault="00220A90" w:rsidP="00746FE7">
            <w:pPr>
              <w:pStyle w:val="Recommendationheading"/>
            </w:pPr>
            <w:bookmarkStart w:id="23" w:name="_Toc129873727"/>
            <w:r>
              <w:t xml:space="preserve">Recommendation </w:t>
            </w:r>
            <w:r>
              <w:fldChar w:fldCharType="begin"/>
            </w:r>
            <w:r>
              <w:instrText xml:space="preserve"> AUTONUMLGL \* Arabic\e </w:instrText>
            </w:r>
            <w:r>
              <w:fldChar w:fldCharType="end"/>
            </w:r>
            <w:bookmarkEnd w:id="23"/>
          </w:p>
          <w:p w14:paraId="4BDD3087" w14:textId="72DA1B2E" w:rsidR="00220A90" w:rsidRPr="00AD5C04" w:rsidRDefault="00220A90" w:rsidP="00746FE7">
            <w:pPr>
              <w:pStyle w:val="Recommendationbody"/>
            </w:pPr>
            <w:bookmarkStart w:id="24" w:name="_Toc129873728"/>
            <w:r>
              <w:rPr>
                <w:rFonts w:ascii="Calibri-Bold" w:hAnsi="Calibri-Bold" w:cs="Calibri-Bold"/>
              </w:rPr>
              <w:t xml:space="preserve">The Committee recommends that the ACT Government </w:t>
            </w:r>
            <w:r w:rsidR="00E367DE">
              <w:rPr>
                <w:rFonts w:ascii="Calibri-Bold" w:hAnsi="Calibri-Bold" w:cs="Calibri-Bold"/>
              </w:rPr>
              <w:t xml:space="preserve">ensure the cumulative </w:t>
            </w:r>
            <w:r w:rsidR="00411A2B">
              <w:rPr>
                <w:rFonts w:ascii="Calibri-Bold" w:hAnsi="Calibri-Bold" w:cs="Calibri-Bold"/>
              </w:rPr>
              <w:t xml:space="preserve">environmental </w:t>
            </w:r>
            <w:r w:rsidR="00E367DE">
              <w:rPr>
                <w:rFonts w:ascii="Calibri-Bold" w:hAnsi="Calibri-Bold" w:cs="Calibri-Bold"/>
              </w:rPr>
              <w:t xml:space="preserve">impact is considered </w:t>
            </w:r>
            <w:r w:rsidR="002B529E">
              <w:rPr>
                <w:rFonts w:ascii="Calibri-Bold" w:hAnsi="Calibri-Bold" w:cs="Calibri-Bold"/>
              </w:rPr>
              <w:t xml:space="preserve">with </w:t>
            </w:r>
            <w:r w:rsidR="00E367DE">
              <w:rPr>
                <w:rFonts w:ascii="Calibri-Bold" w:hAnsi="Calibri-Bold" w:cs="Calibri-Bold"/>
              </w:rPr>
              <w:t>any environmental studies, lease variations and planning decisions in relation to the Western Edge.</w:t>
            </w:r>
            <w:bookmarkEnd w:id="24"/>
          </w:p>
        </w:tc>
      </w:tr>
    </w:tbl>
    <w:p w14:paraId="71DBCF14" w14:textId="2F53154D" w:rsidR="004F4439" w:rsidRPr="00AD5C04" w:rsidRDefault="004F4439" w:rsidP="004F4439">
      <w:pPr>
        <w:pStyle w:val="Heading3"/>
      </w:pPr>
      <w:bookmarkStart w:id="25" w:name="_Toc129873700"/>
      <w:r w:rsidRPr="00AD5C04">
        <w:t>Matters considered</w:t>
      </w:r>
      <w:r>
        <w:t xml:space="preserve"> </w:t>
      </w:r>
      <w:r>
        <w:softHyphen/>
      </w:r>
      <w:r>
        <w:softHyphen/>
        <w:t>– Session 2</w:t>
      </w:r>
      <w:bookmarkEnd w:id="25"/>
    </w:p>
    <w:p w14:paraId="18A42249" w14:textId="78219E73" w:rsidR="004F4439" w:rsidRDefault="004F4439" w:rsidP="004F4439">
      <w:pPr>
        <w:pStyle w:val="ListNumber2"/>
      </w:pPr>
      <w:r w:rsidRPr="00C04DBC">
        <w:t xml:space="preserve">During the </w:t>
      </w:r>
      <w:r>
        <w:t>Minister for Planning and Land Management’s</w:t>
      </w:r>
      <w:r w:rsidRPr="00C04DBC">
        <w:t xml:space="preserve"> appearance before the Committee on </w:t>
      </w:r>
      <w:r>
        <w:t>14 November</w:t>
      </w:r>
      <w:r w:rsidRPr="00C04DBC">
        <w:t xml:space="preserve"> 2022</w:t>
      </w:r>
      <w:r>
        <w:t xml:space="preserve"> (Session 2),</w:t>
      </w:r>
      <w:r w:rsidRPr="00C04DBC">
        <w:t xml:space="preserve"> the following matters were considered</w:t>
      </w:r>
      <w:r>
        <w:t>:</w:t>
      </w:r>
    </w:p>
    <w:p w14:paraId="6BC41346" w14:textId="5B133DDC" w:rsidR="004F4439" w:rsidRDefault="001B374E" w:rsidP="004F4439">
      <w:pPr>
        <w:pStyle w:val="ListBullet2"/>
      </w:pPr>
      <w:r>
        <w:t>Consultation times for the District Strategies and Territory Plan</w:t>
      </w:r>
      <w:r w:rsidR="004F4439">
        <w:t>;</w:t>
      </w:r>
      <w:r w:rsidR="004F4439">
        <w:rPr>
          <w:rStyle w:val="FootnoteReference"/>
        </w:rPr>
        <w:footnoteReference w:id="34"/>
      </w:r>
    </w:p>
    <w:p w14:paraId="0C390807" w14:textId="1800D621" w:rsidR="001B374E" w:rsidRDefault="001B374E" w:rsidP="004F4439">
      <w:pPr>
        <w:pStyle w:val="ListBullet2"/>
      </w:pPr>
      <w:r>
        <w:t>Consultation with community councils;</w:t>
      </w:r>
      <w:r w:rsidR="00FD32EF">
        <w:rPr>
          <w:rStyle w:val="FootnoteReference"/>
        </w:rPr>
        <w:footnoteReference w:id="35"/>
      </w:r>
    </w:p>
    <w:p w14:paraId="1BADADC2" w14:textId="3525AA52" w:rsidR="001B374E" w:rsidRDefault="001B374E" w:rsidP="004F4439">
      <w:pPr>
        <w:pStyle w:val="ListBullet2"/>
      </w:pPr>
      <w:r>
        <w:t>Gungahlin District Strategy – community and recreation facilities;</w:t>
      </w:r>
      <w:r w:rsidR="00FD32EF">
        <w:rPr>
          <w:rStyle w:val="FootnoteReference"/>
        </w:rPr>
        <w:footnoteReference w:id="36"/>
      </w:r>
    </w:p>
    <w:p w14:paraId="3EBEDBA7" w14:textId="5BB42552" w:rsidR="001B374E" w:rsidRDefault="001B374E" w:rsidP="004F4439">
      <w:pPr>
        <w:pStyle w:val="ListBullet2"/>
      </w:pPr>
      <w:r>
        <w:lastRenderedPageBreak/>
        <w:t>Inner North and City District Strategy – Thoroughbred Park;</w:t>
      </w:r>
      <w:r w:rsidR="00FD32EF">
        <w:rPr>
          <w:rStyle w:val="FootnoteReference"/>
        </w:rPr>
        <w:footnoteReference w:id="37"/>
      </w:r>
    </w:p>
    <w:p w14:paraId="525509B9" w14:textId="74FF8B29" w:rsidR="001B374E" w:rsidRDefault="001B374E" w:rsidP="004F4439">
      <w:pPr>
        <w:pStyle w:val="ListBullet2"/>
      </w:pPr>
      <w:r>
        <w:t>Canberra Racing Park;</w:t>
      </w:r>
      <w:r w:rsidR="00FD32EF">
        <w:rPr>
          <w:rStyle w:val="FootnoteReference"/>
        </w:rPr>
        <w:footnoteReference w:id="38"/>
      </w:r>
    </w:p>
    <w:p w14:paraId="647A1FAD" w14:textId="350D554A" w:rsidR="001B374E" w:rsidRDefault="001B374E" w:rsidP="004F4439">
      <w:pPr>
        <w:pStyle w:val="ListBullet2"/>
      </w:pPr>
      <w:r>
        <w:t>Information on the YourSay website;</w:t>
      </w:r>
      <w:r w:rsidR="00FD32EF">
        <w:rPr>
          <w:rStyle w:val="FootnoteReference"/>
        </w:rPr>
        <w:footnoteReference w:id="39"/>
      </w:r>
    </w:p>
    <w:p w14:paraId="72A072FB" w14:textId="06CDA5F8" w:rsidR="001B374E" w:rsidRDefault="001B374E" w:rsidP="004F4439">
      <w:pPr>
        <w:pStyle w:val="ListBullet2"/>
      </w:pPr>
      <w:r>
        <w:t>Pop-up information sessions and workshops for the District Strategies and Territory Plan;</w:t>
      </w:r>
      <w:r w:rsidR="00FD32EF">
        <w:rPr>
          <w:rStyle w:val="FootnoteReference"/>
        </w:rPr>
        <w:footnoteReference w:id="40"/>
      </w:r>
    </w:p>
    <w:p w14:paraId="20B06A8B" w14:textId="7C7279FE" w:rsidR="001B374E" w:rsidRDefault="00FD32EF" w:rsidP="004F4439">
      <w:pPr>
        <w:pStyle w:val="ListBullet2"/>
      </w:pPr>
      <w:r>
        <w:t>Blue-green network on the District Strategies;</w:t>
      </w:r>
      <w:r>
        <w:rPr>
          <w:rStyle w:val="FootnoteReference"/>
        </w:rPr>
        <w:footnoteReference w:id="41"/>
      </w:r>
      <w:r>
        <w:t xml:space="preserve"> and</w:t>
      </w:r>
    </w:p>
    <w:p w14:paraId="486CD335" w14:textId="68A19784" w:rsidR="00FD32EF" w:rsidRDefault="00FD32EF" w:rsidP="004F4439">
      <w:pPr>
        <w:pStyle w:val="ListBullet2"/>
      </w:pPr>
      <w:r>
        <w:t>Oaks Estate.</w:t>
      </w:r>
      <w:r>
        <w:rPr>
          <w:rStyle w:val="FootnoteReference"/>
        </w:rPr>
        <w:footnoteReference w:id="42"/>
      </w:r>
    </w:p>
    <w:p w14:paraId="67A77F0E" w14:textId="33EF8480" w:rsidR="00D415A6" w:rsidRDefault="00D415A6" w:rsidP="00D415A6">
      <w:pPr>
        <w:pStyle w:val="Heading2"/>
      </w:pPr>
      <w:bookmarkStart w:id="26" w:name="_Toc129873701"/>
      <w:r>
        <w:t>Minister for Sustainable Building and Construction—Administrative arrangements</w:t>
      </w:r>
      <w:bookmarkEnd w:id="26"/>
    </w:p>
    <w:p w14:paraId="1FC2303A" w14:textId="22AE02DE" w:rsidR="00D415A6" w:rsidRDefault="00D415A6" w:rsidP="00D415A6">
      <w:pPr>
        <w:pStyle w:val="ListNumber2"/>
      </w:pPr>
      <w:r>
        <w:t>The areas of responsibility covered by the Minister for Sustainable Building and Construction with EPSDD are:</w:t>
      </w:r>
    </w:p>
    <w:p w14:paraId="77C0E95F" w14:textId="5CA0F6C3" w:rsidR="00D415A6" w:rsidRDefault="00D415A6" w:rsidP="00D415A6">
      <w:pPr>
        <w:pStyle w:val="ListBullet"/>
        <w:tabs>
          <w:tab w:val="clear" w:pos="360"/>
        </w:tabs>
        <w:ind w:hanging="340"/>
      </w:pPr>
      <w:r>
        <w:t>Asbestos Response Taskforce;</w:t>
      </w:r>
    </w:p>
    <w:p w14:paraId="26277387" w14:textId="21E9314F" w:rsidR="00D415A6" w:rsidRDefault="00D415A6" w:rsidP="00D415A6">
      <w:pPr>
        <w:pStyle w:val="ListBullet"/>
        <w:tabs>
          <w:tab w:val="clear" w:pos="360"/>
        </w:tabs>
        <w:ind w:hanging="340"/>
      </w:pPr>
      <w:r>
        <w:t>Building and construction industry liaison;</w:t>
      </w:r>
    </w:p>
    <w:p w14:paraId="0A155E5F" w14:textId="33CD3578" w:rsidR="00D415A6" w:rsidRDefault="00D415A6" w:rsidP="00D415A6">
      <w:pPr>
        <w:pStyle w:val="ListBullet"/>
        <w:tabs>
          <w:tab w:val="clear" w:pos="360"/>
        </w:tabs>
        <w:ind w:hanging="340"/>
      </w:pPr>
      <w:r>
        <w:t>Building code of Australia ACT appendix;</w:t>
      </w:r>
    </w:p>
    <w:p w14:paraId="62891E39" w14:textId="273F9B52" w:rsidR="00D415A6" w:rsidRDefault="00D415A6" w:rsidP="00D415A6">
      <w:pPr>
        <w:pStyle w:val="ListBullet"/>
        <w:tabs>
          <w:tab w:val="clear" w:pos="360"/>
        </w:tabs>
        <w:ind w:hanging="340"/>
      </w:pPr>
      <w:r>
        <w:t>Building policy;</w:t>
      </w:r>
    </w:p>
    <w:p w14:paraId="4E366C2F" w14:textId="24FF90FF" w:rsidR="00D415A6" w:rsidRDefault="00D415A6" w:rsidP="00D415A6">
      <w:pPr>
        <w:pStyle w:val="ListBullet"/>
        <w:tabs>
          <w:tab w:val="clear" w:pos="360"/>
        </w:tabs>
        <w:ind w:hanging="340"/>
      </w:pPr>
      <w:r>
        <w:t>Building quality;</w:t>
      </w:r>
    </w:p>
    <w:p w14:paraId="7B6A5037" w14:textId="3BCB1D0E" w:rsidR="00D415A6" w:rsidRDefault="00D415A6" w:rsidP="00D415A6">
      <w:pPr>
        <w:pStyle w:val="ListBullet"/>
        <w:tabs>
          <w:tab w:val="clear" w:pos="360"/>
        </w:tabs>
        <w:ind w:hanging="340"/>
      </w:pPr>
      <w:r>
        <w:t>Living infrastructure projects; and</w:t>
      </w:r>
    </w:p>
    <w:p w14:paraId="7A266F42" w14:textId="1BB0745A" w:rsidR="00D415A6" w:rsidRDefault="00D415A6" w:rsidP="00D415A6">
      <w:pPr>
        <w:pStyle w:val="ListBullet"/>
        <w:tabs>
          <w:tab w:val="clear" w:pos="360"/>
        </w:tabs>
        <w:ind w:hanging="340"/>
      </w:pPr>
      <w:r>
        <w:t>Universal design standards.</w:t>
      </w:r>
      <w:r>
        <w:rPr>
          <w:rStyle w:val="FootnoteReference"/>
        </w:rPr>
        <w:footnoteReference w:id="43"/>
      </w:r>
    </w:p>
    <w:p w14:paraId="22DCFED4" w14:textId="77777777" w:rsidR="00D415A6" w:rsidRPr="00AD5C04" w:rsidRDefault="00D415A6" w:rsidP="00D415A6">
      <w:pPr>
        <w:pStyle w:val="Heading3"/>
      </w:pPr>
      <w:bookmarkStart w:id="27" w:name="_Toc129873702"/>
      <w:r w:rsidRPr="00AD5C04">
        <w:t>Matters considered</w:t>
      </w:r>
      <w:bookmarkEnd w:id="27"/>
    </w:p>
    <w:p w14:paraId="1328CE9B" w14:textId="51873FF0" w:rsidR="00D415A6" w:rsidRDefault="00D415A6" w:rsidP="00D415A6">
      <w:pPr>
        <w:pStyle w:val="ListNumber2"/>
      </w:pPr>
      <w:r w:rsidRPr="00C04DBC">
        <w:t xml:space="preserve">During the </w:t>
      </w:r>
      <w:r>
        <w:t>Minister for Sustainable Building and Construction’s</w:t>
      </w:r>
      <w:r w:rsidRPr="00C04DBC">
        <w:t xml:space="preserve"> appearance before the Committee on </w:t>
      </w:r>
      <w:r>
        <w:t>2 November</w:t>
      </w:r>
      <w:r w:rsidRPr="00C04DBC">
        <w:t xml:space="preserve"> 2022</w:t>
      </w:r>
      <w:r>
        <w:t>,</w:t>
      </w:r>
      <w:r w:rsidRPr="00C04DBC">
        <w:t xml:space="preserve"> the following matters were considered</w:t>
      </w:r>
      <w:r>
        <w:t>:</w:t>
      </w:r>
    </w:p>
    <w:p w14:paraId="1F8ABDA4" w14:textId="6F9444D0" w:rsidR="00D415A6" w:rsidRDefault="008746BE" w:rsidP="00B65DF0">
      <w:pPr>
        <w:pStyle w:val="ListBullet2"/>
      </w:pPr>
      <w:r>
        <w:t>Building quality</w:t>
      </w:r>
      <w:r w:rsidR="00D415A6">
        <w:t>;</w:t>
      </w:r>
      <w:r w:rsidR="00D415A6">
        <w:rPr>
          <w:rStyle w:val="FootnoteReference"/>
        </w:rPr>
        <w:footnoteReference w:id="44"/>
      </w:r>
    </w:p>
    <w:p w14:paraId="2620D859" w14:textId="0D7916C2" w:rsidR="008746BE" w:rsidRDefault="008746BE" w:rsidP="00B65DF0">
      <w:pPr>
        <w:pStyle w:val="ListBullet2"/>
      </w:pPr>
      <w:r>
        <w:t>Engineering licensing and registration scheme;</w:t>
      </w:r>
      <w:r>
        <w:rPr>
          <w:rStyle w:val="FootnoteReference"/>
        </w:rPr>
        <w:footnoteReference w:id="45"/>
      </w:r>
    </w:p>
    <w:p w14:paraId="3989CB67" w14:textId="2E31B06F" w:rsidR="008746BE" w:rsidRDefault="008746BE" w:rsidP="00B65DF0">
      <w:pPr>
        <w:pStyle w:val="ListBullet2"/>
      </w:pPr>
      <w:r>
        <w:t>Building certification and economic regulatory assessment;</w:t>
      </w:r>
      <w:r>
        <w:rPr>
          <w:rStyle w:val="FootnoteReference"/>
        </w:rPr>
        <w:footnoteReference w:id="46"/>
      </w:r>
    </w:p>
    <w:p w14:paraId="69753BA4" w14:textId="672F44EA" w:rsidR="008746BE" w:rsidRDefault="008746BE" w:rsidP="00B65DF0">
      <w:pPr>
        <w:pStyle w:val="ListBullet2"/>
      </w:pPr>
      <w:r>
        <w:lastRenderedPageBreak/>
        <w:t>Apartment rectification processes;</w:t>
      </w:r>
      <w:r>
        <w:rPr>
          <w:rStyle w:val="FootnoteReference"/>
        </w:rPr>
        <w:footnoteReference w:id="47"/>
      </w:r>
    </w:p>
    <w:p w14:paraId="7A48B569" w14:textId="7DC45EEE" w:rsidR="008746BE" w:rsidRDefault="008746BE" w:rsidP="00B65DF0">
      <w:pPr>
        <w:pStyle w:val="ListBullet2"/>
      </w:pPr>
      <w:r>
        <w:t>Post-certification and post-settlement measures;</w:t>
      </w:r>
      <w:r>
        <w:rPr>
          <w:rStyle w:val="FootnoteReference"/>
        </w:rPr>
        <w:footnoteReference w:id="48"/>
      </w:r>
    </w:p>
    <w:p w14:paraId="1AD4BFEB" w14:textId="0C29E806" w:rsidR="008746BE" w:rsidRDefault="008746BE" w:rsidP="00B65DF0">
      <w:pPr>
        <w:pStyle w:val="ListBullet2"/>
      </w:pPr>
      <w:r>
        <w:t>Dispute resolutions;</w:t>
      </w:r>
      <w:r>
        <w:rPr>
          <w:rStyle w:val="FootnoteReference"/>
        </w:rPr>
        <w:footnoteReference w:id="49"/>
      </w:r>
    </w:p>
    <w:p w14:paraId="3EB6F8CF" w14:textId="36111269" w:rsidR="008746BE" w:rsidRDefault="008746BE" w:rsidP="00B65DF0">
      <w:pPr>
        <w:pStyle w:val="ListBullet2"/>
      </w:pPr>
      <w:r>
        <w:t>Developer licensing and regulation;</w:t>
      </w:r>
      <w:r>
        <w:rPr>
          <w:rStyle w:val="FootnoteReference"/>
        </w:rPr>
        <w:footnoteReference w:id="50"/>
      </w:r>
    </w:p>
    <w:p w14:paraId="47FC16EB" w14:textId="05659DE4" w:rsidR="008746BE" w:rsidRDefault="0044005B" w:rsidP="00B65DF0">
      <w:pPr>
        <w:pStyle w:val="ListBullet2"/>
      </w:pPr>
      <w:r>
        <w:t>Property development in Canberra;</w:t>
      </w:r>
      <w:r>
        <w:rPr>
          <w:rStyle w:val="FootnoteReference"/>
        </w:rPr>
        <w:footnoteReference w:id="51"/>
      </w:r>
    </w:p>
    <w:p w14:paraId="2666F3F8" w14:textId="633B3C3E" w:rsidR="0044005B" w:rsidRDefault="0044005B" w:rsidP="00B65DF0">
      <w:pPr>
        <w:pStyle w:val="ListBullet2"/>
      </w:pPr>
      <w:r>
        <w:t>Seven-star building measures and the new Construction Code;</w:t>
      </w:r>
      <w:r>
        <w:rPr>
          <w:rStyle w:val="FootnoteReference"/>
        </w:rPr>
        <w:footnoteReference w:id="52"/>
      </w:r>
    </w:p>
    <w:p w14:paraId="5917E082" w14:textId="652BCAFE" w:rsidR="0044005B" w:rsidRDefault="0044005B" w:rsidP="00B65DF0">
      <w:pPr>
        <w:pStyle w:val="ListBullet2"/>
      </w:pPr>
      <w:r>
        <w:t>Climatic zone for energy efficiency;</w:t>
      </w:r>
      <w:r>
        <w:rPr>
          <w:rStyle w:val="FootnoteReference"/>
        </w:rPr>
        <w:footnoteReference w:id="53"/>
      </w:r>
    </w:p>
    <w:p w14:paraId="5C1761C4" w14:textId="5C34FBB2" w:rsidR="0044005B" w:rsidRDefault="0044005B" w:rsidP="00B65DF0">
      <w:pPr>
        <w:pStyle w:val="ListBullet2"/>
      </w:pPr>
      <w:r>
        <w:t>Discussion paper consultation period;</w:t>
      </w:r>
      <w:r>
        <w:rPr>
          <w:rStyle w:val="FootnoteReference"/>
        </w:rPr>
        <w:footnoteReference w:id="54"/>
      </w:r>
      <w:r>
        <w:t xml:space="preserve"> and</w:t>
      </w:r>
    </w:p>
    <w:p w14:paraId="136A3FE0" w14:textId="14B78226" w:rsidR="0044005B" w:rsidRDefault="0044005B" w:rsidP="00B65DF0">
      <w:pPr>
        <w:pStyle w:val="ListBullet2"/>
      </w:pPr>
      <w:r>
        <w:t>Loose-fill asbestos coordination team.</w:t>
      </w:r>
      <w:r>
        <w:rPr>
          <w:rStyle w:val="FootnoteReference"/>
        </w:rPr>
        <w:footnoteReference w:id="55"/>
      </w:r>
    </w:p>
    <w:p w14:paraId="260048D5" w14:textId="54F1AB47" w:rsidR="002F10C7" w:rsidRDefault="002F10C7" w:rsidP="002F10C7">
      <w:pPr>
        <w:pStyle w:val="Heading2"/>
      </w:pPr>
      <w:bookmarkStart w:id="28" w:name="_Toc129873703"/>
      <w:r>
        <w:t>Chief Minister—Administrative arrangements</w:t>
      </w:r>
      <w:bookmarkEnd w:id="28"/>
    </w:p>
    <w:p w14:paraId="73F6DAA2" w14:textId="5FCDCE97" w:rsidR="002F10C7" w:rsidRDefault="002F10C7" w:rsidP="002F10C7">
      <w:pPr>
        <w:pStyle w:val="ListNumber2"/>
      </w:pPr>
      <w:r>
        <w:t>The areas of responsibility covered by the Chief Minister with EPSDD are:</w:t>
      </w:r>
    </w:p>
    <w:p w14:paraId="602E6F16" w14:textId="5C838652" w:rsidR="002F10C7" w:rsidRDefault="00546106" w:rsidP="002F10C7">
      <w:pPr>
        <w:pStyle w:val="ListBullet"/>
        <w:tabs>
          <w:tab w:val="clear" w:pos="360"/>
        </w:tabs>
        <w:ind w:hanging="340"/>
      </w:pPr>
      <w:r>
        <w:t>City Renewal Authority</w:t>
      </w:r>
      <w:r w:rsidR="002F10C7">
        <w:t>;</w:t>
      </w:r>
      <w:r>
        <w:t xml:space="preserve"> and</w:t>
      </w:r>
    </w:p>
    <w:p w14:paraId="3CC4D7EC" w14:textId="0D07871F" w:rsidR="00546106" w:rsidRDefault="00546106" w:rsidP="002F10C7">
      <w:pPr>
        <w:pStyle w:val="ListBullet"/>
        <w:tabs>
          <w:tab w:val="clear" w:pos="360"/>
        </w:tabs>
        <w:ind w:hanging="340"/>
      </w:pPr>
      <w:r>
        <w:t>Suburban Land Agency (as it relates to declared urban renewal sites).</w:t>
      </w:r>
      <w:r>
        <w:rPr>
          <w:rStyle w:val="FootnoteReference"/>
        </w:rPr>
        <w:footnoteReference w:id="56"/>
      </w:r>
    </w:p>
    <w:p w14:paraId="357009CA" w14:textId="77777777" w:rsidR="00546106" w:rsidRPr="00AD5C04" w:rsidRDefault="00546106" w:rsidP="00546106">
      <w:pPr>
        <w:pStyle w:val="Heading3"/>
      </w:pPr>
      <w:bookmarkStart w:id="29" w:name="_Toc129873704"/>
      <w:r w:rsidRPr="00AD5C04">
        <w:t>Matters considered</w:t>
      </w:r>
      <w:bookmarkEnd w:id="29"/>
    </w:p>
    <w:p w14:paraId="26344FB2" w14:textId="59B0243E" w:rsidR="00546106" w:rsidRDefault="00546106" w:rsidP="00546106">
      <w:pPr>
        <w:pStyle w:val="ListNumber2"/>
      </w:pPr>
      <w:r w:rsidRPr="00C04DBC">
        <w:t xml:space="preserve">During the </w:t>
      </w:r>
      <w:r>
        <w:t>Chief Minister’s</w:t>
      </w:r>
      <w:r w:rsidRPr="00C04DBC">
        <w:t xml:space="preserve"> appearance before the Committee on </w:t>
      </w:r>
      <w:r>
        <w:t>7 November</w:t>
      </w:r>
      <w:r w:rsidRPr="00C04DBC">
        <w:t xml:space="preserve"> 2022</w:t>
      </w:r>
      <w:r>
        <w:t>,</w:t>
      </w:r>
      <w:r w:rsidRPr="00C04DBC">
        <w:t xml:space="preserve"> the following matters were considered</w:t>
      </w:r>
      <w:r>
        <w:t>:</w:t>
      </w:r>
    </w:p>
    <w:p w14:paraId="3FE213D1" w14:textId="7251CCB9" w:rsidR="00546106" w:rsidRDefault="00546106" w:rsidP="00546106">
      <w:pPr>
        <w:pStyle w:val="ListBullet2"/>
      </w:pPr>
      <w:r>
        <w:t>City Renewal Authority’s engagement with the District Strategies and Territory Plan;</w:t>
      </w:r>
      <w:r>
        <w:rPr>
          <w:rStyle w:val="FootnoteReference"/>
        </w:rPr>
        <w:footnoteReference w:id="57"/>
      </w:r>
    </w:p>
    <w:p w14:paraId="4727BC62" w14:textId="360A8D53" w:rsidR="00546106" w:rsidRDefault="00546106" w:rsidP="00546106">
      <w:pPr>
        <w:pStyle w:val="ListBullet2"/>
      </w:pPr>
      <w:r>
        <w:t xml:space="preserve">Haig Park </w:t>
      </w:r>
      <w:r w:rsidR="002209AE">
        <w:softHyphen/>
        <w:t xml:space="preserve">– </w:t>
      </w:r>
      <w:r>
        <w:t>community centre;</w:t>
      </w:r>
      <w:r>
        <w:rPr>
          <w:rStyle w:val="FootnoteReference"/>
        </w:rPr>
        <w:footnoteReference w:id="58"/>
      </w:r>
    </w:p>
    <w:p w14:paraId="61ADD051" w14:textId="05CF71CD" w:rsidR="00546106" w:rsidRDefault="002209AE" w:rsidP="00546106">
      <w:pPr>
        <w:pStyle w:val="ListBullet2"/>
      </w:pPr>
      <w:r>
        <w:t>Haig Park – a</w:t>
      </w:r>
      <w:r w:rsidR="00546106">
        <w:t>ccessibility of gravel paths;</w:t>
      </w:r>
      <w:r w:rsidR="00546106">
        <w:rPr>
          <w:rStyle w:val="FootnoteReference"/>
        </w:rPr>
        <w:footnoteReference w:id="59"/>
      </w:r>
    </w:p>
    <w:p w14:paraId="13AB8604" w14:textId="557D014A" w:rsidR="00546106" w:rsidRDefault="00546106" w:rsidP="00546106">
      <w:pPr>
        <w:pStyle w:val="ListBullet2"/>
      </w:pPr>
      <w:r>
        <w:t>Woolley Street, Dickson – streetscape upgrade;</w:t>
      </w:r>
      <w:r>
        <w:rPr>
          <w:rStyle w:val="FootnoteReference"/>
        </w:rPr>
        <w:footnoteReference w:id="60"/>
      </w:r>
    </w:p>
    <w:p w14:paraId="60E93A4B" w14:textId="3AAD2FAA" w:rsidR="00546106" w:rsidRDefault="00546106" w:rsidP="00546106">
      <w:pPr>
        <w:pStyle w:val="ListBullet2"/>
      </w:pPr>
      <w:r>
        <w:t>Lonsdale Street, Braddon;</w:t>
      </w:r>
      <w:r>
        <w:rPr>
          <w:rStyle w:val="FootnoteReference"/>
        </w:rPr>
        <w:footnoteReference w:id="61"/>
      </w:r>
      <w:r>
        <w:t xml:space="preserve"> and</w:t>
      </w:r>
    </w:p>
    <w:p w14:paraId="76223783" w14:textId="66B2612B" w:rsidR="00546106" w:rsidRDefault="00546106" w:rsidP="00546106">
      <w:pPr>
        <w:pStyle w:val="ListBullet2"/>
      </w:pPr>
      <w:r>
        <w:lastRenderedPageBreak/>
        <w:t>New hotel development in the City Renewal Authority precinct.</w:t>
      </w:r>
      <w:r>
        <w:rPr>
          <w:rStyle w:val="FootnoteReference"/>
        </w:rPr>
        <w:footnoteReference w:id="62"/>
      </w:r>
    </w:p>
    <w:p w14:paraId="78DDFBF7" w14:textId="0FE94B48" w:rsidR="00A00BC4" w:rsidRDefault="00A00BC4" w:rsidP="00A00BC4">
      <w:pPr>
        <w:pStyle w:val="Heading2"/>
      </w:pPr>
      <w:bookmarkStart w:id="30" w:name="_Toc129873705"/>
      <w:r>
        <w:t>Minister for Housing and Suburban Development—Administrative arrangements</w:t>
      </w:r>
      <w:bookmarkEnd w:id="30"/>
    </w:p>
    <w:p w14:paraId="7718376D" w14:textId="134B3D93" w:rsidR="00A00BC4" w:rsidRDefault="00A00BC4" w:rsidP="00A00BC4">
      <w:pPr>
        <w:pStyle w:val="ListNumber2"/>
      </w:pPr>
      <w:r>
        <w:t>The areas of responsibility covered by the Minister for Housing and Suburban Development with EPSDD are:</w:t>
      </w:r>
    </w:p>
    <w:p w14:paraId="771344CF" w14:textId="30D7A32D" w:rsidR="00A00BC4" w:rsidRDefault="00A00BC4" w:rsidP="00A00BC4">
      <w:pPr>
        <w:pStyle w:val="ListBullet"/>
        <w:tabs>
          <w:tab w:val="clear" w:pos="360"/>
        </w:tabs>
        <w:ind w:hanging="340"/>
      </w:pPr>
      <w:r>
        <w:t>Suburban land development; and</w:t>
      </w:r>
    </w:p>
    <w:p w14:paraId="3943AEEA" w14:textId="2BCB8607" w:rsidR="00A00BC4" w:rsidRDefault="00A00BC4" w:rsidP="00A00BC4">
      <w:pPr>
        <w:pStyle w:val="ListBullet"/>
        <w:tabs>
          <w:tab w:val="clear" w:pos="360"/>
        </w:tabs>
        <w:ind w:hanging="340"/>
      </w:pPr>
      <w:r>
        <w:t>Suburban Land Agency (with the exception of those matters assigned to the Chief Minister).</w:t>
      </w:r>
      <w:r>
        <w:rPr>
          <w:rStyle w:val="FootnoteReference"/>
        </w:rPr>
        <w:footnoteReference w:id="63"/>
      </w:r>
    </w:p>
    <w:p w14:paraId="036B67C2" w14:textId="77777777" w:rsidR="00A00BC4" w:rsidRPr="00AD5C04" w:rsidRDefault="00A00BC4" w:rsidP="00A00BC4">
      <w:pPr>
        <w:pStyle w:val="Heading3"/>
      </w:pPr>
      <w:bookmarkStart w:id="31" w:name="_Toc129873706"/>
      <w:r w:rsidRPr="00AD5C04">
        <w:t>Matters considered</w:t>
      </w:r>
      <w:bookmarkEnd w:id="31"/>
    </w:p>
    <w:p w14:paraId="4A7826FD" w14:textId="60241424" w:rsidR="00A00BC4" w:rsidRDefault="00A00BC4" w:rsidP="00A00BC4">
      <w:pPr>
        <w:pStyle w:val="ListNumber2"/>
      </w:pPr>
      <w:r w:rsidRPr="00C04DBC">
        <w:t xml:space="preserve">During the </w:t>
      </w:r>
      <w:r>
        <w:t>Minister for Housing and Suburban Development’s</w:t>
      </w:r>
      <w:r w:rsidRPr="00C04DBC">
        <w:t xml:space="preserve"> appearance before the Committee on </w:t>
      </w:r>
      <w:r>
        <w:t>10 November</w:t>
      </w:r>
      <w:r w:rsidRPr="00C04DBC">
        <w:t xml:space="preserve"> 2022</w:t>
      </w:r>
      <w:r>
        <w:t>,</w:t>
      </w:r>
      <w:r w:rsidRPr="00C04DBC">
        <w:t xml:space="preserve"> the following matters were considered</w:t>
      </w:r>
      <w:r>
        <w:t>:</w:t>
      </w:r>
    </w:p>
    <w:p w14:paraId="7E7C8382" w14:textId="395AC969" w:rsidR="00A00BC4" w:rsidRDefault="00506CCB" w:rsidP="00A00BC4">
      <w:pPr>
        <w:pStyle w:val="ListBullet2"/>
      </w:pPr>
      <w:r>
        <w:t>Social housing in the District Strategies</w:t>
      </w:r>
      <w:r w:rsidR="00A00BC4">
        <w:t>;</w:t>
      </w:r>
      <w:r w:rsidR="00A00BC4">
        <w:rPr>
          <w:rStyle w:val="FootnoteReference"/>
        </w:rPr>
        <w:footnoteReference w:id="64"/>
      </w:r>
    </w:p>
    <w:p w14:paraId="6AED94B0" w14:textId="26CE6D0F" w:rsidR="00506CCB" w:rsidRDefault="00506CCB" w:rsidP="00A00BC4">
      <w:pPr>
        <w:pStyle w:val="ListBullet2"/>
      </w:pPr>
      <w:r>
        <w:t>Social and affordable housing</w:t>
      </w:r>
      <w:r w:rsidR="00A168A3">
        <w:t xml:space="preserve"> targets</w:t>
      </w:r>
      <w:r>
        <w:t>;</w:t>
      </w:r>
      <w:r w:rsidR="00E821DF">
        <w:rPr>
          <w:rStyle w:val="FootnoteReference"/>
        </w:rPr>
        <w:footnoteReference w:id="65"/>
      </w:r>
    </w:p>
    <w:p w14:paraId="329EDCB6" w14:textId="1D7A0F73" w:rsidR="00506CCB" w:rsidRDefault="00A168A3" w:rsidP="00A00BC4">
      <w:pPr>
        <w:pStyle w:val="ListBullet2"/>
      </w:pPr>
      <w:r>
        <w:t>Affordable home purchase scheme;</w:t>
      </w:r>
      <w:r w:rsidR="00E821DF">
        <w:rPr>
          <w:rStyle w:val="FootnoteReference"/>
        </w:rPr>
        <w:footnoteReference w:id="66"/>
      </w:r>
    </w:p>
    <w:p w14:paraId="620CAD77" w14:textId="1BAB83CE" w:rsidR="00A168A3" w:rsidRDefault="00A168A3" w:rsidP="00A00BC4">
      <w:pPr>
        <w:pStyle w:val="ListBullet2"/>
      </w:pPr>
      <w:r>
        <w:t>Gungahlin East Town Centre engagement process;</w:t>
      </w:r>
      <w:r w:rsidR="00E821DF">
        <w:rPr>
          <w:rStyle w:val="FootnoteReference"/>
        </w:rPr>
        <w:footnoteReference w:id="67"/>
      </w:r>
    </w:p>
    <w:p w14:paraId="4C795F9B" w14:textId="365FA673" w:rsidR="00A168A3" w:rsidRDefault="00A168A3" w:rsidP="00A00BC4">
      <w:pPr>
        <w:pStyle w:val="ListBullet2"/>
      </w:pPr>
      <w:r>
        <w:t>Gungahlin East Town Centre linear park;</w:t>
      </w:r>
      <w:r w:rsidR="00E821DF">
        <w:rPr>
          <w:rStyle w:val="FootnoteReference"/>
        </w:rPr>
        <w:footnoteReference w:id="68"/>
      </w:r>
    </w:p>
    <w:p w14:paraId="2409E244" w14:textId="1E07248D" w:rsidR="00A168A3" w:rsidRDefault="00A168A3" w:rsidP="00A00BC4">
      <w:pPr>
        <w:pStyle w:val="ListBullet2"/>
      </w:pPr>
      <w:r>
        <w:t>Taylor Stage 1B;</w:t>
      </w:r>
      <w:r w:rsidR="00E821DF">
        <w:rPr>
          <w:rStyle w:val="FootnoteReference"/>
        </w:rPr>
        <w:footnoteReference w:id="69"/>
      </w:r>
    </w:p>
    <w:p w14:paraId="7FB0AB68" w14:textId="27102B74" w:rsidR="00A168A3" w:rsidRDefault="00A168A3" w:rsidP="00A00BC4">
      <w:pPr>
        <w:pStyle w:val="ListBullet2"/>
      </w:pPr>
      <w:r>
        <w:t>Planning System Review and Reform Project;</w:t>
      </w:r>
      <w:r w:rsidR="00E821DF">
        <w:rPr>
          <w:rStyle w:val="FootnoteReference"/>
        </w:rPr>
        <w:footnoteReference w:id="70"/>
      </w:r>
    </w:p>
    <w:p w14:paraId="1044B457" w14:textId="008C5E97" w:rsidR="00A168A3" w:rsidRDefault="00A168A3" w:rsidP="00A00BC4">
      <w:pPr>
        <w:pStyle w:val="ListBullet2"/>
      </w:pPr>
      <w:r>
        <w:t>National housing crisis;</w:t>
      </w:r>
      <w:r w:rsidR="00E821DF">
        <w:rPr>
          <w:rStyle w:val="FootnoteReference"/>
        </w:rPr>
        <w:footnoteReference w:id="71"/>
      </w:r>
    </w:p>
    <w:p w14:paraId="0769E563" w14:textId="1FEC15FE" w:rsidR="00A168A3" w:rsidRDefault="00FC6AB6" w:rsidP="00A00BC4">
      <w:pPr>
        <w:pStyle w:val="ListBullet2"/>
      </w:pPr>
      <w:r>
        <w:t>National Housing Accord;</w:t>
      </w:r>
      <w:r w:rsidR="00E821DF">
        <w:rPr>
          <w:rStyle w:val="FootnoteReference"/>
        </w:rPr>
        <w:footnoteReference w:id="72"/>
      </w:r>
    </w:p>
    <w:p w14:paraId="483DC5F5" w14:textId="725745AF" w:rsidR="00FC6AB6" w:rsidRDefault="00FC6AB6" w:rsidP="00A00BC4">
      <w:pPr>
        <w:pStyle w:val="ListBullet2"/>
      </w:pPr>
      <w:r>
        <w:t>Jacka community battery;</w:t>
      </w:r>
      <w:r w:rsidR="00E821DF">
        <w:rPr>
          <w:rStyle w:val="FootnoteReference"/>
        </w:rPr>
        <w:footnoteReference w:id="73"/>
      </w:r>
      <w:r w:rsidR="00C94A98">
        <w:t xml:space="preserve"> and</w:t>
      </w:r>
    </w:p>
    <w:p w14:paraId="44B30A83" w14:textId="6FAF79CD" w:rsidR="00FC6AB6" w:rsidRDefault="00FC6AB6" w:rsidP="00A00BC4">
      <w:pPr>
        <w:pStyle w:val="ListBullet2"/>
      </w:pPr>
      <w:r>
        <w:t>Whitlam green certification process</w:t>
      </w:r>
      <w:r w:rsidR="00C94A98">
        <w:t>.</w:t>
      </w:r>
      <w:r w:rsidR="00E821DF">
        <w:rPr>
          <w:rStyle w:val="FootnoteReference"/>
        </w:rPr>
        <w:footnoteReference w:id="74"/>
      </w:r>
    </w:p>
    <w:p w14:paraId="7A487296" w14:textId="77777777" w:rsidR="00C94A98" w:rsidRDefault="00C94A98" w:rsidP="00C94A98">
      <w:pPr>
        <w:pStyle w:val="Heading3"/>
      </w:pPr>
      <w:bookmarkStart w:id="32" w:name="_Toc129873707"/>
      <w:r w:rsidRPr="00AD5C04">
        <w:lastRenderedPageBreak/>
        <w:t>Key Issues</w:t>
      </w:r>
      <w:bookmarkEnd w:id="32"/>
    </w:p>
    <w:p w14:paraId="4860EB37" w14:textId="6C7AA938" w:rsidR="00C94A98" w:rsidRPr="00AD5C04" w:rsidRDefault="004547F9" w:rsidP="00C94A98">
      <w:pPr>
        <w:pStyle w:val="Heading4"/>
      </w:pPr>
      <w:r>
        <w:t>Social and affordable housing</w:t>
      </w:r>
    </w:p>
    <w:p w14:paraId="117FEF27" w14:textId="011DC90C" w:rsidR="00261405" w:rsidRDefault="00C94A98" w:rsidP="00C94A98">
      <w:pPr>
        <w:pStyle w:val="ListNumber2"/>
      </w:pPr>
      <w:r>
        <w:t xml:space="preserve">The </w:t>
      </w:r>
      <w:r w:rsidR="00E35FD9">
        <w:t>Committee examined the issue of social and affordable housing in the ACT</w:t>
      </w:r>
      <w:r w:rsidR="00261405">
        <w:t xml:space="preserve">, in light of the new District Strategies and Territory Plan released a week prior </w:t>
      </w:r>
      <w:r w:rsidR="00F042B5">
        <w:t xml:space="preserve">to this session, </w:t>
      </w:r>
      <w:r w:rsidR="00261405">
        <w:t>on 1</w:t>
      </w:r>
      <w:r w:rsidR="00F042B5">
        <w:t> </w:t>
      </w:r>
      <w:r w:rsidR="00261405">
        <w:t>November 2022</w:t>
      </w:r>
      <w:r w:rsidR="00E35FD9">
        <w:t>.</w:t>
      </w:r>
      <w:r w:rsidR="00E35FD9">
        <w:rPr>
          <w:rStyle w:val="FootnoteReference"/>
        </w:rPr>
        <w:footnoteReference w:id="75"/>
      </w:r>
    </w:p>
    <w:p w14:paraId="492C673C" w14:textId="6F7805AA" w:rsidR="00C94A98" w:rsidRDefault="00AA43D4" w:rsidP="00A21102">
      <w:pPr>
        <w:pStyle w:val="ListNumber2"/>
      </w:pPr>
      <w:r>
        <w:t xml:space="preserve">Future </w:t>
      </w:r>
      <w:r w:rsidR="00261405">
        <w:t>ACT-wide targets for planning were presented</w:t>
      </w:r>
      <w:r w:rsidR="00F042B5">
        <w:t xml:space="preserve"> in the District Strategies</w:t>
      </w:r>
      <w:r w:rsidR="00261405">
        <w:t>, including targets to the year 2046. One of these targets for sustainable neighbourhoods was for an increase in the share of all dwellings that are considered as social housing.</w:t>
      </w:r>
      <w:r w:rsidR="00261405">
        <w:rPr>
          <w:rStyle w:val="FootnoteReference"/>
        </w:rPr>
        <w:footnoteReference w:id="76"/>
      </w:r>
      <w:r w:rsidR="00A21102">
        <w:t xml:space="preserve"> </w:t>
      </w:r>
      <w:r w:rsidR="00E35FD9">
        <w:t>Currently, the share of all dwellings that are considered as social housing is 5.7 percent in the Territory, based on the ABS 2016 Census.</w:t>
      </w:r>
      <w:r w:rsidR="00261405">
        <w:t xml:space="preserve"> The new target was listed as 7-10 percent.</w:t>
      </w:r>
      <w:r w:rsidR="00E35FD9">
        <w:rPr>
          <w:rStyle w:val="FootnoteReference"/>
        </w:rPr>
        <w:footnoteReference w:id="77"/>
      </w:r>
      <w:r w:rsidR="00261405">
        <w:t xml:space="preserve"> </w:t>
      </w:r>
    </w:p>
    <w:p w14:paraId="332E3BDF" w14:textId="6DD817C5" w:rsidR="00261405" w:rsidRDefault="0003589D" w:rsidP="00C94A98">
      <w:pPr>
        <w:pStyle w:val="ListNumber2"/>
      </w:pPr>
      <w:r>
        <w:t xml:space="preserve">During the public hearing on 10 November 2022, the Minister for Housing and Suburban Development, Ms Yvette Berry MLA, told the Committee that the ACT Government was awaiting community feedback on the </w:t>
      </w:r>
      <w:r w:rsidR="000E042E">
        <w:t xml:space="preserve">draft </w:t>
      </w:r>
      <w:r>
        <w:t>District Strategies:</w:t>
      </w:r>
    </w:p>
    <w:p w14:paraId="71E69848" w14:textId="7AB8F370" w:rsidR="0003589D" w:rsidRDefault="0003589D" w:rsidP="0003589D">
      <w:pPr>
        <w:pStyle w:val="Quote"/>
      </w:pPr>
      <w:r>
        <w:t>We would work with Minister Gentleman in planning around the indicative land release program to understand the land release program and where we could purchase properties from the Suburban Land Agency to be able to meet those targets that are in the district strategy draft releases.</w:t>
      </w:r>
      <w:r>
        <w:rPr>
          <w:rStyle w:val="FootnoteReference"/>
        </w:rPr>
        <w:footnoteReference w:id="78"/>
      </w:r>
    </w:p>
    <w:p w14:paraId="478142DC" w14:textId="77777777" w:rsidR="00C94A98" w:rsidRDefault="00C94A98" w:rsidP="00E35FD9">
      <w:pPr>
        <w:pStyle w:val="Heading5"/>
      </w:pPr>
      <w:r>
        <w:t>Committee comment</w:t>
      </w:r>
    </w:p>
    <w:p w14:paraId="21252CC9" w14:textId="56F94709" w:rsidR="00BD7539" w:rsidRDefault="00C94A98" w:rsidP="00BD7539">
      <w:pPr>
        <w:pStyle w:val="ListNumber2"/>
      </w:pPr>
      <w:r w:rsidRPr="00DB65A8">
        <w:t xml:space="preserve">The Committee </w:t>
      </w:r>
      <w:r w:rsidR="00BD7539">
        <w:t>understands that the 10 targets contained in the draft District Strategies are all set to be ‘refined in the future to become key considerations across the ACT Government and used in the measurement of progress in delivery.’</w:t>
      </w:r>
      <w:r w:rsidR="00BD7539">
        <w:rPr>
          <w:rStyle w:val="FootnoteReference"/>
        </w:rPr>
        <w:footnoteReference w:id="79"/>
      </w:r>
    </w:p>
    <w:p w14:paraId="44EED880" w14:textId="0EF87C9C" w:rsidR="00C94A98" w:rsidRPr="00DB65A8" w:rsidRDefault="00BD7539" w:rsidP="00C94A98">
      <w:pPr>
        <w:pStyle w:val="ListNumber2"/>
      </w:pPr>
      <w:r>
        <w:t xml:space="preserve">The Committee </w:t>
      </w:r>
      <w:r w:rsidR="00E35FD9">
        <w:t>is of the view that</w:t>
      </w:r>
      <w:r w:rsidR="0003589D">
        <w:t>,</w:t>
      </w:r>
      <w:r w:rsidR="00E35FD9">
        <w:t xml:space="preserve"> </w:t>
      </w:r>
      <w:r w:rsidR="0003589D">
        <w:t xml:space="preserve">once the consultation period for the District Strategies has ended and the findings from it have been appropriately </w:t>
      </w:r>
      <w:r w:rsidR="00F042B5">
        <w:t>incorporated</w:t>
      </w:r>
      <w:r w:rsidR="0003589D">
        <w:t xml:space="preserve">, </w:t>
      </w:r>
      <w:r w:rsidR="00E35FD9">
        <w:t xml:space="preserve">the ACT Government </w:t>
      </w:r>
      <w:r w:rsidR="00F042B5">
        <w:t xml:space="preserve">clearly outline the steps it will take to meet the target </w:t>
      </w:r>
      <w:r>
        <w:t>for</w:t>
      </w:r>
      <w:r w:rsidR="00F042B5">
        <w:t xml:space="preserve"> 7-10 percent </w:t>
      </w:r>
      <w:r>
        <w:t>of</w:t>
      </w:r>
      <w:r w:rsidR="00F042B5">
        <w:t xml:space="preserve"> all new developments to be social and affordable housing</w:t>
      </w:r>
      <w:r>
        <w:t>, for inclusion in future ACT Government plans and strategies.</w:t>
      </w:r>
    </w:p>
    <w:tbl>
      <w:tblPr>
        <w:tblStyle w:val="Recommendationbox"/>
        <w:tblW w:w="0" w:type="auto"/>
        <w:tblLook w:val="04A0" w:firstRow="1" w:lastRow="0" w:firstColumn="1" w:lastColumn="0" w:noHBand="0" w:noVBand="1"/>
      </w:tblPr>
      <w:tblGrid>
        <w:gridCol w:w="8175"/>
      </w:tblGrid>
      <w:tr w:rsidR="00C94A98" w14:paraId="046DD0E2" w14:textId="77777777" w:rsidTr="00A91000">
        <w:tc>
          <w:tcPr>
            <w:tcW w:w="7891" w:type="dxa"/>
          </w:tcPr>
          <w:p w14:paraId="19F47387" w14:textId="77777777" w:rsidR="00C94A98" w:rsidRDefault="00C94A98" w:rsidP="00A91000">
            <w:pPr>
              <w:pStyle w:val="Recommendationheading"/>
            </w:pPr>
            <w:bookmarkStart w:id="33" w:name="_Toc129873729"/>
            <w:r>
              <w:t xml:space="preserve">Recommendation </w:t>
            </w:r>
            <w:r>
              <w:fldChar w:fldCharType="begin"/>
            </w:r>
            <w:r>
              <w:instrText xml:space="preserve"> AUTONUMLGL \* Arabic\e </w:instrText>
            </w:r>
            <w:r>
              <w:fldChar w:fldCharType="end"/>
            </w:r>
            <w:bookmarkEnd w:id="33"/>
          </w:p>
          <w:p w14:paraId="5200D164" w14:textId="7C0CAEA2" w:rsidR="00C94A98" w:rsidRPr="00AD5C04" w:rsidRDefault="00C94A98" w:rsidP="00A91000">
            <w:pPr>
              <w:pStyle w:val="Recommendationbody"/>
            </w:pPr>
            <w:bookmarkStart w:id="34" w:name="_Toc129873730"/>
            <w:r>
              <w:rPr>
                <w:rFonts w:ascii="Calibri-Bold" w:hAnsi="Calibri-Bold" w:cs="Calibri-Bold"/>
              </w:rPr>
              <w:t>The Committee recommends that the ACT Government</w:t>
            </w:r>
            <w:r w:rsidR="00E35FD9">
              <w:rPr>
                <w:rFonts w:ascii="Calibri-Bold" w:hAnsi="Calibri-Bold" w:cs="Calibri-Bold"/>
              </w:rPr>
              <w:t xml:space="preserve"> clarify and outline the steps it will take to meet the District Strategy target for 7</w:t>
            </w:r>
            <w:r w:rsidR="00F042B5">
              <w:rPr>
                <w:rFonts w:ascii="Calibri-Bold" w:hAnsi="Calibri-Bold" w:cs="Calibri-Bold"/>
              </w:rPr>
              <w:t>-</w:t>
            </w:r>
            <w:r w:rsidR="00E35FD9">
              <w:rPr>
                <w:rFonts w:ascii="Calibri-Bold" w:hAnsi="Calibri-Bold" w:cs="Calibri-Bold"/>
              </w:rPr>
              <w:t>10 percent of all new developments to be social and affordable housing.</w:t>
            </w:r>
            <w:bookmarkEnd w:id="34"/>
          </w:p>
        </w:tc>
      </w:tr>
    </w:tbl>
    <w:p w14:paraId="4F48CCB7" w14:textId="77777777" w:rsidR="00357B01" w:rsidRPr="007761CF" w:rsidRDefault="00357B01" w:rsidP="00357B01">
      <w:pPr>
        <w:pStyle w:val="Heading1"/>
        <w:pageBreakBefore/>
      </w:pPr>
      <w:bookmarkStart w:id="35" w:name="_Toc129873708"/>
      <w:r>
        <w:lastRenderedPageBreak/>
        <w:t>Transport Canberra and City Services Directorate</w:t>
      </w:r>
      <w:bookmarkEnd w:id="35"/>
    </w:p>
    <w:p w14:paraId="36E2755A" w14:textId="50AD922D" w:rsidR="00357B01" w:rsidRDefault="00357B01" w:rsidP="00357B01">
      <w:pPr>
        <w:pStyle w:val="ListNumber2"/>
        <w:rPr>
          <w:bdr w:val="nil"/>
        </w:rPr>
      </w:pPr>
      <w:r>
        <w:t>The Transport Canberra and City Services Directorate (TCCS)</w:t>
      </w:r>
      <w:r>
        <w:rPr>
          <w:bdr w:val="nil"/>
        </w:rPr>
        <w:t xml:space="preserve"> provides essential and core city services and infrastructure to the ACT.</w:t>
      </w:r>
      <w:r w:rsidR="003F36A8">
        <w:rPr>
          <w:rStyle w:val="FootnoteReference"/>
          <w:bdr w:val="nil"/>
        </w:rPr>
        <w:footnoteReference w:id="80"/>
      </w:r>
    </w:p>
    <w:p w14:paraId="55BBAEE6" w14:textId="5D49B771" w:rsidR="00357B01" w:rsidRDefault="00357B01" w:rsidP="00357B01">
      <w:pPr>
        <w:pStyle w:val="ListNumber2"/>
        <w:rPr>
          <w:bdr w:val="nil"/>
        </w:rPr>
      </w:pPr>
      <w:r w:rsidRPr="00357B01">
        <w:rPr>
          <w:bdr w:val="nil"/>
        </w:rPr>
        <w:t xml:space="preserve">Transport Canberra manages Canberra’s public transport system (including buses, light rail, and other forms of transport) and </w:t>
      </w:r>
      <w:r w:rsidR="00EF5E3D">
        <w:rPr>
          <w:bdr w:val="nil"/>
        </w:rPr>
        <w:t>c</w:t>
      </w:r>
      <w:r w:rsidRPr="00357B01">
        <w:rPr>
          <w:bdr w:val="nil"/>
        </w:rPr>
        <w:t>ity services delivered by TCCS include public libraries, the collection of recycling and waste, graffiti removal, shop and playground upgrades and grass mowing.</w:t>
      </w:r>
      <w:r w:rsidR="003F36A8">
        <w:rPr>
          <w:rStyle w:val="FootnoteReference"/>
          <w:bdr w:val="nil"/>
        </w:rPr>
        <w:footnoteReference w:id="81"/>
      </w:r>
    </w:p>
    <w:p w14:paraId="2D8ED743" w14:textId="375C62F9" w:rsidR="00357B01" w:rsidRDefault="00357B01" w:rsidP="00357B01">
      <w:pPr>
        <w:pStyle w:val="ListNumber2"/>
        <w:rPr>
          <w:bdr w:val="nil"/>
        </w:rPr>
      </w:pPr>
      <w:r w:rsidRPr="00357B01">
        <w:rPr>
          <w:bdr w:val="nil"/>
        </w:rPr>
        <w:t>TCCS is responsible for the management of urban trees, public open spaces and city places,</w:t>
      </w:r>
      <w:r w:rsidR="00EF5E3D">
        <w:rPr>
          <w:bdr w:val="nil"/>
        </w:rPr>
        <w:t xml:space="preserve"> </w:t>
      </w:r>
      <w:r w:rsidRPr="00357B01">
        <w:rPr>
          <w:bdr w:val="nil"/>
        </w:rPr>
        <w:t>domestic animal services, animal welfare</w:t>
      </w:r>
      <w:r w:rsidR="00EF5E3D">
        <w:rPr>
          <w:bdr w:val="nil"/>
        </w:rPr>
        <w:t>,</w:t>
      </w:r>
      <w:r w:rsidRPr="00357B01">
        <w:rPr>
          <w:bdr w:val="nil"/>
        </w:rPr>
        <w:t xml:space="preserve"> and other licensing and compliance services such as ranger services and permits for public land use. TCCS also manages roads, footpaths, streetlights</w:t>
      </w:r>
      <w:r w:rsidR="00EF5E3D">
        <w:rPr>
          <w:bdr w:val="nil"/>
        </w:rPr>
        <w:t>,</w:t>
      </w:r>
      <w:r w:rsidRPr="00357B01">
        <w:rPr>
          <w:bdr w:val="nil"/>
        </w:rPr>
        <w:t xml:space="preserve"> and cycle paths.</w:t>
      </w:r>
      <w:r w:rsidR="003F36A8">
        <w:rPr>
          <w:rStyle w:val="FootnoteReference"/>
          <w:bdr w:val="nil"/>
        </w:rPr>
        <w:footnoteReference w:id="82"/>
      </w:r>
    </w:p>
    <w:p w14:paraId="34246ACD" w14:textId="1F16DFBB" w:rsidR="00EF5E3D" w:rsidRDefault="00EF5E3D" w:rsidP="00EF5E3D">
      <w:pPr>
        <w:pStyle w:val="Heading2"/>
      </w:pPr>
      <w:bookmarkStart w:id="36" w:name="_Toc129873709"/>
      <w:r>
        <w:t>Minister for Transport and City Services—Administrative arrangements</w:t>
      </w:r>
      <w:bookmarkEnd w:id="36"/>
    </w:p>
    <w:p w14:paraId="50556979" w14:textId="430A97C0" w:rsidR="00B65DF0" w:rsidRDefault="00EF5E3D" w:rsidP="00B65DF0">
      <w:pPr>
        <w:pStyle w:val="ListNumber2"/>
      </w:pPr>
      <w:r>
        <w:t>The areas of responsibility covered by the Minister for Transport and City Services with TCCS are:</w:t>
      </w:r>
    </w:p>
    <w:p w14:paraId="66DFD95E" w14:textId="77777777" w:rsidR="00B65DF0" w:rsidRDefault="00EF5E3D" w:rsidP="00B65DF0">
      <w:pPr>
        <w:pStyle w:val="ListBullet"/>
        <w:tabs>
          <w:tab w:val="clear" w:pos="360"/>
        </w:tabs>
        <w:ind w:hanging="340"/>
      </w:pPr>
      <w:r>
        <w:t>Active travel (including road crossing supervision);</w:t>
      </w:r>
    </w:p>
    <w:p w14:paraId="23902585" w14:textId="77777777" w:rsidR="00B65DF0" w:rsidRDefault="00EF5E3D" w:rsidP="00B65DF0">
      <w:pPr>
        <w:pStyle w:val="ListBullet"/>
        <w:tabs>
          <w:tab w:val="clear" w:pos="360"/>
        </w:tabs>
        <w:ind w:hanging="340"/>
      </w:pPr>
      <w:r>
        <w:t>Autonomous vehicle policy;</w:t>
      </w:r>
    </w:p>
    <w:p w14:paraId="39A40ED9" w14:textId="77777777" w:rsidR="00B65DF0" w:rsidRDefault="00EF5E3D" w:rsidP="00B65DF0">
      <w:pPr>
        <w:pStyle w:val="ListBullet"/>
        <w:tabs>
          <w:tab w:val="clear" w:pos="360"/>
        </w:tabs>
        <w:ind w:hanging="340"/>
      </w:pPr>
      <w:r>
        <w:t>Community transport;</w:t>
      </w:r>
    </w:p>
    <w:p w14:paraId="6BC82E19" w14:textId="77777777" w:rsidR="00B65DF0" w:rsidRDefault="00EF5E3D" w:rsidP="00B65DF0">
      <w:pPr>
        <w:pStyle w:val="ListBullet"/>
        <w:tabs>
          <w:tab w:val="clear" w:pos="360"/>
        </w:tabs>
        <w:ind w:hanging="340"/>
      </w:pPr>
      <w:r>
        <w:t>Footpaths;</w:t>
      </w:r>
    </w:p>
    <w:p w14:paraId="79E1A243" w14:textId="77777777" w:rsidR="00B65DF0" w:rsidRDefault="00EF5E3D" w:rsidP="00B65DF0">
      <w:pPr>
        <w:pStyle w:val="ListBullet"/>
        <w:tabs>
          <w:tab w:val="clear" w:pos="360"/>
        </w:tabs>
        <w:ind w:hanging="340"/>
      </w:pPr>
      <w:r>
        <w:t>Mowing and verge maintenance;</w:t>
      </w:r>
    </w:p>
    <w:p w14:paraId="06C5D0F4" w14:textId="77777777" w:rsidR="00B65DF0" w:rsidRDefault="00EF5E3D" w:rsidP="00B65DF0">
      <w:pPr>
        <w:pStyle w:val="ListBullet"/>
        <w:tabs>
          <w:tab w:val="clear" w:pos="360"/>
        </w:tabs>
        <w:ind w:hanging="340"/>
      </w:pPr>
      <w:r>
        <w:t>Municipal services;</w:t>
      </w:r>
    </w:p>
    <w:p w14:paraId="57F0C693" w14:textId="77777777" w:rsidR="00B65DF0" w:rsidRDefault="00EF5E3D" w:rsidP="00B65DF0">
      <w:pPr>
        <w:pStyle w:val="ListBullet"/>
        <w:tabs>
          <w:tab w:val="clear" w:pos="360"/>
        </w:tabs>
        <w:ind w:hanging="340"/>
      </w:pPr>
      <w:r>
        <w:t>Parking policy;</w:t>
      </w:r>
    </w:p>
    <w:p w14:paraId="1F0E9CBB" w14:textId="77777777" w:rsidR="00B65DF0" w:rsidRDefault="00EF5E3D" w:rsidP="00B65DF0">
      <w:pPr>
        <w:pStyle w:val="ListBullet"/>
        <w:tabs>
          <w:tab w:val="clear" w:pos="360"/>
        </w:tabs>
        <w:ind w:hanging="340"/>
      </w:pPr>
      <w:r>
        <w:t>Policy relating to transport regulation and safety;</w:t>
      </w:r>
    </w:p>
    <w:p w14:paraId="547E488F" w14:textId="77777777" w:rsidR="00B65DF0" w:rsidRDefault="00EF5E3D" w:rsidP="00B65DF0">
      <w:pPr>
        <w:pStyle w:val="ListBullet"/>
        <w:tabs>
          <w:tab w:val="clear" w:pos="360"/>
        </w:tabs>
        <w:ind w:hanging="340"/>
      </w:pPr>
      <w:r>
        <w:t>Public space amenity;</w:t>
      </w:r>
    </w:p>
    <w:p w14:paraId="73FD1F63" w14:textId="77777777" w:rsidR="00B65DF0" w:rsidRDefault="00EF5E3D" w:rsidP="00B65DF0">
      <w:pPr>
        <w:pStyle w:val="ListBullet"/>
        <w:tabs>
          <w:tab w:val="clear" w:pos="360"/>
        </w:tabs>
        <w:ind w:hanging="340"/>
      </w:pPr>
      <w:r>
        <w:t>Recycling and waste policy (including clinical waste policy);</w:t>
      </w:r>
    </w:p>
    <w:p w14:paraId="1027A86E" w14:textId="77777777" w:rsidR="00B65DF0" w:rsidRDefault="00EF5E3D" w:rsidP="00B65DF0">
      <w:pPr>
        <w:pStyle w:val="ListBullet"/>
        <w:tabs>
          <w:tab w:val="clear" w:pos="360"/>
        </w:tabs>
        <w:ind w:hanging="340"/>
      </w:pPr>
      <w:r>
        <w:t>Roads and bridges;</w:t>
      </w:r>
    </w:p>
    <w:p w14:paraId="76C79DC3" w14:textId="77777777" w:rsidR="00B65DF0" w:rsidRDefault="00EF5E3D" w:rsidP="00B65DF0">
      <w:pPr>
        <w:pStyle w:val="ListBullet"/>
        <w:tabs>
          <w:tab w:val="clear" w:pos="360"/>
        </w:tabs>
        <w:ind w:hanging="340"/>
      </w:pPr>
      <w:r>
        <w:t>Stormwater;</w:t>
      </w:r>
    </w:p>
    <w:p w14:paraId="2FFCF97A" w14:textId="77777777" w:rsidR="00B65DF0" w:rsidRDefault="00EF5E3D" w:rsidP="00B65DF0">
      <w:pPr>
        <w:pStyle w:val="ListBullet"/>
        <w:tabs>
          <w:tab w:val="clear" w:pos="360"/>
        </w:tabs>
        <w:ind w:hanging="340"/>
      </w:pPr>
      <w:r>
        <w:t>Transport Canberra; and</w:t>
      </w:r>
    </w:p>
    <w:p w14:paraId="56280423" w14:textId="443E9593" w:rsidR="00EF5E3D" w:rsidRDefault="00EF5E3D" w:rsidP="00B65DF0">
      <w:pPr>
        <w:pStyle w:val="ListBullet"/>
        <w:tabs>
          <w:tab w:val="clear" w:pos="360"/>
        </w:tabs>
        <w:ind w:hanging="340"/>
      </w:pPr>
      <w:r>
        <w:lastRenderedPageBreak/>
        <w:t>Transport planning and reform.</w:t>
      </w:r>
      <w:r>
        <w:rPr>
          <w:rStyle w:val="FootnoteReference"/>
        </w:rPr>
        <w:footnoteReference w:id="83"/>
      </w:r>
    </w:p>
    <w:p w14:paraId="690B952A" w14:textId="54535256" w:rsidR="00EF5E3D" w:rsidRDefault="00EF5E3D" w:rsidP="00EF5E3D">
      <w:pPr>
        <w:pStyle w:val="ListNumber2"/>
      </w:pPr>
      <w:r>
        <w:t>The areas of responsibility covered by the Minister for Transport and City Services with Major Projects Canberra are:</w:t>
      </w:r>
    </w:p>
    <w:p w14:paraId="7C664C3D" w14:textId="6704A19C" w:rsidR="00EF5E3D" w:rsidRDefault="00EF5E3D" w:rsidP="00EF5E3D">
      <w:pPr>
        <w:pStyle w:val="ListBullet"/>
        <w:tabs>
          <w:tab w:val="clear" w:pos="360"/>
        </w:tabs>
        <w:ind w:hanging="340"/>
      </w:pPr>
      <w:r>
        <w:t>Delivery of the City to Woden light rail project and finalisation of the Gungahlin to the City light rail project.</w:t>
      </w:r>
      <w:r>
        <w:rPr>
          <w:rStyle w:val="FootnoteReference"/>
        </w:rPr>
        <w:footnoteReference w:id="84"/>
      </w:r>
    </w:p>
    <w:p w14:paraId="305EE5DE" w14:textId="360497B4" w:rsidR="007E658C" w:rsidRPr="00AD5C04" w:rsidRDefault="007E658C" w:rsidP="007E658C">
      <w:pPr>
        <w:pStyle w:val="Heading3"/>
      </w:pPr>
      <w:bookmarkStart w:id="37" w:name="_Toc129873710"/>
      <w:r w:rsidRPr="00AD5C04">
        <w:t>Matters considered</w:t>
      </w:r>
      <w:r w:rsidR="00DB24D1">
        <w:t xml:space="preserve"> – Session 1</w:t>
      </w:r>
      <w:bookmarkEnd w:id="37"/>
    </w:p>
    <w:p w14:paraId="43A539E9" w14:textId="28B9E07E" w:rsidR="007E658C" w:rsidRDefault="007E658C" w:rsidP="007E658C">
      <w:pPr>
        <w:pStyle w:val="ListNumber2"/>
      </w:pPr>
      <w:r w:rsidRPr="00C04DBC">
        <w:t xml:space="preserve">During the </w:t>
      </w:r>
      <w:r>
        <w:t>Minister for Transport and City Services’</w:t>
      </w:r>
      <w:r w:rsidRPr="00C04DBC">
        <w:t xml:space="preserve"> appearance before the Committee on </w:t>
      </w:r>
      <w:r>
        <w:t>31 October</w:t>
      </w:r>
      <w:r w:rsidRPr="00C04DBC">
        <w:t xml:space="preserve"> 2022</w:t>
      </w:r>
      <w:r w:rsidR="00DB24D1">
        <w:t xml:space="preserve"> (Session 1)</w:t>
      </w:r>
      <w:r>
        <w:t>,</w:t>
      </w:r>
      <w:r w:rsidRPr="00C04DBC">
        <w:t xml:space="preserve"> the following matters were considered</w:t>
      </w:r>
      <w:r>
        <w:t>:</w:t>
      </w:r>
    </w:p>
    <w:p w14:paraId="4DBB9E96" w14:textId="4CAAD7F3" w:rsidR="007E658C" w:rsidRDefault="007E658C" w:rsidP="00B65DF0">
      <w:pPr>
        <w:pStyle w:val="ListBullet2"/>
      </w:pPr>
      <w:r>
        <w:t>Reporting against the ACT Climate Change Strategy</w:t>
      </w:r>
      <w:r w:rsidR="00904BBE">
        <w:t xml:space="preserve"> 2019-25</w:t>
      </w:r>
      <w:r>
        <w:t>;</w:t>
      </w:r>
      <w:r>
        <w:rPr>
          <w:rStyle w:val="FootnoteReference"/>
        </w:rPr>
        <w:footnoteReference w:id="85"/>
      </w:r>
    </w:p>
    <w:p w14:paraId="31BFC054" w14:textId="77777777" w:rsidR="007E658C" w:rsidRDefault="007E658C" w:rsidP="00B65DF0">
      <w:pPr>
        <w:pStyle w:val="ListBullet2"/>
      </w:pPr>
      <w:r>
        <w:t>TCCS emissions reduction plan 2019-20 and 2024-25;</w:t>
      </w:r>
      <w:r>
        <w:rPr>
          <w:rStyle w:val="FootnoteReference"/>
        </w:rPr>
        <w:footnoteReference w:id="86"/>
      </w:r>
    </w:p>
    <w:p w14:paraId="24421635" w14:textId="77777777" w:rsidR="007E658C" w:rsidRDefault="007E658C" w:rsidP="00B65DF0">
      <w:pPr>
        <w:pStyle w:val="ListBullet2"/>
      </w:pPr>
      <w:r>
        <w:t>Gender-sensitive urban design guidelines;</w:t>
      </w:r>
      <w:r>
        <w:rPr>
          <w:rStyle w:val="FootnoteReference"/>
        </w:rPr>
        <w:footnoteReference w:id="87"/>
      </w:r>
    </w:p>
    <w:p w14:paraId="165AB1DE" w14:textId="77777777" w:rsidR="007E658C" w:rsidRDefault="007E658C" w:rsidP="00B65DF0">
      <w:pPr>
        <w:pStyle w:val="ListBullet2"/>
      </w:pPr>
      <w:r>
        <w:t>Cost and completion date for Light Rail Stage 2;</w:t>
      </w:r>
      <w:r>
        <w:rPr>
          <w:rStyle w:val="FootnoteReference"/>
        </w:rPr>
        <w:footnoteReference w:id="88"/>
      </w:r>
    </w:p>
    <w:p w14:paraId="3066577C" w14:textId="77777777" w:rsidR="007E658C" w:rsidRDefault="007E658C" w:rsidP="00B65DF0">
      <w:pPr>
        <w:pStyle w:val="ListBullet2"/>
      </w:pPr>
      <w:r>
        <w:t>Raising of London Circuit Project – Light Rail;</w:t>
      </w:r>
      <w:r>
        <w:rPr>
          <w:rStyle w:val="FootnoteReference"/>
        </w:rPr>
        <w:footnoteReference w:id="89"/>
      </w:r>
    </w:p>
    <w:p w14:paraId="6136EE9C" w14:textId="77777777" w:rsidR="007E658C" w:rsidRDefault="007E658C" w:rsidP="00B65DF0">
      <w:pPr>
        <w:pStyle w:val="ListBullet2"/>
      </w:pPr>
      <w:r>
        <w:t>Construction works and impacts to existing Light Rail services;</w:t>
      </w:r>
      <w:r>
        <w:rPr>
          <w:rStyle w:val="FootnoteReference"/>
        </w:rPr>
        <w:footnoteReference w:id="90"/>
      </w:r>
    </w:p>
    <w:p w14:paraId="136CCA37" w14:textId="77777777" w:rsidR="007E658C" w:rsidRDefault="007E658C" w:rsidP="00B65DF0">
      <w:pPr>
        <w:pStyle w:val="ListBullet2"/>
      </w:pPr>
      <w:r>
        <w:t>Active travel;</w:t>
      </w:r>
      <w:r>
        <w:rPr>
          <w:rStyle w:val="FootnoteReference"/>
        </w:rPr>
        <w:footnoteReference w:id="91"/>
      </w:r>
    </w:p>
    <w:p w14:paraId="4F9656E7" w14:textId="77777777" w:rsidR="007E658C" w:rsidRDefault="007E658C" w:rsidP="00B65DF0">
      <w:pPr>
        <w:pStyle w:val="ListBullet2"/>
      </w:pPr>
      <w:r>
        <w:t>Federal funding for Light Rail;</w:t>
      </w:r>
      <w:r>
        <w:rPr>
          <w:rStyle w:val="FootnoteReference"/>
        </w:rPr>
        <w:footnoteReference w:id="92"/>
      </w:r>
    </w:p>
    <w:p w14:paraId="5590BB3A" w14:textId="77777777" w:rsidR="007E658C" w:rsidRDefault="007E658C" w:rsidP="00B65DF0">
      <w:pPr>
        <w:pStyle w:val="ListBullet2"/>
      </w:pPr>
      <w:r>
        <w:t>Emissions reduction working group;</w:t>
      </w:r>
      <w:r>
        <w:rPr>
          <w:rStyle w:val="FootnoteReference"/>
        </w:rPr>
        <w:footnoteReference w:id="93"/>
      </w:r>
    </w:p>
    <w:p w14:paraId="2C6B7BB6" w14:textId="77777777" w:rsidR="007E658C" w:rsidRDefault="007E658C" w:rsidP="00B65DF0">
      <w:pPr>
        <w:pStyle w:val="ListBullet2"/>
      </w:pPr>
      <w:r>
        <w:t>Public transport services during COVID-19;</w:t>
      </w:r>
      <w:r>
        <w:rPr>
          <w:rStyle w:val="FootnoteReference"/>
        </w:rPr>
        <w:footnoteReference w:id="94"/>
      </w:r>
    </w:p>
    <w:p w14:paraId="3275AE37" w14:textId="77777777" w:rsidR="007E658C" w:rsidRDefault="007E658C" w:rsidP="00B65DF0">
      <w:pPr>
        <w:pStyle w:val="ListBullet2"/>
      </w:pPr>
      <w:r>
        <w:t>Electric buses;</w:t>
      </w:r>
      <w:r>
        <w:rPr>
          <w:rStyle w:val="FootnoteReference"/>
        </w:rPr>
        <w:footnoteReference w:id="95"/>
      </w:r>
      <w:r>
        <w:t xml:space="preserve"> and</w:t>
      </w:r>
    </w:p>
    <w:p w14:paraId="67A93730" w14:textId="77777777" w:rsidR="007E658C" w:rsidRDefault="007E658C" w:rsidP="00B65DF0">
      <w:pPr>
        <w:pStyle w:val="ListBullet2"/>
      </w:pPr>
      <w:r>
        <w:t>Diesel buses.</w:t>
      </w:r>
      <w:r>
        <w:rPr>
          <w:rStyle w:val="FootnoteReference"/>
        </w:rPr>
        <w:footnoteReference w:id="96"/>
      </w:r>
    </w:p>
    <w:p w14:paraId="5D749F98" w14:textId="77777777" w:rsidR="00D415A6" w:rsidRDefault="00D415A6" w:rsidP="00D415A6">
      <w:pPr>
        <w:pStyle w:val="Heading3"/>
      </w:pPr>
      <w:bookmarkStart w:id="38" w:name="_Toc129873711"/>
      <w:r w:rsidRPr="00AD5C04">
        <w:lastRenderedPageBreak/>
        <w:t>Key Issues</w:t>
      </w:r>
      <w:bookmarkEnd w:id="38"/>
    </w:p>
    <w:p w14:paraId="00786165" w14:textId="1DD37E42" w:rsidR="00C555ED" w:rsidRDefault="00C555ED" w:rsidP="00C555ED">
      <w:pPr>
        <w:pStyle w:val="Heading4"/>
      </w:pPr>
      <w:r>
        <w:t>ACT Climate Change Strategy</w:t>
      </w:r>
      <w:r w:rsidR="00D00681">
        <w:t xml:space="preserve"> 2019-25</w:t>
      </w:r>
    </w:p>
    <w:p w14:paraId="0292CEF9" w14:textId="20EB3616" w:rsidR="00D42610" w:rsidRDefault="00D42610" w:rsidP="00D42610">
      <w:pPr>
        <w:pStyle w:val="ListNumber2"/>
      </w:pPr>
      <w:r>
        <w:t xml:space="preserve">The </w:t>
      </w:r>
      <w:r w:rsidRPr="00D240BE">
        <w:rPr>
          <w:i/>
          <w:iCs/>
        </w:rPr>
        <w:t xml:space="preserve">ACT Climate Change Strategy 2019-2025 </w:t>
      </w:r>
      <w:r>
        <w:t xml:space="preserve">sets out the pathway for the Territory to reduce emissions by 50 to 60 per cent (below 1990 levels) by 2025 and achieving net zero emissions by 2045. The </w:t>
      </w:r>
      <w:r w:rsidR="00D240BE" w:rsidRPr="00D240BE">
        <w:rPr>
          <w:i/>
          <w:iCs/>
        </w:rPr>
        <w:t>ACT Climate Change Strategy 2019-2025</w:t>
      </w:r>
      <w:r>
        <w:t xml:space="preserve"> </w:t>
      </w:r>
      <w:r w:rsidR="00D240BE">
        <w:t xml:space="preserve">also </w:t>
      </w:r>
      <w:r>
        <w:t>includes a Zero Emissions Government Framework where the ACT Government has committed to reducing its greenhouse-gas emissions in its operations to zero by 2040.</w:t>
      </w:r>
      <w:r w:rsidR="00D240BE">
        <w:rPr>
          <w:rStyle w:val="FootnoteReference"/>
        </w:rPr>
        <w:footnoteReference w:id="97"/>
      </w:r>
    </w:p>
    <w:p w14:paraId="253D1711" w14:textId="5BE422CB" w:rsidR="00C555ED" w:rsidRDefault="00D42610" w:rsidP="00D42610">
      <w:pPr>
        <w:pStyle w:val="ListNumber2"/>
      </w:pPr>
      <w:r>
        <w:t>Th</w:t>
      </w:r>
      <w:r w:rsidR="00D240BE">
        <w:t xml:space="preserve">e Committee noted during the public hearing that in the TCCS Strategic Plan 2021-24, one of the identified measures for TCCS was six-monthly reporting against the </w:t>
      </w:r>
      <w:r w:rsidR="00D240BE" w:rsidRPr="00D240BE">
        <w:rPr>
          <w:i/>
          <w:iCs/>
        </w:rPr>
        <w:t>ACT Climate Change Strategy 2019-2025</w:t>
      </w:r>
      <w:r w:rsidR="00DF49CE">
        <w:rPr>
          <w:i/>
          <w:iCs/>
        </w:rPr>
        <w:t>,</w:t>
      </w:r>
      <w:r w:rsidR="00DF49CE" w:rsidRPr="00DF49CE">
        <w:rPr>
          <w:rStyle w:val="FootnoteReference"/>
        </w:rPr>
        <w:footnoteReference w:id="98"/>
      </w:r>
      <w:r w:rsidR="00D240BE">
        <w:t xml:space="preserve"> along with performance data in the TCCS </w:t>
      </w:r>
      <w:r w:rsidR="00005685">
        <w:t>A</w:t>
      </w:r>
      <w:r w:rsidR="00D240BE">
        <w:t xml:space="preserve">nnual and </w:t>
      </w:r>
      <w:r w:rsidR="00005685">
        <w:t>F</w:t>
      </w:r>
      <w:r w:rsidR="00D240BE">
        <w:t xml:space="preserve">inancial </w:t>
      </w:r>
      <w:r w:rsidR="00005685">
        <w:t>R</w:t>
      </w:r>
      <w:r w:rsidR="00D240BE">
        <w:t>eport’s Ecological and Sustainable Development section, and asked the Minister for Transport and City Services whether these six-monthly reports have happened.</w:t>
      </w:r>
      <w:r w:rsidR="00D240BE">
        <w:rPr>
          <w:rStyle w:val="FootnoteReference"/>
        </w:rPr>
        <w:footnoteReference w:id="99"/>
      </w:r>
    </w:p>
    <w:p w14:paraId="6F956732" w14:textId="5E817CDC" w:rsidR="00D240BE" w:rsidRDefault="00D240BE" w:rsidP="00D240BE">
      <w:pPr>
        <w:pStyle w:val="ListNumber2"/>
      </w:pPr>
      <w:r>
        <w:t>Ms Alison Playford, Director-General of TCCS, stated that the Directorate will include some of this information in their future annual and financial reports:</w:t>
      </w:r>
      <w:r>
        <w:rPr>
          <w:rStyle w:val="FootnoteReference"/>
        </w:rPr>
        <w:footnoteReference w:id="100"/>
      </w:r>
    </w:p>
    <w:p w14:paraId="7E11E956" w14:textId="48F5A320" w:rsidR="00D240BE" w:rsidRDefault="00D240BE" w:rsidP="00D240BE">
      <w:pPr>
        <w:pStyle w:val="Quote"/>
      </w:pPr>
      <w:r>
        <w:t>I do not think it is included in this one because we are moving to our new reporting system. We already provide input into whole-of-government collection of reporting against the Climate Change Strategy, which is publicly available.</w:t>
      </w:r>
      <w:r>
        <w:rPr>
          <w:rStyle w:val="FootnoteReference"/>
        </w:rPr>
        <w:footnoteReference w:id="101"/>
      </w:r>
    </w:p>
    <w:p w14:paraId="3451E674" w14:textId="77777777" w:rsidR="00C555ED" w:rsidRDefault="00C555ED" w:rsidP="00C555ED">
      <w:pPr>
        <w:pStyle w:val="Heading5"/>
      </w:pPr>
      <w:r>
        <w:t>Committee Comment</w:t>
      </w:r>
    </w:p>
    <w:p w14:paraId="4DE0CA46" w14:textId="1ACF2144" w:rsidR="00591BE3" w:rsidRDefault="00C555ED" w:rsidP="00591BE3">
      <w:pPr>
        <w:pStyle w:val="ListNumber2"/>
      </w:pPr>
      <w:r>
        <w:t xml:space="preserve">The Committee </w:t>
      </w:r>
      <w:r w:rsidR="00591BE3">
        <w:t xml:space="preserve">is of the view that regular reporting can be used to assess performance and quantify rates of improvement or progress toward goals and objectives, and would therefore like for Transport Canberra to publish their six-monthly reporting against the </w:t>
      </w:r>
      <w:r w:rsidR="00591BE3" w:rsidRPr="00D240BE">
        <w:rPr>
          <w:i/>
          <w:iCs/>
        </w:rPr>
        <w:t xml:space="preserve">ACT Climate Change Strategy 2019-2025 </w:t>
      </w:r>
      <w:r w:rsidR="00591BE3">
        <w:t>as per their commitment in the TCCS Strategic Plan 2021-24.</w:t>
      </w:r>
    </w:p>
    <w:tbl>
      <w:tblPr>
        <w:tblStyle w:val="Recommendationbox"/>
        <w:tblW w:w="0" w:type="auto"/>
        <w:tblLook w:val="04A0" w:firstRow="1" w:lastRow="0" w:firstColumn="1" w:lastColumn="0" w:noHBand="0" w:noVBand="1"/>
      </w:tblPr>
      <w:tblGrid>
        <w:gridCol w:w="8175"/>
      </w:tblGrid>
      <w:tr w:rsidR="00C555ED" w14:paraId="215D728E" w14:textId="77777777" w:rsidTr="0002366E">
        <w:tc>
          <w:tcPr>
            <w:tcW w:w="7891" w:type="dxa"/>
          </w:tcPr>
          <w:p w14:paraId="14AB7F36" w14:textId="77777777" w:rsidR="00C555ED" w:rsidRDefault="00C555ED" w:rsidP="0002366E">
            <w:pPr>
              <w:pStyle w:val="Recommendationheading"/>
            </w:pPr>
            <w:bookmarkStart w:id="39" w:name="_Toc129873731"/>
            <w:r>
              <w:t xml:space="preserve">Recommendation </w:t>
            </w:r>
            <w:r>
              <w:fldChar w:fldCharType="begin"/>
            </w:r>
            <w:r>
              <w:instrText xml:space="preserve"> AUTONUMLGL \* Arabic\e </w:instrText>
            </w:r>
            <w:r>
              <w:fldChar w:fldCharType="end"/>
            </w:r>
            <w:bookmarkEnd w:id="39"/>
          </w:p>
          <w:p w14:paraId="123BF61D" w14:textId="406D201D" w:rsidR="00C555ED" w:rsidRPr="00AD5C04" w:rsidRDefault="00C555ED" w:rsidP="0002366E">
            <w:pPr>
              <w:pStyle w:val="Recommendationbody"/>
            </w:pPr>
            <w:bookmarkStart w:id="40" w:name="_Toc129873732"/>
            <w:r>
              <w:rPr>
                <w:rFonts w:ascii="Calibri-Bold" w:hAnsi="Calibri-Bold" w:cs="Calibri-Bold"/>
              </w:rPr>
              <w:t xml:space="preserve">The Committee recommends that Transport Canberra publish six-monthly reporting against the </w:t>
            </w:r>
            <w:r w:rsidRPr="00CB619D">
              <w:rPr>
                <w:rFonts w:ascii="Calibri-Bold" w:hAnsi="Calibri-Bold" w:cs="Calibri-Bold"/>
                <w:i/>
                <w:iCs/>
              </w:rPr>
              <w:t>ACT Climate Change Strategy 2019-25</w:t>
            </w:r>
            <w:r>
              <w:rPr>
                <w:rFonts w:ascii="Calibri-Bold" w:hAnsi="Calibri-Bold" w:cs="Calibri-Bold"/>
              </w:rPr>
              <w:t xml:space="preserve"> as per the measure in the TCCS Strategic Plan 2021-24.</w:t>
            </w:r>
            <w:bookmarkEnd w:id="40"/>
          </w:p>
        </w:tc>
      </w:tr>
    </w:tbl>
    <w:p w14:paraId="454FDF4F" w14:textId="03866AE8" w:rsidR="00591BE3" w:rsidRDefault="00591BE3" w:rsidP="00591BE3">
      <w:pPr>
        <w:pStyle w:val="Heading4"/>
      </w:pPr>
      <w:r>
        <w:t xml:space="preserve">Emissions Reduction Plan 2019-20 </w:t>
      </w:r>
      <w:r w:rsidR="000A635F">
        <w:t>to</w:t>
      </w:r>
      <w:r>
        <w:t xml:space="preserve"> 2024-25</w:t>
      </w:r>
    </w:p>
    <w:p w14:paraId="3682C39F" w14:textId="00BF9B80" w:rsidR="00591BE3" w:rsidRDefault="007E7DEC" w:rsidP="00591BE3">
      <w:pPr>
        <w:pStyle w:val="ListNumber2"/>
      </w:pPr>
      <w:r>
        <w:t xml:space="preserve">The Committee noted during the public hearing that in the TCCS </w:t>
      </w:r>
      <w:r w:rsidR="00005685">
        <w:t>A</w:t>
      </w:r>
      <w:r>
        <w:t xml:space="preserve">nnual and </w:t>
      </w:r>
      <w:r w:rsidR="00005685">
        <w:t>F</w:t>
      </w:r>
      <w:r>
        <w:t xml:space="preserve">inancial </w:t>
      </w:r>
      <w:r w:rsidR="00005685">
        <w:t>R</w:t>
      </w:r>
      <w:r>
        <w:t>eport</w:t>
      </w:r>
      <w:r w:rsidR="0087083B">
        <w:t xml:space="preserve"> 2021-22</w:t>
      </w:r>
      <w:r>
        <w:t xml:space="preserve">, there is a reference to </w:t>
      </w:r>
      <w:r w:rsidR="0087083B">
        <w:t>E</w:t>
      </w:r>
      <w:r>
        <w:t xml:space="preserve">missions </w:t>
      </w:r>
      <w:r w:rsidR="0087083B">
        <w:t>R</w:t>
      </w:r>
      <w:r>
        <w:t xml:space="preserve">eduction </w:t>
      </w:r>
      <w:r w:rsidR="0087083B">
        <w:t>P</w:t>
      </w:r>
      <w:r>
        <w:t>lan</w:t>
      </w:r>
      <w:r w:rsidR="0087083B">
        <w:t>s:</w:t>
      </w:r>
      <w:r w:rsidR="0087083B">
        <w:rPr>
          <w:rStyle w:val="FootnoteReference"/>
        </w:rPr>
        <w:footnoteReference w:id="102"/>
      </w:r>
    </w:p>
    <w:p w14:paraId="7454995E" w14:textId="40AF79D9" w:rsidR="0087083B" w:rsidRDefault="0087083B" w:rsidP="0087083B">
      <w:pPr>
        <w:pStyle w:val="Quote"/>
      </w:pPr>
      <w:r>
        <w:lastRenderedPageBreak/>
        <w:t xml:space="preserve">In 2021-22, TCCS continued to pursue activities identified in the TCCS Emissions Reduction Plan 2019-20 to 2024-25 to contribute to the whole of government target, reported in the 2020-21 Minister’s Annual Report under the </w:t>
      </w:r>
      <w:r w:rsidRPr="0087083B">
        <w:rPr>
          <w:i/>
          <w:iCs/>
        </w:rPr>
        <w:t>Climate Change and Greenhouse Gas Reduction Act 2010</w:t>
      </w:r>
      <w:r>
        <w:t>.</w:t>
      </w:r>
      <w:r>
        <w:rPr>
          <w:rStyle w:val="FootnoteReference"/>
        </w:rPr>
        <w:footnoteReference w:id="103"/>
      </w:r>
    </w:p>
    <w:p w14:paraId="109BD571" w14:textId="4478C835" w:rsidR="0087083B" w:rsidRDefault="0087083B" w:rsidP="0087083B">
      <w:pPr>
        <w:pStyle w:val="ListNumber2"/>
      </w:pPr>
      <w:r>
        <w:t>The Committee asked whether this is a public document, to which the response was that it ‘</w:t>
      </w:r>
      <w:r w:rsidR="007E7DEC">
        <w:t>is a document that is still under development and finalisation.</w:t>
      </w:r>
      <w:r>
        <w:t>’</w:t>
      </w:r>
      <w:r>
        <w:rPr>
          <w:rStyle w:val="FootnoteReference"/>
        </w:rPr>
        <w:footnoteReference w:id="104"/>
      </w:r>
      <w:r>
        <w:t xml:space="preserve"> When the Committee asked whether it will be published when it is finished, Ms Alison Playford, Director-General of TCCS, stated that:</w:t>
      </w:r>
    </w:p>
    <w:p w14:paraId="7DFBCEF2" w14:textId="39D7FEE7" w:rsidR="0087083B" w:rsidRDefault="0087083B" w:rsidP="0087083B">
      <w:pPr>
        <w:pStyle w:val="Quote"/>
      </w:pPr>
      <w:r>
        <w:t>That will be something we will need to consider when we finish it. We will certainly be looking to provide information around that document in our annual report going forward.</w:t>
      </w:r>
      <w:r w:rsidR="006728B7">
        <w:rPr>
          <w:rStyle w:val="FootnoteReference"/>
        </w:rPr>
        <w:footnoteReference w:id="105"/>
      </w:r>
    </w:p>
    <w:p w14:paraId="5CBFC0F3" w14:textId="5AF2FA8C" w:rsidR="00591BE3" w:rsidRDefault="00591BE3" w:rsidP="00591BE3">
      <w:pPr>
        <w:pStyle w:val="Heading5"/>
      </w:pPr>
      <w:r>
        <w:t>Committee Comment</w:t>
      </w:r>
    </w:p>
    <w:p w14:paraId="435A0D55" w14:textId="3B3F3150" w:rsidR="00591BE3" w:rsidRDefault="00591BE3" w:rsidP="00591BE3">
      <w:pPr>
        <w:pStyle w:val="ListNumber2"/>
      </w:pPr>
      <w:r>
        <w:t xml:space="preserve">The Committee </w:t>
      </w:r>
      <w:r w:rsidR="0087083B">
        <w:t xml:space="preserve">would like for Transport Canberra and City Services to publish its Emissions Reduction Plan 2019-20 to 2024-25 when they have been finalised, and also clarify </w:t>
      </w:r>
      <w:r w:rsidR="005D6225">
        <w:t>which of the 2</w:t>
      </w:r>
      <w:r w:rsidR="00904BBE">
        <w:t>4</w:t>
      </w:r>
      <w:r w:rsidR="005D6225">
        <w:t xml:space="preserve"> emissions reduction actions </w:t>
      </w:r>
      <w:r w:rsidR="00904BBE">
        <w:t xml:space="preserve">assigned to TCCS </w:t>
      </w:r>
      <w:r w:rsidR="005D6225">
        <w:t>have been completed to date</w:t>
      </w:r>
      <w:r w:rsidR="00904BBE">
        <w:t xml:space="preserve"> on the </w:t>
      </w:r>
      <w:r w:rsidR="00904BBE" w:rsidRPr="00D00681">
        <w:rPr>
          <w:i/>
          <w:iCs/>
        </w:rPr>
        <w:t>ACT Climate Change Strategy 2019-25</w:t>
      </w:r>
      <w:r w:rsidR="005D6225">
        <w:t>.</w:t>
      </w:r>
    </w:p>
    <w:tbl>
      <w:tblPr>
        <w:tblStyle w:val="Recommendationbox"/>
        <w:tblW w:w="0" w:type="auto"/>
        <w:tblLook w:val="04A0" w:firstRow="1" w:lastRow="0" w:firstColumn="1" w:lastColumn="0" w:noHBand="0" w:noVBand="1"/>
      </w:tblPr>
      <w:tblGrid>
        <w:gridCol w:w="8175"/>
      </w:tblGrid>
      <w:tr w:rsidR="00591BE3" w14:paraId="5C8B4920" w14:textId="77777777" w:rsidTr="0002366E">
        <w:tc>
          <w:tcPr>
            <w:tcW w:w="7891" w:type="dxa"/>
          </w:tcPr>
          <w:p w14:paraId="70BE54A9" w14:textId="77777777" w:rsidR="00591BE3" w:rsidRDefault="00591BE3" w:rsidP="0002366E">
            <w:pPr>
              <w:pStyle w:val="Recommendationheading"/>
            </w:pPr>
            <w:bookmarkStart w:id="41" w:name="_Toc129873733"/>
            <w:r>
              <w:t xml:space="preserve">Recommendation </w:t>
            </w:r>
            <w:r>
              <w:fldChar w:fldCharType="begin"/>
            </w:r>
            <w:r>
              <w:instrText xml:space="preserve"> AUTONUMLGL \* Arabic\e </w:instrText>
            </w:r>
            <w:r>
              <w:fldChar w:fldCharType="end"/>
            </w:r>
            <w:bookmarkEnd w:id="41"/>
          </w:p>
          <w:p w14:paraId="50C2CEFB" w14:textId="3BFFD15A" w:rsidR="00591BE3" w:rsidRPr="00AD5C04" w:rsidRDefault="00591BE3" w:rsidP="0002366E">
            <w:pPr>
              <w:pStyle w:val="Recommendationbody"/>
            </w:pPr>
            <w:bookmarkStart w:id="42" w:name="_Toc129873734"/>
            <w:r>
              <w:rPr>
                <w:rFonts w:ascii="Calibri-Bold" w:hAnsi="Calibri-Bold" w:cs="Calibri-Bold"/>
              </w:rPr>
              <w:t>The Committee recommends that Transport Canberra and City Services</w:t>
            </w:r>
            <w:r w:rsidR="000A635F">
              <w:rPr>
                <w:rFonts w:ascii="Calibri-Bold" w:hAnsi="Calibri-Bold" w:cs="Calibri-Bold"/>
              </w:rPr>
              <w:t xml:space="preserve"> publish its Emissions Reduction Plan 2019-20 to 2024-25 and clarify which of the 24 emissions reduction actions </w:t>
            </w:r>
            <w:r w:rsidR="00904BBE">
              <w:rPr>
                <w:rFonts w:ascii="Calibri-Bold" w:hAnsi="Calibri-Bold" w:cs="Calibri-Bold"/>
              </w:rPr>
              <w:t xml:space="preserve">assigned to TCCS </w:t>
            </w:r>
            <w:r w:rsidR="000A635F">
              <w:rPr>
                <w:rFonts w:ascii="Calibri-Bold" w:hAnsi="Calibri-Bold" w:cs="Calibri-Bold"/>
              </w:rPr>
              <w:t>have been completed to date</w:t>
            </w:r>
            <w:r w:rsidR="00904BBE">
              <w:rPr>
                <w:rFonts w:ascii="Calibri-Bold" w:hAnsi="Calibri-Bold" w:cs="Calibri-Bold"/>
              </w:rPr>
              <w:t xml:space="preserve"> on the </w:t>
            </w:r>
            <w:r w:rsidR="00904BBE" w:rsidRPr="00D00681">
              <w:rPr>
                <w:rFonts w:ascii="Calibri-Bold" w:hAnsi="Calibri-Bold" w:cs="Calibri-Bold"/>
                <w:i/>
                <w:iCs/>
              </w:rPr>
              <w:t>ACT Climate Change Strategy 2019-25</w:t>
            </w:r>
            <w:r>
              <w:rPr>
                <w:rFonts w:ascii="Calibri-Bold" w:hAnsi="Calibri-Bold" w:cs="Calibri-Bold"/>
              </w:rPr>
              <w:t>.</w:t>
            </w:r>
            <w:bookmarkEnd w:id="42"/>
          </w:p>
        </w:tc>
      </w:tr>
    </w:tbl>
    <w:p w14:paraId="7216DCB4" w14:textId="652F66C2" w:rsidR="001620A0" w:rsidRDefault="001620A0" w:rsidP="00D415A6">
      <w:pPr>
        <w:pStyle w:val="Heading4"/>
      </w:pPr>
      <w:r>
        <w:t>Raising of London Circuit</w:t>
      </w:r>
      <w:r w:rsidR="00D00681">
        <w:t xml:space="preserve"> Project</w:t>
      </w:r>
    </w:p>
    <w:p w14:paraId="3793A387" w14:textId="77777777" w:rsidR="00D00681" w:rsidRDefault="001620A0" w:rsidP="001620A0">
      <w:pPr>
        <w:pStyle w:val="ListNumber2"/>
      </w:pPr>
      <w:r>
        <w:t xml:space="preserve">During the </w:t>
      </w:r>
      <w:r w:rsidR="00912A95">
        <w:t>p</w:t>
      </w:r>
      <w:r>
        <w:t xml:space="preserve">ublic </w:t>
      </w:r>
      <w:r w:rsidR="00912A95">
        <w:t>h</w:t>
      </w:r>
      <w:r>
        <w:t xml:space="preserve">earing, </w:t>
      </w:r>
      <w:r w:rsidR="00775377">
        <w:t>Mr Chris Steel MLA,</w:t>
      </w:r>
      <w:r>
        <w:t xml:space="preserve"> Minister for Transport and City Services</w:t>
      </w:r>
      <w:r w:rsidR="00775377">
        <w:t>,</w:t>
      </w:r>
      <w:r>
        <w:t xml:space="preserve"> </w:t>
      </w:r>
      <w:r w:rsidR="00610570">
        <w:t>told the Committee that</w:t>
      </w:r>
      <w:r>
        <w:t xml:space="preserve"> </w:t>
      </w:r>
      <w:r w:rsidR="00610570">
        <w:t>contracts have been signed for</w:t>
      </w:r>
      <w:r>
        <w:t xml:space="preserve"> the project to raise London Circuit</w:t>
      </w:r>
      <w:r w:rsidR="009002A7">
        <w:t xml:space="preserve"> (RLC Project)</w:t>
      </w:r>
      <w:r>
        <w:t>, and that construction will take approximately two years.</w:t>
      </w:r>
      <w:r>
        <w:rPr>
          <w:rStyle w:val="FootnoteReference"/>
        </w:rPr>
        <w:footnoteReference w:id="106"/>
      </w:r>
    </w:p>
    <w:p w14:paraId="305845EC" w14:textId="3EB16C47" w:rsidR="001620A0" w:rsidRDefault="00775377" w:rsidP="001620A0">
      <w:pPr>
        <w:pStyle w:val="ListNumber2"/>
      </w:pPr>
      <w:r>
        <w:t xml:space="preserve">However, the Minister also added that </w:t>
      </w:r>
      <w:r w:rsidR="001620A0">
        <w:t xml:space="preserve">the </w:t>
      </w:r>
      <w:r>
        <w:t xml:space="preserve">ACT </w:t>
      </w:r>
      <w:r w:rsidR="001620A0">
        <w:t>Government will not be providing an exact date as to when the raising of London Circuit is due to be completed</w:t>
      </w:r>
      <w:r w:rsidR="00610570">
        <w:t>,</w:t>
      </w:r>
      <w:r w:rsidR="001620A0">
        <w:t xml:space="preserve"> until the procurement process is </w:t>
      </w:r>
      <w:r w:rsidR="00610570">
        <w:t>finalised,</w:t>
      </w:r>
      <w:r w:rsidR="001620A0">
        <w:t xml:space="preserve"> and a specific date</w:t>
      </w:r>
      <w:r w:rsidR="00610570">
        <w:t xml:space="preserve"> is</w:t>
      </w:r>
      <w:r w:rsidR="001620A0">
        <w:t xml:space="preserve"> determined in the cont</w:t>
      </w:r>
      <w:r w:rsidR="008A1367">
        <w:t>r</w:t>
      </w:r>
      <w:r w:rsidR="001620A0">
        <w:t>act</w:t>
      </w:r>
      <w:r w:rsidR="00BF4B90">
        <w:t>:</w:t>
      </w:r>
      <w:r w:rsidR="001620A0">
        <w:rPr>
          <w:rStyle w:val="FootnoteReference"/>
        </w:rPr>
        <w:footnoteReference w:id="107"/>
      </w:r>
    </w:p>
    <w:p w14:paraId="3AD7E572" w14:textId="36DEC33D" w:rsidR="00BF4B90" w:rsidRDefault="00BF4B90" w:rsidP="00BF4B90">
      <w:pPr>
        <w:pStyle w:val="Quote"/>
      </w:pPr>
      <w:r>
        <w:t>We have provided as much certainty as we can around what the next milestones are for the project. The next milestone is the works approval, and next year we are looking forward to finalising the procurement.</w:t>
      </w:r>
      <w:r>
        <w:rPr>
          <w:rStyle w:val="FootnoteReference"/>
        </w:rPr>
        <w:footnoteReference w:id="108"/>
      </w:r>
    </w:p>
    <w:p w14:paraId="7762B9CD" w14:textId="3FEACB6B" w:rsidR="00DB7DE2" w:rsidRDefault="001620A0" w:rsidP="00610570">
      <w:pPr>
        <w:pStyle w:val="ListNumber2"/>
      </w:pPr>
      <w:r>
        <w:lastRenderedPageBreak/>
        <w:t xml:space="preserve">The Committee </w:t>
      </w:r>
      <w:r w:rsidR="00610570">
        <w:t>asked</w:t>
      </w:r>
      <w:r>
        <w:t xml:space="preserve"> the Minister what date was requested by the </w:t>
      </w:r>
      <w:r w:rsidR="00775377">
        <w:t xml:space="preserve">ACT </w:t>
      </w:r>
      <w:r>
        <w:t>Government as the completion date</w:t>
      </w:r>
      <w:r w:rsidR="00DB7DE2">
        <w:t xml:space="preserve"> for the</w:t>
      </w:r>
      <w:r w:rsidR="009002A7">
        <w:t xml:space="preserve"> RLC</w:t>
      </w:r>
      <w:r w:rsidR="00DB7DE2">
        <w:t xml:space="preserve"> </w:t>
      </w:r>
      <w:r w:rsidR="009002A7">
        <w:t>P</w:t>
      </w:r>
      <w:r w:rsidR="00DB7DE2">
        <w:t>roject</w:t>
      </w:r>
      <w:r>
        <w:t xml:space="preserve"> when the tender was put out.</w:t>
      </w:r>
      <w:r>
        <w:rPr>
          <w:rStyle w:val="FootnoteReference"/>
        </w:rPr>
        <w:footnoteReference w:id="109"/>
      </w:r>
      <w:r w:rsidR="00D00681">
        <w:t xml:space="preserve"> </w:t>
      </w:r>
      <w:r w:rsidR="00DB7DE2">
        <w:t>Mr Duncan Edghill</w:t>
      </w:r>
      <w:r w:rsidR="00C7339F">
        <w:t>, Chief Projects Officer</w:t>
      </w:r>
      <w:r w:rsidR="00DB7DE2">
        <w:t xml:space="preserve"> from </w:t>
      </w:r>
      <w:r w:rsidR="00B00F9A">
        <w:t>Major Projects Canberra (MPC)</w:t>
      </w:r>
      <w:r w:rsidR="00610570">
        <w:t>,</w:t>
      </w:r>
      <w:r w:rsidR="00DB7DE2">
        <w:t xml:space="preserve"> informed the Committee that</w:t>
      </w:r>
      <w:r w:rsidR="00610570">
        <w:t xml:space="preserve"> the</w:t>
      </w:r>
      <w:r w:rsidR="00775377">
        <w:t xml:space="preserve"> ACT</w:t>
      </w:r>
      <w:r w:rsidR="00610570">
        <w:t xml:space="preserve"> Government ‘did not put a date in the contract; rather, that was something for our tenderers to give back to the territory as part of the procurement process.’</w:t>
      </w:r>
      <w:r w:rsidR="00DB7DE2">
        <w:rPr>
          <w:rStyle w:val="FootnoteReference"/>
        </w:rPr>
        <w:footnoteReference w:id="110"/>
      </w:r>
      <w:r w:rsidR="00DB7DE2">
        <w:t xml:space="preserve"> </w:t>
      </w:r>
      <w:r w:rsidR="00AD5C31">
        <w:t xml:space="preserve"> </w:t>
      </w:r>
    </w:p>
    <w:p w14:paraId="7ACE89ED" w14:textId="6B61B59B" w:rsidR="00AE3793" w:rsidRDefault="00576F05" w:rsidP="001620A0">
      <w:pPr>
        <w:pStyle w:val="ListNumber2"/>
      </w:pPr>
      <w:r>
        <w:t xml:space="preserve">The </w:t>
      </w:r>
      <w:r w:rsidR="00812BD7">
        <w:t>Minister was also asked what</w:t>
      </w:r>
      <w:r>
        <w:t xml:space="preserve"> the exact cost of the tender and the contract amount</w:t>
      </w:r>
      <w:r w:rsidR="009002A7">
        <w:t xml:space="preserve"> for the RLC Project</w:t>
      </w:r>
      <w:r w:rsidR="00812BD7">
        <w:t xml:space="preserve"> would be.</w:t>
      </w:r>
      <w:r w:rsidR="00C27650">
        <w:rPr>
          <w:rStyle w:val="FootnoteReference"/>
        </w:rPr>
        <w:footnoteReference w:id="111"/>
      </w:r>
      <w:r w:rsidR="00AE3793">
        <w:t xml:space="preserve"> </w:t>
      </w:r>
      <w:r w:rsidR="00812BD7">
        <w:t xml:space="preserve">The Committee was advised that </w:t>
      </w:r>
      <w:r w:rsidR="00AE3793">
        <w:t>the total value of the works is approximately $100 million, and that the number in the contract is approximately $60 million.</w:t>
      </w:r>
      <w:r w:rsidR="00AE3793">
        <w:rPr>
          <w:rStyle w:val="FootnoteReference"/>
        </w:rPr>
        <w:footnoteReference w:id="112"/>
      </w:r>
    </w:p>
    <w:p w14:paraId="30BF70D4" w14:textId="0553DED3" w:rsidR="00576F05" w:rsidRDefault="006F24F0" w:rsidP="001620A0">
      <w:pPr>
        <w:pStyle w:val="ListNumber2"/>
      </w:pPr>
      <w:r>
        <w:t xml:space="preserve">In response to a Question </w:t>
      </w:r>
      <w:r w:rsidR="009002A7">
        <w:t xml:space="preserve">Taken </w:t>
      </w:r>
      <w:r>
        <w:t>on Notice</w:t>
      </w:r>
      <w:r w:rsidR="00775377">
        <w:t xml:space="preserve"> (QTON)</w:t>
      </w:r>
      <w:r>
        <w:t xml:space="preserve">, </w:t>
      </w:r>
      <w:r w:rsidR="00610570">
        <w:t xml:space="preserve">the </w:t>
      </w:r>
      <w:r>
        <w:t xml:space="preserve">Minister provided the </w:t>
      </w:r>
      <w:r w:rsidR="00AF7633">
        <w:t xml:space="preserve">exact </w:t>
      </w:r>
      <w:r>
        <w:t>breakdown of the R</w:t>
      </w:r>
      <w:r w:rsidR="009002A7">
        <w:t>LC</w:t>
      </w:r>
      <w:r>
        <w:t xml:space="preserve"> </w:t>
      </w:r>
      <w:r w:rsidR="009002A7">
        <w:t>P</w:t>
      </w:r>
      <w:r>
        <w:t>rojec</w:t>
      </w:r>
      <w:r w:rsidR="00812BD7">
        <w:t>t</w:t>
      </w:r>
      <w:r w:rsidR="00610570">
        <w:t>:</w:t>
      </w:r>
    </w:p>
    <w:tbl>
      <w:tblPr>
        <w:tblStyle w:val="Assemblystyletable"/>
        <w:tblW w:w="0" w:type="auto"/>
        <w:tblLook w:val="04A0" w:firstRow="1" w:lastRow="0" w:firstColumn="1" w:lastColumn="0" w:noHBand="0" w:noVBand="1"/>
      </w:tblPr>
      <w:tblGrid>
        <w:gridCol w:w="4508"/>
        <w:gridCol w:w="4508"/>
      </w:tblGrid>
      <w:tr w:rsidR="006F24F0" w14:paraId="1AAFFE50" w14:textId="77777777" w:rsidTr="006F24F0">
        <w:trPr>
          <w:cnfStyle w:val="100000000000" w:firstRow="1" w:lastRow="0" w:firstColumn="0" w:lastColumn="0" w:oddVBand="0" w:evenVBand="0" w:oddHBand="0" w:evenHBand="0" w:firstRowFirstColumn="0" w:firstRowLastColumn="0" w:lastRowFirstColumn="0" w:lastRowLastColumn="0"/>
        </w:trPr>
        <w:tc>
          <w:tcPr>
            <w:tcW w:w="4508" w:type="dxa"/>
          </w:tcPr>
          <w:p w14:paraId="0B1E07E6" w14:textId="6B5BE3F2" w:rsidR="006F24F0" w:rsidRPr="006F24F0" w:rsidRDefault="006F24F0" w:rsidP="006F24F0">
            <w:pPr>
              <w:pStyle w:val="ListNumber2"/>
              <w:numPr>
                <w:ilvl w:val="0"/>
                <w:numId w:val="0"/>
              </w:numPr>
              <w:rPr>
                <w:b/>
                <w:bCs w:val="0"/>
                <w:sz w:val="22"/>
                <w:szCs w:val="22"/>
              </w:rPr>
            </w:pPr>
            <w:r w:rsidRPr="006F24F0">
              <w:rPr>
                <w:b/>
                <w:bCs w:val="0"/>
                <w:sz w:val="22"/>
                <w:szCs w:val="22"/>
              </w:rPr>
              <w:t>RLC and associated works</w:t>
            </w:r>
          </w:p>
        </w:tc>
        <w:tc>
          <w:tcPr>
            <w:tcW w:w="4508" w:type="dxa"/>
          </w:tcPr>
          <w:p w14:paraId="1A21B881" w14:textId="3F8A3B51" w:rsidR="006F24F0" w:rsidRPr="006F24F0" w:rsidRDefault="00AE3793" w:rsidP="006F24F0">
            <w:pPr>
              <w:pStyle w:val="ListNumber2"/>
              <w:numPr>
                <w:ilvl w:val="0"/>
                <w:numId w:val="0"/>
              </w:numPr>
              <w:rPr>
                <w:b/>
                <w:bCs w:val="0"/>
                <w:sz w:val="22"/>
                <w:szCs w:val="22"/>
              </w:rPr>
            </w:pPr>
            <w:r>
              <w:rPr>
                <w:b/>
                <w:bCs w:val="0"/>
                <w:sz w:val="22"/>
                <w:szCs w:val="22"/>
              </w:rPr>
              <w:t>Cost (</w:t>
            </w:r>
            <w:r w:rsidR="006F24F0" w:rsidRPr="006F24F0">
              <w:rPr>
                <w:b/>
                <w:bCs w:val="0"/>
                <w:sz w:val="22"/>
                <w:szCs w:val="22"/>
              </w:rPr>
              <w:t>GST exc</w:t>
            </w:r>
            <w:r>
              <w:rPr>
                <w:b/>
                <w:bCs w:val="0"/>
                <w:sz w:val="22"/>
                <w:szCs w:val="22"/>
              </w:rPr>
              <w:t>luded)</w:t>
            </w:r>
          </w:p>
        </w:tc>
      </w:tr>
      <w:tr w:rsidR="006F24F0" w14:paraId="65D2E67B" w14:textId="77777777" w:rsidTr="006F24F0">
        <w:trPr>
          <w:cnfStyle w:val="000000100000" w:firstRow="0" w:lastRow="0" w:firstColumn="0" w:lastColumn="0" w:oddVBand="0" w:evenVBand="0" w:oddHBand="1" w:evenHBand="0" w:firstRowFirstColumn="0" w:firstRowLastColumn="0" w:lastRowFirstColumn="0" w:lastRowLastColumn="0"/>
        </w:trPr>
        <w:tc>
          <w:tcPr>
            <w:tcW w:w="4508" w:type="dxa"/>
          </w:tcPr>
          <w:p w14:paraId="6CBC078B" w14:textId="248F18C9" w:rsidR="006F24F0" w:rsidRPr="006F24F0" w:rsidRDefault="006F24F0" w:rsidP="006F24F0">
            <w:pPr>
              <w:pStyle w:val="ListNumber2"/>
              <w:numPr>
                <w:ilvl w:val="0"/>
                <w:numId w:val="0"/>
              </w:numPr>
              <w:rPr>
                <w:sz w:val="22"/>
                <w:szCs w:val="22"/>
              </w:rPr>
            </w:pPr>
            <w:r w:rsidRPr="006F24F0">
              <w:rPr>
                <w:sz w:val="22"/>
                <w:szCs w:val="22"/>
              </w:rPr>
              <w:t>Early utility works</w:t>
            </w:r>
          </w:p>
        </w:tc>
        <w:tc>
          <w:tcPr>
            <w:tcW w:w="4508" w:type="dxa"/>
          </w:tcPr>
          <w:p w14:paraId="047A6074" w14:textId="31B93F02" w:rsidR="006F24F0" w:rsidRPr="006F24F0" w:rsidRDefault="006F24F0" w:rsidP="006F24F0">
            <w:pPr>
              <w:pStyle w:val="ListNumber2"/>
              <w:numPr>
                <w:ilvl w:val="0"/>
                <w:numId w:val="0"/>
              </w:numPr>
              <w:rPr>
                <w:sz w:val="22"/>
                <w:szCs w:val="22"/>
              </w:rPr>
            </w:pPr>
            <w:r w:rsidRPr="006F24F0">
              <w:rPr>
                <w:sz w:val="22"/>
                <w:szCs w:val="22"/>
              </w:rPr>
              <w:t>$7,856,635</w:t>
            </w:r>
          </w:p>
        </w:tc>
      </w:tr>
      <w:tr w:rsidR="006F24F0" w14:paraId="62322EBA" w14:textId="77777777" w:rsidTr="006F24F0">
        <w:trPr>
          <w:cnfStyle w:val="000000010000" w:firstRow="0" w:lastRow="0" w:firstColumn="0" w:lastColumn="0" w:oddVBand="0" w:evenVBand="0" w:oddHBand="0" w:evenHBand="1" w:firstRowFirstColumn="0" w:firstRowLastColumn="0" w:lastRowFirstColumn="0" w:lastRowLastColumn="0"/>
        </w:trPr>
        <w:tc>
          <w:tcPr>
            <w:tcW w:w="4508" w:type="dxa"/>
          </w:tcPr>
          <w:p w14:paraId="66E0DA31" w14:textId="2FE39A8C" w:rsidR="006F24F0" w:rsidRPr="006F24F0" w:rsidRDefault="006F24F0" w:rsidP="006F24F0">
            <w:pPr>
              <w:pStyle w:val="ListNumber2"/>
              <w:numPr>
                <w:ilvl w:val="0"/>
                <w:numId w:val="0"/>
              </w:numPr>
              <w:rPr>
                <w:sz w:val="22"/>
                <w:szCs w:val="22"/>
              </w:rPr>
            </w:pPr>
            <w:r w:rsidRPr="006F24F0">
              <w:rPr>
                <w:sz w:val="22"/>
                <w:szCs w:val="22"/>
              </w:rPr>
              <w:t>Design and planning costs</w:t>
            </w:r>
          </w:p>
        </w:tc>
        <w:tc>
          <w:tcPr>
            <w:tcW w:w="4508" w:type="dxa"/>
          </w:tcPr>
          <w:p w14:paraId="5B1F7E03" w14:textId="33A78FAB" w:rsidR="006F24F0" w:rsidRPr="006F24F0" w:rsidRDefault="006F24F0" w:rsidP="006F24F0">
            <w:pPr>
              <w:pStyle w:val="ListNumber2"/>
              <w:numPr>
                <w:ilvl w:val="0"/>
                <w:numId w:val="0"/>
              </w:numPr>
              <w:rPr>
                <w:sz w:val="22"/>
                <w:szCs w:val="22"/>
              </w:rPr>
            </w:pPr>
            <w:r w:rsidRPr="006F24F0">
              <w:rPr>
                <w:sz w:val="22"/>
                <w:szCs w:val="22"/>
              </w:rPr>
              <w:t>$17,132,740</w:t>
            </w:r>
          </w:p>
        </w:tc>
      </w:tr>
      <w:tr w:rsidR="006F24F0" w14:paraId="69B3C579" w14:textId="77777777" w:rsidTr="006F24F0">
        <w:trPr>
          <w:cnfStyle w:val="000000100000" w:firstRow="0" w:lastRow="0" w:firstColumn="0" w:lastColumn="0" w:oddVBand="0" w:evenVBand="0" w:oddHBand="1" w:evenHBand="0" w:firstRowFirstColumn="0" w:firstRowLastColumn="0" w:lastRowFirstColumn="0" w:lastRowLastColumn="0"/>
        </w:trPr>
        <w:tc>
          <w:tcPr>
            <w:tcW w:w="4508" w:type="dxa"/>
          </w:tcPr>
          <w:p w14:paraId="3A377627" w14:textId="6A305581" w:rsidR="006F24F0" w:rsidRPr="006F24F0" w:rsidRDefault="009E5E13" w:rsidP="006F24F0">
            <w:pPr>
              <w:pStyle w:val="ListNumber2"/>
              <w:numPr>
                <w:ilvl w:val="0"/>
                <w:numId w:val="0"/>
              </w:numPr>
              <w:rPr>
                <w:sz w:val="22"/>
                <w:szCs w:val="22"/>
              </w:rPr>
            </w:pPr>
            <w:r>
              <w:rPr>
                <w:sz w:val="22"/>
                <w:szCs w:val="22"/>
              </w:rPr>
              <w:t>Main</w:t>
            </w:r>
            <w:r w:rsidR="006F24F0" w:rsidRPr="006F24F0">
              <w:rPr>
                <w:sz w:val="22"/>
                <w:szCs w:val="22"/>
              </w:rPr>
              <w:t xml:space="preserve"> works construction costs</w:t>
            </w:r>
          </w:p>
        </w:tc>
        <w:tc>
          <w:tcPr>
            <w:tcW w:w="4508" w:type="dxa"/>
          </w:tcPr>
          <w:p w14:paraId="7CBC952C" w14:textId="6CA36C5C" w:rsidR="006F24F0" w:rsidRPr="006F24F0" w:rsidRDefault="006F24F0" w:rsidP="006F24F0">
            <w:pPr>
              <w:pStyle w:val="ListNumber2"/>
              <w:numPr>
                <w:ilvl w:val="0"/>
                <w:numId w:val="0"/>
              </w:numPr>
              <w:rPr>
                <w:sz w:val="22"/>
                <w:szCs w:val="22"/>
              </w:rPr>
            </w:pPr>
            <w:r w:rsidRPr="006F24F0">
              <w:rPr>
                <w:sz w:val="22"/>
                <w:szCs w:val="22"/>
              </w:rPr>
              <w:t>$60,695,114</w:t>
            </w:r>
          </w:p>
        </w:tc>
      </w:tr>
      <w:tr w:rsidR="006F24F0" w14:paraId="3D1724AF" w14:textId="77777777" w:rsidTr="006F24F0">
        <w:trPr>
          <w:cnfStyle w:val="000000010000" w:firstRow="0" w:lastRow="0" w:firstColumn="0" w:lastColumn="0" w:oddVBand="0" w:evenVBand="0" w:oddHBand="0" w:evenHBand="1" w:firstRowFirstColumn="0" w:firstRowLastColumn="0" w:lastRowFirstColumn="0" w:lastRowLastColumn="0"/>
        </w:trPr>
        <w:tc>
          <w:tcPr>
            <w:tcW w:w="4508" w:type="dxa"/>
          </w:tcPr>
          <w:p w14:paraId="30ABA2FA" w14:textId="0892E23F" w:rsidR="006F24F0" w:rsidRPr="006F24F0" w:rsidRDefault="006F24F0" w:rsidP="006F24F0">
            <w:pPr>
              <w:pStyle w:val="ListNumber2"/>
              <w:numPr>
                <w:ilvl w:val="0"/>
                <w:numId w:val="0"/>
              </w:numPr>
              <w:rPr>
                <w:sz w:val="22"/>
                <w:szCs w:val="22"/>
              </w:rPr>
            </w:pPr>
            <w:r w:rsidRPr="006F24F0">
              <w:rPr>
                <w:sz w:val="22"/>
                <w:szCs w:val="22"/>
              </w:rPr>
              <w:t>Other costs, including Territory-held contingency</w:t>
            </w:r>
          </w:p>
        </w:tc>
        <w:tc>
          <w:tcPr>
            <w:tcW w:w="4508" w:type="dxa"/>
          </w:tcPr>
          <w:p w14:paraId="43981980" w14:textId="20A6A375" w:rsidR="006F24F0" w:rsidRPr="006F24F0" w:rsidRDefault="006F24F0" w:rsidP="006F24F0">
            <w:pPr>
              <w:pStyle w:val="ListNumber2"/>
              <w:numPr>
                <w:ilvl w:val="0"/>
                <w:numId w:val="0"/>
              </w:numPr>
              <w:rPr>
                <w:sz w:val="22"/>
                <w:szCs w:val="22"/>
              </w:rPr>
            </w:pPr>
            <w:r w:rsidRPr="006F24F0">
              <w:rPr>
                <w:sz w:val="22"/>
                <w:szCs w:val="22"/>
              </w:rPr>
              <w:t>$17,146,511</w:t>
            </w:r>
          </w:p>
        </w:tc>
      </w:tr>
      <w:tr w:rsidR="006F24F0" w14:paraId="1C787A2C" w14:textId="77777777" w:rsidTr="006F24F0">
        <w:trPr>
          <w:cnfStyle w:val="000000100000" w:firstRow="0" w:lastRow="0" w:firstColumn="0" w:lastColumn="0" w:oddVBand="0" w:evenVBand="0" w:oddHBand="1" w:evenHBand="0" w:firstRowFirstColumn="0" w:firstRowLastColumn="0" w:lastRowFirstColumn="0" w:lastRowLastColumn="0"/>
        </w:trPr>
        <w:tc>
          <w:tcPr>
            <w:tcW w:w="4508" w:type="dxa"/>
          </w:tcPr>
          <w:p w14:paraId="3BE7179B" w14:textId="64A3205E" w:rsidR="006F24F0" w:rsidRPr="006F24F0" w:rsidRDefault="006F24F0" w:rsidP="006F24F0">
            <w:pPr>
              <w:pStyle w:val="ListNumber2"/>
              <w:numPr>
                <w:ilvl w:val="0"/>
                <w:numId w:val="0"/>
              </w:numPr>
              <w:rPr>
                <w:sz w:val="22"/>
                <w:szCs w:val="22"/>
              </w:rPr>
            </w:pPr>
            <w:r w:rsidRPr="006F24F0">
              <w:rPr>
                <w:sz w:val="22"/>
                <w:szCs w:val="22"/>
              </w:rPr>
              <w:t>Total</w:t>
            </w:r>
          </w:p>
        </w:tc>
        <w:tc>
          <w:tcPr>
            <w:tcW w:w="4508" w:type="dxa"/>
          </w:tcPr>
          <w:p w14:paraId="2B815A78" w14:textId="078192CC" w:rsidR="006F24F0" w:rsidRPr="006F24F0" w:rsidRDefault="006F24F0" w:rsidP="006F24F0">
            <w:pPr>
              <w:pStyle w:val="ListNumber2"/>
              <w:keepNext/>
              <w:numPr>
                <w:ilvl w:val="0"/>
                <w:numId w:val="0"/>
              </w:numPr>
              <w:rPr>
                <w:sz w:val="22"/>
                <w:szCs w:val="22"/>
              </w:rPr>
            </w:pPr>
            <w:r w:rsidRPr="006F24F0">
              <w:rPr>
                <w:sz w:val="22"/>
                <w:szCs w:val="22"/>
              </w:rPr>
              <w:t>$102,831,000</w:t>
            </w:r>
          </w:p>
        </w:tc>
      </w:tr>
    </w:tbl>
    <w:p w14:paraId="377CA407" w14:textId="4E6A2784" w:rsidR="006F24F0" w:rsidRDefault="006F24F0">
      <w:pPr>
        <w:pStyle w:val="Caption"/>
      </w:pPr>
      <w:r>
        <w:t xml:space="preserve">Table </w:t>
      </w:r>
      <w:fldSimple w:instr=" SEQ Table \* ARABIC ">
        <w:r>
          <w:rPr>
            <w:noProof/>
          </w:rPr>
          <w:t>1</w:t>
        </w:r>
      </w:fldSimple>
      <w:r>
        <w:t xml:space="preserve">: Breakdown of Raising London Circuit Project, see Mr Chris Steel MLA, </w:t>
      </w:r>
      <w:r w:rsidRPr="00812BD7">
        <w:rPr>
          <w:i/>
          <w:iCs w:val="0"/>
        </w:rPr>
        <w:t>Response to QTON 9: MPC RLC Contract Cost</w:t>
      </w:r>
      <w:r>
        <w:t>, (received 9 November 2022), p 2.</w:t>
      </w:r>
    </w:p>
    <w:p w14:paraId="4E829584" w14:textId="5B2ACBD7" w:rsidR="006F24F0" w:rsidRDefault="00812BD7" w:rsidP="001620A0">
      <w:pPr>
        <w:pStyle w:val="ListNumber2"/>
      </w:pPr>
      <w:r>
        <w:t>In response</w:t>
      </w:r>
      <w:r w:rsidR="00775377">
        <w:t xml:space="preserve"> to another QTON</w:t>
      </w:r>
      <w:r>
        <w:t>, the Minister</w:t>
      </w:r>
      <w:r w:rsidR="00AE3793">
        <w:t xml:space="preserve"> provided</w:t>
      </w:r>
      <w:r w:rsidR="006F24F0">
        <w:t xml:space="preserve"> a figure of $7,856,635 (excluding GST) for the Early Utilities Contract </w:t>
      </w:r>
      <w:r w:rsidR="00775377">
        <w:t>of the RLC</w:t>
      </w:r>
      <w:r w:rsidR="006F24F0">
        <w:t xml:space="preserve"> Project.</w:t>
      </w:r>
      <w:r w:rsidR="006F24F0">
        <w:rPr>
          <w:rStyle w:val="FootnoteReference"/>
        </w:rPr>
        <w:footnoteReference w:id="113"/>
      </w:r>
    </w:p>
    <w:p w14:paraId="40AE0688" w14:textId="0F80D953" w:rsidR="00DB7DE2" w:rsidRDefault="00DB7DE2" w:rsidP="00DB7DE2">
      <w:pPr>
        <w:pStyle w:val="Heading5"/>
      </w:pPr>
      <w:r>
        <w:t>Committee Comment</w:t>
      </w:r>
    </w:p>
    <w:p w14:paraId="5D1DFD6C" w14:textId="1C22BD01" w:rsidR="00DB7DE2" w:rsidRDefault="00DB7DE2" w:rsidP="001620A0">
      <w:pPr>
        <w:pStyle w:val="ListNumber2"/>
      </w:pPr>
      <w:r>
        <w:t xml:space="preserve">The Committee </w:t>
      </w:r>
      <w:r w:rsidR="008A1367">
        <w:t>is of the view that</w:t>
      </w:r>
      <w:r w:rsidR="00BF4B90">
        <w:t>,</w:t>
      </w:r>
      <w:r w:rsidR="008A1367">
        <w:t xml:space="preserve"> </w:t>
      </w:r>
      <w:r w:rsidR="00BF4B90">
        <w:t>since</w:t>
      </w:r>
      <w:r w:rsidR="008A1367">
        <w:t xml:space="preserve"> the contract has </w:t>
      </w:r>
      <w:r w:rsidR="00BF4B90">
        <w:t xml:space="preserve">now </w:t>
      </w:r>
      <w:r w:rsidR="008A1367">
        <w:t xml:space="preserve">been signed </w:t>
      </w:r>
      <w:r w:rsidR="00BF4B90">
        <w:t xml:space="preserve">for the RLC Project </w:t>
      </w:r>
      <w:r w:rsidR="008A1367">
        <w:t xml:space="preserve">and works have commenced, the </w:t>
      </w:r>
      <w:r w:rsidR="00775377">
        <w:t xml:space="preserve">ACT </w:t>
      </w:r>
      <w:r w:rsidR="008A1367">
        <w:t xml:space="preserve">Government </w:t>
      </w:r>
      <w:r w:rsidR="000375DF">
        <w:t xml:space="preserve">should </w:t>
      </w:r>
      <w:r w:rsidR="008A1367">
        <w:t xml:space="preserve">provide </w:t>
      </w:r>
      <w:r w:rsidR="000375DF">
        <w:t>more information to the people of ACT</w:t>
      </w:r>
      <w:r w:rsidR="00005685">
        <w:t>,</w:t>
      </w:r>
      <w:r w:rsidR="000375DF">
        <w:t xml:space="preserve"> such as </w:t>
      </w:r>
      <w:r w:rsidR="008A1367">
        <w:t>a clear expected completion date</w:t>
      </w:r>
      <w:r w:rsidR="00005685">
        <w:t>,</w:t>
      </w:r>
      <w:r w:rsidR="008A1367">
        <w:t xml:space="preserve"> for the </w:t>
      </w:r>
      <w:r w:rsidR="000375DF">
        <w:t xml:space="preserve">finalisation of the </w:t>
      </w:r>
      <w:r w:rsidR="008A1367">
        <w:t xml:space="preserve">project, </w:t>
      </w:r>
      <w:r w:rsidR="00BF4B90">
        <w:t>as soon as practicable.</w:t>
      </w:r>
    </w:p>
    <w:p w14:paraId="273C6BF4" w14:textId="641AF1F3" w:rsidR="00D00681" w:rsidRDefault="00D00681" w:rsidP="00D00681">
      <w:pPr>
        <w:pStyle w:val="ListNumber2"/>
        <w:numPr>
          <w:ilvl w:val="0"/>
          <w:numId w:val="0"/>
        </w:numPr>
      </w:pPr>
    </w:p>
    <w:p w14:paraId="78C0E305" w14:textId="77777777" w:rsidR="00D00681" w:rsidRDefault="00D00681" w:rsidP="00D00681">
      <w:pPr>
        <w:pStyle w:val="ListNumber2"/>
        <w:numPr>
          <w:ilvl w:val="0"/>
          <w:numId w:val="0"/>
        </w:numPr>
      </w:pPr>
    </w:p>
    <w:tbl>
      <w:tblPr>
        <w:tblStyle w:val="Recommendationbox"/>
        <w:tblW w:w="0" w:type="auto"/>
        <w:tblLook w:val="04A0" w:firstRow="1" w:lastRow="0" w:firstColumn="1" w:lastColumn="0" w:noHBand="0" w:noVBand="1"/>
      </w:tblPr>
      <w:tblGrid>
        <w:gridCol w:w="8175"/>
      </w:tblGrid>
      <w:tr w:rsidR="00576F05" w14:paraId="22E9B237" w14:textId="77777777" w:rsidTr="00014F9B">
        <w:tc>
          <w:tcPr>
            <w:tcW w:w="7891" w:type="dxa"/>
          </w:tcPr>
          <w:p w14:paraId="6D16DB7F" w14:textId="77777777" w:rsidR="00576F05" w:rsidRDefault="00576F05" w:rsidP="00014F9B">
            <w:pPr>
              <w:pStyle w:val="Recommendationheading"/>
            </w:pPr>
            <w:bookmarkStart w:id="43" w:name="_Toc129873735"/>
            <w:r>
              <w:lastRenderedPageBreak/>
              <w:t xml:space="preserve">Recommendation </w:t>
            </w:r>
            <w:r>
              <w:fldChar w:fldCharType="begin"/>
            </w:r>
            <w:r>
              <w:instrText xml:space="preserve"> AUTONUMLGL \* Arabic\e </w:instrText>
            </w:r>
            <w:r>
              <w:fldChar w:fldCharType="end"/>
            </w:r>
            <w:bookmarkEnd w:id="43"/>
          </w:p>
          <w:p w14:paraId="20EF99BD" w14:textId="53A6FEDD" w:rsidR="00576F05" w:rsidRPr="00AD5C04" w:rsidRDefault="00576F05" w:rsidP="00014F9B">
            <w:pPr>
              <w:pStyle w:val="Recommendationbody"/>
            </w:pPr>
            <w:bookmarkStart w:id="44" w:name="_Toc129873736"/>
            <w:r>
              <w:rPr>
                <w:rFonts w:ascii="Calibri-Bold" w:hAnsi="Calibri-Bold" w:cs="Calibri-Bold"/>
              </w:rPr>
              <w:t>The Committee recommends that the ACT Government announce the estimated completion date for the raising of London Circui</w:t>
            </w:r>
            <w:r w:rsidR="00C00702">
              <w:rPr>
                <w:rFonts w:ascii="Calibri-Bold" w:hAnsi="Calibri-Bold" w:cs="Calibri-Bold"/>
              </w:rPr>
              <w:t xml:space="preserve">t </w:t>
            </w:r>
            <w:r>
              <w:rPr>
                <w:rFonts w:ascii="Calibri-Bold" w:hAnsi="Calibri-Bold" w:cs="Calibri-Bold"/>
              </w:rPr>
              <w:t>as soon as practicable.</w:t>
            </w:r>
            <w:bookmarkEnd w:id="44"/>
          </w:p>
        </w:tc>
      </w:tr>
    </w:tbl>
    <w:p w14:paraId="7DCF1E66" w14:textId="7F9CE598" w:rsidR="00576F05" w:rsidRDefault="00BC2A8F" w:rsidP="00BC2A8F">
      <w:pPr>
        <w:pStyle w:val="Heading4"/>
      </w:pPr>
      <w:r>
        <w:t xml:space="preserve">Light </w:t>
      </w:r>
      <w:r w:rsidR="000375DF">
        <w:t xml:space="preserve">Rail </w:t>
      </w:r>
      <w:r>
        <w:t>Stage 2B</w:t>
      </w:r>
    </w:p>
    <w:p w14:paraId="486087EA" w14:textId="6A6D5146" w:rsidR="00BC2A8F" w:rsidRDefault="00BC2A8F" w:rsidP="001620A0">
      <w:pPr>
        <w:pStyle w:val="ListNumber2"/>
      </w:pPr>
      <w:r>
        <w:t xml:space="preserve">The Committee also </w:t>
      </w:r>
      <w:r w:rsidR="000375DF">
        <w:t>examined</w:t>
      </w:r>
      <w:r>
        <w:t xml:space="preserve"> the </w:t>
      </w:r>
      <w:r w:rsidR="00B250C9">
        <w:t xml:space="preserve">estimated </w:t>
      </w:r>
      <w:r>
        <w:t>timeframe and costs for delivery of Light Rail Stage 2B</w:t>
      </w:r>
      <w:r w:rsidR="000375DF">
        <w:t xml:space="preserve"> </w:t>
      </w:r>
      <w:r w:rsidR="00B250C9">
        <w:t>in relation to</w:t>
      </w:r>
      <w:r w:rsidR="000375DF">
        <w:t xml:space="preserve"> Light Rail Stage 2 as a whole</w:t>
      </w:r>
      <w:r>
        <w:t>.</w:t>
      </w:r>
      <w:r>
        <w:rPr>
          <w:rStyle w:val="FootnoteReference"/>
        </w:rPr>
        <w:footnoteReference w:id="114"/>
      </w:r>
    </w:p>
    <w:p w14:paraId="5536F404" w14:textId="722FDF48" w:rsidR="000375DF" w:rsidRDefault="000375DF" w:rsidP="00B250C9">
      <w:pPr>
        <w:pStyle w:val="ListNumber2"/>
      </w:pPr>
      <w:r>
        <w:t xml:space="preserve">The Committee was concerned </w:t>
      </w:r>
      <w:r w:rsidR="00B250C9">
        <w:t>with some of the approximate figures which have been talked about for Light Rail Stage 2, potentially costing over $3 billion.</w:t>
      </w:r>
      <w:r w:rsidR="00B250C9">
        <w:rPr>
          <w:rStyle w:val="FootnoteReference"/>
        </w:rPr>
        <w:footnoteReference w:id="115"/>
      </w:r>
      <w:r w:rsidR="00B250C9">
        <w:t xml:space="preserve"> The Minister noted that ‘this is a very significant, complex project—the largest in our city’s history. It requires a significant amount of work to be able to get to a point where we can consider a business case, and that work is underway’:</w:t>
      </w:r>
      <w:r w:rsidR="00B250C9">
        <w:rPr>
          <w:rStyle w:val="FootnoteReference"/>
        </w:rPr>
        <w:footnoteReference w:id="116"/>
      </w:r>
    </w:p>
    <w:p w14:paraId="7816729D" w14:textId="5548D5ED" w:rsidR="00B250C9" w:rsidRDefault="00B250C9" w:rsidP="00B250C9">
      <w:pPr>
        <w:pStyle w:val="Quote"/>
      </w:pPr>
      <w:r>
        <w:t>We have been very clear that we will consider the costs, the benefits of the project, and a range of other detail in the business case for stage 2B. That is where we will consider all of those issues. Until that point, and until that detail work has been done, particularly on some of the early design of stage 2B, to get an understanding of the cost and timing—the costs of delivering the project at the time that we actually</w:t>
      </w:r>
      <w:r w:rsidRPr="00B250C9">
        <w:t xml:space="preserve"> </w:t>
      </w:r>
      <w:r>
        <w:t>assess the business case—it would be entirely speculative to come up with an assumption around costs right now.</w:t>
      </w:r>
      <w:r>
        <w:rPr>
          <w:rStyle w:val="FootnoteReference"/>
        </w:rPr>
        <w:footnoteReference w:id="117"/>
      </w:r>
    </w:p>
    <w:p w14:paraId="1092461E" w14:textId="1199F8E9" w:rsidR="00BC2A8F" w:rsidRDefault="00BC2A8F" w:rsidP="001620A0">
      <w:pPr>
        <w:pStyle w:val="ListNumber2"/>
      </w:pPr>
      <w:r>
        <w:t>Th</w:t>
      </w:r>
      <w:r w:rsidR="00B250C9">
        <w:t>e Minister</w:t>
      </w:r>
      <w:r w:rsidR="00FC6435">
        <w:t xml:space="preserve"> also noted that the </w:t>
      </w:r>
      <w:r w:rsidR="00B250C9">
        <w:t xml:space="preserve">ACT </w:t>
      </w:r>
      <w:r w:rsidR="00FC6435">
        <w:t>Government’s attention w</w:t>
      </w:r>
      <w:r w:rsidR="00B250C9">
        <w:t>ill</w:t>
      </w:r>
      <w:r w:rsidR="00FC6435">
        <w:t xml:space="preserve"> move to stage 2B once </w:t>
      </w:r>
      <w:r w:rsidR="00AF7633">
        <w:t>contracts are signed with Canberra Metro.</w:t>
      </w:r>
      <w:r w:rsidR="00AF7633">
        <w:rPr>
          <w:rStyle w:val="FootnoteReference"/>
        </w:rPr>
        <w:footnoteReference w:id="118"/>
      </w:r>
    </w:p>
    <w:p w14:paraId="363F02C3" w14:textId="0861021D" w:rsidR="00CB5793" w:rsidRDefault="00CB5793" w:rsidP="00CB5793">
      <w:pPr>
        <w:pStyle w:val="Heading5"/>
      </w:pPr>
      <w:r>
        <w:t>Committee Comment</w:t>
      </w:r>
    </w:p>
    <w:p w14:paraId="0C9ABEF9" w14:textId="5463DFAE" w:rsidR="00CB5793" w:rsidRDefault="00CB5793" w:rsidP="001620A0">
      <w:pPr>
        <w:pStyle w:val="ListNumber2"/>
      </w:pPr>
      <w:r>
        <w:t>The Committee is of the view that the ACT Government should announce the estimated completion date and cost for Stage 2B as soon as practicable</w:t>
      </w:r>
      <w:r w:rsidR="000375DF">
        <w:t>,</w:t>
      </w:r>
      <w:r>
        <w:t xml:space="preserve"> as well as updating the estimated timeframes after contracts are signed</w:t>
      </w:r>
      <w:r w:rsidR="000375DF">
        <w:t>.</w:t>
      </w:r>
    </w:p>
    <w:tbl>
      <w:tblPr>
        <w:tblStyle w:val="Recommendationbox"/>
        <w:tblW w:w="0" w:type="auto"/>
        <w:tblLook w:val="04A0" w:firstRow="1" w:lastRow="0" w:firstColumn="1" w:lastColumn="0" w:noHBand="0" w:noVBand="1"/>
      </w:tblPr>
      <w:tblGrid>
        <w:gridCol w:w="8175"/>
      </w:tblGrid>
      <w:tr w:rsidR="00CB5793" w14:paraId="4B1E9942" w14:textId="77777777" w:rsidTr="00014F9B">
        <w:tc>
          <w:tcPr>
            <w:tcW w:w="7891" w:type="dxa"/>
          </w:tcPr>
          <w:p w14:paraId="54254D3E" w14:textId="77777777" w:rsidR="00CB5793" w:rsidRDefault="00CB5793" w:rsidP="00014F9B">
            <w:pPr>
              <w:pStyle w:val="Recommendationheading"/>
            </w:pPr>
            <w:bookmarkStart w:id="45" w:name="_Toc129873737"/>
            <w:r>
              <w:t xml:space="preserve">Recommendation </w:t>
            </w:r>
            <w:r>
              <w:fldChar w:fldCharType="begin"/>
            </w:r>
            <w:r>
              <w:instrText xml:space="preserve"> AUTONUMLGL \* Arabic\e </w:instrText>
            </w:r>
            <w:r>
              <w:fldChar w:fldCharType="end"/>
            </w:r>
            <w:bookmarkEnd w:id="45"/>
          </w:p>
          <w:p w14:paraId="36112754" w14:textId="353F7ADD" w:rsidR="00CB5793" w:rsidRPr="00AD5C04" w:rsidRDefault="00CB5793" w:rsidP="00014F9B">
            <w:pPr>
              <w:pStyle w:val="Recommendationbody"/>
            </w:pPr>
            <w:bookmarkStart w:id="46" w:name="_Toc129873738"/>
            <w:r>
              <w:rPr>
                <w:rFonts w:ascii="Calibri-Bold" w:hAnsi="Calibri-Bold" w:cs="Calibri-Bold"/>
              </w:rPr>
              <w:t>The Committee recommends that the ACT Government announce the estimated completion date and cost for Stage 2B as soon as practicable, as well as updating the estimated timeframes after contracts are signed.</w:t>
            </w:r>
            <w:bookmarkEnd w:id="46"/>
          </w:p>
        </w:tc>
      </w:tr>
    </w:tbl>
    <w:p w14:paraId="5E1B78A9" w14:textId="5DCF21D8" w:rsidR="00D415A6" w:rsidRPr="00AD5C04" w:rsidRDefault="00197C64" w:rsidP="00D415A6">
      <w:pPr>
        <w:pStyle w:val="Heading4"/>
      </w:pPr>
      <w:r>
        <w:lastRenderedPageBreak/>
        <w:t xml:space="preserve">Electric </w:t>
      </w:r>
      <w:r w:rsidR="00D00681">
        <w:t>b</w:t>
      </w:r>
      <w:r>
        <w:t>uses</w:t>
      </w:r>
    </w:p>
    <w:p w14:paraId="5EF0E18E" w14:textId="4E475069" w:rsidR="00D415A6" w:rsidRDefault="00E478B1" w:rsidP="00E478B1">
      <w:pPr>
        <w:pStyle w:val="ListNumber2"/>
      </w:pPr>
      <w:r>
        <w:t xml:space="preserve">According to the TCCS Annual and Financial Report 2021-22, TCCS have identified </w:t>
      </w:r>
      <w:r w:rsidR="003F1C8B">
        <w:t xml:space="preserve">preferred suppliers </w:t>
      </w:r>
      <w:r w:rsidR="008E47FC">
        <w:t>for the first 12</w:t>
      </w:r>
      <w:r w:rsidR="003F1C8B">
        <w:t xml:space="preserve"> battery electric buses</w:t>
      </w:r>
      <w:r w:rsidR="00446622">
        <w:t xml:space="preserve"> for the ACT</w:t>
      </w:r>
      <w:r w:rsidR="008E47FC">
        <w:t>.</w:t>
      </w:r>
      <w:r w:rsidR="008E47FC">
        <w:rPr>
          <w:rStyle w:val="FootnoteReference"/>
        </w:rPr>
        <w:footnoteReference w:id="119"/>
      </w:r>
      <w:r w:rsidR="003F1C8B">
        <w:t xml:space="preserve"> </w:t>
      </w:r>
      <w:r w:rsidR="008E47FC">
        <w:t>Work is also underway for the new Woden Bus Depot at Phillip, which will accommodate for a zero-emissions bus fleet in the future</w:t>
      </w:r>
      <w:r w:rsidR="00EB3B26">
        <w:t xml:space="preserve"> as well as the Territory’s first electric bus depot</w:t>
      </w:r>
      <w:r w:rsidR="003F1C8B">
        <w:t>.</w:t>
      </w:r>
      <w:r>
        <w:rPr>
          <w:rStyle w:val="FootnoteReference"/>
        </w:rPr>
        <w:footnoteReference w:id="120"/>
      </w:r>
    </w:p>
    <w:p w14:paraId="4CC97BEB" w14:textId="5BE284E0" w:rsidR="008E47FC" w:rsidRDefault="008E47FC" w:rsidP="00E478B1">
      <w:pPr>
        <w:pStyle w:val="ListNumber2"/>
      </w:pPr>
      <w:r>
        <w:t xml:space="preserve">The Committee asked the Minister for Transport and City Services </w:t>
      </w:r>
      <w:r w:rsidR="003A275E">
        <w:t>for an update to</w:t>
      </w:r>
      <w:r>
        <w:t xml:space="preserve"> the electrification of the </w:t>
      </w:r>
      <w:r w:rsidR="003A275E">
        <w:t xml:space="preserve">ACT Government’s </w:t>
      </w:r>
      <w:r>
        <w:t>bus fleet.</w:t>
      </w:r>
      <w:r w:rsidR="00A871C9">
        <w:rPr>
          <w:rStyle w:val="FootnoteReference"/>
        </w:rPr>
        <w:footnoteReference w:id="121"/>
      </w:r>
      <w:r w:rsidR="00A871C9">
        <w:t xml:space="preserve"> In his response, </w:t>
      </w:r>
      <w:r w:rsidR="002828D4">
        <w:t xml:space="preserve">the Minister </w:t>
      </w:r>
      <w:r w:rsidR="00A871C9">
        <w:t>stated that ‘before the end of the year [2022], TCCS are expecting the first 12 leased electric buses’:</w:t>
      </w:r>
      <w:r w:rsidR="00A871C9">
        <w:rPr>
          <w:rStyle w:val="FootnoteReference"/>
        </w:rPr>
        <w:footnoteReference w:id="122"/>
      </w:r>
    </w:p>
    <w:p w14:paraId="615CC25D" w14:textId="6C3A3358" w:rsidR="003A275E" w:rsidRDefault="00A871C9" w:rsidP="00A871C9">
      <w:pPr>
        <w:pStyle w:val="Quote"/>
      </w:pPr>
      <w:r>
        <w:t>We are looking forward to those being delivered and being on the road before the end of the year. TCCS is finalising the procurement at the moment for the 90 electric buses which we are buying, which we expect to be delivered over a number of years, with the preferred supplier.</w:t>
      </w:r>
      <w:r>
        <w:rPr>
          <w:rStyle w:val="FootnoteReference"/>
        </w:rPr>
        <w:footnoteReference w:id="123"/>
      </w:r>
    </w:p>
    <w:p w14:paraId="5A09EF95" w14:textId="77777777" w:rsidR="00D415A6" w:rsidRDefault="00D415A6" w:rsidP="00197C64">
      <w:pPr>
        <w:pStyle w:val="Heading5"/>
      </w:pPr>
      <w:r>
        <w:t>Committee comment</w:t>
      </w:r>
    </w:p>
    <w:p w14:paraId="4A390FA7" w14:textId="76EE1D27" w:rsidR="00D415A6" w:rsidRDefault="00D415A6" w:rsidP="00D415A6">
      <w:pPr>
        <w:pStyle w:val="ListNumber2"/>
      </w:pPr>
      <w:r w:rsidRPr="00DB65A8">
        <w:t xml:space="preserve">The Committee </w:t>
      </w:r>
      <w:r w:rsidR="00A871C9">
        <w:t xml:space="preserve">understands that since the public hearings </w:t>
      </w:r>
      <w:r w:rsidR="00446622">
        <w:t xml:space="preserve">for this inquiry were held </w:t>
      </w:r>
      <w:r w:rsidR="00A871C9">
        <w:t>during October and November 2022, the ACT</w:t>
      </w:r>
      <w:r w:rsidR="00C53021">
        <w:t xml:space="preserve">’s first permanent electric bus </w:t>
      </w:r>
      <w:r w:rsidR="00446622">
        <w:t>is now operating on ACT roads</w:t>
      </w:r>
      <w:r w:rsidR="00C53021">
        <w:t>, ‘</w:t>
      </w:r>
      <w:r w:rsidR="00C53021" w:rsidRPr="00C53021">
        <w:t>with 11 more battery electric buses to begin operations across Canberra in the coming weeks</w:t>
      </w:r>
      <w:r w:rsidR="00C53021">
        <w:t>’.</w:t>
      </w:r>
      <w:r w:rsidR="00C53021">
        <w:rPr>
          <w:rStyle w:val="FootnoteReference"/>
        </w:rPr>
        <w:footnoteReference w:id="124"/>
      </w:r>
    </w:p>
    <w:p w14:paraId="2FBBACE1" w14:textId="2C091B14" w:rsidR="00C53021" w:rsidRPr="00DB65A8" w:rsidRDefault="00EB3B26" w:rsidP="00D415A6">
      <w:pPr>
        <w:pStyle w:val="ListNumber2"/>
      </w:pPr>
      <w:r>
        <w:t>The Committee would like for the ACT Government to advise when the additional 90 electric buses will be acquired as part of the Transport Canberra Zero Emission Transition Plan, which will transition the Territory to a completely zero emissions public transport network</w:t>
      </w:r>
      <w:r w:rsidR="0060667C">
        <w:t xml:space="preserve"> </w:t>
      </w:r>
      <w:r>
        <w:t>that is powered by 100 percent renewable electricity by 2040 or earlier.</w:t>
      </w:r>
    </w:p>
    <w:tbl>
      <w:tblPr>
        <w:tblStyle w:val="Recommendationbox"/>
        <w:tblW w:w="0" w:type="auto"/>
        <w:tblLook w:val="04A0" w:firstRow="1" w:lastRow="0" w:firstColumn="1" w:lastColumn="0" w:noHBand="0" w:noVBand="1"/>
      </w:tblPr>
      <w:tblGrid>
        <w:gridCol w:w="8175"/>
      </w:tblGrid>
      <w:tr w:rsidR="00D415A6" w14:paraId="44E16830" w14:textId="77777777" w:rsidTr="00A91000">
        <w:tc>
          <w:tcPr>
            <w:tcW w:w="7891" w:type="dxa"/>
          </w:tcPr>
          <w:p w14:paraId="0A1A626C" w14:textId="77777777" w:rsidR="00D415A6" w:rsidRDefault="00D415A6" w:rsidP="00A91000">
            <w:pPr>
              <w:pStyle w:val="Recommendationheading"/>
            </w:pPr>
            <w:bookmarkStart w:id="47" w:name="_Toc129873739"/>
            <w:r>
              <w:t xml:space="preserve">Recommendation </w:t>
            </w:r>
            <w:r>
              <w:fldChar w:fldCharType="begin"/>
            </w:r>
            <w:r>
              <w:instrText xml:space="preserve"> AUTONUMLGL \* Arabic\e </w:instrText>
            </w:r>
            <w:r>
              <w:fldChar w:fldCharType="end"/>
            </w:r>
            <w:bookmarkEnd w:id="47"/>
          </w:p>
          <w:p w14:paraId="313E7A2A" w14:textId="3E460C34" w:rsidR="00D415A6" w:rsidRPr="00AD5C04" w:rsidRDefault="00D415A6" w:rsidP="00A91000">
            <w:pPr>
              <w:pStyle w:val="Recommendationbody"/>
            </w:pPr>
            <w:bookmarkStart w:id="48" w:name="_Toc129873740"/>
            <w:r>
              <w:rPr>
                <w:rFonts w:ascii="Calibri-Bold" w:hAnsi="Calibri-Bold" w:cs="Calibri-Bold"/>
              </w:rPr>
              <w:t xml:space="preserve">The Committee recommends that the ACT Government </w:t>
            </w:r>
            <w:r w:rsidR="00E00026">
              <w:rPr>
                <w:rFonts w:ascii="Calibri-Bold" w:hAnsi="Calibri-Bold" w:cs="Calibri-Bold"/>
              </w:rPr>
              <w:t>considers publishing the procurement date</w:t>
            </w:r>
            <w:r w:rsidR="00E478B1">
              <w:rPr>
                <w:rFonts w:ascii="Calibri-Bold" w:hAnsi="Calibri-Bold" w:cs="Calibri-Bold"/>
              </w:rPr>
              <w:t xml:space="preserve"> </w:t>
            </w:r>
            <w:r w:rsidR="00446622">
              <w:rPr>
                <w:rFonts w:ascii="Calibri-Bold" w:hAnsi="Calibri-Bold" w:cs="Calibri-Bold"/>
              </w:rPr>
              <w:t>for</w:t>
            </w:r>
            <w:r w:rsidR="00E478B1">
              <w:rPr>
                <w:rFonts w:ascii="Calibri-Bold" w:hAnsi="Calibri-Bold" w:cs="Calibri-Bold"/>
              </w:rPr>
              <w:t xml:space="preserve"> the 90 electric buses to be acquired</w:t>
            </w:r>
            <w:r w:rsidR="00446622">
              <w:rPr>
                <w:rFonts w:ascii="Calibri-Bold" w:hAnsi="Calibri-Bold" w:cs="Calibri-Bold"/>
              </w:rPr>
              <w:t xml:space="preserve"> in the near future,</w:t>
            </w:r>
            <w:r w:rsidR="00E478B1">
              <w:rPr>
                <w:rFonts w:ascii="Calibri-Bold" w:hAnsi="Calibri-Bold" w:cs="Calibri-Bold"/>
              </w:rPr>
              <w:t xml:space="preserve"> as soon as practicable.</w:t>
            </w:r>
            <w:bookmarkEnd w:id="48"/>
          </w:p>
        </w:tc>
      </w:tr>
    </w:tbl>
    <w:p w14:paraId="32272FC9" w14:textId="5B11CDF7" w:rsidR="00316564" w:rsidRDefault="00316564" w:rsidP="00316564">
      <w:pPr>
        <w:pStyle w:val="ListNumber2"/>
      </w:pPr>
      <w:r>
        <w:t>The Committee note</w:t>
      </w:r>
      <w:r w:rsidR="002828D4">
        <w:t>d</w:t>
      </w:r>
      <w:r>
        <w:t xml:space="preserve"> that in the </w:t>
      </w:r>
      <w:r w:rsidR="002828D4">
        <w:t xml:space="preserve">TCCS </w:t>
      </w:r>
      <w:r w:rsidR="000955EA">
        <w:t>A</w:t>
      </w:r>
      <w:r w:rsidR="002828D4">
        <w:t xml:space="preserve">nnual and </w:t>
      </w:r>
      <w:r w:rsidR="000955EA">
        <w:t>F</w:t>
      </w:r>
      <w:r w:rsidR="002828D4">
        <w:t xml:space="preserve">inancial </w:t>
      </w:r>
      <w:r w:rsidR="000955EA">
        <w:t>R</w:t>
      </w:r>
      <w:r w:rsidR="002828D4">
        <w:t>eport 2021-22</w:t>
      </w:r>
      <w:r w:rsidR="00A81964">
        <w:t xml:space="preserve">, as part of </w:t>
      </w:r>
      <w:r w:rsidR="00AC35D4">
        <w:t>Sustainable Development Performance</w:t>
      </w:r>
      <w:r w:rsidR="00A81964">
        <w:t xml:space="preserve"> reporting, the total numbers of</w:t>
      </w:r>
      <w:r w:rsidR="00AC35D4">
        <w:t xml:space="preserve"> vehicles in the TCCS fleet and the total number of</w:t>
      </w:r>
      <w:r w:rsidR="00A81964">
        <w:t xml:space="preserve"> buses in the Transport Canberra/ACTION fleet (Table 26) are provided</w:t>
      </w:r>
      <w:r w:rsidR="00AC35D4">
        <w:t xml:space="preserve"> for</w:t>
      </w:r>
      <w:r w:rsidR="00CC2046">
        <w:t>, however</w:t>
      </w:r>
      <w:r w:rsidR="002828D4">
        <w:t>,</w:t>
      </w:r>
      <w:r w:rsidR="00CC2046">
        <w:t xml:space="preserve"> this </w:t>
      </w:r>
      <w:r w:rsidR="002828D4">
        <w:t>wa</w:t>
      </w:r>
      <w:r w:rsidR="00CC2046">
        <w:t>s only for</w:t>
      </w:r>
      <w:r w:rsidR="00AC35D4">
        <w:t xml:space="preserve"> both the 2020-21 </w:t>
      </w:r>
      <w:r w:rsidR="002828D4">
        <w:t xml:space="preserve">and 2021-22 </w:t>
      </w:r>
      <w:r w:rsidR="00AC35D4">
        <w:t>financial years</w:t>
      </w:r>
      <w:r w:rsidR="00CC2046">
        <w:t>.</w:t>
      </w:r>
      <w:r w:rsidR="00A81964">
        <w:rPr>
          <w:rStyle w:val="FootnoteReference"/>
        </w:rPr>
        <w:footnoteReference w:id="125"/>
      </w:r>
    </w:p>
    <w:p w14:paraId="684C31C7" w14:textId="4AB3B760" w:rsidR="00AC35D4" w:rsidRDefault="00AC35D4" w:rsidP="00316564">
      <w:pPr>
        <w:pStyle w:val="ListNumber2"/>
      </w:pPr>
      <w:r>
        <w:lastRenderedPageBreak/>
        <w:t>The Committee also note</w:t>
      </w:r>
      <w:r w:rsidR="002828D4">
        <w:t>d</w:t>
      </w:r>
      <w:r>
        <w:t xml:space="preserve"> that the number of</w:t>
      </w:r>
      <w:r w:rsidR="009002A7">
        <w:t xml:space="preserve"> electric</w:t>
      </w:r>
      <w:r>
        <w:t xml:space="preserve"> Light Rail Vehicles </w:t>
      </w:r>
      <w:r w:rsidR="002828D4">
        <w:t xml:space="preserve">(LRV) </w:t>
      </w:r>
      <w:r>
        <w:t>in the</w:t>
      </w:r>
      <w:r w:rsidR="00CC2046">
        <w:t xml:space="preserve"> TCCS</w:t>
      </w:r>
      <w:r>
        <w:t xml:space="preserve"> fleet </w:t>
      </w:r>
      <w:r w:rsidR="002828D4">
        <w:t>wa</w:t>
      </w:r>
      <w:r>
        <w:t xml:space="preserve">s not clearly </w:t>
      </w:r>
      <w:r w:rsidR="00CC2046">
        <w:t>stated</w:t>
      </w:r>
      <w:r>
        <w:t xml:space="preserve"> in this table.</w:t>
      </w:r>
      <w:r w:rsidR="002828D4">
        <w:rPr>
          <w:rStyle w:val="FootnoteReference"/>
        </w:rPr>
        <w:footnoteReference w:id="126"/>
      </w:r>
    </w:p>
    <w:p w14:paraId="1F4D9E14" w14:textId="77777777" w:rsidR="002828D4" w:rsidRDefault="002828D4" w:rsidP="002828D4">
      <w:pPr>
        <w:pStyle w:val="Heading5"/>
      </w:pPr>
      <w:r>
        <w:t>Committee comment</w:t>
      </w:r>
    </w:p>
    <w:p w14:paraId="5FEEEE69" w14:textId="528AF9E2" w:rsidR="00AC35D4" w:rsidRDefault="00AC35D4" w:rsidP="00316564">
      <w:pPr>
        <w:pStyle w:val="ListNumber2"/>
      </w:pPr>
      <w:r>
        <w:t xml:space="preserve">The Committee would like </w:t>
      </w:r>
      <w:r w:rsidR="002828D4">
        <w:t>for the</w:t>
      </w:r>
      <w:r w:rsidR="00CC2046">
        <w:t xml:space="preserve"> ACT Government</w:t>
      </w:r>
      <w:r w:rsidR="002828D4">
        <w:t xml:space="preserve"> to</w:t>
      </w:r>
      <w:r w:rsidR="00CC2046">
        <w:t xml:space="preserve"> publish</w:t>
      </w:r>
      <w:r w:rsidR="002828D4">
        <w:t>,</w:t>
      </w:r>
      <w:r>
        <w:t xml:space="preserve"> as part of future Development Performance Reporting, a time series of the number of buses and </w:t>
      </w:r>
      <w:r w:rsidR="002828D4">
        <w:t>LRV</w:t>
      </w:r>
      <w:r>
        <w:t>s in the Transport Canberra/ACTION fleet per financial year.</w:t>
      </w:r>
    </w:p>
    <w:tbl>
      <w:tblPr>
        <w:tblStyle w:val="Recommendationbox"/>
        <w:tblW w:w="0" w:type="auto"/>
        <w:tblLook w:val="04A0" w:firstRow="1" w:lastRow="0" w:firstColumn="1" w:lastColumn="0" w:noHBand="0" w:noVBand="1"/>
      </w:tblPr>
      <w:tblGrid>
        <w:gridCol w:w="8175"/>
      </w:tblGrid>
      <w:tr w:rsidR="00AC35D4" w14:paraId="42ABE882" w14:textId="77777777" w:rsidTr="006A64CD">
        <w:tc>
          <w:tcPr>
            <w:tcW w:w="7891" w:type="dxa"/>
          </w:tcPr>
          <w:p w14:paraId="562911EA" w14:textId="77777777" w:rsidR="00AC35D4" w:rsidRDefault="00AC35D4" w:rsidP="006A64CD">
            <w:pPr>
              <w:pStyle w:val="Recommendationheading"/>
            </w:pPr>
            <w:bookmarkStart w:id="49" w:name="_Toc129873741"/>
            <w:r>
              <w:t xml:space="preserve">Recommendation </w:t>
            </w:r>
            <w:r>
              <w:fldChar w:fldCharType="begin"/>
            </w:r>
            <w:r>
              <w:instrText xml:space="preserve"> AUTONUMLGL \* Arabic\e </w:instrText>
            </w:r>
            <w:r>
              <w:fldChar w:fldCharType="end"/>
            </w:r>
            <w:bookmarkEnd w:id="49"/>
          </w:p>
          <w:p w14:paraId="00A12F9A" w14:textId="3ABD6701" w:rsidR="00AC35D4" w:rsidRPr="00AD5C04" w:rsidRDefault="00AC35D4" w:rsidP="006A64CD">
            <w:pPr>
              <w:pStyle w:val="Recommendationbody"/>
            </w:pPr>
            <w:bookmarkStart w:id="50" w:name="_Toc129873742"/>
            <w:r>
              <w:rPr>
                <w:rFonts w:ascii="Calibri-Bold" w:hAnsi="Calibri-Bold" w:cs="Calibri-Bold"/>
              </w:rPr>
              <w:t xml:space="preserve">The Committee recommends that the ACT Government publish </w:t>
            </w:r>
            <w:r w:rsidR="002828D4">
              <w:rPr>
                <w:rFonts w:ascii="Calibri-Bold" w:hAnsi="Calibri-Bold" w:cs="Calibri-Bold"/>
              </w:rPr>
              <w:t>in their annual reports</w:t>
            </w:r>
            <w:r w:rsidR="00C00702">
              <w:rPr>
                <w:rFonts w:ascii="Calibri-Bold" w:hAnsi="Calibri-Bold" w:cs="Calibri-Bold"/>
              </w:rPr>
              <w:t xml:space="preserve"> </w:t>
            </w:r>
            <w:r>
              <w:rPr>
                <w:rFonts w:ascii="Calibri-Bold" w:hAnsi="Calibri-Bold" w:cs="Calibri-Bold"/>
              </w:rPr>
              <w:t>the number of buses and L</w:t>
            </w:r>
            <w:r w:rsidR="00465201">
              <w:rPr>
                <w:rFonts w:ascii="Calibri-Bold" w:hAnsi="Calibri-Bold" w:cs="Calibri-Bold"/>
              </w:rPr>
              <w:t xml:space="preserve">ight </w:t>
            </w:r>
            <w:r>
              <w:rPr>
                <w:rFonts w:ascii="Calibri-Bold" w:hAnsi="Calibri-Bold" w:cs="Calibri-Bold"/>
              </w:rPr>
              <w:t>R</w:t>
            </w:r>
            <w:r w:rsidR="00465201">
              <w:rPr>
                <w:rFonts w:ascii="Calibri-Bold" w:hAnsi="Calibri-Bold" w:cs="Calibri-Bold"/>
              </w:rPr>
              <w:t xml:space="preserve">ail </w:t>
            </w:r>
            <w:r>
              <w:rPr>
                <w:rFonts w:ascii="Calibri-Bold" w:hAnsi="Calibri-Bold" w:cs="Calibri-Bold"/>
              </w:rPr>
              <w:t>V</w:t>
            </w:r>
            <w:r w:rsidR="00465201">
              <w:rPr>
                <w:rFonts w:ascii="Calibri-Bold" w:hAnsi="Calibri-Bold" w:cs="Calibri-Bold"/>
              </w:rPr>
              <w:t>ehicles</w:t>
            </w:r>
            <w:r>
              <w:rPr>
                <w:rFonts w:ascii="Calibri-Bold" w:hAnsi="Calibri-Bold" w:cs="Calibri-Bold"/>
              </w:rPr>
              <w:t xml:space="preserve"> in the </w:t>
            </w:r>
            <w:r w:rsidR="00A86E57">
              <w:rPr>
                <w:rFonts w:ascii="Calibri-Bold" w:hAnsi="Calibri-Bold" w:cs="Calibri-Bold"/>
              </w:rPr>
              <w:t xml:space="preserve">government </w:t>
            </w:r>
            <w:r>
              <w:rPr>
                <w:rFonts w:ascii="Calibri-Bold" w:hAnsi="Calibri-Bold" w:cs="Calibri-Bold"/>
              </w:rPr>
              <w:t>fleet.</w:t>
            </w:r>
            <w:bookmarkEnd w:id="50"/>
          </w:p>
        </w:tc>
      </w:tr>
    </w:tbl>
    <w:p w14:paraId="5F8C2119" w14:textId="5EFB2765" w:rsidR="00DB24D1" w:rsidRPr="00AD5C04" w:rsidRDefault="00DB24D1" w:rsidP="00DB24D1">
      <w:pPr>
        <w:pStyle w:val="Heading3"/>
      </w:pPr>
      <w:bookmarkStart w:id="51" w:name="_Toc129873712"/>
      <w:r w:rsidRPr="00AD5C04">
        <w:t>Matters considered</w:t>
      </w:r>
      <w:r>
        <w:t xml:space="preserve"> – Session 2</w:t>
      </w:r>
      <w:bookmarkEnd w:id="51"/>
    </w:p>
    <w:p w14:paraId="1DDE9879" w14:textId="647FA181" w:rsidR="00DB24D1" w:rsidRDefault="00DB24D1" w:rsidP="00DB24D1">
      <w:pPr>
        <w:pStyle w:val="ListNumber2"/>
      </w:pPr>
      <w:r w:rsidRPr="00C04DBC">
        <w:t xml:space="preserve">During the </w:t>
      </w:r>
      <w:r>
        <w:t>Minister for Transport and City Services’</w:t>
      </w:r>
      <w:r w:rsidRPr="00C04DBC">
        <w:t xml:space="preserve"> appearance before the Committee on </w:t>
      </w:r>
      <w:r>
        <w:t>8 November</w:t>
      </w:r>
      <w:r w:rsidRPr="00C04DBC">
        <w:t xml:space="preserve"> 2022</w:t>
      </w:r>
      <w:r>
        <w:t xml:space="preserve"> (Session 2),</w:t>
      </w:r>
      <w:r w:rsidRPr="00C04DBC">
        <w:t xml:space="preserve"> the following matters were considered</w:t>
      </w:r>
      <w:r>
        <w:t>:</w:t>
      </w:r>
    </w:p>
    <w:p w14:paraId="7F8C0C01" w14:textId="40BFB83B" w:rsidR="00DB24D1" w:rsidRDefault="00DB24D1" w:rsidP="00DB24D1">
      <w:pPr>
        <w:pStyle w:val="ListBullet2"/>
      </w:pPr>
      <w:r>
        <w:t>Public transport usage and patronage;</w:t>
      </w:r>
      <w:r>
        <w:rPr>
          <w:rStyle w:val="FootnoteReference"/>
        </w:rPr>
        <w:footnoteReference w:id="127"/>
      </w:r>
    </w:p>
    <w:p w14:paraId="6680566C" w14:textId="222F74BE" w:rsidR="00DB24D1" w:rsidRDefault="00DB24D1" w:rsidP="00DB24D1">
      <w:pPr>
        <w:pStyle w:val="ListBullet2"/>
      </w:pPr>
      <w:r>
        <w:t>Electric bus batteries;</w:t>
      </w:r>
      <w:r w:rsidR="007B6DAA">
        <w:rPr>
          <w:rStyle w:val="FootnoteReference"/>
        </w:rPr>
        <w:footnoteReference w:id="128"/>
      </w:r>
    </w:p>
    <w:p w14:paraId="1E25A83D" w14:textId="6F28BC0A" w:rsidR="00DB24D1" w:rsidRDefault="00DB24D1" w:rsidP="00DB24D1">
      <w:pPr>
        <w:pStyle w:val="ListBullet2"/>
      </w:pPr>
      <w:r>
        <w:t>Well Station Drive park-and-ride facility;</w:t>
      </w:r>
      <w:r w:rsidR="007B6DAA">
        <w:rPr>
          <w:rStyle w:val="FootnoteReference"/>
        </w:rPr>
        <w:footnoteReference w:id="129"/>
      </w:r>
    </w:p>
    <w:p w14:paraId="58FC9821" w14:textId="1D4A2694" w:rsidR="00DB24D1" w:rsidRDefault="00DB24D1" w:rsidP="00DB24D1">
      <w:pPr>
        <w:pStyle w:val="ListBullet2"/>
      </w:pPr>
      <w:r>
        <w:t>Food organic</w:t>
      </w:r>
      <w:r w:rsidR="00F86D60">
        <w:t>s</w:t>
      </w:r>
      <w:r>
        <w:t xml:space="preserve"> and garden organics (FOGO) composting facility;</w:t>
      </w:r>
      <w:r w:rsidR="007B6DAA">
        <w:rPr>
          <w:rStyle w:val="FootnoteReference"/>
        </w:rPr>
        <w:footnoteReference w:id="130"/>
      </w:r>
    </w:p>
    <w:p w14:paraId="5144D01A" w14:textId="44B9EB9D" w:rsidR="00DB24D1" w:rsidRDefault="00DB24D1" w:rsidP="00DB24D1">
      <w:pPr>
        <w:pStyle w:val="ListBullet2"/>
      </w:pPr>
      <w:r>
        <w:t>2021-22 financial year tree planting target;</w:t>
      </w:r>
      <w:r w:rsidR="007B6DAA">
        <w:rPr>
          <w:rStyle w:val="FootnoteReference"/>
        </w:rPr>
        <w:footnoteReference w:id="131"/>
      </w:r>
    </w:p>
    <w:p w14:paraId="16E6431D" w14:textId="787D4637" w:rsidR="00DB24D1" w:rsidRDefault="00DB24D1" w:rsidP="00DB24D1">
      <w:pPr>
        <w:pStyle w:val="ListBullet2"/>
      </w:pPr>
      <w:r>
        <w:t>Planting of diverse tree species;</w:t>
      </w:r>
      <w:r w:rsidR="007B6DAA">
        <w:rPr>
          <w:rStyle w:val="FootnoteReference"/>
        </w:rPr>
        <w:footnoteReference w:id="132"/>
      </w:r>
    </w:p>
    <w:p w14:paraId="5D94E2CD" w14:textId="2AFF011F" w:rsidR="00DB24D1" w:rsidRDefault="00A044F7" w:rsidP="00DB24D1">
      <w:pPr>
        <w:pStyle w:val="ListBullet2"/>
      </w:pPr>
      <w:r>
        <w:t>Domestic Animal Services;</w:t>
      </w:r>
      <w:r w:rsidR="007B6DAA">
        <w:rPr>
          <w:rStyle w:val="FootnoteReference"/>
        </w:rPr>
        <w:footnoteReference w:id="133"/>
      </w:r>
    </w:p>
    <w:p w14:paraId="2312E1CF" w14:textId="0D8938C6" w:rsidR="00A044F7" w:rsidRDefault="00A044F7" w:rsidP="00DB24D1">
      <w:pPr>
        <w:pStyle w:val="ListBullet2"/>
      </w:pPr>
      <w:r>
        <w:t>Kerbside recycling and waste contracts;</w:t>
      </w:r>
      <w:r w:rsidR="007B6DAA">
        <w:rPr>
          <w:rStyle w:val="FootnoteReference"/>
        </w:rPr>
        <w:footnoteReference w:id="134"/>
      </w:r>
    </w:p>
    <w:p w14:paraId="23E97A94" w14:textId="1ED6CA88" w:rsidR="00A044F7" w:rsidRDefault="00A044F7" w:rsidP="00DB24D1">
      <w:pPr>
        <w:pStyle w:val="ListBullet2"/>
      </w:pPr>
      <w:r>
        <w:t>Electric garbage trucks;</w:t>
      </w:r>
      <w:r w:rsidR="007B6DAA">
        <w:rPr>
          <w:rStyle w:val="FootnoteReference"/>
        </w:rPr>
        <w:footnoteReference w:id="135"/>
      </w:r>
    </w:p>
    <w:p w14:paraId="6055CBD8" w14:textId="0DFBDF87" w:rsidR="00A044F7" w:rsidRDefault="00A044F7" w:rsidP="00DB24D1">
      <w:pPr>
        <w:pStyle w:val="ListBullet2"/>
      </w:pPr>
      <w:r>
        <w:t>Textile waste;</w:t>
      </w:r>
      <w:r w:rsidR="007B6DAA">
        <w:rPr>
          <w:rStyle w:val="FootnoteReference"/>
        </w:rPr>
        <w:footnoteReference w:id="136"/>
      </w:r>
    </w:p>
    <w:p w14:paraId="081777DA" w14:textId="64B73D4C" w:rsidR="00A044F7" w:rsidRDefault="00A044F7" w:rsidP="00DB24D1">
      <w:pPr>
        <w:pStyle w:val="ListBullet2"/>
      </w:pPr>
      <w:r>
        <w:t>Improving technology in public libraries;</w:t>
      </w:r>
      <w:r w:rsidR="007B6DAA">
        <w:rPr>
          <w:rStyle w:val="FootnoteReference"/>
        </w:rPr>
        <w:footnoteReference w:id="137"/>
      </w:r>
    </w:p>
    <w:p w14:paraId="44556EE4" w14:textId="4F0ADE4F" w:rsidR="00A044F7" w:rsidRDefault="00A044F7" w:rsidP="00DB24D1">
      <w:pPr>
        <w:pStyle w:val="ListBullet2"/>
      </w:pPr>
      <w:r>
        <w:t>Home delivery of library books;</w:t>
      </w:r>
      <w:r w:rsidR="007B6DAA">
        <w:rPr>
          <w:rStyle w:val="FootnoteReference"/>
        </w:rPr>
        <w:footnoteReference w:id="138"/>
      </w:r>
    </w:p>
    <w:p w14:paraId="770A767E" w14:textId="6630558A" w:rsidR="00A044F7" w:rsidRDefault="00A044F7" w:rsidP="00DB24D1">
      <w:pPr>
        <w:pStyle w:val="ListBullet2"/>
      </w:pPr>
      <w:r>
        <w:lastRenderedPageBreak/>
        <w:t>ACT rangers;</w:t>
      </w:r>
      <w:r w:rsidR="007B6DAA">
        <w:rPr>
          <w:rStyle w:val="FootnoteReference"/>
        </w:rPr>
        <w:footnoteReference w:id="139"/>
      </w:r>
    </w:p>
    <w:p w14:paraId="6654121F" w14:textId="088C1B06" w:rsidR="00A044F7" w:rsidRDefault="00A044F7" w:rsidP="00DB24D1">
      <w:pPr>
        <w:pStyle w:val="ListBullet2"/>
      </w:pPr>
      <w:r>
        <w:t>Waste sent to Woodlawn, NSW;</w:t>
      </w:r>
      <w:r w:rsidR="007B6DAA">
        <w:rPr>
          <w:rStyle w:val="FootnoteReference"/>
        </w:rPr>
        <w:footnoteReference w:id="140"/>
      </w:r>
    </w:p>
    <w:p w14:paraId="70D46C1F" w14:textId="2784544F" w:rsidR="00A044F7" w:rsidRDefault="00A044F7" w:rsidP="00DB24D1">
      <w:pPr>
        <w:pStyle w:val="ListBullet2"/>
      </w:pPr>
      <w:r>
        <w:t>Resource recovery;</w:t>
      </w:r>
      <w:r w:rsidR="007B6DAA">
        <w:rPr>
          <w:rStyle w:val="FootnoteReference"/>
        </w:rPr>
        <w:footnoteReference w:id="141"/>
      </w:r>
    </w:p>
    <w:p w14:paraId="58B6448F" w14:textId="197792CB" w:rsidR="00A044F7" w:rsidRDefault="00A044F7" w:rsidP="00DB24D1">
      <w:pPr>
        <w:pStyle w:val="ListBullet2"/>
      </w:pPr>
      <w:r>
        <w:t>Waste audits;</w:t>
      </w:r>
      <w:r w:rsidR="007B6DAA">
        <w:rPr>
          <w:rStyle w:val="FootnoteReference"/>
        </w:rPr>
        <w:footnoteReference w:id="142"/>
      </w:r>
      <w:r>
        <w:t xml:space="preserve"> and</w:t>
      </w:r>
    </w:p>
    <w:p w14:paraId="79FD35DC" w14:textId="60290488" w:rsidR="00A044F7" w:rsidRDefault="007B6DAA" w:rsidP="00DB24D1">
      <w:pPr>
        <w:pStyle w:val="ListBullet2"/>
      </w:pPr>
      <w:r>
        <w:t>Feedback from the d</w:t>
      </w:r>
      <w:r w:rsidR="00A044F7">
        <w:t>isability reference group</w:t>
      </w:r>
      <w:r>
        <w:t>.</w:t>
      </w:r>
      <w:r>
        <w:rPr>
          <w:rStyle w:val="FootnoteReference"/>
        </w:rPr>
        <w:footnoteReference w:id="143"/>
      </w:r>
    </w:p>
    <w:p w14:paraId="32A68E94" w14:textId="77777777" w:rsidR="007B6DAA" w:rsidRDefault="007B6DAA" w:rsidP="007B6DAA">
      <w:pPr>
        <w:pStyle w:val="Heading3"/>
      </w:pPr>
      <w:bookmarkStart w:id="52" w:name="_Toc129873713"/>
      <w:r w:rsidRPr="00AD5C04">
        <w:t>Key Issues</w:t>
      </w:r>
      <w:bookmarkEnd w:id="52"/>
    </w:p>
    <w:p w14:paraId="484C352E" w14:textId="23791AC8" w:rsidR="008706FD" w:rsidRDefault="008706FD" w:rsidP="008706FD">
      <w:pPr>
        <w:pStyle w:val="Heading4"/>
      </w:pPr>
      <w:r>
        <w:t>Electric bus batteries</w:t>
      </w:r>
    </w:p>
    <w:p w14:paraId="3477B293" w14:textId="00838CF3" w:rsidR="00F01FA7" w:rsidRDefault="00F01FA7" w:rsidP="00F01FA7">
      <w:pPr>
        <w:pStyle w:val="ListNumber2"/>
      </w:pPr>
      <w:r>
        <w:t>The Committee told the Minister for Transport and City Services, Mr Chris Steel MLA, that they had heard from the Chief Minister, Mr Andrew Barr MLA, during the public hearings that the Big Canberra Battery will include end-of-life recycling in its procurement of battery and solar panel equipment.</w:t>
      </w:r>
      <w:r w:rsidR="00511C35">
        <w:rPr>
          <w:rStyle w:val="FootnoteReference"/>
        </w:rPr>
        <w:footnoteReference w:id="144"/>
      </w:r>
      <w:r>
        <w:t xml:space="preserve"> The Committee was interested to know whether the same contract terms </w:t>
      </w:r>
      <w:r w:rsidR="00511C35">
        <w:t xml:space="preserve">as the Big Canberra Battery </w:t>
      </w:r>
      <w:r>
        <w:t>will be used for electric vehicles such as electric buses and electric garbage trucks.</w:t>
      </w:r>
      <w:r>
        <w:rPr>
          <w:rStyle w:val="FootnoteReference"/>
        </w:rPr>
        <w:footnoteReference w:id="145"/>
      </w:r>
    </w:p>
    <w:p w14:paraId="66458B7A" w14:textId="2267AE51" w:rsidR="00F01FA7" w:rsidRDefault="00F01FA7" w:rsidP="00F01FA7">
      <w:pPr>
        <w:pStyle w:val="ListNumber2"/>
      </w:pPr>
      <w:r>
        <w:t>Mr Ben McHugh, Deputy Director-General of Transport Canberra and Business Services at TCCS, told the Committee that:</w:t>
      </w:r>
    </w:p>
    <w:p w14:paraId="79E51C29" w14:textId="2BB73C31" w:rsidR="00052617" w:rsidRDefault="00052617" w:rsidP="00F01FA7">
      <w:pPr>
        <w:pStyle w:val="Quote"/>
      </w:pPr>
      <w:r>
        <w:t>Speaking in general terms about the batteries on electric buses, some providers provide separate warranty periods and separate responsibilities around how batteries are managed, compared to the bus infrastructure itself; they do have, potentially, different life cycles. With the re-use of those batteries, there are different companies that do different things with them and give them a second life. A battery that is designed for a vehicle has a particular life in a moving environment and a different life cycle in a static environment. There are certain providers that are looking at the second life of those batteries and the responsibility for decommissioning them at end of life. That product stewardship piece is built into our contracts, and we will continue to look at options to do that.</w:t>
      </w:r>
      <w:r w:rsidR="00A21102">
        <w:rPr>
          <w:rStyle w:val="FootnoteReference"/>
        </w:rPr>
        <w:footnoteReference w:id="146"/>
      </w:r>
    </w:p>
    <w:p w14:paraId="7A0CA257" w14:textId="3E0F705A" w:rsidR="00052617" w:rsidRDefault="00F01FA7" w:rsidP="00511C35">
      <w:pPr>
        <w:pStyle w:val="ListNumber2"/>
      </w:pPr>
      <w:r>
        <w:t xml:space="preserve">The </w:t>
      </w:r>
      <w:r w:rsidR="00511C35">
        <w:t>Minister for Transport and City Services provided further information on end-of-life arrangements for batteries in a response to a QTON:</w:t>
      </w:r>
    </w:p>
    <w:p w14:paraId="2B1396C4" w14:textId="4B8CBE7C" w:rsidR="00052617" w:rsidRDefault="00052617" w:rsidP="00511C35">
      <w:pPr>
        <w:pStyle w:val="Quote"/>
      </w:pPr>
      <w:r>
        <w:t xml:space="preserve">In relation to battery recycling for electric garbage contracts, given the advanced stage of the procurement for a new Household Waste Collection Service it is not possible to provide specific information on the requirements. </w:t>
      </w:r>
    </w:p>
    <w:p w14:paraId="71096BB4" w14:textId="39EC893B" w:rsidR="00052617" w:rsidRDefault="00052617" w:rsidP="00511C35">
      <w:pPr>
        <w:pStyle w:val="Quote"/>
      </w:pPr>
      <w:r>
        <w:lastRenderedPageBreak/>
        <w:t xml:space="preserve">Transport Canberra is undertaking a procurement to purchase 90 x battery electric buses. These assets (vehicles) will be purchased as a whole, inclusive of the battery. Transport Canberra will be responsible for recycling options once the battery’s useful life has been reached. </w:t>
      </w:r>
    </w:p>
    <w:p w14:paraId="15485914" w14:textId="48934CD5" w:rsidR="00052617" w:rsidRDefault="00052617" w:rsidP="00511C35">
      <w:pPr>
        <w:pStyle w:val="Quote"/>
      </w:pPr>
      <w:r>
        <w:t>The useful life of a battery is up to eight years and could be longer with unknown influences and charge cycles. End of life arrangements will be put in place ahead of batteries reaching their end of useful life as energy for transport vehicles. Transport Canberra will be evaluating the options for repurposing batteries as part of its strategic asset management plan.</w:t>
      </w:r>
      <w:r w:rsidR="00511C35">
        <w:rPr>
          <w:rStyle w:val="FootnoteReference"/>
        </w:rPr>
        <w:footnoteReference w:id="147"/>
      </w:r>
    </w:p>
    <w:p w14:paraId="00C369CF" w14:textId="77777777" w:rsidR="008706FD" w:rsidRDefault="008706FD" w:rsidP="008706FD">
      <w:pPr>
        <w:pStyle w:val="Heading5"/>
      </w:pPr>
      <w:r>
        <w:t>Committee Comment</w:t>
      </w:r>
    </w:p>
    <w:p w14:paraId="63BEDAFA" w14:textId="7D7234A5" w:rsidR="008706FD" w:rsidRDefault="008706FD" w:rsidP="008706FD">
      <w:pPr>
        <w:pStyle w:val="ListNumber2"/>
      </w:pPr>
      <w:r>
        <w:t xml:space="preserve">The </w:t>
      </w:r>
      <w:r w:rsidR="00511C35" w:rsidRPr="00DB65A8">
        <w:t xml:space="preserve">Committee </w:t>
      </w:r>
      <w:r w:rsidR="00511C35">
        <w:t xml:space="preserve">is of the view that there should be a standard contract provision </w:t>
      </w:r>
      <w:r w:rsidR="00366D19">
        <w:t xml:space="preserve">to require end-of-life reuse and recycling for </w:t>
      </w:r>
      <w:r w:rsidR="00DA149A">
        <w:t xml:space="preserve">electric bus </w:t>
      </w:r>
      <w:r w:rsidR="00366D19">
        <w:t xml:space="preserve">batteries </w:t>
      </w:r>
      <w:r w:rsidR="00511C35">
        <w:t xml:space="preserve">as part of their contracts, </w:t>
      </w:r>
      <w:r w:rsidR="00511C35" w:rsidRPr="009F4C3C">
        <w:t xml:space="preserve">to reduce the number of batteries being disposed </w:t>
      </w:r>
      <w:r w:rsidR="00511C35">
        <w:t>into landfill.</w:t>
      </w:r>
    </w:p>
    <w:tbl>
      <w:tblPr>
        <w:tblStyle w:val="Recommendationbox"/>
        <w:tblW w:w="0" w:type="auto"/>
        <w:tblLook w:val="04A0" w:firstRow="1" w:lastRow="0" w:firstColumn="1" w:lastColumn="0" w:noHBand="0" w:noVBand="1"/>
      </w:tblPr>
      <w:tblGrid>
        <w:gridCol w:w="8175"/>
      </w:tblGrid>
      <w:tr w:rsidR="008706FD" w14:paraId="42AA3CE5" w14:textId="77777777" w:rsidTr="0002366E">
        <w:tc>
          <w:tcPr>
            <w:tcW w:w="7891" w:type="dxa"/>
          </w:tcPr>
          <w:p w14:paraId="2BE38C2E" w14:textId="77777777" w:rsidR="008706FD" w:rsidRDefault="008706FD" w:rsidP="0002366E">
            <w:pPr>
              <w:pStyle w:val="Recommendationheading"/>
            </w:pPr>
            <w:bookmarkStart w:id="53" w:name="_Toc129873743"/>
            <w:r>
              <w:t xml:space="preserve">Recommendation </w:t>
            </w:r>
            <w:r>
              <w:fldChar w:fldCharType="begin"/>
            </w:r>
            <w:r>
              <w:instrText xml:space="preserve"> AUTONUMLGL \* Arabic\e </w:instrText>
            </w:r>
            <w:r>
              <w:fldChar w:fldCharType="end"/>
            </w:r>
            <w:bookmarkEnd w:id="53"/>
          </w:p>
          <w:p w14:paraId="53857A1B" w14:textId="7433D434" w:rsidR="008706FD" w:rsidRPr="00AD5C04" w:rsidRDefault="008706FD" w:rsidP="0002366E">
            <w:pPr>
              <w:pStyle w:val="Recommendationbody"/>
            </w:pPr>
            <w:bookmarkStart w:id="54" w:name="_Toc129873744"/>
            <w:r>
              <w:rPr>
                <w:rFonts w:ascii="Calibri-Bold" w:hAnsi="Calibri-Bold" w:cs="Calibri-Bold"/>
              </w:rPr>
              <w:t xml:space="preserve">The Committee recommends that the ACT Government require end-of-life reuse and recycling for electric bus batteries, just as solar panels will be recycled </w:t>
            </w:r>
            <w:r w:rsidR="00DA149A">
              <w:rPr>
                <w:rFonts w:ascii="Calibri-Bold" w:hAnsi="Calibri-Bold" w:cs="Calibri-Bold"/>
              </w:rPr>
              <w:t xml:space="preserve">for </w:t>
            </w:r>
            <w:r>
              <w:rPr>
                <w:rFonts w:ascii="Calibri-Bold" w:hAnsi="Calibri-Bold" w:cs="Calibri-Bold"/>
              </w:rPr>
              <w:t>the Big Canberra Battery.</w:t>
            </w:r>
            <w:bookmarkEnd w:id="54"/>
          </w:p>
        </w:tc>
      </w:tr>
    </w:tbl>
    <w:p w14:paraId="32EEB8AC" w14:textId="6061B184" w:rsidR="00F86D60" w:rsidRPr="00AD5C04" w:rsidRDefault="00F86D60" w:rsidP="00F86D60">
      <w:pPr>
        <w:pStyle w:val="Heading4"/>
      </w:pPr>
      <w:r>
        <w:t>FOGO composting facilities</w:t>
      </w:r>
    </w:p>
    <w:p w14:paraId="0B2F63CC" w14:textId="426810B9" w:rsidR="00F86D60" w:rsidRDefault="0020237E" w:rsidP="00F86D60">
      <w:pPr>
        <w:pStyle w:val="ListNumber2"/>
      </w:pPr>
      <w:r>
        <w:t>During the public hearings, t</w:t>
      </w:r>
      <w:r w:rsidR="00F86D60">
        <w:t xml:space="preserve">he </w:t>
      </w:r>
      <w:r>
        <w:t>Committee asked the Minister for Transport and City Services for an update on the procurement process for a FOGO composting facility.</w:t>
      </w:r>
      <w:r>
        <w:rPr>
          <w:rStyle w:val="FootnoteReference"/>
        </w:rPr>
        <w:footnoteReference w:id="148"/>
      </w:r>
    </w:p>
    <w:p w14:paraId="4ED4B2C9" w14:textId="24AA43DC" w:rsidR="0020237E" w:rsidRDefault="0020237E" w:rsidP="0020237E">
      <w:pPr>
        <w:pStyle w:val="ListNumber2"/>
      </w:pPr>
      <w:r>
        <w:t>Mr Bruce Fitzgerald, Executive Group Manager of Infrastructure Delivery and Waste at TCCS, stated that the ACT Government is ‘currently working through quite a complex procurement process for FOGO’ and ‘at this stage we are looking at a two-stage procurement process—a request for a proposal and then a request for tender.’</w:t>
      </w:r>
      <w:r>
        <w:rPr>
          <w:rStyle w:val="FootnoteReference"/>
        </w:rPr>
        <w:footnoteReference w:id="149"/>
      </w:r>
    </w:p>
    <w:p w14:paraId="32FA0DCA" w14:textId="7DF3410A" w:rsidR="0020237E" w:rsidRDefault="0020237E" w:rsidP="0020237E">
      <w:pPr>
        <w:pStyle w:val="ListNumber2"/>
      </w:pPr>
      <w:r>
        <w:t>The Committee asked whether any different consultations would occur; for example, whether any targeted consultation would occur with people who are already working in the organics and composting sector.</w:t>
      </w:r>
      <w:r>
        <w:rPr>
          <w:rStyle w:val="FootnoteReference"/>
        </w:rPr>
        <w:footnoteReference w:id="150"/>
      </w:r>
    </w:p>
    <w:p w14:paraId="78131E55" w14:textId="025CC559" w:rsidR="0020237E" w:rsidRDefault="0020237E" w:rsidP="0020237E">
      <w:pPr>
        <w:pStyle w:val="ListNumber2"/>
      </w:pPr>
      <w:r>
        <w:t>Mr Bruce Fitzgerald, Executive Group Manager of Infrastructure Delivery and Waste at TCCS, responded that it will be part of the ACT Government’s schedule to undertake th</w:t>
      </w:r>
      <w:r w:rsidR="00462F31">
        <w:t>e</w:t>
      </w:r>
      <w:r>
        <w:t xml:space="preserve"> </w:t>
      </w:r>
      <w:r w:rsidR="00A86E57">
        <w:t>consultation,</w:t>
      </w:r>
      <w:r>
        <w:t xml:space="preserve"> but that level of consultation has not begun ‘at this stage’ as the request for </w:t>
      </w:r>
      <w:r>
        <w:lastRenderedPageBreak/>
        <w:t>tender</w:t>
      </w:r>
      <w:r w:rsidR="004D05A7">
        <w:t xml:space="preserve"> will be occurring around Christmas (note: this matter was examined during the public hearing on 8 November 2022).</w:t>
      </w:r>
      <w:r w:rsidR="004D05A7">
        <w:rPr>
          <w:rStyle w:val="FootnoteReference"/>
        </w:rPr>
        <w:footnoteReference w:id="151"/>
      </w:r>
    </w:p>
    <w:p w14:paraId="34143D43" w14:textId="77777777" w:rsidR="00F86D60" w:rsidRDefault="00F86D60" w:rsidP="00F86D60">
      <w:pPr>
        <w:pStyle w:val="Heading5"/>
      </w:pPr>
      <w:r>
        <w:t>Committee comment</w:t>
      </w:r>
    </w:p>
    <w:p w14:paraId="077EF701" w14:textId="3DB67336" w:rsidR="00F86D60" w:rsidRPr="00DB65A8" w:rsidRDefault="00F86D60" w:rsidP="00F86D60">
      <w:pPr>
        <w:pStyle w:val="ListNumber2"/>
      </w:pPr>
      <w:r w:rsidRPr="00DB65A8">
        <w:t xml:space="preserve">The Committee </w:t>
      </w:r>
      <w:r w:rsidR="004D05A7">
        <w:t xml:space="preserve">understands that TCCS will be </w:t>
      </w:r>
      <w:r w:rsidR="00462F31">
        <w:t>undertaking consultation as part of the procurement for the new FOGO composting facility in early 2023, and urges the ACT Government to specifically undertake industry consultation with those who are already in the FOGO sector.</w:t>
      </w:r>
    </w:p>
    <w:tbl>
      <w:tblPr>
        <w:tblStyle w:val="Recommendationbox"/>
        <w:tblW w:w="0" w:type="auto"/>
        <w:tblLook w:val="04A0" w:firstRow="1" w:lastRow="0" w:firstColumn="1" w:lastColumn="0" w:noHBand="0" w:noVBand="1"/>
      </w:tblPr>
      <w:tblGrid>
        <w:gridCol w:w="8175"/>
      </w:tblGrid>
      <w:tr w:rsidR="00F86D60" w14:paraId="72A1B17A" w14:textId="77777777" w:rsidTr="0002366E">
        <w:tc>
          <w:tcPr>
            <w:tcW w:w="7891" w:type="dxa"/>
          </w:tcPr>
          <w:p w14:paraId="2CD695AA" w14:textId="77777777" w:rsidR="00F86D60" w:rsidRDefault="00F86D60" w:rsidP="0002366E">
            <w:pPr>
              <w:pStyle w:val="Recommendationheading"/>
            </w:pPr>
            <w:bookmarkStart w:id="55" w:name="_Toc129873745"/>
            <w:r>
              <w:t xml:space="preserve">Recommendation </w:t>
            </w:r>
            <w:r>
              <w:fldChar w:fldCharType="begin"/>
            </w:r>
            <w:r>
              <w:instrText xml:space="preserve"> AUTONUMLGL \* Arabic\e </w:instrText>
            </w:r>
            <w:r>
              <w:fldChar w:fldCharType="end"/>
            </w:r>
            <w:bookmarkEnd w:id="55"/>
          </w:p>
          <w:p w14:paraId="3F386C5B" w14:textId="66105BD3" w:rsidR="00F86D60" w:rsidRPr="00AD5C04" w:rsidRDefault="00F86D60" w:rsidP="0002366E">
            <w:pPr>
              <w:pStyle w:val="Recommendationbody"/>
            </w:pPr>
            <w:bookmarkStart w:id="56" w:name="_Toc129873746"/>
            <w:r>
              <w:rPr>
                <w:rFonts w:ascii="Calibri-Bold" w:hAnsi="Calibri-Bold" w:cs="Calibri-Bold"/>
              </w:rPr>
              <w:t>The Committee recommends that the ACT Government include the organics and composting sector businesses in their industry consultation as part of the procurement for the new FOGO composting facility.</w:t>
            </w:r>
            <w:bookmarkEnd w:id="56"/>
          </w:p>
        </w:tc>
      </w:tr>
    </w:tbl>
    <w:p w14:paraId="3AB88C4C" w14:textId="1D696E03" w:rsidR="007B6DAA" w:rsidRPr="00AD5C04" w:rsidRDefault="00140922" w:rsidP="007B6DAA">
      <w:pPr>
        <w:pStyle w:val="Heading4"/>
      </w:pPr>
      <w:r>
        <w:t>Plant species</w:t>
      </w:r>
    </w:p>
    <w:p w14:paraId="7DFF462F" w14:textId="7453B464" w:rsidR="004A6505" w:rsidRDefault="004A6505" w:rsidP="00DD74B0">
      <w:pPr>
        <w:pStyle w:val="ListNumber2"/>
      </w:pPr>
      <w:r>
        <w:t xml:space="preserve">The </w:t>
      </w:r>
      <w:r w:rsidR="00140922" w:rsidRPr="00DD74B0">
        <w:rPr>
          <w:i/>
          <w:iCs/>
        </w:rPr>
        <w:t>Plant Species for Urban Landscape Projects</w:t>
      </w:r>
      <w:r w:rsidR="007716CB">
        <w:rPr>
          <w:rStyle w:val="FootnoteReference"/>
        </w:rPr>
        <w:footnoteReference w:id="152"/>
      </w:r>
      <w:r w:rsidR="00140922">
        <w:t xml:space="preserve"> list contains 210 species (including 77 new species) which have been evaluated </w:t>
      </w:r>
      <w:r w:rsidR="00DD74B0">
        <w:t xml:space="preserve">and deemed </w:t>
      </w:r>
      <w:r w:rsidR="00140922">
        <w:t>by the Urban Treescapes Unit</w:t>
      </w:r>
      <w:r w:rsidR="00DD74B0">
        <w:t xml:space="preserve"> as </w:t>
      </w:r>
      <w:r w:rsidR="00140922">
        <w:t xml:space="preserve"> suitable for use in specified areas and conditions within the ACT.</w:t>
      </w:r>
      <w:r w:rsidR="00140922">
        <w:rPr>
          <w:rStyle w:val="FootnoteReference"/>
        </w:rPr>
        <w:footnoteReference w:id="153"/>
      </w:r>
    </w:p>
    <w:p w14:paraId="7ED81BA6" w14:textId="351E073D" w:rsidR="004A6505" w:rsidRDefault="00420C8E" w:rsidP="004A6505">
      <w:pPr>
        <w:pStyle w:val="ListNumber2"/>
      </w:pPr>
      <w:r>
        <w:t xml:space="preserve">During the public hearing on 8 November 2022, the Committee asked the Minister for Transport and City Services </w:t>
      </w:r>
      <w:r w:rsidR="00DD74B0">
        <w:t>whether he has heard any feedback or concern from the community about pest tree species.</w:t>
      </w:r>
      <w:r w:rsidR="00DD74B0">
        <w:rPr>
          <w:rStyle w:val="FootnoteReference"/>
        </w:rPr>
        <w:footnoteReference w:id="154"/>
      </w:r>
    </w:p>
    <w:p w14:paraId="08F7C01F" w14:textId="7C3DA8E5" w:rsidR="00DD74B0" w:rsidRDefault="00DD74B0" w:rsidP="00DD74B0">
      <w:pPr>
        <w:pStyle w:val="ListNumber2"/>
      </w:pPr>
      <w:r>
        <w:t>The Minister recognised that ‘there are tree species where we have more of them in the Canberra environment than we probably should’, such as the Red Spotted Gum Tree:</w:t>
      </w:r>
      <w:r w:rsidR="009E79C3">
        <w:rPr>
          <w:rStyle w:val="FootnoteReference"/>
        </w:rPr>
        <w:footnoteReference w:id="155"/>
      </w:r>
    </w:p>
    <w:p w14:paraId="4F52F696" w14:textId="07D39D7D" w:rsidR="00DD74B0" w:rsidRDefault="00DD74B0" w:rsidP="00DD74B0">
      <w:pPr>
        <w:pStyle w:val="Quote"/>
      </w:pPr>
      <w:r w:rsidRPr="00DD74B0">
        <w:rPr>
          <w:i/>
          <w:iCs/>
        </w:rPr>
        <w:t>Eucalyptus mannifera</w:t>
      </w:r>
      <w:r>
        <w:t xml:space="preserve"> comprises about 24 per cent of all of the trees in Canberra. There are a huge number of them. There are significant numbers in the top 10 as well; they make up by far, I think, almost the majority of trees in the ACT.</w:t>
      </w:r>
    </w:p>
    <w:p w14:paraId="348F6689" w14:textId="2536A56E" w:rsidR="00DD74B0" w:rsidRDefault="00DD74B0" w:rsidP="00DD74B0">
      <w:pPr>
        <w:pStyle w:val="Quote"/>
      </w:pPr>
      <w:r>
        <w:t>We want to get more diversity into the system. That is why we have updated the tree planting species guides and the municipal infrastructure standards, to inform our own planting program, and private plantings as part of developments as well. But we do, clearly, need to manage the buffer zones between some of our nature reserves and the suburban streets. That is being managed with more of those exotic species being planted, typically, on a street verge rather than necessarily close to a buffer zone, where the seeds could spread.</w:t>
      </w:r>
      <w:r w:rsidR="009E79C3">
        <w:rPr>
          <w:rStyle w:val="FootnoteReference"/>
        </w:rPr>
        <w:footnoteReference w:id="156"/>
      </w:r>
    </w:p>
    <w:p w14:paraId="593F2DD4" w14:textId="77777777" w:rsidR="007B6DAA" w:rsidRDefault="007B6DAA" w:rsidP="009D5BF5">
      <w:pPr>
        <w:pStyle w:val="Heading5"/>
      </w:pPr>
      <w:r>
        <w:lastRenderedPageBreak/>
        <w:t>Committee comment</w:t>
      </w:r>
    </w:p>
    <w:p w14:paraId="2714D41D" w14:textId="26CCF3FA" w:rsidR="00AD682E" w:rsidRDefault="007B6DAA" w:rsidP="007B6DAA">
      <w:pPr>
        <w:pStyle w:val="ListNumber2"/>
      </w:pPr>
      <w:r w:rsidRPr="00DB65A8">
        <w:t>The Committee</w:t>
      </w:r>
      <w:r w:rsidR="00DD74B0">
        <w:t xml:space="preserve"> </w:t>
      </w:r>
      <w:r w:rsidR="009E79C3">
        <w:t>was pleased to hear that the</w:t>
      </w:r>
      <w:r w:rsidR="0037510A">
        <w:t xml:space="preserve">re has been an update to the </w:t>
      </w:r>
      <w:r w:rsidR="0037510A" w:rsidRPr="00DD74B0">
        <w:rPr>
          <w:i/>
          <w:iCs/>
        </w:rPr>
        <w:t>Plant Species for Urban Landscape Projects</w:t>
      </w:r>
      <w:r w:rsidR="0037510A">
        <w:t xml:space="preserve"> list to incorporate a more diverse range of tree species.</w:t>
      </w:r>
    </w:p>
    <w:p w14:paraId="67CE08C9" w14:textId="05B76B16" w:rsidR="007B6DAA" w:rsidRPr="00DB65A8" w:rsidRDefault="00AD682E" w:rsidP="00462F31">
      <w:pPr>
        <w:pStyle w:val="ListNumber2"/>
      </w:pPr>
      <w:r>
        <w:t xml:space="preserve">The Committee </w:t>
      </w:r>
      <w:r w:rsidR="00462F31">
        <w:t xml:space="preserve">is of the view that now with over 200 species listed on the </w:t>
      </w:r>
      <w:r w:rsidRPr="00462F31">
        <w:rPr>
          <w:rFonts w:ascii="Calibri-Bold" w:hAnsi="Calibri-Bold" w:cs="Calibri-Bold"/>
          <w:i/>
          <w:iCs/>
        </w:rPr>
        <w:t>Plant Species for Urban Landscape Projects</w:t>
      </w:r>
      <w:r w:rsidRPr="00462F31">
        <w:rPr>
          <w:rFonts w:ascii="Calibri-Bold" w:hAnsi="Calibri-Bold" w:cs="Calibri-Bold"/>
        </w:rPr>
        <w:t xml:space="preserve"> list</w:t>
      </w:r>
      <w:r w:rsidR="00462F31">
        <w:rPr>
          <w:rFonts w:ascii="Calibri-Bold" w:hAnsi="Calibri-Bold" w:cs="Calibri-Bold"/>
        </w:rPr>
        <w:t>, that the list</w:t>
      </w:r>
      <w:r w:rsidRPr="00462F31">
        <w:rPr>
          <w:rFonts w:ascii="Calibri-Bold" w:hAnsi="Calibri-Bold" w:cs="Calibri-Bold"/>
        </w:rPr>
        <w:t xml:space="preserve"> be reviewed to ensure that only appropriate native and exotic species are contained on the list, so that the trees being planted in the Territory are </w:t>
      </w:r>
      <w:r w:rsidR="00261A56">
        <w:rPr>
          <w:rFonts w:ascii="Calibri-Bold" w:hAnsi="Calibri-Bold" w:cs="Calibri-Bold"/>
        </w:rPr>
        <w:t xml:space="preserve">not invasive species, and are </w:t>
      </w:r>
      <w:r w:rsidRPr="00462F31">
        <w:rPr>
          <w:rFonts w:ascii="Calibri-Bold" w:hAnsi="Calibri-Bold" w:cs="Calibri-Bold"/>
        </w:rPr>
        <w:t xml:space="preserve">wildlife-friendly and </w:t>
      </w:r>
      <w:r w:rsidR="00261A56">
        <w:rPr>
          <w:rFonts w:ascii="Calibri-Bold" w:hAnsi="Calibri-Bold" w:cs="Calibri-Bold"/>
        </w:rPr>
        <w:t>would be an asset to the biodiversity of the region</w:t>
      </w:r>
      <w:r w:rsidRPr="00462F31">
        <w:rPr>
          <w:rFonts w:ascii="Calibri-Bold" w:hAnsi="Calibri-Bold" w:cs="Calibri-Bold"/>
        </w:rPr>
        <w:t>.</w:t>
      </w:r>
    </w:p>
    <w:tbl>
      <w:tblPr>
        <w:tblStyle w:val="Recommendationbox"/>
        <w:tblW w:w="0" w:type="auto"/>
        <w:tblLook w:val="04A0" w:firstRow="1" w:lastRow="0" w:firstColumn="1" w:lastColumn="0" w:noHBand="0" w:noVBand="1"/>
      </w:tblPr>
      <w:tblGrid>
        <w:gridCol w:w="8175"/>
      </w:tblGrid>
      <w:tr w:rsidR="007B6DAA" w14:paraId="3DB5F8B4" w14:textId="77777777" w:rsidTr="00A91000">
        <w:tc>
          <w:tcPr>
            <w:tcW w:w="7891" w:type="dxa"/>
          </w:tcPr>
          <w:p w14:paraId="66340100" w14:textId="77777777" w:rsidR="007B6DAA" w:rsidRDefault="007B6DAA" w:rsidP="00A91000">
            <w:pPr>
              <w:pStyle w:val="Recommendationheading"/>
            </w:pPr>
            <w:bookmarkStart w:id="57" w:name="_Toc129873747"/>
            <w:r>
              <w:t xml:space="preserve">Recommendation </w:t>
            </w:r>
            <w:r>
              <w:fldChar w:fldCharType="begin"/>
            </w:r>
            <w:r>
              <w:instrText xml:space="preserve"> AUTONUMLGL \* Arabic\e </w:instrText>
            </w:r>
            <w:r>
              <w:fldChar w:fldCharType="end"/>
            </w:r>
            <w:bookmarkEnd w:id="57"/>
          </w:p>
          <w:p w14:paraId="7417521C" w14:textId="354C83A7" w:rsidR="007B6DAA" w:rsidRPr="00AD5C04" w:rsidRDefault="007B6DAA" w:rsidP="00A91000">
            <w:pPr>
              <w:pStyle w:val="Recommendationbody"/>
            </w:pPr>
            <w:bookmarkStart w:id="58" w:name="_Toc129873748"/>
            <w:r>
              <w:rPr>
                <w:rFonts w:ascii="Calibri-Bold" w:hAnsi="Calibri-Bold" w:cs="Calibri-Bold"/>
              </w:rPr>
              <w:t xml:space="preserve">The Committee recommends that the ACT Government </w:t>
            </w:r>
            <w:r w:rsidR="004A6505">
              <w:rPr>
                <w:rFonts w:ascii="Calibri-Bold" w:hAnsi="Calibri-Bold" w:cs="Calibri-Bold"/>
              </w:rPr>
              <w:t xml:space="preserve">review the plant species on the </w:t>
            </w:r>
            <w:r w:rsidR="004A6505" w:rsidRPr="00AD682E">
              <w:rPr>
                <w:rFonts w:ascii="Calibri-Bold" w:hAnsi="Calibri-Bold" w:cs="Calibri-Bold"/>
                <w:i/>
                <w:iCs/>
              </w:rPr>
              <w:t>Plant Species for Urban Landscape Projects</w:t>
            </w:r>
            <w:r w:rsidR="004A6505">
              <w:rPr>
                <w:rFonts w:ascii="Calibri-Bold" w:hAnsi="Calibri-Bold" w:cs="Calibri-Bold"/>
              </w:rPr>
              <w:t xml:space="preserve"> list, to ensure that the list only contains appropriate native and exotic species that will not spread to become an invasive species.</w:t>
            </w:r>
            <w:bookmarkEnd w:id="58"/>
          </w:p>
        </w:tc>
      </w:tr>
    </w:tbl>
    <w:p w14:paraId="66A6598D" w14:textId="7D8D413D" w:rsidR="005B6EBE" w:rsidRPr="00AD5C04" w:rsidRDefault="005B6EBE" w:rsidP="005B6EBE">
      <w:pPr>
        <w:pStyle w:val="Heading4"/>
      </w:pPr>
      <w:r>
        <w:t>Domestic Animal Services</w:t>
      </w:r>
    </w:p>
    <w:p w14:paraId="5CC36AA4" w14:textId="2C17AC7B" w:rsidR="00680495" w:rsidRDefault="007C7763" w:rsidP="00680495">
      <w:pPr>
        <w:pStyle w:val="ListNumber2"/>
      </w:pPr>
      <w:r w:rsidRPr="007C7763">
        <w:t xml:space="preserve">Domestic Animal Services (DAS) is the domestic animal management service for the </w:t>
      </w:r>
      <w:r>
        <w:t>ACT</w:t>
      </w:r>
      <w:r w:rsidRPr="007C7763">
        <w:t xml:space="preserve"> and sits within </w:t>
      </w:r>
      <w:r>
        <w:t>TCCS</w:t>
      </w:r>
      <w:r w:rsidRPr="007C7763">
        <w:t xml:space="preserve">. </w:t>
      </w:r>
      <w:r w:rsidR="00680495">
        <w:t>These services include dog registration, nuisance and attack investigations, collection of stray and roaming dogs, community education about responsible pet ownership, and the Symonston dog shelter’s management.</w:t>
      </w:r>
      <w:r w:rsidR="00680495">
        <w:rPr>
          <w:rStyle w:val="FootnoteReference"/>
        </w:rPr>
        <w:footnoteReference w:id="157"/>
      </w:r>
    </w:p>
    <w:p w14:paraId="218FDA15" w14:textId="550A4AE6" w:rsidR="00680495" w:rsidRDefault="00680495" w:rsidP="006A53B9">
      <w:pPr>
        <w:pStyle w:val="ListNumber2"/>
      </w:pPr>
      <w:r>
        <w:t xml:space="preserve">According to the DAS Service Handbook, </w:t>
      </w:r>
      <w:r w:rsidR="00C63178">
        <w:t>DAS</w:t>
      </w:r>
      <w:r w:rsidR="00C63178" w:rsidRPr="00C63178">
        <w:t xml:space="preserve"> is open </w:t>
      </w:r>
      <w:r w:rsidR="00C63178">
        <w:t xml:space="preserve">from </w:t>
      </w:r>
      <w:r w:rsidR="00C63178" w:rsidRPr="00C63178">
        <w:t>Monday to Friday from 9am to 5pm</w:t>
      </w:r>
      <w:r w:rsidR="00C63178">
        <w:t>, with on-call rangers able to provide a 24/7 response for high priority jobs such as dog attacks on a person.</w:t>
      </w:r>
      <w:r w:rsidR="00C63178">
        <w:rPr>
          <w:rStyle w:val="FootnoteReference"/>
        </w:rPr>
        <w:footnoteReference w:id="158"/>
      </w:r>
      <w:r w:rsidR="006A53B9">
        <w:t xml:space="preserve"> </w:t>
      </w:r>
      <w:r w:rsidR="006A53B9" w:rsidRPr="006A53B9">
        <w:t xml:space="preserve">Rangers respond to complaints in the field including </w:t>
      </w:r>
      <w:r w:rsidR="006A53B9">
        <w:t xml:space="preserve">dog </w:t>
      </w:r>
      <w:r w:rsidR="006A53B9" w:rsidRPr="006A53B9">
        <w:t>attacks, roaming dogs, dogs within prohibited areas</w:t>
      </w:r>
      <w:r w:rsidR="006A53B9">
        <w:t>,</w:t>
      </w:r>
      <w:r w:rsidR="006A53B9" w:rsidRPr="006A53B9">
        <w:t xml:space="preserve"> and animal nuisance complaints</w:t>
      </w:r>
      <w:r w:rsidR="006A53B9">
        <w:t xml:space="preserve">, </w:t>
      </w:r>
      <w:r w:rsidR="006A53B9" w:rsidRPr="006A53B9">
        <w:t xml:space="preserve">and are responsible for the enforcement of regulatory actions under the </w:t>
      </w:r>
      <w:r w:rsidR="006A53B9" w:rsidRPr="006A53B9">
        <w:rPr>
          <w:i/>
          <w:iCs/>
        </w:rPr>
        <w:t>Domestic Animals Act 2000</w:t>
      </w:r>
      <w:r w:rsidR="006A53B9" w:rsidRPr="006A53B9">
        <w:t xml:space="preserve"> and </w:t>
      </w:r>
      <w:r w:rsidR="006A53B9" w:rsidRPr="006A53B9">
        <w:rPr>
          <w:i/>
          <w:iCs/>
        </w:rPr>
        <w:t>Animal Welfare Act 1992</w:t>
      </w:r>
      <w:r w:rsidR="006A53B9" w:rsidRPr="006A53B9">
        <w:t>.</w:t>
      </w:r>
      <w:r w:rsidR="006A53B9">
        <w:rPr>
          <w:rStyle w:val="FootnoteReference"/>
        </w:rPr>
        <w:footnoteReference w:id="159"/>
      </w:r>
    </w:p>
    <w:p w14:paraId="53CBC706" w14:textId="77777777" w:rsidR="005B6EBE" w:rsidRDefault="005B6EBE" w:rsidP="005B6EBE">
      <w:pPr>
        <w:pStyle w:val="Heading5"/>
      </w:pPr>
      <w:r>
        <w:t>Committee comment</w:t>
      </w:r>
    </w:p>
    <w:p w14:paraId="4B9F0BFE" w14:textId="3B9189D0" w:rsidR="005B6EBE" w:rsidRPr="00DB65A8" w:rsidRDefault="005B6EBE" w:rsidP="005B6EBE">
      <w:pPr>
        <w:pStyle w:val="ListNumber2"/>
      </w:pPr>
      <w:r w:rsidRPr="00DB65A8">
        <w:t xml:space="preserve">The Committee </w:t>
      </w:r>
      <w:r w:rsidR="00FE467D">
        <w:t xml:space="preserve">appreciates that there are rangers at DAS to provide after-hour services and attend to complaints from the public in relation to animal welfare matters. The Committee would like for the ACT Government to advise </w:t>
      </w:r>
      <w:r w:rsidR="00396D2E">
        <w:t xml:space="preserve">in detail </w:t>
      </w:r>
      <w:r w:rsidR="00FE467D">
        <w:t>what inspector and veterinary care options are available for after-hour matters</w:t>
      </w:r>
      <w:r w:rsidR="00396D2E">
        <w:t>, to assure and inform the residents of the ACT that help is ongoingly available after-hours.</w:t>
      </w:r>
    </w:p>
    <w:tbl>
      <w:tblPr>
        <w:tblStyle w:val="Recommendationbox"/>
        <w:tblW w:w="0" w:type="auto"/>
        <w:tblLook w:val="04A0" w:firstRow="1" w:lastRow="0" w:firstColumn="1" w:lastColumn="0" w:noHBand="0" w:noVBand="1"/>
      </w:tblPr>
      <w:tblGrid>
        <w:gridCol w:w="8175"/>
      </w:tblGrid>
      <w:tr w:rsidR="005B6EBE" w14:paraId="0CE36D56" w14:textId="77777777" w:rsidTr="0002366E">
        <w:tc>
          <w:tcPr>
            <w:tcW w:w="7891" w:type="dxa"/>
          </w:tcPr>
          <w:p w14:paraId="2F9BEECF" w14:textId="77777777" w:rsidR="005B6EBE" w:rsidRDefault="005B6EBE" w:rsidP="0002366E">
            <w:pPr>
              <w:pStyle w:val="Recommendationheading"/>
            </w:pPr>
            <w:bookmarkStart w:id="59" w:name="_Toc129873749"/>
            <w:r>
              <w:t xml:space="preserve">Recommendation </w:t>
            </w:r>
            <w:r>
              <w:fldChar w:fldCharType="begin"/>
            </w:r>
            <w:r>
              <w:instrText xml:space="preserve"> AUTONUMLGL \* Arabic\e </w:instrText>
            </w:r>
            <w:r>
              <w:fldChar w:fldCharType="end"/>
            </w:r>
            <w:bookmarkEnd w:id="59"/>
          </w:p>
          <w:p w14:paraId="0C254562" w14:textId="18320052" w:rsidR="005B6EBE" w:rsidRPr="00AD5C04" w:rsidRDefault="005B6EBE" w:rsidP="0002366E">
            <w:pPr>
              <w:pStyle w:val="Recommendationbody"/>
            </w:pPr>
            <w:bookmarkStart w:id="60" w:name="_Toc129873750"/>
            <w:r>
              <w:rPr>
                <w:rFonts w:ascii="Calibri-Bold" w:hAnsi="Calibri-Bold" w:cs="Calibri-Bold"/>
              </w:rPr>
              <w:t xml:space="preserve">The Committee recommends that the ACT Government </w:t>
            </w:r>
            <w:r w:rsidR="0019681D">
              <w:rPr>
                <w:rFonts w:ascii="Calibri-Bold" w:hAnsi="Calibri-Bold" w:cs="Calibri-Bold"/>
              </w:rPr>
              <w:t xml:space="preserve">advise what the after-hours arrangements are for animal welfare calls made to the Domestic Animal Services and </w:t>
            </w:r>
            <w:r w:rsidR="0019681D">
              <w:rPr>
                <w:rFonts w:ascii="Calibri-Bold" w:hAnsi="Calibri-Bold" w:cs="Calibri-Bold"/>
              </w:rPr>
              <w:lastRenderedPageBreak/>
              <w:t xml:space="preserve">advise what inspector and veterinary </w:t>
            </w:r>
            <w:r w:rsidR="00FE467D">
              <w:rPr>
                <w:rFonts w:ascii="Calibri-Bold" w:hAnsi="Calibri-Bold" w:cs="Calibri-Bold"/>
              </w:rPr>
              <w:t xml:space="preserve">care </w:t>
            </w:r>
            <w:r w:rsidR="0019681D">
              <w:rPr>
                <w:rFonts w:ascii="Calibri-Bold" w:hAnsi="Calibri-Bold" w:cs="Calibri-Bold"/>
              </w:rPr>
              <w:t>options are available for these after-hours matters.</w:t>
            </w:r>
            <w:bookmarkEnd w:id="60"/>
          </w:p>
        </w:tc>
      </w:tr>
    </w:tbl>
    <w:p w14:paraId="120F9B3C" w14:textId="0B8E08E9" w:rsidR="00E46291" w:rsidRPr="00AD5C04" w:rsidRDefault="00E46291" w:rsidP="00E46291">
      <w:pPr>
        <w:pStyle w:val="Heading4"/>
      </w:pPr>
      <w:r>
        <w:lastRenderedPageBreak/>
        <w:t>Education funds in contracts</w:t>
      </w:r>
    </w:p>
    <w:p w14:paraId="58B7A6D8" w14:textId="3F8D4D6B" w:rsidR="004745E8" w:rsidRDefault="00E46291" w:rsidP="00E46291">
      <w:pPr>
        <w:pStyle w:val="ListNumber2"/>
      </w:pPr>
      <w:r>
        <w:t>The Committee asked the Minister for Transport and City Services whether education funds will be captured in the new contracts for the household waste collections contracts.</w:t>
      </w:r>
      <w:r w:rsidR="00067152">
        <w:rPr>
          <w:rStyle w:val="FootnoteReference"/>
        </w:rPr>
        <w:footnoteReference w:id="160"/>
      </w:r>
      <w:r>
        <w:t xml:space="preserve"> </w:t>
      </w:r>
      <w:r w:rsidR="004745E8">
        <w:t>An education fund would incentivise operators to educate the public (e.g., ways to keep contamination rates down, how to recycle bulky items), which will ultimately benefit service providers.</w:t>
      </w:r>
    </w:p>
    <w:p w14:paraId="2EDBC88B" w14:textId="7D537042" w:rsidR="00067152" w:rsidRDefault="00067152" w:rsidP="00067152">
      <w:pPr>
        <w:pStyle w:val="ListNumber2"/>
      </w:pPr>
      <w:r>
        <w:t>Mr Bruce Fitzgerald, Executive Group Manager of Infrastructure Delivery and Waste at TCCS, stated that education funds are ‘a key consideration of the request for tender (RFT)’:</w:t>
      </w:r>
      <w:r>
        <w:rPr>
          <w:rStyle w:val="FootnoteReference"/>
        </w:rPr>
        <w:footnoteReference w:id="161"/>
      </w:r>
    </w:p>
    <w:p w14:paraId="41D901F1" w14:textId="3FE78781" w:rsidR="00067152" w:rsidRDefault="00067152" w:rsidP="00067152">
      <w:pPr>
        <w:pStyle w:val="Quote"/>
      </w:pPr>
      <w:r>
        <w:t>Those type of details will be subject to responses through the RFT. We accept that an essential part of delivering a waste service is the education component, so we are looking at ways to best do that. Part of that will be engaging with industry through the RFT process to understand how best to manage that process.</w:t>
      </w:r>
      <w:r>
        <w:rPr>
          <w:rStyle w:val="FootnoteReference"/>
        </w:rPr>
        <w:footnoteReference w:id="162"/>
      </w:r>
    </w:p>
    <w:p w14:paraId="0B29F1A3" w14:textId="61D215DE" w:rsidR="00E46291" w:rsidRDefault="00E46291" w:rsidP="00E46291">
      <w:pPr>
        <w:pStyle w:val="Heading5"/>
      </w:pPr>
      <w:r>
        <w:t>Committee comment</w:t>
      </w:r>
    </w:p>
    <w:p w14:paraId="498A6B18" w14:textId="210A65EC" w:rsidR="00260869" w:rsidRDefault="00260869" w:rsidP="00260869">
      <w:pPr>
        <w:pStyle w:val="ListNumber2"/>
      </w:pPr>
      <w:r>
        <w:t>Previously, the Committee had recommended the ACT Government to ‘ensure sufficient funds are allocated on education to ensure the upgraded MRF and new FOGO facility provide low contamination and high recovery rates’, in the Committee’s report on the Appropriation Bill 2021-22.</w:t>
      </w:r>
      <w:r w:rsidR="005B6EBE">
        <w:rPr>
          <w:rStyle w:val="FootnoteReference"/>
        </w:rPr>
        <w:footnoteReference w:id="163"/>
      </w:r>
    </w:p>
    <w:p w14:paraId="7D92852B" w14:textId="7C221B6E" w:rsidR="005B6EBE" w:rsidRDefault="005B6EBE" w:rsidP="00260869">
      <w:pPr>
        <w:pStyle w:val="ListNumber2"/>
      </w:pPr>
      <w:r>
        <w:t>In its Government response, the ACT Government had agreed in principle to the recommendation:</w:t>
      </w:r>
      <w:r>
        <w:rPr>
          <w:rStyle w:val="FootnoteReference"/>
        </w:rPr>
        <w:footnoteReference w:id="164"/>
      </w:r>
    </w:p>
    <w:p w14:paraId="7BD2F436" w14:textId="222BA7AC" w:rsidR="005B6EBE" w:rsidRDefault="005B6EBE" w:rsidP="005B6EBE">
      <w:pPr>
        <w:pStyle w:val="Quote"/>
      </w:pPr>
      <w:r>
        <w:t>The Government will continue to explore the best approach to achieving desired outcomes from its waste management services. The Government has recently commenced a bin tagging trial for household recycling bins, and a range of engagement and education methods are being used with the FOGO Pilot which commences in Belconnen on 22 November 2021. The evaluation of these activities will help inform the design of future services to ensure efficient and effective use of education resources.</w:t>
      </w:r>
      <w:r>
        <w:rPr>
          <w:rStyle w:val="FootnoteReference"/>
        </w:rPr>
        <w:footnoteReference w:id="165"/>
      </w:r>
    </w:p>
    <w:p w14:paraId="6327C25E" w14:textId="3991273F" w:rsidR="00E46291" w:rsidRPr="00DB65A8" w:rsidRDefault="005B6EBE" w:rsidP="00E46291">
      <w:pPr>
        <w:pStyle w:val="ListNumber2"/>
      </w:pPr>
      <w:r>
        <w:lastRenderedPageBreak/>
        <w:t xml:space="preserve">The Committee </w:t>
      </w:r>
      <w:r w:rsidR="004745E8">
        <w:t xml:space="preserve">is of the view that the ACT Government should continue to deliver programs for waste education and community outreach activities, </w:t>
      </w:r>
      <w:r>
        <w:t>and include an education fund into the new household waste collections contracts.</w:t>
      </w:r>
    </w:p>
    <w:tbl>
      <w:tblPr>
        <w:tblStyle w:val="Recommendationbox"/>
        <w:tblW w:w="0" w:type="auto"/>
        <w:tblLook w:val="04A0" w:firstRow="1" w:lastRow="0" w:firstColumn="1" w:lastColumn="0" w:noHBand="0" w:noVBand="1"/>
      </w:tblPr>
      <w:tblGrid>
        <w:gridCol w:w="8175"/>
      </w:tblGrid>
      <w:tr w:rsidR="00E46291" w14:paraId="48CF6005" w14:textId="77777777" w:rsidTr="0002366E">
        <w:tc>
          <w:tcPr>
            <w:tcW w:w="7891" w:type="dxa"/>
          </w:tcPr>
          <w:p w14:paraId="07588D48" w14:textId="77777777" w:rsidR="00E46291" w:rsidRDefault="00E46291" w:rsidP="0002366E">
            <w:pPr>
              <w:pStyle w:val="Recommendationheading"/>
            </w:pPr>
            <w:bookmarkStart w:id="61" w:name="_Toc129873751"/>
            <w:r>
              <w:t xml:space="preserve">Recommendation </w:t>
            </w:r>
            <w:r>
              <w:fldChar w:fldCharType="begin"/>
            </w:r>
            <w:r>
              <w:instrText xml:space="preserve"> AUTONUMLGL \* Arabic\e </w:instrText>
            </w:r>
            <w:r>
              <w:fldChar w:fldCharType="end"/>
            </w:r>
            <w:bookmarkEnd w:id="61"/>
          </w:p>
          <w:p w14:paraId="6B30C3AB" w14:textId="255853B6" w:rsidR="00E46291" w:rsidRPr="00AD5C04" w:rsidRDefault="00E46291" w:rsidP="0002366E">
            <w:pPr>
              <w:pStyle w:val="Recommendationbody"/>
            </w:pPr>
            <w:bookmarkStart w:id="62" w:name="_Toc129873752"/>
            <w:r>
              <w:rPr>
                <w:rFonts w:ascii="Calibri-Bold" w:hAnsi="Calibri-Bold" w:cs="Calibri-Bold"/>
              </w:rPr>
              <w:t xml:space="preserve">The Committee recommends that the ACT Government report against the </w:t>
            </w:r>
            <w:r w:rsidR="00607243">
              <w:rPr>
                <w:rFonts w:ascii="Calibri-Bold" w:hAnsi="Calibri-Bold" w:cs="Calibri-Bold"/>
              </w:rPr>
              <w:t xml:space="preserve">amount, </w:t>
            </w:r>
            <w:r>
              <w:rPr>
                <w:rFonts w:ascii="Calibri-Bold" w:hAnsi="Calibri-Bold" w:cs="Calibri-Bold"/>
              </w:rPr>
              <w:t xml:space="preserve">incentives and outcomes of the </w:t>
            </w:r>
            <w:r w:rsidR="00067152">
              <w:rPr>
                <w:rFonts w:ascii="Calibri-Bold" w:hAnsi="Calibri-Bold" w:cs="Calibri-Bold"/>
              </w:rPr>
              <w:t>education funds</w:t>
            </w:r>
            <w:r>
              <w:rPr>
                <w:rFonts w:ascii="Calibri-Bold" w:hAnsi="Calibri-Bold" w:cs="Calibri-Bold"/>
              </w:rPr>
              <w:t xml:space="preserve"> in the new household waste collections contracts.</w:t>
            </w:r>
            <w:bookmarkEnd w:id="62"/>
          </w:p>
        </w:tc>
      </w:tr>
    </w:tbl>
    <w:p w14:paraId="6633430B" w14:textId="36EA8CCF" w:rsidR="00CE6543" w:rsidRPr="00AD5C04" w:rsidRDefault="00CE6543" w:rsidP="00CE6543">
      <w:pPr>
        <w:pStyle w:val="Heading4"/>
      </w:pPr>
      <w:r>
        <w:t>Zero emissions trucks</w:t>
      </w:r>
    </w:p>
    <w:p w14:paraId="07FA165C" w14:textId="648660B8" w:rsidR="00B004ED" w:rsidRDefault="00CE6543" w:rsidP="00B004ED">
      <w:pPr>
        <w:pStyle w:val="ListNumber2"/>
      </w:pPr>
      <w:r>
        <w:t xml:space="preserve">The Committee </w:t>
      </w:r>
      <w:r w:rsidR="00B004ED">
        <w:t>understands that during the</w:t>
      </w:r>
      <w:r w:rsidR="009B1CD7">
        <w:t xml:space="preserve"> 2021-22</w:t>
      </w:r>
      <w:r w:rsidR="00B004ED">
        <w:t xml:space="preserve"> financial yea</w:t>
      </w:r>
      <w:r w:rsidR="009B1CD7">
        <w:t>r</w:t>
      </w:r>
      <w:r w:rsidR="00B004ED">
        <w:t>, TCCS trialled new electric vehicles including an electric tipper truck, garbage truck, mower and street sweeper.</w:t>
      </w:r>
      <w:r w:rsidR="00B004ED">
        <w:rPr>
          <w:rStyle w:val="FootnoteReference"/>
        </w:rPr>
        <w:footnoteReference w:id="166"/>
      </w:r>
    </w:p>
    <w:p w14:paraId="5C26A34D" w14:textId="08C6A20F" w:rsidR="00CE6543" w:rsidRDefault="004A3A4E" w:rsidP="00CE6543">
      <w:pPr>
        <w:pStyle w:val="ListNumber2"/>
      </w:pPr>
      <w:r>
        <w:t>When examining the matter on kerbside recycling and waste contracts, the ACT Government explained that there certainly was a trial for an electric garbage truck; however, this was for City Presentation to assist with local shops’ garbage collection.</w:t>
      </w:r>
      <w:r>
        <w:rPr>
          <w:rStyle w:val="FootnoteReference"/>
        </w:rPr>
        <w:footnoteReference w:id="167"/>
      </w:r>
    </w:p>
    <w:p w14:paraId="396E4EDA" w14:textId="46C00904" w:rsidR="004A3A4E" w:rsidRDefault="004A3A4E" w:rsidP="00CE6543">
      <w:pPr>
        <w:pStyle w:val="ListNumber2"/>
      </w:pPr>
      <w:r>
        <w:t>When the Committee asked whether electric garbage trucks could be captured in the household waste collection contracts, the Committee was told that there would be some difficulties</w:t>
      </w:r>
      <w:r w:rsidR="00BE5E33">
        <w:t xml:space="preserve"> due to the current contract term</w:t>
      </w:r>
      <w:r>
        <w:t>:</w:t>
      </w:r>
    </w:p>
    <w:p w14:paraId="0A59DDBE" w14:textId="6FAA466B" w:rsidR="004A3A4E" w:rsidRDefault="004A3A4E" w:rsidP="004A3A4E">
      <w:pPr>
        <w:pStyle w:val="Quote"/>
      </w:pPr>
      <w:r>
        <w:t>We know other jurisdictions are getting trials of trucks through the fleet. We are in a difficult situation at the moment. We are at the end of our current household waste collection contract, so it makes the provision of new trucks to the fleet difficult. It is difficult to justify the investment at this stage. Where there is opportunity for us to embrace the trial of a truck for household waste collection, we are seeking every opportunity to do that.</w:t>
      </w:r>
      <w:r>
        <w:rPr>
          <w:rStyle w:val="FootnoteReference"/>
        </w:rPr>
        <w:footnoteReference w:id="168"/>
      </w:r>
    </w:p>
    <w:p w14:paraId="33030C6C" w14:textId="77777777" w:rsidR="00CE6543" w:rsidRDefault="00CE6543" w:rsidP="00CE6543">
      <w:pPr>
        <w:pStyle w:val="Heading5"/>
      </w:pPr>
      <w:r>
        <w:t>Committee comment</w:t>
      </w:r>
    </w:p>
    <w:p w14:paraId="17006946" w14:textId="56247D7A" w:rsidR="00CE6543" w:rsidRDefault="00CE6543" w:rsidP="00CE6543">
      <w:pPr>
        <w:pStyle w:val="ListNumber2"/>
      </w:pPr>
      <w:r w:rsidRPr="00DB65A8">
        <w:t>The Committee</w:t>
      </w:r>
      <w:r>
        <w:t xml:space="preserve"> i</w:t>
      </w:r>
      <w:r w:rsidR="00BE5E33">
        <w:t xml:space="preserve">s of the view that the ACT Government </w:t>
      </w:r>
      <w:r w:rsidR="00E46291">
        <w:t>prioritise zero emissions trucks for the new contracts for the household waste and recycling collections, and if this is not currently feasible, there should be a</w:t>
      </w:r>
      <w:r w:rsidR="00BE5E33">
        <w:t xml:space="preserve"> provision </w:t>
      </w:r>
      <w:r w:rsidR="00E46291">
        <w:t>inserted in</w:t>
      </w:r>
      <w:r w:rsidR="00BE5E33">
        <w:t xml:space="preserve"> new contracts to ensure that</w:t>
      </w:r>
      <w:r w:rsidR="00E46291">
        <w:t xml:space="preserve"> there will be a transition to zero emissions trucks during the term of the contract, so that the ACT is not stuck in a situation where zero emissions vehicles cannot be onboarded due to contractual loopholes.</w:t>
      </w:r>
    </w:p>
    <w:p w14:paraId="50EE8457" w14:textId="2E903013" w:rsidR="00005685" w:rsidRDefault="00005685" w:rsidP="00005685">
      <w:pPr>
        <w:pStyle w:val="ListNumber2"/>
        <w:numPr>
          <w:ilvl w:val="0"/>
          <w:numId w:val="0"/>
        </w:numPr>
      </w:pPr>
    </w:p>
    <w:p w14:paraId="6C911E2B" w14:textId="77777777" w:rsidR="00005685" w:rsidRDefault="00005685" w:rsidP="00005685">
      <w:pPr>
        <w:pStyle w:val="ListNumber2"/>
        <w:numPr>
          <w:ilvl w:val="0"/>
          <w:numId w:val="0"/>
        </w:numPr>
      </w:pPr>
    </w:p>
    <w:tbl>
      <w:tblPr>
        <w:tblStyle w:val="Recommendationbox"/>
        <w:tblW w:w="0" w:type="auto"/>
        <w:tblLook w:val="04A0" w:firstRow="1" w:lastRow="0" w:firstColumn="1" w:lastColumn="0" w:noHBand="0" w:noVBand="1"/>
      </w:tblPr>
      <w:tblGrid>
        <w:gridCol w:w="8175"/>
      </w:tblGrid>
      <w:tr w:rsidR="00CE6543" w14:paraId="03809855" w14:textId="77777777" w:rsidTr="0002366E">
        <w:tc>
          <w:tcPr>
            <w:tcW w:w="7891" w:type="dxa"/>
          </w:tcPr>
          <w:p w14:paraId="05D35456" w14:textId="77777777" w:rsidR="00CE6543" w:rsidRDefault="00CE6543" w:rsidP="0002366E">
            <w:pPr>
              <w:pStyle w:val="Recommendationheading"/>
            </w:pPr>
            <w:bookmarkStart w:id="63" w:name="_Toc129873753"/>
            <w:r>
              <w:lastRenderedPageBreak/>
              <w:t xml:space="preserve">Recommendation </w:t>
            </w:r>
            <w:r>
              <w:fldChar w:fldCharType="begin"/>
            </w:r>
            <w:r>
              <w:instrText xml:space="preserve"> AUTONUMLGL \* Arabic\e </w:instrText>
            </w:r>
            <w:r>
              <w:fldChar w:fldCharType="end"/>
            </w:r>
            <w:bookmarkEnd w:id="63"/>
          </w:p>
          <w:p w14:paraId="175719AC" w14:textId="269B1090" w:rsidR="00CE6543" w:rsidRPr="00AD5C04" w:rsidRDefault="00CE6543" w:rsidP="0002366E">
            <w:pPr>
              <w:pStyle w:val="Recommendationbody"/>
            </w:pPr>
            <w:bookmarkStart w:id="64" w:name="_Toc129873754"/>
            <w:r>
              <w:rPr>
                <w:rFonts w:ascii="Calibri-Bold" w:hAnsi="Calibri-Bold" w:cs="Calibri-Bold"/>
              </w:rPr>
              <w:t>The Committee recommends that the ACT Government ensure the new contracts for household waste and recycling collections prioritise zero emissions trucks</w:t>
            </w:r>
            <w:r w:rsidR="00BE5E33">
              <w:rPr>
                <w:rFonts w:ascii="Calibri-Bold" w:hAnsi="Calibri-Bold" w:cs="Calibri-Bold"/>
              </w:rPr>
              <w:t>, and i</w:t>
            </w:r>
            <w:r>
              <w:rPr>
                <w:rFonts w:ascii="Calibri-Bold" w:hAnsi="Calibri-Bold" w:cs="Calibri-Bold"/>
              </w:rPr>
              <w:t>f th</w:t>
            </w:r>
            <w:r w:rsidR="00BE5E33">
              <w:rPr>
                <w:rFonts w:ascii="Calibri-Bold" w:hAnsi="Calibri-Bold" w:cs="Calibri-Bold"/>
              </w:rPr>
              <w:t>is is not currently feasible</w:t>
            </w:r>
            <w:r>
              <w:rPr>
                <w:rFonts w:ascii="Calibri-Bold" w:hAnsi="Calibri-Bold" w:cs="Calibri-Bold"/>
              </w:rPr>
              <w:t>, th</w:t>
            </w:r>
            <w:r w:rsidR="00BE5E33">
              <w:rPr>
                <w:rFonts w:ascii="Calibri-Bold" w:hAnsi="Calibri-Bold" w:cs="Calibri-Bold"/>
              </w:rPr>
              <w:t>ere be a provision in the</w:t>
            </w:r>
            <w:r>
              <w:rPr>
                <w:rFonts w:ascii="Calibri-Bold" w:hAnsi="Calibri-Bold" w:cs="Calibri-Bold"/>
              </w:rPr>
              <w:t xml:space="preserve"> </w:t>
            </w:r>
            <w:r w:rsidR="00BE5E33">
              <w:rPr>
                <w:rFonts w:ascii="Calibri-Bold" w:hAnsi="Calibri-Bold" w:cs="Calibri-Bold"/>
              </w:rPr>
              <w:t xml:space="preserve">new </w:t>
            </w:r>
            <w:r>
              <w:rPr>
                <w:rFonts w:ascii="Calibri-Bold" w:hAnsi="Calibri-Bold" w:cs="Calibri-Bold"/>
              </w:rPr>
              <w:t xml:space="preserve">contracts </w:t>
            </w:r>
            <w:r w:rsidR="00BE5E33">
              <w:rPr>
                <w:rFonts w:ascii="Calibri-Bold" w:hAnsi="Calibri-Bold" w:cs="Calibri-Bold"/>
              </w:rPr>
              <w:t xml:space="preserve">to </w:t>
            </w:r>
            <w:r>
              <w:rPr>
                <w:rFonts w:ascii="Calibri-Bold" w:hAnsi="Calibri-Bold" w:cs="Calibri-Bold"/>
              </w:rPr>
              <w:t xml:space="preserve">establish a transition to zero emissions trucks during the </w:t>
            </w:r>
            <w:r w:rsidR="00BE5E33">
              <w:rPr>
                <w:rFonts w:ascii="Calibri-Bold" w:hAnsi="Calibri-Bold" w:cs="Calibri-Bold"/>
              </w:rPr>
              <w:t>term</w:t>
            </w:r>
            <w:r>
              <w:rPr>
                <w:rFonts w:ascii="Calibri-Bold" w:hAnsi="Calibri-Bold" w:cs="Calibri-Bold"/>
              </w:rPr>
              <w:t xml:space="preserve"> of the contract.</w:t>
            </w:r>
            <w:bookmarkEnd w:id="64"/>
          </w:p>
        </w:tc>
      </w:tr>
    </w:tbl>
    <w:p w14:paraId="79584E54" w14:textId="0D283FDC" w:rsidR="00416313" w:rsidRDefault="00A92C89" w:rsidP="00416313">
      <w:pPr>
        <w:pStyle w:val="Heading4"/>
      </w:pPr>
      <w:r>
        <w:t>Mitchell Resource Management Centre</w:t>
      </w:r>
    </w:p>
    <w:p w14:paraId="67FEC85E" w14:textId="3FCD2325" w:rsidR="00416313" w:rsidRDefault="00A92C89" w:rsidP="00416313">
      <w:pPr>
        <w:pStyle w:val="ListNumber2"/>
      </w:pPr>
      <w:r w:rsidRPr="00A92C89">
        <w:t>In late 2020</w:t>
      </w:r>
      <w:r>
        <w:t>,</w:t>
      </w:r>
      <w:r w:rsidRPr="00A92C89">
        <w:t xml:space="preserve"> a project to investigate the feasibility of Mitchell Resource Management Centre (RMC) upgrades and the identification of future waste sites in North Canberra commenced. The purpose of this project was to assess all available options for the relocation or upgrade of the </w:t>
      </w:r>
      <w:r>
        <w:t xml:space="preserve">Mitchell </w:t>
      </w:r>
      <w:r w:rsidRPr="00A92C89">
        <w:t xml:space="preserve">RMC. The feasibility study also provided information about the appropriateness of any future sites for new facilities </w:t>
      </w:r>
      <w:r>
        <w:t>or</w:t>
      </w:r>
      <w:r w:rsidRPr="00A92C89">
        <w:t xml:space="preserve"> potential upgrades to the Mitchell </w:t>
      </w:r>
      <w:r>
        <w:t>RMC</w:t>
      </w:r>
      <w:r w:rsidRPr="00A92C89">
        <w:t>.</w:t>
      </w:r>
      <w:r>
        <w:rPr>
          <w:rStyle w:val="FootnoteReference"/>
        </w:rPr>
        <w:footnoteReference w:id="169"/>
      </w:r>
    </w:p>
    <w:p w14:paraId="3BCA12B1" w14:textId="0D3F272D" w:rsidR="00A92C89" w:rsidRDefault="00A92C89" w:rsidP="00416313">
      <w:pPr>
        <w:pStyle w:val="ListNumber2"/>
      </w:pPr>
      <w:r w:rsidRPr="00A92C89">
        <w:t xml:space="preserve">The </w:t>
      </w:r>
      <w:r w:rsidRPr="00A92C89">
        <w:rPr>
          <w:rFonts w:ascii="Calibri-Bold" w:hAnsi="Calibri-Bold" w:cs="Calibri-Bold"/>
          <w:i/>
          <w:iCs/>
        </w:rPr>
        <w:t>Feasibility Study – Mitchell RMC and Identification of Future Waste Sites in North Canberra</w:t>
      </w:r>
      <w:r>
        <w:rPr>
          <w:rFonts w:ascii="Calibri-Bold" w:hAnsi="Calibri-Bold" w:cs="Calibri-Bold"/>
        </w:rPr>
        <w:t xml:space="preserve"> report </w:t>
      </w:r>
      <w:r w:rsidRPr="00A92C89">
        <w:t>was released in late 2022.</w:t>
      </w:r>
      <w:r>
        <w:rPr>
          <w:rStyle w:val="FootnoteReference"/>
        </w:rPr>
        <w:footnoteReference w:id="170"/>
      </w:r>
    </w:p>
    <w:p w14:paraId="755831CD" w14:textId="25C4C508" w:rsidR="004819D1" w:rsidRDefault="004819D1" w:rsidP="004819D1">
      <w:pPr>
        <w:pStyle w:val="ListNumber2"/>
      </w:pPr>
      <w:r>
        <w:t>The Committee asked the Minister for Transport and City Services and TCCS officials to respond to the community’s concerns that there may be a new waste management centre being built in Belconnen. The Minister stated that:</w:t>
      </w:r>
    </w:p>
    <w:p w14:paraId="53E1C0ED" w14:textId="14DB27EB" w:rsidR="004819D1" w:rsidRDefault="004819D1" w:rsidP="004819D1">
      <w:pPr>
        <w:pStyle w:val="Quote"/>
      </w:pPr>
      <w:r>
        <w:t>There is no proposed new tip in Belconnen. We are going through the planning process at the moment for a green waste drop-off in west Belconnen, which is continuing the existing green waste drop-off that is currently located at Parkwood and moving it to a new site in Belconnen.</w:t>
      </w:r>
      <w:r>
        <w:rPr>
          <w:rStyle w:val="FootnoteReference"/>
        </w:rPr>
        <w:footnoteReference w:id="171"/>
      </w:r>
    </w:p>
    <w:p w14:paraId="0BE6ECC4" w14:textId="2F2BE35C" w:rsidR="004819D1" w:rsidRDefault="004819D1" w:rsidP="004819D1">
      <w:pPr>
        <w:pStyle w:val="ListNumber2"/>
      </w:pPr>
      <w:r>
        <w:t>Mr Bruce Fitzgerald, Executive Group Manager of Infrastructure Delivery and Waste at TCCS, further added:</w:t>
      </w:r>
    </w:p>
    <w:p w14:paraId="35B5CD98" w14:textId="27DCC41A" w:rsidR="004819D1" w:rsidRDefault="004819D1" w:rsidP="004819D1">
      <w:pPr>
        <w:pStyle w:val="Quote"/>
      </w:pPr>
      <w:r>
        <w:t>The document in relation to Belconnen originated from a need to look at the Mitchell Resource Management Centre, to identify, particularly with some of</w:t>
      </w:r>
      <w:r w:rsidRPr="004819D1">
        <w:t xml:space="preserve"> </w:t>
      </w:r>
      <w:r>
        <w:t xml:space="preserve">the urban development that has been happening within Mitchell, what is the long-term strategy for its replacement or its supplementation. </w:t>
      </w:r>
    </w:p>
    <w:p w14:paraId="41BE0BA6" w14:textId="4F34B3AD" w:rsidR="004819D1" w:rsidRPr="004819D1" w:rsidRDefault="004819D1" w:rsidP="004819D1">
      <w:pPr>
        <w:pStyle w:val="Quote"/>
      </w:pPr>
      <w:r>
        <w:t xml:space="preserve">With the report that was conducted, it was not a landfill site; it was around what sites were available for something similar to the Mitchell site. We also used that report to understand what the feasibility was, as the minister pointed out, for the green waste facility that we need to replace what is currently on Parkwood Road. </w:t>
      </w:r>
      <w:r>
        <w:lastRenderedPageBreak/>
        <w:t>The intention was never to provide a new site; it was around locations for a possible site in the future.</w:t>
      </w:r>
      <w:r>
        <w:rPr>
          <w:rStyle w:val="FootnoteReference"/>
        </w:rPr>
        <w:footnoteReference w:id="172"/>
      </w:r>
    </w:p>
    <w:p w14:paraId="6C5C6CD5" w14:textId="77777777" w:rsidR="00416313" w:rsidRDefault="00416313" w:rsidP="00416313">
      <w:pPr>
        <w:pStyle w:val="Heading5"/>
      </w:pPr>
      <w:r>
        <w:t>Committee comment</w:t>
      </w:r>
    </w:p>
    <w:p w14:paraId="30C82AE1" w14:textId="6CE0A364" w:rsidR="00416313" w:rsidRPr="00DB65A8" w:rsidRDefault="00416313" w:rsidP="005B3D98">
      <w:pPr>
        <w:pStyle w:val="ListNumber2"/>
      </w:pPr>
      <w:r w:rsidRPr="00DB65A8">
        <w:t>The Committee</w:t>
      </w:r>
      <w:r>
        <w:t xml:space="preserve"> </w:t>
      </w:r>
      <w:r w:rsidR="004819D1">
        <w:t xml:space="preserve">is of the view that now that Stage 1 of the Mitchell (RMC) planning project has been completed, </w:t>
      </w:r>
      <w:r w:rsidR="005B3D98">
        <w:t xml:space="preserve">in Stage 2, </w:t>
      </w:r>
      <w:r w:rsidR="00A92C89">
        <w:t xml:space="preserve">the ACT Government </w:t>
      </w:r>
      <w:r w:rsidR="005B3D98">
        <w:t>should</w:t>
      </w:r>
      <w:r w:rsidR="00A92C89">
        <w:t xml:space="preserve"> engage in targeted consultations with the Belconnen and Gungahlin community </w:t>
      </w:r>
      <w:r w:rsidR="00607243">
        <w:t xml:space="preserve">about the feasibility study to ensure that residents in </w:t>
      </w:r>
      <w:r w:rsidR="00A92C89">
        <w:t xml:space="preserve">North Canberra are aware </w:t>
      </w:r>
      <w:r w:rsidR="00607243">
        <w:t>of this study</w:t>
      </w:r>
      <w:r w:rsidR="005B3D98">
        <w:t>.</w:t>
      </w:r>
    </w:p>
    <w:tbl>
      <w:tblPr>
        <w:tblStyle w:val="Recommendationbox"/>
        <w:tblW w:w="0" w:type="auto"/>
        <w:tblLook w:val="04A0" w:firstRow="1" w:lastRow="0" w:firstColumn="1" w:lastColumn="0" w:noHBand="0" w:noVBand="1"/>
      </w:tblPr>
      <w:tblGrid>
        <w:gridCol w:w="8175"/>
      </w:tblGrid>
      <w:tr w:rsidR="00416313" w14:paraId="44359C53" w14:textId="77777777" w:rsidTr="0002366E">
        <w:tc>
          <w:tcPr>
            <w:tcW w:w="7891" w:type="dxa"/>
          </w:tcPr>
          <w:p w14:paraId="0A21CB30" w14:textId="77777777" w:rsidR="00416313" w:rsidRDefault="00416313" w:rsidP="0002366E">
            <w:pPr>
              <w:pStyle w:val="Recommendationheading"/>
            </w:pPr>
            <w:bookmarkStart w:id="65" w:name="_Toc129873755"/>
            <w:r>
              <w:t xml:space="preserve">Recommendation </w:t>
            </w:r>
            <w:r>
              <w:fldChar w:fldCharType="begin"/>
            </w:r>
            <w:r>
              <w:instrText xml:space="preserve"> AUTONUMLGL \* Arabic\e </w:instrText>
            </w:r>
            <w:r>
              <w:fldChar w:fldCharType="end"/>
            </w:r>
            <w:bookmarkEnd w:id="65"/>
          </w:p>
          <w:p w14:paraId="4D7CB4EC" w14:textId="7808DC20" w:rsidR="00416313" w:rsidRPr="00AD5C04" w:rsidRDefault="00416313" w:rsidP="0002366E">
            <w:pPr>
              <w:pStyle w:val="Recommendationbody"/>
            </w:pPr>
            <w:bookmarkStart w:id="66" w:name="_Toc129873756"/>
            <w:r>
              <w:rPr>
                <w:rFonts w:ascii="Calibri-Bold" w:hAnsi="Calibri-Bold" w:cs="Calibri-Bold"/>
              </w:rPr>
              <w:t xml:space="preserve">The Committee recommends that the ACT Government engage in targeted consultation with the residents of Belconnen and Gungahlin on the </w:t>
            </w:r>
            <w:r w:rsidRPr="00A92C89">
              <w:rPr>
                <w:rFonts w:ascii="Calibri-Bold" w:hAnsi="Calibri-Bold" w:cs="Calibri-Bold"/>
                <w:i/>
                <w:iCs/>
              </w:rPr>
              <w:t xml:space="preserve">Feasibility Study – </w:t>
            </w:r>
            <w:r w:rsidR="00A92C89" w:rsidRPr="00A92C89">
              <w:rPr>
                <w:rFonts w:ascii="Calibri-Bold" w:hAnsi="Calibri-Bold" w:cs="Calibri-Bold"/>
                <w:i/>
                <w:iCs/>
              </w:rPr>
              <w:t>Mitchell RMC and Identification of Future Waste Sites in North Canberra</w:t>
            </w:r>
            <w:r w:rsidR="00A92C89">
              <w:rPr>
                <w:rFonts w:ascii="Calibri-Bold" w:hAnsi="Calibri-Bold" w:cs="Calibri-Bold"/>
              </w:rPr>
              <w:t xml:space="preserve"> report</w:t>
            </w:r>
            <w:r>
              <w:rPr>
                <w:rFonts w:ascii="Calibri-Bold" w:hAnsi="Calibri-Bold" w:cs="Calibri-Bold"/>
              </w:rPr>
              <w:t>.</w:t>
            </w:r>
            <w:bookmarkEnd w:id="66"/>
          </w:p>
        </w:tc>
      </w:tr>
    </w:tbl>
    <w:p w14:paraId="477E8B7B" w14:textId="6A3E50E2" w:rsidR="005B0A9C" w:rsidRDefault="005B0A9C" w:rsidP="005B0A9C">
      <w:pPr>
        <w:pStyle w:val="Heading4"/>
      </w:pPr>
      <w:r>
        <w:t xml:space="preserve">FTE </w:t>
      </w:r>
      <w:r w:rsidR="006B6A4A">
        <w:t>r</w:t>
      </w:r>
      <w:r>
        <w:t>angers</w:t>
      </w:r>
    </w:p>
    <w:p w14:paraId="56A2BB5C" w14:textId="24BA53D3" w:rsidR="005B0A9C" w:rsidRDefault="00E920F6" w:rsidP="005B0A9C">
      <w:pPr>
        <w:pStyle w:val="ListNumber2"/>
      </w:pPr>
      <w:r>
        <w:t>During the public hearing on 8 November 2022, the Committee asked the Minister for Transport and City Services how many full-time equivalent (FTE) rangers were employed at TCCS, to respond to issues such as illegal dumping and parking.</w:t>
      </w:r>
      <w:r>
        <w:rPr>
          <w:rStyle w:val="FootnoteReference"/>
        </w:rPr>
        <w:footnoteReference w:id="173"/>
      </w:r>
      <w:r>
        <w:t xml:space="preserve"> This was taken as a question on notice.</w:t>
      </w:r>
      <w:r>
        <w:rPr>
          <w:rStyle w:val="FootnoteReference"/>
        </w:rPr>
        <w:footnoteReference w:id="174"/>
      </w:r>
    </w:p>
    <w:p w14:paraId="5EC8DC6C" w14:textId="4CDC0473" w:rsidR="00E920F6" w:rsidRDefault="00E920F6" w:rsidP="005B0A9C">
      <w:pPr>
        <w:pStyle w:val="ListNumber2"/>
      </w:pPr>
      <w:r>
        <w:t>In his QTON response, the Minister for Transport and City Services gave the below figures, along with an explanation that:</w:t>
      </w:r>
    </w:p>
    <w:tbl>
      <w:tblPr>
        <w:tblStyle w:val="Assemblystyletable"/>
        <w:tblW w:w="0" w:type="auto"/>
        <w:tblLook w:val="04A0" w:firstRow="1" w:lastRow="0" w:firstColumn="1" w:lastColumn="0" w:noHBand="0" w:noVBand="1"/>
      </w:tblPr>
      <w:tblGrid>
        <w:gridCol w:w="3154"/>
        <w:gridCol w:w="2675"/>
        <w:gridCol w:w="3197"/>
      </w:tblGrid>
      <w:tr w:rsidR="00E920F6" w14:paraId="4369851F" w14:textId="77777777" w:rsidTr="00E920F6">
        <w:trPr>
          <w:cnfStyle w:val="100000000000" w:firstRow="1" w:lastRow="0" w:firstColumn="0" w:lastColumn="0" w:oddVBand="0" w:evenVBand="0" w:oddHBand="0" w:evenHBand="0" w:firstRowFirstColumn="0" w:firstRowLastColumn="0" w:lastRowFirstColumn="0" w:lastRowLastColumn="0"/>
        </w:trPr>
        <w:tc>
          <w:tcPr>
            <w:tcW w:w="3154" w:type="dxa"/>
          </w:tcPr>
          <w:p w14:paraId="12460561" w14:textId="6C205922" w:rsidR="00E920F6" w:rsidRPr="006F24F0" w:rsidRDefault="00E920F6" w:rsidP="0002366E">
            <w:pPr>
              <w:pStyle w:val="ListNumber2"/>
              <w:numPr>
                <w:ilvl w:val="0"/>
                <w:numId w:val="0"/>
              </w:numPr>
              <w:rPr>
                <w:b/>
                <w:bCs w:val="0"/>
                <w:sz w:val="22"/>
                <w:szCs w:val="22"/>
              </w:rPr>
            </w:pPr>
            <w:r>
              <w:t xml:space="preserve"> </w:t>
            </w:r>
            <w:r>
              <w:rPr>
                <w:b/>
                <w:bCs w:val="0"/>
                <w:sz w:val="22"/>
                <w:szCs w:val="22"/>
              </w:rPr>
              <w:t>Unit</w:t>
            </w:r>
          </w:p>
        </w:tc>
        <w:tc>
          <w:tcPr>
            <w:tcW w:w="2675" w:type="dxa"/>
          </w:tcPr>
          <w:p w14:paraId="614BE1FC" w14:textId="64E73786" w:rsidR="00E920F6" w:rsidRDefault="00E920F6" w:rsidP="0002366E">
            <w:pPr>
              <w:pStyle w:val="ListNumber2"/>
              <w:numPr>
                <w:ilvl w:val="0"/>
                <w:numId w:val="0"/>
              </w:numPr>
              <w:rPr>
                <w:b/>
                <w:bCs w:val="0"/>
                <w:szCs w:val="22"/>
              </w:rPr>
            </w:pPr>
            <w:r>
              <w:rPr>
                <w:b/>
                <w:bCs w:val="0"/>
                <w:sz w:val="22"/>
                <w:szCs w:val="22"/>
              </w:rPr>
              <w:t>2016</w:t>
            </w:r>
          </w:p>
        </w:tc>
        <w:tc>
          <w:tcPr>
            <w:tcW w:w="3197" w:type="dxa"/>
          </w:tcPr>
          <w:p w14:paraId="234905A0" w14:textId="211BF7EF" w:rsidR="00E920F6" w:rsidRPr="006F24F0" w:rsidRDefault="00E920F6" w:rsidP="0002366E">
            <w:pPr>
              <w:pStyle w:val="ListNumber2"/>
              <w:numPr>
                <w:ilvl w:val="0"/>
                <w:numId w:val="0"/>
              </w:numPr>
              <w:rPr>
                <w:b/>
                <w:bCs w:val="0"/>
                <w:sz w:val="22"/>
                <w:szCs w:val="22"/>
              </w:rPr>
            </w:pPr>
            <w:r>
              <w:rPr>
                <w:b/>
                <w:bCs w:val="0"/>
                <w:sz w:val="22"/>
                <w:szCs w:val="22"/>
              </w:rPr>
              <w:t>2022</w:t>
            </w:r>
          </w:p>
        </w:tc>
      </w:tr>
      <w:tr w:rsidR="00E920F6" w14:paraId="42024640" w14:textId="77777777" w:rsidTr="00E920F6">
        <w:trPr>
          <w:cnfStyle w:val="000000100000" w:firstRow="0" w:lastRow="0" w:firstColumn="0" w:lastColumn="0" w:oddVBand="0" w:evenVBand="0" w:oddHBand="1" w:evenHBand="0" w:firstRowFirstColumn="0" w:firstRowLastColumn="0" w:lastRowFirstColumn="0" w:lastRowLastColumn="0"/>
        </w:trPr>
        <w:tc>
          <w:tcPr>
            <w:tcW w:w="3154" w:type="dxa"/>
          </w:tcPr>
          <w:p w14:paraId="4224C05E" w14:textId="387F89B3" w:rsidR="00E920F6" w:rsidRPr="006F24F0" w:rsidRDefault="00E920F6" w:rsidP="0002366E">
            <w:pPr>
              <w:pStyle w:val="ListNumber2"/>
              <w:numPr>
                <w:ilvl w:val="0"/>
                <w:numId w:val="0"/>
              </w:numPr>
              <w:rPr>
                <w:sz w:val="22"/>
                <w:szCs w:val="22"/>
              </w:rPr>
            </w:pPr>
            <w:r>
              <w:rPr>
                <w:sz w:val="22"/>
                <w:szCs w:val="22"/>
              </w:rPr>
              <w:t>City Rangers</w:t>
            </w:r>
          </w:p>
        </w:tc>
        <w:tc>
          <w:tcPr>
            <w:tcW w:w="2675" w:type="dxa"/>
          </w:tcPr>
          <w:p w14:paraId="4AB95FE7" w14:textId="514B2942" w:rsidR="00E920F6" w:rsidRPr="006F24F0" w:rsidRDefault="00E920F6" w:rsidP="0002366E">
            <w:pPr>
              <w:pStyle w:val="ListNumber2"/>
              <w:numPr>
                <w:ilvl w:val="0"/>
                <w:numId w:val="0"/>
              </w:numPr>
              <w:rPr>
                <w:szCs w:val="22"/>
              </w:rPr>
            </w:pPr>
            <w:r>
              <w:rPr>
                <w:szCs w:val="22"/>
              </w:rPr>
              <w:t>7</w:t>
            </w:r>
          </w:p>
        </w:tc>
        <w:tc>
          <w:tcPr>
            <w:tcW w:w="3197" w:type="dxa"/>
          </w:tcPr>
          <w:p w14:paraId="16F4A247" w14:textId="03542DF0" w:rsidR="00E920F6" w:rsidRPr="006F24F0" w:rsidRDefault="00E920F6" w:rsidP="0002366E">
            <w:pPr>
              <w:pStyle w:val="ListNumber2"/>
              <w:numPr>
                <w:ilvl w:val="0"/>
                <w:numId w:val="0"/>
              </w:numPr>
              <w:rPr>
                <w:sz w:val="22"/>
                <w:szCs w:val="22"/>
              </w:rPr>
            </w:pPr>
            <w:r>
              <w:rPr>
                <w:sz w:val="22"/>
                <w:szCs w:val="22"/>
              </w:rPr>
              <w:t>10</w:t>
            </w:r>
          </w:p>
        </w:tc>
      </w:tr>
      <w:tr w:rsidR="00E920F6" w14:paraId="4A0CD2CC" w14:textId="77777777" w:rsidTr="00E920F6">
        <w:trPr>
          <w:cnfStyle w:val="000000010000" w:firstRow="0" w:lastRow="0" w:firstColumn="0" w:lastColumn="0" w:oddVBand="0" w:evenVBand="0" w:oddHBand="0" w:evenHBand="1" w:firstRowFirstColumn="0" w:firstRowLastColumn="0" w:lastRowFirstColumn="0" w:lastRowLastColumn="0"/>
        </w:trPr>
        <w:tc>
          <w:tcPr>
            <w:tcW w:w="3154" w:type="dxa"/>
          </w:tcPr>
          <w:p w14:paraId="6C4DD186" w14:textId="3D89E948" w:rsidR="00E920F6" w:rsidRPr="006F24F0" w:rsidRDefault="00E920F6" w:rsidP="0002366E">
            <w:pPr>
              <w:pStyle w:val="ListNumber2"/>
              <w:numPr>
                <w:ilvl w:val="0"/>
                <w:numId w:val="0"/>
              </w:numPr>
              <w:rPr>
                <w:sz w:val="22"/>
                <w:szCs w:val="22"/>
              </w:rPr>
            </w:pPr>
            <w:r>
              <w:rPr>
                <w:sz w:val="22"/>
                <w:szCs w:val="22"/>
              </w:rPr>
              <w:t>Compliance Targeting Team</w:t>
            </w:r>
          </w:p>
        </w:tc>
        <w:tc>
          <w:tcPr>
            <w:tcW w:w="2675" w:type="dxa"/>
          </w:tcPr>
          <w:p w14:paraId="6C84AFE2" w14:textId="6A37C524" w:rsidR="00E920F6" w:rsidRPr="006F24F0" w:rsidRDefault="00E920F6" w:rsidP="0002366E">
            <w:pPr>
              <w:pStyle w:val="ListNumber2"/>
              <w:numPr>
                <w:ilvl w:val="0"/>
                <w:numId w:val="0"/>
              </w:numPr>
              <w:rPr>
                <w:szCs w:val="22"/>
              </w:rPr>
            </w:pPr>
            <w:r>
              <w:rPr>
                <w:szCs w:val="22"/>
              </w:rPr>
              <w:t>0 (this team did not exist)</w:t>
            </w:r>
          </w:p>
        </w:tc>
        <w:tc>
          <w:tcPr>
            <w:tcW w:w="3197" w:type="dxa"/>
          </w:tcPr>
          <w:p w14:paraId="006BFE71" w14:textId="603ED24F" w:rsidR="00E920F6" w:rsidRPr="006F24F0" w:rsidRDefault="00E920F6" w:rsidP="0002366E">
            <w:pPr>
              <w:pStyle w:val="ListNumber2"/>
              <w:numPr>
                <w:ilvl w:val="0"/>
                <w:numId w:val="0"/>
              </w:numPr>
              <w:rPr>
                <w:sz w:val="22"/>
                <w:szCs w:val="22"/>
              </w:rPr>
            </w:pPr>
            <w:r>
              <w:rPr>
                <w:sz w:val="22"/>
                <w:szCs w:val="22"/>
              </w:rPr>
              <w:t>7</w:t>
            </w:r>
          </w:p>
        </w:tc>
      </w:tr>
      <w:tr w:rsidR="00E920F6" w14:paraId="1EA12FA6" w14:textId="77777777" w:rsidTr="00E920F6">
        <w:trPr>
          <w:cnfStyle w:val="000000100000" w:firstRow="0" w:lastRow="0" w:firstColumn="0" w:lastColumn="0" w:oddVBand="0" w:evenVBand="0" w:oddHBand="1" w:evenHBand="0" w:firstRowFirstColumn="0" w:firstRowLastColumn="0" w:lastRowFirstColumn="0" w:lastRowLastColumn="0"/>
        </w:trPr>
        <w:tc>
          <w:tcPr>
            <w:tcW w:w="3154" w:type="dxa"/>
          </w:tcPr>
          <w:p w14:paraId="68FFBA38" w14:textId="793B8CCB" w:rsidR="00E920F6" w:rsidRPr="006F24F0" w:rsidRDefault="00E920F6" w:rsidP="0002366E">
            <w:pPr>
              <w:pStyle w:val="ListNumber2"/>
              <w:numPr>
                <w:ilvl w:val="0"/>
                <w:numId w:val="0"/>
              </w:numPr>
              <w:rPr>
                <w:sz w:val="22"/>
                <w:szCs w:val="22"/>
              </w:rPr>
            </w:pPr>
            <w:r>
              <w:rPr>
                <w:sz w:val="22"/>
                <w:szCs w:val="22"/>
              </w:rPr>
              <w:t>Investigations</w:t>
            </w:r>
          </w:p>
        </w:tc>
        <w:tc>
          <w:tcPr>
            <w:tcW w:w="2675" w:type="dxa"/>
          </w:tcPr>
          <w:p w14:paraId="26CD5931" w14:textId="0F7978B2" w:rsidR="00E920F6" w:rsidRPr="006F24F0" w:rsidRDefault="00E920F6" w:rsidP="0002366E">
            <w:pPr>
              <w:pStyle w:val="ListNumber2"/>
              <w:numPr>
                <w:ilvl w:val="0"/>
                <w:numId w:val="0"/>
              </w:numPr>
              <w:rPr>
                <w:szCs w:val="22"/>
              </w:rPr>
            </w:pPr>
            <w:r>
              <w:rPr>
                <w:szCs w:val="22"/>
              </w:rPr>
              <w:t>1</w:t>
            </w:r>
          </w:p>
        </w:tc>
        <w:tc>
          <w:tcPr>
            <w:tcW w:w="3197" w:type="dxa"/>
          </w:tcPr>
          <w:p w14:paraId="3597E10B" w14:textId="5A59D834" w:rsidR="00E920F6" w:rsidRPr="006F24F0" w:rsidRDefault="00E920F6" w:rsidP="0002366E">
            <w:pPr>
              <w:pStyle w:val="ListNumber2"/>
              <w:numPr>
                <w:ilvl w:val="0"/>
                <w:numId w:val="0"/>
              </w:numPr>
              <w:rPr>
                <w:sz w:val="22"/>
                <w:szCs w:val="22"/>
              </w:rPr>
            </w:pPr>
            <w:r>
              <w:rPr>
                <w:sz w:val="22"/>
                <w:szCs w:val="22"/>
              </w:rPr>
              <w:t>5</w:t>
            </w:r>
          </w:p>
        </w:tc>
      </w:tr>
      <w:tr w:rsidR="00E920F6" w14:paraId="4EC57818" w14:textId="77777777" w:rsidTr="00E920F6">
        <w:trPr>
          <w:cnfStyle w:val="000000010000" w:firstRow="0" w:lastRow="0" w:firstColumn="0" w:lastColumn="0" w:oddVBand="0" w:evenVBand="0" w:oddHBand="0" w:evenHBand="1" w:firstRowFirstColumn="0" w:firstRowLastColumn="0" w:lastRowFirstColumn="0" w:lastRowLastColumn="0"/>
        </w:trPr>
        <w:tc>
          <w:tcPr>
            <w:tcW w:w="3154" w:type="dxa"/>
          </w:tcPr>
          <w:p w14:paraId="28ADC62D" w14:textId="087AE1C6" w:rsidR="00E920F6" w:rsidRPr="006F24F0" w:rsidRDefault="00E920F6" w:rsidP="0002366E">
            <w:pPr>
              <w:pStyle w:val="ListNumber2"/>
              <w:numPr>
                <w:ilvl w:val="0"/>
                <w:numId w:val="0"/>
              </w:numPr>
              <w:rPr>
                <w:sz w:val="22"/>
                <w:szCs w:val="22"/>
              </w:rPr>
            </w:pPr>
            <w:r>
              <w:rPr>
                <w:sz w:val="22"/>
                <w:szCs w:val="22"/>
              </w:rPr>
              <w:t>Licensing</w:t>
            </w:r>
          </w:p>
        </w:tc>
        <w:tc>
          <w:tcPr>
            <w:tcW w:w="2675" w:type="dxa"/>
          </w:tcPr>
          <w:p w14:paraId="65756401" w14:textId="5AE4E478" w:rsidR="00E920F6" w:rsidRPr="006F24F0" w:rsidRDefault="00E920F6" w:rsidP="0002366E">
            <w:pPr>
              <w:pStyle w:val="ListNumber2"/>
              <w:numPr>
                <w:ilvl w:val="0"/>
                <w:numId w:val="0"/>
              </w:numPr>
              <w:rPr>
                <w:szCs w:val="22"/>
              </w:rPr>
            </w:pPr>
            <w:r>
              <w:rPr>
                <w:szCs w:val="22"/>
              </w:rPr>
              <w:t>4</w:t>
            </w:r>
          </w:p>
        </w:tc>
        <w:tc>
          <w:tcPr>
            <w:tcW w:w="3197" w:type="dxa"/>
          </w:tcPr>
          <w:p w14:paraId="2D988224" w14:textId="6D5CFB02" w:rsidR="00E920F6" w:rsidRPr="006F24F0" w:rsidRDefault="00E920F6" w:rsidP="0002366E">
            <w:pPr>
              <w:pStyle w:val="ListNumber2"/>
              <w:numPr>
                <w:ilvl w:val="0"/>
                <w:numId w:val="0"/>
              </w:numPr>
              <w:rPr>
                <w:sz w:val="22"/>
                <w:szCs w:val="22"/>
              </w:rPr>
            </w:pPr>
            <w:r>
              <w:rPr>
                <w:sz w:val="22"/>
                <w:szCs w:val="22"/>
              </w:rPr>
              <w:t>8</w:t>
            </w:r>
          </w:p>
        </w:tc>
      </w:tr>
    </w:tbl>
    <w:p w14:paraId="3529527F" w14:textId="78DB3B07" w:rsidR="00E920F6" w:rsidRDefault="00E920F6" w:rsidP="00E920F6">
      <w:pPr>
        <w:pStyle w:val="Caption"/>
      </w:pPr>
      <w:r>
        <w:t xml:space="preserve">Table 2: Breakdown of FTE rangers in the ACT, see Mr Chris Steel MLA, Minister for Transport and City Services, </w:t>
      </w:r>
      <w:r w:rsidRPr="00812BD7">
        <w:rPr>
          <w:i/>
          <w:iCs w:val="0"/>
        </w:rPr>
        <w:t xml:space="preserve">Response to QTON </w:t>
      </w:r>
      <w:r>
        <w:rPr>
          <w:i/>
          <w:iCs w:val="0"/>
        </w:rPr>
        <w:t>22</w:t>
      </w:r>
      <w:r w:rsidRPr="00812BD7">
        <w:rPr>
          <w:i/>
          <w:iCs w:val="0"/>
        </w:rPr>
        <w:t xml:space="preserve">: </w:t>
      </w:r>
      <w:r>
        <w:rPr>
          <w:i/>
          <w:iCs w:val="0"/>
        </w:rPr>
        <w:t>FTE City Rangers</w:t>
      </w:r>
      <w:r>
        <w:t>, (received 17 November 2022), p 1.</w:t>
      </w:r>
    </w:p>
    <w:p w14:paraId="2DBBC47C" w14:textId="77777777" w:rsidR="00D00681" w:rsidRDefault="00D00681" w:rsidP="00D00681">
      <w:pPr>
        <w:pStyle w:val="Quote"/>
      </w:pPr>
      <w:r>
        <w:t xml:space="preserve">The TCCS Licensing and Compliance unit is responsible for licensing and regulating public land and municipal services in the ACT. The Licensing and Compliance unit is made up of four teams being the Land Use Licensing, City Rangers, Investigation </w:t>
      </w:r>
      <w:r>
        <w:lastRenderedPageBreak/>
        <w:t>and the Compliance Targeting Team. These teams work as an integrated collegial unit, with all sections contributing to the overall outcomes.</w:t>
      </w:r>
      <w:r>
        <w:rPr>
          <w:rStyle w:val="FootnoteReference"/>
        </w:rPr>
        <w:footnoteReference w:id="175"/>
      </w:r>
    </w:p>
    <w:p w14:paraId="52A58D70" w14:textId="5863D3C3" w:rsidR="00E920F6" w:rsidRDefault="00E920F6" w:rsidP="00E920F6">
      <w:pPr>
        <w:pStyle w:val="ListNumber2"/>
      </w:pPr>
      <w:r>
        <w:t xml:space="preserve">Further, the Committee </w:t>
      </w:r>
      <w:r w:rsidR="002A44AD">
        <w:t>asked the number of rangers that work outside business hours to respond to enforcement matters and whether those rangers cover all areas across the Territory.</w:t>
      </w:r>
      <w:r w:rsidR="002A44AD">
        <w:rPr>
          <w:rStyle w:val="FootnoteReference"/>
        </w:rPr>
        <w:footnoteReference w:id="176"/>
      </w:r>
    </w:p>
    <w:p w14:paraId="64D64F1F" w14:textId="32568C8B" w:rsidR="002A44AD" w:rsidRDefault="002A44AD" w:rsidP="002A44AD">
      <w:pPr>
        <w:pStyle w:val="ListNumber2"/>
      </w:pPr>
      <w:r>
        <w:t xml:space="preserve">Mr Daniel Iglesias, Executive Branch Manager of City Presentation at TCCS, acknowledged that compared to the resources that the Directorate has during business hours, the resources are limited, but rangers </w:t>
      </w:r>
      <w:r w:rsidR="008D372C">
        <w:t xml:space="preserve">do </w:t>
      </w:r>
      <w:r>
        <w:t>respond each time a complaint of issue is received:</w:t>
      </w:r>
    </w:p>
    <w:p w14:paraId="021CC45E" w14:textId="6B41EE07" w:rsidR="002A44AD" w:rsidRDefault="002A44AD" w:rsidP="002A44AD">
      <w:pPr>
        <w:pStyle w:val="Quote"/>
      </w:pPr>
      <w:r>
        <w:t>We do have the capacity to respond to people after hours, on an on-call basis. That would cover a range of eventualities, but it would not be so much based on geographic but rather the actual need. If a need was there, we would respond to wherever that need was.</w:t>
      </w:r>
      <w:r w:rsidR="008D372C">
        <w:rPr>
          <w:rStyle w:val="FootnoteReference"/>
        </w:rPr>
        <w:footnoteReference w:id="177"/>
      </w:r>
    </w:p>
    <w:p w14:paraId="4A6716EE" w14:textId="77777777" w:rsidR="005B0A9C" w:rsidRDefault="005B0A9C" w:rsidP="005B0A9C">
      <w:pPr>
        <w:pStyle w:val="Heading5"/>
      </w:pPr>
      <w:r>
        <w:t>Committee comment</w:t>
      </w:r>
    </w:p>
    <w:p w14:paraId="6FE7904F" w14:textId="54129908" w:rsidR="005B0A9C" w:rsidRDefault="005B0A9C" w:rsidP="005B0A9C">
      <w:pPr>
        <w:pStyle w:val="ListNumber2"/>
      </w:pPr>
      <w:r w:rsidRPr="00DB65A8">
        <w:t>The Committee</w:t>
      </w:r>
      <w:r>
        <w:t xml:space="preserve"> </w:t>
      </w:r>
      <w:r w:rsidR="00CB1EC6">
        <w:t xml:space="preserve">recognises that there would certainly be </w:t>
      </w:r>
      <w:r w:rsidR="00416313">
        <w:t xml:space="preserve">a </w:t>
      </w:r>
      <w:r w:rsidR="00CB1EC6">
        <w:t>cross-over between roles in the Licensing and Compliance Unit</w:t>
      </w:r>
      <w:r w:rsidR="00416313">
        <w:t>; however, the Committee would like to see a d</w:t>
      </w:r>
      <w:r w:rsidR="008D372C">
        <w:t xml:space="preserve">etailed breakdown of the number of FTE rangers </w:t>
      </w:r>
      <w:r w:rsidR="00416313">
        <w:t>specifically assigned to respond to land management, illegal dumping, illegal parking, and animal welfare matters.</w:t>
      </w:r>
    </w:p>
    <w:p w14:paraId="67E9DD8C" w14:textId="2B16689E" w:rsidR="008D372C" w:rsidRDefault="008D372C" w:rsidP="005B0A9C">
      <w:pPr>
        <w:pStyle w:val="ListNumber2"/>
      </w:pPr>
      <w:r>
        <w:t xml:space="preserve">Additionally, the Committee would like for the ACT Government to publish the number of FTE rangers who are available to take after-hour calls (after business hours during the weekdays and on weekends), as </w:t>
      </w:r>
      <w:r w:rsidR="00416313">
        <w:t>a way to ensure there is adequate staffing to respond to the community and for the rangers to not be under undue resourcing pressures.</w:t>
      </w:r>
    </w:p>
    <w:tbl>
      <w:tblPr>
        <w:tblStyle w:val="Recommendationbox"/>
        <w:tblW w:w="0" w:type="auto"/>
        <w:tblLook w:val="04A0" w:firstRow="1" w:lastRow="0" w:firstColumn="1" w:lastColumn="0" w:noHBand="0" w:noVBand="1"/>
      </w:tblPr>
      <w:tblGrid>
        <w:gridCol w:w="8175"/>
      </w:tblGrid>
      <w:tr w:rsidR="006B6A4A" w14:paraId="38F9C03C" w14:textId="77777777" w:rsidTr="006B6A4A">
        <w:tc>
          <w:tcPr>
            <w:tcW w:w="7891" w:type="dxa"/>
          </w:tcPr>
          <w:p w14:paraId="1243703D" w14:textId="77777777" w:rsidR="006B6A4A" w:rsidRDefault="006B6A4A" w:rsidP="004F001E">
            <w:pPr>
              <w:pStyle w:val="Recommendationheading"/>
            </w:pPr>
            <w:bookmarkStart w:id="67" w:name="_Toc119420197"/>
            <w:bookmarkStart w:id="68" w:name="_Toc129350744"/>
            <w:bookmarkStart w:id="69" w:name="_Toc129873757"/>
            <w:r>
              <w:t xml:space="preserve">Recommendation </w:t>
            </w:r>
            <w:r>
              <w:fldChar w:fldCharType="begin"/>
            </w:r>
            <w:r>
              <w:instrText xml:space="preserve"> AUTONUMLGL \* Arabic\e </w:instrText>
            </w:r>
            <w:r>
              <w:fldChar w:fldCharType="end"/>
            </w:r>
            <w:bookmarkEnd w:id="67"/>
            <w:bookmarkEnd w:id="68"/>
            <w:bookmarkEnd w:id="69"/>
          </w:p>
          <w:p w14:paraId="40357E32" w14:textId="362F99AB" w:rsidR="006B6A4A" w:rsidRDefault="006B6A4A" w:rsidP="004F001E">
            <w:pPr>
              <w:pStyle w:val="Recommendationbody"/>
            </w:pPr>
            <w:bookmarkStart w:id="70" w:name="_Toc119420198"/>
            <w:bookmarkStart w:id="71" w:name="_Toc129350745"/>
            <w:bookmarkStart w:id="72" w:name="_Toc129873758"/>
            <w:r>
              <w:t xml:space="preserve">The Committee recommends that the ACT Government </w:t>
            </w:r>
            <w:bookmarkEnd w:id="70"/>
            <w:bookmarkEnd w:id="71"/>
            <w:r>
              <w:t>publish in their annual and financial reports in detail the number of FTE rangers:</w:t>
            </w:r>
            <w:bookmarkEnd w:id="72"/>
          </w:p>
          <w:p w14:paraId="5F371A2E" w14:textId="2B085FEF" w:rsidR="006B6A4A" w:rsidRDefault="006B6A4A" w:rsidP="004F001E">
            <w:pPr>
              <w:pStyle w:val="Recommendationbody"/>
              <w:numPr>
                <w:ilvl w:val="0"/>
                <w:numId w:val="33"/>
              </w:numPr>
            </w:pPr>
            <w:bookmarkStart w:id="73" w:name="_Toc119420199"/>
            <w:bookmarkStart w:id="74" w:name="_Toc129350746"/>
            <w:bookmarkStart w:id="75" w:name="_Toc129873759"/>
            <w:r>
              <w:t>employed in all fields, including land management, illegal dumping, illegal parking, and animal welfare;</w:t>
            </w:r>
            <w:bookmarkEnd w:id="73"/>
            <w:r>
              <w:t xml:space="preserve"> and</w:t>
            </w:r>
            <w:bookmarkEnd w:id="74"/>
            <w:bookmarkEnd w:id="75"/>
          </w:p>
          <w:p w14:paraId="5FF444A1" w14:textId="66AED546" w:rsidR="006B6A4A" w:rsidRPr="00467D5B" w:rsidRDefault="006B6A4A" w:rsidP="004F001E">
            <w:pPr>
              <w:pStyle w:val="Recommendationbody"/>
              <w:numPr>
                <w:ilvl w:val="0"/>
                <w:numId w:val="33"/>
              </w:numPr>
            </w:pPr>
            <w:bookmarkStart w:id="76" w:name="_Toc129873760"/>
            <w:r>
              <w:t>that are available for after-hour calls.</w:t>
            </w:r>
            <w:bookmarkEnd w:id="76"/>
          </w:p>
        </w:tc>
      </w:tr>
    </w:tbl>
    <w:p w14:paraId="744EDB7E" w14:textId="23FDB202" w:rsidR="003F5334" w:rsidRDefault="003F5334" w:rsidP="003F5334">
      <w:pPr>
        <w:pStyle w:val="Heading4"/>
      </w:pPr>
      <w:r>
        <w:t>Waste audits</w:t>
      </w:r>
    </w:p>
    <w:p w14:paraId="43C6F895" w14:textId="0EAFF92C" w:rsidR="003F5334" w:rsidRDefault="00AE3210" w:rsidP="003F5334">
      <w:pPr>
        <w:pStyle w:val="ListNumber2"/>
      </w:pPr>
      <w:r>
        <w:t>The Committee understands that there have been nine waste audits between 2009 and 2015</w:t>
      </w:r>
      <w:r w:rsidR="00AB63FF">
        <w:t>:</w:t>
      </w:r>
    </w:p>
    <w:p w14:paraId="0FF6BBAB" w14:textId="6BEA5A4C" w:rsidR="00AB63FF" w:rsidRDefault="00AB63FF" w:rsidP="00AB63FF">
      <w:pPr>
        <w:pStyle w:val="ListBullet"/>
      </w:pPr>
      <w:r>
        <w:t>ACTNOWaste Materials Recovery Facility (MRF) Residual Waste Audit (July 2009);</w:t>
      </w:r>
    </w:p>
    <w:p w14:paraId="043442B5" w14:textId="0EA3606A" w:rsidR="00AB63FF" w:rsidRDefault="00AB63FF" w:rsidP="00AB63FF">
      <w:pPr>
        <w:pStyle w:val="ListBullet"/>
      </w:pPr>
      <w:r>
        <w:t>ACTNOWaste Kerbside Domestic Waste &amp; Recycling Audit (December 2009);</w:t>
      </w:r>
    </w:p>
    <w:p w14:paraId="6A1A533F" w14:textId="35226AEA" w:rsidR="00AB63FF" w:rsidRDefault="00AB63FF" w:rsidP="00AB63FF">
      <w:pPr>
        <w:pStyle w:val="ListBullet"/>
      </w:pPr>
      <w:r>
        <w:lastRenderedPageBreak/>
        <w:t>ACTNOWaste ACT Landfill Audits (July 2010);</w:t>
      </w:r>
    </w:p>
    <w:p w14:paraId="7054E049" w14:textId="6613B9E4" w:rsidR="00AB63FF" w:rsidRDefault="00AB63FF" w:rsidP="00AB63FF">
      <w:pPr>
        <w:pStyle w:val="ListBullet"/>
      </w:pPr>
      <w:r>
        <w:t>ACTNOWaste Skip Bin Waste Composition Audit at Mugga Lane Landfill (May 2011);</w:t>
      </w:r>
    </w:p>
    <w:p w14:paraId="7ABBB8D3" w14:textId="504C0186" w:rsidR="00AB63FF" w:rsidRDefault="00AB63FF" w:rsidP="00AB63FF">
      <w:pPr>
        <w:pStyle w:val="ListBullet"/>
      </w:pPr>
      <w:r>
        <w:t>ACTNOWaste ACT Recycling Drop Off Centres (RDOC) Co-mingled Recycling Composition Audit (June 2014);</w:t>
      </w:r>
    </w:p>
    <w:p w14:paraId="46D2EE54" w14:textId="030E96C0" w:rsidR="00AB63FF" w:rsidRDefault="00AB63FF" w:rsidP="00AB63FF">
      <w:pPr>
        <w:pStyle w:val="ListBullet"/>
      </w:pPr>
      <w:r>
        <w:t>ACTNOWaste Materials Recovery Facility (MRF) Audit</w:t>
      </w:r>
      <w:r w:rsidR="00F13867">
        <w:t xml:space="preserve"> (November 2014)</w:t>
      </w:r>
      <w:r>
        <w:t>;</w:t>
      </w:r>
    </w:p>
    <w:p w14:paraId="319C4CC9" w14:textId="062EBCD1" w:rsidR="00AB63FF" w:rsidRDefault="00AB63FF" w:rsidP="00AB63FF">
      <w:pPr>
        <w:pStyle w:val="ListBullet"/>
      </w:pPr>
      <w:r>
        <w:t>ACTNOWaste Landfill and Transfer Station Waste Audits</w:t>
      </w:r>
      <w:r w:rsidR="00F13867">
        <w:t xml:space="preserve"> (July 2015)</w:t>
      </w:r>
      <w:r>
        <w:t>;</w:t>
      </w:r>
    </w:p>
    <w:p w14:paraId="029CA937" w14:textId="19F8F22B" w:rsidR="00F13867" w:rsidRDefault="00F13867" w:rsidP="00F13867">
      <w:pPr>
        <w:pStyle w:val="ListBullet"/>
      </w:pPr>
      <w:r>
        <w:t>ACTNOWaste ACT Domestic Waste Audit (November 2015); and</w:t>
      </w:r>
    </w:p>
    <w:p w14:paraId="3A51E151" w14:textId="43CB2611" w:rsidR="00AB63FF" w:rsidRDefault="00AB63FF" w:rsidP="00AB63FF">
      <w:pPr>
        <w:pStyle w:val="ListBullet"/>
      </w:pPr>
      <w:r>
        <w:t>Review of monitoring and forecasting practices associated with Mugga Land Resource Management Centre landfill capacity (</w:t>
      </w:r>
      <w:r w:rsidR="00F13867">
        <w:t>January 2015</w:t>
      </w:r>
      <w:r>
        <w:t>).</w:t>
      </w:r>
      <w:r w:rsidR="00024742">
        <w:rPr>
          <w:rStyle w:val="FootnoteReference"/>
        </w:rPr>
        <w:footnoteReference w:id="178"/>
      </w:r>
    </w:p>
    <w:p w14:paraId="606F1BEB" w14:textId="08EA14E7" w:rsidR="00F13867" w:rsidRDefault="00F13867" w:rsidP="00AE3210">
      <w:pPr>
        <w:pStyle w:val="ListNumber2"/>
      </w:pPr>
      <w:r>
        <w:t>The Committee asked the Minister for Transport and City Services why there have been no published waste audits since 2015, and whether the Directorate was continuing to undertake data analysis done in previous years’ audit reports.</w:t>
      </w:r>
      <w:r w:rsidR="00024742">
        <w:rPr>
          <w:rStyle w:val="FootnoteReference"/>
        </w:rPr>
        <w:footnoteReference w:id="179"/>
      </w:r>
    </w:p>
    <w:p w14:paraId="50B61E82" w14:textId="257742D1" w:rsidR="00F13867" w:rsidRDefault="00AE3210" w:rsidP="00F13867">
      <w:pPr>
        <w:pStyle w:val="ListNumber2"/>
      </w:pPr>
      <w:r>
        <w:t xml:space="preserve">Mr </w:t>
      </w:r>
      <w:r w:rsidR="00F13867">
        <w:t xml:space="preserve">Bruce </w:t>
      </w:r>
      <w:r>
        <w:t>Fitzgerald</w:t>
      </w:r>
      <w:r w:rsidR="00F13867">
        <w:t>, Executive Group Manager of the Infrastructure Delivery and Waste Unit at TCCS, stated that t</w:t>
      </w:r>
      <w:r>
        <w:t xml:space="preserve">he fieldwork for </w:t>
      </w:r>
      <w:r w:rsidR="00F13867">
        <w:t xml:space="preserve">a recent </w:t>
      </w:r>
      <w:r>
        <w:t>audit has been completed</w:t>
      </w:r>
      <w:r w:rsidR="00F13867">
        <w:t>:</w:t>
      </w:r>
      <w:r w:rsidR="00F13867">
        <w:rPr>
          <w:rStyle w:val="FootnoteReference"/>
        </w:rPr>
        <w:footnoteReference w:id="180"/>
      </w:r>
    </w:p>
    <w:p w14:paraId="7D1034E3" w14:textId="7577DA52" w:rsidR="00AE3210" w:rsidRDefault="00AE3210" w:rsidP="00F13867">
      <w:pPr>
        <w:pStyle w:val="Quote"/>
      </w:pPr>
      <w:r>
        <w:t>We are expecting a draft report. I will not say that we will have it before Christmas, but we are expecting that that will come through in the not-too-distant future. It is a key element for us to make sure that we have our settings, particularly for a number of our waste procurements, at the right level.</w:t>
      </w:r>
      <w:r w:rsidR="00F13867">
        <w:rPr>
          <w:rStyle w:val="FootnoteReference"/>
        </w:rPr>
        <w:footnoteReference w:id="181"/>
      </w:r>
    </w:p>
    <w:p w14:paraId="3A6169B9" w14:textId="60D789A6" w:rsidR="00F13867" w:rsidRPr="00F13867" w:rsidRDefault="00F13867" w:rsidP="00F13867">
      <w:pPr>
        <w:pStyle w:val="ListNumber2"/>
      </w:pPr>
      <w:r>
        <w:t>When the Committee asked whether the ‘not-too-distant future’ meant in the year 2023, Mr Bruce Fitzgerald replied ‘yes’.</w:t>
      </w:r>
      <w:r>
        <w:rPr>
          <w:rStyle w:val="FootnoteReference"/>
        </w:rPr>
        <w:footnoteReference w:id="182"/>
      </w:r>
    </w:p>
    <w:p w14:paraId="0B8A59BC" w14:textId="77777777" w:rsidR="003F5334" w:rsidRDefault="003F5334" w:rsidP="003F5334">
      <w:pPr>
        <w:pStyle w:val="Heading5"/>
      </w:pPr>
      <w:r>
        <w:t>Committee comment</w:t>
      </w:r>
    </w:p>
    <w:p w14:paraId="23D72896" w14:textId="40162FA6" w:rsidR="003F5334" w:rsidRPr="00DB65A8" w:rsidRDefault="003F5334" w:rsidP="003F5334">
      <w:pPr>
        <w:pStyle w:val="ListNumber2"/>
      </w:pPr>
      <w:r w:rsidRPr="00DB65A8">
        <w:t>The Committee</w:t>
      </w:r>
      <w:r>
        <w:t xml:space="preserve"> </w:t>
      </w:r>
      <w:r w:rsidR="00024742">
        <w:t xml:space="preserve">would like for </w:t>
      </w:r>
      <w:r w:rsidR="00F34DD8">
        <w:t>TCCS to publish the waste audit report they recently conducted, a</w:t>
      </w:r>
      <w:r w:rsidR="005B0A9C">
        <w:t>nd recommends the process be made a regular occurrence, in order to promote best practices for controls and ensure that there is compliance with relevant government policies and regulations.</w:t>
      </w:r>
    </w:p>
    <w:tbl>
      <w:tblPr>
        <w:tblStyle w:val="Recommendationbox"/>
        <w:tblW w:w="0" w:type="auto"/>
        <w:tblLook w:val="04A0" w:firstRow="1" w:lastRow="0" w:firstColumn="1" w:lastColumn="0" w:noHBand="0" w:noVBand="1"/>
      </w:tblPr>
      <w:tblGrid>
        <w:gridCol w:w="8175"/>
      </w:tblGrid>
      <w:tr w:rsidR="003F5334" w14:paraId="0AFEA06D" w14:textId="77777777" w:rsidTr="0002366E">
        <w:tc>
          <w:tcPr>
            <w:tcW w:w="7891" w:type="dxa"/>
          </w:tcPr>
          <w:p w14:paraId="103CD43E" w14:textId="77777777" w:rsidR="003F5334" w:rsidRDefault="003F5334" w:rsidP="0002366E">
            <w:pPr>
              <w:pStyle w:val="Recommendationheading"/>
            </w:pPr>
            <w:bookmarkStart w:id="77" w:name="_Toc129873761"/>
            <w:r>
              <w:t xml:space="preserve">Recommendation </w:t>
            </w:r>
            <w:r>
              <w:fldChar w:fldCharType="begin"/>
            </w:r>
            <w:r>
              <w:instrText xml:space="preserve"> AUTONUMLGL \* Arabic\e </w:instrText>
            </w:r>
            <w:r>
              <w:fldChar w:fldCharType="end"/>
            </w:r>
            <w:bookmarkEnd w:id="77"/>
          </w:p>
          <w:p w14:paraId="08A70886" w14:textId="28640B4D" w:rsidR="003F5334" w:rsidRPr="00AD5C04" w:rsidRDefault="003F5334" w:rsidP="0002366E">
            <w:pPr>
              <w:pStyle w:val="Recommendationbody"/>
            </w:pPr>
            <w:bookmarkStart w:id="78" w:name="_Toc129873762"/>
            <w:r>
              <w:rPr>
                <w:rFonts w:ascii="Calibri-Bold" w:hAnsi="Calibri-Bold" w:cs="Calibri-Bold"/>
              </w:rPr>
              <w:t>The Committee recommends that the ACT Government publish all of the waste and recycling audits recently conducted, as soon as</w:t>
            </w:r>
            <w:r w:rsidR="00C00702">
              <w:rPr>
                <w:rFonts w:ascii="Calibri-Bold" w:hAnsi="Calibri-Bold" w:cs="Calibri-Bold"/>
              </w:rPr>
              <w:t xml:space="preserve"> practicable.</w:t>
            </w:r>
            <w:bookmarkEnd w:id="78"/>
          </w:p>
        </w:tc>
      </w:tr>
    </w:tbl>
    <w:p w14:paraId="0DAB0C51" w14:textId="795D1D06" w:rsidR="0075397F" w:rsidRDefault="0075397F" w:rsidP="0075397F">
      <w:pPr>
        <w:pStyle w:val="Heading4"/>
      </w:pPr>
      <w:r>
        <w:lastRenderedPageBreak/>
        <w:t xml:space="preserve">Public </w:t>
      </w:r>
      <w:r w:rsidR="00891398">
        <w:t>t</w:t>
      </w:r>
      <w:r>
        <w:t xml:space="preserve">ransport </w:t>
      </w:r>
      <w:r w:rsidR="00891398">
        <w:t>r</w:t>
      </w:r>
      <w:r w:rsidR="00750E15">
        <w:t>eporting</w:t>
      </w:r>
      <w:r w:rsidR="00A8267F">
        <w:t xml:space="preserve"> indicators</w:t>
      </w:r>
    </w:p>
    <w:p w14:paraId="29B8327A" w14:textId="5B1D43AB" w:rsidR="0075397F" w:rsidRDefault="00891398" w:rsidP="0075397F">
      <w:pPr>
        <w:pStyle w:val="ListNumber2"/>
      </w:pPr>
      <w:r>
        <w:t>During the public hearings, t</w:t>
      </w:r>
      <w:r w:rsidR="0075397F">
        <w:t xml:space="preserve">he Committee </w:t>
      </w:r>
      <w:r>
        <w:t>examined</w:t>
      </w:r>
      <w:r w:rsidR="0075397F">
        <w:t xml:space="preserve"> the </w:t>
      </w:r>
      <w:r>
        <w:t xml:space="preserve">ACT </w:t>
      </w:r>
      <w:r w:rsidR="0075397F">
        <w:t>Government’s goal of increasing public transport usage</w:t>
      </w:r>
      <w:r w:rsidR="00571395">
        <w:t xml:space="preserve">, </w:t>
      </w:r>
      <w:r>
        <w:t>and asked the Minister for Transport and City Services what</w:t>
      </w:r>
      <w:r w:rsidR="00DD4778">
        <w:t xml:space="preserve"> percentage of Canberrans use public transport.</w:t>
      </w:r>
      <w:r w:rsidR="00A8267F">
        <w:rPr>
          <w:rStyle w:val="FootnoteReference"/>
        </w:rPr>
        <w:footnoteReference w:id="183"/>
      </w:r>
    </w:p>
    <w:p w14:paraId="6ED42F5D" w14:textId="15B36FDA" w:rsidR="00E6219B" w:rsidRDefault="00E6219B" w:rsidP="0075397F">
      <w:pPr>
        <w:pStyle w:val="ListNumber2"/>
      </w:pPr>
      <w:r>
        <w:t xml:space="preserve">The Committee also questioned the Minister on the issue of declining public transport patronage, citing </w:t>
      </w:r>
      <w:r w:rsidR="00A8267F">
        <w:t xml:space="preserve">a </w:t>
      </w:r>
      <w:r>
        <w:t xml:space="preserve">chart on page 27 of the </w:t>
      </w:r>
      <w:r w:rsidR="00DC2687">
        <w:t xml:space="preserve">TCCS </w:t>
      </w:r>
      <w:r>
        <w:t xml:space="preserve">Annual </w:t>
      </w:r>
      <w:r w:rsidR="00DC2687">
        <w:t xml:space="preserve">and Financial </w:t>
      </w:r>
      <w:r>
        <w:t>Report</w:t>
      </w:r>
      <w:r w:rsidR="00DC2687">
        <w:t xml:space="preserve"> 2021-22, which, the Directorate is looking to remove from future annual reports.</w:t>
      </w:r>
      <w:r w:rsidR="00A8267F">
        <w:rPr>
          <w:rStyle w:val="FootnoteReference"/>
        </w:rPr>
        <w:footnoteReference w:id="184"/>
      </w:r>
    </w:p>
    <w:p w14:paraId="07AA8179" w14:textId="498049E2" w:rsidR="00DC2687" w:rsidRDefault="00A8267F" w:rsidP="00254053">
      <w:pPr>
        <w:pStyle w:val="ListNumber2"/>
      </w:pPr>
      <w:r>
        <w:t>In response</w:t>
      </w:r>
      <w:r w:rsidR="00465201">
        <w:t xml:space="preserve"> to a question a</w:t>
      </w:r>
      <w:r w:rsidR="00DC2687">
        <w:t xml:space="preserve">s to </w:t>
      </w:r>
      <w:r w:rsidR="00465201">
        <w:t>why TCCS is removing that table going forward</w:t>
      </w:r>
      <w:r>
        <w:t>, Mr Ben McHugh</w:t>
      </w:r>
      <w:r w:rsidR="00DC2687">
        <w:t>, Deputy Director-General of Transport Canberra and Business Services at TCCS,</w:t>
      </w:r>
      <w:r>
        <w:t xml:space="preserve"> stated that it is </w:t>
      </w:r>
      <w:r w:rsidR="00DC2687">
        <w:t xml:space="preserve">the Directorate’s </w:t>
      </w:r>
      <w:r>
        <w:t>intention that the data be replaced with ‘something that has a better demonstration of the data’</w:t>
      </w:r>
      <w:r w:rsidR="00DC2687">
        <w:t>:</w:t>
      </w:r>
      <w:r>
        <w:rPr>
          <w:rStyle w:val="FootnoteReference"/>
        </w:rPr>
        <w:footnoteReference w:id="185"/>
      </w:r>
    </w:p>
    <w:p w14:paraId="0B76FD14" w14:textId="1E93316A" w:rsidR="00E6219B" w:rsidRDefault="00DC2687" w:rsidP="00BD2490">
      <w:pPr>
        <w:pStyle w:val="Quote"/>
        <w:spacing w:before="120"/>
      </w:pPr>
      <w:r>
        <w:t>That graph currently presents that we have maintained our targets; it is how we achieve those targets that will become more important as we recover from the impacts of COVID. We want to be able to reflect that in more detail. As you have identified, without an explanation, that graph can be quite misleading in terms of the drop-off in patronage.</w:t>
      </w:r>
      <w:r w:rsidR="00254053">
        <w:rPr>
          <w:rStyle w:val="FootnoteReference"/>
        </w:rPr>
        <w:footnoteReference w:id="186"/>
      </w:r>
    </w:p>
    <w:p w14:paraId="092A3980" w14:textId="67BB3BC1" w:rsidR="00571395" w:rsidRDefault="00571395" w:rsidP="00BD2490">
      <w:pPr>
        <w:pStyle w:val="Heading5"/>
        <w:spacing w:before="0" w:after="0"/>
      </w:pPr>
      <w:r>
        <w:t>Committee Comment</w:t>
      </w:r>
    </w:p>
    <w:p w14:paraId="6DBA723D" w14:textId="77777777" w:rsidR="004615D0" w:rsidRDefault="00E6219B" w:rsidP="00750E15">
      <w:pPr>
        <w:pStyle w:val="ListNumber2"/>
      </w:pPr>
      <w:r>
        <w:t xml:space="preserve">The Committee is of the view that the ACT Government should continue to publish a time series of public transport usage as a Strategic Objective Indicator in </w:t>
      </w:r>
      <w:r w:rsidR="00DC2687">
        <w:t xml:space="preserve">annual reports, and </w:t>
      </w:r>
      <w:r w:rsidR="00750E15">
        <w:t>should</w:t>
      </w:r>
      <w:r>
        <w:t xml:space="preserve"> keep patronage data reporting as it is the basis of public transport usage and recording</w:t>
      </w:r>
      <w:r w:rsidR="00DC2687">
        <w:t>.</w:t>
      </w:r>
    </w:p>
    <w:p w14:paraId="49F2A612" w14:textId="16B01BC9" w:rsidR="00750E15" w:rsidRDefault="00DC2687" w:rsidP="00750E15">
      <w:pPr>
        <w:pStyle w:val="ListNumber2"/>
      </w:pPr>
      <w:r>
        <w:t xml:space="preserve">The Committee also recommends that </w:t>
      </w:r>
      <w:r w:rsidR="00E6219B">
        <w:t>journey data reporting and the percentage of the population that uses public transport</w:t>
      </w:r>
      <w:r>
        <w:t xml:space="preserve"> be included in future annual reports, </w:t>
      </w:r>
      <w:r w:rsidR="004615D0">
        <w:t>as it will provide insights on how public transport usage is trending, which is pertinent data for operational efficiency</w:t>
      </w:r>
      <w:r w:rsidR="00E6219B">
        <w:t>.</w:t>
      </w:r>
    </w:p>
    <w:tbl>
      <w:tblPr>
        <w:tblStyle w:val="Recommendationbox"/>
        <w:tblW w:w="0" w:type="auto"/>
        <w:tblLook w:val="04A0" w:firstRow="1" w:lastRow="0" w:firstColumn="1" w:lastColumn="0" w:noHBand="0" w:noVBand="1"/>
      </w:tblPr>
      <w:tblGrid>
        <w:gridCol w:w="8175"/>
      </w:tblGrid>
      <w:tr w:rsidR="006B6A4A" w14:paraId="66CC2DC9" w14:textId="77777777" w:rsidTr="004F001E">
        <w:tc>
          <w:tcPr>
            <w:tcW w:w="7891" w:type="dxa"/>
          </w:tcPr>
          <w:p w14:paraId="13C9F074" w14:textId="77777777" w:rsidR="006B6A4A" w:rsidRDefault="006B6A4A" w:rsidP="004F001E">
            <w:pPr>
              <w:pStyle w:val="Recommendationheading"/>
            </w:pPr>
            <w:bookmarkStart w:id="79" w:name="_Toc129873763"/>
            <w:r>
              <w:t xml:space="preserve">Recommendation </w:t>
            </w:r>
            <w:r>
              <w:fldChar w:fldCharType="begin"/>
            </w:r>
            <w:r>
              <w:instrText xml:space="preserve"> AUTONUMLGL \* Arabic\e </w:instrText>
            </w:r>
            <w:r>
              <w:fldChar w:fldCharType="end"/>
            </w:r>
            <w:bookmarkEnd w:id="79"/>
          </w:p>
          <w:p w14:paraId="451A4DC9" w14:textId="15E12CCC" w:rsidR="006B6A4A" w:rsidRDefault="006B6A4A" w:rsidP="004F001E">
            <w:pPr>
              <w:pStyle w:val="Recommendationbody"/>
            </w:pPr>
            <w:bookmarkStart w:id="80" w:name="_Toc129873764"/>
            <w:r>
              <w:t>The Committee recommends that the ACT Government continue to publish a time series of public transport usage as a Strategic Objective Indicator in annual and financial reports through:</w:t>
            </w:r>
            <w:bookmarkEnd w:id="80"/>
          </w:p>
          <w:p w14:paraId="4AE0DD26" w14:textId="77777777" w:rsidR="006B6A4A" w:rsidRDefault="006B6A4A" w:rsidP="006B6A4A">
            <w:pPr>
              <w:pStyle w:val="Recommendationbody"/>
              <w:numPr>
                <w:ilvl w:val="0"/>
                <w:numId w:val="33"/>
              </w:numPr>
            </w:pPr>
            <w:bookmarkStart w:id="81" w:name="_Toc129873765"/>
            <w:r>
              <w:t>keeping patronage data reporting;</w:t>
            </w:r>
            <w:bookmarkEnd w:id="81"/>
            <w:r>
              <w:t xml:space="preserve"> </w:t>
            </w:r>
          </w:p>
          <w:p w14:paraId="1D26E1FA" w14:textId="476E5D27" w:rsidR="006B6A4A" w:rsidRDefault="006B6A4A" w:rsidP="006B6A4A">
            <w:pPr>
              <w:pStyle w:val="Recommendationbody"/>
              <w:numPr>
                <w:ilvl w:val="0"/>
                <w:numId w:val="33"/>
              </w:numPr>
            </w:pPr>
            <w:bookmarkStart w:id="82" w:name="_Toc129873766"/>
            <w:r>
              <w:t>adding journey data reporting; and</w:t>
            </w:r>
            <w:bookmarkEnd w:id="82"/>
          </w:p>
          <w:p w14:paraId="77B7F202" w14:textId="0AA8FD1F" w:rsidR="006B6A4A" w:rsidRPr="00467D5B" w:rsidRDefault="006B6A4A" w:rsidP="006B6A4A">
            <w:pPr>
              <w:pStyle w:val="Recommendationbody"/>
              <w:numPr>
                <w:ilvl w:val="0"/>
                <w:numId w:val="33"/>
              </w:numPr>
            </w:pPr>
            <w:bookmarkStart w:id="83" w:name="_Toc129873767"/>
            <w:r>
              <w:t>adding the percentage of the population that uses public transport.</w:t>
            </w:r>
            <w:bookmarkEnd w:id="83"/>
          </w:p>
        </w:tc>
      </w:tr>
    </w:tbl>
    <w:p w14:paraId="7BB6C448" w14:textId="1FDF2487" w:rsidR="00E6219B" w:rsidRDefault="00750E15" w:rsidP="0075397F">
      <w:pPr>
        <w:pStyle w:val="ListNumber2"/>
      </w:pPr>
      <w:r>
        <w:lastRenderedPageBreak/>
        <w:t xml:space="preserve">The Committee also understands </w:t>
      </w:r>
      <w:r w:rsidR="00C7079C">
        <w:t xml:space="preserve">from the </w:t>
      </w:r>
      <w:r w:rsidR="004615D0">
        <w:t xml:space="preserve">TCCS Annual and Financial Report 2021-22 </w:t>
      </w:r>
      <w:r>
        <w:t xml:space="preserve">that </w:t>
      </w:r>
      <w:r w:rsidR="004615D0">
        <w:t>the Directorate</w:t>
      </w:r>
      <w:r>
        <w:t xml:space="preserve"> is proposing to remove the time series of </w:t>
      </w:r>
      <w:r w:rsidRPr="004615D0">
        <w:rPr>
          <w:i/>
          <w:iCs/>
        </w:rPr>
        <w:t xml:space="preserve">Government subsidy per </w:t>
      </w:r>
      <w:r w:rsidR="00C7079C" w:rsidRPr="004615D0">
        <w:rPr>
          <w:i/>
          <w:iCs/>
        </w:rPr>
        <w:t xml:space="preserve">passenger </w:t>
      </w:r>
      <w:r w:rsidRPr="004615D0">
        <w:rPr>
          <w:i/>
          <w:iCs/>
        </w:rPr>
        <w:t>boarding</w:t>
      </w:r>
      <w:r>
        <w:t xml:space="preserve"> </w:t>
      </w:r>
      <w:r w:rsidR="00C7079C">
        <w:t xml:space="preserve">from future </w:t>
      </w:r>
      <w:r w:rsidR="004615D0">
        <w:t>a</w:t>
      </w:r>
      <w:r>
        <w:t xml:space="preserve">nnual </w:t>
      </w:r>
      <w:r w:rsidR="004615D0">
        <w:t>r</w:t>
      </w:r>
      <w:r>
        <w:t>eport</w:t>
      </w:r>
      <w:r w:rsidR="00C7079C">
        <w:t>s, ‘pending implementation of the new ticketing system currently being procured, which will provide more reliable passenger information’.</w:t>
      </w:r>
      <w:r w:rsidR="00C7079C">
        <w:rPr>
          <w:rStyle w:val="FootnoteReference"/>
        </w:rPr>
        <w:footnoteReference w:id="187"/>
      </w:r>
    </w:p>
    <w:p w14:paraId="3C487835" w14:textId="77777777" w:rsidR="004615D0" w:rsidRDefault="004615D0" w:rsidP="004615D0">
      <w:pPr>
        <w:pStyle w:val="Heading5"/>
      </w:pPr>
      <w:r>
        <w:t>Committee Comment</w:t>
      </w:r>
    </w:p>
    <w:p w14:paraId="6CD08F1F" w14:textId="2A0C899D" w:rsidR="00B87B02" w:rsidRDefault="00B87B02" w:rsidP="0075397F">
      <w:pPr>
        <w:pStyle w:val="ListNumber2"/>
      </w:pPr>
      <w:r>
        <w:t xml:space="preserve">The Committee is of the view that the ACT Government considers continuing to publish in </w:t>
      </w:r>
      <w:r w:rsidR="004615D0">
        <w:t>its annual reports</w:t>
      </w:r>
      <w:r>
        <w:t xml:space="preserve"> the time series of Government subsidy per passenger boarding (or per journey)</w:t>
      </w:r>
      <w:r w:rsidR="004615D0">
        <w:t>, as the</w:t>
      </w:r>
      <w:r w:rsidR="0048097A">
        <w:t>re is no guarantee that the new passenger information extracted from the new ticketing system will automatically produce a better dataset for inclusion in annual reports.</w:t>
      </w:r>
    </w:p>
    <w:tbl>
      <w:tblPr>
        <w:tblStyle w:val="Recommendationbox"/>
        <w:tblW w:w="0" w:type="auto"/>
        <w:tblLook w:val="04A0" w:firstRow="1" w:lastRow="0" w:firstColumn="1" w:lastColumn="0" w:noHBand="0" w:noVBand="1"/>
      </w:tblPr>
      <w:tblGrid>
        <w:gridCol w:w="8175"/>
      </w:tblGrid>
      <w:tr w:rsidR="00B87B02" w14:paraId="4BBB6F20" w14:textId="77777777" w:rsidTr="00014F9B">
        <w:tc>
          <w:tcPr>
            <w:tcW w:w="7891" w:type="dxa"/>
          </w:tcPr>
          <w:p w14:paraId="1113BAE9" w14:textId="77777777" w:rsidR="00B87B02" w:rsidRDefault="00B87B02" w:rsidP="00014F9B">
            <w:pPr>
              <w:pStyle w:val="Recommendationheading"/>
            </w:pPr>
            <w:bookmarkStart w:id="84" w:name="_Toc129873768"/>
            <w:r>
              <w:t xml:space="preserve">Recommendation </w:t>
            </w:r>
            <w:r>
              <w:fldChar w:fldCharType="begin"/>
            </w:r>
            <w:r>
              <w:instrText xml:space="preserve"> AUTONUMLGL \* Arabic\e </w:instrText>
            </w:r>
            <w:r>
              <w:fldChar w:fldCharType="end"/>
            </w:r>
            <w:bookmarkEnd w:id="84"/>
          </w:p>
          <w:p w14:paraId="26E21E91" w14:textId="6D573B1F" w:rsidR="00B87B02" w:rsidRPr="00B87B02" w:rsidRDefault="00B87B02" w:rsidP="00B87B02">
            <w:pPr>
              <w:pStyle w:val="Recommendationbody"/>
              <w:rPr>
                <w:rFonts w:ascii="Calibri-Bold" w:hAnsi="Calibri-Bold" w:cs="Calibri-Bold"/>
              </w:rPr>
            </w:pPr>
            <w:bookmarkStart w:id="85" w:name="_Toc129873769"/>
            <w:r>
              <w:rPr>
                <w:rFonts w:ascii="Calibri-Bold" w:hAnsi="Calibri-Bold" w:cs="Calibri-Bold"/>
              </w:rPr>
              <w:t xml:space="preserve">The Committee recommends that the ACT Government </w:t>
            </w:r>
            <w:r w:rsidRPr="00891398">
              <w:rPr>
                <w:rFonts w:ascii="Calibri-Bold" w:hAnsi="Calibri-Bold" w:cs="Calibri-Bold"/>
              </w:rPr>
              <w:t xml:space="preserve">considers continuing </w:t>
            </w:r>
            <w:r>
              <w:rPr>
                <w:rFonts w:ascii="Calibri-Bold" w:hAnsi="Calibri-Bold" w:cs="Calibri-Bold"/>
              </w:rPr>
              <w:t>to publish a time series of Government subsidy per passenger boarding (or journey)</w:t>
            </w:r>
            <w:r w:rsidR="004615D0">
              <w:rPr>
                <w:rFonts w:ascii="Calibri-Bold" w:hAnsi="Calibri-Bold" w:cs="Calibri-Bold"/>
              </w:rPr>
              <w:t xml:space="preserve"> in the TCCS Annual and Financial Reports</w:t>
            </w:r>
            <w:r>
              <w:rPr>
                <w:rFonts w:ascii="Calibri-Bold" w:hAnsi="Calibri-Bold" w:cs="Calibri-Bold"/>
              </w:rPr>
              <w:t>.</w:t>
            </w:r>
            <w:bookmarkEnd w:id="85"/>
          </w:p>
        </w:tc>
      </w:tr>
    </w:tbl>
    <w:p w14:paraId="2457EB34" w14:textId="5A0BB1A6" w:rsidR="009B35FB" w:rsidRDefault="009B35FB" w:rsidP="009B35FB">
      <w:pPr>
        <w:pStyle w:val="Heading2"/>
      </w:pPr>
      <w:bookmarkStart w:id="86" w:name="_Toc129873714"/>
      <w:r>
        <w:t xml:space="preserve">Minister for </w:t>
      </w:r>
      <w:r w:rsidR="000137CD">
        <w:t>Sport and Recreation</w:t>
      </w:r>
      <w:r>
        <w:t>—Administrative arrangements</w:t>
      </w:r>
      <w:bookmarkEnd w:id="86"/>
    </w:p>
    <w:p w14:paraId="5BE6EB87" w14:textId="0138F60B" w:rsidR="009B35FB" w:rsidRDefault="009B35FB" w:rsidP="009B35FB">
      <w:pPr>
        <w:pStyle w:val="ListNumber2"/>
      </w:pPr>
      <w:r>
        <w:t>The areas of responsibility covered by the Minister fo</w:t>
      </w:r>
      <w:r w:rsidR="000137CD">
        <w:t>r Sport and Recreation</w:t>
      </w:r>
      <w:r>
        <w:t xml:space="preserve"> with TCCS are:</w:t>
      </w:r>
    </w:p>
    <w:p w14:paraId="4FF699AA" w14:textId="446E28C1" w:rsidR="000137CD" w:rsidRDefault="000137CD" w:rsidP="009B35FB">
      <w:pPr>
        <w:pStyle w:val="ListBullet"/>
        <w:tabs>
          <w:tab w:val="clear" w:pos="360"/>
        </w:tabs>
        <w:ind w:hanging="340"/>
      </w:pPr>
      <w:r>
        <w:t>Sports ground management.</w:t>
      </w:r>
      <w:r>
        <w:rPr>
          <w:rStyle w:val="FootnoteReference"/>
        </w:rPr>
        <w:footnoteReference w:id="188"/>
      </w:r>
    </w:p>
    <w:p w14:paraId="359E6FF6" w14:textId="77777777" w:rsidR="000137CD" w:rsidRPr="00AD5C04" w:rsidRDefault="000137CD" w:rsidP="000137CD">
      <w:pPr>
        <w:pStyle w:val="Heading3"/>
      </w:pPr>
      <w:bookmarkStart w:id="87" w:name="_Toc129873715"/>
      <w:r w:rsidRPr="00AD5C04">
        <w:t>Matters considered</w:t>
      </w:r>
      <w:bookmarkEnd w:id="87"/>
    </w:p>
    <w:p w14:paraId="1A3A0257" w14:textId="553FEA9E" w:rsidR="000137CD" w:rsidRDefault="000137CD" w:rsidP="000137CD">
      <w:pPr>
        <w:pStyle w:val="ListNumber2"/>
      </w:pPr>
      <w:r w:rsidRPr="00C04DBC">
        <w:t xml:space="preserve">During the </w:t>
      </w:r>
      <w:r>
        <w:t>Minister for Sport and Recreation’s</w:t>
      </w:r>
      <w:r w:rsidRPr="00C04DBC">
        <w:t xml:space="preserve"> appearance before the Committee on </w:t>
      </w:r>
      <w:r>
        <w:t>7 November</w:t>
      </w:r>
      <w:r w:rsidRPr="00C04DBC">
        <w:t xml:space="preserve"> 2022</w:t>
      </w:r>
      <w:r>
        <w:t>,</w:t>
      </w:r>
      <w:r w:rsidRPr="00C04DBC">
        <w:t xml:space="preserve"> the following matters were considered</w:t>
      </w:r>
      <w:r>
        <w:t>:</w:t>
      </w:r>
    </w:p>
    <w:p w14:paraId="3E789281" w14:textId="66C326AD" w:rsidR="000137CD" w:rsidRDefault="000137CD" w:rsidP="000137CD">
      <w:pPr>
        <w:pStyle w:val="ListBullet2"/>
      </w:pPr>
      <w:r>
        <w:t>Sportsground facility maintenance and cleaning contract;</w:t>
      </w:r>
      <w:r>
        <w:rPr>
          <w:rStyle w:val="FootnoteReference"/>
        </w:rPr>
        <w:footnoteReference w:id="189"/>
      </w:r>
    </w:p>
    <w:p w14:paraId="67AFAA6A" w14:textId="0B7CD56D" w:rsidR="000137CD" w:rsidRDefault="000137CD" w:rsidP="000137CD">
      <w:pPr>
        <w:pStyle w:val="ListBullet2"/>
      </w:pPr>
      <w:r>
        <w:t>Maintenance of ovals;</w:t>
      </w:r>
      <w:r>
        <w:rPr>
          <w:rStyle w:val="FootnoteReference"/>
        </w:rPr>
        <w:footnoteReference w:id="190"/>
      </w:r>
      <w:r>
        <w:t xml:space="preserve"> and</w:t>
      </w:r>
    </w:p>
    <w:p w14:paraId="30D915A4" w14:textId="09BE1EF8" w:rsidR="000137CD" w:rsidRDefault="000137CD" w:rsidP="000137CD">
      <w:pPr>
        <w:pStyle w:val="ListBullet2"/>
      </w:pPr>
      <w:r>
        <w:t>Female-friendly upgrades to pavilions and sports facilities.</w:t>
      </w:r>
      <w:r>
        <w:rPr>
          <w:rStyle w:val="FootnoteReference"/>
        </w:rPr>
        <w:footnoteReference w:id="191"/>
      </w:r>
    </w:p>
    <w:p w14:paraId="6CF8AA82" w14:textId="269A4C9E" w:rsidR="00261A56" w:rsidRDefault="00261A56">
      <w:pPr>
        <w:spacing w:line="259" w:lineRule="auto"/>
        <w:rPr>
          <w:rFonts w:cstheme="minorHAnsi"/>
          <w:bCs/>
          <w:color w:val="000000" w:themeColor="text1"/>
          <w:szCs w:val="20"/>
          <w:bdr w:val="nil"/>
        </w:rPr>
      </w:pPr>
      <w:r>
        <w:rPr>
          <w:bdr w:val="nil"/>
        </w:rPr>
        <w:br w:type="page"/>
      </w:r>
    </w:p>
    <w:p w14:paraId="44319D95" w14:textId="4D3C2EE9" w:rsidR="004E2F4F" w:rsidRDefault="00764E31" w:rsidP="00764E31">
      <w:pPr>
        <w:pStyle w:val="Heading1"/>
      </w:pPr>
      <w:bookmarkStart w:id="88" w:name="_Toc129873716"/>
      <w:bookmarkEnd w:id="18"/>
      <w:r>
        <w:lastRenderedPageBreak/>
        <w:t>Conclusion</w:t>
      </w:r>
      <w:bookmarkEnd w:id="88"/>
    </w:p>
    <w:p w14:paraId="4618445A" w14:textId="77777777" w:rsidR="00764E31" w:rsidRPr="00651FE0" w:rsidRDefault="00764E31" w:rsidP="00764E31">
      <w:pPr>
        <w:pStyle w:val="ListNumber2"/>
      </w:pPr>
      <w:r w:rsidRPr="000B0176">
        <w:t xml:space="preserve">The Committee thanks everyone who participated in, or otherwise assisted, this inquiry. This includes </w:t>
      </w:r>
      <w:r>
        <w:t xml:space="preserve">the </w:t>
      </w:r>
      <w:r w:rsidRPr="000B0176">
        <w:t xml:space="preserve">ACT Government Ministers, </w:t>
      </w:r>
      <w:r>
        <w:t>D</w:t>
      </w:r>
      <w:r w:rsidRPr="000B0176">
        <w:t xml:space="preserve">irectorate officials, </w:t>
      </w:r>
      <w:r>
        <w:t xml:space="preserve">and </w:t>
      </w:r>
      <w:r w:rsidRPr="000B0176">
        <w:t>statutory officers</w:t>
      </w:r>
      <w:r>
        <w:t>. The Committee wishes to extend its appreciation to the Hansard and broadcasting staff of the ACT Legislative Assembly.</w:t>
      </w:r>
    </w:p>
    <w:p w14:paraId="18E07338" w14:textId="42CC14D1" w:rsidR="00764E31" w:rsidRPr="00764E31" w:rsidRDefault="00764E31" w:rsidP="00764E31">
      <w:pPr>
        <w:pStyle w:val="ListNumber2"/>
      </w:pPr>
      <w:r>
        <w:t xml:space="preserve">The Committee makes </w:t>
      </w:r>
      <w:r w:rsidR="0048097A" w:rsidRPr="00C00702">
        <w:t>19</w:t>
      </w:r>
      <w:r>
        <w:t xml:space="preserve"> recommendations.</w:t>
      </w:r>
    </w:p>
    <w:p w14:paraId="38E8B401" w14:textId="5599AC6F" w:rsidR="00AE487B" w:rsidRPr="00C00702" w:rsidRDefault="00AE487B" w:rsidP="00AE487B">
      <w:pPr>
        <w:spacing w:before="1560" w:after="0" w:line="259" w:lineRule="auto"/>
      </w:pPr>
      <w:r w:rsidRPr="00C00702">
        <w:t>Ms Jo Clay MLA</w:t>
      </w:r>
    </w:p>
    <w:p w14:paraId="524E55BE" w14:textId="042353FE" w:rsidR="00AE487B" w:rsidRPr="00C00702" w:rsidRDefault="00AE487B" w:rsidP="00AE487B">
      <w:pPr>
        <w:spacing w:after="0" w:line="259" w:lineRule="auto"/>
      </w:pPr>
      <w:r w:rsidRPr="00C00702">
        <w:t>Chair</w:t>
      </w:r>
    </w:p>
    <w:p w14:paraId="223C2986" w14:textId="070E737B" w:rsidR="00AE487B" w:rsidRDefault="00C00702" w:rsidP="00AE487B">
      <w:pPr>
        <w:spacing w:after="0" w:line="259" w:lineRule="auto"/>
      </w:pPr>
      <w:r w:rsidRPr="00C00702">
        <w:t>16</w:t>
      </w:r>
      <w:r w:rsidR="00AE487B" w:rsidRPr="00C00702">
        <w:t xml:space="preserve"> </w:t>
      </w:r>
      <w:r w:rsidR="00026446" w:rsidRPr="00C00702">
        <w:t>March</w:t>
      </w:r>
      <w:r w:rsidR="00AE487B" w:rsidRPr="00C00702">
        <w:t xml:space="preserve"> 2023</w:t>
      </w:r>
    </w:p>
    <w:p w14:paraId="7911C8CD" w14:textId="77777777" w:rsidR="00AE487B" w:rsidRDefault="00AE487B" w:rsidP="00AE487B">
      <w:pPr>
        <w:spacing w:line="259" w:lineRule="auto"/>
        <w:rPr>
          <w:rFonts w:cstheme="minorHAnsi"/>
          <w:bCs/>
          <w:color w:val="000000" w:themeColor="text1"/>
          <w:szCs w:val="20"/>
        </w:rPr>
      </w:pPr>
      <w:r>
        <w:br w:type="page"/>
      </w:r>
    </w:p>
    <w:p w14:paraId="3A51597C" w14:textId="77777777" w:rsidR="00AE487B" w:rsidRDefault="00AE487B" w:rsidP="00AE487B">
      <w:pPr>
        <w:pStyle w:val="Heading1nonumber"/>
      </w:pPr>
      <w:bookmarkStart w:id="89" w:name="_Toc119591087"/>
      <w:bookmarkStart w:id="90" w:name="_Toc129873717"/>
      <w:r>
        <w:lastRenderedPageBreak/>
        <w:t>Appendix A: Witnesses</w:t>
      </w:r>
      <w:bookmarkEnd w:id="89"/>
      <w:bookmarkEnd w:id="90"/>
    </w:p>
    <w:p w14:paraId="60B3741F" w14:textId="77777777" w:rsidR="00B96B7C" w:rsidRDefault="00B96B7C" w:rsidP="00B96B7C">
      <w:pPr>
        <w:pStyle w:val="Heading3"/>
      </w:pPr>
      <w:bookmarkStart w:id="91" w:name="_Toc119591088"/>
      <w:bookmarkStart w:id="92" w:name="_Toc126921850"/>
      <w:bookmarkStart w:id="93" w:name="_Toc129873718"/>
      <w:r>
        <w:t>Monday, 31 October 2022</w:t>
      </w:r>
      <w:bookmarkEnd w:id="91"/>
      <w:bookmarkEnd w:id="92"/>
      <w:bookmarkEnd w:id="93"/>
    </w:p>
    <w:p w14:paraId="5F7AA951" w14:textId="77777777" w:rsidR="00B96B7C" w:rsidRDefault="00B96B7C" w:rsidP="00B96B7C">
      <w:pPr>
        <w:pStyle w:val="ListBullet"/>
        <w:ind w:left="0"/>
      </w:pPr>
      <w:r w:rsidRPr="008169AA">
        <w:rPr>
          <w:b/>
        </w:rPr>
        <w:t>Mr Mick Gentleman MLA</w:t>
      </w:r>
      <w:r w:rsidRPr="00751E66">
        <w:t xml:space="preserve">, Minister for </w:t>
      </w:r>
      <w:r>
        <w:t>Planning and Land Management</w:t>
      </w:r>
    </w:p>
    <w:p w14:paraId="7FBE8361" w14:textId="77777777" w:rsidR="00B96B7C" w:rsidRDefault="00B96B7C" w:rsidP="00B96B7C">
      <w:pPr>
        <w:pStyle w:val="Heading4"/>
      </w:pPr>
      <w:r>
        <w:t>Environment, Planning and Sustainable Development Directorate</w:t>
      </w:r>
    </w:p>
    <w:p w14:paraId="4AC32336" w14:textId="6E4A63CC" w:rsidR="00B96B7C" w:rsidRPr="00B96B7C" w:rsidRDefault="00B96B7C" w:rsidP="00B96B7C">
      <w:pPr>
        <w:pStyle w:val="ListBullet"/>
        <w:ind w:left="0"/>
      </w:pPr>
      <w:r>
        <w:rPr>
          <w:b/>
        </w:rPr>
        <w:t>Mr Ben Ponton</w:t>
      </w:r>
      <w:r>
        <w:rPr>
          <w:bCs/>
        </w:rPr>
        <w:t>, Director-General</w:t>
      </w:r>
    </w:p>
    <w:p w14:paraId="79A48AD9" w14:textId="77777777" w:rsidR="00B96B7C" w:rsidRDefault="00B96B7C" w:rsidP="00B96B7C">
      <w:pPr>
        <w:pStyle w:val="ListBullet"/>
        <w:ind w:left="0"/>
      </w:pPr>
      <w:r w:rsidRPr="00B96B7C">
        <w:rPr>
          <w:b/>
          <w:bCs/>
        </w:rPr>
        <w:t>Dr Erin Brady</w:t>
      </w:r>
      <w:r>
        <w:t>, Deputy Director-General, Planning and Sustainable Development</w:t>
      </w:r>
    </w:p>
    <w:p w14:paraId="16748107" w14:textId="77777777" w:rsidR="00B96B7C" w:rsidRDefault="00B96B7C" w:rsidP="00B96B7C">
      <w:pPr>
        <w:pStyle w:val="ListBullet"/>
        <w:ind w:left="0"/>
      </w:pPr>
      <w:r w:rsidRPr="00B96B7C">
        <w:rPr>
          <w:b/>
          <w:bCs/>
        </w:rPr>
        <w:t>Mr James Bennett</w:t>
      </w:r>
      <w:r>
        <w:t>, Executive Branch Manager, Building Reform, Housing and Design Services</w:t>
      </w:r>
    </w:p>
    <w:p w14:paraId="6E6BA0EA" w14:textId="77777777" w:rsidR="00B96B7C" w:rsidRDefault="00B96B7C" w:rsidP="00B96B7C">
      <w:pPr>
        <w:pStyle w:val="ListBullet"/>
        <w:ind w:left="0"/>
      </w:pPr>
      <w:r w:rsidRPr="00B96B7C">
        <w:rPr>
          <w:b/>
          <w:bCs/>
        </w:rPr>
        <w:t>Mr George Cilliers</w:t>
      </w:r>
      <w:r>
        <w:t>, Executive Group Manager, Statutory Planning</w:t>
      </w:r>
    </w:p>
    <w:p w14:paraId="0A07BF47" w14:textId="77777777" w:rsidR="00B96B7C" w:rsidRDefault="00B96B7C" w:rsidP="00B96B7C">
      <w:pPr>
        <w:pStyle w:val="ListBullet"/>
        <w:ind w:left="0"/>
      </w:pPr>
      <w:r w:rsidRPr="00B96B7C">
        <w:rPr>
          <w:b/>
          <w:bCs/>
        </w:rPr>
        <w:t>Mr Ben Green</w:t>
      </w:r>
      <w:r>
        <w:t>, A/g Executive Group Manager, Development and Implementation</w:t>
      </w:r>
    </w:p>
    <w:p w14:paraId="473D26CD" w14:textId="0856EE7C" w:rsidR="00B96B7C" w:rsidRDefault="00B96B7C" w:rsidP="00B96B7C">
      <w:pPr>
        <w:pStyle w:val="ListBullet"/>
        <w:ind w:left="0"/>
      </w:pPr>
      <w:r w:rsidRPr="00B96B7C">
        <w:rPr>
          <w:b/>
          <w:bCs/>
        </w:rPr>
        <w:t>Ms Alexandra Magee</w:t>
      </w:r>
      <w:r>
        <w:t>, Executive Branch Manager, Communications, Engagement and Media</w:t>
      </w:r>
    </w:p>
    <w:p w14:paraId="3D71B69E" w14:textId="235E09D6" w:rsidR="008169AA" w:rsidRDefault="008169AA" w:rsidP="00B96B7C"/>
    <w:p w14:paraId="4E3204DB" w14:textId="72766A2E" w:rsidR="00B96B7C" w:rsidRDefault="00B96B7C" w:rsidP="00B96B7C">
      <w:pPr>
        <w:pStyle w:val="ListBullet"/>
        <w:ind w:left="0"/>
      </w:pPr>
      <w:r w:rsidRPr="008169AA">
        <w:rPr>
          <w:b/>
        </w:rPr>
        <w:t xml:space="preserve">Mr </w:t>
      </w:r>
      <w:r>
        <w:rPr>
          <w:b/>
        </w:rPr>
        <w:t>Chris Steel MLA</w:t>
      </w:r>
      <w:r>
        <w:rPr>
          <w:bCs/>
        </w:rPr>
        <w:t>, Minister for Transport and City Services</w:t>
      </w:r>
    </w:p>
    <w:p w14:paraId="6FF11C3F" w14:textId="4EAB0C59" w:rsidR="00B96B7C" w:rsidRDefault="00B96B7C" w:rsidP="00B96B7C">
      <w:pPr>
        <w:pStyle w:val="Heading4"/>
      </w:pPr>
      <w:r>
        <w:t>Transport Canberra and City Services Directorate</w:t>
      </w:r>
    </w:p>
    <w:p w14:paraId="3C65BADC" w14:textId="77777777" w:rsidR="00B96B7C" w:rsidRDefault="00751E66" w:rsidP="00B96B7C">
      <w:pPr>
        <w:pStyle w:val="ListBullet"/>
        <w:ind w:left="0"/>
      </w:pPr>
      <w:r w:rsidRPr="00B96B7C">
        <w:rPr>
          <w:b/>
        </w:rPr>
        <w:t>Ms Alison Playford</w:t>
      </w:r>
      <w:r>
        <w:t>, Director-General</w:t>
      </w:r>
    </w:p>
    <w:p w14:paraId="1019A446" w14:textId="77777777" w:rsidR="00B96B7C" w:rsidRDefault="00751E66" w:rsidP="00B96B7C">
      <w:pPr>
        <w:pStyle w:val="ListBullet"/>
        <w:ind w:left="0"/>
      </w:pPr>
      <w:r w:rsidRPr="00B96B7C">
        <w:rPr>
          <w:b/>
        </w:rPr>
        <w:t>Mr Ben McHugh</w:t>
      </w:r>
      <w:r>
        <w:t>, Deputy Director-General, Transport Canberra and Business Services</w:t>
      </w:r>
    </w:p>
    <w:p w14:paraId="20CEC3FB" w14:textId="77777777" w:rsidR="00B96B7C" w:rsidRDefault="00751E66" w:rsidP="00B96B7C">
      <w:pPr>
        <w:pStyle w:val="ListBullet"/>
        <w:ind w:left="0"/>
      </w:pPr>
      <w:r w:rsidRPr="00B96B7C">
        <w:rPr>
          <w:b/>
        </w:rPr>
        <w:t>Ms Sophie Clement</w:t>
      </w:r>
      <w:r>
        <w:t>, A/g Executive Branch Manager, Infrastructure Delivery</w:t>
      </w:r>
    </w:p>
    <w:p w14:paraId="45767729" w14:textId="35809487" w:rsidR="008169AA" w:rsidRDefault="00751E66" w:rsidP="00B96B7C">
      <w:pPr>
        <w:pStyle w:val="ListBullet"/>
        <w:ind w:left="0"/>
      </w:pPr>
      <w:r w:rsidRPr="00B96B7C">
        <w:rPr>
          <w:b/>
        </w:rPr>
        <w:t>Ms Cherie Hughes</w:t>
      </w:r>
      <w:r w:rsidRPr="00751E66">
        <w:t>, Chief Operating Officer</w:t>
      </w:r>
    </w:p>
    <w:p w14:paraId="37EEE992" w14:textId="4932DD3C" w:rsidR="00751E66" w:rsidRDefault="00751E66" w:rsidP="00B96B7C">
      <w:pPr>
        <w:pStyle w:val="Heading4"/>
      </w:pPr>
      <w:r>
        <w:t>Major Projects Canberra</w:t>
      </w:r>
    </w:p>
    <w:p w14:paraId="024CF95C" w14:textId="77777777" w:rsidR="00B96B7C" w:rsidRDefault="00751E66" w:rsidP="00B96B7C">
      <w:pPr>
        <w:pStyle w:val="ListBullet"/>
        <w:ind w:left="0"/>
      </w:pPr>
      <w:r w:rsidRPr="00B96B7C">
        <w:rPr>
          <w:b/>
        </w:rPr>
        <w:t>Mr Duncan Edghill</w:t>
      </w:r>
      <w:r>
        <w:t>, Chief Projects Officer</w:t>
      </w:r>
    </w:p>
    <w:p w14:paraId="3745A5C3" w14:textId="642BE069" w:rsidR="00751E66" w:rsidRPr="00751E66" w:rsidRDefault="00751E66" w:rsidP="00B96B7C">
      <w:pPr>
        <w:pStyle w:val="ListBullet"/>
        <w:ind w:left="0"/>
      </w:pPr>
      <w:r w:rsidRPr="00B96B7C">
        <w:rPr>
          <w:b/>
        </w:rPr>
        <w:t>Mr Ashley Cahif</w:t>
      </w:r>
      <w:r>
        <w:t>, Project Director, Light Rail</w:t>
      </w:r>
    </w:p>
    <w:p w14:paraId="0D14AE84" w14:textId="77777777" w:rsidR="008169AA" w:rsidRDefault="008169AA" w:rsidP="00B96B7C"/>
    <w:p w14:paraId="260BB0DD" w14:textId="37533936" w:rsidR="008169AA" w:rsidRDefault="00390AB4" w:rsidP="00FC681D">
      <w:pPr>
        <w:pStyle w:val="Heading3"/>
      </w:pPr>
      <w:bookmarkStart w:id="94" w:name="_Toc129873719"/>
      <w:r>
        <w:t>Wednesday, 2 November 2022</w:t>
      </w:r>
      <w:bookmarkEnd w:id="94"/>
    </w:p>
    <w:p w14:paraId="66FB274B" w14:textId="14331293" w:rsidR="00FC681D" w:rsidRDefault="00FC681D" w:rsidP="00FC681D">
      <w:pPr>
        <w:pStyle w:val="ListBullet"/>
        <w:ind w:left="0"/>
      </w:pPr>
      <w:r w:rsidRPr="008169AA">
        <w:rPr>
          <w:b/>
        </w:rPr>
        <w:t>M</w:t>
      </w:r>
      <w:r>
        <w:rPr>
          <w:b/>
        </w:rPr>
        <w:t xml:space="preserve">s Rebecca Vassarotti </w:t>
      </w:r>
      <w:r w:rsidRPr="008169AA">
        <w:rPr>
          <w:b/>
        </w:rPr>
        <w:t>MLA</w:t>
      </w:r>
      <w:r w:rsidRPr="00751E66">
        <w:t xml:space="preserve">, Minister for </w:t>
      </w:r>
      <w:r>
        <w:t>Sustainable Building and Construction</w:t>
      </w:r>
    </w:p>
    <w:p w14:paraId="375ABC40" w14:textId="77777777" w:rsidR="00FC681D" w:rsidRDefault="00FC681D" w:rsidP="00FC681D">
      <w:pPr>
        <w:pStyle w:val="Heading4"/>
      </w:pPr>
      <w:r>
        <w:t>Environment, Planning and Sustainable Development Directorate</w:t>
      </w:r>
    </w:p>
    <w:p w14:paraId="354AD75D" w14:textId="77777777" w:rsidR="00F66BBC" w:rsidRDefault="00FC681D" w:rsidP="00B96B7C">
      <w:pPr>
        <w:pStyle w:val="ListBullet"/>
        <w:ind w:left="0"/>
      </w:pPr>
      <w:r w:rsidRPr="00B96B7C">
        <w:rPr>
          <w:b/>
          <w:bCs/>
        </w:rPr>
        <w:t>Dr Erin Brady</w:t>
      </w:r>
      <w:r>
        <w:t>, Deputy Director-General, Planning and Sustainable Development</w:t>
      </w:r>
    </w:p>
    <w:p w14:paraId="5A5D51F4" w14:textId="77777777" w:rsidR="00F66BBC" w:rsidRPr="00F66BBC" w:rsidRDefault="008169AA" w:rsidP="00B96B7C">
      <w:pPr>
        <w:pStyle w:val="ListBullet"/>
        <w:ind w:left="0"/>
      </w:pPr>
      <w:r w:rsidRPr="00F66BBC">
        <w:rPr>
          <w:b/>
          <w:bCs/>
        </w:rPr>
        <w:t>Mr James Bennett</w:t>
      </w:r>
      <w:r w:rsidRPr="00F66BBC">
        <w:rPr>
          <w:bCs/>
        </w:rPr>
        <w:t>, Executive Branch Manager, Building Reform, Housing and Design Services</w:t>
      </w:r>
    </w:p>
    <w:p w14:paraId="5A2E5507" w14:textId="0649DAD8" w:rsidR="008169AA" w:rsidRDefault="008169AA" w:rsidP="00B96B7C">
      <w:pPr>
        <w:pStyle w:val="ListBullet"/>
        <w:ind w:left="0"/>
      </w:pPr>
      <w:r w:rsidRPr="00F66BBC">
        <w:rPr>
          <w:b/>
          <w:bCs/>
        </w:rPr>
        <w:t>Mr Ben Green</w:t>
      </w:r>
      <w:r w:rsidRPr="00F66BBC">
        <w:rPr>
          <w:bCs/>
        </w:rPr>
        <w:t>, A/g Executive Group Manager, Development and Implementation</w:t>
      </w:r>
    </w:p>
    <w:p w14:paraId="53087C25" w14:textId="77777777" w:rsidR="008169AA" w:rsidRPr="00751E66" w:rsidRDefault="008169AA" w:rsidP="00B96B7C"/>
    <w:p w14:paraId="51484922" w14:textId="09D846E4" w:rsidR="008169AA" w:rsidRDefault="008169AA" w:rsidP="00F66BBC">
      <w:pPr>
        <w:pStyle w:val="Heading3"/>
      </w:pPr>
      <w:bookmarkStart w:id="95" w:name="_Toc129873720"/>
      <w:r>
        <w:lastRenderedPageBreak/>
        <w:t>Monday, 7 November 2022</w:t>
      </w:r>
      <w:bookmarkEnd w:id="95"/>
    </w:p>
    <w:p w14:paraId="791C124A" w14:textId="6296B343" w:rsidR="00F66BBC" w:rsidRDefault="00F66BBC" w:rsidP="00F66BBC">
      <w:pPr>
        <w:pStyle w:val="ListBullet"/>
        <w:ind w:left="0"/>
      </w:pPr>
      <w:r w:rsidRPr="008169AA">
        <w:rPr>
          <w:b/>
        </w:rPr>
        <w:t>M</w:t>
      </w:r>
      <w:r>
        <w:rPr>
          <w:b/>
        </w:rPr>
        <w:t>s Yvette Berry MLA</w:t>
      </w:r>
      <w:r>
        <w:rPr>
          <w:bCs/>
        </w:rPr>
        <w:t>, Minister for Sport and Recreation</w:t>
      </w:r>
    </w:p>
    <w:p w14:paraId="44F6A61B" w14:textId="77777777" w:rsidR="00F66BBC" w:rsidRDefault="00F66BBC" w:rsidP="00F66BBC">
      <w:pPr>
        <w:pStyle w:val="Heading4"/>
      </w:pPr>
      <w:r>
        <w:t>Transport Canberra and City Services Directorate</w:t>
      </w:r>
    </w:p>
    <w:p w14:paraId="75D0C179" w14:textId="77777777" w:rsidR="00F66BBC" w:rsidRPr="00F66BBC" w:rsidRDefault="008A2C86" w:rsidP="00B96B7C">
      <w:pPr>
        <w:pStyle w:val="ListBullet"/>
        <w:ind w:left="0"/>
      </w:pPr>
      <w:r w:rsidRPr="00F66BBC">
        <w:rPr>
          <w:b/>
          <w:bCs/>
        </w:rPr>
        <w:t>Mr Daniel Iglesias</w:t>
      </w:r>
      <w:r w:rsidRPr="00F66BBC">
        <w:rPr>
          <w:bCs/>
        </w:rPr>
        <w:t>, Executive Branch Manager, City Presentation</w:t>
      </w:r>
    </w:p>
    <w:p w14:paraId="1FF3FF85" w14:textId="3A5BFB9E" w:rsidR="008A2C86" w:rsidRPr="008A2C86" w:rsidRDefault="008A2C86" w:rsidP="00B96B7C">
      <w:pPr>
        <w:pStyle w:val="ListBullet"/>
        <w:ind w:left="0"/>
      </w:pPr>
      <w:r w:rsidRPr="00F66BBC">
        <w:rPr>
          <w:b/>
          <w:bCs/>
        </w:rPr>
        <w:t>Mr Jeremy Smith</w:t>
      </w:r>
      <w:r w:rsidRPr="00F66BBC">
        <w:rPr>
          <w:bCs/>
        </w:rPr>
        <w:t>, Executive Group Manager, City Services</w:t>
      </w:r>
    </w:p>
    <w:p w14:paraId="7109820D" w14:textId="4D582C84" w:rsidR="008A2C86" w:rsidRDefault="008A2C86" w:rsidP="00B96B7C"/>
    <w:p w14:paraId="3E74E3CD" w14:textId="1322D062" w:rsidR="00F66BBC" w:rsidRDefault="00F66BBC" w:rsidP="00F66BBC">
      <w:pPr>
        <w:pStyle w:val="ListBullet"/>
        <w:ind w:left="0"/>
      </w:pPr>
      <w:r w:rsidRPr="008169AA">
        <w:rPr>
          <w:b/>
        </w:rPr>
        <w:t>M</w:t>
      </w:r>
      <w:r>
        <w:rPr>
          <w:b/>
        </w:rPr>
        <w:t>r Andrew Barr MLA</w:t>
      </w:r>
      <w:r>
        <w:rPr>
          <w:bCs/>
        </w:rPr>
        <w:t>, Chief Minister</w:t>
      </w:r>
    </w:p>
    <w:p w14:paraId="2553FB9A" w14:textId="42EF929A" w:rsidR="00F66BBC" w:rsidRDefault="00F66BBC" w:rsidP="00F66BBC">
      <w:pPr>
        <w:pStyle w:val="Heading4"/>
      </w:pPr>
      <w:r>
        <w:t>City Renewal Authority</w:t>
      </w:r>
    </w:p>
    <w:p w14:paraId="36C68B31" w14:textId="77777777" w:rsidR="00F66BBC" w:rsidRPr="00F66BBC" w:rsidRDefault="008A2C86" w:rsidP="00B96B7C">
      <w:pPr>
        <w:pStyle w:val="ListBullet"/>
        <w:ind w:left="0"/>
      </w:pPr>
      <w:r w:rsidRPr="00F66BBC">
        <w:rPr>
          <w:b/>
          <w:bCs/>
        </w:rPr>
        <w:t>Mr Malcolm Snow</w:t>
      </w:r>
      <w:r>
        <w:rPr>
          <w:bCs/>
        </w:rPr>
        <w:t>, Chief Executive Officer</w:t>
      </w:r>
    </w:p>
    <w:p w14:paraId="60E4A549" w14:textId="7FC4AA4F" w:rsidR="008A2C86" w:rsidRPr="008A2C86" w:rsidRDefault="008A2C86" w:rsidP="00B96B7C">
      <w:pPr>
        <w:pStyle w:val="ListBullet"/>
        <w:ind w:left="0"/>
      </w:pPr>
      <w:r w:rsidRPr="00F66BBC">
        <w:rPr>
          <w:b/>
          <w:bCs/>
        </w:rPr>
        <w:t>Mr Craig Gillman</w:t>
      </w:r>
      <w:r w:rsidRPr="00F66BBC">
        <w:rPr>
          <w:bCs/>
        </w:rPr>
        <w:t>, Deputy Chief Executive Officer</w:t>
      </w:r>
    </w:p>
    <w:p w14:paraId="19A1C0B9" w14:textId="77777777" w:rsidR="008A2C86" w:rsidRPr="00751E66" w:rsidRDefault="008A2C86" w:rsidP="00B96B7C"/>
    <w:p w14:paraId="0452CDDC" w14:textId="0F28DE79" w:rsidR="008169AA" w:rsidRDefault="008169AA" w:rsidP="00F66BBC">
      <w:pPr>
        <w:pStyle w:val="Heading3"/>
      </w:pPr>
      <w:bookmarkStart w:id="96" w:name="_Toc129873721"/>
      <w:r>
        <w:t>Tuesday, 8 November 2022</w:t>
      </w:r>
      <w:bookmarkEnd w:id="96"/>
    </w:p>
    <w:p w14:paraId="0050D95B" w14:textId="77777777" w:rsidR="00F66BBC" w:rsidRDefault="00F66BBC" w:rsidP="00F66BBC">
      <w:pPr>
        <w:pStyle w:val="ListBullet"/>
        <w:ind w:left="0"/>
      </w:pPr>
      <w:r w:rsidRPr="008169AA">
        <w:rPr>
          <w:b/>
        </w:rPr>
        <w:t xml:space="preserve">Mr </w:t>
      </w:r>
      <w:r>
        <w:rPr>
          <w:b/>
        </w:rPr>
        <w:t>Chris Steel MLA</w:t>
      </w:r>
      <w:r>
        <w:rPr>
          <w:bCs/>
        </w:rPr>
        <w:t>, Minister for Transport and City Services</w:t>
      </w:r>
    </w:p>
    <w:p w14:paraId="38AF1AAD" w14:textId="77777777" w:rsidR="00F66BBC" w:rsidRDefault="00F66BBC" w:rsidP="00F66BBC">
      <w:pPr>
        <w:pStyle w:val="Heading4"/>
      </w:pPr>
      <w:r>
        <w:t>Transport Canberra and City Services Directorate</w:t>
      </w:r>
    </w:p>
    <w:p w14:paraId="294A1CCF" w14:textId="77777777" w:rsidR="00F66BBC" w:rsidRDefault="00F66BBC" w:rsidP="00B96B7C">
      <w:pPr>
        <w:pStyle w:val="ListBullet"/>
        <w:ind w:left="0"/>
      </w:pPr>
      <w:r w:rsidRPr="00B96B7C">
        <w:rPr>
          <w:b/>
        </w:rPr>
        <w:t>Mr Ben McHugh</w:t>
      </w:r>
      <w:r>
        <w:t>, Deputy Director-General, Transport Canberra and Business Services</w:t>
      </w:r>
    </w:p>
    <w:p w14:paraId="419B4345" w14:textId="77777777" w:rsidR="00F66BBC" w:rsidRDefault="002220E3" w:rsidP="00B96B7C">
      <w:pPr>
        <w:pStyle w:val="ListBullet"/>
        <w:ind w:left="0"/>
      </w:pPr>
      <w:r w:rsidRPr="00F66BBC">
        <w:rPr>
          <w:b/>
        </w:rPr>
        <w:t>Mr Jim Corrigan</w:t>
      </w:r>
      <w:r>
        <w:t>, Deputy Director-General, City Services</w:t>
      </w:r>
    </w:p>
    <w:p w14:paraId="6EA53276" w14:textId="77777777" w:rsidR="00F66BBC" w:rsidRDefault="002220E3" w:rsidP="00B96B7C">
      <w:pPr>
        <w:pStyle w:val="ListBullet"/>
        <w:ind w:left="0"/>
      </w:pPr>
      <w:r w:rsidRPr="00F66BBC">
        <w:rPr>
          <w:b/>
        </w:rPr>
        <w:t>Mr Bruce Fitzgerald</w:t>
      </w:r>
      <w:r>
        <w:t>, Executive Group Manager, Infrastructure Delivery and Waste</w:t>
      </w:r>
    </w:p>
    <w:p w14:paraId="440E1140" w14:textId="77777777" w:rsidR="00F66BBC" w:rsidRPr="00F66BBC" w:rsidRDefault="002220E3" w:rsidP="00B96B7C">
      <w:pPr>
        <w:pStyle w:val="ListBullet"/>
        <w:ind w:left="0"/>
      </w:pPr>
      <w:r w:rsidRPr="00F66BBC">
        <w:rPr>
          <w:b/>
          <w:bCs/>
        </w:rPr>
        <w:t>Mr Daniel Iglesias</w:t>
      </w:r>
      <w:r w:rsidRPr="00F66BBC">
        <w:rPr>
          <w:bCs/>
        </w:rPr>
        <w:t>, Executive Branch Manager, City Presentation</w:t>
      </w:r>
    </w:p>
    <w:p w14:paraId="78D2A4C9" w14:textId="225222CF" w:rsidR="002220E3" w:rsidRPr="00751E66" w:rsidRDefault="002220E3" w:rsidP="00B96B7C">
      <w:pPr>
        <w:pStyle w:val="ListBullet"/>
        <w:ind w:left="0"/>
      </w:pPr>
      <w:r w:rsidRPr="00F66BBC">
        <w:rPr>
          <w:b/>
          <w:bCs/>
        </w:rPr>
        <w:t>Ms Vanessa Little</w:t>
      </w:r>
      <w:r w:rsidRPr="00F66BBC">
        <w:rPr>
          <w:bCs/>
        </w:rPr>
        <w:t>, Executive Branch Manager, Libraries ACT</w:t>
      </w:r>
    </w:p>
    <w:p w14:paraId="2BF3FE72" w14:textId="77777777" w:rsidR="002220E3" w:rsidRDefault="002220E3" w:rsidP="00B96B7C"/>
    <w:p w14:paraId="52C3E364" w14:textId="2961E752" w:rsidR="008169AA" w:rsidRDefault="008169AA" w:rsidP="00F66BBC">
      <w:pPr>
        <w:pStyle w:val="Heading3"/>
      </w:pPr>
      <w:bookmarkStart w:id="97" w:name="_Toc129873722"/>
      <w:r>
        <w:t>Thursday, 10 November 2022</w:t>
      </w:r>
      <w:bookmarkEnd w:id="97"/>
    </w:p>
    <w:p w14:paraId="224769CC" w14:textId="7ADB51BF" w:rsidR="00F66BBC" w:rsidRDefault="00F66BBC" w:rsidP="00F66BBC">
      <w:pPr>
        <w:pStyle w:val="ListBullet"/>
        <w:ind w:left="0"/>
      </w:pPr>
      <w:r>
        <w:rPr>
          <w:b/>
        </w:rPr>
        <w:t>Ms Yvette Berry</w:t>
      </w:r>
      <w:r w:rsidRPr="008169AA">
        <w:rPr>
          <w:b/>
        </w:rPr>
        <w:t xml:space="preserve"> MLA</w:t>
      </w:r>
      <w:r w:rsidRPr="00751E66">
        <w:t xml:space="preserve">, Minister for </w:t>
      </w:r>
      <w:r>
        <w:t>Housing and Suburban Development</w:t>
      </w:r>
    </w:p>
    <w:p w14:paraId="28B26D96" w14:textId="77777777" w:rsidR="00F66BBC" w:rsidRDefault="00F66BBC" w:rsidP="00F66BBC">
      <w:pPr>
        <w:pStyle w:val="Heading4"/>
      </w:pPr>
      <w:r>
        <w:t>Environment, Planning and Sustainable Development Directorate</w:t>
      </w:r>
    </w:p>
    <w:p w14:paraId="6022C8FD" w14:textId="77777777" w:rsidR="00F66BBC" w:rsidRPr="00B96B7C" w:rsidRDefault="00F66BBC" w:rsidP="00F66BBC">
      <w:pPr>
        <w:pStyle w:val="ListBullet"/>
        <w:ind w:left="0"/>
      </w:pPr>
      <w:r>
        <w:rPr>
          <w:b/>
        </w:rPr>
        <w:t>Mr Ben Ponton</w:t>
      </w:r>
      <w:r>
        <w:rPr>
          <w:bCs/>
        </w:rPr>
        <w:t>, Director-General</w:t>
      </w:r>
    </w:p>
    <w:p w14:paraId="31858646" w14:textId="77777777" w:rsidR="00F66BBC" w:rsidRDefault="00F66BBC" w:rsidP="00F66BBC">
      <w:pPr>
        <w:pStyle w:val="ListBullet"/>
        <w:ind w:left="0"/>
      </w:pPr>
      <w:r w:rsidRPr="00B96B7C">
        <w:rPr>
          <w:b/>
          <w:bCs/>
        </w:rPr>
        <w:t>Dr Erin Brady</w:t>
      </w:r>
      <w:r>
        <w:t>, Deputy Director-General, Planning and Sustainable Development</w:t>
      </w:r>
    </w:p>
    <w:p w14:paraId="3C07BD73" w14:textId="42AE7EDA" w:rsidR="002220E3" w:rsidRDefault="002220E3" w:rsidP="00F66BBC">
      <w:pPr>
        <w:pStyle w:val="Heading4"/>
      </w:pPr>
      <w:r>
        <w:t>Suburban Land Agency</w:t>
      </w:r>
    </w:p>
    <w:p w14:paraId="34D40C66" w14:textId="77777777" w:rsidR="00F66BBC" w:rsidRDefault="002220E3" w:rsidP="00B96B7C">
      <w:pPr>
        <w:pStyle w:val="ListBullet"/>
        <w:ind w:left="0"/>
      </w:pPr>
      <w:r w:rsidRPr="00F66BBC">
        <w:rPr>
          <w:b/>
        </w:rPr>
        <w:t>Mr John Dietz</w:t>
      </w:r>
      <w:r>
        <w:t>, Chief Executive Officer</w:t>
      </w:r>
    </w:p>
    <w:p w14:paraId="5A17AF35" w14:textId="77777777" w:rsidR="00F66BBC" w:rsidRDefault="002220E3" w:rsidP="00B96B7C">
      <w:pPr>
        <w:pStyle w:val="ListBullet"/>
        <w:ind w:left="0"/>
      </w:pPr>
      <w:r w:rsidRPr="00F66BBC">
        <w:rPr>
          <w:b/>
        </w:rPr>
        <w:t>Mr Neil Bulless</w:t>
      </w:r>
      <w:r>
        <w:t>, Deputy Chief Executive Officer</w:t>
      </w:r>
    </w:p>
    <w:p w14:paraId="48A41B5F" w14:textId="1EBD2A97" w:rsidR="002220E3" w:rsidRPr="00751E66" w:rsidRDefault="002220E3" w:rsidP="00B96B7C">
      <w:pPr>
        <w:pStyle w:val="ListBullet"/>
        <w:ind w:left="0"/>
      </w:pPr>
      <w:r w:rsidRPr="00F66BBC">
        <w:rPr>
          <w:b/>
        </w:rPr>
        <w:t>Mr Tom Gordon</w:t>
      </w:r>
      <w:r>
        <w:t>, Executive Director, Development Delivery</w:t>
      </w:r>
    </w:p>
    <w:p w14:paraId="58A95223" w14:textId="1936A163" w:rsidR="008169AA" w:rsidRDefault="008169AA" w:rsidP="00F66BBC">
      <w:pPr>
        <w:pStyle w:val="Heading3"/>
      </w:pPr>
      <w:bookmarkStart w:id="98" w:name="_Toc129873723"/>
      <w:r>
        <w:lastRenderedPageBreak/>
        <w:t>Monday, 14 November 2022</w:t>
      </w:r>
      <w:bookmarkEnd w:id="98"/>
    </w:p>
    <w:p w14:paraId="01E6FA30" w14:textId="77777777" w:rsidR="00F66BBC" w:rsidRDefault="00F66BBC" w:rsidP="00F66BBC">
      <w:pPr>
        <w:pStyle w:val="ListBullet"/>
        <w:ind w:left="0"/>
      </w:pPr>
      <w:r w:rsidRPr="008169AA">
        <w:rPr>
          <w:b/>
        </w:rPr>
        <w:t>Mr Mick Gentleman MLA</w:t>
      </w:r>
      <w:r w:rsidRPr="00751E66">
        <w:t xml:space="preserve">, Minister for </w:t>
      </w:r>
      <w:r>
        <w:t>Planning and Land Management</w:t>
      </w:r>
    </w:p>
    <w:p w14:paraId="1518BDBC" w14:textId="77777777" w:rsidR="00F66BBC" w:rsidRDefault="00F66BBC" w:rsidP="00F66BBC">
      <w:pPr>
        <w:pStyle w:val="Heading4"/>
      </w:pPr>
      <w:r>
        <w:t>Environment, Planning and Sustainable Development Directorate</w:t>
      </w:r>
    </w:p>
    <w:p w14:paraId="713394E9" w14:textId="77777777" w:rsidR="00F66BBC" w:rsidRPr="00B96B7C" w:rsidRDefault="00F66BBC" w:rsidP="00F66BBC">
      <w:pPr>
        <w:pStyle w:val="ListBullet"/>
        <w:ind w:left="0"/>
      </w:pPr>
      <w:r>
        <w:rPr>
          <w:b/>
        </w:rPr>
        <w:t>Mr Ben Ponton</w:t>
      </w:r>
      <w:r>
        <w:rPr>
          <w:bCs/>
        </w:rPr>
        <w:t>, Director-General</w:t>
      </w:r>
    </w:p>
    <w:p w14:paraId="285F998F" w14:textId="0F1DFF52" w:rsidR="00AE487B" w:rsidRPr="00FE3DBF" w:rsidRDefault="00F66BBC" w:rsidP="00B96B7C">
      <w:pPr>
        <w:pStyle w:val="ListBullet"/>
        <w:ind w:left="0"/>
      </w:pPr>
      <w:r w:rsidRPr="00B96B7C">
        <w:rPr>
          <w:b/>
          <w:bCs/>
        </w:rPr>
        <w:t>Dr Erin Brady</w:t>
      </w:r>
      <w:r>
        <w:t>, Deputy Director-General, Planning and Sustainable Development</w:t>
      </w:r>
      <w:r w:rsidR="00AE487B">
        <w:br w:type="page"/>
      </w:r>
    </w:p>
    <w:p w14:paraId="1474AFF9" w14:textId="6B35208B" w:rsidR="005B5DE9" w:rsidRDefault="005B5DE9" w:rsidP="005B5DE9">
      <w:pPr>
        <w:pStyle w:val="Heading1nonumber"/>
      </w:pPr>
      <w:bookmarkStart w:id="99" w:name="_Toc129873724"/>
      <w:r>
        <w:lastRenderedPageBreak/>
        <w:t xml:space="preserve">Appendix </w:t>
      </w:r>
      <w:r w:rsidR="00AE487B">
        <w:t>B</w:t>
      </w:r>
      <w:r>
        <w:t xml:space="preserve">: Questions </w:t>
      </w:r>
      <w:r w:rsidR="00AE487B">
        <w:t xml:space="preserve">On Notice / </w:t>
      </w:r>
      <w:r w:rsidR="00FE3DBF">
        <w:t xml:space="preserve">Questions </w:t>
      </w:r>
      <w:r>
        <w:t>Taken on Notice</w:t>
      </w:r>
      <w:bookmarkEnd w:id="99"/>
    </w:p>
    <w:p w14:paraId="5B8FAAA3" w14:textId="4C2BF6C8" w:rsidR="005B5DE9" w:rsidRPr="00D90ED8" w:rsidRDefault="005B5DE9" w:rsidP="005B5DE9">
      <w:pPr>
        <w:pStyle w:val="Heading2"/>
      </w:pPr>
      <w:bookmarkStart w:id="100" w:name="_Toc129873725"/>
      <w:r>
        <w:t>Questions on Notice</w:t>
      </w:r>
      <w:bookmarkEnd w:id="100"/>
    </w:p>
    <w:tbl>
      <w:tblPr>
        <w:tblStyle w:val="Assemblystyletable"/>
        <w:tblW w:w="0" w:type="auto"/>
        <w:tblLook w:val="04A0" w:firstRow="1" w:lastRow="0" w:firstColumn="1" w:lastColumn="0" w:noHBand="0" w:noVBand="1"/>
      </w:tblPr>
      <w:tblGrid>
        <w:gridCol w:w="567"/>
        <w:gridCol w:w="1276"/>
        <w:gridCol w:w="1701"/>
        <w:gridCol w:w="4111"/>
        <w:gridCol w:w="1371"/>
      </w:tblGrid>
      <w:tr w:rsidR="005B5DE9" w14:paraId="17F75E36" w14:textId="77777777" w:rsidTr="00BE4405">
        <w:trPr>
          <w:cnfStyle w:val="100000000000" w:firstRow="1" w:lastRow="0" w:firstColumn="0" w:lastColumn="0" w:oddVBand="0" w:evenVBand="0" w:oddHBand="0" w:evenHBand="0" w:firstRowFirstColumn="0" w:firstRowLastColumn="0" w:lastRowFirstColumn="0" w:lastRowLastColumn="0"/>
        </w:trPr>
        <w:tc>
          <w:tcPr>
            <w:tcW w:w="567" w:type="dxa"/>
          </w:tcPr>
          <w:p w14:paraId="31921E7C" w14:textId="77777777" w:rsidR="005B5DE9" w:rsidRDefault="005B5DE9" w:rsidP="00BE4405">
            <w:pPr>
              <w:pStyle w:val="Tableheading"/>
            </w:pPr>
            <w:r>
              <w:t>No.</w:t>
            </w:r>
          </w:p>
        </w:tc>
        <w:tc>
          <w:tcPr>
            <w:tcW w:w="1276" w:type="dxa"/>
          </w:tcPr>
          <w:p w14:paraId="4DA84AC5" w14:textId="77777777" w:rsidR="005B5DE9" w:rsidRDefault="005B5DE9" w:rsidP="00BE4405">
            <w:pPr>
              <w:pStyle w:val="Tableheading"/>
            </w:pPr>
            <w:r>
              <w:t>Date</w:t>
            </w:r>
          </w:p>
        </w:tc>
        <w:tc>
          <w:tcPr>
            <w:tcW w:w="1701" w:type="dxa"/>
          </w:tcPr>
          <w:p w14:paraId="4C494B98" w14:textId="77777777" w:rsidR="005B5DE9" w:rsidRDefault="005B5DE9" w:rsidP="00BE4405">
            <w:pPr>
              <w:pStyle w:val="Tableheading"/>
            </w:pPr>
            <w:r>
              <w:t>Asked of</w:t>
            </w:r>
          </w:p>
        </w:tc>
        <w:tc>
          <w:tcPr>
            <w:tcW w:w="4111" w:type="dxa"/>
          </w:tcPr>
          <w:p w14:paraId="32E5F2DE" w14:textId="77777777" w:rsidR="005B5DE9" w:rsidRDefault="005B5DE9" w:rsidP="00BE4405">
            <w:pPr>
              <w:pStyle w:val="Tableheading"/>
            </w:pPr>
            <w:r>
              <w:t>Subject</w:t>
            </w:r>
          </w:p>
        </w:tc>
        <w:tc>
          <w:tcPr>
            <w:tcW w:w="1371" w:type="dxa"/>
          </w:tcPr>
          <w:p w14:paraId="3AA2F0A9" w14:textId="77777777" w:rsidR="005B5DE9" w:rsidRDefault="005B5DE9" w:rsidP="00BE4405">
            <w:pPr>
              <w:pStyle w:val="Tableheading"/>
            </w:pPr>
            <w:r>
              <w:t>Response received</w:t>
            </w:r>
          </w:p>
        </w:tc>
      </w:tr>
      <w:tr w:rsidR="005B5DE9" w14:paraId="7EF5A52F" w14:textId="77777777" w:rsidTr="00BE4405">
        <w:trPr>
          <w:cnfStyle w:val="000000100000" w:firstRow="0" w:lastRow="0" w:firstColumn="0" w:lastColumn="0" w:oddVBand="0" w:evenVBand="0" w:oddHBand="1" w:evenHBand="0" w:firstRowFirstColumn="0" w:firstRowLastColumn="0" w:lastRowFirstColumn="0" w:lastRowLastColumn="0"/>
        </w:trPr>
        <w:tc>
          <w:tcPr>
            <w:tcW w:w="567" w:type="dxa"/>
          </w:tcPr>
          <w:p w14:paraId="07E5F6CB" w14:textId="77777777" w:rsidR="005B5DE9" w:rsidRDefault="005B5DE9" w:rsidP="00BE4405">
            <w:pPr>
              <w:pStyle w:val="Tablebody"/>
            </w:pPr>
            <w:r>
              <w:t>1</w:t>
            </w:r>
          </w:p>
        </w:tc>
        <w:tc>
          <w:tcPr>
            <w:tcW w:w="1276" w:type="dxa"/>
          </w:tcPr>
          <w:p w14:paraId="1C396D90" w14:textId="00D1EE05" w:rsidR="005B5DE9" w:rsidRDefault="00D66C8B" w:rsidP="00BE4405">
            <w:pPr>
              <w:pStyle w:val="Tablebody"/>
            </w:pPr>
            <w:r>
              <w:t>31/10/2022</w:t>
            </w:r>
          </w:p>
        </w:tc>
        <w:tc>
          <w:tcPr>
            <w:tcW w:w="1701" w:type="dxa"/>
          </w:tcPr>
          <w:p w14:paraId="622D0068" w14:textId="4878E2F8" w:rsidR="005B5DE9" w:rsidRDefault="00D66C8B" w:rsidP="00BE4405">
            <w:pPr>
              <w:pStyle w:val="Tablebody"/>
            </w:pPr>
            <w:r>
              <w:t xml:space="preserve">Minister </w:t>
            </w:r>
            <w:r w:rsidR="00B84ADC">
              <w:t>Steel</w:t>
            </w:r>
          </w:p>
        </w:tc>
        <w:tc>
          <w:tcPr>
            <w:tcW w:w="4111" w:type="dxa"/>
          </w:tcPr>
          <w:p w14:paraId="7375807A" w14:textId="5263B4FE" w:rsidR="005B5DE9" w:rsidRDefault="00B84ADC" w:rsidP="00BE4405">
            <w:pPr>
              <w:pStyle w:val="Tablebody"/>
            </w:pPr>
            <w:r>
              <w:t>TCCS emissions reduction reporting</w:t>
            </w:r>
          </w:p>
        </w:tc>
        <w:tc>
          <w:tcPr>
            <w:tcW w:w="1371" w:type="dxa"/>
          </w:tcPr>
          <w:p w14:paraId="7DCEBB55" w14:textId="577D6DE8" w:rsidR="005B5DE9" w:rsidRDefault="00B84ADC" w:rsidP="00BE4405">
            <w:pPr>
              <w:pStyle w:val="Tablebody"/>
            </w:pPr>
            <w:r>
              <w:t>09/11/2022</w:t>
            </w:r>
          </w:p>
        </w:tc>
      </w:tr>
      <w:tr w:rsidR="00D66C8B" w14:paraId="3BDC549D" w14:textId="77777777" w:rsidTr="00BE4405">
        <w:trPr>
          <w:cnfStyle w:val="000000010000" w:firstRow="0" w:lastRow="0" w:firstColumn="0" w:lastColumn="0" w:oddVBand="0" w:evenVBand="0" w:oddHBand="0" w:evenHBand="1" w:firstRowFirstColumn="0" w:firstRowLastColumn="0" w:lastRowFirstColumn="0" w:lastRowLastColumn="0"/>
        </w:trPr>
        <w:tc>
          <w:tcPr>
            <w:tcW w:w="567" w:type="dxa"/>
          </w:tcPr>
          <w:p w14:paraId="64EE8E3B" w14:textId="5916E090" w:rsidR="00D66C8B" w:rsidRDefault="00D66C8B" w:rsidP="00BE4405">
            <w:pPr>
              <w:pStyle w:val="Tablebody"/>
            </w:pPr>
            <w:r>
              <w:t>2</w:t>
            </w:r>
          </w:p>
        </w:tc>
        <w:tc>
          <w:tcPr>
            <w:tcW w:w="1276" w:type="dxa"/>
          </w:tcPr>
          <w:p w14:paraId="2ED35510" w14:textId="58E019C0" w:rsidR="00D66C8B" w:rsidRDefault="00D66C8B" w:rsidP="00BE4405">
            <w:pPr>
              <w:pStyle w:val="Tablebody"/>
            </w:pPr>
            <w:r>
              <w:t>31/10/2022</w:t>
            </w:r>
          </w:p>
        </w:tc>
        <w:tc>
          <w:tcPr>
            <w:tcW w:w="1701" w:type="dxa"/>
          </w:tcPr>
          <w:p w14:paraId="7C73024D" w14:textId="7DE08FC3" w:rsidR="00D66C8B" w:rsidRDefault="00B84ADC" w:rsidP="00BE4405">
            <w:pPr>
              <w:pStyle w:val="Tablebody"/>
            </w:pPr>
            <w:r>
              <w:t>Minister Steel</w:t>
            </w:r>
          </w:p>
        </w:tc>
        <w:tc>
          <w:tcPr>
            <w:tcW w:w="4111" w:type="dxa"/>
          </w:tcPr>
          <w:p w14:paraId="632C4CB7" w14:textId="0D37685F" w:rsidR="00D66C8B" w:rsidRDefault="00B84ADC" w:rsidP="00BE4405">
            <w:pPr>
              <w:pStyle w:val="Tablebody"/>
            </w:pPr>
            <w:r>
              <w:t>Garden City Cycle Route</w:t>
            </w:r>
          </w:p>
        </w:tc>
        <w:tc>
          <w:tcPr>
            <w:tcW w:w="1371" w:type="dxa"/>
          </w:tcPr>
          <w:p w14:paraId="3587F55A" w14:textId="742E362B" w:rsidR="00D66C8B" w:rsidRDefault="00B84ADC" w:rsidP="00BE4405">
            <w:pPr>
              <w:pStyle w:val="Tablebody"/>
            </w:pPr>
            <w:r>
              <w:t>10/11/2022</w:t>
            </w:r>
          </w:p>
        </w:tc>
      </w:tr>
      <w:tr w:rsidR="0081579A" w14:paraId="28AFE905" w14:textId="77777777" w:rsidTr="00BE4405">
        <w:trPr>
          <w:cnfStyle w:val="000000100000" w:firstRow="0" w:lastRow="0" w:firstColumn="0" w:lastColumn="0" w:oddVBand="0" w:evenVBand="0" w:oddHBand="1" w:evenHBand="0" w:firstRowFirstColumn="0" w:firstRowLastColumn="0" w:lastRowFirstColumn="0" w:lastRowLastColumn="0"/>
        </w:trPr>
        <w:tc>
          <w:tcPr>
            <w:tcW w:w="567" w:type="dxa"/>
          </w:tcPr>
          <w:p w14:paraId="29295E63" w14:textId="192071ED" w:rsidR="0081579A" w:rsidRDefault="0081579A" w:rsidP="00BE4405">
            <w:pPr>
              <w:pStyle w:val="Tablebody"/>
            </w:pPr>
            <w:r>
              <w:t>3</w:t>
            </w:r>
          </w:p>
        </w:tc>
        <w:tc>
          <w:tcPr>
            <w:tcW w:w="1276" w:type="dxa"/>
          </w:tcPr>
          <w:p w14:paraId="3316B7FC" w14:textId="2587FE12" w:rsidR="0081579A" w:rsidRDefault="00B84ADC" w:rsidP="00BE4405">
            <w:pPr>
              <w:pStyle w:val="Tablebody"/>
            </w:pPr>
            <w:r>
              <w:t>31/10/2022</w:t>
            </w:r>
          </w:p>
        </w:tc>
        <w:tc>
          <w:tcPr>
            <w:tcW w:w="1701" w:type="dxa"/>
          </w:tcPr>
          <w:p w14:paraId="099D04FC" w14:textId="120C49CB" w:rsidR="0081579A" w:rsidRDefault="00B84ADC" w:rsidP="00BE4405">
            <w:pPr>
              <w:pStyle w:val="Tablebody"/>
            </w:pPr>
            <w:r>
              <w:t>Minister Steel</w:t>
            </w:r>
          </w:p>
        </w:tc>
        <w:tc>
          <w:tcPr>
            <w:tcW w:w="4111" w:type="dxa"/>
          </w:tcPr>
          <w:p w14:paraId="67D4E121" w14:textId="45CF81D4" w:rsidR="0081579A" w:rsidRDefault="00B84ADC" w:rsidP="00BE4405">
            <w:pPr>
              <w:pStyle w:val="Tablebody"/>
            </w:pPr>
            <w:r w:rsidRPr="00B84ADC">
              <w:rPr>
                <w:i/>
                <w:iCs/>
              </w:rPr>
              <w:t>Disability Discrimination Act</w:t>
            </w:r>
            <w:r>
              <w:t xml:space="preserve"> non-compliant diesel buses</w:t>
            </w:r>
          </w:p>
        </w:tc>
        <w:tc>
          <w:tcPr>
            <w:tcW w:w="1371" w:type="dxa"/>
          </w:tcPr>
          <w:p w14:paraId="6CCDA7EC" w14:textId="450EEABD" w:rsidR="0081579A" w:rsidRDefault="00B84ADC" w:rsidP="00BE4405">
            <w:pPr>
              <w:pStyle w:val="Tablebody"/>
            </w:pPr>
            <w:r>
              <w:t>10/11/2022</w:t>
            </w:r>
          </w:p>
        </w:tc>
      </w:tr>
      <w:tr w:rsidR="0081579A" w14:paraId="139DF88B" w14:textId="77777777" w:rsidTr="00BE4405">
        <w:trPr>
          <w:cnfStyle w:val="000000010000" w:firstRow="0" w:lastRow="0" w:firstColumn="0" w:lastColumn="0" w:oddVBand="0" w:evenVBand="0" w:oddHBand="0" w:evenHBand="1" w:firstRowFirstColumn="0" w:firstRowLastColumn="0" w:lastRowFirstColumn="0" w:lastRowLastColumn="0"/>
        </w:trPr>
        <w:tc>
          <w:tcPr>
            <w:tcW w:w="567" w:type="dxa"/>
          </w:tcPr>
          <w:p w14:paraId="6CDA36A3" w14:textId="0796A8CC" w:rsidR="0081579A" w:rsidRDefault="0081579A" w:rsidP="00BE4405">
            <w:pPr>
              <w:pStyle w:val="Tablebody"/>
            </w:pPr>
            <w:r>
              <w:t>4</w:t>
            </w:r>
          </w:p>
        </w:tc>
        <w:tc>
          <w:tcPr>
            <w:tcW w:w="1276" w:type="dxa"/>
          </w:tcPr>
          <w:p w14:paraId="0A6EEBCD" w14:textId="68BDEFAA" w:rsidR="0081579A" w:rsidRDefault="00B84ADC" w:rsidP="00BE4405">
            <w:pPr>
              <w:pStyle w:val="Tablebody"/>
            </w:pPr>
            <w:r>
              <w:t>31/10/2022</w:t>
            </w:r>
          </w:p>
        </w:tc>
        <w:tc>
          <w:tcPr>
            <w:tcW w:w="1701" w:type="dxa"/>
          </w:tcPr>
          <w:p w14:paraId="5C58D031" w14:textId="18633356" w:rsidR="0081579A" w:rsidRDefault="00B84ADC" w:rsidP="00BE4405">
            <w:pPr>
              <w:pStyle w:val="Tablebody"/>
            </w:pPr>
            <w:r>
              <w:t>Minister Steel</w:t>
            </w:r>
          </w:p>
        </w:tc>
        <w:tc>
          <w:tcPr>
            <w:tcW w:w="4111" w:type="dxa"/>
          </w:tcPr>
          <w:p w14:paraId="5637D4E5" w14:textId="2DA6E94B" w:rsidR="0081579A" w:rsidRDefault="00B84ADC" w:rsidP="00BE4405">
            <w:pPr>
              <w:pStyle w:val="Tablebody"/>
            </w:pPr>
            <w:r>
              <w:t>TCCS emissions reduction working group</w:t>
            </w:r>
          </w:p>
        </w:tc>
        <w:tc>
          <w:tcPr>
            <w:tcW w:w="1371" w:type="dxa"/>
          </w:tcPr>
          <w:p w14:paraId="36EF4104" w14:textId="7C95F871" w:rsidR="0081579A" w:rsidRDefault="00B84ADC" w:rsidP="00BE4405">
            <w:pPr>
              <w:pStyle w:val="Tablebody"/>
            </w:pPr>
            <w:r>
              <w:t>09/11/2022</w:t>
            </w:r>
          </w:p>
        </w:tc>
      </w:tr>
      <w:tr w:rsidR="0081579A" w14:paraId="38306AAB" w14:textId="77777777" w:rsidTr="00BE4405">
        <w:trPr>
          <w:cnfStyle w:val="000000100000" w:firstRow="0" w:lastRow="0" w:firstColumn="0" w:lastColumn="0" w:oddVBand="0" w:evenVBand="0" w:oddHBand="1" w:evenHBand="0" w:firstRowFirstColumn="0" w:firstRowLastColumn="0" w:lastRowFirstColumn="0" w:lastRowLastColumn="0"/>
        </w:trPr>
        <w:tc>
          <w:tcPr>
            <w:tcW w:w="567" w:type="dxa"/>
          </w:tcPr>
          <w:p w14:paraId="5FC84409" w14:textId="19E90A23" w:rsidR="0081579A" w:rsidRDefault="0081579A" w:rsidP="00BE4405">
            <w:pPr>
              <w:pStyle w:val="Tablebody"/>
            </w:pPr>
            <w:r>
              <w:t>5</w:t>
            </w:r>
          </w:p>
        </w:tc>
        <w:tc>
          <w:tcPr>
            <w:tcW w:w="1276" w:type="dxa"/>
          </w:tcPr>
          <w:p w14:paraId="20E7035C" w14:textId="2E153399" w:rsidR="0081579A" w:rsidRDefault="00B84ADC" w:rsidP="00BE4405">
            <w:pPr>
              <w:pStyle w:val="Tablebody"/>
            </w:pPr>
            <w:r>
              <w:t>31/10/2022</w:t>
            </w:r>
          </w:p>
        </w:tc>
        <w:tc>
          <w:tcPr>
            <w:tcW w:w="1701" w:type="dxa"/>
          </w:tcPr>
          <w:p w14:paraId="59789E16" w14:textId="5B09FC01" w:rsidR="0081579A" w:rsidRDefault="00B84ADC" w:rsidP="00BE4405">
            <w:pPr>
              <w:pStyle w:val="Tablebody"/>
            </w:pPr>
            <w:r>
              <w:t>Minister Steel</w:t>
            </w:r>
          </w:p>
        </w:tc>
        <w:tc>
          <w:tcPr>
            <w:tcW w:w="4111" w:type="dxa"/>
          </w:tcPr>
          <w:p w14:paraId="03559EA4" w14:textId="79588058" w:rsidR="0081579A" w:rsidRDefault="00B84ADC" w:rsidP="00BE4405">
            <w:pPr>
              <w:pStyle w:val="Tablebody"/>
            </w:pPr>
            <w:r>
              <w:t>Light Rail Stage 2A</w:t>
            </w:r>
          </w:p>
        </w:tc>
        <w:tc>
          <w:tcPr>
            <w:tcW w:w="1371" w:type="dxa"/>
          </w:tcPr>
          <w:p w14:paraId="06B3BB98" w14:textId="27481E82" w:rsidR="0081579A" w:rsidRDefault="00B84ADC" w:rsidP="00BE4405">
            <w:pPr>
              <w:pStyle w:val="Tablebody"/>
            </w:pPr>
            <w:r>
              <w:t>17/11/2022</w:t>
            </w:r>
          </w:p>
        </w:tc>
      </w:tr>
      <w:tr w:rsidR="0081579A" w14:paraId="4D2FF230" w14:textId="77777777" w:rsidTr="00BE4405">
        <w:trPr>
          <w:cnfStyle w:val="000000010000" w:firstRow="0" w:lastRow="0" w:firstColumn="0" w:lastColumn="0" w:oddVBand="0" w:evenVBand="0" w:oddHBand="0" w:evenHBand="1" w:firstRowFirstColumn="0" w:firstRowLastColumn="0" w:lastRowFirstColumn="0" w:lastRowLastColumn="0"/>
        </w:trPr>
        <w:tc>
          <w:tcPr>
            <w:tcW w:w="567" w:type="dxa"/>
          </w:tcPr>
          <w:p w14:paraId="31659AA9" w14:textId="49DAD118" w:rsidR="0081579A" w:rsidRDefault="0081579A" w:rsidP="00BE4405">
            <w:pPr>
              <w:pStyle w:val="Tablebody"/>
            </w:pPr>
            <w:r>
              <w:t>6</w:t>
            </w:r>
          </w:p>
        </w:tc>
        <w:tc>
          <w:tcPr>
            <w:tcW w:w="1276" w:type="dxa"/>
          </w:tcPr>
          <w:p w14:paraId="21EB15CB" w14:textId="09243DB8" w:rsidR="0081579A" w:rsidRDefault="00B84ADC" w:rsidP="00BE4405">
            <w:pPr>
              <w:pStyle w:val="Tablebody"/>
            </w:pPr>
            <w:r>
              <w:t>31/10/2022</w:t>
            </w:r>
          </w:p>
        </w:tc>
        <w:tc>
          <w:tcPr>
            <w:tcW w:w="1701" w:type="dxa"/>
          </w:tcPr>
          <w:p w14:paraId="52AFE2C3" w14:textId="4199398B" w:rsidR="0081579A" w:rsidRDefault="00B84ADC" w:rsidP="00BE4405">
            <w:pPr>
              <w:pStyle w:val="Tablebody"/>
            </w:pPr>
            <w:r>
              <w:t>Minister Steel</w:t>
            </w:r>
          </w:p>
        </w:tc>
        <w:tc>
          <w:tcPr>
            <w:tcW w:w="4111" w:type="dxa"/>
          </w:tcPr>
          <w:p w14:paraId="409B40C3" w14:textId="27845643" w:rsidR="0081579A" w:rsidRDefault="00B84ADC" w:rsidP="00BE4405">
            <w:pPr>
              <w:pStyle w:val="Tablebody"/>
            </w:pPr>
            <w:r>
              <w:t>Potholes</w:t>
            </w:r>
          </w:p>
        </w:tc>
        <w:tc>
          <w:tcPr>
            <w:tcW w:w="1371" w:type="dxa"/>
          </w:tcPr>
          <w:p w14:paraId="1F103E3A" w14:textId="280C199A" w:rsidR="0081579A" w:rsidRDefault="00B84ADC" w:rsidP="00BE4405">
            <w:pPr>
              <w:pStyle w:val="Tablebody"/>
            </w:pPr>
            <w:r>
              <w:t>18/11/2022</w:t>
            </w:r>
          </w:p>
        </w:tc>
      </w:tr>
      <w:tr w:rsidR="0081579A" w14:paraId="3DF0128B" w14:textId="77777777" w:rsidTr="00BE4405">
        <w:trPr>
          <w:cnfStyle w:val="000000100000" w:firstRow="0" w:lastRow="0" w:firstColumn="0" w:lastColumn="0" w:oddVBand="0" w:evenVBand="0" w:oddHBand="1" w:evenHBand="0" w:firstRowFirstColumn="0" w:firstRowLastColumn="0" w:lastRowFirstColumn="0" w:lastRowLastColumn="0"/>
        </w:trPr>
        <w:tc>
          <w:tcPr>
            <w:tcW w:w="567" w:type="dxa"/>
          </w:tcPr>
          <w:p w14:paraId="1616C63C" w14:textId="2AFFE67E" w:rsidR="0081579A" w:rsidRDefault="0081579A" w:rsidP="00BE4405">
            <w:pPr>
              <w:pStyle w:val="Tablebody"/>
            </w:pPr>
            <w:r>
              <w:t>7</w:t>
            </w:r>
          </w:p>
        </w:tc>
        <w:tc>
          <w:tcPr>
            <w:tcW w:w="1276" w:type="dxa"/>
          </w:tcPr>
          <w:p w14:paraId="02BF9709" w14:textId="41D8B7A7" w:rsidR="0081579A" w:rsidRDefault="00B84ADC" w:rsidP="00BE4405">
            <w:pPr>
              <w:pStyle w:val="Tablebody"/>
            </w:pPr>
            <w:r>
              <w:t>31/10/2022</w:t>
            </w:r>
          </w:p>
        </w:tc>
        <w:tc>
          <w:tcPr>
            <w:tcW w:w="1701" w:type="dxa"/>
          </w:tcPr>
          <w:p w14:paraId="0B11E055" w14:textId="2BC5F71E" w:rsidR="0081579A" w:rsidRDefault="00B84ADC" w:rsidP="00BE4405">
            <w:pPr>
              <w:pStyle w:val="Tablebody"/>
            </w:pPr>
            <w:r>
              <w:t>Minister Steel</w:t>
            </w:r>
          </w:p>
        </w:tc>
        <w:tc>
          <w:tcPr>
            <w:tcW w:w="4111" w:type="dxa"/>
          </w:tcPr>
          <w:p w14:paraId="47D7C8DD" w14:textId="2A06441F" w:rsidR="0081579A" w:rsidRDefault="00B84ADC" w:rsidP="00BE4405">
            <w:pPr>
              <w:pStyle w:val="Tablebody"/>
            </w:pPr>
            <w:r>
              <w:t>Light Rail Stage 2A – Federal Payment</w:t>
            </w:r>
          </w:p>
        </w:tc>
        <w:tc>
          <w:tcPr>
            <w:tcW w:w="1371" w:type="dxa"/>
          </w:tcPr>
          <w:p w14:paraId="3C41A8A8" w14:textId="19FAF591" w:rsidR="0081579A" w:rsidRDefault="00B84ADC" w:rsidP="00BE4405">
            <w:pPr>
              <w:pStyle w:val="Tablebody"/>
            </w:pPr>
            <w:r>
              <w:t>18/11/2022</w:t>
            </w:r>
          </w:p>
        </w:tc>
      </w:tr>
      <w:tr w:rsidR="0081579A" w14:paraId="5B709FFD" w14:textId="77777777" w:rsidTr="00BE4405">
        <w:trPr>
          <w:cnfStyle w:val="000000010000" w:firstRow="0" w:lastRow="0" w:firstColumn="0" w:lastColumn="0" w:oddVBand="0" w:evenVBand="0" w:oddHBand="0" w:evenHBand="1" w:firstRowFirstColumn="0" w:firstRowLastColumn="0" w:lastRowFirstColumn="0" w:lastRowLastColumn="0"/>
        </w:trPr>
        <w:tc>
          <w:tcPr>
            <w:tcW w:w="567" w:type="dxa"/>
          </w:tcPr>
          <w:p w14:paraId="74ABE23F" w14:textId="25A2D97F" w:rsidR="0081579A" w:rsidRDefault="0081579A" w:rsidP="00BE4405">
            <w:pPr>
              <w:pStyle w:val="Tablebody"/>
            </w:pPr>
            <w:r>
              <w:t>8</w:t>
            </w:r>
          </w:p>
        </w:tc>
        <w:tc>
          <w:tcPr>
            <w:tcW w:w="1276" w:type="dxa"/>
          </w:tcPr>
          <w:p w14:paraId="011391FD" w14:textId="7D9033D7" w:rsidR="0081579A" w:rsidRDefault="00B84ADC" w:rsidP="00BE4405">
            <w:pPr>
              <w:pStyle w:val="Tablebody"/>
            </w:pPr>
            <w:r>
              <w:t>31/10/2022</w:t>
            </w:r>
          </w:p>
        </w:tc>
        <w:tc>
          <w:tcPr>
            <w:tcW w:w="1701" w:type="dxa"/>
          </w:tcPr>
          <w:p w14:paraId="66D43734" w14:textId="5A1B163B" w:rsidR="0081579A" w:rsidRDefault="00B84ADC" w:rsidP="00BE4405">
            <w:pPr>
              <w:pStyle w:val="Tablebody"/>
            </w:pPr>
            <w:r>
              <w:t>Minister Steel</w:t>
            </w:r>
          </w:p>
        </w:tc>
        <w:tc>
          <w:tcPr>
            <w:tcW w:w="4111" w:type="dxa"/>
          </w:tcPr>
          <w:p w14:paraId="7656AABE" w14:textId="1FC8E839" w:rsidR="0081579A" w:rsidRDefault="00B84ADC" w:rsidP="00BE4405">
            <w:pPr>
              <w:pStyle w:val="Tablebody"/>
            </w:pPr>
            <w:r>
              <w:t>Light Rail Stage 2A – Reporting</w:t>
            </w:r>
          </w:p>
        </w:tc>
        <w:tc>
          <w:tcPr>
            <w:tcW w:w="1371" w:type="dxa"/>
          </w:tcPr>
          <w:p w14:paraId="75E1330E" w14:textId="44730294" w:rsidR="0081579A" w:rsidRDefault="00B84ADC" w:rsidP="00BE4405">
            <w:pPr>
              <w:pStyle w:val="Tablebody"/>
            </w:pPr>
            <w:r>
              <w:t>17/11/2022</w:t>
            </w:r>
          </w:p>
        </w:tc>
      </w:tr>
      <w:tr w:rsidR="00B84ADC" w14:paraId="09B4ACB6" w14:textId="77777777" w:rsidTr="00BE4405">
        <w:trPr>
          <w:cnfStyle w:val="000000100000" w:firstRow="0" w:lastRow="0" w:firstColumn="0" w:lastColumn="0" w:oddVBand="0" w:evenVBand="0" w:oddHBand="1" w:evenHBand="0" w:firstRowFirstColumn="0" w:firstRowLastColumn="0" w:lastRowFirstColumn="0" w:lastRowLastColumn="0"/>
        </w:trPr>
        <w:tc>
          <w:tcPr>
            <w:tcW w:w="567" w:type="dxa"/>
          </w:tcPr>
          <w:p w14:paraId="0246C4AC" w14:textId="114C8ACD" w:rsidR="00B84ADC" w:rsidRDefault="00B84ADC" w:rsidP="00BE4405">
            <w:pPr>
              <w:pStyle w:val="Tablebody"/>
            </w:pPr>
            <w:r>
              <w:t>9</w:t>
            </w:r>
          </w:p>
        </w:tc>
        <w:tc>
          <w:tcPr>
            <w:tcW w:w="1276" w:type="dxa"/>
          </w:tcPr>
          <w:p w14:paraId="6FF3AAE3" w14:textId="41BF6254" w:rsidR="00B84ADC" w:rsidRDefault="00B84ADC" w:rsidP="00BE4405">
            <w:pPr>
              <w:pStyle w:val="Tablebody"/>
            </w:pPr>
            <w:r>
              <w:t>31/10/2022</w:t>
            </w:r>
          </w:p>
        </w:tc>
        <w:tc>
          <w:tcPr>
            <w:tcW w:w="1701" w:type="dxa"/>
          </w:tcPr>
          <w:p w14:paraId="71EFAD57" w14:textId="2679FCBA" w:rsidR="00B84ADC" w:rsidRDefault="00B84ADC" w:rsidP="00BE4405">
            <w:pPr>
              <w:pStyle w:val="Tablebody"/>
            </w:pPr>
            <w:r>
              <w:t>Minister Gentleman</w:t>
            </w:r>
          </w:p>
        </w:tc>
        <w:tc>
          <w:tcPr>
            <w:tcW w:w="4111" w:type="dxa"/>
          </w:tcPr>
          <w:p w14:paraId="12D9E283" w14:textId="2FC0D452" w:rsidR="00B84ADC" w:rsidRDefault="00B84ADC" w:rsidP="00BE4405">
            <w:pPr>
              <w:pStyle w:val="Tablebody"/>
            </w:pPr>
            <w:r>
              <w:t>Development Applications</w:t>
            </w:r>
          </w:p>
        </w:tc>
        <w:tc>
          <w:tcPr>
            <w:tcW w:w="1371" w:type="dxa"/>
          </w:tcPr>
          <w:p w14:paraId="4BD37177" w14:textId="026EBEC9" w:rsidR="00B84ADC" w:rsidRDefault="00B84ADC" w:rsidP="00BE4405">
            <w:pPr>
              <w:pStyle w:val="Tablebody"/>
            </w:pPr>
            <w:r>
              <w:t>21/11/2022</w:t>
            </w:r>
          </w:p>
        </w:tc>
      </w:tr>
      <w:tr w:rsidR="00B84ADC" w14:paraId="52DE5465" w14:textId="77777777" w:rsidTr="00BE4405">
        <w:trPr>
          <w:cnfStyle w:val="000000010000" w:firstRow="0" w:lastRow="0" w:firstColumn="0" w:lastColumn="0" w:oddVBand="0" w:evenVBand="0" w:oddHBand="0" w:evenHBand="1" w:firstRowFirstColumn="0" w:firstRowLastColumn="0" w:lastRowFirstColumn="0" w:lastRowLastColumn="0"/>
        </w:trPr>
        <w:tc>
          <w:tcPr>
            <w:tcW w:w="567" w:type="dxa"/>
          </w:tcPr>
          <w:p w14:paraId="49CC5B34" w14:textId="7E8D1BCB" w:rsidR="00B84ADC" w:rsidRDefault="00B84ADC" w:rsidP="00BE4405">
            <w:pPr>
              <w:pStyle w:val="Tablebody"/>
            </w:pPr>
            <w:r>
              <w:t>10</w:t>
            </w:r>
          </w:p>
        </w:tc>
        <w:tc>
          <w:tcPr>
            <w:tcW w:w="1276" w:type="dxa"/>
          </w:tcPr>
          <w:p w14:paraId="3FD3C257" w14:textId="25087253" w:rsidR="00B84ADC" w:rsidRDefault="00B84ADC" w:rsidP="00BE4405">
            <w:pPr>
              <w:pStyle w:val="Tablebody"/>
            </w:pPr>
            <w:r>
              <w:t>08/11/2022</w:t>
            </w:r>
          </w:p>
        </w:tc>
        <w:tc>
          <w:tcPr>
            <w:tcW w:w="1701" w:type="dxa"/>
          </w:tcPr>
          <w:p w14:paraId="39D36563" w14:textId="1FCAF5E0" w:rsidR="00B84ADC" w:rsidRDefault="00B84ADC" w:rsidP="00BE4405">
            <w:pPr>
              <w:pStyle w:val="Tablebody"/>
            </w:pPr>
            <w:r>
              <w:t>Minister Steel</w:t>
            </w:r>
          </w:p>
        </w:tc>
        <w:tc>
          <w:tcPr>
            <w:tcW w:w="4111" w:type="dxa"/>
          </w:tcPr>
          <w:p w14:paraId="7DE56260" w14:textId="4EE31812" w:rsidR="00B84ADC" w:rsidRDefault="00B84ADC" w:rsidP="00BE4405">
            <w:pPr>
              <w:pStyle w:val="Tablebody"/>
            </w:pPr>
            <w:r>
              <w:t>Soft plastics</w:t>
            </w:r>
          </w:p>
        </w:tc>
        <w:tc>
          <w:tcPr>
            <w:tcW w:w="1371" w:type="dxa"/>
          </w:tcPr>
          <w:p w14:paraId="63FBEDCA" w14:textId="6BFEDD77" w:rsidR="00B84ADC" w:rsidRDefault="00B84ADC" w:rsidP="00BE4405">
            <w:pPr>
              <w:pStyle w:val="Tablebody"/>
            </w:pPr>
            <w:r>
              <w:t>22/11/2022</w:t>
            </w:r>
          </w:p>
        </w:tc>
      </w:tr>
      <w:tr w:rsidR="00B84ADC" w14:paraId="1F181B9F" w14:textId="77777777" w:rsidTr="00BE4405">
        <w:trPr>
          <w:cnfStyle w:val="000000100000" w:firstRow="0" w:lastRow="0" w:firstColumn="0" w:lastColumn="0" w:oddVBand="0" w:evenVBand="0" w:oddHBand="1" w:evenHBand="0" w:firstRowFirstColumn="0" w:firstRowLastColumn="0" w:lastRowFirstColumn="0" w:lastRowLastColumn="0"/>
        </w:trPr>
        <w:tc>
          <w:tcPr>
            <w:tcW w:w="567" w:type="dxa"/>
          </w:tcPr>
          <w:p w14:paraId="5FECB6B3" w14:textId="04023E66" w:rsidR="00B84ADC" w:rsidRDefault="00B84ADC" w:rsidP="00BE4405">
            <w:pPr>
              <w:pStyle w:val="Tablebody"/>
            </w:pPr>
            <w:r>
              <w:t>11</w:t>
            </w:r>
          </w:p>
        </w:tc>
        <w:tc>
          <w:tcPr>
            <w:tcW w:w="1276" w:type="dxa"/>
          </w:tcPr>
          <w:p w14:paraId="1729CE3E" w14:textId="3042E5CC" w:rsidR="00B84ADC" w:rsidRDefault="00B84ADC" w:rsidP="00BE4405">
            <w:pPr>
              <w:pStyle w:val="Tablebody"/>
            </w:pPr>
            <w:r>
              <w:t>08/11/2022</w:t>
            </w:r>
          </w:p>
        </w:tc>
        <w:tc>
          <w:tcPr>
            <w:tcW w:w="1701" w:type="dxa"/>
          </w:tcPr>
          <w:p w14:paraId="39D9D280" w14:textId="32B01652" w:rsidR="00B84ADC" w:rsidRDefault="00B84ADC" w:rsidP="00BE4405">
            <w:pPr>
              <w:pStyle w:val="Tablebody"/>
            </w:pPr>
            <w:r>
              <w:t>Minister Steel</w:t>
            </w:r>
          </w:p>
        </w:tc>
        <w:tc>
          <w:tcPr>
            <w:tcW w:w="4111" w:type="dxa"/>
          </w:tcPr>
          <w:p w14:paraId="746D5841" w14:textId="38C8A280" w:rsidR="00B84ADC" w:rsidRDefault="00B84ADC" w:rsidP="00BE4405">
            <w:pPr>
              <w:pStyle w:val="Tablebody"/>
            </w:pPr>
            <w:r>
              <w:t>Firewood delivery</w:t>
            </w:r>
          </w:p>
        </w:tc>
        <w:tc>
          <w:tcPr>
            <w:tcW w:w="1371" w:type="dxa"/>
          </w:tcPr>
          <w:p w14:paraId="21DFBB10" w14:textId="6746F400" w:rsidR="00B84ADC" w:rsidRDefault="00B84ADC" w:rsidP="00BE4405">
            <w:pPr>
              <w:pStyle w:val="Tablebody"/>
            </w:pPr>
            <w:r>
              <w:t>17/11/2022</w:t>
            </w:r>
          </w:p>
        </w:tc>
      </w:tr>
      <w:tr w:rsidR="00B84ADC" w14:paraId="6534C439" w14:textId="77777777" w:rsidTr="00BE4405">
        <w:trPr>
          <w:cnfStyle w:val="000000010000" w:firstRow="0" w:lastRow="0" w:firstColumn="0" w:lastColumn="0" w:oddVBand="0" w:evenVBand="0" w:oddHBand="0" w:evenHBand="1" w:firstRowFirstColumn="0" w:firstRowLastColumn="0" w:lastRowFirstColumn="0" w:lastRowLastColumn="0"/>
        </w:trPr>
        <w:tc>
          <w:tcPr>
            <w:tcW w:w="567" w:type="dxa"/>
          </w:tcPr>
          <w:p w14:paraId="070F6DAA" w14:textId="08C9CC72" w:rsidR="00B84ADC" w:rsidRDefault="00B84ADC" w:rsidP="00BE4405">
            <w:pPr>
              <w:pStyle w:val="Tablebody"/>
            </w:pPr>
            <w:r>
              <w:t>12</w:t>
            </w:r>
          </w:p>
        </w:tc>
        <w:tc>
          <w:tcPr>
            <w:tcW w:w="1276" w:type="dxa"/>
          </w:tcPr>
          <w:p w14:paraId="75EEC93A" w14:textId="3FB21E22" w:rsidR="00B84ADC" w:rsidRDefault="002F5DFB" w:rsidP="00BE4405">
            <w:pPr>
              <w:pStyle w:val="Tablebody"/>
            </w:pPr>
            <w:r>
              <w:t>08/11/2022</w:t>
            </w:r>
          </w:p>
        </w:tc>
        <w:tc>
          <w:tcPr>
            <w:tcW w:w="1701" w:type="dxa"/>
          </w:tcPr>
          <w:p w14:paraId="64AAB84B" w14:textId="54D6CF8E" w:rsidR="00B84ADC" w:rsidRDefault="002F5DFB" w:rsidP="00BE4405">
            <w:pPr>
              <w:pStyle w:val="Tablebody"/>
            </w:pPr>
            <w:r>
              <w:t>Minister Steel</w:t>
            </w:r>
          </w:p>
        </w:tc>
        <w:tc>
          <w:tcPr>
            <w:tcW w:w="4111" w:type="dxa"/>
          </w:tcPr>
          <w:p w14:paraId="046D09C3" w14:textId="5FD90C47" w:rsidR="00B84ADC" w:rsidRDefault="002F5DFB" w:rsidP="00BE4405">
            <w:pPr>
              <w:pStyle w:val="Tablebody"/>
            </w:pPr>
            <w:r>
              <w:t>Mowing and waterways</w:t>
            </w:r>
          </w:p>
        </w:tc>
        <w:tc>
          <w:tcPr>
            <w:tcW w:w="1371" w:type="dxa"/>
          </w:tcPr>
          <w:p w14:paraId="661C429F" w14:textId="7F733D04" w:rsidR="00B84ADC" w:rsidRDefault="002F5DFB" w:rsidP="00BE4405">
            <w:pPr>
              <w:pStyle w:val="Tablebody"/>
            </w:pPr>
            <w:r>
              <w:t>22/11/2022</w:t>
            </w:r>
          </w:p>
        </w:tc>
      </w:tr>
      <w:tr w:rsidR="002F5DFB" w14:paraId="05D71F14" w14:textId="77777777" w:rsidTr="00BE4405">
        <w:trPr>
          <w:cnfStyle w:val="000000100000" w:firstRow="0" w:lastRow="0" w:firstColumn="0" w:lastColumn="0" w:oddVBand="0" w:evenVBand="0" w:oddHBand="1" w:evenHBand="0" w:firstRowFirstColumn="0" w:firstRowLastColumn="0" w:lastRowFirstColumn="0" w:lastRowLastColumn="0"/>
        </w:trPr>
        <w:tc>
          <w:tcPr>
            <w:tcW w:w="567" w:type="dxa"/>
          </w:tcPr>
          <w:p w14:paraId="120D395C" w14:textId="1793FE01" w:rsidR="002F5DFB" w:rsidRDefault="002F5DFB" w:rsidP="00BE4405">
            <w:pPr>
              <w:pStyle w:val="Tablebody"/>
            </w:pPr>
            <w:r>
              <w:t>13</w:t>
            </w:r>
          </w:p>
        </w:tc>
        <w:tc>
          <w:tcPr>
            <w:tcW w:w="1276" w:type="dxa"/>
          </w:tcPr>
          <w:p w14:paraId="205E2743" w14:textId="2BC5AEC5" w:rsidR="002F5DFB" w:rsidRDefault="002F5DFB" w:rsidP="00BE4405">
            <w:pPr>
              <w:pStyle w:val="Tablebody"/>
            </w:pPr>
            <w:r>
              <w:t>08/11/2022</w:t>
            </w:r>
          </w:p>
        </w:tc>
        <w:tc>
          <w:tcPr>
            <w:tcW w:w="1701" w:type="dxa"/>
          </w:tcPr>
          <w:p w14:paraId="5714E897" w14:textId="4D3419CE" w:rsidR="002F5DFB" w:rsidRDefault="002F5DFB" w:rsidP="00BE4405">
            <w:pPr>
              <w:pStyle w:val="Tablebody"/>
            </w:pPr>
            <w:r>
              <w:t>Minister Steel</w:t>
            </w:r>
          </w:p>
        </w:tc>
        <w:tc>
          <w:tcPr>
            <w:tcW w:w="4111" w:type="dxa"/>
          </w:tcPr>
          <w:p w14:paraId="582BCBFC" w14:textId="244177D2" w:rsidR="002F5DFB" w:rsidRDefault="002F5DFB" w:rsidP="00BE4405">
            <w:pPr>
              <w:pStyle w:val="Tablebody"/>
            </w:pPr>
            <w:r>
              <w:t>Introduction of fees for Flexible Bus Service</w:t>
            </w:r>
          </w:p>
        </w:tc>
        <w:tc>
          <w:tcPr>
            <w:tcW w:w="1371" w:type="dxa"/>
          </w:tcPr>
          <w:p w14:paraId="233D684D" w14:textId="3615EF36" w:rsidR="002F5DFB" w:rsidRDefault="002F5DFB" w:rsidP="00BE4405">
            <w:pPr>
              <w:pStyle w:val="Tablebody"/>
            </w:pPr>
            <w:r>
              <w:t>18/11/2022</w:t>
            </w:r>
          </w:p>
        </w:tc>
      </w:tr>
      <w:tr w:rsidR="002F5DFB" w14:paraId="21299690" w14:textId="77777777" w:rsidTr="00BE4405">
        <w:trPr>
          <w:cnfStyle w:val="000000010000" w:firstRow="0" w:lastRow="0" w:firstColumn="0" w:lastColumn="0" w:oddVBand="0" w:evenVBand="0" w:oddHBand="0" w:evenHBand="1" w:firstRowFirstColumn="0" w:firstRowLastColumn="0" w:lastRowFirstColumn="0" w:lastRowLastColumn="0"/>
        </w:trPr>
        <w:tc>
          <w:tcPr>
            <w:tcW w:w="567" w:type="dxa"/>
          </w:tcPr>
          <w:p w14:paraId="7289C082" w14:textId="38656A53" w:rsidR="002F5DFB" w:rsidRDefault="002F5DFB" w:rsidP="00BE4405">
            <w:pPr>
              <w:pStyle w:val="Tablebody"/>
            </w:pPr>
            <w:r>
              <w:t>14</w:t>
            </w:r>
          </w:p>
        </w:tc>
        <w:tc>
          <w:tcPr>
            <w:tcW w:w="1276" w:type="dxa"/>
          </w:tcPr>
          <w:p w14:paraId="29AB3D3B" w14:textId="3087706F" w:rsidR="002F5DFB" w:rsidRDefault="002F5DFB" w:rsidP="00BE4405">
            <w:pPr>
              <w:pStyle w:val="Tablebody"/>
            </w:pPr>
            <w:r>
              <w:t>08/11/2022</w:t>
            </w:r>
          </w:p>
        </w:tc>
        <w:tc>
          <w:tcPr>
            <w:tcW w:w="1701" w:type="dxa"/>
          </w:tcPr>
          <w:p w14:paraId="2958B99B" w14:textId="3EBCE716" w:rsidR="002F5DFB" w:rsidRDefault="002F5DFB" w:rsidP="00BE4405">
            <w:pPr>
              <w:pStyle w:val="Tablebody"/>
            </w:pPr>
            <w:r>
              <w:t>Minister Berry</w:t>
            </w:r>
          </w:p>
        </w:tc>
        <w:tc>
          <w:tcPr>
            <w:tcW w:w="4111" w:type="dxa"/>
          </w:tcPr>
          <w:p w14:paraId="4BD5397D" w14:textId="1764C1E2" w:rsidR="002F5DFB" w:rsidRDefault="002F5DFB" w:rsidP="00BE4405">
            <w:pPr>
              <w:pStyle w:val="Tablebody"/>
            </w:pPr>
            <w:r>
              <w:t>Sportsground fertilising</w:t>
            </w:r>
          </w:p>
        </w:tc>
        <w:tc>
          <w:tcPr>
            <w:tcW w:w="1371" w:type="dxa"/>
          </w:tcPr>
          <w:p w14:paraId="4E0B4381" w14:textId="604EAE6F" w:rsidR="002F5DFB" w:rsidRDefault="002F5DFB" w:rsidP="00BE4405">
            <w:pPr>
              <w:pStyle w:val="Tablebody"/>
            </w:pPr>
            <w:r>
              <w:t>22/11/2022</w:t>
            </w:r>
          </w:p>
        </w:tc>
      </w:tr>
      <w:tr w:rsidR="002F5DFB" w14:paraId="51272969" w14:textId="77777777" w:rsidTr="00BE4405">
        <w:trPr>
          <w:cnfStyle w:val="000000100000" w:firstRow="0" w:lastRow="0" w:firstColumn="0" w:lastColumn="0" w:oddVBand="0" w:evenVBand="0" w:oddHBand="1" w:evenHBand="0" w:firstRowFirstColumn="0" w:firstRowLastColumn="0" w:lastRowFirstColumn="0" w:lastRowLastColumn="0"/>
        </w:trPr>
        <w:tc>
          <w:tcPr>
            <w:tcW w:w="567" w:type="dxa"/>
          </w:tcPr>
          <w:p w14:paraId="6206BA88" w14:textId="2AD2DCBC" w:rsidR="002F5DFB" w:rsidRDefault="002F5DFB" w:rsidP="00BE4405">
            <w:pPr>
              <w:pStyle w:val="Tablebody"/>
            </w:pPr>
            <w:r>
              <w:t>15</w:t>
            </w:r>
          </w:p>
        </w:tc>
        <w:tc>
          <w:tcPr>
            <w:tcW w:w="1276" w:type="dxa"/>
          </w:tcPr>
          <w:p w14:paraId="372EEA8B" w14:textId="0945167B" w:rsidR="002F5DFB" w:rsidRDefault="002F5DFB" w:rsidP="00BE4405">
            <w:pPr>
              <w:pStyle w:val="Tablebody"/>
            </w:pPr>
            <w:r>
              <w:t>08/11/2022</w:t>
            </w:r>
          </w:p>
        </w:tc>
        <w:tc>
          <w:tcPr>
            <w:tcW w:w="1701" w:type="dxa"/>
          </w:tcPr>
          <w:p w14:paraId="1DE8A8FF" w14:textId="0402BDCA" w:rsidR="002F5DFB" w:rsidRDefault="002F5DFB" w:rsidP="00BE4405">
            <w:pPr>
              <w:pStyle w:val="Tablebody"/>
            </w:pPr>
            <w:r>
              <w:t>Minister Steel</w:t>
            </w:r>
          </w:p>
        </w:tc>
        <w:tc>
          <w:tcPr>
            <w:tcW w:w="4111" w:type="dxa"/>
          </w:tcPr>
          <w:p w14:paraId="01A7F198" w14:textId="0D085BC6" w:rsidR="002F5DFB" w:rsidRDefault="002F5DFB" w:rsidP="00BE4405">
            <w:pPr>
              <w:pStyle w:val="Tablebody"/>
            </w:pPr>
            <w:r>
              <w:t>Stromlo Park sponsorship (</w:t>
            </w:r>
            <w:r w:rsidRPr="009E6989">
              <w:rPr>
                <w:i/>
                <w:iCs/>
              </w:rPr>
              <w:t>re-directed to the Standing Committee on Economy and Gender and Economic Equality</w:t>
            </w:r>
            <w:r>
              <w:t>)</w:t>
            </w:r>
          </w:p>
        </w:tc>
        <w:tc>
          <w:tcPr>
            <w:tcW w:w="1371" w:type="dxa"/>
          </w:tcPr>
          <w:p w14:paraId="22EBF51D" w14:textId="2F6E9DA6" w:rsidR="002F5DFB" w:rsidRDefault="002F5DFB" w:rsidP="00BE4405">
            <w:pPr>
              <w:pStyle w:val="Tablebody"/>
            </w:pPr>
            <w:r>
              <w:t>22/11/2022</w:t>
            </w:r>
          </w:p>
        </w:tc>
      </w:tr>
      <w:tr w:rsidR="002F5DFB" w14:paraId="42E770B2" w14:textId="77777777" w:rsidTr="00BE4405">
        <w:trPr>
          <w:cnfStyle w:val="000000010000" w:firstRow="0" w:lastRow="0" w:firstColumn="0" w:lastColumn="0" w:oddVBand="0" w:evenVBand="0" w:oddHBand="0" w:evenHBand="1" w:firstRowFirstColumn="0" w:firstRowLastColumn="0" w:lastRowFirstColumn="0" w:lastRowLastColumn="0"/>
        </w:trPr>
        <w:tc>
          <w:tcPr>
            <w:tcW w:w="567" w:type="dxa"/>
          </w:tcPr>
          <w:p w14:paraId="68583A62" w14:textId="1D26BED9" w:rsidR="002F5DFB" w:rsidRDefault="002F5DFB" w:rsidP="00BE4405">
            <w:pPr>
              <w:pStyle w:val="Tablebody"/>
            </w:pPr>
            <w:r>
              <w:t>16</w:t>
            </w:r>
          </w:p>
        </w:tc>
        <w:tc>
          <w:tcPr>
            <w:tcW w:w="1276" w:type="dxa"/>
          </w:tcPr>
          <w:p w14:paraId="1BC4A75B" w14:textId="4459C671" w:rsidR="002F5DFB" w:rsidRDefault="002F5DFB" w:rsidP="00BE4405">
            <w:pPr>
              <w:pStyle w:val="Tablebody"/>
            </w:pPr>
            <w:r>
              <w:t>08/11/2022</w:t>
            </w:r>
          </w:p>
        </w:tc>
        <w:tc>
          <w:tcPr>
            <w:tcW w:w="1701" w:type="dxa"/>
          </w:tcPr>
          <w:p w14:paraId="62551B28" w14:textId="05ACD891" w:rsidR="002F5DFB" w:rsidRDefault="002F5DFB" w:rsidP="00BE4405">
            <w:pPr>
              <w:pStyle w:val="Tablebody"/>
            </w:pPr>
            <w:r>
              <w:t>Minister Steel</w:t>
            </w:r>
          </w:p>
        </w:tc>
        <w:tc>
          <w:tcPr>
            <w:tcW w:w="4111" w:type="dxa"/>
          </w:tcPr>
          <w:p w14:paraId="75FFCA35" w14:textId="06353AE5" w:rsidR="002F5DFB" w:rsidRDefault="002F5DFB" w:rsidP="00BE4405">
            <w:pPr>
              <w:pStyle w:val="Tablebody"/>
            </w:pPr>
            <w:r>
              <w:t>Domestic Animal Services</w:t>
            </w:r>
          </w:p>
        </w:tc>
        <w:tc>
          <w:tcPr>
            <w:tcW w:w="1371" w:type="dxa"/>
          </w:tcPr>
          <w:p w14:paraId="70FD5D0B" w14:textId="727EE08F" w:rsidR="002F5DFB" w:rsidRDefault="002F5DFB" w:rsidP="00BE4405">
            <w:pPr>
              <w:pStyle w:val="Tablebody"/>
            </w:pPr>
            <w:r>
              <w:t>22/11/2022</w:t>
            </w:r>
          </w:p>
        </w:tc>
      </w:tr>
      <w:tr w:rsidR="002F5DFB" w14:paraId="1E64F5C5" w14:textId="77777777" w:rsidTr="00BE4405">
        <w:trPr>
          <w:cnfStyle w:val="000000100000" w:firstRow="0" w:lastRow="0" w:firstColumn="0" w:lastColumn="0" w:oddVBand="0" w:evenVBand="0" w:oddHBand="1" w:evenHBand="0" w:firstRowFirstColumn="0" w:firstRowLastColumn="0" w:lastRowFirstColumn="0" w:lastRowLastColumn="0"/>
        </w:trPr>
        <w:tc>
          <w:tcPr>
            <w:tcW w:w="567" w:type="dxa"/>
          </w:tcPr>
          <w:p w14:paraId="037CBB41" w14:textId="75E5834F" w:rsidR="002F5DFB" w:rsidRDefault="002F5DFB" w:rsidP="00BE4405">
            <w:pPr>
              <w:pStyle w:val="Tablebody"/>
            </w:pPr>
            <w:r>
              <w:t>17</w:t>
            </w:r>
          </w:p>
        </w:tc>
        <w:tc>
          <w:tcPr>
            <w:tcW w:w="1276" w:type="dxa"/>
          </w:tcPr>
          <w:p w14:paraId="63285632" w14:textId="706ABA61" w:rsidR="002F5DFB" w:rsidRDefault="002F5DFB" w:rsidP="00BE4405">
            <w:pPr>
              <w:pStyle w:val="Tablebody"/>
            </w:pPr>
            <w:r>
              <w:t>10/11/2022</w:t>
            </w:r>
          </w:p>
        </w:tc>
        <w:tc>
          <w:tcPr>
            <w:tcW w:w="1701" w:type="dxa"/>
          </w:tcPr>
          <w:p w14:paraId="1D7FB51A" w14:textId="18637EDE" w:rsidR="002F5DFB" w:rsidRDefault="002F5DFB" w:rsidP="00BE4405">
            <w:pPr>
              <w:pStyle w:val="Tablebody"/>
            </w:pPr>
            <w:r>
              <w:t>Minister Berry</w:t>
            </w:r>
          </w:p>
        </w:tc>
        <w:tc>
          <w:tcPr>
            <w:tcW w:w="4111" w:type="dxa"/>
          </w:tcPr>
          <w:p w14:paraId="4753605D" w14:textId="346A31F5" w:rsidR="002F5DFB" w:rsidRDefault="002F5DFB" w:rsidP="00BE4405">
            <w:pPr>
              <w:pStyle w:val="Tablebody"/>
            </w:pPr>
            <w:r>
              <w:t>Cost breakdown of Molonglo Valley Playground</w:t>
            </w:r>
          </w:p>
        </w:tc>
        <w:tc>
          <w:tcPr>
            <w:tcW w:w="1371" w:type="dxa"/>
          </w:tcPr>
          <w:p w14:paraId="64A4B948" w14:textId="5E4A67F9" w:rsidR="002F5DFB" w:rsidRDefault="002F5DFB" w:rsidP="00BE4405">
            <w:pPr>
              <w:pStyle w:val="Tablebody"/>
            </w:pPr>
            <w:r>
              <w:t>23/11/2022</w:t>
            </w:r>
          </w:p>
        </w:tc>
      </w:tr>
      <w:tr w:rsidR="002F5DFB" w14:paraId="24363174" w14:textId="77777777" w:rsidTr="00BE4405">
        <w:trPr>
          <w:cnfStyle w:val="000000010000" w:firstRow="0" w:lastRow="0" w:firstColumn="0" w:lastColumn="0" w:oddVBand="0" w:evenVBand="0" w:oddHBand="0" w:evenHBand="1" w:firstRowFirstColumn="0" w:firstRowLastColumn="0" w:lastRowFirstColumn="0" w:lastRowLastColumn="0"/>
        </w:trPr>
        <w:tc>
          <w:tcPr>
            <w:tcW w:w="567" w:type="dxa"/>
          </w:tcPr>
          <w:p w14:paraId="624B6FD5" w14:textId="62AD25DC" w:rsidR="002F5DFB" w:rsidRDefault="002F5DFB" w:rsidP="00BE4405">
            <w:pPr>
              <w:pStyle w:val="Tablebody"/>
            </w:pPr>
            <w:r>
              <w:t>18</w:t>
            </w:r>
          </w:p>
        </w:tc>
        <w:tc>
          <w:tcPr>
            <w:tcW w:w="1276" w:type="dxa"/>
          </w:tcPr>
          <w:p w14:paraId="030E1C6B" w14:textId="1DAA21D1" w:rsidR="002F5DFB" w:rsidRDefault="002F5DFB" w:rsidP="00BE4405">
            <w:pPr>
              <w:pStyle w:val="Tablebody"/>
            </w:pPr>
            <w:r>
              <w:t>08/11/2022</w:t>
            </w:r>
          </w:p>
        </w:tc>
        <w:tc>
          <w:tcPr>
            <w:tcW w:w="1701" w:type="dxa"/>
          </w:tcPr>
          <w:p w14:paraId="4F64E6C6" w14:textId="3989C747" w:rsidR="002F5DFB" w:rsidRDefault="002F5DFB" w:rsidP="00BE4405">
            <w:pPr>
              <w:pStyle w:val="Tablebody"/>
            </w:pPr>
            <w:r>
              <w:t>Minister Steel</w:t>
            </w:r>
          </w:p>
        </w:tc>
        <w:tc>
          <w:tcPr>
            <w:tcW w:w="4111" w:type="dxa"/>
          </w:tcPr>
          <w:p w14:paraId="6CF612B8" w14:textId="607ED732" w:rsidR="002F5DFB" w:rsidRDefault="002F5DFB" w:rsidP="00BE4405">
            <w:pPr>
              <w:pStyle w:val="Tablebody"/>
            </w:pPr>
            <w:r>
              <w:t>Fadden Pines</w:t>
            </w:r>
          </w:p>
        </w:tc>
        <w:tc>
          <w:tcPr>
            <w:tcW w:w="1371" w:type="dxa"/>
          </w:tcPr>
          <w:p w14:paraId="3739170D" w14:textId="1F010E5A" w:rsidR="002F5DFB" w:rsidRDefault="002F5DFB" w:rsidP="00BE4405">
            <w:pPr>
              <w:pStyle w:val="Tablebody"/>
            </w:pPr>
            <w:r>
              <w:t>22/11/2022</w:t>
            </w:r>
          </w:p>
        </w:tc>
      </w:tr>
      <w:tr w:rsidR="002F5DFB" w14:paraId="379198CF" w14:textId="77777777" w:rsidTr="00BE4405">
        <w:trPr>
          <w:cnfStyle w:val="000000100000" w:firstRow="0" w:lastRow="0" w:firstColumn="0" w:lastColumn="0" w:oddVBand="0" w:evenVBand="0" w:oddHBand="1" w:evenHBand="0" w:firstRowFirstColumn="0" w:firstRowLastColumn="0" w:lastRowFirstColumn="0" w:lastRowLastColumn="0"/>
        </w:trPr>
        <w:tc>
          <w:tcPr>
            <w:tcW w:w="567" w:type="dxa"/>
          </w:tcPr>
          <w:p w14:paraId="2D618746" w14:textId="10408BB5" w:rsidR="002F5DFB" w:rsidRDefault="002F5DFB" w:rsidP="00BE4405">
            <w:pPr>
              <w:pStyle w:val="Tablebody"/>
            </w:pPr>
            <w:r>
              <w:t>19</w:t>
            </w:r>
          </w:p>
        </w:tc>
        <w:tc>
          <w:tcPr>
            <w:tcW w:w="1276" w:type="dxa"/>
          </w:tcPr>
          <w:p w14:paraId="118F5A1B" w14:textId="2C89B7FC" w:rsidR="002F5DFB" w:rsidRDefault="002F5DFB" w:rsidP="00BE4405">
            <w:pPr>
              <w:pStyle w:val="Tablebody"/>
            </w:pPr>
            <w:r>
              <w:t>08/11/2022</w:t>
            </w:r>
          </w:p>
        </w:tc>
        <w:tc>
          <w:tcPr>
            <w:tcW w:w="1701" w:type="dxa"/>
          </w:tcPr>
          <w:p w14:paraId="438070D6" w14:textId="59AF3390" w:rsidR="002F5DFB" w:rsidRDefault="002F5DFB" w:rsidP="00BE4405">
            <w:pPr>
              <w:pStyle w:val="Tablebody"/>
            </w:pPr>
            <w:r>
              <w:t>Minister Steel</w:t>
            </w:r>
          </w:p>
        </w:tc>
        <w:tc>
          <w:tcPr>
            <w:tcW w:w="4111" w:type="dxa"/>
          </w:tcPr>
          <w:p w14:paraId="31758FF8" w14:textId="2EBEE96E" w:rsidR="002F5DFB" w:rsidRDefault="002F5DFB" w:rsidP="00BE4405">
            <w:pPr>
              <w:pStyle w:val="Tablebody"/>
            </w:pPr>
            <w:r>
              <w:t>Pothole compensation claims</w:t>
            </w:r>
          </w:p>
        </w:tc>
        <w:tc>
          <w:tcPr>
            <w:tcW w:w="1371" w:type="dxa"/>
          </w:tcPr>
          <w:p w14:paraId="0620E8DA" w14:textId="5ABCD40C" w:rsidR="002F5DFB" w:rsidRDefault="002F5DFB" w:rsidP="00BE4405">
            <w:pPr>
              <w:pStyle w:val="Tablebody"/>
            </w:pPr>
            <w:r>
              <w:t>22/11/2022</w:t>
            </w:r>
          </w:p>
        </w:tc>
      </w:tr>
      <w:tr w:rsidR="002F5DFB" w14:paraId="5D3FE6E7" w14:textId="77777777" w:rsidTr="00BE4405">
        <w:trPr>
          <w:cnfStyle w:val="000000010000" w:firstRow="0" w:lastRow="0" w:firstColumn="0" w:lastColumn="0" w:oddVBand="0" w:evenVBand="0" w:oddHBand="0" w:evenHBand="1" w:firstRowFirstColumn="0" w:firstRowLastColumn="0" w:lastRowFirstColumn="0" w:lastRowLastColumn="0"/>
        </w:trPr>
        <w:tc>
          <w:tcPr>
            <w:tcW w:w="567" w:type="dxa"/>
          </w:tcPr>
          <w:p w14:paraId="5AD8C982" w14:textId="380B2F46" w:rsidR="002F5DFB" w:rsidRDefault="002F5DFB" w:rsidP="00BE4405">
            <w:pPr>
              <w:pStyle w:val="Tablebody"/>
            </w:pPr>
            <w:r>
              <w:t>20</w:t>
            </w:r>
          </w:p>
        </w:tc>
        <w:tc>
          <w:tcPr>
            <w:tcW w:w="1276" w:type="dxa"/>
          </w:tcPr>
          <w:p w14:paraId="49B76275" w14:textId="12D123F8" w:rsidR="002F5DFB" w:rsidRDefault="002F5DFB" w:rsidP="00BE4405">
            <w:pPr>
              <w:pStyle w:val="Tablebody"/>
            </w:pPr>
            <w:r>
              <w:t>08/11/2022</w:t>
            </w:r>
          </w:p>
        </w:tc>
        <w:tc>
          <w:tcPr>
            <w:tcW w:w="1701" w:type="dxa"/>
          </w:tcPr>
          <w:p w14:paraId="1B49015E" w14:textId="7B543CA8" w:rsidR="002F5DFB" w:rsidRDefault="002F5DFB" w:rsidP="00BE4405">
            <w:pPr>
              <w:pStyle w:val="Tablebody"/>
            </w:pPr>
            <w:r>
              <w:t>Minister Steel</w:t>
            </w:r>
          </w:p>
        </w:tc>
        <w:tc>
          <w:tcPr>
            <w:tcW w:w="4111" w:type="dxa"/>
          </w:tcPr>
          <w:p w14:paraId="5AC624F9" w14:textId="6D9434ED" w:rsidR="002F5DFB" w:rsidRDefault="002F5DFB" w:rsidP="00BE4405">
            <w:pPr>
              <w:pStyle w:val="Tablebody"/>
            </w:pPr>
            <w:r>
              <w:t>Tree planting loss rate</w:t>
            </w:r>
          </w:p>
        </w:tc>
        <w:tc>
          <w:tcPr>
            <w:tcW w:w="1371" w:type="dxa"/>
          </w:tcPr>
          <w:p w14:paraId="7E855CA3" w14:textId="256C34DB" w:rsidR="002F5DFB" w:rsidRDefault="002F5DFB" w:rsidP="00BE4405">
            <w:pPr>
              <w:pStyle w:val="Tablebody"/>
            </w:pPr>
            <w:r>
              <w:t>22/11/2022</w:t>
            </w:r>
          </w:p>
        </w:tc>
      </w:tr>
      <w:tr w:rsidR="002F5DFB" w14:paraId="36D58138" w14:textId="77777777" w:rsidTr="00BE4405">
        <w:trPr>
          <w:cnfStyle w:val="000000100000" w:firstRow="0" w:lastRow="0" w:firstColumn="0" w:lastColumn="0" w:oddVBand="0" w:evenVBand="0" w:oddHBand="1" w:evenHBand="0" w:firstRowFirstColumn="0" w:firstRowLastColumn="0" w:lastRowFirstColumn="0" w:lastRowLastColumn="0"/>
        </w:trPr>
        <w:tc>
          <w:tcPr>
            <w:tcW w:w="567" w:type="dxa"/>
          </w:tcPr>
          <w:p w14:paraId="12E02DBD" w14:textId="47136AFB" w:rsidR="002F5DFB" w:rsidRDefault="002F5DFB" w:rsidP="00BE4405">
            <w:pPr>
              <w:pStyle w:val="Tablebody"/>
            </w:pPr>
            <w:r>
              <w:t>21</w:t>
            </w:r>
          </w:p>
        </w:tc>
        <w:tc>
          <w:tcPr>
            <w:tcW w:w="1276" w:type="dxa"/>
          </w:tcPr>
          <w:p w14:paraId="3D475B17" w14:textId="3024E982" w:rsidR="002F5DFB" w:rsidRDefault="002F5DFB" w:rsidP="00BE4405">
            <w:pPr>
              <w:pStyle w:val="Tablebody"/>
            </w:pPr>
            <w:r>
              <w:t>10/11/2022</w:t>
            </w:r>
          </w:p>
        </w:tc>
        <w:tc>
          <w:tcPr>
            <w:tcW w:w="1701" w:type="dxa"/>
          </w:tcPr>
          <w:p w14:paraId="757E5A5E" w14:textId="37C4280F" w:rsidR="002F5DFB" w:rsidRDefault="002F5DFB" w:rsidP="00BE4405">
            <w:pPr>
              <w:pStyle w:val="Tablebody"/>
            </w:pPr>
            <w:r>
              <w:t>Minister Berry</w:t>
            </w:r>
          </w:p>
        </w:tc>
        <w:tc>
          <w:tcPr>
            <w:tcW w:w="4111" w:type="dxa"/>
          </w:tcPr>
          <w:p w14:paraId="0B5DC043" w14:textId="61ADEF2D" w:rsidR="002F5DFB" w:rsidRDefault="002F5DFB" w:rsidP="00BE4405">
            <w:pPr>
              <w:pStyle w:val="Tablebody"/>
            </w:pPr>
            <w:r>
              <w:t>Breakdown of sales, Suburban Land Agency Annual Report, page 30</w:t>
            </w:r>
          </w:p>
        </w:tc>
        <w:tc>
          <w:tcPr>
            <w:tcW w:w="1371" w:type="dxa"/>
          </w:tcPr>
          <w:p w14:paraId="26A58469" w14:textId="195A72EB" w:rsidR="002F5DFB" w:rsidRDefault="002F5DFB" w:rsidP="00BE4405">
            <w:pPr>
              <w:pStyle w:val="Tablebody"/>
            </w:pPr>
            <w:r>
              <w:t>18/11/2022</w:t>
            </w:r>
          </w:p>
        </w:tc>
      </w:tr>
    </w:tbl>
    <w:p w14:paraId="63340D0D" w14:textId="0E5DD13D" w:rsidR="007B1762" w:rsidRDefault="00BD2490"/>
    <w:p w14:paraId="0F8E978E" w14:textId="2DFD0CDE" w:rsidR="00FE3DBF" w:rsidRPr="00D90ED8" w:rsidRDefault="00FE3DBF" w:rsidP="00FE3DBF">
      <w:pPr>
        <w:pStyle w:val="Heading2"/>
      </w:pPr>
      <w:bookmarkStart w:id="101" w:name="_Toc129873726"/>
      <w:r>
        <w:lastRenderedPageBreak/>
        <w:t>Questions Taken on Notice</w:t>
      </w:r>
      <w:bookmarkEnd w:id="101"/>
    </w:p>
    <w:tbl>
      <w:tblPr>
        <w:tblStyle w:val="Assemblystyletable"/>
        <w:tblW w:w="0" w:type="auto"/>
        <w:tblLook w:val="04A0" w:firstRow="1" w:lastRow="0" w:firstColumn="1" w:lastColumn="0" w:noHBand="0" w:noVBand="1"/>
      </w:tblPr>
      <w:tblGrid>
        <w:gridCol w:w="567"/>
        <w:gridCol w:w="1276"/>
        <w:gridCol w:w="1701"/>
        <w:gridCol w:w="4111"/>
        <w:gridCol w:w="1371"/>
      </w:tblGrid>
      <w:tr w:rsidR="00FE3DBF" w14:paraId="35AFD765" w14:textId="77777777" w:rsidTr="00746FE7">
        <w:trPr>
          <w:cnfStyle w:val="100000000000" w:firstRow="1" w:lastRow="0" w:firstColumn="0" w:lastColumn="0" w:oddVBand="0" w:evenVBand="0" w:oddHBand="0" w:evenHBand="0" w:firstRowFirstColumn="0" w:firstRowLastColumn="0" w:lastRowFirstColumn="0" w:lastRowLastColumn="0"/>
        </w:trPr>
        <w:tc>
          <w:tcPr>
            <w:tcW w:w="567" w:type="dxa"/>
          </w:tcPr>
          <w:p w14:paraId="6C58E293" w14:textId="77777777" w:rsidR="00FE3DBF" w:rsidRDefault="00FE3DBF" w:rsidP="00746FE7">
            <w:pPr>
              <w:pStyle w:val="Tableheading"/>
            </w:pPr>
            <w:r>
              <w:t>No.</w:t>
            </w:r>
          </w:p>
        </w:tc>
        <w:tc>
          <w:tcPr>
            <w:tcW w:w="1276" w:type="dxa"/>
          </w:tcPr>
          <w:p w14:paraId="28F8FFE3" w14:textId="77777777" w:rsidR="00FE3DBF" w:rsidRDefault="00FE3DBF" w:rsidP="00746FE7">
            <w:pPr>
              <w:pStyle w:val="Tableheading"/>
            </w:pPr>
            <w:r>
              <w:t>Date</w:t>
            </w:r>
          </w:p>
        </w:tc>
        <w:tc>
          <w:tcPr>
            <w:tcW w:w="1701" w:type="dxa"/>
          </w:tcPr>
          <w:p w14:paraId="737D8340" w14:textId="77777777" w:rsidR="00FE3DBF" w:rsidRDefault="00FE3DBF" w:rsidP="00746FE7">
            <w:pPr>
              <w:pStyle w:val="Tableheading"/>
            </w:pPr>
            <w:r>
              <w:t>Asked of</w:t>
            </w:r>
          </w:p>
        </w:tc>
        <w:tc>
          <w:tcPr>
            <w:tcW w:w="4111" w:type="dxa"/>
          </w:tcPr>
          <w:p w14:paraId="31211BA6" w14:textId="77777777" w:rsidR="00FE3DBF" w:rsidRDefault="00FE3DBF" w:rsidP="00746FE7">
            <w:pPr>
              <w:pStyle w:val="Tableheading"/>
            </w:pPr>
            <w:r>
              <w:t>Subject</w:t>
            </w:r>
          </w:p>
        </w:tc>
        <w:tc>
          <w:tcPr>
            <w:tcW w:w="1371" w:type="dxa"/>
          </w:tcPr>
          <w:p w14:paraId="5E2E6A46" w14:textId="77777777" w:rsidR="00FE3DBF" w:rsidRDefault="00FE3DBF" w:rsidP="00746FE7">
            <w:pPr>
              <w:pStyle w:val="Tableheading"/>
            </w:pPr>
            <w:r>
              <w:t>Response received</w:t>
            </w:r>
          </w:p>
        </w:tc>
      </w:tr>
      <w:tr w:rsidR="00FE3DBF" w14:paraId="109FF604" w14:textId="77777777" w:rsidTr="00746FE7">
        <w:trPr>
          <w:cnfStyle w:val="000000100000" w:firstRow="0" w:lastRow="0" w:firstColumn="0" w:lastColumn="0" w:oddVBand="0" w:evenVBand="0" w:oddHBand="1" w:evenHBand="0" w:firstRowFirstColumn="0" w:firstRowLastColumn="0" w:lastRowFirstColumn="0" w:lastRowLastColumn="0"/>
        </w:trPr>
        <w:tc>
          <w:tcPr>
            <w:tcW w:w="567" w:type="dxa"/>
          </w:tcPr>
          <w:p w14:paraId="35E720F9" w14:textId="77777777" w:rsidR="00FE3DBF" w:rsidRDefault="00FE3DBF" w:rsidP="00746FE7">
            <w:pPr>
              <w:pStyle w:val="Tablebody"/>
            </w:pPr>
            <w:r>
              <w:t>1</w:t>
            </w:r>
          </w:p>
        </w:tc>
        <w:tc>
          <w:tcPr>
            <w:tcW w:w="1276" w:type="dxa"/>
          </w:tcPr>
          <w:p w14:paraId="7EE8BDC8" w14:textId="77777777" w:rsidR="00FE3DBF" w:rsidRDefault="00FE3DBF" w:rsidP="00746FE7">
            <w:pPr>
              <w:pStyle w:val="Tablebody"/>
            </w:pPr>
            <w:r>
              <w:t>31/10/2022</w:t>
            </w:r>
          </w:p>
        </w:tc>
        <w:tc>
          <w:tcPr>
            <w:tcW w:w="1701" w:type="dxa"/>
          </w:tcPr>
          <w:p w14:paraId="41C58CE1" w14:textId="77777777" w:rsidR="00FE3DBF" w:rsidRDefault="00FE3DBF" w:rsidP="00746FE7">
            <w:pPr>
              <w:pStyle w:val="Tablebody"/>
            </w:pPr>
            <w:r>
              <w:t>Minister Gentleman</w:t>
            </w:r>
          </w:p>
        </w:tc>
        <w:tc>
          <w:tcPr>
            <w:tcW w:w="4111" w:type="dxa"/>
          </w:tcPr>
          <w:p w14:paraId="52BA6AE1" w14:textId="7E28A771" w:rsidR="00FE3DBF" w:rsidRDefault="00D67415" w:rsidP="00746FE7">
            <w:pPr>
              <w:pStyle w:val="Tablebody"/>
            </w:pPr>
            <w:r>
              <w:t>Delivery of Affordable Housing</w:t>
            </w:r>
          </w:p>
        </w:tc>
        <w:tc>
          <w:tcPr>
            <w:tcW w:w="1371" w:type="dxa"/>
          </w:tcPr>
          <w:p w14:paraId="54A31D18" w14:textId="4BCCED8A" w:rsidR="00FE3DBF" w:rsidRDefault="00D67415" w:rsidP="00746FE7">
            <w:pPr>
              <w:pStyle w:val="Tablebody"/>
            </w:pPr>
            <w:r>
              <w:t>08/11/2022</w:t>
            </w:r>
          </w:p>
        </w:tc>
      </w:tr>
      <w:tr w:rsidR="00FE3DBF" w14:paraId="59223DC8" w14:textId="77777777" w:rsidTr="00746FE7">
        <w:trPr>
          <w:cnfStyle w:val="000000010000" w:firstRow="0" w:lastRow="0" w:firstColumn="0" w:lastColumn="0" w:oddVBand="0" w:evenVBand="0" w:oddHBand="0" w:evenHBand="1" w:firstRowFirstColumn="0" w:firstRowLastColumn="0" w:lastRowFirstColumn="0" w:lastRowLastColumn="0"/>
        </w:trPr>
        <w:tc>
          <w:tcPr>
            <w:tcW w:w="567" w:type="dxa"/>
          </w:tcPr>
          <w:p w14:paraId="63ADB830" w14:textId="77777777" w:rsidR="00FE3DBF" w:rsidRDefault="00FE3DBF" w:rsidP="00746FE7">
            <w:pPr>
              <w:pStyle w:val="Tablebody"/>
            </w:pPr>
            <w:r>
              <w:t>2</w:t>
            </w:r>
          </w:p>
        </w:tc>
        <w:tc>
          <w:tcPr>
            <w:tcW w:w="1276" w:type="dxa"/>
          </w:tcPr>
          <w:p w14:paraId="1A80073F" w14:textId="77777777" w:rsidR="00FE3DBF" w:rsidRDefault="00FE3DBF" w:rsidP="00746FE7">
            <w:pPr>
              <w:pStyle w:val="Tablebody"/>
            </w:pPr>
            <w:r>
              <w:t>31/10/2022</w:t>
            </w:r>
          </w:p>
        </w:tc>
        <w:tc>
          <w:tcPr>
            <w:tcW w:w="1701" w:type="dxa"/>
          </w:tcPr>
          <w:p w14:paraId="3CA2AE64" w14:textId="77777777" w:rsidR="00FE3DBF" w:rsidRDefault="00FE3DBF" w:rsidP="00746FE7">
            <w:pPr>
              <w:pStyle w:val="Tablebody"/>
            </w:pPr>
            <w:r>
              <w:t>Minister Gentleman</w:t>
            </w:r>
          </w:p>
        </w:tc>
        <w:tc>
          <w:tcPr>
            <w:tcW w:w="4111" w:type="dxa"/>
          </w:tcPr>
          <w:p w14:paraId="4808F623" w14:textId="622441FC" w:rsidR="00FE3DBF" w:rsidRDefault="00D67415" w:rsidP="00746FE7">
            <w:pPr>
              <w:pStyle w:val="Tablebody"/>
            </w:pPr>
            <w:r>
              <w:t>Development Application assessment staff</w:t>
            </w:r>
          </w:p>
        </w:tc>
        <w:tc>
          <w:tcPr>
            <w:tcW w:w="1371" w:type="dxa"/>
          </w:tcPr>
          <w:p w14:paraId="1AD78551" w14:textId="12CDE1D9" w:rsidR="00FE3DBF" w:rsidRDefault="00D67415" w:rsidP="00746FE7">
            <w:pPr>
              <w:pStyle w:val="Tablebody"/>
            </w:pPr>
            <w:r>
              <w:t>07/11/2022</w:t>
            </w:r>
          </w:p>
        </w:tc>
      </w:tr>
      <w:tr w:rsidR="00FE3DBF" w14:paraId="5342CAE8" w14:textId="77777777" w:rsidTr="00746FE7">
        <w:trPr>
          <w:cnfStyle w:val="000000100000" w:firstRow="0" w:lastRow="0" w:firstColumn="0" w:lastColumn="0" w:oddVBand="0" w:evenVBand="0" w:oddHBand="1" w:evenHBand="0" w:firstRowFirstColumn="0" w:firstRowLastColumn="0" w:lastRowFirstColumn="0" w:lastRowLastColumn="0"/>
        </w:trPr>
        <w:tc>
          <w:tcPr>
            <w:tcW w:w="567" w:type="dxa"/>
          </w:tcPr>
          <w:p w14:paraId="11A8F4D4" w14:textId="77777777" w:rsidR="00FE3DBF" w:rsidRDefault="00FE3DBF" w:rsidP="00746FE7">
            <w:pPr>
              <w:pStyle w:val="Tablebody"/>
            </w:pPr>
            <w:r>
              <w:t>3</w:t>
            </w:r>
          </w:p>
        </w:tc>
        <w:tc>
          <w:tcPr>
            <w:tcW w:w="1276" w:type="dxa"/>
          </w:tcPr>
          <w:p w14:paraId="19C53452" w14:textId="615C2B00" w:rsidR="00FE3DBF" w:rsidRDefault="00D67415" w:rsidP="00746FE7">
            <w:pPr>
              <w:pStyle w:val="Tablebody"/>
            </w:pPr>
            <w:r>
              <w:t>31/10/2022</w:t>
            </w:r>
          </w:p>
        </w:tc>
        <w:tc>
          <w:tcPr>
            <w:tcW w:w="1701" w:type="dxa"/>
          </w:tcPr>
          <w:p w14:paraId="3D74F652" w14:textId="596E5A29" w:rsidR="00FE3DBF" w:rsidRDefault="00D67415" w:rsidP="00746FE7">
            <w:pPr>
              <w:pStyle w:val="Tablebody"/>
            </w:pPr>
            <w:r>
              <w:t>Minister Gentleman</w:t>
            </w:r>
          </w:p>
        </w:tc>
        <w:tc>
          <w:tcPr>
            <w:tcW w:w="4111" w:type="dxa"/>
          </w:tcPr>
          <w:p w14:paraId="4B1A7B09" w14:textId="51728E43" w:rsidR="00FE3DBF" w:rsidRDefault="00D67415" w:rsidP="00746FE7">
            <w:pPr>
              <w:pStyle w:val="Tablebody"/>
            </w:pPr>
            <w:r>
              <w:t xml:space="preserve">Percentage of applications made under section 144 and 141 of the </w:t>
            </w:r>
            <w:r w:rsidRPr="00D67415">
              <w:rPr>
                <w:i/>
                <w:iCs/>
              </w:rPr>
              <w:t>Planning and Development Act 2007</w:t>
            </w:r>
          </w:p>
        </w:tc>
        <w:tc>
          <w:tcPr>
            <w:tcW w:w="1371" w:type="dxa"/>
          </w:tcPr>
          <w:p w14:paraId="51EEDA8A" w14:textId="63CC3F81" w:rsidR="00FE3DBF" w:rsidRDefault="00D67415" w:rsidP="00746FE7">
            <w:pPr>
              <w:pStyle w:val="Tablebody"/>
            </w:pPr>
            <w:r>
              <w:t>07/11/2022</w:t>
            </w:r>
          </w:p>
        </w:tc>
      </w:tr>
      <w:tr w:rsidR="00FE3DBF" w14:paraId="13AFD820" w14:textId="77777777" w:rsidTr="00746FE7">
        <w:trPr>
          <w:cnfStyle w:val="000000010000" w:firstRow="0" w:lastRow="0" w:firstColumn="0" w:lastColumn="0" w:oddVBand="0" w:evenVBand="0" w:oddHBand="0" w:evenHBand="1" w:firstRowFirstColumn="0" w:firstRowLastColumn="0" w:lastRowFirstColumn="0" w:lastRowLastColumn="0"/>
        </w:trPr>
        <w:tc>
          <w:tcPr>
            <w:tcW w:w="567" w:type="dxa"/>
          </w:tcPr>
          <w:p w14:paraId="446EF9E7" w14:textId="77777777" w:rsidR="00FE3DBF" w:rsidRDefault="00FE3DBF" w:rsidP="00746FE7">
            <w:pPr>
              <w:pStyle w:val="Tablebody"/>
            </w:pPr>
            <w:r>
              <w:t>4</w:t>
            </w:r>
          </w:p>
        </w:tc>
        <w:tc>
          <w:tcPr>
            <w:tcW w:w="1276" w:type="dxa"/>
          </w:tcPr>
          <w:p w14:paraId="7075E1AA" w14:textId="40EED32E" w:rsidR="00FE3DBF" w:rsidRDefault="00D67415" w:rsidP="00746FE7">
            <w:pPr>
              <w:pStyle w:val="Tablebody"/>
            </w:pPr>
            <w:r>
              <w:t>31/10/2022</w:t>
            </w:r>
          </w:p>
        </w:tc>
        <w:tc>
          <w:tcPr>
            <w:tcW w:w="1701" w:type="dxa"/>
          </w:tcPr>
          <w:p w14:paraId="755F3349" w14:textId="0F3D6A79" w:rsidR="00FE3DBF" w:rsidRDefault="00D67415" w:rsidP="00746FE7">
            <w:pPr>
              <w:pStyle w:val="Tablebody"/>
            </w:pPr>
            <w:r>
              <w:t>Minister Gentleman</w:t>
            </w:r>
          </w:p>
        </w:tc>
        <w:tc>
          <w:tcPr>
            <w:tcW w:w="4111" w:type="dxa"/>
          </w:tcPr>
          <w:p w14:paraId="603F7386" w14:textId="1C39AEE5" w:rsidR="00FE3DBF" w:rsidRDefault="00D67415" w:rsidP="00746FE7">
            <w:pPr>
              <w:pStyle w:val="Tablebody"/>
            </w:pPr>
            <w:r>
              <w:t>Western Edge Lease Holders</w:t>
            </w:r>
          </w:p>
        </w:tc>
        <w:tc>
          <w:tcPr>
            <w:tcW w:w="1371" w:type="dxa"/>
          </w:tcPr>
          <w:p w14:paraId="7D3FCD31" w14:textId="3DB9B78C" w:rsidR="00FE3DBF" w:rsidRDefault="00D67415" w:rsidP="00746FE7">
            <w:pPr>
              <w:pStyle w:val="Tablebody"/>
            </w:pPr>
            <w:r>
              <w:t>07/11/2022</w:t>
            </w:r>
          </w:p>
        </w:tc>
      </w:tr>
      <w:tr w:rsidR="00FE3DBF" w14:paraId="7F1D5F96" w14:textId="77777777" w:rsidTr="00746FE7">
        <w:trPr>
          <w:cnfStyle w:val="000000100000" w:firstRow="0" w:lastRow="0" w:firstColumn="0" w:lastColumn="0" w:oddVBand="0" w:evenVBand="0" w:oddHBand="1" w:evenHBand="0" w:firstRowFirstColumn="0" w:firstRowLastColumn="0" w:lastRowFirstColumn="0" w:lastRowLastColumn="0"/>
        </w:trPr>
        <w:tc>
          <w:tcPr>
            <w:tcW w:w="567" w:type="dxa"/>
          </w:tcPr>
          <w:p w14:paraId="5C02F8E6" w14:textId="77777777" w:rsidR="00FE3DBF" w:rsidRDefault="00FE3DBF" w:rsidP="00746FE7">
            <w:pPr>
              <w:pStyle w:val="Tablebody"/>
            </w:pPr>
            <w:r>
              <w:t>5</w:t>
            </w:r>
          </w:p>
        </w:tc>
        <w:tc>
          <w:tcPr>
            <w:tcW w:w="1276" w:type="dxa"/>
          </w:tcPr>
          <w:p w14:paraId="79136F03" w14:textId="6F8D93E5" w:rsidR="00FE3DBF" w:rsidRDefault="00D67415" w:rsidP="00746FE7">
            <w:pPr>
              <w:pStyle w:val="Tablebody"/>
            </w:pPr>
            <w:r>
              <w:t>31/10/2022</w:t>
            </w:r>
          </w:p>
        </w:tc>
        <w:tc>
          <w:tcPr>
            <w:tcW w:w="1701" w:type="dxa"/>
          </w:tcPr>
          <w:p w14:paraId="7996AFA9" w14:textId="0A3F1361" w:rsidR="00FE3DBF" w:rsidRDefault="00D67415" w:rsidP="00746FE7">
            <w:pPr>
              <w:pStyle w:val="Tablebody"/>
            </w:pPr>
            <w:r>
              <w:t>Minister Gentleman</w:t>
            </w:r>
          </w:p>
        </w:tc>
        <w:tc>
          <w:tcPr>
            <w:tcW w:w="4111" w:type="dxa"/>
          </w:tcPr>
          <w:p w14:paraId="24DDE40D" w14:textId="3FDEB1F7" w:rsidR="00FE3DBF" w:rsidRDefault="00D67415" w:rsidP="00746FE7">
            <w:pPr>
              <w:pStyle w:val="Tablebody"/>
            </w:pPr>
            <w:r>
              <w:t>Western Edge Investigation Funding</w:t>
            </w:r>
          </w:p>
        </w:tc>
        <w:tc>
          <w:tcPr>
            <w:tcW w:w="1371" w:type="dxa"/>
          </w:tcPr>
          <w:p w14:paraId="6F8291B9" w14:textId="7004CFD3" w:rsidR="00FE3DBF" w:rsidRDefault="00D67415" w:rsidP="00746FE7">
            <w:pPr>
              <w:pStyle w:val="Tablebody"/>
            </w:pPr>
            <w:r>
              <w:t>09/11/2022</w:t>
            </w:r>
          </w:p>
        </w:tc>
      </w:tr>
      <w:tr w:rsidR="00FE3DBF" w14:paraId="1FB7C1B0" w14:textId="77777777" w:rsidTr="00746FE7">
        <w:trPr>
          <w:cnfStyle w:val="000000010000" w:firstRow="0" w:lastRow="0" w:firstColumn="0" w:lastColumn="0" w:oddVBand="0" w:evenVBand="0" w:oddHBand="0" w:evenHBand="1" w:firstRowFirstColumn="0" w:firstRowLastColumn="0" w:lastRowFirstColumn="0" w:lastRowLastColumn="0"/>
        </w:trPr>
        <w:tc>
          <w:tcPr>
            <w:tcW w:w="567" w:type="dxa"/>
          </w:tcPr>
          <w:p w14:paraId="24E90796" w14:textId="77777777" w:rsidR="00FE3DBF" w:rsidRDefault="00FE3DBF" w:rsidP="00746FE7">
            <w:pPr>
              <w:pStyle w:val="Tablebody"/>
            </w:pPr>
            <w:r>
              <w:t>6</w:t>
            </w:r>
          </w:p>
        </w:tc>
        <w:tc>
          <w:tcPr>
            <w:tcW w:w="1276" w:type="dxa"/>
          </w:tcPr>
          <w:p w14:paraId="1AD4D658" w14:textId="3257A260" w:rsidR="00FE3DBF" w:rsidRDefault="00D67415" w:rsidP="00746FE7">
            <w:pPr>
              <w:pStyle w:val="Tablebody"/>
            </w:pPr>
            <w:r>
              <w:t>31/10/2022</w:t>
            </w:r>
          </w:p>
        </w:tc>
        <w:tc>
          <w:tcPr>
            <w:tcW w:w="1701" w:type="dxa"/>
          </w:tcPr>
          <w:p w14:paraId="722FA111" w14:textId="4854049B" w:rsidR="00FE3DBF" w:rsidRDefault="00D67415" w:rsidP="00746FE7">
            <w:pPr>
              <w:pStyle w:val="Tablebody"/>
            </w:pPr>
            <w:r>
              <w:t>Minister Gentleman</w:t>
            </w:r>
          </w:p>
        </w:tc>
        <w:tc>
          <w:tcPr>
            <w:tcW w:w="4111" w:type="dxa"/>
          </w:tcPr>
          <w:p w14:paraId="284304BC" w14:textId="23CE2BD1" w:rsidR="00FE3DBF" w:rsidRDefault="00D67415" w:rsidP="00746FE7">
            <w:pPr>
              <w:pStyle w:val="Tablebody"/>
            </w:pPr>
            <w:r>
              <w:t>Indicative Land Release Program – Molonglo 3 East (</w:t>
            </w:r>
            <w:r w:rsidRPr="009E6989">
              <w:rPr>
                <w:i/>
                <w:iCs/>
              </w:rPr>
              <w:t>QTON answered in the Chamber</w:t>
            </w:r>
            <w:r>
              <w:t>)</w:t>
            </w:r>
          </w:p>
        </w:tc>
        <w:tc>
          <w:tcPr>
            <w:tcW w:w="1371" w:type="dxa"/>
          </w:tcPr>
          <w:p w14:paraId="2E196801" w14:textId="4A37E1A3" w:rsidR="00FE3DBF" w:rsidRDefault="00D67415" w:rsidP="00746FE7">
            <w:pPr>
              <w:pStyle w:val="Tablebody"/>
            </w:pPr>
            <w:r>
              <w:t>31/10/2022</w:t>
            </w:r>
          </w:p>
        </w:tc>
      </w:tr>
      <w:tr w:rsidR="00FE3DBF" w14:paraId="366687E3" w14:textId="77777777" w:rsidTr="00746FE7">
        <w:trPr>
          <w:cnfStyle w:val="000000100000" w:firstRow="0" w:lastRow="0" w:firstColumn="0" w:lastColumn="0" w:oddVBand="0" w:evenVBand="0" w:oddHBand="1" w:evenHBand="0" w:firstRowFirstColumn="0" w:firstRowLastColumn="0" w:lastRowFirstColumn="0" w:lastRowLastColumn="0"/>
        </w:trPr>
        <w:tc>
          <w:tcPr>
            <w:tcW w:w="567" w:type="dxa"/>
          </w:tcPr>
          <w:p w14:paraId="678E2FD0" w14:textId="77777777" w:rsidR="00FE3DBF" w:rsidRDefault="00FE3DBF" w:rsidP="00746FE7">
            <w:pPr>
              <w:pStyle w:val="Tablebody"/>
            </w:pPr>
            <w:r>
              <w:t>7</w:t>
            </w:r>
          </w:p>
        </w:tc>
        <w:tc>
          <w:tcPr>
            <w:tcW w:w="1276" w:type="dxa"/>
          </w:tcPr>
          <w:p w14:paraId="54CD2537" w14:textId="58A907B8" w:rsidR="00FE3DBF" w:rsidRDefault="00D67415" w:rsidP="00746FE7">
            <w:pPr>
              <w:pStyle w:val="Tablebody"/>
            </w:pPr>
            <w:r>
              <w:t>31/10/2022</w:t>
            </w:r>
          </w:p>
        </w:tc>
        <w:tc>
          <w:tcPr>
            <w:tcW w:w="1701" w:type="dxa"/>
          </w:tcPr>
          <w:p w14:paraId="5D1982F9" w14:textId="59DDC9FB" w:rsidR="00FE3DBF" w:rsidRDefault="00D67415" w:rsidP="00746FE7">
            <w:pPr>
              <w:pStyle w:val="Tablebody"/>
            </w:pPr>
            <w:r>
              <w:t>Minister Steel</w:t>
            </w:r>
          </w:p>
        </w:tc>
        <w:tc>
          <w:tcPr>
            <w:tcW w:w="4111" w:type="dxa"/>
          </w:tcPr>
          <w:p w14:paraId="36C27C0D" w14:textId="426084A0" w:rsidR="00FE3DBF" w:rsidRDefault="00D67415" w:rsidP="00746FE7">
            <w:pPr>
              <w:pStyle w:val="Tablebody"/>
            </w:pPr>
            <w:r>
              <w:t>Letter from The Hon Catherine King MP</w:t>
            </w:r>
          </w:p>
        </w:tc>
        <w:tc>
          <w:tcPr>
            <w:tcW w:w="1371" w:type="dxa"/>
          </w:tcPr>
          <w:p w14:paraId="5E1DC049" w14:textId="6F09D0C4" w:rsidR="00FE3DBF" w:rsidRDefault="00D67415" w:rsidP="00746FE7">
            <w:pPr>
              <w:pStyle w:val="Tablebody"/>
            </w:pPr>
            <w:r>
              <w:t>08/11/2022</w:t>
            </w:r>
          </w:p>
        </w:tc>
      </w:tr>
      <w:tr w:rsidR="00FE3DBF" w14:paraId="206645E0" w14:textId="77777777" w:rsidTr="00746FE7">
        <w:trPr>
          <w:cnfStyle w:val="000000010000" w:firstRow="0" w:lastRow="0" w:firstColumn="0" w:lastColumn="0" w:oddVBand="0" w:evenVBand="0" w:oddHBand="0" w:evenHBand="1" w:firstRowFirstColumn="0" w:firstRowLastColumn="0" w:lastRowFirstColumn="0" w:lastRowLastColumn="0"/>
        </w:trPr>
        <w:tc>
          <w:tcPr>
            <w:tcW w:w="567" w:type="dxa"/>
          </w:tcPr>
          <w:p w14:paraId="1677E15D" w14:textId="77777777" w:rsidR="00FE3DBF" w:rsidRDefault="00FE3DBF" w:rsidP="00746FE7">
            <w:pPr>
              <w:pStyle w:val="Tablebody"/>
            </w:pPr>
            <w:r>
              <w:t>8</w:t>
            </w:r>
          </w:p>
        </w:tc>
        <w:tc>
          <w:tcPr>
            <w:tcW w:w="1276" w:type="dxa"/>
          </w:tcPr>
          <w:p w14:paraId="100D74B8" w14:textId="16FDB7BE" w:rsidR="00FE3DBF" w:rsidRDefault="00D67415" w:rsidP="00746FE7">
            <w:pPr>
              <w:pStyle w:val="Tablebody"/>
            </w:pPr>
            <w:r>
              <w:t>31/10/2022</w:t>
            </w:r>
          </w:p>
        </w:tc>
        <w:tc>
          <w:tcPr>
            <w:tcW w:w="1701" w:type="dxa"/>
          </w:tcPr>
          <w:p w14:paraId="6F4378B4" w14:textId="430A77F9" w:rsidR="00FE3DBF" w:rsidRDefault="00D67415" w:rsidP="00746FE7">
            <w:pPr>
              <w:pStyle w:val="Tablebody"/>
            </w:pPr>
            <w:r>
              <w:t>Minister Steel</w:t>
            </w:r>
          </w:p>
        </w:tc>
        <w:tc>
          <w:tcPr>
            <w:tcW w:w="4111" w:type="dxa"/>
          </w:tcPr>
          <w:p w14:paraId="0A7A84A2" w14:textId="410824B9" w:rsidR="00FE3DBF" w:rsidRDefault="00D67415" w:rsidP="00746FE7">
            <w:pPr>
              <w:pStyle w:val="Tablebody"/>
            </w:pPr>
            <w:r>
              <w:t>Light Rail Stage 2A and raising London Circuit contract</w:t>
            </w:r>
            <w:r w:rsidR="00B85E19">
              <w:t xml:space="preserve"> (1)</w:t>
            </w:r>
          </w:p>
        </w:tc>
        <w:tc>
          <w:tcPr>
            <w:tcW w:w="1371" w:type="dxa"/>
          </w:tcPr>
          <w:p w14:paraId="193EFC6B" w14:textId="6A2E4AF9" w:rsidR="00FE3DBF" w:rsidRDefault="00D67415" w:rsidP="00746FE7">
            <w:pPr>
              <w:pStyle w:val="Tablebody"/>
            </w:pPr>
            <w:r>
              <w:t>09/11/2022</w:t>
            </w:r>
          </w:p>
        </w:tc>
      </w:tr>
      <w:tr w:rsidR="00D67415" w14:paraId="4CC9AB56" w14:textId="77777777" w:rsidTr="00746FE7">
        <w:trPr>
          <w:cnfStyle w:val="000000100000" w:firstRow="0" w:lastRow="0" w:firstColumn="0" w:lastColumn="0" w:oddVBand="0" w:evenVBand="0" w:oddHBand="1" w:evenHBand="0" w:firstRowFirstColumn="0" w:firstRowLastColumn="0" w:lastRowFirstColumn="0" w:lastRowLastColumn="0"/>
        </w:trPr>
        <w:tc>
          <w:tcPr>
            <w:tcW w:w="567" w:type="dxa"/>
          </w:tcPr>
          <w:p w14:paraId="40B135BE" w14:textId="2D5F399F" w:rsidR="00D67415" w:rsidRDefault="00D67415" w:rsidP="00746FE7">
            <w:pPr>
              <w:pStyle w:val="Tablebody"/>
            </w:pPr>
            <w:r>
              <w:t>9</w:t>
            </w:r>
          </w:p>
        </w:tc>
        <w:tc>
          <w:tcPr>
            <w:tcW w:w="1276" w:type="dxa"/>
          </w:tcPr>
          <w:p w14:paraId="6967864C" w14:textId="7FBDE451" w:rsidR="00D67415" w:rsidRDefault="00B85E19" w:rsidP="00746FE7">
            <w:pPr>
              <w:pStyle w:val="Tablebody"/>
            </w:pPr>
            <w:r>
              <w:t>31/10/2022</w:t>
            </w:r>
          </w:p>
        </w:tc>
        <w:tc>
          <w:tcPr>
            <w:tcW w:w="1701" w:type="dxa"/>
          </w:tcPr>
          <w:p w14:paraId="43980E5D" w14:textId="7606296A" w:rsidR="00D67415" w:rsidRDefault="00B85E19" w:rsidP="00746FE7">
            <w:pPr>
              <w:pStyle w:val="Tablebody"/>
            </w:pPr>
            <w:r>
              <w:t>Minister Steel</w:t>
            </w:r>
          </w:p>
        </w:tc>
        <w:tc>
          <w:tcPr>
            <w:tcW w:w="4111" w:type="dxa"/>
          </w:tcPr>
          <w:p w14:paraId="3B6BF02F" w14:textId="3748A411" w:rsidR="00D67415" w:rsidRDefault="00B85E19" w:rsidP="00746FE7">
            <w:pPr>
              <w:pStyle w:val="Tablebody"/>
            </w:pPr>
            <w:r>
              <w:t>Light Rail Stage 2A and raising London Circuit contract (2)</w:t>
            </w:r>
          </w:p>
        </w:tc>
        <w:tc>
          <w:tcPr>
            <w:tcW w:w="1371" w:type="dxa"/>
          </w:tcPr>
          <w:p w14:paraId="36EA1237" w14:textId="626C773B" w:rsidR="00D67415" w:rsidRDefault="00B85E19" w:rsidP="00746FE7">
            <w:pPr>
              <w:pStyle w:val="Tablebody"/>
            </w:pPr>
            <w:r>
              <w:t>09/11/2022</w:t>
            </w:r>
          </w:p>
        </w:tc>
      </w:tr>
      <w:tr w:rsidR="00B85E19" w14:paraId="2B102BA8" w14:textId="77777777" w:rsidTr="00746FE7">
        <w:trPr>
          <w:cnfStyle w:val="000000010000" w:firstRow="0" w:lastRow="0" w:firstColumn="0" w:lastColumn="0" w:oddVBand="0" w:evenVBand="0" w:oddHBand="0" w:evenHBand="1" w:firstRowFirstColumn="0" w:firstRowLastColumn="0" w:lastRowFirstColumn="0" w:lastRowLastColumn="0"/>
        </w:trPr>
        <w:tc>
          <w:tcPr>
            <w:tcW w:w="567" w:type="dxa"/>
          </w:tcPr>
          <w:p w14:paraId="3F1E9B12" w14:textId="3673C90F" w:rsidR="00B85E19" w:rsidRDefault="00B85E19" w:rsidP="00746FE7">
            <w:pPr>
              <w:pStyle w:val="Tablebody"/>
            </w:pPr>
            <w:r>
              <w:t>10</w:t>
            </w:r>
          </w:p>
        </w:tc>
        <w:tc>
          <w:tcPr>
            <w:tcW w:w="1276" w:type="dxa"/>
          </w:tcPr>
          <w:p w14:paraId="142FEA24" w14:textId="42C122C1" w:rsidR="00B85E19" w:rsidRDefault="00B46840" w:rsidP="00746FE7">
            <w:pPr>
              <w:pStyle w:val="Tablebody"/>
            </w:pPr>
            <w:r>
              <w:t>02/11/2022</w:t>
            </w:r>
          </w:p>
        </w:tc>
        <w:tc>
          <w:tcPr>
            <w:tcW w:w="1701" w:type="dxa"/>
          </w:tcPr>
          <w:p w14:paraId="0D363070" w14:textId="49B41DA7" w:rsidR="00B85E19" w:rsidRDefault="00B46840" w:rsidP="00746FE7">
            <w:pPr>
              <w:pStyle w:val="Tablebody"/>
            </w:pPr>
            <w:r>
              <w:t>Minister Vassarotti</w:t>
            </w:r>
          </w:p>
        </w:tc>
        <w:tc>
          <w:tcPr>
            <w:tcW w:w="4111" w:type="dxa"/>
          </w:tcPr>
          <w:p w14:paraId="72ECE57E" w14:textId="0FC44C38" w:rsidR="00B85E19" w:rsidRDefault="00B46840" w:rsidP="00746FE7">
            <w:pPr>
              <w:pStyle w:val="Tablebody"/>
            </w:pPr>
            <w:r>
              <w:t>National Construction Code Energy Efficiency</w:t>
            </w:r>
          </w:p>
        </w:tc>
        <w:tc>
          <w:tcPr>
            <w:tcW w:w="1371" w:type="dxa"/>
          </w:tcPr>
          <w:p w14:paraId="052D0472" w14:textId="38E546BA" w:rsidR="00B85E19" w:rsidRDefault="00B46840" w:rsidP="00746FE7">
            <w:pPr>
              <w:pStyle w:val="Tablebody"/>
            </w:pPr>
            <w:r>
              <w:t>10/11/2022</w:t>
            </w:r>
          </w:p>
        </w:tc>
      </w:tr>
      <w:tr w:rsidR="00B46840" w14:paraId="51622E36" w14:textId="77777777" w:rsidTr="00746FE7">
        <w:trPr>
          <w:cnfStyle w:val="000000100000" w:firstRow="0" w:lastRow="0" w:firstColumn="0" w:lastColumn="0" w:oddVBand="0" w:evenVBand="0" w:oddHBand="1" w:evenHBand="0" w:firstRowFirstColumn="0" w:firstRowLastColumn="0" w:lastRowFirstColumn="0" w:lastRowLastColumn="0"/>
        </w:trPr>
        <w:tc>
          <w:tcPr>
            <w:tcW w:w="567" w:type="dxa"/>
          </w:tcPr>
          <w:p w14:paraId="7445F81B" w14:textId="19AE1F71" w:rsidR="00B46840" w:rsidRDefault="00B46840" w:rsidP="00746FE7">
            <w:pPr>
              <w:pStyle w:val="Tablebody"/>
            </w:pPr>
            <w:r>
              <w:t>11</w:t>
            </w:r>
          </w:p>
        </w:tc>
        <w:tc>
          <w:tcPr>
            <w:tcW w:w="1276" w:type="dxa"/>
          </w:tcPr>
          <w:p w14:paraId="3B4C2390" w14:textId="3E2D63A8" w:rsidR="00B46840" w:rsidRDefault="001D4382" w:rsidP="00746FE7">
            <w:pPr>
              <w:pStyle w:val="Tablebody"/>
            </w:pPr>
            <w:r>
              <w:t>07/11/2022</w:t>
            </w:r>
          </w:p>
        </w:tc>
        <w:tc>
          <w:tcPr>
            <w:tcW w:w="1701" w:type="dxa"/>
          </w:tcPr>
          <w:p w14:paraId="72FD199C" w14:textId="0933F14A" w:rsidR="00B46840" w:rsidRDefault="001D4382" w:rsidP="00746FE7">
            <w:pPr>
              <w:pStyle w:val="Tablebody"/>
            </w:pPr>
            <w:r>
              <w:t>Minister Berry</w:t>
            </w:r>
          </w:p>
        </w:tc>
        <w:tc>
          <w:tcPr>
            <w:tcW w:w="4111" w:type="dxa"/>
          </w:tcPr>
          <w:p w14:paraId="72CC6EC1" w14:textId="0E58DCBF" w:rsidR="00B46840" w:rsidRDefault="00480D13" w:rsidP="00746FE7">
            <w:pPr>
              <w:pStyle w:val="Tablebody"/>
            </w:pPr>
            <w:r>
              <w:t>Female friendly pavilion upgrades</w:t>
            </w:r>
          </w:p>
        </w:tc>
        <w:tc>
          <w:tcPr>
            <w:tcW w:w="1371" w:type="dxa"/>
          </w:tcPr>
          <w:p w14:paraId="27C1D056" w14:textId="307A0FE4" w:rsidR="00B46840" w:rsidRDefault="001D4382" w:rsidP="00746FE7">
            <w:pPr>
              <w:pStyle w:val="Tablebody"/>
            </w:pPr>
            <w:r>
              <w:t>16/11/2022</w:t>
            </w:r>
          </w:p>
        </w:tc>
      </w:tr>
      <w:tr w:rsidR="007B781F" w14:paraId="18382B45" w14:textId="77777777" w:rsidTr="00746FE7">
        <w:trPr>
          <w:cnfStyle w:val="000000010000" w:firstRow="0" w:lastRow="0" w:firstColumn="0" w:lastColumn="0" w:oddVBand="0" w:evenVBand="0" w:oddHBand="0" w:evenHBand="1" w:firstRowFirstColumn="0" w:firstRowLastColumn="0" w:lastRowFirstColumn="0" w:lastRowLastColumn="0"/>
        </w:trPr>
        <w:tc>
          <w:tcPr>
            <w:tcW w:w="567" w:type="dxa"/>
          </w:tcPr>
          <w:p w14:paraId="1D2D33E5" w14:textId="20845212" w:rsidR="007B781F" w:rsidRDefault="007B781F" w:rsidP="00746FE7">
            <w:pPr>
              <w:pStyle w:val="Tablebody"/>
            </w:pPr>
            <w:r>
              <w:t>12</w:t>
            </w:r>
          </w:p>
        </w:tc>
        <w:tc>
          <w:tcPr>
            <w:tcW w:w="1276" w:type="dxa"/>
          </w:tcPr>
          <w:p w14:paraId="6A2C9BB3" w14:textId="7D2D7F74" w:rsidR="007B781F" w:rsidRDefault="001D4382" w:rsidP="00746FE7">
            <w:pPr>
              <w:pStyle w:val="Tablebody"/>
            </w:pPr>
            <w:r>
              <w:t>07/11/2022</w:t>
            </w:r>
          </w:p>
        </w:tc>
        <w:tc>
          <w:tcPr>
            <w:tcW w:w="1701" w:type="dxa"/>
          </w:tcPr>
          <w:p w14:paraId="4C5E151E" w14:textId="5CF57031" w:rsidR="007B781F" w:rsidRDefault="001D4382" w:rsidP="00746FE7">
            <w:pPr>
              <w:pStyle w:val="Tablebody"/>
            </w:pPr>
            <w:r>
              <w:t>Minister Berry</w:t>
            </w:r>
          </w:p>
        </w:tc>
        <w:tc>
          <w:tcPr>
            <w:tcW w:w="4111" w:type="dxa"/>
          </w:tcPr>
          <w:p w14:paraId="505CF9BD" w14:textId="7C6237F0" w:rsidR="007B781F" w:rsidRDefault="00480D13" w:rsidP="00746FE7">
            <w:pPr>
              <w:pStyle w:val="Tablebody"/>
            </w:pPr>
            <w:r>
              <w:t>Topsoil Amendment Program</w:t>
            </w:r>
          </w:p>
        </w:tc>
        <w:tc>
          <w:tcPr>
            <w:tcW w:w="1371" w:type="dxa"/>
          </w:tcPr>
          <w:p w14:paraId="19E59956" w14:textId="259A06D4" w:rsidR="007B781F" w:rsidRDefault="001D4382" w:rsidP="00746FE7">
            <w:pPr>
              <w:pStyle w:val="Tablebody"/>
            </w:pPr>
            <w:r>
              <w:t>17/11/2022</w:t>
            </w:r>
          </w:p>
        </w:tc>
      </w:tr>
      <w:tr w:rsidR="007B781F" w14:paraId="61D1DC39" w14:textId="77777777" w:rsidTr="00746FE7">
        <w:trPr>
          <w:cnfStyle w:val="000000100000" w:firstRow="0" w:lastRow="0" w:firstColumn="0" w:lastColumn="0" w:oddVBand="0" w:evenVBand="0" w:oddHBand="1" w:evenHBand="0" w:firstRowFirstColumn="0" w:firstRowLastColumn="0" w:lastRowFirstColumn="0" w:lastRowLastColumn="0"/>
        </w:trPr>
        <w:tc>
          <w:tcPr>
            <w:tcW w:w="567" w:type="dxa"/>
          </w:tcPr>
          <w:p w14:paraId="3DF019B6" w14:textId="0C4D9216" w:rsidR="007B781F" w:rsidRDefault="007B781F" w:rsidP="00746FE7">
            <w:pPr>
              <w:pStyle w:val="Tablebody"/>
            </w:pPr>
            <w:r>
              <w:t>13</w:t>
            </w:r>
          </w:p>
        </w:tc>
        <w:tc>
          <w:tcPr>
            <w:tcW w:w="1276" w:type="dxa"/>
          </w:tcPr>
          <w:p w14:paraId="3F171D5B" w14:textId="7DE7862E" w:rsidR="007B781F" w:rsidRDefault="001D4382" w:rsidP="00746FE7">
            <w:pPr>
              <w:pStyle w:val="Tablebody"/>
            </w:pPr>
            <w:r>
              <w:t>07/11/2022</w:t>
            </w:r>
          </w:p>
        </w:tc>
        <w:tc>
          <w:tcPr>
            <w:tcW w:w="1701" w:type="dxa"/>
          </w:tcPr>
          <w:p w14:paraId="74CDF569" w14:textId="4212297E" w:rsidR="007B781F" w:rsidRDefault="001D4382" w:rsidP="00746FE7">
            <w:pPr>
              <w:pStyle w:val="Tablebody"/>
            </w:pPr>
            <w:r>
              <w:t>Minister Barr</w:t>
            </w:r>
          </w:p>
        </w:tc>
        <w:tc>
          <w:tcPr>
            <w:tcW w:w="4111" w:type="dxa"/>
          </w:tcPr>
          <w:p w14:paraId="1C4CB6AE" w14:textId="33F5ED9C" w:rsidR="007B781F" w:rsidRDefault="00480D13" w:rsidP="00746FE7">
            <w:pPr>
              <w:pStyle w:val="Tablebody"/>
            </w:pPr>
            <w:r>
              <w:t>Dickson Woolley Street upgrade (1)</w:t>
            </w:r>
          </w:p>
        </w:tc>
        <w:tc>
          <w:tcPr>
            <w:tcW w:w="1371" w:type="dxa"/>
          </w:tcPr>
          <w:p w14:paraId="4608FCAA" w14:textId="19FDD17C" w:rsidR="007B781F" w:rsidRDefault="001D4382" w:rsidP="00746FE7">
            <w:pPr>
              <w:pStyle w:val="Tablebody"/>
            </w:pPr>
            <w:r>
              <w:t>11/11/2022</w:t>
            </w:r>
          </w:p>
        </w:tc>
      </w:tr>
      <w:tr w:rsidR="007B781F" w14:paraId="670CD5FD" w14:textId="77777777" w:rsidTr="00746FE7">
        <w:trPr>
          <w:cnfStyle w:val="000000010000" w:firstRow="0" w:lastRow="0" w:firstColumn="0" w:lastColumn="0" w:oddVBand="0" w:evenVBand="0" w:oddHBand="0" w:evenHBand="1" w:firstRowFirstColumn="0" w:firstRowLastColumn="0" w:lastRowFirstColumn="0" w:lastRowLastColumn="0"/>
        </w:trPr>
        <w:tc>
          <w:tcPr>
            <w:tcW w:w="567" w:type="dxa"/>
          </w:tcPr>
          <w:p w14:paraId="70C79650" w14:textId="10F13EC1" w:rsidR="007B781F" w:rsidRDefault="007B781F" w:rsidP="00746FE7">
            <w:pPr>
              <w:pStyle w:val="Tablebody"/>
            </w:pPr>
            <w:r>
              <w:t>14</w:t>
            </w:r>
          </w:p>
        </w:tc>
        <w:tc>
          <w:tcPr>
            <w:tcW w:w="1276" w:type="dxa"/>
          </w:tcPr>
          <w:p w14:paraId="33DE7B31" w14:textId="708B1E9B" w:rsidR="007B781F" w:rsidRDefault="001D4382" w:rsidP="00746FE7">
            <w:pPr>
              <w:pStyle w:val="Tablebody"/>
            </w:pPr>
            <w:r>
              <w:t>07/11/2022</w:t>
            </w:r>
          </w:p>
        </w:tc>
        <w:tc>
          <w:tcPr>
            <w:tcW w:w="1701" w:type="dxa"/>
          </w:tcPr>
          <w:p w14:paraId="7928D1A7" w14:textId="716E6992" w:rsidR="007B781F" w:rsidRDefault="001D4382" w:rsidP="00746FE7">
            <w:pPr>
              <w:pStyle w:val="Tablebody"/>
            </w:pPr>
            <w:r>
              <w:t>Minister Barr</w:t>
            </w:r>
          </w:p>
        </w:tc>
        <w:tc>
          <w:tcPr>
            <w:tcW w:w="4111" w:type="dxa"/>
          </w:tcPr>
          <w:p w14:paraId="2DFFDF1E" w14:textId="1DC87763" w:rsidR="007B781F" w:rsidRDefault="00480D13" w:rsidP="00746FE7">
            <w:pPr>
              <w:pStyle w:val="Tablebody"/>
            </w:pPr>
            <w:r>
              <w:t>Dickson Woolley Street upgrade (2)</w:t>
            </w:r>
          </w:p>
        </w:tc>
        <w:tc>
          <w:tcPr>
            <w:tcW w:w="1371" w:type="dxa"/>
          </w:tcPr>
          <w:p w14:paraId="4C1F47A8" w14:textId="037A0AF4" w:rsidR="007B781F" w:rsidRDefault="001D4382" w:rsidP="00746FE7">
            <w:pPr>
              <w:pStyle w:val="Tablebody"/>
            </w:pPr>
            <w:r>
              <w:t>11/11/2022</w:t>
            </w:r>
          </w:p>
        </w:tc>
      </w:tr>
      <w:tr w:rsidR="007B781F" w14:paraId="3DACFE7A" w14:textId="77777777" w:rsidTr="00746FE7">
        <w:trPr>
          <w:cnfStyle w:val="000000100000" w:firstRow="0" w:lastRow="0" w:firstColumn="0" w:lastColumn="0" w:oddVBand="0" w:evenVBand="0" w:oddHBand="1" w:evenHBand="0" w:firstRowFirstColumn="0" w:firstRowLastColumn="0" w:lastRowFirstColumn="0" w:lastRowLastColumn="0"/>
        </w:trPr>
        <w:tc>
          <w:tcPr>
            <w:tcW w:w="567" w:type="dxa"/>
          </w:tcPr>
          <w:p w14:paraId="1BC22C5F" w14:textId="12260766" w:rsidR="007B781F" w:rsidRDefault="007B781F" w:rsidP="00746FE7">
            <w:pPr>
              <w:pStyle w:val="Tablebody"/>
            </w:pPr>
            <w:r>
              <w:t>15</w:t>
            </w:r>
          </w:p>
        </w:tc>
        <w:tc>
          <w:tcPr>
            <w:tcW w:w="1276" w:type="dxa"/>
          </w:tcPr>
          <w:p w14:paraId="032CE9BE" w14:textId="324509A8" w:rsidR="007B781F" w:rsidRDefault="001D4382" w:rsidP="00746FE7">
            <w:pPr>
              <w:pStyle w:val="Tablebody"/>
            </w:pPr>
            <w:r>
              <w:t>08/11/2022</w:t>
            </w:r>
          </w:p>
        </w:tc>
        <w:tc>
          <w:tcPr>
            <w:tcW w:w="1701" w:type="dxa"/>
          </w:tcPr>
          <w:p w14:paraId="6D0FDE76" w14:textId="5E6D1B2A" w:rsidR="007B781F" w:rsidRDefault="001D4382" w:rsidP="00746FE7">
            <w:pPr>
              <w:pStyle w:val="Tablebody"/>
            </w:pPr>
            <w:r>
              <w:t>Minister Steel</w:t>
            </w:r>
          </w:p>
        </w:tc>
        <w:tc>
          <w:tcPr>
            <w:tcW w:w="4111" w:type="dxa"/>
          </w:tcPr>
          <w:p w14:paraId="14D636CE" w14:textId="7CE2E36C" w:rsidR="007B781F" w:rsidRDefault="00480D13" w:rsidP="00746FE7">
            <w:pPr>
              <w:pStyle w:val="Tablebody"/>
            </w:pPr>
            <w:r>
              <w:t>Percentage usage of public transport</w:t>
            </w:r>
          </w:p>
        </w:tc>
        <w:tc>
          <w:tcPr>
            <w:tcW w:w="1371" w:type="dxa"/>
          </w:tcPr>
          <w:p w14:paraId="79013075" w14:textId="0E891374" w:rsidR="007B781F" w:rsidRDefault="001D4382" w:rsidP="00746FE7">
            <w:pPr>
              <w:pStyle w:val="Tablebody"/>
            </w:pPr>
            <w:r>
              <w:t>18/11/2022</w:t>
            </w:r>
          </w:p>
        </w:tc>
      </w:tr>
      <w:tr w:rsidR="007B781F" w14:paraId="48959DE6" w14:textId="77777777" w:rsidTr="00746FE7">
        <w:trPr>
          <w:cnfStyle w:val="000000010000" w:firstRow="0" w:lastRow="0" w:firstColumn="0" w:lastColumn="0" w:oddVBand="0" w:evenVBand="0" w:oddHBand="0" w:evenHBand="1" w:firstRowFirstColumn="0" w:firstRowLastColumn="0" w:lastRowFirstColumn="0" w:lastRowLastColumn="0"/>
        </w:trPr>
        <w:tc>
          <w:tcPr>
            <w:tcW w:w="567" w:type="dxa"/>
          </w:tcPr>
          <w:p w14:paraId="3833B8EB" w14:textId="448FA8C9" w:rsidR="007B781F" w:rsidRDefault="007B781F" w:rsidP="00746FE7">
            <w:pPr>
              <w:pStyle w:val="Tablebody"/>
            </w:pPr>
            <w:r>
              <w:t>16</w:t>
            </w:r>
          </w:p>
        </w:tc>
        <w:tc>
          <w:tcPr>
            <w:tcW w:w="1276" w:type="dxa"/>
          </w:tcPr>
          <w:p w14:paraId="3349DCD9" w14:textId="3E316413" w:rsidR="007B781F" w:rsidRDefault="001D4382" w:rsidP="00746FE7">
            <w:pPr>
              <w:pStyle w:val="Tablebody"/>
            </w:pPr>
            <w:r>
              <w:t>08/11/2022</w:t>
            </w:r>
          </w:p>
        </w:tc>
        <w:tc>
          <w:tcPr>
            <w:tcW w:w="1701" w:type="dxa"/>
          </w:tcPr>
          <w:p w14:paraId="33AA43A1" w14:textId="69F5088A" w:rsidR="007B781F" w:rsidRDefault="001D4382" w:rsidP="00746FE7">
            <w:pPr>
              <w:pStyle w:val="Tablebody"/>
            </w:pPr>
            <w:r>
              <w:t>Minister Steel</w:t>
            </w:r>
          </w:p>
        </w:tc>
        <w:tc>
          <w:tcPr>
            <w:tcW w:w="4111" w:type="dxa"/>
          </w:tcPr>
          <w:p w14:paraId="25F14651" w14:textId="59BADAC5" w:rsidR="007B781F" w:rsidRDefault="00AE30D4" w:rsidP="00746FE7">
            <w:pPr>
              <w:pStyle w:val="Tablebody"/>
            </w:pPr>
            <w:r>
              <w:t>Battery recycling for vehicles</w:t>
            </w:r>
          </w:p>
        </w:tc>
        <w:tc>
          <w:tcPr>
            <w:tcW w:w="1371" w:type="dxa"/>
          </w:tcPr>
          <w:p w14:paraId="34234833" w14:textId="44929C5A" w:rsidR="007B781F" w:rsidRDefault="001D4382" w:rsidP="00746FE7">
            <w:pPr>
              <w:pStyle w:val="Tablebody"/>
            </w:pPr>
            <w:r>
              <w:t>18/11/2022</w:t>
            </w:r>
          </w:p>
        </w:tc>
      </w:tr>
      <w:tr w:rsidR="007B781F" w14:paraId="08E5348A" w14:textId="77777777" w:rsidTr="00746FE7">
        <w:trPr>
          <w:cnfStyle w:val="000000100000" w:firstRow="0" w:lastRow="0" w:firstColumn="0" w:lastColumn="0" w:oddVBand="0" w:evenVBand="0" w:oddHBand="1" w:evenHBand="0" w:firstRowFirstColumn="0" w:firstRowLastColumn="0" w:lastRowFirstColumn="0" w:lastRowLastColumn="0"/>
        </w:trPr>
        <w:tc>
          <w:tcPr>
            <w:tcW w:w="567" w:type="dxa"/>
          </w:tcPr>
          <w:p w14:paraId="65029F44" w14:textId="05E18998" w:rsidR="007B781F" w:rsidRDefault="007B781F" w:rsidP="00746FE7">
            <w:pPr>
              <w:pStyle w:val="Tablebody"/>
            </w:pPr>
            <w:r>
              <w:t>17</w:t>
            </w:r>
          </w:p>
        </w:tc>
        <w:tc>
          <w:tcPr>
            <w:tcW w:w="1276" w:type="dxa"/>
          </w:tcPr>
          <w:p w14:paraId="30A4EE83" w14:textId="523BC754" w:rsidR="007B781F" w:rsidRDefault="001D4382" w:rsidP="00746FE7">
            <w:pPr>
              <w:pStyle w:val="Tablebody"/>
            </w:pPr>
            <w:r>
              <w:t>08/11/2022</w:t>
            </w:r>
          </w:p>
        </w:tc>
        <w:tc>
          <w:tcPr>
            <w:tcW w:w="1701" w:type="dxa"/>
          </w:tcPr>
          <w:p w14:paraId="425EE644" w14:textId="2854F57E" w:rsidR="007B781F" w:rsidRDefault="001D4382" w:rsidP="00746FE7">
            <w:pPr>
              <w:pStyle w:val="Tablebody"/>
            </w:pPr>
            <w:r>
              <w:t>Minister Steel</w:t>
            </w:r>
          </w:p>
        </w:tc>
        <w:tc>
          <w:tcPr>
            <w:tcW w:w="4111" w:type="dxa"/>
          </w:tcPr>
          <w:p w14:paraId="4DB48DE7" w14:textId="59E2EDD3" w:rsidR="007B781F" w:rsidRDefault="00204F72" w:rsidP="00746FE7">
            <w:pPr>
              <w:pStyle w:val="Tablebody"/>
            </w:pPr>
            <w:r>
              <w:t>Well Station Drive Park ‘n’ Ride</w:t>
            </w:r>
          </w:p>
        </w:tc>
        <w:tc>
          <w:tcPr>
            <w:tcW w:w="1371" w:type="dxa"/>
          </w:tcPr>
          <w:p w14:paraId="22B4B089" w14:textId="0E98EE7A" w:rsidR="007B781F" w:rsidRDefault="001D4382" w:rsidP="00746FE7">
            <w:pPr>
              <w:pStyle w:val="Tablebody"/>
            </w:pPr>
            <w:r>
              <w:t>23/11/2022</w:t>
            </w:r>
          </w:p>
        </w:tc>
      </w:tr>
      <w:tr w:rsidR="007B781F" w14:paraId="2DC66106" w14:textId="77777777" w:rsidTr="00746FE7">
        <w:trPr>
          <w:cnfStyle w:val="000000010000" w:firstRow="0" w:lastRow="0" w:firstColumn="0" w:lastColumn="0" w:oddVBand="0" w:evenVBand="0" w:oddHBand="0" w:evenHBand="1" w:firstRowFirstColumn="0" w:firstRowLastColumn="0" w:lastRowFirstColumn="0" w:lastRowLastColumn="0"/>
        </w:trPr>
        <w:tc>
          <w:tcPr>
            <w:tcW w:w="567" w:type="dxa"/>
          </w:tcPr>
          <w:p w14:paraId="3DF5F170" w14:textId="1266B364" w:rsidR="007B781F" w:rsidRDefault="007B781F" w:rsidP="00746FE7">
            <w:pPr>
              <w:pStyle w:val="Tablebody"/>
            </w:pPr>
            <w:r>
              <w:t>18</w:t>
            </w:r>
          </w:p>
        </w:tc>
        <w:tc>
          <w:tcPr>
            <w:tcW w:w="1276" w:type="dxa"/>
          </w:tcPr>
          <w:p w14:paraId="1F3C33CD" w14:textId="76865B1B" w:rsidR="007B781F" w:rsidRDefault="001D4382" w:rsidP="00746FE7">
            <w:pPr>
              <w:pStyle w:val="Tablebody"/>
            </w:pPr>
            <w:r>
              <w:t>08/11/2022</w:t>
            </w:r>
          </w:p>
        </w:tc>
        <w:tc>
          <w:tcPr>
            <w:tcW w:w="1701" w:type="dxa"/>
          </w:tcPr>
          <w:p w14:paraId="639BF857" w14:textId="7DCB70B4" w:rsidR="007B781F" w:rsidRDefault="001D4382" w:rsidP="00746FE7">
            <w:pPr>
              <w:pStyle w:val="Tablebody"/>
            </w:pPr>
            <w:r>
              <w:t>Minister Steel</w:t>
            </w:r>
          </w:p>
        </w:tc>
        <w:tc>
          <w:tcPr>
            <w:tcW w:w="4111" w:type="dxa"/>
          </w:tcPr>
          <w:p w14:paraId="71931CA3" w14:textId="70468F66" w:rsidR="007B781F" w:rsidRDefault="002331BA" w:rsidP="00746FE7">
            <w:pPr>
              <w:pStyle w:val="Tablebody"/>
            </w:pPr>
            <w:r>
              <w:t>Tree planting statistics</w:t>
            </w:r>
          </w:p>
        </w:tc>
        <w:tc>
          <w:tcPr>
            <w:tcW w:w="1371" w:type="dxa"/>
          </w:tcPr>
          <w:p w14:paraId="33BE7CCC" w14:textId="2F062EA4" w:rsidR="007B781F" w:rsidRDefault="001D4382" w:rsidP="00746FE7">
            <w:pPr>
              <w:pStyle w:val="Tablebody"/>
            </w:pPr>
            <w:r>
              <w:t>18/11/2022</w:t>
            </w:r>
          </w:p>
        </w:tc>
      </w:tr>
      <w:tr w:rsidR="00480D13" w14:paraId="2C8424D0" w14:textId="77777777" w:rsidTr="00746FE7">
        <w:trPr>
          <w:cnfStyle w:val="000000100000" w:firstRow="0" w:lastRow="0" w:firstColumn="0" w:lastColumn="0" w:oddVBand="0" w:evenVBand="0" w:oddHBand="1" w:evenHBand="0" w:firstRowFirstColumn="0" w:firstRowLastColumn="0" w:lastRowFirstColumn="0" w:lastRowLastColumn="0"/>
        </w:trPr>
        <w:tc>
          <w:tcPr>
            <w:tcW w:w="567" w:type="dxa"/>
          </w:tcPr>
          <w:p w14:paraId="5C7B6848" w14:textId="3235748A" w:rsidR="00480D13" w:rsidRDefault="00480D13" w:rsidP="00746FE7">
            <w:pPr>
              <w:pStyle w:val="Tablebody"/>
            </w:pPr>
            <w:r>
              <w:t>19</w:t>
            </w:r>
          </w:p>
        </w:tc>
        <w:tc>
          <w:tcPr>
            <w:tcW w:w="1276" w:type="dxa"/>
          </w:tcPr>
          <w:p w14:paraId="055C8C12" w14:textId="2ED3A82C" w:rsidR="00480D13" w:rsidRDefault="001D4382" w:rsidP="00746FE7">
            <w:pPr>
              <w:pStyle w:val="Tablebody"/>
            </w:pPr>
            <w:r>
              <w:t>08/11/2022</w:t>
            </w:r>
          </w:p>
        </w:tc>
        <w:tc>
          <w:tcPr>
            <w:tcW w:w="1701" w:type="dxa"/>
          </w:tcPr>
          <w:p w14:paraId="4A762FF5" w14:textId="556165CD" w:rsidR="00480D13" w:rsidRDefault="001D4382" w:rsidP="00746FE7">
            <w:pPr>
              <w:pStyle w:val="Tablebody"/>
            </w:pPr>
            <w:r>
              <w:t>Minister Steel</w:t>
            </w:r>
          </w:p>
        </w:tc>
        <w:tc>
          <w:tcPr>
            <w:tcW w:w="4111" w:type="dxa"/>
          </w:tcPr>
          <w:p w14:paraId="331AA44B" w14:textId="26035035" w:rsidR="00480D13" w:rsidRDefault="002331BA" w:rsidP="00746FE7">
            <w:pPr>
              <w:pStyle w:val="Tablebody"/>
            </w:pPr>
            <w:r>
              <w:t>Municipal infrastructure floating wetlands</w:t>
            </w:r>
          </w:p>
        </w:tc>
        <w:tc>
          <w:tcPr>
            <w:tcW w:w="1371" w:type="dxa"/>
          </w:tcPr>
          <w:p w14:paraId="201DA65E" w14:textId="0233CDCE" w:rsidR="00480D13" w:rsidRDefault="001D4382" w:rsidP="00746FE7">
            <w:pPr>
              <w:pStyle w:val="Tablebody"/>
            </w:pPr>
            <w:r>
              <w:t>22/11/2022</w:t>
            </w:r>
          </w:p>
        </w:tc>
      </w:tr>
      <w:tr w:rsidR="00480D13" w14:paraId="676009B7" w14:textId="77777777" w:rsidTr="00746FE7">
        <w:trPr>
          <w:cnfStyle w:val="000000010000" w:firstRow="0" w:lastRow="0" w:firstColumn="0" w:lastColumn="0" w:oddVBand="0" w:evenVBand="0" w:oddHBand="0" w:evenHBand="1" w:firstRowFirstColumn="0" w:firstRowLastColumn="0" w:lastRowFirstColumn="0" w:lastRowLastColumn="0"/>
        </w:trPr>
        <w:tc>
          <w:tcPr>
            <w:tcW w:w="567" w:type="dxa"/>
          </w:tcPr>
          <w:p w14:paraId="6B439194" w14:textId="529D8BFA" w:rsidR="00480D13" w:rsidRDefault="00480D13" w:rsidP="00746FE7">
            <w:pPr>
              <w:pStyle w:val="Tablebody"/>
            </w:pPr>
            <w:r>
              <w:t>20</w:t>
            </w:r>
          </w:p>
        </w:tc>
        <w:tc>
          <w:tcPr>
            <w:tcW w:w="1276" w:type="dxa"/>
          </w:tcPr>
          <w:p w14:paraId="1A34CB03" w14:textId="7BC1F8EF" w:rsidR="00480D13" w:rsidRDefault="001D4382" w:rsidP="00746FE7">
            <w:pPr>
              <w:pStyle w:val="Tablebody"/>
            </w:pPr>
            <w:r>
              <w:t>08/11/2022</w:t>
            </w:r>
          </w:p>
        </w:tc>
        <w:tc>
          <w:tcPr>
            <w:tcW w:w="1701" w:type="dxa"/>
          </w:tcPr>
          <w:p w14:paraId="765CE975" w14:textId="201A788D" w:rsidR="00480D13" w:rsidRDefault="001D4382" w:rsidP="00746FE7">
            <w:pPr>
              <w:pStyle w:val="Tablebody"/>
            </w:pPr>
            <w:r>
              <w:t>Minister Steel</w:t>
            </w:r>
          </w:p>
        </w:tc>
        <w:tc>
          <w:tcPr>
            <w:tcW w:w="4111" w:type="dxa"/>
          </w:tcPr>
          <w:p w14:paraId="6575369F" w14:textId="6F7EC2A6" w:rsidR="00480D13" w:rsidRDefault="002331BA" w:rsidP="00746FE7">
            <w:pPr>
              <w:pStyle w:val="Tablebody"/>
            </w:pPr>
            <w:r>
              <w:t>Floating wetlands</w:t>
            </w:r>
          </w:p>
        </w:tc>
        <w:tc>
          <w:tcPr>
            <w:tcW w:w="1371" w:type="dxa"/>
          </w:tcPr>
          <w:p w14:paraId="5CBD5B2F" w14:textId="25F59703" w:rsidR="00480D13" w:rsidRDefault="001D4382" w:rsidP="00746FE7">
            <w:pPr>
              <w:pStyle w:val="Tablebody"/>
            </w:pPr>
            <w:r>
              <w:t>22/11/2022</w:t>
            </w:r>
          </w:p>
        </w:tc>
      </w:tr>
      <w:tr w:rsidR="00480D13" w14:paraId="6D5B9454" w14:textId="77777777" w:rsidTr="00746FE7">
        <w:trPr>
          <w:cnfStyle w:val="000000100000" w:firstRow="0" w:lastRow="0" w:firstColumn="0" w:lastColumn="0" w:oddVBand="0" w:evenVBand="0" w:oddHBand="1" w:evenHBand="0" w:firstRowFirstColumn="0" w:firstRowLastColumn="0" w:lastRowFirstColumn="0" w:lastRowLastColumn="0"/>
        </w:trPr>
        <w:tc>
          <w:tcPr>
            <w:tcW w:w="567" w:type="dxa"/>
          </w:tcPr>
          <w:p w14:paraId="1BEA44B3" w14:textId="098F1993" w:rsidR="00480D13" w:rsidRDefault="00480D13" w:rsidP="00746FE7">
            <w:pPr>
              <w:pStyle w:val="Tablebody"/>
            </w:pPr>
            <w:r>
              <w:t>21</w:t>
            </w:r>
          </w:p>
        </w:tc>
        <w:tc>
          <w:tcPr>
            <w:tcW w:w="1276" w:type="dxa"/>
          </w:tcPr>
          <w:p w14:paraId="055A448C" w14:textId="1C2AA7F6" w:rsidR="00480D13" w:rsidRDefault="001D4382" w:rsidP="00746FE7">
            <w:pPr>
              <w:pStyle w:val="Tablebody"/>
            </w:pPr>
            <w:r>
              <w:t>08/11/2022</w:t>
            </w:r>
          </w:p>
        </w:tc>
        <w:tc>
          <w:tcPr>
            <w:tcW w:w="1701" w:type="dxa"/>
          </w:tcPr>
          <w:p w14:paraId="73046734" w14:textId="16C92F30" w:rsidR="00480D13" w:rsidRDefault="001D4382" w:rsidP="00746FE7">
            <w:pPr>
              <w:pStyle w:val="Tablebody"/>
            </w:pPr>
            <w:r>
              <w:t>Minister Steel</w:t>
            </w:r>
          </w:p>
        </w:tc>
        <w:tc>
          <w:tcPr>
            <w:tcW w:w="4111" w:type="dxa"/>
          </w:tcPr>
          <w:p w14:paraId="0AF82683" w14:textId="557FA98E" w:rsidR="00480D13" w:rsidRDefault="002331BA" w:rsidP="00746FE7">
            <w:pPr>
              <w:pStyle w:val="Tablebody"/>
            </w:pPr>
            <w:r>
              <w:t>Maintenance of floating wetlands</w:t>
            </w:r>
          </w:p>
        </w:tc>
        <w:tc>
          <w:tcPr>
            <w:tcW w:w="1371" w:type="dxa"/>
          </w:tcPr>
          <w:p w14:paraId="6CEA235D" w14:textId="3851183E" w:rsidR="00480D13" w:rsidRDefault="001D4382" w:rsidP="00746FE7">
            <w:pPr>
              <w:pStyle w:val="Tablebody"/>
            </w:pPr>
            <w:r>
              <w:t>22/11/2022</w:t>
            </w:r>
          </w:p>
        </w:tc>
      </w:tr>
      <w:tr w:rsidR="00480D13" w14:paraId="6ECF17AE" w14:textId="77777777" w:rsidTr="00746FE7">
        <w:trPr>
          <w:cnfStyle w:val="000000010000" w:firstRow="0" w:lastRow="0" w:firstColumn="0" w:lastColumn="0" w:oddVBand="0" w:evenVBand="0" w:oddHBand="0" w:evenHBand="1" w:firstRowFirstColumn="0" w:firstRowLastColumn="0" w:lastRowFirstColumn="0" w:lastRowLastColumn="0"/>
        </w:trPr>
        <w:tc>
          <w:tcPr>
            <w:tcW w:w="567" w:type="dxa"/>
          </w:tcPr>
          <w:p w14:paraId="12EDA0E9" w14:textId="7504C962" w:rsidR="00480D13" w:rsidRDefault="00480D13" w:rsidP="00746FE7">
            <w:pPr>
              <w:pStyle w:val="Tablebody"/>
            </w:pPr>
            <w:r>
              <w:t>22</w:t>
            </w:r>
          </w:p>
        </w:tc>
        <w:tc>
          <w:tcPr>
            <w:tcW w:w="1276" w:type="dxa"/>
          </w:tcPr>
          <w:p w14:paraId="4142C3BD" w14:textId="6FACF20D" w:rsidR="00480D13" w:rsidRDefault="001D4382" w:rsidP="00746FE7">
            <w:pPr>
              <w:pStyle w:val="Tablebody"/>
            </w:pPr>
            <w:r>
              <w:t>08/11/2022</w:t>
            </w:r>
          </w:p>
        </w:tc>
        <w:tc>
          <w:tcPr>
            <w:tcW w:w="1701" w:type="dxa"/>
          </w:tcPr>
          <w:p w14:paraId="395C133C" w14:textId="3B6A7A7C" w:rsidR="00480D13" w:rsidRDefault="001D4382" w:rsidP="00746FE7">
            <w:pPr>
              <w:pStyle w:val="Tablebody"/>
            </w:pPr>
            <w:r>
              <w:t>Minister Steel</w:t>
            </w:r>
          </w:p>
        </w:tc>
        <w:tc>
          <w:tcPr>
            <w:tcW w:w="4111" w:type="dxa"/>
          </w:tcPr>
          <w:p w14:paraId="1C5ABC04" w14:textId="4D1B2E21" w:rsidR="00480D13" w:rsidRDefault="002331BA" w:rsidP="00746FE7">
            <w:pPr>
              <w:pStyle w:val="Tablebody"/>
            </w:pPr>
            <w:r>
              <w:t>Full-time equivalent ACT Rangers</w:t>
            </w:r>
          </w:p>
        </w:tc>
        <w:tc>
          <w:tcPr>
            <w:tcW w:w="1371" w:type="dxa"/>
          </w:tcPr>
          <w:p w14:paraId="5FEBA969" w14:textId="073FD505" w:rsidR="00480D13" w:rsidRDefault="001D4382" w:rsidP="00746FE7">
            <w:pPr>
              <w:pStyle w:val="Tablebody"/>
            </w:pPr>
            <w:r>
              <w:t>17/11/2022</w:t>
            </w:r>
          </w:p>
        </w:tc>
      </w:tr>
      <w:tr w:rsidR="00480D13" w14:paraId="56451AE7" w14:textId="77777777" w:rsidTr="00746FE7">
        <w:trPr>
          <w:cnfStyle w:val="000000100000" w:firstRow="0" w:lastRow="0" w:firstColumn="0" w:lastColumn="0" w:oddVBand="0" w:evenVBand="0" w:oddHBand="1" w:evenHBand="0" w:firstRowFirstColumn="0" w:firstRowLastColumn="0" w:lastRowFirstColumn="0" w:lastRowLastColumn="0"/>
        </w:trPr>
        <w:tc>
          <w:tcPr>
            <w:tcW w:w="567" w:type="dxa"/>
          </w:tcPr>
          <w:p w14:paraId="53546633" w14:textId="7E2DCBFB" w:rsidR="00480D13" w:rsidRDefault="00480D13" w:rsidP="00746FE7">
            <w:pPr>
              <w:pStyle w:val="Tablebody"/>
            </w:pPr>
            <w:r>
              <w:t>23</w:t>
            </w:r>
          </w:p>
        </w:tc>
        <w:tc>
          <w:tcPr>
            <w:tcW w:w="1276" w:type="dxa"/>
          </w:tcPr>
          <w:p w14:paraId="67E18B3E" w14:textId="660E09E0" w:rsidR="00480D13" w:rsidRDefault="00EF517E" w:rsidP="00746FE7">
            <w:pPr>
              <w:pStyle w:val="Tablebody"/>
            </w:pPr>
            <w:r>
              <w:t>08/11/2022</w:t>
            </w:r>
          </w:p>
        </w:tc>
        <w:tc>
          <w:tcPr>
            <w:tcW w:w="1701" w:type="dxa"/>
          </w:tcPr>
          <w:p w14:paraId="52A7A5C2" w14:textId="5F0AD8AB" w:rsidR="00480D13" w:rsidRDefault="00EF517E" w:rsidP="00746FE7">
            <w:pPr>
              <w:pStyle w:val="Tablebody"/>
            </w:pPr>
            <w:r>
              <w:t>Minister Steel</w:t>
            </w:r>
          </w:p>
        </w:tc>
        <w:tc>
          <w:tcPr>
            <w:tcW w:w="4111" w:type="dxa"/>
          </w:tcPr>
          <w:p w14:paraId="048EF453" w14:textId="1E2F2C7B" w:rsidR="00480D13" w:rsidRDefault="002331BA" w:rsidP="00746FE7">
            <w:pPr>
              <w:pStyle w:val="Tablebody"/>
            </w:pPr>
            <w:r>
              <w:t>ACT Rangers</w:t>
            </w:r>
            <w:r w:rsidR="00EF517E">
              <w:t xml:space="preserve"> (</w:t>
            </w:r>
            <w:r w:rsidR="00EF517E" w:rsidRPr="009E6989">
              <w:rPr>
                <w:i/>
                <w:iCs/>
              </w:rPr>
              <w:t>QTON answered in the Chamber</w:t>
            </w:r>
            <w:r w:rsidR="00EF517E">
              <w:t>)</w:t>
            </w:r>
          </w:p>
        </w:tc>
        <w:tc>
          <w:tcPr>
            <w:tcW w:w="1371" w:type="dxa"/>
          </w:tcPr>
          <w:p w14:paraId="7B3FB664" w14:textId="7DE37324" w:rsidR="00480D13" w:rsidRDefault="00EF517E" w:rsidP="00746FE7">
            <w:pPr>
              <w:pStyle w:val="Tablebody"/>
            </w:pPr>
            <w:r>
              <w:t>08/11/2022</w:t>
            </w:r>
          </w:p>
        </w:tc>
      </w:tr>
      <w:tr w:rsidR="00480D13" w14:paraId="4C6615A6" w14:textId="77777777" w:rsidTr="00746FE7">
        <w:trPr>
          <w:cnfStyle w:val="000000010000" w:firstRow="0" w:lastRow="0" w:firstColumn="0" w:lastColumn="0" w:oddVBand="0" w:evenVBand="0" w:oddHBand="0" w:evenHBand="1" w:firstRowFirstColumn="0" w:firstRowLastColumn="0" w:lastRowFirstColumn="0" w:lastRowLastColumn="0"/>
        </w:trPr>
        <w:tc>
          <w:tcPr>
            <w:tcW w:w="567" w:type="dxa"/>
          </w:tcPr>
          <w:p w14:paraId="7E275576" w14:textId="7706C037" w:rsidR="00480D13" w:rsidRDefault="00480D13" w:rsidP="00746FE7">
            <w:pPr>
              <w:pStyle w:val="Tablebody"/>
            </w:pPr>
            <w:r>
              <w:t>24</w:t>
            </w:r>
          </w:p>
        </w:tc>
        <w:tc>
          <w:tcPr>
            <w:tcW w:w="1276" w:type="dxa"/>
          </w:tcPr>
          <w:p w14:paraId="4606892D" w14:textId="42161565" w:rsidR="00480D13" w:rsidRDefault="00EF517E" w:rsidP="00746FE7">
            <w:pPr>
              <w:pStyle w:val="Tablebody"/>
            </w:pPr>
            <w:r>
              <w:t>08/11/2022</w:t>
            </w:r>
          </w:p>
        </w:tc>
        <w:tc>
          <w:tcPr>
            <w:tcW w:w="1701" w:type="dxa"/>
          </w:tcPr>
          <w:p w14:paraId="03C96030" w14:textId="0AEB413F" w:rsidR="00480D13" w:rsidRDefault="00EF517E" w:rsidP="00746FE7">
            <w:pPr>
              <w:pStyle w:val="Tablebody"/>
            </w:pPr>
            <w:r>
              <w:t>Minister Steel</w:t>
            </w:r>
          </w:p>
        </w:tc>
        <w:tc>
          <w:tcPr>
            <w:tcW w:w="4111" w:type="dxa"/>
          </w:tcPr>
          <w:p w14:paraId="5F7BC6EF" w14:textId="7930F8EB" w:rsidR="00480D13" w:rsidRDefault="002331BA" w:rsidP="00746FE7">
            <w:pPr>
              <w:pStyle w:val="Tablebody"/>
            </w:pPr>
            <w:r>
              <w:t>ACT Ranger callouts on weekends</w:t>
            </w:r>
          </w:p>
        </w:tc>
        <w:tc>
          <w:tcPr>
            <w:tcW w:w="1371" w:type="dxa"/>
          </w:tcPr>
          <w:p w14:paraId="2A8BB331" w14:textId="0071BB04" w:rsidR="00480D13" w:rsidRDefault="00EF517E" w:rsidP="00746FE7">
            <w:pPr>
              <w:pStyle w:val="Tablebody"/>
            </w:pPr>
            <w:r>
              <w:t>16/11/2022</w:t>
            </w:r>
          </w:p>
        </w:tc>
      </w:tr>
      <w:tr w:rsidR="00480D13" w14:paraId="61EB2E6C" w14:textId="77777777" w:rsidTr="00746FE7">
        <w:trPr>
          <w:cnfStyle w:val="000000100000" w:firstRow="0" w:lastRow="0" w:firstColumn="0" w:lastColumn="0" w:oddVBand="0" w:evenVBand="0" w:oddHBand="1" w:evenHBand="0" w:firstRowFirstColumn="0" w:firstRowLastColumn="0" w:lastRowFirstColumn="0" w:lastRowLastColumn="0"/>
        </w:trPr>
        <w:tc>
          <w:tcPr>
            <w:tcW w:w="567" w:type="dxa"/>
          </w:tcPr>
          <w:p w14:paraId="37A0BE95" w14:textId="70C9DEC8" w:rsidR="00480D13" w:rsidRDefault="00480D13" w:rsidP="00746FE7">
            <w:pPr>
              <w:pStyle w:val="Tablebody"/>
            </w:pPr>
            <w:r>
              <w:t>25</w:t>
            </w:r>
          </w:p>
        </w:tc>
        <w:tc>
          <w:tcPr>
            <w:tcW w:w="1276" w:type="dxa"/>
          </w:tcPr>
          <w:p w14:paraId="2CBC2C1A" w14:textId="3CE697D6" w:rsidR="00480D13" w:rsidRDefault="00EF517E" w:rsidP="00746FE7">
            <w:pPr>
              <w:pStyle w:val="Tablebody"/>
            </w:pPr>
            <w:r>
              <w:t>10/11/2022</w:t>
            </w:r>
          </w:p>
        </w:tc>
        <w:tc>
          <w:tcPr>
            <w:tcW w:w="1701" w:type="dxa"/>
          </w:tcPr>
          <w:p w14:paraId="49F4B058" w14:textId="6612AFC5" w:rsidR="00480D13" w:rsidRDefault="00EF517E" w:rsidP="00746FE7">
            <w:pPr>
              <w:pStyle w:val="Tablebody"/>
            </w:pPr>
            <w:r>
              <w:t>Minister Berry</w:t>
            </w:r>
          </w:p>
        </w:tc>
        <w:tc>
          <w:tcPr>
            <w:tcW w:w="4111" w:type="dxa"/>
          </w:tcPr>
          <w:p w14:paraId="4B1E0413" w14:textId="2DA51694" w:rsidR="00480D13" w:rsidRDefault="002331BA" w:rsidP="00746FE7">
            <w:pPr>
              <w:pStyle w:val="Tablebody"/>
            </w:pPr>
            <w:r>
              <w:t>Gungahlin Town Centre East Panel</w:t>
            </w:r>
          </w:p>
        </w:tc>
        <w:tc>
          <w:tcPr>
            <w:tcW w:w="1371" w:type="dxa"/>
          </w:tcPr>
          <w:p w14:paraId="598F1A27" w14:textId="6D246209" w:rsidR="00480D13" w:rsidRDefault="00EF517E" w:rsidP="00746FE7">
            <w:pPr>
              <w:pStyle w:val="Tablebody"/>
            </w:pPr>
            <w:r>
              <w:t>18/11/2022</w:t>
            </w:r>
          </w:p>
        </w:tc>
      </w:tr>
      <w:tr w:rsidR="00480D13" w14:paraId="73A2CF98" w14:textId="77777777" w:rsidTr="00746FE7">
        <w:trPr>
          <w:cnfStyle w:val="000000010000" w:firstRow="0" w:lastRow="0" w:firstColumn="0" w:lastColumn="0" w:oddVBand="0" w:evenVBand="0" w:oddHBand="0" w:evenHBand="1" w:firstRowFirstColumn="0" w:firstRowLastColumn="0" w:lastRowFirstColumn="0" w:lastRowLastColumn="0"/>
        </w:trPr>
        <w:tc>
          <w:tcPr>
            <w:tcW w:w="567" w:type="dxa"/>
          </w:tcPr>
          <w:p w14:paraId="757D8244" w14:textId="0C406445" w:rsidR="00480D13" w:rsidRDefault="00480D13" w:rsidP="00746FE7">
            <w:pPr>
              <w:pStyle w:val="Tablebody"/>
            </w:pPr>
            <w:r>
              <w:lastRenderedPageBreak/>
              <w:t>26</w:t>
            </w:r>
          </w:p>
        </w:tc>
        <w:tc>
          <w:tcPr>
            <w:tcW w:w="1276" w:type="dxa"/>
          </w:tcPr>
          <w:p w14:paraId="6AFB533A" w14:textId="454CE8F9" w:rsidR="00480D13" w:rsidRDefault="00A74996" w:rsidP="00746FE7">
            <w:pPr>
              <w:pStyle w:val="Tablebody"/>
            </w:pPr>
            <w:r>
              <w:t>10/11/2022</w:t>
            </w:r>
          </w:p>
        </w:tc>
        <w:tc>
          <w:tcPr>
            <w:tcW w:w="1701" w:type="dxa"/>
          </w:tcPr>
          <w:p w14:paraId="46B4C0E5" w14:textId="238DAF6E" w:rsidR="00480D13" w:rsidRDefault="00A74996" w:rsidP="00746FE7">
            <w:pPr>
              <w:pStyle w:val="Tablebody"/>
            </w:pPr>
            <w:r>
              <w:t>Minister Berry</w:t>
            </w:r>
          </w:p>
        </w:tc>
        <w:tc>
          <w:tcPr>
            <w:tcW w:w="4111" w:type="dxa"/>
          </w:tcPr>
          <w:p w14:paraId="1F58EF87" w14:textId="2DB465AD" w:rsidR="00480D13" w:rsidRDefault="002331BA" w:rsidP="00746FE7">
            <w:pPr>
              <w:pStyle w:val="Tablebody"/>
            </w:pPr>
            <w:r>
              <w:t>Linear Park Development</w:t>
            </w:r>
          </w:p>
        </w:tc>
        <w:tc>
          <w:tcPr>
            <w:tcW w:w="1371" w:type="dxa"/>
          </w:tcPr>
          <w:p w14:paraId="31E9DBD2" w14:textId="59B09CD5" w:rsidR="00480D13" w:rsidRDefault="00A74996" w:rsidP="00746FE7">
            <w:pPr>
              <w:pStyle w:val="Tablebody"/>
            </w:pPr>
            <w:r>
              <w:t>18/11/2022</w:t>
            </w:r>
          </w:p>
        </w:tc>
      </w:tr>
      <w:tr w:rsidR="00480D13" w14:paraId="717C8301" w14:textId="77777777" w:rsidTr="00746FE7">
        <w:trPr>
          <w:cnfStyle w:val="000000100000" w:firstRow="0" w:lastRow="0" w:firstColumn="0" w:lastColumn="0" w:oddVBand="0" w:evenVBand="0" w:oddHBand="1" w:evenHBand="0" w:firstRowFirstColumn="0" w:firstRowLastColumn="0" w:lastRowFirstColumn="0" w:lastRowLastColumn="0"/>
        </w:trPr>
        <w:tc>
          <w:tcPr>
            <w:tcW w:w="567" w:type="dxa"/>
          </w:tcPr>
          <w:p w14:paraId="5E15695E" w14:textId="6797AD9A" w:rsidR="00480D13" w:rsidRDefault="00480D13" w:rsidP="00746FE7">
            <w:pPr>
              <w:pStyle w:val="Tablebody"/>
            </w:pPr>
            <w:r>
              <w:t>27</w:t>
            </w:r>
          </w:p>
        </w:tc>
        <w:tc>
          <w:tcPr>
            <w:tcW w:w="1276" w:type="dxa"/>
          </w:tcPr>
          <w:p w14:paraId="7678294A" w14:textId="29838EB3" w:rsidR="00480D13" w:rsidRDefault="00A74996" w:rsidP="00746FE7">
            <w:pPr>
              <w:pStyle w:val="Tablebody"/>
            </w:pPr>
            <w:r>
              <w:t>10/11/2022</w:t>
            </w:r>
          </w:p>
        </w:tc>
        <w:tc>
          <w:tcPr>
            <w:tcW w:w="1701" w:type="dxa"/>
          </w:tcPr>
          <w:p w14:paraId="7AD4FC88" w14:textId="7AFB0F1E" w:rsidR="00480D13" w:rsidRDefault="00A74996" w:rsidP="00746FE7">
            <w:pPr>
              <w:pStyle w:val="Tablebody"/>
            </w:pPr>
            <w:r>
              <w:t>Minister Berry</w:t>
            </w:r>
          </w:p>
        </w:tc>
        <w:tc>
          <w:tcPr>
            <w:tcW w:w="4111" w:type="dxa"/>
          </w:tcPr>
          <w:p w14:paraId="57E8E8F6" w14:textId="7A3E1231" w:rsidR="00480D13" w:rsidRDefault="002331BA" w:rsidP="00746FE7">
            <w:pPr>
              <w:pStyle w:val="Tablebody"/>
            </w:pPr>
            <w:r>
              <w:t>Builders handing back affordable housing blocks</w:t>
            </w:r>
          </w:p>
        </w:tc>
        <w:tc>
          <w:tcPr>
            <w:tcW w:w="1371" w:type="dxa"/>
          </w:tcPr>
          <w:p w14:paraId="1D3E1370" w14:textId="6E254254" w:rsidR="00480D13" w:rsidRDefault="00A74996" w:rsidP="00746FE7">
            <w:pPr>
              <w:pStyle w:val="Tablebody"/>
            </w:pPr>
            <w:r>
              <w:t>18/11/2022</w:t>
            </w:r>
          </w:p>
        </w:tc>
      </w:tr>
      <w:tr w:rsidR="00480D13" w14:paraId="47841609" w14:textId="77777777" w:rsidTr="00746FE7">
        <w:trPr>
          <w:cnfStyle w:val="000000010000" w:firstRow="0" w:lastRow="0" w:firstColumn="0" w:lastColumn="0" w:oddVBand="0" w:evenVBand="0" w:oddHBand="0" w:evenHBand="1" w:firstRowFirstColumn="0" w:firstRowLastColumn="0" w:lastRowFirstColumn="0" w:lastRowLastColumn="0"/>
        </w:trPr>
        <w:tc>
          <w:tcPr>
            <w:tcW w:w="567" w:type="dxa"/>
          </w:tcPr>
          <w:p w14:paraId="5923BA9D" w14:textId="597CD6C2" w:rsidR="00480D13" w:rsidRDefault="00480D13" w:rsidP="00746FE7">
            <w:pPr>
              <w:pStyle w:val="Tablebody"/>
            </w:pPr>
            <w:r>
              <w:t>28</w:t>
            </w:r>
          </w:p>
        </w:tc>
        <w:tc>
          <w:tcPr>
            <w:tcW w:w="1276" w:type="dxa"/>
          </w:tcPr>
          <w:p w14:paraId="4ABB060E" w14:textId="52F12544" w:rsidR="00480D13" w:rsidRDefault="00A74996" w:rsidP="00746FE7">
            <w:pPr>
              <w:pStyle w:val="Tablebody"/>
            </w:pPr>
            <w:r>
              <w:t>10/11/2022</w:t>
            </w:r>
          </w:p>
        </w:tc>
        <w:tc>
          <w:tcPr>
            <w:tcW w:w="1701" w:type="dxa"/>
          </w:tcPr>
          <w:p w14:paraId="03E42BF2" w14:textId="38F04F70" w:rsidR="00480D13" w:rsidRDefault="00A74996" w:rsidP="00746FE7">
            <w:pPr>
              <w:pStyle w:val="Tablebody"/>
            </w:pPr>
            <w:r>
              <w:t>Minister Berry</w:t>
            </w:r>
          </w:p>
        </w:tc>
        <w:tc>
          <w:tcPr>
            <w:tcW w:w="4111" w:type="dxa"/>
          </w:tcPr>
          <w:p w14:paraId="637682C2" w14:textId="17DBAB6E" w:rsidR="00480D13" w:rsidRDefault="002331BA" w:rsidP="00746FE7">
            <w:pPr>
              <w:pStyle w:val="Tablebody"/>
            </w:pPr>
            <w:r>
              <w:t>2021-22 affordable, public and community housing numbers</w:t>
            </w:r>
          </w:p>
        </w:tc>
        <w:tc>
          <w:tcPr>
            <w:tcW w:w="1371" w:type="dxa"/>
          </w:tcPr>
          <w:p w14:paraId="54832DE2" w14:textId="7CA05346" w:rsidR="00480D13" w:rsidRDefault="00A74996" w:rsidP="00746FE7">
            <w:pPr>
              <w:pStyle w:val="Tablebody"/>
            </w:pPr>
            <w:r>
              <w:t>18/11/2022</w:t>
            </w:r>
          </w:p>
        </w:tc>
      </w:tr>
      <w:tr w:rsidR="00480D13" w14:paraId="06148376" w14:textId="77777777" w:rsidTr="00746FE7">
        <w:trPr>
          <w:cnfStyle w:val="000000100000" w:firstRow="0" w:lastRow="0" w:firstColumn="0" w:lastColumn="0" w:oddVBand="0" w:evenVBand="0" w:oddHBand="1" w:evenHBand="0" w:firstRowFirstColumn="0" w:firstRowLastColumn="0" w:lastRowFirstColumn="0" w:lastRowLastColumn="0"/>
        </w:trPr>
        <w:tc>
          <w:tcPr>
            <w:tcW w:w="567" w:type="dxa"/>
          </w:tcPr>
          <w:p w14:paraId="7C0820E6" w14:textId="58A9D016" w:rsidR="00480D13" w:rsidRDefault="00480D13" w:rsidP="00746FE7">
            <w:pPr>
              <w:pStyle w:val="Tablebody"/>
            </w:pPr>
            <w:r>
              <w:t>29</w:t>
            </w:r>
          </w:p>
        </w:tc>
        <w:tc>
          <w:tcPr>
            <w:tcW w:w="1276" w:type="dxa"/>
          </w:tcPr>
          <w:p w14:paraId="5EE30C37" w14:textId="48D9733E" w:rsidR="00480D13" w:rsidRDefault="00A74996" w:rsidP="00746FE7">
            <w:pPr>
              <w:pStyle w:val="Tablebody"/>
            </w:pPr>
            <w:r>
              <w:t>10/11/2022</w:t>
            </w:r>
          </w:p>
        </w:tc>
        <w:tc>
          <w:tcPr>
            <w:tcW w:w="1701" w:type="dxa"/>
          </w:tcPr>
          <w:p w14:paraId="47589324" w14:textId="72D8A9FF" w:rsidR="00480D13" w:rsidRDefault="00A74996" w:rsidP="00746FE7">
            <w:pPr>
              <w:pStyle w:val="Tablebody"/>
            </w:pPr>
            <w:r>
              <w:t>Minister Berry</w:t>
            </w:r>
          </w:p>
        </w:tc>
        <w:tc>
          <w:tcPr>
            <w:tcW w:w="4111" w:type="dxa"/>
          </w:tcPr>
          <w:p w14:paraId="2C119AE7" w14:textId="5923980D" w:rsidR="00480D13" w:rsidRDefault="002331BA" w:rsidP="00746FE7">
            <w:pPr>
              <w:pStyle w:val="Tablebody"/>
            </w:pPr>
            <w:r>
              <w:t>Jacka Community Battery</w:t>
            </w:r>
          </w:p>
        </w:tc>
        <w:tc>
          <w:tcPr>
            <w:tcW w:w="1371" w:type="dxa"/>
          </w:tcPr>
          <w:p w14:paraId="3A706D0E" w14:textId="68B26B57" w:rsidR="00480D13" w:rsidRDefault="00A74996" w:rsidP="00746FE7">
            <w:pPr>
              <w:pStyle w:val="Tablebody"/>
            </w:pPr>
            <w:r>
              <w:t>18/11/2022</w:t>
            </w:r>
          </w:p>
        </w:tc>
      </w:tr>
      <w:tr w:rsidR="00480D13" w14:paraId="176C4BAF" w14:textId="77777777" w:rsidTr="00746FE7">
        <w:trPr>
          <w:cnfStyle w:val="000000010000" w:firstRow="0" w:lastRow="0" w:firstColumn="0" w:lastColumn="0" w:oddVBand="0" w:evenVBand="0" w:oddHBand="0" w:evenHBand="1" w:firstRowFirstColumn="0" w:firstRowLastColumn="0" w:lastRowFirstColumn="0" w:lastRowLastColumn="0"/>
        </w:trPr>
        <w:tc>
          <w:tcPr>
            <w:tcW w:w="567" w:type="dxa"/>
          </w:tcPr>
          <w:p w14:paraId="5849239D" w14:textId="545AFD3B" w:rsidR="00480D13" w:rsidRDefault="00480D13" w:rsidP="00746FE7">
            <w:pPr>
              <w:pStyle w:val="Tablebody"/>
            </w:pPr>
            <w:r>
              <w:t>30</w:t>
            </w:r>
          </w:p>
        </w:tc>
        <w:tc>
          <w:tcPr>
            <w:tcW w:w="1276" w:type="dxa"/>
          </w:tcPr>
          <w:p w14:paraId="08E83480" w14:textId="55E81AD4" w:rsidR="00480D13" w:rsidRDefault="00A74996" w:rsidP="00746FE7">
            <w:pPr>
              <w:pStyle w:val="Tablebody"/>
            </w:pPr>
            <w:r>
              <w:t>14/11/2022</w:t>
            </w:r>
          </w:p>
        </w:tc>
        <w:tc>
          <w:tcPr>
            <w:tcW w:w="1701" w:type="dxa"/>
          </w:tcPr>
          <w:p w14:paraId="4F32CCA5" w14:textId="0B43376D" w:rsidR="00480D13" w:rsidRDefault="00A74996" w:rsidP="00746FE7">
            <w:pPr>
              <w:pStyle w:val="Tablebody"/>
            </w:pPr>
            <w:r>
              <w:t>Minister Gentleman</w:t>
            </w:r>
          </w:p>
        </w:tc>
        <w:tc>
          <w:tcPr>
            <w:tcW w:w="4111" w:type="dxa"/>
          </w:tcPr>
          <w:p w14:paraId="6AE1ADFB" w14:textId="2AAAADCE" w:rsidR="00480D13" w:rsidRDefault="002331BA" w:rsidP="00746FE7">
            <w:pPr>
              <w:pStyle w:val="Tablebody"/>
            </w:pPr>
            <w:r>
              <w:t>Gungahlin District Strategy – aspirational indicators</w:t>
            </w:r>
          </w:p>
        </w:tc>
        <w:tc>
          <w:tcPr>
            <w:tcW w:w="1371" w:type="dxa"/>
          </w:tcPr>
          <w:p w14:paraId="6EDC606E" w14:textId="5A69AD8C" w:rsidR="00480D13" w:rsidRDefault="00A74996" w:rsidP="00746FE7">
            <w:pPr>
              <w:pStyle w:val="Tablebody"/>
            </w:pPr>
            <w:r>
              <w:t>23/11/2022</w:t>
            </w:r>
          </w:p>
        </w:tc>
      </w:tr>
      <w:tr w:rsidR="00480D13" w14:paraId="3FE9ED13" w14:textId="77777777" w:rsidTr="00746FE7">
        <w:trPr>
          <w:cnfStyle w:val="000000100000" w:firstRow="0" w:lastRow="0" w:firstColumn="0" w:lastColumn="0" w:oddVBand="0" w:evenVBand="0" w:oddHBand="1" w:evenHBand="0" w:firstRowFirstColumn="0" w:firstRowLastColumn="0" w:lastRowFirstColumn="0" w:lastRowLastColumn="0"/>
        </w:trPr>
        <w:tc>
          <w:tcPr>
            <w:tcW w:w="567" w:type="dxa"/>
          </w:tcPr>
          <w:p w14:paraId="66415D5C" w14:textId="602188B4" w:rsidR="00480D13" w:rsidRDefault="00480D13" w:rsidP="00746FE7">
            <w:pPr>
              <w:pStyle w:val="Tablebody"/>
            </w:pPr>
            <w:r>
              <w:t>31</w:t>
            </w:r>
          </w:p>
        </w:tc>
        <w:tc>
          <w:tcPr>
            <w:tcW w:w="1276" w:type="dxa"/>
          </w:tcPr>
          <w:p w14:paraId="74A787FB" w14:textId="4020606D" w:rsidR="00480D13" w:rsidRDefault="00A74996" w:rsidP="00746FE7">
            <w:pPr>
              <w:pStyle w:val="Tablebody"/>
            </w:pPr>
            <w:r>
              <w:t>14/11/2022</w:t>
            </w:r>
          </w:p>
        </w:tc>
        <w:tc>
          <w:tcPr>
            <w:tcW w:w="1701" w:type="dxa"/>
          </w:tcPr>
          <w:p w14:paraId="5A18A829" w14:textId="67C83AA3" w:rsidR="00480D13" w:rsidRDefault="00A74996" w:rsidP="00746FE7">
            <w:pPr>
              <w:pStyle w:val="Tablebody"/>
            </w:pPr>
            <w:r>
              <w:t>Minister Gentleman</w:t>
            </w:r>
          </w:p>
        </w:tc>
        <w:tc>
          <w:tcPr>
            <w:tcW w:w="4111" w:type="dxa"/>
          </w:tcPr>
          <w:p w14:paraId="7EF81005" w14:textId="5A4022A4" w:rsidR="00480D13" w:rsidRDefault="002331BA" w:rsidP="00746FE7">
            <w:pPr>
              <w:pStyle w:val="Tablebody"/>
            </w:pPr>
            <w:r>
              <w:t>Gungahlin District Strategy – green-blue connections</w:t>
            </w:r>
          </w:p>
        </w:tc>
        <w:tc>
          <w:tcPr>
            <w:tcW w:w="1371" w:type="dxa"/>
          </w:tcPr>
          <w:p w14:paraId="0D8B9BF0" w14:textId="19C51EF9" w:rsidR="00480D13" w:rsidRDefault="00A74996" w:rsidP="00746FE7">
            <w:pPr>
              <w:pStyle w:val="Tablebody"/>
            </w:pPr>
            <w:r>
              <w:t>23/11/2022</w:t>
            </w:r>
          </w:p>
        </w:tc>
      </w:tr>
    </w:tbl>
    <w:p w14:paraId="4030CFF3" w14:textId="77777777" w:rsidR="00FE3DBF" w:rsidRDefault="00FE3DBF"/>
    <w:sectPr w:rsidR="00FE3DBF" w:rsidSect="00603367">
      <w:footerReference w:type="even" r:id="rId23"/>
      <w:footerReference w:type="default" r:id="rId2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834B9" w14:textId="77777777" w:rsidR="005B5DE9" w:rsidRDefault="005B5DE9" w:rsidP="005B5DE9">
      <w:pPr>
        <w:spacing w:after="0" w:line="240" w:lineRule="auto"/>
      </w:pPr>
      <w:r>
        <w:separator/>
      </w:r>
    </w:p>
  </w:endnote>
  <w:endnote w:type="continuationSeparator" w:id="0">
    <w:p w14:paraId="706788AD" w14:textId="77777777" w:rsidR="005B5DE9" w:rsidRDefault="005B5DE9" w:rsidP="005B5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SemiBold">
    <w:altName w:val="﷽﷽﷽﷽﷽﷽﷽﷽at SemiBold"/>
    <w:panose1 w:val="00000700000000000000"/>
    <w:charset w:val="00"/>
    <w:family w:val="auto"/>
    <w:pitch w:val="variable"/>
    <w:sig w:usb0="2000020F" w:usb1="00000003" w:usb2="00000000" w:usb3="00000000" w:csb0="00000197" w:csb1="00000000"/>
  </w:font>
  <w:font w:name="Montserrat">
    <w:altName w:val="Calibri"/>
    <w:panose1 w:val="00000500000000000000"/>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Light">
    <w:altName w:val="﷽﷽﷽﷽﷽﷽﷽﷽at Light"/>
    <w:panose1 w:val="00000400000000000000"/>
    <w:charset w:val="00"/>
    <w:family w:val="auto"/>
    <w:pitch w:val="variable"/>
    <w:sig w:usb0="2000020F" w:usb1="00000003" w:usb2="00000000" w:usb3="00000000" w:csb0="00000197" w:csb1="00000000"/>
  </w:font>
  <w:font w:name="Yu Mincho">
    <w:altName w:val="游明朝"/>
    <w:charset w:val="80"/>
    <w:family w:val="roman"/>
    <w:pitch w:val="variable"/>
    <w:sig w:usb0="800002E7" w:usb1="2AC7FCFF" w:usb2="00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27DF7" w14:textId="77777777" w:rsidR="005B5DE9" w:rsidRPr="00EE5B62" w:rsidRDefault="005B5DE9" w:rsidP="009C2830">
    <w:pPr>
      <w:pStyle w:val="Footer"/>
      <w:tabs>
        <w:tab w:val="clear" w:pos="4513"/>
        <w:tab w:val="clear" w:pos="9026"/>
        <w:tab w:val="left" w:pos="851"/>
      </w:tabs>
      <w:rPr>
        <w:rFonts w:ascii="Montserrat SemiBold" w:hAnsi="Montserrat SemiBold" w:cstheme="majorHAnsi"/>
        <w:color w:val="2F5496"/>
        <w:w w:val="9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B7BFC" w14:textId="77777777" w:rsidR="005B5DE9" w:rsidRPr="007A6EB9" w:rsidRDefault="005B5DE9" w:rsidP="009C2830">
    <w:pPr>
      <w:pStyle w:val="Footer"/>
      <w:tabs>
        <w:tab w:val="clear" w:pos="4513"/>
        <w:tab w:val="clear" w:pos="9026"/>
        <w:tab w:val="right" w:pos="5387"/>
      </w:tabs>
      <w:jc w:val="right"/>
      <w:rPr>
        <w:rFonts w:ascii="Montserrat SemiBold" w:hAnsi="Montserrat SemiBold" w:cstheme="majorHAnsi"/>
        <w:color w:val="2F5496"/>
        <w:w w:val="90"/>
        <w:sz w:val="18"/>
        <w:szCs w:val="18"/>
      </w:rPr>
    </w:pPr>
    <w:r w:rsidRPr="007A6EB9">
      <w:rPr>
        <w:rFonts w:ascii="Montserrat SemiBold" w:hAnsi="Montserrat SemiBold" w:cstheme="majorHAnsi"/>
        <w:color w:val="2F5496"/>
        <w:w w:val="90"/>
        <w:sz w:val="18"/>
        <w:szCs w:val="18"/>
      </w:rPr>
      <w:fldChar w:fldCharType="begin"/>
    </w:r>
    <w:r w:rsidRPr="007A6EB9">
      <w:rPr>
        <w:rFonts w:ascii="Montserrat SemiBold" w:hAnsi="Montserrat SemiBold" w:cstheme="majorHAnsi"/>
        <w:color w:val="2F5496"/>
        <w:w w:val="90"/>
        <w:sz w:val="18"/>
        <w:szCs w:val="18"/>
      </w:rPr>
      <w:instrText xml:space="preserve"> STYLEREF  Title  \* MERGEFORMAT </w:instrText>
    </w:r>
    <w:r w:rsidRPr="007A6EB9">
      <w:rPr>
        <w:rFonts w:ascii="Montserrat SemiBold" w:hAnsi="Montserrat SemiBold" w:cstheme="majorHAnsi"/>
        <w:color w:val="2F5496"/>
        <w:w w:val="90"/>
        <w:sz w:val="18"/>
        <w:szCs w:val="18"/>
      </w:rPr>
      <w:fldChar w:fldCharType="separate"/>
    </w:r>
    <w:r>
      <w:rPr>
        <w:rFonts w:ascii="Montserrat SemiBold" w:hAnsi="Montserrat SemiBold" w:cstheme="majorHAnsi"/>
        <w:noProof/>
        <w:color w:val="2F5496"/>
        <w:w w:val="90"/>
        <w:sz w:val="18"/>
        <w:szCs w:val="18"/>
      </w:rPr>
      <w:t>Inquiry into Climate Change and Greenhouse Gas Reduction (Natural Gas Transition) Amendment Bill 2022</w:t>
    </w:r>
    <w:r w:rsidRPr="007A6EB9">
      <w:rPr>
        <w:rFonts w:ascii="Montserrat SemiBold" w:hAnsi="Montserrat SemiBold" w:cstheme="majorHAnsi"/>
        <w:color w:val="2F5496"/>
        <w:w w:val="90"/>
        <w:sz w:val="18"/>
        <w:szCs w:val="18"/>
      </w:rPr>
      <w:fldChar w:fldCharType="end"/>
    </w:r>
    <w:r w:rsidRPr="007A6EB9">
      <w:rPr>
        <w:rFonts w:ascii="Montserrat SemiBold" w:hAnsi="Montserrat SemiBold" w:cstheme="majorHAnsi"/>
        <w:color w:val="2F5496"/>
        <w:w w:val="90"/>
        <w:sz w:val="18"/>
        <w:szCs w:val="18"/>
      </w:rPr>
      <w:tab/>
    </w:r>
    <w:r w:rsidRPr="007A6EB9">
      <w:rPr>
        <w:rFonts w:ascii="Montserrat SemiBold" w:hAnsi="Montserrat SemiBold" w:cstheme="majorHAnsi"/>
        <w:color w:val="2F5496"/>
        <w:w w:val="90"/>
        <w:sz w:val="18"/>
        <w:szCs w:val="18"/>
      </w:rPr>
      <w:fldChar w:fldCharType="begin"/>
    </w:r>
    <w:r w:rsidRPr="007A6EB9">
      <w:rPr>
        <w:rFonts w:ascii="Montserrat SemiBold" w:hAnsi="Montserrat SemiBold" w:cstheme="majorHAnsi"/>
        <w:color w:val="2F5496"/>
        <w:w w:val="90"/>
        <w:sz w:val="18"/>
        <w:szCs w:val="18"/>
      </w:rPr>
      <w:instrText xml:space="preserve"> PAGE  \* roman  \* MERGEFORMAT </w:instrText>
    </w:r>
    <w:r w:rsidRPr="007A6EB9">
      <w:rPr>
        <w:rFonts w:ascii="Montserrat SemiBold" w:hAnsi="Montserrat SemiBold" w:cstheme="majorHAnsi"/>
        <w:color w:val="2F5496"/>
        <w:w w:val="90"/>
        <w:sz w:val="18"/>
        <w:szCs w:val="18"/>
      </w:rPr>
      <w:fldChar w:fldCharType="separate"/>
    </w:r>
    <w:r w:rsidRPr="007A6EB9">
      <w:rPr>
        <w:rFonts w:ascii="Montserrat SemiBold" w:hAnsi="Montserrat SemiBold" w:cstheme="majorHAnsi"/>
        <w:noProof/>
        <w:color w:val="2F5496"/>
        <w:w w:val="90"/>
        <w:sz w:val="18"/>
        <w:szCs w:val="18"/>
      </w:rPr>
      <w:t>iv</w:t>
    </w:r>
    <w:r w:rsidRPr="007A6EB9">
      <w:rPr>
        <w:rFonts w:ascii="Montserrat SemiBold" w:hAnsi="Montserrat SemiBold" w:cstheme="majorHAnsi"/>
        <w:color w:val="2F5496"/>
        <w:w w:val="90"/>
        <w:sz w:val="18"/>
        <w:szCs w:val="18"/>
      </w:rPr>
      <w:fldChar w:fldCharType="end"/>
    </w:r>
  </w:p>
  <w:p w14:paraId="6FB0389A" w14:textId="77777777" w:rsidR="005B5DE9" w:rsidRPr="007A6EB9" w:rsidRDefault="005B5DE9" w:rsidP="009C2830">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853C0" w14:textId="77777777" w:rsidR="005B5DE9" w:rsidRPr="00C8358A" w:rsidRDefault="005B5DE9" w:rsidP="00F101AB">
    <w:pPr>
      <w:pStyle w:val="Footer"/>
      <w:tabs>
        <w:tab w:val="clear" w:pos="4513"/>
        <w:tab w:val="clear" w:pos="9026"/>
      </w:tabs>
      <w:rPr>
        <w:rFonts w:cstheme="minorHAnsi"/>
        <w:color w:val="404040" w:themeColor="text1" w:themeTint="BF"/>
      </w:rPr>
    </w:pPr>
    <w:r w:rsidRPr="00C8358A">
      <w:rPr>
        <w:rFonts w:cstheme="minorHAnsi"/>
        <w:color w:val="404040" w:themeColor="text1" w:themeTint="BF"/>
      </w:rPr>
      <w:t>Legislative Assembly for the Australian Capital Territory</w:t>
    </w:r>
  </w:p>
  <w:p w14:paraId="0E619A89" w14:textId="1820B531" w:rsidR="005B5DE9" w:rsidRPr="00C8358A" w:rsidRDefault="005B5DE9" w:rsidP="00F101AB">
    <w:pPr>
      <w:pStyle w:val="Footer"/>
      <w:tabs>
        <w:tab w:val="clear" w:pos="4513"/>
        <w:tab w:val="clear" w:pos="9026"/>
      </w:tabs>
      <w:rPr>
        <w:rFonts w:cstheme="minorHAnsi"/>
        <w:color w:val="404040" w:themeColor="text1" w:themeTint="BF"/>
      </w:rPr>
    </w:pPr>
    <w:r w:rsidRPr="00C8358A">
      <w:rPr>
        <w:rFonts w:cstheme="minorHAnsi"/>
        <w:color w:val="404040" w:themeColor="text1" w:themeTint="BF"/>
      </w:rPr>
      <w:fldChar w:fldCharType="begin"/>
    </w:r>
    <w:r w:rsidRPr="00C8358A">
      <w:rPr>
        <w:rFonts w:cstheme="minorHAnsi"/>
        <w:color w:val="404040" w:themeColor="text1" w:themeTint="BF"/>
      </w:rPr>
      <w:instrText xml:space="preserve"> STYLEREF  "Default Paragraph Font"  \* MERGEFORMAT </w:instrText>
    </w:r>
    <w:r w:rsidRPr="00C8358A">
      <w:rPr>
        <w:rFonts w:cstheme="minorHAnsi"/>
        <w:color w:val="404040" w:themeColor="text1" w:themeTint="BF"/>
      </w:rPr>
      <w:fldChar w:fldCharType="separate"/>
    </w:r>
    <w:r w:rsidR="00BD2490">
      <w:rPr>
        <w:rFonts w:cstheme="minorHAnsi"/>
        <w:noProof/>
        <w:color w:val="404040" w:themeColor="text1" w:themeTint="BF"/>
      </w:rPr>
      <w:t>Standing Committee on Planning, Transport and City Services</w:t>
    </w:r>
    <w:r w:rsidR="00BD2490">
      <w:rPr>
        <w:rFonts w:cstheme="minorHAnsi"/>
        <w:noProof/>
        <w:color w:val="404040" w:themeColor="text1" w:themeTint="BF"/>
      </w:rPr>
      <w:cr/>
    </w:r>
    <w:r w:rsidRPr="00C8358A">
      <w:rPr>
        <w:rFonts w:cstheme="minorHAnsi"/>
        <w:color w:val="404040" w:themeColor="text1" w:themeTint="BF"/>
      </w:rPr>
      <w:fldChar w:fldCharType="end"/>
    </w:r>
  </w:p>
  <w:sdt>
    <w:sdtPr>
      <w:rPr>
        <w:rFonts w:cstheme="minorHAnsi"/>
        <w:color w:val="404040" w:themeColor="text1" w:themeTint="BF"/>
      </w:rPr>
      <w:id w:val="442274151"/>
      <w15:color w:val="000000"/>
      <w:comboBox>
        <w:listItem w:value="Choose an item."/>
        <w:listItem w:displayText="Approved for publication" w:value="Approved for publication"/>
        <w:listItem w:displayText="Draft - Not for publication" w:value="Draft - Not for publication"/>
      </w:comboBox>
    </w:sdtPr>
    <w:sdtEndPr/>
    <w:sdtContent>
      <w:p w14:paraId="51722C92" w14:textId="3FC47B45" w:rsidR="005B5DE9" w:rsidRPr="00C8358A" w:rsidRDefault="00E91F3C" w:rsidP="00C8358A">
        <w:pPr>
          <w:pStyle w:val="Footer"/>
          <w:pBdr>
            <w:top w:val="single" w:sz="4" w:space="1" w:color="auto"/>
            <w:bottom w:val="single" w:sz="4" w:space="1" w:color="auto"/>
          </w:pBdr>
          <w:tabs>
            <w:tab w:val="clear" w:pos="4513"/>
            <w:tab w:val="clear" w:pos="9026"/>
          </w:tabs>
          <w:spacing w:before="40" w:after="40"/>
          <w:ind w:right="6474"/>
          <w:jc w:val="center"/>
          <w:rPr>
            <w:rFonts w:cstheme="minorHAnsi"/>
            <w:color w:val="404040" w:themeColor="text1" w:themeTint="BF"/>
          </w:rPr>
        </w:pPr>
        <w:r>
          <w:rPr>
            <w:rFonts w:cstheme="minorHAnsi"/>
            <w:color w:val="404040" w:themeColor="text1" w:themeTint="BF"/>
          </w:rPr>
          <w:t>Approved for publication</w:t>
        </w:r>
      </w:p>
    </w:sdtContent>
  </w:sdt>
  <w:p w14:paraId="2424BCB9" w14:textId="77777777" w:rsidR="005B5DE9" w:rsidRPr="00C8358A" w:rsidRDefault="005B5DE9" w:rsidP="00F101AB">
    <w:pPr>
      <w:pStyle w:val="Footer"/>
      <w:tabs>
        <w:tab w:val="clear" w:pos="4513"/>
        <w:tab w:val="clear" w:pos="9026"/>
      </w:tabs>
      <w:rPr>
        <w:rFonts w:cstheme="minorHAnsi"/>
        <w:color w:val="404040" w:themeColor="text1" w:themeTint="BF"/>
      </w:rPr>
    </w:pPr>
  </w:p>
  <w:p w14:paraId="3068DD53" w14:textId="67E29814" w:rsidR="005B5DE9" w:rsidRPr="0069778A" w:rsidRDefault="005B5DE9" w:rsidP="00F101AB">
    <w:pPr>
      <w:pStyle w:val="Footer"/>
      <w:tabs>
        <w:tab w:val="clear" w:pos="4513"/>
        <w:tab w:val="clear" w:pos="9026"/>
      </w:tabs>
      <w:rPr>
        <w:rFonts w:cstheme="minorHAnsi"/>
        <w:color w:val="404040" w:themeColor="text1" w:themeTint="BF"/>
      </w:rPr>
    </w:pPr>
    <w:r w:rsidRPr="0069778A">
      <w:rPr>
        <w:rFonts w:cstheme="minorHAnsi"/>
        <w:color w:val="404040" w:themeColor="text1" w:themeTint="BF"/>
      </w:rPr>
      <w:t xml:space="preserve">Report </w:t>
    </w:r>
    <w:r w:rsidR="00E91F3C">
      <w:rPr>
        <w:rFonts w:cstheme="minorHAnsi"/>
        <w:color w:val="404040" w:themeColor="text1" w:themeTint="BF"/>
      </w:rPr>
      <w:t>14</w:t>
    </w:r>
  </w:p>
  <w:p w14:paraId="0C110F39" w14:textId="783C1712" w:rsidR="00630A92" w:rsidRPr="0069778A" w:rsidRDefault="005B5DE9" w:rsidP="00F101AB">
    <w:pPr>
      <w:pStyle w:val="Footer"/>
      <w:tabs>
        <w:tab w:val="clear" w:pos="4513"/>
        <w:tab w:val="clear" w:pos="9026"/>
      </w:tabs>
      <w:rPr>
        <w:rFonts w:cstheme="minorHAnsi"/>
        <w:color w:val="404040" w:themeColor="text1" w:themeTint="BF"/>
      </w:rPr>
    </w:pPr>
    <w:r w:rsidRPr="0069778A">
      <w:rPr>
        <w:rFonts w:cstheme="minorHAnsi"/>
        <w:color w:val="404040" w:themeColor="text1" w:themeTint="BF"/>
      </w:rPr>
      <w:t>10th Assembly</w:t>
    </w:r>
  </w:p>
  <w:p w14:paraId="5183C22C" w14:textId="5244F2E1" w:rsidR="005B5DE9" w:rsidRPr="0069778A" w:rsidRDefault="000F73E4">
    <w:pPr>
      <w:pStyle w:val="Footer"/>
      <w:rPr>
        <w:rFonts w:cstheme="minorHAnsi"/>
      </w:rPr>
    </w:pPr>
    <w:r>
      <w:rPr>
        <w:rFonts w:cstheme="minorHAnsi"/>
      </w:rPr>
      <w:t xml:space="preserve">March </w:t>
    </w:r>
    <w:r w:rsidR="00630A92" w:rsidRPr="0069778A">
      <w:rPr>
        <w:rFonts w:cstheme="minorHAnsi"/>
      </w:rPr>
      <w:t>2023</w:t>
    </w:r>
  </w:p>
  <w:p w14:paraId="46BCE203" w14:textId="77777777" w:rsidR="005B5DE9" w:rsidRPr="008B350E" w:rsidRDefault="005B5DE9">
    <w:pPr>
      <w:pStyle w:val="Footer"/>
      <w:rPr>
        <w:rFonts w:asciiTheme="majorHAnsi" w:hAnsiTheme="majorHAnsi" w:cstheme="majorHAn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BC52B" w14:textId="2495C5C0" w:rsidR="005B5DE9" w:rsidRPr="00EE5B62" w:rsidRDefault="005B5DE9" w:rsidP="009C2830">
    <w:pPr>
      <w:pStyle w:val="Footer"/>
      <w:tabs>
        <w:tab w:val="clear" w:pos="4513"/>
        <w:tab w:val="clear" w:pos="9026"/>
        <w:tab w:val="left" w:pos="851"/>
      </w:tabs>
      <w:rPr>
        <w:rFonts w:ascii="Montserrat SemiBold" w:hAnsi="Montserrat SemiBold" w:cstheme="majorHAnsi"/>
        <w:color w:val="2F5496"/>
        <w:w w:val="90"/>
        <w:sz w:val="18"/>
        <w:szCs w:val="18"/>
      </w:rPr>
    </w:pPr>
    <w:r w:rsidRPr="00EE5B62">
      <w:rPr>
        <w:rFonts w:ascii="Montserrat SemiBold" w:hAnsi="Montserrat SemiBold" w:cstheme="majorHAnsi"/>
        <w:color w:val="2F5496"/>
        <w:w w:val="90"/>
        <w:sz w:val="18"/>
        <w:szCs w:val="18"/>
      </w:rPr>
      <w:fldChar w:fldCharType="begin"/>
    </w:r>
    <w:r w:rsidRPr="00EE5B62">
      <w:rPr>
        <w:rFonts w:ascii="Montserrat SemiBold" w:hAnsi="Montserrat SemiBold" w:cstheme="majorHAnsi"/>
        <w:color w:val="2F5496"/>
        <w:w w:val="90"/>
        <w:sz w:val="18"/>
        <w:szCs w:val="18"/>
      </w:rPr>
      <w:instrText xml:space="preserve"> PAGE  \* roman  \* MERGEFORMAT </w:instrText>
    </w:r>
    <w:r w:rsidRPr="00EE5B62">
      <w:rPr>
        <w:rFonts w:ascii="Montserrat SemiBold" w:hAnsi="Montserrat SemiBold" w:cstheme="majorHAnsi"/>
        <w:color w:val="2F5496"/>
        <w:w w:val="90"/>
        <w:sz w:val="18"/>
        <w:szCs w:val="18"/>
      </w:rPr>
      <w:fldChar w:fldCharType="separate"/>
    </w:r>
    <w:r w:rsidRPr="00EE5B62">
      <w:rPr>
        <w:rFonts w:ascii="Montserrat SemiBold" w:hAnsi="Montserrat SemiBold" w:cstheme="majorHAnsi"/>
        <w:noProof/>
        <w:color w:val="2F5496"/>
        <w:w w:val="90"/>
        <w:sz w:val="18"/>
        <w:szCs w:val="18"/>
      </w:rPr>
      <w:t>v</w:t>
    </w:r>
    <w:r w:rsidRPr="00EE5B62">
      <w:rPr>
        <w:rFonts w:ascii="Montserrat SemiBold" w:hAnsi="Montserrat SemiBold" w:cstheme="majorHAnsi"/>
        <w:color w:val="2F5496"/>
        <w:w w:val="90"/>
        <w:sz w:val="18"/>
        <w:szCs w:val="18"/>
      </w:rPr>
      <w:fldChar w:fldCharType="end"/>
    </w:r>
    <w:r w:rsidRPr="00EE5B62">
      <w:rPr>
        <w:rFonts w:ascii="Montserrat SemiBold" w:hAnsi="Montserrat SemiBold" w:cstheme="majorHAnsi"/>
        <w:color w:val="2F5496"/>
        <w:w w:val="90"/>
        <w:sz w:val="18"/>
        <w:szCs w:val="18"/>
      </w:rPr>
      <w:tab/>
    </w:r>
    <w:r w:rsidRPr="00EE5B62">
      <w:rPr>
        <w:rFonts w:ascii="Montserrat SemiBold" w:hAnsi="Montserrat SemiBold" w:cstheme="majorHAnsi"/>
        <w:color w:val="2F5496"/>
        <w:w w:val="90"/>
        <w:sz w:val="18"/>
        <w:szCs w:val="18"/>
      </w:rPr>
      <w:fldChar w:fldCharType="begin"/>
    </w:r>
    <w:r w:rsidRPr="00EE5B62">
      <w:rPr>
        <w:rFonts w:ascii="Montserrat SemiBold" w:hAnsi="Montserrat SemiBold" w:cstheme="majorHAnsi"/>
        <w:color w:val="2F5496"/>
        <w:w w:val="90"/>
        <w:sz w:val="18"/>
        <w:szCs w:val="18"/>
      </w:rPr>
      <w:instrText xml:space="preserve"> STYLEREF  Title  \* MERGEFORMAT </w:instrText>
    </w:r>
    <w:r w:rsidRPr="00EE5B62">
      <w:rPr>
        <w:rFonts w:ascii="Montserrat SemiBold" w:hAnsi="Montserrat SemiBold" w:cstheme="majorHAnsi"/>
        <w:color w:val="2F5496"/>
        <w:w w:val="90"/>
        <w:sz w:val="18"/>
        <w:szCs w:val="18"/>
      </w:rPr>
      <w:fldChar w:fldCharType="separate"/>
    </w:r>
    <w:r w:rsidR="00630A92">
      <w:rPr>
        <w:rFonts w:ascii="Montserrat SemiBold" w:hAnsi="Montserrat SemiBold" w:cstheme="majorHAnsi"/>
        <w:noProof/>
        <w:color w:val="2F5496"/>
        <w:w w:val="90"/>
        <w:sz w:val="18"/>
        <w:szCs w:val="18"/>
      </w:rPr>
      <w:t>Inquiry into Annual and Financial Reports 2021-22</w:t>
    </w:r>
    <w:r w:rsidRPr="00EE5B62">
      <w:rPr>
        <w:rFonts w:ascii="Montserrat SemiBold" w:hAnsi="Montserrat SemiBold" w:cstheme="majorHAnsi"/>
        <w:color w:val="2F5496"/>
        <w:w w:val="90"/>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B3E0" w14:textId="15154EA7" w:rsidR="005B5DE9" w:rsidRPr="007A6EB9" w:rsidRDefault="005B5DE9" w:rsidP="00E12092">
    <w:pPr>
      <w:pStyle w:val="Footer"/>
      <w:tabs>
        <w:tab w:val="clear" w:pos="4513"/>
        <w:tab w:val="clear" w:pos="9026"/>
        <w:tab w:val="right" w:pos="4536"/>
      </w:tabs>
      <w:jc w:val="right"/>
      <w:rPr>
        <w:rFonts w:ascii="Montserrat SemiBold" w:hAnsi="Montserrat SemiBold" w:cstheme="majorHAnsi"/>
        <w:color w:val="2F5496"/>
        <w:w w:val="90"/>
        <w:sz w:val="18"/>
        <w:szCs w:val="18"/>
      </w:rPr>
    </w:pPr>
    <w:r w:rsidRPr="007A6EB9">
      <w:rPr>
        <w:rFonts w:ascii="Montserrat SemiBold" w:hAnsi="Montserrat SemiBold" w:cstheme="majorHAnsi"/>
        <w:color w:val="2F5496"/>
        <w:w w:val="90"/>
        <w:sz w:val="18"/>
        <w:szCs w:val="18"/>
      </w:rPr>
      <w:fldChar w:fldCharType="begin"/>
    </w:r>
    <w:r w:rsidRPr="007A6EB9">
      <w:rPr>
        <w:rFonts w:ascii="Montserrat SemiBold" w:hAnsi="Montserrat SemiBold" w:cstheme="majorHAnsi"/>
        <w:color w:val="2F5496"/>
        <w:w w:val="90"/>
        <w:sz w:val="18"/>
        <w:szCs w:val="18"/>
      </w:rPr>
      <w:instrText xml:space="preserve"> STYLEREF  Title  \* MERGEFORMAT </w:instrText>
    </w:r>
    <w:r w:rsidRPr="007A6EB9">
      <w:rPr>
        <w:rFonts w:ascii="Montserrat SemiBold" w:hAnsi="Montserrat SemiBold" w:cstheme="majorHAnsi"/>
        <w:color w:val="2F5496"/>
        <w:w w:val="90"/>
        <w:sz w:val="18"/>
        <w:szCs w:val="18"/>
      </w:rPr>
      <w:fldChar w:fldCharType="separate"/>
    </w:r>
    <w:r w:rsidR="00BD2490">
      <w:rPr>
        <w:rFonts w:ascii="Montserrat SemiBold" w:hAnsi="Montserrat SemiBold" w:cstheme="majorHAnsi"/>
        <w:noProof/>
        <w:color w:val="2F5496"/>
        <w:w w:val="90"/>
        <w:sz w:val="18"/>
        <w:szCs w:val="18"/>
      </w:rPr>
      <w:t>Inquiry into Annual and Financial Reports 2021-22</w:t>
    </w:r>
    <w:r w:rsidRPr="007A6EB9">
      <w:rPr>
        <w:rFonts w:ascii="Montserrat SemiBold" w:hAnsi="Montserrat SemiBold" w:cstheme="majorHAnsi"/>
        <w:color w:val="2F5496"/>
        <w:w w:val="90"/>
        <w:sz w:val="18"/>
        <w:szCs w:val="18"/>
      </w:rPr>
      <w:fldChar w:fldCharType="end"/>
    </w:r>
    <w:r w:rsidRPr="007A6EB9">
      <w:rPr>
        <w:rFonts w:ascii="Montserrat SemiBold" w:hAnsi="Montserrat SemiBold" w:cstheme="majorHAnsi"/>
        <w:color w:val="2F5496"/>
        <w:w w:val="90"/>
        <w:sz w:val="18"/>
        <w:szCs w:val="18"/>
      </w:rPr>
      <w:tab/>
    </w:r>
    <w:r>
      <w:rPr>
        <w:rFonts w:ascii="Montserrat SemiBold" w:hAnsi="Montserrat SemiBold" w:cstheme="majorHAnsi"/>
        <w:color w:val="2F5496"/>
        <w:w w:val="90"/>
        <w:sz w:val="18"/>
        <w:szCs w:val="18"/>
      </w:rPr>
      <w:fldChar w:fldCharType="begin"/>
    </w:r>
    <w:r>
      <w:rPr>
        <w:rFonts w:ascii="Montserrat SemiBold" w:hAnsi="Montserrat SemiBold" w:cstheme="majorHAnsi"/>
        <w:color w:val="2F5496"/>
        <w:w w:val="90"/>
        <w:sz w:val="18"/>
        <w:szCs w:val="18"/>
      </w:rPr>
      <w:instrText xml:space="preserve"> PAGE  \* roman  \* MERGEFORMAT </w:instrText>
    </w:r>
    <w:r>
      <w:rPr>
        <w:rFonts w:ascii="Montserrat SemiBold" w:hAnsi="Montserrat SemiBold" w:cstheme="majorHAnsi"/>
        <w:color w:val="2F5496"/>
        <w:w w:val="90"/>
        <w:sz w:val="18"/>
        <w:szCs w:val="18"/>
      </w:rPr>
      <w:fldChar w:fldCharType="separate"/>
    </w:r>
    <w:r>
      <w:rPr>
        <w:rFonts w:ascii="Montserrat SemiBold" w:hAnsi="Montserrat SemiBold" w:cstheme="majorHAnsi"/>
        <w:noProof/>
        <w:color w:val="2F5496"/>
        <w:w w:val="90"/>
        <w:sz w:val="18"/>
        <w:szCs w:val="18"/>
      </w:rPr>
      <w:t>i</w:t>
    </w:r>
    <w:r>
      <w:rPr>
        <w:rFonts w:ascii="Montserrat SemiBold" w:hAnsi="Montserrat SemiBold" w:cstheme="majorHAnsi"/>
        <w:color w:val="2F5496"/>
        <w:w w:val="90"/>
        <w:sz w:val="18"/>
        <w:szCs w:val="18"/>
      </w:rPr>
      <w:fldChar w:fldCharType="end"/>
    </w:r>
  </w:p>
  <w:p w14:paraId="5A695062" w14:textId="77777777" w:rsidR="005B5DE9" w:rsidRPr="007A6EB9" w:rsidRDefault="005B5DE9" w:rsidP="009C2830">
    <w:pPr>
      <w:pStyle w:val="Footer"/>
      <w:jc w:val="right"/>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0C84" w14:textId="77777777" w:rsidR="00877A94" w:rsidRPr="00EE5B62" w:rsidRDefault="005B5DE9" w:rsidP="009C2830">
    <w:pPr>
      <w:pStyle w:val="Footer"/>
      <w:tabs>
        <w:tab w:val="clear" w:pos="4513"/>
        <w:tab w:val="clear" w:pos="9026"/>
        <w:tab w:val="left" w:pos="851"/>
      </w:tabs>
      <w:rPr>
        <w:rFonts w:ascii="Montserrat SemiBold" w:hAnsi="Montserrat SemiBold" w:cstheme="majorHAnsi"/>
        <w:color w:val="2F5496"/>
        <w:w w:val="90"/>
        <w:sz w:val="18"/>
        <w:szCs w:val="18"/>
      </w:rPr>
    </w:pPr>
    <w:r>
      <w:rPr>
        <w:rFonts w:ascii="Montserrat SemiBold" w:hAnsi="Montserrat SemiBold" w:cstheme="majorHAnsi"/>
        <w:color w:val="2F5496"/>
        <w:w w:val="90"/>
        <w:sz w:val="18"/>
        <w:szCs w:val="18"/>
      </w:rPr>
      <w:fldChar w:fldCharType="begin"/>
    </w:r>
    <w:r>
      <w:rPr>
        <w:rFonts w:ascii="Montserrat SemiBold" w:hAnsi="Montserrat SemiBold" w:cstheme="majorHAnsi"/>
        <w:color w:val="2F5496"/>
        <w:w w:val="90"/>
        <w:sz w:val="18"/>
        <w:szCs w:val="18"/>
      </w:rPr>
      <w:instrText xml:space="preserve"> PAGE  \* MERGEFORMAT </w:instrText>
    </w:r>
    <w:r>
      <w:rPr>
        <w:rFonts w:ascii="Montserrat SemiBold" w:hAnsi="Montserrat SemiBold" w:cstheme="majorHAnsi"/>
        <w:color w:val="2F5496"/>
        <w:w w:val="90"/>
        <w:sz w:val="18"/>
        <w:szCs w:val="18"/>
      </w:rPr>
      <w:fldChar w:fldCharType="separate"/>
    </w:r>
    <w:r>
      <w:rPr>
        <w:rFonts w:ascii="Montserrat SemiBold" w:hAnsi="Montserrat SemiBold" w:cstheme="majorHAnsi"/>
        <w:noProof/>
        <w:color w:val="2F5496"/>
        <w:w w:val="90"/>
        <w:sz w:val="18"/>
        <w:szCs w:val="18"/>
      </w:rPr>
      <w:t>3</w:t>
    </w:r>
    <w:r>
      <w:rPr>
        <w:rFonts w:ascii="Montserrat SemiBold" w:hAnsi="Montserrat SemiBold" w:cstheme="majorHAnsi"/>
        <w:color w:val="2F5496"/>
        <w:w w:val="90"/>
        <w:sz w:val="18"/>
        <w:szCs w:val="18"/>
      </w:rPr>
      <w:fldChar w:fldCharType="end"/>
    </w:r>
    <w:r w:rsidRPr="00EE5B62">
      <w:rPr>
        <w:rFonts w:ascii="Montserrat SemiBold" w:hAnsi="Montserrat SemiBold" w:cstheme="majorHAnsi"/>
        <w:color w:val="2F5496"/>
        <w:w w:val="90"/>
        <w:sz w:val="18"/>
        <w:szCs w:val="18"/>
      </w:rPr>
      <w:tab/>
    </w:r>
    <w:r w:rsidRPr="00EE5B62">
      <w:rPr>
        <w:rFonts w:ascii="Montserrat SemiBold" w:hAnsi="Montserrat SemiBold" w:cstheme="majorHAnsi"/>
        <w:color w:val="2F5496"/>
        <w:w w:val="90"/>
        <w:sz w:val="18"/>
        <w:szCs w:val="18"/>
      </w:rPr>
      <w:fldChar w:fldCharType="begin"/>
    </w:r>
    <w:r w:rsidRPr="00EE5B62">
      <w:rPr>
        <w:rFonts w:ascii="Montserrat SemiBold" w:hAnsi="Montserrat SemiBold" w:cstheme="majorHAnsi"/>
        <w:color w:val="2F5496"/>
        <w:w w:val="90"/>
        <w:sz w:val="18"/>
        <w:szCs w:val="18"/>
      </w:rPr>
      <w:instrText xml:space="preserve"> STYLEREF  Title  \* MERGEFORMAT </w:instrText>
    </w:r>
    <w:r w:rsidRPr="00EE5B62">
      <w:rPr>
        <w:rFonts w:ascii="Montserrat SemiBold" w:hAnsi="Montserrat SemiBold" w:cstheme="majorHAnsi"/>
        <w:color w:val="2F5496"/>
        <w:w w:val="90"/>
        <w:sz w:val="18"/>
        <w:szCs w:val="18"/>
      </w:rPr>
      <w:fldChar w:fldCharType="separate"/>
    </w:r>
    <w:r>
      <w:rPr>
        <w:rFonts w:ascii="Montserrat SemiBold" w:hAnsi="Montserrat SemiBold" w:cstheme="majorHAnsi"/>
        <w:noProof/>
        <w:color w:val="2F5496"/>
        <w:w w:val="90"/>
        <w:sz w:val="18"/>
        <w:szCs w:val="18"/>
      </w:rPr>
      <w:t>Inquiry into Planning Bill 2022</w:t>
    </w:r>
    <w:r w:rsidRPr="00EE5B62">
      <w:rPr>
        <w:rFonts w:ascii="Montserrat SemiBold" w:hAnsi="Montserrat SemiBold" w:cstheme="majorHAnsi"/>
        <w:color w:val="2F5496"/>
        <w:w w:val="90"/>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CF75" w14:textId="0F98ABBE" w:rsidR="009F5A83" w:rsidRPr="007A6EB9" w:rsidRDefault="005B5DE9" w:rsidP="00150531">
    <w:pPr>
      <w:pStyle w:val="Footer"/>
      <w:tabs>
        <w:tab w:val="clear" w:pos="4513"/>
        <w:tab w:val="clear" w:pos="9026"/>
        <w:tab w:val="right" w:pos="1560"/>
      </w:tabs>
      <w:jc w:val="right"/>
      <w:rPr>
        <w:rFonts w:ascii="Montserrat SemiBold" w:hAnsi="Montserrat SemiBold" w:cstheme="majorHAnsi"/>
        <w:color w:val="2F5496"/>
        <w:w w:val="90"/>
        <w:sz w:val="18"/>
        <w:szCs w:val="18"/>
      </w:rPr>
    </w:pPr>
    <w:r w:rsidRPr="007A6EB9">
      <w:rPr>
        <w:rFonts w:ascii="Montserrat SemiBold" w:hAnsi="Montserrat SemiBold" w:cstheme="majorHAnsi"/>
        <w:color w:val="2F5496"/>
        <w:w w:val="90"/>
        <w:sz w:val="18"/>
        <w:szCs w:val="18"/>
      </w:rPr>
      <w:fldChar w:fldCharType="begin"/>
    </w:r>
    <w:r w:rsidRPr="007A6EB9">
      <w:rPr>
        <w:rFonts w:ascii="Montserrat SemiBold" w:hAnsi="Montserrat SemiBold" w:cstheme="majorHAnsi"/>
        <w:color w:val="2F5496"/>
        <w:w w:val="90"/>
        <w:sz w:val="18"/>
        <w:szCs w:val="18"/>
      </w:rPr>
      <w:instrText xml:space="preserve"> STYLEREF  Title  \* MERGEFORMAT </w:instrText>
    </w:r>
    <w:r w:rsidRPr="007A6EB9">
      <w:rPr>
        <w:rFonts w:ascii="Montserrat SemiBold" w:hAnsi="Montserrat SemiBold" w:cstheme="majorHAnsi"/>
        <w:color w:val="2F5496"/>
        <w:w w:val="90"/>
        <w:sz w:val="18"/>
        <w:szCs w:val="18"/>
      </w:rPr>
      <w:fldChar w:fldCharType="separate"/>
    </w:r>
    <w:r w:rsidR="00BD2490">
      <w:rPr>
        <w:rFonts w:ascii="Montserrat SemiBold" w:hAnsi="Montserrat SemiBold" w:cstheme="majorHAnsi"/>
        <w:noProof/>
        <w:color w:val="2F5496"/>
        <w:w w:val="90"/>
        <w:sz w:val="18"/>
        <w:szCs w:val="18"/>
      </w:rPr>
      <w:t>Inquiry into Annual and Financial Reports 2021-22</w:t>
    </w:r>
    <w:r w:rsidRPr="007A6EB9">
      <w:rPr>
        <w:rFonts w:ascii="Montserrat SemiBold" w:hAnsi="Montserrat SemiBold" w:cstheme="majorHAnsi"/>
        <w:color w:val="2F5496"/>
        <w:w w:val="90"/>
        <w:sz w:val="18"/>
        <w:szCs w:val="18"/>
      </w:rPr>
      <w:fldChar w:fldCharType="end"/>
    </w:r>
    <w:r w:rsidRPr="007A6EB9">
      <w:rPr>
        <w:rFonts w:ascii="Montserrat SemiBold" w:hAnsi="Montserrat SemiBold" w:cstheme="majorHAnsi"/>
        <w:color w:val="2F5496"/>
        <w:w w:val="90"/>
        <w:sz w:val="18"/>
        <w:szCs w:val="18"/>
      </w:rPr>
      <w:tab/>
    </w:r>
    <w:r w:rsidRPr="007A6EB9">
      <w:rPr>
        <w:rFonts w:ascii="Montserrat SemiBold" w:hAnsi="Montserrat SemiBold" w:cstheme="majorHAnsi"/>
        <w:color w:val="2F5496"/>
        <w:w w:val="90"/>
        <w:sz w:val="18"/>
        <w:szCs w:val="18"/>
      </w:rPr>
      <w:fldChar w:fldCharType="begin"/>
    </w:r>
    <w:r w:rsidRPr="007A6EB9">
      <w:rPr>
        <w:rFonts w:ascii="Montserrat SemiBold" w:hAnsi="Montserrat SemiBold" w:cstheme="majorHAnsi"/>
        <w:color w:val="2F5496"/>
        <w:w w:val="90"/>
        <w:sz w:val="18"/>
        <w:szCs w:val="18"/>
      </w:rPr>
      <w:instrText xml:space="preserve"> PAGE  \* Arabic  \* MERGEFORMAT </w:instrText>
    </w:r>
    <w:r w:rsidRPr="007A6EB9">
      <w:rPr>
        <w:rFonts w:ascii="Montserrat SemiBold" w:hAnsi="Montserrat SemiBold" w:cstheme="majorHAnsi"/>
        <w:color w:val="2F5496"/>
        <w:w w:val="90"/>
        <w:sz w:val="18"/>
        <w:szCs w:val="18"/>
      </w:rPr>
      <w:fldChar w:fldCharType="separate"/>
    </w:r>
    <w:r w:rsidRPr="007A6EB9">
      <w:rPr>
        <w:rFonts w:ascii="Montserrat SemiBold" w:hAnsi="Montserrat SemiBold" w:cstheme="majorHAnsi"/>
        <w:noProof/>
        <w:color w:val="2F5496"/>
        <w:w w:val="90"/>
        <w:sz w:val="18"/>
        <w:szCs w:val="18"/>
      </w:rPr>
      <w:t>5</w:t>
    </w:r>
    <w:r w:rsidRPr="007A6EB9">
      <w:rPr>
        <w:rFonts w:ascii="Montserrat SemiBold" w:hAnsi="Montserrat SemiBold" w:cstheme="majorHAnsi"/>
        <w:color w:val="2F5496"/>
        <w:w w:val="90"/>
        <w:sz w:val="18"/>
        <w:szCs w:val="18"/>
      </w:rPr>
      <w:fldChar w:fldCharType="end"/>
    </w:r>
  </w:p>
  <w:p w14:paraId="3EAF7BCB" w14:textId="77777777" w:rsidR="009F5A83" w:rsidRPr="007A6EB9" w:rsidRDefault="00BD2490" w:rsidP="009C2830">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ADE7C" w14:textId="77777777" w:rsidR="005B5DE9" w:rsidRDefault="005B5DE9" w:rsidP="005B5DE9">
      <w:pPr>
        <w:spacing w:after="0" w:line="240" w:lineRule="auto"/>
      </w:pPr>
      <w:r>
        <w:separator/>
      </w:r>
    </w:p>
  </w:footnote>
  <w:footnote w:type="continuationSeparator" w:id="0">
    <w:p w14:paraId="58A7621E" w14:textId="77777777" w:rsidR="005B5DE9" w:rsidRDefault="005B5DE9" w:rsidP="005B5DE9">
      <w:pPr>
        <w:spacing w:after="0" w:line="240" w:lineRule="auto"/>
      </w:pPr>
      <w:r>
        <w:continuationSeparator/>
      </w:r>
    </w:p>
  </w:footnote>
  <w:footnote w:id="1">
    <w:p w14:paraId="0E9DAFF4" w14:textId="35E47E54" w:rsidR="00630A92" w:rsidRPr="00EA41FA" w:rsidRDefault="00630A92" w:rsidP="00630A92">
      <w:pPr>
        <w:pStyle w:val="FootnoteText"/>
        <w:rPr>
          <w:sz w:val="18"/>
          <w:szCs w:val="18"/>
        </w:rPr>
      </w:pPr>
      <w:r w:rsidRPr="00EA41FA">
        <w:rPr>
          <w:rStyle w:val="FootnoteReference"/>
          <w:sz w:val="18"/>
          <w:szCs w:val="18"/>
        </w:rPr>
        <w:footnoteRef/>
      </w:r>
      <w:r w:rsidRPr="00EA41FA">
        <w:rPr>
          <w:sz w:val="18"/>
          <w:szCs w:val="18"/>
        </w:rPr>
        <w:t xml:space="preserve"> </w:t>
      </w:r>
      <w:r w:rsidR="004E2F4F">
        <w:rPr>
          <w:sz w:val="18"/>
          <w:szCs w:val="18"/>
        </w:rPr>
        <w:t xml:space="preserve">ACT </w:t>
      </w:r>
      <w:r w:rsidRPr="00EA41FA">
        <w:rPr>
          <w:sz w:val="18"/>
          <w:szCs w:val="18"/>
        </w:rPr>
        <w:t xml:space="preserve">Legislative Assembly, </w:t>
      </w:r>
      <w:r w:rsidRPr="00EA41FA">
        <w:rPr>
          <w:i/>
          <w:iCs/>
          <w:sz w:val="18"/>
          <w:szCs w:val="18"/>
        </w:rPr>
        <w:t>Minutes of Proceedings</w:t>
      </w:r>
      <w:r w:rsidRPr="00EA41FA">
        <w:rPr>
          <w:sz w:val="18"/>
          <w:szCs w:val="18"/>
        </w:rPr>
        <w:t>, No 61,</w:t>
      </w:r>
      <w:r w:rsidR="004E2F4F">
        <w:rPr>
          <w:sz w:val="18"/>
          <w:szCs w:val="18"/>
        </w:rPr>
        <w:t xml:space="preserve"> </w:t>
      </w:r>
      <w:r w:rsidRPr="00EA41FA">
        <w:rPr>
          <w:sz w:val="18"/>
          <w:szCs w:val="18"/>
        </w:rPr>
        <w:t>12 October 2022, p 839.</w:t>
      </w:r>
    </w:p>
  </w:footnote>
  <w:footnote w:id="2">
    <w:p w14:paraId="5273DE62" w14:textId="1E6E4C4D" w:rsidR="00630A92" w:rsidRPr="00EA41FA" w:rsidRDefault="00630A92" w:rsidP="00630A92">
      <w:pPr>
        <w:pStyle w:val="FootnoteText"/>
        <w:rPr>
          <w:sz w:val="18"/>
          <w:szCs w:val="18"/>
        </w:rPr>
      </w:pPr>
      <w:r w:rsidRPr="00EA41FA">
        <w:rPr>
          <w:rStyle w:val="FootnoteReference"/>
          <w:sz w:val="18"/>
          <w:szCs w:val="18"/>
        </w:rPr>
        <w:footnoteRef/>
      </w:r>
      <w:r w:rsidRPr="00EA41FA">
        <w:rPr>
          <w:sz w:val="18"/>
          <w:szCs w:val="18"/>
        </w:rPr>
        <w:t xml:space="preserve"> </w:t>
      </w:r>
      <w:r w:rsidR="004E2F4F">
        <w:rPr>
          <w:sz w:val="18"/>
          <w:szCs w:val="18"/>
        </w:rPr>
        <w:t xml:space="preserve">ACT </w:t>
      </w:r>
      <w:r w:rsidRPr="00EA41FA">
        <w:rPr>
          <w:sz w:val="18"/>
          <w:szCs w:val="18"/>
        </w:rPr>
        <w:t xml:space="preserve">Legislative Assembly, </w:t>
      </w:r>
      <w:r w:rsidRPr="00EA41FA">
        <w:rPr>
          <w:i/>
          <w:iCs/>
          <w:sz w:val="18"/>
          <w:szCs w:val="18"/>
        </w:rPr>
        <w:t>Minutes of Proceedings</w:t>
      </w:r>
      <w:r w:rsidRPr="00EA41FA">
        <w:rPr>
          <w:sz w:val="18"/>
          <w:szCs w:val="18"/>
        </w:rPr>
        <w:t xml:space="preserve">, No </w:t>
      </w:r>
      <w:r>
        <w:rPr>
          <w:sz w:val="18"/>
          <w:szCs w:val="18"/>
        </w:rPr>
        <w:t>62</w:t>
      </w:r>
      <w:r w:rsidRPr="00EA41FA">
        <w:rPr>
          <w:sz w:val="18"/>
          <w:szCs w:val="18"/>
        </w:rPr>
        <w:t xml:space="preserve">, </w:t>
      </w:r>
      <w:r>
        <w:rPr>
          <w:sz w:val="18"/>
          <w:szCs w:val="18"/>
        </w:rPr>
        <w:t>13 October</w:t>
      </w:r>
      <w:r w:rsidRPr="00EA41FA">
        <w:rPr>
          <w:sz w:val="18"/>
          <w:szCs w:val="18"/>
        </w:rPr>
        <w:t xml:space="preserve"> 202</w:t>
      </w:r>
      <w:r>
        <w:rPr>
          <w:sz w:val="18"/>
          <w:szCs w:val="18"/>
        </w:rPr>
        <w:t>2</w:t>
      </w:r>
      <w:r w:rsidRPr="00EA41FA">
        <w:rPr>
          <w:sz w:val="18"/>
          <w:szCs w:val="18"/>
        </w:rPr>
        <w:t xml:space="preserve">, pp </w:t>
      </w:r>
      <w:r>
        <w:rPr>
          <w:sz w:val="18"/>
          <w:szCs w:val="18"/>
        </w:rPr>
        <w:t>849</w:t>
      </w:r>
      <w:r w:rsidRPr="00EA41FA">
        <w:rPr>
          <w:sz w:val="18"/>
          <w:szCs w:val="18"/>
        </w:rPr>
        <w:t>–</w:t>
      </w:r>
      <w:r>
        <w:rPr>
          <w:sz w:val="18"/>
          <w:szCs w:val="18"/>
        </w:rPr>
        <w:t>850</w:t>
      </w:r>
      <w:r w:rsidRPr="00EA41FA">
        <w:rPr>
          <w:sz w:val="18"/>
          <w:szCs w:val="18"/>
        </w:rPr>
        <w:t>.</w:t>
      </w:r>
    </w:p>
  </w:footnote>
  <w:footnote w:id="3">
    <w:p w14:paraId="42273F07" w14:textId="5966C064" w:rsidR="00630A92" w:rsidRPr="00EA41FA" w:rsidRDefault="00630A92" w:rsidP="00630A92">
      <w:pPr>
        <w:pStyle w:val="FootnoteText"/>
        <w:rPr>
          <w:sz w:val="18"/>
          <w:szCs w:val="18"/>
        </w:rPr>
      </w:pPr>
      <w:r w:rsidRPr="00EA41FA">
        <w:rPr>
          <w:rStyle w:val="FootnoteReference"/>
          <w:sz w:val="18"/>
          <w:szCs w:val="18"/>
        </w:rPr>
        <w:footnoteRef/>
      </w:r>
      <w:r w:rsidRPr="00EA41FA">
        <w:rPr>
          <w:sz w:val="18"/>
          <w:szCs w:val="18"/>
        </w:rPr>
        <w:t xml:space="preserve"> Chief Minister, Treasury and Economic Development Directorate, </w:t>
      </w:r>
      <w:r w:rsidRPr="00EA41FA">
        <w:rPr>
          <w:i/>
          <w:iCs/>
          <w:sz w:val="18"/>
          <w:szCs w:val="18"/>
        </w:rPr>
        <w:t>Annual Reports</w:t>
      </w:r>
      <w:r w:rsidRPr="00EA41FA">
        <w:rPr>
          <w:sz w:val="18"/>
          <w:szCs w:val="18"/>
        </w:rPr>
        <w:t xml:space="preserve">, </w:t>
      </w:r>
      <w:hyperlink r:id="rId1" w:history="1">
        <w:r w:rsidRPr="00EA41FA">
          <w:rPr>
            <w:rStyle w:val="Hyperlink"/>
            <w:sz w:val="18"/>
            <w:szCs w:val="18"/>
          </w:rPr>
          <w:t>https://www.cmtedd.act.gov.au/open_government/report/annual-reports</w:t>
        </w:r>
      </w:hyperlink>
      <w:r w:rsidRPr="00EA41FA">
        <w:rPr>
          <w:sz w:val="18"/>
          <w:szCs w:val="18"/>
        </w:rPr>
        <w:t xml:space="preserve"> (accessed </w:t>
      </w:r>
      <w:r w:rsidR="004E2F4F">
        <w:rPr>
          <w:sz w:val="18"/>
          <w:szCs w:val="18"/>
        </w:rPr>
        <w:t>13 January 2023</w:t>
      </w:r>
      <w:r w:rsidRPr="00EA41FA">
        <w:rPr>
          <w:sz w:val="18"/>
          <w:szCs w:val="18"/>
        </w:rPr>
        <w:t>).</w:t>
      </w:r>
    </w:p>
  </w:footnote>
  <w:footnote w:id="4">
    <w:p w14:paraId="02733A9A" w14:textId="25851805" w:rsidR="004B7955" w:rsidRPr="004B7955" w:rsidRDefault="004B7955">
      <w:pPr>
        <w:pStyle w:val="FootnoteText"/>
        <w:rPr>
          <w:sz w:val="18"/>
          <w:szCs w:val="18"/>
        </w:rPr>
      </w:pPr>
      <w:r w:rsidRPr="004B7955">
        <w:rPr>
          <w:rStyle w:val="FootnoteReference"/>
          <w:sz w:val="18"/>
          <w:szCs w:val="18"/>
        </w:rPr>
        <w:footnoteRef/>
      </w:r>
      <w:r w:rsidR="00CB619D">
        <w:rPr>
          <w:sz w:val="18"/>
          <w:szCs w:val="18"/>
        </w:rPr>
        <w:t xml:space="preserve"> </w:t>
      </w:r>
      <w:r w:rsidR="00CB619D" w:rsidRPr="00CB619D">
        <w:rPr>
          <w:sz w:val="18"/>
          <w:szCs w:val="18"/>
        </w:rPr>
        <w:t>Environment, Planning and Sustainable Development Directorate</w:t>
      </w:r>
      <w:r w:rsidRPr="004B7955">
        <w:rPr>
          <w:sz w:val="18"/>
          <w:szCs w:val="18"/>
        </w:rPr>
        <w:t>,</w:t>
      </w:r>
      <w:r>
        <w:rPr>
          <w:sz w:val="18"/>
          <w:szCs w:val="18"/>
        </w:rPr>
        <w:t xml:space="preserve"> </w:t>
      </w:r>
      <w:hyperlink r:id="rId2" w:history="1">
        <w:r w:rsidRPr="00CB619D">
          <w:rPr>
            <w:rStyle w:val="Hyperlink"/>
            <w:i/>
            <w:iCs/>
            <w:sz w:val="18"/>
            <w:szCs w:val="18"/>
          </w:rPr>
          <w:t xml:space="preserve">Annual </w:t>
        </w:r>
        <w:r w:rsidR="00F6105E" w:rsidRPr="00CB619D">
          <w:rPr>
            <w:rStyle w:val="Hyperlink"/>
            <w:i/>
            <w:iCs/>
            <w:sz w:val="18"/>
            <w:szCs w:val="18"/>
          </w:rPr>
          <w:t>Report 2021-22</w:t>
        </w:r>
      </w:hyperlink>
      <w:r w:rsidR="00F6105E">
        <w:rPr>
          <w:sz w:val="18"/>
          <w:szCs w:val="18"/>
        </w:rPr>
        <w:t xml:space="preserve">, </w:t>
      </w:r>
      <w:r w:rsidR="002828D4">
        <w:rPr>
          <w:sz w:val="18"/>
          <w:szCs w:val="18"/>
        </w:rPr>
        <w:t xml:space="preserve">October 2022, </w:t>
      </w:r>
      <w:r w:rsidR="00F6105E">
        <w:rPr>
          <w:sz w:val="18"/>
          <w:szCs w:val="18"/>
        </w:rPr>
        <w:t>p 16.</w:t>
      </w:r>
    </w:p>
  </w:footnote>
  <w:footnote w:id="5">
    <w:p w14:paraId="12350EFC" w14:textId="6742ED9E" w:rsidR="004B7955" w:rsidRPr="004B7955" w:rsidRDefault="004B7955">
      <w:pPr>
        <w:pStyle w:val="FootnoteText"/>
        <w:rPr>
          <w:sz w:val="18"/>
          <w:szCs w:val="18"/>
        </w:rPr>
      </w:pPr>
      <w:r w:rsidRPr="004B7955">
        <w:rPr>
          <w:rStyle w:val="FootnoteReference"/>
          <w:sz w:val="18"/>
          <w:szCs w:val="18"/>
        </w:rPr>
        <w:footnoteRef/>
      </w:r>
      <w:r w:rsidRPr="004B7955">
        <w:rPr>
          <w:sz w:val="18"/>
          <w:szCs w:val="18"/>
        </w:rPr>
        <w:t xml:space="preserve"> </w:t>
      </w:r>
      <w:r w:rsidR="00CB619D" w:rsidRPr="00CB619D">
        <w:rPr>
          <w:sz w:val="18"/>
          <w:szCs w:val="18"/>
        </w:rPr>
        <w:t>Environment, Planning and Sustainable Development Directorate</w:t>
      </w:r>
      <w:r w:rsidR="00F6105E" w:rsidRPr="004B7955">
        <w:rPr>
          <w:sz w:val="18"/>
          <w:szCs w:val="18"/>
        </w:rPr>
        <w:t>,</w:t>
      </w:r>
      <w:r w:rsidR="00F6105E">
        <w:rPr>
          <w:sz w:val="18"/>
          <w:szCs w:val="18"/>
        </w:rPr>
        <w:t xml:space="preserve"> </w:t>
      </w:r>
      <w:hyperlink r:id="rId3" w:history="1">
        <w:r w:rsidR="00F6105E" w:rsidRPr="00CB619D">
          <w:rPr>
            <w:rStyle w:val="Hyperlink"/>
            <w:i/>
            <w:iCs/>
            <w:sz w:val="18"/>
            <w:szCs w:val="18"/>
          </w:rPr>
          <w:t>Annual Report 2021-22</w:t>
        </w:r>
      </w:hyperlink>
      <w:r w:rsidR="00F6105E">
        <w:rPr>
          <w:sz w:val="18"/>
          <w:szCs w:val="18"/>
        </w:rPr>
        <w:t xml:space="preserve">, </w:t>
      </w:r>
      <w:r w:rsidR="002828D4">
        <w:rPr>
          <w:sz w:val="18"/>
          <w:szCs w:val="18"/>
        </w:rPr>
        <w:t xml:space="preserve">October 2022, </w:t>
      </w:r>
      <w:r w:rsidR="00F6105E">
        <w:rPr>
          <w:sz w:val="18"/>
          <w:szCs w:val="18"/>
        </w:rPr>
        <w:t>p 16.</w:t>
      </w:r>
    </w:p>
  </w:footnote>
  <w:footnote w:id="6">
    <w:p w14:paraId="5BD7AEE1" w14:textId="65289233" w:rsidR="004B7955" w:rsidRPr="004B7955" w:rsidRDefault="004B7955">
      <w:pPr>
        <w:pStyle w:val="FootnoteText"/>
        <w:rPr>
          <w:sz w:val="18"/>
          <w:szCs w:val="18"/>
        </w:rPr>
      </w:pPr>
      <w:r w:rsidRPr="004B7955">
        <w:rPr>
          <w:rStyle w:val="FootnoteReference"/>
          <w:sz w:val="18"/>
          <w:szCs w:val="18"/>
        </w:rPr>
        <w:footnoteRef/>
      </w:r>
      <w:r w:rsidRPr="004B7955">
        <w:rPr>
          <w:sz w:val="18"/>
          <w:szCs w:val="18"/>
        </w:rPr>
        <w:t xml:space="preserve"> </w:t>
      </w:r>
      <w:r w:rsidR="00CB619D" w:rsidRPr="00CB619D">
        <w:rPr>
          <w:sz w:val="18"/>
          <w:szCs w:val="18"/>
        </w:rPr>
        <w:t>Environment, Planning and Sustainable Development Directorate</w:t>
      </w:r>
      <w:r w:rsidR="00F6105E" w:rsidRPr="004B7955">
        <w:rPr>
          <w:sz w:val="18"/>
          <w:szCs w:val="18"/>
        </w:rPr>
        <w:t>,</w:t>
      </w:r>
      <w:r w:rsidR="00F6105E">
        <w:rPr>
          <w:sz w:val="18"/>
          <w:szCs w:val="18"/>
        </w:rPr>
        <w:t xml:space="preserve"> </w:t>
      </w:r>
      <w:hyperlink r:id="rId4" w:history="1">
        <w:r w:rsidR="00F6105E" w:rsidRPr="00CB619D">
          <w:rPr>
            <w:rStyle w:val="Hyperlink"/>
            <w:i/>
            <w:iCs/>
            <w:sz w:val="18"/>
            <w:szCs w:val="18"/>
          </w:rPr>
          <w:t>Annual Report 2021-22</w:t>
        </w:r>
      </w:hyperlink>
      <w:r w:rsidR="00F6105E">
        <w:rPr>
          <w:sz w:val="18"/>
          <w:szCs w:val="18"/>
        </w:rPr>
        <w:t xml:space="preserve">, </w:t>
      </w:r>
      <w:r w:rsidR="002828D4">
        <w:rPr>
          <w:sz w:val="18"/>
          <w:szCs w:val="18"/>
        </w:rPr>
        <w:t xml:space="preserve">October 2022, </w:t>
      </w:r>
      <w:r w:rsidR="00F6105E">
        <w:rPr>
          <w:sz w:val="18"/>
          <w:szCs w:val="18"/>
        </w:rPr>
        <w:t>p 16.</w:t>
      </w:r>
    </w:p>
  </w:footnote>
  <w:footnote w:id="7">
    <w:p w14:paraId="2E1909EF" w14:textId="4FE7FA5B" w:rsidR="004B7955" w:rsidRPr="004C4495" w:rsidRDefault="004B7955">
      <w:pPr>
        <w:pStyle w:val="FootnoteText"/>
        <w:rPr>
          <w:sz w:val="18"/>
          <w:szCs w:val="18"/>
        </w:rPr>
      </w:pPr>
      <w:r w:rsidRPr="004C4495">
        <w:rPr>
          <w:rStyle w:val="FootnoteReference"/>
          <w:sz w:val="18"/>
          <w:szCs w:val="18"/>
        </w:rPr>
        <w:footnoteRef/>
      </w:r>
      <w:r w:rsidRPr="004C4495">
        <w:rPr>
          <w:sz w:val="18"/>
          <w:szCs w:val="18"/>
        </w:rPr>
        <w:t xml:space="preserve"> ACT Government, </w:t>
      </w:r>
      <w:r w:rsidRPr="004C4495">
        <w:rPr>
          <w:i/>
          <w:iCs/>
          <w:sz w:val="18"/>
          <w:szCs w:val="18"/>
        </w:rPr>
        <w:t>Administrative Arrangements 2022 (No 2)</w:t>
      </w:r>
      <w:r w:rsidRPr="004C4495">
        <w:rPr>
          <w:sz w:val="18"/>
          <w:szCs w:val="18"/>
        </w:rPr>
        <w:t xml:space="preserve"> </w:t>
      </w:r>
      <w:hyperlink r:id="rId5" w:history="1">
        <w:r w:rsidRPr="004C4495">
          <w:rPr>
            <w:rStyle w:val="Hyperlink"/>
            <w:sz w:val="18"/>
            <w:szCs w:val="18"/>
          </w:rPr>
          <w:t>https://legislation.act.gov.au/View/ni/2022-697/current/html/2022-697.html</w:t>
        </w:r>
      </w:hyperlink>
      <w:r w:rsidRPr="004C4495">
        <w:rPr>
          <w:sz w:val="18"/>
          <w:szCs w:val="18"/>
        </w:rPr>
        <w:t xml:space="preserve"> (accessed 23 January 2023). </w:t>
      </w:r>
    </w:p>
  </w:footnote>
  <w:footnote w:id="8">
    <w:p w14:paraId="7D008FF3" w14:textId="0E399C9D" w:rsidR="004C4495" w:rsidRDefault="004C4495">
      <w:pPr>
        <w:pStyle w:val="FootnoteText"/>
      </w:pPr>
      <w:r w:rsidRPr="004C4495">
        <w:rPr>
          <w:rStyle w:val="FootnoteReference"/>
          <w:sz w:val="18"/>
          <w:szCs w:val="18"/>
        </w:rPr>
        <w:footnoteRef/>
      </w:r>
      <w:r>
        <w:t xml:space="preserve"> </w:t>
      </w:r>
      <w:r w:rsidRPr="004C4495">
        <w:rPr>
          <w:sz w:val="18"/>
          <w:szCs w:val="18"/>
        </w:rPr>
        <w:t xml:space="preserve">ACT Government, </w:t>
      </w:r>
      <w:r w:rsidRPr="004C4495">
        <w:rPr>
          <w:i/>
          <w:iCs/>
          <w:sz w:val="18"/>
          <w:szCs w:val="18"/>
        </w:rPr>
        <w:t>Administrative Arrangements 2022 (No 2)</w:t>
      </w:r>
      <w:r w:rsidRPr="004C4495">
        <w:rPr>
          <w:sz w:val="18"/>
          <w:szCs w:val="18"/>
        </w:rPr>
        <w:t xml:space="preserve"> </w:t>
      </w:r>
      <w:hyperlink r:id="rId6" w:history="1">
        <w:r w:rsidRPr="004C4495">
          <w:rPr>
            <w:rStyle w:val="Hyperlink"/>
            <w:sz w:val="18"/>
            <w:szCs w:val="18"/>
          </w:rPr>
          <w:t>https://legislation.act.gov.au/View/ni/2022-697/current/html/2022-697.html</w:t>
        </w:r>
      </w:hyperlink>
      <w:r w:rsidRPr="004C4495">
        <w:rPr>
          <w:sz w:val="18"/>
          <w:szCs w:val="18"/>
        </w:rPr>
        <w:t xml:space="preserve"> (accessed 23 January 2023).</w:t>
      </w:r>
    </w:p>
  </w:footnote>
  <w:footnote w:id="9">
    <w:p w14:paraId="466A653E" w14:textId="4F432B30" w:rsidR="00147861" w:rsidRDefault="00147861">
      <w:pPr>
        <w:pStyle w:val="FootnoteText"/>
      </w:pPr>
      <w:r w:rsidRPr="004B7955">
        <w:rPr>
          <w:rStyle w:val="FootnoteReference"/>
          <w:sz w:val="18"/>
          <w:szCs w:val="18"/>
        </w:rPr>
        <w:footnoteRef/>
      </w:r>
      <w:r w:rsidRPr="004B7955">
        <w:rPr>
          <w:sz w:val="18"/>
          <w:szCs w:val="18"/>
        </w:rPr>
        <w:t xml:space="preserve"> </w:t>
      </w:r>
      <w:r w:rsidRPr="004B7955">
        <w:rPr>
          <w:i/>
          <w:iCs/>
          <w:sz w:val="18"/>
          <w:szCs w:val="18"/>
        </w:rPr>
        <w:t>Proof Committee Hansard</w:t>
      </w:r>
      <w:r w:rsidRPr="004B7955">
        <w:rPr>
          <w:sz w:val="18"/>
          <w:szCs w:val="18"/>
        </w:rPr>
        <w:t>, 31 October 2022, pp</w:t>
      </w:r>
      <w:r w:rsidRPr="00BA0DB1">
        <w:rPr>
          <w:sz w:val="18"/>
          <w:szCs w:val="18"/>
        </w:rPr>
        <w:t xml:space="preserve"> </w:t>
      </w:r>
      <w:r>
        <w:rPr>
          <w:sz w:val="18"/>
          <w:szCs w:val="18"/>
        </w:rPr>
        <w:t>1</w:t>
      </w:r>
      <w:r>
        <w:rPr>
          <w:sz w:val="18"/>
          <w:szCs w:val="18"/>
        </w:rPr>
        <w:softHyphen/>
      </w:r>
      <w:r>
        <w:rPr>
          <w:sz w:val="18"/>
          <w:szCs w:val="18"/>
        </w:rPr>
        <w:softHyphen/>
        <w:t>–2</w:t>
      </w:r>
      <w:r w:rsidRPr="00C86FC4">
        <w:rPr>
          <w:sz w:val="18"/>
          <w:szCs w:val="18"/>
        </w:rPr>
        <w:t>.</w:t>
      </w:r>
    </w:p>
  </w:footnote>
  <w:footnote w:id="10">
    <w:p w14:paraId="11DB2D5E" w14:textId="0C6DC911" w:rsidR="00147861" w:rsidRDefault="00147861">
      <w:pPr>
        <w:pStyle w:val="FootnoteText"/>
      </w:pPr>
      <w:r>
        <w:rPr>
          <w:rStyle w:val="FootnoteReference"/>
        </w:rPr>
        <w:footnoteRef/>
      </w:r>
      <w:r>
        <w:t xml:space="preserve"> </w:t>
      </w:r>
      <w:r w:rsidRPr="00C86FC4">
        <w:rPr>
          <w:i/>
          <w:iCs/>
          <w:sz w:val="18"/>
          <w:szCs w:val="18"/>
        </w:rPr>
        <w:t>Proof Committee Hansard</w:t>
      </w:r>
      <w:r w:rsidRPr="00C86FC4">
        <w:rPr>
          <w:sz w:val="18"/>
          <w:szCs w:val="18"/>
        </w:rPr>
        <w:t xml:space="preserve">, </w:t>
      </w:r>
      <w:r>
        <w:rPr>
          <w:sz w:val="18"/>
          <w:szCs w:val="18"/>
        </w:rPr>
        <w:t>31</w:t>
      </w:r>
      <w:r w:rsidRPr="00C86FC4">
        <w:rPr>
          <w:sz w:val="18"/>
          <w:szCs w:val="18"/>
        </w:rPr>
        <w:t xml:space="preserve"> </w:t>
      </w:r>
      <w:r>
        <w:rPr>
          <w:sz w:val="18"/>
          <w:szCs w:val="18"/>
        </w:rPr>
        <w:t>Octo</w:t>
      </w:r>
      <w:r w:rsidRPr="00C86FC4">
        <w:rPr>
          <w:sz w:val="18"/>
          <w:szCs w:val="18"/>
        </w:rPr>
        <w:t>ber 202</w:t>
      </w:r>
      <w:r w:rsidRPr="00BA0DB1">
        <w:rPr>
          <w:sz w:val="18"/>
          <w:szCs w:val="18"/>
        </w:rPr>
        <w:t>2, p</w:t>
      </w:r>
      <w:r>
        <w:rPr>
          <w:sz w:val="18"/>
          <w:szCs w:val="18"/>
        </w:rPr>
        <w:t xml:space="preserve"> 3.</w:t>
      </w:r>
    </w:p>
  </w:footnote>
  <w:footnote w:id="11">
    <w:p w14:paraId="5166D778" w14:textId="761760DE" w:rsidR="00147861" w:rsidRDefault="00147861">
      <w:pPr>
        <w:pStyle w:val="FootnoteText"/>
      </w:pPr>
      <w:r>
        <w:rPr>
          <w:rStyle w:val="FootnoteReference"/>
        </w:rPr>
        <w:footnoteRef/>
      </w:r>
      <w:r>
        <w:t xml:space="preserve"> </w:t>
      </w:r>
      <w:r w:rsidRPr="00C86FC4">
        <w:rPr>
          <w:i/>
          <w:iCs/>
          <w:sz w:val="18"/>
          <w:szCs w:val="18"/>
        </w:rPr>
        <w:t>Proof Committee Hansard</w:t>
      </w:r>
      <w:r w:rsidRPr="00C86FC4">
        <w:rPr>
          <w:sz w:val="18"/>
          <w:szCs w:val="18"/>
        </w:rPr>
        <w:t xml:space="preserve">, </w:t>
      </w:r>
      <w:r>
        <w:rPr>
          <w:sz w:val="18"/>
          <w:szCs w:val="18"/>
        </w:rPr>
        <w:t>31 October 2022, p 4.</w:t>
      </w:r>
    </w:p>
  </w:footnote>
  <w:footnote w:id="12">
    <w:p w14:paraId="7FC4B9E9" w14:textId="3CD0E191" w:rsidR="009527E0" w:rsidRDefault="009527E0">
      <w:pPr>
        <w:pStyle w:val="FootnoteText"/>
      </w:pPr>
      <w:r>
        <w:rPr>
          <w:rStyle w:val="FootnoteReference"/>
        </w:rPr>
        <w:footnoteRef/>
      </w:r>
      <w:r>
        <w:t xml:space="preserve"> </w:t>
      </w:r>
      <w:r w:rsidRPr="00C86FC4">
        <w:rPr>
          <w:i/>
          <w:iCs/>
          <w:sz w:val="18"/>
          <w:szCs w:val="18"/>
        </w:rPr>
        <w:t>Proof Committee Hansard</w:t>
      </w:r>
      <w:r w:rsidRPr="00C86FC4">
        <w:rPr>
          <w:sz w:val="18"/>
          <w:szCs w:val="18"/>
        </w:rPr>
        <w:t xml:space="preserve">, </w:t>
      </w:r>
      <w:r>
        <w:rPr>
          <w:sz w:val="18"/>
          <w:szCs w:val="18"/>
        </w:rPr>
        <w:t xml:space="preserve">31 October 2022, p </w:t>
      </w:r>
      <w:r w:rsidR="009002A8">
        <w:rPr>
          <w:sz w:val="18"/>
          <w:szCs w:val="18"/>
        </w:rPr>
        <w:t>6</w:t>
      </w:r>
      <w:r>
        <w:rPr>
          <w:sz w:val="18"/>
          <w:szCs w:val="18"/>
        </w:rPr>
        <w:t>.</w:t>
      </w:r>
    </w:p>
  </w:footnote>
  <w:footnote w:id="13">
    <w:p w14:paraId="3018333D" w14:textId="47F81A35" w:rsidR="00B62883" w:rsidRDefault="00B62883">
      <w:pPr>
        <w:pStyle w:val="FootnoteText"/>
      </w:pPr>
      <w:r>
        <w:rPr>
          <w:rStyle w:val="FootnoteReference"/>
        </w:rPr>
        <w:footnoteRef/>
      </w:r>
      <w:r>
        <w:t xml:space="preserve"> </w:t>
      </w:r>
      <w:r w:rsidRPr="00C86FC4">
        <w:rPr>
          <w:i/>
          <w:iCs/>
          <w:sz w:val="18"/>
          <w:szCs w:val="18"/>
        </w:rPr>
        <w:t>Proof Committee Hansard</w:t>
      </w:r>
      <w:r w:rsidRPr="00C86FC4">
        <w:rPr>
          <w:sz w:val="18"/>
          <w:szCs w:val="18"/>
        </w:rPr>
        <w:t xml:space="preserve">, </w:t>
      </w:r>
      <w:r>
        <w:rPr>
          <w:sz w:val="18"/>
          <w:szCs w:val="18"/>
        </w:rPr>
        <w:t>31 October 2022, p 6.</w:t>
      </w:r>
    </w:p>
  </w:footnote>
  <w:footnote w:id="14">
    <w:p w14:paraId="0F7C3459" w14:textId="57ECB9AA" w:rsidR="009002A8" w:rsidRDefault="009002A8">
      <w:pPr>
        <w:pStyle w:val="FootnoteText"/>
      </w:pPr>
      <w:r>
        <w:rPr>
          <w:rStyle w:val="FootnoteReference"/>
        </w:rPr>
        <w:footnoteRef/>
      </w:r>
      <w:r>
        <w:t xml:space="preserve"> </w:t>
      </w:r>
      <w:r w:rsidRPr="00C86FC4">
        <w:rPr>
          <w:i/>
          <w:iCs/>
          <w:sz w:val="18"/>
          <w:szCs w:val="18"/>
        </w:rPr>
        <w:t>Proof Committee Hansard</w:t>
      </w:r>
      <w:r w:rsidRPr="00C86FC4">
        <w:rPr>
          <w:sz w:val="18"/>
          <w:szCs w:val="18"/>
        </w:rPr>
        <w:t xml:space="preserve">, </w:t>
      </w:r>
      <w:r>
        <w:rPr>
          <w:sz w:val="18"/>
          <w:szCs w:val="18"/>
        </w:rPr>
        <w:t>31 October 2022, p 7.</w:t>
      </w:r>
    </w:p>
  </w:footnote>
  <w:footnote w:id="15">
    <w:p w14:paraId="42778F84" w14:textId="0651A3DF" w:rsidR="009002A8" w:rsidRDefault="009002A8">
      <w:pPr>
        <w:pStyle w:val="FootnoteText"/>
      </w:pPr>
      <w:r>
        <w:rPr>
          <w:rStyle w:val="FootnoteReference"/>
        </w:rPr>
        <w:footnoteRef/>
      </w:r>
      <w:r>
        <w:t xml:space="preserve"> </w:t>
      </w:r>
      <w:r w:rsidRPr="00C86FC4">
        <w:rPr>
          <w:i/>
          <w:iCs/>
          <w:sz w:val="18"/>
          <w:szCs w:val="18"/>
        </w:rPr>
        <w:t>Proof Committee Hansard</w:t>
      </w:r>
      <w:r w:rsidRPr="00C86FC4">
        <w:rPr>
          <w:sz w:val="18"/>
          <w:szCs w:val="18"/>
        </w:rPr>
        <w:t xml:space="preserve">, </w:t>
      </w:r>
      <w:r>
        <w:rPr>
          <w:sz w:val="18"/>
          <w:szCs w:val="18"/>
        </w:rPr>
        <w:t>31 October 2022, p 9.</w:t>
      </w:r>
    </w:p>
  </w:footnote>
  <w:footnote w:id="16">
    <w:p w14:paraId="505DF540" w14:textId="6C4E2303" w:rsidR="00B62883" w:rsidRDefault="00B62883">
      <w:pPr>
        <w:pStyle w:val="FootnoteText"/>
      </w:pPr>
      <w:r>
        <w:rPr>
          <w:rStyle w:val="FootnoteReference"/>
        </w:rPr>
        <w:footnoteRef/>
      </w:r>
      <w:r>
        <w:t xml:space="preserve"> </w:t>
      </w:r>
      <w:r w:rsidRPr="00C86FC4">
        <w:rPr>
          <w:i/>
          <w:iCs/>
          <w:sz w:val="18"/>
          <w:szCs w:val="18"/>
        </w:rPr>
        <w:t>Proof Committee Hansard</w:t>
      </w:r>
      <w:r w:rsidRPr="00C86FC4">
        <w:rPr>
          <w:sz w:val="18"/>
          <w:szCs w:val="18"/>
        </w:rPr>
        <w:t xml:space="preserve">, </w:t>
      </w:r>
      <w:r>
        <w:rPr>
          <w:sz w:val="18"/>
          <w:szCs w:val="18"/>
        </w:rPr>
        <w:t>31 October 2022, p 10.</w:t>
      </w:r>
    </w:p>
  </w:footnote>
  <w:footnote w:id="17">
    <w:p w14:paraId="62D6788E" w14:textId="69167E1E" w:rsidR="009002A8" w:rsidRDefault="009002A8">
      <w:pPr>
        <w:pStyle w:val="FootnoteText"/>
      </w:pPr>
      <w:r>
        <w:rPr>
          <w:rStyle w:val="FootnoteReference"/>
        </w:rPr>
        <w:footnoteRef/>
      </w:r>
      <w:r>
        <w:t xml:space="preserve"> </w:t>
      </w:r>
      <w:r w:rsidRPr="00C86FC4">
        <w:rPr>
          <w:i/>
          <w:iCs/>
          <w:sz w:val="18"/>
          <w:szCs w:val="18"/>
        </w:rPr>
        <w:t>Proof Committee Hansard</w:t>
      </w:r>
      <w:r w:rsidRPr="00C86FC4">
        <w:rPr>
          <w:sz w:val="18"/>
          <w:szCs w:val="18"/>
        </w:rPr>
        <w:t xml:space="preserve">, </w:t>
      </w:r>
      <w:r>
        <w:rPr>
          <w:sz w:val="18"/>
          <w:szCs w:val="18"/>
        </w:rPr>
        <w:t xml:space="preserve">31 October 2022, </w:t>
      </w:r>
      <w:r w:rsidRPr="00BA0DB1">
        <w:rPr>
          <w:sz w:val="18"/>
          <w:szCs w:val="18"/>
        </w:rPr>
        <w:t>p</w:t>
      </w:r>
      <w:r>
        <w:rPr>
          <w:sz w:val="18"/>
          <w:szCs w:val="18"/>
        </w:rPr>
        <w:t>p</w:t>
      </w:r>
      <w:r w:rsidRPr="00BA0DB1">
        <w:rPr>
          <w:sz w:val="18"/>
          <w:szCs w:val="18"/>
        </w:rPr>
        <w:t xml:space="preserve"> </w:t>
      </w:r>
      <w:r>
        <w:rPr>
          <w:sz w:val="18"/>
          <w:szCs w:val="18"/>
        </w:rPr>
        <w:t>10</w:t>
      </w:r>
      <w:r>
        <w:rPr>
          <w:sz w:val="18"/>
          <w:szCs w:val="18"/>
        </w:rPr>
        <w:softHyphen/>
      </w:r>
      <w:r>
        <w:rPr>
          <w:sz w:val="18"/>
          <w:szCs w:val="18"/>
        </w:rPr>
        <w:softHyphen/>
        <w:t>–11</w:t>
      </w:r>
      <w:r w:rsidRPr="00C86FC4">
        <w:rPr>
          <w:sz w:val="18"/>
          <w:szCs w:val="18"/>
        </w:rPr>
        <w:t>.</w:t>
      </w:r>
    </w:p>
  </w:footnote>
  <w:footnote w:id="18">
    <w:p w14:paraId="3DE73BE1" w14:textId="005BF4CE" w:rsidR="00B62883" w:rsidRDefault="00B62883">
      <w:pPr>
        <w:pStyle w:val="FootnoteText"/>
      </w:pPr>
      <w:r>
        <w:rPr>
          <w:rStyle w:val="FootnoteReference"/>
        </w:rPr>
        <w:footnoteRef/>
      </w:r>
      <w:r>
        <w:t xml:space="preserve"> </w:t>
      </w:r>
      <w:r w:rsidRPr="00C86FC4">
        <w:rPr>
          <w:i/>
          <w:iCs/>
          <w:sz w:val="18"/>
          <w:szCs w:val="18"/>
        </w:rPr>
        <w:t>Proof Committee Hansard</w:t>
      </w:r>
      <w:r w:rsidRPr="00C86FC4">
        <w:rPr>
          <w:sz w:val="18"/>
          <w:szCs w:val="18"/>
        </w:rPr>
        <w:t xml:space="preserve">, </w:t>
      </w:r>
      <w:r>
        <w:rPr>
          <w:sz w:val="18"/>
          <w:szCs w:val="18"/>
        </w:rPr>
        <w:t>31 October 2022, p 11.</w:t>
      </w:r>
    </w:p>
  </w:footnote>
  <w:footnote w:id="19">
    <w:p w14:paraId="5CEAC425" w14:textId="5F7DD55B" w:rsidR="009002A8" w:rsidRDefault="009002A8">
      <w:pPr>
        <w:pStyle w:val="FootnoteText"/>
      </w:pPr>
      <w:r>
        <w:rPr>
          <w:rStyle w:val="FootnoteReference"/>
        </w:rPr>
        <w:footnoteRef/>
      </w:r>
      <w:r>
        <w:t xml:space="preserve"> </w:t>
      </w:r>
      <w:r w:rsidRPr="00C86FC4">
        <w:rPr>
          <w:i/>
          <w:iCs/>
          <w:sz w:val="18"/>
          <w:szCs w:val="18"/>
        </w:rPr>
        <w:t>Proof Committee Hansard</w:t>
      </w:r>
      <w:r w:rsidRPr="00C86FC4">
        <w:rPr>
          <w:sz w:val="18"/>
          <w:szCs w:val="18"/>
        </w:rPr>
        <w:t xml:space="preserve">, </w:t>
      </w:r>
      <w:r>
        <w:rPr>
          <w:sz w:val="18"/>
          <w:szCs w:val="18"/>
        </w:rPr>
        <w:t>31 October 2022, p 12.</w:t>
      </w:r>
    </w:p>
  </w:footnote>
  <w:footnote w:id="20">
    <w:p w14:paraId="133ABCF3" w14:textId="5DEE9A84" w:rsidR="00B62883" w:rsidRDefault="00B62883">
      <w:pPr>
        <w:pStyle w:val="FootnoteText"/>
      </w:pPr>
      <w:r>
        <w:rPr>
          <w:rStyle w:val="FootnoteReference"/>
        </w:rPr>
        <w:footnoteRef/>
      </w:r>
      <w:r>
        <w:t xml:space="preserve"> </w:t>
      </w:r>
      <w:r w:rsidRPr="00C86FC4">
        <w:rPr>
          <w:i/>
          <w:iCs/>
          <w:sz w:val="18"/>
          <w:szCs w:val="18"/>
        </w:rPr>
        <w:t>Proof Committee Hansard</w:t>
      </w:r>
      <w:r w:rsidRPr="00C86FC4">
        <w:rPr>
          <w:sz w:val="18"/>
          <w:szCs w:val="18"/>
        </w:rPr>
        <w:t xml:space="preserve">, </w:t>
      </w:r>
      <w:r>
        <w:rPr>
          <w:sz w:val="18"/>
          <w:szCs w:val="18"/>
        </w:rPr>
        <w:t>31 October 2022, p 15.</w:t>
      </w:r>
    </w:p>
  </w:footnote>
  <w:footnote w:id="21">
    <w:p w14:paraId="5A829E52" w14:textId="74382D85" w:rsidR="00B62883" w:rsidRDefault="00B62883">
      <w:pPr>
        <w:pStyle w:val="FootnoteText"/>
      </w:pPr>
      <w:r>
        <w:rPr>
          <w:rStyle w:val="FootnoteReference"/>
        </w:rPr>
        <w:footnoteRef/>
      </w:r>
      <w:r>
        <w:t xml:space="preserve"> </w:t>
      </w:r>
      <w:r w:rsidRPr="00C86FC4">
        <w:rPr>
          <w:i/>
          <w:iCs/>
          <w:sz w:val="18"/>
          <w:szCs w:val="18"/>
        </w:rPr>
        <w:t>Proof Committee Hansard</w:t>
      </w:r>
      <w:r w:rsidRPr="00C86FC4">
        <w:rPr>
          <w:sz w:val="18"/>
          <w:szCs w:val="18"/>
        </w:rPr>
        <w:t xml:space="preserve">, </w:t>
      </w:r>
      <w:r>
        <w:rPr>
          <w:sz w:val="18"/>
          <w:szCs w:val="18"/>
        </w:rPr>
        <w:t>31 October 2022, p 17.</w:t>
      </w:r>
    </w:p>
  </w:footnote>
  <w:footnote w:id="22">
    <w:p w14:paraId="1ACA3B0D" w14:textId="4AA4A8D2" w:rsidR="000C58FD" w:rsidRDefault="000C58FD">
      <w:pPr>
        <w:pStyle w:val="FootnoteText"/>
      </w:pPr>
      <w:r>
        <w:rPr>
          <w:rStyle w:val="FootnoteReference"/>
        </w:rPr>
        <w:footnoteRef/>
      </w:r>
      <w:r>
        <w:t xml:space="preserve"> </w:t>
      </w:r>
      <w:r w:rsidRPr="00C86FC4">
        <w:rPr>
          <w:i/>
          <w:iCs/>
          <w:sz w:val="18"/>
          <w:szCs w:val="18"/>
        </w:rPr>
        <w:t>Proof Committee Hansard</w:t>
      </w:r>
      <w:r w:rsidRPr="00C86FC4">
        <w:rPr>
          <w:sz w:val="18"/>
          <w:szCs w:val="18"/>
        </w:rPr>
        <w:t xml:space="preserve">, </w:t>
      </w:r>
      <w:r>
        <w:rPr>
          <w:sz w:val="18"/>
          <w:szCs w:val="18"/>
        </w:rPr>
        <w:t>31 October 2022, p 19.</w:t>
      </w:r>
    </w:p>
  </w:footnote>
  <w:footnote w:id="23">
    <w:p w14:paraId="3CEA047E" w14:textId="2EF077F8" w:rsidR="00B62883" w:rsidRDefault="00B62883">
      <w:pPr>
        <w:pStyle w:val="FootnoteText"/>
      </w:pPr>
      <w:r>
        <w:rPr>
          <w:rStyle w:val="FootnoteReference"/>
        </w:rPr>
        <w:footnoteRef/>
      </w:r>
      <w:r>
        <w:t xml:space="preserve"> </w:t>
      </w:r>
      <w:r w:rsidRPr="00C86FC4">
        <w:rPr>
          <w:i/>
          <w:iCs/>
          <w:sz w:val="18"/>
          <w:szCs w:val="18"/>
        </w:rPr>
        <w:t>Proof Committee Hansard</w:t>
      </w:r>
      <w:r w:rsidRPr="00C86FC4">
        <w:rPr>
          <w:sz w:val="18"/>
          <w:szCs w:val="18"/>
        </w:rPr>
        <w:t xml:space="preserve">, </w:t>
      </w:r>
      <w:r>
        <w:rPr>
          <w:sz w:val="18"/>
          <w:szCs w:val="18"/>
        </w:rPr>
        <w:t>31 October 2022, p 18.</w:t>
      </w:r>
    </w:p>
  </w:footnote>
  <w:footnote w:id="24">
    <w:p w14:paraId="787791AA" w14:textId="2F7D38DB" w:rsidR="00B62883" w:rsidRDefault="00B62883">
      <w:pPr>
        <w:pStyle w:val="FootnoteText"/>
      </w:pPr>
      <w:r>
        <w:rPr>
          <w:rStyle w:val="FootnoteReference"/>
        </w:rPr>
        <w:footnoteRef/>
      </w:r>
      <w:r>
        <w:t xml:space="preserve"> </w:t>
      </w:r>
      <w:r w:rsidRPr="00C86FC4">
        <w:rPr>
          <w:i/>
          <w:iCs/>
          <w:sz w:val="18"/>
          <w:szCs w:val="18"/>
        </w:rPr>
        <w:t>Proof Committee Hansard</w:t>
      </w:r>
      <w:r w:rsidRPr="00C86FC4">
        <w:rPr>
          <w:sz w:val="18"/>
          <w:szCs w:val="18"/>
        </w:rPr>
        <w:t xml:space="preserve">, </w:t>
      </w:r>
      <w:r>
        <w:rPr>
          <w:sz w:val="18"/>
          <w:szCs w:val="18"/>
        </w:rPr>
        <w:t>31 October 2022, p 19.</w:t>
      </w:r>
    </w:p>
  </w:footnote>
  <w:footnote w:id="25">
    <w:p w14:paraId="6F12CF5D" w14:textId="289AADFC" w:rsidR="000C58FD" w:rsidRDefault="000C58FD">
      <w:pPr>
        <w:pStyle w:val="FootnoteText"/>
      </w:pPr>
      <w:r>
        <w:rPr>
          <w:rStyle w:val="FootnoteReference"/>
        </w:rPr>
        <w:footnoteRef/>
      </w:r>
      <w:r>
        <w:t xml:space="preserve"> </w:t>
      </w:r>
      <w:r w:rsidRPr="00C86FC4">
        <w:rPr>
          <w:i/>
          <w:iCs/>
          <w:sz w:val="18"/>
          <w:szCs w:val="18"/>
        </w:rPr>
        <w:t>Proof Committee Hansard</w:t>
      </w:r>
      <w:r w:rsidRPr="00C86FC4">
        <w:rPr>
          <w:sz w:val="18"/>
          <w:szCs w:val="18"/>
        </w:rPr>
        <w:t xml:space="preserve">, </w:t>
      </w:r>
      <w:r>
        <w:rPr>
          <w:sz w:val="18"/>
          <w:szCs w:val="18"/>
        </w:rPr>
        <w:t>31 October 2022, p 20.</w:t>
      </w:r>
    </w:p>
  </w:footnote>
  <w:footnote w:id="26">
    <w:p w14:paraId="43F8C177" w14:textId="7BF1CFF5" w:rsidR="000C58FD" w:rsidRDefault="000C58FD">
      <w:pPr>
        <w:pStyle w:val="FootnoteText"/>
      </w:pPr>
      <w:r>
        <w:rPr>
          <w:rStyle w:val="FootnoteReference"/>
        </w:rPr>
        <w:footnoteRef/>
      </w:r>
      <w:r>
        <w:t xml:space="preserve"> </w:t>
      </w:r>
      <w:r w:rsidRPr="00C86FC4">
        <w:rPr>
          <w:i/>
          <w:iCs/>
          <w:sz w:val="18"/>
          <w:szCs w:val="18"/>
        </w:rPr>
        <w:t>Proof Committee Hansard</w:t>
      </w:r>
      <w:r w:rsidRPr="00C86FC4">
        <w:rPr>
          <w:sz w:val="18"/>
          <w:szCs w:val="18"/>
        </w:rPr>
        <w:t xml:space="preserve">, </w:t>
      </w:r>
      <w:r>
        <w:rPr>
          <w:sz w:val="18"/>
          <w:szCs w:val="18"/>
        </w:rPr>
        <w:t>31 October 2022, p 24.</w:t>
      </w:r>
    </w:p>
  </w:footnote>
  <w:footnote w:id="27">
    <w:p w14:paraId="2DAEFF95" w14:textId="2C66AA67" w:rsidR="000C58FD" w:rsidRPr="00FD32EF" w:rsidRDefault="000C58FD">
      <w:pPr>
        <w:pStyle w:val="FootnoteText"/>
        <w:rPr>
          <w:sz w:val="18"/>
          <w:szCs w:val="18"/>
        </w:rPr>
      </w:pPr>
      <w:r w:rsidRPr="00FD32EF">
        <w:rPr>
          <w:rStyle w:val="FootnoteReference"/>
          <w:sz w:val="18"/>
          <w:szCs w:val="18"/>
        </w:rPr>
        <w:footnoteRef/>
      </w:r>
      <w:r w:rsidRPr="00FD32EF">
        <w:rPr>
          <w:sz w:val="18"/>
          <w:szCs w:val="18"/>
        </w:rPr>
        <w:t xml:space="preserve"> </w:t>
      </w:r>
      <w:r w:rsidRPr="00FD32EF">
        <w:rPr>
          <w:i/>
          <w:iCs/>
          <w:sz w:val="18"/>
          <w:szCs w:val="18"/>
        </w:rPr>
        <w:t>Proof Committee Hansard</w:t>
      </w:r>
      <w:r w:rsidRPr="00FD32EF">
        <w:rPr>
          <w:sz w:val="18"/>
          <w:szCs w:val="18"/>
        </w:rPr>
        <w:t>, 31 October 2022, p 24.</w:t>
      </w:r>
    </w:p>
  </w:footnote>
  <w:footnote w:id="28">
    <w:p w14:paraId="27E06763" w14:textId="7C714805" w:rsidR="000C58FD" w:rsidRPr="00FD32EF" w:rsidRDefault="000C58FD">
      <w:pPr>
        <w:pStyle w:val="FootnoteText"/>
        <w:rPr>
          <w:sz w:val="18"/>
          <w:szCs w:val="18"/>
        </w:rPr>
      </w:pPr>
      <w:r w:rsidRPr="00FD32EF">
        <w:rPr>
          <w:rStyle w:val="FootnoteReference"/>
          <w:sz w:val="18"/>
          <w:szCs w:val="18"/>
        </w:rPr>
        <w:footnoteRef/>
      </w:r>
      <w:r w:rsidRPr="00FD32EF">
        <w:rPr>
          <w:sz w:val="18"/>
          <w:szCs w:val="18"/>
        </w:rPr>
        <w:t xml:space="preserve"> </w:t>
      </w:r>
      <w:r w:rsidRPr="00FD32EF">
        <w:rPr>
          <w:i/>
          <w:iCs/>
          <w:sz w:val="18"/>
          <w:szCs w:val="18"/>
        </w:rPr>
        <w:t>Proof Committee Hansard</w:t>
      </w:r>
      <w:r w:rsidRPr="00FD32EF">
        <w:rPr>
          <w:sz w:val="18"/>
          <w:szCs w:val="18"/>
        </w:rPr>
        <w:t>, 31 October 2022, p 24.</w:t>
      </w:r>
    </w:p>
  </w:footnote>
  <w:footnote w:id="29">
    <w:p w14:paraId="797E8018" w14:textId="09ED8D9D" w:rsidR="000C58FD" w:rsidRPr="00FD32EF" w:rsidRDefault="000C58FD">
      <w:pPr>
        <w:pStyle w:val="FootnoteText"/>
        <w:rPr>
          <w:sz w:val="18"/>
          <w:szCs w:val="18"/>
        </w:rPr>
      </w:pPr>
      <w:r w:rsidRPr="00FD32EF">
        <w:rPr>
          <w:rStyle w:val="FootnoteReference"/>
          <w:sz w:val="18"/>
          <w:szCs w:val="18"/>
        </w:rPr>
        <w:footnoteRef/>
      </w:r>
      <w:r w:rsidRPr="00FD32EF">
        <w:rPr>
          <w:sz w:val="18"/>
          <w:szCs w:val="18"/>
        </w:rPr>
        <w:t xml:space="preserve"> </w:t>
      </w:r>
      <w:r w:rsidRPr="00FD32EF">
        <w:rPr>
          <w:i/>
          <w:iCs/>
          <w:sz w:val="18"/>
          <w:szCs w:val="18"/>
        </w:rPr>
        <w:t>Proof Committee Hansard</w:t>
      </w:r>
      <w:r w:rsidRPr="00FD32EF">
        <w:rPr>
          <w:sz w:val="18"/>
          <w:szCs w:val="18"/>
        </w:rPr>
        <w:t>, 31 October 2022, p 26.</w:t>
      </w:r>
    </w:p>
  </w:footnote>
  <w:footnote w:id="30">
    <w:p w14:paraId="2C591C9C" w14:textId="52674AE6" w:rsidR="002C5DED" w:rsidRPr="002C5DED" w:rsidRDefault="002C5DED">
      <w:pPr>
        <w:pStyle w:val="FootnoteText"/>
        <w:rPr>
          <w:sz w:val="18"/>
          <w:szCs w:val="18"/>
        </w:rPr>
      </w:pPr>
      <w:r w:rsidRPr="002C5DED">
        <w:rPr>
          <w:rStyle w:val="FootnoteReference"/>
          <w:sz w:val="18"/>
          <w:szCs w:val="18"/>
        </w:rPr>
        <w:footnoteRef/>
      </w:r>
      <w:r w:rsidR="00CB619D">
        <w:rPr>
          <w:sz w:val="18"/>
          <w:szCs w:val="18"/>
        </w:rPr>
        <w:t xml:space="preserve"> </w:t>
      </w:r>
      <w:r w:rsidR="00CB619D" w:rsidRPr="00CB619D">
        <w:rPr>
          <w:sz w:val="18"/>
          <w:szCs w:val="18"/>
        </w:rPr>
        <w:t>Environment, Planning and Sustainable Development Directorate</w:t>
      </w:r>
      <w:r w:rsidR="001E1704">
        <w:rPr>
          <w:sz w:val="18"/>
          <w:szCs w:val="18"/>
        </w:rPr>
        <w:t xml:space="preserve">, </w:t>
      </w:r>
      <w:r w:rsidR="001E1704" w:rsidRPr="001E1704">
        <w:rPr>
          <w:i/>
          <w:iCs/>
          <w:sz w:val="18"/>
          <w:szCs w:val="18"/>
        </w:rPr>
        <w:t>Western Edge Investigation</w:t>
      </w:r>
      <w:r w:rsidR="001E1704">
        <w:rPr>
          <w:sz w:val="18"/>
          <w:szCs w:val="18"/>
        </w:rPr>
        <w:t xml:space="preserve">, </w:t>
      </w:r>
      <w:hyperlink r:id="rId7" w:history="1">
        <w:r w:rsidR="001E1704" w:rsidRPr="00A4761A">
          <w:rPr>
            <w:rStyle w:val="Hyperlink"/>
            <w:sz w:val="18"/>
            <w:szCs w:val="18"/>
          </w:rPr>
          <w:t>https://www.planning.act.gov.au/planning-our-city/planning-studies/western-edge-investigation</w:t>
        </w:r>
      </w:hyperlink>
      <w:r w:rsidR="001E1704">
        <w:rPr>
          <w:sz w:val="18"/>
          <w:szCs w:val="18"/>
        </w:rPr>
        <w:t xml:space="preserve"> (accessed 8 March 2023).</w:t>
      </w:r>
    </w:p>
  </w:footnote>
  <w:footnote w:id="31">
    <w:p w14:paraId="268A788D" w14:textId="076BE31B" w:rsidR="00670DF4" w:rsidRPr="00645FFF" w:rsidRDefault="00670DF4">
      <w:pPr>
        <w:pStyle w:val="FootnoteText"/>
        <w:rPr>
          <w:sz w:val="18"/>
          <w:szCs w:val="18"/>
        </w:rPr>
      </w:pPr>
      <w:r w:rsidRPr="00645FFF">
        <w:rPr>
          <w:rStyle w:val="FootnoteReference"/>
          <w:sz w:val="18"/>
          <w:szCs w:val="18"/>
        </w:rPr>
        <w:footnoteRef/>
      </w:r>
      <w:r w:rsidRPr="00645FFF">
        <w:rPr>
          <w:sz w:val="18"/>
          <w:szCs w:val="18"/>
        </w:rPr>
        <w:t xml:space="preserve"> </w:t>
      </w:r>
      <w:r w:rsidR="00CB619D" w:rsidRPr="00CB619D">
        <w:rPr>
          <w:sz w:val="18"/>
          <w:szCs w:val="18"/>
        </w:rPr>
        <w:t>Environment, Planning and Sustainable Development Directorate</w:t>
      </w:r>
      <w:r w:rsidR="001E1704" w:rsidRPr="00645FFF">
        <w:rPr>
          <w:sz w:val="18"/>
          <w:szCs w:val="18"/>
        </w:rPr>
        <w:t xml:space="preserve">, </w:t>
      </w:r>
      <w:hyperlink r:id="rId8" w:history="1">
        <w:r w:rsidR="001E1704" w:rsidRPr="00645FFF">
          <w:rPr>
            <w:rStyle w:val="Hyperlink"/>
            <w:i/>
            <w:iCs/>
            <w:sz w:val="18"/>
            <w:szCs w:val="18"/>
          </w:rPr>
          <w:t>Annual Report 2021-22</w:t>
        </w:r>
      </w:hyperlink>
      <w:r w:rsidR="001E1704" w:rsidRPr="00645FFF">
        <w:rPr>
          <w:sz w:val="18"/>
          <w:szCs w:val="18"/>
        </w:rPr>
        <w:t xml:space="preserve">, </w:t>
      </w:r>
      <w:r w:rsidR="002828D4">
        <w:rPr>
          <w:sz w:val="18"/>
          <w:szCs w:val="18"/>
        </w:rPr>
        <w:t xml:space="preserve">October 2022, </w:t>
      </w:r>
      <w:r w:rsidR="001E1704" w:rsidRPr="00645FFF">
        <w:rPr>
          <w:sz w:val="18"/>
          <w:szCs w:val="18"/>
        </w:rPr>
        <w:t>p 26.</w:t>
      </w:r>
    </w:p>
  </w:footnote>
  <w:footnote w:id="32">
    <w:p w14:paraId="4D4323D0" w14:textId="2A8954E4" w:rsidR="00645FFF" w:rsidRPr="00645FFF" w:rsidRDefault="00645FFF">
      <w:pPr>
        <w:pStyle w:val="FootnoteText"/>
        <w:rPr>
          <w:sz w:val="18"/>
          <w:szCs w:val="18"/>
        </w:rPr>
      </w:pPr>
      <w:r w:rsidRPr="00645FFF">
        <w:rPr>
          <w:rStyle w:val="FootnoteReference"/>
          <w:sz w:val="18"/>
          <w:szCs w:val="18"/>
        </w:rPr>
        <w:footnoteRef/>
      </w:r>
      <w:r w:rsidRPr="00645FFF">
        <w:rPr>
          <w:sz w:val="18"/>
          <w:szCs w:val="18"/>
        </w:rPr>
        <w:t xml:space="preserve"> </w:t>
      </w:r>
      <w:r w:rsidR="002828D4" w:rsidRPr="00C86FC4">
        <w:rPr>
          <w:i/>
          <w:iCs/>
          <w:sz w:val="18"/>
          <w:szCs w:val="18"/>
        </w:rPr>
        <w:t>Proof Committee Hansard</w:t>
      </w:r>
      <w:r w:rsidR="002828D4" w:rsidRPr="00C86FC4">
        <w:rPr>
          <w:sz w:val="18"/>
          <w:szCs w:val="18"/>
        </w:rPr>
        <w:t xml:space="preserve">, </w:t>
      </w:r>
      <w:r w:rsidR="002828D4">
        <w:rPr>
          <w:sz w:val="18"/>
          <w:szCs w:val="18"/>
        </w:rPr>
        <w:t>31 October 2022, p 19.</w:t>
      </w:r>
    </w:p>
  </w:footnote>
  <w:footnote w:id="33">
    <w:p w14:paraId="6002C738" w14:textId="00D25B25" w:rsidR="002B529E" w:rsidRPr="001E1704" w:rsidRDefault="002B529E">
      <w:pPr>
        <w:pStyle w:val="FootnoteText"/>
        <w:rPr>
          <w:sz w:val="18"/>
          <w:szCs w:val="18"/>
        </w:rPr>
      </w:pPr>
      <w:r w:rsidRPr="00645FFF">
        <w:rPr>
          <w:rStyle w:val="FootnoteReference"/>
          <w:sz w:val="18"/>
          <w:szCs w:val="18"/>
        </w:rPr>
        <w:footnoteRef/>
      </w:r>
      <w:r w:rsidRPr="00645FFF">
        <w:rPr>
          <w:sz w:val="18"/>
          <w:szCs w:val="18"/>
        </w:rPr>
        <w:t xml:space="preserve"> </w:t>
      </w:r>
      <w:r w:rsidR="001E1704" w:rsidRPr="00645FFF">
        <w:rPr>
          <w:sz w:val="18"/>
          <w:szCs w:val="18"/>
        </w:rPr>
        <w:t>Mr</w:t>
      </w:r>
      <w:r w:rsidR="001E1704">
        <w:rPr>
          <w:sz w:val="18"/>
          <w:szCs w:val="18"/>
        </w:rPr>
        <w:t xml:space="preserve"> Mick Gentleman MLA, Minister for Planning and Land Management, </w:t>
      </w:r>
      <w:r w:rsidR="001E1704" w:rsidRPr="001E1704">
        <w:rPr>
          <w:i/>
          <w:iCs/>
          <w:sz w:val="18"/>
          <w:szCs w:val="18"/>
        </w:rPr>
        <w:t>Proof Committee Hansard</w:t>
      </w:r>
      <w:r w:rsidR="001E1704">
        <w:rPr>
          <w:sz w:val="18"/>
          <w:szCs w:val="18"/>
        </w:rPr>
        <w:t>, 31 October 2022, p 18.</w:t>
      </w:r>
    </w:p>
  </w:footnote>
  <w:footnote w:id="34">
    <w:p w14:paraId="5C244C94" w14:textId="188C015D" w:rsidR="004F4439" w:rsidRPr="00FD32EF" w:rsidRDefault="004F4439" w:rsidP="004F4439">
      <w:pPr>
        <w:pStyle w:val="FootnoteText"/>
        <w:rPr>
          <w:sz w:val="18"/>
          <w:szCs w:val="18"/>
        </w:rPr>
      </w:pPr>
      <w:r w:rsidRPr="001E1704">
        <w:rPr>
          <w:rStyle w:val="FootnoteReference"/>
          <w:sz w:val="18"/>
          <w:szCs w:val="18"/>
        </w:rPr>
        <w:footnoteRef/>
      </w:r>
      <w:r w:rsidRPr="001E1704">
        <w:rPr>
          <w:sz w:val="18"/>
          <w:szCs w:val="18"/>
        </w:rPr>
        <w:t xml:space="preserve"> </w:t>
      </w:r>
      <w:r w:rsidRPr="001E1704">
        <w:rPr>
          <w:i/>
          <w:iCs/>
          <w:sz w:val="18"/>
          <w:szCs w:val="18"/>
        </w:rPr>
        <w:t>Proof</w:t>
      </w:r>
      <w:r w:rsidRPr="00FD32EF">
        <w:rPr>
          <w:i/>
          <w:iCs/>
          <w:sz w:val="18"/>
          <w:szCs w:val="18"/>
        </w:rPr>
        <w:t xml:space="preserve"> Committee Hansard</w:t>
      </w:r>
      <w:r w:rsidRPr="00FD32EF">
        <w:rPr>
          <w:sz w:val="18"/>
          <w:szCs w:val="18"/>
        </w:rPr>
        <w:t xml:space="preserve">, </w:t>
      </w:r>
      <w:r w:rsidR="00FD32EF">
        <w:rPr>
          <w:sz w:val="18"/>
          <w:szCs w:val="18"/>
        </w:rPr>
        <w:t>14 November 2022, p 122.</w:t>
      </w:r>
    </w:p>
  </w:footnote>
  <w:footnote w:id="35">
    <w:p w14:paraId="73235F1E" w14:textId="68ECB4DC" w:rsidR="00FD32EF" w:rsidRPr="00FD32EF" w:rsidRDefault="00FD32EF">
      <w:pPr>
        <w:pStyle w:val="FootnoteText"/>
        <w:rPr>
          <w:sz w:val="18"/>
          <w:szCs w:val="18"/>
        </w:rPr>
      </w:pPr>
      <w:r w:rsidRPr="00FD32EF">
        <w:rPr>
          <w:rStyle w:val="FootnoteReference"/>
          <w:sz w:val="18"/>
          <w:szCs w:val="18"/>
        </w:rPr>
        <w:footnoteRef/>
      </w:r>
      <w:r w:rsidRPr="00FD32EF">
        <w:rPr>
          <w:sz w:val="18"/>
          <w:szCs w:val="18"/>
        </w:rPr>
        <w:t xml:space="preserve"> </w:t>
      </w:r>
      <w:r w:rsidRPr="00FD32EF">
        <w:rPr>
          <w:i/>
          <w:iCs/>
          <w:sz w:val="18"/>
          <w:szCs w:val="18"/>
        </w:rPr>
        <w:t>Proof Committee Hansard</w:t>
      </w:r>
      <w:r w:rsidRPr="00FD32EF">
        <w:rPr>
          <w:sz w:val="18"/>
          <w:szCs w:val="18"/>
        </w:rPr>
        <w:t xml:space="preserve">, </w:t>
      </w:r>
      <w:r>
        <w:rPr>
          <w:sz w:val="18"/>
          <w:szCs w:val="18"/>
        </w:rPr>
        <w:t xml:space="preserve">14 November 2022, p </w:t>
      </w:r>
      <w:r w:rsidR="00DC3400">
        <w:rPr>
          <w:sz w:val="18"/>
          <w:szCs w:val="18"/>
        </w:rPr>
        <w:t>124</w:t>
      </w:r>
      <w:r>
        <w:rPr>
          <w:sz w:val="18"/>
          <w:szCs w:val="18"/>
        </w:rPr>
        <w:t>.</w:t>
      </w:r>
    </w:p>
  </w:footnote>
  <w:footnote w:id="36">
    <w:p w14:paraId="0103CD48" w14:textId="083E85FE" w:rsidR="00FD32EF" w:rsidRPr="00FD32EF" w:rsidRDefault="00FD32EF">
      <w:pPr>
        <w:pStyle w:val="FootnoteText"/>
        <w:rPr>
          <w:sz w:val="18"/>
          <w:szCs w:val="18"/>
        </w:rPr>
      </w:pPr>
      <w:r w:rsidRPr="00FD32EF">
        <w:rPr>
          <w:rStyle w:val="FootnoteReference"/>
          <w:sz w:val="18"/>
          <w:szCs w:val="18"/>
        </w:rPr>
        <w:footnoteRef/>
      </w:r>
      <w:r w:rsidRPr="00FD32EF">
        <w:rPr>
          <w:sz w:val="18"/>
          <w:szCs w:val="18"/>
        </w:rPr>
        <w:t xml:space="preserve"> </w:t>
      </w:r>
      <w:r w:rsidRPr="00FD32EF">
        <w:rPr>
          <w:i/>
          <w:iCs/>
          <w:sz w:val="18"/>
          <w:szCs w:val="18"/>
        </w:rPr>
        <w:t>Proof Committee Hansard</w:t>
      </w:r>
      <w:r w:rsidRPr="00FD32EF">
        <w:rPr>
          <w:sz w:val="18"/>
          <w:szCs w:val="18"/>
        </w:rPr>
        <w:t xml:space="preserve">, </w:t>
      </w:r>
      <w:r>
        <w:rPr>
          <w:sz w:val="18"/>
          <w:szCs w:val="18"/>
        </w:rPr>
        <w:t xml:space="preserve">14 November 2022, p </w:t>
      </w:r>
      <w:r w:rsidR="00DC3400">
        <w:rPr>
          <w:sz w:val="18"/>
          <w:szCs w:val="18"/>
        </w:rPr>
        <w:t>126</w:t>
      </w:r>
      <w:r>
        <w:rPr>
          <w:sz w:val="18"/>
          <w:szCs w:val="18"/>
        </w:rPr>
        <w:t>.</w:t>
      </w:r>
    </w:p>
  </w:footnote>
  <w:footnote w:id="37">
    <w:p w14:paraId="290891DC" w14:textId="16DB350D" w:rsidR="00FD32EF" w:rsidRPr="00FD32EF" w:rsidRDefault="00FD32EF">
      <w:pPr>
        <w:pStyle w:val="FootnoteText"/>
        <w:rPr>
          <w:sz w:val="18"/>
          <w:szCs w:val="18"/>
        </w:rPr>
      </w:pPr>
      <w:r w:rsidRPr="00FD32EF">
        <w:rPr>
          <w:rStyle w:val="FootnoteReference"/>
          <w:sz w:val="18"/>
          <w:szCs w:val="18"/>
        </w:rPr>
        <w:footnoteRef/>
      </w:r>
      <w:r w:rsidRPr="00FD32EF">
        <w:rPr>
          <w:sz w:val="18"/>
          <w:szCs w:val="18"/>
        </w:rPr>
        <w:t xml:space="preserve"> </w:t>
      </w:r>
      <w:r w:rsidRPr="00FD32EF">
        <w:rPr>
          <w:i/>
          <w:iCs/>
          <w:sz w:val="18"/>
          <w:szCs w:val="18"/>
        </w:rPr>
        <w:t>Proof Committee Hansard</w:t>
      </w:r>
      <w:r w:rsidRPr="00FD32EF">
        <w:rPr>
          <w:sz w:val="18"/>
          <w:szCs w:val="18"/>
        </w:rPr>
        <w:t xml:space="preserve">, </w:t>
      </w:r>
      <w:r>
        <w:rPr>
          <w:sz w:val="18"/>
          <w:szCs w:val="18"/>
        </w:rPr>
        <w:t>14 November 2022, p</w:t>
      </w:r>
      <w:r w:rsidR="00DC3400">
        <w:rPr>
          <w:sz w:val="18"/>
          <w:szCs w:val="18"/>
        </w:rPr>
        <w:t>p 126–127</w:t>
      </w:r>
      <w:r>
        <w:rPr>
          <w:sz w:val="18"/>
          <w:szCs w:val="18"/>
        </w:rPr>
        <w:t xml:space="preserve"> .</w:t>
      </w:r>
    </w:p>
  </w:footnote>
  <w:footnote w:id="38">
    <w:p w14:paraId="0A8A94BD" w14:textId="75562A0A" w:rsidR="00FD32EF" w:rsidRPr="00FD32EF" w:rsidRDefault="00FD32EF">
      <w:pPr>
        <w:pStyle w:val="FootnoteText"/>
        <w:rPr>
          <w:sz w:val="18"/>
          <w:szCs w:val="18"/>
        </w:rPr>
      </w:pPr>
      <w:r w:rsidRPr="00FD32EF">
        <w:rPr>
          <w:rStyle w:val="FootnoteReference"/>
          <w:sz w:val="18"/>
          <w:szCs w:val="18"/>
        </w:rPr>
        <w:footnoteRef/>
      </w:r>
      <w:r w:rsidRPr="00FD32EF">
        <w:rPr>
          <w:sz w:val="18"/>
          <w:szCs w:val="18"/>
        </w:rPr>
        <w:t xml:space="preserve"> </w:t>
      </w:r>
      <w:r w:rsidRPr="00FD32EF">
        <w:rPr>
          <w:i/>
          <w:iCs/>
          <w:sz w:val="18"/>
          <w:szCs w:val="18"/>
        </w:rPr>
        <w:t>Proof Committee Hansard</w:t>
      </w:r>
      <w:r w:rsidRPr="00FD32EF">
        <w:rPr>
          <w:sz w:val="18"/>
          <w:szCs w:val="18"/>
        </w:rPr>
        <w:t xml:space="preserve">, </w:t>
      </w:r>
      <w:r>
        <w:rPr>
          <w:sz w:val="18"/>
          <w:szCs w:val="18"/>
        </w:rPr>
        <w:t xml:space="preserve">14 November 2022, p </w:t>
      </w:r>
      <w:r w:rsidR="00DC3400">
        <w:rPr>
          <w:sz w:val="18"/>
          <w:szCs w:val="18"/>
        </w:rPr>
        <w:t>127</w:t>
      </w:r>
      <w:r>
        <w:rPr>
          <w:sz w:val="18"/>
          <w:szCs w:val="18"/>
        </w:rPr>
        <w:t>.</w:t>
      </w:r>
    </w:p>
  </w:footnote>
  <w:footnote w:id="39">
    <w:p w14:paraId="5B8DD9F6" w14:textId="260B25A0" w:rsidR="00FD32EF" w:rsidRPr="00FD32EF" w:rsidRDefault="00FD32EF">
      <w:pPr>
        <w:pStyle w:val="FootnoteText"/>
        <w:rPr>
          <w:sz w:val="18"/>
          <w:szCs w:val="18"/>
        </w:rPr>
      </w:pPr>
      <w:r w:rsidRPr="00FD32EF">
        <w:rPr>
          <w:rStyle w:val="FootnoteReference"/>
          <w:sz w:val="18"/>
          <w:szCs w:val="18"/>
        </w:rPr>
        <w:footnoteRef/>
      </w:r>
      <w:r w:rsidRPr="00FD32EF">
        <w:rPr>
          <w:sz w:val="18"/>
          <w:szCs w:val="18"/>
        </w:rPr>
        <w:t xml:space="preserve"> </w:t>
      </w:r>
      <w:r w:rsidRPr="00FD32EF">
        <w:rPr>
          <w:i/>
          <w:iCs/>
          <w:sz w:val="18"/>
          <w:szCs w:val="18"/>
        </w:rPr>
        <w:t>Proof Committee Hansard</w:t>
      </w:r>
      <w:r w:rsidRPr="00FD32EF">
        <w:rPr>
          <w:sz w:val="18"/>
          <w:szCs w:val="18"/>
        </w:rPr>
        <w:t xml:space="preserve">, </w:t>
      </w:r>
      <w:r>
        <w:rPr>
          <w:sz w:val="18"/>
          <w:szCs w:val="18"/>
        </w:rPr>
        <w:t xml:space="preserve">14 November 2022, p </w:t>
      </w:r>
      <w:r w:rsidR="00DC3400">
        <w:rPr>
          <w:sz w:val="18"/>
          <w:szCs w:val="18"/>
        </w:rPr>
        <w:t>128</w:t>
      </w:r>
      <w:r>
        <w:rPr>
          <w:sz w:val="18"/>
          <w:szCs w:val="18"/>
        </w:rPr>
        <w:t>.</w:t>
      </w:r>
    </w:p>
  </w:footnote>
  <w:footnote w:id="40">
    <w:p w14:paraId="1A64DCCF" w14:textId="2832E93C" w:rsidR="00FD32EF" w:rsidRPr="00FD32EF" w:rsidRDefault="00FD32EF">
      <w:pPr>
        <w:pStyle w:val="FootnoteText"/>
        <w:rPr>
          <w:sz w:val="18"/>
          <w:szCs w:val="18"/>
        </w:rPr>
      </w:pPr>
      <w:r w:rsidRPr="00FD32EF">
        <w:rPr>
          <w:rStyle w:val="FootnoteReference"/>
          <w:sz w:val="18"/>
          <w:szCs w:val="18"/>
        </w:rPr>
        <w:footnoteRef/>
      </w:r>
      <w:r w:rsidRPr="00FD32EF">
        <w:rPr>
          <w:sz w:val="18"/>
          <w:szCs w:val="18"/>
        </w:rPr>
        <w:t xml:space="preserve"> </w:t>
      </w:r>
      <w:r w:rsidRPr="00FD32EF">
        <w:rPr>
          <w:i/>
          <w:iCs/>
          <w:sz w:val="18"/>
          <w:szCs w:val="18"/>
        </w:rPr>
        <w:t>Proof Committee Hansard</w:t>
      </w:r>
      <w:r w:rsidRPr="00FD32EF">
        <w:rPr>
          <w:sz w:val="18"/>
          <w:szCs w:val="18"/>
        </w:rPr>
        <w:t xml:space="preserve">, </w:t>
      </w:r>
      <w:r>
        <w:rPr>
          <w:sz w:val="18"/>
          <w:szCs w:val="18"/>
        </w:rPr>
        <w:t xml:space="preserve">14 November 2022, p </w:t>
      </w:r>
      <w:r w:rsidR="00DC3400">
        <w:rPr>
          <w:sz w:val="18"/>
          <w:szCs w:val="18"/>
        </w:rPr>
        <w:t>129</w:t>
      </w:r>
      <w:r>
        <w:rPr>
          <w:sz w:val="18"/>
          <w:szCs w:val="18"/>
        </w:rPr>
        <w:t>.</w:t>
      </w:r>
    </w:p>
  </w:footnote>
  <w:footnote w:id="41">
    <w:p w14:paraId="4EBEF37E" w14:textId="04BD7627" w:rsidR="00FD32EF" w:rsidRPr="00FD32EF" w:rsidRDefault="00FD32EF">
      <w:pPr>
        <w:pStyle w:val="FootnoteText"/>
        <w:rPr>
          <w:sz w:val="18"/>
          <w:szCs w:val="18"/>
        </w:rPr>
      </w:pPr>
      <w:r w:rsidRPr="00FD32EF">
        <w:rPr>
          <w:rStyle w:val="FootnoteReference"/>
          <w:sz w:val="18"/>
          <w:szCs w:val="18"/>
        </w:rPr>
        <w:footnoteRef/>
      </w:r>
      <w:r w:rsidRPr="00FD32EF">
        <w:rPr>
          <w:sz w:val="18"/>
          <w:szCs w:val="18"/>
        </w:rPr>
        <w:t xml:space="preserve"> </w:t>
      </w:r>
      <w:r w:rsidRPr="00FD32EF">
        <w:rPr>
          <w:i/>
          <w:iCs/>
          <w:sz w:val="18"/>
          <w:szCs w:val="18"/>
        </w:rPr>
        <w:t>Proof Committee Hansard</w:t>
      </w:r>
      <w:r w:rsidRPr="00FD32EF">
        <w:rPr>
          <w:sz w:val="18"/>
          <w:szCs w:val="18"/>
        </w:rPr>
        <w:t xml:space="preserve">, </w:t>
      </w:r>
      <w:r>
        <w:rPr>
          <w:sz w:val="18"/>
          <w:szCs w:val="18"/>
        </w:rPr>
        <w:t xml:space="preserve">14 November 2022, p </w:t>
      </w:r>
      <w:r w:rsidR="00DC3400">
        <w:rPr>
          <w:sz w:val="18"/>
          <w:szCs w:val="18"/>
        </w:rPr>
        <w:t>130</w:t>
      </w:r>
      <w:r>
        <w:rPr>
          <w:sz w:val="18"/>
          <w:szCs w:val="18"/>
        </w:rPr>
        <w:t>.</w:t>
      </w:r>
    </w:p>
  </w:footnote>
  <w:footnote w:id="42">
    <w:p w14:paraId="1A3E9C90" w14:textId="6E27B1A4" w:rsidR="00FD32EF" w:rsidRDefault="00FD32EF">
      <w:pPr>
        <w:pStyle w:val="FootnoteText"/>
      </w:pPr>
      <w:r w:rsidRPr="00FD32EF">
        <w:rPr>
          <w:rStyle w:val="FootnoteReference"/>
          <w:sz w:val="18"/>
          <w:szCs w:val="18"/>
        </w:rPr>
        <w:footnoteRef/>
      </w:r>
      <w:r>
        <w:t xml:space="preserve"> </w:t>
      </w:r>
      <w:r w:rsidRPr="00FD32EF">
        <w:rPr>
          <w:i/>
          <w:iCs/>
          <w:sz w:val="18"/>
          <w:szCs w:val="18"/>
        </w:rPr>
        <w:t>Proof Committee Hansard</w:t>
      </w:r>
      <w:r w:rsidRPr="00FD32EF">
        <w:rPr>
          <w:sz w:val="18"/>
          <w:szCs w:val="18"/>
        </w:rPr>
        <w:t xml:space="preserve">, </w:t>
      </w:r>
      <w:r>
        <w:rPr>
          <w:sz w:val="18"/>
          <w:szCs w:val="18"/>
        </w:rPr>
        <w:t xml:space="preserve">14 November 2022, p </w:t>
      </w:r>
      <w:r w:rsidR="00DC3400">
        <w:rPr>
          <w:sz w:val="18"/>
          <w:szCs w:val="18"/>
        </w:rPr>
        <w:t>130</w:t>
      </w:r>
      <w:r>
        <w:rPr>
          <w:sz w:val="18"/>
          <w:szCs w:val="18"/>
        </w:rPr>
        <w:t>.</w:t>
      </w:r>
    </w:p>
  </w:footnote>
  <w:footnote w:id="43">
    <w:p w14:paraId="5B6C4EB3" w14:textId="16AB33CA" w:rsidR="00D415A6" w:rsidRDefault="00D415A6" w:rsidP="00D415A6">
      <w:pPr>
        <w:pStyle w:val="FootnoteText"/>
      </w:pPr>
      <w:r w:rsidRPr="00D415A6">
        <w:rPr>
          <w:rStyle w:val="FootnoteReference"/>
          <w:sz w:val="18"/>
          <w:szCs w:val="18"/>
        </w:rPr>
        <w:footnoteRef/>
      </w:r>
      <w:r>
        <w:t xml:space="preserve"> </w:t>
      </w:r>
      <w:r w:rsidRPr="004C4495">
        <w:rPr>
          <w:sz w:val="18"/>
          <w:szCs w:val="18"/>
        </w:rPr>
        <w:t xml:space="preserve">ACT Government, </w:t>
      </w:r>
      <w:r w:rsidRPr="004C4495">
        <w:rPr>
          <w:i/>
          <w:iCs/>
          <w:sz w:val="18"/>
          <w:szCs w:val="18"/>
        </w:rPr>
        <w:t>Administrative Arrangements 2022 (No 2)</w:t>
      </w:r>
      <w:r w:rsidRPr="004C4495">
        <w:rPr>
          <w:sz w:val="18"/>
          <w:szCs w:val="18"/>
        </w:rPr>
        <w:t xml:space="preserve"> </w:t>
      </w:r>
      <w:hyperlink r:id="rId9" w:history="1">
        <w:r w:rsidRPr="004C4495">
          <w:rPr>
            <w:rStyle w:val="Hyperlink"/>
            <w:sz w:val="18"/>
            <w:szCs w:val="18"/>
          </w:rPr>
          <w:t>https://legislation.act.gov.au/View/ni/2022-697/current/html/2022-697.html</w:t>
        </w:r>
      </w:hyperlink>
      <w:r w:rsidRPr="004C4495">
        <w:rPr>
          <w:sz w:val="18"/>
          <w:szCs w:val="18"/>
        </w:rPr>
        <w:t xml:space="preserve"> (accessed 23 January 2023).</w:t>
      </w:r>
    </w:p>
  </w:footnote>
  <w:footnote w:id="44">
    <w:p w14:paraId="289A124C" w14:textId="37A93F69" w:rsidR="00D415A6" w:rsidRPr="00C7339F" w:rsidRDefault="00D415A6" w:rsidP="00D415A6">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xml:space="preserve">, </w:t>
      </w:r>
      <w:r w:rsidR="0044005B" w:rsidRPr="00C7339F">
        <w:rPr>
          <w:sz w:val="18"/>
          <w:szCs w:val="18"/>
        </w:rPr>
        <w:t>2 November</w:t>
      </w:r>
      <w:r w:rsidRPr="00C7339F">
        <w:rPr>
          <w:sz w:val="18"/>
          <w:szCs w:val="18"/>
        </w:rPr>
        <w:t xml:space="preserve"> 2022, p</w:t>
      </w:r>
      <w:r w:rsidR="0044005B" w:rsidRPr="00C7339F">
        <w:rPr>
          <w:sz w:val="18"/>
          <w:szCs w:val="18"/>
        </w:rPr>
        <w:t>p 53–54</w:t>
      </w:r>
      <w:r w:rsidRPr="00C7339F">
        <w:rPr>
          <w:sz w:val="18"/>
          <w:szCs w:val="18"/>
        </w:rPr>
        <w:t>.</w:t>
      </w:r>
    </w:p>
  </w:footnote>
  <w:footnote w:id="45">
    <w:p w14:paraId="210E6E0C" w14:textId="1DC8A141" w:rsidR="008746BE" w:rsidRPr="00C7339F" w:rsidRDefault="008746BE">
      <w:pPr>
        <w:pStyle w:val="FootnoteText"/>
        <w:rPr>
          <w:sz w:val="18"/>
          <w:szCs w:val="18"/>
        </w:rPr>
      </w:pPr>
      <w:r w:rsidRPr="00C7339F">
        <w:rPr>
          <w:rStyle w:val="FootnoteReference"/>
          <w:sz w:val="18"/>
          <w:szCs w:val="18"/>
        </w:rPr>
        <w:footnoteRef/>
      </w:r>
      <w:r w:rsidRPr="00C7339F">
        <w:rPr>
          <w:sz w:val="18"/>
          <w:szCs w:val="18"/>
        </w:rPr>
        <w:t xml:space="preserve"> </w:t>
      </w:r>
      <w:r w:rsidR="0044005B" w:rsidRPr="00C7339F">
        <w:rPr>
          <w:i/>
          <w:iCs/>
          <w:sz w:val="18"/>
          <w:szCs w:val="18"/>
        </w:rPr>
        <w:t>Proof Committee Hansard</w:t>
      </w:r>
      <w:r w:rsidR="0044005B" w:rsidRPr="00C7339F">
        <w:rPr>
          <w:sz w:val="18"/>
          <w:szCs w:val="18"/>
        </w:rPr>
        <w:t>, 2 November 2022, p 55.</w:t>
      </w:r>
    </w:p>
  </w:footnote>
  <w:footnote w:id="46">
    <w:p w14:paraId="12167DE6" w14:textId="47EAAAD5" w:rsidR="008746BE" w:rsidRPr="00C7339F" w:rsidRDefault="008746BE">
      <w:pPr>
        <w:pStyle w:val="FootnoteText"/>
        <w:rPr>
          <w:sz w:val="18"/>
          <w:szCs w:val="18"/>
        </w:rPr>
      </w:pPr>
      <w:r w:rsidRPr="00C7339F">
        <w:rPr>
          <w:rStyle w:val="FootnoteReference"/>
          <w:sz w:val="18"/>
          <w:szCs w:val="18"/>
        </w:rPr>
        <w:footnoteRef/>
      </w:r>
      <w:r w:rsidRPr="00C7339F">
        <w:rPr>
          <w:sz w:val="18"/>
          <w:szCs w:val="18"/>
        </w:rPr>
        <w:t xml:space="preserve"> </w:t>
      </w:r>
      <w:r w:rsidR="0044005B" w:rsidRPr="00C7339F">
        <w:rPr>
          <w:i/>
          <w:iCs/>
          <w:sz w:val="18"/>
          <w:szCs w:val="18"/>
        </w:rPr>
        <w:t>Proof Committee Hansard</w:t>
      </w:r>
      <w:r w:rsidR="0044005B" w:rsidRPr="00C7339F">
        <w:rPr>
          <w:sz w:val="18"/>
          <w:szCs w:val="18"/>
        </w:rPr>
        <w:t>, 2 November 2022, p 56.</w:t>
      </w:r>
    </w:p>
  </w:footnote>
  <w:footnote w:id="47">
    <w:p w14:paraId="3A467158" w14:textId="271B5D12" w:rsidR="008746BE" w:rsidRPr="00C7339F" w:rsidRDefault="008746BE">
      <w:pPr>
        <w:pStyle w:val="FootnoteText"/>
        <w:rPr>
          <w:sz w:val="18"/>
          <w:szCs w:val="18"/>
        </w:rPr>
      </w:pPr>
      <w:r w:rsidRPr="00C7339F">
        <w:rPr>
          <w:rStyle w:val="FootnoteReference"/>
          <w:sz w:val="18"/>
          <w:szCs w:val="18"/>
        </w:rPr>
        <w:footnoteRef/>
      </w:r>
      <w:r w:rsidRPr="00C7339F">
        <w:rPr>
          <w:sz w:val="18"/>
          <w:szCs w:val="18"/>
        </w:rPr>
        <w:t xml:space="preserve"> </w:t>
      </w:r>
      <w:r w:rsidR="0044005B" w:rsidRPr="00C7339F">
        <w:rPr>
          <w:i/>
          <w:iCs/>
          <w:sz w:val="18"/>
          <w:szCs w:val="18"/>
        </w:rPr>
        <w:t>Proof Committee Hansard</w:t>
      </w:r>
      <w:r w:rsidR="0044005B" w:rsidRPr="00C7339F">
        <w:rPr>
          <w:sz w:val="18"/>
          <w:szCs w:val="18"/>
        </w:rPr>
        <w:t>, 2 November 2022, p 58.</w:t>
      </w:r>
    </w:p>
  </w:footnote>
  <w:footnote w:id="48">
    <w:p w14:paraId="717AD216" w14:textId="4BC3B612" w:rsidR="008746BE" w:rsidRPr="00C7339F" w:rsidRDefault="008746BE">
      <w:pPr>
        <w:pStyle w:val="FootnoteText"/>
        <w:rPr>
          <w:sz w:val="18"/>
          <w:szCs w:val="18"/>
        </w:rPr>
      </w:pPr>
      <w:r w:rsidRPr="00C7339F">
        <w:rPr>
          <w:rStyle w:val="FootnoteReference"/>
          <w:sz w:val="18"/>
          <w:szCs w:val="18"/>
        </w:rPr>
        <w:footnoteRef/>
      </w:r>
      <w:r w:rsidRPr="00C7339F">
        <w:rPr>
          <w:sz w:val="18"/>
          <w:szCs w:val="18"/>
        </w:rPr>
        <w:t xml:space="preserve"> </w:t>
      </w:r>
      <w:r w:rsidR="0044005B" w:rsidRPr="00C7339F">
        <w:rPr>
          <w:i/>
          <w:iCs/>
          <w:sz w:val="18"/>
          <w:szCs w:val="18"/>
        </w:rPr>
        <w:t>Proof Committee Hansard</w:t>
      </w:r>
      <w:r w:rsidR="0044005B" w:rsidRPr="00C7339F">
        <w:rPr>
          <w:sz w:val="18"/>
          <w:szCs w:val="18"/>
        </w:rPr>
        <w:t>, 2 November 2022, p 59.</w:t>
      </w:r>
    </w:p>
  </w:footnote>
  <w:footnote w:id="49">
    <w:p w14:paraId="501C4D1C" w14:textId="57EF4511" w:rsidR="008746BE" w:rsidRPr="00C7339F" w:rsidRDefault="008746BE">
      <w:pPr>
        <w:pStyle w:val="FootnoteText"/>
        <w:rPr>
          <w:sz w:val="18"/>
          <w:szCs w:val="18"/>
        </w:rPr>
      </w:pPr>
      <w:r w:rsidRPr="00C7339F">
        <w:rPr>
          <w:rStyle w:val="FootnoteReference"/>
          <w:sz w:val="18"/>
          <w:szCs w:val="18"/>
        </w:rPr>
        <w:footnoteRef/>
      </w:r>
      <w:r w:rsidRPr="00C7339F">
        <w:rPr>
          <w:sz w:val="18"/>
          <w:szCs w:val="18"/>
        </w:rPr>
        <w:t xml:space="preserve"> </w:t>
      </w:r>
      <w:r w:rsidR="0044005B" w:rsidRPr="00C7339F">
        <w:rPr>
          <w:i/>
          <w:iCs/>
          <w:sz w:val="18"/>
          <w:szCs w:val="18"/>
        </w:rPr>
        <w:t>Proof Committee Hansard</w:t>
      </w:r>
      <w:r w:rsidR="0044005B" w:rsidRPr="00C7339F">
        <w:rPr>
          <w:sz w:val="18"/>
          <w:szCs w:val="18"/>
        </w:rPr>
        <w:t>, 2 November 2022, p 60.</w:t>
      </w:r>
    </w:p>
  </w:footnote>
  <w:footnote w:id="50">
    <w:p w14:paraId="660D364A" w14:textId="6E79D596" w:rsidR="008746BE" w:rsidRPr="00C7339F" w:rsidRDefault="008746BE">
      <w:pPr>
        <w:pStyle w:val="FootnoteText"/>
        <w:rPr>
          <w:sz w:val="18"/>
          <w:szCs w:val="18"/>
        </w:rPr>
      </w:pPr>
      <w:r w:rsidRPr="00C7339F">
        <w:rPr>
          <w:rStyle w:val="FootnoteReference"/>
          <w:sz w:val="18"/>
          <w:szCs w:val="18"/>
        </w:rPr>
        <w:footnoteRef/>
      </w:r>
      <w:r w:rsidRPr="00C7339F">
        <w:rPr>
          <w:sz w:val="18"/>
          <w:szCs w:val="18"/>
        </w:rPr>
        <w:t xml:space="preserve"> </w:t>
      </w:r>
      <w:r w:rsidR="0044005B" w:rsidRPr="00C7339F">
        <w:rPr>
          <w:i/>
          <w:iCs/>
          <w:sz w:val="18"/>
          <w:szCs w:val="18"/>
        </w:rPr>
        <w:t>Proof Committee Hansard</w:t>
      </w:r>
      <w:r w:rsidR="0044005B" w:rsidRPr="00C7339F">
        <w:rPr>
          <w:sz w:val="18"/>
          <w:szCs w:val="18"/>
        </w:rPr>
        <w:t>, 2 November 2022, p 61.</w:t>
      </w:r>
    </w:p>
  </w:footnote>
  <w:footnote w:id="51">
    <w:p w14:paraId="300D01F9" w14:textId="61C5F3BE" w:rsidR="0044005B" w:rsidRPr="00C7339F" w:rsidRDefault="0044005B">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xml:space="preserve">, 2 November 2022, p </w:t>
      </w:r>
      <w:r w:rsidR="005F4092" w:rsidRPr="00C7339F">
        <w:rPr>
          <w:sz w:val="18"/>
          <w:szCs w:val="18"/>
        </w:rPr>
        <w:t>63</w:t>
      </w:r>
      <w:r w:rsidRPr="00C7339F">
        <w:rPr>
          <w:sz w:val="18"/>
          <w:szCs w:val="18"/>
        </w:rPr>
        <w:t>.</w:t>
      </w:r>
    </w:p>
  </w:footnote>
  <w:footnote w:id="52">
    <w:p w14:paraId="7B4E3BBA" w14:textId="3F740F15" w:rsidR="0044005B" w:rsidRPr="00C7339F" w:rsidRDefault="0044005B">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2 November 2022, p</w:t>
      </w:r>
      <w:r w:rsidR="005F4092" w:rsidRPr="00C7339F">
        <w:rPr>
          <w:sz w:val="18"/>
          <w:szCs w:val="18"/>
        </w:rPr>
        <w:t xml:space="preserve"> 65</w:t>
      </w:r>
      <w:r w:rsidRPr="00C7339F">
        <w:rPr>
          <w:sz w:val="18"/>
          <w:szCs w:val="18"/>
        </w:rPr>
        <w:t>.</w:t>
      </w:r>
    </w:p>
  </w:footnote>
  <w:footnote w:id="53">
    <w:p w14:paraId="27F09D5D" w14:textId="384766C2" w:rsidR="0044005B" w:rsidRPr="00C7339F" w:rsidRDefault="0044005B">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2 November 2022, p</w:t>
      </w:r>
      <w:r w:rsidR="005F4092" w:rsidRPr="00C7339F">
        <w:rPr>
          <w:sz w:val="18"/>
          <w:szCs w:val="18"/>
        </w:rPr>
        <w:t xml:space="preserve"> 66</w:t>
      </w:r>
      <w:r w:rsidRPr="00C7339F">
        <w:rPr>
          <w:sz w:val="18"/>
          <w:szCs w:val="18"/>
        </w:rPr>
        <w:t>.</w:t>
      </w:r>
    </w:p>
  </w:footnote>
  <w:footnote w:id="54">
    <w:p w14:paraId="77A8BE1E" w14:textId="114079C0" w:rsidR="0044005B" w:rsidRPr="00C7339F" w:rsidRDefault="0044005B">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2 November 2022, p</w:t>
      </w:r>
      <w:r w:rsidR="005F4092" w:rsidRPr="00C7339F">
        <w:rPr>
          <w:sz w:val="18"/>
          <w:szCs w:val="18"/>
        </w:rPr>
        <w:t xml:space="preserve"> 67</w:t>
      </w:r>
      <w:r w:rsidRPr="00C7339F">
        <w:rPr>
          <w:sz w:val="18"/>
          <w:szCs w:val="18"/>
        </w:rPr>
        <w:t>.</w:t>
      </w:r>
    </w:p>
  </w:footnote>
  <w:footnote w:id="55">
    <w:p w14:paraId="5F0895D7" w14:textId="64F89224" w:rsidR="0044005B" w:rsidRPr="00C7339F" w:rsidRDefault="0044005B">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2 November 2022, p</w:t>
      </w:r>
      <w:r w:rsidR="005F4092" w:rsidRPr="00C7339F">
        <w:rPr>
          <w:sz w:val="18"/>
          <w:szCs w:val="18"/>
        </w:rPr>
        <w:t xml:space="preserve"> 68</w:t>
      </w:r>
      <w:r w:rsidRPr="00C7339F">
        <w:rPr>
          <w:sz w:val="18"/>
          <w:szCs w:val="18"/>
        </w:rPr>
        <w:t>.</w:t>
      </w:r>
    </w:p>
  </w:footnote>
  <w:footnote w:id="56">
    <w:p w14:paraId="74D769BB" w14:textId="6EF42F82" w:rsidR="00546106" w:rsidRPr="00C7339F" w:rsidRDefault="00546106">
      <w:pPr>
        <w:pStyle w:val="FootnoteText"/>
        <w:rPr>
          <w:sz w:val="18"/>
          <w:szCs w:val="18"/>
        </w:rPr>
      </w:pPr>
      <w:r w:rsidRPr="00C7339F">
        <w:rPr>
          <w:rStyle w:val="FootnoteReference"/>
          <w:sz w:val="18"/>
          <w:szCs w:val="18"/>
        </w:rPr>
        <w:footnoteRef/>
      </w:r>
      <w:r w:rsidRPr="00C7339F">
        <w:rPr>
          <w:sz w:val="18"/>
          <w:szCs w:val="18"/>
        </w:rPr>
        <w:t xml:space="preserve"> ACT Government, </w:t>
      </w:r>
      <w:r w:rsidRPr="00C7339F">
        <w:rPr>
          <w:i/>
          <w:iCs/>
          <w:sz w:val="18"/>
          <w:szCs w:val="18"/>
        </w:rPr>
        <w:t>Administrative Arrangements 2022 (No 2)</w:t>
      </w:r>
      <w:r w:rsidRPr="00C7339F">
        <w:rPr>
          <w:sz w:val="18"/>
          <w:szCs w:val="18"/>
        </w:rPr>
        <w:t xml:space="preserve"> </w:t>
      </w:r>
      <w:hyperlink r:id="rId10" w:history="1">
        <w:r w:rsidRPr="00C7339F">
          <w:rPr>
            <w:rStyle w:val="Hyperlink"/>
            <w:sz w:val="18"/>
            <w:szCs w:val="18"/>
          </w:rPr>
          <w:t>https://legislation.act.gov.au/View/ni/2022-697/current/html/2022-697.html</w:t>
        </w:r>
      </w:hyperlink>
      <w:r w:rsidRPr="00C7339F">
        <w:rPr>
          <w:sz w:val="18"/>
          <w:szCs w:val="18"/>
        </w:rPr>
        <w:t xml:space="preserve"> (accessed 23 January 2023).</w:t>
      </w:r>
    </w:p>
  </w:footnote>
  <w:footnote w:id="57">
    <w:p w14:paraId="5F1EFC96" w14:textId="73E68D87" w:rsidR="00546106" w:rsidRPr="00C7339F" w:rsidRDefault="00546106" w:rsidP="00546106">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7 November 2022, p</w:t>
      </w:r>
      <w:r w:rsidR="002209AE" w:rsidRPr="00C7339F">
        <w:rPr>
          <w:sz w:val="18"/>
          <w:szCs w:val="18"/>
        </w:rPr>
        <w:t xml:space="preserve"> 77</w:t>
      </w:r>
      <w:r w:rsidRPr="00C7339F">
        <w:rPr>
          <w:sz w:val="18"/>
          <w:szCs w:val="18"/>
        </w:rPr>
        <w:t>.</w:t>
      </w:r>
    </w:p>
  </w:footnote>
  <w:footnote w:id="58">
    <w:p w14:paraId="4179C842" w14:textId="2F093EF5" w:rsidR="00546106" w:rsidRPr="00C7339F" w:rsidRDefault="00546106">
      <w:pPr>
        <w:pStyle w:val="FootnoteText"/>
        <w:rPr>
          <w:sz w:val="18"/>
          <w:szCs w:val="18"/>
        </w:rPr>
      </w:pPr>
      <w:r w:rsidRPr="00C7339F">
        <w:rPr>
          <w:rStyle w:val="FootnoteReference"/>
          <w:sz w:val="18"/>
          <w:szCs w:val="18"/>
        </w:rPr>
        <w:footnoteRef/>
      </w:r>
      <w:r w:rsidRPr="00C7339F">
        <w:rPr>
          <w:sz w:val="18"/>
          <w:szCs w:val="18"/>
        </w:rPr>
        <w:t xml:space="preserve"> </w:t>
      </w:r>
      <w:r w:rsidR="002209AE" w:rsidRPr="00C7339F">
        <w:rPr>
          <w:i/>
          <w:iCs/>
          <w:sz w:val="18"/>
          <w:szCs w:val="18"/>
        </w:rPr>
        <w:t>Proof Committee Hansard</w:t>
      </w:r>
      <w:r w:rsidR="002209AE" w:rsidRPr="00C7339F">
        <w:rPr>
          <w:sz w:val="18"/>
          <w:szCs w:val="18"/>
        </w:rPr>
        <w:t>, 7 November 2022, p 78.</w:t>
      </w:r>
    </w:p>
  </w:footnote>
  <w:footnote w:id="59">
    <w:p w14:paraId="403D6AF4" w14:textId="4F9C128C" w:rsidR="00546106" w:rsidRPr="00C7339F" w:rsidRDefault="00546106">
      <w:pPr>
        <w:pStyle w:val="FootnoteText"/>
        <w:rPr>
          <w:sz w:val="18"/>
          <w:szCs w:val="18"/>
        </w:rPr>
      </w:pPr>
      <w:r w:rsidRPr="00C7339F">
        <w:rPr>
          <w:rStyle w:val="FootnoteReference"/>
          <w:sz w:val="18"/>
          <w:szCs w:val="18"/>
        </w:rPr>
        <w:footnoteRef/>
      </w:r>
      <w:r w:rsidRPr="00C7339F">
        <w:rPr>
          <w:sz w:val="18"/>
          <w:szCs w:val="18"/>
        </w:rPr>
        <w:t xml:space="preserve"> </w:t>
      </w:r>
      <w:r w:rsidR="002209AE" w:rsidRPr="00C7339F">
        <w:rPr>
          <w:i/>
          <w:iCs/>
          <w:sz w:val="18"/>
          <w:szCs w:val="18"/>
        </w:rPr>
        <w:t>Proof Committee Hansard</w:t>
      </w:r>
      <w:r w:rsidR="002209AE" w:rsidRPr="00C7339F">
        <w:rPr>
          <w:sz w:val="18"/>
          <w:szCs w:val="18"/>
        </w:rPr>
        <w:t>, 7 November 2022, p 79.</w:t>
      </w:r>
    </w:p>
  </w:footnote>
  <w:footnote w:id="60">
    <w:p w14:paraId="37A75E35" w14:textId="2BCF6C9A" w:rsidR="00546106" w:rsidRPr="00C7339F" w:rsidRDefault="00546106">
      <w:pPr>
        <w:pStyle w:val="FootnoteText"/>
        <w:rPr>
          <w:sz w:val="18"/>
          <w:szCs w:val="18"/>
        </w:rPr>
      </w:pPr>
      <w:r w:rsidRPr="00C7339F">
        <w:rPr>
          <w:rStyle w:val="FootnoteReference"/>
          <w:sz w:val="18"/>
          <w:szCs w:val="18"/>
        </w:rPr>
        <w:footnoteRef/>
      </w:r>
      <w:r w:rsidRPr="00C7339F">
        <w:rPr>
          <w:sz w:val="18"/>
          <w:szCs w:val="18"/>
        </w:rPr>
        <w:t xml:space="preserve"> </w:t>
      </w:r>
      <w:r w:rsidR="002209AE" w:rsidRPr="00C7339F">
        <w:rPr>
          <w:i/>
          <w:iCs/>
          <w:sz w:val="18"/>
          <w:szCs w:val="18"/>
        </w:rPr>
        <w:t>Proof Committee Hansard</w:t>
      </w:r>
      <w:r w:rsidR="002209AE" w:rsidRPr="00C7339F">
        <w:rPr>
          <w:sz w:val="18"/>
          <w:szCs w:val="18"/>
        </w:rPr>
        <w:t>, 7 November 2022, p 81.</w:t>
      </w:r>
    </w:p>
  </w:footnote>
  <w:footnote w:id="61">
    <w:p w14:paraId="210A6E04" w14:textId="11473B11" w:rsidR="00546106" w:rsidRPr="00C7339F" w:rsidRDefault="00546106">
      <w:pPr>
        <w:pStyle w:val="FootnoteText"/>
        <w:rPr>
          <w:sz w:val="18"/>
          <w:szCs w:val="18"/>
        </w:rPr>
      </w:pPr>
      <w:r w:rsidRPr="00C7339F">
        <w:rPr>
          <w:rStyle w:val="FootnoteReference"/>
          <w:sz w:val="18"/>
          <w:szCs w:val="18"/>
        </w:rPr>
        <w:footnoteRef/>
      </w:r>
      <w:r w:rsidRPr="00C7339F">
        <w:rPr>
          <w:sz w:val="18"/>
          <w:szCs w:val="18"/>
        </w:rPr>
        <w:t xml:space="preserve"> </w:t>
      </w:r>
      <w:r w:rsidR="002209AE" w:rsidRPr="00C7339F">
        <w:rPr>
          <w:i/>
          <w:iCs/>
          <w:sz w:val="18"/>
          <w:szCs w:val="18"/>
        </w:rPr>
        <w:t>Proof Committee Hansard</w:t>
      </w:r>
      <w:r w:rsidR="002209AE" w:rsidRPr="00C7339F">
        <w:rPr>
          <w:sz w:val="18"/>
          <w:szCs w:val="18"/>
        </w:rPr>
        <w:t>, 7 November 2022, p 84.</w:t>
      </w:r>
    </w:p>
  </w:footnote>
  <w:footnote w:id="62">
    <w:p w14:paraId="6446A6BB" w14:textId="55F76651" w:rsidR="00546106" w:rsidRPr="00C7339F" w:rsidRDefault="00546106">
      <w:pPr>
        <w:pStyle w:val="FootnoteText"/>
        <w:rPr>
          <w:sz w:val="18"/>
          <w:szCs w:val="18"/>
        </w:rPr>
      </w:pPr>
      <w:r w:rsidRPr="00C7339F">
        <w:rPr>
          <w:rStyle w:val="FootnoteReference"/>
          <w:sz w:val="18"/>
          <w:szCs w:val="18"/>
        </w:rPr>
        <w:footnoteRef/>
      </w:r>
      <w:r w:rsidRPr="00C7339F">
        <w:rPr>
          <w:sz w:val="18"/>
          <w:szCs w:val="18"/>
        </w:rPr>
        <w:t xml:space="preserve"> </w:t>
      </w:r>
      <w:r w:rsidR="002209AE" w:rsidRPr="00C7339F">
        <w:rPr>
          <w:i/>
          <w:iCs/>
          <w:sz w:val="18"/>
          <w:szCs w:val="18"/>
        </w:rPr>
        <w:t>Proof Committee Hansard</w:t>
      </w:r>
      <w:r w:rsidR="002209AE" w:rsidRPr="00C7339F">
        <w:rPr>
          <w:sz w:val="18"/>
          <w:szCs w:val="18"/>
        </w:rPr>
        <w:t>, 7 November 2022, p 84.</w:t>
      </w:r>
    </w:p>
  </w:footnote>
  <w:footnote w:id="63">
    <w:p w14:paraId="749A0844" w14:textId="77777777" w:rsidR="00A00BC4" w:rsidRPr="00C7339F" w:rsidRDefault="00A00BC4" w:rsidP="00A00BC4">
      <w:pPr>
        <w:pStyle w:val="FootnoteText"/>
        <w:rPr>
          <w:sz w:val="18"/>
          <w:szCs w:val="18"/>
        </w:rPr>
      </w:pPr>
      <w:r w:rsidRPr="00C7339F">
        <w:rPr>
          <w:rStyle w:val="FootnoteReference"/>
          <w:sz w:val="18"/>
          <w:szCs w:val="18"/>
        </w:rPr>
        <w:footnoteRef/>
      </w:r>
      <w:r w:rsidRPr="00C7339F">
        <w:rPr>
          <w:sz w:val="18"/>
          <w:szCs w:val="18"/>
        </w:rPr>
        <w:t xml:space="preserve"> ACT Government, </w:t>
      </w:r>
      <w:r w:rsidRPr="00C7339F">
        <w:rPr>
          <w:i/>
          <w:iCs/>
          <w:sz w:val="18"/>
          <w:szCs w:val="18"/>
        </w:rPr>
        <w:t>Administrative Arrangements 2022 (No 2)</w:t>
      </w:r>
      <w:r w:rsidRPr="00C7339F">
        <w:rPr>
          <w:sz w:val="18"/>
          <w:szCs w:val="18"/>
        </w:rPr>
        <w:t xml:space="preserve"> </w:t>
      </w:r>
      <w:hyperlink r:id="rId11" w:history="1">
        <w:r w:rsidRPr="00C7339F">
          <w:rPr>
            <w:rStyle w:val="Hyperlink"/>
            <w:sz w:val="18"/>
            <w:szCs w:val="18"/>
          </w:rPr>
          <w:t>https://legislation.act.gov.au/View/ni/2022-697/current/html/2022-697.html</w:t>
        </w:r>
      </w:hyperlink>
      <w:r w:rsidRPr="00C7339F">
        <w:rPr>
          <w:sz w:val="18"/>
          <w:szCs w:val="18"/>
        </w:rPr>
        <w:t xml:space="preserve"> (accessed 23 January 2023).</w:t>
      </w:r>
    </w:p>
  </w:footnote>
  <w:footnote w:id="64">
    <w:p w14:paraId="09CE1CFF" w14:textId="7717F004" w:rsidR="00A00BC4" w:rsidRPr="00C7339F" w:rsidRDefault="00A00BC4" w:rsidP="00A00BC4">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xml:space="preserve">, </w:t>
      </w:r>
      <w:r w:rsidR="00E821DF" w:rsidRPr="00C7339F">
        <w:rPr>
          <w:sz w:val="18"/>
          <w:szCs w:val="18"/>
        </w:rPr>
        <w:t>10</w:t>
      </w:r>
      <w:r w:rsidRPr="00C7339F">
        <w:rPr>
          <w:sz w:val="18"/>
          <w:szCs w:val="18"/>
        </w:rPr>
        <w:t xml:space="preserve"> November 2022, p </w:t>
      </w:r>
      <w:r w:rsidR="005E6330" w:rsidRPr="00C7339F">
        <w:rPr>
          <w:sz w:val="18"/>
          <w:szCs w:val="18"/>
        </w:rPr>
        <w:t>108</w:t>
      </w:r>
      <w:r w:rsidRPr="00C7339F">
        <w:rPr>
          <w:sz w:val="18"/>
          <w:szCs w:val="18"/>
        </w:rPr>
        <w:t>.</w:t>
      </w:r>
    </w:p>
  </w:footnote>
  <w:footnote w:id="65">
    <w:p w14:paraId="583AAFD1" w14:textId="26D7954B" w:rsidR="00E821DF" w:rsidRPr="00C7339F" w:rsidRDefault="00E821DF">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xml:space="preserve">, 10 November 2022, p </w:t>
      </w:r>
      <w:r w:rsidR="005E6330" w:rsidRPr="00C7339F">
        <w:rPr>
          <w:sz w:val="18"/>
          <w:szCs w:val="18"/>
        </w:rPr>
        <w:t>109</w:t>
      </w:r>
      <w:r w:rsidRPr="00C7339F">
        <w:rPr>
          <w:sz w:val="18"/>
          <w:szCs w:val="18"/>
        </w:rPr>
        <w:t>.</w:t>
      </w:r>
    </w:p>
  </w:footnote>
  <w:footnote w:id="66">
    <w:p w14:paraId="6EAF5F07" w14:textId="4C37FA15" w:rsidR="00E821DF" w:rsidRPr="00C7339F" w:rsidRDefault="00E821DF">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xml:space="preserve">, 10 November 2022, p </w:t>
      </w:r>
      <w:r w:rsidR="005E6330" w:rsidRPr="00C7339F">
        <w:rPr>
          <w:sz w:val="18"/>
          <w:szCs w:val="18"/>
        </w:rPr>
        <w:t>111</w:t>
      </w:r>
      <w:r w:rsidRPr="00C7339F">
        <w:rPr>
          <w:sz w:val="18"/>
          <w:szCs w:val="18"/>
        </w:rPr>
        <w:t>.</w:t>
      </w:r>
    </w:p>
  </w:footnote>
  <w:footnote w:id="67">
    <w:p w14:paraId="1DEC3A79" w14:textId="19587190" w:rsidR="00E821DF" w:rsidRPr="00C7339F" w:rsidRDefault="00E821DF">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xml:space="preserve">, 10 November 2022, p </w:t>
      </w:r>
      <w:r w:rsidR="005E6330" w:rsidRPr="00C7339F">
        <w:rPr>
          <w:sz w:val="18"/>
          <w:szCs w:val="18"/>
        </w:rPr>
        <w:t>112</w:t>
      </w:r>
      <w:r w:rsidRPr="00C7339F">
        <w:rPr>
          <w:sz w:val="18"/>
          <w:szCs w:val="18"/>
        </w:rPr>
        <w:t>.</w:t>
      </w:r>
    </w:p>
  </w:footnote>
  <w:footnote w:id="68">
    <w:p w14:paraId="0E815DED" w14:textId="5180BB9C" w:rsidR="00E821DF" w:rsidRPr="00C7339F" w:rsidRDefault="00E821DF">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xml:space="preserve">, 10 November 2022, p </w:t>
      </w:r>
      <w:r w:rsidR="005E6330" w:rsidRPr="00C7339F">
        <w:rPr>
          <w:sz w:val="18"/>
          <w:szCs w:val="18"/>
        </w:rPr>
        <w:t>114</w:t>
      </w:r>
      <w:r w:rsidRPr="00C7339F">
        <w:rPr>
          <w:sz w:val="18"/>
          <w:szCs w:val="18"/>
        </w:rPr>
        <w:t>.</w:t>
      </w:r>
    </w:p>
  </w:footnote>
  <w:footnote w:id="69">
    <w:p w14:paraId="1311F07E" w14:textId="35480629" w:rsidR="00E821DF" w:rsidRPr="00C7339F" w:rsidRDefault="00E821DF">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xml:space="preserve">, 10 November 2022, p </w:t>
      </w:r>
      <w:r w:rsidR="004F4439" w:rsidRPr="00C7339F">
        <w:rPr>
          <w:sz w:val="18"/>
          <w:szCs w:val="18"/>
        </w:rPr>
        <w:t>114</w:t>
      </w:r>
      <w:r w:rsidRPr="00C7339F">
        <w:rPr>
          <w:sz w:val="18"/>
          <w:szCs w:val="18"/>
        </w:rPr>
        <w:t>.</w:t>
      </w:r>
    </w:p>
  </w:footnote>
  <w:footnote w:id="70">
    <w:p w14:paraId="325FB6B7" w14:textId="40AAFE38" w:rsidR="00E821DF" w:rsidRPr="00C7339F" w:rsidRDefault="00E821DF">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xml:space="preserve">, 10 November 2022, p </w:t>
      </w:r>
      <w:r w:rsidR="004F4439" w:rsidRPr="00C7339F">
        <w:rPr>
          <w:sz w:val="18"/>
          <w:szCs w:val="18"/>
        </w:rPr>
        <w:t>116</w:t>
      </w:r>
      <w:r w:rsidRPr="00C7339F">
        <w:rPr>
          <w:sz w:val="18"/>
          <w:szCs w:val="18"/>
        </w:rPr>
        <w:t>.</w:t>
      </w:r>
    </w:p>
  </w:footnote>
  <w:footnote w:id="71">
    <w:p w14:paraId="241571F1" w14:textId="48895ACF" w:rsidR="00E821DF" w:rsidRPr="00C7339F" w:rsidRDefault="00E821DF">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xml:space="preserve">, 10 November 2022, p </w:t>
      </w:r>
      <w:r w:rsidR="004F4439" w:rsidRPr="00C7339F">
        <w:rPr>
          <w:sz w:val="18"/>
          <w:szCs w:val="18"/>
        </w:rPr>
        <w:t>117</w:t>
      </w:r>
      <w:r w:rsidRPr="00C7339F">
        <w:rPr>
          <w:sz w:val="18"/>
          <w:szCs w:val="18"/>
        </w:rPr>
        <w:t>.</w:t>
      </w:r>
    </w:p>
  </w:footnote>
  <w:footnote w:id="72">
    <w:p w14:paraId="3F147ADA" w14:textId="32DDE734" w:rsidR="00E821DF" w:rsidRPr="00C7339F" w:rsidRDefault="00E821DF">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xml:space="preserve">, 10 November 2022, p </w:t>
      </w:r>
      <w:r w:rsidR="004F4439" w:rsidRPr="00C7339F">
        <w:rPr>
          <w:sz w:val="18"/>
          <w:szCs w:val="18"/>
        </w:rPr>
        <w:t>118</w:t>
      </w:r>
      <w:r w:rsidRPr="00C7339F">
        <w:rPr>
          <w:sz w:val="18"/>
          <w:szCs w:val="18"/>
        </w:rPr>
        <w:t>.</w:t>
      </w:r>
    </w:p>
  </w:footnote>
  <w:footnote w:id="73">
    <w:p w14:paraId="1919301B" w14:textId="3368D953" w:rsidR="00E821DF" w:rsidRPr="00C7339F" w:rsidRDefault="00E821DF">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xml:space="preserve">, 10 November 2022, p </w:t>
      </w:r>
      <w:r w:rsidR="004F4439" w:rsidRPr="00C7339F">
        <w:rPr>
          <w:sz w:val="18"/>
          <w:szCs w:val="18"/>
        </w:rPr>
        <w:t>119</w:t>
      </w:r>
      <w:r w:rsidRPr="00C7339F">
        <w:rPr>
          <w:sz w:val="18"/>
          <w:szCs w:val="18"/>
        </w:rPr>
        <w:t>.</w:t>
      </w:r>
    </w:p>
  </w:footnote>
  <w:footnote w:id="74">
    <w:p w14:paraId="39E08EF4" w14:textId="2E422167" w:rsidR="00E821DF" w:rsidRPr="00C7339F" w:rsidRDefault="00E821DF">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xml:space="preserve">, 10 November 2022, p </w:t>
      </w:r>
      <w:r w:rsidR="008D6F6F" w:rsidRPr="00C7339F">
        <w:rPr>
          <w:sz w:val="18"/>
          <w:szCs w:val="18"/>
        </w:rPr>
        <w:t>120</w:t>
      </w:r>
      <w:r w:rsidRPr="00C7339F">
        <w:rPr>
          <w:sz w:val="18"/>
          <w:szCs w:val="18"/>
        </w:rPr>
        <w:t>.</w:t>
      </w:r>
    </w:p>
  </w:footnote>
  <w:footnote w:id="75">
    <w:p w14:paraId="5E0A94CF" w14:textId="3E33C7F3" w:rsidR="00E35FD9" w:rsidRPr="00C7339F" w:rsidRDefault="00E35FD9">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10 November 2022, p 108.</w:t>
      </w:r>
    </w:p>
  </w:footnote>
  <w:footnote w:id="76">
    <w:p w14:paraId="0C94581B" w14:textId="23F18129" w:rsidR="00261405" w:rsidRPr="00C7339F" w:rsidRDefault="00261405">
      <w:pPr>
        <w:pStyle w:val="FootnoteText"/>
        <w:rPr>
          <w:sz w:val="18"/>
          <w:szCs w:val="18"/>
        </w:rPr>
      </w:pPr>
      <w:r w:rsidRPr="00C7339F">
        <w:rPr>
          <w:rStyle w:val="FootnoteReference"/>
          <w:sz w:val="18"/>
          <w:szCs w:val="18"/>
        </w:rPr>
        <w:footnoteRef/>
      </w:r>
      <w:r w:rsidRPr="00C7339F">
        <w:rPr>
          <w:sz w:val="18"/>
          <w:szCs w:val="18"/>
        </w:rPr>
        <w:t xml:space="preserve"> </w:t>
      </w:r>
      <w:r w:rsidR="00CB619D" w:rsidRPr="00CB619D">
        <w:rPr>
          <w:sz w:val="18"/>
          <w:szCs w:val="18"/>
        </w:rPr>
        <w:t>Environment, Planning and Sustainable Development Directorate</w:t>
      </w:r>
      <w:r w:rsidR="000E042E" w:rsidRPr="00C7339F">
        <w:rPr>
          <w:sz w:val="18"/>
          <w:szCs w:val="18"/>
        </w:rPr>
        <w:t xml:space="preserve">, </w:t>
      </w:r>
      <w:hyperlink r:id="rId12" w:history="1">
        <w:r w:rsidR="000E042E" w:rsidRPr="00CB619D">
          <w:rPr>
            <w:rStyle w:val="Hyperlink"/>
            <w:i/>
            <w:iCs/>
            <w:sz w:val="18"/>
            <w:szCs w:val="18"/>
          </w:rPr>
          <w:t>Draft Inner North and City District Strategy</w:t>
        </w:r>
      </w:hyperlink>
      <w:r w:rsidR="000E042E" w:rsidRPr="00C7339F">
        <w:rPr>
          <w:sz w:val="18"/>
          <w:szCs w:val="18"/>
        </w:rPr>
        <w:t>, (accessed 14 February 2023), p 72.</w:t>
      </w:r>
    </w:p>
  </w:footnote>
  <w:footnote w:id="77">
    <w:p w14:paraId="2BFFEA52" w14:textId="6DD2D0B0" w:rsidR="00E35FD9" w:rsidRPr="00C7339F" w:rsidRDefault="00E35FD9">
      <w:pPr>
        <w:pStyle w:val="FootnoteText"/>
        <w:rPr>
          <w:sz w:val="18"/>
          <w:szCs w:val="18"/>
        </w:rPr>
      </w:pPr>
      <w:r w:rsidRPr="00C7339F">
        <w:rPr>
          <w:rStyle w:val="FootnoteReference"/>
          <w:sz w:val="18"/>
          <w:szCs w:val="18"/>
        </w:rPr>
        <w:footnoteRef/>
      </w:r>
      <w:r w:rsidRPr="00C7339F">
        <w:rPr>
          <w:sz w:val="18"/>
          <w:szCs w:val="18"/>
        </w:rPr>
        <w:t xml:space="preserve"> </w:t>
      </w:r>
      <w:r w:rsidR="00CB619D" w:rsidRPr="00CB619D">
        <w:rPr>
          <w:sz w:val="18"/>
          <w:szCs w:val="18"/>
        </w:rPr>
        <w:t>Environment, Planning and Sustainable Development Directorate</w:t>
      </w:r>
      <w:r w:rsidR="000E042E" w:rsidRPr="00C7339F">
        <w:rPr>
          <w:sz w:val="18"/>
          <w:szCs w:val="18"/>
        </w:rPr>
        <w:t xml:space="preserve">, </w:t>
      </w:r>
      <w:hyperlink r:id="rId13" w:history="1">
        <w:r w:rsidR="000E042E" w:rsidRPr="00CB619D">
          <w:rPr>
            <w:rStyle w:val="Hyperlink"/>
            <w:i/>
            <w:iCs/>
            <w:sz w:val="18"/>
            <w:szCs w:val="18"/>
          </w:rPr>
          <w:t>Draft Inner North and City District Strategy</w:t>
        </w:r>
      </w:hyperlink>
      <w:r w:rsidR="000E042E" w:rsidRPr="00C7339F">
        <w:rPr>
          <w:sz w:val="18"/>
          <w:szCs w:val="18"/>
        </w:rPr>
        <w:t>, (accessed 14 February 2023), p 72.</w:t>
      </w:r>
    </w:p>
  </w:footnote>
  <w:footnote w:id="78">
    <w:p w14:paraId="16C04FBD" w14:textId="73D7B435" w:rsidR="0003589D" w:rsidRPr="00C7339F" w:rsidRDefault="0003589D">
      <w:pPr>
        <w:pStyle w:val="FootnoteText"/>
        <w:rPr>
          <w:sz w:val="18"/>
          <w:szCs w:val="18"/>
        </w:rPr>
      </w:pPr>
      <w:r w:rsidRPr="00C7339F">
        <w:rPr>
          <w:rStyle w:val="FootnoteReference"/>
          <w:sz w:val="18"/>
          <w:szCs w:val="18"/>
        </w:rPr>
        <w:footnoteRef/>
      </w:r>
      <w:r w:rsidRPr="00C7339F">
        <w:rPr>
          <w:sz w:val="18"/>
          <w:szCs w:val="18"/>
        </w:rPr>
        <w:t xml:space="preserve"> </w:t>
      </w:r>
      <w:r w:rsidR="000E042E" w:rsidRPr="00C7339F">
        <w:rPr>
          <w:sz w:val="18"/>
          <w:szCs w:val="18"/>
        </w:rPr>
        <w:t xml:space="preserve">Ms Yvette Berry MLA, Minister for Housing and Suburban Development, </w:t>
      </w:r>
      <w:r w:rsidR="000E042E" w:rsidRPr="00C7339F">
        <w:rPr>
          <w:i/>
          <w:iCs/>
          <w:sz w:val="18"/>
          <w:szCs w:val="18"/>
        </w:rPr>
        <w:t>Proof Committee Hansard</w:t>
      </w:r>
      <w:r w:rsidR="000E042E" w:rsidRPr="00C7339F">
        <w:rPr>
          <w:sz w:val="18"/>
          <w:szCs w:val="18"/>
        </w:rPr>
        <w:t>, 10 November 2022, p 109.</w:t>
      </w:r>
    </w:p>
  </w:footnote>
  <w:footnote w:id="79">
    <w:p w14:paraId="34270F91" w14:textId="4224BD7E" w:rsidR="00BD7539" w:rsidRPr="00C7339F" w:rsidRDefault="00BD7539">
      <w:pPr>
        <w:pStyle w:val="FootnoteText"/>
        <w:rPr>
          <w:sz w:val="18"/>
          <w:szCs w:val="18"/>
        </w:rPr>
      </w:pPr>
      <w:r w:rsidRPr="00C7339F">
        <w:rPr>
          <w:rStyle w:val="FootnoteReference"/>
          <w:sz w:val="18"/>
          <w:szCs w:val="18"/>
        </w:rPr>
        <w:footnoteRef/>
      </w:r>
      <w:r w:rsidRPr="00C7339F">
        <w:rPr>
          <w:sz w:val="18"/>
          <w:szCs w:val="18"/>
        </w:rPr>
        <w:t xml:space="preserve"> </w:t>
      </w:r>
      <w:r w:rsidR="00CB619D" w:rsidRPr="00CB619D">
        <w:rPr>
          <w:sz w:val="18"/>
          <w:szCs w:val="18"/>
        </w:rPr>
        <w:t>Environment, Planning and Sustainable Development Directorate</w:t>
      </w:r>
      <w:r w:rsidR="000E042E" w:rsidRPr="00C7339F">
        <w:rPr>
          <w:sz w:val="18"/>
          <w:szCs w:val="18"/>
        </w:rPr>
        <w:t xml:space="preserve">, </w:t>
      </w:r>
      <w:hyperlink r:id="rId14" w:history="1">
        <w:r w:rsidR="000E042E" w:rsidRPr="00C7339F">
          <w:rPr>
            <w:rStyle w:val="Hyperlink"/>
            <w:sz w:val="18"/>
            <w:szCs w:val="18"/>
          </w:rPr>
          <w:t>Draft Inner North and City District Strategy</w:t>
        </w:r>
      </w:hyperlink>
      <w:r w:rsidR="000E042E" w:rsidRPr="00C7339F">
        <w:rPr>
          <w:sz w:val="18"/>
          <w:szCs w:val="18"/>
        </w:rPr>
        <w:t>, (accessed 14 February 2023), p 72.</w:t>
      </w:r>
    </w:p>
  </w:footnote>
  <w:footnote w:id="80">
    <w:p w14:paraId="2DCD96CD" w14:textId="1E711339" w:rsidR="003F36A8" w:rsidRPr="00C7339F" w:rsidRDefault="003F36A8">
      <w:pPr>
        <w:pStyle w:val="FootnoteText"/>
        <w:rPr>
          <w:sz w:val="18"/>
          <w:szCs w:val="18"/>
        </w:rPr>
      </w:pPr>
      <w:r w:rsidRPr="00C7339F">
        <w:rPr>
          <w:rStyle w:val="FootnoteReference"/>
          <w:sz w:val="18"/>
          <w:szCs w:val="18"/>
        </w:rPr>
        <w:footnoteRef/>
      </w:r>
      <w:r w:rsidRPr="00C7339F">
        <w:rPr>
          <w:sz w:val="18"/>
          <w:szCs w:val="18"/>
        </w:rPr>
        <w:t xml:space="preserve"> </w:t>
      </w:r>
      <w:r w:rsidR="00CB619D" w:rsidRPr="00CB619D">
        <w:rPr>
          <w:sz w:val="18"/>
          <w:szCs w:val="18"/>
        </w:rPr>
        <w:t>Transport Canberra and City Services</w:t>
      </w:r>
      <w:r w:rsidRPr="00C7339F">
        <w:rPr>
          <w:sz w:val="18"/>
          <w:szCs w:val="18"/>
        </w:rPr>
        <w:t xml:space="preserve">, </w:t>
      </w:r>
      <w:hyperlink r:id="rId15" w:history="1">
        <w:r w:rsidRPr="00CB619D">
          <w:rPr>
            <w:rStyle w:val="Hyperlink"/>
            <w:i/>
            <w:iCs/>
            <w:sz w:val="18"/>
            <w:szCs w:val="18"/>
          </w:rPr>
          <w:t>Annual Report 2021-22</w:t>
        </w:r>
      </w:hyperlink>
      <w:r w:rsidRPr="00C7339F">
        <w:rPr>
          <w:sz w:val="18"/>
          <w:szCs w:val="18"/>
        </w:rPr>
        <w:t xml:space="preserve">, </w:t>
      </w:r>
      <w:r w:rsidR="00B250C9">
        <w:rPr>
          <w:sz w:val="18"/>
          <w:szCs w:val="18"/>
        </w:rPr>
        <w:t xml:space="preserve">October 2022, </w:t>
      </w:r>
      <w:r w:rsidRPr="00C7339F">
        <w:rPr>
          <w:sz w:val="18"/>
          <w:szCs w:val="18"/>
        </w:rPr>
        <w:t>p 14.</w:t>
      </w:r>
    </w:p>
  </w:footnote>
  <w:footnote w:id="81">
    <w:p w14:paraId="700F40F7" w14:textId="1EF68E2F" w:rsidR="003F36A8" w:rsidRPr="00C7339F" w:rsidRDefault="003F36A8">
      <w:pPr>
        <w:pStyle w:val="FootnoteText"/>
        <w:rPr>
          <w:sz w:val="18"/>
          <w:szCs w:val="18"/>
        </w:rPr>
      </w:pPr>
      <w:r w:rsidRPr="00C7339F">
        <w:rPr>
          <w:rStyle w:val="FootnoteReference"/>
          <w:sz w:val="18"/>
          <w:szCs w:val="18"/>
        </w:rPr>
        <w:footnoteRef/>
      </w:r>
      <w:r w:rsidRPr="00C7339F">
        <w:rPr>
          <w:sz w:val="18"/>
          <w:szCs w:val="18"/>
        </w:rPr>
        <w:t xml:space="preserve"> </w:t>
      </w:r>
      <w:r w:rsidR="00CB619D" w:rsidRPr="00CB619D">
        <w:rPr>
          <w:sz w:val="18"/>
          <w:szCs w:val="18"/>
        </w:rPr>
        <w:t>Transport Canberra and City Services</w:t>
      </w:r>
      <w:r w:rsidRPr="00C7339F">
        <w:rPr>
          <w:sz w:val="18"/>
          <w:szCs w:val="18"/>
        </w:rPr>
        <w:t xml:space="preserve">, </w:t>
      </w:r>
      <w:hyperlink r:id="rId16" w:history="1">
        <w:r w:rsidRPr="00CB619D">
          <w:rPr>
            <w:rStyle w:val="Hyperlink"/>
            <w:i/>
            <w:iCs/>
            <w:sz w:val="18"/>
            <w:szCs w:val="18"/>
          </w:rPr>
          <w:t>Annual Report 2021-22</w:t>
        </w:r>
      </w:hyperlink>
      <w:r w:rsidRPr="00C7339F">
        <w:rPr>
          <w:sz w:val="18"/>
          <w:szCs w:val="18"/>
        </w:rPr>
        <w:t xml:space="preserve">, </w:t>
      </w:r>
      <w:r w:rsidR="00B250C9">
        <w:rPr>
          <w:sz w:val="18"/>
          <w:szCs w:val="18"/>
        </w:rPr>
        <w:t xml:space="preserve">October 2022, </w:t>
      </w:r>
      <w:r w:rsidRPr="00C7339F">
        <w:rPr>
          <w:sz w:val="18"/>
          <w:szCs w:val="18"/>
        </w:rPr>
        <w:t>p 14.</w:t>
      </w:r>
    </w:p>
  </w:footnote>
  <w:footnote w:id="82">
    <w:p w14:paraId="6E4DC724" w14:textId="51950166" w:rsidR="003F36A8" w:rsidRPr="00C7339F" w:rsidRDefault="003F36A8">
      <w:pPr>
        <w:pStyle w:val="FootnoteText"/>
        <w:rPr>
          <w:sz w:val="18"/>
          <w:szCs w:val="18"/>
        </w:rPr>
      </w:pPr>
      <w:r w:rsidRPr="00C7339F">
        <w:rPr>
          <w:rStyle w:val="FootnoteReference"/>
          <w:sz w:val="18"/>
          <w:szCs w:val="18"/>
        </w:rPr>
        <w:footnoteRef/>
      </w:r>
      <w:r w:rsidRPr="00C7339F">
        <w:rPr>
          <w:sz w:val="18"/>
          <w:szCs w:val="18"/>
        </w:rPr>
        <w:t xml:space="preserve"> </w:t>
      </w:r>
      <w:r w:rsidR="00CB619D" w:rsidRPr="00CB619D">
        <w:rPr>
          <w:sz w:val="18"/>
          <w:szCs w:val="18"/>
        </w:rPr>
        <w:t>Transport Canberra and City Services</w:t>
      </w:r>
      <w:r w:rsidRPr="00C7339F">
        <w:rPr>
          <w:sz w:val="18"/>
          <w:szCs w:val="18"/>
        </w:rPr>
        <w:t xml:space="preserve">, </w:t>
      </w:r>
      <w:hyperlink r:id="rId17" w:history="1">
        <w:r w:rsidRPr="00CB619D">
          <w:rPr>
            <w:rStyle w:val="Hyperlink"/>
            <w:i/>
            <w:iCs/>
            <w:sz w:val="18"/>
            <w:szCs w:val="18"/>
          </w:rPr>
          <w:t>Annual Report 2021-22</w:t>
        </w:r>
      </w:hyperlink>
      <w:r w:rsidRPr="00C7339F">
        <w:rPr>
          <w:sz w:val="18"/>
          <w:szCs w:val="18"/>
        </w:rPr>
        <w:t xml:space="preserve">, </w:t>
      </w:r>
      <w:r w:rsidR="00B250C9">
        <w:rPr>
          <w:sz w:val="18"/>
          <w:szCs w:val="18"/>
        </w:rPr>
        <w:t xml:space="preserve">October 2022, </w:t>
      </w:r>
      <w:r w:rsidRPr="00C7339F">
        <w:rPr>
          <w:sz w:val="18"/>
          <w:szCs w:val="18"/>
        </w:rPr>
        <w:t>p 14.</w:t>
      </w:r>
    </w:p>
  </w:footnote>
  <w:footnote w:id="83">
    <w:p w14:paraId="020B4459" w14:textId="706B4763" w:rsidR="00EF5E3D" w:rsidRPr="00C7339F" w:rsidRDefault="00EF5E3D">
      <w:pPr>
        <w:pStyle w:val="FootnoteText"/>
        <w:rPr>
          <w:sz w:val="18"/>
          <w:szCs w:val="18"/>
        </w:rPr>
      </w:pPr>
      <w:r w:rsidRPr="00C7339F">
        <w:rPr>
          <w:rStyle w:val="FootnoteReference"/>
          <w:sz w:val="18"/>
          <w:szCs w:val="18"/>
        </w:rPr>
        <w:footnoteRef/>
      </w:r>
      <w:r w:rsidRPr="00C7339F">
        <w:rPr>
          <w:sz w:val="18"/>
          <w:szCs w:val="18"/>
        </w:rPr>
        <w:t xml:space="preserve"> ACT Government, </w:t>
      </w:r>
      <w:r w:rsidRPr="00C7339F">
        <w:rPr>
          <w:i/>
          <w:iCs/>
          <w:sz w:val="18"/>
          <w:szCs w:val="18"/>
        </w:rPr>
        <w:t>Administrative Arrangements 2022 (No 2)</w:t>
      </w:r>
      <w:r w:rsidRPr="00C7339F">
        <w:rPr>
          <w:sz w:val="18"/>
          <w:szCs w:val="18"/>
        </w:rPr>
        <w:t xml:space="preserve"> </w:t>
      </w:r>
      <w:hyperlink r:id="rId18" w:history="1">
        <w:r w:rsidRPr="00C7339F">
          <w:rPr>
            <w:rStyle w:val="Hyperlink"/>
            <w:sz w:val="18"/>
            <w:szCs w:val="18"/>
          </w:rPr>
          <w:t>https://legislation.act.gov.au/View/ni/2022-697/current/html/2022-697.html</w:t>
        </w:r>
      </w:hyperlink>
      <w:r w:rsidRPr="00C7339F">
        <w:rPr>
          <w:sz w:val="18"/>
          <w:szCs w:val="18"/>
        </w:rPr>
        <w:t xml:space="preserve"> (accessed 23 January 2023).</w:t>
      </w:r>
    </w:p>
  </w:footnote>
  <w:footnote w:id="84">
    <w:p w14:paraId="37B8D748" w14:textId="0A72F5BC" w:rsidR="00EF5E3D" w:rsidRPr="00C7339F" w:rsidRDefault="00EF5E3D">
      <w:pPr>
        <w:pStyle w:val="FootnoteText"/>
        <w:rPr>
          <w:sz w:val="18"/>
          <w:szCs w:val="18"/>
        </w:rPr>
      </w:pPr>
      <w:r w:rsidRPr="00C7339F">
        <w:rPr>
          <w:rStyle w:val="FootnoteReference"/>
          <w:sz w:val="18"/>
          <w:szCs w:val="18"/>
        </w:rPr>
        <w:footnoteRef/>
      </w:r>
      <w:r w:rsidRPr="00C7339F">
        <w:rPr>
          <w:sz w:val="18"/>
          <w:szCs w:val="18"/>
        </w:rPr>
        <w:t xml:space="preserve"> ACT Government, </w:t>
      </w:r>
      <w:r w:rsidRPr="00C7339F">
        <w:rPr>
          <w:i/>
          <w:iCs/>
          <w:sz w:val="18"/>
          <w:szCs w:val="18"/>
        </w:rPr>
        <w:t>Administrative Arrangements 2022 (No 2)</w:t>
      </w:r>
      <w:r w:rsidRPr="00C7339F">
        <w:rPr>
          <w:sz w:val="18"/>
          <w:szCs w:val="18"/>
        </w:rPr>
        <w:t xml:space="preserve"> </w:t>
      </w:r>
      <w:hyperlink r:id="rId19" w:history="1">
        <w:r w:rsidRPr="00C7339F">
          <w:rPr>
            <w:rStyle w:val="Hyperlink"/>
            <w:sz w:val="18"/>
            <w:szCs w:val="18"/>
          </w:rPr>
          <w:t>https://legislation.act.gov.au/View/ni/2022-697/current/html/2022-697.html</w:t>
        </w:r>
      </w:hyperlink>
      <w:r w:rsidRPr="00C7339F">
        <w:rPr>
          <w:sz w:val="18"/>
          <w:szCs w:val="18"/>
        </w:rPr>
        <w:t xml:space="preserve"> (accessed 23 January 2023).</w:t>
      </w:r>
    </w:p>
  </w:footnote>
  <w:footnote w:id="85">
    <w:p w14:paraId="61B72A04" w14:textId="77777777" w:rsidR="007E658C" w:rsidRPr="00C7339F" w:rsidRDefault="007E658C" w:rsidP="007E658C">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31 October 2022, pp 31</w:t>
      </w:r>
      <w:r w:rsidRPr="00C7339F">
        <w:rPr>
          <w:sz w:val="18"/>
          <w:szCs w:val="18"/>
        </w:rPr>
        <w:softHyphen/>
      </w:r>
      <w:r w:rsidRPr="00C7339F">
        <w:rPr>
          <w:sz w:val="18"/>
          <w:szCs w:val="18"/>
        </w:rPr>
        <w:softHyphen/>
        <w:t>–32.</w:t>
      </w:r>
    </w:p>
  </w:footnote>
  <w:footnote w:id="86">
    <w:p w14:paraId="4AD3C5C7" w14:textId="77777777" w:rsidR="007E658C" w:rsidRPr="00C7339F" w:rsidRDefault="007E658C" w:rsidP="007E658C">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31 October 2022, p 32.</w:t>
      </w:r>
    </w:p>
  </w:footnote>
  <w:footnote w:id="87">
    <w:p w14:paraId="39573378" w14:textId="77777777" w:rsidR="007E658C" w:rsidRPr="00C7339F" w:rsidRDefault="007E658C" w:rsidP="007E658C">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31 October 2022, p 32.</w:t>
      </w:r>
    </w:p>
  </w:footnote>
  <w:footnote w:id="88">
    <w:p w14:paraId="615E43B4" w14:textId="63B7F250" w:rsidR="007E658C" w:rsidRPr="00C7339F" w:rsidRDefault="007E658C" w:rsidP="007E658C">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31 October 2022, p</w:t>
      </w:r>
      <w:r w:rsidR="00005685">
        <w:rPr>
          <w:sz w:val="18"/>
          <w:szCs w:val="18"/>
        </w:rPr>
        <w:t>p</w:t>
      </w:r>
      <w:r w:rsidRPr="00C7339F">
        <w:rPr>
          <w:sz w:val="18"/>
          <w:szCs w:val="18"/>
        </w:rPr>
        <w:t xml:space="preserve"> 33, 42.</w:t>
      </w:r>
    </w:p>
  </w:footnote>
  <w:footnote w:id="89">
    <w:p w14:paraId="78584AAC" w14:textId="77777777" w:rsidR="007E658C" w:rsidRPr="00C7339F" w:rsidRDefault="007E658C" w:rsidP="007E658C">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31 October 2022, pp 33</w:t>
      </w:r>
      <w:r w:rsidRPr="00C7339F">
        <w:rPr>
          <w:sz w:val="18"/>
          <w:szCs w:val="18"/>
        </w:rPr>
        <w:softHyphen/>
        <w:t>–34.</w:t>
      </w:r>
    </w:p>
  </w:footnote>
  <w:footnote w:id="90">
    <w:p w14:paraId="6E35931B" w14:textId="77777777" w:rsidR="007E658C" w:rsidRPr="00C7339F" w:rsidRDefault="007E658C" w:rsidP="007E658C">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31 October 2022, p 35.</w:t>
      </w:r>
    </w:p>
  </w:footnote>
  <w:footnote w:id="91">
    <w:p w14:paraId="18595EEF" w14:textId="77777777" w:rsidR="007E658C" w:rsidRPr="00C7339F" w:rsidRDefault="007E658C" w:rsidP="007E658C">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31 October 2022, p 35.</w:t>
      </w:r>
    </w:p>
  </w:footnote>
  <w:footnote w:id="92">
    <w:p w14:paraId="379BAE7F" w14:textId="77777777" w:rsidR="007E658C" w:rsidRPr="00C7339F" w:rsidRDefault="007E658C" w:rsidP="007E658C">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31 October 2022, p 37.</w:t>
      </w:r>
    </w:p>
  </w:footnote>
  <w:footnote w:id="93">
    <w:p w14:paraId="6A821666" w14:textId="77777777" w:rsidR="007E658C" w:rsidRPr="00C7339F" w:rsidRDefault="007E658C" w:rsidP="007E658C">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31 October 2022, p 40.</w:t>
      </w:r>
    </w:p>
  </w:footnote>
  <w:footnote w:id="94">
    <w:p w14:paraId="1BA24636" w14:textId="77777777" w:rsidR="007E658C" w:rsidRPr="00C7339F" w:rsidRDefault="007E658C" w:rsidP="007E658C">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31 October 2022, p 41.</w:t>
      </w:r>
    </w:p>
  </w:footnote>
  <w:footnote w:id="95">
    <w:p w14:paraId="3B6C4276" w14:textId="77777777" w:rsidR="007E658C" w:rsidRPr="00C7339F" w:rsidRDefault="007E658C" w:rsidP="007E658C">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31 October 2022, p 45.</w:t>
      </w:r>
    </w:p>
  </w:footnote>
  <w:footnote w:id="96">
    <w:p w14:paraId="433E6F3A" w14:textId="77777777" w:rsidR="007E658C" w:rsidRPr="00C7339F" w:rsidRDefault="007E658C" w:rsidP="007E658C">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31 October 2022, p 46.</w:t>
      </w:r>
    </w:p>
  </w:footnote>
  <w:footnote w:id="97">
    <w:p w14:paraId="68CBD3BF" w14:textId="3F726919" w:rsidR="00D240BE" w:rsidRPr="00DF49CE" w:rsidRDefault="00D240BE">
      <w:pPr>
        <w:pStyle w:val="FootnoteText"/>
        <w:rPr>
          <w:sz w:val="18"/>
          <w:szCs w:val="18"/>
        </w:rPr>
      </w:pPr>
      <w:r w:rsidRPr="00DF49CE">
        <w:rPr>
          <w:rStyle w:val="FootnoteReference"/>
          <w:sz w:val="18"/>
          <w:szCs w:val="18"/>
        </w:rPr>
        <w:footnoteRef/>
      </w:r>
      <w:r w:rsidRPr="00DF49CE">
        <w:rPr>
          <w:sz w:val="18"/>
          <w:szCs w:val="18"/>
        </w:rPr>
        <w:t xml:space="preserve"> </w:t>
      </w:r>
      <w:r w:rsidR="00CB619D" w:rsidRPr="00CB619D">
        <w:rPr>
          <w:sz w:val="18"/>
          <w:szCs w:val="18"/>
        </w:rPr>
        <w:t>Transport Canberra and City Services</w:t>
      </w:r>
      <w:r w:rsidRPr="00DF49CE">
        <w:rPr>
          <w:sz w:val="18"/>
          <w:szCs w:val="18"/>
        </w:rPr>
        <w:t xml:space="preserve">, </w:t>
      </w:r>
      <w:hyperlink r:id="rId20" w:history="1">
        <w:r w:rsidRPr="00CB619D">
          <w:rPr>
            <w:rStyle w:val="Hyperlink"/>
            <w:i/>
            <w:iCs/>
            <w:sz w:val="18"/>
            <w:szCs w:val="18"/>
          </w:rPr>
          <w:t>Annual Report 2021-22</w:t>
        </w:r>
      </w:hyperlink>
      <w:r w:rsidRPr="00DF49CE">
        <w:rPr>
          <w:sz w:val="18"/>
          <w:szCs w:val="18"/>
        </w:rPr>
        <w:t xml:space="preserve">, </w:t>
      </w:r>
      <w:r w:rsidR="00B250C9">
        <w:rPr>
          <w:sz w:val="18"/>
          <w:szCs w:val="18"/>
        </w:rPr>
        <w:t xml:space="preserve">October 2022, </w:t>
      </w:r>
      <w:r w:rsidRPr="00DF49CE">
        <w:rPr>
          <w:sz w:val="18"/>
          <w:szCs w:val="18"/>
        </w:rPr>
        <w:t>p 97.</w:t>
      </w:r>
    </w:p>
  </w:footnote>
  <w:footnote w:id="98">
    <w:p w14:paraId="36555035" w14:textId="7CF8425F" w:rsidR="00DF49CE" w:rsidRPr="00DF49CE" w:rsidRDefault="00DF49CE">
      <w:pPr>
        <w:pStyle w:val="FootnoteText"/>
        <w:rPr>
          <w:sz w:val="18"/>
          <w:szCs w:val="18"/>
        </w:rPr>
      </w:pPr>
      <w:r w:rsidRPr="00DF49CE">
        <w:rPr>
          <w:rStyle w:val="FootnoteReference"/>
          <w:sz w:val="18"/>
          <w:szCs w:val="18"/>
        </w:rPr>
        <w:footnoteRef/>
      </w:r>
      <w:r w:rsidRPr="00DF49CE">
        <w:rPr>
          <w:sz w:val="18"/>
          <w:szCs w:val="18"/>
        </w:rPr>
        <w:t xml:space="preserve"> </w:t>
      </w:r>
      <w:r>
        <w:rPr>
          <w:sz w:val="18"/>
          <w:szCs w:val="18"/>
        </w:rPr>
        <w:t xml:space="preserve">The obligation is set out at: </w:t>
      </w:r>
      <w:r w:rsidR="00CB619D" w:rsidRPr="00CB619D">
        <w:rPr>
          <w:sz w:val="18"/>
          <w:szCs w:val="18"/>
        </w:rPr>
        <w:t>Transport Canberra and City Services</w:t>
      </w:r>
      <w:r>
        <w:rPr>
          <w:sz w:val="18"/>
          <w:szCs w:val="18"/>
        </w:rPr>
        <w:t xml:space="preserve">, </w:t>
      </w:r>
      <w:r w:rsidRPr="00DF49CE">
        <w:rPr>
          <w:i/>
          <w:iCs/>
          <w:sz w:val="18"/>
          <w:szCs w:val="18"/>
        </w:rPr>
        <w:t>TCCS Strategic Plan 2021-24</w:t>
      </w:r>
      <w:r>
        <w:rPr>
          <w:sz w:val="18"/>
          <w:szCs w:val="18"/>
        </w:rPr>
        <w:t xml:space="preserve">,  </w:t>
      </w:r>
      <w:hyperlink r:id="rId21" w:history="1">
        <w:r w:rsidRPr="00EB2D73">
          <w:rPr>
            <w:rStyle w:val="Hyperlink"/>
            <w:sz w:val="18"/>
            <w:szCs w:val="18"/>
          </w:rPr>
          <w:t>https://www.cityservices.act.gov.au/__data/assets/pdf_file/0005/1851008/Strategic-Plan-2021-24.pdf</w:t>
        </w:r>
      </w:hyperlink>
      <w:r>
        <w:rPr>
          <w:sz w:val="18"/>
          <w:szCs w:val="18"/>
        </w:rPr>
        <w:t xml:space="preserve"> (accessed 13</w:t>
      </w:r>
      <w:r w:rsidR="0048097A">
        <w:rPr>
          <w:sz w:val="18"/>
          <w:szCs w:val="18"/>
        </w:rPr>
        <w:t> </w:t>
      </w:r>
      <w:r>
        <w:rPr>
          <w:sz w:val="18"/>
          <w:szCs w:val="18"/>
        </w:rPr>
        <w:t>March 2023).</w:t>
      </w:r>
    </w:p>
  </w:footnote>
  <w:footnote w:id="99">
    <w:p w14:paraId="4B81A89A" w14:textId="4C794816" w:rsidR="00D240BE" w:rsidRPr="00DF49CE" w:rsidRDefault="00D240BE">
      <w:pPr>
        <w:pStyle w:val="FootnoteText"/>
        <w:rPr>
          <w:sz w:val="18"/>
          <w:szCs w:val="18"/>
        </w:rPr>
      </w:pPr>
      <w:r w:rsidRPr="00DF49CE">
        <w:rPr>
          <w:rStyle w:val="FootnoteReference"/>
          <w:sz w:val="18"/>
          <w:szCs w:val="18"/>
        </w:rPr>
        <w:footnoteRef/>
      </w:r>
      <w:r w:rsidRPr="00DF49CE">
        <w:rPr>
          <w:sz w:val="18"/>
          <w:szCs w:val="18"/>
        </w:rPr>
        <w:t xml:space="preserve"> </w:t>
      </w:r>
      <w:r w:rsidR="00DF49CE" w:rsidRPr="00C7339F">
        <w:rPr>
          <w:i/>
          <w:iCs/>
          <w:sz w:val="18"/>
          <w:szCs w:val="18"/>
        </w:rPr>
        <w:t>Proof Committee Hansard</w:t>
      </w:r>
      <w:r w:rsidR="00DF49CE" w:rsidRPr="00C7339F">
        <w:rPr>
          <w:sz w:val="18"/>
          <w:szCs w:val="18"/>
        </w:rPr>
        <w:t>, 31 October 2022, pp 31</w:t>
      </w:r>
      <w:r w:rsidR="00DF49CE" w:rsidRPr="00C7339F">
        <w:rPr>
          <w:sz w:val="18"/>
          <w:szCs w:val="18"/>
        </w:rPr>
        <w:softHyphen/>
      </w:r>
      <w:r w:rsidR="00DF49CE" w:rsidRPr="00C7339F">
        <w:rPr>
          <w:sz w:val="18"/>
          <w:szCs w:val="18"/>
        </w:rPr>
        <w:softHyphen/>
        <w:t>–32.</w:t>
      </w:r>
    </w:p>
  </w:footnote>
  <w:footnote w:id="100">
    <w:p w14:paraId="7A9B0D2F" w14:textId="66F82FC5" w:rsidR="00D240BE" w:rsidRPr="00DF49CE" w:rsidRDefault="00D240BE">
      <w:pPr>
        <w:pStyle w:val="FootnoteText"/>
        <w:rPr>
          <w:sz w:val="18"/>
          <w:szCs w:val="18"/>
        </w:rPr>
      </w:pPr>
      <w:r w:rsidRPr="00DF49CE">
        <w:rPr>
          <w:rStyle w:val="FootnoteReference"/>
          <w:sz w:val="18"/>
          <w:szCs w:val="18"/>
        </w:rPr>
        <w:footnoteRef/>
      </w:r>
      <w:r w:rsidRPr="00DF49CE">
        <w:rPr>
          <w:sz w:val="18"/>
          <w:szCs w:val="18"/>
        </w:rPr>
        <w:t xml:space="preserve"> </w:t>
      </w:r>
      <w:r w:rsidR="006728B7">
        <w:rPr>
          <w:sz w:val="18"/>
          <w:szCs w:val="18"/>
        </w:rPr>
        <w:t xml:space="preserve">Ms Alison Playford, Director-General, TCCS, </w:t>
      </w:r>
      <w:r w:rsidR="00DF49CE" w:rsidRPr="00C7339F">
        <w:rPr>
          <w:i/>
          <w:iCs/>
          <w:sz w:val="18"/>
          <w:szCs w:val="18"/>
        </w:rPr>
        <w:t>Proof Committee Hansard</w:t>
      </w:r>
      <w:r w:rsidR="00DF49CE" w:rsidRPr="00C7339F">
        <w:rPr>
          <w:sz w:val="18"/>
          <w:szCs w:val="18"/>
        </w:rPr>
        <w:t>, 31 October 2022, p</w:t>
      </w:r>
      <w:r w:rsidR="00DF49CE">
        <w:rPr>
          <w:sz w:val="18"/>
          <w:szCs w:val="18"/>
        </w:rPr>
        <w:t xml:space="preserve"> </w:t>
      </w:r>
      <w:r w:rsidR="00DF49CE" w:rsidRPr="00C7339F">
        <w:rPr>
          <w:sz w:val="18"/>
          <w:szCs w:val="18"/>
        </w:rPr>
        <w:t>32.</w:t>
      </w:r>
    </w:p>
  </w:footnote>
  <w:footnote w:id="101">
    <w:p w14:paraId="127FCC35" w14:textId="18624A33" w:rsidR="00D240BE" w:rsidRDefault="00D240BE">
      <w:pPr>
        <w:pStyle w:val="FootnoteText"/>
      </w:pPr>
      <w:r w:rsidRPr="00DF49CE">
        <w:rPr>
          <w:rStyle w:val="FootnoteReference"/>
          <w:sz w:val="18"/>
          <w:szCs w:val="18"/>
        </w:rPr>
        <w:footnoteRef/>
      </w:r>
      <w:r>
        <w:t xml:space="preserve"> </w:t>
      </w:r>
      <w:r w:rsidR="006728B7">
        <w:rPr>
          <w:sz w:val="18"/>
          <w:szCs w:val="18"/>
        </w:rPr>
        <w:t xml:space="preserve">Ms Alison Playford, Director-General, TCCS, </w:t>
      </w:r>
      <w:r w:rsidR="00DF49CE" w:rsidRPr="00C7339F">
        <w:rPr>
          <w:i/>
          <w:iCs/>
          <w:sz w:val="18"/>
          <w:szCs w:val="18"/>
        </w:rPr>
        <w:t>Proof Committee Hansard</w:t>
      </w:r>
      <w:r w:rsidR="00DF49CE" w:rsidRPr="00C7339F">
        <w:rPr>
          <w:sz w:val="18"/>
          <w:szCs w:val="18"/>
        </w:rPr>
        <w:t>, 31 October 2022, p</w:t>
      </w:r>
      <w:r w:rsidR="00DF49CE">
        <w:rPr>
          <w:sz w:val="18"/>
          <w:szCs w:val="18"/>
        </w:rPr>
        <w:t xml:space="preserve"> </w:t>
      </w:r>
      <w:r w:rsidR="00DF49CE" w:rsidRPr="00C7339F">
        <w:rPr>
          <w:sz w:val="18"/>
          <w:szCs w:val="18"/>
        </w:rPr>
        <w:t>32.</w:t>
      </w:r>
    </w:p>
  </w:footnote>
  <w:footnote w:id="102">
    <w:p w14:paraId="64184012" w14:textId="21453F9D" w:rsidR="0087083B" w:rsidRPr="0087083B" w:rsidRDefault="0087083B">
      <w:pPr>
        <w:pStyle w:val="FootnoteText"/>
        <w:rPr>
          <w:sz w:val="18"/>
          <w:szCs w:val="18"/>
        </w:rPr>
      </w:pPr>
      <w:r w:rsidRPr="0087083B">
        <w:rPr>
          <w:rStyle w:val="FootnoteReference"/>
          <w:sz w:val="18"/>
          <w:szCs w:val="18"/>
        </w:rPr>
        <w:footnoteRef/>
      </w:r>
      <w:r w:rsidRPr="0087083B">
        <w:rPr>
          <w:sz w:val="18"/>
          <w:szCs w:val="18"/>
        </w:rPr>
        <w:t xml:space="preserve"> </w:t>
      </w:r>
      <w:r w:rsidRPr="00C7339F">
        <w:rPr>
          <w:i/>
          <w:iCs/>
          <w:sz w:val="18"/>
          <w:szCs w:val="18"/>
        </w:rPr>
        <w:t>Proof Committee Hansard</w:t>
      </w:r>
      <w:r w:rsidRPr="00C7339F">
        <w:rPr>
          <w:sz w:val="18"/>
          <w:szCs w:val="18"/>
        </w:rPr>
        <w:t>, 31 October 2022, p</w:t>
      </w:r>
      <w:r>
        <w:rPr>
          <w:sz w:val="18"/>
          <w:szCs w:val="18"/>
        </w:rPr>
        <w:t xml:space="preserve"> </w:t>
      </w:r>
      <w:r w:rsidRPr="00C7339F">
        <w:rPr>
          <w:sz w:val="18"/>
          <w:szCs w:val="18"/>
        </w:rPr>
        <w:t>32.</w:t>
      </w:r>
    </w:p>
  </w:footnote>
  <w:footnote w:id="103">
    <w:p w14:paraId="465682D8" w14:textId="474F77BC" w:rsidR="0087083B" w:rsidRPr="006728B7" w:rsidRDefault="0087083B">
      <w:pPr>
        <w:pStyle w:val="FootnoteText"/>
        <w:rPr>
          <w:sz w:val="18"/>
          <w:szCs w:val="18"/>
        </w:rPr>
      </w:pPr>
      <w:r w:rsidRPr="006728B7">
        <w:rPr>
          <w:rStyle w:val="FootnoteReference"/>
          <w:sz w:val="18"/>
          <w:szCs w:val="18"/>
        </w:rPr>
        <w:footnoteRef/>
      </w:r>
      <w:r w:rsidRPr="006728B7">
        <w:rPr>
          <w:sz w:val="18"/>
          <w:szCs w:val="18"/>
        </w:rPr>
        <w:t xml:space="preserve"> </w:t>
      </w:r>
      <w:r w:rsidR="00D00681" w:rsidRPr="00D00681">
        <w:rPr>
          <w:sz w:val="18"/>
          <w:szCs w:val="18"/>
        </w:rPr>
        <w:t>Transport Canberra and City Services</w:t>
      </w:r>
      <w:r w:rsidR="006728B7" w:rsidRPr="00DF49CE">
        <w:rPr>
          <w:sz w:val="18"/>
          <w:szCs w:val="18"/>
        </w:rPr>
        <w:t xml:space="preserve">, </w:t>
      </w:r>
      <w:hyperlink r:id="rId22" w:history="1">
        <w:r w:rsidR="006728B7" w:rsidRPr="00D00681">
          <w:rPr>
            <w:rStyle w:val="Hyperlink"/>
            <w:i/>
            <w:iCs/>
            <w:sz w:val="18"/>
            <w:szCs w:val="18"/>
          </w:rPr>
          <w:t>Annual Report 2021-22</w:t>
        </w:r>
      </w:hyperlink>
      <w:r w:rsidR="006728B7" w:rsidRPr="00DF49CE">
        <w:rPr>
          <w:sz w:val="18"/>
          <w:szCs w:val="18"/>
        </w:rPr>
        <w:t xml:space="preserve">, </w:t>
      </w:r>
      <w:r w:rsidR="00B250C9">
        <w:rPr>
          <w:sz w:val="18"/>
          <w:szCs w:val="18"/>
        </w:rPr>
        <w:t xml:space="preserve">October 2022, </w:t>
      </w:r>
      <w:r w:rsidR="006728B7" w:rsidRPr="00DF49CE">
        <w:rPr>
          <w:sz w:val="18"/>
          <w:szCs w:val="18"/>
        </w:rPr>
        <w:t>p 97.</w:t>
      </w:r>
    </w:p>
  </w:footnote>
  <w:footnote w:id="104">
    <w:p w14:paraId="6146993B" w14:textId="208E4C9B" w:rsidR="0087083B" w:rsidRPr="006728B7" w:rsidRDefault="0087083B">
      <w:pPr>
        <w:pStyle w:val="FootnoteText"/>
        <w:rPr>
          <w:sz w:val="18"/>
          <w:szCs w:val="18"/>
        </w:rPr>
      </w:pPr>
      <w:r w:rsidRPr="006728B7">
        <w:rPr>
          <w:rStyle w:val="FootnoteReference"/>
          <w:sz w:val="18"/>
          <w:szCs w:val="18"/>
        </w:rPr>
        <w:footnoteRef/>
      </w:r>
      <w:r w:rsidRPr="006728B7">
        <w:rPr>
          <w:sz w:val="18"/>
          <w:szCs w:val="18"/>
        </w:rPr>
        <w:t xml:space="preserve"> </w:t>
      </w:r>
      <w:r w:rsidR="006728B7">
        <w:rPr>
          <w:sz w:val="18"/>
          <w:szCs w:val="18"/>
        </w:rPr>
        <w:t xml:space="preserve">Ms Alison Playford, Director-General, TCCS, </w:t>
      </w:r>
      <w:r w:rsidR="006728B7" w:rsidRPr="00C7339F">
        <w:rPr>
          <w:i/>
          <w:iCs/>
          <w:sz w:val="18"/>
          <w:szCs w:val="18"/>
        </w:rPr>
        <w:t>Proof Committee Hansard</w:t>
      </w:r>
      <w:r w:rsidR="006728B7" w:rsidRPr="00C7339F">
        <w:rPr>
          <w:sz w:val="18"/>
          <w:szCs w:val="18"/>
        </w:rPr>
        <w:t>, 31 October 2022, p</w:t>
      </w:r>
      <w:r w:rsidR="006728B7">
        <w:rPr>
          <w:sz w:val="18"/>
          <w:szCs w:val="18"/>
        </w:rPr>
        <w:t xml:space="preserve"> </w:t>
      </w:r>
      <w:r w:rsidR="006728B7" w:rsidRPr="00C7339F">
        <w:rPr>
          <w:sz w:val="18"/>
          <w:szCs w:val="18"/>
        </w:rPr>
        <w:t>32.</w:t>
      </w:r>
    </w:p>
  </w:footnote>
  <w:footnote w:id="105">
    <w:p w14:paraId="2E5AB1EB" w14:textId="642DFA99" w:rsidR="006728B7" w:rsidRPr="006728B7" w:rsidRDefault="006728B7">
      <w:pPr>
        <w:pStyle w:val="FootnoteText"/>
        <w:rPr>
          <w:sz w:val="18"/>
          <w:szCs w:val="18"/>
        </w:rPr>
      </w:pPr>
      <w:r w:rsidRPr="006728B7">
        <w:rPr>
          <w:rStyle w:val="FootnoteReference"/>
          <w:sz w:val="18"/>
          <w:szCs w:val="18"/>
        </w:rPr>
        <w:footnoteRef/>
      </w:r>
      <w:r w:rsidRPr="006728B7">
        <w:rPr>
          <w:sz w:val="18"/>
          <w:szCs w:val="18"/>
        </w:rPr>
        <w:t xml:space="preserve"> </w:t>
      </w:r>
      <w:r>
        <w:rPr>
          <w:sz w:val="18"/>
          <w:szCs w:val="18"/>
        </w:rPr>
        <w:t xml:space="preserve">Ms Alison Playford, Director-General, TCCS, </w:t>
      </w:r>
      <w:r w:rsidRPr="00C7339F">
        <w:rPr>
          <w:i/>
          <w:iCs/>
          <w:sz w:val="18"/>
          <w:szCs w:val="18"/>
        </w:rPr>
        <w:t>Proof Committee Hansard</w:t>
      </w:r>
      <w:r w:rsidRPr="00C7339F">
        <w:rPr>
          <w:sz w:val="18"/>
          <w:szCs w:val="18"/>
        </w:rPr>
        <w:t>, 31 October 2022, p</w:t>
      </w:r>
      <w:r>
        <w:rPr>
          <w:sz w:val="18"/>
          <w:szCs w:val="18"/>
        </w:rPr>
        <w:t xml:space="preserve"> </w:t>
      </w:r>
      <w:r w:rsidRPr="00C7339F">
        <w:rPr>
          <w:sz w:val="18"/>
          <w:szCs w:val="18"/>
        </w:rPr>
        <w:t>32.</w:t>
      </w:r>
    </w:p>
  </w:footnote>
  <w:footnote w:id="106">
    <w:p w14:paraId="5AC09B28" w14:textId="33667165" w:rsidR="001620A0" w:rsidRPr="00C7339F" w:rsidRDefault="001620A0" w:rsidP="001620A0">
      <w:pPr>
        <w:pStyle w:val="FootnoteText"/>
        <w:rPr>
          <w:sz w:val="18"/>
          <w:szCs w:val="18"/>
        </w:rPr>
      </w:pPr>
      <w:r w:rsidRPr="006728B7">
        <w:rPr>
          <w:rStyle w:val="FootnoteReference"/>
          <w:sz w:val="18"/>
          <w:szCs w:val="18"/>
        </w:rPr>
        <w:footnoteRef/>
      </w:r>
      <w:r w:rsidRPr="00C7339F">
        <w:rPr>
          <w:sz w:val="18"/>
          <w:szCs w:val="18"/>
        </w:rPr>
        <w:t xml:space="preserve"> Mr Chris Steel</w:t>
      </w:r>
      <w:r w:rsidR="0095674D" w:rsidRPr="00C7339F">
        <w:rPr>
          <w:sz w:val="18"/>
          <w:szCs w:val="18"/>
        </w:rPr>
        <w:t xml:space="preserve"> MLA</w:t>
      </w:r>
      <w:r w:rsidRPr="00C7339F">
        <w:rPr>
          <w:sz w:val="18"/>
          <w:szCs w:val="18"/>
        </w:rPr>
        <w:t xml:space="preserve">, Minister for Transport and City Services, </w:t>
      </w:r>
      <w:r w:rsidR="0095674D" w:rsidRPr="00C7339F">
        <w:rPr>
          <w:i/>
          <w:iCs/>
          <w:sz w:val="18"/>
          <w:szCs w:val="18"/>
        </w:rPr>
        <w:t xml:space="preserve">Proof </w:t>
      </w:r>
      <w:r w:rsidRPr="00C7339F">
        <w:rPr>
          <w:i/>
          <w:iCs/>
          <w:sz w:val="18"/>
          <w:szCs w:val="18"/>
        </w:rPr>
        <w:t xml:space="preserve">Committee </w:t>
      </w:r>
      <w:r w:rsidR="0095674D" w:rsidRPr="00C7339F">
        <w:rPr>
          <w:i/>
          <w:iCs/>
          <w:sz w:val="18"/>
          <w:szCs w:val="18"/>
        </w:rPr>
        <w:t>H</w:t>
      </w:r>
      <w:r w:rsidRPr="00C7339F">
        <w:rPr>
          <w:i/>
          <w:iCs/>
          <w:sz w:val="18"/>
          <w:szCs w:val="18"/>
        </w:rPr>
        <w:t>ansard</w:t>
      </w:r>
      <w:r w:rsidRPr="00C7339F">
        <w:rPr>
          <w:sz w:val="18"/>
          <w:szCs w:val="18"/>
        </w:rPr>
        <w:t>, 31 October 2022, p 33.</w:t>
      </w:r>
    </w:p>
  </w:footnote>
  <w:footnote w:id="107">
    <w:p w14:paraId="540B6C93" w14:textId="698DFC40" w:rsidR="001620A0" w:rsidRPr="00BF4B90" w:rsidRDefault="001620A0" w:rsidP="001620A0">
      <w:pPr>
        <w:pStyle w:val="FootnoteText"/>
        <w:rPr>
          <w:sz w:val="18"/>
          <w:szCs w:val="18"/>
        </w:rPr>
      </w:pPr>
      <w:r w:rsidRPr="00BF4B90">
        <w:rPr>
          <w:rStyle w:val="FootnoteReference"/>
          <w:sz w:val="18"/>
          <w:szCs w:val="18"/>
        </w:rPr>
        <w:footnoteRef/>
      </w:r>
      <w:r w:rsidRPr="00BF4B90">
        <w:rPr>
          <w:sz w:val="18"/>
          <w:szCs w:val="18"/>
        </w:rPr>
        <w:t xml:space="preserve"> Mr Chris Steel</w:t>
      </w:r>
      <w:r w:rsidR="0095674D" w:rsidRPr="00BF4B90">
        <w:rPr>
          <w:sz w:val="18"/>
          <w:szCs w:val="18"/>
        </w:rPr>
        <w:t xml:space="preserve"> MLA</w:t>
      </w:r>
      <w:r w:rsidRPr="00BF4B90">
        <w:rPr>
          <w:sz w:val="18"/>
          <w:szCs w:val="18"/>
        </w:rPr>
        <w:t xml:space="preserve">, Minister for Transport and City Services, </w:t>
      </w:r>
      <w:r w:rsidR="0095674D" w:rsidRPr="00BF4B90">
        <w:rPr>
          <w:i/>
          <w:iCs/>
          <w:sz w:val="18"/>
          <w:szCs w:val="18"/>
        </w:rPr>
        <w:t xml:space="preserve">Proof </w:t>
      </w:r>
      <w:r w:rsidRPr="00BF4B90">
        <w:rPr>
          <w:i/>
          <w:iCs/>
          <w:sz w:val="18"/>
          <w:szCs w:val="18"/>
        </w:rPr>
        <w:t xml:space="preserve">Committee </w:t>
      </w:r>
      <w:r w:rsidR="0095674D" w:rsidRPr="00BF4B90">
        <w:rPr>
          <w:i/>
          <w:iCs/>
          <w:sz w:val="18"/>
          <w:szCs w:val="18"/>
        </w:rPr>
        <w:t>H</w:t>
      </w:r>
      <w:r w:rsidRPr="00BF4B90">
        <w:rPr>
          <w:i/>
          <w:iCs/>
          <w:sz w:val="18"/>
          <w:szCs w:val="18"/>
        </w:rPr>
        <w:t>ansard</w:t>
      </w:r>
      <w:r w:rsidRPr="00BF4B90">
        <w:rPr>
          <w:sz w:val="18"/>
          <w:szCs w:val="18"/>
        </w:rPr>
        <w:t>, 31 October 2022, p 33.</w:t>
      </w:r>
    </w:p>
  </w:footnote>
  <w:footnote w:id="108">
    <w:p w14:paraId="1AF4C2F2" w14:textId="437FEC16" w:rsidR="00BF4B90" w:rsidRDefault="00BF4B90">
      <w:pPr>
        <w:pStyle w:val="FootnoteText"/>
      </w:pPr>
      <w:r w:rsidRPr="00BF4B90">
        <w:rPr>
          <w:rStyle w:val="FootnoteReference"/>
          <w:sz w:val="18"/>
          <w:szCs w:val="18"/>
        </w:rPr>
        <w:footnoteRef/>
      </w:r>
      <w:r>
        <w:t xml:space="preserve"> </w:t>
      </w:r>
      <w:r w:rsidRPr="00BF4B90">
        <w:rPr>
          <w:sz w:val="18"/>
          <w:szCs w:val="18"/>
        </w:rPr>
        <w:t xml:space="preserve">Mr Chris Steel MLA, Minister for Transport and City Services, </w:t>
      </w:r>
      <w:r w:rsidRPr="00BF4B90">
        <w:rPr>
          <w:i/>
          <w:iCs/>
          <w:sz w:val="18"/>
          <w:szCs w:val="18"/>
        </w:rPr>
        <w:t>Proof Committee Hansard</w:t>
      </w:r>
      <w:r w:rsidRPr="00BF4B90">
        <w:rPr>
          <w:sz w:val="18"/>
          <w:szCs w:val="18"/>
        </w:rPr>
        <w:t>, 31 October 2022, p 3</w:t>
      </w:r>
      <w:r>
        <w:rPr>
          <w:sz w:val="18"/>
          <w:szCs w:val="18"/>
        </w:rPr>
        <w:t>4.</w:t>
      </w:r>
    </w:p>
  </w:footnote>
  <w:footnote w:id="109">
    <w:p w14:paraId="513BC11D" w14:textId="6E727E39" w:rsidR="001620A0" w:rsidRPr="00C7339F" w:rsidRDefault="001620A0">
      <w:pPr>
        <w:pStyle w:val="FootnoteText"/>
        <w:rPr>
          <w:sz w:val="18"/>
          <w:szCs w:val="18"/>
        </w:rPr>
      </w:pPr>
      <w:r w:rsidRPr="00C7339F">
        <w:rPr>
          <w:rStyle w:val="FootnoteReference"/>
          <w:sz w:val="18"/>
          <w:szCs w:val="18"/>
        </w:rPr>
        <w:footnoteRef/>
      </w:r>
      <w:r w:rsidRPr="00C7339F">
        <w:rPr>
          <w:sz w:val="18"/>
          <w:szCs w:val="18"/>
        </w:rPr>
        <w:t xml:space="preserve"> </w:t>
      </w:r>
      <w:r w:rsidRPr="00610570">
        <w:rPr>
          <w:i/>
          <w:iCs/>
          <w:sz w:val="18"/>
          <w:szCs w:val="18"/>
        </w:rPr>
        <w:t xml:space="preserve">Proof </w:t>
      </w:r>
      <w:r w:rsidR="00610570" w:rsidRPr="00610570">
        <w:rPr>
          <w:i/>
          <w:iCs/>
          <w:sz w:val="18"/>
          <w:szCs w:val="18"/>
        </w:rPr>
        <w:t xml:space="preserve">Committee </w:t>
      </w:r>
      <w:r w:rsidRPr="00610570">
        <w:rPr>
          <w:i/>
          <w:iCs/>
          <w:sz w:val="18"/>
          <w:szCs w:val="18"/>
        </w:rPr>
        <w:t>Hansard</w:t>
      </w:r>
      <w:r w:rsidRPr="00C7339F">
        <w:rPr>
          <w:sz w:val="18"/>
          <w:szCs w:val="18"/>
        </w:rPr>
        <w:t>, 31 October 2022, p 33.</w:t>
      </w:r>
    </w:p>
  </w:footnote>
  <w:footnote w:id="110">
    <w:p w14:paraId="6C57A404" w14:textId="325558EA" w:rsidR="00DB7DE2" w:rsidRPr="00C7339F" w:rsidRDefault="00DB7DE2">
      <w:pPr>
        <w:pStyle w:val="FootnoteText"/>
        <w:rPr>
          <w:sz w:val="18"/>
          <w:szCs w:val="18"/>
        </w:rPr>
      </w:pPr>
      <w:r w:rsidRPr="00C7339F">
        <w:rPr>
          <w:rStyle w:val="FootnoteReference"/>
          <w:sz w:val="18"/>
          <w:szCs w:val="18"/>
        </w:rPr>
        <w:footnoteRef/>
      </w:r>
      <w:r w:rsidRPr="00C7339F">
        <w:rPr>
          <w:sz w:val="18"/>
          <w:szCs w:val="18"/>
        </w:rPr>
        <w:t xml:space="preserve"> Mr Duncan Ed</w:t>
      </w:r>
      <w:r w:rsidR="00B00F9A" w:rsidRPr="00C7339F">
        <w:rPr>
          <w:sz w:val="18"/>
          <w:szCs w:val="18"/>
        </w:rPr>
        <w:t>g</w:t>
      </w:r>
      <w:r w:rsidRPr="00C7339F">
        <w:rPr>
          <w:sz w:val="18"/>
          <w:szCs w:val="18"/>
        </w:rPr>
        <w:t xml:space="preserve">hill, </w:t>
      </w:r>
      <w:r w:rsidR="00C7339F" w:rsidRPr="00C7339F">
        <w:rPr>
          <w:sz w:val="18"/>
          <w:szCs w:val="18"/>
        </w:rPr>
        <w:t xml:space="preserve">Chief </w:t>
      </w:r>
      <w:r w:rsidR="00C7339F">
        <w:rPr>
          <w:sz w:val="18"/>
          <w:szCs w:val="18"/>
        </w:rPr>
        <w:t>P</w:t>
      </w:r>
      <w:r w:rsidR="00C7339F" w:rsidRPr="00C7339F">
        <w:rPr>
          <w:sz w:val="18"/>
          <w:szCs w:val="18"/>
        </w:rPr>
        <w:t xml:space="preserve">rojects </w:t>
      </w:r>
      <w:r w:rsidR="00C7339F">
        <w:rPr>
          <w:sz w:val="18"/>
          <w:szCs w:val="18"/>
        </w:rPr>
        <w:t>O</w:t>
      </w:r>
      <w:r w:rsidR="00C7339F" w:rsidRPr="00C7339F">
        <w:rPr>
          <w:sz w:val="18"/>
          <w:szCs w:val="18"/>
        </w:rPr>
        <w:t>fficer, Major Projects Canberra</w:t>
      </w:r>
      <w:r w:rsidRPr="00C7339F">
        <w:rPr>
          <w:sz w:val="18"/>
          <w:szCs w:val="18"/>
        </w:rPr>
        <w:t xml:space="preserve">, </w:t>
      </w:r>
      <w:r w:rsidR="0095674D" w:rsidRPr="00C7339F">
        <w:rPr>
          <w:i/>
          <w:iCs/>
          <w:sz w:val="18"/>
          <w:szCs w:val="18"/>
        </w:rPr>
        <w:t xml:space="preserve">Proof </w:t>
      </w:r>
      <w:r w:rsidRPr="00C7339F">
        <w:rPr>
          <w:i/>
          <w:iCs/>
          <w:sz w:val="18"/>
          <w:szCs w:val="18"/>
        </w:rPr>
        <w:t>Committee Hansard</w:t>
      </w:r>
      <w:r w:rsidRPr="00C7339F">
        <w:rPr>
          <w:sz w:val="18"/>
          <w:szCs w:val="18"/>
        </w:rPr>
        <w:t>, 31 October 2022, p 33.</w:t>
      </w:r>
    </w:p>
  </w:footnote>
  <w:footnote w:id="111">
    <w:p w14:paraId="21010C91" w14:textId="4229FC82" w:rsidR="00C27650" w:rsidRPr="00C7339F" w:rsidRDefault="00C27650">
      <w:pPr>
        <w:pStyle w:val="FootnoteText"/>
        <w:rPr>
          <w:sz w:val="18"/>
          <w:szCs w:val="18"/>
        </w:rPr>
      </w:pPr>
      <w:r w:rsidRPr="00C7339F">
        <w:rPr>
          <w:rStyle w:val="FootnoteReference"/>
          <w:sz w:val="18"/>
          <w:szCs w:val="18"/>
        </w:rPr>
        <w:footnoteRef/>
      </w:r>
      <w:r w:rsidRPr="00C7339F">
        <w:rPr>
          <w:sz w:val="18"/>
          <w:szCs w:val="18"/>
        </w:rPr>
        <w:t xml:space="preserve"> </w:t>
      </w:r>
      <w:r w:rsidR="0095674D" w:rsidRPr="00C7339F">
        <w:rPr>
          <w:i/>
          <w:iCs/>
          <w:sz w:val="18"/>
          <w:szCs w:val="18"/>
        </w:rPr>
        <w:t xml:space="preserve">Proof </w:t>
      </w:r>
      <w:r w:rsidRPr="00C7339F">
        <w:rPr>
          <w:i/>
          <w:iCs/>
          <w:sz w:val="18"/>
          <w:szCs w:val="18"/>
        </w:rPr>
        <w:t xml:space="preserve">Committee </w:t>
      </w:r>
      <w:r w:rsidR="0095674D" w:rsidRPr="00C7339F">
        <w:rPr>
          <w:i/>
          <w:iCs/>
          <w:sz w:val="18"/>
          <w:szCs w:val="18"/>
        </w:rPr>
        <w:t>H</w:t>
      </w:r>
      <w:r w:rsidRPr="00C7339F">
        <w:rPr>
          <w:i/>
          <w:iCs/>
          <w:sz w:val="18"/>
          <w:szCs w:val="18"/>
        </w:rPr>
        <w:t>ansard</w:t>
      </w:r>
      <w:r w:rsidRPr="00C7339F">
        <w:rPr>
          <w:sz w:val="18"/>
          <w:szCs w:val="18"/>
        </w:rPr>
        <w:t xml:space="preserve">, 31 October 2022, </w:t>
      </w:r>
      <w:r w:rsidR="006F24F0" w:rsidRPr="00C7339F">
        <w:rPr>
          <w:sz w:val="18"/>
          <w:szCs w:val="18"/>
        </w:rPr>
        <w:t>p</w:t>
      </w:r>
      <w:r w:rsidRPr="00C7339F">
        <w:rPr>
          <w:sz w:val="18"/>
          <w:szCs w:val="18"/>
        </w:rPr>
        <w:t>p 36</w:t>
      </w:r>
      <w:r w:rsidR="006F24F0" w:rsidRPr="00C7339F">
        <w:rPr>
          <w:sz w:val="18"/>
          <w:szCs w:val="18"/>
        </w:rPr>
        <w:t>, 44</w:t>
      </w:r>
      <w:r w:rsidR="00812BD7">
        <w:rPr>
          <w:sz w:val="18"/>
          <w:szCs w:val="18"/>
        </w:rPr>
        <w:softHyphen/>
        <w:t>–</w:t>
      </w:r>
      <w:r w:rsidR="006F24F0" w:rsidRPr="00C7339F">
        <w:rPr>
          <w:sz w:val="18"/>
          <w:szCs w:val="18"/>
        </w:rPr>
        <w:t>45.</w:t>
      </w:r>
    </w:p>
  </w:footnote>
  <w:footnote w:id="112">
    <w:p w14:paraId="2145AE43" w14:textId="226D3358" w:rsidR="00AE3793" w:rsidRPr="00C7339F" w:rsidRDefault="00AE3793" w:rsidP="00AE3793">
      <w:pPr>
        <w:pStyle w:val="FootnoteText"/>
        <w:rPr>
          <w:sz w:val="18"/>
          <w:szCs w:val="18"/>
        </w:rPr>
      </w:pPr>
      <w:r w:rsidRPr="00C7339F">
        <w:rPr>
          <w:rStyle w:val="FootnoteReference"/>
          <w:sz w:val="18"/>
          <w:szCs w:val="18"/>
        </w:rPr>
        <w:footnoteRef/>
      </w:r>
      <w:r w:rsidRPr="00C7339F">
        <w:rPr>
          <w:sz w:val="18"/>
          <w:szCs w:val="18"/>
        </w:rPr>
        <w:t xml:space="preserve"> Mr Duncan Edghill, </w:t>
      </w:r>
      <w:r w:rsidR="00C7339F" w:rsidRPr="00C7339F">
        <w:rPr>
          <w:sz w:val="18"/>
          <w:szCs w:val="18"/>
        </w:rPr>
        <w:t>Chief Projects Officer, Major Projects Canberra,</w:t>
      </w:r>
      <w:r w:rsidRPr="00C7339F">
        <w:rPr>
          <w:sz w:val="18"/>
          <w:szCs w:val="18"/>
        </w:rPr>
        <w:t xml:space="preserve"> </w:t>
      </w:r>
      <w:r w:rsidR="0095674D" w:rsidRPr="00C7339F">
        <w:rPr>
          <w:i/>
          <w:iCs/>
          <w:sz w:val="18"/>
          <w:szCs w:val="18"/>
        </w:rPr>
        <w:t xml:space="preserve">Proof </w:t>
      </w:r>
      <w:r w:rsidRPr="00C7339F">
        <w:rPr>
          <w:i/>
          <w:iCs/>
          <w:sz w:val="18"/>
          <w:szCs w:val="18"/>
        </w:rPr>
        <w:t>Committee Hansard</w:t>
      </w:r>
      <w:r w:rsidRPr="00C7339F">
        <w:rPr>
          <w:sz w:val="18"/>
          <w:szCs w:val="18"/>
        </w:rPr>
        <w:t>, 31 October 2022, p 36</w:t>
      </w:r>
    </w:p>
  </w:footnote>
  <w:footnote w:id="113">
    <w:p w14:paraId="163729F5" w14:textId="5780F9FE" w:rsidR="006F24F0" w:rsidRPr="00C7339F" w:rsidRDefault="006F24F0">
      <w:pPr>
        <w:pStyle w:val="FootnoteText"/>
        <w:rPr>
          <w:sz w:val="18"/>
          <w:szCs w:val="18"/>
        </w:rPr>
      </w:pPr>
      <w:r w:rsidRPr="00C7339F">
        <w:rPr>
          <w:rStyle w:val="FootnoteReference"/>
          <w:sz w:val="18"/>
          <w:szCs w:val="18"/>
        </w:rPr>
        <w:footnoteRef/>
      </w:r>
      <w:r w:rsidRPr="00C7339F">
        <w:rPr>
          <w:sz w:val="18"/>
          <w:szCs w:val="18"/>
        </w:rPr>
        <w:t xml:space="preserve"> Mr Chris Steel MLA,</w:t>
      </w:r>
      <w:r w:rsidR="00AE3793" w:rsidRPr="00C7339F">
        <w:rPr>
          <w:sz w:val="18"/>
          <w:szCs w:val="18"/>
        </w:rPr>
        <w:t xml:space="preserve"> </w:t>
      </w:r>
      <w:r w:rsidR="00775377">
        <w:rPr>
          <w:i/>
          <w:iCs/>
          <w:sz w:val="18"/>
          <w:szCs w:val="18"/>
        </w:rPr>
        <w:t>Response</w:t>
      </w:r>
      <w:r w:rsidR="00AE3793" w:rsidRPr="00C7339F">
        <w:rPr>
          <w:i/>
          <w:iCs/>
          <w:sz w:val="18"/>
          <w:szCs w:val="18"/>
        </w:rPr>
        <w:t xml:space="preserve"> to QTON 8: MPC RLC Utilities Works Costs</w:t>
      </w:r>
      <w:r w:rsidR="00AE3793" w:rsidRPr="00C7339F">
        <w:rPr>
          <w:sz w:val="18"/>
          <w:szCs w:val="18"/>
        </w:rPr>
        <w:t xml:space="preserve">, </w:t>
      </w:r>
      <w:r w:rsidR="00C7339F" w:rsidRPr="00C7339F">
        <w:rPr>
          <w:sz w:val="18"/>
          <w:szCs w:val="18"/>
        </w:rPr>
        <w:t xml:space="preserve">31 October 2022 </w:t>
      </w:r>
      <w:r w:rsidR="00AE3793" w:rsidRPr="00C7339F">
        <w:rPr>
          <w:sz w:val="18"/>
          <w:szCs w:val="18"/>
        </w:rPr>
        <w:t>(received 9 November 2022), p 1.</w:t>
      </w:r>
    </w:p>
  </w:footnote>
  <w:footnote w:id="114">
    <w:p w14:paraId="45E731D6" w14:textId="788F7E93" w:rsidR="00BC2A8F" w:rsidRPr="00B250C9" w:rsidRDefault="00BC2A8F">
      <w:pPr>
        <w:pStyle w:val="FootnoteText"/>
        <w:rPr>
          <w:sz w:val="18"/>
          <w:szCs w:val="18"/>
        </w:rPr>
      </w:pPr>
      <w:r w:rsidRPr="00B250C9">
        <w:rPr>
          <w:rStyle w:val="FootnoteReference"/>
          <w:sz w:val="18"/>
          <w:szCs w:val="18"/>
        </w:rPr>
        <w:footnoteRef/>
      </w:r>
      <w:r w:rsidRPr="00B250C9">
        <w:rPr>
          <w:sz w:val="18"/>
          <w:szCs w:val="18"/>
        </w:rPr>
        <w:t xml:space="preserve"> </w:t>
      </w:r>
      <w:r w:rsidRPr="00B250C9">
        <w:rPr>
          <w:i/>
          <w:iCs/>
          <w:sz w:val="18"/>
          <w:szCs w:val="18"/>
        </w:rPr>
        <w:t xml:space="preserve">Proof Committee </w:t>
      </w:r>
      <w:r w:rsidR="0095674D" w:rsidRPr="00B250C9">
        <w:rPr>
          <w:i/>
          <w:iCs/>
          <w:sz w:val="18"/>
          <w:szCs w:val="18"/>
        </w:rPr>
        <w:t>H</w:t>
      </w:r>
      <w:r w:rsidRPr="00B250C9">
        <w:rPr>
          <w:i/>
          <w:iCs/>
          <w:sz w:val="18"/>
          <w:szCs w:val="18"/>
        </w:rPr>
        <w:t>ansard</w:t>
      </w:r>
      <w:r w:rsidRPr="00B250C9">
        <w:rPr>
          <w:sz w:val="18"/>
          <w:szCs w:val="18"/>
        </w:rPr>
        <w:t>, 31 October 2022, p 42</w:t>
      </w:r>
      <w:r w:rsidR="000375DF" w:rsidRPr="00B250C9">
        <w:rPr>
          <w:sz w:val="18"/>
          <w:szCs w:val="18"/>
        </w:rPr>
        <w:t>.</w:t>
      </w:r>
    </w:p>
  </w:footnote>
  <w:footnote w:id="115">
    <w:p w14:paraId="4D3E6F76" w14:textId="40A5E179" w:rsidR="00B250C9" w:rsidRPr="00B250C9" w:rsidRDefault="00B250C9">
      <w:pPr>
        <w:pStyle w:val="FootnoteText"/>
        <w:rPr>
          <w:sz w:val="18"/>
          <w:szCs w:val="18"/>
        </w:rPr>
      </w:pPr>
      <w:r w:rsidRPr="00B250C9">
        <w:rPr>
          <w:rStyle w:val="FootnoteReference"/>
          <w:sz w:val="18"/>
          <w:szCs w:val="18"/>
        </w:rPr>
        <w:footnoteRef/>
      </w:r>
      <w:r w:rsidRPr="00B250C9">
        <w:rPr>
          <w:sz w:val="18"/>
          <w:szCs w:val="18"/>
        </w:rPr>
        <w:t xml:space="preserve"> </w:t>
      </w:r>
      <w:r w:rsidRPr="00B250C9">
        <w:rPr>
          <w:i/>
          <w:iCs/>
          <w:sz w:val="18"/>
          <w:szCs w:val="18"/>
        </w:rPr>
        <w:t>Proof Committee Hansard</w:t>
      </w:r>
      <w:r w:rsidRPr="00B250C9">
        <w:rPr>
          <w:sz w:val="18"/>
          <w:szCs w:val="18"/>
        </w:rPr>
        <w:t>, 31 October 2022, p 42.</w:t>
      </w:r>
    </w:p>
  </w:footnote>
  <w:footnote w:id="116">
    <w:p w14:paraId="3195CD36" w14:textId="0172B672" w:rsidR="00B250C9" w:rsidRPr="00B250C9" w:rsidRDefault="00B250C9">
      <w:pPr>
        <w:pStyle w:val="FootnoteText"/>
        <w:rPr>
          <w:sz w:val="18"/>
          <w:szCs w:val="18"/>
        </w:rPr>
      </w:pPr>
      <w:r w:rsidRPr="00B250C9">
        <w:rPr>
          <w:rStyle w:val="FootnoteReference"/>
          <w:sz w:val="18"/>
          <w:szCs w:val="18"/>
        </w:rPr>
        <w:footnoteRef/>
      </w:r>
      <w:r w:rsidRPr="00B250C9">
        <w:rPr>
          <w:sz w:val="18"/>
          <w:szCs w:val="18"/>
        </w:rPr>
        <w:t xml:space="preserve"> </w:t>
      </w:r>
      <w:r w:rsidRPr="00C7339F">
        <w:rPr>
          <w:sz w:val="18"/>
          <w:szCs w:val="18"/>
        </w:rPr>
        <w:t xml:space="preserve">Mr Chris Steel MLA, Minister for Transport and City Services, </w:t>
      </w:r>
      <w:r w:rsidRPr="00C7339F">
        <w:rPr>
          <w:i/>
          <w:iCs/>
          <w:sz w:val="18"/>
          <w:szCs w:val="18"/>
        </w:rPr>
        <w:t>Proof Committee Hansard</w:t>
      </w:r>
      <w:r w:rsidRPr="00C7339F">
        <w:rPr>
          <w:sz w:val="18"/>
          <w:szCs w:val="18"/>
        </w:rPr>
        <w:t>, 31 October 2022, p 43.</w:t>
      </w:r>
    </w:p>
  </w:footnote>
  <w:footnote w:id="117">
    <w:p w14:paraId="6643D783" w14:textId="0BD97C33" w:rsidR="00B250C9" w:rsidRDefault="00B250C9">
      <w:pPr>
        <w:pStyle w:val="FootnoteText"/>
      </w:pPr>
      <w:r w:rsidRPr="00B250C9">
        <w:rPr>
          <w:rStyle w:val="FootnoteReference"/>
          <w:sz w:val="18"/>
          <w:szCs w:val="18"/>
        </w:rPr>
        <w:footnoteRef/>
      </w:r>
      <w:r>
        <w:t xml:space="preserve"> </w:t>
      </w:r>
      <w:r w:rsidRPr="00C7339F">
        <w:rPr>
          <w:sz w:val="18"/>
          <w:szCs w:val="18"/>
        </w:rPr>
        <w:t xml:space="preserve">Mr Chris Steel MLA, Minister for Transport and City Services, </w:t>
      </w:r>
      <w:r w:rsidRPr="00C7339F">
        <w:rPr>
          <w:i/>
          <w:iCs/>
          <w:sz w:val="18"/>
          <w:szCs w:val="18"/>
        </w:rPr>
        <w:t>Proof Committee Hansard</w:t>
      </w:r>
      <w:r w:rsidRPr="00C7339F">
        <w:rPr>
          <w:sz w:val="18"/>
          <w:szCs w:val="18"/>
        </w:rPr>
        <w:t>, 31 October 2022, p</w:t>
      </w:r>
      <w:r>
        <w:rPr>
          <w:sz w:val="18"/>
          <w:szCs w:val="18"/>
        </w:rPr>
        <w:t>p 42–43.</w:t>
      </w:r>
    </w:p>
  </w:footnote>
  <w:footnote w:id="118">
    <w:p w14:paraId="417183CA" w14:textId="77ACE522" w:rsidR="00AF7633" w:rsidRPr="00C7339F" w:rsidRDefault="00AF7633">
      <w:pPr>
        <w:pStyle w:val="FootnoteText"/>
        <w:rPr>
          <w:sz w:val="18"/>
          <w:szCs w:val="18"/>
        </w:rPr>
      </w:pPr>
      <w:r w:rsidRPr="00C7339F">
        <w:rPr>
          <w:rStyle w:val="FootnoteReference"/>
          <w:sz w:val="18"/>
          <w:szCs w:val="18"/>
        </w:rPr>
        <w:footnoteRef/>
      </w:r>
      <w:r w:rsidRPr="00C7339F">
        <w:rPr>
          <w:sz w:val="18"/>
          <w:szCs w:val="18"/>
        </w:rPr>
        <w:t xml:space="preserve"> Mr Chris Steel MLA, Minister for Transport and City Services, </w:t>
      </w:r>
      <w:r w:rsidR="0095674D" w:rsidRPr="00C7339F">
        <w:rPr>
          <w:i/>
          <w:iCs/>
          <w:sz w:val="18"/>
          <w:szCs w:val="18"/>
        </w:rPr>
        <w:t xml:space="preserve">Proof </w:t>
      </w:r>
      <w:r w:rsidRPr="00C7339F">
        <w:rPr>
          <w:i/>
          <w:iCs/>
          <w:sz w:val="18"/>
          <w:szCs w:val="18"/>
        </w:rPr>
        <w:t xml:space="preserve">Committee </w:t>
      </w:r>
      <w:r w:rsidR="0095674D" w:rsidRPr="00C7339F">
        <w:rPr>
          <w:i/>
          <w:iCs/>
          <w:sz w:val="18"/>
          <w:szCs w:val="18"/>
        </w:rPr>
        <w:t>H</w:t>
      </w:r>
      <w:r w:rsidRPr="00C7339F">
        <w:rPr>
          <w:i/>
          <w:iCs/>
          <w:sz w:val="18"/>
          <w:szCs w:val="18"/>
        </w:rPr>
        <w:t>ansard</w:t>
      </w:r>
      <w:r w:rsidRPr="00C7339F">
        <w:rPr>
          <w:sz w:val="18"/>
          <w:szCs w:val="18"/>
        </w:rPr>
        <w:t>, 31 October 2022, p 43.</w:t>
      </w:r>
    </w:p>
  </w:footnote>
  <w:footnote w:id="119">
    <w:p w14:paraId="4D844BF4" w14:textId="33AE44EF" w:rsidR="008E47FC" w:rsidRPr="00C7339F" w:rsidRDefault="008E47FC">
      <w:pPr>
        <w:pStyle w:val="FootnoteText"/>
        <w:rPr>
          <w:sz w:val="18"/>
          <w:szCs w:val="18"/>
        </w:rPr>
      </w:pPr>
      <w:r w:rsidRPr="00C7339F">
        <w:rPr>
          <w:rStyle w:val="FootnoteReference"/>
          <w:sz w:val="18"/>
          <w:szCs w:val="18"/>
        </w:rPr>
        <w:footnoteRef/>
      </w:r>
      <w:r w:rsidRPr="00C7339F">
        <w:rPr>
          <w:sz w:val="18"/>
          <w:szCs w:val="18"/>
        </w:rPr>
        <w:t xml:space="preserve"> </w:t>
      </w:r>
      <w:r w:rsidR="0095674D" w:rsidRPr="00C7339F">
        <w:rPr>
          <w:sz w:val="18"/>
          <w:szCs w:val="18"/>
        </w:rPr>
        <w:t xml:space="preserve">Transport Canberra and City Services, </w:t>
      </w:r>
      <w:hyperlink r:id="rId23" w:history="1">
        <w:r w:rsidR="0095674D" w:rsidRPr="00D00681">
          <w:rPr>
            <w:rStyle w:val="Hyperlink"/>
            <w:i/>
            <w:iCs/>
            <w:sz w:val="18"/>
            <w:szCs w:val="18"/>
          </w:rPr>
          <w:t>Annual Report 2</w:t>
        </w:r>
        <w:r w:rsidR="00D00681">
          <w:rPr>
            <w:rStyle w:val="Hyperlink"/>
            <w:i/>
            <w:iCs/>
            <w:sz w:val="18"/>
            <w:szCs w:val="18"/>
          </w:rPr>
          <w:t>02</w:t>
        </w:r>
        <w:r w:rsidR="0095674D" w:rsidRPr="00D00681">
          <w:rPr>
            <w:rStyle w:val="Hyperlink"/>
            <w:i/>
            <w:iCs/>
            <w:sz w:val="18"/>
            <w:szCs w:val="18"/>
          </w:rPr>
          <w:t>1-22</w:t>
        </w:r>
      </w:hyperlink>
      <w:r w:rsidR="0095674D" w:rsidRPr="00C7339F">
        <w:rPr>
          <w:sz w:val="18"/>
          <w:szCs w:val="18"/>
        </w:rPr>
        <w:t>, October 2022</w:t>
      </w:r>
      <w:r w:rsidR="009002A7" w:rsidRPr="00C7339F">
        <w:rPr>
          <w:sz w:val="18"/>
          <w:szCs w:val="18"/>
        </w:rPr>
        <w:t>, p 6.</w:t>
      </w:r>
    </w:p>
  </w:footnote>
  <w:footnote w:id="120">
    <w:p w14:paraId="0489F69B" w14:textId="1871F2B3" w:rsidR="00E478B1" w:rsidRPr="00C7339F" w:rsidRDefault="00E478B1">
      <w:pPr>
        <w:pStyle w:val="FootnoteText"/>
        <w:rPr>
          <w:sz w:val="18"/>
          <w:szCs w:val="18"/>
        </w:rPr>
      </w:pPr>
      <w:r w:rsidRPr="00C7339F">
        <w:rPr>
          <w:rStyle w:val="FootnoteReference"/>
          <w:sz w:val="18"/>
          <w:szCs w:val="18"/>
        </w:rPr>
        <w:footnoteRef/>
      </w:r>
      <w:r w:rsidRPr="00C7339F">
        <w:rPr>
          <w:sz w:val="18"/>
          <w:szCs w:val="18"/>
        </w:rPr>
        <w:t xml:space="preserve"> </w:t>
      </w:r>
      <w:r w:rsidR="0095674D" w:rsidRPr="00C7339F">
        <w:rPr>
          <w:sz w:val="18"/>
          <w:szCs w:val="18"/>
        </w:rPr>
        <w:t xml:space="preserve">Transport Canberra and City Services, </w:t>
      </w:r>
      <w:hyperlink r:id="rId24" w:history="1">
        <w:r w:rsidR="0095674D" w:rsidRPr="00D00681">
          <w:rPr>
            <w:rStyle w:val="Hyperlink"/>
            <w:i/>
            <w:iCs/>
            <w:sz w:val="18"/>
            <w:szCs w:val="18"/>
          </w:rPr>
          <w:t>Annual Report 2</w:t>
        </w:r>
        <w:r w:rsidR="00D00681">
          <w:rPr>
            <w:rStyle w:val="Hyperlink"/>
            <w:i/>
            <w:iCs/>
            <w:sz w:val="18"/>
            <w:szCs w:val="18"/>
          </w:rPr>
          <w:t>02</w:t>
        </w:r>
        <w:r w:rsidR="0095674D" w:rsidRPr="00D00681">
          <w:rPr>
            <w:rStyle w:val="Hyperlink"/>
            <w:i/>
            <w:iCs/>
            <w:sz w:val="18"/>
            <w:szCs w:val="18"/>
          </w:rPr>
          <w:t>1-22</w:t>
        </w:r>
      </w:hyperlink>
      <w:r w:rsidR="0095674D" w:rsidRPr="00C7339F">
        <w:rPr>
          <w:sz w:val="18"/>
          <w:szCs w:val="18"/>
        </w:rPr>
        <w:t>, October 2022,</w:t>
      </w:r>
      <w:r w:rsidR="009002A7" w:rsidRPr="00C7339F">
        <w:rPr>
          <w:sz w:val="18"/>
          <w:szCs w:val="18"/>
        </w:rPr>
        <w:t xml:space="preserve"> p 25.</w:t>
      </w:r>
    </w:p>
  </w:footnote>
  <w:footnote w:id="121">
    <w:p w14:paraId="4A413D41" w14:textId="4FE3F1E2" w:rsidR="00A871C9" w:rsidRPr="00C7339F" w:rsidRDefault="00A871C9">
      <w:pPr>
        <w:pStyle w:val="FootnoteText"/>
        <w:rPr>
          <w:sz w:val="18"/>
          <w:szCs w:val="18"/>
        </w:rPr>
      </w:pPr>
      <w:r w:rsidRPr="00C7339F">
        <w:rPr>
          <w:rStyle w:val="FootnoteReference"/>
          <w:sz w:val="18"/>
          <w:szCs w:val="18"/>
        </w:rPr>
        <w:footnoteRef/>
      </w:r>
      <w:r w:rsidRPr="00C7339F">
        <w:rPr>
          <w:sz w:val="18"/>
          <w:szCs w:val="18"/>
        </w:rPr>
        <w:t xml:space="preserve"> </w:t>
      </w:r>
      <w:r w:rsidR="00467307" w:rsidRPr="00C7339F">
        <w:rPr>
          <w:i/>
          <w:iCs/>
          <w:sz w:val="18"/>
          <w:szCs w:val="18"/>
        </w:rPr>
        <w:t>Proof Committee Hansard</w:t>
      </w:r>
      <w:r w:rsidR="00467307" w:rsidRPr="00C7339F">
        <w:rPr>
          <w:sz w:val="18"/>
          <w:szCs w:val="18"/>
        </w:rPr>
        <w:t>, 31 October 2022, p 45.</w:t>
      </w:r>
    </w:p>
  </w:footnote>
  <w:footnote w:id="122">
    <w:p w14:paraId="37DD9378" w14:textId="1E78EFB1" w:rsidR="00A871C9" w:rsidRPr="00C7339F" w:rsidRDefault="00A871C9">
      <w:pPr>
        <w:pStyle w:val="FootnoteText"/>
        <w:rPr>
          <w:sz w:val="18"/>
          <w:szCs w:val="18"/>
        </w:rPr>
      </w:pPr>
      <w:r w:rsidRPr="00C7339F">
        <w:rPr>
          <w:rStyle w:val="FootnoteReference"/>
          <w:sz w:val="18"/>
          <w:szCs w:val="18"/>
        </w:rPr>
        <w:footnoteRef/>
      </w:r>
      <w:r w:rsidRPr="00C7339F">
        <w:rPr>
          <w:sz w:val="18"/>
          <w:szCs w:val="18"/>
        </w:rPr>
        <w:t xml:space="preserve"> </w:t>
      </w:r>
      <w:r w:rsidR="009002A7" w:rsidRPr="00C7339F">
        <w:rPr>
          <w:sz w:val="18"/>
          <w:szCs w:val="18"/>
        </w:rPr>
        <w:t xml:space="preserve">Mr Chris Steel MLA, Minister for Transport and City Services, </w:t>
      </w:r>
      <w:r w:rsidR="009002A7" w:rsidRPr="00C7339F">
        <w:rPr>
          <w:i/>
          <w:iCs/>
          <w:sz w:val="18"/>
          <w:szCs w:val="18"/>
        </w:rPr>
        <w:t>Proof Committee Hansard</w:t>
      </w:r>
      <w:r w:rsidR="009002A7" w:rsidRPr="00C7339F">
        <w:rPr>
          <w:sz w:val="18"/>
          <w:szCs w:val="18"/>
        </w:rPr>
        <w:t>, p 46.</w:t>
      </w:r>
    </w:p>
  </w:footnote>
  <w:footnote w:id="123">
    <w:p w14:paraId="0FD097A1" w14:textId="4680A37F" w:rsidR="00A871C9" w:rsidRPr="00C7339F" w:rsidRDefault="00A871C9">
      <w:pPr>
        <w:pStyle w:val="FootnoteText"/>
        <w:rPr>
          <w:sz w:val="18"/>
          <w:szCs w:val="18"/>
        </w:rPr>
      </w:pPr>
      <w:r w:rsidRPr="00C7339F">
        <w:rPr>
          <w:rStyle w:val="FootnoteReference"/>
          <w:sz w:val="18"/>
          <w:szCs w:val="18"/>
        </w:rPr>
        <w:footnoteRef/>
      </w:r>
      <w:r w:rsidRPr="00C7339F">
        <w:rPr>
          <w:sz w:val="18"/>
          <w:szCs w:val="18"/>
        </w:rPr>
        <w:t xml:space="preserve"> </w:t>
      </w:r>
      <w:r w:rsidR="009002A7" w:rsidRPr="00C7339F">
        <w:rPr>
          <w:sz w:val="18"/>
          <w:szCs w:val="18"/>
        </w:rPr>
        <w:t xml:space="preserve">Mr Chris Steel MLA, Minister for Transport and City Services, </w:t>
      </w:r>
      <w:r w:rsidR="009002A7" w:rsidRPr="00C7339F">
        <w:rPr>
          <w:i/>
          <w:iCs/>
          <w:sz w:val="18"/>
          <w:szCs w:val="18"/>
        </w:rPr>
        <w:t>Proof Committee Hansard</w:t>
      </w:r>
      <w:r w:rsidR="009002A7" w:rsidRPr="00C7339F">
        <w:rPr>
          <w:sz w:val="18"/>
          <w:szCs w:val="18"/>
        </w:rPr>
        <w:t>, p 46.</w:t>
      </w:r>
    </w:p>
  </w:footnote>
  <w:footnote w:id="124">
    <w:p w14:paraId="6CEA4696" w14:textId="37091742" w:rsidR="00C53021" w:rsidRPr="00C7339F" w:rsidRDefault="00C53021">
      <w:pPr>
        <w:pStyle w:val="FootnoteText"/>
        <w:rPr>
          <w:sz w:val="18"/>
          <w:szCs w:val="18"/>
        </w:rPr>
      </w:pPr>
      <w:r w:rsidRPr="00C7339F">
        <w:rPr>
          <w:rStyle w:val="FootnoteReference"/>
          <w:sz w:val="18"/>
          <w:szCs w:val="18"/>
        </w:rPr>
        <w:footnoteRef/>
      </w:r>
      <w:r w:rsidRPr="00C7339F">
        <w:rPr>
          <w:sz w:val="18"/>
          <w:szCs w:val="18"/>
        </w:rPr>
        <w:t xml:space="preserve"> </w:t>
      </w:r>
      <w:r w:rsidR="002828D4">
        <w:rPr>
          <w:sz w:val="18"/>
          <w:szCs w:val="18"/>
        </w:rPr>
        <w:t xml:space="preserve">Mr Chris Steel MLA, </w:t>
      </w:r>
      <w:hyperlink r:id="rId25" w:history="1">
        <w:r w:rsidR="002828D4" w:rsidRPr="002828D4">
          <w:rPr>
            <w:rStyle w:val="Hyperlink"/>
            <w:i/>
            <w:iCs/>
            <w:sz w:val="18"/>
            <w:szCs w:val="18"/>
          </w:rPr>
          <w:t>Media Release – Travel the electric way on Canberra’s first zero emissions bus</w:t>
        </w:r>
      </w:hyperlink>
      <w:r w:rsidR="002828D4">
        <w:rPr>
          <w:sz w:val="18"/>
          <w:szCs w:val="18"/>
        </w:rPr>
        <w:t>, 25 January 2023.</w:t>
      </w:r>
    </w:p>
  </w:footnote>
  <w:footnote w:id="125">
    <w:p w14:paraId="6F37CE9C" w14:textId="52F009C7" w:rsidR="00A81964" w:rsidRPr="00C7339F" w:rsidRDefault="00A81964">
      <w:pPr>
        <w:pStyle w:val="FootnoteText"/>
        <w:rPr>
          <w:sz w:val="18"/>
          <w:szCs w:val="18"/>
        </w:rPr>
      </w:pPr>
      <w:r w:rsidRPr="00C7339F">
        <w:rPr>
          <w:rStyle w:val="FootnoteReference"/>
          <w:sz w:val="18"/>
          <w:szCs w:val="18"/>
        </w:rPr>
        <w:footnoteRef/>
      </w:r>
      <w:r w:rsidRPr="00C7339F">
        <w:rPr>
          <w:sz w:val="18"/>
          <w:szCs w:val="18"/>
        </w:rPr>
        <w:t xml:space="preserve"> </w:t>
      </w:r>
      <w:r w:rsidR="0095674D" w:rsidRPr="00C7339F">
        <w:rPr>
          <w:sz w:val="18"/>
          <w:szCs w:val="18"/>
        </w:rPr>
        <w:t xml:space="preserve">Transport Canberra and City Services, </w:t>
      </w:r>
      <w:hyperlink r:id="rId26" w:history="1">
        <w:r w:rsidR="0095674D" w:rsidRPr="00D00681">
          <w:rPr>
            <w:rStyle w:val="Hyperlink"/>
            <w:i/>
            <w:iCs/>
            <w:sz w:val="18"/>
            <w:szCs w:val="18"/>
          </w:rPr>
          <w:t>Annual Report 2</w:t>
        </w:r>
        <w:r w:rsidR="00D00681">
          <w:rPr>
            <w:rStyle w:val="Hyperlink"/>
            <w:i/>
            <w:iCs/>
            <w:sz w:val="18"/>
            <w:szCs w:val="18"/>
          </w:rPr>
          <w:t>02</w:t>
        </w:r>
        <w:r w:rsidR="0095674D" w:rsidRPr="00D00681">
          <w:rPr>
            <w:rStyle w:val="Hyperlink"/>
            <w:i/>
            <w:iCs/>
            <w:sz w:val="18"/>
            <w:szCs w:val="18"/>
          </w:rPr>
          <w:t>1-22</w:t>
        </w:r>
      </w:hyperlink>
      <w:r w:rsidR="0095674D" w:rsidRPr="00C7339F">
        <w:rPr>
          <w:sz w:val="18"/>
          <w:szCs w:val="18"/>
        </w:rPr>
        <w:t xml:space="preserve">, October 2022, </w:t>
      </w:r>
      <w:r w:rsidRPr="00C7339F">
        <w:rPr>
          <w:sz w:val="18"/>
          <w:szCs w:val="18"/>
        </w:rPr>
        <w:t>p 102.</w:t>
      </w:r>
    </w:p>
  </w:footnote>
  <w:footnote w:id="126">
    <w:p w14:paraId="686BFF02" w14:textId="2B463299" w:rsidR="002828D4" w:rsidRPr="00D00681" w:rsidRDefault="002828D4">
      <w:pPr>
        <w:pStyle w:val="FootnoteText"/>
        <w:rPr>
          <w:sz w:val="18"/>
          <w:szCs w:val="18"/>
        </w:rPr>
      </w:pPr>
      <w:r w:rsidRPr="00D00681">
        <w:rPr>
          <w:rStyle w:val="FootnoteReference"/>
          <w:sz w:val="18"/>
          <w:szCs w:val="18"/>
        </w:rPr>
        <w:footnoteRef/>
      </w:r>
      <w:r w:rsidRPr="00D00681">
        <w:rPr>
          <w:sz w:val="18"/>
          <w:szCs w:val="18"/>
        </w:rPr>
        <w:t xml:space="preserve"> </w:t>
      </w:r>
      <w:r w:rsidR="00D00681" w:rsidRPr="00C7339F">
        <w:rPr>
          <w:sz w:val="18"/>
          <w:szCs w:val="18"/>
        </w:rPr>
        <w:t xml:space="preserve">Transport Canberra and City Services, </w:t>
      </w:r>
      <w:hyperlink r:id="rId27" w:history="1">
        <w:r w:rsidR="00D00681" w:rsidRPr="00D00681">
          <w:rPr>
            <w:rStyle w:val="Hyperlink"/>
            <w:i/>
            <w:iCs/>
            <w:sz w:val="18"/>
            <w:szCs w:val="18"/>
          </w:rPr>
          <w:t>Annual Report 2</w:t>
        </w:r>
        <w:r w:rsidR="00D00681">
          <w:rPr>
            <w:rStyle w:val="Hyperlink"/>
            <w:i/>
            <w:iCs/>
            <w:sz w:val="18"/>
            <w:szCs w:val="18"/>
          </w:rPr>
          <w:t>02</w:t>
        </w:r>
        <w:r w:rsidR="00D00681" w:rsidRPr="00D00681">
          <w:rPr>
            <w:rStyle w:val="Hyperlink"/>
            <w:i/>
            <w:iCs/>
            <w:sz w:val="18"/>
            <w:szCs w:val="18"/>
          </w:rPr>
          <w:t>1-22</w:t>
        </w:r>
      </w:hyperlink>
      <w:r w:rsidR="00D00681" w:rsidRPr="00C7339F">
        <w:rPr>
          <w:sz w:val="18"/>
          <w:szCs w:val="18"/>
        </w:rPr>
        <w:t>, October 2022, p 102.</w:t>
      </w:r>
    </w:p>
  </w:footnote>
  <w:footnote w:id="127">
    <w:p w14:paraId="3AB58F74" w14:textId="16374D04" w:rsidR="00DB24D1" w:rsidRPr="00C7339F" w:rsidRDefault="00DB24D1" w:rsidP="00DB24D1">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xml:space="preserve">, </w:t>
      </w:r>
      <w:r w:rsidR="007B6DAA" w:rsidRPr="00C7339F">
        <w:rPr>
          <w:sz w:val="18"/>
          <w:szCs w:val="18"/>
        </w:rPr>
        <w:t>8 November</w:t>
      </w:r>
      <w:r w:rsidRPr="00C7339F">
        <w:rPr>
          <w:sz w:val="18"/>
          <w:szCs w:val="18"/>
        </w:rPr>
        <w:t xml:space="preserve"> 2022, p</w:t>
      </w:r>
      <w:r w:rsidR="007B6DAA" w:rsidRPr="00C7339F">
        <w:rPr>
          <w:sz w:val="18"/>
          <w:szCs w:val="18"/>
        </w:rPr>
        <w:t xml:space="preserve"> 86</w:t>
      </w:r>
      <w:r w:rsidRPr="00C7339F">
        <w:rPr>
          <w:sz w:val="18"/>
          <w:szCs w:val="18"/>
        </w:rPr>
        <w:t>.</w:t>
      </w:r>
    </w:p>
  </w:footnote>
  <w:footnote w:id="128">
    <w:p w14:paraId="119E5C57" w14:textId="6AF53AEA" w:rsidR="007B6DAA" w:rsidRPr="00C7339F" w:rsidRDefault="007B6DAA">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8 November 2022, p 88.</w:t>
      </w:r>
    </w:p>
  </w:footnote>
  <w:footnote w:id="129">
    <w:p w14:paraId="08C2CB50" w14:textId="2439AFFF" w:rsidR="007B6DAA" w:rsidRPr="00C7339F" w:rsidRDefault="007B6DAA">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8 November 2022, p 89.</w:t>
      </w:r>
    </w:p>
  </w:footnote>
  <w:footnote w:id="130">
    <w:p w14:paraId="11CC2BFF" w14:textId="48CFD3D5" w:rsidR="007B6DAA" w:rsidRPr="00C7339F" w:rsidRDefault="007B6DAA">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8 November 2022, p 89.</w:t>
      </w:r>
    </w:p>
  </w:footnote>
  <w:footnote w:id="131">
    <w:p w14:paraId="2B90C81E" w14:textId="2F62DB4F" w:rsidR="007B6DAA" w:rsidRPr="00C7339F" w:rsidRDefault="007B6DAA">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8 November 2022, p 90.</w:t>
      </w:r>
    </w:p>
  </w:footnote>
  <w:footnote w:id="132">
    <w:p w14:paraId="78FBA151" w14:textId="6DBC3E9C" w:rsidR="007B6DAA" w:rsidRPr="00C7339F" w:rsidRDefault="007B6DAA">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8 November 2022, p 91.</w:t>
      </w:r>
    </w:p>
  </w:footnote>
  <w:footnote w:id="133">
    <w:p w14:paraId="13DAD848" w14:textId="607B5E80" w:rsidR="007B6DAA" w:rsidRPr="00C7339F" w:rsidRDefault="007B6DAA">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xml:space="preserve">, 8 November 2022, p </w:t>
      </w:r>
      <w:r w:rsidR="002B3FD9" w:rsidRPr="00C7339F">
        <w:rPr>
          <w:sz w:val="18"/>
          <w:szCs w:val="18"/>
        </w:rPr>
        <w:t>95</w:t>
      </w:r>
      <w:r w:rsidRPr="00C7339F">
        <w:rPr>
          <w:sz w:val="18"/>
          <w:szCs w:val="18"/>
        </w:rPr>
        <w:t>.</w:t>
      </w:r>
    </w:p>
  </w:footnote>
  <w:footnote w:id="134">
    <w:p w14:paraId="6453CD48" w14:textId="2AEAF206" w:rsidR="007B6DAA" w:rsidRPr="00C7339F" w:rsidRDefault="007B6DAA">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8 November 2022, p</w:t>
      </w:r>
      <w:r w:rsidR="002B3FD9" w:rsidRPr="00C7339F">
        <w:rPr>
          <w:sz w:val="18"/>
          <w:szCs w:val="18"/>
        </w:rPr>
        <w:t>p 97–98</w:t>
      </w:r>
      <w:r w:rsidRPr="00C7339F">
        <w:rPr>
          <w:sz w:val="18"/>
          <w:szCs w:val="18"/>
        </w:rPr>
        <w:t>.</w:t>
      </w:r>
    </w:p>
  </w:footnote>
  <w:footnote w:id="135">
    <w:p w14:paraId="31248AE4" w14:textId="0BFD6201" w:rsidR="007B6DAA" w:rsidRPr="00C7339F" w:rsidRDefault="007B6DAA">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xml:space="preserve">, 8 November 2022, p </w:t>
      </w:r>
      <w:r w:rsidR="002B3FD9" w:rsidRPr="00C7339F">
        <w:rPr>
          <w:sz w:val="18"/>
          <w:szCs w:val="18"/>
        </w:rPr>
        <w:t>98</w:t>
      </w:r>
      <w:r w:rsidRPr="00C7339F">
        <w:rPr>
          <w:sz w:val="18"/>
          <w:szCs w:val="18"/>
        </w:rPr>
        <w:t>.</w:t>
      </w:r>
    </w:p>
  </w:footnote>
  <w:footnote w:id="136">
    <w:p w14:paraId="12BAFB30" w14:textId="7D277BA5" w:rsidR="007B6DAA" w:rsidRPr="00C7339F" w:rsidRDefault="007B6DAA">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xml:space="preserve">, 8 November 2022, p </w:t>
      </w:r>
      <w:r w:rsidR="002B3FD9" w:rsidRPr="00C7339F">
        <w:rPr>
          <w:sz w:val="18"/>
          <w:szCs w:val="18"/>
        </w:rPr>
        <w:t>99</w:t>
      </w:r>
      <w:r w:rsidRPr="00C7339F">
        <w:rPr>
          <w:sz w:val="18"/>
          <w:szCs w:val="18"/>
        </w:rPr>
        <w:t>.</w:t>
      </w:r>
    </w:p>
  </w:footnote>
  <w:footnote w:id="137">
    <w:p w14:paraId="64B78B63" w14:textId="70935279" w:rsidR="007B6DAA" w:rsidRPr="00C7339F" w:rsidRDefault="007B6DAA">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xml:space="preserve">, 8 November 2022, p </w:t>
      </w:r>
      <w:r w:rsidR="002B3FD9" w:rsidRPr="00C7339F">
        <w:rPr>
          <w:sz w:val="18"/>
          <w:szCs w:val="18"/>
        </w:rPr>
        <w:t>101</w:t>
      </w:r>
      <w:r w:rsidRPr="00C7339F">
        <w:rPr>
          <w:sz w:val="18"/>
          <w:szCs w:val="18"/>
        </w:rPr>
        <w:t>.</w:t>
      </w:r>
    </w:p>
  </w:footnote>
  <w:footnote w:id="138">
    <w:p w14:paraId="6EFF52B7" w14:textId="7B523F84" w:rsidR="007B6DAA" w:rsidRPr="00C7339F" w:rsidRDefault="007B6DAA">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xml:space="preserve">, 8 November 2022, p </w:t>
      </w:r>
      <w:r w:rsidR="002B3FD9" w:rsidRPr="00C7339F">
        <w:rPr>
          <w:sz w:val="18"/>
          <w:szCs w:val="18"/>
        </w:rPr>
        <w:t>102</w:t>
      </w:r>
      <w:r w:rsidRPr="00C7339F">
        <w:rPr>
          <w:sz w:val="18"/>
          <w:szCs w:val="18"/>
        </w:rPr>
        <w:t>.</w:t>
      </w:r>
    </w:p>
  </w:footnote>
  <w:footnote w:id="139">
    <w:p w14:paraId="674E8B83" w14:textId="51B52FA1" w:rsidR="007B6DAA" w:rsidRPr="00C7339F" w:rsidRDefault="007B6DAA">
      <w:pPr>
        <w:pStyle w:val="FootnoteText"/>
        <w:rPr>
          <w:sz w:val="18"/>
          <w:szCs w:val="18"/>
        </w:rPr>
      </w:pPr>
      <w:r w:rsidRPr="00C7339F">
        <w:rPr>
          <w:rStyle w:val="FootnoteReference"/>
          <w:sz w:val="18"/>
          <w:szCs w:val="18"/>
        </w:rPr>
        <w:footnoteRef/>
      </w:r>
      <w:r w:rsidRPr="00C7339F">
        <w:rPr>
          <w:sz w:val="18"/>
          <w:szCs w:val="18"/>
        </w:rPr>
        <w:t xml:space="preserve"> </w:t>
      </w:r>
      <w:r w:rsidR="002B3FD9" w:rsidRPr="00C7339F">
        <w:rPr>
          <w:i/>
          <w:iCs/>
          <w:sz w:val="18"/>
          <w:szCs w:val="18"/>
        </w:rPr>
        <w:t>Proof Committee Hansard</w:t>
      </w:r>
      <w:r w:rsidR="002B3FD9" w:rsidRPr="00C7339F">
        <w:rPr>
          <w:sz w:val="18"/>
          <w:szCs w:val="18"/>
        </w:rPr>
        <w:t>, 8 November 2022, p 102.</w:t>
      </w:r>
    </w:p>
  </w:footnote>
  <w:footnote w:id="140">
    <w:p w14:paraId="01F57ACB" w14:textId="6681F15C" w:rsidR="007B6DAA" w:rsidRPr="00C7339F" w:rsidRDefault="007B6DAA">
      <w:pPr>
        <w:pStyle w:val="FootnoteText"/>
        <w:rPr>
          <w:sz w:val="18"/>
          <w:szCs w:val="18"/>
        </w:rPr>
      </w:pPr>
      <w:r w:rsidRPr="00C7339F">
        <w:rPr>
          <w:rStyle w:val="FootnoteReference"/>
          <w:sz w:val="18"/>
          <w:szCs w:val="18"/>
        </w:rPr>
        <w:footnoteRef/>
      </w:r>
      <w:r w:rsidRPr="00C7339F">
        <w:rPr>
          <w:sz w:val="18"/>
          <w:szCs w:val="18"/>
        </w:rPr>
        <w:t xml:space="preserve"> </w:t>
      </w:r>
      <w:r w:rsidR="002B3FD9" w:rsidRPr="00C7339F">
        <w:rPr>
          <w:i/>
          <w:iCs/>
          <w:sz w:val="18"/>
          <w:szCs w:val="18"/>
        </w:rPr>
        <w:t>Proof Committee Hansard</w:t>
      </w:r>
      <w:r w:rsidR="002B3FD9" w:rsidRPr="00C7339F">
        <w:rPr>
          <w:sz w:val="18"/>
          <w:szCs w:val="18"/>
        </w:rPr>
        <w:t>, 8 November 2022, p 106.</w:t>
      </w:r>
    </w:p>
  </w:footnote>
  <w:footnote w:id="141">
    <w:p w14:paraId="1AA33571" w14:textId="387F0042" w:rsidR="007B6DAA" w:rsidRPr="00C7339F" w:rsidRDefault="007B6DAA">
      <w:pPr>
        <w:pStyle w:val="FootnoteText"/>
        <w:rPr>
          <w:sz w:val="18"/>
          <w:szCs w:val="18"/>
        </w:rPr>
      </w:pPr>
      <w:r w:rsidRPr="00C7339F">
        <w:rPr>
          <w:rStyle w:val="FootnoteReference"/>
          <w:sz w:val="18"/>
          <w:szCs w:val="18"/>
        </w:rPr>
        <w:footnoteRef/>
      </w:r>
      <w:r w:rsidRPr="00C7339F">
        <w:rPr>
          <w:sz w:val="18"/>
          <w:szCs w:val="18"/>
        </w:rPr>
        <w:t xml:space="preserve"> </w:t>
      </w:r>
      <w:r w:rsidR="002B3FD9" w:rsidRPr="00C7339F">
        <w:rPr>
          <w:i/>
          <w:iCs/>
          <w:sz w:val="18"/>
          <w:szCs w:val="18"/>
        </w:rPr>
        <w:t>Proof Committee Hansard</w:t>
      </w:r>
      <w:r w:rsidR="002B3FD9" w:rsidRPr="00C7339F">
        <w:rPr>
          <w:sz w:val="18"/>
          <w:szCs w:val="18"/>
        </w:rPr>
        <w:t>, 8 November 2022, p 106.</w:t>
      </w:r>
    </w:p>
  </w:footnote>
  <w:footnote w:id="142">
    <w:p w14:paraId="1B473C68" w14:textId="4CCA815F" w:rsidR="007B6DAA" w:rsidRPr="00C7339F" w:rsidRDefault="007B6DAA">
      <w:pPr>
        <w:pStyle w:val="FootnoteText"/>
        <w:rPr>
          <w:sz w:val="18"/>
          <w:szCs w:val="18"/>
        </w:rPr>
      </w:pPr>
      <w:r w:rsidRPr="00C7339F">
        <w:rPr>
          <w:rStyle w:val="FootnoteReference"/>
          <w:sz w:val="18"/>
          <w:szCs w:val="18"/>
        </w:rPr>
        <w:footnoteRef/>
      </w:r>
      <w:r w:rsidRPr="00C7339F">
        <w:rPr>
          <w:sz w:val="18"/>
          <w:szCs w:val="18"/>
        </w:rPr>
        <w:t xml:space="preserve"> </w:t>
      </w:r>
      <w:r w:rsidR="002B3FD9" w:rsidRPr="00C7339F">
        <w:rPr>
          <w:i/>
          <w:iCs/>
          <w:sz w:val="18"/>
          <w:szCs w:val="18"/>
        </w:rPr>
        <w:t>Proof Committee Hansard</w:t>
      </w:r>
      <w:r w:rsidR="002B3FD9" w:rsidRPr="00C7339F">
        <w:rPr>
          <w:sz w:val="18"/>
          <w:szCs w:val="18"/>
        </w:rPr>
        <w:t>, 8 November 2022, pp 106–107.</w:t>
      </w:r>
    </w:p>
  </w:footnote>
  <w:footnote w:id="143">
    <w:p w14:paraId="209FB5EB" w14:textId="0873BDE2" w:rsidR="007B6DAA" w:rsidRPr="00C7339F" w:rsidRDefault="007B6DAA">
      <w:pPr>
        <w:pStyle w:val="FootnoteText"/>
        <w:rPr>
          <w:sz w:val="18"/>
          <w:szCs w:val="18"/>
        </w:rPr>
      </w:pPr>
      <w:r w:rsidRPr="00C7339F">
        <w:rPr>
          <w:rStyle w:val="FootnoteReference"/>
          <w:sz w:val="18"/>
          <w:szCs w:val="18"/>
        </w:rPr>
        <w:footnoteRef/>
      </w:r>
      <w:r w:rsidRPr="00C7339F">
        <w:rPr>
          <w:sz w:val="18"/>
          <w:szCs w:val="18"/>
        </w:rPr>
        <w:t xml:space="preserve"> </w:t>
      </w:r>
      <w:r w:rsidR="002B3FD9" w:rsidRPr="00C7339F">
        <w:rPr>
          <w:i/>
          <w:iCs/>
          <w:sz w:val="18"/>
          <w:szCs w:val="18"/>
        </w:rPr>
        <w:t>Proof Committee Hansard</w:t>
      </w:r>
      <w:r w:rsidR="002B3FD9" w:rsidRPr="00C7339F">
        <w:rPr>
          <w:sz w:val="18"/>
          <w:szCs w:val="18"/>
        </w:rPr>
        <w:t>, 8 November 2022, p 107.</w:t>
      </w:r>
    </w:p>
  </w:footnote>
  <w:footnote w:id="144">
    <w:p w14:paraId="51C2EC7D" w14:textId="40E01297" w:rsidR="00511C35" w:rsidRPr="00511C35" w:rsidRDefault="00511C35">
      <w:pPr>
        <w:pStyle w:val="FootnoteText"/>
        <w:rPr>
          <w:sz w:val="18"/>
          <w:szCs w:val="18"/>
        </w:rPr>
      </w:pPr>
      <w:r w:rsidRPr="00511C35">
        <w:rPr>
          <w:rStyle w:val="FootnoteReference"/>
          <w:sz w:val="18"/>
          <w:szCs w:val="18"/>
        </w:rPr>
        <w:footnoteRef/>
      </w:r>
      <w:r w:rsidRPr="00511C35">
        <w:rPr>
          <w:sz w:val="18"/>
          <w:szCs w:val="18"/>
        </w:rPr>
        <w:t xml:space="preserve"> </w:t>
      </w:r>
      <w:r w:rsidRPr="00E3506E">
        <w:rPr>
          <w:i/>
          <w:iCs/>
          <w:sz w:val="18"/>
          <w:szCs w:val="18"/>
        </w:rPr>
        <w:t>Proof Committee Hansard</w:t>
      </w:r>
      <w:r w:rsidRPr="00E3506E">
        <w:rPr>
          <w:sz w:val="18"/>
          <w:szCs w:val="18"/>
        </w:rPr>
        <w:t xml:space="preserve">, </w:t>
      </w:r>
      <w:r>
        <w:rPr>
          <w:sz w:val="18"/>
          <w:szCs w:val="18"/>
        </w:rPr>
        <w:t>7</w:t>
      </w:r>
      <w:r w:rsidRPr="00E3506E">
        <w:rPr>
          <w:sz w:val="18"/>
          <w:szCs w:val="18"/>
        </w:rPr>
        <w:t xml:space="preserve"> November 2022, p </w:t>
      </w:r>
      <w:r>
        <w:rPr>
          <w:sz w:val="18"/>
          <w:szCs w:val="18"/>
        </w:rPr>
        <w:t>81.</w:t>
      </w:r>
    </w:p>
  </w:footnote>
  <w:footnote w:id="145">
    <w:p w14:paraId="63FC067D" w14:textId="2E25E4AF" w:rsidR="00F01FA7" w:rsidRDefault="00F01FA7">
      <w:pPr>
        <w:pStyle w:val="FootnoteText"/>
      </w:pPr>
      <w:r w:rsidRPr="00F01FA7">
        <w:rPr>
          <w:rStyle w:val="FootnoteReference"/>
          <w:sz w:val="18"/>
          <w:szCs w:val="18"/>
        </w:rPr>
        <w:footnoteRef/>
      </w:r>
      <w:r>
        <w:t xml:space="preserve"> </w:t>
      </w:r>
      <w:r w:rsidRPr="00C7339F">
        <w:rPr>
          <w:i/>
          <w:iCs/>
          <w:sz w:val="18"/>
          <w:szCs w:val="18"/>
        </w:rPr>
        <w:t>Proof Committee Hansard</w:t>
      </w:r>
      <w:r w:rsidRPr="00C7339F">
        <w:rPr>
          <w:sz w:val="18"/>
          <w:szCs w:val="18"/>
        </w:rPr>
        <w:t>, 8 November 2022, p 8</w:t>
      </w:r>
      <w:r>
        <w:rPr>
          <w:sz w:val="18"/>
          <w:szCs w:val="18"/>
        </w:rPr>
        <w:t>8.</w:t>
      </w:r>
    </w:p>
  </w:footnote>
  <w:footnote w:id="146">
    <w:p w14:paraId="2F8CFF70" w14:textId="31ECB789" w:rsidR="00A21102" w:rsidRPr="00A21102" w:rsidRDefault="00A21102">
      <w:pPr>
        <w:pStyle w:val="FootnoteText"/>
        <w:rPr>
          <w:sz w:val="18"/>
          <w:szCs w:val="18"/>
        </w:rPr>
      </w:pPr>
      <w:r w:rsidRPr="00A21102">
        <w:rPr>
          <w:rStyle w:val="FootnoteReference"/>
          <w:sz w:val="18"/>
          <w:szCs w:val="18"/>
        </w:rPr>
        <w:footnoteRef/>
      </w:r>
      <w:r w:rsidRPr="00A21102">
        <w:rPr>
          <w:sz w:val="18"/>
          <w:szCs w:val="18"/>
        </w:rPr>
        <w:t xml:space="preserve"> </w:t>
      </w:r>
      <w:r w:rsidR="00A86E57" w:rsidRPr="00C7339F">
        <w:rPr>
          <w:i/>
          <w:iCs/>
          <w:sz w:val="18"/>
          <w:szCs w:val="18"/>
        </w:rPr>
        <w:t>Proof Committee Hansard</w:t>
      </w:r>
      <w:r w:rsidR="00A86E57" w:rsidRPr="00C7339F">
        <w:rPr>
          <w:sz w:val="18"/>
          <w:szCs w:val="18"/>
        </w:rPr>
        <w:t>, 8 November 2022, p 8</w:t>
      </w:r>
      <w:r w:rsidR="00A86E57">
        <w:rPr>
          <w:sz w:val="18"/>
          <w:szCs w:val="18"/>
        </w:rPr>
        <w:t>9.</w:t>
      </w:r>
    </w:p>
  </w:footnote>
  <w:footnote w:id="147">
    <w:p w14:paraId="55F772FA" w14:textId="501AAED7" w:rsidR="00511C35" w:rsidRPr="00511C35" w:rsidRDefault="00511C35">
      <w:pPr>
        <w:pStyle w:val="FootnoteText"/>
        <w:rPr>
          <w:sz w:val="18"/>
          <w:szCs w:val="18"/>
        </w:rPr>
      </w:pPr>
      <w:r w:rsidRPr="00511C35">
        <w:rPr>
          <w:rStyle w:val="FootnoteReference"/>
          <w:sz w:val="18"/>
          <w:szCs w:val="18"/>
        </w:rPr>
        <w:footnoteRef/>
      </w:r>
      <w:r w:rsidRPr="00511C35">
        <w:rPr>
          <w:sz w:val="18"/>
          <w:szCs w:val="18"/>
        </w:rPr>
        <w:t xml:space="preserve"> </w:t>
      </w:r>
      <w:r w:rsidRPr="008D372C">
        <w:rPr>
          <w:sz w:val="18"/>
          <w:szCs w:val="18"/>
        </w:rPr>
        <w:t xml:space="preserve">Mr Chris Steel MLA, Minister for Transport and City Services, </w:t>
      </w:r>
      <w:r w:rsidRPr="008D372C">
        <w:rPr>
          <w:i/>
          <w:iCs/>
          <w:sz w:val="18"/>
          <w:szCs w:val="18"/>
        </w:rPr>
        <w:t xml:space="preserve">Response to QTON </w:t>
      </w:r>
      <w:r>
        <w:rPr>
          <w:i/>
          <w:iCs/>
          <w:sz w:val="18"/>
          <w:szCs w:val="18"/>
        </w:rPr>
        <w:t>16</w:t>
      </w:r>
      <w:r w:rsidRPr="008D372C">
        <w:rPr>
          <w:i/>
          <w:iCs/>
          <w:sz w:val="18"/>
          <w:szCs w:val="18"/>
        </w:rPr>
        <w:t xml:space="preserve">: </w:t>
      </w:r>
      <w:r>
        <w:rPr>
          <w:i/>
          <w:iCs/>
          <w:sz w:val="18"/>
          <w:szCs w:val="18"/>
        </w:rPr>
        <w:t>Battery recycling for vehicles</w:t>
      </w:r>
      <w:r w:rsidRPr="008D372C">
        <w:rPr>
          <w:sz w:val="18"/>
          <w:szCs w:val="18"/>
        </w:rPr>
        <w:t>, (received 1</w:t>
      </w:r>
      <w:r>
        <w:rPr>
          <w:sz w:val="18"/>
          <w:szCs w:val="18"/>
        </w:rPr>
        <w:t>8 </w:t>
      </w:r>
      <w:r w:rsidRPr="008D372C">
        <w:rPr>
          <w:sz w:val="18"/>
          <w:szCs w:val="18"/>
        </w:rPr>
        <w:t xml:space="preserve">November 2022), p </w:t>
      </w:r>
      <w:r>
        <w:rPr>
          <w:sz w:val="18"/>
          <w:szCs w:val="18"/>
        </w:rPr>
        <w:t>2</w:t>
      </w:r>
      <w:r w:rsidRPr="008D372C">
        <w:rPr>
          <w:sz w:val="18"/>
          <w:szCs w:val="18"/>
        </w:rPr>
        <w:t>.</w:t>
      </w:r>
    </w:p>
  </w:footnote>
  <w:footnote w:id="148">
    <w:p w14:paraId="2D56527D" w14:textId="4B56A9FA" w:rsidR="0020237E" w:rsidRPr="00462F31" w:rsidRDefault="0020237E">
      <w:pPr>
        <w:pStyle w:val="FootnoteText"/>
        <w:rPr>
          <w:sz w:val="18"/>
          <w:szCs w:val="18"/>
        </w:rPr>
      </w:pPr>
      <w:r w:rsidRPr="00462F31">
        <w:rPr>
          <w:rStyle w:val="FootnoteReference"/>
          <w:sz w:val="18"/>
          <w:szCs w:val="18"/>
        </w:rPr>
        <w:footnoteRef/>
      </w:r>
      <w:r w:rsidRPr="00462F31">
        <w:rPr>
          <w:sz w:val="18"/>
          <w:szCs w:val="18"/>
        </w:rPr>
        <w:t xml:space="preserve"> </w:t>
      </w:r>
      <w:r w:rsidR="00462F31" w:rsidRPr="00C7339F">
        <w:rPr>
          <w:i/>
          <w:iCs/>
          <w:sz w:val="18"/>
          <w:szCs w:val="18"/>
        </w:rPr>
        <w:t>Proof Committee Hansard</w:t>
      </w:r>
      <w:r w:rsidR="00462F31" w:rsidRPr="00C7339F">
        <w:rPr>
          <w:sz w:val="18"/>
          <w:szCs w:val="18"/>
        </w:rPr>
        <w:t>, 8 November 2022, p 89.</w:t>
      </w:r>
    </w:p>
  </w:footnote>
  <w:footnote w:id="149">
    <w:p w14:paraId="5DE6854A" w14:textId="33484ECD" w:rsidR="0020237E" w:rsidRPr="00462F31" w:rsidRDefault="0020237E">
      <w:pPr>
        <w:pStyle w:val="FootnoteText"/>
        <w:rPr>
          <w:sz w:val="18"/>
          <w:szCs w:val="18"/>
        </w:rPr>
      </w:pPr>
      <w:r w:rsidRPr="00462F31">
        <w:rPr>
          <w:rStyle w:val="FootnoteReference"/>
          <w:sz w:val="18"/>
          <w:szCs w:val="18"/>
        </w:rPr>
        <w:footnoteRef/>
      </w:r>
      <w:r w:rsidRPr="00462F31">
        <w:rPr>
          <w:sz w:val="18"/>
          <w:szCs w:val="18"/>
        </w:rPr>
        <w:t xml:space="preserve"> </w:t>
      </w:r>
      <w:r w:rsidR="00462F31">
        <w:rPr>
          <w:sz w:val="18"/>
          <w:szCs w:val="18"/>
        </w:rPr>
        <w:t xml:space="preserve">Mr Bruce Fitzgerald, Executive Group Manager, Infrastructure Delivery and Waste, TCCS, </w:t>
      </w:r>
      <w:r w:rsidR="00462F31" w:rsidRPr="009E79C3">
        <w:rPr>
          <w:i/>
          <w:iCs/>
          <w:sz w:val="18"/>
          <w:szCs w:val="18"/>
        </w:rPr>
        <w:t>Proof Committee Hansard</w:t>
      </w:r>
      <w:r w:rsidR="00462F31" w:rsidRPr="009E79C3">
        <w:rPr>
          <w:sz w:val="18"/>
          <w:szCs w:val="18"/>
        </w:rPr>
        <w:t>, 8</w:t>
      </w:r>
      <w:r w:rsidR="00462F31">
        <w:rPr>
          <w:sz w:val="18"/>
          <w:szCs w:val="18"/>
        </w:rPr>
        <w:t> </w:t>
      </w:r>
      <w:r w:rsidR="00462F31" w:rsidRPr="009E79C3">
        <w:rPr>
          <w:sz w:val="18"/>
          <w:szCs w:val="18"/>
        </w:rPr>
        <w:t>November 2022, p</w:t>
      </w:r>
      <w:r w:rsidR="00462F31">
        <w:rPr>
          <w:sz w:val="18"/>
          <w:szCs w:val="18"/>
        </w:rPr>
        <w:t>p 89</w:t>
      </w:r>
      <w:r w:rsidR="00462F31">
        <w:rPr>
          <w:sz w:val="18"/>
          <w:szCs w:val="18"/>
        </w:rPr>
        <w:softHyphen/>
      </w:r>
      <w:r w:rsidR="00462F31" w:rsidRPr="00C7339F">
        <w:rPr>
          <w:sz w:val="18"/>
          <w:szCs w:val="18"/>
        </w:rPr>
        <w:t>–</w:t>
      </w:r>
      <w:r w:rsidR="00462F31">
        <w:rPr>
          <w:sz w:val="18"/>
          <w:szCs w:val="18"/>
        </w:rPr>
        <w:t>90.</w:t>
      </w:r>
    </w:p>
  </w:footnote>
  <w:footnote w:id="150">
    <w:p w14:paraId="008FB095" w14:textId="6A0C49DC" w:rsidR="0020237E" w:rsidRPr="00462F31" w:rsidRDefault="0020237E">
      <w:pPr>
        <w:pStyle w:val="FootnoteText"/>
        <w:rPr>
          <w:sz w:val="18"/>
          <w:szCs w:val="18"/>
        </w:rPr>
      </w:pPr>
      <w:r w:rsidRPr="00462F31">
        <w:rPr>
          <w:rStyle w:val="FootnoteReference"/>
          <w:sz w:val="18"/>
          <w:szCs w:val="18"/>
        </w:rPr>
        <w:footnoteRef/>
      </w:r>
      <w:r w:rsidRPr="00462F31">
        <w:rPr>
          <w:sz w:val="18"/>
          <w:szCs w:val="18"/>
        </w:rPr>
        <w:t xml:space="preserve"> </w:t>
      </w:r>
      <w:r w:rsidR="00462F31" w:rsidRPr="00C7339F">
        <w:rPr>
          <w:i/>
          <w:iCs/>
          <w:sz w:val="18"/>
          <w:szCs w:val="18"/>
        </w:rPr>
        <w:t>Proof Committee Hansard</w:t>
      </w:r>
      <w:r w:rsidR="00462F31" w:rsidRPr="00C7339F">
        <w:rPr>
          <w:sz w:val="18"/>
          <w:szCs w:val="18"/>
        </w:rPr>
        <w:t xml:space="preserve">, 8 November 2022, p </w:t>
      </w:r>
      <w:r w:rsidR="00462F31">
        <w:rPr>
          <w:sz w:val="18"/>
          <w:szCs w:val="18"/>
        </w:rPr>
        <w:t>90.</w:t>
      </w:r>
    </w:p>
  </w:footnote>
  <w:footnote w:id="151">
    <w:p w14:paraId="197B516F" w14:textId="53944052" w:rsidR="004D05A7" w:rsidRDefault="004D05A7">
      <w:pPr>
        <w:pStyle w:val="FootnoteText"/>
      </w:pPr>
      <w:r w:rsidRPr="00462F31">
        <w:rPr>
          <w:rStyle w:val="FootnoteReference"/>
          <w:sz w:val="18"/>
          <w:szCs w:val="18"/>
        </w:rPr>
        <w:footnoteRef/>
      </w:r>
      <w:r>
        <w:t xml:space="preserve"> </w:t>
      </w:r>
      <w:r w:rsidR="00462F31">
        <w:rPr>
          <w:sz w:val="18"/>
          <w:szCs w:val="18"/>
        </w:rPr>
        <w:t xml:space="preserve">Mr Bruce Fitzgerald, Executive Group Manager, Infrastructure Delivery and Waste, TCCS, </w:t>
      </w:r>
      <w:r w:rsidR="00462F31" w:rsidRPr="009E79C3">
        <w:rPr>
          <w:i/>
          <w:iCs/>
          <w:sz w:val="18"/>
          <w:szCs w:val="18"/>
        </w:rPr>
        <w:t>Proof Committee Hansard</w:t>
      </w:r>
      <w:r w:rsidR="00462F31" w:rsidRPr="009E79C3">
        <w:rPr>
          <w:sz w:val="18"/>
          <w:szCs w:val="18"/>
        </w:rPr>
        <w:t>, 8</w:t>
      </w:r>
      <w:r w:rsidR="00462F31">
        <w:rPr>
          <w:sz w:val="18"/>
          <w:szCs w:val="18"/>
        </w:rPr>
        <w:t> </w:t>
      </w:r>
      <w:r w:rsidR="00462F31" w:rsidRPr="009E79C3">
        <w:rPr>
          <w:sz w:val="18"/>
          <w:szCs w:val="18"/>
        </w:rPr>
        <w:t>November 2022, p</w:t>
      </w:r>
      <w:r w:rsidR="00462F31">
        <w:rPr>
          <w:sz w:val="18"/>
          <w:szCs w:val="18"/>
        </w:rPr>
        <w:t xml:space="preserve"> 90.</w:t>
      </w:r>
    </w:p>
  </w:footnote>
  <w:footnote w:id="152">
    <w:p w14:paraId="53E451BC" w14:textId="52D92EE3" w:rsidR="007716CB" w:rsidRPr="007716CB" w:rsidRDefault="007716CB">
      <w:pPr>
        <w:pStyle w:val="FootnoteText"/>
        <w:rPr>
          <w:sz w:val="18"/>
          <w:szCs w:val="18"/>
        </w:rPr>
      </w:pPr>
      <w:r w:rsidRPr="007716CB">
        <w:rPr>
          <w:rStyle w:val="FootnoteReference"/>
          <w:sz w:val="18"/>
          <w:szCs w:val="18"/>
        </w:rPr>
        <w:footnoteRef/>
      </w:r>
      <w:r>
        <w:rPr>
          <w:sz w:val="18"/>
          <w:szCs w:val="18"/>
        </w:rPr>
        <w:t xml:space="preserve"> </w:t>
      </w:r>
      <w:r w:rsidR="00D00681" w:rsidRPr="00C7339F">
        <w:rPr>
          <w:sz w:val="18"/>
          <w:szCs w:val="18"/>
        </w:rPr>
        <w:t>Transport Canberra and City Services</w:t>
      </w:r>
      <w:r>
        <w:rPr>
          <w:sz w:val="18"/>
          <w:szCs w:val="18"/>
        </w:rPr>
        <w:t xml:space="preserve">, </w:t>
      </w:r>
      <w:hyperlink r:id="rId28" w:history="1">
        <w:r w:rsidRPr="00420C8E">
          <w:rPr>
            <w:rStyle w:val="Hyperlink"/>
            <w:i/>
            <w:iCs/>
            <w:sz w:val="18"/>
            <w:szCs w:val="18"/>
          </w:rPr>
          <w:t>Municipal Infrastructure Standards: Part 25 Plant Species for Urban Landscape Projects</w:t>
        </w:r>
      </w:hyperlink>
      <w:r>
        <w:rPr>
          <w:sz w:val="18"/>
          <w:szCs w:val="18"/>
        </w:rPr>
        <w:t>, January 2022.</w:t>
      </w:r>
    </w:p>
  </w:footnote>
  <w:footnote w:id="153">
    <w:p w14:paraId="75E84557" w14:textId="01EE32E7" w:rsidR="00140922" w:rsidRPr="00C7339F" w:rsidRDefault="00140922">
      <w:pPr>
        <w:pStyle w:val="FootnoteText"/>
        <w:rPr>
          <w:sz w:val="18"/>
          <w:szCs w:val="18"/>
        </w:rPr>
      </w:pPr>
      <w:r w:rsidRPr="00C7339F">
        <w:rPr>
          <w:rStyle w:val="FootnoteReference"/>
          <w:sz w:val="18"/>
          <w:szCs w:val="18"/>
        </w:rPr>
        <w:footnoteRef/>
      </w:r>
      <w:r w:rsidRPr="00C7339F">
        <w:rPr>
          <w:sz w:val="18"/>
          <w:szCs w:val="18"/>
        </w:rPr>
        <w:t xml:space="preserve"> </w:t>
      </w:r>
      <w:r w:rsidR="00D00681" w:rsidRPr="00C7339F">
        <w:rPr>
          <w:sz w:val="18"/>
          <w:szCs w:val="18"/>
        </w:rPr>
        <w:t>Transport Canberra and City Services</w:t>
      </w:r>
      <w:r w:rsidR="00420C8E">
        <w:rPr>
          <w:sz w:val="18"/>
          <w:szCs w:val="18"/>
        </w:rPr>
        <w:t xml:space="preserve">, </w:t>
      </w:r>
      <w:r w:rsidR="00420C8E" w:rsidRPr="00420C8E">
        <w:rPr>
          <w:i/>
          <w:iCs/>
          <w:sz w:val="18"/>
          <w:szCs w:val="18"/>
        </w:rPr>
        <w:t>Tree species for Canberra</w:t>
      </w:r>
      <w:r w:rsidR="00420C8E">
        <w:rPr>
          <w:sz w:val="18"/>
          <w:szCs w:val="18"/>
        </w:rPr>
        <w:t xml:space="preserve">, </w:t>
      </w:r>
      <w:hyperlink r:id="rId29" w:history="1">
        <w:r w:rsidR="00420C8E" w:rsidRPr="00EB2D73">
          <w:rPr>
            <w:rStyle w:val="Hyperlink"/>
            <w:sz w:val="18"/>
            <w:szCs w:val="18"/>
          </w:rPr>
          <w:t>https://www.cityservices.act.gov.au/trees-and-nature/trees/tree-species-for-canberra</w:t>
        </w:r>
      </w:hyperlink>
      <w:r w:rsidR="00420C8E">
        <w:rPr>
          <w:sz w:val="18"/>
          <w:szCs w:val="18"/>
        </w:rPr>
        <w:t xml:space="preserve"> (accessed 8 March 2023).</w:t>
      </w:r>
    </w:p>
  </w:footnote>
  <w:footnote w:id="154">
    <w:p w14:paraId="191A0C0C" w14:textId="001E0447" w:rsidR="00DD74B0" w:rsidRPr="009E79C3" w:rsidRDefault="00DD74B0">
      <w:pPr>
        <w:pStyle w:val="FootnoteText"/>
        <w:rPr>
          <w:sz w:val="18"/>
          <w:szCs w:val="18"/>
        </w:rPr>
      </w:pPr>
      <w:r w:rsidRPr="009E79C3">
        <w:rPr>
          <w:rStyle w:val="FootnoteReference"/>
          <w:sz w:val="18"/>
          <w:szCs w:val="18"/>
        </w:rPr>
        <w:footnoteRef/>
      </w:r>
      <w:r w:rsidRPr="009E79C3">
        <w:rPr>
          <w:sz w:val="18"/>
          <w:szCs w:val="18"/>
        </w:rPr>
        <w:t xml:space="preserve"> </w:t>
      </w:r>
      <w:r w:rsidRPr="009E79C3">
        <w:rPr>
          <w:i/>
          <w:iCs/>
          <w:sz w:val="18"/>
          <w:szCs w:val="18"/>
        </w:rPr>
        <w:t>Proof Committee Hansard</w:t>
      </w:r>
      <w:r w:rsidRPr="009E79C3">
        <w:rPr>
          <w:sz w:val="18"/>
          <w:szCs w:val="18"/>
        </w:rPr>
        <w:t>, 8 November 2022, p 91.</w:t>
      </w:r>
    </w:p>
  </w:footnote>
  <w:footnote w:id="155">
    <w:p w14:paraId="6485642E" w14:textId="64F1461B" w:rsidR="009E79C3" w:rsidRPr="009E79C3" w:rsidRDefault="009E79C3">
      <w:pPr>
        <w:pStyle w:val="FootnoteText"/>
        <w:rPr>
          <w:sz w:val="18"/>
          <w:szCs w:val="18"/>
        </w:rPr>
      </w:pPr>
      <w:r w:rsidRPr="009E79C3">
        <w:rPr>
          <w:rStyle w:val="FootnoteReference"/>
          <w:sz w:val="18"/>
          <w:szCs w:val="18"/>
        </w:rPr>
        <w:footnoteRef/>
      </w:r>
      <w:r w:rsidRPr="009E79C3">
        <w:rPr>
          <w:sz w:val="18"/>
          <w:szCs w:val="18"/>
        </w:rPr>
        <w:t xml:space="preserve"> </w:t>
      </w:r>
      <w:r w:rsidRPr="00C7339F">
        <w:rPr>
          <w:sz w:val="18"/>
          <w:szCs w:val="18"/>
        </w:rPr>
        <w:t xml:space="preserve">Mr Chris Steel MLA, Minister for Transport and City Services, </w:t>
      </w:r>
      <w:r w:rsidRPr="00C7339F">
        <w:rPr>
          <w:i/>
          <w:iCs/>
          <w:sz w:val="18"/>
          <w:szCs w:val="18"/>
        </w:rPr>
        <w:t>Proof Committee Hansard</w:t>
      </w:r>
      <w:r w:rsidRPr="00C7339F">
        <w:rPr>
          <w:sz w:val="18"/>
          <w:szCs w:val="18"/>
        </w:rPr>
        <w:t xml:space="preserve">, </w:t>
      </w:r>
      <w:r>
        <w:rPr>
          <w:sz w:val="18"/>
          <w:szCs w:val="18"/>
        </w:rPr>
        <w:t xml:space="preserve">8 November 2022, </w:t>
      </w:r>
      <w:r w:rsidRPr="00C7339F">
        <w:rPr>
          <w:sz w:val="18"/>
          <w:szCs w:val="18"/>
        </w:rPr>
        <w:t xml:space="preserve">p </w:t>
      </w:r>
      <w:r>
        <w:rPr>
          <w:sz w:val="18"/>
          <w:szCs w:val="18"/>
        </w:rPr>
        <w:t>92</w:t>
      </w:r>
      <w:r w:rsidRPr="00C7339F">
        <w:rPr>
          <w:sz w:val="18"/>
          <w:szCs w:val="18"/>
        </w:rPr>
        <w:t>.</w:t>
      </w:r>
    </w:p>
  </w:footnote>
  <w:footnote w:id="156">
    <w:p w14:paraId="3C7536EA" w14:textId="633497CE" w:rsidR="009E79C3" w:rsidRDefault="009E79C3">
      <w:pPr>
        <w:pStyle w:val="FootnoteText"/>
      </w:pPr>
      <w:r w:rsidRPr="009E79C3">
        <w:rPr>
          <w:rStyle w:val="FootnoteReference"/>
          <w:sz w:val="18"/>
          <w:szCs w:val="18"/>
        </w:rPr>
        <w:footnoteRef/>
      </w:r>
      <w:r>
        <w:t xml:space="preserve"> </w:t>
      </w:r>
      <w:r w:rsidRPr="00C7339F">
        <w:rPr>
          <w:sz w:val="18"/>
          <w:szCs w:val="18"/>
        </w:rPr>
        <w:t xml:space="preserve">Mr Chris Steel MLA, Minister for Transport and City Services, </w:t>
      </w:r>
      <w:r w:rsidRPr="00C7339F">
        <w:rPr>
          <w:i/>
          <w:iCs/>
          <w:sz w:val="18"/>
          <w:szCs w:val="18"/>
        </w:rPr>
        <w:t>Proof Committee Hansard</w:t>
      </w:r>
      <w:r w:rsidRPr="00C7339F">
        <w:rPr>
          <w:sz w:val="18"/>
          <w:szCs w:val="18"/>
        </w:rPr>
        <w:t xml:space="preserve">, </w:t>
      </w:r>
      <w:r>
        <w:rPr>
          <w:sz w:val="18"/>
          <w:szCs w:val="18"/>
        </w:rPr>
        <w:t xml:space="preserve">8 November 2022, </w:t>
      </w:r>
      <w:r w:rsidRPr="00C7339F">
        <w:rPr>
          <w:sz w:val="18"/>
          <w:szCs w:val="18"/>
        </w:rPr>
        <w:t xml:space="preserve">p </w:t>
      </w:r>
      <w:r>
        <w:rPr>
          <w:sz w:val="18"/>
          <w:szCs w:val="18"/>
        </w:rPr>
        <w:t>92</w:t>
      </w:r>
      <w:r w:rsidRPr="00C7339F">
        <w:rPr>
          <w:sz w:val="18"/>
          <w:szCs w:val="18"/>
        </w:rPr>
        <w:t>.</w:t>
      </w:r>
    </w:p>
  </w:footnote>
  <w:footnote w:id="157">
    <w:p w14:paraId="2340A4AE" w14:textId="0BC69854" w:rsidR="00680495" w:rsidRPr="00680495" w:rsidRDefault="00680495">
      <w:pPr>
        <w:pStyle w:val="FootnoteText"/>
        <w:rPr>
          <w:sz w:val="18"/>
          <w:szCs w:val="18"/>
        </w:rPr>
      </w:pPr>
      <w:r w:rsidRPr="00680495">
        <w:rPr>
          <w:rStyle w:val="FootnoteReference"/>
          <w:sz w:val="18"/>
          <w:szCs w:val="18"/>
        </w:rPr>
        <w:footnoteRef/>
      </w:r>
      <w:r w:rsidRPr="00680495">
        <w:rPr>
          <w:sz w:val="18"/>
          <w:szCs w:val="18"/>
        </w:rPr>
        <w:t xml:space="preserve"> </w:t>
      </w:r>
      <w:r w:rsidR="00D00681" w:rsidRPr="00C7339F">
        <w:rPr>
          <w:sz w:val="18"/>
          <w:szCs w:val="18"/>
        </w:rPr>
        <w:t>Transport Canberra and City Services</w:t>
      </w:r>
      <w:r w:rsidRPr="00DF49CE">
        <w:rPr>
          <w:sz w:val="18"/>
          <w:szCs w:val="18"/>
        </w:rPr>
        <w:t xml:space="preserve">, </w:t>
      </w:r>
      <w:hyperlink r:id="rId30" w:history="1">
        <w:r w:rsidRPr="00D00681">
          <w:rPr>
            <w:rStyle w:val="Hyperlink"/>
            <w:i/>
            <w:iCs/>
            <w:sz w:val="18"/>
            <w:szCs w:val="18"/>
          </w:rPr>
          <w:t>Annual Report 2021-22</w:t>
        </w:r>
      </w:hyperlink>
      <w:r w:rsidRPr="00DF49CE">
        <w:rPr>
          <w:sz w:val="18"/>
          <w:szCs w:val="18"/>
        </w:rPr>
        <w:t xml:space="preserve">, </w:t>
      </w:r>
      <w:r w:rsidR="00A86E57">
        <w:rPr>
          <w:sz w:val="18"/>
          <w:szCs w:val="18"/>
        </w:rPr>
        <w:t xml:space="preserve">October 2022, </w:t>
      </w:r>
      <w:r w:rsidRPr="00DF49CE">
        <w:rPr>
          <w:sz w:val="18"/>
          <w:szCs w:val="18"/>
        </w:rPr>
        <w:t xml:space="preserve">p </w:t>
      </w:r>
      <w:r>
        <w:rPr>
          <w:sz w:val="18"/>
          <w:szCs w:val="18"/>
        </w:rPr>
        <w:t>62</w:t>
      </w:r>
      <w:r w:rsidRPr="00DF49CE">
        <w:rPr>
          <w:sz w:val="18"/>
          <w:szCs w:val="18"/>
        </w:rPr>
        <w:t>.</w:t>
      </w:r>
    </w:p>
  </w:footnote>
  <w:footnote w:id="158">
    <w:p w14:paraId="76F241BF" w14:textId="7C1A9220" w:rsidR="00C63178" w:rsidRPr="006A53B9" w:rsidRDefault="00C63178">
      <w:pPr>
        <w:pStyle w:val="FootnoteText"/>
        <w:rPr>
          <w:sz w:val="18"/>
          <w:szCs w:val="18"/>
        </w:rPr>
      </w:pPr>
      <w:r w:rsidRPr="006A53B9">
        <w:rPr>
          <w:rStyle w:val="FootnoteReference"/>
          <w:sz w:val="18"/>
          <w:szCs w:val="18"/>
        </w:rPr>
        <w:footnoteRef/>
      </w:r>
      <w:r w:rsidRPr="006A53B9">
        <w:rPr>
          <w:sz w:val="18"/>
          <w:szCs w:val="18"/>
        </w:rPr>
        <w:t xml:space="preserve"> </w:t>
      </w:r>
      <w:r w:rsidR="00D00681" w:rsidRPr="00C7339F">
        <w:rPr>
          <w:sz w:val="18"/>
          <w:szCs w:val="18"/>
        </w:rPr>
        <w:t>Transport Canberra and City Services</w:t>
      </w:r>
      <w:r w:rsidR="006A53B9">
        <w:rPr>
          <w:sz w:val="18"/>
          <w:szCs w:val="18"/>
        </w:rPr>
        <w:t xml:space="preserve">, </w:t>
      </w:r>
      <w:r w:rsidR="006A53B9" w:rsidRPr="00D00681">
        <w:rPr>
          <w:i/>
          <w:iCs/>
          <w:sz w:val="18"/>
          <w:szCs w:val="18"/>
        </w:rPr>
        <w:t>Domestic Animal Services Service Handbook</w:t>
      </w:r>
      <w:r w:rsidR="006A53B9">
        <w:rPr>
          <w:sz w:val="18"/>
          <w:szCs w:val="18"/>
        </w:rPr>
        <w:t>, October 2020, p 13.</w:t>
      </w:r>
    </w:p>
  </w:footnote>
  <w:footnote w:id="159">
    <w:p w14:paraId="323BEBF9" w14:textId="4D9F4967" w:rsidR="006A53B9" w:rsidRDefault="006A53B9">
      <w:pPr>
        <w:pStyle w:val="FootnoteText"/>
      </w:pPr>
      <w:r w:rsidRPr="006A53B9">
        <w:rPr>
          <w:rStyle w:val="FootnoteReference"/>
          <w:sz w:val="18"/>
          <w:szCs w:val="18"/>
        </w:rPr>
        <w:footnoteRef/>
      </w:r>
      <w:r>
        <w:t xml:space="preserve"> </w:t>
      </w:r>
      <w:r w:rsidR="00D00681" w:rsidRPr="00C7339F">
        <w:rPr>
          <w:sz w:val="18"/>
          <w:szCs w:val="18"/>
        </w:rPr>
        <w:t>Transport Canberra and City Services</w:t>
      </w:r>
      <w:r>
        <w:rPr>
          <w:sz w:val="18"/>
          <w:szCs w:val="18"/>
        </w:rPr>
        <w:t xml:space="preserve">, </w:t>
      </w:r>
      <w:r w:rsidRPr="00D00681">
        <w:rPr>
          <w:i/>
          <w:iCs/>
          <w:sz w:val="18"/>
          <w:szCs w:val="18"/>
        </w:rPr>
        <w:t>Domestic Animal Services Service Handbook</w:t>
      </w:r>
      <w:r>
        <w:rPr>
          <w:sz w:val="18"/>
          <w:szCs w:val="18"/>
        </w:rPr>
        <w:t>, October 2020, p 18.</w:t>
      </w:r>
    </w:p>
  </w:footnote>
  <w:footnote w:id="160">
    <w:p w14:paraId="726D1A8F" w14:textId="16DB4FDA" w:rsidR="00067152" w:rsidRPr="00067152" w:rsidRDefault="00067152">
      <w:pPr>
        <w:pStyle w:val="FootnoteText"/>
        <w:rPr>
          <w:sz w:val="18"/>
          <w:szCs w:val="18"/>
        </w:rPr>
      </w:pPr>
      <w:r w:rsidRPr="00067152">
        <w:rPr>
          <w:rStyle w:val="FootnoteReference"/>
          <w:sz w:val="18"/>
          <w:szCs w:val="18"/>
        </w:rPr>
        <w:footnoteRef/>
      </w:r>
      <w:r w:rsidRPr="00067152">
        <w:rPr>
          <w:sz w:val="18"/>
          <w:szCs w:val="18"/>
        </w:rPr>
        <w:t xml:space="preserve"> </w:t>
      </w:r>
      <w:r w:rsidRPr="009E79C3">
        <w:rPr>
          <w:i/>
          <w:iCs/>
          <w:sz w:val="18"/>
          <w:szCs w:val="18"/>
        </w:rPr>
        <w:t>Proof Committee Hansard</w:t>
      </w:r>
      <w:r w:rsidRPr="009E79C3">
        <w:rPr>
          <w:sz w:val="18"/>
          <w:szCs w:val="18"/>
        </w:rPr>
        <w:t>, 8</w:t>
      </w:r>
      <w:r>
        <w:rPr>
          <w:sz w:val="18"/>
          <w:szCs w:val="18"/>
        </w:rPr>
        <w:t> </w:t>
      </w:r>
      <w:r w:rsidRPr="009E79C3">
        <w:rPr>
          <w:sz w:val="18"/>
          <w:szCs w:val="18"/>
        </w:rPr>
        <w:t>November 2022, p</w:t>
      </w:r>
      <w:r>
        <w:rPr>
          <w:sz w:val="18"/>
          <w:szCs w:val="18"/>
        </w:rPr>
        <w:t xml:space="preserve"> 98.</w:t>
      </w:r>
    </w:p>
  </w:footnote>
  <w:footnote w:id="161">
    <w:p w14:paraId="050693E2" w14:textId="5625A47D" w:rsidR="00067152" w:rsidRPr="00067152" w:rsidRDefault="00067152">
      <w:pPr>
        <w:pStyle w:val="FootnoteText"/>
        <w:rPr>
          <w:sz w:val="18"/>
          <w:szCs w:val="18"/>
        </w:rPr>
      </w:pPr>
      <w:r w:rsidRPr="00067152">
        <w:rPr>
          <w:rStyle w:val="FootnoteReference"/>
          <w:sz w:val="18"/>
          <w:szCs w:val="18"/>
        </w:rPr>
        <w:footnoteRef/>
      </w:r>
      <w:r w:rsidRPr="00067152">
        <w:rPr>
          <w:sz w:val="18"/>
          <w:szCs w:val="18"/>
        </w:rPr>
        <w:t xml:space="preserve"> </w:t>
      </w:r>
      <w:r>
        <w:rPr>
          <w:sz w:val="18"/>
          <w:szCs w:val="18"/>
        </w:rPr>
        <w:t xml:space="preserve">Mr Bruce Fitzgerald, Executive Group Manager, Infrastructure Delivery and Waste, TCCS, </w:t>
      </w:r>
      <w:r w:rsidRPr="009E79C3">
        <w:rPr>
          <w:i/>
          <w:iCs/>
          <w:sz w:val="18"/>
          <w:szCs w:val="18"/>
        </w:rPr>
        <w:t>Proof Committee Hansard</w:t>
      </w:r>
      <w:r w:rsidRPr="009E79C3">
        <w:rPr>
          <w:sz w:val="18"/>
          <w:szCs w:val="18"/>
        </w:rPr>
        <w:t>, 8</w:t>
      </w:r>
      <w:r>
        <w:rPr>
          <w:sz w:val="18"/>
          <w:szCs w:val="18"/>
        </w:rPr>
        <w:t> </w:t>
      </w:r>
      <w:r w:rsidRPr="009E79C3">
        <w:rPr>
          <w:sz w:val="18"/>
          <w:szCs w:val="18"/>
        </w:rPr>
        <w:t>November 2022, p</w:t>
      </w:r>
      <w:r>
        <w:rPr>
          <w:sz w:val="18"/>
          <w:szCs w:val="18"/>
        </w:rPr>
        <w:t xml:space="preserve"> 98.</w:t>
      </w:r>
    </w:p>
  </w:footnote>
  <w:footnote w:id="162">
    <w:p w14:paraId="0BBAA003" w14:textId="309F103B" w:rsidR="00067152" w:rsidRDefault="00067152">
      <w:pPr>
        <w:pStyle w:val="FootnoteText"/>
      </w:pPr>
      <w:r w:rsidRPr="00067152">
        <w:rPr>
          <w:rStyle w:val="FootnoteReference"/>
          <w:sz w:val="18"/>
          <w:szCs w:val="18"/>
        </w:rPr>
        <w:footnoteRef/>
      </w:r>
      <w:r>
        <w:t xml:space="preserve"> </w:t>
      </w:r>
      <w:r>
        <w:rPr>
          <w:sz w:val="18"/>
          <w:szCs w:val="18"/>
        </w:rPr>
        <w:t xml:space="preserve">Mr Bruce Fitzgerald, Executive Group Manager, Infrastructure Delivery and Waste, TCCS, </w:t>
      </w:r>
      <w:r w:rsidRPr="009E79C3">
        <w:rPr>
          <w:i/>
          <w:iCs/>
          <w:sz w:val="18"/>
          <w:szCs w:val="18"/>
        </w:rPr>
        <w:t>Proof Committee Hansard</w:t>
      </w:r>
      <w:r w:rsidRPr="009E79C3">
        <w:rPr>
          <w:sz w:val="18"/>
          <w:szCs w:val="18"/>
        </w:rPr>
        <w:t>, 8</w:t>
      </w:r>
      <w:r>
        <w:rPr>
          <w:sz w:val="18"/>
          <w:szCs w:val="18"/>
        </w:rPr>
        <w:t> </w:t>
      </w:r>
      <w:r w:rsidRPr="009E79C3">
        <w:rPr>
          <w:sz w:val="18"/>
          <w:szCs w:val="18"/>
        </w:rPr>
        <w:t>November 2022, p</w:t>
      </w:r>
      <w:r>
        <w:rPr>
          <w:sz w:val="18"/>
          <w:szCs w:val="18"/>
        </w:rPr>
        <w:t xml:space="preserve"> 98.</w:t>
      </w:r>
    </w:p>
  </w:footnote>
  <w:footnote w:id="163">
    <w:p w14:paraId="26F4DB3D" w14:textId="1F18541B" w:rsidR="005B6EBE" w:rsidRPr="00A21102" w:rsidRDefault="005B6EBE">
      <w:pPr>
        <w:pStyle w:val="FootnoteText"/>
        <w:rPr>
          <w:sz w:val="18"/>
          <w:szCs w:val="18"/>
        </w:rPr>
      </w:pPr>
      <w:r w:rsidRPr="00A21102">
        <w:rPr>
          <w:rStyle w:val="FootnoteReference"/>
          <w:sz w:val="18"/>
          <w:szCs w:val="18"/>
        </w:rPr>
        <w:footnoteRef/>
      </w:r>
      <w:r w:rsidRPr="00A21102">
        <w:rPr>
          <w:sz w:val="18"/>
          <w:szCs w:val="18"/>
        </w:rPr>
        <w:t xml:space="preserve"> </w:t>
      </w:r>
      <w:r w:rsidR="00A86E57">
        <w:rPr>
          <w:sz w:val="18"/>
          <w:szCs w:val="18"/>
        </w:rPr>
        <w:t xml:space="preserve">Standing Committee on Planning, Transport and City Services, </w:t>
      </w:r>
      <w:hyperlink r:id="rId31" w:anchor="tab1870125-1id" w:history="1">
        <w:r w:rsidR="00A86E57" w:rsidRPr="00A86E57">
          <w:rPr>
            <w:rStyle w:val="Hyperlink"/>
            <w:sz w:val="18"/>
            <w:szCs w:val="18"/>
          </w:rPr>
          <w:t>Report 6 – Appropriation Bill 2021-2022 and Appropriation (Office of the Legislative Assembly) Bill 2021-2022</w:t>
        </w:r>
      </w:hyperlink>
      <w:r w:rsidR="00A86E57">
        <w:rPr>
          <w:sz w:val="18"/>
          <w:szCs w:val="18"/>
        </w:rPr>
        <w:t>, November 2021, p 21.</w:t>
      </w:r>
    </w:p>
  </w:footnote>
  <w:footnote w:id="164">
    <w:p w14:paraId="43833B34" w14:textId="1D204DDB" w:rsidR="005B6EBE" w:rsidRPr="00A21102" w:rsidRDefault="005B6EBE">
      <w:pPr>
        <w:pStyle w:val="FootnoteText"/>
        <w:rPr>
          <w:sz w:val="18"/>
          <w:szCs w:val="18"/>
        </w:rPr>
      </w:pPr>
      <w:r w:rsidRPr="00A21102">
        <w:rPr>
          <w:rStyle w:val="FootnoteReference"/>
          <w:sz w:val="18"/>
          <w:szCs w:val="18"/>
        </w:rPr>
        <w:footnoteRef/>
      </w:r>
      <w:r w:rsidRPr="00A21102">
        <w:rPr>
          <w:sz w:val="18"/>
          <w:szCs w:val="18"/>
        </w:rPr>
        <w:t xml:space="preserve"> </w:t>
      </w:r>
      <w:r w:rsidR="00D00681" w:rsidRPr="00C7339F">
        <w:rPr>
          <w:sz w:val="18"/>
          <w:szCs w:val="18"/>
        </w:rPr>
        <w:t>Transport Canberra and City Services</w:t>
      </w:r>
      <w:r w:rsidR="00A86E57" w:rsidRPr="00DF49CE">
        <w:rPr>
          <w:sz w:val="18"/>
          <w:szCs w:val="18"/>
        </w:rPr>
        <w:t xml:space="preserve">, </w:t>
      </w:r>
      <w:hyperlink r:id="rId32" w:history="1">
        <w:r w:rsidR="00A86E57" w:rsidRPr="00D00681">
          <w:rPr>
            <w:rStyle w:val="Hyperlink"/>
            <w:i/>
            <w:iCs/>
            <w:sz w:val="18"/>
            <w:szCs w:val="18"/>
          </w:rPr>
          <w:t>Annual Report 2021-22</w:t>
        </w:r>
      </w:hyperlink>
      <w:r w:rsidR="00A86E57" w:rsidRPr="00DF49CE">
        <w:rPr>
          <w:sz w:val="18"/>
          <w:szCs w:val="18"/>
        </w:rPr>
        <w:t xml:space="preserve">, </w:t>
      </w:r>
      <w:r w:rsidR="00A86E57">
        <w:rPr>
          <w:sz w:val="18"/>
          <w:szCs w:val="18"/>
        </w:rPr>
        <w:t xml:space="preserve">October 2022, </w:t>
      </w:r>
      <w:r w:rsidR="00A86E57" w:rsidRPr="00DF49CE">
        <w:rPr>
          <w:sz w:val="18"/>
          <w:szCs w:val="18"/>
        </w:rPr>
        <w:t xml:space="preserve">p </w:t>
      </w:r>
      <w:r w:rsidR="00A86E57">
        <w:rPr>
          <w:sz w:val="18"/>
          <w:szCs w:val="18"/>
        </w:rPr>
        <w:t>81</w:t>
      </w:r>
      <w:r w:rsidR="00A86E57" w:rsidRPr="00DF49CE">
        <w:rPr>
          <w:sz w:val="18"/>
          <w:szCs w:val="18"/>
        </w:rPr>
        <w:t>.</w:t>
      </w:r>
    </w:p>
  </w:footnote>
  <w:footnote w:id="165">
    <w:p w14:paraId="7FCC27A7" w14:textId="5BB06987" w:rsidR="005B6EBE" w:rsidRPr="00A21102" w:rsidRDefault="005B6EBE">
      <w:pPr>
        <w:pStyle w:val="FootnoteText"/>
        <w:rPr>
          <w:sz w:val="18"/>
          <w:szCs w:val="18"/>
        </w:rPr>
      </w:pPr>
      <w:r w:rsidRPr="00A21102">
        <w:rPr>
          <w:rStyle w:val="FootnoteReference"/>
          <w:sz w:val="18"/>
          <w:szCs w:val="18"/>
        </w:rPr>
        <w:footnoteRef/>
      </w:r>
      <w:r w:rsidRPr="00A21102">
        <w:rPr>
          <w:sz w:val="18"/>
          <w:szCs w:val="18"/>
        </w:rPr>
        <w:t xml:space="preserve"> </w:t>
      </w:r>
      <w:r w:rsidR="00D00681" w:rsidRPr="00C7339F">
        <w:rPr>
          <w:sz w:val="18"/>
          <w:szCs w:val="18"/>
        </w:rPr>
        <w:t>Transport Canberra and City Services</w:t>
      </w:r>
      <w:r w:rsidR="00A86E57" w:rsidRPr="00DF49CE">
        <w:rPr>
          <w:sz w:val="18"/>
          <w:szCs w:val="18"/>
        </w:rPr>
        <w:t xml:space="preserve">, </w:t>
      </w:r>
      <w:hyperlink r:id="rId33" w:history="1">
        <w:r w:rsidR="00A86E57" w:rsidRPr="00D00681">
          <w:rPr>
            <w:rStyle w:val="Hyperlink"/>
            <w:i/>
            <w:iCs/>
            <w:sz w:val="18"/>
            <w:szCs w:val="18"/>
          </w:rPr>
          <w:t>Annual Report 2021-22</w:t>
        </w:r>
      </w:hyperlink>
      <w:r w:rsidR="00A86E57" w:rsidRPr="00DF49CE">
        <w:rPr>
          <w:sz w:val="18"/>
          <w:szCs w:val="18"/>
        </w:rPr>
        <w:t xml:space="preserve">, </w:t>
      </w:r>
      <w:r w:rsidR="00A86E57">
        <w:rPr>
          <w:sz w:val="18"/>
          <w:szCs w:val="18"/>
        </w:rPr>
        <w:t xml:space="preserve">October 2022, </w:t>
      </w:r>
      <w:r w:rsidR="00A86E57" w:rsidRPr="00DF49CE">
        <w:rPr>
          <w:sz w:val="18"/>
          <w:szCs w:val="18"/>
        </w:rPr>
        <w:t xml:space="preserve">p </w:t>
      </w:r>
      <w:r w:rsidR="00A86E57">
        <w:rPr>
          <w:sz w:val="18"/>
          <w:szCs w:val="18"/>
        </w:rPr>
        <w:t>81</w:t>
      </w:r>
      <w:r w:rsidR="00A86E57" w:rsidRPr="00DF49CE">
        <w:rPr>
          <w:sz w:val="18"/>
          <w:szCs w:val="18"/>
        </w:rPr>
        <w:t>.</w:t>
      </w:r>
    </w:p>
  </w:footnote>
  <w:footnote w:id="166">
    <w:p w14:paraId="0A8A3AE4" w14:textId="693E15CB" w:rsidR="00B004ED" w:rsidRPr="00B004ED" w:rsidRDefault="00B004ED">
      <w:pPr>
        <w:pStyle w:val="FootnoteText"/>
        <w:rPr>
          <w:sz w:val="18"/>
          <w:szCs w:val="18"/>
        </w:rPr>
      </w:pPr>
      <w:r w:rsidRPr="00A21102">
        <w:rPr>
          <w:rStyle w:val="FootnoteReference"/>
          <w:sz w:val="18"/>
          <w:szCs w:val="18"/>
        </w:rPr>
        <w:footnoteRef/>
      </w:r>
      <w:r w:rsidRPr="00A21102">
        <w:rPr>
          <w:sz w:val="18"/>
          <w:szCs w:val="18"/>
        </w:rPr>
        <w:t xml:space="preserve"> </w:t>
      </w:r>
      <w:r w:rsidR="00D00681" w:rsidRPr="00C7339F">
        <w:rPr>
          <w:sz w:val="18"/>
          <w:szCs w:val="18"/>
        </w:rPr>
        <w:t>Transport Canberra and City Services</w:t>
      </w:r>
      <w:r w:rsidRPr="00C7339F">
        <w:rPr>
          <w:sz w:val="18"/>
          <w:szCs w:val="18"/>
        </w:rPr>
        <w:t xml:space="preserve">, </w:t>
      </w:r>
      <w:hyperlink r:id="rId34" w:history="1">
        <w:r w:rsidRPr="00D00681">
          <w:rPr>
            <w:rStyle w:val="Hyperlink"/>
            <w:i/>
            <w:iCs/>
            <w:sz w:val="18"/>
            <w:szCs w:val="18"/>
          </w:rPr>
          <w:t>Annual Report 2021-22</w:t>
        </w:r>
      </w:hyperlink>
      <w:r w:rsidRPr="00C7339F">
        <w:rPr>
          <w:sz w:val="18"/>
          <w:szCs w:val="18"/>
        </w:rPr>
        <w:t xml:space="preserve">, </w:t>
      </w:r>
      <w:r w:rsidR="00D00681">
        <w:rPr>
          <w:sz w:val="18"/>
          <w:szCs w:val="18"/>
        </w:rPr>
        <w:t xml:space="preserve">October 2022, </w:t>
      </w:r>
      <w:r w:rsidRPr="00C7339F">
        <w:rPr>
          <w:sz w:val="18"/>
          <w:szCs w:val="18"/>
        </w:rPr>
        <w:t xml:space="preserve">p </w:t>
      </w:r>
      <w:r>
        <w:rPr>
          <w:sz w:val="18"/>
          <w:szCs w:val="18"/>
        </w:rPr>
        <w:t>23.</w:t>
      </w:r>
    </w:p>
  </w:footnote>
  <w:footnote w:id="167">
    <w:p w14:paraId="5108E589" w14:textId="797337D7" w:rsidR="004A3A4E" w:rsidRPr="00067152" w:rsidRDefault="004A3A4E">
      <w:pPr>
        <w:pStyle w:val="FootnoteText"/>
        <w:rPr>
          <w:sz w:val="18"/>
          <w:szCs w:val="18"/>
        </w:rPr>
      </w:pPr>
      <w:r w:rsidRPr="00067152">
        <w:rPr>
          <w:rStyle w:val="FootnoteReference"/>
          <w:sz w:val="18"/>
          <w:szCs w:val="18"/>
        </w:rPr>
        <w:footnoteRef/>
      </w:r>
      <w:r w:rsidRPr="00067152">
        <w:rPr>
          <w:sz w:val="18"/>
          <w:szCs w:val="18"/>
        </w:rPr>
        <w:t xml:space="preserve"> </w:t>
      </w:r>
      <w:r w:rsidR="00067152">
        <w:rPr>
          <w:sz w:val="18"/>
          <w:szCs w:val="18"/>
        </w:rPr>
        <w:t xml:space="preserve">Mr Bruce Fitzgerald, Executive Group Manager, Infrastructure Delivery and Waste, TCCS, </w:t>
      </w:r>
      <w:r w:rsidR="00067152" w:rsidRPr="009E79C3">
        <w:rPr>
          <w:i/>
          <w:iCs/>
          <w:sz w:val="18"/>
          <w:szCs w:val="18"/>
        </w:rPr>
        <w:t>Proof Committee Hansard</w:t>
      </w:r>
      <w:r w:rsidR="00067152" w:rsidRPr="009E79C3">
        <w:rPr>
          <w:sz w:val="18"/>
          <w:szCs w:val="18"/>
        </w:rPr>
        <w:t>, 8</w:t>
      </w:r>
      <w:r w:rsidR="00067152">
        <w:rPr>
          <w:sz w:val="18"/>
          <w:szCs w:val="18"/>
        </w:rPr>
        <w:t> </w:t>
      </w:r>
      <w:r w:rsidR="00067152" w:rsidRPr="009E79C3">
        <w:rPr>
          <w:sz w:val="18"/>
          <w:szCs w:val="18"/>
        </w:rPr>
        <w:t>November 2022, p</w:t>
      </w:r>
      <w:r w:rsidR="00067152">
        <w:rPr>
          <w:sz w:val="18"/>
          <w:szCs w:val="18"/>
        </w:rPr>
        <w:t xml:space="preserve"> 98.</w:t>
      </w:r>
    </w:p>
  </w:footnote>
  <w:footnote w:id="168">
    <w:p w14:paraId="725C64A3" w14:textId="7452463F" w:rsidR="004A3A4E" w:rsidRDefault="004A3A4E">
      <w:pPr>
        <w:pStyle w:val="FootnoteText"/>
      </w:pPr>
      <w:r w:rsidRPr="00067152">
        <w:rPr>
          <w:rStyle w:val="FootnoteReference"/>
          <w:sz w:val="18"/>
          <w:szCs w:val="18"/>
        </w:rPr>
        <w:footnoteRef/>
      </w:r>
      <w:r>
        <w:t xml:space="preserve"> </w:t>
      </w:r>
      <w:r w:rsidR="00067152">
        <w:rPr>
          <w:sz w:val="18"/>
          <w:szCs w:val="18"/>
        </w:rPr>
        <w:t xml:space="preserve">Mr Bruce Fitzgerald, Executive Group Manager, Infrastructure Delivery and Waste, TCCS, </w:t>
      </w:r>
      <w:r w:rsidR="00067152" w:rsidRPr="009E79C3">
        <w:rPr>
          <w:i/>
          <w:iCs/>
          <w:sz w:val="18"/>
          <w:szCs w:val="18"/>
        </w:rPr>
        <w:t>Proof Committee Hansard</w:t>
      </w:r>
      <w:r w:rsidR="00067152" w:rsidRPr="009E79C3">
        <w:rPr>
          <w:sz w:val="18"/>
          <w:szCs w:val="18"/>
        </w:rPr>
        <w:t>, 8</w:t>
      </w:r>
      <w:r w:rsidR="00067152">
        <w:rPr>
          <w:sz w:val="18"/>
          <w:szCs w:val="18"/>
        </w:rPr>
        <w:t> </w:t>
      </w:r>
      <w:r w:rsidR="00067152" w:rsidRPr="009E79C3">
        <w:rPr>
          <w:sz w:val="18"/>
          <w:szCs w:val="18"/>
        </w:rPr>
        <w:t>November 2022, p</w:t>
      </w:r>
      <w:r w:rsidR="00067152">
        <w:rPr>
          <w:sz w:val="18"/>
          <w:szCs w:val="18"/>
        </w:rPr>
        <w:t xml:space="preserve"> 98.</w:t>
      </w:r>
    </w:p>
  </w:footnote>
  <w:footnote w:id="169">
    <w:p w14:paraId="5E9B271E" w14:textId="1833AA96" w:rsidR="00A92C89" w:rsidRPr="004819D1" w:rsidRDefault="00A92C89">
      <w:pPr>
        <w:pStyle w:val="FootnoteText"/>
        <w:rPr>
          <w:sz w:val="18"/>
          <w:szCs w:val="18"/>
        </w:rPr>
      </w:pPr>
      <w:r w:rsidRPr="004819D1">
        <w:rPr>
          <w:rStyle w:val="FootnoteReference"/>
          <w:sz w:val="18"/>
          <w:szCs w:val="18"/>
        </w:rPr>
        <w:footnoteRef/>
      </w:r>
      <w:r w:rsidRPr="004819D1">
        <w:rPr>
          <w:sz w:val="18"/>
          <w:szCs w:val="18"/>
        </w:rPr>
        <w:t xml:space="preserve"> </w:t>
      </w:r>
      <w:r w:rsidR="00D00681" w:rsidRPr="00C7339F">
        <w:rPr>
          <w:sz w:val="18"/>
          <w:szCs w:val="18"/>
        </w:rPr>
        <w:t>Transport Canberra and City Services</w:t>
      </w:r>
      <w:r w:rsidR="004819D1">
        <w:rPr>
          <w:sz w:val="18"/>
          <w:szCs w:val="18"/>
        </w:rPr>
        <w:t xml:space="preserve">, </w:t>
      </w:r>
      <w:r w:rsidR="004819D1" w:rsidRPr="00D00681">
        <w:rPr>
          <w:i/>
          <w:iCs/>
          <w:sz w:val="18"/>
          <w:szCs w:val="18"/>
        </w:rPr>
        <w:t>Mitchell RM</w:t>
      </w:r>
      <w:r w:rsidR="00D00681" w:rsidRPr="00D00681">
        <w:rPr>
          <w:i/>
          <w:iCs/>
          <w:sz w:val="18"/>
          <w:szCs w:val="18"/>
        </w:rPr>
        <w:t>C</w:t>
      </w:r>
      <w:r w:rsidR="004819D1" w:rsidRPr="00D00681">
        <w:rPr>
          <w:i/>
          <w:iCs/>
          <w:sz w:val="18"/>
          <w:szCs w:val="18"/>
        </w:rPr>
        <w:t xml:space="preserve"> proposed relocation</w:t>
      </w:r>
      <w:r w:rsidR="004819D1">
        <w:rPr>
          <w:sz w:val="18"/>
          <w:szCs w:val="18"/>
        </w:rPr>
        <w:t xml:space="preserve">, </w:t>
      </w:r>
      <w:hyperlink r:id="rId35" w:history="1">
        <w:r w:rsidR="004819D1" w:rsidRPr="00EB2D73">
          <w:rPr>
            <w:rStyle w:val="Hyperlink"/>
            <w:sz w:val="18"/>
            <w:szCs w:val="18"/>
          </w:rPr>
          <w:t>https://www.cityservices.act.gov.au/Infrastructure-Projects/programs/waste-and-recycling-infrastructure/mitchell-rmc-proposed-relocation</w:t>
        </w:r>
      </w:hyperlink>
      <w:r w:rsidR="004819D1">
        <w:rPr>
          <w:sz w:val="18"/>
          <w:szCs w:val="18"/>
        </w:rPr>
        <w:t xml:space="preserve"> (accessed 12 March 2023), p 1.</w:t>
      </w:r>
    </w:p>
  </w:footnote>
  <w:footnote w:id="170">
    <w:p w14:paraId="0F8D9BF1" w14:textId="6B1EC042" w:rsidR="00A92C89" w:rsidRPr="004819D1" w:rsidRDefault="00A92C89">
      <w:pPr>
        <w:pStyle w:val="FootnoteText"/>
        <w:rPr>
          <w:sz w:val="18"/>
          <w:szCs w:val="18"/>
        </w:rPr>
      </w:pPr>
      <w:r w:rsidRPr="004819D1">
        <w:rPr>
          <w:rStyle w:val="FootnoteReference"/>
          <w:sz w:val="18"/>
          <w:szCs w:val="18"/>
        </w:rPr>
        <w:footnoteRef/>
      </w:r>
      <w:r w:rsidRPr="004819D1">
        <w:rPr>
          <w:sz w:val="18"/>
          <w:szCs w:val="18"/>
        </w:rPr>
        <w:t xml:space="preserve"> </w:t>
      </w:r>
      <w:r w:rsidR="004819D1">
        <w:rPr>
          <w:sz w:val="18"/>
          <w:szCs w:val="18"/>
        </w:rPr>
        <w:t xml:space="preserve">Cardno (NSW/ACT) Pty Ltd, </w:t>
      </w:r>
      <w:hyperlink r:id="rId36" w:history="1">
        <w:r w:rsidR="004819D1" w:rsidRPr="004819D1">
          <w:rPr>
            <w:rStyle w:val="Hyperlink"/>
            <w:sz w:val="18"/>
            <w:szCs w:val="18"/>
          </w:rPr>
          <w:t>Feasibility Study – Mitchell RMC and Identification of Future Waste Sites in North Canberra</w:t>
        </w:r>
      </w:hyperlink>
      <w:r w:rsidR="004819D1">
        <w:rPr>
          <w:sz w:val="18"/>
          <w:szCs w:val="18"/>
        </w:rPr>
        <w:t>, October 2022, p 1.</w:t>
      </w:r>
    </w:p>
  </w:footnote>
  <w:footnote w:id="171">
    <w:p w14:paraId="36970EE1" w14:textId="31F62DF4" w:rsidR="004819D1" w:rsidRDefault="004819D1">
      <w:pPr>
        <w:pStyle w:val="FootnoteText"/>
      </w:pPr>
      <w:r w:rsidRPr="004819D1">
        <w:rPr>
          <w:rStyle w:val="FootnoteReference"/>
          <w:sz w:val="18"/>
          <w:szCs w:val="18"/>
        </w:rPr>
        <w:footnoteRef/>
      </w:r>
      <w:r>
        <w:t xml:space="preserve"> </w:t>
      </w:r>
      <w:r>
        <w:rPr>
          <w:sz w:val="18"/>
          <w:szCs w:val="18"/>
        </w:rPr>
        <w:t xml:space="preserve">Mr Chris Steel MLA, Minister for Transport and City Services, </w:t>
      </w:r>
      <w:r w:rsidRPr="009E79C3">
        <w:rPr>
          <w:i/>
          <w:iCs/>
          <w:sz w:val="18"/>
          <w:szCs w:val="18"/>
        </w:rPr>
        <w:t>Proof Committee Hansard</w:t>
      </w:r>
      <w:r w:rsidRPr="009E79C3">
        <w:rPr>
          <w:sz w:val="18"/>
          <w:szCs w:val="18"/>
        </w:rPr>
        <w:t>, 8</w:t>
      </w:r>
      <w:r>
        <w:rPr>
          <w:sz w:val="18"/>
          <w:szCs w:val="18"/>
        </w:rPr>
        <w:t> </w:t>
      </w:r>
      <w:r w:rsidRPr="009E79C3">
        <w:rPr>
          <w:sz w:val="18"/>
          <w:szCs w:val="18"/>
        </w:rPr>
        <w:t xml:space="preserve">November 2022, p </w:t>
      </w:r>
      <w:r>
        <w:rPr>
          <w:sz w:val="18"/>
          <w:szCs w:val="18"/>
        </w:rPr>
        <w:t>100.</w:t>
      </w:r>
      <w:r>
        <w:rPr>
          <w:sz w:val="18"/>
          <w:szCs w:val="18"/>
        </w:rPr>
        <w:tab/>
      </w:r>
    </w:p>
  </w:footnote>
  <w:footnote w:id="172">
    <w:p w14:paraId="33DDDB53" w14:textId="23D480A2" w:rsidR="004819D1" w:rsidRPr="004819D1" w:rsidRDefault="004819D1">
      <w:pPr>
        <w:pStyle w:val="FootnoteText"/>
        <w:rPr>
          <w:sz w:val="18"/>
          <w:szCs w:val="18"/>
        </w:rPr>
      </w:pPr>
      <w:r w:rsidRPr="004819D1">
        <w:rPr>
          <w:rStyle w:val="FootnoteReference"/>
          <w:sz w:val="18"/>
          <w:szCs w:val="18"/>
        </w:rPr>
        <w:footnoteRef/>
      </w:r>
      <w:r w:rsidRPr="004819D1">
        <w:rPr>
          <w:sz w:val="18"/>
          <w:szCs w:val="18"/>
        </w:rPr>
        <w:t xml:space="preserve"> </w:t>
      </w:r>
      <w:r>
        <w:rPr>
          <w:sz w:val="18"/>
          <w:szCs w:val="18"/>
        </w:rPr>
        <w:t xml:space="preserve">Mr Bruce Fitzgerald, Executive Group Manager, Infrastructure Delivery and Waste, TCCS, </w:t>
      </w:r>
      <w:r w:rsidRPr="009E79C3">
        <w:rPr>
          <w:i/>
          <w:iCs/>
          <w:sz w:val="18"/>
          <w:szCs w:val="18"/>
        </w:rPr>
        <w:t>Proof Committee Hansard</w:t>
      </w:r>
      <w:r w:rsidRPr="009E79C3">
        <w:rPr>
          <w:sz w:val="18"/>
          <w:szCs w:val="18"/>
        </w:rPr>
        <w:t>, 8</w:t>
      </w:r>
      <w:r>
        <w:rPr>
          <w:sz w:val="18"/>
          <w:szCs w:val="18"/>
        </w:rPr>
        <w:t> </w:t>
      </w:r>
      <w:r w:rsidRPr="009E79C3">
        <w:rPr>
          <w:sz w:val="18"/>
          <w:szCs w:val="18"/>
        </w:rPr>
        <w:t>November 2022, p</w:t>
      </w:r>
      <w:r>
        <w:rPr>
          <w:sz w:val="18"/>
          <w:szCs w:val="18"/>
        </w:rPr>
        <w:t>p 100–101.</w:t>
      </w:r>
      <w:r>
        <w:rPr>
          <w:sz w:val="18"/>
          <w:szCs w:val="18"/>
        </w:rPr>
        <w:tab/>
      </w:r>
    </w:p>
  </w:footnote>
  <w:footnote w:id="173">
    <w:p w14:paraId="7668BCB4" w14:textId="043DFBC9" w:rsidR="00E920F6" w:rsidRPr="008D372C" w:rsidRDefault="00E920F6">
      <w:pPr>
        <w:pStyle w:val="FootnoteText"/>
        <w:rPr>
          <w:sz w:val="18"/>
          <w:szCs w:val="18"/>
        </w:rPr>
      </w:pPr>
      <w:r w:rsidRPr="008D372C">
        <w:rPr>
          <w:rStyle w:val="FootnoteReference"/>
          <w:sz w:val="18"/>
          <w:szCs w:val="18"/>
        </w:rPr>
        <w:footnoteRef/>
      </w:r>
      <w:r w:rsidRPr="008D372C">
        <w:rPr>
          <w:sz w:val="18"/>
          <w:szCs w:val="18"/>
        </w:rPr>
        <w:t xml:space="preserve"> </w:t>
      </w:r>
      <w:r w:rsidR="008D372C" w:rsidRPr="00C7339F">
        <w:rPr>
          <w:i/>
          <w:iCs/>
          <w:sz w:val="18"/>
          <w:szCs w:val="18"/>
        </w:rPr>
        <w:t>Proof Committee Hansard</w:t>
      </w:r>
      <w:r w:rsidR="008D372C" w:rsidRPr="00C7339F">
        <w:rPr>
          <w:sz w:val="18"/>
          <w:szCs w:val="18"/>
        </w:rPr>
        <w:t>, 8 November 2022, p 102.</w:t>
      </w:r>
    </w:p>
  </w:footnote>
  <w:footnote w:id="174">
    <w:p w14:paraId="1B2E9321" w14:textId="0103B945" w:rsidR="00E920F6" w:rsidRPr="008D372C" w:rsidRDefault="00E920F6">
      <w:pPr>
        <w:pStyle w:val="FootnoteText"/>
        <w:rPr>
          <w:sz w:val="18"/>
          <w:szCs w:val="18"/>
        </w:rPr>
      </w:pPr>
      <w:r w:rsidRPr="008D372C">
        <w:rPr>
          <w:rStyle w:val="FootnoteReference"/>
          <w:sz w:val="18"/>
          <w:szCs w:val="18"/>
        </w:rPr>
        <w:footnoteRef/>
      </w:r>
      <w:r w:rsidRPr="008D372C">
        <w:rPr>
          <w:sz w:val="18"/>
          <w:szCs w:val="18"/>
        </w:rPr>
        <w:t xml:space="preserve"> </w:t>
      </w:r>
      <w:r w:rsidR="008D372C" w:rsidRPr="008D372C">
        <w:rPr>
          <w:sz w:val="18"/>
          <w:szCs w:val="18"/>
        </w:rPr>
        <w:t xml:space="preserve">Mr Chris Steel MLA, Minister for Transport and City Services, </w:t>
      </w:r>
      <w:r w:rsidR="008D372C" w:rsidRPr="008D372C">
        <w:rPr>
          <w:i/>
          <w:iCs/>
          <w:sz w:val="18"/>
          <w:szCs w:val="18"/>
        </w:rPr>
        <w:t>Response to QTON 22: FTE City Rangers</w:t>
      </w:r>
      <w:r w:rsidR="008D372C" w:rsidRPr="008D372C">
        <w:rPr>
          <w:sz w:val="18"/>
          <w:szCs w:val="18"/>
        </w:rPr>
        <w:t>, (received 17</w:t>
      </w:r>
      <w:r w:rsidR="004819D1">
        <w:rPr>
          <w:sz w:val="18"/>
          <w:szCs w:val="18"/>
        </w:rPr>
        <w:t> </w:t>
      </w:r>
      <w:r w:rsidR="008D372C" w:rsidRPr="008D372C">
        <w:rPr>
          <w:sz w:val="18"/>
          <w:szCs w:val="18"/>
        </w:rPr>
        <w:t>November 2022), p 1.</w:t>
      </w:r>
    </w:p>
  </w:footnote>
  <w:footnote w:id="175">
    <w:p w14:paraId="176D8FEF" w14:textId="77777777" w:rsidR="00D00681" w:rsidRPr="008D372C" w:rsidRDefault="00D00681" w:rsidP="00D00681">
      <w:pPr>
        <w:pStyle w:val="FootnoteText"/>
        <w:rPr>
          <w:sz w:val="18"/>
          <w:szCs w:val="18"/>
        </w:rPr>
      </w:pPr>
      <w:r w:rsidRPr="008D372C">
        <w:rPr>
          <w:rStyle w:val="FootnoteReference"/>
          <w:sz w:val="18"/>
          <w:szCs w:val="18"/>
        </w:rPr>
        <w:footnoteRef/>
      </w:r>
      <w:r w:rsidRPr="008D372C">
        <w:rPr>
          <w:sz w:val="18"/>
          <w:szCs w:val="18"/>
        </w:rPr>
        <w:t xml:space="preserve"> Mr Chris Steel MLA, Minister for Transport and City Services, </w:t>
      </w:r>
      <w:r w:rsidRPr="008D372C">
        <w:rPr>
          <w:i/>
          <w:iCs/>
          <w:sz w:val="18"/>
          <w:szCs w:val="18"/>
        </w:rPr>
        <w:t>Response to QTON 22: FTE City Rangers</w:t>
      </w:r>
      <w:r w:rsidRPr="008D372C">
        <w:rPr>
          <w:sz w:val="18"/>
          <w:szCs w:val="18"/>
        </w:rPr>
        <w:t>, (received 17</w:t>
      </w:r>
      <w:r>
        <w:rPr>
          <w:sz w:val="18"/>
          <w:szCs w:val="18"/>
        </w:rPr>
        <w:t> </w:t>
      </w:r>
      <w:r w:rsidRPr="008D372C">
        <w:rPr>
          <w:sz w:val="18"/>
          <w:szCs w:val="18"/>
        </w:rPr>
        <w:t>November 2022), p 1.</w:t>
      </w:r>
    </w:p>
  </w:footnote>
  <w:footnote w:id="176">
    <w:p w14:paraId="08BFD255" w14:textId="1613DBD5" w:rsidR="002A44AD" w:rsidRDefault="002A44AD">
      <w:pPr>
        <w:pStyle w:val="FootnoteText"/>
      </w:pPr>
      <w:r w:rsidRPr="008D372C">
        <w:rPr>
          <w:rStyle w:val="FootnoteReference"/>
          <w:sz w:val="18"/>
          <w:szCs w:val="18"/>
        </w:rPr>
        <w:footnoteRef/>
      </w:r>
      <w:r>
        <w:t xml:space="preserve"> </w:t>
      </w:r>
      <w:r w:rsidR="008D372C" w:rsidRPr="00C7339F">
        <w:rPr>
          <w:i/>
          <w:iCs/>
          <w:sz w:val="18"/>
          <w:szCs w:val="18"/>
        </w:rPr>
        <w:t>Proof Committee Hansard</w:t>
      </w:r>
      <w:r w:rsidR="008D372C" w:rsidRPr="00C7339F">
        <w:rPr>
          <w:sz w:val="18"/>
          <w:szCs w:val="18"/>
        </w:rPr>
        <w:t>, 8 November 2022, p 10</w:t>
      </w:r>
      <w:r w:rsidR="008D372C">
        <w:rPr>
          <w:sz w:val="18"/>
          <w:szCs w:val="18"/>
        </w:rPr>
        <w:t>3</w:t>
      </w:r>
      <w:r w:rsidR="008D372C" w:rsidRPr="00C7339F">
        <w:rPr>
          <w:sz w:val="18"/>
          <w:szCs w:val="18"/>
        </w:rPr>
        <w:t>.</w:t>
      </w:r>
    </w:p>
  </w:footnote>
  <w:footnote w:id="177">
    <w:p w14:paraId="5B556F7D" w14:textId="6CA7BB65" w:rsidR="008D372C" w:rsidRPr="008D372C" w:rsidRDefault="008D372C">
      <w:pPr>
        <w:pStyle w:val="FootnoteText"/>
        <w:rPr>
          <w:sz w:val="18"/>
          <w:szCs w:val="18"/>
        </w:rPr>
      </w:pPr>
      <w:r w:rsidRPr="008D372C">
        <w:rPr>
          <w:rStyle w:val="FootnoteReference"/>
          <w:sz w:val="18"/>
          <w:szCs w:val="18"/>
        </w:rPr>
        <w:footnoteRef/>
      </w:r>
      <w:r w:rsidRPr="008D372C">
        <w:rPr>
          <w:sz w:val="18"/>
          <w:szCs w:val="18"/>
        </w:rPr>
        <w:t xml:space="preserve"> </w:t>
      </w:r>
      <w:r w:rsidRPr="00C7339F">
        <w:rPr>
          <w:i/>
          <w:iCs/>
          <w:sz w:val="18"/>
          <w:szCs w:val="18"/>
        </w:rPr>
        <w:t>Proof Committee Hansard</w:t>
      </w:r>
      <w:r w:rsidRPr="00C7339F">
        <w:rPr>
          <w:sz w:val="18"/>
          <w:szCs w:val="18"/>
        </w:rPr>
        <w:t>, 8 November 2022, p 10</w:t>
      </w:r>
      <w:r>
        <w:rPr>
          <w:sz w:val="18"/>
          <w:szCs w:val="18"/>
        </w:rPr>
        <w:t>3</w:t>
      </w:r>
      <w:r w:rsidRPr="00C7339F">
        <w:rPr>
          <w:sz w:val="18"/>
          <w:szCs w:val="18"/>
        </w:rPr>
        <w:t>.</w:t>
      </w:r>
    </w:p>
  </w:footnote>
  <w:footnote w:id="178">
    <w:p w14:paraId="63804266" w14:textId="1BD97C46" w:rsidR="00024742" w:rsidRPr="00024742" w:rsidRDefault="00024742" w:rsidP="00024742">
      <w:pPr>
        <w:pStyle w:val="FootnoteText"/>
        <w:rPr>
          <w:sz w:val="18"/>
          <w:szCs w:val="18"/>
        </w:rPr>
      </w:pPr>
      <w:r w:rsidRPr="00024742">
        <w:rPr>
          <w:rStyle w:val="FootnoteReference"/>
          <w:sz w:val="18"/>
          <w:szCs w:val="18"/>
        </w:rPr>
        <w:footnoteRef/>
      </w:r>
      <w:r w:rsidRPr="00024742">
        <w:rPr>
          <w:sz w:val="18"/>
          <w:szCs w:val="18"/>
        </w:rPr>
        <w:t xml:space="preserve"> </w:t>
      </w:r>
      <w:r w:rsidR="00613237" w:rsidRPr="008D372C">
        <w:rPr>
          <w:sz w:val="18"/>
          <w:szCs w:val="18"/>
        </w:rPr>
        <w:t xml:space="preserve">Transport </w:t>
      </w:r>
      <w:r w:rsidR="00613237">
        <w:rPr>
          <w:sz w:val="18"/>
          <w:szCs w:val="18"/>
        </w:rPr>
        <w:t xml:space="preserve">Canberra </w:t>
      </w:r>
      <w:r w:rsidR="00613237" w:rsidRPr="008D372C">
        <w:rPr>
          <w:sz w:val="18"/>
          <w:szCs w:val="18"/>
        </w:rPr>
        <w:t>and City Services</w:t>
      </w:r>
      <w:r>
        <w:rPr>
          <w:sz w:val="18"/>
          <w:szCs w:val="18"/>
        </w:rPr>
        <w:t xml:space="preserve">, </w:t>
      </w:r>
      <w:r w:rsidRPr="00024742">
        <w:rPr>
          <w:i/>
          <w:iCs/>
          <w:sz w:val="18"/>
          <w:szCs w:val="18"/>
        </w:rPr>
        <w:t>Waste strategies – Reports and audits</w:t>
      </w:r>
      <w:r>
        <w:rPr>
          <w:sz w:val="18"/>
          <w:szCs w:val="18"/>
        </w:rPr>
        <w:t xml:space="preserve">, </w:t>
      </w:r>
      <w:hyperlink r:id="rId37" w:history="1">
        <w:r w:rsidRPr="00EB2D73">
          <w:rPr>
            <w:rStyle w:val="Hyperlink"/>
            <w:sz w:val="18"/>
            <w:szCs w:val="18"/>
          </w:rPr>
          <w:t>https://www.cityservices.act.gov.au/recycling-and-waste/waste-strategies/reports-audits</w:t>
        </w:r>
      </w:hyperlink>
      <w:r>
        <w:rPr>
          <w:sz w:val="18"/>
          <w:szCs w:val="18"/>
        </w:rPr>
        <w:t xml:space="preserve"> (accessed 12 March 2023).</w:t>
      </w:r>
    </w:p>
  </w:footnote>
  <w:footnote w:id="179">
    <w:p w14:paraId="173085A9" w14:textId="285A94F3" w:rsidR="00024742" w:rsidRDefault="00024742">
      <w:pPr>
        <w:pStyle w:val="FootnoteText"/>
      </w:pPr>
      <w:r w:rsidRPr="00024742">
        <w:rPr>
          <w:rStyle w:val="FootnoteReference"/>
          <w:sz w:val="18"/>
          <w:szCs w:val="18"/>
        </w:rPr>
        <w:footnoteRef/>
      </w:r>
      <w:r>
        <w:t xml:space="preserve"> </w:t>
      </w:r>
      <w:r w:rsidRPr="009E79C3">
        <w:rPr>
          <w:i/>
          <w:iCs/>
          <w:sz w:val="18"/>
          <w:szCs w:val="18"/>
        </w:rPr>
        <w:t>Proof Committee Hansard</w:t>
      </w:r>
      <w:r w:rsidRPr="009E79C3">
        <w:rPr>
          <w:sz w:val="18"/>
          <w:szCs w:val="18"/>
        </w:rPr>
        <w:t>, 8 November 2022, p</w:t>
      </w:r>
      <w:r>
        <w:rPr>
          <w:sz w:val="18"/>
          <w:szCs w:val="18"/>
        </w:rPr>
        <w:t>p 106–107.</w:t>
      </w:r>
    </w:p>
  </w:footnote>
  <w:footnote w:id="180">
    <w:p w14:paraId="6B4B0B63" w14:textId="0D729541" w:rsidR="00F13867" w:rsidRPr="00F13867" w:rsidRDefault="00F13867" w:rsidP="00024742">
      <w:pPr>
        <w:pStyle w:val="FootnoteText"/>
        <w:rPr>
          <w:sz w:val="18"/>
          <w:szCs w:val="18"/>
        </w:rPr>
      </w:pPr>
      <w:r w:rsidRPr="00F13867">
        <w:rPr>
          <w:rStyle w:val="FootnoteReference"/>
          <w:sz w:val="18"/>
          <w:szCs w:val="18"/>
        </w:rPr>
        <w:footnoteRef/>
      </w:r>
      <w:r w:rsidRPr="00F13867">
        <w:rPr>
          <w:sz w:val="18"/>
          <w:szCs w:val="18"/>
        </w:rPr>
        <w:t xml:space="preserve"> </w:t>
      </w:r>
      <w:r w:rsidR="00024742">
        <w:rPr>
          <w:sz w:val="18"/>
          <w:szCs w:val="18"/>
        </w:rPr>
        <w:t xml:space="preserve">Mr Bruce Fitzgerald, Executive Group Manager, Infrastructure Delivery and Waste, TCCS, </w:t>
      </w:r>
      <w:r w:rsidR="00024742" w:rsidRPr="009E79C3">
        <w:rPr>
          <w:i/>
          <w:iCs/>
          <w:sz w:val="18"/>
          <w:szCs w:val="18"/>
        </w:rPr>
        <w:t>Proof Committee Hansard</w:t>
      </w:r>
      <w:r w:rsidR="00024742" w:rsidRPr="009E79C3">
        <w:rPr>
          <w:sz w:val="18"/>
          <w:szCs w:val="18"/>
        </w:rPr>
        <w:t>, 8</w:t>
      </w:r>
      <w:r w:rsidR="00024742">
        <w:rPr>
          <w:sz w:val="18"/>
          <w:szCs w:val="18"/>
        </w:rPr>
        <w:t> </w:t>
      </w:r>
      <w:r w:rsidR="00024742" w:rsidRPr="009E79C3">
        <w:rPr>
          <w:sz w:val="18"/>
          <w:szCs w:val="18"/>
        </w:rPr>
        <w:t xml:space="preserve">November 2022, p </w:t>
      </w:r>
      <w:r w:rsidR="00024742">
        <w:rPr>
          <w:sz w:val="18"/>
          <w:szCs w:val="18"/>
        </w:rPr>
        <w:t>107.</w:t>
      </w:r>
      <w:r w:rsidR="00024742">
        <w:rPr>
          <w:sz w:val="18"/>
          <w:szCs w:val="18"/>
        </w:rPr>
        <w:tab/>
      </w:r>
      <w:r w:rsidR="00024742">
        <w:rPr>
          <w:sz w:val="18"/>
          <w:szCs w:val="18"/>
        </w:rPr>
        <w:tab/>
      </w:r>
    </w:p>
  </w:footnote>
  <w:footnote w:id="181">
    <w:p w14:paraId="11FF6092" w14:textId="1647470A" w:rsidR="00F13867" w:rsidRDefault="00F13867">
      <w:pPr>
        <w:pStyle w:val="FootnoteText"/>
      </w:pPr>
      <w:r w:rsidRPr="00F13867">
        <w:rPr>
          <w:rStyle w:val="FootnoteReference"/>
          <w:sz w:val="18"/>
          <w:szCs w:val="18"/>
        </w:rPr>
        <w:footnoteRef/>
      </w:r>
      <w:r>
        <w:t xml:space="preserve"> </w:t>
      </w:r>
      <w:r w:rsidR="00024742">
        <w:rPr>
          <w:sz w:val="18"/>
          <w:szCs w:val="18"/>
        </w:rPr>
        <w:t xml:space="preserve">Mr Bruce Fitzgerald, Executive Group Manager, Infrastructure Delivery and Waste, TCCS, </w:t>
      </w:r>
      <w:r w:rsidR="00024742" w:rsidRPr="009E79C3">
        <w:rPr>
          <w:i/>
          <w:iCs/>
          <w:sz w:val="18"/>
          <w:szCs w:val="18"/>
        </w:rPr>
        <w:t>Proof Committee Hansard</w:t>
      </w:r>
      <w:r w:rsidR="00024742" w:rsidRPr="009E79C3">
        <w:rPr>
          <w:sz w:val="18"/>
          <w:szCs w:val="18"/>
        </w:rPr>
        <w:t>, 8</w:t>
      </w:r>
      <w:r w:rsidR="00024742">
        <w:rPr>
          <w:sz w:val="18"/>
          <w:szCs w:val="18"/>
        </w:rPr>
        <w:t> </w:t>
      </w:r>
      <w:r w:rsidR="00024742" w:rsidRPr="009E79C3">
        <w:rPr>
          <w:sz w:val="18"/>
          <w:szCs w:val="18"/>
        </w:rPr>
        <w:t xml:space="preserve">November 2022, p </w:t>
      </w:r>
      <w:r w:rsidR="00024742">
        <w:rPr>
          <w:sz w:val="18"/>
          <w:szCs w:val="18"/>
        </w:rPr>
        <w:t>107.</w:t>
      </w:r>
      <w:r w:rsidR="00024742">
        <w:rPr>
          <w:sz w:val="18"/>
          <w:szCs w:val="18"/>
        </w:rPr>
        <w:tab/>
      </w:r>
    </w:p>
  </w:footnote>
  <w:footnote w:id="182">
    <w:p w14:paraId="47C89D44" w14:textId="0076C9CE" w:rsidR="00F13867" w:rsidRPr="00024742" w:rsidRDefault="00F13867">
      <w:pPr>
        <w:pStyle w:val="FootnoteText"/>
        <w:rPr>
          <w:sz w:val="18"/>
          <w:szCs w:val="18"/>
        </w:rPr>
      </w:pPr>
      <w:r w:rsidRPr="00024742">
        <w:rPr>
          <w:rStyle w:val="FootnoteReference"/>
          <w:sz w:val="18"/>
          <w:szCs w:val="18"/>
        </w:rPr>
        <w:footnoteRef/>
      </w:r>
      <w:r w:rsidRPr="00024742">
        <w:rPr>
          <w:sz w:val="18"/>
          <w:szCs w:val="18"/>
        </w:rPr>
        <w:t xml:space="preserve"> </w:t>
      </w:r>
      <w:r w:rsidR="00024742">
        <w:rPr>
          <w:sz w:val="18"/>
          <w:szCs w:val="18"/>
        </w:rPr>
        <w:t xml:space="preserve">Mr Bruce Fitzgerald, Executive Group Manager, Infrastructure Delivery and Waste, TCCS, </w:t>
      </w:r>
      <w:r w:rsidR="00024742" w:rsidRPr="009E79C3">
        <w:rPr>
          <w:i/>
          <w:iCs/>
          <w:sz w:val="18"/>
          <w:szCs w:val="18"/>
        </w:rPr>
        <w:t>Proof Committee Hansard</w:t>
      </w:r>
      <w:r w:rsidR="00024742" w:rsidRPr="009E79C3">
        <w:rPr>
          <w:sz w:val="18"/>
          <w:szCs w:val="18"/>
        </w:rPr>
        <w:t>, 8</w:t>
      </w:r>
      <w:r w:rsidR="00024742">
        <w:rPr>
          <w:sz w:val="18"/>
          <w:szCs w:val="18"/>
        </w:rPr>
        <w:t> </w:t>
      </w:r>
      <w:r w:rsidR="00024742" w:rsidRPr="009E79C3">
        <w:rPr>
          <w:sz w:val="18"/>
          <w:szCs w:val="18"/>
        </w:rPr>
        <w:t xml:space="preserve">November 2022, p </w:t>
      </w:r>
      <w:r w:rsidR="00024742">
        <w:rPr>
          <w:sz w:val="18"/>
          <w:szCs w:val="18"/>
        </w:rPr>
        <w:t>107.</w:t>
      </w:r>
      <w:r w:rsidR="00024742">
        <w:rPr>
          <w:sz w:val="18"/>
          <w:szCs w:val="18"/>
        </w:rPr>
        <w:tab/>
      </w:r>
    </w:p>
  </w:footnote>
  <w:footnote w:id="183">
    <w:p w14:paraId="32F1CEC4" w14:textId="6BAAF87D" w:rsidR="00A8267F" w:rsidRPr="00C7339F" w:rsidRDefault="00A8267F" w:rsidP="00A8267F">
      <w:pPr>
        <w:pStyle w:val="FootnoteText"/>
        <w:rPr>
          <w:sz w:val="18"/>
          <w:szCs w:val="18"/>
        </w:rPr>
      </w:pPr>
      <w:r w:rsidRPr="00C7339F">
        <w:rPr>
          <w:rStyle w:val="FootnoteReference"/>
          <w:sz w:val="18"/>
          <w:szCs w:val="18"/>
        </w:rPr>
        <w:footnoteRef/>
      </w:r>
      <w:r w:rsidRPr="00C7339F">
        <w:rPr>
          <w:sz w:val="18"/>
          <w:szCs w:val="18"/>
        </w:rPr>
        <w:t xml:space="preserve"> Mr Chris Steel MLA, Minister for Transport and City Services,</w:t>
      </w:r>
      <w:r w:rsidR="00756033" w:rsidRPr="00C7339F">
        <w:rPr>
          <w:sz w:val="18"/>
          <w:szCs w:val="18"/>
        </w:rPr>
        <w:t xml:space="preserve"> </w:t>
      </w:r>
      <w:r w:rsidR="00756033" w:rsidRPr="00C7339F">
        <w:rPr>
          <w:i/>
          <w:iCs/>
          <w:sz w:val="18"/>
          <w:szCs w:val="18"/>
        </w:rPr>
        <w:t>Proof</w:t>
      </w:r>
      <w:r w:rsidRPr="00C7339F">
        <w:rPr>
          <w:i/>
          <w:iCs/>
          <w:sz w:val="18"/>
          <w:szCs w:val="18"/>
        </w:rPr>
        <w:t xml:space="preserve"> Committee Hansard</w:t>
      </w:r>
      <w:r w:rsidRPr="00C7339F">
        <w:rPr>
          <w:sz w:val="18"/>
          <w:szCs w:val="18"/>
        </w:rPr>
        <w:t>, 8 November 2022, p 86.</w:t>
      </w:r>
    </w:p>
  </w:footnote>
  <w:footnote w:id="184">
    <w:p w14:paraId="086325E5" w14:textId="24C22D97" w:rsidR="00A8267F" w:rsidRPr="00C7339F" w:rsidRDefault="00A8267F" w:rsidP="00A8267F">
      <w:pPr>
        <w:pStyle w:val="FootnoteText"/>
        <w:rPr>
          <w:sz w:val="18"/>
          <w:szCs w:val="18"/>
        </w:rPr>
      </w:pPr>
      <w:r w:rsidRPr="00C7339F">
        <w:rPr>
          <w:rStyle w:val="FootnoteReference"/>
          <w:sz w:val="18"/>
          <w:szCs w:val="18"/>
        </w:rPr>
        <w:footnoteRef/>
      </w:r>
      <w:r w:rsidRPr="00C7339F">
        <w:rPr>
          <w:sz w:val="18"/>
          <w:szCs w:val="18"/>
        </w:rPr>
        <w:t xml:space="preserve"> </w:t>
      </w:r>
      <w:r w:rsidR="00756033" w:rsidRPr="00C7339F">
        <w:rPr>
          <w:i/>
          <w:iCs/>
          <w:sz w:val="18"/>
          <w:szCs w:val="18"/>
        </w:rPr>
        <w:t xml:space="preserve">Proof </w:t>
      </w:r>
      <w:r w:rsidRPr="00C7339F">
        <w:rPr>
          <w:i/>
          <w:iCs/>
          <w:sz w:val="18"/>
          <w:szCs w:val="18"/>
        </w:rPr>
        <w:t>Committee Hansard</w:t>
      </w:r>
      <w:r w:rsidRPr="00C7339F">
        <w:rPr>
          <w:sz w:val="18"/>
          <w:szCs w:val="18"/>
        </w:rPr>
        <w:t xml:space="preserve">, 8 November 2022, p 87; </w:t>
      </w:r>
      <w:r w:rsidR="0095674D" w:rsidRPr="00C7339F">
        <w:rPr>
          <w:sz w:val="18"/>
          <w:szCs w:val="18"/>
        </w:rPr>
        <w:t xml:space="preserve">Transport Canberra and City Services, </w:t>
      </w:r>
      <w:hyperlink r:id="rId38" w:history="1">
        <w:r w:rsidR="0095674D" w:rsidRPr="00613237">
          <w:rPr>
            <w:rStyle w:val="Hyperlink"/>
            <w:i/>
            <w:iCs/>
            <w:sz w:val="18"/>
            <w:szCs w:val="18"/>
          </w:rPr>
          <w:t>Annual Report 2</w:t>
        </w:r>
        <w:r w:rsidR="00613237" w:rsidRPr="00613237">
          <w:rPr>
            <w:rStyle w:val="Hyperlink"/>
            <w:i/>
            <w:iCs/>
            <w:sz w:val="18"/>
            <w:szCs w:val="18"/>
          </w:rPr>
          <w:t>02</w:t>
        </w:r>
        <w:r w:rsidR="0095674D" w:rsidRPr="00613237">
          <w:rPr>
            <w:rStyle w:val="Hyperlink"/>
            <w:i/>
            <w:iCs/>
            <w:sz w:val="18"/>
            <w:szCs w:val="18"/>
          </w:rPr>
          <w:t>1-22</w:t>
        </w:r>
      </w:hyperlink>
      <w:r w:rsidR="0095674D" w:rsidRPr="00C7339F">
        <w:rPr>
          <w:sz w:val="18"/>
          <w:szCs w:val="18"/>
        </w:rPr>
        <w:t>, October 2022,</w:t>
      </w:r>
      <w:r w:rsidRPr="00C7339F">
        <w:rPr>
          <w:sz w:val="18"/>
          <w:szCs w:val="18"/>
        </w:rPr>
        <w:t xml:space="preserve"> p 27</w:t>
      </w:r>
      <w:r w:rsidR="00DC2687">
        <w:rPr>
          <w:sz w:val="18"/>
          <w:szCs w:val="18"/>
        </w:rPr>
        <w:t>.</w:t>
      </w:r>
    </w:p>
  </w:footnote>
  <w:footnote w:id="185">
    <w:p w14:paraId="2A383273" w14:textId="02577C0D" w:rsidR="00A8267F" w:rsidRPr="00C7339F" w:rsidRDefault="00A8267F">
      <w:pPr>
        <w:pStyle w:val="FootnoteText"/>
        <w:rPr>
          <w:sz w:val="18"/>
          <w:szCs w:val="18"/>
        </w:rPr>
      </w:pPr>
      <w:r w:rsidRPr="00C7339F">
        <w:rPr>
          <w:rStyle w:val="FootnoteReference"/>
          <w:sz w:val="18"/>
          <w:szCs w:val="18"/>
        </w:rPr>
        <w:footnoteRef/>
      </w:r>
      <w:r w:rsidRPr="00C7339F">
        <w:rPr>
          <w:sz w:val="18"/>
          <w:szCs w:val="18"/>
        </w:rPr>
        <w:t xml:space="preserve"> Mr Ben McHugh,</w:t>
      </w:r>
      <w:r w:rsidR="00756033" w:rsidRPr="00C7339F">
        <w:rPr>
          <w:sz w:val="18"/>
          <w:szCs w:val="18"/>
        </w:rPr>
        <w:t xml:space="preserve"> Deputy Director-General, </w:t>
      </w:r>
      <w:r w:rsidRPr="00C7339F">
        <w:rPr>
          <w:sz w:val="18"/>
          <w:szCs w:val="18"/>
        </w:rPr>
        <w:t>T</w:t>
      </w:r>
      <w:r w:rsidR="00756033" w:rsidRPr="00C7339F">
        <w:rPr>
          <w:sz w:val="18"/>
          <w:szCs w:val="18"/>
        </w:rPr>
        <w:t xml:space="preserve">ransport </w:t>
      </w:r>
      <w:r w:rsidRPr="00C7339F">
        <w:rPr>
          <w:sz w:val="18"/>
          <w:szCs w:val="18"/>
        </w:rPr>
        <w:t>C</w:t>
      </w:r>
      <w:r w:rsidR="00756033" w:rsidRPr="00C7339F">
        <w:rPr>
          <w:sz w:val="18"/>
          <w:szCs w:val="18"/>
        </w:rPr>
        <w:t xml:space="preserve">anberra and </w:t>
      </w:r>
      <w:r w:rsidR="00DC2687">
        <w:rPr>
          <w:sz w:val="18"/>
          <w:szCs w:val="18"/>
        </w:rPr>
        <w:t>Business Services, TCCS</w:t>
      </w:r>
      <w:r w:rsidRPr="00C7339F">
        <w:rPr>
          <w:sz w:val="18"/>
          <w:szCs w:val="18"/>
        </w:rPr>
        <w:t xml:space="preserve">, </w:t>
      </w:r>
      <w:r w:rsidR="00756033" w:rsidRPr="00C7339F">
        <w:rPr>
          <w:i/>
          <w:iCs/>
          <w:sz w:val="18"/>
          <w:szCs w:val="18"/>
        </w:rPr>
        <w:t xml:space="preserve">Proof </w:t>
      </w:r>
      <w:r w:rsidRPr="00C7339F">
        <w:rPr>
          <w:i/>
          <w:iCs/>
          <w:sz w:val="18"/>
          <w:szCs w:val="18"/>
        </w:rPr>
        <w:t>Committee Hansard</w:t>
      </w:r>
      <w:r w:rsidRPr="00C7339F">
        <w:rPr>
          <w:sz w:val="18"/>
          <w:szCs w:val="18"/>
        </w:rPr>
        <w:t>, 8 November 2022, p 88.</w:t>
      </w:r>
    </w:p>
  </w:footnote>
  <w:footnote w:id="186">
    <w:p w14:paraId="01D898BF" w14:textId="0FF5FA67" w:rsidR="00254053" w:rsidRPr="00C7339F" w:rsidRDefault="00254053">
      <w:pPr>
        <w:pStyle w:val="FootnoteText"/>
        <w:rPr>
          <w:sz w:val="18"/>
          <w:szCs w:val="18"/>
        </w:rPr>
      </w:pPr>
      <w:r w:rsidRPr="00C7339F">
        <w:rPr>
          <w:rStyle w:val="FootnoteReference"/>
          <w:sz w:val="18"/>
          <w:szCs w:val="18"/>
        </w:rPr>
        <w:footnoteRef/>
      </w:r>
      <w:r w:rsidRPr="00C7339F">
        <w:rPr>
          <w:sz w:val="18"/>
          <w:szCs w:val="18"/>
        </w:rPr>
        <w:t xml:space="preserve"> Mr Ben McHugh, </w:t>
      </w:r>
      <w:r w:rsidR="00756033" w:rsidRPr="00C7339F">
        <w:rPr>
          <w:sz w:val="18"/>
          <w:szCs w:val="18"/>
        </w:rPr>
        <w:t xml:space="preserve">Deputy Director-General, </w:t>
      </w:r>
      <w:r w:rsidRPr="00C7339F">
        <w:rPr>
          <w:sz w:val="18"/>
          <w:szCs w:val="18"/>
        </w:rPr>
        <w:t>T</w:t>
      </w:r>
      <w:r w:rsidR="00756033" w:rsidRPr="00C7339F">
        <w:rPr>
          <w:sz w:val="18"/>
          <w:szCs w:val="18"/>
        </w:rPr>
        <w:t xml:space="preserve">ransport </w:t>
      </w:r>
      <w:r w:rsidRPr="00C7339F">
        <w:rPr>
          <w:sz w:val="18"/>
          <w:szCs w:val="18"/>
        </w:rPr>
        <w:t>C</w:t>
      </w:r>
      <w:r w:rsidR="00756033" w:rsidRPr="00C7339F">
        <w:rPr>
          <w:sz w:val="18"/>
          <w:szCs w:val="18"/>
        </w:rPr>
        <w:t xml:space="preserve">anberra </w:t>
      </w:r>
      <w:r w:rsidR="00DC2687">
        <w:rPr>
          <w:sz w:val="18"/>
          <w:szCs w:val="18"/>
        </w:rPr>
        <w:t>and Business Services, TCCS</w:t>
      </w:r>
      <w:r w:rsidRPr="00C7339F">
        <w:rPr>
          <w:sz w:val="18"/>
          <w:szCs w:val="18"/>
        </w:rPr>
        <w:t xml:space="preserve">, </w:t>
      </w:r>
      <w:r w:rsidR="00756033" w:rsidRPr="00C7339F">
        <w:rPr>
          <w:i/>
          <w:iCs/>
          <w:sz w:val="18"/>
          <w:szCs w:val="18"/>
        </w:rPr>
        <w:t xml:space="preserve">Proof </w:t>
      </w:r>
      <w:r w:rsidRPr="00C7339F">
        <w:rPr>
          <w:i/>
          <w:iCs/>
          <w:sz w:val="18"/>
          <w:szCs w:val="18"/>
        </w:rPr>
        <w:t>Committee Hansard</w:t>
      </w:r>
      <w:r w:rsidRPr="00C7339F">
        <w:rPr>
          <w:sz w:val="18"/>
          <w:szCs w:val="18"/>
        </w:rPr>
        <w:t>, 8 November 2022, p 88.</w:t>
      </w:r>
    </w:p>
  </w:footnote>
  <w:footnote w:id="187">
    <w:p w14:paraId="012F6FCB" w14:textId="7D3ECA2E" w:rsidR="00C7079C" w:rsidRPr="00C7339F" w:rsidRDefault="00C7079C">
      <w:pPr>
        <w:pStyle w:val="FootnoteText"/>
        <w:rPr>
          <w:sz w:val="18"/>
          <w:szCs w:val="18"/>
        </w:rPr>
      </w:pPr>
      <w:r w:rsidRPr="00C7339F">
        <w:rPr>
          <w:rStyle w:val="FootnoteReference"/>
          <w:sz w:val="18"/>
          <w:szCs w:val="18"/>
        </w:rPr>
        <w:footnoteRef/>
      </w:r>
      <w:r w:rsidRPr="00C7339F">
        <w:rPr>
          <w:sz w:val="18"/>
          <w:szCs w:val="18"/>
        </w:rPr>
        <w:t xml:space="preserve"> T</w:t>
      </w:r>
      <w:r w:rsidR="0095674D" w:rsidRPr="00C7339F">
        <w:rPr>
          <w:sz w:val="18"/>
          <w:szCs w:val="18"/>
        </w:rPr>
        <w:t xml:space="preserve">ransport Canberra and City Services, </w:t>
      </w:r>
      <w:hyperlink r:id="rId39" w:history="1">
        <w:r w:rsidRPr="00613237">
          <w:rPr>
            <w:rStyle w:val="Hyperlink"/>
            <w:i/>
            <w:iCs/>
            <w:sz w:val="18"/>
            <w:szCs w:val="18"/>
          </w:rPr>
          <w:t xml:space="preserve">Annual Report </w:t>
        </w:r>
        <w:r w:rsidR="00613237">
          <w:rPr>
            <w:rStyle w:val="Hyperlink"/>
            <w:i/>
            <w:iCs/>
            <w:sz w:val="18"/>
            <w:szCs w:val="18"/>
          </w:rPr>
          <w:t>20</w:t>
        </w:r>
        <w:r w:rsidRPr="00613237">
          <w:rPr>
            <w:rStyle w:val="Hyperlink"/>
            <w:i/>
            <w:iCs/>
            <w:sz w:val="18"/>
            <w:szCs w:val="18"/>
          </w:rPr>
          <w:t>21-22</w:t>
        </w:r>
      </w:hyperlink>
      <w:r w:rsidRPr="00C7339F">
        <w:rPr>
          <w:sz w:val="18"/>
          <w:szCs w:val="18"/>
        </w:rPr>
        <w:t xml:space="preserve">, </w:t>
      </w:r>
      <w:r w:rsidR="0095674D" w:rsidRPr="00C7339F">
        <w:rPr>
          <w:sz w:val="18"/>
          <w:szCs w:val="18"/>
        </w:rPr>
        <w:t xml:space="preserve">October 2022, </w:t>
      </w:r>
      <w:r w:rsidRPr="00C7339F">
        <w:rPr>
          <w:sz w:val="18"/>
          <w:szCs w:val="18"/>
        </w:rPr>
        <w:t>p 28</w:t>
      </w:r>
      <w:r w:rsidR="0095674D" w:rsidRPr="00C7339F">
        <w:rPr>
          <w:sz w:val="18"/>
          <w:szCs w:val="18"/>
        </w:rPr>
        <w:t>.</w:t>
      </w:r>
    </w:p>
  </w:footnote>
  <w:footnote w:id="188">
    <w:p w14:paraId="511E4C4E" w14:textId="4B83A837" w:rsidR="000137CD" w:rsidRPr="00C7339F" w:rsidRDefault="000137CD">
      <w:pPr>
        <w:pStyle w:val="FootnoteText"/>
        <w:rPr>
          <w:sz w:val="18"/>
          <w:szCs w:val="18"/>
        </w:rPr>
      </w:pPr>
      <w:r w:rsidRPr="00C7339F">
        <w:rPr>
          <w:rStyle w:val="FootnoteReference"/>
          <w:sz w:val="18"/>
          <w:szCs w:val="18"/>
        </w:rPr>
        <w:footnoteRef/>
      </w:r>
      <w:r w:rsidRPr="00C7339F">
        <w:rPr>
          <w:sz w:val="18"/>
          <w:szCs w:val="18"/>
        </w:rPr>
        <w:t xml:space="preserve"> ACT Government, </w:t>
      </w:r>
      <w:r w:rsidRPr="00C7339F">
        <w:rPr>
          <w:i/>
          <w:iCs/>
          <w:sz w:val="18"/>
          <w:szCs w:val="18"/>
        </w:rPr>
        <w:t>Administrative Arrangements 2022 (No 2)</w:t>
      </w:r>
      <w:r w:rsidRPr="00C7339F">
        <w:rPr>
          <w:sz w:val="18"/>
          <w:szCs w:val="18"/>
        </w:rPr>
        <w:t xml:space="preserve"> </w:t>
      </w:r>
      <w:hyperlink r:id="rId40" w:history="1">
        <w:r w:rsidRPr="00C7339F">
          <w:rPr>
            <w:rStyle w:val="Hyperlink"/>
            <w:sz w:val="18"/>
            <w:szCs w:val="18"/>
          </w:rPr>
          <w:t>https://legislation.act.gov.au/View/ni/2022-697/current/html/2022-697.html</w:t>
        </w:r>
      </w:hyperlink>
      <w:r w:rsidRPr="00C7339F">
        <w:rPr>
          <w:sz w:val="18"/>
          <w:szCs w:val="18"/>
        </w:rPr>
        <w:t xml:space="preserve"> (accessed 23 January 2023).</w:t>
      </w:r>
    </w:p>
  </w:footnote>
  <w:footnote w:id="189">
    <w:p w14:paraId="329942F8" w14:textId="0E05141F" w:rsidR="000137CD" w:rsidRPr="00C7339F" w:rsidRDefault="000137CD" w:rsidP="000137CD">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7 November 2022, pp 71–72 .</w:t>
      </w:r>
    </w:p>
  </w:footnote>
  <w:footnote w:id="190">
    <w:p w14:paraId="4F1463DB" w14:textId="25C267BE" w:rsidR="000137CD" w:rsidRPr="000137CD" w:rsidRDefault="000137CD">
      <w:pPr>
        <w:pStyle w:val="FootnoteText"/>
        <w:rPr>
          <w:sz w:val="18"/>
          <w:szCs w:val="18"/>
        </w:rPr>
      </w:pPr>
      <w:r w:rsidRPr="00C7339F">
        <w:rPr>
          <w:rStyle w:val="FootnoteReference"/>
          <w:sz w:val="18"/>
          <w:szCs w:val="18"/>
        </w:rPr>
        <w:footnoteRef/>
      </w:r>
      <w:r w:rsidRPr="00C7339F">
        <w:rPr>
          <w:sz w:val="18"/>
          <w:szCs w:val="18"/>
        </w:rPr>
        <w:t xml:space="preserve"> </w:t>
      </w:r>
      <w:r w:rsidRPr="00C7339F">
        <w:rPr>
          <w:i/>
          <w:iCs/>
          <w:sz w:val="18"/>
          <w:szCs w:val="18"/>
        </w:rPr>
        <w:t>Proof Committee Hansard</w:t>
      </w:r>
      <w:r w:rsidRPr="00C7339F">
        <w:rPr>
          <w:sz w:val="18"/>
          <w:szCs w:val="18"/>
        </w:rPr>
        <w:t>, 7 November 2022, p 74.</w:t>
      </w:r>
    </w:p>
  </w:footnote>
  <w:footnote w:id="191">
    <w:p w14:paraId="5DB6D3FA" w14:textId="21B8B15C" w:rsidR="000137CD" w:rsidRDefault="000137CD">
      <w:pPr>
        <w:pStyle w:val="FootnoteText"/>
      </w:pPr>
      <w:r w:rsidRPr="000137CD">
        <w:rPr>
          <w:rStyle w:val="FootnoteReference"/>
          <w:sz w:val="18"/>
          <w:szCs w:val="18"/>
        </w:rPr>
        <w:footnoteRef/>
      </w:r>
      <w:r>
        <w:t xml:space="preserve"> </w:t>
      </w:r>
      <w:r w:rsidRPr="000137CD">
        <w:rPr>
          <w:i/>
          <w:iCs/>
          <w:sz w:val="18"/>
          <w:szCs w:val="18"/>
        </w:rPr>
        <w:t>Proof Committee Hansard</w:t>
      </w:r>
      <w:r w:rsidRPr="000137CD">
        <w:rPr>
          <w:sz w:val="18"/>
          <w:szCs w:val="18"/>
        </w:rPr>
        <w:t>, 7 November 2022, p</w:t>
      </w:r>
      <w:r>
        <w:rPr>
          <w:sz w:val="18"/>
          <w:szCs w:val="18"/>
        </w:rPr>
        <w:t xml:space="preserve"> 75</w:t>
      </w:r>
      <w:r w:rsidRPr="000137CD">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56A9E" w14:textId="77777777" w:rsidR="005B5DE9" w:rsidRPr="00C02510" w:rsidRDefault="005B5DE9" w:rsidP="008B350E">
    <w:pPr>
      <w:pStyle w:val="Header"/>
      <w:jc w:val="center"/>
      <w:rPr>
        <w:color w:val="1A234C"/>
      </w:rPr>
    </w:pPr>
  </w:p>
  <w:p w14:paraId="73381BBE" w14:textId="77777777" w:rsidR="005B5DE9" w:rsidRPr="00917B49" w:rsidRDefault="005B5DE9" w:rsidP="00917B49">
    <w:pPr>
      <w:pStyle w:val="Cover-Assemblyname"/>
    </w:pPr>
    <w:r>
      <w:rPr>
        <w:rFonts w:ascii="Arial" w:hAnsi="Arial"/>
        <w:noProof/>
        <w:color w:val="000000" w:themeColor="text1"/>
      </w:rPr>
      <w:drawing>
        <wp:anchor distT="0" distB="0" distL="114300" distR="114300" simplePos="0" relativeHeight="251659264" behindDoc="1" locked="0" layoutInCell="1" allowOverlap="1" wp14:anchorId="78CB1375" wp14:editId="21B66B10">
          <wp:simplePos x="0" y="0"/>
          <wp:positionH relativeFrom="margin">
            <wp:align>left</wp:align>
          </wp:positionH>
          <wp:positionV relativeFrom="page">
            <wp:posOffset>853441</wp:posOffset>
          </wp:positionV>
          <wp:extent cx="839349" cy="838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screen">
                    <a:extLst>
                      <a:ext uri="{28A0092B-C50C-407E-A947-70E740481C1C}">
                        <a14:useLocalDpi xmlns:a14="http://schemas.microsoft.com/office/drawing/2010/main"/>
                      </a:ext>
                    </a:extLst>
                  </a:blip>
                  <a:stretch>
                    <a:fillRect/>
                  </a:stretch>
                </pic:blipFill>
                <pic:spPr>
                  <a:xfrm>
                    <a:off x="0" y="0"/>
                    <a:ext cx="839349" cy="838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olor w:val="000000" w:themeColor="text1"/>
      </w:rPr>
      <w:br/>
    </w:r>
    <w:r w:rsidRPr="00917B49">
      <w:t>Legislative Assembly for the</w:t>
    </w:r>
  </w:p>
  <w:p w14:paraId="4A8D3AE3" w14:textId="77777777" w:rsidR="005B5DE9" w:rsidRPr="00917B49" w:rsidRDefault="005B5DE9" w:rsidP="00917B49">
    <w:pPr>
      <w:pStyle w:val="Cover-Assemblyname"/>
    </w:pPr>
    <w:r w:rsidRPr="00917B49">
      <w:t>Australian Capital Territory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E21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7E40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178A7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48CD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7E4D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0621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BA3F9E"/>
    <w:lvl w:ilvl="0">
      <w:start w:val="1"/>
      <w:numFmt w:val="bullet"/>
      <w:lvlText w:val=""/>
      <w:lvlJc w:val="left"/>
      <w:pPr>
        <w:ind w:left="926" w:hanging="360"/>
      </w:pPr>
      <w:rPr>
        <w:rFonts w:ascii="Symbol" w:hAnsi="Symbol" w:hint="default"/>
        <w:color w:val="9DB4DC"/>
      </w:rPr>
    </w:lvl>
  </w:abstractNum>
  <w:abstractNum w:abstractNumId="7" w15:restartNumberingAfterBreak="0">
    <w:nsid w:val="FFFFFF83"/>
    <w:multiLevelType w:val="singleLevel"/>
    <w:tmpl w:val="2CAE53A8"/>
    <w:lvl w:ilvl="0">
      <w:start w:val="1"/>
      <w:numFmt w:val="bullet"/>
      <w:lvlText w:val=""/>
      <w:lvlJc w:val="left"/>
      <w:pPr>
        <w:ind w:left="643" w:hanging="360"/>
      </w:pPr>
      <w:rPr>
        <w:rFonts w:ascii="Symbol" w:hAnsi="Symbol" w:hint="default"/>
        <w:color w:val="7492CD"/>
      </w:rPr>
    </w:lvl>
  </w:abstractNum>
  <w:abstractNum w:abstractNumId="8" w15:restartNumberingAfterBreak="0">
    <w:nsid w:val="FFFFFF88"/>
    <w:multiLevelType w:val="singleLevel"/>
    <w:tmpl w:val="DDA800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B6F3F0"/>
    <w:lvl w:ilvl="0">
      <w:start w:val="1"/>
      <w:numFmt w:val="bullet"/>
      <w:lvlText w:val=""/>
      <w:lvlJc w:val="left"/>
      <w:pPr>
        <w:ind w:left="360" w:hanging="360"/>
      </w:pPr>
      <w:rPr>
        <w:rFonts w:ascii="Symbol" w:hAnsi="Symbol" w:hint="default"/>
        <w:color w:val="2F5496"/>
      </w:rPr>
    </w:lvl>
  </w:abstractNum>
  <w:abstractNum w:abstractNumId="10" w15:restartNumberingAfterBreak="0">
    <w:nsid w:val="00305E81"/>
    <w:multiLevelType w:val="hybridMultilevel"/>
    <w:tmpl w:val="9404F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905FCE"/>
    <w:multiLevelType w:val="multilevel"/>
    <w:tmpl w:val="699AC34A"/>
    <w:lvl w:ilvl="0">
      <w:start w:val="1"/>
      <w:numFmt w:val="decimal"/>
      <w:pStyle w:val="Heading1"/>
      <w:lvlText w:val="%1."/>
      <w:lvlJc w:val="left"/>
      <w:pPr>
        <w:ind w:left="851" w:hanging="851"/>
      </w:pPr>
      <w:rPr>
        <w:rFonts w:hint="default"/>
      </w:rPr>
    </w:lvl>
    <w:lvl w:ilvl="1">
      <w:start w:val="1"/>
      <w:numFmt w:val="decimal"/>
      <w:pStyle w:val="ListNumber2"/>
      <w:lvlText w:val="%1.%2."/>
      <w:lvlJc w:val="left"/>
      <w:pPr>
        <w:ind w:left="851" w:hanging="851"/>
      </w:pPr>
      <w:rPr>
        <w:rFonts w:asciiTheme="minorHAnsi" w:hAnsiTheme="minorHAnsi" w:hint="default"/>
        <w:sz w:val="22"/>
      </w:rPr>
    </w:lvl>
    <w:lvl w:ilvl="2">
      <w:start w:val="1"/>
      <w:numFmt w:val="lowerLetter"/>
      <w:pStyle w:val="ListNumber3"/>
      <w:lvlText w:val="%3)"/>
      <w:lvlJc w:val="left"/>
      <w:pPr>
        <w:ind w:left="1418" w:hanging="567"/>
      </w:pPr>
      <w:rPr>
        <w:rFonts w:hint="default"/>
      </w:rPr>
    </w:lvl>
    <w:lvl w:ilvl="3">
      <w:start w:val="1"/>
      <w:numFmt w:val="lowerRoman"/>
      <w:pStyle w:val="ListNumber4"/>
      <w:lvlText w:val="%4)"/>
      <w:lvlJc w:val="left"/>
      <w:pPr>
        <w:ind w:left="1985" w:hanging="567"/>
      </w:pPr>
      <w:rPr>
        <w:rFonts w:hint="default"/>
      </w:rPr>
    </w:lvl>
    <w:lvl w:ilvl="4">
      <w:start w:val="1"/>
      <w:numFmt w:val="decimal"/>
      <w:pStyle w:val="ListNumber5"/>
      <w:lvlText w:val="%5)"/>
      <w:lvlJc w:val="left"/>
      <w:pPr>
        <w:ind w:left="2552" w:hanging="567"/>
      </w:pPr>
      <w:rPr>
        <w:rFonts w:hint="default"/>
      </w:rPr>
    </w:lvl>
    <w:lvl w:ilvl="5">
      <w:start w:val="1"/>
      <w:numFmt w:val="upperLetter"/>
      <w:lvlText w:val="%6)"/>
      <w:lvlJc w:val="left"/>
      <w:pPr>
        <w:ind w:left="3119" w:hanging="567"/>
      </w:pPr>
      <w:rPr>
        <w:rFonts w:hint="default"/>
      </w:rPr>
    </w:lvl>
    <w:lvl w:ilvl="6">
      <w:start w:val="1"/>
      <w:numFmt w:val="upperRoman"/>
      <w:lvlText w:val="%7)"/>
      <w:lvlJc w:val="left"/>
      <w:pPr>
        <w:ind w:left="3686" w:hanging="567"/>
      </w:pPr>
      <w:rPr>
        <w:rFonts w:hint="default"/>
      </w:rPr>
    </w:lvl>
    <w:lvl w:ilvl="7">
      <w:start w:val="1"/>
      <w:numFmt w:val="none"/>
      <w:lvlText w:val=""/>
      <w:lvlJc w:val="left"/>
      <w:pPr>
        <w:ind w:left="1701" w:hanging="1701"/>
      </w:pPr>
      <w:rPr>
        <w:rFonts w:hint="default"/>
      </w:rPr>
    </w:lvl>
    <w:lvl w:ilvl="8">
      <w:start w:val="1"/>
      <w:numFmt w:val="none"/>
      <w:lvlText w:val=""/>
      <w:lvlJc w:val="left"/>
      <w:pPr>
        <w:ind w:left="1701" w:hanging="1701"/>
      </w:pPr>
      <w:rPr>
        <w:rFonts w:hint="default"/>
      </w:rPr>
    </w:lvl>
  </w:abstractNum>
  <w:abstractNum w:abstractNumId="12" w15:restartNumberingAfterBreak="0">
    <w:nsid w:val="083223A7"/>
    <w:multiLevelType w:val="hybridMultilevel"/>
    <w:tmpl w:val="DBC820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93261DA"/>
    <w:multiLevelType w:val="hybridMultilevel"/>
    <w:tmpl w:val="6F4EA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D5F20E9"/>
    <w:multiLevelType w:val="multilevel"/>
    <w:tmpl w:val="C2BAF334"/>
    <w:lvl w:ilvl="0">
      <w:start w:val="1"/>
      <w:numFmt w:val="bullet"/>
      <w:lvlText w:val=""/>
      <w:lvlJc w:val="left"/>
      <w:pPr>
        <w:ind w:left="340" w:hanging="340"/>
      </w:pPr>
      <w:rPr>
        <w:rFonts w:ascii="Symbol" w:hAnsi="Symbol" w:hint="default"/>
        <w:b w:val="0"/>
        <w:i w:val="0"/>
        <w:color w:val="2F5496"/>
      </w:rPr>
    </w:lvl>
    <w:lvl w:ilvl="1">
      <w:start w:val="1"/>
      <w:numFmt w:val="bullet"/>
      <w:lvlText w:val=""/>
      <w:lvlJc w:val="left"/>
      <w:pPr>
        <w:ind w:left="720" w:hanging="360"/>
      </w:pPr>
      <w:rPr>
        <w:rFonts w:ascii="Symbol" w:hAnsi="Symbol" w:hint="default"/>
        <w:color w:val="7492CD"/>
      </w:rPr>
    </w:lvl>
    <w:lvl w:ilvl="2">
      <w:start w:val="1"/>
      <w:numFmt w:val="bullet"/>
      <w:lvlText w:val=""/>
      <w:lvlJc w:val="left"/>
      <w:pPr>
        <w:ind w:left="1080" w:hanging="360"/>
      </w:pPr>
      <w:rPr>
        <w:rFonts w:ascii="Symbol" w:hAnsi="Symbol" w:hint="default"/>
        <w:color w:val="9DB4DC"/>
      </w:rPr>
    </w:lvl>
    <w:lvl w:ilvl="3">
      <w:start w:val="1"/>
      <w:numFmt w:val="bullet"/>
      <w:lvlText w:val=""/>
      <w:lvlJc w:val="left"/>
      <w:pPr>
        <w:ind w:left="1440" w:hanging="360"/>
      </w:pPr>
      <w:rPr>
        <w:rFonts w:ascii="Symbol" w:hAnsi="Symbol" w:hint="default"/>
        <w:b w:val="0"/>
        <w:i w:val="0"/>
        <w:color w:val="2F5496"/>
      </w:rPr>
    </w:lvl>
    <w:lvl w:ilvl="4">
      <w:start w:val="1"/>
      <w:numFmt w:val="bullet"/>
      <w:lvlText w:val=""/>
      <w:lvlJc w:val="left"/>
      <w:pPr>
        <w:ind w:left="1800" w:hanging="360"/>
      </w:pPr>
      <w:rPr>
        <w:rFonts w:ascii="Symbol" w:hAnsi="Symbol" w:hint="default"/>
        <w:color w:val="7492CD"/>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DC43791"/>
    <w:multiLevelType w:val="hybridMultilevel"/>
    <w:tmpl w:val="461E3B7E"/>
    <w:lvl w:ilvl="0" w:tplc="ED5CAC1E">
      <w:start w:val="1"/>
      <w:numFmt w:val="bullet"/>
      <w:lvlText w:val=""/>
      <w:lvlJc w:val="left"/>
      <w:pPr>
        <w:ind w:left="720" w:hanging="360"/>
      </w:pPr>
      <w:rPr>
        <w:rFonts w:ascii="Symbol" w:hAnsi="Symbol" w:hint="default"/>
        <w:color w:val="2F5496" w:themeColor="accent1"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1580BC9"/>
    <w:multiLevelType w:val="hybridMultilevel"/>
    <w:tmpl w:val="B9127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3CC3135"/>
    <w:multiLevelType w:val="hybridMultilevel"/>
    <w:tmpl w:val="F8A6C1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55D3E30"/>
    <w:multiLevelType w:val="hybridMultilevel"/>
    <w:tmpl w:val="8742909E"/>
    <w:lvl w:ilvl="0" w:tplc="35AC8BA6">
      <w:start w:val="1"/>
      <w:numFmt w:val="bullet"/>
      <w:lvlText w:val=""/>
      <w:lvlJc w:val="left"/>
      <w:pPr>
        <w:ind w:left="720" w:hanging="360"/>
      </w:pPr>
      <w:rPr>
        <w:rFonts w:ascii="Symbol" w:hAnsi="Symbol" w:hint="default"/>
        <w:color w:val="2F549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8033F0"/>
    <w:multiLevelType w:val="hybridMultilevel"/>
    <w:tmpl w:val="FE5A6FE2"/>
    <w:lvl w:ilvl="0" w:tplc="A7BC48CA">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0C17E3"/>
    <w:multiLevelType w:val="hybridMultilevel"/>
    <w:tmpl w:val="316AF90E"/>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1" w15:restartNumberingAfterBreak="0">
    <w:nsid w:val="3FED19D8"/>
    <w:multiLevelType w:val="hybridMultilevel"/>
    <w:tmpl w:val="4FC83E7C"/>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2" w15:restartNumberingAfterBreak="0">
    <w:nsid w:val="420F710C"/>
    <w:multiLevelType w:val="hybridMultilevel"/>
    <w:tmpl w:val="9098A7A2"/>
    <w:lvl w:ilvl="0" w:tplc="B99C332E">
      <w:start w:val="1"/>
      <w:numFmt w:val="bullet"/>
      <w:lvlText w:val=""/>
      <w:lvlJc w:val="left"/>
      <w:pPr>
        <w:ind w:left="720" w:hanging="360"/>
      </w:pPr>
      <w:rPr>
        <w:rFonts w:ascii="Symbol" w:hAnsi="Symbol" w:hint="default"/>
        <w:color w:val="2F5496"/>
      </w:rPr>
    </w:lvl>
    <w:lvl w:ilvl="1" w:tplc="F6B65186">
      <w:start w:val="1"/>
      <w:numFmt w:val="bullet"/>
      <w:lvlText w:val=""/>
      <w:lvlJc w:val="left"/>
      <w:pPr>
        <w:ind w:left="1440" w:hanging="360"/>
      </w:pPr>
      <w:rPr>
        <w:rFonts w:ascii="Symbol" w:hAnsi="Symbol" w:hint="default"/>
        <w:color w:val="7492CD"/>
      </w:rPr>
    </w:lvl>
    <w:lvl w:ilvl="2" w:tplc="C57E190E">
      <w:start w:val="1"/>
      <w:numFmt w:val="bullet"/>
      <w:lvlText w:val=""/>
      <w:lvlJc w:val="left"/>
      <w:pPr>
        <w:ind w:left="2160" w:hanging="360"/>
      </w:pPr>
      <w:rPr>
        <w:rFonts w:ascii="Symbol" w:hAnsi="Symbol" w:hint="default"/>
        <w:color w:val="9DB4DC"/>
      </w:rPr>
    </w:lvl>
    <w:lvl w:ilvl="3" w:tplc="0664A32A">
      <w:start w:val="1"/>
      <w:numFmt w:val="bullet"/>
      <w:lvlText w:val="o"/>
      <w:lvlJc w:val="left"/>
      <w:pPr>
        <w:ind w:left="1778" w:hanging="360"/>
      </w:pPr>
      <w:rPr>
        <w:rFonts w:ascii="Montserrat SemiBold" w:hAnsi="Montserrat SemiBold" w:hint="default"/>
        <w:b w:val="0"/>
        <w:bCs w:val="0"/>
        <w:color w:val="2F5496"/>
        <w:sz w:val="19"/>
        <w:szCs w:val="19"/>
      </w:rPr>
    </w:lvl>
    <w:lvl w:ilvl="4" w:tplc="F9303DBC">
      <w:start w:val="1"/>
      <w:numFmt w:val="bullet"/>
      <w:lvlText w:val="o"/>
      <w:lvlJc w:val="left"/>
      <w:pPr>
        <w:ind w:left="3600" w:hanging="360"/>
      </w:pPr>
      <w:rPr>
        <w:rFonts w:ascii="Montserrat SemiBold" w:hAnsi="Montserrat SemiBold" w:hint="default"/>
        <w:b w:val="0"/>
        <w:bCs w:val="0"/>
        <w:color w:val="7492CD"/>
        <w:sz w:val="19"/>
        <w:szCs w:val="19"/>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29794D"/>
    <w:multiLevelType w:val="hybridMultilevel"/>
    <w:tmpl w:val="BA889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AB32DE"/>
    <w:multiLevelType w:val="hybridMultilevel"/>
    <w:tmpl w:val="35EE7D40"/>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0E246C5"/>
    <w:multiLevelType w:val="hybridMultilevel"/>
    <w:tmpl w:val="8AA2E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163894"/>
    <w:multiLevelType w:val="hybridMultilevel"/>
    <w:tmpl w:val="FDB49CFE"/>
    <w:lvl w:ilvl="0" w:tplc="23E0A81E">
      <w:numFmt w:val="bullet"/>
      <w:lvlText w:val=""/>
      <w:lvlJc w:val="left"/>
      <w:pPr>
        <w:ind w:left="360" w:hanging="360"/>
      </w:pPr>
      <w:rPr>
        <w:rFonts w:ascii="Symbol" w:eastAsiaTheme="minorHAnsi" w:hAnsi="Symbol" w:cstheme="minorBidi"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0027630"/>
    <w:multiLevelType w:val="hybridMultilevel"/>
    <w:tmpl w:val="D4A2E5E2"/>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8" w15:restartNumberingAfterBreak="0">
    <w:nsid w:val="60266B5E"/>
    <w:multiLevelType w:val="multilevel"/>
    <w:tmpl w:val="2E004328"/>
    <w:name w:val="OLA branded2"/>
    <w:lvl w:ilvl="0">
      <w:start w:val="1"/>
      <w:numFmt w:val="bullet"/>
      <w:pStyle w:val="ListBullet"/>
      <w:lvlText w:val=""/>
      <w:lvlJc w:val="left"/>
      <w:pPr>
        <w:ind w:left="248" w:hanging="340"/>
      </w:pPr>
      <w:rPr>
        <w:rFonts w:ascii="Symbol" w:hAnsi="Symbol" w:hint="default"/>
        <w:b w:val="0"/>
        <w:i w:val="0"/>
        <w:color w:val="2F5496"/>
      </w:rPr>
    </w:lvl>
    <w:lvl w:ilvl="1">
      <w:start w:val="1"/>
      <w:numFmt w:val="bullet"/>
      <w:pStyle w:val="ListBullet2"/>
      <w:lvlText w:val=""/>
      <w:lvlJc w:val="left"/>
      <w:pPr>
        <w:ind w:left="628" w:hanging="360"/>
      </w:pPr>
      <w:rPr>
        <w:rFonts w:ascii="Symbol" w:hAnsi="Symbol" w:hint="default"/>
        <w:color w:val="7492CD"/>
      </w:rPr>
    </w:lvl>
    <w:lvl w:ilvl="2">
      <w:start w:val="1"/>
      <w:numFmt w:val="bullet"/>
      <w:pStyle w:val="ListBullet3"/>
      <w:lvlText w:val=""/>
      <w:lvlJc w:val="left"/>
      <w:pPr>
        <w:ind w:left="988" w:hanging="360"/>
      </w:pPr>
      <w:rPr>
        <w:rFonts w:ascii="Symbol" w:hAnsi="Symbol" w:hint="default"/>
        <w:color w:val="9DB4DC"/>
      </w:rPr>
    </w:lvl>
    <w:lvl w:ilvl="3">
      <w:start w:val="1"/>
      <w:numFmt w:val="bullet"/>
      <w:pStyle w:val="ListBullet4"/>
      <w:lvlText w:val=""/>
      <w:lvlJc w:val="left"/>
      <w:pPr>
        <w:ind w:left="1348" w:hanging="360"/>
      </w:pPr>
      <w:rPr>
        <w:rFonts w:ascii="Symbol" w:hAnsi="Symbol" w:hint="default"/>
        <w:b w:val="0"/>
        <w:i w:val="0"/>
        <w:color w:val="2F5496"/>
      </w:rPr>
    </w:lvl>
    <w:lvl w:ilvl="4">
      <w:start w:val="1"/>
      <w:numFmt w:val="bullet"/>
      <w:pStyle w:val="ListBullet5"/>
      <w:lvlText w:val=""/>
      <w:lvlJc w:val="left"/>
      <w:pPr>
        <w:ind w:left="1708" w:hanging="360"/>
      </w:pPr>
      <w:rPr>
        <w:rFonts w:ascii="Symbol" w:hAnsi="Symbol" w:hint="default"/>
        <w:color w:val="7492CD"/>
      </w:rPr>
    </w:lvl>
    <w:lvl w:ilvl="5">
      <w:start w:val="1"/>
      <w:numFmt w:val="lowerRoman"/>
      <w:lvlText w:val="(%6)"/>
      <w:lvlJc w:val="left"/>
      <w:pPr>
        <w:ind w:left="2068" w:hanging="360"/>
      </w:pPr>
      <w:rPr>
        <w:rFonts w:hint="default"/>
      </w:rPr>
    </w:lvl>
    <w:lvl w:ilvl="6">
      <w:start w:val="1"/>
      <w:numFmt w:val="decimal"/>
      <w:lvlText w:val="%7."/>
      <w:lvlJc w:val="left"/>
      <w:pPr>
        <w:ind w:left="2428" w:hanging="360"/>
      </w:pPr>
      <w:rPr>
        <w:rFonts w:hint="default"/>
      </w:rPr>
    </w:lvl>
    <w:lvl w:ilvl="7">
      <w:start w:val="1"/>
      <w:numFmt w:val="lowerLetter"/>
      <w:lvlText w:val="%8."/>
      <w:lvlJc w:val="left"/>
      <w:pPr>
        <w:ind w:left="2788" w:hanging="360"/>
      </w:pPr>
      <w:rPr>
        <w:rFonts w:hint="default"/>
      </w:rPr>
    </w:lvl>
    <w:lvl w:ilvl="8">
      <w:start w:val="1"/>
      <w:numFmt w:val="lowerRoman"/>
      <w:lvlText w:val="%9."/>
      <w:lvlJc w:val="left"/>
      <w:pPr>
        <w:ind w:left="3148" w:hanging="360"/>
      </w:pPr>
      <w:rPr>
        <w:rFonts w:hint="default"/>
      </w:rPr>
    </w:lvl>
  </w:abstractNum>
  <w:abstractNum w:abstractNumId="29" w15:restartNumberingAfterBreak="0">
    <w:nsid w:val="77764E83"/>
    <w:multiLevelType w:val="multilevel"/>
    <w:tmpl w:val="2E004328"/>
    <w:lvl w:ilvl="0">
      <w:start w:val="1"/>
      <w:numFmt w:val="bullet"/>
      <w:lvlText w:val=""/>
      <w:lvlJc w:val="left"/>
      <w:pPr>
        <w:ind w:left="-92" w:hanging="340"/>
      </w:pPr>
      <w:rPr>
        <w:rFonts w:ascii="Symbol" w:hAnsi="Symbol" w:hint="default"/>
        <w:b w:val="0"/>
        <w:i w:val="0"/>
        <w:color w:val="2F5496"/>
      </w:rPr>
    </w:lvl>
    <w:lvl w:ilvl="1">
      <w:start w:val="1"/>
      <w:numFmt w:val="bullet"/>
      <w:lvlText w:val=""/>
      <w:lvlJc w:val="left"/>
      <w:pPr>
        <w:ind w:left="288" w:hanging="360"/>
      </w:pPr>
      <w:rPr>
        <w:rFonts w:ascii="Symbol" w:hAnsi="Symbol" w:hint="default"/>
        <w:color w:val="7492CD"/>
      </w:rPr>
    </w:lvl>
    <w:lvl w:ilvl="2">
      <w:start w:val="1"/>
      <w:numFmt w:val="bullet"/>
      <w:lvlText w:val=""/>
      <w:lvlJc w:val="left"/>
      <w:pPr>
        <w:ind w:left="648" w:hanging="360"/>
      </w:pPr>
      <w:rPr>
        <w:rFonts w:ascii="Symbol" w:hAnsi="Symbol" w:hint="default"/>
        <w:color w:val="9DB4DC"/>
      </w:rPr>
    </w:lvl>
    <w:lvl w:ilvl="3">
      <w:start w:val="1"/>
      <w:numFmt w:val="bullet"/>
      <w:lvlText w:val=""/>
      <w:lvlJc w:val="left"/>
      <w:pPr>
        <w:ind w:left="1008" w:hanging="360"/>
      </w:pPr>
      <w:rPr>
        <w:rFonts w:ascii="Symbol" w:hAnsi="Symbol" w:hint="default"/>
        <w:b w:val="0"/>
        <w:i w:val="0"/>
        <w:color w:val="2F5496"/>
      </w:rPr>
    </w:lvl>
    <w:lvl w:ilvl="4">
      <w:start w:val="1"/>
      <w:numFmt w:val="bullet"/>
      <w:lvlText w:val=""/>
      <w:lvlJc w:val="left"/>
      <w:pPr>
        <w:ind w:left="1368" w:hanging="360"/>
      </w:pPr>
      <w:rPr>
        <w:rFonts w:ascii="Symbol" w:hAnsi="Symbol" w:hint="default"/>
        <w:color w:val="7492CD"/>
      </w:rPr>
    </w:lvl>
    <w:lvl w:ilvl="5">
      <w:start w:val="1"/>
      <w:numFmt w:val="lowerRoman"/>
      <w:lvlText w:val="(%6)"/>
      <w:lvlJc w:val="left"/>
      <w:pPr>
        <w:ind w:left="1728" w:hanging="360"/>
      </w:pPr>
      <w:rPr>
        <w:rFonts w:hint="default"/>
      </w:rPr>
    </w:lvl>
    <w:lvl w:ilvl="6">
      <w:start w:val="1"/>
      <w:numFmt w:val="decimal"/>
      <w:lvlText w:val="%7."/>
      <w:lvlJc w:val="left"/>
      <w:pPr>
        <w:ind w:left="2088" w:hanging="360"/>
      </w:pPr>
      <w:rPr>
        <w:rFonts w:hint="default"/>
      </w:rPr>
    </w:lvl>
    <w:lvl w:ilvl="7">
      <w:start w:val="1"/>
      <w:numFmt w:val="lowerLetter"/>
      <w:lvlText w:val="%8."/>
      <w:lvlJc w:val="left"/>
      <w:pPr>
        <w:ind w:left="2448" w:hanging="360"/>
      </w:pPr>
      <w:rPr>
        <w:rFonts w:hint="default"/>
      </w:rPr>
    </w:lvl>
    <w:lvl w:ilvl="8">
      <w:start w:val="1"/>
      <w:numFmt w:val="lowerRoman"/>
      <w:lvlText w:val="%9."/>
      <w:lvlJc w:val="left"/>
      <w:pPr>
        <w:ind w:left="2808" w:hanging="360"/>
      </w:pPr>
      <w:rPr>
        <w:rFonts w:hint="default"/>
      </w:rPr>
    </w:lvl>
  </w:abstractNum>
  <w:abstractNum w:abstractNumId="30" w15:restartNumberingAfterBreak="0">
    <w:nsid w:val="77CA584C"/>
    <w:multiLevelType w:val="multilevel"/>
    <w:tmpl w:val="2CC01A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A8320C"/>
    <w:multiLevelType w:val="hybridMultilevel"/>
    <w:tmpl w:val="7B643F20"/>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num w:numId="1" w16cid:durableId="1117719649">
    <w:abstractNumId w:val="9"/>
  </w:num>
  <w:num w:numId="2" w16cid:durableId="426922170">
    <w:abstractNumId w:val="7"/>
  </w:num>
  <w:num w:numId="3" w16cid:durableId="1028486616">
    <w:abstractNumId w:val="6"/>
  </w:num>
  <w:num w:numId="4" w16cid:durableId="637220631">
    <w:abstractNumId w:val="5"/>
  </w:num>
  <w:num w:numId="5" w16cid:durableId="585840765">
    <w:abstractNumId w:val="4"/>
  </w:num>
  <w:num w:numId="6" w16cid:durableId="1657686503">
    <w:abstractNumId w:val="8"/>
  </w:num>
  <w:num w:numId="7" w16cid:durableId="1825000841">
    <w:abstractNumId w:val="3"/>
  </w:num>
  <w:num w:numId="8" w16cid:durableId="1436974961">
    <w:abstractNumId w:val="2"/>
  </w:num>
  <w:num w:numId="9" w16cid:durableId="1496455410">
    <w:abstractNumId w:val="1"/>
  </w:num>
  <w:num w:numId="10" w16cid:durableId="1128859454">
    <w:abstractNumId w:val="0"/>
  </w:num>
  <w:num w:numId="11" w16cid:durableId="27612790">
    <w:abstractNumId w:val="22"/>
  </w:num>
  <w:num w:numId="12" w16cid:durableId="613905305">
    <w:abstractNumId w:val="18"/>
  </w:num>
  <w:num w:numId="13" w16cid:durableId="70935718">
    <w:abstractNumId w:val="28"/>
  </w:num>
  <w:num w:numId="14" w16cid:durableId="96945001">
    <w:abstractNumId w:val="14"/>
  </w:num>
  <w:num w:numId="15" w16cid:durableId="1542789175">
    <w:abstractNumId w:val="30"/>
  </w:num>
  <w:num w:numId="16" w16cid:durableId="427968048">
    <w:abstractNumId w:val="11"/>
  </w:num>
  <w:num w:numId="17" w16cid:durableId="1539387990">
    <w:abstractNumId w:val="20"/>
  </w:num>
  <w:num w:numId="18" w16cid:durableId="929699689">
    <w:abstractNumId w:val="26"/>
  </w:num>
  <w:num w:numId="19" w16cid:durableId="8369615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0960109">
    <w:abstractNumId w:val="27"/>
  </w:num>
  <w:num w:numId="21" w16cid:durableId="1287395440">
    <w:abstractNumId w:val="16"/>
  </w:num>
  <w:num w:numId="22" w16cid:durableId="974217069">
    <w:abstractNumId w:val="31"/>
  </w:num>
  <w:num w:numId="23" w16cid:durableId="849177008">
    <w:abstractNumId w:val="25"/>
  </w:num>
  <w:num w:numId="24" w16cid:durableId="1236478089">
    <w:abstractNumId w:val="10"/>
  </w:num>
  <w:num w:numId="25" w16cid:durableId="1300645793">
    <w:abstractNumId w:val="21"/>
  </w:num>
  <w:num w:numId="26" w16cid:durableId="821001166">
    <w:abstractNumId w:val="23"/>
  </w:num>
  <w:num w:numId="27" w16cid:durableId="1538010033">
    <w:abstractNumId w:val="12"/>
  </w:num>
  <w:num w:numId="28" w16cid:durableId="1344630095">
    <w:abstractNumId w:val="17"/>
  </w:num>
  <w:num w:numId="29" w16cid:durableId="1192300354">
    <w:abstractNumId w:val="13"/>
  </w:num>
  <w:num w:numId="30" w16cid:durableId="144009828">
    <w:abstractNumId w:val="24"/>
  </w:num>
  <w:num w:numId="31" w16cid:durableId="1054232293">
    <w:abstractNumId w:val="29"/>
  </w:num>
  <w:num w:numId="32" w16cid:durableId="1532457942">
    <w:abstractNumId w:val="19"/>
  </w:num>
  <w:num w:numId="33" w16cid:durableId="4508247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6B7"/>
    <w:rsid w:val="000048F7"/>
    <w:rsid w:val="00005685"/>
    <w:rsid w:val="000137CD"/>
    <w:rsid w:val="00024742"/>
    <w:rsid w:val="00026446"/>
    <w:rsid w:val="0003589D"/>
    <w:rsid w:val="000375DF"/>
    <w:rsid w:val="00052617"/>
    <w:rsid w:val="00057542"/>
    <w:rsid w:val="00067152"/>
    <w:rsid w:val="000955EA"/>
    <w:rsid w:val="000A635F"/>
    <w:rsid w:val="000C58FD"/>
    <w:rsid w:val="000E042E"/>
    <w:rsid w:val="000F5BC8"/>
    <w:rsid w:val="000F73E4"/>
    <w:rsid w:val="0011205B"/>
    <w:rsid w:val="00116D09"/>
    <w:rsid w:val="00140922"/>
    <w:rsid w:val="00147861"/>
    <w:rsid w:val="001620A0"/>
    <w:rsid w:val="00181D97"/>
    <w:rsid w:val="0019681D"/>
    <w:rsid w:val="00197C64"/>
    <w:rsid w:val="001B374E"/>
    <w:rsid w:val="001B7D20"/>
    <w:rsid w:val="001C47D4"/>
    <w:rsid w:val="001D059E"/>
    <w:rsid w:val="001D4382"/>
    <w:rsid w:val="001E1704"/>
    <w:rsid w:val="001F0326"/>
    <w:rsid w:val="00200D08"/>
    <w:rsid w:val="0020237E"/>
    <w:rsid w:val="00204F72"/>
    <w:rsid w:val="002209AE"/>
    <w:rsid w:val="00220A90"/>
    <w:rsid w:val="002220E3"/>
    <w:rsid w:val="002331BA"/>
    <w:rsid w:val="00235E54"/>
    <w:rsid w:val="00254053"/>
    <w:rsid w:val="00260869"/>
    <w:rsid w:val="00261405"/>
    <w:rsid w:val="0026152B"/>
    <w:rsid w:val="00261A56"/>
    <w:rsid w:val="0027012F"/>
    <w:rsid w:val="002828D4"/>
    <w:rsid w:val="002A44AD"/>
    <w:rsid w:val="002B3FD9"/>
    <w:rsid w:val="002B529E"/>
    <w:rsid w:val="002C5DED"/>
    <w:rsid w:val="002F10C7"/>
    <w:rsid w:val="002F5DFB"/>
    <w:rsid w:val="00303927"/>
    <w:rsid w:val="00316564"/>
    <w:rsid w:val="00326BFC"/>
    <w:rsid w:val="00357B01"/>
    <w:rsid w:val="003623D6"/>
    <w:rsid w:val="00366D19"/>
    <w:rsid w:val="0037510A"/>
    <w:rsid w:val="00390AB4"/>
    <w:rsid w:val="00396D2E"/>
    <w:rsid w:val="003A275E"/>
    <w:rsid w:val="003C4EBD"/>
    <w:rsid w:val="003D4493"/>
    <w:rsid w:val="003F1C8B"/>
    <w:rsid w:val="003F36A8"/>
    <w:rsid w:val="003F5334"/>
    <w:rsid w:val="004078BB"/>
    <w:rsid w:val="004119F4"/>
    <w:rsid w:val="00411A2B"/>
    <w:rsid w:val="00416313"/>
    <w:rsid w:val="00420C8E"/>
    <w:rsid w:val="0042681F"/>
    <w:rsid w:val="0044005B"/>
    <w:rsid w:val="00446622"/>
    <w:rsid w:val="004507B2"/>
    <w:rsid w:val="004547F9"/>
    <w:rsid w:val="004561CD"/>
    <w:rsid w:val="00460952"/>
    <w:rsid w:val="004615D0"/>
    <w:rsid w:val="00462F31"/>
    <w:rsid w:val="00465201"/>
    <w:rsid w:val="00467307"/>
    <w:rsid w:val="004745E8"/>
    <w:rsid w:val="0048097A"/>
    <w:rsid w:val="00480D13"/>
    <w:rsid w:val="004819D1"/>
    <w:rsid w:val="004824E5"/>
    <w:rsid w:val="004A3A4E"/>
    <w:rsid w:val="004A6505"/>
    <w:rsid w:val="004B7955"/>
    <w:rsid w:val="004C4495"/>
    <w:rsid w:val="004D05A7"/>
    <w:rsid w:val="004D7D5F"/>
    <w:rsid w:val="004E2F4F"/>
    <w:rsid w:val="004E6A01"/>
    <w:rsid w:val="004F4439"/>
    <w:rsid w:val="00506CCB"/>
    <w:rsid w:val="00511C35"/>
    <w:rsid w:val="0052323D"/>
    <w:rsid w:val="00526AF3"/>
    <w:rsid w:val="00546106"/>
    <w:rsid w:val="00546E08"/>
    <w:rsid w:val="00571395"/>
    <w:rsid w:val="00576F05"/>
    <w:rsid w:val="005906B1"/>
    <w:rsid w:val="00591BE3"/>
    <w:rsid w:val="00595D45"/>
    <w:rsid w:val="005A2FC7"/>
    <w:rsid w:val="005B0A9C"/>
    <w:rsid w:val="005B3D98"/>
    <w:rsid w:val="005B5DE9"/>
    <w:rsid w:val="005B6EBE"/>
    <w:rsid w:val="005D6225"/>
    <w:rsid w:val="005E6330"/>
    <w:rsid w:val="005F4092"/>
    <w:rsid w:val="0060206D"/>
    <w:rsid w:val="0060369B"/>
    <w:rsid w:val="0060667C"/>
    <w:rsid w:val="00607243"/>
    <w:rsid w:val="00610570"/>
    <w:rsid w:val="00613237"/>
    <w:rsid w:val="00625997"/>
    <w:rsid w:val="00630A92"/>
    <w:rsid w:val="00642E00"/>
    <w:rsid w:val="00645FFF"/>
    <w:rsid w:val="00650C4F"/>
    <w:rsid w:val="00670DF4"/>
    <w:rsid w:val="006728B7"/>
    <w:rsid w:val="00680495"/>
    <w:rsid w:val="00695B76"/>
    <w:rsid w:val="0069778A"/>
    <w:rsid w:val="006A53B9"/>
    <w:rsid w:val="006B6A4A"/>
    <w:rsid w:val="006F24F0"/>
    <w:rsid w:val="00750E15"/>
    <w:rsid w:val="00751E66"/>
    <w:rsid w:val="0075397F"/>
    <w:rsid w:val="00756033"/>
    <w:rsid w:val="00764E31"/>
    <w:rsid w:val="007716CB"/>
    <w:rsid w:val="00775377"/>
    <w:rsid w:val="007B6DAA"/>
    <w:rsid w:val="007B781F"/>
    <w:rsid w:val="007C7763"/>
    <w:rsid w:val="007E658C"/>
    <w:rsid w:val="007E7DEC"/>
    <w:rsid w:val="00800E13"/>
    <w:rsid w:val="00812BD7"/>
    <w:rsid w:val="0081579A"/>
    <w:rsid w:val="008169AA"/>
    <w:rsid w:val="00840A7B"/>
    <w:rsid w:val="00845A05"/>
    <w:rsid w:val="00856799"/>
    <w:rsid w:val="008706FD"/>
    <w:rsid w:val="0087083B"/>
    <w:rsid w:val="008746BE"/>
    <w:rsid w:val="00891398"/>
    <w:rsid w:val="008A1367"/>
    <w:rsid w:val="008A2C86"/>
    <w:rsid w:val="008D372C"/>
    <w:rsid w:val="008D6F6F"/>
    <w:rsid w:val="008E47FC"/>
    <w:rsid w:val="008F25D2"/>
    <w:rsid w:val="009002A7"/>
    <w:rsid w:val="009002A8"/>
    <w:rsid w:val="00904BBE"/>
    <w:rsid w:val="00912A95"/>
    <w:rsid w:val="009527E0"/>
    <w:rsid w:val="0095674D"/>
    <w:rsid w:val="009851F7"/>
    <w:rsid w:val="009A3435"/>
    <w:rsid w:val="009B1CD7"/>
    <w:rsid w:val="009B35FB"/>
    <w:rsid w:val="009D5BF5"/>
    <w:rsid w:val="009E1850"/>
    <w:rsid w:val="009E5E13"/>
    <w:rsid w:val="009E6989"/>
    <w:rsid w:val="009E79C3"/>
    <w:rsid w:val="00A00BC4"/>
    <w:rsid w:val="00A00CAB"/>
    <w:rsid w:val="00A044F7"/>
    <w:rsid w:val="00A11003"/>
    <w:rsid w:val="00A168A3"/>
    <w:rsid w:val="00A21102"/>
    <w:rsid w:val="00A43CB3"/>
    <w:rsid w:val="00A667DB"/>
    <w:rsid w:val="00A74996"/>
    <w:rsid w:val="00A81964"/>
    <w:rsid w:val="00A8267F"/>
    <w:rsid w:val="00A86E57"/>
    <w:rsid w:val="00A871C9"/>
    <w:rsid w:val="00A92C89"/>
    <w:rsid w:val="00A93B60"/>
    <w:rsid w:val="00AA43D4"/>
    <w:rsid w:val="00AA618D"/>
    <w:rsid w:val="00AA6468"/>
    <w:rsid w:val="00AB63FF"/>
    <w:rsid w:val="00AC35D4"/>
    <w:rsid w:val="00AD5C31"/>
    <w:rsid w:val="00AD682E"/>
    <w:rsid w:val="00AE0EDF"/>
    <w:rsid w:val="00AE30D4"/>
    <w:rsid w:val="00AE3210"/>
    <w:rsid w:val="00AE3793"/>
    <w:rsid w:val="00AE487B"/>
    <w:rsid w:val="00AF2332"/>
    <w:rsid w:val="00AF7633"/>
    <w:rsid w:val="00B004ED"/>
    <w:rsid w:val="00B00F9A"/>
    <w:rsid w:val="00B250C9"/>
    <w:rsid w:val="00B36D80"/>
    <w:rsid w:val="00B46840"/>
    <w:rsid w:val="00B61BB2"/>
    <w:rsid w:val="00B62883"/>
    <w:rsid w:val="00B65DF0"/>
    <w:rsid w:val="00B84ADC"/>
    <w:rsid w:val="00B85E19"/>
    <w:rsid w:val="00B87B02"/>
    <w:rsid w:val="00B9162A"/>
    <w:rsid w:val="00B96B7C"/>
    <w:rsid w:val="00BA5226"/>
    <w:rsid w:val="00BC2A8F"/>
    <w:rsid w:val="00BD2490"/>
    <w:rsid w:val="00BD7539"/>
    <w:rsid w:val="00BE2FAC"/>
    <w:rsid w:val="00BE5E33"/>
    <w:rsid w:val="00BF4B90"/>
    <w:rsid w:val="00C00702"/>
    <w:rsid w:val="00C27650"/>
    <w:rsid w:val="00C53021"/>
    <w:rsid w:val="00C555ED"/>
    <w:rsid w:val="00C63178"/>
    <w:rsid w:val="00C7079C"/>
    <w:rsid w:val="00C7339F"/>
    <w:rsid w:val="00C94A98"/>
    <w:rsid w:val="00CB1EC6"/>
    <w:rsid w:val="00CB5793"/>
    <w:rsid w:val="00CB619D"/>
    <w:rsid w:val="00CC2046"/>
    <w:rsid w:val="00CD75F9"/>
    <w:rsid w:val="00CE1D47"/>
    <w:rsid w:val="00CE6543"/>
    <w:rsid w:val="00D005E0"/>
    <w:rsid w:val="00D00681"/>
    <w:rsid w:val="00D123AB"/>
    <w:rsid w:val="00D240BE"/>
    <w:rsid w:val="00D308C4"/>
    <w:rsid w:val="00D415A6"/>
    <w:rsid w:val="00D42610"/>
    <w:rsid w:val="00D66C8B"/>
    <w:rsid w:val="00D67415"/>
    <w:rsid w:val="00DA149A"/>
    <w:rsid w:val="00DB24D1"/>
    <w:rsid w:val="00DB7DE2"/>
    <w:rsid w:val="00DC2687"/>
    <w:rsid w:val="00DC3400"/>
    <w:rsid w:val="00DD4778"/>
    <w:rsid w:val="00DD74B0"/>
    <w:rsid w:val="00DF49CE"/>
    <w:rsid w:val="00E00026"/>
    <w:rsid w:val="00E35FD9"/>
    <w:rsid w:val="00E367DE"/>
    <w:rsid w:val="00E426B7"/>
    <w:rsid w:val="00E46291"/>
    <w:rsid w:val="00E478B1"/>
    <w:rsid w:val="00E6219B"/>
    <w:rsid w:val="00E76612"/>
    <w:rsid w:val="00E821DF"/>
    <w:rsid w:val="00E91F3C"/>
    <w:rsid w:val="00E920F6"/>
    <w:rsid w:val="00E96310"/>
    <w:rsid w:val="00E975BD"/>
    <w:rsid w:val="00EB3B26"/>
    <w:rsid w:val="00EF517E"/>
    <w:rsid w:val="00EF5E3D"/>
    <w:rsid w:val="00F01FA7"/>
    <w:rsid w:val="00F042B5"/>
    <w:rsid w:val="00F13867"/>
    <w:rsid w:val="00F34DD8"/>
    <w:rsid w:val="00F6105E"/>
    <w:rsid w:val="00F66BBC"/>
    <w:rsid w:val="00F86D60"/>
    <w:rsid w:val="00FC6435"/>
    <w:rsid w:val="00FC681D"/>
    <w:rsid w:val="00FC6AB6"/>
    <w:rsid w:val="00FD32EF"/>
    <w:rsid w:val="00FE02F8"/>
    <w:rsid w:val="00FE3DBF"/>
    <w:rsid w:val="00FE467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0A36AB"/>
  <w15:chartTrackingRefBased/>
  <w15:docId w15:val="{CC93061E-0BB7-4D91-AE3C-B87ED9B5B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DE9"/>
    <w:pPr>
      <w:spacing w:line="283" w:lineRule="auto"/>
    </w:pPr>
  </w:style>
  <w:style w:type="paragraph" w:styleId="Heading1">
    <w:name w:val="heading 1"/>
    <w:next w:val="ListNumber2"/>
    <w:link w:val="Heading1Char"/>
    <w:uiPriority w:val="9"/>
    <w:qFormat/>
    <w:rsid w:val="005B5DE9"/>
    <w:pPr>
      <w:keepNext/>
      <w:keepLines/>
      <w:numPr>
        <w:numId w:val="16"/>
      </w:numPr>
      <w:spacing w:before="240" w:after="240"/>
      <w:outlineLvl w:val="0"/>
    </w:pPr>
    <w:rPr>
      <w:rFonts w:ascii="Montserrat" w:eastAsiaTheme="majorEastAsia" w:hAnsi="Montserrat" w:cstheme="majorBidi"/>
      <w:b/>
      <w:color w:val="1A234C"/>
      <w:w w:val="90"/>
      <w:kern w:val="2"/>
      <w:sz w:val="36"/>
      <w:szCs w:val="32"/>
    </w:rPr>
  </w:style>
  <w:style w:type="paragraph" w:styleId="Heading2">
    <w:name w:val="heading 2"/>
    <w:basedOn w:val="Heading1"/>
    <w:next w:val="ListNumber2"/>
    <w:link w:val="Heading2Char"/>
    <w:autoRedefine/>
    <w:uiPriority w:val="9"/>
    <w:unhideWhenUsed/>
    <w:qFormat/>
    <w:rsid w:val="005B5DE9"/>
    <w:pPr>
      <w:numPr>
        <w:numId w:val="0"/>
      </w:numPr>
      <w:spacing w:after="200"/>
      <w:outlineLvl w:val="1"/>
    </w:pPr>
    <w:rPr>
      <w:color w:val="2F5496"/>
      <w:sz w:val="32"/>
      <w:szCs w:val="26"/>
    </w:rPr>
  </w:style>
  <w:style w:type="paragraph" w:styleId="Heading3">
    <w:name w:val="heading 3"/>
    <w:basedOn w:val="Heading2"/>
    <w:next w:val="ListNumber2"/>
    <w:link w:val="Heading3Char"/>
    <w:uiPriority w:val="9"/>
    <w:unhideWhenUsed/>
    <w:qFormat/>
    <w:rsid w:val="005B5DE9"/>
    <w:pPr>
      <w:spacing w:before="120"/>
      <w:outlineLvl w:val="2"/>
    </w:pPr>
    <w:rPr>
      <w:color w:val="7492CD"/>
      <w:sz w:val="28"/>
      <w:szCs w:val="24"/>
    </w:rPr>
  </w:style>
  <w:style w:type="paragraph" w:styleId="Heading4">
    <w:name w:val="heading 4"/>
    <w:basedOn w:val="Heading3"/>
    <w:next w:val="Normal"/>
    <w:link w:val="Heading4Char"/>
    <w:uiPriority w:val="9"/>
    <w:unhideWhenUsed/>
    <w:qFormat/>
    <w:rsid w:val="005B5DE9"/>
    <w:pPr>
      <w:outlineLvl w:val="3"/>
    </w:pPr>
    <w:rPr>
      <w:rFonts w:ascii="Montserrat SemiBold" w:hAnsi="Montserrat SemiBold"/>
      <w:b w:val="0"/>
      <w:iCs/>
      <w:color w:val="2F5496"/>
      <w:sz w:val="24"/>
    </w:rPr>
  </w:style>
  <w:style w:type="paragraph" w:styleId="Heading5">
    <w:name w:val="heading 5"/>
    <w:basedOn w:val="Heading4"/>
    <w:next w:val="ListNumber2"/>
    <w:link w:val="Heading5Char"/>
    <w:uiPriority w:val="9"/>
    <w:unhideWhenUsed/>
    <w:qFormat/>
    <w:rsid w:val="005B5DE9"/>
    <w:pPr>
      <w:outlineLvl w:val="4"/>
    </w:pPr>
    <w:rPr>
      <w:rFonts w:ascii="Montserrat" w:hAnsi="Montserrat"/>
      <w:sz w:val="23"/>
      <w:szCs w:val="20"/>
    </w:rPr>
  </w:style>
  <w:style w:type="paragraph" w:styleId="Heading6">
    <w:name w:val="heading 6"/>
    <w:basedOn w:val="Normal"/>
    <w:next w:val="Normal"/>
    <w:link w:val="Heading6Char"/>
    <w:uiPriority w:val="9"/>
    <w:unhideWhenUsed/>
    <w:qFormat/>
    <w:rsid w:val="00197C6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DE9"/>
    <w:rPr>
      <w:rFonts w:ascii="Montserrat" w:eastAsiaTheme="majorEastAsia" w:hAnsi="Montserrat" w:cstheme="majorBidi"/>
      <w:b/>
      <w:color w:val="1A234C"/>
      <w:w w:val="90"/>
      <w:kern w:val="2"/>
      <w:sz w:val="36"/>
      <w:szCs w:val="32"/>
    </w:rPr>
  </w:style>
  <w:style w:type="character" w:customStyle="1" w:styleId="Heading2Char">
    <w:name w:val="Heading 2 Char"/>
    <w:basedOn w:val="DefaultParagraphFont"/>
    <w:link w:val="Heading2"/>
    <w:uiPriority w:val="9"/>
    <w:rsid w:val="005B5DE9"/>
    <w:rPr>
      <w:rFonts w:ascii="Montserrat" w:eastAsiaTheme="majorEastAsia" w:hAnsi="Montserrat" w:cstheme="majorBidi"/>
      <w:b/>
      <w:color w:val="2F5496"/>
      <w:w w:val="90"/>
      <w:kern w:val="2"/>
      <w:sz w:val="32"/>
      <w:szCs w:val="26"/>
    </w:rPr>
  </w:style>
  <w:style w:type="character" w:customStyle="1" w:styleId="Heading3Char">
    <w:name w:val="Heading 3 Char"/>
    <w:basedOn w:val="DefaultParagraphFont"/>
    <w:link w:val="Heading3"/>
    <w:uiPriority w:val="9"/>
    <w:rsid w:val="005B5DE9"/>
    <w:rPr>
      <w:rFonts w:ascii="Montserrat" w:eastAsiaTheme="majorEastAsia" w:hAnsi="Montserrat" w:cstheme="majorBidi"/>
      <w:b/>
      <w:color w:val="7492CD"/>
      <w:w w:val="90"/>
      <w:kern w:val="2"/>
      <w:sz w:val="28"/>
      <w:szCs w:val="24"/>
    </w:rPr>
  </w:style>
  <w:style w:type="character" w:customStyle="1" w:styleId="Heading4Char">
    <w:name w:val="Heading 4 Char"/>
    <w:basedOn w:val="DefaultParagraphFont"/>
    <w:link w:val="Heading4"/>
    <w:uiPriority w:val="9"/>
    <w:rsid w:val="005B5DE9"/>
    <w:rPr>
      <w:rFonts w:ascii="Montserrat SemiBold" w:eastAsiaTheme="majorEastAsia" w:hAnsi="Montserrat SemiBold" w:cstheme="majorBidi"/>
      <w:iCs/>
      <w:color w:val="2F5496"/>
      <w:w w:val="90"/>
      <w:kern w:val="2"/>
      <w:sz w:val="24"/>
      <w:szCs w:val="24"/>
    </w:rPr>
  </w:style>
  <w:style w:type="character" w:customStyle="1" w:styleId="Heading5Char">
    <w:name w:val="Heading 5 Char"/>
    <w:basedOn w:val="DefaultParagraphFont"/>
    <w:link w:val="Heading5"/>
    <w:uiPriority w:val="9"/>
    <w:rsid w:val="005B5DE9"/>
    <w:rPr>
      <w:rFonts w:ascii="Montserrat" w:eastAsiaTheme="majorEastAsia" w:hAnsi="Montserrat" w:cstheme="majorBidi"/>
      <w:iCs/>
      <w:color w:val="2F5496"/>
      <w:w w:val="90"/>
      <w:kern w:val="2"/>
      <w:sz w:val="23"/>
      <w:szCs w:val="20"/>
    </w:rPr>
  </w:style>
  <w:style w:type="paragraph" w:styleId="Title">
    <w:name w:val="Title"/>
    <w:basedOn w:val="Normal"/>
    <w:next w:val="Normal"/>
    <w:link w:val="TitleChar"/>
    <w:uiPriority w:val="10"/>
    <w:qFormat/>
    <w:rsid w:val="005B5DE9"/>
    <w:pPr>
      <w:spacing w:before="4000" w:after="360" w:line="259" w:lineRule="auto"/>
      <w:ind w:right="2790"/>
      <w:contextualSpacing/>
    </w:pPr>
    <w:rPr>
      <w:rFonts w:ascii="Montserrat" w:eastAsiaTheme="majorEastAsia" w:hAnsi="Montserrat" w:cstheme="majorBidi"/>
      <w:b/>
      <w:spacing w:val="-10"/>
      <w:w w:val="90"/>
      <w:kern w:val="28"/>
      <w:sz w:val="58"/>
      <w:szCs w:val="58"/>
    </w:rPr>
  </w:style>
  <w:style w:type="character" w:customStyle="1" w:styleId="TitleChar">
    <w:name w:val="Title Char"/>
    <w:basedOn w:val="DefaultParagraphFont"/>
    <w:link w:val="Title"/>
    <w:uiPriority w:val="10"/>
    <w:rsid w:val="005B5DE9"/>
    <w:rPr>
      <w:rFonts w:ascii="Montserrat" w:eastAsiaTheme="majorEastAsia" w:hAnsi="Montserrat" w:cstheme="majorBidi"/>
      <w:b/>
      <w:spacing w:val="-10"/>
      <w:w w:val="90"/>
      <w:kern w:val="28"/>
      <w:sz w:val="58"/>
      <w:szCs w:val="58"/>
    </w:rPr>
  </w:style>
  <w:style w:type="paragraph" w:styleId="Subtitle">
    <w:name w:val="Subtitle"/>
    <w:basedOn w:val="Normal"/>
    <w:next w:val="Normal"/>
    <w:link w:val="SubtitleChar"/>
    <w:uiPriority w:val="11"/>
    <w:qFormat/>
    <w:rsid w:val="005B5DE9"/>
    <w:pPr>
      <w:spacing w:before="120" w:after="120"/>
      <w:ind w:left="2268"/>
    </w:pPr>
    <w:rPr>
      <w:rFonts w:ascii="Arial" w:hAnsi="Arial" w:cs="Arial"/>
      <w:kern w:val="20"/>
      <w:sz w:val="28"/>
      <w:szCs w:val="28"/>
    </w:rPr>
  </w:style>
  <w:style w:type="character" w:customStyle="1" w:styleId="SubtitleChar">
    <w:name w:val="Subtitle Char"/>
    <w:basedOn w:val="DefaultParagraphFont"/>
    <w:link w:val="Subtitle"/>
    <w:uiPriority w:val="11"/>
    <w:rsid w:val="005B5DE9"/>
    <w:rPr>
      <w:rFonts w:ascii="Arial" w:hAnsi="Arial" w:cs="Arial"/>
      <w:kern w:val="20"/>
      <w:sz w:val="28"/>
      <w:szCs w:val="28"/>
    </w:rPr>
  </w:style>
  <w:style w:type="paragraph" w:styleId="TOCHeading">
    <w:name w:val="TOC Heading"/>
    <w:basedOn w:val="Heading1"/>
    <w:next w:val="Normal"/>
    <w:uiPriority w:val="39"/>
    <w:unhideWhenUsed/>
    <w:qFormat/>
    <w:rsid w:val="005B5DE9"/>
    <w:pPr>
      <w:numPr>
        <w:numId w:val="0"/>
      </w:numPr>
      <w:outlineLvl w:val="9"/>
    </w:pPr>
    <w:rPr>
      <w:lang w:val="en-US"/>
    </w:rPr>
  </w:style>
  <w:style w:type="paragraph" w:styleId="TOC1">
    <w:name w:val="toc 1"/>
    <w:basedOn w:val="Normal"/>
    <w:next w:val="Normal"/>
    <w:autoRedefine/>
    <w:uiPriority w:val="39"/>
    <w:unhideWhenUsed/>
    <w:rsid w:val="005B5DE9"/>
    <w:pPr>
      <w:tabs>
        <w:tab w:val="left" w:pos="425"/>
        <w:tab w:val="right" w:pos="9016"/>
      </w:tabs>
      <w:spacing w:before="160" w:after="60"/>
    </w:pPr>
    <w:rPr>
      <w:rFonts w:ascii="Montserrat" w:hAnsi="Montserrat"/>
      <w:b/>
      <w:bCs/>
      <w:noProof/>
      <w:color w:val="2F5496"/>
      <w:w w:val="90"/>
      <w:sz w:val="23"/>
    </w:rPr>
  </w:style>
  <w:style w:type="paragraph" w:styleId="TOC2">
    <w:name w:val="toc 2"/>
    <w:basedOn w:val="Normal"/>
    <w:next w:val="Normal"/>
    <w:autoRedefine/>
    <w:uiPriority w:val="39"/>
    <w:unhideWhenUsed/>
    <w:rsid w:val="00607243"/>
    <w:pPr>
      <w:tabs>
        <w:tab w:val="right" w:pos="9016"/>
      </w:tabs>
      <w:spacing w:before="60" w:after="60"/>
      <w:ind w:left="426"/>
    </w:pPr>
    <w:rPr>
      <w:noProof/>
    </w:rPr>
  </w:style>
  <w:style w:type="paragraph" w:styleId="TOC3">
    <w:name w:val="toc 3"/>
    <w:basedOn w:val="Normal"/>
    <w:next w:val="Normal"/>
    <w:autoRedefine/>
    <w:uiPriority w:val="39"/>
    <w:unhideWhenUsed/>
    <w:rsid w:val="005B5DE9"/>
    <w:pPr>
      <w:tabs>
        <w:tab w:val="right" w:pos="9016"/>
      </w:tabs>
      <w:spacing w:before="60" w:after="60"/>
      <w:ind w:left="709"/>
    </w:pPr>
    <w:rPr>
      <w:noProof/>
    </w:rPr>
  </w:style>
  <w:style w:type="character" w:styleId="Hyperlink">
    <w:name w:val="Hyperlink"/>
    <w:basedOn w:val="DefaultParagraphFont"/>
    <w:uiPriority w:val="99"/>
    <w:unhideWhenUsed/>
    <w:rsid w:val="005B5DE9"/>
    <w:rPr>
      <w:color w:val="0563C1" w:themeColor="hyperlink"/>
      <w:u w:val="single"/>
    </w:rPr>
  </w:style>
  <w:style w:type="paragraph" w:styleId="List">
    <w:name w:val="List"/>
    <w:basedOn w:val="Normal"/>
    <w:uiPriority w:val="99"/>
    <w:unhideWhenUsed/>
    <w:qFormat/>
    <w:rsid w:val="005B5DE9"/>
    <w:pPr>
      <w:spacing w:after="40"/>
    </w:pPr>
  </w:style>
  <w:style w:type="paragraph" w:styleId="Header">
    <w:name w:val="header"/>
    <w:basedOn w:val="Normal"/>
    <w:link w:val="HeaderChar"/>
    <w:uiPriority w:val="99"/>
    <w:unhideWhenUsed/>
    <w:rsid w:val="005B5D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DE9"/>
  </w:style>
  <w:style w:type="paragraph" w:styleId="Footer">
    <w:name w:val="footer"/>
    <w:basedOn w:val="Normal"/>
    <w:link w:val="FooterChar"/>
    <w:uiPriority w:val="99"/>
    <w:unhideWhenUsed/>
    <w:rsid w:val="005B5D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DE9"/>
  </w:style>
  <w:style w:type="character" w:styleId="PlaceholderText">
    <w:name w:val="Placeholder Text"/>
    <w:basedOn w:val="DefaultParagraphFont"/>
    <w:uiPriority w:val="99"/>
    <w:semiHidden/>
    <w:rsid w:val="005B5DE9"/>
    <w:rPr>
      <w:color w:val="808080"/>
    </w:rPr>
  </w:style>
  <w:style w:type="character" w:styleId="UnresolvedMention">
    <w:name w:val="Unresolved Mention"/>
    <w:basedOn w:val="DefaultParagraphFont"/>
    <w:uiPriority w:val="99"/>
    <w:semiHidden/>
    <w:unhideWhenUsed/>
    <w:rsid w:val="005B5DE9"/>
    <w:rPr>
      <w:color w:val="605E5C"/>
      <w:shd w:val="clear" w:color="auto" w:fill="E1DFDD"/>
    </w:rPr>
  </w:style>
  <w:style w:type="paragraph" w:customStyle="1" w:styleId="Cover-Committeename">
    <w:name w:val="Cover - Committee name"/>
    <w:basedOn w:val="Subtitle"/>
    <w:qFormat/>
    <w:rsid w:val="005B5DE9"/>
    <w:pPr>
      <w:spacing w:before="60" w:after="240" w:line="240" w:lineRule="auto"/>
      <w:ind w:left="1843" w:right="2648"/>
    </w:pPr>
    <w:rPr>
      <w:rFonts w:ascii="Montserrat Light" w:hAnsi="Montserrat Light"/>
      <w:color w:val="1A234C"/>
      <w:w w:val="90"/>
      <w:sz w:val="25"/>
      <w:szCs w:val="25"/>
    </w:rPr>
  </w:style>
  <w:style w:type="paragraph" w:styleId="Quote">
    <w:name w:val="Quote"/>
    <w:basedOn w:val="Normal"/>
    <w:next w:val="ListNumber2"/>
    <w:link w:val="QuoteChar"/>
    <w:uiPriority w:val="29"/>
    <w:qFormat/>
    <w:rsid w:val="005B5DE9"/>
    <w:pPr>
      <w:spacing w:before="200" w:after="200"/>
      <w:ind w:left="1134" w:right="862"/>
    </w:pPr>
    <w:rPr>
      <w:color w:val="595959" w:themeColor="text1" w:themeTint="A6"/>
      <w:sz w:val="21"/>
      <w:szCs w:val="21"/>
    </w:rPr>
  </w:style>
  <w:style w:type="character" w:customStyle="1" w:styleId="QuoteChar">
    <w:name w:val="Quote Char"/>
    <w:basedOn w:val="DefaultParagraphFont"/>
    <w:link w:val="Quote"/>
    <w:uiPriority w:val="29"/>
    <w:rsid w:val="005B5DE9"/>
    <w:rPr>
      <w:color w:val="595959" w:themeColor="text1" w:themeTint="A6"/>
      <w:sz w:val="21"/>
      <w:szCs w:val="21"/>
    </w:rPr>
  </w:style>
  <w:style w:type="table" w:styleId="TableGrid">
    <w:name w:val="Table Grid"/>
    <w:basedOn w:val="TableNormal"/>
    <w:uiPriority w:val="39"/>
    <w:rsid w:val="005B5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ommendationheading">
    <w:name w:val="Recommendation heading"/>
    <w:next w:val="Normal"/>
    <w:rsid w:val="005B5DE9"/>
    <w:pPr>
      <w:adjustRightInd w:val="0"/>
      <w:spacing w:before="80" w:after="80" w:line="240" w:lineRule="auto"/>
    </w:pPr>
    <w:rPr>
      <w:rFonts w:ascii="Montserrat" w:hAnsi="Montserrat"/>
      <w:b/>
      <w:bCs/>
      <w:color w:val="2F5496"/>
      <w:w w:val="90"/>
      <w:sz w:val="24"/>
      <w:szCs w:val="24"/>
    </w:rPr>
  </w:style>
  <w:style w:type="paragraph" w:customStyle="1" w:styleId="Heading1nonumber">
    <w:name w:val="Heading 1 (no number)"/>
    <w:basedOn w:val="Heading1"/>
    <w:next w:val="Normal"/>
    <w:link w:val="Heading1nonumberChar"/>
    <w:autoRedefine/>
    <w:qFormat/>
    <w:rsid w:val="005B5DE9"/>
    <w:pPr>
      <w:numPr>
        <w:numId w:val="0"/>
      </w:numPr>
    </w:pPr>
  </w:style>
  <w:style w:type="character" w:customStyle="1" w:styleId="Heading1nonumberChar">
    <w:name w:val="Heading 1 (no number) Char"/>
    <w:basedOn w:val="Heading1Char"/>
    <w:link w:val="Heading1nonumber"/>
    <w:rsid w:val="005B5DE9"/>
    <w:rPr>
      <w:rFonts w:ascii="Montserrat" w:eastAsiaTheme="majorEastAsia" w:hAnsi="Montserrat" w:cstheme="majorBidi"/>
      <w:b/>
      <w:color w:val="1A234C"/>
      <w:w w:val="90"/>
      <w:kern w:val="2"/>
      <w:sz w:val="36"/>
      <w:szCs w:val="32"/>
    </w:rPr>
  </w:style>
  <w:style w:type="paragraph" w:styleId="ListBullet">
    <w:name w:val="List Bullet"/>
    <w:basedOn w:val="ListParagraph"/>
    <w:uiPriority w:val="99"/>
    <w:unhideWhenUsed/>
    <w:qFormat/>
    <w:rsid w:val="005B5DE9"/>
    <w:pPr>
      <w:numPr>
        <w:numId w:val="13"/>
      </w:numPr>
      <w:tabs>
        <w:tab w:val="num" w:pos="360"/>
      </w:tabs>
      <w:spacing w:before="120" w:after="120"/>
      <w:ind w:left="1276" w:firstLine="0"/>
      <w:contextualSpacing w:val="0"/>
    </w:pPr>
  </w:style>
  <w:style w:type="paragraph" w:styleId="ListBullet2">
    <w:name w:val="List Bullet 2"/>
    <w:basedOn w:val="ListParagraph"/>
    <w:uiPriority w:val="99"/>
    <w:unhideWhenUsed/>
    <w:rsid w:val="005B5DE9"/>
    <w:pPr>
      <w:numPr>
        <w:ilvl w:val="1"/>
        <w:numId w:val="13"/>
      </w:numPr>
      <w:spacing w:before="120" w:after="120"/>
      <w:ind w:left="1701"/>
      <w:contextualSpacing w:val="0"/>
    </w:pPr>
  </w:style>
  <w:style w:type="paragraph" w:styleId="ListBullet3">
    <w:name w:val="List Bullet 3"/>
    <w:basedOn w:val="ListParagraph"/>
    <w:uiPriority w:val="99"/>
    <w:unhideWhenUsed/>
    <w:rsid w:val="005B5DE9"/>
    <w:pPr>
      <w:numPr>
        <w:ilvl w:val="2"/>
        <w:numId w:val="13"/>
      </w:numPr>
      <w:spacing w:before="120" w:after="120"/>
      <w:ind w:left="2127"/>
      <w:contextualSpacing w:val="0"/>
    </w:p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列出段,列出,列,lp1"/>
    <w:basedOn w:val="Normal"/>
    <w:link w:val="ListParagraphChar"/>
    <w:uiPriority w:val="34"/>
    <w:qFormat/>
    <w:rsid w:val="005B5DE9"/>
    <w:pPr>
      <w:spacing w:after="80"/>
      <w:ind w:left="720"/>
      <w:contextualSpacing/>
    </w:pPr>
  </w:style>
  <w:style w:type="paragraph" w:styleId="ListBullet4">
    <w:name w:val="List Bullet 4"/>
    <w:basedOn w:val="ListParagraph"/>
    <w:uiPriority w:val="99"/>
    <w:unhideWhenUsed/>
    <w:rsid w:val="005B5DE9"/>
    <w:pPr>
      <w:numPr>
        <w:ilvl w:val="3"/>
        <w:numId w:val="13"/>
      </w:numPr>
      <w:spacing w:before="120" w:after="120"/>
      <w:ind w:left="2552"/>
      <w:contextualSpacing w:val="0"/>
    </w:pPr>
  </w:style>
  <w:style w:type="paragraph" w:styleId="ListBullet5">
    <w:name w:val="List Bullet 5"/>
    <w:basedOn w:val="ListParagraph"/>
    <w:uiPriority w:val="99"/>
    <w:unhideWhenUsed/>
    <w:rsid w:val="005B5DE9"/>
    <w:pPr>
      <w:numPr>
        <w:ilvl w:val="4"/>
        <w:numId w:val="13"/>
      </w:numPr>
      <w:spacing w:before="120" w:after="120"/>
      <w:ind w:left="2977"/>
      <w:contextualSpacing w:val="0"/>
    </w:pPr>
  </w:style>
  <w:style w:type="paragraph" w:styleId="ListNumber5">
    <w:name w:val="List Number 5"/>
    <w:basedOn w:val="ListNumber4"/>
    <w:uiPriority w:val="99"/>
    <w:unhideWhenUsed/>
    <w:rsid w:val="005B5DE9"/>
    <w:pPr>
      <w:numPr>
        <w:ilvl w:val="4"/>
      </w:numPr>
    </w:pPr>
  </w:style>
  <w:style w:type="paragraph" w:customStyle="1" w:styleId="Cover-Assemblyname">
    <w:name w:val="Cover - Assembly name"/>
    <w:basedOn w:val="Header"/>
    <w:qFormat/>
    <w:rsid w:val="005B5DE9"/>
    <w:pPr>
      <w:spacing w:line="340" w:lineRule="exact"/>
      <w:ind w:left="1701"/>
    </w:pPr>
    <w:rPr>
      <w:rFonts w:ascii="Montserrat" w:hAnsi="Montserrat" w:cs="Arial"/>
      <w:b/>
      <w:bCs/>
      <w:color w:val="1A234C"/>
      <w:w w:val="90"/>
      <w:kern w:val="32"/>
      <w:sz w:val="32"/>
      <w:szCs w:val="32"/>
    </w:rPr>
  </w:style>
  <w:style w:type="paragraph" w:styleId="NoSpacing">
    <w:name w:val="No Spacing"/>
    <w:uiPriority w:val="1"/>
    <w:rsid w:val="005B5DE9"/>
    <w:pPr>
      <w:spacing w:after="0" w:line="240" w:lineRule="auto"/>
    </w:pPr>
  </w:style>
  <w:style w:type="paragraph" w:styleId="ListNumber2">
    <w:name w:val="List Number 2"/>
    <w:basedOn w:val="Normal"/>
    <w:uiPriority w:val="99"/>
    <w:unhideWhenUsed/>
    <w:qFormat/>
    <w:rsid w:val="005B5DE9"/>
    <w:pPr>
      <w:numPr>
        <w:ilvl w:val="1"/>
        <w:numId w:val="16"/>
      </w:numPr>
      <w:spacing w:before="80" w:after="120"/>
    </w:pPr>
    <w:rPr>
      <w:rFonts w:cstheme="minorHAnsi"/>
      <w:bCs/>
      <w:color w:val="000000" w:themeColor="text1"/>
      <w:szCs w:val="20"/>
    </w:rPr>
  </w:style>
  <w:style w:type="paragraph" w:styleId="ListNumber">
    <w:name w:val="List Number"/>
    <w:basedOn w:val="Heading1"/>
    <w:next w:val="ListNumber2"/>
    <w:uiPriority w:val="99"/>
    <w:unhideWhenUsed/>
    <w:rsid w:val="005B5DE9"/>
  </w:style>
  <w:style w:type="paragraph" w:styleId="ListNumber3">
    <w:name w:val="List Number 3"/>
    <w:basedOn w:val="ListNumber2"/>
    <w:uiPriority w:val="99"/>
    <w:unhideWhenUsed/>
    <w:rsid w:val="005B5DE9"/>
    <w:pPr>
      <w:numPr>
        <w:ilvl w:val="2"/>
      </w:numPr>
    </w:pPr>
  </w:style>
  <w:style w:type="paragraph" w:styleId="ListNumber4">
    <w:name w:val="List Number 4"/>
    <w:basedOn w:val="ListNumber3"/>
    <w:uiPriority w:val="99"/>
    <w:unhideWhenUsed/>
    <w:rsid w:val="005B5DE9"/>
    <w:pPr>
      <w:numPr>
        <w:ilvl w:val="3"/>
      </w:numPr>
    </w:pPr>
  </w:style>
  <w:style w:type="character" w:styleId="CommentReference">
    <w:name w:val="annotation reference"/>
    <w:basedOn w:val="DefaultParagraphFont"/>
    <w:uiPriority w:val="99"/>
    <w:semiHidden/>
    <w:unhideWhenUsed/>
    <w:rsid w:val="005B5DE9"/>
    <w:rPr>
      <w:sz w:val="16"/>
      <w:szCs w:val="16"/>
    </w:rPr>
  </w:style>
  <w:style w:type="paragraph" w:styleId="CommentText">
    <w:name w:val="annotation text"/>
    <w:basedOn w:val="Normal"/>
    <w:link w:val="CommentTextChar"/>
    <w:uiPriority w:val="99"/>
    <w:unhideWhenUsed/>
    <w:rsid w:val="005B5DE9"/>
    <w:pPr>
      <w:spacing w:line="240" w:lineRule="auto"/>
    </w:pPr>
    <w:rPr>
      <w:sz w:val="20"/>
      <w:szCs w:val="20"/>
    </w:rPr>
  </w:style>
  <w:style w:type="character" w:customStyle="1" w:styleId="CommentTextChar">
    <w:name w:val="Comment Text Char"/>
    <w:basedOn w:val="DefaultParagraphFont"/>
    <w:link w:val="CommentText"/>
    <w:uiPriority w:val="99"/>
    <w:rsid w:val="005B5DE9"/>
    <w:rPr>
      <w:sz w:val="20"/>
      <w:szCs w:val="20"/>
    </w:rPr>
  </w:style>
  <w:style w:type="paragraph" w:styleId="CommentSubject">
    <w:name w:val="annotation subject"/>
    <w:basedOn w:val="CommentText"/>
    <w:next w:val="CommentText"/>
    <w:link w:val="CommentSubjectChar"/>
    <w:uiPriority w:val="99"/>
    <w:semiHidden/>
    <w:unhideWhenUsed/>
    <w:rsid w:val="005B5DE9"/>
    <w:rPr>
      <w:b/>
      <w:bCs/>
    </w:rPr>
  </w:style>
  <w:style w:type="character" w:customStyle="1" w:styleId="CommentSubjectChar">
    <w:name w:val="Comment Subject Char"/>
    <w:basedOn w:val="CommentTextChar"/>
    <w:link w:val="CommentSubject"/>
    <w:uiPriority w:val="99"/>
    <w:semiHidden/>
    <w:rsid w:val="005B5DE9"/>
    <w:rPr>
      <w:b/>
      <w:bCs/>
      <w:sz w:val="20"/>
      <w:szCs w:val="20"/>
    </w:rPr>
  </w:style>
  <w:style w:type="table" w:customStyle="1" w:styleId="Assemblystyletable">
    <w:name w:val="Assembly style table"/>
    <w:basedOn w:val="TableNormal"/>
    <w:uiPriority w:val="99"/>
    <w:rsid w:val="005B5DE9"/>
    <w:pPr>
      <w:adjustRightInd w:val="0"/>
      <w:spacing w:before="80" w:after="80" w:line="240" w:lineRule="auto"/>
    </w:pPr>
    <w:rPr>
      <w:color w:val="000000" w:themeColor="text1"/>
      <w:sz w:val="20"/>
    </w:rPr>
    <w:tblPr>
      <w:tblStyleRowBandSize w:val="1"/>
      <w:tblBorders>
        <w:top w:val="single" w:sz="4" w:space="0" w:color="2F5496"/>
        <w:bottom w:val="single" w:sz="12" w:space="0" w:color="2F5496"/>
      </w:tblBorders>
    </w:tblPr>
    <w:tcPr>
      <w:vAlign w:val="center"/>
    </w:tcPr>
    <w:tblStylePr w:type="firstRow">
      <w:pPr>
        <w:jc w:val="left"/>
      </w:pPr>
      <w:rPr>
        <w:rFonts w:ascii="Calibri" w:hAnsi="Calibri"/>
        <w:b w:val="0"/>
        <w:color w:val="000000" w:themeColor="text1"/>
        <w:sz w:val="20"/>
      </w:rPr>
      <w:tblPr/>
      <w:tcPr>
        <w:tcBorders>
          <w:top w:val="single" w:sz="12" w:space="0" w:color="2F5496"/>
          <w:left w:val="nil"/>
          <w:bottom w:val="single" w:sz="4" w:space="0" w:color="2F5496"/>
          <w:right w:val="nil"/>
          <w:insideH w:val="nil"/>
          <w:insideV w:val="nil"/>
        </w:tcBorders>
        <w:vAlign w:val="center"/>
      </w:tcPr>
    </w:tblStylePr>
    <w:tblStylePr w:type="lastRow">
      <w:tblPr/>
      <w:tcPr>
        <w:tcBorders>
          <w:top w:val="single" w:sz="4" w:space="0" w:color="2F5496"/>
          <w:bottom w:val="single" w:sz="12" w:space="0" w:color="2F5496"/>
        </w:tcBorders>
      </w:tcPr>
    </w:tblStylePr>
    <w:tblStylePr w:type="band1Horz">
      <w:tblPr/>
      <w:tcPr>
        <w:shd w:val="clear" w:color="auto" w:fill="F2F2F2"/>
      </w:tcPr>
    </w:tblStylePr>
    <w:tblStylePr w:type="band2Horz">
      <w:tblPr/>
      <w:tcPr>
        <w:shd w:val="clear" w:color="auto" w:fill="E7E6E6"/>
      </w:tcPr>
    </w:tblStylePr>
  </w:style>
  <w:style w:type="paragraph" w:customStyle="1" w:styleId="Tableheading">
    <w:name w:val="Table heading"/>
    <w:qFormat/>
    <w:rsid w:val="005B5DE9"/>
    <w:pPr>
      <w:adjustRightInd w:val="0"/>
      <w:spacing w:before="80" w:after="80" w:line="240" w:lineRule="auto"/>
    </w:pPr>
    <w:rPr>
      <w:rFonts w:ascii="Calibri" w:hAnsi="Calibri" w:cstheme="minorHAnsi"/>
      <w:b/>
      <w:bCs/>
      <w:color w:val="000000" w:themeColor="text1"/>
      <w:sz w:val="20"/>
      <w:szCs w:val="20"/>
    </w:rPr>
  </w:style>
  <w:style w:type="paragraph" w:customStyle="1" w:styleId="Tablebody">
    <w:name w:val="Table body"/>
    <w:basedOn w:val="ListNumber3"/>
    <w:qFormat/>
    <w:rsid w:val="005B5DE9"/>
    <w:pPr>
      <w:numPr>
        <w:ilvl w:val="0"/>
        <w:numId w:val="0"/>
      </w:numPr>
      <w:adjustRightInd w:val="0"/>
      <w:spacing w:after="80" w:line="240" w:lineRule="auto"/>
    </w:pPr>
    <w:rPr>
      <w:sz w:val="20"/>
    </w:rPr>
  </w:style>
  <w:style w:type="paragraph" w:styleId="Caption">
    <w:name w:val="caption"/>
    <w:basedOn w:val="Normal"/>
    <w:next w:val="ListNumber2"/>
    <w:uiPriority w:val="35"/>
    <w:unhideWhenUsed/>
    <w:qFormat/>
    <w:rsid w:val="005B5DE9"/>
    <w:pPr>
      <w:spacing w:after="200" w:line="240" w:lineRule="auto"/>
      <w:ind w:left="709"/>
    </w:pPr>
    <w:rPr>
      <w:iCs/>
      <w:color w:val="7F7F7F" w:themeColor="text1" w:themeTint="80"/>
      <w:sz w:val="18"/>
      <w:szCs w:val="18"/>
    </w:rPr>
  </w:style>
  <w:style w:type="paragraph" w:customStyle="1" w:styleId="FrontmatterRecommendationlistheading">
    <w:name w:val="Front matter (Recommendation list heading)"/>
    <w:basedOn w:val="Recommendationheading"/>
    <w:next w:val="Normal"/>
    <w:rsid w:val="005B5DE9"/>
  </w:style>
  <w:style w:type="paragraph" w:customStyle="1" w:styleId="FrontmatterRecommendationlistbody">
    <w:name w:val="Front matter (Recommendation list body)"/>
    <w:basedOn w:val="Normal"/>
    <w:rsid w:val="005B5DE9"/>
    <w:pPr>
      <w:spacing w:before="120" w:after="120" w:line="252" w:lineRule="auto"/>
    </w:pPr>
    <w:rPr>
      <w:color w:val="000000" w:themeColor="text1"/>
    </w:rPr>
  </w:style>
  <w:style w:type="paragraph" w:customStyle="1" w:styleId="Recommendationbody">
    <w:name w:val="Recommendation body"/>
    <w:basedOn w:val="Normal"/>
    <w:next w:val="Normal"/>
    <w:rsid w:val="005B5DE9"/>
    <w:pPr>
      <w:spacing w:before="120" w:after="120"/>
    </w:pPr>
  </w:style>
  <w:style w:type="table" w:customStyle="1" w:styleId="Recommendationbox">
    <w:name w:val="Recommendation box"/>
    <w:basedOn w:val="TableNormal"/>
    <w:uiPriority w:val="99"/>
    <w:rsid w:val="005B5DE9"/>
    <w:pPr>
      <w:spacing w:after="0" w:line="240" w:lineRule="auto"/>
    </w:pPr>
    <w:tblPr>
      <w:tblCellSpacing w:w="71" w:type="dxa"/>
      <w:tblInd w:w="851" w:type="dxa"/>
    </w:tblPr>
    <w:trPr>
      <w:tblCellSpacing w:w="71" w:type="dxa"/>
    </w:trPr>
    <w:tcPr>
      <w:shd w:val="clear" w:color="auto" w:fill="D5DEF0"/>
      <w:vAlign w:val="center"/>
    </w:tcPr>
  </w:style>
  <w:style w:type="paragraph" w:styleId="TableofFigures">
    <w:name w:val="table of figures"/>
    <w:basedOn w:val="Recommendationheading"/>
    <w:next w:val="Recommendationbody"/>
    <w:uiPriority w:val="99"/>
    <w:unhideWhenUsed/>
    <w:rsid w:val="005B5DE9"/>
    <w:pPr>
      <w:spacing w:after="0"/>
    </w:pPr>
  </w:style>
  <w:style w:type="paragraph" w:styleId="FootnoteText">
    <w:name w:val="footnote text"/>
    <w:basedOn w:val="Normal"/>
    <w:link w:val="FootnoteTextChar"/>
    <w:uiPriority w:val="99"/>
    <w:unhideWhenUsed/>
    <w:rsid w:val="005B5DE9"/>
    <w:pPr>
      <w:spacing w:after="0" w:line="240" w:lineRule="auto"/>
      <w:ind w:left="284" w:hanging="284"/>
    </w:pPr>
    <w:rPr>
      <w:sz w:val="20"/>
      <w:szCs w:val="20"/>
    </w:rPr>
  </w:style>
  <w:style w:type="character" w:customStyle="1" w:styleId="FootnoteTextChar">
    <w:name w:val="Footnote Text Char"/>
    <w:basedOn w:val="DefaultParagraphFont"/>
    <w:link w:val="FootnoteText"/>
    <w:uiPriority w:val="99"/>
    <w:rsid w:val="005B5DE9"/>
    <w:rPr>
      <w:sz w:val="20"/>
      <w:szCs w:val="20"/>
    </w:rPr>
  </w:style>
  <w:style w:type="character" w:styleId="FootnoteReference">
    <w:name w:val="footnote reference"/>
    <w:aliases w:val="Footnote number,Footnotes refss"/>
    <w:basedOn w:val="DefaultParagraphFont"/>
    <w:uiPriority w:val="99"/>
    <w:unhideWhenUsed/>
    <w:rsid w:val="005B5DE9"/>
    <w:rPr>
      <w:vertAlign w:val="superscript"/>
    </w:rPr>
  </w:style>
  <w:style w:type="paragraph" w:styleId="List2">
    <w:name w:val="List 2"/>
    <w:basedOn w:val="Normal"/>
    <w:uiPriority w:val="99"/>
    <w:unhideWhenUsed/>
    <w:rsid w:val="005B5DE9"/>
    <w:pPr>
      <w:ind w:left="566" w:hanging="283"/>
      <w:contextualSpacing/>
    </w:pPr>
  </w:style>
  <w:style w:type="paragraph" w:customStyle="1" w:styleId="Recommendationbullet">
    <w:name w:val="Recommendation bullet"/>
    <w:basedOn w:val="ListBullet"/>
    <w:qFormat/>
    <w:rsid w:val="005B5DE9"/>
    <w:pPr>
      <w:ind w:left="467"/>
    </w:pPr>
  </w:style>
  <w:style w:type="paragraph" w:styleId="BodyText">
    <w:name w:val="Body Text"/>
    <w:basedOn w:val="Normal"/>
    <w:link w:val="BodyTextChar"/>
    <w:uiPriority w:val="99"/>
    <w:unhideWhenUsed/>
    <w:rsid w:val="005B5DE9"/>
    <w:pPr>
      <w:spacing w:after="120"/>
    </w:pPr>
  </w:style>
  <w:style w:type="character" w:customStyle="1" w:styleId="BodyTextChar">
    <w:name w:val="Body Text Char"/>
    <w:basedOn w:val="DefaultParagraphFont"/>
    <w:link w:val="BodyText"/>
    <w:uiPriority w:val="99"/>
    <w:rsid w:val="005B5DE9"/>
  </w:style>
  <w:style w:type="paragraph" w:customStyle="1" w:styleId="Bodycopy">
    <w:name w:val="Body copy"/>
    <w:qFormat/>
    <w:rsid w:val="005B5DE9"/>
    <w:pPr>
      <w:keepNext/>
      <w:widowControl w:val="0"/>
      <w:spacing w:before="200" w:after="200" w:line="300" w:lineRule="exact"/>
    </w:pPr>
    <w:rPr>
      <w:rFonts w:cstheme="minorHAnsi"/>
      <w:color w:val="000000"/>
      <w:spacing w:val="-3"/>
      <w:szCs w:val="20"/>
      <w:lang w:eastAsia="en-AU"/>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link w:val="ListParagraph"/>
    <w:uiPriority w:val="34"/>
    <w:qFormat/>
    <w:locked/>
    <w:rsid w:val="005B5DE9"/>
  </w:style>
  <w:style w:type="character" w:styleId="FollowedHyperlink">
    <w:name w:val="FollowedHyperlink"/>
    <w:basedOn w:val="DefaultParagraphFont"/>
    <w:uiPriority w:val="99"/>
    <w:semiHidden/>
    <w:unhideWhenUsed/>
    <w:rsid w:val="005B5DE9"/>
    <w:rPr>
      <w:color w:val="954F72" w:themeColor="followedHyperlink"/>
      <w:u w:val="single"/>
    </w:rPr>
  </w:style>
  <w:style w:type="paragraph" w:styleId="Revision">
    <w:name w:val="Revision"/>
    <w:hidden/>
    <w:uiPriority w:val="99"/>
    <w:semiHidden/>
    <w:rsid w:val="005B5DE9"/>
    <w:pPr>
      <w:spacing w:after="0" w:line="240" w:lineRule="auto"/>
    </w:pPr>
  </w:style>
  <w:style w:type="character" w:customStyle="1" w:styleId="Heading6Char">
    <w:name w:val="Heading 6 Char"/>
    <w:basedOn w:val="DefaultParagraphFont"/>
    <w:link w:val="Heading6"/>
    <w:uiPriority w:val="9"/>
    <w:rsid w:val="00197C64"/>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s://www.hansard.act.gov.au/Hansard/10th-assembly/committee-transcripts.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www.cmtedd.act.gov.au/open_government/report/annual-report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arliament.act.gov.au/parliamentary-business/in-committees" TargetMode="External"/><Relationship Id="rId20" Type="http://schemas.openxmlformats.org/officeDocument/2006/relationships/hyperlink" Target="https://www.parliament.act.gov.au/parliamentary-business/in-committees/committees/ptcs/inquiry-into-annual-and-financial-reports-2021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mailto:LACommitteePTCS@parliament.act.gov.au" TargetMode="Externa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yperlink" Target="https://broadcast.parliament.act.gov.au/vod/hearing"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parliament.act.gov.au/__data/assets/pdf_file/0009/1980873/Resolution-of-establishment-for-the-committee.pdf" TargetMode="External"/><Relationship Id="rId22" Type="http://schemas.openxmlformats.org/officeDocument/2006/relationships/hyperlink" Target="https://www.planning.act.gov.au/__data/assets/pdf_file/0007/1285972/2018-ACT-Planning-Strategy.pdf"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hdp-au-prod-app-act-yoursay-files.s3.ap-southeast-2.amazonaws.com/1316/6848/3102/Draft_Inner_North_and_City_District_Strategy_-_08.11.22.pdf" TargetMode="External"/><Relationship Id="rId18" Type="http://schemas.openxmlformats.org/officeDocument/2006/relationships/hyperlink" Target="https://legislation.act.gov.au/View/ni/2022-697/current/html/2022-697.html" TargetMode="External"/><Relationship Id="rId26" Type="http://schemas.openxmlformats.org/officeDocument/2006/relationships/hyperlink" Target="https://www.cityservices.act.gov.au/__data/assets/pdf_file/0003/2089632/2021-22-Annual-Report.pdf" TargetMode="External"/><Relationship Id="rId39" Type="http://schemas.openxmlformats.org/officeDocument/2006/relationships/hyperlink" Target="https://www.cityservices.act.gov.au/__data/assets/pdf_file/0003/2089632/2021-22-Annual-Report.pdf" TargetMode="External"/><Relationship Id="rId21" Type="http://schemas.openxmlformats.org/officeDocument/2006/relationships/hyperlink" Target="https://www.cityservices.act.gov.au/__data/assets/pdf_file/0005/1851008/Strategic-Plan-2021-24.pdf" TargetMode="External"/><Relationship Id="rId34" Type="http://schemas.openxmlformats.org/officeDocument/2006/relationships/hyperlink" Target="https://www.cityservices.act.gov.au/__data/assets/pdf_file/0003/2089632/2021-22-Annual-Report.pdf" TargetMode="External"/><Relationship Id="rId7" Type="http://schemas.openxmlformats.org/officeDocument/2006/relationships/hyperlink" Target="https://www.planning.act.gov.au/planning-our-city/planning-studies/western-edge-investigation" TargetMode="External"/><Relationship Id="rId12" Type="http://schemas.openxmlformats.org/officeDocument/2006/relationships/hyperlink" Target="https://hdp-au-prod-app-act-yoursay-files.s3.ap-southeast-2.amazonaws.com/1316/6848/3102/Draft_Inner_North_and_City_District_Strategy_-_08.11.22.pdf" TargetMode="External"/><Relationship Id="rId17" Type="http://schemas.openxmlformats.org/officeDocument/2006/relationships/hyperlink" Target="https://www.cityservices.act.gov.au/__data/assets/pdf_file/0003/2089632/2021-22-Annual-Report.pdf" TargetMode="External"/><Relationship Id="rId25" Type="http://schemas.openxmlformats.org/officeDocument/2006/relationships/hyperlink" Target="https://www.cmtedd.act.gov.au/open_government/inform/act_government_media_releases/chris-steel-mla-media-releases/2023/travel-the-electric-way-on-canberras-first-zero-emissions-bus" TargetMode="External"/><Relationship Id="rId33" Type="http://schemas.openxmlformats.org/officeDocument/2006/relationships/hyperlink" Target="https://www.cityservices.act.gov.au/__data/assets/pdf_file/0003/2089632/2021-22-Annual-Report.pdf" TargetMode="External"/><Relationship Id="rId38" Type="http://schemas.openxmlformats.org/officeDocument/2006/relationships/hyperlink" Target="https://www.cityservices.act.gov.au/__data/assets/pdf_file/0003/2089632/2021-22-Annual-Report.pdf" TargetMode="External"/><Relationship Id="rId2" Type="http://schemas.openxmlformats.org/officeDocument/2006/relationships/hyperlink" Target="https://www.planning.act.gov.au/__data/assets/pdf_file/0004/2083729/2021-22-EPSDD-Annual-Report.pdf" TargetMode="External"/><Relationship Id="rId16" Type="http://schemas.openxmlformats.org/officeDocument/2006/relationships/hyperlink" Target="https://www.cityservices.act.gov.au/__data/assets/pdf_file/0003/2089632/2021-22-Annual-Report.pdf" TargetMode="External"/><Relationship Id="rId20" Type="http://schemas.openxmlformats.org/officeDocument/2006/relationships/hyperlink" Target="https://www.cityservices.act.gov.au/__data/assets/pdf_file/0003/2089632/2021-22-Annual-Report.pdf" TargetMode="External"/><Relationship Id="rId29" Type="http://schemas.openxmlformats.org/officeDocument/2006/relationships/hyperlink" Target="https://www.cityservices.act.gov.au/trees-and-nature/trees/tree-species-for-canberra" TargetMode="External"/><Relationship Id="rId1" Type="http://schemas.openxmlformats.org/officeDocument/2006/relationships/hyperlink" Target="https://www.cmtedd.act.gov.au/open_government/report/annual-reports" TargetMode="External"/><Relationship Id="rId6" Type="http://schemas.openxmlformats.org/officeDocument/2006/relationships/hyperlink" Target="https://legislation.act.gov.au/View/ni/2022-697/current/html/2022-697.html" TargetMode="External"/><Relationship Id="rId11" Type="http://schemas.openxmlformats.org/officeDocument/2006/relationships/hyperlink" Target="https://legislation.act.gov.au/View/ni/2022-697/current/html/2022-697.html" TargetMode="External"/><Relationship Id="rId24" Type="http://schemas.openxmlformats.org/officeDocument/2006/relationships/hyperlink" Target="https://www.cityservices.act.gov.au/__data/assets/pdf_file/0003/2089632/2021-22-Annual-Report.pdf" TargetMode="External"/><Relationship Id="rId32" Type="http://schemas.openxmlformats.org/officeDocument/2006/relationships/hyperlink" Target="https://www.cityservices.act.gov.au/__data/assets/pdf_file/0003/2089632/2021-22-Annual-Report.pdf" TargetMode="External"/><Relationship Id="rId37" Type="http://schemas.openxmlformats.org/officeDocument/2006/relationships/hyperlink" Target="https://www.cityservices.act.gov.au/recycling-and-waste/waste-strategies/reports-audits" TargetMode="External"/><Relationship Id="rId40" Type="http://schemas.openxmlformats.org/officeDocument/2006/relationships/hyperlink" Target="https://legislation.act.gov.au/View/ni/2022-697/current/html/2022-697.html" TargetMode="External"/><Relationship Id="rId5" Type="http://schemas.openxmlformats.org/officeDocument/2006/relationships/hyperlink" Target="https://legislation.act.gov.au/View/ni/2022-697/current/html/2022-697.html" TargetMode="External"/><Relationship Id="rId15" Type="http://schemas.openxmlformats.org/officeDocument/2006/relationships/hyperlink" Target="https://www.cityservices.act.gov.au/__data/assets/pdf_file/0003/2089632/2021-22-Annual-Report.pdf" TargetMode="External"/><Relationship Id="rId23" Type="http://schemas.openxmlformats.org/officeDocument/2006/relationships/hyperlink" Target="https://www.cityservices.act.gov.au/__data/assets/pdf_file/0003/2089632/2021-22-Annual-Report.pdf" TargetMode="External"/><Relationship Id="rId28" Type="http://schemas.openxmlformats.org/officeDocument/2006/relationships/hyperlink" Target="https://www.cityservices.act.gov.au/__data/assets/pdf_file/0006/1931091/Municipal-Infrastructure-Standards-25-Plant-Species-for-Urban-Landscape-Projects-Rev-1-UPDATED-20210104.pdf" TargetMode="External"/><Relationship Id="rId36" Type="http://schemas.openxmlformats.org/officeDocument/2006/relationships/hyperlink" Target="https://www.cityservices.act.gov.au/__data/assets/pdf_file/0012/2085996/20221007-Mitchell-RMC-DOS-PDF-FINAL.pdf" TargetMode="External"/><Relationship Id="rId10" Type="http://schemas.openxmlformats.org/officeDocument/2006/relationships/hyperlink" Target="https://legislation.act.gov.au/View/ni/2022-697/current/html/2022-697.html" TargetMode="External"/><Relationship Id="rId19" Type="http://schemas.openxmlformats.org/officeDocument/2006/relationships/hyperlink" Target="https://legislation.act.gov.au/View/ni/2022-697/current/html/2022-697.html" TargetMode="External"/><Relationship Id="rId31" Type="http://schemas.openxmlformats.org/officeDocument/2006/relationships/hyperlink" Target="https://www.parliament.act.gov.au/parliamentary-business/in-committees/committees/ptcs/act-budget-20212022" TargetMode="External"/><Relationship Id="rId4" Type="http://schemas.openxmlformats.org/officeDocument/2006/relationships/hyperlink" Target="https://www.planning.act.gov.au/__data/assets/pdf_file/0004/2083729/2021-22-EPSDD-Annual-Report.pdf" TargetMode="External"/><Relationship Id="rId9" Type="http://schemas.openxmlformats.org/officeDocument/2006/relationships/hyperlink" Target="https://legislation.act.gov.au/View/ni/2022-697/current/html/2022-697.html" TargetMode="External"/><Relationship Id="rId14" Type="http://schemas.openxmlformats.org/officeDocument/2006/relationships/hyperlink" Target="https://hdp-au-prod-app-act-yoursay-files.s3.ap-southeast-2.amazonaws.com/1316/6848/3102/Draft_Inner_North_and_City_District_Strategy_-_08.11.22.pdf" TargetMode="External"/><Relationship Id="rId22" Type="http://schemas.openxmlformats.org/officeDocument/2006/relationships/hyperlink" Target="https://www.cityservices.act.gov.au/__data/assets/pdf_file/0003/2089632/2021-22-Annual-Report.pdf" TargetMode="External"/><Relationship Id="rId27" Type="http://schemas.openxmlformats.org/officeDocument/2006/relationships/hyperlink" Target="https://www.cityservices.act.gov.au/__data/assets/pdf_file/0003/2089632/2021-22-Annual-Report.pdf" TargetMode="External"/><Relationship Id="rId30" Type="http://schemas.openxmlformats.org/officeDocument/2006/relationships/hyperlink" Target="https://www.cityservices.act.gov.au/__data/assets/pdf_file/0003/2089632/2021-22-Annual-Report.pdf" TargetMode="External"/><Relationship Id="rId35" Type="http://schemas.openxmlformats.org/officeDocument/2006/relationships/hyperlink" Target="https://www.cityservices.act.gov.au/Infrastructure-Projects/programs/waste-and-recycling-infrastructure/mitchell-rmc-proposed-relocation" TargetMode="External"/><Relationship Id="rId8" Type="http://schemas.openxmlformats.org/officeDocument/2006/relationships/hyperlink" Target="https://www.planning.act.gov.au/__data/assets/pdf_file/0004/2083729/2021-22-EPSDD-Annual-Report.pdf" TargetMode="External"/><Relationship Id="rId3" Type="http://schemas.openxmlformats.org/officeDocument/2006/relationships/hyperlink" Target="https://www.planning.act.gov.au/__data/assets/pdf_file/0004/2083729/2021-22-EPSDD-Annual-Repor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B8181-077A-4BB5-8E01-6CE4AEE25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46</Pages>
  <Words>10473</Words>
  <Characters>59697</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Ikeda, Miona</dc:creator>
  <cp:keywords/>
  <dc:description/>
  <cp:lastModifiedBy>Ikeda, Miona</cp:lastModifiedBy>
  <cp:revision>8</cp:revision>
  <dcterms:created xsi:type="dcterms:W3CDTF">2023-03-15T00:10:00Z</dcterms:created>
  <dcterms:modified xsi:type="dcterms:W3CDTF">2023-03-16T04:46:00Z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2023-03-09T03:21:14Z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85a16944-b248-407e-a433-739568085ce5</vt:lpwstr>
  </property>
  <property fmtid="{D5CDD505-2E9C-101B-9397-08002B2CF9AE}" pid="8" name="MSIP_Label_69af8531-eb46-4968-8cb3-105d2f5ea87e_ContentBits">
    <vt:lpwstr>0</vt:lpwstr>
  </property>
</Properties>
</file>