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B18FB" w14:textId="77777777" w:rsidR="00312736" w:rsidRPr="00C8358A" w:rsidRDefault="00312736" w:rsidP="00312736">
      <w:pPr>
        <w:pStyle w:val="Cover-Committeename"/>
        <w:ind w:left="1701"/>
      </w:pPr>
      <w:bookmarkStart w:id="0" w:name="_Toc79133346"/>
      <w:r w:rsidRPr="00C8358A">
        <w:t xml:space="preserve">Standing </w:t>
      </w:r>
      <w:r>
        <w:t>Committee</w:t>
      </w:r>
      <w:r w:rsidRPr="00C8358A">
        <w:t xml:space="preserve"> on </w:t>
      </w:r>
      <w:r>
        <w:t xml:space="preserve">Justice and Community Safety </w:t>
      </w:r>
    </w:p>
    <w:p w14:paraId="046A0B5C" w14:textId="77777777" w:rsidR="00312736" w:rsidRDefault="00312736" w:rsidP="00312736">
      <w:pPr>
        <w:pStyle w:val="Title"/>
        <w:ind w:right="-46"/>
      </w:pPr>
      <w:r w:rsidRPr="00C8358A">
        <w:t xml:space="preserve">Inquiry </w:t>
      </w:r>
      <w:r>
        <w:t>into the Justice and Community Safety Legislation Amendment Bill 2022 (No 2)</w:t>
      </w:r>
    </w:p>
    <w:p w14:paraId="73428868" w14:textId="77777777" w:rsidR="00312736" w:rsidRDefault="00312736" w:rsidP="00312736">
      <w:pPr>
        <w:spacing w:line="259" w:lineRule="auto"/>
        <w:rPr>
          <w:rFonts w:ascii="Montserrat" w:eastAsiaTheme="majorEastAsia" w:hAnsi="Montserrat" w:cstheme="majorBidi"/>
          <w:b/>
          <w:spacing w:val="-10"/>
          <w:w w:val="90"/>
          <w:kern w:val="28"/>
          <w:sz w:val="58"/>
          <w:szCs w:val="58"/>
        </w:rPr>
      </w:pPr>
      <w:r>
        <w:br w:type="page"/>
      </w:r>
    </w:p>
    <w:p w14:paraId="5A7802A1" w14:textId="77777777" w:rsidR="00312736" w:rsidRPr="0075417C" w:rsidRDefault="00312736" w:rsidP="00312736">
      <w:pPr>
        <w:tabs>
          <w:tab w:val="left" w:pos="3165"/>
        </w:tabs>
        <w:rPr>
          <w:rFonts w:ascii="Montserrat" w:eastAsiaTheme="majorEastAsia" w:hAnsi="Montserrat" w:cstheme="majorBidi"/>
          <w:spacing w:val="-10"/>
          <w:w w:val="90"/>
          <w:kern w:val="28"/>
          <w:sz w:val="58"/>
          <w:szCs w:val="58"/>
        </w:rPr>
        <w:sectPr w:rsidR="00312736" w:rsidRPr="0075417C" w:rsidSect="00D376C4">
          <w:footerReference w:type="even"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r>
        <w:lastRenderedPageBreak/>
        <w:br w:type="page"/>
      </w:r>
    </w:p>
    <w:p w14:paraId="4909B646" w14:textId="77777777" w:rsidR="00312736" w:rsidRDefault="00312736" w:rsidP="004A0C6F">
      <w:pPr>
        <w:pStyle w:val="Heading1nonumber"/>
      </w:pPr>
      <w:bookmarkStart w:id="1" w:name="_Toc122597507"/>
      <w:r>
        <w:lastRenderedPageBreak/>
        <w:t>About the Committee</w:t>
      </w:r>
      <w:bookmarkEnd w:id="1"/>
    </w:p>
    <w:p w14:paraId="14A288D4" w14:textId="77777777" w:rsidR="00312736" w:rsidRDefault="00312736" w:rsidP="00144310">
      <w:pPr>
        <w:pStyle w:val="Heading2"/>
      </w:pPr>
      <w:bookmarkStart w:id="2" w:name="_Toc122597508"/>
      <w:r>
        <w:t>Establishing resolution</w:t>
      </w:r>
      <w:bookmarkEnd w:id="2"/>
    </w:p>
    <w:p w14:paraId="3A67E7FC" w14:textId="5C96293B" w:rsidR="00312736" w:rsidRDefault="00312736" w:rsidP="00312736">
      <w:r>
        <w:t xml:space="preserve">The Assembly established the </w:t>
      </w:r>
      <w:fldSimple w:instr=" STYLEREF  &quot;Cover - Committee name&quot;  \* MERGEFORMAT ">
        <w:r w:rsidR="009823A7">
          <w:rPr>
            <w:noProof/>
          </w:rPr>
          <w:t>Standing Committee on Justice and Community Safety</w:t>
        </w:r>
      </w:fldSimple>
      <w:r>
        <w:t xml:space="preserve"> on </w:t>
      </w:r>
      <w:r>
        <w:br/>
        <w:t xml:space="preserve">2 December 2020. </w:t>
      </w:r>
    </w:p>
    <w:p w14:paraId="3F3B8683" w14:textId="77777777" w:rsidR="00312736" w:rsidRDefault="00312736" w:rsidP="00312736">
      <w:pPr>
        <w:spacing w:after="120"/>
      </w:pPr>
      <w:r>
        <w:t>The Committee’s areas of responsibility are:</w:t>
      </w:r>
    </w:p>
    <w:p w14:paraId="69A432DE" w14:textId="77777777" w:rsidR="00312736" w:rsidRDefault="00312736" w:rsidP="00312736">
      <w:pPr>
        <w:pStyle w:val="ListParagraph"/>
        <w:numPr>
          <w:ilvl w:val="0"/>
          <w:numId w:val="2"/>
        </w:numPr>
        <w:sectPr w:rsidR="00312736" w:rsidSect="009F5A83">
          <w:footerReference w:type="even" r:id="rId12"/>
          <w:footerReference w:type="default" r:id="rId13"/>
          <w:pgSz w:w="11906" w:h="16838"/>
          <w:pgMar w:top="1440" w:right="1440" w:bottom="1440" w:left="1440" w:header="708" w:footer="708" w:gutter="0"/>
          <w:pgNumType w:fmt="lowerRoman" w:start="1"/>
          <w:cols w:space="708"/>
          <w:docGrid w:linePitch="360"/>
        </w:sectPr>
      </w:pPr>
    </w:p>
    <w:p w14:paraId="5B406256" w14:textId="77777777" w:rsidR="00312736" w:rsidRDefault="00312736" w:rsidP="00312736">
      <w:pPr>
        <w:pStyle w:val="ListParagraph"/>
        <w:numPr>
          <w:ilvl w:val="0"/>
          <w:numId w:val="2"/>
        </w:numPr>
      </w:pPr>
      <w:r>
        <w:t>ACT Electoral Commission</w:t>
      </w:r>
    </w:p>
    <w:p w14:paraId="50096877" w14:textId="77777777" w:rsidR="00312736" w:rsidRDefault="00312736" w:rsidP="00312736">
      <w:pPr>
        <w:pStyle w:val="ListParagraph"/>
        <w:numPr>
          <w:ilvl w:val="0"/>
          <w:numId w:val="2"/>
        </w:numPr>
      </w:pPr>
      <w:r>
        <w:t>ACT Integrity Commission</w:t>
      </w:r>
    </w:p>
    <w:p w14:paraId="13F9744D" w14:textId="77777777" w:rsidR="00312736" w:rsidRDefault="00312736" w:rsidP="00312736">
      <w:pPr>
        <w:pStyle w:val="ListParagraph"/>
        <w:numPr>
          <w:ilvl w:val="0"/>
          <w:numId w:val="2"/>
        </w:numPr>
      </w:pPr>
      <w:r>
        <w:t>Gaming</w:t>
      </w:r>
    </w:p>
    <w:p w14:paraId="63EF63FE" w14:textId="77777777" w:rsidR="00312736" w:rsidRDefault="00312736" w:rsidP="00312736">
      <w:pPr>
        <w:pStyle w:val="ListParagraph"/>
        <w:numPr>
          <w:ilvl w:val="0"/>
          <w:numId w:val="2"/>
        </w:numPr>
      </w:pPr>
      <w:r>
        <w:t>Minister of State (JACS reporting areas)</w:t>
      </w:r>
    </w:p>
    <w:p w14:paraId="71DC060D" w14:textId="77777777" w:rsidR="00312736" w:rsidRDefault="00312736" w:rsidP="00312736">
      <w:pPr>
        <w:pStyle w:val="ListParagraph"/>
        <w:numPr>
          <w:ilvl w:val="0"/>
          <w:numId w:val="2"/>
        </w:numPr>
      </w:pPr>
      <w:r>
        <w:t>Emergency management and the Emergency Services Agency</w:t>
      </w:r>
    </w:p>
    <w:p w14:paraId="20E10774" w14:textId="77777777" w:rsidR="00312736" w:rsidRDefault="00312736" w:rsidP="00312736">
      <w:pPr>
        <w:pStyle w:val="ListParagraph"/>
        <w:numPr>
          <w:ilvl w:val="0"/>
          <w:numId w:val="2"/>
        </w:numPr>
      </w:pPr>
      <w:r>
        <w:t>Policing and ACT Policing</w:t>
      </w:r>
    </w:p>
    <w:p w14:paraId="73E7A1D0" w14:textId="77777777" w:rsidR="00312736" w:rsidRDefault="00312736" w:rsidP="00312736">
      <w:pPr>
        <w:pStyle w:val="ListParagraph"/>
        <w:numPr>
          <w:ilvl w:val="0"/>
          <w:numId w:val="2"/>
        </w:numPr>
      </w:pPr>
      <w:r>
        <w:t>ACT Ombudsman</w:t>
      </w:r>
    </w:p>
    <w:p w14:paraId="18379D01" w14:textId="77777777" w:rsidR="00312736" w:rsidRDefault="00312736" w:rsidP="00312736">
      <w:pPr>
        <w:pStyle w:val="ListParagraph"/>
        <w:numPr>
          <w:ilvl w:val="0"/>
          <w:numId w:val="2"/>
        </w:numPr>
      </w:pPr>
      <w:r>
        <w:t>Corrective services</w:t>
      </w:r>
    </w:p>
    <w:p w14:paraId="288EED55" w14:textId="77777777" w:rsidR="00312736" w:rsidRDefault="00312736" w:rsidP="00312736">
      <w:pPr>
        <w:pStyle w:val="ListParagraph"/>
        <w:numPr>
          <w:ilvl w:val="0"/>
          <w:numId w:val="2"/>
        </w:numPr>
      </w:pPr>
      <w:r>
        <w:t>Attorney-General</w:t>
      </w:r>
    </w:p>
    <w:p w14:paraId="0E3391AD" w14:textId="77777777" w:rsidR="00312736" w:rsidRDefault="00312736" w:rsidP="00312736">
      <w:pPr>
        <w:pStyle w:val="ListParagraph"/>
        <w:numPr>
          <w:ilvl w:val="0"/>
          <w:numId w:val="2"/>
        </w:numPr>
      </w:pPr>
      <w:r>
        <w:t>Consumer affairs</w:t>
      </w:r>
    </w:p>
    <w:p w14:paraId="6B684B5F" w14:textId="77777777" w:rsidR="00312736" w:rsidRDefault="00312736" w:rsidP="00312736">
      <w:pPr>
        <w:pStyle w:val="ListParagraph"/>
        <w:numPr>
          <w:ilvl w:val="0"/>
          <w:numId w:val="2"/>
        </w:numPr>
      </w:pPr>
      <w:r>
        <w:t>Human rights</w:t>
      </w:r>
    </w:p>
    <w:p w14:paraId="1B207E30" w14:textId="77777777" w:rsidR="00312736" w:rsidRDefault="00312736" w:rsidP="00312736">
      <w:pPr>
        <w:pStyle w:val="ListParagraph"/>
        <w:numPr>
          <w:ilvl w:val="0"/>
          <w:numId w:val="2"/>
        </w:numPr>
      </w:pPr>
      <w:r>
        <w:t>Victims of crime</w:t>
      </w:r>
    </w:p>
    <w:p w14:paraId="4895C8E2" w14:textId="77777777" w:rsidR="00312736" w:rsidRDefault="00312736" w:rsidP="00312736">
      <w:pPr>
        <w:pStyle w:val="ListParagraph"/>
        <w:numPr>
          <w:ilvl w:val="0"/>
          <w:numId w:val="2"/>
        </w:numPr>
      </w:pPr>
      <w:r>
        <w:t>Access to justice and restorative practice</w:t>
      </w:r>
    </w:p>
    <w:p w14:paraId="354870F3" w14:textId="77777777" w:rsidR="00312736" w:rsidRDefault="00312736" w:rsidP="00312736">
      <w:pPr>
        <w:pStyle w:val="ListParagraph"/>
        <w:numPr>
          <w:ilvl w:val="0"/>
          <w:numId w:val="2"/>
        </w:numPr>
      </w:pPr>
      <w:r>
        <w:t>Public Trustee and Guardian</w:t>
      </w:r>
    </w:p>
    <w:p w14:paraId="3721F4DE" w14:textId="77777777" w:rsidR="00312736" w:rsidRDefault="00312736" w:rsidP="00312736">
      <w:pPr>
        <w:sectPr w:rsidR="00312736" w:rsidSect="004D5396">
          <w:type w:val="continuous"/>
          <w:pgSz w:w="11906" w:h="16838"/>
          <w:pgMar w:top="1440" w:right="1440" w:bottom="1440" w:left="1440" w:header="708" w:footer="708" w:gutter="0"/>
          <w:pgNumType w:fmt="lowerRoman" w:start="1"/>
          <w:cols w:num="2" w:space="708"/>
          <w:docGrid w:linePitch="360"/>
        </w:sectPr>
      </w:pPr>
    </w:p>
    <w:p w14:paraId="2CBBB347" w14:textId="75C7CC09" w:rsidR="00312736" w:rsidRDefault="00312736" w:rsidP="00312736">
      <w:pPr>
        <w:spacing w:before="120"/>
      </w:pPr>
      <w:r>
        <w:br/>
        <w:t xml:space="preserve">You can read the full establishing resolution </w:t>
      </w:r>
      <w:hyperlink r:id="rId14" w:history="1">
        <w:r w:rsidRPr="006718E3">
          <w:rPr>
            <w:rStyle w:val="Hyperlink"/>
          </w:rPr>
          <w:t xml:space="preserve">on our </w:t>
        </w:r>
        <w:r w:rsidRPr="006718E3">
          <w:rPr>
            <w:rStyle w:val="Hyperlink"/>
          </w:rPr>
          <w:t>w</w:t>
        </w:r>
        <w:r w:rsidRPr="006718E3">
          <w:rPr>
            <w:rStyle w:val="Hyperlink"/>
          </w:rPr>
          <w:t>e</w:t>
        </w:r>
        <w:r w:rsidRPr="006718E3">
          <w:rPr>
            <w:rStyle w:val="Hyperlink"/>
          </w:rPr>
          <w:t>bsite.</w:t>
        </w:r>
      </w:hyperlink>
    </w:p>
    <w:p w14:paraId="37D98156" w14:textId="77777777" w:rsidR="00312736" w:rsidRDefault="00312736" w:rsidP="00144310">
      <w:pPr>
        <w:pStyle w:val="Heading2"/>
      </w:pPr>
      <w:bookmarkStart w:id="3" w:name="_Toc122597509"/>
      <w:r>
        <w:t>Committee members</w:t>
      </w:r>
      <w:bookmarkEnd w:id="3"/>
    </w:p>
    <w:p w14:paraId="2E439237" w14:textId="77777777" w:rsidR="00312736" w:rsidRDefault="00312736" w:rsidP="00312736">
      <w:pPr>
        <w:pStyle w:val="List"/>
      </w:pPr>
      <w:r>
        <w:t xml:space="preserve">Mr Peter Cain MLA, Chair </w:t>
      </w:r>
    </w:p>
    <w:p w14:paraId="714D16E1" w14:textId="77777777" w:rsidR="00312736" w:rsidRDefault="00312736" w:rsidP="00312736">
      <w:pPr>
        <w:pStyle w:val="List"/>
      </w:pPr>
      <w:r>
        <w:t>Dr Marisa Paterson MLA, Deputy Chair</w:t>
      </w:r>
    </w:p>
    <w:p w14:paraId="357399D8" w14:textId="77777777" w:rsidR="00312736" w:rsidRDefault="00312736" w:rsidP="00312736">
      <w:pPr>
        <w:pStyle w:val="List"/>
      </w:pPr>
      <w:r>
        <w:t xml:space="preserve">Mr Andrew Braddock MLA </w:t>
      </w:r>
    </w:p>
    <w:p w14:paraId="2EE1C0B9" w14:textId="77777777" w:rsidR="00312736" w:rsidRDefault="00312736" w:rsidP="00144310">
      <w:pPr>
        <w:pStyle w:val="Heading2"/>
      </w:pPr>
      <w:bookmarkStart w:id="4" w:name="_Toc122597510"/>
      <w:r>
        <w:t>Secretariat</w:t>
      </w:r>
      <w:bookmarkEnd w:id="4"/>
    </w:p>
    <w:p w14:paraId="25AB371A" w14:textId="77777777" w:rsidR="00312736" w:rsidRPr="00A23A3E" w:rsidRDefault="00312736" w:rsidP="00312736">
      <w:pPr>
        <w:pStyle w:val="List"/>
      </w:pPr>
      <w:r>
        <w:t>Ms Kathleen de Kleuver</w:t>
      </w:r>
      <w:r w:rsidRPr="00A23A3E">
        <w:t xml:space="preserve">, </w:t>
      </w:r>
      <w:r>
        <w:t>Committee</w:t>
      </w:r>
      <w:r w:rsidRPr="00A23A3E">
        <w:t xml:space="preserve"> Secretary</w:t>
      </w:r>
      <w:r>
        <w:t xml:space="preserve"> </w:t>
      </w:r>
    </w:p>
    <w:p w14:paraId="346D9545" w14:textId="77777777" w:rsidR="00312736" w:rsidRDefault="00312736" w:rsidP="00312736">
      <w:pPr>
        <w:pStyle w:val="List"/>
      </w:pPr>
      <w:r>
        <w:t xml:space="preserve">Ms </w:t>
      </w:r>
      <w:r w:rsidRPr="006650B9">
        <w:t>Emma Weaver, Acting Assistant</w:t>
      </w:r>
      <w:r>
        <w:t xml:space="preserve"> Secretary</w:t>
      </w:r>
    </w:p>
    <w:p w14:paraId="6B045413" w14:textId="77777777" w:rsidR="00312736" w:rsidRDefault="00312736" w:rsidP="00312736">
      <w:pPr>
        <w:pStyle w:val="List"/>
      </w:pPr>
      <w:r>
        <w:t>Mr Alexander Hildyard, Administrative Assistant</w:t>
      </w:r>
    </w:p>
    <w:p w14:paraId="201A5F34" w14:textId="77777777" w:rsidR="00312736" w:rsidRDefault="00312736" w:rsidP="00144310">
      <w:pPr>
        <w:pStyle w:val="Heading2"/>
      </w:pPr>
      <w:bookmarkStart w:id="5" w:name="_Toc122597511"/>
      <w:r>
        <w:t>Contact us</w:t>
      </w:r>
      <w:bookmarkEnd w:id="5"/>
    </w:p>
    <w:p w14:paraId="2EC322F0" w14:textId="53943D1F" w:rsidR="00312736" w:rsidRDefault="00312736" w:rsidP="00312736">
      <w:pPr>
        <w:ind w:left="1134" w:hanging="1134"/>
      </w:pPr>
      <w:r>
        <w:rPr>
          <w:b/>
          <w:bCs/>
        </w:rPr>
        <w:t>Mail</w:t>
      </w:r>
      <w:r>
        <w:tab/>
      </w:r>
      <w:fldSimple w:instr=" STYLEREF  &quot;Cover - Committee name&quot;  \* MERGEFORMAT ">
        <w:r w:rsidR="009823A7">
          <w:rPr>
            <w:noProof/>
          </w:rPr>
          <w:t>Standing Committee on Justice and Community Safety</w:t>
        </w:r>
      </w:fldSimple>
      <w:r>
        <w:br/>
        <w:t>Legislative Assembly for the Australian Capital Territory</w:t>
      </w:r>
      <w:r>
        <w:br/>
        <w:t>GPO Box 1020</w:t>
      </w:r>
      <w:r>
        <w:br/>
        <w:t>CANBERRA ACT 2601</w:t>
      </w:r>
    </w:p>
    <w:p w14:paraId="0F200AE3" w14:textId="77777777" w:rsidR="00312736" w:rsidRDefault="00312736" w:rsidP="00312736">
      <w:pPr>
        <w:ind w:left="1134" w:hanging="1134"/>
      </w:pPr>
      <w:r>
        <w:rPr>
          <w:b/>
          <w:bCs/>
        </w:rPr>
        <w:t>Phone</w:t>
      </w:r>
      <w:r>
        <w:rPr>
          <w:b/>
          <w:bCs/>
        </w:rPr>
        <w:tab/>
      </w:r>
      <w:r>
        <w:t xml:space="preserve">(02) </w:t>
      </w:r>
      <w:r w:rsidRPr="008E750D">
        <w:t>620</w:t>
      </w:r>
      <w:r>
        <w:t>7 0524</w:t>
      </w:r>
    </w:p>
    <w:p w14:paraId="5B4E54B2" w14:textId="77777777" w:rsidR="00312736" w:rsidRDefault="00312736" w:rsidP="00312736">
      <w:pPr>
        <w:ind w:left="1134" w:hanging="1134"/>
      </w:pPr>
      <w:r>
        <w:rPr>
          <w:b/>
          <w:bCs/>
        </w:rPr>
        <w:t>Email</w:t>
      </w:r>
      <w:r>
        <w:tab/>
        <w:t xml:space="preserve">LACommitteeJCS@parliament.act.gov.au </w:t>
      </w:r>
    </w:p>
    <w:p w14:paraId="67140D46" w14:textId="49120756" w:rsidR="00312736" w:rsidRDefault="00312736" w:rsidP="00312736">
      <w:pPr>
        <w:spacing w:line="259" w:lineRule="auto"/>
        <w:ind w:left="1134" w:hanging="1134"/>
      </w:pPr>
      <w:r>
        <w:rPr>
          <w:b/>
          <w:bCs/>
        </w:rPr>
        <w:t>Website</w:t>
      </w:r>
      <w:r>
        <w:rPr>
          <w:b/>
          <w:bCs/>
        </w:rPr>
        <w:tab/>
      </w:r>
      <w:hyperlink r:id="rId15" w:history="1">
        <w:r w:rsidRPr="001D22FC">
          <w:rPr>
            <w:rStyle w:val="Hyperlink"/>
          </w:rPr>
          <w:t>parliament.act.gov.au/parliamentary-business/in-committees</w:t>
        </w:r>
      </w:hyperlink>
      <w:r w:rsidR="008F5498">
        <w:rPr>
          <w:rStyle w:val="Hyperlink"/>
        </w:rPr>
        <w:t>/jcs</w:t>
      </w:r>
    </w:p>
    <w:p w14:paraId="074E23C1" w14:textId="77777777" w:rsidR="00312736" w:rsidRDefault="00312736" w:rsidP="00312736">
      <w:pPr>
        <w:spacing w:line="259" w:lineRule="auto"/>
        <w:rPr>
          <w:rFonts w:ascii="Montserrat" w:eastAsiaTheme="majorEastAsia" w:hAnsi="Montserrat" w:cstheme="majorBidi"/>
          <w:b/>
          <w:color w:val="1A234C"/>
          <w:w w:val="90"/>
          <w:kern w:val="2"/>
          <w:sz w:val="36"/>
          <w:szCs w:val="32"/>
        </w:rPr>
      </w:pPr>
      <w:r>
        <w:br w:type="page"/>
      </w:r>
    </w:p>
    <w:p w14:paraId="5BBE571D" w14:textId="77777777" w:rsidR="00312736" w:rsidRDefault="00312736" w:rsidP="004A0C6F">
      <w:pPr>
        <w:pStyle w:val="Heading1nonumber"/>
      </w:pPr>
      <w:bookmarkStart w:id="6" w:name="_Toc122597512"/>
      <w:r>
        <w:lastRenderedPageBreak/>
        <w:t>About this inquiry</w:t>
      </w:r>
      <w:bookmarkEnd w:id="6"/>
    </w:p>
    <w:p w14:paraId="3020CFA0" w14:textId="53DF8956" w:rsidR="00312736" w:rsidRDefault="00312736" w:rsidP="00312736">
      <w:r>
        <w:t>The Justice and Community Safety Legislation Amendment Bill 2022</w:t>
      </w:r>
      <w:r w:rsidR="001C485D">
        <w:t xml:space="preserve"> (No 2)</w:t>
      </w:r>
      <w:r>
        <w:t xml:space="preserve"> was presented in the Assembly on 24 November 2022. It was then referred to the Standing Committee Justice and Community Safety as required by clause 5 of the establishing resolution. This clause allows committees to inquire into and report on bills within two months of their presentation. </w:t>
      </w:r>
      <w:r w:rsidRPr="00196C5D">
        <w:t>An extension to the reporting date was agreed to in the Assembly until 31 January 2023.</w:t>
      </w:r>
      <w:r w:rsidRPr="00196C5D">
        <w:rPr>
          <w:rStyle w:val="FootnoteReference"/>
        </w:rPr>
        <w:footnoteReference w:id="1"/>
      </w:r>
    </w:p>
    <w:p w14:paraId="75C9E9AA" w14:textId="296C21D8" w:rsidR="00312736" w:rsidRDefault="00312736" w:rsidP="00312736">
      <w:r>
        <w:t xml:space="preserve">The </w:t>
      </w:r>
      <w:r w:rsidR="004046F0">
        <w:t>C</w:t>
      </w:r>
      <w:r>
        <w:t>ommittee decided to inquire into the bill on 28 November 2022</w:t>
      </w:r>
      <w:r w:rsidR="00723B78">
        <w:t xml:space="preserve"> but to limit the inquiry to the </w:t>
      </w:r>
      <w:r w:rsidR="002B275C" w:rsidRPr="002B275C">
        <w:rPr>
          <w:i/>
          <w:iCs/>
        </w:rPr>
        <w:t>Evidence (Miscellaneous Provisions) Act 1991</w:t>
      </w:r>
      <w:r w:rsidR="002B275C">
        <w:t xml:space="preserve"> amendments in the Bill and specifically sought comments from Women’s Legal Centre, the ACT Law Society, the ACT Bar Association, the Victims of Crime Commissioner, Legal Aid ACT and the Director of Public Prosecutions by 9</w:t>
      </w:r>
      <w:r w:rsidR="001C485D">
        <w:t>:</w:t>
      </w:r>
      <w:r w:rsidR="002B275C">
        <w:t>00</w:t>
      </w:r>
      <w:r w:rsidR="001C485D">
        <w:t xml:space="preserve"> </w:t>
      </w:r>
      <w:r w:rsidR="002B275C">
        <w:t>am on 12 December 2022.</w:t>
      </w:r>
      <w:r w:rsidR="002B275C">
        <w:rPr>
          <w:rStyle w:val="FootnoteReference"/>
        </w:rPr>
        <w:footnoteReference w:id="2"/>
      </w:r>
    </w:p>
    <w:p w14:paraId="4BD64A16" w14:textId="2A3E7C81" w:rsidR="004046F0" w:rsidRDefault="004046F0" w:rsidP="00312736">
      <w:r>
        <w:t>The Committee did not hold a public hearing for this inquiry.</w:t>
      </w:r>
    </w:p>
    <w:p w14:paraId="5E1615F8" w14:textId="68096934" w:rsidR="00312736" w:rsidRDefault="00312736" w:rsidP="00312736">
      <w:r w:rsidRPr="00196C5D">
        <w:t>The Committee thanks everyone who participated in, or otherwise assisted</w:t>
      </w:r>
      <w:r w:rsidR="001C485D">
        <w:t xml:space="preserve"> in</w:t>
      </w:r>
      <w:r w:rsidRPr="00196C5D">
        <w:t>, this inquiry, including those that made submissions</w:t>
      </w:r>
      <w:r w:rsidR="00196C5D" w:rsidRPr="00196C5D">
        <w:t>.</w:t>
      </w:r>
    </w:p>
    <w:p w14:paraId="1055A4A3" w14:textId="77777777" w:rsidR="00312736" w:rsidRDefault="00312736" w:rsidP="00144310">
      <w:pPr>
        <w:pStyle w:val="Heading2"/>
      </w:pPr>
      <w:bookmarkStart w:id="7" w:name="_Toc122597513"/>
      <w:r>
        <w:t>Terms of Reference</w:t>
      </w:r>
      <w:bookmarkEnd w:id="7"/>
    </w:p>
    <w:p w14:paraId="4099B703" w14:textId="77777777" w:rsidR="00312736" w:rsidRPr="00E46C75" w:rsidRDefault="00312736" w:rsidP="00312736">
      <w:pPr>
        <w:rPr>
          <w:rFonts w:cstheme="minorHAnsi"/>
        </w:rPr>
      </w:pPr>
      <w:r w:rsidRPr="00E46C75">
        <w:rPr>
          <w:rFonts w:cstheme="minorHAnsi"/>
        </w:rPr>
        <w:t xml:space="preserve">At its meeting on 2 December 2020 (amended 4 August 2022), the Legislative Assembly resolved that: </w:t>
      </w:r>
    </w:p>
    <w:p w14:paraId="640ED7F6" w14:textId="77777777" w:rsidR="00312736" w:rsidRPr="00F146D0" w:rsidRDefault="00312736" w:rsidP="00312736">
      <w:pPr>
        <w:ind w:left="720"/>
        <w:rPr>
          <w:rFonts w:cstheme="minorHAnsi"/>
          <w:bCs/>
          <w:color w:val="7F7F7F" w:themeColor="text1" w:themeTint="80"/>
        </w:rPr>
      </w:pPr>
      <w:r w:rsidRPr="00F146D0">
        <w:rPr>
          <w:rFonts w:cstheme="minorHAnsi"/>
          <w:color w:val="7F7F7F" w:themeColor="text1" w:themeTint="80"/>
        </w:rPr>
        <w:t>‘all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whether or not to undertake an inquiry, and shall inform the Speaker of its decision, the Speaker must then arrange for all members to be notified. In the event that the subject matter of the bill makes it unclear which committee it should be referred to, the Speaker will determine the appropriate committee.’</w:t>
      </w:r>
    </w:p>
    <w:p w14:paraId="287FEB75" w14:textId="345B1790" w:rsidR="00312736" w:rsidRPr="00037447" w:rsidRDefault="00312736" w:rsidP="00312736">
      <w:pPr>
        <w:rPr>
          <w:rFonts w:cstheme="minorHAnsi"/>
          <w:bCs/>
        </w:rPr>
      </w:pPr>
      <w:r w:rsidRPr="00E46C75">
        <w:rPr>
          <w:rFonts w:cstheme="minorHAnsi"/>
        </w:rPr>
        <w:t>T</w:t>
      </w:r>
      <w:r>
        <w:rPr>
          <w:rFonts w:cstheme="minorHAnsi"/>
        </w:rPr>
        <w:t xml:space="preserve">he </w:t>
      </w:r>
      <w:hyperlink r:id="rId16" w:history="1">
        <w:r w:rsidRPr="00AD713C">
          <w:rPr>
            <w:rStyle w:val="Hyperlink"/>
            <w:rFonts w:cstheme="minorHAnsi"/>
          </w:rPr>
          <w:t>Justice and Community Safety Legislation Amendment Bill 2022 (No 2)</w:t>
        </w:r>
      </w:hyperlink>
      <w:r>
        <w:rPr>
          <w:rFonts w:cstheme="minorHAnsi"/>
        </w:rPr>
        <w:t xml:space="preserve"> </w:t>
      </w:r>
      <w:r>
        <w:rPr>
          <w:rFonts w:cstheme="minorHAnsi"/>
          <w:bCs/>
        </w:rPr>
        <w:t>was</w:t>
      </w:r>
      <w:r w:rsidRPr="00E46C75">
        <w:rPr>
          <w:rFonts w:cstheme="minorHAnsi"/>
          <w:bCs/>
        </w:rPr>
        <w:t xml:space="preserve"> presented in the Assembly on </w:t>
      </w:r>
      <w:r>
        <w:rPr>
          <w:rFonts w:cstheme="minorHAnsi"/>
          <w:bCs/>
        </w:rPr>
        <w:t>24 November 2022</w:t>
      </w:r>
      <w:r w:rsidRPr="00E46C75">
        <w:rPr>
          <w:rFonts w:cstheme="minorHAnsi"/>
          <w:bCs/>
        </w:rPr>
        <w:t xml:space="preserve"> and referred to the Standing Committee on Justice and Community Safety (the Committee). The Committee resolved to undertake an inquiry </w:t>
      </w:r>
      <w:r>
        <w:rPr>
          <w:rFonts w:cstheme="minorHAnsi"/>
          <w:bCs/>
        </w:rPr>
        <w:t xml:space="preserve">only </w:t>
      </w:r>
      <w:r w:rsidRPr="00E46C75">
        <w:rPr>
          <w:rFonts w:cstheme="minorHAnsi"/>
          <w:bCs/>
        </w:rPr>
        <w:t xml:space="preserve">into </w:t>
      </w:r>
      <w:r>
        <w:rPr>
          <w:rFonts w:cstheme="minorHAnsi"/>
          <w:bCs/>
        </w:rPr>
        <w:t xml:space="preserve">the amendments to the </w:t>
      </w:r>
      <w:r w:rsidRPr="00FA6D80">
        <w:rPr>
          <w:rFonts w:cstheme="minorHAnsi"/>
          <w:i/>
          <w:iCs/>
          <w:color w:val="313131"/>
        </w:rPr>
        <w:t>Evidence (Miscellaneous Provisions) Act 1991</w:t>
      </w:r>
      <w:r>
        <w:rPr>
          <w:rFonts w:cstheme="minorHAnsi"/>
          <w:color w:val="313131"/>
        </w:rPr>
        <w:t xml:space="preserve"> in the Bill. </w:t>
      </w:r>
    </w:p>
    <w:p w14:paraId="4E78C158" w14:textId="77777777" w:rsidR="00312736" w:rsidRPr="00A52B2B" w:rsidRDefault="00312736" w:rsidP="00312736">
      <w:pPr>
        <w:pStyle w:val="ListBullet"/>
        <w:numPr>
          <w:ilvl w:val="0"/>
          <w:numId w:val="0"/>
        </w:numPr>
        <w:ind w:left="340" w:hanging="340"/>
      </w:pPr>
      <w:r w:rsidRPr="00A52B2B">
        <w:br w:type="page"/>
      </w:r>
    </w:p>
    <w:bookmarkEnd w:id="0" w:displacedByCustomXml="next"/>
    <w:sdt>
      <w:sdtPr>
        <w:rPr>
          <w:rFonts w:asciiTheme="minorHAnsi" w:eastAsiaTheme="minorHAnsi" w:hAnsiTheme="minorHAnsi" w:cstheme="minorBidi"/>
          <w:b w:val="0"/>
          <w:color w:val="auto"/>
          <w:w w:val="100"/>
          <w:kern w:val="0"/>
          <w:sz w:val="22"/>
          <w:szCs w:val="22"/>
          <w:lang w:val="en-AU"/>
        </w:rPr>
        <w:id w:val="-1748188642"/>
        <w:docPartObj>
          <w:docPartGallery w:val="Table of Contents"/>
          <w:docPartUnique/>
        </w:docPartObj>
      </w:sdtPr>
      <w:sdtEndPr>
        <w:rPr>
          <w:bCs/>
          <w:noProof/>
        </w:rPr>
      </w:sdtEndPr>
      <w:sdtContent>
        <w:p w14:paraId="099E1EA5" w14:textId="77777777" w:rsidR="00312736" w:rsidRDefault="00312736" w:rsidP="00312736">
          <w:pPr>
            <w:pStyle w:val="TOCHeading"/>
          </w:pPr>
          <w:r>
            <w:t>Contents</w:t>
          </w:r>
        </w:p>
        <w:p w14:paraId="0E3E4795" w14:textId="187FC3AF" w:rsidR="008F5498" w:rsidRDefault="00312736" w:rsidP="008F5498">
          <w:pPr>
            <w:pStyle w:val="TOC1"/>
            <w:rPr>
              <w:rFonts w:asciiTheme="minorHAnsi" w:eastAsiaTheme="minorEastAsia" w:hAnsiTheme="minorHAnsi"/>
              <w:color w:val="auto"/>
              <w:w w:val="100"/>
              <w:sz w:val="22"/>
              <w:lang w:eastAsia="en-AU"/>
            </w:rPr>
          </w:pPr>
          <w:r>
            <w:fldChar w:fldCharType="begin"/>
          </w:r>
          <w:r>
            <w:instrText xml:space="preserve"> TOC \o "1-3" \h \z \u </w:instrText>
          </w:r>
          <w:r>
            <w:fldChar w:fldCharType="separate"/>
          </w:r>
          <w:hyperlink w:anchor="_Toc122597507" w:history="1">
            <w:r w:rsidR="008F5498" w:rsidRPr="00A54B10">
              <w:rPr>
                <w:rStyle w:val="Hyperlink"/>
              </w:rPr>
              <w:t>About the Committee</w:t>
            </w:r>
            <w:r w:rsidR="008F5498">
              <w:rPr>
                <w:webHidden/>
              </w:rPr>
              <w:tab/>
            </w:r>
            <w:r w:rsidR="008F5498">
              <w:rPr>
                <w:webHidden/>
              </w:rPr>
              <w:fldChar w:fldCharType="begin"/>
            </w:r>
            <w:r w:rsidR="008F5498">
              <w:rPr>
                <w:webHidden/>
              </w:rPr>
              <w:instrText xml:space="preserve"> PAGEREF _Toc122597507 \h </w:instrText>
            </w:r>
            <w:r w:rsidR="008F5498">
              <w:rPr>
                <w:webHidden/>
              </w:rPr>
            </w:r>
            <w:r w:rsidR="008F5498">
              <w:rPr>
                <w:webHidden/>
              </w:rPr>
              <w:fldChar w:fldCharType="separate"/>
            </w:r>
            <w:r w:rsidR="009823A7">
              <w:rPr>
                <w:webHidden/>
              </w:rPr>
              <w:t>i</w:t>
            </w:r>
            <w:r w:rsidR="008F5498">
              <w:rPr>
                <w:webHidden/>
              </w:rPr>
              <w:fldChar w:fldCharType="end"/>
            </w:r>
          </w:hyperlink>
        </w:p>
        <w:p w14:paraId="064CC678" w14:textId="4ACD8239" w:rsidR="008F5498" w:rsidRDefault="008F5498">
          <w:pPr>
            <w:pStyle w:val="TOC2"/>
            <w:rPr>
              <w:rFonts w:eastAsiaTheme="minorEastAsia"/>
              <w:lang w:eastAsia="en-AU"/>
            </w:rPr>
          </w:pPr>
          <w:hyperlink w:anchor="_Toc122597508" w:history="1">
            <w:r w:rsidRPr="00A54B10">
              <w:rPr>
                <w:rStyle w:val="Hyperlink"/>
              </w:rPr>
              <w:t>Establishing resolution</w:t>
            </w:r>
            <w:r>
              <w:rPr>
                <w:webHidden/>
              </w:rPr>
              <w:tab/>
            </w:r>
            <w:r>
              <w:rPr>
                <w:webHidden/>
              </w:rPr>
              <w:fldChar w:fldCharType="begin"/>
            </w:r>
            <w:r>
              <w:rPr>
                <w:webHidden/>
              </w:rPr>
              <w:instrText xml:space="preserve"> PAGEREF _Toc122597508 \h </w:instrText>
            </w:r>
            <w:r>
              <w:rPr>
                <w:webHidden/>
              </w:rPr>
            </w:r>
            <w:r>
              <w:rPr>
                <w:webHidden/>
              </w:rPr>
              <w:fldChar w:fldCharType="separate"/>
            </w:r>
            <w:r w:rsidR="009823A7">
              <w:rPr>
                <w:webHidden/>
              </w:rPr>
              <w:t>i</w:t>
            </w:r>
            <w:r>
              <w:rPr>
                <w:webHidden/>
              </w:rPr>
              <w:fldChar w:fldCharType="end"/>
            </w:r>
          </w:hyperlink>
        </w:p>
        <w:p w14:paraId="4A66AAEE" w14:textId="11FA2830" w:rsidR="008F5498" w:rsidRDefault="008F5498">
          <w:pPr>
            <w:pStyle w:val="TOC2"/>
            <w:rPr>
              <w:rFonts w:eastAsiaTheme="minorEastAsia"/>
              <w:lang w:eastAsia="en-AU"/>
            </w:rPr>
          </w:pPr>
          <w:hyperlink w:anchor="_Toc122597509" w:history="1">
            <w:r w:rsidRPr="00A54B10">
              <w:rPr>
                <w:rStyle w:val="Hyperlink"/>
              </w:rPr>
              <w:t>Committee members</w:t>
            </w:r>
            <w:r>
              <w:rPr>
                <w:webHidden/>
              </w:rPr>
              <w:tab/>
            </w:r>
            <w:r>
              <w:rPr>
                <w:webHidden/>
              </w:rPr>
              <w:fldChar w:fldCharType="begin"/>
            </w:r>
            <w:r>
              <w:rPr>
                <w:webHidden/>
              </w:rPr>
              <w:instrText xml:space="preserve"> PAGEREF _Toc122597509 \h </w:instrText>
            </w:r>
            <w:r>
              <w:rPr>
                <w:webHidden/>
              </w:rPr>
            </w:r>
            <w:r>
              <w:rPr>
                <w:webHidden/>
              </w:rPr>
              <w:fldChar w:fldCharType="separate"/>
            </w:r>
            <w:r w:rsidR="009823A7">
              <w:rPr>
                <w:webHidden/>
              </w:rPr>
              <w:t>i</w:t>
            </w:r>
            <w:r>
              <w:rPr>
                <w:webHidden/>
              </w:rPr>
              <w:fldChar w:fldCharType="end"/>
            </w:r>
          </w:hyperlink>
        </w:p>
        <w:p w14:paraId="5FB85549" w14:textId="0C77C48F" w:rsidR="008F5498" w:rsidRDefault="008F5498">
          <w:pPr>
            <w:pStyle w:val="TOC2"/>
            <w:rPr>
              <w:rFonts w:eastAsiaTheme="minorEastAsia"/>
              <w:lang w:eastAsia="en-AU"/>
            </w:rPr>
          </w:pPr>
          <w:hyperlink w:anchor="_Toc122597510" w:history="1">
            <w:r w:rsidRPr="00A54B10">
              <w:rPr>
                <w:rStyle w:val="Hyperlink"/>
              </w:rPr>
              <w:t>Secretariat</w:t>
            </w:r>
            <w:r>
              <w:rPr>
                <w:webHidden/>
              </w:rPr>
              <w:tab/>
            </w:r>
            <w:r>
              <w:rPr>
                <w:webHidden/>
              </w:rPr>
              <w:fldChar w:fldCharType="begin"/>
            </w:r>
            <w:r>
              <w:rPr>
                <w:webHidden/>
              </w:rPr>
              <w:instrText xml:space="preserve"> PAGEREF _Toc122597510 \h </w:instrText>
            </w:r>
            <w:r>
              <w:rPr>
                <w:webHidden/>
              </w:rPr>
            </w:r>
            <w:r>
              <w:rPr>
                <w:webHidden/>
              </w:rPr>
              <w:fldChar w:fldCharType="separate"/>
            </w:r>
            <w:r w:rsidR="009823A7">
              <w:rPr>
                <w:webHidden/>
              </w:rPr>
              <w:t>i</w:t>
            </w:r>
            <w:r>
              <w:rPr>
                <w:webHidden/>
              </w:rPr>
              <w:fldChar w:fldCharType="end"/>
            </w:r>
          </w:hyperlink>
        </w:p>
        <w:p w14:paraId="3DACAFC8" w14:textId="7ACF7520" w:rsidR="008F5498" w:rsidRDefault="008F5498">
          <w:pPr>
            <w:pStyle w:val="TOC2"/>
            <w:rPr>
              <w:rFonts w:eastAsiaTheme="minorEastAsia"/>
              <w:lang w:eastAsia="en-AU"/>
            </w:rPr>
          </w:pPr>
          <w:hyperlink w:anchor="_Toc122597511" w:history="1">
            <w:r w:rsidRPr="00A54B10">
              <w:rPr>
                <w:rStyle w:val="Hyperlink"/>
              </w:rPr>
              <w:t>Contact us</w:t>
            </w:r>
            <w:r>
              <w:rPr>
                <w:webHidden/>
              </w:rPr>
              <w:tab/>
            </w:r>
            <w:r>
              <w:rPr>
                <w:webHidden/>
              </w:rPr>
              <w:fldChar w:fldCharType="begin"/>
            </w:r>
            <w:r>
              <w:rPr>
                <w:webHidden/>
              </w:rPr>
              <w:instrText xml:space="preserve"> PAGEREF _Toc122597511 \h </w:instrText>
            </w:r>
            <w:r>
              <w:rPr>
                <w:webHidden/>
              </w:rPr>
            </w:r>
            <w:r>
              <w:rPr>
                <w:webHidden/>
              </w:rPr>
              <w:fldChar w:fldCharType="separate"/>
            </w:r>
            <w:r w:rsidR="009823A7">
              <w:rPr>
                <w:webHidden/>
              </w:rPr>
              <w:t>i</w:t>
            </w:r>
            <w:r>
              <w:rPr>
                <w:webHidden/>
              </w:rPr>
              <w:fldChar w:fldCharType="end"/>
            </w:r>
          </w:hyperlink>
        </w:p>
        <w:p w14:paraId="24E05277" w14:textId="768D6CCF" w:rsidR="008F5498" w:rsidRDefault="008F5498" w:rsidP="008F5498">
          <w:pPr>
            <w:pStyle w:val="TOC1"/>
            <w:rPr>
              <w:rFonts w:asciiTheme="minorHAnsi" w:eastAsiaTheme="minorEastAsia" w:hAnsiTheme="minorHAnsi"/>
              <w:color w:val="auto"/>
              <w:w w:val="100"/>
              <w:sz w:val="22"/>
              <w:lang w:eastAsia="en-AU"/>
            </w:rPr>
          </w:pPr>
          <w:hyperlink w:anchor="_Toc122597512" w:history="1">
            <w:r w:rsidRPr="00A54B10">
              <w:rPr>
                <w:rStyle w:val="Hyperlink"/>
              </w:rPr>
              <w:t>About this inquiry</w:t>
            </w:r>
            <w:r>
              <w:rPr>
                <w:webHidden/>
              </w:rPr>
              <w:tab/>
            </w:r>
            <w:r>
              <w:rPr>
                <w:webHidden/>
              </w:rPr>
              <w:fldChar w:fldCharType="begin"/>
            </w:r>
            <w:r>
              <w:rPr>
                <w:webHidden/>
              </w:rPr>
              <w:instrText xml:space="preserve"> PAGEREF _Toc122597512 \h </w:instrText>
            </w:r>
            <w:r>
              <w:rPr>
                <w:webHidden/>
              </w:rPr>
            </w:r>
            <w:r>
              <w:rPr>
                <w:webHidden/>
              </w:rPr>
              <w:fldChar w:fldCharType="separate"/>
            </w:r>
            <w:r w:rsidR="009823A7">
              <w:rPr>
                <w:webHidden/>
              </w:rPr>
              <w:t>ii</w:t>
            </w:r>
            <w:r>
              <w:rPr>
                <w:webHidden/>
              </w:rPr>
              <w:fldChar w:fldCharType="end"/>
            </w:r>
          </w:hyperlink>
        </w:p>
        <w:p w14:paraId="4CC86BA8" w14:textId="15EE2EF6" w:rsidR="008F5498" w:rsidRDefault="008F5498">
          <w:pPr>
            <w:pStyle w:val="TOC2"/>
            <w:rPr>
              <w:rFonts w:eastAsiaTheme="minorEastAsia"/>
              <w:lang w:eastAsia="en-AU"/>
            </w:rPr>
          </w:pPr>
          <w:hyperlink w:anchor="_Toc122597513" w:history="1">
            <w:r w:rsidRPr="00A54B10">
              <w:rPr>
                <w:rStyle w:val="Hyperlink"/>
              </w:rPr>
              <w:t>Terms of Reference</w:t>
            </w:r>
            <w:r>
              <w:rPr>
                <w:webHidden/>
              </w:rPr>
              <w:tab/>
            </w:r>
            <w:r>
              <w:rPr>
                <w:webHidden/>
              </w:rPr>
              <w:fldChar w:fldCharType="begin"/>
            </w:r>
            <w:r>
              <w:rPr>
                <w:webHidden/>
              </w:rPr>
              <w:instrText xml:space="preserve"> PAGEREF _Toc122597513 \h </w:instrText>
            </w:r>
            <w:r>
              <w:rPr>
                <w:webHidden/>
              </w:rPr>
            </w:r>
            <w:r>
              <w:rPr>
                <w:webHidden/>
              </w:rPr>
              <w:fldChar w:fldCharType="separate"/>
            </w:r>
            <w:r w:rsidR="009823A7">
              <w:rPr>
                <w:webHidden/>
              </w:rPr>
              <w:t>ii</w:t>
            </w:r>
            <w:r>
              <w:rPr>
                <w:webHidden/>
              </w:rPr>
              <w:fldChar w:fldCharType="end"/>
            </w:r>
          </w:hyperlink>
        </w:p>
        <w:p w14:paraId="3FD6F05C" w14:textId="3BF0A256" w:rsidR="008F5498" w:rsidRDefault="008F5498" w:rsidP="008F5498">
          <w:pPr>
            <w:pStyle w:val="TOC1"/>
            <w:rPr>
              <w:rFonts w:asciiTheme="minorHAnsi" w:eastAsiaTheme="minorEastAsia" w:hAnsiTheme="minorHAnsi"/>
              <w:color w:val="auto"/>
              <w:w w:val="100"/>
              <w:sz w:val="22"/>
              <w:lang w:eastAsia="en-AU"/>
            </w:rPr>
          </w:pPr>
          <w:hyperlink w:anchor="_Toc122597514" w:history="1">
            <w:r w:rsidRPr="00A54B10">
              <w:rPr>
                <w:rStyle w:val="Hyperlink"/>
              </w:rPr>
              <w:t>Acronyms</w:t>
            </w:r>
            <w:r>
              <w:rPr>
                <w:webHidden/>
              </w:rPr>
              <w:tab/>
            </w:r>
            <w:r>
              <w:rPr>
                <w:webHidden/>
              </w:rPr>
              <w:fldChar w:fldCharType="begin"/>
            </w:r>
            <w:r>
              <w:rPr>
                <w:webHidden/>
              </w:rPr>
              <w:instrText xml:space="preserve"> PAGEREF _Toc122597514 \h </w:instrText>
            </w:r>
            <w:r>
              <w:rPr>
                <w:webHidden/>
              </w:rPr>
            </w:r>
            <w:r>
              <w:rPr>
                <w:webHidden/>
              </w:rPr>
              <w:fldChar w:fldCharType="separate"/>
            </w:r>
            <w:r w:rsidR="009823A7">
              <w:rPr>
                <w:webHidden/>
              </w:rPr>
              <w:t>iv</w:t>
            </w:r>
            <w:r>
              <w:rPr>
                <w:webHidden/>
              </w:rPr>
              <w:fldChar w:fldCharType="end"/>
            </w:r>
          </w:hyperlink>
        </w:p>
        <w:p w14:paraId="33CFDB94" w14:textId="5A659948" w:rsidR="008F5498" w:rsidRDefault="008F5498" w:rsidP="008F5498">
          <w:pPr>
            <w:pStyle w:val="TOC1"/>
            <w:rPr>
              <w:rFonts w:asciiTheme="minorHAnsi" w:eastAsiaTheme="minorEastAsia" w:hAnsiTheme="minorHAnsi"/>
              <w:color w:val="auto"/>
              <w:w w:val="100"/>
              <w:sz w:val="22"/>
              <w:lang w:eastAsia="en-AU"/>
            </w:rPr>
          </w:pPr>
          <w:hyperlink w:anchor="_Toc122597515" w:history="1">
            <w:r w:rsidRPr="00A54B10">
              <w:rPr>
                <w:rStyle w:val="Hyperlink"/>
              </w:rPr>
              <w:t>Recommendation</w:t>
            </w:r>
            <w:r>
              <w:rPr>
                <w:webHidden/>
              </w:rPr>
              <w:tab/>
            </w:r>
            <w:r>
              <w:rPr>
                <w:webHidden/>
              </w:rPr>
              <w:fldChar w:fldCharType="begin"/>
            </w:r>
            <w:r>
              <w:rPr>
                <w:webHidden/>
              </w:rPr>
              <w:instrText xml:space="preserve"> PAGEREF _Toc122597515 \h </w:instrText>
            </w:r>
            <w:r>
              <w:rPr>
                <w:webHidden/>
              </w:rPr>
            </w:r>
            <w:r>
              <w:rPr>
                <w:webHidden/>
              </w:rPr>
              <w:fldChar w:fldCharType="separate"/>
            </w:r>
            <w:r w:rsidR="009823A7">
              <w:rPr>
                <w:webHidden/>
              </w:rPr>
              <w:t>v</w:t>
            </w:r>
            <w:r>
              <w:rPr>
                <w:webHidden/>
              </w:rPr>
              <w:fldChar w:fldCharType="end"/>
            </w:r>
          </w:hyperlink>
        </w:p>
        <w:p w14:paraId="482794A8" w14:textId="1C3EAC10" w:rsidR="008F5498" w:rsidRDefault="008F5498" w:rsidP="008F5498">
          <w:pPr>
            <w:pStyle w:val="TOC1"/>
            <w:rPr>
              <w:rFonts w:asciiTheme="minorHAnsi" w:eastAsiaTheme="minorEastAsia" w:hAnsiTheme="minorHAnsi"/>
              <w:color w:val="auto"/>
              <w:w w:val="100"/>
              <w:sz w:val="22"/>
              <w:lang w:eastAsia="en-AU"/>
            </w:rPr>
          </w:pPr>
          <w:hyperlink w:anchor="_Toc122597516" w:history="1">
            <w:r w:rsidRPr="00A54B10">
              <w:rPr>
                <w:rStyle w:val="Hyperlink"/>
              </w:rPr>
              <w:t>1.</w:t>
            </w:r>
            <w:r>
              <w:rPr>
                <w:rFonts w:asciiTheme="minorHAnsi" w:eastAsiaTheme="minorEastAsia" w:hAnsiTheme="minorHAnsi"/>
                <w:color w:val="auto"/>
                <w:w w:val="100"/>
                <w:sz w:val="22"/>
                <w:lang w:eastAsia="en-AU"/>
              </w:rPr>
              <w:tab/>
            </w:r>
            <w:r w:rsidRPr="00A54B10">
              <w:rPr>
                <w:rStyle w:val="Hyperlink"/>
              </w:rPr>
              <w:t>Introduction</w:t>
            </w:r>
            <w:r>
              <w:rPr>
                <w:webHidden/>
              </w:rPr>
              <w:tab/>
            </w:r>
            <w:r>
              <w:rPr>
                <w:webHidden/>
              </w:rPr>
              <w:fldChar w:fldCharType="begin"/>
            </w:r>
            <w:r>
              <w:rPr>
                <w:webHidden/>
              </w:rPr>
              <w:instrText xml:space="preserve"> PAGEREF _Toc122597516 \h </w:instrText>
            </w:r>
            <w:r>
              <w:rPr>
                <w:webHidden/>
              </w:rPr>
            </w:r>
            <w:r>
              <w:rPr>
                <w:webHidden/>
              </w:rPr>
              <w:fldChar w:fldCharType="separate"/>
            </w:r>
            <w:r w:rsidR="009823A7">
              <w:rPr>
                <w:webHidden/>
              </w:rPr>
              <w:t>1</w:t>
            </w:r>
            <w:r>
              <w:rPr>
                <w:webHidden/>
              </w:rPr>
              <w:fldChar w:fldCharType="end"/>
            </w:r>
          </w:hyperlink>
        </w:p>
        <w:p w14:paraId="317ECD58" w14:textId="76DF227F" w:rsidR="008F5498" w:rsidRDefault="008F5498">
          <w:pPr>
            <w:pStyle w:val="TOC2"/>
            <w:rPr>
              <w:rFonts w:eastAsiaTheme="minorEastAsia"/>
              <w:lang w:eastAsia="en-AU"/>
            </w:rPr>
          </w:pPr>
          <w:hyperlink w:anchor="_Toc122597517" w:history="1">
            <w:r w:rsidRPr="00A54B10">
              <w:rPr>
                <w:rStyle w:val="Hyperlink"/>
              </w:rPr>
              <w:t>Background to the Bill</w:t>
            </w:r>
            <w:r>
              <w:rPr>
                <w:webHidden/>
              </w:rPr>
              <w:tab/>
            </w:r>
            <w:r>
              <w:rPr>
                <w:webHidden/>
              </w:rPr>
              <w:fldChar w:fldCharType="begin"/>
            </w:r>
            <w:r>
              <w:rPr>
                <w:webHidden/>
              </w:rPr>
              <w:instrText xml:space="preserve"> PAGEREF _Toc122597517 \h </w:instrText>
            </w:r>
            <w:r>
              <w:rPr>
                <w:webHidden/>
              </w:rPr>
            </w:r>
            <w:r>
              <w:rPr>
                <w:webHidden/>
              </w:rPr>
              <w:fldChar w:fldCharType="separate"/>
            </w:r>
            <w:r w:rsidR="009823A7">
              <w:rPr>
                <w:webHidden/>
              </w:rPr>
              <w:t>1</w:t>
            </w:r>
            <w:r>
              <w:rPr>
                <w:webHidden/>
              </w:rPr>
              <w:fldChar w:fldCharType="end"/>
            </w:r>
          </w:hyperlink>
        </w:p>
        <w:p w14:paraId="68987A6A" w14:textId="239D935C" w:rsidR="008F5498" w:rsidRDefault="008F5498">
          <w:pPr>
            <w:pStyle w:val="TOC2"/>
            <w:rPr>
              <w:rFonts w:eastAsiaTheme="minorEastAsia"/>
              <w:lang w:eastAsia="en-AU"/>
            </w:rPr>
          </w:pPr>
          <w:hyperlink w:anchor="_Toc122597518" w:history="1">
            <w:r w:rsidRPr="00A54B10">
              <w:rPr>
                <w:rStyle w:val="Hyperlink"/>
              </w:rPr>
              <w:t>Legislative Scrutiny</w:t>
            </w:r>
            <w:r>
              <w:rPr>
                <w:webHidden/>
              </w:rPr>
              <w:tab/>
            </w:r>
            <w:r>
              <w:rPr>
                <w:webHidden/>
              </w:rPr>
              <w:fldChar w:fldCharType="begin"/>
            </w:r>
            <w:r>
              <w:rPr>
                <w:webHidden/>
              </w:rPr>
              <w:instrText xml:space="preserve"> PAGEREF _Toc122597518 \h </w:instrText>
            </w:r>
            <w:r>
              <w:rPr>
                <w:webHidden/>
              </w:rPr>
            </w:r>
            <w:r>
              <w:rPr>
                <w:webHidden/>
              </w:rPr>
              <w:fldChar w:fldCharType="separate"/>
            </w:r>
            <w:r w:rsidR="009823A7">
              <w:rPr>
                <w:webHidden/>
              </w:rPr>
              <w:t>2</w:t>
            </w:r>
            <w:r>
              <w:rPr>
                <w:webHidden/>
              </w:rPr>
              <w:fldChar w:fldCharType="end"/>
            </w:r>
          </w:hyperlink>
        </w:p>
        <w:p w14:paraId="3C9D1F5B" w14:textId="5BFCDA26" w:rsidR="008F5498" w:rsidRDefault="008F5498" w:rsidP="008F5498">
          <w:pPr>
            <w:pStyle w:val="TOC1"/>
            <w:rPr>
              <w:rFonts w:asciiTheme="minorHAnsi" w:eastAsiaTheme="minorEastAsia" w:hAnsiTheme="minorHAnsi"/>
              <w:color w:val="auto"/>
              <w:w w:val="100"/>
              <w:sz w:val="22"/>
              <w:lang w:eastAsia="en-AU"/>
            </w:rPr>
          </w:pPr>
          <w:hyperlink w:anchor="_Toc122597519" w:history="1">
            <w:r w:rsidRPr="00A54B10">
              <w:rPr>
                <w:rStyle w:val="Hyperlink"/>
              </w:rPr>
              <w:t>2.</w:t>
            </w:r>
            <w:r>
              <w:rPr>
                <w:rFonts w:asciiTheme="minorHAnsi" w:eastAsiaTheme="minorEastAsia" w:hAnsiTheme="minorHAnsi"/>
                <w:color w:val="auto"/>
                <w:w w:val="100"/>
                <w:sz w:val="22"/>
                <w:lang w:eastAsia="en-AU"/>
              </w:rPr>
              <w:tab/>
            </w:r>
            <w:r w:rsidRPr="00A54B10">
              <w:rPr>
                <w:rStyle w:val="Hyperlink"/>
              </w:rPr>
              <w:t>Issues raised in evidence</w:t>
            </w:r>
            <w:r>
              <w:rPr>
                <w:webHidden/>
              </w:rPr>
              <w:tab/>
            </w:r>
            <w:r>
              <w:rPr>
                <w:webHidden/>
              </w:rPr>
              <w:fldChar w:fldCharType="begin"/>
            </w:r>
            <w:r>
              <w:rPr>
                <w:webHidden/>
              </w:rPr>
              <w:instrText xml:space="preserve"> PAGEREF _Toc122597519 \h </w:instrText>
            </w:r>
            <w:r>
              <w:rPr>
                <w:webHidden/>
              </w:rPr>
            </w:r>
            <w:r>
              <w:rPr>
                <w:webHidden/>
              </w:rPr>
              <w:fldChar w:fldCharType="separate"/>
            </w:r>
            <w:r w:rsidR="009823A7">
              <w:rPr>
                <w:webHidden/>
              </w:rPr>
              <w:t>3</w:t>
            </w:r>
            <w:r>
              <w:rPr>
                <w:webHidden/>
              </w:rPr>
              <w:fldChar w:fldCharType="end"/>
            </w:r>
          </w:hyperlink>
        </w:p>
        <w:p w14:paraId="72C8C0A5" w14:textId="3DA6F87E" w:rsidR="008F5498" w:rsidRDefault="008F5498">
          <w:pPr>
            <w:pStyle w:val="TOC2"/>
            <w:rPr>
              <w:rFonts w:eastAsiaTheme="minorEastAsia"/>
              <w:lang w:eastAsia="en-AU"/>
            </w:rPr>
          </w:pPr>
          <w:hyperlink w:anchor="_Toc122597520" w:history="1">
            <w:r w:rsidRPr="00A54B10">
              <w:rPr>
                <w:rStyle w:val="Hyperlink"/>
              </w:rPr>
              <w:t>General considerations</w:t>
            </w:r>
            <w:r>
              <w:rPr>
                <w:webHidden/>
              </w:rPr>
              <w:tab/>
            </w:r>
            <w:r>
              <w:rPr>
                <w:webHidden/>
              </w:rPr>
              <w:fldChar w:fldCharType="begin"/>
            </w:r>
            <w:r>
              <w:rPr>
                <w:webHidden/>
              </w:rPr>
              <w:instrText xml:space="preserve"> PAGEREF _Toc122597520 \h </w:instrText>
            </w:r>
            <w:r>
              <w:rPr>
                <w:webHidden/>
              </w:rPr>
            </w:r>
            <w:r>
              <w:rPr>
                <w:webHidden/>
              </w:rPr>
              <w:fldChar w:fldCharType="separate"/>
            </w:r>
            <w:r w:rsidR="009823A7">
              <w:rPr>
                <w:webHidden/>
              </w:rPr>
              <w:t>3</w:t>
            </w:r>
            <w:r>
              <w:rPr>
                <w:webHidden/>
              </w:rPr>
              <w:fldChar w:fldCharType="end"/>
            </w:r>
          </w:hyperlink>
        </w:p>
        <w:p w14:paraId="1A936AF0" w14:textId="61D471BD" w:rsidR="008F5498" w:rsidRDefault="008F5498">
          <w:pPr>
            <w:pStyle w:val="TOC2"/>
            <w:rPr>
              <w:rFonts w:eastAsiaTheme="minorEastAsia"/>
              <w:lang w:eastAsia="en-AU"/>
            </w:rPr>
          </w:pPr>
          <w:hyperlink w:anchor="_Toc122597521" w:history="1">
            <w:r w:rsidRPr="00A54B10">
              <w:rPr>
                <w:rStyle w:val="Hyperlink"/>
              </w:rPr>
              <w:t>Consultation process</w:t>
            </w:r>
            <w:r>
              <w:rPr>
                <w:webHidden/>
              </w:rPr>
              <w:tab/>
            </w:r>
            <w:r>
              <w:rPr>
                <w:webHidden/>
              </w:rPr>
              <w:fldChar w:fldCharType="begin"/>
            </w:r>
            <w:r>
              <w:rPr>
                <w:webHidden/>
              </w:rPr>
              <w:instrText xml:space="preserve"> PAGEREF _Toc122597521 \h </w:instrText>
            </w:r>
            <w:r>
              <w:rPr>
                <w:webHidden/>
              </w:rPr>
            </w:r>
            <w:r>
              <w:rPr>
                <w:webHidden/>
              </w:rPr>
              <w:fldChar w:fldCharType="separate"/>
            </w:r>
            <w:r w:rsidR="009823A7">
              <w:rPr>
                <w:webHidden/>
              </w:rPr>
              <w:t>4</w:t>
            </w:r>
            <w:r>
              <w:rPr>
                <w:webHidden/>
              </w:rPr>
              <w:fldChar w:fldCharType="end"/>
            </w:r>
          </w:hyperlink>
        </w:p>
        <w:p w14:paraId="247A295E" w14:textId="0E0FDB92" w:rsidR="008F5498" w:rsidRDefault="008F5498">
          <w:pPr>
            <w:pStyle w:val="TOC2"/>
            <w:rPr>
              <w:rFonts w:eastAsiaTheme="minorEastAsia"/>
              <w:lang w:eastAsia="en-AU"/>
            </w:rPr>
          </w:pPr>
          <w:hyperlink w:anchor="_Toc122597522" w:history="1">
            <w:r w:rsidRPr="00A54B10">
              <w:rPr>
                <w:rStyle w:val="Hyperlink"/>
              </w:rPr>
              <w:t>Requirement for witness consent for the recording of evidence</w:t>
            </w:r>
            <w:r>
              <w:rPr>
                <w:webHidden/>
              </w:rPr>
              <w:tab/>
            </w:r>
            <w:r>
              <w:rPr>
                <w:webHidden/>
              </w:rPr>
              <w:fldChar w:fldCharType="begin"/>
            </w:r>
            <w:r>
              <w:rPr>
                <w:webHidden/>
              </w:rPr>
              <w:instrText xml:space="preserve"> PAGEREF _Toc122597522 \h </w:instrText>
            </w:r>
            <w:r>
              <w:rPr>
                <w:webHidden/>
              </w:rPr>
            </w:r>
            <w:r>
              <w:rPr>
                <w:webHidden/>
              </w:rPr>
              <w:fldChar w:fldCharType="separate"/>
            </w:r>
            <w:r w:rsidR="009823A7">
              <w:rPr>
                <w:webHidden/>
              </w:rPr>
              <w:t>4</w:t>
            </w:r>
            <w:r>
              <w:rPr>
                <w:webHidden/>
              </w:rPr>
              <w:fldChar w:fldCharType="end"/>
            </w:r>
          </w:hyperlink>
        </w:p>
        <w:p w14:paraId="7D91CD1E" w14:textId="3B2C6340" w:rsidR="008F5498" w:rsidRDefault="008F5498" w:rsidP="008F5498">
          <w:pPr>
            <w:pStyle w:val="TOC1"/>
            <w:rPr>
              <w:rFonts w:asciiTheme="minorHAnsi" w:eastAsiaTheme="minorEastAsia" w:hAnsiTheme="minorHAnsi"/>
              <w:color w:val="auto"/>
              <w:w w:val="100"/>
              <w:sz w:val="22"/>
              <w:lang w:eastAsia="en-AU"/>
            </w:rPr>
          </w:pPr>
          <w:hyperlink w:anchor="_Toc122597523" w:history="1">
            <w:r w:rsidRPr="00A54B10">
              <w:rPr>
                <w:rStyle w:val="Hyperlink"/>
              </w:rPr>
              <w:t>3.</w:t>
            </w:r>
            <w:r>
              <w:rPr>
                <w:rFonts w:asciiTheme="minorHAnsi" w:eastAsiaTheme="minorEastAsia" w:hAnsiTheme="minorHAnsi"/>
                <w:color w:val="auto"/>
                <w:w w:val="100"/>
                <w:sz w:val="22"/>
                <w:lang w:eastAsia="en-AU"/>
              </w:rPr>
              <w:tab/>
            </w:r>
            <w:r w:rsidRPr="00A54B10">
              <w:rPr>
                <w:rStyle w:val="Hyperlink"/>
              </w:rPr>
              <w:t>Conclusions</w:t>
            </w:r>
            <w:r>
              <w:rPr>
                <w:webHidden/>
              </w:rPr>
              <w:tab/>
            </w:r>
            <w:r>
              <w:rPr>
                <w:webHidden/>
              </w:rPr>
              <w:fldChar w:fldCharType="begin"/>
            </w:r>
            <w:r>
              <w:rPr>
                <w:webHidden/>
              </w:rPr>
              <w:instrText xml:space="preserve"> PAGEREF _Toc122597523 \h </w:instrText>
            </w:r>
            <w:r>
              <w:rPr>
                <w:webHidden/>
              </w:rPr>
            </w:r>
            <w:r>
              <w:rPr>
                <w:webHidden/>
              </w:rPr>
              <w:fldChar w:fldCharType="separate"/>
            </w:r>
            <w:r w:rsidR="009823A7">
              <w:rPr>
                <w:webHidden/>
              </w:rPr>
              <w:t>7</w:t>
            </w:r>
            <w:r>
              <w:rPr>
                <w:webHidden/>
              </w:rPr>
              <w:fldChar w:fldCharType="end"/>
            </w:r>
          </w:hyperlink>
        </w:p>
        <w:p w14:paraId="5D76ED29" w14:textId="5BCEEFFB" w:rsidR="008F5498" w:rsidRDefault="008F5498" w:rsidP="008F5498">
          <w:pPr>
            <w:pStyle w:val="TOC1"/>
            <w:rPr>
              <w:rFonts w:asciiTheme="minorHAnsi" w:eastAsiaTheme="minorEastAsia" w:hAnsiTheme="minorHAnsi"/>
              <w:color w:val="auto"/>
              <w:w w:val="100"/>
              <w:sz w:val="22"/>
              <w:lang w:eastAsia="en-AU"/>
            </w:rPr>
          </w:pPr>
          <w:hyperlink w:anchor="_Toc122597524" w:history="1">
            <w:r w:rsidRPr="00A54B10">
              <w:rPr>
                <w:rStyle w:val="Hyperlink"/>
              </w:rPr>
              <w:t>Appendix A: Submissions</w:t>
            </w:r>
            <w:r>
              <w:rPr>
                <w:webHidden/>
              </w:rPr>
              <w:tab/>
            </w:r>
            <w:r>
              <w:rPr>
                <w:webHidden/>
              </w:rPr>
              <w:fldChar w:fldCharType="begin"/>
            </w:r>
            <w:r>
              <w:rPr>
                <w:webHidden/>
              </w:rPr>
              <w:instrText xml:space="preserve"> PAGEREF _Toc122597524 \h </w:instrText>
            </w:r>
            <w:r>
              <w:rPr>
                <w:webHidden/>
              </w:rPr>
            </w:r>
            <w:r>
              <w:rPr>
                <w:webHidden/>
              </w:rPr>
              <w:fldChar w:fldCharType="separate"/>
            </w:r>
            <w:r w:rsidR="009823A7">
              <w:rPr>
                <w:webHidden/>
              </w:rPr>
              <w:t>8</w:t>
            </w:r>
            <w:r>
              <w:rPr>
                <w:webHidden/>
              </w:rPr>
              <w:fldChar w:fldCharType="end"/>
            </w:r>
          </w:hyperlink>
        </w:p>
        <w:p w14:paraId="02590D17" w14:textId="515ADB0A" w:rsidR="00312736" w:rsidRDefault="00312736" w:rsidP="00312736">
          <w:r>
            <w:rPr>
              <w:b/>
              <w:bCs/>
              <w:noProof/>
            </w:rPr>
            <w:fldChar w:fldCharType="end"/>
          </w:r>
        </w:p>
      </w:sdtContent>
    </w:sdt>
    <w:p w14:paraId="2D57E7AD" w14:textId="77777777" w:rsidR="00312736" w:rsidRDefault="00312736" w:rsidP="00312736">
      <w:pPr>
        <w:spacing w:line="259" w:lineRule="auto"/>
        <w:rPr>
          <w:rFonts w:ascii="Montserrat" w:eastAsiaTheme="majorEastAsia" w:hAnsi="Montserrat" w:cstheme="majorBidi"/>
          <w:b/>
          <w:color w:val="1A234C"/>
          <w:w w:val="90"/>
          <w:kern w:val="2"/>
          <w:sz w:val="36"/>
          <w:szCs w:val="32"/>
        </w:rPr>
      </w:pPr>
      <w:bookmarkStart w:id="8" w:name="_Toc79133347"/>
      <w:bookmarkStart w:id="9" w:name="_Hlk79475490"/>
      <w:r>
        <w:br w:type="page"/>
      </w:r>
    </w:p>
    <w:p w14:paraId="205F93CB" w14:textId="77777777" w:rsidR="00312736" w:rsidRDefault="00312736" w:rsidP="004A0C6F">
      <w:pPr>
        <w:pStyle w:val="Heading1nonumber"/>
      </w:pPr>
      <w:bookmarkStart w:id="10" w:name="_Toc122597514"/>
      <w:r>
        <w:lastRenderedPageBreak/>
        <w:t>Acronyms</w:t>
      </w:r>
      <w:bookmarkEnd w:id="10"/>
    </w:p>
    <w:tbl>
      <w:tblPr>
        <w:tblStyle w:val="Assemblystyletable"/>
        <w:tblW w:w="0" w:type="auto"/>
        <w:tblLook w:val="04A0" w:firstRow="1" w:lastRow="0" w:firstColumn="1" w:lastColumn="0" w:noHBand="0" w:noVBand="1"/>
      </w:tblPr>
      <w:tblGrid>
        <w:gridCol w:w="1843"/>
        <w:gridCol w:w="7183"/>
      </w:tblGrid>
      <w:tr w:rsidR="00312736" w14:paraId="096D2F92" w14:textId="77777777" w:rsidTr="0041234E">
        <w:trPr>
          <w:cnfStyle w:val="100000000000" w:firstRow="1" w:lastRow="0" w:firstColumn="0" w:lastColumn="0" w:oddVBand="0" w:evenVBand="0" w:oddHBand="0" w:evenHBand="0" w:firstRowFirstColumn="0" w:firstRowLastColumn="0" w:lastRowFirstColumn="0" w:lastRowLastColumn="0"/>
        </w:trPr>
        <w:tc>
          <w:tcPr>
            <w:tcW w:w="1843" w:type="dxa"/>
          </w:tcPr>
          <w:p w14:paraId="0DB5A937" w14:textId="77777777" w:rsidR="00312736" w:rsidRDefault="00312736" w:rsidP="0041234E">
            <w:pPr>
              <w:pStyle w:val="Tableheading"/>
            </w:pPr>
            <w:r>
              <w:t>Acronym</w:t>
            </w:r>
          </w:p>
        </w:tc>
        <w:tc>
          <w:tcPr>
            <w:tcW w:w="7183" w:type="dxa"/>
          </w:tcPr>
          <w:p w14:paraId="0D296DFD" w14:textId="77777777" w:rsidR="00312736" w:rsidRDefault="00312736" w:rsidP="0041234E">
            <w:pPr>
              <w:pStyle w:val="Tableheading"/>
            </w:pPr>
            <w:r>
              <w:t>Long form</w:t>
            </w:r>
          </w:p>
        </w:tc>
      </w:tr>
      <w:tr w:rsidR="007F561E" w14:paraId="6DA6C98C" w14:textId="77777777" w:rsidTr="00EC49EB">
        <w:trPr>
          <w:cnfStyle w:val="000000100000" w:firstRow="0" w:lastRow="0" w:firstColumn="0" w:lastColumn="0" w:oddVBand="0" w:evenVBand="0" w:oddHBand="1" w:evenHBand="0" w:firstRowFirstColumn="0" w:firstRowLastColumn="0" w:lastRowFirstColumn="0" w:lastRowLastColumn="0"/>
        </w:trPr>
        <w:tc>
          <w:tcPr>
            <w:tcW w:w="1843" w:type="dxa"/>
          </w:tcPr>
          <w:p w14:paraId="42FCA326" w14:textId="77777777" w:rsidR="007F561E" w:rsidRDefault="007F561E" w:rsidP="00EC49EB">
            <w:pPr>
              <w:pStyle w:val="Tablebody"/>
            </w:pPr>
            <w:r>
              <w:t>AFPA</w:t>
            </w:r>
          </w:p>
        </w:tc>
        <w:tc>
          <w:tcPr>
            <w:tcW w:w="7183" w:type="dxa"/>
          </w:tcPr>
          <w:p w14:paraId="710BD2E7" w14:textId="77777777" w:rsidR="007F561E" w:rsidRDefault="007F561E" w:rsidP="00EC49EB">
            <w:pPr>
              <w:pStyle w:val="Tablebody"/>
            </w:pPr>
            <w:r>
              <w:t xml:space="preserve">Australian Federal Police Association </w:t>
            </w:r>
          </w:p>
        </w:tc>
      </w:tr>
      <w:tr w:rsidR="007F561E" w:rsidDel="00213FE9" w14:paraId="66D0ADF3" w14:textId="77777777" w:rsidTr="005F5EB3">
        <w:trPr>
          <w:cnfStyle w:val="000000010000" w:firstRow="0" w:lastRow="0" w:firstColumn="0" w:lastColumn="0" w:oddVBand="0" w:evenVBand="0" w:oddHBand="0" w:evenHBand="1" w:firstRowFirstColumn="0" w:firstRowLastColumn="0" w:lastRowFirstColumn="0" w:lastRowLastColumn="0"/>
        </w:trPr>
        <w:tc>
          <w:tcPr>
            <w:tcW w:w="1843" w:type="dxa"/>
          </w:tcPr>
          <w:p w14:paraId="48E1CC99" w14:textId="77777777" w:rsidR="007F561E" w:rsidDel="00213FE9" w:rsidRDefault="007F561E" w:rsidP="005F5EB3">
            <w:pPr>
              <w:pStyle w:val="Tablebody"/>
            </w:pPr>
            <w:r>
              <w:t>AVL</w:t>
            </w:r>
          </w:p>
        </w:tc>
        <w:tc>
          <w:tcPr>
            <w:tcW w:w="7183" w:type="dxa"/>
          </w:tcPr>
          <w:p w14:paraId="1972DE8E" w14:textId="77777777" w:rsidR="007F561E" w:rsidDel="00213FE9" w:rsidRDefault="007F561E" w:rsidP="005F5EB3">
            <w:pPr>
              <w:pStyle w:val="Tablebody"/>
            </w:pPr>
            <w:r>
              <w:t>Audio Visual Link</w:t>
            </w:r>
          </w:p>
        </w:tc>
      </w:tr>
      <w:tr w:rsidR="007F561E" w14:paraId="6892440B" w14:textId="77777777" w:rsidTr="00BA2BA6">
        <w:trPr>
          <w:cnfStyle w:val="000000100000" w:firstRow="0" w:lastRow="0" w:firstColumn="0" w:lastColumn="0" w:oddVBand="0" w:evenVBand="0" w:oddHBand="1" w:evenHBand="0" w:firstRowFirstColumn="0" w:firstRowLastColumn="0" w:lastRowFirstColumn="0" w:lastRowLastColumn="0"/>
        </w:trPr>
        <w:tc>
          <w:tcPr>
            <w:tcW w:w="1843" w:type="dxa"/>
          </w:tcPr>
          <w:p w14:paraId="21AAA9F8" w14:textId="77777777" w:rsidR="007F561E" w:rsidRDefault="007F561E" w:rsidP="00BA2BA6">
            <w:pPr>
              <w:pStyle w:val="Tablebody"/>
            </w:pPr>
            <w:r>
              <w:t xml:space="preserve">CCT </w:t>
            </w:r>
          </w:p>
        </w:tc>
        <w:tc>
          <w:tcPr>
            <w:tcW w:w="7183" w:type="dxa"/>
          </w:tcPr>
          <w:p w14:paraId="2B474797" w14:textId="77777777" w:rsidR="007F561E" w:rsidRDefault="007F561E" w:rsidP="00BA2BA6">
            <w:pPr>
              <w:pStyle w:val="Tablebody"/>
            </w:pPr>
            <w:r>
              <w:t>Closed Circuit Television</w:t>
            </w:r>
          </w:p>
        </w:tc>
      </w:tr>
      <w:tr w:rsidR="007F561E" w14:paraId="538A736C" w14:textId="77777777" w:rsidTr="00804C32">
        <w:trPr>
          <w:cnfStyle w:val="000000010000" w:firstRow="0" w:lastRow="0" w:firstColumn="0" w:lastColumn="0" w:oddVBand="0" w:evenVBand="0" w:oddHBand="0" w:evenHBand="1" w:firstRowFirstColumn="0" w:firstRowLastColumn="0" w:lastRowFirstColumn="0" w:lastRowLastColumn="0"/>
        </w:trPr>
        <w:tc>
          <w:tcPr>
            <w:tcW w:w="1843" w:type="dxa"/>
          </w:tcPr>
          <w:p w14:paraId="1DD71410" w14:textId="77777777" w:rsidR="007F561E" w:rsidRDefault="007F561E" w:rsidP="00804C32">
            <w:pPr>
              <w:pStyle w:val="Tablebody"/>
            </w:pPr>
            <w:r>
              <w:t>DPP</w:t>
            </w:r>
          </w:p>
        </w:tc>
        <w:tc>
          <w:tcPr>
            <w:tcW w:w="7183" w:type="dxa"/>
          </w:tcPr>
          <w:p w14:paraId="5F296EBF" w14:textId="77777777" w:rsidR="007F561E" w:rsidRDefault="007F561E" w:rsidP="00804C32">
            <w:pPr>
              <w:pStyle w:val="Tablebody"/>
            </w:pPr>
            <w:r>
              <w:t>Department of Public Prosecutions, ACT</w:t>
            </w:r>
          </w:p>
        </w:tc>
      </w:tr>
      <w:tr w:rsidR="007F561E" w14:paraId="7BA0CAB4" w14:textId="77777777" w:rsidTr="00BF41F5">
        <w:trPr>
          <w:cnfStyle w:val="000000100000" w:firstRow="0" w:lastRow="0" w:firstColumn="0" w:lastColumn="0" w:oddVBand="0" w:evenVBand="0" w:oddHBand="1" w:evenHBand="0" w:firstRowFirstColumn="0" w:firstRowLastColumn="0" w:lastRowFirstColumn="0" w:lastRowLastColumn="0"/>
        </w:trPr>
        <w:tc>
          <w:tcPr>
            <w:tcW w:w="1843" w:type="dxa"/>
          </w:tcPr>
          <w:p w14:paraId="4372FBE0" w14:textId="77777777" w:rsidR="007F561E" w:rsidRDefault="007F561E" w:rsidP="00BF41F5">
            <w:pPr>
              <w:pStyle w:val="Tablebody"/>
            </w:pPr>
            <w:r>
              <w:t>NSW</w:t>
            </w:r>
          </w:p>
        </w:tc>
        <w:tc>
          <w:tcPr>
            <w:tcW w:w="7183" w:type="dxa"/>
          </w:tcPr>
          <w:p w14:paraId="2D3594F8" w14:textId="77777777" w:rsidR="007F561E" w:rsidRDefault="007F561E" w:rsidP="00BF41F5">
            <w:pPr>
              <w:pStyle w:val="Tablebody"/>
            </w:pPr>
            <w:r>
              <w:t>New South Wales</w:t>
            </w:r>
          </w:p>
        </w:tc>
      </w:tr>
      <w:tr w:rsidR="00312736" w14:paraId="0D1BFBC2" w14:textId="77777777" w:rsidTr="0041234E">
        <w:trPr>
          <w:cnfStyle w:val="000000010000" w:firstRow="0" w:lastRow="0" w:firstColumn="0" w:lastColumn="0" w:oddVBand="0" w:evenVBand="0" w:oddHBand="0" w:evenHBand="1" w:firstRowFirstColumn="0" w:firstRowLastColumn="0" w:lastRowFirstColumn="0" w:lastRowLastColumn="0"/>
        </w:trPr>
        <w:tc>
          <w:tcPr>
            <w:tcW w:w="1843" w:type="dxa"/>
          </w:tcPr>
          <w:p w14:paraId="319BB887" w14:textId="77777777" w:rsidR="00312736" w:rsidRDefault="00312736" w:rsidP="0041234E">
            <w:pPr>
              <w:pStyle w:val="Tablebody"/>
            </w:pPr>
            <w:r>
              <w:t>VOCC</w:t>
            </w:r>
          </w:p>
        </w:tc>
        <w:tc>
          <w:tcPr>
            <w:tcW w:w="7183" w:type="dxa"/>
          </w:tcPr>
          <w:p w14:paraId="3E02D116" w14:textId="77777777" w:rsidR="00312736" w:rsidRDefault="00312736" w:rsidP="0041234E">
            <w:pPr>
              <w:pStyle w:val="Tablebody"/>
            </w:pPr>
            <w:r>
              <w:t xml:space="preserve">Victims of Crime Commissioner </w:t>
            </w:r>
          </w:p>
        </w:tc>
      </w:tr>
    </w:tbl>
    <w:p w14:paraId="79940D6E" w14:textId="77777777" w:rsidR="00312736" w:rsidRDefault="00312736" w:rsidP="00312736">
      <w:pPr>
        <w:rPr>
          <w:w w:val="90"/>
        </w:rPr>
      </w:pPr>
      <w:r>
        <w:br w:type="page"/>
      </w:r>
    </w:p>
    <w:p w14:paraId="3FD42B20" w14:textId="273AF285" w:rsidR="00312736" w:rsidRDefault="00312736" w:rsidP="004A0C6F">
      <w:pPr>
        <w:pStyle w:val="Heading1nonumber"/>
      </w:pPr>
      <w:bookmarkStart w:id="11" w:name="_Toc122597515"/>
      <w:r>
        <w:lastRenderedPageBreak/>
        <w:t>R</w:t>
      </w:r>
      <w:r w:rsidRPr="0006752F">
        <w:t>ecommendation</w:t>
      </w:r>
      <w:bookmarkEnd w:id="11"/>
    </w:p>
    <w:p w14:paraId="51E4B867" w14:textId="65327A67" w:rsidR="009B2ED8" w:rsidRDefault="00312736">
      <w:pPr>
        <w:pStyle w:val="TOC1"/>
        <w:rPr>
          <w:rFonts w:asciiTheme="minorHAnsi" w:eastAsiaTheme="minorEastAsia" w:hAnsiTheme="minorHAnsi"/>
          <w:b w:val="0"/>
          <w:bCs w:val="0"/>
          <w:color w:val="auto"/>
          <w:w w:val="100"/>
          <w:sz w:val="22"/>
          <w:lang w:eastAsia="en-AU"/>
        </w:rPr>
      </w:pPr>
      <w:r>
        <w:fldChar w:fldCharType="begin"/>
      </w:r>
      <w:r>
        <w:instrText xml:space="preserve"> TOC \n \h \z \t "Recommendation heading,1,Recommendation body,2" </w:instrText>
      </w:r>
      <w:r>
        <w:fldChar w:fldCharType="separate"/>
      </w:r>
      <w:hyperlink w:anchor="_Toc122599057" w:history="1">
        <w:r w:rsidR="009B2ED8" w:rsidRPr="001F343B">
          <w:rPr>
            <w:rStyle w:val="Hyperlink"/>
          </w:rPr>
          <w:t>Recommendation 1</w:t>
        </w:r>
      </w:hyperlink>
    </w:p>
    <w:p w14:paraId="4E83265A" w14:textId="6873874A" w:rsidR="009B2ED8" w:rsidRDefault="009B2ED8">
      <w:pPr>
        <w:pStyle w:val="TOC2"/>
        <w:rPr>
          <w:rFonts w:eastAsiaTheme="minorEastAsia"/>
          <w:lang w:eastAsia="en-AU"/>
        </w:rPr>
      </w:pPr>
      <w:hyperlink w:anchor="_Toc122599058" w:history="1">
        <w:r w:rsidRPr="001F343B">
          <w:rPr>
            <w:rStyle w:val="Hyperlink"/>
          </w:rPr>
          <w:t>The Committee recommends that the ACT Legislative Assembly support the Bill.</w:t>
        </w:r>
      </w:hyperlink>
    </w:p>
    <w:p w14:paraId="186329DB" w14:textId="0A52F1EC" w:rsidR="009B2ED8" w:rsidRDefault="009B2ED8">
      <w:pPr>
        <w:pStyle w:val="TOC1"/>
        <w:rPr>
          <w:rFonts w:asciiTheme="minorHAnsi" w:eastAsiaTheme="minorEastAsia" w:hAnsiTheme="minorHAnsi"/>
          <w:b w:val="0"/>
          <w:bCs w:val="0"/>
          <w:color w:val="auto"/>
          <w:w w:val="100"/>
          <w:sz w:val="22"/>
          <w:lang w:eastAsia="en-AU"/>
        </w:rPr>
      </w:pPr>
      <w:hyperlink w:anchor="_Toc122599059" w:history="1">
        <w:r w:rsidRPr="001F343B">
          <w:rPr>
            <w:rStyle w:val="Hyperlink"/>
          </w:rPr>
          <w:t>Recommendation 2</w:t>
        </w:r>
      </w:hyperlink>
    </w:p>
    <w:p w14:paraId="2F498443" w14:textId="42EF7CDE" w:rsidR="009B2ED8" w:rsidRDefault="009B2ED8">
      <w:pPr>
        <w:pStyle w:val="TOC2"/>
        <w:rPr>
          <w:rFonts w:eastAsiaTheme="minorEastAsia"/>
          <w:lang w:eastAsia="en-AU"/>
        </w:rPr>
      </w:pPr>
      <w:hyperlink w:anchor="_Toc122599060" w:history="1">
        <w:r w:rsidRPr="001F343B">
          <w:rPr>
            <w:rStyle w:val="Hyperlink"/>
          </w:rPr>
          <w:t>The Committee recommends that the ACT Government include the pre-condition of consent in the proposed new subsections 69(2A) and (2B) and examine an ‘opt out’ approach.</w:t>
        </w:r>
      </w:hyperlink>
    </w:p>
    <w:p w14:paraId="3263BFAE" w14:textId="35729D5E" w:rsidR="009B2ED8" w:rsidRDefault="009B2ED8">
      <w:pPr>
        <w:pStyle w:val="TOC1"/>
        <w:rPr>
          <w:rFonts w:asciiTheme="minorHAnsi" w:eastAsiaTheme="minorEastAsia" w:hAnsiTheme="minorHAnsi"/>
          <w:b w:val="0"/>
          <w:bCs w:val="0"/>
          <w:color w:val="auto"/>
          <w:w w:val="100"/>
          <w:sz w:val="22"/>
          <w:lang w:eastAsia="en-AU"/>
        </w:rPr>
      </w:pPr>
      <w:hyperlink w:anchor="_Toc122599061" w:history="1">
        <w:r w:rsidRPr="001F343B">
          <w:rPr>
            <w:rStyle w:val="Hyperlink"/>
          </w:rPr>
          <w:t>Recommendation 3</w:t>
        </w:r>
      </w:hyperlink>
    </w:p>
    <w:p w14:paraId="37BD38AC" w14:textId="272E83B1" w:rsidR="009B2ED8" w:rsidRDefault="009B2ED8">
      <w:pPr>
        <w:pStyle w:val="TOC2"/>
        <w:rPr>
          <w:rFonts w:eastAsiaTheme="minorEastAsia"/>
          <w:lang w:eastAsia="en-AU"/>
        </w:rPr>
      </w:pPr>
      <w:hyperlink w:anchor="_Toc122599062" w:history="1">
        <w:r w:rsidRPr="001F343B">
          <w:rPr>
            <w:rStyle w:val="Hyperlink"/>
          </w:rPr>
          <w:t>The Committee strongly recommends that the ACT Government work with stakeholders on the implementation of the Bill in relation to the concerns raised in the inquiry.</w:t>
        </w:r>
      </w:hyperlink>
    </w:p>
    <w:p w14:paraId="5CCD8424" w14:textId="7133FCBE" w:rsidR="00312736" w:rsidRPr="00B7541C" w:rsidRDefault="00312736" w:rsidP="00312736">
      <w:pPr>
        <w:sectPr w:rsidR="00312736" w:rsidRPr="00B7541C" w:rsidSect="004D5396">
          <w:type w:val="continuous"/>
          <w:pgSz w:w="11906" w:h="16838"/>
          <w:pgMar w:top="1440" w:right="1440" w:bottom="1440" w:left="1440" w:header="708" w:footer="708" w:gutter="0"/>
          <w:pgNumType w:fmt="lowerRoman" w:start="1"/>
          <w:cols w:space="708"/>
          <w:docGrid w:linePitch="360"/>
        </w:sectPr>
      </w:pPr>
      <w:r>
        <w:fldChar w:fldCharType="end"/>
      </w:r>
    </w:p>
    <w:p w14:paraId="535330BE" w14:textId="63197791" w:rsidR="00312736" w:rsidRDefault="005D5218" w:rsidP="00312736">
      <w:pPr>
        <w:pStyle w:val="Heading1"/>
      </w:pPr>
      <w:bookmarkStart w:id="12" w:name="_Toc122597516"/>
      <w:bookmarkEnd w:id="8"/>
      <w:r>
        <w:lastRenderedPageBreak/>
        <w:t>Introduction</w:t>
      </w:r>
      <w:bookmarkEnd w:id="12"/>
    </w:p>
    <w:p w14:paraId="3981D6CB" w14:textId="77777777" w:rsidR="00312736" w:rsidRPr="00F146D0" w:rsidRDefault="00312736" w:rsidP="00144310">
      <w:pPr>
        <w:pStyle w:val="Heading2"/>
      </w:pPr>
      <w:bookmarkStart w:id="13" w:name="_Toc122597517"/>
      <w:r>
        <w:t>Background to the Bill</w:t>
      </w:r>
      <w:bookmarkEnd w:id="13"/>
    </w:p>
    <w:p w14:paraId="676C8FC8" w14:textId="19A7A7A0" w:rsidR="00312736" w:rsidRPr="00192F5A" w:rsidRDefault="00312736" w:rsidP="00D939F4">
      <w:pPr>
        <w:pStyle w:val="ListNumber2"/>
      </w:pPr>
      <w:r>
        <w:t xml:space="preserve">The Bill </w:t>
      </w:r>
      <w:r w:rsidRPr="0007791D">
        <w:t>is an omnibus bill which amends a range of legislation in the Attorney-General and Minister for Consumer Affairs’ portfolios and follows consultation with a number of ACT Government Directorates and independent agencies.</w:t>
      </w:r>
    </w:p>
    <w:p w14:paraId="4AD4E8DC" w14:textId="77777777" w:rsidR="00312736" w:rsidRDefault="00312736" w:rsidP="00312736">
      <w:pPr>
        <w:pStyle w:val="ListNumber2"/>
      </w:pPr>
      <w:r>
        <w:t xml:space="preserve">The Explanatory Statement explains the amendment to the </w:t>
      </w:r>
      <w:r w:rsidRPr="000F5A6D">
        <w:rPr>
          <w:i/>
          <w:iCs/>
        </w:rPr>
        <w:t>Evidence (Miscellaneous Provisions) Act 1991</w:t>
      </w:r>
      <w:r w:rsidRPr="0027089F">
        <w:t xml:space="preserve"> </w:t>
      </w:r>
      <w:r>
        <w:t>as follows:</w:t>
      </w:r>
    </w:p>
    <w:p w14:paraId="64F62DC4" w14:textId="77777777" w:rsidR="00312736" w:rsidRPr="0027089F" w:rsidRDefault="00312736" w:rsidP="00312736">
      <w:pPr>
        <w:pStyle w:val="ListNumber2"/>
        <w:numPr>
          <w:ilvl w:val="0"/>
          <w:numId w:val="0"/>
        </w:numPr>
        <w:ind w:left="1440"/>
        <w:rPr>
          <w:color w:val="7F7F7F" w:themeColor="text1" w:themeTint="80"/>
        </w:rPr>
      </w:pPr>
      <w:r w:rsidRPr="0027089F">
        <w:rPr>
          <w:color w:val="7F7F7F" w:themeColor="text1" w:themeTint="80"/>
        </w:rPr>
        <w:t xml:space="preserve">The Bill amends the </w:t>
      </w:r>
      <w:r w:rsidRPr="000F5A6D">
        <w:rPr>
          <w:i/>
          <w:iCs/>
          <w:color w:val="7F7F7F" w:themeColor="text1" w:themeTint="80"/>
        </w:rPr>
        <w:t>Evidence (Miscellaneous Provisions) Act 1991</w:t>
      </w:r>
      <w:r w:rsidRPr="0027089F">
        <w:rPr>
          <w:color w:val="7F7F7F" w:themeColor="text1" w:themeTint="80"/>
        </w:rPr>
        <w:t xml:space="preserve"> so that section 69 of the Act applies to a witness in a relevant proceeding who is ordered to give evidence in court under section 68(3) in the same way that it applies to witness who gives evidence in a relevant proceeding by audio visual link under section 68.</w:t>
      </w:r>
    </w:p>
    <w:p w14:paraId="53469CFB" w14:textId="33A1BCBF" w:rsidR="00312736" w:rsidRPr="0027089F" w:rsidRDefault="00312736" w:rsidP="00312736">
      <w:pPr>
        <w:pStyle w:val="ListNumber2"/>
        <w:numPr>
          <w:ilvl w:val="0"/>
          <w:numId w:val="0"/>
        </w:numPr>
        <w:ind w:left="1440"/>
        <w:rPr>
          <w:color w:val="7F7F7F" w:themeColor="text1" w:themeTint="80"/>
        </w:rPr>
      </w:pPr>
      <w:r w:rsidRPr="0027089F">
        <w:rPr>
          <w:color w:val="7F7F7F" w:themeColor="text1" w:themeTint="80"/>
        </w:rPr>
        <w:t>Division 4.3.5 of the Evidence (Miscellaneous Provisions) Act relates to the giving of evidence via audio</w:t>
      </w:r>
      <w:r w:rsidR="00867992">
        <w:rPr>
          <w:color w:val="7F7F7F" w:themeColor="text1" w:themeTint="80"/>
        </w:rPr>
        <w:t xml:space="preserve"> </w:t>
      </w:r>
      <w:r w:rsidRPr="0027089F">
        <w:rPr>
          <w:color w:val="7F7F7F" w:themeColor="text1" w:themeTint="80"/>
        </w:rPr>
        <w:t xml:space="preserve">visual link (AVL) in sexual, violent and family violence proceedings. Section 68(2) provides that some witnesses in a relevant proceeding are to give evidence via AVL unless the court orders otherwise. Section 68(3) provides the factors the court must be satisfied of to make an order that the witness give evidence in the courtroom. These include a witness’s preference to provide evidence in the court room opposed to via audio visual link. </w:t>
      </w:r>
    </w:p>
    <w:p w14:paraId="57012EC9" w14:textId="77777777" w:rsidR="00312736" w:rsidRPr="0027089F" w:rsidRDefault="00312736" w:rsidP="00312736">
      <w:pPr>
        <w:pStyle w:val="ListNumber2"/>
        <w:numPr>
          <w:ilvl w:val="0"/>
          <w:numId w:val="0"/>
        </w:numPr>
        <w:ind w:left="1440"/>
        <w:rPr>
          <w:color w:val="7F7F7F" w:themeColor="text1" w:themeTint="80"/>
        </w:rPr>
      </w:pPr>
      <w:r w:rsidRPr="0027089F">
        <w:rPr>
          <w:color w:val="7F7F7F" w:themeColor="text1" w:themeTint="80"/>
        </w:rPr>
        <w:t xml:space="preserve">Section 69 applies if a witness gives evidence in a relevant proceeding by AVL under section 68. Section 69 provides for the recording of evidence that is given via AVL to be admissible in a related proceeding such as a retrial. </w:t>
      </w:r>
    </w:p>
    <w:p w14:paraId="636CBA8C" w14:textId="7FAB07A0" w:rsidR="00312736" w:rsidRPr="0027089F" w:rsidRDefault="00312736" w:rsidP="00312736">
      <w:pPr>
        <w:pStyle w:val="ListNumber2"/>
        <w:numPr>
          <w:ilvl w:val="0"/>
          <w:numId w:val="0"/>
        </w:numPr>
        <w:ind w:left="1440"/>
        <w:rPr>
          <w:color w:val="7F7F7F" w:themeColor="text1" w:themeTint="80"/>
        </w:rPr>
      </w:pPr>
      <w:r w:rsidRPr="0027089F">
        <w:rPr>
          <w:color w:val="7F7F7F" w:themeColor="text1" w:themeTint="80"/>
        </w:rPr>
        <w:t>Currently, section 69 of the Act does not allow for the recorded evidence of a witness who is ordered to provide their evidence in the courtroom under section 68(3) to be admissible as the witness’s evidence in a related proceeding. This is in contrast to the recorded evidence of a witness who delivers their evidence by audiovisual link.</w:t>
      </w:r>
      <w:r>
        <w:rPr>
          <w:rStyle w:val="FootnoteReference"/>
          <w:color w:val="7F7F7F" w:themeColor="text1" w:themeTint="80"/>
        </w:rPr>
        <w:footnoteReference w:id="3"/>
      </w:r>
    </w:p>
    <w:p w14:paraId="5D3D6B6B" w14:textId="145DC61C" w:rsidR="00312736" w:rsidRDefault="00312736" w:rsidP="00312736">
      <w:pPr>
        <w:pStyle w:val="ListNumber2"/>
      </w:pPr>
      <w:r>
        <w:t xml:space="preserve">The </w:t>
      </w:r>
      <w:r w:rsidR="0090260B">
        <w:t>e</w:t>
      </w:r>
      <w:r>
        <w:t xml:space="preserve">xplanatory </w:t>
      </w:r>
      <w:r w:rsidR="0090260B">
        <w:t>s</w:t>
      </w:r>
      <w:r>
        <w:t>tatement goes further to explain the purpose of the amendment:</w:t>
      </w:r>
    </w:p>
    <w:p w14:paraId="184ECA8E" w14:textId="77777777" w:rsidR="00312736" w:rsidRPr="00D0119C" w:rsidRDefault="00312736" w:rsidP="00312736">
      <w:pPr>
        <w:pStyle w:val="ListNumber2"/>
        <w:numPr>
          <w:ilvl w:val="0"/>
          <w:numId w:val="0"/>
        </w:numPr>
        <w:ind w:left="1440"/>
        <w:rPr>
          <w:color w:val="7F7F7F" w:themeColor="text1" w:themeTint="80"/>
        </w:rPr>
      </w:pPr>
      <w:r w:rsidRPr="00D0119C">
        <w:rPr>
          <w:color w:val="7F7F7F" w:themeColor="text1" w:themeTint="80"/>
        </w:rPr>
        <w:t xml:space="preserve">The legitimate purpose of this amendment is to reduce the risk of re-traumatising a vulnerable witness giving evidence in a related proceeding by allowing their evidence given in the courtroom to be recorded and used in a subsequent proceeding if the witness consents to this process. </w:t>
      </w:r>
    </w:p>
    <w:p w14:paraId="21BD6588" w14:textId="77777777" w:rsidR="00312736" w:rsidRPr="00D0119C" w:rsidRDefault="00312736" w:rsidP="00312736">
      <w:pPr>
        <w:pStyle w:val="ListNumber2"/>
        <w:numPr>
          <w:ilvl w:val="0"/>
          <w:numId w:val="0"/>
        </w:numPr>
        <w:ind w:left="1440"/>
        <w:rPr>
          <w:color w:val="7F7F7F" w:themeColor="text1" w:themeTint="80"/>
        </w:rPr>
      </w:pPr>
      <w:r w:rsidRPr="00D0119C">
        <w:rPr>
          <w:color w:val="7F7F7F" w:themeColor="text1" w:themeTint="80"/>
        </w:rPr>
        <w:t xml:space="preserve">The legislation as currently drafted provides that in the case of a retrial, the power to rely on the recorded evidence is limited to where a relevant witness does not elect to give evidence in the courtroom. This has the potential to lead to a structural cost to a witness choosing to give evidence in a courtroom under s68(3){a), in that in </w:t>
      </w:r>
      <w:r w:rsidRPr="00D0119C">
        <w:rPr>
          <w:color w:val="7F7F7F" w:themeColor="text1" w:themeTint="80"/>
        </w:rPr>
        <w:lastRenderedPageBreak/>
        <w:t>the event of a re-trial, they must give evidence all over again. Remedying this anomaly is rationally connected to legitimate purpose identified above.</w:t>
      </w:r>
      <w:r>
        <w:rPr>
          <w:rStyle w:val="FootnoteReference"/>
          <w:color w:val="7F7F7F" w:themeColor="text1" w:themeTint="80"/>
        </w:rPr>
        <w:footnoteReference w:id="4"/>
      </w:r>
    </w:p>
    <w:p w14:paraId="5873F3F9" w14:textId="55318683" w:rsidR="00312736" w:rsidRPr="00783B5C" w:rsidRDefault="00312736" w:rsidP="00312736">
      <w:pPr>
        <w:pStyle w:val="ListNumber2"/>
      </w:pPr>
      <w:bookmarkStart w:id="14" w:name="_Hlk79571513"/>
      <w:bookmarkEnd w:id="9"/>
      <w:r>
        <w:t xml:space="preserve">On 28 November 2022, the Standing Committee on Justice and Community Safety resolved to inquire into the Bill and called for submissions by 12 December 2022. </w:t>
      </w:r>
      <w:r w:rsidR="00D027E2">
        <w:t>Six</w:t>
      </w:r>
      <w:r w:rsidRPr="00A82B5E">
        <w:rPr>
          <w:bCs w:val="0"/>
        </w:rPr>
        <w:t xml:space="preserve"> </w:t>
      </w:r>
      <w:r>
        <w:t xml:space="preserve">submissions were received. These are listed in Appendix A. The Committee met </w:t>
      </w:r>
      <w:r w:rsidRPr="00EC5B7D">
        <w:t xml:space="preserve">on </w:t>
      </w:r>
      <w:r w:rsidR="00AC4C0E" w:rsidRPr="00EC5B7D">
        <w:t>21 December</w:t>
      </w:r>
      <w:r w:rsidRPr="00EC5B7D">
        <w:t xml:space="preserve"> 2022</w:t>
      </w:r>
      <w:r>
        <w:t xml:space="preserve"> to consider the Chair’s draft report</w:t>
      </w:r>
      <w:r w:rsidRPr="00382DDD">
        <w:t>, which was adopted on the same day</w:t>
      </w:r>
      <w:r>
        <w:t>, for tabling.</w:t>
      </w:r>
    </w:p>
    <w:bookmarkEnd w:id="14"/>
    <w:p w14:paraId="73638932" w14:textId="77777777" w:rsidR="00312736" w:rsidRDefault="00312736" w:rsidP="00312736">
      <w:pPr>
        <w:pStyle w:val="ListNumber3"/>
        <w:numPr>
          <w:ilvl w:val="0"/>
          <w:numId w:val="0"/>
        </w:numPr>
        <w:ind w:left="851"/>
      </w:pPr>
    </w:p>
    <w:p w14:paraId="599AC863" w14:textId="77777777" w:rsidR="006A3808" w:rsidRPr="00F146D0" w:rsidRDefault="006A3808" w:rsidP="00144310">
      <w:pPr>
        <w:pStyle w:val="Heading2"/>
      </w:pPr>
      <w:bookmarkStart w:id="15" w:name="_Toc122597518"/>
      <w:r>
        <w:t>Legislative Scrutiny</w:t>
      </w:r>
      <w:bookmarkEnd w:id="15"/>
    </w:p>
    <w:p w14:paraId="22065735" w14:textId="68175F8E" w:rsidR="006A3808" w:rsidRDefault="006A3808" w:rsidP="006A3808">
      <w:pPr>
        <w:pStyle w:val="ListNumber2"/>
      </w:pPr>
      <w:r>
        <w:t xml:space="preserve">The Bill </w:t>
      </w:r>
      <w:r w:rsidR="001326FF">
        <w:t xml:space="preserve">has </w:t>
      </w:r>
      <w:r>
        <w:t xml:space="preserve">not </w:t>
      </w:r>
      <w:r w:rsidR="00B84CD4">
        <w:t xml:space="preserve">been </w:t>
      </w:r>
      <w:r>
        <w:t>considered by the Standing Committee on Justice and Community Safety (Legislative Scrutiny role) at the time of tabling this report</w:t>
      </w:r>
      <w:r w:rsidR="00AC4C0E">
        <w:t xml:space="preserve"> due to the reporting deadline</w:t>
      </w:r>
      <w:r>
        <w:t>.</w:t>
      </w:r>
      <w:r w:rsidR="00AC4C0E">
        <w:t xml:space="preserve">  The Committee notes that the Assembly will also consider the relevant report of the Scrutiny Committee and any recommendations it makes.</w:t>
      </w:r>
    </w:p>
    <w:p w14:paraId="4C933907" w14:textId="77777777" w:rsidR="00312736" w:rsidRDefault="00312736" w:rsidP="00312736">
      <w:pPr>
        <w:spacing w:line="259" w:lineRule="auto"/>
        <w:rPr>
          <w:rFonts w:ascii="Montserrat" w:eastAsiaTheme="majorEastAsia" w:hAnsi="Montserrat" w:cstheme="majorBidi"/>
          <w:b/>
          <w:color w:val="1A234C"/>
          <w:w w:val="90"/>
          <w:kern w:val="2"/>
          <w:sz w:val="36"/>
          <w:szCs w:val="32"/>
          <w:highlight w:val="lightGray"/>
        </w:rPr>
      </w:pPr>
      <w:r>
        <w:rPr>
          <w:highlight w:val="lightGray"/>
        </w:rPr>
        <w:br w:type="page"/>
      </w:r>
    </w:p>
    <w:p w14:paraId="46FF90BE" w14:textId="1757AAB9" w:rsidR="00312736" w:rsidRDefault="005D5218" w:rsidP="00312736">
      <w:pPr>
        <w:pStyle w:val="Heading1"/>
      </w:pPr>
      <w:bookmarkStart w:id="16" w:name="_Toc122597519"/>
      <w:r>
        <w:lastRenderedPageBreak/>
        <w:t>Issues raised in evidence</w:t>
      </w:r>
      <w:bookmarkEnd w:id="16"/>
    </w:p>
    <w:p w14:paraId="0FCCA0D8" w14:textId="308453AA" w:rsidR="00144310" w:rsidRPr="00F477AF" w:rsidRDefault="00144310" w:rsidP="00144310">
      <w:pPr>
        <w:pStyle w:val="Heading2"/>
        <w:rPr>
          <w:color w:val="7F7F7F" w:themeColor="text1" w:themeTint="80"/>
        </w:rPr>
      </w:pPr>
      <w:bookmarkStart w:id="17" w:name="_Toc122597520"/>
      <w:r>
        <w:t>General considerations</w:t>
      </w:r>
      <w:bookmarkEnd w:id="17"/>
      <w:r>
        <w:t xml:space="preserve"> </w:t>
      </w:r>
    </w:p>
    <w:p w14:paraId="5525F8DB" w14:textId="6C00D405" w:rsidR="00D027E2" w:rsidRDefault="00723B78" w:rsidP="00113BA3">
      <w:pPr>
        <w:pStyle w:val="ListNumber2"/>
      </w:pPr>
      <w:r>
        <w:t xml:space="preserve">Submissions generally </w:t>
      </w:r>
      <w:r w:rsidR="00341CBF">
        <w:t>supported</w:t>
      </w:r>
      <w:r>
        <w:t xml:space="preserve"> in principle or did not object in principle to the </w:t>
      </w:r>
      <w:r w:rsidR="007C6387">
        <w:t xml:space="preserve">amendments </w:t>
      </w:r>
      <w:r w:rsidR="007C6387" w:rsidRPr="0007791D">
        <w:t xml:space="preserve">to the </w:t>
      </w:r>
      <w:r w:rsidR="007C6387" w:rsidRPr="00D027E2">
        <w:rPr>
          <w:i/>
          <w:iCs/>
        </w:rPr>
        <w:t>Evidence (Miscellaneous Provisions) Act 1991</w:t>
      </w:r>
      <w:r w:rsidR="006A562E">
        <w:t xml:space="preserve">. </w:t>
      </w:r>
    </w:p>
    <w:p w14:paraId="54C1DFC5" w14:textId="4D8A8265" w:rsidR="00312736" w:rsidRDefault="00312736" w:rsidP="00312736">
      <w:pPr>
        <w:pStyle w:val="ListNumber2"/>
      </w:pPr>
      <w:r>
        <w:t>All submissions raised the issue of consen</w:t>
      </w:r>
      <w:r w:rsidR="005772D3">
        <w:t>t that will be addressed in detail in paragraphs 2.6 onwards</w:t>
      </w:r>
      <w:r>
        <w:t>. Other issues raised in submissions included:</w:t>
      </w:r>
    </w:p>
    <w:p w14:paraId="59E86D40" w14:textId="02FE9733" w:rsidR="000271A5" w:rsidRDefault="00312736" w:rsidP="000271A5">
      <w:pPr>
        <w:pStyle w:val="ListNumber3"/>
      </w:pPr>
      <w:r w:rsidRPr="005227D8">
        <w:t>Legal Aid ACT</w:t>
      </w:r>
      <w:r w:rsidR="00B84CD4">
        <w:rPr>
          <w:rStyle w:val="FootnoteReference"/>
        </w:rPr>
        <w:footnoteReference w:id="5"/>
      </w:r>
      <w:r w:rsidRPr="005227D8">
        <w:t xml:space="preserve"> and the</w:t>
      </w:r>
      <w:r w:rsidR="000271A5">
        <w:t xml:space="preserve"> ACT</w:t>
      </w:r>
      <w:r w:rsidRPr="005227D8">
        <w:t xml:space="preserve"> Law Society</w:t>
      </w:r>
      <w:r w:rsidR="00B84CD4">
        <w:rPr>
          <w:rStyle w:val="FootnoteReference"/>
        </w:rPr>
        <w:footnoteReference w:id="6"/>
      </w:r>
      <w:r w:rsidRPr="005227D8">
        <w:t xml:space="preserve"> </w:t>
      </w:r>
      <w:r w:rsidR="00E34571">
        <w:t>raised concerns</w:t>
      </w:r>
      <w:r w:rsidRPr="005227D8">
        <w:t xml:space="preserve"> that further amendments are needed to include warnings to juries when viewing recorded evidence</w:t>
      </w:r>
      <w:r w:rsidR="0090260B">
        <w:t xml:space="preserve"> as a safeguard against prejudice</w:t>
      </w:r>
      <w:r w:rsidR="0014766B" w:rsidRPr="005227D8">
        <w:t>.</w:t>
      </w:r>
      <w:r w:rsidRPr="005227D8">
        <w:t xml:space="preserve"> </w:t>
      </w:r>
      <w:r w:rsidR="005772D3">
        <w:t>Both submissions raised concerns that</w:t>
      </w:r>
      <w:r w:rsidRPr="005227D8">
        <w:t xml:space="preserve"> the recording itself may indicate to the jury </w:t>
      </w:r>
      <w:r w:rsidR="0014766B" w:rsidRPr="005227D8">
        <w:t xml:space="preserve">that </w:t>
      </w:r>
      <w:r w:rsidRPr="005227D8">
        <w:t>they are presiding over a retrial.</w:t>
      </w:r>
    </w:p>
    <w:p w14:paraId="52C67DD5" w14:textId="383CC4CB" w:rsidR="00312736" w:rsidRDefault="00312736" w:rsidP="000271A5">
      <w:pPr>
        <w:pStyle w:val="ListNumber3"/>
      </w:pPr>
      <w:r w:rsidRPr="005227D8">
        <w:t xml:space="preserve">The </w:t>
      </w:r>
      <w:r w:rsidR="000271A5">
        <w:t xml:space="preserve">ACT </w:t>
      </w:r>
      <w:r w:rsidRPr="005227D8">
        <w:t xml:space="preserve">Law Society </w:t>
      </w:r>
      <w:r w:rsidR="00E34571">
        <w:t>told the Committee that</w:t>
      </w:r>
      <w:r w:rsidRPr="005227D8">
        <w:t xml:space="preserve"> they are concerned </w:t>
      </w:r>
      <w:r w:rsidR="000271A5">
        <w:t>that the proposal will require all courts to have cameras with audio-visual recording capacity in all courtrooms.</w:t>
      </w:r>
      <w:r w:rsidR="00913C9D">
        <w:t xml:space="preserve">  </w:t>
      </w:r>
      <w:r w:rsidR="005772D3">
        <w:t>They</w:t>
      </w:r>
      <w:r w:rsidR="000271A5">
        <w:t xml:space="preserve"> question</w:t>
      </w:r>
      <w:r w:rsidR="005772D3">
        <w:t>ed</w:t>
      </w:r>
      <w:r w:rsidR="000271A5">
        <w:t xml:space="preserve"> if the courts had been consulted on the resourcing demands following these amendments.</w:t>
      </w:r>
      <w:r w:rsidR="006A562E">
        <w:rPr>
          <w:rStyle w:val="FootnoteReference"/>
        </w:rPr>
        <w:footnoteReference w:id="7"/>
      </w:r>
      <w:r w:rsidR="000271A5">
        <w:t xml:space="preserve"> The Committee notes other Australian jurisdictions have allocated substantial funding to improve AVL systems in courtrooms.</w:t>
      </w:r>
      <w:r w:rsidR="000271A5">
        <w:rPr>
          <w:rStyle w:val="FootnoteReference"/>
        </w:rPr>
        <w:footnoteReference w:id="8"/>
      </w:r>
    </w:p>
    <w:p w14:paraId="09B886D8" w14:textId="717A7E51" w:rsidR="00C364F1" w:rsidRPr="000271A5" w:rsidRDefault="00C364F1" w:rsidP="00C364F1">
      <w:pPr>
        <w:pStyle w:val="ListNumber3"/>
      </w:pPr>
      <w:r>
        <w:t xml:space="preserve">The need for clear guidelines and practice guides was raised by the AFPA. These </w:t>
      </w:r>
      <w:r w:rsidR="005772D3">
        <w:t xml:space="preserve">documents </w:t>
      </w:r>
      <w:r>
        <w:t xml:space="preserve">will need to consider (and </w:t>
      </w:r>
      <w:r w:rsidR="00AC4C0E">
        <w:t xml:space="preserve">be </w:t>
      </w:r>
      <w:r>
        <w:t>not limited to) aspects such as audio-visual quality, editing</w:t>
      </w:r>
      <w:r w:rsidR="005772D3">
        <w:t xml:space="preserve"> capacity</w:t>
      </w:r>
      <w:r>
        <w:t>, freedom of information implications, and audio-visual storage requirements.</w:t>
      </w:r>
      <w:r>
        <w:rPr>
          <w:rStyle w:val="FootnoteReference"/>
        </w:rPr>
        <w:footnoteReference w:id="9"/>
      </w:r>
      <w:r>
        <w:t xml:space="preserve"> The Committee notes there are a range of technological, administrative</w:t>
      </w:r>
      <w:r w:rsidR="005772D3">
        <w:t>,</w:t>
      </w:r>
      <w:r>
        <w:t xml:space="preserve"> and procedural issues</w:t>
      </w:r>
      <w:r w:rsidR="005772D3">
        <w:t xml:space="preserve"> documented regarding</w:t>
      </w:r>
      <w:r>
        <w:t xml:space="preserve"> the use of AVL technologies in Australian criminal courtrooms.</w:t>
      </w:r>
      <w:r>
        <w:rPr>
          <w:rStyle w:val="FootnoteReference"/>
        </w:rPr>
        <w:footnoteReference w:id="10"/>
      </w:r>
      <w:r>
        <w:t xml:space="preserve"> </w:t>
      </w:r>
    </w:p>
    <w:p w14:paraId="23D62D78" w14:textId="2D078C9E" w:rsidR="00312736" w:rsidRPr="00257BF0" w:rsidRDefault="00312736" w:rsidP="00312736">
      <w:pPr>
        <w:pStyle w:val="ListNumber3"/>
      </w:pPr>
      <w:r>
        <w:t xml:space="preserve">The Women’s Legal Centre </w:t>
      </w:r>
      <w:r w:rsidR="00BA18DE">
        <w:t>comment</w:t>
      </w:r>
      <w:r w:rsidR="00E23649">
        <w:t>ed</w:t>
      </w:r>
      <w:r w:rsidR="00BA18DE">
        <w:t xml:space="preserve"> on</w:t>
      </w:r>
      <w:r>
        <w:t xml:space="preserve"> </w:t>
      </w:r>
      <w:r w:rsidR="005F2B73">
        <w:t xml:space="preserve">the </w:t>
      </w:r>
      <w:r w:rsidR="00BA18DE">
        <w:t xml:space="preserve">absence of a dedicated legal service to advise victim-survivors on the criminal justice process. </w:t>
      </w:r>
      <w:r w:rsidR="005772D3">
        <w:t>While</w:t>
      </w:r>
      <w:r w:rsidR="00BA18DE">
        <w:t xml:space="preserve"> there are</w:t>
      </w:r>
      <w:r w:rsidR="005F2B73">
        <w:t xml:space="preserve"> victim-survivor</w:t>
      </w:r>
      <w:r w:rsidR="00BA18DE">
        <w:t xml:space="preserve"> support services, </w:t>
      </w:r>
      <w:r w:rsidR="005772D3">
        <w:t>the Women’s Legal Centre stated they</w:t>
      </w:r>
      <w:r w:rsidR="00BA18DE">
        <w:t xml:space="preserve"> are unable to provide </w:t>
      </w:r>
      <w:r w:rsidR="005F2B73">
        <w:t xml:space="preserve">legal and strategic advice about optimising engagement in the criminal </w:t>
      </w:r>
      <w:r w:rsidR="005F2B73" w:rsidRPr="00257BF0">
        <w:t>justice system.</w:t>
      </w:r>
      <w:r w:rsidR="00BA18DE" w:rsidRPr="00257BF0">
        <w:rPr>
          <w:rStyle w:val="FootnoteReference"/>
        </w:rPr>
        <w:footnoteReference w:id="11"/>
      </w:r>
    </w:p>
    <w:p w14:paraId="3896BF42" w14:textId="7B427989" w:rsidR="0014766B" w:rsidRDefault="00E34571" w:rsidP="0014766B">
      <w:pPr>
        <w:pStyle w:val="ListNumber3"/>
      </w:pPr>
      <w:r>
        <w:lastRenderedPageBreak/>
        <w:t>Th</w:t>
      </w:r>
      <w:r w:rsidR="00913C9D">
        <w:t>e</w:t>
      </w:r>
      <w:r w:rsidR="0014766B" w:rsidRPr="0006627F">
        <w:t xml:space="preserve"> </w:t>
      </w:r>
      <w:r w:rsidR="00913C9D">
        <w:t xml:space="preserve">ACT </w:t>
      </w:r>
      <w:r w:rsidR="0014766B" w:rsidRPr="0006627F">
        <w:t xml:space="preserve">Law Society </w:t>
      </w:r>
      <w:r>
        <w:t>raised concerns</w:t>
      </w:r>
      <w:r w:rsidR="0014766B" w:rsidRPr="0006627F">
        <w:t xml:space="preserve"> that the amendments may create </w:t>
      </w:r>
      <w:r w:rsidR="0006627F" w:rsidRPr="0006627F">
        <w:t>uncertainty for both parties</w:t>
      </w:r>
      <w:r w:rsidR="00257BF0">
        <w:t xml:space="preserve"> around how evidence will be presented</w:t>
      </w:r>
      <w:r w:rsidR="0006627F" w:rsidRPr="0006627F">
        <w:t xml:space="preserve"> if a case is retried</w:t>
      </w:r>
      <w:r w:rsidR="009016FF">
        <w:t>, which may place them on unequal footing</w:t>
      </w:r>
      <w:r w:rsidR="0006627F" w:rsidRPr="0006627F">
        <w:t>.</w:t>
      </w:r>
      <w:r w:rsidR="00913C9D">
        <w:rPr>
          <w:rStyle w:val="FootnoteReference"/>
        </w:rPr>
        <w:footnoteReference w:id="12"/>
      </w:r>
      <w:r w:rsidR="0006627F" w:rsidRPr="0006627F">
        <w:t xml:space="preserve"> </w:t>
      </w:r>
    </w:p>
    <w:p w14:paraId="37AF41B8" w14:textId="0059C4B9" w:rsidR="00F5148F" w:rsidRPr="00F5148F" w:rsidRDefault="00F5148F" w:rsidP="005F6143">
      <w:pPr>
        <w:pStyle w:val="Heading2"/>
      </w:pPr>
      <w:bookmarkStart w:id="18" w:name="_Toc122597521"/>
      <w:r w:rsidRPr="00F5148F">
        <w:t>Consultation process</w:t>
      </w:r>
      <w:bookmarkEnd w:id="18"/>
    </w:p>
    <w:p w14:paraId="50FD4194" w14:textId="3B7EB374" w:rsidR="00F5148F" w:rsidRDefault="00F5148F" w:rsidP="00B84CD4">
      <w:pPr>
        <w:pStyle w:val="ListNumber2"/>
      </w:pPr>
      <w:r>
        <w:t xml:space="preserve">The explanatory statement to the Bill noted that the following stakeholders were consulted on the amendments to the </w:t>
      </w:r>
      <w:r w:rsidRPr="00F5148F">
        <w:rPr>
          <w:i/>
          <w:iCs/>
        </w:rPr>
        <w:t>Evidence (Miscellaneous Provisions) Act 1991</w:t>
      </w:r>
      <w:r>
        <w:t>:</w:t>
      </w:r>
    </w:p>
    <w:p w14:paraId="06B74E39" w14:textId="458111F0" w:rsidR="00F5148F" w:rsidRDefault="00F5148F" w:rsidP="00F5148F">
      <w:pPr>
        <w:pStyle w:val="ListNumber3"/>
        <w:numPr>
          <w:ilvl w:val="2"/>
          <w:numId w:val="29"/>
        </w:numPr>
        <w:spacing w:before="0" w:after="0" w:line="240" w:lineRule="auto"/>
        <w:ind w:left="1208" w:hanging="357"/>
      </w:pPr>
      <w:r>
        <w:t>ACT Bar Association</w:t>
      </w:r>
    </w:p>
    <w:p w14:paraId="039A0B4B" w14:textId="3F35BA30" w:rsidR="00F5148F" w:rsidRDefault="00F5148F" w:rsidP="00F5148F">
      <w:pPr>
        <w:pStyle w:val="ListNumber3"/>
        <w:numPr>
          <w:ilvl w:val="2"/>
          <w:numId w:val="29"/>
        </w:numPr>
        <w:spacing w:before="0" w:after="0" w:line="240" w:lineRule="auto"/>
        <w:ind w:left="1208" w:hanging="357"/>
      </w:pPr>
      <w:r>
        <w:t>ACT Courts and Tribunal</w:t>
      </w:r>
    </w:p>
    <w:p w14:paraId="0B348FB8" w14:textId="1B6C4925" w:rsidR="00F5148F" w:rsidRDefault="00F5148F" w:rsidP="00F5148F">
      <w:pPr>
        <w:pStyle w:val="ListNumber3"/>
        <w:numPr>
          <w:ilvl w:val="2"/>
          <w:numId w:val="29"/>
        </w:numPr>
        <w:spacing w:before="0" w:after="0" w:line="240" w:lineRule="auto"/>
        <w:ind w:left="1208" w:hanging="357"/>
      </w:pPr>
      <w:r>
        <w:t>ACT Human Rights Commission</w:t>
      </w:r>
    </w:p>
    <w:p w14:paraId="243EE244" w14:textId="00355DAA" w:rsidR="00F5148F" w:rsidRDefault="00F5148F" w:rsidP="00F5148F">
      <w:pPr>
        <w:pStyle w:val="ListNumber3"/>
        <w:numPr>
          <w:ilvl w:val="2"/>
          <w:numId w:val="29"/>
        </w:numPr>
        <w:spacing w:before="0" w:after="0" w:line="240" w:lineRule="auto"/>
        <w:ind w:left="1208" w:hanging="357"/>
      </w:pPr>
      <w:r>
        <w:t>ACT Law Society</w:t>
      </w:r>
    </w:p>
    <w:p w14:paraId="1A56FC9B" w14:textId="3F024B7D" w:rsidR="00F5148F" w:rsidRDefault="00F5148F" w:rsidP="00F5148F">
      <w:pPr>
        <w:pStyle w:val="ListNumber3"/>
        <w:numPr>
          <w:ilvl w:val="2"/>
          <w:numId w:val="29"/>
        </w:numPr>
        <w:spacing w:before="0" w:after="0" w:line="240" w:lineRule="auto"/>
        <w:ind w:left="1208" w:hanging="357"/>
      </w:pPr>
      <w:r>
        <w:t>ACT Department of Public Prosecutions</w:t>
      </w:r>
    </w:p>
    <w:p w14:paraId="5616C291" w14:textId="5DB24398" w:rsidR="00F5148F" w:rsidRDefault="00F5148F" w:rsidP="00F5148F">
      <w:pPr>
        <w:pStyle w:val="ListNumber3"/>
        <w:numPr>
          <w:ilvl w:val="2"/>
          <w:numId w:val="29"/>
        </w:numPr>
        <w:spacing w:before="0" w:after="0" w:line="240" w:lineRule="auto"/>
        <w:ind w:left="1208" w:hanging="357"/>
      </w:pPr>
      <w:r>
        <w:t>Legal Aid ACT</w:t>
      </w:r>
      <w:r>
        <w:rPr>
          <w:rStyle w:val="FootnoteReference"/>
        </w:rPr>
        <w:footnoteReference w:id="13"/>
      </w:r>
    </w:p>
    <w:p w14:paraId="5F07FD7C" w14:textId="6D6CFE7B" w:rsidR="00F5148F" w:rsidRDefault="00F5148F" w:rsidP="00B84CD4">
      <w:pPr>
        <w:pStyle w:val="ListNumber2"/>
      </w:pPr>
      <w:r>
        <w:t xml:space="preserve">However, concerns were raised about the </w:t>
      </w:r>
      <w:r w:rsidR="009E2024">
        <w:t xml:space="preserve">limited </w:t>
      </w:r>
      <w:r>
        <w:t xml:space="preserve">consultation </w:t>
      </w:r>
      <w:r w:rsidR="009E2024">
        <w:t>process, and it is noted that many who were engaged with the government’s consultation process raised significant concerns with how the amendments will work in practice</w:t>
      </w:r>
      <w:r w:rsidR="00ED44C5">
        <w:t>,</w:t>
      </w:r>
      <w:r w:rsidR="009E2024">
        <w:t xml:space="preserve"> especially in relation to the issue of consent from the witness to the recording</w:t>
      </w:r>
      <w:r w:rsidR="00ED44C5">
        <w:t>,</w:t>
      </w:r>
      <w:r w:rsidR="009E2024">
        <w:t xml:space="preserve"> despite being generally supportive in principle to the amendments.</w:t>
      </w:r>
    </w:p>
    <w:p w14:paraId="6ACF0778" w14:textId="61F2DF13" w:rsidR="00F5148F" w:rsidRDefault="00B84CD4" w:rsidP="00B84CD4">
      <w:pPr>
        <w:pStyle w:val="ListNumber2"/>
      </w:pPr>
      <w:r>
        <w:t>The ACT Law Society also stated the limited timeframes for stakeholders to consider the proposal may lead to unintended consequences. They encouraged further engagement with stakeholders on the implementation and welcomed the opportunity for further consultation. The difficulty of offering considered and informed feedback without a detailed understanding of the quality, position, and extent that witnesses can be captured during recordings was highlighted.</w:t>
      </w:r>
      <w:r>
        <w:rPr>
          <w:rStyle w:val="FootnoteReference"/>
        </w:rPr>
        <w:footnoteReference w:id="14"/>
      </w:r>
      <w:r>
        <w:t xml:space="preserve"> </w:t>
      </w:r>
    </w:p>
    <w:p w14:paraId="51598982" w14:textId="37EA1447" w:rsidR="00B84CD4" w:rsidRDefault="00B84CD4" w:rsidP="00B84CD4">
      <w:pPr>
        <w:pStyle w:val="ListNumber2"/>
      </w:pPr>
      <w:r>
        <w:t>The AFPA expressed similar concerns that consultation only occurred with selected organisations who were given a brief period to review the Bill. The AFPA state</w:t>
      </w:r>
      <w:r w:rsidR="00AC4C0E">
        <w:t>d</w:t>
      </w:r>
      <w:r>
        <w:t xml:space="preserve"> that community expectations for consultation have not been met during the review process for the Bill.</w:t>
      </w:r>
      <w:r>
        <w:rPr>
          <w:rStyle w:val="FootnoteReference"/>
        </w:rPr>
        <w:footnoteReference w:id="15"/>
      </w:r>
    </w:p>
    <w:p w14:paraId="275CAE1F" w14:textId="0746C8DC" w:rsidR="00144310" w:rsidRDefault="005B4DED" w:rsidP="005F6143">
      <w:pPr>
        <w:pStyle w:val="Heading2"/>
      </w:pPr>
      <w:bookmarkStart w:id="19" w:name="_Toc122597522"/>
      <w:r>
        <w:t>Requirement for witness consent for the recording of evidence</w:t>
      </w:r>
      <w:bookmarkEnd w:id="19"/>
    </w:p>
    <w:p w14:paraId="595B40E7" w14:textId="4F2BA699" w:rsidR="0021666F" w:rsidRDefault="00AC7661" w:rsidP="0021666F">
      <w:pPr>
        <w:pStyle w:val="ListNumber2"/>
      </w:pPr>
      <w:r>
        <w:t xml:space="preserve">Part 3 of the Bill proposes to amend </w:t>
      </w:r>
      <w:r w:rsidR="0052445F">
        <w:t>s</w:t>
      </w:r>
      <w:r>
        <w:t>ub</w:t>
      </w:r>
      <w:r w:rsidR="0052445F">
        <w:t>s</w:t>
      </w:r>
      <w:r w:rsidR="0021666F">
        <w:t>ection 69</w:t>
      </w:r>
      <w:r w:rsidR="0052445F">
        <w:t xml:space="preserve">(2) of the </w:t>
      </w:r>
      <w:r w:rsidR="0052445F" w:rsidRPr="009B2ED8">
        <w:rPr>
          <w:i/>
          <w:iCs/>
        </w:rPr>
        <w:t>Evidence (Miscellaneous Provisions) Act 1991</w:t>
      </w:r>
      <w:r w:rsidR="0052445F">
        <w:t xml:space="preserve"> so that </w:t>
      </w:r>
      <w:r w:rsidR="0021666F">
        <w:t>evidence given by a witness needs to be recorded, both in audio and visual form.</w:t>
      </w:r>
      <w:r w:rsidR="0021666F">
        <w:rPr>
          <w:rStyle w:val="FootnoteReference"/>
        </w:rPr>
        <w:footnoteReference w:id="16"/>
      </w:r>
      <w:r w:rsidR="0021666F">
        <w:t xml:space="preserve"> Section 69, subsections 2A and 2B relate to consent:</w:t>
      </w:r>
    </w:p>
    <w:p w14:paraId="1CD5BE0E" w14:textId="77777777" w:rsidR="0021666F" w:rsidRPr="009F640A" w:rsidRDefault="0021666F" w:rsidP="0021666F">
      <w:pPr>
        <w:pStyle w:val="ListNumber3"/>
        <w:numPr>
          <w:ilvl w:val="0"/>
          <w:numId w:val="0"/>
        </w:numPr>
        <w:ind w:left="1418"/>
        <w:rPr>
          <w:color w:val="7F7F7F" w:themeColor="text1" w:themeTint="80"/>
        </w:rPr>
      </w:pPr>
      <w:r w:rsidRPr="009F640A">
        <w:rPr>
          <w:color w:val="7F7F7F" w:themeColor="text1" w:themeTint="80"/>
        </w:rPr>
        <w:lastRenderedPageBreak/>
        <w:t>(2A) However, unless the court otherwise orders, evidence given in the courtroom may be recorded only if the witness consents.</w:t>
      </w:r>
    </w:p>
    <w:p w14:paraId="4346652A" w14:textId="6834DD2B" w:rsidR="0021666F" w:rsidRDefault="0021666F" w:rsidP="0021666F">
      <w:pPr>
        <w:pStyle w:val="ListNumber3"/>
        <w:numPr>
          <w:ilvl w:val="0"/>
          <w:numId w:val="0"/>
        </w:numPr>
        <w:ind w:left="1418"/>
        <w:rPr>
          <w:color w:val="7F7F7F" w:themeColor="text1" w:themeTint="80"/>
        </w:rPr>
      </w:pPr>
      <w:r w:rsidRPr="009F640A">
        <w:rPr>
          <w:color w:val="7F7F7F" w:themeColor="text1" w:themeTint="80"/>
        </w:rPr>
        <w:t>(2B) In deciding whether to make an order under subsection (2A), the court 25 must consider the wishes of the witness.</w:t>
      </w:r>
      <w:r>
        <w:rPr>
          <w:rStyle w:val="FootnoteReference"/>
          <w:color w:val="7F7F7F" w:themeColor="text1" w:themeTint="80"/>
        </w:rPr>
        <w:footnoteReference w:id="17"/>
      </w:r>
    </w:p>
    <w:p w14:paraId="46DE51CD" w14:textId="77777777" w:rsidR="0052445F" w:rsidRDefault="0052445F" w:rsidP="0052445F">
      <w:pPr>
        <w:pStyle w:val="ListNumber2"/>
      </w:pPr>
      <w:r>
        <w:t>The explanatory statement to the Bill described the requirement of consent from the witness for recording evidence given in the court room as a safeguard, to be the least restrictive limitation on the human rights of right to privacy:</w:t>
      </w:r>
    </w:p>
    <w:p w14:paraId="2E4B00B5" w14:textId="096B9951" w:rsidR="00F6225B" w:rsidRPr="0052445F" w:rsidRDefault="0052445F" w:rsidP="0052445F">
      <w:pPr>
        <w:pStyle w:val="ListNumber2"/>
        <w:numPr>
          <w:ilvl w:val="0"/>
          <w:numId w:val="0"/>
        </w:numPr>
        <w:ind w:left="1440"/>
        <w:rPr>
          <w:color w:val="7F7F7F" w:themeColor="text1" w:themeTint="80"/>
        </w:rPr>
      </w:pPr>
      <w:r w:rsidRPr="0052445F">
        <w:rPr>
          <w:color w:val="7F7F7F" w:themeColor="text1" w:themeTint="80"/>
        </w:rPr>
        <w:t>This is the lea</w:t>
      </w:r>
      <w:r w:rsidR="003065ED">
        <w:rPr>
          <w:color w:val="7F7F7F" w:themeColor="text1" w:themeTint="80"/>
        </w:rPr>
        <w:t>st</w:t>
      </w:r>
      <w:r w:rsidRPr="0052445F">
        <w:rPr>
          <w:color w:val="7F7F7F" w:themeColor="text1" w:themeTint="80"/>
        </w:rPr>
        <w:t xml:space="preserve"> restrictive limitation of the right to privacy as the Bill includes safeguards such as seeking the witness’s consent to the recording, or in circumstances where the court orders the recording that the witness’s wishes are considered.</w:t>
      </w:r>
      <w:r w:rsidRPr="0052445F">
        <w:rPr>
          <w:rStyle w:val="FootnoteReference"/>
          <w:color w:val="7F7F7F" w:themeColor="text1" w:themeTint="80"/>
        </w:rPr>
        <w:footnoteReference w:id="18"/>
      </w:r>
      <w:r w:rsidRPr="0052445F">
        <w:rPr>
          <w:color w:val="7F7F7F" w:themeColor="text1" w:themeTint="80"/>
        </w:rPr>
        <w:t xml:space="preserve"> </w:t>
      </w:r>
    </w:p>
    <w:p w14:paraId="35C6B268" w14:textId="177FB2BD" w:rsidR="00AC6874" w:rsidRDefault="00AC6874" w:rsidP="00AC6874">
      <w:pPr>
        <w:pStyle w:val="ListNumber2"/>
      </w:pPr>
      <w:r>
        <w:t>The DPP raised strong concerns regarding the consent provisions due to the risks of failing to seek consent prior to recording it, unclarity around the timing of consent, ambig</w:t>
      </w:r>
      <w:r w:rsidR="009438E5">
        <w:t>uity around using video recordings where consent has not been received prior to recording, and implications if consent is denied and the witness subsequently becomes unavailable</w:t>
      </w:r>
      <w:r>
        <w:t xml:space="preserve">: </w:t>
      </w:r>
    </w:p>
    <w:p w14:paraId="1250FA6D" w14:textId="77777777" w:rsidR="00AC6874" w:rsidRPr="00AC6874" w:rsidRDefault="00AC6874" w:rsidP="00AC6874">
      <w:pPr>
        <w:pStyle w:val="ListNumber2"/>
        <w:numPr>
          <w:ilvl w:val="0"/>
          <w:numId w:val="0"/>
        </w:numPr>
        <w:ind w:left="1440"/>
        <w:rPr>
          <w:color w:val="7F7F7F" w:themeColor="text1" w:themeTint="80"/>
        </w:rPr>
      </w:pPr>
      <w:r w:rsidRPr="00AC6874">
        <w:rPr>
          <w:color w:val="7F7F7F" w:themeColor="text1" w:themeTint="80"/>
        </w:rPr>
        <w:t xml:space="preserve">The subsection 2A and 2B precondition of consent attaching to the video recorded aspect of a sexual assault complainant’s evidence where that evidence is given in the courtroom alone, creates a significant risk of error in failing to seek such consent prior to recording it, which could effectively punish the complainant by excluding the prosecution’s ability to rely on that evidence for a subsequent proceeding, thus inadvertently forcing a sexual assault complainant back into the witness box. </w:t>
      </w:r>
    </w:p>
    <w:p w14:paraId="21994319" w14:textId="77777777" w:rsidR="00AC6874" w:rsidRPr="00AC6874" w:rsidRDefault="00AC6874" w:rsidP="00AC6874">
      <w:pPr>
        <w:pStyle w:val="ListNumber2"/>
        <w:numPr>
          <w:ilvl w:val="0"/>
          <w:numId w:val="0"/>
        </w:numPr>
        <w:ind w:left="1440"/>
        <w:rPr>
          <w:color w:val="7F7F7F" w:themeColor="text1" w:themeTint="80"/>
        </w:rPr>
      </w:pPr>
      <w:r w:rsidRPr="00AC6874">
        <w:rPr>
          <w:color w:val="7F7F7F" w:themeColor="text1" w:themeTint="80"/>
        </w:rPr>
        <w:t xml:space="preserve">The timing of the consent is unclear, specifically whether the actual recording must be consented to, or whether the playing must be consented to. This is significant, because a complainant’s position may change over time and be influenced by a large range of factors. For example, a psychologically traumatised complainant may not wish for their evidence to be recorded due to the emotional trauma of the event, or a lack of appreciation of the prospects of a discharged jury or successful appeal at a first trial, but if the matter is overturned on appeal or a jury is discharged, the complainant may subsequently change their mind and wish for it to be played instead of giving evidence afresh. This opens the likelihood that a trauma induced decision, or a decision based on a misperception during the conduct of a first trial, may bind a complainant into the future and deny them a right. </w:t>
      </w:r>
    </w:p>
    <w:p w14:paraId="0D8897D6" w14:textId="77777777" w:rsidR="00AC6874" w:rsidRPr="00AC6874" w:rsidRDefault="00AC6874" w:rsidP="00AC6874">
      <w:pPr>
        <w:pStyle w:val="ListNumber2"/>
        <w:numPr>
          <w:ilvl w:val="0"/>
          <w:numId w:val="0"/>
        </w:numPr>
        <w:ind w:left="1440"/>
        <w:rPr>
          <w:color w:val="7F7F7F" w:themeColor="text1" w:themeTint="80"/>
        </w:rPr>
      </w:pPr>
      <w:r w:rsidRPr="00AC6874">
        <w:rPr>
          <w:color w:val="7F7F7F" w:themeColor="text1" w:themeTint="80"/>
        </w:rPr>
        <w:t xml:space="preserve">It would further create additional ambiguity surrounding the use of the video recorded evidence if consent has not been received prior to recording it, for example, is it proposed the prosecution could then only use the recording of audio alone, rendering the tribunal of fact in a worse position to assess the credibility of the witness. </w:t>
      </w:r>
    </w:p>
    <w:p w14:paraId="73AB42EA" w14:textId="713E628D" w:rsidR="00AC6874" w:rsidRPr="00AC6874" w:rsidRDefault="00AC6874" w:rsidP="00AC6874">
      <w:pPr>
        <w:pStyle w:val="ListNumber2"/>
        <w:numPr>
          <w:ilvl w:val="0"/>
          <w:numId w:val="0"/>
        </w:numPr>
        <w:ind w:left="1440"/>
        <w:rPr>
          <w:color w:val="7F7F7F" w:themeColor="text1" w:themeTint="80"/>
        </w:rPr>
      </w:pPr>
      <w:r w:rsidRPr="00AC6874">
        <w:rPr>
          <w:color w:val="7F7F7F" w:themeColor="text1" w:themeTint="80"/>
        </w:rPr>
        <w:lastRenderedPageBreak/>
        <w:t>Finally, it raises serious issues if the complainant does not consent to the recording, and subsequently become unavailable, creating an exception to the hearsay rule. This would deny a tribunal of fact the ability to observe video of the earlier evidence and force them to be limited to the audio.</w:t>
      </w:r>
      <w:r w:rsidR="009438E5">
        <w:rPr>
          <w:rStyle w:val="FootnoteReference"/>
          <w:color w:val="7F7F7F" w:themeColor="text1" w:themeTint="80"/>
        </w:rPr>
        <w:footnoteReference w:id="19"/>
      </w:r>
    </w:p>
    <w:p w14:paraId="1C39DF52" w14:textId="77777777" w:rsidR="005B4DED" w:rsidRPr="005B4DED" w:rsidRDefault="005B4DED" w:rsidP="005B4DED">
      <w:pPr>
        <w:pStyle w:val="ListNumber2"/>
      </w:pPr>
      <w:r w:rsidRPr="005B4DED">
        <w:t>The DPP noted all courts have recording services that record audio of all proceedings and store those recordings without exception and without consent.  Without recording court proceedings there would be no accurate record of the court proceedings for review, appeal, or retrial.</w:t>
      </w:r>
      <w:r w:rsidRPr="005B4DED">
        <w:rPr>
          <w:vertAlign w:val="superscript"/>
        </w:rPr>
        <w:footnoteReference w:id="20"/>
      </w:r>
    </w:p>
    <w:p w14:paraId="4A542B11" w14:textId="74012AE3" w:rsidR="005B4DED" w:rsidRDefault="009438E5" w:rsidP="001F2E58">
      <w:pPr>
        <w:pStyle w:val="ListNumber2"/>
      </w:pPr>
      <w:r>
        <w:t>While the</w:t>
      </w:r>
      <w:r w:rsidR="001F2E58">
        <w:t xml:space="preserve"> VOCC </w:t>
      </w:r>
      <w:r>
        <w:t>expressed</w:t>
      </w:r>
      <w:r w:rsidR="001F2E58">
        <w:t xml:space="preserve"> support in principle </w:t>
      </w:r>
      <w:r>
        <w:t xml:space="preserve">for </w:t>
      </w:r>
      <w:r w:rsidR="001F2E58">
        <w:t xml:space="preserve">the requirement for </w:t>
      </w:r>
      <w:r>
        <w:t xml:space="preserve">witness </w:t>
      </w:r>
      <w:r w:rsidR="001F2E58">
        <w:t>consent</w:t>
      </w:r>
      <w:r>
        <w:t xml:space="preserve"> for recording of evidence they had concerns </w:t>
      </w:r>
      <w:r w:rsidR="001F2E58">
        <w:t>that the amendments place onus on the prosecutor to lead evidence of victim consent to enable recording of evidence in a courtroom</w:t>
      </w:r>
      <w:r w:rsidR="005B4DED">
        <w:t>, and suggested an ‘opt out’ approach:</w:t>
      </w:r>
      <w:r w:rsidR="001F2E58">
        <w:t xml:space="preserve"> </w:t>
      </w:r>
    </w:p>
    <w:p w14:paraId="465D0257" w14:textId="77777777" w:rsidR="005B4DED" w:rsidRPr="005B4DED" w:rsidRDefault="005B4DED" w:rsidP="005B4DED">
      <w:pPr>
        <w:pStyle w:val="ListNumber2"/>
        <w:numPr>
          <w:ilvl w:val="0"/>
          <w:numId w:val="0"/>
        </w:numPr>
        <w:ind w:left="1440"/>
        <w:rPr>
          <w:color w:val="7F7F7F" w:themeColor="text1" w:themeTint="80"/>
        </w:rPr>
      </w:pPr>
      <w:r w:rsidRPr="005B4DED">
        <w:rPr>
          <w:color w:val="7F7F7F" w:themeColor="text1" w:themeTint="80"/>
        </w:rPr>
        <w:t xml:space="preserve">This means that should there be a procedural oversight or defect in a proceeding that results in the Court not receiving express evidence of witness consent to the recording of evidence, the section 69 protection may not apply. </w:t>
      </w:r>
    </w:p>
    <w:p w14:paraId="3B19296E" w14:textId="5DC8C355" w:rsidR="005B4DED" w:rsidRPr="005B4DED" w:rsidRDefault="005B4DED" w:rsidP="005B4DED">
      <w:pPr>
        <w:pStyle w:val="ListNumber2"/>
        <w:numPr>
          <w:ilvl w:val="0"/>
          <w:numId w:val="0"/>
        </w:numPr>
        <w:ind w:left="1440"/>
        <w:rPr>
          <w:color w:val="7F7F7F" w:themeColor="text1" w:themeTint="80"/>
        </w:rPr>
      </w:pPr>
      <w:r w:rsidRPr="005B4DED">
        <w:rPr>
          <w:color w:val="7F7F7F" w:themeColor="text1" w:themeTint="80"/>
        </w:rPr>
        <w:t>To alleviate this concern, we consider clause 11 should be re-worded to create a presumption that the evidence will be recorded, unless the relevant witness withdraws their consent for the recording to occur. We consider that this “opt out” approach should apply to a witness’s evidence whether given live in court, via CCTV or pre-recorded hearing. This “opt out” approach would promote victim-survivor agency in the conduct of proceedings while minimising the risk of recorded evidence being inadmissible due to a procedural oversight.</w:t>
      </w:r>
      <w:r>
        <w:rPr>
          <w:rStyle w:val="FootnoteReference"/>
          <w:color w:val="7F7F7F" w:themeColor="text1" w:themeTint="80"/>
        </w:rPr>
        <w:footnoteReference w:id="21"/>
      </w:r>
    </w:p>
    <w:p w14:paraId="2F2B17E2" w14:textId="34DC42D2" w:rsidR="005D5218" w:rsidRPr="005D5218" w:rsidRDefault="005D5218" w:rsidP="005D5218">
      <w:pPr>
        <w:pStyle w:val="ListNumber2"/>
      </w:pPr>
      <w:r w:rsidRPr="005D5218">
        <w:t xml:space="preserve">The VOCC also recommended the ACT Government also seek to amend the </w:t>
      </w:r>
      <w:r w:rsidRPr="005F6143">
        <w:rPr>
          <w:i/>
          <w:iCs/>
        </w:rPr>
        <w:t>Victims of Crime Act 1994</w:t>
      </w:r>
      <w:r w:rsidRPr="005D5218">
        <w:t xml:space="preserve"> to support victim-survivor access to information about their rights in a justice process to opt out of having their evidence audio-visually recorded.</w:t>
      </w:r>
      <w:r w:rsidRPr="005D5218">
        <w:rPr>
          <w:vertAlign w:val="superscript"/>
        </w:rPr>
        <w:footnoteReference w:id="22"/>
      </w:r>
    </w:p>
    <w:p w14:paraId="3BC9370B" w14:textId="77777777" w:rsidR="005B4DED" w:rsidRDefault="005B4DED" w:rsidP="005B4DED">
      <w:pPr>
        <w:pStyle w:val="ListNumber2"/>
      </w:pPr>
      <w:r>
        <w:t>The Women’s Legal Centre stated that victim-survivors should have access to legal advice about making the choice to have evidence recorded in a courtroom and the court process more generally.</w:t>
      </w:r>
      <w:r>
        <w:rPr>
          <w:rStyle w:val="FootnoteReference"/>
        </w:rPr>
        <w:footnoteReference w:id="23"/>
      </w:r>
      <w:r>
        <w:t xml:space="preserve"> </w:t>
      </w:r>
    </w:p>
    <w:p w14:paraId="0FFA26BF" w14:textId="77777777" w:rsidR="005B4DED" w:rsidRDefault="005B4DED" w:rsidP="005B4DED">
      <w:pPr>
        <w:pStyle w:val="ListNumber2"/>
      </w:pPr>
      <w:r>
        <w:t>The ACT Law Society supported the inclusion of a consent provision in the amendments:</w:t>
      </w:r>
    </w:p>
    <w:p w14:paraId="0AAD383E" w14:textId="77777777" w:rsidR="005B4DED" w:rsidRPr="00A35521" w:rsidRDefault="005B4DED" w:rsidP="005B4DED">
      <w:pPr>
        <w:pStyle w:val="ListNumber2"/>
        <w:numPr>
          <w:ilvl w:val="0"/>
          <w:numId w:val="0"/>
        </w:numPr>
        <w:ind w:left="1440"/>
        <w:rPr>
          <w:color w:val="7F7F7F" w:themeColor="text1" w:themeTint="80"/>
        </w:rPr>
      </w:pPr>
      <w:r w:rsidRPr="00A35521">
        <w:rPr>
          <w:color w:val="7F7F7F" w:themeColor="text1" w:themeTint="80"/>
        </w:rPr>
        <w:t>We consider it imperative that express, clear consent is given by the witness before their evidence can be recorded, given the possibility that the recording will be the mode through which their evidence is presented at a later proceeding.</w:t>
      </w:r>
      <w:r w:rsidRPr="00A35521">
        <w:rPr>
          <w:rStyle w:val="FootnoteReference"/>
        </w:rPr>
        <w:t xml:space="preserve"> </w:t>
      </w:r>
      <w:r w:rsidRPr="00A35521">
        <w:rPr>
          <w:rStyle w:val="FootnoteReference"/>
          <w:color w:val="7F7F7F" w:themeColor="text1" w:themeTint="80"/>
        </w:rPr>
        <w:footnoteReference w:id="24"/>
      </w:r>
    </w:p>
    <w:p w14:paraId="3253679C" w14:textId="77777777" w:rsidR="005B4DED" w:rsidRDefault="005B4DED" w:rsidP="005B4DED">
      <w:pPr>
        <w:pStyle w:val="ListNumber2"/>
        <w:rPr>
          <w:color w:val="7F7F7F" w:themeColor="text1" w:themeTint="80"/>
        </w:rPr>
      </w:pPr>
      <w:r w:rsidRPr="0084724B">
        <w:t xml:space="preserve">Legal Aid ACT </w:t>
      </w:r>
      <w:r>
        <w:t>noted the requirement to consider the consent of the witness is consistent with section 68(3) of the Act.</w:t>
      </w:r>
      <w:r>
        <w:rPr>
          <w:rStyle w:val="FootnoteReference"/>
        </w:rPr>
        <w:footnoteReference w:id="25"/>
      </w:r>
      <w:r>
        <w:t xml:space="preserve"> </w:t>
      </w:r>
    </w:p>
    <w:p w14:paraId="25623169" w14:textId="77777777" w:rsidR="00312736" w:rsidRDefault="00312736" w:rsidP="00312736">
      <w:pPr>
        <w:pStyle w:val="ListNumber2"/>
        <w:numPr>
          <w:ilvl w:val="0"/>
          <w:numId w:val="0"/>
        </w:numPr>
        <w:ind w:left="851"/>
      </w:pPr>
    </w:p>
    <w:p w14:paraId="48E3E40D" w14:textId="77777777" w:rsidR="005F6143" w:rsidRDefault="005F6143" w:rsidP="005F6143">
      <w:pPr>
        <w:pStyle w:val="Heading1"/>
      </w:pPr>
      <w:bookmarkStart w:id="20" w:name="_Toc122597523"/>
      <w:r>
        <w:t>Conclusions</w:t>
      </w:r>
      <w:bookmarkEnd w:id="20"/>
    </w:p>
    <w:p w14:paraId="2A45A68A" w14:textId="0AA945EB" w:rsidR="00AC4C0E" w:rsidRDefault="00312736" w:rsidP="000F1CB6">
      <w:pPr>
        <w:pStyle w:val="ListNumber2"/>
      </w:pPr>
      <w:r>
        <w:t xml:space="preserve">The Committee is of the view that while intention of the bill is supported in principle, </w:t>
      </w:r>
      <w:r w:rsidR="005D5218">
        <w:t xml:space="preserve">there are many issues raised in the evidence received including </w:t>
      </w:r>
      <w:r>
        <w:t>the precondition of consent to the recording of evidence given by a witness</w:t>
      </w:r>
      <w:r w:rsidR="005D5218">
        <w:t xml:space="preserve">.  </w:t>
      </w:r>
      <w:r>
        <w:t xml:space="preserve">Given the overriding objective of the Bill is to avoid re-traumatising complainants it is important to ensure that the </w:t>
      </w:r>
      <w:r w:rsidR="005D5218">
        <w:t>legislative amendments</w:t>
      </w:r>
      <w:r>
        <w:t xml:space="preserve"> work as intended.</w:t>
      </w:r>
      <w:r w:rsidR="005D5218">
        <w:t xml:space="preserve">  The Committee is of the view that the ACT Government consult</w:t>
      </w:r>
      <w:r w:rsidR="005F6143">
        <w:t xml:space="preserve"> further with stakeholders including </w:t>
      </w:r>
      <w:r w:rsidR="005D5218">
        <w:t xml:space="preserve">people who have lived experience to provide insights into how </w:t>
      </w:r>
      <w:r w:rsidR="005F6143">
        <w:t>the laws should apply</w:t>
      </w:r>
      <w:r w:rsidR="005D5218">
        <w:t>.</w:t>
      </w:r>
    </w:p>
    <w:tbl>
      <w:tblPr>
        <w:tblStyle w:val="Recommendationbox"/>
        <w:tblW w:w="0" w:type="auto"/>
        <w:tblLook w:val="04A0" w:firstRow="1" w:lastRow="0" w:firstColumn="1" w:lastColumn="0" w:noHBand="0" w:noVBand="1"/>
      </w:tblPr>
      <w:tblGrid>
        <w:gridCol w:w="8175"/>
      </w:tblGrid>
      <w:tr w:rsidR="00AC4C0E" w14:paraId="127BDC9C" w14:textId="77777777" w:rsidTr="00F56C10">
        <w:tc>
          <w:tcPr>
            <w:tcW w:w="7891" w:type="dxa"/>
          </w:tcPr>
          <w:p w14:paraId="4D12C81C" w14:textId="77777777" w:rsidR="00AC4C0E" w:rsidRDefault="00AC4C0E" w:rsidP="00F56C10">
            <w:pPr>
              <w:pStyle w:val="Recommendationheading"/>
            </w:pPr>
            <w:bookmarkStart w:id="21" w:name="_Toc122599057"/>
            <w:r>
              <w:t>Recommendation 1</w:t>
            </w:r>
            <w:bookmarkEnd w:id="21"/>
          </w:p>
          <w:p w14:paraId="6493BB0D" w14:textId="61E3F47B" w:rsidR="00AC4C0E" w:rsidRPr="00AA719E" w:rsidRDefault="00AC4C0E" w:rsidP="00F56C10">
            <w:pPr>
              <w:pStyle w:val="Recommendationbody"/>
            </w:pPr>
            <w:bookmarkStart w:id="22" w:name="_Toc122599058"/>
            <w:r>
              <w:rPr>
                <w:color w:val="000000"/>
              </w:rPr>
              <w:t>The Committee recommends that the ACT Legislative Assembly support the Bill.</w:t>
            </w:r>
            <w:bookmarkEnd w:id="22"/>
          </w:p>
        </w:tc>
      </w:tr>
      <w:tr w:rsidR="00312736" w14:paraId="2FD254C6" w14:textId="77777777" w:rsidTr="0041234E">
        <w:tc>
          <w:tcPr>
            <w:tcW w:w="7891" w:type="dxa"/>
          </w:tcPr>
          <w:p w14:paraId="39975AA7" w14:textId="51B1527A" w:rsidR="00312736" w:rsidRDefault="00312736" w:rsidP="0041234E">
            <w:pPr>
              <w:pStyle w:val="Recommendationheading"/>
            </w:pPr>
            <w:bookmarkStart w:id="23" w:name="_Toc122599059"/>
            <w:r>
              <w:t>Recommendation</w:t>
            </w:r>
            <w:r w:rsidR="009B2ED8">
              <w:t xml:space="preserve"> </w:t>
            </w:r>
            <w:r w:rsidR="00AC4C0E">
              <w:t>2</w:t>
            </w:r>
            <w:bookmarkEnd w:id="23"/>
          </w:p>
          <w:p w14:paraId="7E7D8132" w14:textId="341C4ED7" w:rsidR="00312736" w:rsidRPr="00AA719E" w:rsidRDefault="00312736" w:rsidP="0041234E">
            <w:pPr>
              <w:pStyle w:val="Recommendationbody"/>
            </w:pPr>
            <w:bookmarkStart w:id="24" w:name="_Toc122599060"/>
            <w:r>
              <w:rPr>
                <w:color w:val="000000"/>
              </w:rPr>
              <w:t>The Committee</w:t>
            </w:r>
            <w:r w:rsidR="00B34070">
              <w:rPr>
                <w:color w:val="000000"/>
              </w:rPr>
              <w:t xml:space="preserve"> </w:t>
            </w:r>
            <w:r>
              <w:rPr>
                <w:color w:val="000000"/>
              </w:rPr>
              <w:t xml:space="preserve">recommends that the ACT Government </w:t>
            </w:r>
            <w:r w:rsidR="005F6143" w:rsidRPr="005F6143">
              <w:rPr>
                <w:color w:val="000000"/>
              </w:rPr>
              <w:t>includ</w:t>
            </w:r>
            <w:r w:rsidR="00A36EF7">
              <w:rPr>
                <w:color w:val="000000"/>
              </w:rPr>
              <w:t>e</w:t>
            </w:r>
            <w:r w:rsidR="005F6143" w:rsidRPr="005F6143">
              <w:rPr>
                <w:color w:val="000000"/>
              </w:rPr>
              <w:t xml:space="preserve"> the </w:t>
            </w:r>
            <w:r w:rsidRPr="005F6143">
              <w:rPr>
                <w:color w:val="000000"/>
              </w:rPr>
              <w:t>pre</w:t>
            </w:r>
            <w:r>
              <w:rPr>
                <w:color w:val="000000"/>
              </w:rPr>
              <w:t>-condition of consent in the proposed new</w:t>
            </w:r>
            <w:r w:rsidR="00144310">
              <w:rPr>
                <w:color w:val="000000"/>
              </w:rPr>
              <w:t xml:space="preserve"> </w:t>
            </w:r>
            <w:r w:rsidR="005F6143">
              <w:rPr>
                <w:color w:val="000000"/>
              </w:rPr>
              <w:t>sub</w:t>
            </w:r>
            <w:r w:rsidR="00144310">
              <w:rPr>
                <w:color w:val="000000"/>
              </w:rPr>
              <w:t>section</w:t>
            </w:r>
            <w:r w:rsidR="005F6143">
              <w:rPr>
                <w:color w:val="000000"/>
              </w:rPr>
              <w:t>s</w:t>
            </w:r>
            <w:r>
              <w:rPr>
                <w:color w:val="000000"/>
              </w:rPr>
              <w:t xml:space="preserve"> 69</w:t>
            </w:r>
            <w:r w:rsidR="005F6143">
              <w:rPr>
                <w:color w:val="000000"/>
              </w:rPr>
              <w:t>(2</w:t>
            </w:r>
            <w:r>
              <w:rPr>
                <w:color w:val="000000"/>
              </w:rPr>
              <w:t>A</w:t>
            </w:r>
            <w:r w:rsidR="005F6143">
              <w:rPr>
                <w:color w:val="000000"/>
              </w:rPr>
              <w:t>)</w:t>
            </w:r>
            <w:r>
              <w:rPr>
                <w:color w:val="000000"/>
              </w:rPr>
              <w:t xml:space="preserve"> and </w:t>
            </w:r>
            <w:r w:rsidR="005F6143">
              <w:rPr>
                <w:color w:val="000000"/>
              </w:rPr>
              <w:t>(</w:t>
            </w:r>
            <w:r>
              <w:rPr>
                <w:color w:val="000000"/>
              </w:rPr>
              <w:t>2B</w:t>
            </w:r>
            <w:r w:rsidR="005F6143">
              <w:rPr>
                <w:color w:val="000000"/>
              </w:rPr>
              <w:t>)</w:t>
            </w:r>
            <w:r w:rsidR="000F1CB6">
              <w:rPr>
                <w:color w:val="000000"/>
              </w:rPr>
              <w:t xml:space="preserve"> and </w:t>
            </w:r>
            <w:r w:rsidR="00A36EF7">
              <w:rPr>
                <w:color w:val="000000"/>
              </w:rPr>
              <w:t>examine</w:t>
            </w:r>
            <w:r w:rsidR="000F1CB6">
              <w:rPr>
                <w:color w:val="000000"/>
              </w:rPr>
              <w:t xml:space="preserve"> an ‘opt out’ approach</w:t>
            </w:r>
            <w:r>
              <w:rPr>
                <w:color w:val="000000"/>
              </w:rPr>
              <w:t>.</w:t>
            </w:r>
            <w:bookmarkEnd w:id="24"/>
          </w:p>
        </w:tc>
      </w:tr>
      <w:tr w:rsidR="00AC4C0E" w14:paraId="4AA77316" w14:textId="77777777" w:rsidTr="00F56C10">
        <w:tc>
          <w:tcPr>
            <w:tcW w:w="7891" w:type="dxa"/>
          </w:tcPr>
          <w:p w14:paraId="24646E77" w14:textId="0C85E3F6" w:rsidR="00AC4C0E" w:rsidRDefault="00AC4C0E" w:rsidP="00F56C10">
            <w:pPr>
              <w:pStyle w:val="Recommendationheading"/>
            </w:pPr>
            <w:bookmarkStart w:id="25" w:name="_Toc122599061"/>
            <w:r>
              <w:t>Recommendation 3</w:t>
            </w:r>
            <w:bookmarkEnd w:id="25"/>
          </w:p>
          <w:p w14:paraId="3BEE93C3" w14:textId="476BAE0D" w:rsidR="00AC4C0E" w:rsidRPr="00EC5B7D" w:rsidRDefault="00AC4C0E" w:rsidP="00F56C10">
            <w:pPr>
              <w:pStyle w:val="Recommendationbody"/>
              <w:rPr>
                <w:color w:val="000000"/>
              </w:rPr>
            </w:pPr>
            <w:bookmarkStart w:id="26" w:name="_Toc122599062"/>
            <w:r>
              <w:rPr>
                <w:color w:val="000000"/>
              </w:rPr>
              <w:t>The Committee strongly recommends that the ACT Government work with stakeholders on the implementation of the Bill in relation to the concerns raised in the inquiry.</w:t>
            </w:r>
            <w:bookmarkEnd w:id="26"/>
          </w:p>
        </w:tc>
      </w:tr>
    </w:tbl>
    <w:p w14:paraId="494B09B2" w14:textId="746CEB35" w:rsidR="00312736" w:rsidRDefault="00312736" w:rsidP="00312736">
      <w:pPr>
        <w:pStyle w:val="Heading1"/>
        <w:numPr>
          <w:ilvl w:val="0"/>
          <w:numId w:val="0"/>
        </w:numPr>
      </w:pPr>
    </w:p>
    <w:p w14:paraId="11883ACE" w14:textId="77777777" w:rsidR="005F6143" w:rsidRPr="005F6143" w:rsidRDefault="005F6143" w:rsidP="005F6143">
      <w:pPr>
        <w:pStyle w:val="Heading1"/>
        <w:numPr>
          <w:ilvl w:val="0"/>
          <w:numId w:val="0"/>
        </w:numPr>
      </w:pPr>
    </w:p>
    <w:p w14:paraId="5EBFC9EE" w14:textId="77777777" w:rsidR="00312736" w:rsidRDefault="00312736" w:rsidP="00312736">
      <w:pPr>
        <w:pStyle w:val="ListNumber2"/>
        <w:numPr>
          <w:ilvl w:val="0"/>
          <w:numId w:val="0"/>
        </w:numPr>
        <w:spacing w:before="0" w:after="0" w:line="240" w:lineRule="auto"/>
      </w:pPr>
      <w:r>
        <w:t>Peter Cain MLA</w:t>
      </w:r>
    </w:p>
    <w:p w14:paraId="7EB2883F" w14:textId="77777777" w:rsidR="00312736" w:rsidRDefault="00312736" w:rsidP="00312736">
      <w:pPr>
        <w:pStyle w:val="ListNumber2"/>
        <w:numPr>
          <w:ilvl w:val="0"/>
          <w:numId w:val="0"/>
        </w:numPr>
        <w:spacing w:before="0" w:after="0" w:line="240" w:lineRule="auto"/>
      </w:pPr>
      <w:r>
        <w:t>Chair</w:t>
      </w:r>
    </w:p>
    <w:p w14:paraId="2221E275" w14:textId="062E34F8" w:rsidR="00312736" w:rsidRPr="00DD03AC" w:rsidRDefault="00312736" w:rsidP="00312736">
      <w:pPr>
        <w:pStyle w:val="ListNumber2"/>
        <w:numPr>
          <w:ilvl w:val="0"/>
          <w:numId w:val="0"/>
        </w:numPr>
        <w:spacing w:before="0" w:after="0" w:line="240" w:lineRule="auto"/>
      </w:pPr>
      <w:r>
        <w:t xml:space="preserve">   </w:t>
      </w:r>
      <w:r w:rsidR="005D5218">
        <w:t>December</w:t>
      </w:r>
      <w:r>
        <w:t xml:space="preserve"> 2022</w:t>
      </w:r>
    </w:p>
    <w:p w14:paraId="08F968DE" w14:textId="77777777" w:rsidR="00312736" w:rsidRDefault="00312736" w:rsidP="00312736">
      <w:pPr>
        <w:spacing w:after="0" w:line="240" w:lineRule="auto"/>
        <w:rPr>
          <w:rFonts w:cstheme="minorHAnsi"/>
          <w:bCs/>
          <w:color w:val="000000" w:themeColor="text1"/>
          <w:szCs w:val="20"/>
        </w:rPr>
      </w:pPr>
      <w:r>
        <w:br w:type="page"/>
      </w:r>
    </w:p>
    <w:p w14:paraId="6338AF43" w14:textId="77777777" w:rsidR="00312736" w:rsidRDefault="00312736" w:rsidP="004A0C6F">
      <w:pPr>
        <w:pStyle w:val="Heading1nonumber"/>
      </w:pPr>
      <w:bookmarkStart w:id="27" w:name="_Toc122597524"/>
      <w:r>
        <w:lastRenderedPageBreak/>
        <w:t>Appendix A: Submissions</w:t>
      </w:r>
      <w:bookmarkEnd w:id="27"/>
    </w:p>
    <w:tbl>
      <w:tblPr>
        <w:tblStyle w:val="Assemblystyletable"/>
        <w:tblW w:w="0" w:type="auto"/>
        <w:tblLook w:val="04A0" w:firstRow="1" w:lastRow="0" w:firstColumn="1" w:lastColumn="0" w:noHBand="0" w:noVBand="1"/>
      </w:tblPr>
      <w:tblGrid>
        <w:gridCol w:w="668"/>
        <w:gridCol w:w="5665"/>
        <w:gridCol w:w="1346"/>
        <w:gridCol w:w="1347"/>
      </w:tblGrid>
      <w:tr w:rsidR="00312736" w14:paraId="79DC84AD" w14:textId="77777777" w:rsidTr="0041234E">
        <w:trPr>
          <w:cnfStyle w:val="100000000000" w:firstRow="1" w:lastRow="0" w:firstColumn="0" w:lastColumn="0" w:oddVBand="0" w:evenVBand="0" w:oddHBand="0" w:evenHBand="0" w:firstRowFirstColumn="0" w:firstRowLastColumn="0" w:lastRowFirstColumn="0" w:lastRowLastColumn="0"/>
        </w:trPr>
        <w:tc>
          <w:tcPr>
            <w:tcW w:w="668" w:type="dxa"/>
          </w:tcPr>
          <w:p w14:paraId="10A89A66" w14:textId="77777777" w:rsidR="00312736" w:rsidRDefault="00312736" w:rsidP="0041234E">
            <w:pPr>
              <w:pStyle w:val="Tableheading"/>
            </w:pPr>
            <w:r>
              <w:t>No.</w:t>
            </w:r>
          </w:p>
        </w:tc>
        <w:tc>
          <w:tcPr>
            <w:tcW w:w="5665" w:type="dxa"/>
          </w:tcPr>
          <w:p w14:paraId="2F37F49A" w14:textId="77777777" w:rsidR="00312736" w:rsidRDefault="00312736" w:rsidP="0041234E">
            <w:pPr>
              <w:pStyle w:val="Tableheading"/>
            </w:pPr>
            <w:r>
              <w:t>Submission by</w:t>
            </w:r>
          </w:p>
        </w:tc>
        <w:tc>
          <w:tcPr>
            <w:tcW w:w="1346" w:type="dxa"/>
          </w:tcPr>
          <w:p w14:paraId="10AF7E9B" w14:textId="77777777" w:rsidR="00312736" w:rsidRDefault="00312736" w:rsidP="0041234E">
            <w:pPr>
              <w:pStyle w:val="Tableheading"/>
            </w:pPr>
            <w:r>
              <w:t>Received</w:t>
            </w:r>
          </w:p>
        </w:tc>
        <w:tc>
          <w:tcPr>
            <w:tcW w:w="1347" w:type="dxa"/>
          </w:tcPr>
          <w:p w14:paraId="3798BECD" w14:textId="77777777" w:rsidR="00312736" w:rsidRDefault="00312736" w:rsidP="0041234E">
            <w:pPr>
              <w:pStyle w:val="Tableheading"/>
            </w:pPr>
            <w:r>
              <w:t>Published</w:t>
            </w:r>
          </w:p>
        </w:tc>
      </w:tr>
      <w:tr w:rsidR="00312736" w14:paraId="6C273DA7" w14:textId="77777777" w:rsidTr="0041234E">
        <w:trPr>
          <w:cnfStyle w:val="000000100000" w:firstRow="0" w:lastRow="0" w:firstColumn="0" w:lastColumn="0" w:oddVBand="0" w:evenVBand="0" w:oddHBand="1" w:evenHBand="0" w:firstRowFirstColumn="0" w:firstRowLastColumn="0" w:lastRowFirstColumn="0" w:lastRowLastColumn="0"/>
        </w:trPr>
        <w:tc>
          <w:tcPr>
            <w:tcW w:w="668" w:type="dxa"/>
          </w:tcPr>
          <w:p w14:paraId="1BDAE89F" w14:textId="77777777" w:rsidR="00312736" w:rsidRDefault="00312736" w:rsidP="0041234E">
            <w:pPr>
              <w:pStyle w:val="Tablebody"/>
            </w:pPr>
            <w:r>
              <w:t>001</w:t>
            </w:r>
          </w:p>
        </w:tc>
        <w:tc>
          <w:tcPr>
            <w:tcW w:w="5665" w:type="dxa"/>
          </w:tcPr>
          <w:p w14:paraId="381AD455" w14:textId="77777777" w:rsidR="00312736" w:rsidRDefault="00312736" w:rsidP="0041234E">
            <w:pPr>
              <w:pStyle w:val="Tablebody"/>
            </w:pPr>
            <w:r>
              <w:t>Women’s Legal Centre ACT</w:t>
            </w:r>
          </w:p>
        </w:tc>
        <w:tc>
          <w:tcPr>
            <w:tcW w:w="1346" w:type="dxa"/>
          </w:tcPr>
          <w:p w14:paraId="7850A009" w14:textId="77777777" w:rsidR="00312736" w:rsidRDefault="00312736" w:rsidP="0041234E">
            <w:pPr>
              <w:pStyle w:val="Tablebody"/>
            </w:pPr>
            <w:r>
              <w:t>02/12/2022</w:t>
            </w:r>
          </w:p>
        </w:tc>
        <w:tc>
          <w:tcPr>
            <w:tcW w:w="1347" w:type="dxa"/>
          </w:tcPr>
          <w:p w14:paraId="48186D55" w14:textId="6C018093" w:rsidR="00312736" w:rsidRDefault="00CE41E9" w:rsidP="0041234E">
            <w:pPr>
              <w:pStyle w:val="Tablebody"/>
            </w:pPr>
            <w:r>
              <w:t>15/12/2022</w:t>
            </w:r>
          </w:p>
        </w:tc>
      </w:tr>
      <w:tr w:rsidR="00312736" w14:paraId="060AED56" w14:textId="77777777" w:rsidTr="0041234E">
        <w:trPr>
          <w:cnfStyle w:val="000000010000" w:firstRow="0" w:lastRow="0" w:firstColumn="0" w:lastColumn="0" w:oddVBand="0" w:evenVBand="0" w:oddHBand="0" w:evenHBand="1" w:firstRowFirstColumn="0" w:firstRowLastColumn="0" w:lastRowFirstColumn="0" w:lastRowLastColumn="0"/>
        </w:trPr>
        <w:tc>
          <w:tcPr>
            <w:tcW w:w="668" w:type="dxa"/>
          </w:tcPr>
          <w:p w14:paraId="38751F76" w14:textId="77777777" w:rsidR="00312736" w:rsidRDefault="00312736" w:rsidP="0041234E">
            <w:pPr>
              <w:pStyle w:val="Tablebody"/>
            </w:pPr>
            <w:r>
              <w:t xml:space="preserve">002 </w:t>
            </w:r>
          </w:p>
        </w:tc>
        <w:tc>
          <w:tcPr>
            <w:tcW w:w="5665" w:type="dxa"/>
          </w:tcPr>
          <w:p w14:paraId="0044CC03" w14:textId="77777777" w:rsidR="00312736" w:rsidRDefault="00312736" w:rsidP="0041234E">
            <w:pPr>
              <w:pStyle w:val="Tablebody"/>
            </w:pPr>
            <w:r>
              <w:t>Department of Public Prosecutions</w:t>
            </w:r>
          </w:p>
        </w:tc>
        <w:tc>
          <w:tcPr>
            <w:tcW w:w="1346" w:type="dxa"/>
          </w:tcPr>
          <w:p w14:paraId="6A532FE8" w14:textId="77777777" w:rsidR="00312736" w:rsidRDefault="00312736" w:rsidP="0041234E">
            <w:pPr>
              <w:pStyle w:val="Tablebody"/>
            </w:pPr>
            <w:r>
              <w:t>06/12/2022</w:t>
            </w:r>
          </w:p>
        </w:tc>
        <w:tc>
          <w:tcPr>
            <w:tcW w:w="1347" w:type="dxa"/>
          </w:tcPr>
          <w:p w14:paraId="1461C68E" w14:textId="4BC47414" w:rsidR="00312736" w:rsidRDefault="00CE41E9" w:rsidP="0041234E">
            <w:pPr>
              <w:pStyle w:val="Tablebody"/>
            </w:pPr>
            <w:r>
              <w:t>15/12/2022</w:t>
            </w:r>
          </w:p>
        </w:tc>
      </w:tr>
      <w:tr w:rsidR="00312736" w14:paraId="6CCF3243" w14:textId="77777777" w:rsidTr="0041234E">
        <w:trPr>
          <w:cnfStyle w:val="000000100000" w:firstRow="0" w:lastRow="0" w:firstColumn="0" w:lastColumn="0" w:oddVBand="0" w:evenVBand="0" w:oddHBand="1" w:evenHBand="0" w:firstRowFirstColumn="0" w:firstRowLastColumn="0" w:lastRowFirstColumn="0" w:lastRowLastColumn="0"/>
        </w:trPr>
        <w:tc>
          <w:tcPr>
            <w:tcW w:w="668" w:type="dxa"/>
          </w:tcPr>
          <w:p w14:paraId="6C3FB51C" w14:textId="77777777" w:rsidR="00312736" w:rsidRDefault="00312736" w:rsidP="0041234E">
            <w:pPr>
              <w:pStyle w:val="Tablebody"/>
            </w:pPr>
            <w:r>
              <w:t>003</w:t>
            </w:r>
          </w:p>
        </w:tc>
        <w:tc>
          <w:tcPr>
            <w:tcW w:w="5665" w:type="dxa"/>
          </w:tcPr>
          <w:p w14:paraId="6313EE34" w14:textId="77777777" w:rsidR="00312736" w:rsidRDefault="00312736" w:rsidP="0041234E">
            <w:pPr>
              <w:pStyle w:val="Tablebody"/>
            </w:pPr>
            <w:r>
              <w:t xml:space="preserve">ACT Law Society </w:t>
            </w:r>
          </w:p>
        </w:tc>
        <w:tc>
          <w:tcPr>
            <w:tcW w:w="1346" w:type="dxa"/>
          </w:tcPr>
          <w:p w14:paraId="0EA624A0" w14:textId="77777777" w:rsidR="00312736" w:rsidRDefault="00312736" w:rsidP="0041234E">
            <w:pPr>
              <w:pStyle w:val="Tablebody"/>
            </w:pPr>
            <w:r>
              <w:t>09/12/2022</w:t>
            </w:r>
          </w:p>
        </w:tc>
        <w:tc>
          <w:tcPr>
            <w:tcW w:w="1347" w:type="dxa"/>
          </w:tcPr>
          <w:p w14:paraId="16D7B88A" w14:textId="6FA99ED6" w:rsidR="00312736" w:rsidRDefault="00CE41E9" w:rsidP="0041234E">
            <w:pPr>
              <w:pStyle w:val="Tablebody"/>
            </w:pPr>
            <w:r>
              <w:t>15/12/2022</w:t>
            </w:r>
          </w:p>
        </w:tc>
      </w:tr>
      <w:tr w:rsidR="00312736" w14:paraId="54653D98" w14:textId="77777777" w:rsidTr="0041234E">
        <w:trPr>
          <w:cnfStyle w:val="000000010000" w:firstRow="0" w:lastRow="0" w:firstColumn="0" w:lastColumn="0" w:oddVBand="0" w:evenVBand="0" w:oddHBand="0" w:evenHBand="1" w:firstRowFirstColumn="0" w:firstRowLastColumn="0" w:lastRowFirstColumn="0" w:lastRowLastColumn="0"/>
        </w:trPr>
        <w:tc>
          <w:tcPr>
            <w:tcW w:w="668" w:type="dxa"/>
          </w:tcPr>
          <w:p w14:paraId="63C83404" w14:textId="77777777" w:rsidR="00312736" w:rsidRDefault="00312736" w:rsidP="0041234E">
            <w:pPr>
              <w:pStyle w:val="Tablebody"/>
            </w:pPr>
            <w:r>
              <w:t>004</w:t>
            </w:r>
          </w:p>
        </w:tc>
        <w:tc>
          <w:tcPr>
            <w:tcW w:w="5665" w:type="dxa"/>
          </w:tcPr>
          <w:p w14:paraId="12806B14" w14:textId="77777777" w:rsidR="00312736" w:rsidRDefault="00312736" w:rsidP="0041234E">
            <w:pPr>
              <w:pStyle w:val="Tablebody"/>
            </w:pPr>
            <w:r>
              <w:t>Legal Aid ACT</w:t>
            </w:r>
          </w:p>
        </w:tc>
        <w:tc>
          <w:tcPr>
            <w:tcW w:w="1346" w:type="dxa"/>
          </w:tcPr>
          <w:p w14:paraId="639887C6" w14:textId="77777777" w:rsidR="00312736" w:rsidRDefault="00312736" w:rsidP="0041234E">
            <w:pPr>
              <w:pStyle w:val="Tablebody"/>
            </w:pPr>
            <w:r>
              <w:t>09/12/2022</w:t>
            </w:r>
          </w:p>
        </w:tc>
        <w:tc>
          <w:tcPr>
            <w:tcW w:w="1347" w:type="dxa"/>
          </w:tcPr>
          <w:p w14:paraId="6D9DA8E5" w14:textId="4E167CB1" w:rsidR="00312736" w:rsidRDefault="00CE41E9" w:rsidP="0041234E">
            <w:pPr>
              <w:pStyle w:val="Tablebody"/>
            </w:pPr>
            <w:r>
              <w:t>15/12/2022</w:t>
            </w:r>
          </w:p>
        </w:tc>
      </w:tr>
      <w:tr w:rsidR="00312736" w14:paraId="6848ED38" w14:textId="77777777" w:rsidTr="0041234E">
        <w:trPr>
          <w:cnfStyle w:val="000000100000" w:firstRow="0" w:lastRow="0" w:firstColumn="0" w:lastColumn="0" w:oddVBand="0" w:evenVBand="0" w:oddHBand="1" w:evenHBand="0" w:firstRowFirstColumn="0" w:firstRowLastColumn="0" w:lastRowFirstColumn="0" w:lastRowLastColumn="0"/>
        </w:trPr>
        <w:tc>
          <w:tcPr>
            <w:tcW w:w="668" w:type="dxa"/>
          </w:tcPr>
          <w:p w14:paraId="4AF8D958" w14:textId="77777777" w:rsidR="00312736" w:rsidRDefault="00312736" w:rsidP="0041234E">
            <w:pPr>
              <w:pStyle w:val="Tablebody"/>
            </w:pPr>
            <w:r>
              <w:t>005</w:t>
            </w:r>
          </w:p>
        </w:tc>
        <w:tc>
          <w:tcPr>
            <w:tcW w:w="5665" w:type="dxa"/>
          </w:tcPr>
          <w:p w14:paraId="47B6D8BD" w14:textId="77777777" w:rsidR="00312736" w:rsidRDefault="00312736" w:rsidP="0041234E">
            <w:pPr>
              <w:pStyle w:val="Tablebody"/>
            </w:pPr>
            <w:r>
              <w:t xml:space="preserve">Victims of Crime Commissioner </w:t>
            </w:r>
          </w:p>
        </w:tc>
        <w:tc>
          <w:tcPr>
            <w:tcW w:w="1346" w:type="dxa"/>
          </w:tcPr>
          <w:p w14:paraId="4CA5A759" w14:textId="77777777" w:rsidR="00312736" w:rsidRDefault="00312736" w:rsidP="0041234E">
            <w:pPr>
              <w:pStyle w:val="Tablebody"/>
            </w:pPr>
            <w:r>
              <w:t>13/12/2022</w:t>
            </w:r>
          </w:p>
        </w:tc>
        <w:tc>
          <w:tcPr>
            <w:tcW w:w="1347" w:type="dxa"/>
          </w:tcPr>
          <w:p w14:paraId="0A11CF43" w14:textId="4FA8E0EA" w:rsidR="00312736" w:rsidRDefault="00CE41E9" w:rsidP="0041234E">
            <w:pPr>
              <w:pStyle w:val="Tablebody"/>
            </w:pPr>
            <w:r>
              <w:t>15/12/2022</w:t>
            </w:r>
          </w:p>
        </w:tc>
      </w:tr>
      <w:tr w:rsidR="00341CBF" w14:paraId="63C78E82" w14:textId="77777777" w:rsidTr="0041234E">
        <w:trPr>
          <w:cnfStyle w:val="000000010000" w:firstRow="0" w:lastRow="0" w:firstColumn="0" w:lastColumn="0" w:oddVBand="0" w:evenVBand="0" w:oddHBand="0" w:evenHBand="1" w:firstRowFirstColumn="0" w:firstRowLastColumn="0" w:lastRowFirstColumn="0" w:lastRowLastColumn="0"/>
        </w:trPr>
        <w:tc>
          <w:tcPr>
            <w:tcW w:w="668" w:type="dxa"/>
          </w:tcPr>
          <w:p w14:paraId="092563FC" w14:textId="7A9B9F1B" w:rsidR="00341CBF" w:rsidRPr="00EC5B7D" w:rsidRDefault="00341CBF" w:rsidP="0041234E">
            <w:pPr>
              <w:pStyle w:val="Tablebody"/>
            </w:pPr>
            <w:r w:rsidRPr="00EC5B7D">
              <w:t>006</w:t>
            </w:r>
          </w:p>
        </w:tc>
        <w:tc>
          <w:tcPr>
            <w:tcW w:w="5665" w:type="dxa"/>
          </w:tcPr>
          <w:p w14:paraId="7A7978A9" w14:textId="1A105350" w:rsidR="00341CBF" w:rsidRPr="00EC5B7D" w:rsidRDefault="00341CBF" w:rsidP="0041234E">
            <w:pPr>
              <w:pStyle w:val="Tablebody"/>
            </w:pPr>
            <w:r w:rsidRPr="00EC5B7D">
              <w:t xml:space="preserve">Australian Federal Police Association </w:t>
            </w:r>
          </w:p>
        </w:tc>
        <w:tc>
          <w:tcPr>
            <w:tcW w:w="1346" w:type="dxa"/>
          </w:tcPr>
          <w:p w14:paraId="2116DB7D" w14:textId="4469E67B" w:rsidR="00341CBF" w:rsidRPr="00EC5B7D" w:rsidRDefault="00341CBF" w:rsidP="0041234E">
            <w:pPr>
              <w:pStyle w:val="Tablebody"/>
            </w:pPr>
            <w:r w:rsidRPr="00EC5B7D">
              <w:t>15/12/2022</w:t>
            </w:r>
          </w:p>
        </w:tc>
        <w:tc>
          <w:tcPr>
            <w:tcW w:w="1347" w:type="dxa"/>
          </w:tcPr>
          <w:p w14:paraId="04EF1A10" w14:textId="142D2764" w:rsidR="00341CBF" w:rsidRPr="00EC5B7D" w:rsidRDefault="00EC5B7D" w:rsidP="0041234E">
            <w:pPr>
              <w:pStyle w:val="Tablebody"/>
            </w:pPr>
            <w:r w:rsidRPr="00EC5B7D">
              <w:t>21/12/2022</w:t>
            </w:r>
          </w:p>
        </w:tc>
      </w:tr>
    </w:tbl>
    <w:p w14:paraId="50C159CE" w14:textId="77777777" w:rsidR="00312736" w:rsidRDefault="00312736" w:rsidP="00312736">
      <w:pPr>
        <w:spacing w:line="259" w:lineRule="auto"/>
      </w:pPr>
    </w:p>
    <w:p w14:paraId="249F1339" w14:textId="77777777" w:rsidR="00312736" w:rsidRPr="00762740" w:rsidRDefault="00312736" w:rsidP="00312736">
      <w:pPr>
        <w:spacing w:line="259" w:lineRule="auto"/>
      </w:pPr>
    </w:p>
    <w:p w14:paraId="49FE4B57" w14:textId="77777777" w:rsidR="00295AE0" w:rsidRDefault="00295AE0"/>
    <w:sectPr w:rsidR="00295AE0" w:rsidSect="00603367">
      <w:footerReference w:type="even" r:id="rId17"/>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F395" w14:textId="77777777" w:rsidR="00312736" w:rsidRDefault="00312736" w:rsidP="00312736">
      <w:pPr>
        <w:spacing w:after="0" w:line="240" w:lineRule="auto"/>
      </w:pPr>
      <w:r>
        <w:separator/>
      </w:r>
    </w:p>
  </w:endnote>
  <w:endnote w:type="continuationSeparator" w:id="0">
    <w:p w14:paraId="52FABB81" w14:textId="77777777" w:rsidR="00312736" w:rsidRDefault="00312736" w:rsidP="0031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7164" w14:textId="77777777" w:rsidR="00312736" w:rsidRPr="00EE5B62" w:rsidRDefault="00312736" w:rsidP="009C2830">
    <w:pPr>
      <w:pStyle w:val="Footer"/>
      <w:tabs>
        <w:tab w:val="clear" w:pos="4513"/>
        <w:tab w:val="clear" w:pos="9026"/>
        <w:tab w:val="left" w:pos="851"/>
      </w:tabs>
      <w:rPr>
        <w:rFonts w:ascii="Montserrat SemiBold" w:hAnsi="Montserrat SemiBold" w:cstheme="majorHAnsi"/>
        <w:color w:val="2F5496"/>
        <w:w w:val="9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D986" w14:textId="552B9C4E" w:rsidR="00312736" w:rsidRPr="007A6EB9" w:rsidRDefault="00312736" w:rsidP="009C2830">
    <w:pPr>
      <w:pStyle w:val="Footer"/>
      <w:tabs>
        <w:tab w:val="clear" w:pos="4513"/>
        <w:tab w:val="clear" w:pos="9026"/>
        <w:tab w:val="right" w:pos="5387"/>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9B2ED8">
      <w:rPr>
        <w:rFonts w:ascii="Montserrat SemiBold" w:hAnsi="Montserrat SemiBold" w:cstheme="majorHAnsi"/>
        <w:noProof/>
        <w:color w:val="2F5496"/>
        <w:w w:val="90"/>
        <w:sz w:val="18"/>
        <w:szCs w:val="18"/>
      </w:rPr>
      <w:t>Inquiry into the Justice and Community Safety Legislation Amendment Bill 2022 (No 2)</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PAGE  \* roman  \* MERGEFORMAT </w:instrText>
    </w:r>
    <w:r w:rsidRPr="007A6EB9">
      <w:rPr>
        <w:rFonts w:ascii="Montserrat SemiBold" w:hAnsi="Montserrat SemiBold" w:cstheme="majorHAnsi"/>
        <w:color w:val="2F5496"/>
        <w:w w:val="90"/>
        <w:sz w:val="18"/>
        <w:szCs w:val="18"/>
      </w:rPr>
      <w:fldChar w:fldCharType="separate"/>
    </w:r>
    <w:r w:rsidRPr="007A6EB9">
      <w:rPr>
        <w:rFonts w:ascii="Montserrat SemiBold" w:hAnsi="Montserrat SemiBold" w:cstheme="majorHAnsi"/>
        <w:noProof/>
        <w:color w:val="2F5496"/>
        <w:w w:val="90"/>
        <w:sz w:val="18"/>
        <w:szCs w:val="18"/>
      </w:rPr>
      <w:t>iv</w:t>
    </w:r>
    <w:r w:rsidRPr="007A6EB9">
      <w:rPr>
        <w:rFonts w:ascii="Montserrat SemiBold" w:hAnsi="Montserrat SemiBold" w:cstheme="majorHAnsi"/>
        <w:color w:val="2F5496"/>
        <w:w w:val="90"/>
        <w:sz w:val="18"/>
        <w:szCs w:val="18"/>
      </w:rPr>
      <w:fldChar w:fldCharType="end"/>
    </w:r>
  </w:p>
  <w:p w14:paraId="2C9398BC" w14:textId="77777777" w:rsidR="00312736" w:rsidRPr="007A6EB9" w:rsidRDefault="00312736" w:rsidP="009C2830">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01EF" w14:textId="77777777" w:rsidR="00312736" w:rsidRPr="00C8358A" w:rsidRDefault="00312736"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t>Legislative Assembly for the Australian Capital Territory</w:t>
    </w:r>
  </w:p>
  <w:p w14:paraId="423ADF6D" w14:textId="404F8C34" w:rsidR="00312736" w:rsidRPr="00C8358A" w:rsidRDefault="00312736"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fldChar w:fldCharType="begin"/>
    </w:r>
    <w:r w:rsidRPr="00C8358A">
      <w:rPr>
        <w:rFonts w:cstheme="minorHAnsi"/>
        <w:color w:val="404040" w:themeColor="text1" w:themeTint="BF"/>
      </w:rPr>
      <w:instrText xml:space="preserve"> STYLEREF  "Default Paragraph Font"  \* MERGEFORMAT </w:instrText>
    </w:r>
    <w:r w:rsidRPr="00C8358A">
      <w:rPr>
        <w:rFonts w:cstheme="minorHAnsi"/>
        <w:color w:val="404040" w:themeColor="text1" w:themeTint="BF"/>
      </w:rPr>
      <w:fldChar w:fldCharType="separate"/>
    </w:r>
    <w:r w:rsidR="009B2ED8">
      <w:rPr>
        <w:rFonts w:cstheme="minorHAnsi"/>
        <w:noProof/>
        <w:color w:val="404040" w:themeColor="text1" w:themeTint="BF"/>
      </w:rPr>
      <w:t xml:space="preserve">Standing Committee on Justice and Community Safety </w:t>
    </w:r>
    <w:r w:rsidR="009B2ED8">
      <w:rPr>
        <w:rFonts w:cstheme="minorHAnsi"/>
        <w:noProof/>
        <w:color w:val="404040" w:themeColor="text1" w:themeTint="BF"/>
      </w:rPr>
      <w:cr/>
    </w:r>
    <w:r w:rsidRPr="00C8358A">
      <w:rPr>
        <w:rFonts w:cstheme="minorHAnsi"/>
        <w:color w:val="404040" w:themeColor="text1" w:themeTint="BF"/>
      </w:rPr>
      <w:fldChar w:fldCharType="end"/>
    </w:r>
  </w:p>
  <w:sdt>
    <w:sdtPr>
      <w:rPr>
        <w:rFonts w:cstheme="minorHAnsi"/>
        <w:color w:val="404040" w:themeColor="text1" w:themeTint="BF"/>
      </w:rPr>
      <w:id w:val="442274151"/>
      <w15:color w:val="000000"/>
      <w:comboBox>
        <w:listItem w:value="Choose an item."/>
        <w:listItem w:displayText="Approved for publication" w:value="Approved for publication"/>
        <w:listItem w:displayText="Draft - Not for publication" w:value="Draft - Not for publication"/>
      </w:comboBox>
    </w:sdtPr>
    <w:sdtEndPr/>
    <w:sdtContent>
      <w:p w14:paraId="679A3BE0" w14:textId="54EB1B92" w:rsidR="00312736" w:rsidRPr="00C8358A" w:rsidRDefault="008F5498" w:rsidP="00C8358A">
        <w:pPr>
          <w:pStyle w:val="Footer"/>
          <w:pBdr>
            <w:top w:val="single" w:sz="4" w:space="1" w:color="auto"/>
            <w:bottom w:val="single" w:sz="4" w:space="1" w:color="auto"/>
          </w:pBdr>
          <w:tabs>
            <w:tab w:val="clear" w:pos="4513"/>
            <w:tab w:val="clear" w:pos="9026"/>
          </w:tabs>
          <w:spacing w:before="40" w:after="40"/>
          <w:ind w:right="6474"/>
          <w:jc w:val="center"/>
          <w:rPr>
            <w:rFonts w:cstheme="minorHAnsi"/>
            <w:color w:val="404040" w:themeColor="text1" w:themeTint="BF"/>
          </w:rPr>
        </w:pPr>
        <w:r>
          <w:rPr>
            <w:rFonts w:cstheme="minorHAnsi"/>
            <w:color w:val="404040" w:themeColor="text1" w:themeTint="BF"/>
          </w:rPr>
          <w:t>Approved for publication</w:t>
        </w:r>
      </w:p>
    </w:sdtContent>
  </w:sdt>
  <w:p w14:paraId="22F7F411" w14:textId="77777777" w:rsidR="00312736" w:rsidRPr="00C8358A" w:rsidRDefault="00312736" w:rsidP="00F101AB">
    <w:pPr>
      <w:pStyle w:val="Footer"/>
      <w:tabs>
        <w:tab w:val="clear" w:pos="4513"/>
        <w:tab w:val="clear" w:pos="9026"/>
      </w:tabs>
      <w:rPr>
        <w:rFonts w:cstheme="minorHAnsi"/>
        <w:color w:val="404040" w:themeColor="text1" w:themeTint="BF"/>
      </w:rPr>
    </w:pPr>
  </w:p>
  <w:p w14:paraId="1D5AF50A" w14:textId="382269B6" w:rsidR="00312736" w:rsidRDefault="00312736" w:rsidP="00F101AB">
    <w:pPr>
      <w:pStyle w:val="Footer"/>
      <w:tabs>
        <w:tab w:val="clear" w:pos="4513"/>
        <w:tab w:val="clear" w:pos="9026"/>
      </w:tabs>
      <w:rPr>
        <w:rFonts w:cstheme="minorHAnsi"/>
        <w:color w:val="404040" w:themeColor="text1" w:themeTint="BF"/>
      </w:rPr>
    </w:pPr>
    <w:r w:rsidRPr="00A37C4B">
      <w:rPr>
        <w:rFonts w:cstheme="minorHAnsi"/>
        <w:color w:val="404040" w:themeColor="text1" w:themeTint="BF"/>
      </w:rPr>
      <w:t xml:space="preserve">Report </w:t>
    </w:r>
    <w:r w:rsidR="005D5218" w:rsidRPr="00A37C4B">
      <w:rPr>
        <w:rFonts w:cstheme="minorHAnsi"/>
        <w:color w:val="404040" w:themeColor="text1" w:themeTint="BF"/>
      </w:rPr>
      <w:t>11</w:t>
    </w:r>
  </w:p>
  <w:p w14:paraId="45773156" w14:textId="77777777" w:rsidR="00312736" w:rsidRDefault="00312736"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t>10th Assembly</w:t>
    </w:r>
  </w:p>
  <w:p w14:paraId="08AC8CA2" w14:textId="7707E95F" w:rsidR="00312736" w:rsidRPr="00C8358A" w:rsidRDefault="00312736"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fldChar w:fldCharType="begin"/>
    </w:r>
    <w:r w:rsidRPr="00C8358A">
      <w:rPr>
        <w:rFonts w:cstheme="minorHAnsi"/>
        <w:color w:val="404040" w:themeColor="text1" w:themeTint="BF"/>
      </w:rPr>
      <w:instrText xml:space="preserve"> DATE  \@ "MMMM yyyy"  \* MERGEFORMAT </w:instrText>
    </w:r>
    <w:r w:rsidRPr="00C8358A">
      <w:rPr>
        <w:rFonts w:cstheme="minorHAnsi"/>
        <w:color w:val="404040" w:themeColor="text1" w:themeTint="BF"/>
      </w:rPr>
      <w:fldChar w:fldCharType="separate"/>
    </w:r>
    <w:r w:rsidR="009823A7">
      <w:rPr>
        <w:rFonts w:cstheme="minorHAnsi"/>
        <w:noProof/>
        <w:color w:val="404040" w:themeColor="text1" w:themeTint="BF"/>
      </w:rPr>
      <w:t>December 2022</w:t>
    </w:r>
    <w:r w:rsidRPr="00C8358A">
      <w:rPr>
        <w:rFonts w:cstheme="minorHAnsi"/>
        <w:color w:val="404040" w:themeColor="text1" w:themeTint="BF"/>
      </w:rPr>
      <w:fldChar w:fldCharType="end"/>
    </w:r>
  </w:p>
  <w:p w14:paraId="5E9BD4E7" w14:textId="77777777" w:rsidR="00312736" w:rsidRDefault="00312736">
    <w:pPr>
      <w:pStyle w:val="Footer"/>
      <w:rPr>
        <w:rFonts w:asciiTheme="majorHAnsi" w:hAnsiTheme="majorHAnsi" w:cstheme="majorHAnsi"/>
      </w:rPr>
    </w:pPr>
  </w:p>
  <w:p w14:paraId="1B4388A6" w14:textId="77777777" w:rsidR="00312736" w:rsidRPr="008B350E" w:rsidRDefault="00312736">
    <w:pPr>
      <w:pStyle w:val="Footer"/>
      <w:rPr>
        <w:rFonts w:asciiTheme="majorHAnsi" w:hAnsiTheme="majorHAnsi" w:cstheme="maj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1763" w14:textId="1EF140AE" w:rsidR="00312736" w:rsidRPr="00EE5B62" w:rsidRDefault="00312736" w:rsidP="009C2830">
    <w:pPr>
      <w:pStyle w:val="Footer"/>
      <w:tabs>
        <w:tab w:val="clear" w:pos="4513"/>
        <w:tab w:val="clear" w:pos="9026"/>
        <w:tab w:val="left" w:pos="851"/>
      </w:tabs>
      <w:rPr>
        <w:rFonts w:ascii="Montserrat SemiBold" w:hAnsi="Montserrat SemiBold" w:cstheme="majorHAnsi"/>
        <w:color w:val="2F5496"/>
        <w:w w:val="90"/>
        <w:sz w:val="18"/>
        <w:szCs w:val="18"/>
      </w:rPr>
    </w:pP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PAGE  \* roman  \* MERGEFORMAT </w:instrText>
    </w:r>
    <w:r w:rsidRPr="00EE5B62">
      <w:rPr>
        <w:rFonts w:ascii="Montserrat SemiBold" w:hAnsi="Montserrat SemiBold" w:cstheme="majorHAnsi"/>
        <w:color w:val="2F5496"/>
        <w:w w:val="90"/>
        <w:sz w:val="18"/>
        <w:szCs w:val="18"/>
      </w:rPr>
      <w:fldChar w:fldCharType="separate"/>
    </w:r>
    <w:r w:rsidRPr="00EE5B62">
      <w:rPr>
        <w:rFonts w:ascii="Montserrat SemiBold" w:hAnsi="Montserrat SemiBold" w:cstheme="majorHAnsi"/>
        <w:noProof/>
        <w:color w:val="2F5496"/>
        <w:w w:val="90"/>
        <w:sz w:val="18"/>
        <w:szCs w:val="18"/>
      </w:rPr>
      <w:t>v</w:t>
    </w:r>
    <w:r w:rsidRPr="00EE5B62">
      <w:rPr>
        <w:rFonts w:ascii="Montserrat SemiBold" w:hAnsi="Montserrat SemiBold" w:cstheme="majorHAnsi"/>
        <w:color w:val="2F5496"/>
        <w:w w:val="90"/>
        <w:sz w:val="18"/>
        <w:szCs w:val="18"/>
      </w:rPr>
      <w:fldChar w:fldCharType="end"/>
    </w:r>
    <w:r w:rsidRPr="00EE5B62">
      <w:rPr>
        <w:rFonts w:ascii="Montserrat SemiBold" w:hAnsi="Montserrat SemiBold" w:cstheme="majorHAnsi"/>
        <w:color w:val="2F5496"/>
        <w:w w:val="90"/>
        <w:sz w:val="18"/>
        <w:szCs w:val="18"/>
      </w:rPr>
      <w:tab/>
    </w: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STYLEREF  Title  \* MERGEFORMAT </w:instrText>
    </w:r>
    <w:r w:rsidRPr="00EE5B62">
      <w:rPr>
        <w:rFonts w:ascii="Montserrat SemiBold" w:hAnsi="Montserrat SemiBold" w:cstheme="majorHAnsi"/>
        <w:color w:val="2F5496"/>
        <w:w w:val="90"/>
        <w:sz w:val="18"/>
        <w:szCs w:val="18"/>
      </w:rPr>
      <w:fldChar w:fldCharType="separate"/>
    </w:r>
    <w:r w:rsidR="009823A7">
      <w:rPr>
        <w:rFonts w:ascii="Montserrat SemiBold" w:hAnsi="Montserrat SemiBold" w:cstheme="majorHAnsi"/>
        <w:noProof/>
        <w:color w:val="2F5496"/>
        <w:w w:val="90"/>
        <w:sz w:val="18"/>
        <w:szCs w:val="18"/>
      </w:rPr>
      <w:t>Inquiry into the Justice and Community Safety Legislation Amendment Bill 2022 (No 2)</w:t>
    </w:r>
    <w:r w:rsidRPr="00EE5B62">
      <w:rPr>
        <w:rFonts w:ascii="Montserrat SemiBold" w:hAnsi="Montserrat SemiBold" w:cstheme="majorHAnsi"/>
        <w:color w:val="2F5496"/>
        <w:w w:val="9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198D" w14:textId="57F3B465" w:rsidR="00312736" w:rsidRPr="007A6EB9" w:rsidRDefault="00312736" w:rsidP="00E12092">
    <w:pPr>
      <w:pStyle w:val="Footer"/>
      <w:tabs>
        <w:tab w:val="clear" w:pos="4513"/>
        <w:tab w:val="clear" w:pos="9026"/>
        <w:tab w:val="right" w:pos="4536"/>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9B2ED8">
      <w:rPr>
        <w:rFonts w:ascii="Montserrat SemiBold" w:hAnsi="Montserrat SemiBold" w:cstheme="majorHAnsi"/>
        <w:noProof/>
        <w:color w:val="2F5496"/>
        <w:w w:val="90"/>
        <w:sz w:val="18"/>
        <w:szCs w:val="18"/>
      </w:rPr>
      <w:t>Inquiry into the Justice and Community Safety Legislation Amendment Bill 2022 (No 2)</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Pr>
        <w:rFonts w:ascii="Montserrat SemiBold" w:hAnsi="Montserrat SemiBold" w:cstheme="majorHAnsi"/>
        <w:color w:val="2F5496"/>
        <w:w w:val="90"/>
        <w:sz w:val="18"/>
        <w:szCs w:val="18"/>
      </w:rPr>
      <w:fldChar w:fldCharType="begin"/>
    </w:r>
    <w:r>
      <w:rPr>
        <w:rFonts w:ascii="Montserrat SemiBold" w:hAnsi="Montserrat SemiBold" w:cstheme="majorHAnsi"/>
        <w:color w:val="2F5496"/>
        <w:w w:val="90"/>
        <w:sz w:val="18"/>
        <w:szCs w:val="18"/>
      </w:rPr>
      <w:instrText xml:space="preserve"> PAGE  \* roman  \* MERGEFORMAT </w:instrText>
    </w:r>
    <w:r>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i</w:t>
    </w:r>
    <w:r>
      <w:rPr>
        <w:rFonts w:ascii="Montserrat SemiBold" w:hAnsi="Montserrat SemiBold" w:cstheme="majorHAnsi"/>
        <w:color w:val="2F5496"/>
        <w:w w:val="90"/>
        <w:sz w:val="18"/>
        <w:szCs w:val="18"/>
      </w:rPr>
      <w:fldChar w:fldCharType="end"/>
    </w:r>
  </w:p>
  <w:p w14:paraId="2E48F384" w14:textId="77777777" w:rsidR="00312736" w:rsidRPr="007A6EB9" w:rsidRDefault="00312736" w:rsidP="009C2830">
    <w:pPr>
      <w:pStyle w:val="Footer"/>
      <w:jc w:val="righ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542B" w14:textId="1D717634" w:rsidR="00877A94" w:rsidRPr="00EE5B62" w:rsidRDefault="00312736" w:rsidP="009C2830">
    <w:pPr>
      <w:pStyle w:val="Footer"/>
      <w:tabs>
        <w:tab w:val="clear" w:pos="4513"/>
        <w:tab w:val="clear" w:pos="9026"/>
        <w:tab w:val="left" w:pos="851"/>
      </w:tabs>
      <w:rPr>
        <w:rFonts w:ascii="Montserrat SemiBold" w:hAnsi="Montserrat SemiBold" w:cstheme="majorHAnsi"/>
        <w:color w:val="2F5496"/>
        <w:w w:val="90"/>
        <w:sz w:val="18"/>
        <w:szCs w:val="18"/>
      </w:rPr>
    </w:pPr>
    <w:r>
      <w:rPr>
        <w:rFonts w:ascii="Montserrat SemiBold" w:hAnsi="Montserrat SemiBold" w:cstheme="majorHAnsi"/>
        <w:color w:val="2F5496"/>
        <w:w w:val="90"/>
        <w:sz w:val="18"/>
        <w:szCs w:val="18"/>
      </w:rPr>
      <w:fldChar w:fldCharType="begin"/>
    </w:r>
    <w:r>
      <w:rPr>
        <w:rFonts w:ascii="Montserrat SemiBold" w:hAnsi="Montserrat SemiBold" w:cstheme="majorHAnsi"/>
        <w:color w:val="2F5496"/>
        <w:w w:val="90"/>
        <w:sz w:val="18"/>
        <w:szCs w:val="18"/>
      </w:rPr>
      <w:instrText xml:space="preserve"> PAGE  \* MERGEFORMAT </w:instrText>
    </w:r>
    <w:r>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3</w:t>
    </w:r>
    <w:r>
      <w:rPr>
        <w:rFonts w:ascii="Montserrat SemiBold" w:hAnsi="Montserrat SemiBold" w:cstheme="majorHAnsi"/>
        <w:color w:val="2F5496"/>
        <w:w w:val="90"/>
        <w:sz w:val="18"/>
        <w:szCs w:val="18"/>
      </w:rPr>
      <w:fldChar w:fldCharType="end"/>
    </w:r>
    <w:r w:rsidRPr="00EE5B62">
      <w:rPr>
        <w:rFonts w:ascii="Montserrat SemiBold" w:hAnsi="Montserrat SemiBold" w:cstheme="majorHAnsi"/>
        <w:color w:val="2F5496"/>
        <w:w w:val="90"/>
        <w:sz w:val="18"/>
        <w:szCs w:val="18"/>
      </w:rPr>
      <w:tab/>
    </w: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STYLEREF  Title  \* MERGEFORMAT </w:instrText>
    </w:r>
    <w:r w:rsidRPr="00EE5B62">
      <w:rPr>
        <w:rFonts w:ascii="Montserrat SemiBold" w:hAnsi="Montserrat SemiBold" w:cstheme="majorHAnsi"/>
        <w:color w:val="2F5496"/>
        <w:w w:val="90"/>
        <w:sz w:val="18"/>
        <w:szCs w:val="18"/>
      </w:rPr>
      <w:fldChar w:fldCharType="separate"/>
    </w:r>
    <w:r w:rsidR="009823A7">
      <w:rPr>
        <w:rFonts w:ascii="Montserrat SemiBold" w:hAnsi="Montserrat SemiBold" w:cstheme="majorHAnsi"/>
        <w:noProof/>
        <w:color w:val="2F5496"/>
        <w:w w:val="90"/>
        <w:sz w:val="18"/>
        <w:szCs w:val="18"/>
      </w:rPr>
      <w:t>Inquiry into the Justice and Community Safety Legislation Amendment Bill 2022 (No 2)</w:t>
    </w:r>
    <w:r w:rsidRPr="00EE5B62">
      <w:rPr>
        <w:rFonts w:ascii="Montserrat SemiBold" w:hAnsi="Montserrat SemiBold" w:cstheme="majorHAnsi"/>
        <w:color w:val="2F5496"/>
        <w:w w:val="90"/>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9F08" w14:textId="553E2F47" w:rsidR="009F5A83" w:rsidRPr="007A6EB9" w:rsidRDefault="00312736" w:rsidP="00150531">
    <w:pPr>
      <w:pStyle w:val="Footer"/>
      <w:tabs>
        <w:tab w:val="clear" w:pos="4513"/>
        <w:tab w:val="clear" w:pos="9026"/>
        <w:tab w:val="right" w:pos="1560"/>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9B2ED8">
      <w:rPr>
        <w:rFonts w:ascii="Montserrat SemiBold" w:hAnsi="Montserrat SemiBold" w:cstheme="majorHAnsi"/>
        <w:noProof/>
        <w:color w:val="2F5496"/>
        <w:w w:val="90"/>
        <w:sz w:val="18"/>
        <w:szCs w:val="18"/>
      </w:rPr>
      <w:t>Inquiry into the Justice and Community Safety Legislation Amendment Bill 2022 (No 2)</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PAGE  \* Arabic  \* MERGEFORMAT </w:instrText>
    </w:r>
    <w:r w:rsidRPr="007A6EB9">
      <w:rPr>
        <w:rFonts w:ascii="Montserrat SemiBold" w:hAnsi="Montserrat SemiBold" w:cstheme="majorHAnsi"/>
        <w:color w:val="2F5496"/>
        <w:w w:val="90"/>
        <w:sz w:val="18"/>
        <w:szCs w:val="18"/>
      </w:rPr>
      <w:fldChar w:fldCharType="separate"/>
    </w:r>
    <w:r w:rsidRPr="007A6EB9">
      <w:rPr>
        <w:rFonts w:ascii="Montserrat SemiBold" w:hAnsi="Montserrat SemiBold" w:cstheme="majorHAnsi"/>
        <w:noProof/>
        <w:color w:val="2F5496"/>
        <w:w w:val="90"/>
        <w:sz w:val="18"/>
        <w:szCs w:val="18"/>
      </w:rPr>
      <w:t>5</w:t>
    </w:r>
    <w:r w:rsidRPr="007A6EB9">
      <w:rPr>
        <w:rFonts w:ascii="Montserrat SemiBold" w:hAnsi="Montserrat SemiBold" w:cstheme="majorHAnsi"/>
        <w:color w:val="2F5496"/>
        <w:w w:val="90"/>
        <w:sz w:val="18"/>
        <w:szCs w:val="18"/>
      </w:rPr>
      <w:fldChar w:fldCharType="end"/>
    </w:r>
  </w:p>
  <w:p w14:paraId="1391F2E4" w14:textId="77777777" w:rsidR="009F5A83" w:rsidRPr="007A6EB9" w:rsidRDefault="009B2ED8" w:rsidP="009C2830">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8FDC" w14:textId="77777777" w:rsidR="00312736" w:rsidRDefault="00312736" w:rsidP="00312736">
      <w:pPr>
        <w:spacing w:after="0" w:line="240" w:lineRule="auto"/>
      </w:pPr>
      <w:r>
        <w:separator/>
      </w:r>
    </w:p>
  </w:footnote>
  <w:footnote w:type="continuationSeparator" w:id="0">
    <w:p w14:paraId="7BB39638" w14:textId="77777777" w:rsidR="00312736" w:rsidRDefault="00312736" w:rsidP="00312736">
      <w:pPr>
        <w:spacing w:after="0" w:line="240" w:lineRule="auto"/>
      </w:pPr>
      <w:r>
        <w:continuationSeparator/>
      </w:r>
    </w:p>
  </w:footnote>
  <w:footnote w:id="1">
    <w:p w14:paraId="60BEAE50" w14:textId="77777777" w:rsidR="00312736" w:rsidRDefault="00312736" w:rsidP="00312736">
      <w:pPr>
        <w:pStyle w:val="FootnoteText"/>
      </w:pPr>
      <w:r>
        <w:rPr>
          <w:rStyle w:val="FootnoteReference"/>
        </w:rPr>
        <w:footnoteRef/>
      </w:r>
      <w:r>
        <w:t xml:space="preserve"> Legislative Assembly for the ACT, </w:t>
      </w:r>
      <w:r w:rsidRPr="00FA3C92">
        <w:rPr>
          <w:i/>
          <w:iCs/>
        </w:rPr>
        <w:t>Minutes of Proceedings No 68</w:t>
      </w:r>
      <w:r>
        <w:t>, 24 November 2022, p 953-954.</w:t>
      </w:r>
    </w:p>
  </w:footnote>
  <w:footnote w:id="2">
    <w:p w14:paraId="3393A634" w14:textId="741ACC3D" w:rsidR="002B275C" w:rsidRDefault="002B275C">
      <w:pPr>
        <w:pStyle w:val="FootnoteText"/>
      </w:pPr>
      <w:r>
        <w:rPr>
          <w:rStyle w:val="FootnoteReference"/>
        </w:rPr>
        <w:footnoteRef/>
      </w:r>
      <w:r>
        <w:t xml:space="preserve"> </w:t>
      </w:r>
      <w:r w:rsidR="001326FF">
        <w:t xml:space="preserve">Standing Committee on Justice and Community Safety, ‘Justice and Community Safety Legislation Amendment Bill 2022 (No 2)’, </w:t>
      </w:r>
      <w:r w:rsidR="001326FF" w:rsidRPr="001326FF">
        <w:rPr>
          <w:i/>
          <w:iCs/>
        </w:rPr>
        <w:t>Media Release</w:t>
      </w:r>
      <w:r w:rsidR="001326FF">
        <w:t>, 29 November 2022.</w:t>
      </w:r>
    </w:p>
  </w:footnote>
  <w:footnote w:id="3">
    <w:p w14:paraId="3122EBB8" w14:textId="77777777" w:rsidR="00312736" w:rsidRDefault="00312736" w:rsidP="00312736">
      <w:pPr>
        <w:pStyle w:val="FootnoteText"/>
      </w:pPr>
      <w:r>
        <w:rPr>
          <w:rStyle w:val="FootnoteReference"/>
        </w:rPr>
        <w:footnoteRef/>
      </w:r>
      <w:r>
        <w:t xml:space="preserve"> Justice and Community Safety Legislation Amendment Bill 2022 (No 2), Explanatory Statement and Human Rights Compatibility statement, p 2.</w:t>
      </w:r>
    </w:p>
  </w:footnote>
  <w:footnote w:id="4">
    <w:p w14:paraId="23B9CF5B" w14:textId="77777777" w:rsidR="00312736" w:rsidRDefault="00312736" w:rsidP="00312736">
      <w:pPr>
        <w:pStyle w:val="FootnoteText"/>
      </w:pPr>
      <w:r>
        <w:rPr>
          <w:rStyle w:val="FootnoteReference"/>
        </w:rPr>
        <w:footnoteRef/>
      </w:r>
      <w:r>
        <w:t xml:space="preserve"> Justice and Community Safety Legislation Amendment Bill 2022 (No 2), </w:t>
      </w:r>
      <w:r w:rsidRPr="00F5148F">
        <w:rPr>
          <w:i/>
          <w:iCs/>
        </w:rPr>
        <w:t>Explanatory Statement and Human Rights Compatibility statement</w:t>
      </w:r>
      <w:r>
        <w:t>, p 8.</w:t>
      </w:r>
    </w:p>
  </w:footnote>
  <w:footnote w:id="5">
    <w:p w14:paraId="58201DAC" w14:textId="6FB8C5A5" w:rsidR="00B84CD4" w:rsidRDefault="00B84CD4">
      <w:pPr>
        <w:pStyle w:val="FootnoteText"/>
      </w:pPr>
      <w:r>
        <w:rPr>
          <w:rStyle w:val="FootnoteReference"/>
        </w:rPr>
        <w:footnoteRef/>
      </w:r>
      <w:r>
        <w:t xml:space="preserve"> Legal Aid ACT, </w:t>
      </w:r>
      <w:r w:rsidRPr="00E23649">
        <w:rPr>
          <w:i/>
          <w:iCs/>
        </w:rPr>
        <w:t>Submission 4</w:t>
      </w:r>
      <w:r>
        <w:t>, p 3.</w:t>
      </w:r>
    </w:p>
  </w:footnote>
  <w:footnote w:id="6">
    <w:p w14:paraId="2C8787CE" w14:textId="720AA0E6" w:rsidR="00B84CD4" w:rsidRDefault="00B84CD4" w:rsidP="00B84CD4">
      <w:pPr>
        <w:pStyle w:val="FootnoteText"/>
      </w:pPr>
      <w:r>
        <w:rPr>
          <w:rStyle w:val="FootnoteReference"/>
        </w:rPr>
        <w:footnoteRef/>
      </w:r>
      <w:r>
        <w:t xml:space="preserve"> ACT Law Society, </w:t>
      </w:r>
      <w:r w:rsidRPr="00E23649">
        <w:rPr>
          <w:i/>
          <w:iCs/>
        </w:rPr>
        <w:t>Submission 3</w:t>
      </w:r>
      <w:r>
        <w:t>, p 2.</w:t>
      </w:r>
    </w:p>
  </w:footnote>
  <w:footnote w:id="7">
    <w:p w14:paraId="55888DC0" w14:textId="4A5FC933" w:rsidR="006A562E" w:rsidRDefault="006A562E">
      <w:pPr>
        <w:pStyle w:val="FootnoteText"/>
      </w:pPr>
      <w:r>
        <w:rPr>
          <w:rStyle w:val="FootnoteReference"/>
        </w:rPr>
        <w:footnoteRef/>
      </w:r>
      <w:r>
        <w:t xml:space="preserve"> ACT Law Society</w:t>
      </w:r>
      <w:r w:rsidR="00E23649">
        <w:t>,</w:t>
      </w:r>
      <w:r>
        <w:t xml:space="preserve"> </w:t>
      </w:r>
      <w:r w:rsidRPr="00E23649">
        <w:rPr>
          <w:i/>
          <w:iCs/>
        </w:rPr>
        <w:t>Submission</w:t>
      </w:r>
      <w:r w:rsidR="00E23649" w:rsidRPr="00E23649">
        <w:rPr>
          <w:i/>
          <w:iCs/>
        </w:rPr>
        <w:t xml:space="preserve"> 3</w:t>
      </w:r>
      <w:r>
        <w:t>, p 1.</w:t>
      </w:r>
    </w:p>
  </w:footnote>
  <w:footnote w:id="8">
    <w:p w14:paraId="0CC1D015" w14:textId="5A6CBD2C" w:rsidR="000271A5" w:rsidRDefault="000271A5">
      <w:pPr>
        <w:pStyle w:val="FootnoteText"/>
      </w:pPr>
      <w:r>
        <w:rPr>
          <w:rStyle w:val="FootnoteReference"/>
        </w:rPr>
        <w:footnoteRef/>
      </w:r>
      <w:r>
        <w:t xml:space="preserve"> In November 2020</w:t>
      </w:r>
      <w:r w:rsidR="0006627F">
        <w:t>,</w:t>
      </w:r>
      <w:r>
        <w:t xml:space="preserve"> New South Wales (NSW) Government allocated an additional $54 million over three years to enhance service delivery in court rooms. </w:t>
      </w:r>
      <w:hyperlink r:id="rId1" w:history="1">
        <w:r>
          <w:rPr>
            <w:rStyle w:val="Hyperlink"/>
          </w:rPr>
          <w:t>Audiovisual link technologies in Australian criminal courts: Practical and legal considerations (aic.gov.au)</w:t>
        </w:r>
      </w:hyperlink>
      <w:r w:rsidR="00E23649" w:rsidRPr="00E23649">
        <w:rPr>
          <w:rStyle w:val="Hyperlink"/>
          <w:u w:val="none"/>
        </w:rPr>
        <w:t xml:space="preserve"> </w:t>
      </w:r>
      <w:r w:rsidR="00E23649" w:rsidRPr="00E23649">
        <w:rPr>
          <w:rStyle w:val="Hyperlink"/>
          <w:color w:val="auto"/>
          <w:u w:val="none"/>
        </w:rPr>
        <w:t>(Accessed 16 December 2022)</w:t>
      </w:r>
    </w:p>
  </w:footnote>
  <w:footnote w:id="9">
    <w:p w14:paraId="39235C5D" w14:textId="72DF2FBC" w:rsidR="00C364F1" w:rsidRDefault="00C364F1" w:rsidP="00C364F1">
      <w:pPr>
        <w:pStyle w:val="FootnoteText"/>
      </w:pPr>
      <w:r>
        <w:rPr>
          <w:rStyle w:val="FootnoteReference"/>
        </w:rPr>
        <w:footnoteRef/>
      </w:r>
      <w:r>
        <w:t xml:space="preserve"> AFPA</w:t>
      </w:r>
      <w:r w:rsidR="00E23649">
        <w:t xml:space="preserve">, </w:t>
      </w:r>
      <w:r w:rsidR="00E23649" w:rsidRPr="00E23649">
        <w:rPr>
          <w:i/>
          <w:iCs/>
        </w:rPr>
        <w:t>Submission 6</w:t>
      </w:r>
      <w:r w:rsidR="00E23649">
        <w:t>,</w:t>
      </w:r>
      <w:r>
        <w:t xml:space="preserve"> p 4</w:t>
      </w:r>
      <w:r w:rsidR="00E23649">
        <w:t>.</w:t>
      </w:r>
    </w:p>
  </w:footnote>
  <w:footnote w:id="10">
    <w:p w14:paraId="1AEC265E" w14:textId="72C4F758" w:rsidR="00C364F1" w:rsidRDefault="00C364F1">
      <w:pPr>
        <w:pStyle w:val="FootnoteText"/>
      </w:pPr>
      <w:r>
        <w:rPr>
          <w:rStyle w:val="FootnoteReference"/>
        </w:rPr>
        <w:footnoteRef/>
      </w:r>
      <w:r>
        <w:t xml:space="preserve"> </w:t>
      </w:r>
      <w:hyperlink r:id="rId2" w:history="1">
        <w:r>
          <w:rPr>
            <w:rStyle w:val="Hyperlink"/>
          </w:rPr>
          <w:t>Audiovisual link technologies in Australian criminal courts: Practical and legal considerations (aic.gov.au)</w:t>
        </w:r>
      </w:hyperlink>
      <w:r>
        <w:t xml:space="preserve"> page 4</w:t>
      </w:r>
      <w:r w:rsidR="00E34571">
        <w:t xml:space="preserve"> </w:t>
      </w:r>
      <w:r w:rsidR="00E34571" w:rsidRPr="00E23649">
        <w:rPr>
          <w:rStyle w:val="Hyperlink"/>
          <w:color w:val="auto"/>
          <w:u w:val="none"/>
        </w:rPr>
        <w:t>(Accessed 16 December 2022)</w:t>
      </w:r>
    </w:p>
  </w:footnote>
  <w:footnote w:id="11">
    <w:p w14:paraId="1BE58A28" w14:textId="41A1FFBE" w:rsidR="00BA18DE" w:rsidRDefault="00BA18DE">
      <w:pPr>
        <w:pStyle w:val="FootnoteText"/>
      </w:pPr>
      <w:r>
        <w:rPr>
          <w:rStyle w:val="FootnoteReference"/>
        </w:rPr>
        <w:footnoteRef/>
      </w:r>
      <w:r>
        <w:t xml:space="preserve"> Women’s Legal Centre</w:t>
      </w:r>
      <w:r w:rsidR="00E34571">
        <w:t>,</w:t>
      </w:r>
      <w:r>
        <w:t xml:space="preserve"> </w:t>
      </w:r>
      <w:r w:rsidR="00E34571" w:rsidRPr="00E34571">
        <w:rPr>
          <w:i/>
          <w:iCs/>
        </w:rPr>
        <w:t>S</w:t>
      </w:r>
      <w:r w:rsidRPr="00E34571">
        <w:rPr>
          <w:i/>
          <w:iCs/>
        </w:rPr>
        <w:t xml:space="preserve">ubmission </w:t>
      </w:r>
      <w:r w:rsidR="00E34571" w:rsidRPr="00E34571">
        <w:rPr>
          <w:i/>
          <w:iCs/>
        </w:rPr>
        <w:t>1</w:t>
      </w:r>
      <w:r w:rsidR="00E34571">
        <w:t xml:space="preserve">, </w:t>
      </w:r>
      <w:r>
        <w:t>p 2</w:t>
      </w:r>
      <w:r w:rsidR="00E23649">
        <w:t>.</w:t>
      </w:r>
    </w:p>
  </w:footnote>
  <w:footnote w:id="12">
    <w:p w14:paraId="19676429" w14:textId="3F0A2FA7" w:rsidR="00913C9D" w:rsidRDefault="00913C9D">
      <w:pPr>
        <w:pStyle w:val="FootnoteText"/>
      </w:pPr>
      <w:r>
        <w:rPr>
          <w:rStyle w:val="FootnoteReference"/>
        </w:rPr>
        <w:footnoteRef/>
      </w:r>
      <w:r>
        <w:t xml:space="preserve"> ACT Law Society</w:t>
      </w:r>
      <w:r w:rsidR="00E34571">
        <w:t>,</w:t>
      </w:r>
      <w:r>
        <w:t xml:space="preserve"> </w:t>
      </w:r>
      <w:r w:rsidRPr="00E34571">
        <w:rPr>
          <w:i/>
          <w:iCs/>
        </w:rPr>
        <w:t xml:space="preserve">Submission </w:t>
      </w:r>
      <w:r w:rsidR="00E34571" w:rsidRPr="00E34571">
        <w:rPr>
          <w:i/>
          <w:iCs/>
        </w:rPr>
        <w:t>4</w:t>
      </w:r>
      <w:r w:rsidR="00E34571">
        <w:t xml:space="preserve">, </w:t>
      </w:r>
      <w:r>
        <w:t>p 1 – 2.</w:t>
      </w:r>
    </w:p>
  </w:footnote>
  <w:footnote w:id="13">
    <w:p w14:paraId="1AD8174E" w14:textId="26B790D5" w:rsidR="00F5148F" w:rsidRDefault="00F5148F">
      <w:pPr>
        <w:pStyle w:val="FootnoteText"/>
      </w:pPr>
      <w:r>
        <w:rPr>
          <w:rStyle w:val="FootnoteReference"/>
        </w:rPr>
        <w:footnoteRef/>
      </w:r>
      <w:r>
        <w:t xml:space="preserve"> Justice and Community Safety Legislation Amendment Bill 2022 (No 2), </w:t>
      </w:r>
      <w:r w:rsidRPr="00F5148F">
        <w:rPr>
          <w:i/>
          <w:iCs/>
        </w:rPr>
        <w:t>Explanatory Statement and Human Rights Compatibility statement</w:t>
      </w:r>
      <w:r>
        <w:t>, p 8.</w:t>
      </w:r>
    </w:p>
  </w:footnote>
  <w:footnote w:id="14">
    <w:p w14:paraId="72FD2B99" w14:textId="73052AB6" w:rsidR="00B84CD4" w:rsidRDefault="00B84CD4" w:rsidP="00B84CD4">
      <w:pPr>
        <w:pStyle w:val="FootnoteText"/>
      </w:pPr>
      <w:r>
        <w:rPr>
          <w:rStyle w:val="FootnoteReference"/>
        </w:rPr>
        <w:footnoteRef/>
      </w:r>
      <w:r>
        <w:t xml:space="preserve"> ACT Law Society</w:t>
      </w:r>
      <w:r w:rsidR="00257BF0">
        <w:t xml:space="preserve">, </w:t>
      </w:r>
      <w:r w:rsidRPr="00257BF0">
        <w:rPr>
          <w:i/>
          <w:iCs/>
        </w:rPr>
        <w:t xml:space="preserve">Submission </w:t>
      </w:r>
      <w:r w:rsidR="00257BF0" w:rsidRPr="00257BF0">
        <w:rPr>
          <w:i/>
          <w:iCs/>
        </w:rPr>
        <w:t>3</w:t>
      </w:r>
      <w:r w:rsidR="00257BF0">
        <w:t xml:space="preserve">, </w:t>
      </w:r>
      <w:r>
        <w:t>p 1 – 2.</w:t>
      </w:r>
    </w:p>
  </w:footnote>
  <w:footnote w:id="15">
    <w:p w14:paraId="757E7195" w14:textId="32430B9C" w:rsidR="00B84CD4" w:rsidRDefault="00B84CD4" w:rsidP="00B84CD4">
      <w:pPr>
        <w:pStyle w:val="FootnoteText"/>
      </w:pPr>
      <w:r>
        <w:rPr>
          <w:rStyle w:val="FootnoteReference"/>
        </w:rPr>
        <w:footnoteRef/>
      </w:r>
      <w:r>
        <w:t xml:space="preserve"> AFPA</w:t>
      </w:r>
      <w:r w:rsidR="009E2024">
        <w:t xml:space="preserve">, </w:t>
      </w:r>
      <w:r w:rsidR="009E2024" w:rsidRPr="009E2024">
        <w:rPr>
          <w:i/>
          <w:iCs/>
        </w:rPr>
        <w:t>Submission 6,</w:t>
      </w:r>
      <w:r>
        <w:t xml:space="preserve"> p 3</w:t>
      </w:r>
      <w:r w:rsidR="009E2024">
        <w:t>.</w:t>
      </w:r>
    </w:p>
  </w:footnote>
  <w:footnote w:id="16">
    <w:p w14:paraId="5524CD02" w14:textId="74DAEC1E" w:rsidR="0021666F" w:rsidRDefault="0021666F" w:rsidP="0021666F">
      <w:pPr>
        <w:pStyle w:val="FootnoteText"/>
      </w:pPr>
      <w:r>
        <w:rPr>
          <w:rStyle w:val="FootnoteReference"/>
        </w:rPr>
        <w:footnoteRef/>
      </w:r>
      <w:r>
        <w:t xml:space="preserve"> </w:t>
      </w:r>
      <w:r w:rsidR="0052445F">
        <w:t>Justice and Community Safety Legislation Amendment Bill 2022 (No 2)</w:t>
      </w:r>
      <w:r>
        <w:t>, p 6</w:t>
      </w:r>
      <w:r w:rsidR="0052445F">
        <w:t>.</w:t>
      </w:r>
    </w:p>
  </w:footnote>
  <w:footnote w:id="17">
    <w:p w14:paraId="7FD9B36B" w14:textId="7047B25C" w:rsidR="0021666F" w:rsidRDefault="0021666F" w:rsidP="0021666F">
      <w:pPr>
        <w:pStyle w:val="FootnoteText"/>
      </w:pPr>
      <w:r>
        <w:rPr>
          <w:rStyle w:val="FootnoteReference"/>
        </w:rPr>
        <w:footnoteRef/>
      </w:r>
      <w:r>
        <w:t xml:space="preserve"> </w:t>
      </w:r>
      <w:r w:rsidR="00A35521">
        <w:t>Justice and Community Safety Legislation Amendment Bill 2022 (No 2), p 6.</w:t>
      </w:r>
    </w:p>
  </w:footnote>
  <w:footnote w:id="18">
    <w:p w14:paraId="29ADF24F" w14:textId="5D8E2AEB" w:rsidR="0052445F" w:rsidRDefault="0052445F" w:rsidP="0052445F">
      <w:pPr>
        <w:pStyle w:val="FootnoteText"/>
      </w:pPr>
      <w:r>
        <w:rPr>
          <w:rStyle w:val="FootnoteReference"/>
        </w:rPr>
        <w:footnoteRef/>
      </w:r>
      <w:r>
        <w:t xml:space="preserve"> Justice and Community Safety Legislation Amendment Bill 2022 (No 2), </w:t>
      </w:r>
      <w:r w:rsidRPr="00F5148F">
        <w:rPr>
          <w:i/>
          <w:iCs/>
        </w:rPr>
        <w:t>Explanatory Statement and Human Rights Compatibility statement</w:t>
      </w:r>
      <w:r>
        <w:t>,</w:t>
      </w:r>
      <w:r w:rsidR="00A61D6E">
        <w:t xml:space="preserve"> </w:t>
      </w:r>
      <w:r>
        <w:t>p 9.</w:t>
      </w:r>
    </w:p>
  </w:footnote>
  <w:footnote w:id="19">
    <w:p w14:paraId="0157A4F4" w14:textId="51B30253" w:rsidR="009438E5" w:rsidRDefault="009438E5">
      <w:pPr>
        <w:pStyle w:val="FootnoteText"/>
      </w:pPr>
      <w:r>
        <w:rPr>
          <w:rStyle w:val="FootnoteReference"/>
        </w:rPr>
        <w:footnoteRef/>
      </w:r>
      <w:r>
        <w:t xml:space="preserve"> DPP, Submission 2, p 2.</w:t>
      </w:r>
    </w:p>
  </w:footnote>
  <w:footnote w:id="20">
    <w:p w14:paraId="6C33A93A" w14:textId="77777777" w:rsidR="005B4DED" w:rsidRDefault="005B4DED" w:rsidP="005B4DED">
      <w:pPr>
        <w:pStyle w:val="FootnoteText"/>
      </w:pPr>
      <w:r>
        <w:rPr>
          <w:rStyle w:val="FootnoteReference"/>
        </w:rPr>
        <w:footnoteRef/>
      </w:r>
      <w:r>
        <w:t xml:space="preserve"> DPP, </w:t>
      </w:r>
      <w:r w:rsidRPr="00E34571">
        <w:rPr>
          <w:i/>
          <w:iCs/>
        </w:rPr>
        <w:t>Submission 2</w:t>
      </w:r>
      <w:r>
        <w:t>, p 1.</w:t>
      </w:r>
    </w:p>
  </w:footnote>
  <w:footnote w:id="21">
    <w:p w14:paraId="79FA7A4D" w14:textId="76A14D7A" w:rsidR="005B4DED" w:rsidRDefault="005B4DED">
      <w:pPr>
        <w:pStyle w:val="FootnoteText"/>
      </w:pPr>
      <w:r>
        <w:rPr>
          <w:rStyle w:val="FootnoteReference"/>
        </w:rPr>
        <w:footnoteRef/>
      </w:r>
      <w:r>
        <w:t xml:space="preserve"> VOCC, </w:t>
      </w:r>
      <w:r w:rsidRPr="005B4DED">
        <w:rPr>
          <w:i/>
          <w:iCs/>
        </w:rPr>
        <w:t>Submission 5</w:t>
      </w:r>
      <w:r>
        <w:t>, p 5.</w:t>
      </w:r>
    </w:p>
  </w:footnote>
  <w:footnote w:id="22">
    <w:p w14:paraId="69E1B337" w14:textId="77777777" w:rsidR="005D5218" w:rsidRDefault="005D5218" w:rsidP="005D5218">
      <w:pPr>
        <w:pStyle w:val="FootnoteText"/>
      </w:pPr>
      <w:r>
        <w:rPr>
          <w:rStyle w:val="FootnoteReference"/>
        </w:rPr>
        <w:footnoteRef/>
      </w:r>
      <w:r>
        <w:t xml:space="preserve"> VOCC, </w:t>
      </w:r>
      <w:r w:rsidRPr="00257BF0">
        <w:rPr>
          <w:i/>
          <w:iCs/>
        </w:rPr>
        <w:t>Submission 5</w:t>
      </w:r>
      <w:r>
        <w:t>, p 5.</w:t>
      </w:r>
    </w:p>
  </w:footnote>
  <w:footnote w:id="23">
    <w:p w14:paraId="315172E5" w14:textId="77777777" w:rsidR="005B4DED" w:rsidRDefault="005B4DED" w:rsidP="005B4DED">
      <w:pPr>
        <w:pStyle w:val="FootnoteText"/>
      </w:pPr>
      <w:r>
        <w:rPr>
          <w:rStyle w:val="FootnoteReference"/>
        </w:rPr>
        <w:footnoteRef/>
      </w:r>
      <w:r>
        <w:t xml:space="preserve"> Women’s Legal Centre ACT, </w:t>
      </w:r>
      <w:r>
        <w:rPr>
          <w:i/>
          <w:iCs/>
        </w:rPr>
        <w:t xml:space="preserve">Submission 1, </w:t>
      </w:r>
      <w:r>
        <w:t>p1-2.</w:t>
      </w:r>
    </w:p>
  </w:footnote>
  <w:footnote w:id="24">
    <w:p w14:paraId="44BA9148" w14:textId="77777777" w:rsidR="005B4DED" w:rsidRDefault="005B4DED" w:rsidP="005B4DED">
      <w:pPr>
        <w:pStyle w:val="FootnoteText"/>
      </w:pPr>
      <w:r>
        <w:rPr>
          <w:rStyle w:val="FootnoteReference"/>
        </w:rPr>
        <w:footnoteRef/>
      </w:r>
      <w:r>
        <w:t xml:space="preserve"> ACT Law Society, </w:t>
      </w:r>
      <w:r w:rsidRPr="00A35521">
        <w:rPr>
          <w:i/>
          <w:iCs/>
        </w:rPr>
        <w:t>Submission 3</w:t>
      </w:r>
      <w:r>
        <w:t>, p 2.</w:t>
      </w:r>
    </w:p>
  </w:footnote>
  <w:footnote w:id="25">
    <w:p w14:paraId="4464472E" w14:textId="5D74FBFC" w:rsidR="005B4DED" w:rsidRDefault="005B4DED" w:rsidP="005B4DED">
      <w:pPr>
        <w:pStyle w:val="FootnoteText"/>
      </w:pPr>
      <w:r>
        <w:rPr>
          <w:rStyle w:val="FootnoteReference"/>
        </w:rPr>
        <w:footnoteRef/>
      </w:r>
      <w:r>
        <w:t xml:space="preserve"> </w:t>
      </w:r>
      <w:r w:rsidR="005D5218">
        <w:t>Legal Aid ACT, Submission 4,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11BA" w14:textId="77777777" w:rsidR="00312736" w:rsidRPr="00C02510" w:rsidRDefault="00312736" w:rsidP="008B350E">
    <w:pPr>
      <w:pStyle w:val="Header"/>
      <w:jc w:val="center"/>
      <w:rPr>
        <w:color w:val="1A234C"/>
      </w:rPr>
    </w:pPr>
  </w:p>
  <w:p w14:paraId="2D38116B" w14:textId="77777777" w:rsidR="00312736" w:rsidRPr="00917B49" w:rsidRDefault="00312736" w:rsidP="00917B49">
    <w:pPr>
      <w:pStyle w:val="Cover-Assemblyname"/>
    </w:pPr>
    <w:r>
      <w:rPr>
        <w:rFonts w:ascii="Arial" w:hAnsi="Arial"/>
        <w:noProof/>
        <w:color w:val="000000" w:themeColor="text1"/>
      </w:rPr>
      <w:drawing>
        <wp:anchor distT="0" distB="0" distL="114300" distR="114300" simplePos="0" relativeHeight="251659264" behindDoc="1" locked="0" layoutInCell="1" allowOverlap="1" wp14:anchorId="4B326118" wp14:editId="66C3AEA8">
          <wp:simplePos x="0" y="0"/>
          <wp:positionH relativeFrom="margin">
            <wp:align>left</wp:align>
          </wp:positionH>
          <wp:positionV relativeFrom="page">
            <wp:posOffset>853441</wp:posOffset>
          </wp:positionV>
          <wp:extent cx="839349" cy="8382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Lst>
                  </a:blip>
                  <a:stretch>
                    <a:fillRect/>
                  </a:stretch>
                </pic:blipFill>
                <pic:spPr>
                  <a:xfrm>
                    <a:off x="0" y="0"/>
                    <a:ext cx="839349" cy="838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00" w:themeColor="text1"/>
      </w:rPr>
      <w:br/>
    </w:r>
    <w:r w:rsidRPr="00917B49">
      <w:t>Legislative Assembly for the</w:t>
    </w:r>
  </w:p>
  <w:p w14:paraId="5B0111A8" w14:textId="77777777" w:rsidR="00312736" w:rsidRPr="00917B49" w:rsidRDefault="00312736" w:rsidP="00917B49">
    <w:pPr>
      <w:pStyle w:val="Cover-Assemblyname"/>
    </w:pPr>
    <w:r w:rsidRPr="00917B49">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DBA3F9E"/>
    <w:lvl w:ilvl="0">
      <w:start w:val="1"/>
      <w:numFmt w:val="bullet"/>
      <w:lvlText w:val=""/>
      <w:lvlJc w:val="left"/>
      <w:pPr>
        <w:ind w:left="926" w:hanging="360"/>
      </w:pPr>
      <w:rPr>
        <w:rFonts w:ascii="Symbol" w:hAnsi="Symbol" w:hint="default"/>
        <w:color w:val="9DB4DC"/>
      </w:rPr>
    </w:lvl>
  </w:abstractNum>
  <w:abstractNum w:abstractNumId="1" w15:restartNumberingAfterBreak="0">
    <w:nsid w:val="FFFFFF89"/>
    <w:multiLevelType w:val="singleLevel"/>
    <w:tmpl w:val="813E89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905FCE"/>
    <w:multiLevelType w:val="multilevel"/>
    <w:tmpl w:val="699AC34A"/>
    <w:lvl w:ilvl="0">
      <w:start w:val="1"/>
      <w:numFmt w:val="decimal"/>
      <w:pStyle w:val="Heading1"/>
      <w:lvlText w:val="%1."/>
      <w:lvlJc w:val="left"/>
      <w:pPr>
        <w:ind w:left="851" w:hanging="851"/>
      </w:pPr>
      <w:rPr>
        <w:rFonts w:hint="default"/>
      </w:rPr>
    </w:lvl>
    <w:lvl w:ilvl="1">
      <w:start w:val="1"/>
      <w:numFmt w:val="decimal"/>
      <w:pStyle w:val="ListNumber2"/>
      <w:lvlText w:val="%1.%2."/>
      <w:lvlJc w:val="left"/>
      <w:pPr>
        <w:ind w:left="851" w:hanging="851"/>
      </w:pPr>
      <w:rPr>
        <w:rFonts w:asciiTheme="minorHAnsi" w:hAnsiTheme="minorHAnsi" w:hint="default"/>
        <w:sz w:val="22"/>
      </w:rPr>
    </w:lvl>
    <w:lvl w:ilvl="2">
      <w:start w:val="1"/>
      <w:numFmt w:val="lowerLetter"/>
      <w:pStyle w:val="ListNumber3"/>
      <w:lvlText w:val="%3)"/>
      <w:lvlJc w:val="left"/>
      <w:pPr>
        <w:ind w:left="1418" w:hanging="567"/>
      </w:pPr>
      <w:rPr>
        <w:rFonts w:hint="default"/>
      </w:rPr>
    </w:lvl>
    <w:lvl w:ilvl="3">
      <w:start w:val="1"/>
      <w:numFmt w:val="lowerRoman"/>
      <w:pStyle w:val="ListNumber4"/>
      <w:lvlText w:val="%4)"/>
      <w:lvlJc w:val="left"/>
      <w:pPr>
        <w:ind w:left="1985" w:hanging="567"/>
      </w:pPr>
      <w:rPr>
        <w:rFonts w:hint="default"/>
      </w:rPr>
    </w:lvl>
    <w:lvl w:ilvl="4">
      <w:start w:val="1"/>
      <w:numFmt w:val="decimal"/>
      <w:pStyle w:val="ListNumber5"/>
      <w:lvlText w:val="%5)"/>
      <w:lvlJc w:val="left"/>
      <w:pPr>
        <w:ind w:left="2552" w:hanging="567"/>
      </w:pPr>
      <w:rPr>
        <w:rFonts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abstractNum w:abstractNumId="3" w15:restartNumberingAfterBreak="0">
    <w:nsid w:val="0D5F20E9"/>
    <w:multiLevelType w:val="multilevel"/>
    <w:tmpl w:val="C2BAF334"/>
    <w:lvl w:ilvl="0">
      <w:start w:val="1"/>
      <w:numFmt w:val="bullet"/>
      <w:lvlText w:val=""/>
      <w:lvlJc w:val="left"/>
      <w:pPr>
        <w:ind w:left="340" w:hanging="340"/>
      </w:pPr>
      <w:rPr>
        <w:rFonts w:ascii="Symbol" w:hAnsi="Symbol" w:hint="default"/>
        <w:b w:val="0"/>
        <w:i w:val="0"/>
        <w:color w:val="2F5496"/>
      </w:rPr>
    </w:lvl>
    <w:lvl w:ilvl="1">
      <w:start w:val="1"/>
      <w:numFmt w:val="bullet"/>
      <w:lvlText w:val=""/>
      <w:lvlJc w:val="left"/>
      <w:pPr>
        <w:ind w:left="720" w:hanging="360"/>
      </w:pPr>
      <w:rPr>
        <w:rFonts w:ascii="Symbol" w:hAnsi="Symbol" w:hint="default"/>
        <w:color w:val="7492CD"/>
      </w:rPr>
    </w:lvl>
    <w:lvl w:ilvl="2">
      <w:start w:val="1"/>
      <w:numFmt w:val="bullet"/>
      <w:lvlText w:val=""/>
      <w:lvlJc w:val="left"/>
      <w:pPr>
        <w:ind w:left="1080" w:hanging="360"/>
      </w:pPr>
      <w:rPr>
        <w:rFonts w:ascii="Symbol" w:hAnsi="Symbol" w:hint="default"/>
        <w:color w:val="9DB4DC"/>
      </w:rPr>
    </w:lvl>
    <w:lvl w:ilvl="3">
      <w:start w:val="1"/>
      <w:numFmt w:val="bullet"/>
      <w:lvlText w:val=""/>
      <w:lvlJc w:val="left"/>
      <w:pPr>
        <w:ind w:left="1440" w:hanging="360"/>
      </w:pPr>
      <w:rPr>
        <w:rFonts w:ascii="Symbol" w:hAnsi="Symbol" w:hint="default"/>
        <w:b w:val="0"/>
        <w:i w:val="0"/>
        <w:color w:val="2F5496"/>
      </w:rPr>
    </w:lvl>
    <w:lvl w:ilvl="4">
      <w:start w:val="1"/>
      <w:numFmt w:val="bullet"/>
      <w:lvlText w:val=""/>
      <w:lvlJc w:val="left"/>
      <w:pPr>
        <w:ind w:left="1800" w:hanging="360"/>
      </w:pPr>
      <w:rPr>
        <w:rFonts w:ascii="Symbol" w:hAnsi="Symbol" w:hint="default"/>
        <w:color w:val="7492CD"/>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231113"/>
    <w:multiLevelType w:val="multilevel"/>
    <w:tmpl w:val="642C5676"/>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hint="default"/>
        <w:sz w:val="22"/>
      </w:rPr>
    </w:lvl>
    <w:lvl w:ilvl="2">
      <w:start w:val="1"/>
      <w:numFmt w:val="decimal"/>
      <w:lvlText w:val="%3."/>
      <w:lvlJc w:val="left"/>
      <w:pPr>
        <w:ind w:left="1418" w:hanging="567"/>
      </w:pPr>
      <w:rPr>
        <w:rFonts w:hint="default"/>
      </w:rPr>
    </w:lvl>
    <w:lvl w:ilvl="3">
      <w:start w:val="1"/>
      <w:numFmt w:val="lowerRoman"/>
      <w:lvlText w:val="%4)"/>
      <w:lvlJc w:val="left"/>
      <w:pPr>
        <w:ind w:left="1985" w:hanging="567"/>
      </w:pPr>
      <w:rPr>
        <w:rFonts w:hint="default"/>
      </w:rPr>
    </w:lvl>
    <w:lvl w:ilvl="4">
      <w:start w:val="1"/>
      <w:numFmt w:val="decimal"/>
      <w:lvlText w:val="%5)"/>
      <w:lvlJc w:val="left"/>
      <w:pPr>
        <w:ind w:left="2552" w:hanging="567"/>
      </w:pPr>
      <w:rPr>
        <w:rFonts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abstractNum w:abstractNumId="5" w15:restartNumberingAfterBreak="0">
    <w:nsid w:val="19517525"/>
    <w:multiLevelType w:val="hybridMultilevel"/>
    <w:tmpl w:val="CAB2AC6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256C50F9"/>
    <w:multiLevelType w:val="hybridMultilevel"/>
    <w:tmpl w:val="50A0797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282F5EDA"/>
    <w:multiLevelType w:val="hybridMultilevel"/>
    <w:tmpl w:val="F0FC882A"/>
    <w:lvl w:ilvl="0" w:tplc="709438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E07F2A"/>
    <w:multiLevelType w:val="hybridMultilevel"/>
    <w:tmpl w:val="6CBCD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D85CF3"/>
    <w:multiLevelType w:val="hybridMultilevel"/>
    <w:tmpl w:val="2B62A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1B0CF7"/>
    <w:multiLevelType w:val="hybridMultilevel"/>
    <w:tmpl w:val="1B50355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3C746E6B"/>
    <w:multiLevelType w:val="hybridMultilevel"/>
    <w:tmpl w:val="AC76A7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5A436E"/>
    <w:multiLevelType w:val="hybridMultilevel"/>
    <w:tmpl w:val="9B6CE3A6"/>
    <w:lvl w:ilvl="0" w:tplc="FF9CAFFE">
      <w:start w:val="1"/>
      <w:numFmt w:val="bullet"/>
      <w:lvlText w:val=""/>
      <w:lvlJc w:val="left"/>
      <w:pPr>
        <w:ind w:left="720" w:hanging="360"/>
      </w:pPr>
      <w:rPr>
        <w:rFonts w:ascii="Symbol" w:hAnsi="Symbol" w:hint="default"/>
        <w:color w:val="2F5496"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1E0CFF"/>
    <w:multiLevelType w:val="hybridMultilevel"/>
    <w:tmpl w:val="A2AE71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D6A6AB7"/>
    <w:multiLevelType w:val="hybridMultilevel"/>
    <w:tmpl w:val="B0F8AAC6"/>
    <w:lvl w:ilvl="0" w:tplc="E0502234">
      <w:numFmt w:val="bullet"/>
      <w:lvlText w:val=""/>
      <w:lvlJc w:val="left"/>
      <w:pPr>
        <w:ind w:left="1211" w:hanging="360"/>
      </w:pPr>
      <w:rPr>
        <w:rFonts w:ascii="Symbol" w:eastAsiaTheme="minorHAnsi" w:hAnsi="Symbol" w:cstheme="minorHAns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5" w15:restartNumberingAfterBreak="0">
    <w:nsid w:val="60266B5E"/>
    <w:multiLevelType w:val="multilevel"/>
    <w:tmpl w:val="2E004328"/>
    <w:name w:val="OLA branded2"/>
    <w:lvl w:ilvl="0">
      <w:start w:val="1"/>
      <w:numFmt w:val="bullet"/>
      <w:lvlText w:val=""/>
      <w:lvlJc w:val="left"/>
      <w:pPr>
        <w:ind w:left="340" w:hanging="340"/>
      </w:pPr>
      <w:rPr>
        <w:rFonts w:ascii="Symbol" w:hAnsi="Symbol" w:hint="default"/>
        <w:b w:val="0"/>
        <w:i w:val="0"/>
        <w:color w:val="2F5496"/>
      </w:rPr>
    </w:lvl>
    <w:lvl w:ilvl="1">
      <w:start w:val="1"/>
      <w:numFmt w:val="bullet"/>
      <w:pStyle w:val="ListBullet2"/>
      <w:lvlText w:val=""/>
      <w:lvlJc w:val="left"/>
      <w:pPr>
        <w:ind w:left="720" w:hanging="360"/>
      </w:pPr>
      <w:rPr>
        <w:rFonts w:ascii="Symbol" w:hAnsi="Symbol" w:hint="default"/>
        <w:color w:val="7492CD"/>
      </w:rPr>
    </w:lvl>
    <w:lvl w:ilvl="2">
      <w:start w:val="1"/>
      <w:numFmt w:val="bullet"/>
      <w:pStyle w:val="ListBullet3"/>
      <w:lvlText w:val=""/>
      <w:lvlJc w:val="left"/>
      <w:pPr>
        <w:ind w:left="1080" w:hanging="360"/>
      </w:pPr>
      <w:rPr>
        <w:rFonts w:ascii="Symbol" w:hAnsi="Symbol" w:hint="default"/>
        <w:color w:val="9DB4DC"/>
      </w:rPr>
    </w:lvl>
    <w:lvl w:ilvl="3">
      <w:start w:val="1"/>
      <w:numFmt w:val="bullet"/>
      <w:pStyle w:val="ListBullet4"/>
      <w:lvlText w:val=""/>
      <w:lvlJc w:val="left"/>
      <w:pPr>
        <w:ind w:left="1440" w:hanging="360"/>
      </w:pPr>
      <w:rPr>
        <w:rFonts w:ascii="Symbol" w:hAnsi="Symbol" w:hint="default"/>
        <w:b w:val="0"/>
        <w:i w:val="0"/>
        <w:color w:val="2F5496"/>
      </w:rPr>
    </w:lvl>
    <w:lvl w:ilvl="4">
      <w:start w:val="1"/>
      <w:numFmt w:val="bullet"/>
      <w:pStyle w:val="ListBullet5"/>
      <w:lvlText w:val=""/>
      <w:lvlJc w:val="left"/>
      <w:pPr>
        <w:ind w:left="1800" w:hanging="360"/>
      </w:pPr>
      <w:rPr>
        <w:rFonts w:ascii="Symbol" w:hAnsi="Symbol" w:hint="default"/>
        <w:color w:val="7492CD"/>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F72173"/>
    <w:multiLevelType w:val="hybridMultilevel"/>
    <w:tmpl w:val="1EA87F8A"/>
    <w:lvl w:ilvl="0" w:tplc="65AE2CB4">
      <w:start w:val="1"/>
      <w:numFmt w:val="bullet"/>
      <w:lvlText w:val=""/>
      <w:lvlJc w:val="left"/>
      <w:pPr>
        <w:ind w:left="720" w:hanging="360"/>
      </w:pPr>
      <w:rPr>
        <w:rFonts w:ascii="Symbol" w:hAnsi="Symbol" w:hint="default"/>
        <w:color w:val="2F5496"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1A3AC8"/>
    <w:multiLevelType w:val="hybridMultilevel"/>
    <w:tmpl w:val="7C9CC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486D55"/>
    <w:multiLevelType w:val="multilevel"/>
    <w:tmpl w:val="E1287F86"/>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hint="default"/>
        <w:sz w:val="22"/>
      </w:rPr>
    </w:lvl>
    <w:lvl w:ilvl="2">
      <w:start w:val="1"/>
      <w:numFmt w:val="bullet"/>
      <w:lvlText w:val=""/>
      <w:lvlJc w:val="left"/>
      <w:pPr>
        <w:ind w:left="1211" w:hanging="360"/>
      </w:pPr>
      <w:rPr>
        <w:rFonts w:ascii="Symbol" w:hAnsi="Symbol" w:hint="default"/>
      </w:rPr>
    </w:lvl>
    <w:lvl w:ilvl="3">
      <w:start w:val="1"/>
      <w:numFmt w:val="lowerRoman"/>
      <w:lvlText w:val="%4)"/>
      <w:lvlJc w:val="left"/>
      <w:pPr>
        <w:ind w:left="1985" w:hanging="567"/>
      </w:pPr>
      <w:rPr>
        <w:rFonts w:hint="default"/>
      </w:rPr>
    </w:lvl>
    <w:lvl w:ilvl="4">
      <w:start w:val="1"/>
      <w:numFmt w:val="decimal"/>
      <w:lvlText w:val="%5)"/>
      <w:lvlJc w:val="left"/>
      <w:pPr>
        <w:ind w:left="2552" w:hanging="567"/>
      </w:pPr>
      <w:rPr>
        <w:rFonts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num w:numId="1" w16cid:durableId="1444767265">
    <w:abstractNumId w:val="15"/>
  </w:num>
  <w:num w:numId="2" w16cid:durableId="1394429553">
    <w:abstractNumId w:val="3"/>
  </w:num>
  <w:num w:numId="3" w16cid:durableId="344526528">
    <w:abstractNumId w:val="2"/>
  </w:num>
  <w:num w:numId="4" w16cid:durableId="26680788">
    <w:abstractNumId w:val="10"/>
  </w:num>
  <w:num w:numId="5" w16cid:durableId="2047362350">
    <w:abstractNumId w:val="9"/>
  </w:num>
  <w:num w:numId="6" w16cid:durableId="915359550">
    <w:abstractNumId w:val="5"/>
  </w:num>
  <w:num w:numId="7" w16cid:durableId="1253510613">
    <w:abstractNumId w:val="8"/>
  </w:num>
  <w:num w:numId="8" w16cid:durableId="1462460679">
    <w:abstractNumId w:val="14"/>
  </w:num>
  <w:num w:numId="9" w16cid:durableId="125050973">
    <w:abstractNumId w:val="7"/>
  </w:num>
  <w:num w:numId="10" w16cid:durableId="1518616700">
    <w:abstractNumId w:val="4"/>
  </w:num>
  <w:num w:numId="11" w16cid:durableId="639117390">
    <w:abstractNumId w:val="12"/>
  </w:num>
  <w:num w:numId="12" w16cid:durableId="1685864085">
    <w:abstractNumId w:val="16"/>
  </w:num>
  <w:num w:numId="13" w16cid:durableId="494224016">
    <w:abstractNumId w:val="0"/>
  </w:num>
  <w:num w:numId="14" w16cid:durableId="1585217514">
    <w:abstractNumId w:val="13"/>
  </w:num>
  <w:num w:numId="15" w16cid:durableId="2079981973">
    <w:abstractNumId w:val="17"/>
  </w:num>
  <w:num w:numId="16" w16cid:durableId="1587959995">
    <w:abstractNumId w:val="11"/>
  </w:num>
  <w:num w:numId="17" w16cid:durableId="1458833357">
    <w:abstractNumId w:val="6"/>
  </w:num>
  <w:num w:numId="18" w16cid:durableId="2032100126">
    <w:abstractNumId w:val="1"/>
  </w:num>
  <w:num w:numId="19" w16cid:durableId="920212678">
    <w:abstractNumId w:val="2"/>
  </w:num>
  <w:num w:numId="20" w16cid:durableId="197814637">
    <w:abstractNumId w:val="2"/>
  </w:num>
  <w:num w:numId="21" w16cid:durableId="1722942037">
    <w:abstractNumId w:val="2"/>
  </w:num>
  <w:num w:numId="22" w16cid:durableId="1324819881">
    <w:abstractNumId w:val="2"/>
  </w:num>
  <w:num w:numId="23" w16cid:durableId="1834105548">
    <w:abstractNumId w:val="2"/>
  </w:num>
  <w:num w:numId="24" w16cid:durableId="1008672596">
    <w:abstractNumId w:val="2"/>
  </w:num>
  <w:num w:numId="25" w16cid:durableId="1072388546">
    <w:abstractNumId w:val="2"/>
  </w:num>
  <w:num w:numId="26" w16cid:durableId="169565137">
    <w:abstractNumId w:val="2"/>
  </w:num>
  <w:num w:numId="27" w16cid:durableId="1689678886">
    <w:abstractNumId w:val="2"/>
  </w:num>
  <w:num w:numId="28" w16cid:durableId="1435318394">
    <w:abstractNumId w:val="2"/>
  </w:num>
  <w:num w:numId="29" w16cid:durableId="861868435">
    <w:abstractNumId w:val="18"/>
  </w:num>
  <w:num w:numId="30" w16cid:durableId="284653581">
    <w:abstractNumId w:val="2"/>
  </w:num>
  <w:num w:numId="31" w16cid:durableId="1455438316">
    <w:abstractNumId w:val="2"/>
  </w:num>
  <w:num w:numId="32" w16cid:durableId="1147168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36"/>
    <w:rsid w:val="000226C1"/>
    <w:rsid w:val="000271A5"/>
    <w:rsid w:val="000570F8"/>
    <w:rsid w:val="0006627F"/>
    <w:rsid w:val="000709F8"/>
    <w:rsid w:val="000C701C"/>
    <w:rsid w:val="000F1CB6"/>
    <w:rsid w:val="000F5A6D"/>
    <w:rsid w:val="00113BA3"/>
    <w:rsid w:val="001326FF"/>
    <w:rsid w:val="00144310"/>
    <w:rsid w:val="0014766B"/>
    <w:rsid w:val="00196C5D"/>
    <w:rsid w:val="001C485D"/>
    <w:rsid w:val="001E097F"/>
    <w:rsid w:val="001E0F65"/>
    <w:rsid w:val="001F2E58"/>
    <w:rsid w:val="00214BB3"/>
    <w:rsid w:val="0021666F"/>
    <w:rsid w:val="00257BF0"/>
    <w:rsid w:val="00295AE0"/>
    <w:rsid w:val="002B0752"/>
    <w:rsid w:val="002B275C"/>
    <w:rsid w:val="0030585D"/>
    <w:rsid w:val="003065ED"/>
    <w:rsid w:val="00312736"/>
    <w:rsid w:val="00322725"/>
    <w:rsid w:val="00341CBF"/>
    <w:rsid w:val="003D0C52"/>
    <w:rsid w:val="003F1CF5"/>
    <w:rsid w:val="004046F0"/>
    <w:rsid w:val="0047251E"/>
    <w:rsid w:val="004A0C6F"/>
    <w:rsid w:val="00512FC0"/>
    <w:rsid w:val="005227D8"/>
    <w:rsid w:val="0052445F"/>
    <w:rsid w:val="005772D3"/>
    <w:rsid w:val="00587552"/>
    <w:rsid w:val="005B4DED"/>
    <w:rsid w:val="005D5218"/>
    <w:rsid w:val="005F2B73"/>
    <w:rsid w:val="005F6143"/>
    <w:rsid w:val="0063726B"/>
    <w:rsid w:val="00666E8E"/>
    <w:rsid w:val="006A3808"/>
    <w:rsid w:val="006A562E"/>
    <w:rsid w:val="00723B78"/>
    <w:rsid w:val="00742FA8"/>
    <w:rsid w:val="00760516"/>
    <w:rsid w:val="007C2794"/>
    <w:rsid w:val="007C6387"/>
    <w:rsid w:val="007D5110"/>
    <w:rsid w:val="007F561E"/>
    <w:rsid w:val="008308AB"/>
    <w:rsid w:val="0084724B"/>
    <w:rsid w:val="00867992"/>
    <w:rsid w:val="008F5498"/>
    <w:rsid w:val="009016FF"/>
    <w:rsid w:val="0090260B"/>
    <w:rsid w:val="0091131E"/>
    <w:rsid w:val="00913C9D"/>
    <w:rsid w:val="009259AB"/>
    <w:rsid w:val="00941F32"/>
    <w:rsid w:val="009438E5"/>
    <w:rsid w:val="009823A7"/>
    <w:rsid w:val="009B2ED8"/>
    <w:rsid w:val="009D4DFF"/>
    <w:rsid w:val="009E2024"/>
    <w:rsid w:val="00A35521"/>
    <w:rsid w:val="00A36EF7"/>
    <w:rsid w:val="00A37C4B"/>
    <w:rsid w:val="00A61D6E"/>
    <w:rsid w:val="00AC4C0E"/>
    <w:rsid w:val="00AC6874"/>
    <w:rsid w:val="00AC7661"/>
    <w:rsid w:val="00AE484A"/>
    <w:rsid w:val="00B34070"/>
    <w:rsid w:val="00B47CC5"/>
    <w:rsid w:val="00B84CD4"/>
    <w:rsid w:val="00BA18DE"/>
    <w:rsid w:val="00BE2117"/>
    <w:rsid w:val="00BF7FA3"/>
    <w:rsid w:val="00C34E07"/>
    <w:rsid w:val="00C364F1"/>
    <w:rsid w:val="00C542DE"/>
    <w:rsid w:val="00C55A89"/>
    <w:rsid w:val="00C66308"/>
    <w:rsid w:val="00CE41E9"/>
    <w:rsid w:val="00D027E2"/>
    <w:rsid w:val="00D52C13"/>
    <w:rsid w:val="00D939F4"/>
    <w:rsid w:val="00DA25DE"/>
    <w:rsid w:val="00DD5243"/>
    <w:rsid w:val="00DE0E91"/>
    <w:rsid w:val="00DE45A1"/>
    <w:rsid w:val="00E213C9"/>
    <w:rsid w:val="00E23649"/>
    <w:rsid w:val="00E34571"/>
    <w:rsid w:val="00EC5B7D"/>
    <w:rsid w:val="00ED44C5"/>
    <w:rsid w:val="00F5148F"/>
    <w:rsid w:val="00F617FF"/>
    <w:rsid w:val="00F6225B"/>
    <w:rsid w:val="00FD1864"/>
    <w:rsid w:val="00FD4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23BEA"/>
  <w15:chartTrackingRefBased/>
  <w15:docId w15:val="{2A993346-3CD1-437C-9B63-593A8F0B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36"/>
    <w:pPr>
      <w:spacing w:line="283" w:lineRule="auto"/>
    </w:pPr>
  </w:style>
  <w:style w:type="paragraph" w:styleId="Heading1">
    <w:name w:val="heading 1"/>
    <w:next w:val="ListNumber2"/>
    <w:link w:val="Heading1Char"/>
    <w:uiPriority w:val="9"/>
    <w:qFormat/>
    <w:rsid w:val="00312736"/>
    <w:pPr>
      <w:keepNext/>
      <w:keepLines/>
      <w:numPr>
        <w:numId w:val="3"/>
      </w:numPr>
      <w:spacing w:before="240" w:after="240"/>
      <w:outlineLvl w:val="0"/>
    </w:pPr>
    <w:rPr>
      <w:rFonts w:ascii="Montserrat" w:eastAsiaTheme="majorEastAsia" w:hAnsi="Montserrat" w:cstheme="majorBidi"/>
      <w:b/>
      <w:color w:val="1A234C"/>
      <w:w w:val="90"/>
      <w:kern w:val="2"/>
      <w:sz w:val="36"/>
      <w:szCs w:val="32"/>
    </w:rPr>
  </w:style>
  <w:style w:type="paragraph" w:styleId="Heading2">
    <w:name w:val="heading 2"/>
    <w:basedOn w:val="Heading1"/>
    <w:next w:val="ListNumber2"/>
    <w:link w:val="Heading2Char"/>
    <w:autoRedefine/>
    <w:uiPriority w:val="9"/>
    <w:unhideWhenUsed/>
    <w:qFormat/>
    <w:rsid w:val="00144310"/>
    <w:pPr>
      <w:numPr>
        <w:numId w:val="0"/>
      </w:numPr>
      <w:spacing w:after="200"/>
      <w:outlineLvl w:val="1"/>
    </w:pPr>
    <w:rPr>
      <w:color w:val="2F5496"/>
      <w:sz w:val="32"/>
      <w:szCs w:val="26"/>
    </w:rPr>
  </w:style>
  <w:style w:type="paragraph" w:styleId="Heading3">
    <w:name w:val="heading 3"/>
    <w:basedOn w:val="Heading2"/>
    <w:next w:val="ListNumber2"/>
    <w:link w:val="Heading3Char"/>
    <w:uiPriority w:val="9"/>
    <w:unhideWhenUsed/>
    <w:qFormat/>
    <w:rsid w:val="00312736"/>
    <w:pPr>
      <w:spacing w:before="120"/>
      <w:outlineLvl w:val="2"/>
    </w:pPr>
    <w:rPr>
      <w:color w:val="7492CD"/>
      <w:sz w:val="28"/>
      <w:szCs w:val="24"/>
    </w:rPr>
  </w:style>
  <w:style w:type="paragraph" w:styleId="Heading4">
    <w:name w:val="heading 4"/>
    <w:basedOn w:val="Heading3"/>
    <w:next w:val="Normal"/>
    <w:link w:val="Heading4Char"/>
    <w:uiPriority w:val="9"/>
    <w:unhideWhenUsed/>
    <w:qFormat/>
    <w:rsid w:val="00312736"/>
    <w:pPr>
      <w:outlineLvl w:val="3"/>
    </w:pPr>
    <w:rPr>
      <w:rFonts w:ascii="Montserrat SemiBold" w:hAnsi="Montserrat SemiBold"/>
      <w:b w:val="0"/>
      <w:iCs/>
      <w:color w:val="2F5496"/>
      <w:sz w:val="24"/>
    </w:rPr>
  </w:style>
  <w:style w:type="paragraph" w:styleId="Heading5">
    <w:name w:val="heading 5"/>
    <w:basedOn w:val="Heading4"/>
    <w:next w:val="ListNumber2"/>
    <w:link w:val="Heading5Char"/>
    <w:uiPriority w:val="9"/>
    <w:unhideWhenUsed/>
    <w:qFormat/>
    <w:rsid w:val="00312736"/>
    <w:pPr>
      <w:outlineLvl w:val="4"/>
    </w:pPr>
    <w:rPr>
      <w:rFonts w:ascii="Montserrat" w:hAnsi="Montserrat"/>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736"/>
    <w:rPr>
      <w:rFonts w:ascii="Montserrat" w:eastAsiaTheme="majorEastAsia" w:hAnsi="Montserrat" w:cstheme="majorBidi"/>
      <w:b/>
      <w:color w:val="1A234C"/>
      <w:w w:val="90"/>
      <w:kern w:val="2"/>
      <w:sz w:val="36"/>
      <w:szCs w:val="32"/>
    </w:rPr>
  </w:style>
  <w:style w:type="character" w:customStyle="1" w:styleId="Heading2Char">
    <w:name w:val="Heading 2 Char"/>
    <w:basedOn w:val="DefaultParagraphFont"/>
    <w:link w:val="Heading2"/>
    <w:uiPriority w:val="9"/>
    <w:rsid w:val="00144310"/>
    <w:rPr>
      <w:rFonts w:ascii="Montserrat" w:eastAsiaTheme="majorEastAsia" w:hAnsi="Montserrat" w:cstheme="majorBidi"/>
      <w:b/>
      <w:color w:val="2F5496"/>
      <w:w w:val="90"/>
      <w:kern w:val="2"/>
      <w:sz w:val="32"/>
      <w:szCs w:val="26"/>
    </w:rPr>
  </w:style>
  <w:style w:type="character" w:customStyle="1" w:styleId="Heading3Char">
    <w:name w:val="Heading 3 Char"/>
    <w:basedOn w:val="DefaultParagraphFont"/>
    <w:link w:val="Heading3"/>
    <w:uiPriority w:val="9"/>
    <w:rsid w:val="00312736"/>
    <w:rPr>
      <w:rFonts w:ascii="Montserrat" w:eastAsiaTheme="majorEastAsia" w:hAnsi="Montserrat" w:cstheme="majorBidi"/>
      <w:b/>
      <w:color w:val="7492CD"/>
      <w:w w:val="90"/>
      <w:kern w:val="2"/>
      <w:sz w:val="28"/>
      <w:szCs w:val="24"/>
    </w:rPr>
  </w:style>
  <w:style w:type="character" w:customStyle="1" w:styleId="Heading4Char">
    <w:name w:val="Heading 4 Char"/>
    <w:basedOn w:val="DefaultParagraphFont"/>
    <w:link w:val="Heading4"/>
    <w:uiPriority w:val="9"/>
    <w:rsid w:val="00312736"/>
    <w:rPr>
      <w:rFonts w:ascii="Montserrat SemiBold" w:eastAsiaTheme="majorEastAsia" w:hAnsi="Montserrat SemiBold" w:cstheme="majorBidi"/>
      <w:iCs/>
      <w:color w:val="2F5496"/>
      <w:w w:val="90"/>
      <w:kern w:val="2"/>
      <w:sz w:val="24"/>
      <w:szCs w:val="24"/>
    </w:rPr>
  </w:style>
  <w:style w:type="character" w:customStyle="1" w:styleId="Heading5Char">
    <w:name w:val="Heading 5 Char"/>
    <w:basedOn w:val="DefaultParagraphFont"/>
    <w:link w:val="Heading5"/>
    <w:uiPriority w:val="9"/>
    <w:rsid w:val="00312736"/>
    <w:rPr>
      <w:rFonts w:ascii="Montserrat" w:eastAsiaTheme="majorEastAsia" w:hAnsi="Montserrat" w:cstheme="majorBidi"/>
      <w:iCs/>
      <w:color w:val="2F5496"/>
      <w:w w:val="90"/>
      <w:kern w:val="2"/>
      <w:sz w:val="23"/>
      <w:szCs w:val="20"/>
    </w:rPr>
  </w:style>
  <w:style w:type="paragraph" w:styleId="Title">
    <w:name w:val="Title"/>
    <w:basedOn w:val="Normal"/>
    <w:next w:val="Normal"/>
    <w:link w:val="TitleChar"/>
    <w:uiPriority w:val="10"/>
    <w:qFormat/>
    <w:rsid w:val="00312736"/>
    <w:pPr>
      <w:spacing w:before="4000" w:after="360" w:line="259" w:lineRule="auto"/>
      <w:ind w:right="2790"/>
      <w:contextualSpacing/>
    </w:pPr>
    <w:rPr>
      <w:rFonts w:ascii="Montserrat" w:eastAsiaTheme="majorEastAsia" w:hAnsi="Montserrat" w:cstheme="majorBidi"/>
      <w:b/>
      <w:spacing w:val="-10"/>
      <w:w w:val="90"/>
      <w:kern w:val="28"/>
      <w:sz w:val="58"/>
      <w:szCs w:val="58"/>
    </w:rPr>
  </w:style>
  <w:style w:type="character" w:customStyle="1" w:styleId="TitleChar">
    <w:name w:val="Title Char"/>
    <w:basedOn w:val="DefaultParagraphFont"/>
    <w:link w:val="Title"/>
    <w:uiPriority w:val="10"/>
    <w:rsid w:val="00312736"/>
    <w:rPr>
      <w:rFonts w:ascii="Montserrat" w:eastAsiaTheme="majorEastAsia" w:hAnsi="Montserrat" w:cstheme="majorBidi"/>
      <w:b/>
      <w:spacing w:val="-10"/>
      <w:w w:val="90"/>
      <w:kern w:val="28"/>
      <w:sz w:val="58"/>
      <w:szCs w:val="58"/>
    </w:rPr>
  </w:style>
  <w:style w:type="paragraph" w:styleId="Subtitle">
    <w:name w:val="Subtitle"/>
    <w:basedOn w:val="Normal"/>
    <w:next w:val="Normal"/>
    <w:link w:val="SubtitleChar"/>
    <w:uiPriority w:val="11"/>
    <w:qFormat/>
    <w:rsid w:val="00312736"/>
    <w:pPr>
      <w:spacing w:before="120" w:after="120"/>
      <w:ind w:left="2268"/>
    </w:pPr>
    <w:rPr>
      <w:rFonts w:ascii="Arial" w:hAnsi="Arial" w:cs="Arial"/>
      <w:kern w:val="20"/>
      <w:sz w:val="28"/>
      <w:szCs w:val="28"/>
    </w:rPr>
  </w:style>
  <w:style w:type="character" w:customStyle="1" w:styleId="SubtitleChar">
    <w:name w:val="Subtitle Char"/>
    <w:basedOn w:val="DefaultParagraphFont"/>
    <w:link w:val="Subtitle"/>
    <w:uiPriority w:val="11"/>
    <w:rsid w:val="00312736"/>
    <w:rPr>
      <w:rFonts w:ascii="Arial" w:hAnsi="Arial" w:cs="Arial"/>
      <w:kern w:val="20"/>
      <w:sz w:val="28"/>
      <w:szCs w:val="28"/>
    </w:rPr>
  </w:style>
  <w:style w:type="paragraph" w:styleId="TOCHeading">
    <w:name w:val="TOC Heading"/>
    <w:basedOn w:val="Heading1"/>
    <w:next w:val="Normal"/>
    <w:uiPriority w:val="39"/>
    <w:unhideWhenUsed/>
    <w:qFormat/>
    <w:rsid w:val="00312736"/>
    <w:pPr>
      <w:numPr>
        <w:numId w:val="0"/>
      </w:numPr>
      <w:outlineLvl w:val="9"/>
    </w:pPr>
    <w:rPr>
      <w:lang w:val="en-US"/>
    </w:rPr>
  </w:style>
  <w:style w:type="paragraph" w:styleId="TOC1">
    <w:name w:val="toc 1"/>
    <w:basedOn w:val="Normal"/>
    <w:next w:val="Normal"/>
    <w:autoRedefine/>
    <w:uiPriority w:val="39"/>
    <w:unhideWhenUsed/>
    <w:rsid w:val="008F5498"/>
    <w:pPr>
      <w:keepNext/>
      <w:tabs>
        <w:tab w:val="left" w:pos="425"/>
        <w:tab w:val="right" w:pos="9016"/>
      </w:tabs>
      <w:spacing w:before="160" w:after="60"/>
    </w:pPr>
    <w:rPr>
      <w:rFonts w:ascii="Montserrat" w:hAnsi="Montserrat"/>
      <w:b/>
      <w:bCs/>
      <w:noProof/>
      <w:color w:val="2F5496"/>
      <w:w w:val="90"/>
      <w:sz w:val="23"/>
    </w:rPr>
  </w:style>
  <w:style w:type="paragraph" w:styleId="TOC2">
    <w:name w:val="toc 2"/>
    <w:basedOn w:val="Normal"/>
    <w:next w:val="Normal"/>
    <w:autoRedefine/>
    <w:uiPriority w:val="39"/>
    <w:unhideWhenUsed/>
    <w:rsid w:val="001E0F65"/>
    <w:pPr>
      <w:tabs>
        <w:tab w:val="right" w:pos="9016"/>
      </w:tabs>
      <w:spacing w:before="60" w:after="60"/>
      <w:ind w:left="426"/>
    </w:pPr>
    <w:rPr>
      <w:noProof/>
    </w:rPr>
  </w:style>
  <w:style w:type="paragraph" w:styleId="TOC3">
    <w:name w:val="toc 3"/>
    <w:basedOn w:val="Normal"/>
    <w:next w:val="Normal"/>
    <w:autoRedefine/>
    <w:uiPriority w:val="39"/>
    <w:unhideWhenUsed/>
    <w:rsid w:val="00312736"/>
    <w:pPr>
      <w:tabs>
        <w:tab w:val="right" w:pos="9016"/>
      </w:tabs>
      <w:spacing w:before="60" w:after="60"/>
      <w:ind w:left="709"/>
    </w:pPr>
    <w:rPr>
      <w:noProof/>
    </w:rPr>
  </w:style>
  <w:style w:type="character" w:styleId="Hyperlink">
    <w:name w:val="Hyperlink"/>
    <w:basedOn w:val="DefaultParagraphFont"/>
    <w:uiPriority w:val="99"/>
    <w:unhideWhenUsed/>
    <w:rsid w:val="00312736"/>
    <w:rPr>
      <w:color w:val="0563C1" w:themeColor="hyperlink"/>
      <w:u w:val="single"/>
    </w:rPr>
  </w:style>
  <w:style w:type="paragraph" w:styleId="List">
    <w:name w:val="List"/>
    <w:basedOn w:val="Normal"/>
    <w:uiPriority w:val="99"/>
    <w:unhideWhenUsed/>
    <w:qFormat/>
    <w:rsid w:val="00312736"/>
    <w:pPr>
      <w:spacing w:after="40"/>
    </w:pPr>
  </w:style>
  <w:style w:type="paragraph" w:styleId="Header">
    <w:name w:val="header"/>
    <w:basedOn w:val="Normal"/>
    <w:link w:val="HeaderChar"/>
    <w:uiPriority w:val="99"/>
    <w:unhideWhenUsed/>
    <w:rsid w:val="00312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736"/>
  </w:style>
  <w:style w:type="paragraph" w:styleId="Footer">
    <w:name w:val="footer"/>
    <w:basedOn w:val="Normal"/>
    <w:link w:val="FooterChar"/>
    <w:uiPriority w:val="99"/>
    <w:unhideWhenUsed/>
    <w:rsid w:val="00312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736"/>
  </w:style>
  <w:style w:type="character" w:styleId="PlaceholderText">
    <w:name w:val="Placeholder Text"/>
    <w:basedOn w:val="DefaultParagraphFont"/>
    <w:uiPriority w:val="99"/>
    <w:semiHidden/>
    <w:rsid w:val="00312736"/>
    <w:rPr>
      <w:color w:val="808080"/>
    </w:rPr>
  </w:style>
  <w:style w:type="character" w:styleId="UnresolvedMention">
    <w:name w:val="Unresolved Mention"/>
    <w:basedOn w:val="DefaultParagraphFont"/>
    <w:uiPriority w:val="99"/>
    <w:semiHidden/>
    <w:unhideWhenUsed/>
    <w:rsid w:val="00312736"/>
    <w:rPr>
      <w:color w:val="605E5C"/>
      <w:shd w:val="clear" w:color="auto" w:fill="E1DFDD"/>
    </w:rPr>
  </w:style>
  <w:style w:type="paragraph" w:customStyle="1" w:styleId="Cover-Committeename">
    <w:name w:val="Cover - Committee name"/>
    <w:basedOn w:val="Subtitle"/>
    <w:qFormat/>
    <w:rsid w:val="00312736"/>
    <w:pPr>
      <w:spacing w:before="60" w:after="240" w:line="240" w:lineRule="auto"/>
      <w:ind w:left="1843" w:right="2648"/>
    </w:pPr>
    <w:rPr>
      <w:rFonts w:ascii="Montserrat Light" w:hAnsi="Montserrat Light"/>
      <w:color w:val="1A234C"/>
      <w:w w:val="90"/>
      <w:sz w:val="25"/>
      <w:szCs w:val="25"/>
    </w:rPr>
  </w:style>
  <w:style w:type="paragraph" w:styleId="Quote">
    <w:name w:val="Quote"/>
    <w:basedOn w:val="Normal"/>
    <w:next w:val="ListNumber2"/>
    <w:link w:val="QuoteChar"/>
    <w:uiPriority w:val="29"/>
    <w:qFormat/>
    <w:rsid w:val="00312736"/>
    <w:pPr>
      <w:spacing w:before="200" w:after="200"/>
      <w:ind w:left="1134" w:right="862"/>
    </w:pPr>
    <w:rPr>
      <w:color w:val="595959" w:themeColor="text1" w:themeTint="A6"/>
      <w:sz w:val="21"/>
      <w:szCs w:val="21"/>
    </w:rPr>
  </w:style>
  <w:style w:type="character" w:customStyle="1" w:styleId="QuoteChar">
    <w:name w:val="Quote Char"/>
    <w:basedOn w:val="DefaultParagraphFont"/>
    <w:link w:val="Quote"/>
    <w:uiPriority w:val="29"/>
    <w:rsid w:val="00312736"/>
    <w:rPr>
      <w:color w:val="595959" w:themeColor="text1" w:themeTint="A6"/>
      <w:sz w:val="21"/>
      <w:szCs w:val="21"/>
    </w:rPr>
  </w:style>
  <w:style w:type="table" w:styleId="TableGrid">
    <w:name w:val="Table Grid"/>
    <w:basedOn w:val="TableNormal"/>
    <w:uiPriority w:val="39"/>
    <w:rsid w:val="0031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heading">
    <w:name w:val="Recommendation heading"/>
    <w:next w:val="Normal"/>
    <w:rsid w:val="00312736"/>
    <w:pPr>
      <w:adjustRightInd w:val="0"/>
      <w:spacing w:before="80" w:after="80" w:line="240" w:lineRule="auto"/>
    </w:pPr>
    <w:rPr>
      <w:rFonts w:ascii="Montserrat" w:hAnsi="Montserrat"/>
      <w:b/>
      <w:bCs/>
      <w:color w:val="2F5496"/>
      <w:w w:val="90"/>
      <w:sz w:val="24"/>
      <w:szCs w:val="24"/>
    </w:rPr>
  </w:style>
  <w:style w:type="paragraph" w:customStyle="1" w:styleId="Heading1nonumber">
    <w:name w:val="Heading 1 (no number)"/>
    <w:basedOn w:val="Heading1"/>
    <w:next w:val="Normal"/>
    <w:link w:val="Heading1nonumberChar"/>
    <w:autoRedefine/>
    <w:qFormat/>
    <w:rsid w:val="004A0C6F"/>
    <w:pPr>
      <w:numPr>
        <w:numId w:val="0"/>
      </w:numPr>
    </w:pPr>
  </w:style>
  <w:style w:type="character" w:customStyle="1" w:styleId="Heading1nonumberChar">
    <w:name w:val="Heading 1 (no number) Char"/>
    <w:basedOn w:val="Heading1Char"/>
    <w:link w:val="Heading1nonumber"/>
    <w:rsid w:val="004A0C6F"/>
    <w:rPr>
      <w:rFonts w:ascii="Montserrat" w:eastAsiaTheme="majorEastAsia" w:hAnsi="Montserrat" w:cstheme="majorBidi"/>
      <w:b/>
      <w:color w:val="1A234C"/>
      <w:w w:val="90"/>
      <w:kern w:val="2"/>
      <w:sz w:val="36"/>
      <w:szCs w:val="32"/>
    </w:rPr>
  </w:style>
  <w:style w:type="paragraph" w:styleId="ListBullet">
    <w:name w:val="List Bullet"/>
    <w:basedOn w:val="ListParagraph"/>
    <w:uiPriority w:val="99"/>
    <w:unhideWhenUsed/>
    <w:qFormat/>
    <w:rsid w:val="00312736"/>
    <w:pPr>
      <w:numPr>
        <w:numId w:val="18"/>
      </w:numPr>
      <w:tabs>
        <w:tab w:val="clear" w:pos="360"/>
      </w:tabs>
      <w:spacing w:before="120" w:after="120"/>
      <w:ind w:left="340" w:hanging="340"/>
      <w:contextualSpacing w:val="0"/>
    </w:pPr>
  </w:style>
  <w:style w:type="paragraph" w:styleId="ListBullet2">
    <w:name w:val="List Bullet 2"/>
    <w:basedOn w:val="ListParagraph"/>
    <w:uiPriority w:val="99"/>
    <w:unhideWhenUsed/>
    <w:rsid w:val="00312736"/>
    <w:pPr>
      <w:numPr>
        <w:ilvl w:val="1"/>
        <w:numId w:val="1"/>
      </w:numPr>
      <w:spacing w:before="120" w:after="120"/>
      <w:ind w:left="1701"/>
      <w:contextualSpacing w:val="0"/>
    </w:pPr>
  </w:style>
  <w:style w:type="paragraph" w:styleId="ListBullet3">
    <w:name w:val="List Bullet 3"/>
    <w:basedOn w:val="ListParagraph"/>
    <w:uiPriority w:val="99"/>
    <w:unhideWhenUsed/>
    <w:rsid w:val="00312736"/>
    <w:pPr>
      <w:numPr>
        <w:ilvl w:val="2"/>
        <w:numId w:val="1"/>
      </w:numPr>
      <w:spacing w:before="120" w:after="120"/>
      <w:ind w:left="2127"/>
      <w:contextualSpacing w:val="0"/>
    </w:p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312736"/>
    <w:pPr>
      <w:spacing w:after="80"/>
      <w:ind w:left="720"/>
      <w:contextualSpacing/>
    </w:pPr>
  </w:style>
  <w:style w:type="paragraph" w:styleId="ListBullet4">
    <w:name w:val="List Bullet 4"/>
    <w:basedOn w:val="ListParagraph"/>
    <w:uiPriority w:val="99"/>
    <w:unhideWhenUsed/>
    <w:rsid w:val="00312736"/>
    <w:pPr>
      <w:numPr>
        <w:ilvl w:val="3"/>
        <w:numId w:val="1"/>
      </w:numPr>
      <w:spacing w:before="120" w:after="120"/>
      <w:ind w:left="2552"/>
      <w:contextualSpacing w:val="0"/>
    </w:pPr>
  </w:style>
  <w:style w:type="paragraph" w:styleId="ListBullet5">
    <w:name w:val="List Bullet 5"/>
    <w:basedOn w:val="ListParagraph"/>
    <w:uiPriority w:val="99"/>
    <w:unhideWhenUsed/>
    <w:rsid w:val="00312736"/>
    <w:pPr>
      <w:numPr>
        <w:ilvl w:val="4"/>
        <w:numId w:val="1"/>
      </w:numPr>
      <w:spacing w:before="120" w:after="120"/>
      <w:ind w:left="2977"/>
      <w:contextualSpacing w:val="0"/>
    </w:pPr>
  </w:style>
  <w:style w:type="paragraph" w:styleId="ListNumber5">
    <w:name w:val="List Number 5"/>
    <w:basedOn w:val="ListNumber4"/>
    <w:uiPriority w:val="99"/>
    <w:unhideWhenUsed/>
    <w:rsid w:val="00312736"/>
    <w:pPr>
      <w:numPr>
        <w:ilvl w:val="4"/>
      </w:numPr>
    </w:pPr>
  </w:style>
  <w:style w:type="paragraph" w:customStyle="1" w:styleId="Cover-Assemblyname">
    <w:name w:val="Cover - Assembly name"/>
    <w:basedOn w:val="Header"/>
    <w:qFormat/>
    <w:rsid w:val="00312736"/>
    <w:pPr>
      <w:spacing w:line="340" w:lineRule="exact"/>
      <w:ind w:left="1701"/>
    </w:pPr>
    <w:rPr>
      <w:rFonts w:ascii="Montserrat" w:hAnsi="Montserrat" w:cs="Arial"/>
      <w:b/>
      <w:bCs/>
      <w:color w:val="1A234C"/>
      <w:w w:val="90"/>
      <w:kern w:val="32"/>
      <w:sz w:val="32"/>
      <w:szCs w:val="32"/>
    </w:rPr>
  </w:style>
  <w:style w:type="paragraph" w:styleId="NoSpacing">
    <w:name w:val="No Spacing"/>
    <w:uiPriority w:val="1"/>
    <w:rsid w:val="00312736"/>
    <w:pPr>
      <w:spacing w:after="0" w:line="240" w:lineRule="auto"/>
    </w:pPr>
  </w:style>
  <w:style w:type="paragraph" w:styleId="ListNumber2">
    <w:name w:val="List Number 2"/>
    <w:basedOn w:val="Normal"/>
    <w:uiPriority w:val="99"/>
    <w:unhideWhenUsed/>
    <w:qFormat/>
    <w:rsid w:val="00312736"/>
    <w:pPr>
      <w:numPr>
        <w:ilvl w:val="1"/>
        <w:numId w:val="3"/>
      </w:numPr>
      <w:spacing w:before="80" w:after="120"/>
    </w:pPr>
    <w:rPr>
      <w:rFonts w:cstheme="minorHAnsi"/>
      <w:bCs/>
      <w:color w:val="000000" w:themeColor="text1"/>
      <w:szCs w:val="20"/>
    </w:rPr>
  </w:style>
  <w:style w:type="paragraph" w:styleId="ListNumber">
    <w:name w:val="List Number"/>
    <w:basedOn w:val="Heading1"/>
    <w:next w:val="ListNumber2"/>
    <w:uiPriority w:val="99"/>
    <w:unhideWhenUsed/>
    <w:rsid w:val="00312736"/>
  </w:style>
  <w:style w:type="paragraph" w:styleId="ListNumber3">
    <w:name w:val="List Number 3"/>
    <w:basedOn w:val="ListNumber2"/>
    <w:uiPriority w:val="99"/>
    <w:unhideWhenUsed/>
    <w:rsid w:val="00312736"/>
    <w:pPr>
      <w:numPr>
        <w:ilvl w:val="2"/>
      </w:numPr>
    </w:pPr>
  </w:style>
  <w:style w:type="paragraph" w:styleId="ListNumber4">
    <w:name w:val="List Number 4"/>
    <w:basedOn w:val="ListNumber3"/>
    <w:uiPriority w:val="99"/>
    <w:unhideWhenUsed/>
    <w:rsid w:val="00312736"/>
    <w:pPr>
      <w:numPr>
        <w:ilvl w:val="3"/>
      </w:numPr>
    </w:pPr>
  </w:style>
  <w:style w:type="character" w:styleId="CommentReference">
    <w:name w:val="annotation reference"/>
    <w:basedOn w:val="DefaultParagraphFont"/>
    <w:uiPriority w:val="99"/>
    <w:semiHidden/>
    <w:unhideWhenUsed/>
    <w:rsid w:val="00312736"/>
    <w:rPr>
      <w:sz w:val="16"/>
      <w:szCs w:val="16"/>
    </w:rPr>
  </w:style>
  <w:style w:type="paragraph" w:styleId="CommentText">
    <w:name w:val="annotation text"/>
    <w:basedOn w:val="Normal"/>
    <w:link w:val="CommentTextChar"/>
    <w:uiPriority w:val="99"/>
    <w:unhideWhenUsed/>
    <w:rsid w:val="00312736"/>
    <w:pPr>
      <w:spacing w:line="240" w:lineRule="auto"/>
    </w:pPr>
    <w:rPr>
      <w:sz w:val="20"/>
      <w:szCs w:val="20"/>
    </w:rPr>
  </w:style>
  <w:style w:type="character" w:customStyle="1" w:styleId="CommentTextChar">
    <w:name w:val="Comment Text Char"/>
    <w:basedOn w:val="DefaultParagraphFont"/>
    <w:link w:val="CommentText"/>
    <w:uiPriority w:val="99"/>
    <w:rsid w:val="00312736"/>
    <w:rPr>
      <w:sz w:val="20"/>
      <w:szCs w:val="20"/>
    </w:rPr>
  </w:style>
  <w:style w:type="paragraph" w:styleId="CommentSubject">
    <w:name w:val="annotation subject"/>
    <w:basedOn w:val="CommentText"/>
    <w:next w:val="CommentText"/>
    <w:link w:val="CommentSubjectChar"/>
    <w:uiPriority w:val="99"/>
    <w:semiHidden/>
    <w:unhideWhenUsed/>
    <w:rsid w:val="00312736"/>
    <w:rPr>
      <w:b/>
      <w:bCs/>
    </w:rPr>
  </w:style>
  <w:style w:type="character" w:customStyle="1" w:styleId="CommentSubjectChar">
    <w:name w:val="Comment Subject Char"/>
    <w:basedOn w:val="CommentTextChar"/>
    <w:link w:val="CommentSubject"/>
    <w:uiPriority w:val="99"/>
    <w:semiHidden/>
    <w:rsid w:val="00312736"/>
    <w:rPr>
      <w:b/>
      <w:bCs/>
      <w:sz w:val="20"/>
      <w:szCs w:val="20"/>
    </w:rPr>
  </w:style>
  <w:style w:type="table" w:customStyle="1" w:styleId="Assemblystyletable">
    <w:name w:val="Assembly style table"/>
    <w:basedOn w:val="TableNormal"/>
    <w:uiPriority w:val="99"/>
    <w:rsid w:val="00312736"/>
    <w:pPr>
      <w:adjustRightInd w:val="0"/>
      <w:spacing w:before="80" w:after="80" w:line="240" w:lineRule="auto"/>
    </w:pPr>
    <w:rPr>
      <w:color w:val="000000" w:themeColor="text1"/>
      <w:sz w:val="20"/>
    </w:rPr>
    <w:tblPr>
      <w:tblStyleRowBandSize w:val="1"/>
      <w:tblBorders>
        <w:top w:val="single" w:sz="4" w:space="0" w:color="2F5496"/>
        <w:bottom w:val="single" w:sz="12" w:space="0" w:color="2F5496"/>
      </w:tblBorders>
    </w:tblPr>
    <w:tcPr>
      <w:vAlign w:val="center"/>
    </w:tcPr>
    <w:tblStylePr w:type="firstRow">
      <w:pPr>
        <w:jc w:val="left"/>
      </w:pPr>
      <w:rPr>
        <w:rFonts w:ascii="Calibri" w:hAnsi="Calibri"/>
        <w:b w:val="0"/>
        <w:color w:val="000000" w:themeColor="text1"/>
        <w:sz w:val="20"/>
      </w:rPr>
      <w:tblPr/>
      <w:tcPr>
        <w:tcBorders>
          <w:top w:val="single" w:sz="12" w:space="0" w:color="2F5496"/>
          <w:left w:val="nil"/>
          <w:bottom w:val="single" w:sz="4" w:space="0" w:color="2F5496"/>
          <w:right w:val="nil"/>
          <w:insideH w:val="nil"/>
          <w:insideV w:val="nil"/>
        </w:tcBorders>
        <w:vAlign w:val="center"/>
      </w:tcPr>
    </w:tblStylePr>
    <w:tblStylePr w:type="lastRow">
      <w:tblPr/>
      <w:tcPr>
        <w:tcBorders>
          <w:top w:val="single" w:sz="4" w:space="0" w:color="2F5496"/>
          <w:bottom w:val="single" w:sz="12" w:space="0" w:color="2F5496"/>
        </w:tcBorders>
      </w:tcPr>
    </w:tblStylePr>
    <w:tblStylePr w:type="band1Horz">
      <w:tblPr/>
      <w:tcPr>
        <w:shd w:val="clear" w:color="auto" w:fill="F2F2F2"/>
      </w:tcPr>
    </w:tblStylePr>
    <w:tblStylePr w:type="band2Horz">
      <w:tblPr/>
      <w:tcPr>
        <w:shd w:val="clear" w:color="auto" w:fill="E7E6E6"/>
      </w:tcPr>
    </w:tblStylePr>
  </w:style>
  <w:style w:type="paragraph" w:customStyle="1" w:styleId="Tableheading">
    <w:name w:val="Table heading"/>
    <w:qFormat/>
    <w:rsid w:val="00312736"/>
    <w:pPr>
      <w:adjustRightInd w:val="0"/>
      <w:spacing w:before="80" w:after="80" w:line="240" w:lineRule="auto"/>
    </w:pPr>
    <w:rPr>
      <w:rFonts w:ascii="Calibri" w:hAnsi="Calibri" w:cstheme="minorHAnsi"/>
      <w:b/>
      <w:bCs/>
      <w:color w:val="000000" w:themeColor="text1"/>
      <w:sz w:val="20"/>
      <w:szCs w:val="20"/>
    </w:rPr>
  </w:style>
  <w:style w:type="paragraph" w:customStyle="1" w:styleId="Tablebody">
    <w:name w:val="Table body"/>
    <w:basedOn w:val="ListNumber3"/>
    <w:qFormat/>
    <w:rsid w:val="00312736"/>
    <w:pPr>
      <w:numPr>
        <w:ilvl w:val="0"/>
        <w:numId w:val="0"/>
      </w:numPr>
      <w:adjustRightInd w:val="0"/>
      <w:spacing w:after="80" w:line="240" w:lineRule="auto"/>
    </w:pPr>
    <w:rPr>
      <w:sz w:val="20"/>
    </w:rPr>
  </w:style>
  <w:style w:type="paragraph" w:styleId="Caption">
    <w:name w:val="caption"/>
    <w:basedOn w:val="Normal"/>
    <w:next w:val="ListNumber2"/>
    <w:uiPriority w:val="35"/>
    <w:unhideWhenUsed/>
    <w:qFormat/>
    <w:rsid w:val="00312736"/>
    <w:pPr>
      <w:spacing w:after="200" w:line="240" w:lineRule="auto"/>
      <w:ind w:left="709"/>
    </w:pPr>
    <w:rPr>
      <w:iCs/>
      <w:color w:val="7F7F7F" w:themeColor="text1" w:themeTint="80"/>
      <w:sz w:val="18"/>
      <w:szCs w:val="18"/>
    </w:rPr>
  </w:style>
  <w:style w:type="paragraph" w:customStyle="1" w:styleId="FrontmatterRecommendationlistheading">
    <w:name w:val="Front matter (Recommendation list heading)"/>
    <w:basedOn w:val="Recommendationheading"/>
    <w:next w:val="Normal"/>
    <w:rsid w:val="00312736"/>
  </w:style>
  <w:style w:type="paragraph" w:customStyle="1" w:styleId="FrontmatterRecommendationlistbody">
    <w:name w:val="Front matter (Recommendation list body)"/>
    <w:basedOn w:val="Normal"/>
    <w:rsid w:val="00312736"/>
    <w:pPr>
      <w:spacing w:before="120" w:after="120" w:line="252" w:lineRule="auto"/>
    </w:pPr>
    <w:rPr>
      <w:color w:val="000000" w:themeColor="text1"/>
    </w:rPr>
  </w:style>
  <w:style w:type="paragraph" w:customStyle="1" w:styleId="Recommendationbody">
    <w:name w:val="Recommendation body"/>
    <w:basedOn w:val="Normal"/>
    <w:next w:val="Normal"/>
    <w:rsid w:val="00312736"/>
    <w:pPr>
      <w:spacing w:before="120" w:after="120"/>
    </w:pPr>
  </w:style>
  <w:style w:type="table" w:customStyle="1" w:styleId="Recommendationbox">
    <w:name w:val="Recommendation box"/>
    <w:basedOn w:val="TableNormal"/>
    <w:uiPriority w:val="99"/>
    <w:rsid w:val="00312736"/>
    <w:pPr>
      <w:spacing w:after="0" w:line="240" w:lineRule="auto"/>
    </w:pPr>
    <w:tblPr>
      <w:tblCellSpacing w:w="71" w:type="dxa"/>
      <w:tblInd w:w="851" w:type="dxa"/>
    </w:tblPr>
    <w:trPr>
      <w:tblCellSpacing w:w="71" w:type="dxa"/>
    </w:trPr>
    <w:tcPr>
      <w:shd w:val="clear" w:color="auto" w:fill="D5DEF0"/>
      <w:vAlign w:val="center"/>
    </w:tcPr>
  </w:style>
  <w:style w:type="paragraph" w:styleId="TableofFigures">
    <w:name w:val="table of figures"/>
    <w:basedOn w:val="Recommendationheading"/>
    <w:next w:val="Recommendationbody"/>
    <w:uiPriority w:val="99"/>
    <w:unhideWhenUsed/>
    <w:rsid w:val="00312736"/>
    <w:pPr>
      <w:spacing w:after="0"/>
    </w:pPr>
  </w:style>
  <w:style w:type="paragraph" w:styleId="FootnoteText">
    <w:name w:val="footnote text"/>
    <w:basedOn w:val="Normal"/>
    <w:link w:val="FootnoteTextChar"/>
    <w:uiPriority w:val="99"/>
    <w:unhideWhenUsed/>
    <w:rsid w:val="00312736"/>
    <w:pPr>
      <w:spacing w:after="0" w:line="240" w:lineRule="auto"/>
      <w:ind w:left="284" w:hanging="284"/>
    </w:pPr>
    <w:rPr>
      <w:sz w:val="20"/>
      <w:szCs w:val="20"/>
    </w:rPr>
  </w:style>
  <w:style w:type="character" w:customStyle="1" w:styleId="FootnoteTextChar">
    <w:name w:val="Footnote Text Char"/>
    <w:basedOn w:val="DefaultParagraphFont"/>
    <w:link w:val="FootnoteText"/>
    <w:uiPriority w:val="99"/>
    <w:rsid w:val="00312736"/>
    <w:rPr>
      <w:sz w:val="20"/>
      <w:szCs w:val="20"/>
    </w:rPr>
  </w:style>
  <w:style w:type="character" w:styleId="FootnoteReference">
    <w:name w:val="footnote reference"/>
    <w:basedOn w:val="DefaultParagraphFont"/>
    <w:uiPriority w:val="99"/>
    <w:semiHidden/>
    <w:unhideWhenUsed/>
    <w:rsid w:val="00312736"/>
    <w:rPr>
      <w:vertAlign w:val="superscript"/>
    </w:rPr>
  </w:style>
  <w:style w:type="paragraph" w:styleId="List2">
    <w:name w:val="List 2"/>
    <w:basedOn w:val="Normal"/>
    <w:uiPriority w:val="99"/>
    <w:unhideWhenUsed/>
    <w:rsid w:val="00312736"/>
    <w:pPr>
      <w:ind w:left="566" w:hanging="283"/>
      <w:contextualSpacing/>
    </w:pPr>
  </w:style>
  <w:style w:type="paragraph" w:customStyle="1" w:styleId="Recommendationbullet">
    <w:name w:val="Recommendation bullet"/>
    <w:basedOn w:val="ListBullet"/>
    <w:qFormat/>
    <w:rsid w:val="00312736"/>
    <w:pPr>
      <w:ind w:left="467"/>
    </w:pPr>
  </w:style>
  <w:style w:type="paragraph" w:styleId="BodyText">
    <w:name w:val="Body Text"/>
    <w:basedOn w:val="Normal"/>
    <w:link w:val="BodyTextChar"/>
    <w:uiPriority w:val="99"/>
    <w:unhideWhenUsed/>
    <w:rsid w:val="00312736"/>
    <w:pPr>
      <w:spacing w:after="120"/>
    </w:pPr>
  </w:style>
  <w:style w:type="character" w:customStyle="1" w:styleId="BodyTextChar">
    <w:name w:val="Body Text Char"/>
    <w:basedOn w:val="DefaultParagraphFont"/>
    <w:link w:val="BodyText"/>
    <w:uiPriority w:val="99"/>
    <w:rsid w:val="00312736"/>
  </w:style>
  <w:style w:type="character" w:styleId="FollowedHyperlink">
    <w:name w:val="FollowedHyperlink"/>
    <w:basedOn w:val="DefaultParagraphFont"/>
    <w:uiPriority w:val="99"/>
    <w:semiHidden/>
    <w:unhideWhenUsed/>
    <w:rsid w:val="00312736"/>
    <w:rPr>
      <w:color w:val="954F72" w:themeColor="followedHyperlink"/>
      <w:u w:val="single"/>
    </w:rPr>
  </w:style>
  <w:style w:type="paragraph" w:styleId="NormalWeb">
    <w:name w:val="Normal (Web)"/>
    <w:basedOn w:val="Normal"/>
    <w:uiPriority w:val="99"/>
    <w:semiHidden/>
    <w:unhideWhenUsed/>
    <w:rsid w:val="0031273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312736"/>
    <w:pPr>
      <w:spacing w:after="0" w:line="240" w:lineRule="auto"/>
    </w:p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31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legislation.act.gov.au/b/db_669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parliament.act.gov.au/parliamentary-business/in-committee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parliament.act.gov.au/parliamentary-business/in-committees/committees/jc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ic.gov.au/sites/default/files/2021-07/rr22_audiovisual_link_technologies_in_australian_criminal%20courts.pdf" TargetMode="External"/><Relationship Id="rId1" Type="http://schemas.openxmlformats.org/officeDocument/2006/relationships/hyperlink" Target="https://www.aic.gov.au/sites/default/files/2021-07/rr22_audiovisual_link_technologies_in_australian_criminal%20cour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6BBA2-16FF-4920-9510-6980D62C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3057</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Emma-Kate</dc:creator>
  <cp:keywords/>
  <dc:description/>
  <cp:lastModifiedBy>de Kleuver, Kathleen</cp:lastModifiedBy>
  <cp:revision>3</cp:revision>
  <cp:lastPrinted>2022-12-21T23:40:00Z</cp:lastPrinted>
  <dcterms:created xsi:type="dcterms:W3CDTF">2022-12-21T23:30:00Z</dcterms:created>
  <dcterms:modified xsi:type="dcterms:W3CDTF">2022-12-21T23:57:00Z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2022-12-14T04:58:06Z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ee3f0b2e-b8ef-420b-94ee-4ce8066cfff6</vt:lpwstr>
  </property>
  <property fmtid="{D5CDD505-2E9C-101B-9397-08002B2CF9AE}" pid="8" name="MSIP_Label_69af8531-eb46-4968-8cb3-105d2f5ea87e_ContentBits">
    <vt:lpwstr>0</vt:lpwstr>
  </property>
</Properties>
</file>