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17A" w:rsidRPr="003D017A" w:rsidRDefault="003D017A" w:rsidP="003D017A">
      <w:pPr>
        <w:jc w:val="center"/>
        <w:rPr>
          <w:rFonts w:ascii="Times New Roman" w:hAnsi="Times New Roman"/>
          <w:b/>
          <w:bCs/>
          <w:lang w:val="en-AU"/>
        </w:rPr>
      </w:pPr>
      <w:r w:rsidRPr="003D017A">
        <w:rPr>
          <w:rFonts w:ascii="Times New Roman" w:hAnsi="Times New Roman"/>
          <w:b/>
          <w:bCs/>
          <w:noProof/>
          <w:lang w:val="en-AU"/>
        </w:rPr>
        <w:drawing>
          <wp:inline distT="0" distB="0" distL="0" distR="0">
            <wp:extent cx="751840" cy="751840"/>
            <wp:effectExtent l="0" t="0" r="0" b="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p w:rsidR="003D017A" w:rsidRPr="003D017A" w:rsidRDefault="003D017A" w:rsidP="003D017A">
      <w:pPr>
        <w:keepNext/>
        <w:keepLines/>
        <w:spacing w:before="320"/>
        <w:jc w:val="center"/>
        <w:rPr>
          <w:rFonts w:ascii="Calibri" w:hAnsi="Calibri"/>
          <w:b/>
          <w:bCs/>
          <w:sz w:val="32"/>
          <w:szCs w:val="32"/>
          <w:lang w:val="en-AU"/>
        </w:rPr>
      </w:pPr>
      <w:r w:rsidRPr="003D017A">
        <w:rPr>
          <w:rFonts w:ascii="Calibri" w:hAnsi="Calibri"/>
          <w:b/>
          <w:bCs/>
          <w:sz w:val="32"/>
          <w:szCs w:val="32"/>
          <w:lang w:val="en-AU"/>
        </w:rPr>
        <w:t>LEGISLATIVE ASSEMBLY FOR THE</w:t>
      </w:r>
    </w:p>
    <w:p w:rsidR="003D017A" w:rsidRPr="003D017A" w:rsidRDefault="003D017A" w:rsidP="003D017A">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3D017A">
            <w:rPr>
              <w:rFonts w:ascii="Calibri" w:hAnsi="Calibri"/>
              <w:b/>
              <w:bCs/>
              <w:sz w:val="32"/>
              <w:szCs w:val="32"/>
              <w:lang w:val="en-AU"/>
            </w:rPr>
            <w:t>AUSTRALIAN CAPITAL TERRITORY</w:t>
          </w:r>
        </w:smartTag>
      </w:smartTag>
    </w:p>
    <w:p w:rsidR="003D017A" w:rsidRPr="003D017A" w:rsidRDefault="003D017A" w:rsidP="003D017A">
      <w:pPr>
        <w:spacing w:before="360"/>
        <w:jc w:val="center"/>
        <w:rPr>
          <w:rFonts w:ascii="Calibri" w:hAnsi="Calibri"/>
          <w:b/>
          <w:sz w:val="28"/>
          <w:szCs w:val="28"/>
        </w:rPr>
      </w:pPr>
      <w:r w:rsidRPr="003D017A">
        <w:rPr>
          <w:rFonts w:ascii="Calibri" w:hAnsi="Calibri"/>
          <w:b/>
          <w:sz w:val="28"/>
          <w:szCs w:val="28"/>
        </w:rPr>
        <w:t>2020–2021–2022</w:t>
      </w:r>
    </w:p>
    <w:p w:rsidR="003D017A" w:rsidRPr="003D017A" w:rsidRDefault="003D017A" w:rsidP="003D017A">
      <w:pPr>
        <w:keepNext/>
        <w:keepLines/>
        <w:spacing w:before="360"/>
        <w:jc w:val="center"/>
        <w:rPr>
          <w:rFonts w:ascii="Calibri" w:hAnsi="Calibri"/>
          <w:b/>
          <w:sz w:val="40"/>
          <w:szCs w:val="40"/>
          <w:lang w:val="en-AU"/>
        </w:rPr>
      </w:pPr>
      <w:r w:rsidRPr="003D017A">
        <w:rPr>
          <w:rFonts w:ascii="Calibri" w:hAnsi="Calibri"/>
          <w:b/>
          <w:sz w:val="40"/>
          <w:szCs w:val="40"/>
          <w:lang w:val="en-AU"/>
        </w:rPr>
        <w:t>MINUTES OF PROCEEDINGS</w:t>
      </w:r>
    </w:p>
    <w:p w:rsidR="003D017A" w:rsidRPr="003D017A" w:rsidRDefault="003D017A" w:rsidP="003D017A">
      <w:pPr>
        <w:spacing w:before="360"/>
        <w:jc w:val="center"/>
        <w:rPr>
          <w:rFonts w:ascii="Calibri" w:hAnsi="Calibri"/>
          <w:b/>
          <w:sz w:val="28"/>
          <w:szCs w:val="28"/>
        </w:rPr>
      </w:pPr>
      <w:r w:rsidRPr="003D017A">
        <w:rPr>
          <w:rFonts w:ascii="Calibri" w:hAnsi="Calibri"/>
          <w:b/>
          <w:sz w:val="28"/>
          <w:szCs w:val="28"/>
        </w:rPr>
        <w:t xml:space="preserve">No </w:t>
      </w:r>
      <w:r>
        <w:rPr>
          <w:rFonts w:ascii="Calibri" w:hAnsi="Calibri"/>
          <w:b/>
          <w:sz w:val="28"/>
          <w:szCs w:val="28"/>
        </w:rPr>
        <w:t>41</w:t>
      </w:r>
    </w:p>
    <w:p w:rsidR="003D017A" w:rsidRPr="003D017A" w:rsidRDefault="00201AF2" w:rsidP="003D017A">
      <w:pPr>
        <w:keepNext/>
        <w:keepLines/>
        <w:spacing w:before="360"/>
        <w:jc w:val="center"/>
        <w:rPr>
          <w:rFonts w:ascii="Calibri" w:hAnsi="Calibri"/>
          <w:b/>
          <w:bCs/>
          <w:caps/>
          <w:sz w:val="28"/>
          <w:szCs w:val="28"/>
          <w:lang w:val="en-AU"/>
        </w:rPr>
      </w:pPr>
      <w:hyperlink r:id="rId10" w:history="1">
        <w:r w:rsidR="003D017A" w:rsidRPr="006D5815">
          <w:rPr>
            <w:rStyle w:val="Hyperlink"/>
            <w:rFonts w:ascii="Calibri" w:hAnsi="Calibri"/>
            <w:b/>
            <w:bCs/>
            <w:caps/>
            <w:sz w:val="28"/>
            <w:szCs w:val="28"/>
            <w:lang w:val="en-AU"/>
          </w:rPr>
          <w:t>Wednesday, 23 March 2022</w:t>
        </w:r>
      </w:hyperlink>
    </w:p>
    <w:tbl>
      <w:tblPr>
        <w:tblW w:w="0" w:type="auto"/>
        <w:jc w:val="center"/>
        <w:tblLayout w:type="fixed"/>
        <w:tblLook w:val="0000" w:firstRow="0" w:lastRow="0" w:firstColumn="0" w:lastColumn="0" w:noHBand="0" w:noVBand="0"/>
      </w:tblPr>
      <w:tblGrid>
        <w:gridCol w:w="2452"/>
      </w:tblGrid>
      <w:tr w:rsidR="003D017A" w:rsidRPr="003D017A" w:rsidTr="00BD4103">
        <w:trPr>
          <w:trHeight w:hRule="exact" w:val="333"/>
          <w:jc w:val="center"/>
        </w:trPr>
        <w:tc>
          <w:tcPr>
            <w:tcW w:w="2452" w:type="dxa"/>
          </w:tcPr>
          <w:p w:rsidR="003D017A" w:rsidRPr="003D017A" w:rsidRDefault="003D017A" w:rsidP="003D017A">
            <w:pPr>
              <w:rPr>
                <w:rFonts w:ascii="Times New Roman" w:hAnsi="Times New Roman"/>
                <w:color w:val="008000"/>
                <w:sz w:val="16"/>
                <w:lang w:val="en-AU"/>
              </w:rPr>
            </w:pPr>
          </w:p>
        </w:tc>
      </w:tr>
      <w:tr w:rsidR="003D017A" w:rsidRPr="003D017A" w:rsidTr="00BD4103">
        <w:trPr>
          <w:trHeight w:hRule="exact" w:val="60"/>
          <w:jc w:val="center"/>
        </w:trPr>
        <w:tc>
          <w:tcPr>
            <w:tcW w:w="2452" w:type="dxa"/>
            <w:tcBorders>
              <w:top w:val="single" w:sz="8" w:space="0" w:color="000000"/>
              <w:bottom w:val="single" w:sz="4" w:space="0" w:color="000000"/>
            </w:tcBorders>
          </w:tcPr>
          <w:p w:rsidR="003D017A" w:rsidRPr="003D017A" w:rsidRDefault="003D017A" w:rsidP="003D017A">
            <w:pPr>
              <w:rPr>
                <w:rFonts w:ascii="Times New Roman" w:hAnsi="Times New Roman"/>
                <w:color w:val="008000"/>
                <w:sz w:val="16"/>
                <w:lang w:val="en-AU"/>
              </w:rPr>
            </w:pPr>
          </w:p>
        </w:tc>
      </w:tr>
      <w:tr w:rsidR="003D017A" w:rsidRPr="003D017A" w:rsidTr="00BD4103">
        <w:trPr>
          <w:trHeight w:hRule="exact" w:val="200"/>
          <w:jc w:val="center"/>
        </w:trPr>
        <w:tc>
          <w:tcPr>
            <w:tcW w:w="2452" w:type="dxa"/>
          </w:tcPr>
          <w:p w:rsidR="003D017A" w:rsidRPr="003D017A" w:rsidRDefault="003D017A" w:rsidP="003D017A">
            <w:pPr>
              <w:rPr>
                <w:rFonts w:ascii="Times New Roman" w:hAnsi="Times New Roman"/>
                <w:color w:val="008000"/>
                <w:sz w:val="16"/>
                <w:lang w:val="en-AU"/>
              </w:rPr>
            </w:pPr>
          </w:p>
        </w:tc>
      </w:tr>
    </w:tbl>
    <w:p w:rsidR="003D017A" w:rsidRPr="003D017A" w:rsidRDefault="003D017A" w:rsidP="003D017A">
      <w:pPr>
        <w:keepNext/>
        <w:keepLines/>
        <w:tabs>
          <w:tab w:val="right" w:pos="339"/>
          <w:tab w:val="left" w:pos="720"/>
        </w:tabs>
        <w:spacing w:before="240"/>
        <w:ind w:left="720" w:hanging="720"/>
        <w:jc w:val="both"/>
        <w:rPr>
          <w:rFonts w:ascii="Calibri" w:hAnsi="Calibri"/>
          <w:bCs/>
          <w:lang w:val="en-AU"/>
        </w:rPr>
      </w:pPr>
      <w:r w:rsidRPr="003D017A">
        <w:rPr>
          <w:rFonts w:ascii="Calibri" w:hAnsi="Calibri"/>
        </w:rPr>
        <w:tab/>
      </w:r>
      <w:r w:rsidR="005B1413">
        <w:rPr>
          <w:rFonts w:ascii="Calibri" w:hAnsi="Calibri"/>
          <w:b/>
          <w:bCs/>
        </w:rPr>
        <w:fldChar w:fldCharType="begin"/>
      </w:r>
      <w:r w:rsidR="005B1413">
        <w:rPr>
          <w:rFonts w:ascii="Calibri" w:hAnsi="Calibri"/>
          <w:b/>
          <w:bCs/>
        </w:rPr>
        <w:instrText xml:space="preserve"> SEQ A \* MERGEFORMAT </w:instrText>
      </w:r>
      <w:r w:rsidR="005B1413">
        <w:rPr>
          <w:rFonts w:ascii="Calibri" w:hAnsi="Calibri"/>
          <w:b/>
          <w:bCs/>
        </w:rPr>
        <w:fldChar w:fldCharType="separate"/>
      </w:r>
      <w:r w:rsidR="0063377C">
        <w:rPr>
          <w:rFonts w:ascii="Calibri" w:hAnsi="Calibri"/>
          <w:b/>
          <w:bCs/>
          <w:noProof/>
        </w:rPr>
        <w:t>1</w:t>
      </w:r>
      <w:r w:rsidR="005B1413">
        <w:rPr>
          <w:rFonts w:ascii="Calibri" w:hAnsi="Calibri"/>
          <w:b/>
          <w:bCs/>
        </w:rPr>
        <w:fldChar w:fldCharType="end"/>
      </w:r>
      <w:r w:rsidRPr="003D017A">
        <w:rPr>
          <w:rFonts w:ascii="Calibri" w:hAnsi="Calibri"/>
        </w:rPr>
        <w:tab/>
      </w:r>
      <w:r w:rsidRPr="003D017A">
        <w:rPr>
          <w:rFonts w:ascii="Calibri" w:hAnsi="Calibri"/>
          <w:bCs/>
          <w:lang w:val="en-AU"/>
        </w:rPr>
        <w:t xml:space="preserve">The Assembly met at 10 am, pursuant to adjournment.  The Speaker </w:t>
      </w:r>
      <w:r w:rsidRPr="003D017A">
        <w:rPr>
          <w:rFonts w:ascii="Calibri" w:hAnsi="Calibri"/>
          <w:bCs/>
        </w:rPr>
        <w:t>(</w:t>
      </w:r>
      <w:r>
        <w:rPr>
          <w:rFonts w:ascii="Calibri" w:hAnsi="Calibri"/>
          <w:bCs/>
        </w:rPr>
        <w:t>Ms Burch</w:t>
      </w:r>
      <w:r w:rsidRPr="003D017A">
        <w:rPr>
          <w:rFonts w:ascii="Calibri" w:hAnsi="Calibri"/>
          <w:bCs/>
        </w:rPr>
        <w:t>)</w:t>
      </w:r>
      <w:r w:rsidRPr="003D017A">
        <w:rPr>
          <w:rFonts w:ascii="Calibri" w:hAnsi="Calibri"/>
          <w:bCs/>
          <w:lang w:val="en-AU"/>
        </w:rPr>
        <w:t xml:space="preserve"> took the Chair and made the following acknowledgement of country in the Ngunnawal language:</w:t>
      </w:r>
    </w:p>
    <w:p w:rsidR="003D017A" w:rsidRPr="003D017A" w:rsidRDefault="003D017A" w:rsidP="003D017A">
      <w:pPr>
        <w:spacing w:before="120"/>
        <w:ind w:left="864"/>
        <w:jc w:val="both"/>
        <w:rPr>
          <w:rFonts w:ascii="Calibri" w:hAnsi="Calibri"/>
          <w:lang w:val="en-AU"/>
        </w:rPr>
      </w:pPr>
      <w:r w:rsidRPr="003D017A">
        <w:rPr>
          <w:rFonts w:ascii="Calibri" w:hAnsi="Calibri"/>
          <w:lang w:val="en-AU"/>
        </w:rPr>
        <w:t>Dhawura nguna, dhawura Ngunnawal.</w:t>
      </w:r>
    </w:p>
    <w:p w:rsidR="003D017A" w:rsidRPr="003D017A" w:rsidRDefault="003D017A" w:rsidP="003D017A">
      <w:pPr>
        <w:spacing w:before="40"/>
        <w:ind w:left="864"/>
        <w:jc w:val="both"/>
        <w:rPr>
          <w:rFonts w:ascii="Calibri" w:hAnsi="Calibri"/>
          <w:lang w:val="en-AU"/>
        </w:rPr>
      </w:pPr>
      <w:r w:rsidRPr="003D017A">
        <w:rPr>
          <w:rFonts w:ascii="Calibri" w:hAnsi="Calibri"/>
          <w:lang w:val="en-AU"/>
        </w:rPr>
        <w:t>Yanggu ngalawiri, dhunimanyin Ngunnawalwari dhawurawari.</w:t>
      </w:r>
    </w:p>
    <w:p w:rsidR="003D017A" w:rsidRPr="003D017A" w:rsidRDefault="003D017A" w:rsidP="003D017A">
      <w:pPr>
        <w:spacing w:before="40"/>
        <w:ind w:left="864"/>
        <w:jc w:val="both"/>
        <w:rPr>
          <w:rFonts w:ascii="Calibri" w:hAnsi="Calibri"/>
          <w:lang w:val="en-AU"/>
        </w:rPr>
      </w:pPr>
      <w:r w:rsidRPr="003D017A">
        <w:rPr>
          <w:rFonts w:ascii="Calibri" w:hAnsi="Calibri"/>
          <w:lang w:val="en-AU"/>
        </w:rPr>
        <w:t>Nginggada Dindi dhawura Ngunnaawalbun yindjumaralidjinyin.</w:t>
      </w:r>
    </w:p>
    <w:p w:rsidR="003D017A" w:rsidRPr="003D017A" w:rsidRDefault="003D017A" w:rsidP="003D017A">
      <w:pPr>
        <w:spacing w:before="120"/>
        <w:ind w:left="864"/>
        <w:jc w:val="both"/>
        <w:rPr>
          <w:rFonts w:ascii="Calibri" w:hAnsi="Calibri"/>
          <w:i/>
          <w:lang w:val="en-AU"/>
        </w:rPr>
      </w:pPr>
      <w:r w:rsidRPr="003D017A">
        <w:rPr>
          <w:rFonts w:ascii="Calibri" w:hAnsi="Calibri"/>
          <w:i/>
          <w:lang w:val="en-AU"/>
        </w:rPr>
        <w:t>This is Ngunnawal Country.</w:t>
      </w:r>
    </w:p>
    <w:p w:rsidR="003D017A" w:rsidRPr="003D017A" w:rsidRDefault="003D017A" w:rsidP="003D017A">
      <w:pPr>
        <w:spacing w:before="40"/>
        <w:ind w:left="864"/>
        <w:jc w:val="both"/>
        <w:rPr>
          <w:rFonts w:ascii="Calibri" w:hAnsi="Calibri"/>
          <w:i/>
          <w:lang w:val="en-AU"/>
        </w:rPr>
      </w:pPr>
      <w:r w:rsidRPr="003D017A">
        <w:rPr>
          <w:rFonts w:ascii="Calibri" w:hAnsi="Calibri"/>
          <w:i/>
          <w:lang w:val="en-AU"/>
        </w:rPr>
        <w:t>Today we are gathering on Ngunnawal country.</w:t>
      </w:r>
    </w:p>
    <w:p w:rsidR="003D017A" w:rsidRPr="003D017A" w:rsidRDefault="003D017A" w:rsidP="003D017A">
      <w:pPr>
        <w:spacing w:before="40"/>
        <w:ind w:left="864"/>
        <w:jc w:val="both"/>
        <w:rPr>
          <w:rFonts w:ascii="Calibri" w:hAnsi="Calibri"/>
          <w:i/>
          <w:lang w:val="en-AU"/>
        </w:rPr>
      </w:pPr>
      <w:r w:rsidRPr="003D017A">
        <w:rPr>
          <w:rFonts w:ascii="Calibri" w:hAnsi="Calibri"/>
          <w:i/>
          <w:lang w:val="en-AU"/>
        </w:rPr>
        <w:t>We always pay respect to Elders, female and male, and Ngunnawal country.</w:t>
      </w:r>
    </w:p>
    <w:p w:rsidR="003D017A" w:rsidRPr="003D017A" w:rsidRDefault="003D017A" w:rsidP="003D017A">
      <w:pPr>
        <w:spacing w:before="120"/>
        <w:ind w:left="720"/>
        <w:jc w:val="both"/>
        <w:rPr>
          <w:rFonts w:ascii="Calibri" w:hAnsi="Calibri"/>
          <w:lang w:val="en-AU"/>
        </w:rPr>
      </w:pPr>
      <w:r w:rsidRPr="003D017A">
        <w:rPr>
          <w:rFonts w:ascii="Calibri" w:hAnsi="Calibri"/>
          <w:lang w:val="en-AU"/>
        </w:rPr>
        <w:t>The Speaker asked Members to stand in silence and pray or reflect on their responsibilities to the people of the Australian Capital Territory.</w:t>
      </w:r>
    </w:p>
    <w:p w:rsidR="00F96990" w:rsidRPr="00F96990" w:rsidRDefault="00F96990" w:rsidP="00F96990">
      <w:pPr>
        <w:keepNext/>
        <w:keepLines/>
        <w:tabs>
          <w:tab w:val="right" w:pos="339"/>
          <w:tab w:val="left" w:pos="720"/>
        </w:tabs>
        <w:spacing w:before="240"/>
        <w:ind w:left="720" w:hanging="720"/>
        <w:rPr>
          <w:rFonts w:ascii="Calibri" w:hAnsi="Calibri"/>
          <w:b/>
          <w:lang w:val="en-AU"/>
        </w:rPr>
      </w:pPr>
      <w:r w:rsidRPr="00F96990">
        <w:rPr>
          <w:rFonts w:ascii="Calibri" w:hAnsi="Calibri"/>
          <w:b/>
          <w:lang w:val="en-AU"/>
        </w:rPr>
        <w:tab/>
      </w:r>
      <w:r w:rsidR="005B1413">
        <w:rPr>
          <w:rFonts w:ascii="Calibri" w:hAnsi="Calibri"/>
          <w:b/>
          <w:bCs/>
          <w:lang w:val="en-AU"/>
        </w:rPr>
        <w:fldChar w:fldCharType="begin"/>
      </w:r>
      <w:r w:rsidR="005B1413">
        <w:rPr>
          <w:rFonts w:ascii="Calibri" w:hAnsi="Calibri"/>
          <w:b/>
          <w:bCs/>
          <w:lang w:val="en-AU"/>
        </w:rPr>
        <w:instrText xml:space="preserve"> SEQ A \* MERGEFORMAT </w:instrText>
      </w:r>
      <w:r w:rsidR="005B1413">
        <w:rPr>
          <w:rFonts w:ascii="Calibri" w:hAnsi="Calibri"/>
          <w:b/>
          <w:bCs/>
          <w:lang w:val="en-AU"/>
        </w:rPr>
        <w:fldChar w:fldCharType="separate"/>
      </w:r>
      <w:r w:rsidR="0063377C">
        <w:rPr>
          <w:rFonts w:ascii="Calibri" w:hAnsi="Calibri"/>
          <w:b/>
          <w:bCs/>
          <w:noProof/>
          <w:lang w:val="en-AU"/>
        </w:rPr>
        <w:t>2</w:t>
      </w:r>
      <w:r w:rsidR="005B1413">
        <w:rPr>
          <w:rFonts w:ascii="Calibri" w:hAnsi="Calibri"/>
          <w:b/>
          <w:bCs/>
          <w:lang w:val="en-AU"/>
        </w:rPr>
        <w:fldChar w:fldCharType="end"/>
      </w:r>
      <w:r w:rsidRPr="00F96990">
        <w:rPr>
          <w:rFonts w:ascii="Calibri" w:hAnsi="Calibri"/>
          <w:b/>
          <w:lang w:val="en-AU"/>
        </w:rPr>
        <w:tab/>
      </w:r>
      <w:r>
        <w:rPr>
          <w:rFonts w:ascii="Calibri" w:hAnsi="Calibri"/>
          <w:b/>
          <w:caps/>
          <w:lang w:val="en-AU"/>
        </w:rPr>
        <w:t>Family Violence Safety Action Pilot—Holding perpetrators of domestic and family violence to account</w:t>
      </w:r>
      <w:r w:rsidRPr="00F96990">
        <w:rPr>
          <w:rFonts w:ascii="Calibri" w:hAnsi="Calibri"/>
          <w:b/>
          <w:caps/>
          <w:lang w:val="en-AU"/>
        </w:rPr>
        <w:t>—MINISTERIAL STATEMENT—PAPER NOTED</w:t>
      </w:r>
    </w:p>
    <w:p w:rsidR="00F96990" w:rsidRPr="00F96990" w:rsidRDefault="00F96990" w:rsidP="00F96990">
      <w:pPr>
        <w:spacing w:before="120"/>
        <w:ind w:left="720"/>
        <w:rPr>
          <w:rFonts w:ascii="Calibri" w:hAnsi="Calibri"/>
          <w:lang w:val="en-AU"/>
        </w:rPr>
      </w:pPr>
      <w:r>
        <w:rPr>
          <w:rFonts w:ascii="Calibri" w:hAnsi="Calibri"/>
          <w:lang w:val="en-AU"/>
        </w:rPr>
        <w:t>Ms Berry (Minister for the Prevention of Domestic and Family Violence)</w:t>
      </w:r>
      <w:r w:rsidRPr="00F96990">
        <w:rPr>
          <w:rFonts w:ascii="Calibri" w:hAnsi="Calibri"/>
          <w:lang w:val="en-AU"/>
        </w:rPr>
        <w:t xml:space="preserve"> made a ministerial statement concerning </w:t>
      </w:r>
      <w:r w:rsidR="00F962AA">
        <w:rPr>
          <w:rFonts w:ascii="Calibri" w:hAnsi="Calibri"/>
          <w:lang w:val="en-AU"/>
        </w:rPr>
        <w:t xml:space="preserve">the </w:t>
      </w:r>
      <w:r>
        <w:rPr>
          <w:rFonts w:ascii="Calibri" w:hAnsi="Calibri"/>
          <w:lang w:val="en-AU"/>
        </w:rPr>
        <w:t>Family Violence Safety Action Pilot</w:t>
      </w:r>
      <w:r w:rsidRPr="00F96990">
        <w:rPr>
          <w:rFonts w:ascii="Calibri" w:hAnsi="Calibri"/>
          <w:lang w:val="en-AU"/>
        </w:rPr>
        <w:t xml:space="preserve"> and presented the following paper:</w:t>
      </w:r>
    </w:p>
    <w:p w:rsidR="00F96990" w:rsidRPr="00F96990" w:rsidRDefault="00F96990" w:rsidP="00F96990">
      <w:pPr>
        <w:spacing w:before="120"/>
        <w:ind w:left="720"/>
        <w:rPr>
          <w:rFonts w:ascii="Calibri" w:hAnsi="Calibri"/>
          <w:lang w:val="en-AU"/>
        </w:rPr>
      </w:pPr>
      <w:r>
        <w:rPr>
          <w:rFonts w:ascii="Calibri" w:hAnsi="Calibri"/>
          <w:lang w:val="en-AU"/>
        </w:rPr>
        <w:t>Family Violence Safety Action Pilot—Holding perpetrators of domestic and family violence to account</w:t>
      </w:r>
      <w:r w:rsidRPr="00F96990">
        <w:rPr>
          <w:rFonts w:ascii="Calibri" w:hAnsi="Calibri"/>
          <w:lang w:val="en-AU"/>
        </w:rPr>
        <w:t xml:space="preserve">—Ministerial statement, </w:t>
      </w:r>
      <w:r>
        <w:rPr>
          <w:rFonts w:ascii="Calibri" w:hAnsi="Calibri"/>
          <w:lang w:val="en-AU"/>
        </w:rPr>
        <w:t>23 March 2022</w:t>
      </w:r>
      <w:r w:rsidRPr="00F96990">
        <w:rPr>
          <w:rFonts w:ascii="Calibri" w:hAnsi="Calibri"/>
          <w:lang w:val="en-AU"/>
        </w:rPr>
        <w:t>.</w:t>
      </w:r>
    </w:p>
    <w:p w:rsidR="00F96990" w:rsidRPr="00F96990" w:rsidRDefault="00F96990" w:rsidP="00F96990">
      <w:pPr>
        <w:spacing w:before="120"/>
        <w:ind w:left="720"/>
        <w:rPr>
          <w:rFonts w:ascii="Calibri" w:hAnsi="Calibri"/>
          <w:lang w:val="en-AU"/>
        </w:rPr>
      </w:pPr>
      <w:r>
        <w:rPr>
          <w:rFonts w:ascii="Calibri" w:hAnsi="Calibri"/>
          <w:lang w:val="en-AU"/>
        </w:rPr>
        <w:lastRenderedPageBreak/>
        <w:t>Ms Berry</w:t>
      </w:r>
      <w:r w:rsidRPr="00F96990">
        <w:rPr>
          <w:rFonts w:ascii="Calibri" w:hAnsi="Calibri"/>
          <w:lang w:val="en-AU"/>
        </w:rPr>
        <w:t xml:space="preserve"> moved—That the Assembly take note of the paper.</w:t>
      </w:r>
    </w:p>
    <w:p w:rsidR="00F96990" w:rsidRPr="00F96990" w:rsidRDefault="00F96990" w:rsidP="00F96990">
      <w:pPr>
        <w:spacing w:before="120"/>
        <w:ind w:left="720"/>
        <w:rPr>
          <w:rFonts w:ascii="Calibri" w:hAnsi="Calibri"/>
          <w:lang w:val="en-AU"/>
        </w:rPr>
      </w:pPr>
      <w:r w:rsidRPr="00F96990">
        <w:rPr>
          <w:rFonts w:ascii="Calibri" w:hAnsi="Calibri"/>
          <w:lang w:val="en-AU"/>
        </w:rPr>
        <w:t>Question—put and passed.</w:t>
      </w:r>
    </w:p>
    <w:p w:rsidR="00D05429" w:rsidRPr="001C722D" w:rsidRDefault="00D05429" w:rsidP="00D05429">
      <w:pPr>
        <w:keepNext/>
        <w:keepLines/>
        <w:tabs>
          <w:tab w:val="right" w:pos="339"/>
          <w:tab w:val="left" w:pos="720"/>
        </w:tabs>
        <w:spacing w:before="240"/>
        <w:ind w:left="720" w:hanging="720"/>
        <w:rPr>
          <w:rFonts w:ascii="Calibri" w:hAnsi="Calibri"/>
          <w:b/>
          <w:lang w:val="en-AU"/>
        </w:rPr>
      </w:pPr>
      <w:r w:rsidRPr="001C722D">
        <w:rPr>
          <w:rFonts w:ascii="Calibri" w:hAnsi="Calibri"/>
          <w:b/>
          <w:lang w:val="en-AU"/>
        </w:rPr>
        <w:tab/>
      </w:r>
      <w:r w:rsidR="005B1413">
        <w:rPr>
          <w:rFonts w:ascii="Calibri" w:hAnsi="Calibri"/>
          <w:b/>
          <w:bCs/>
          <w:lang w:val="en-AU"/>
        </w:rPr>
        <w:fldChar w:fldCharType="begin"/>
      </w:r>
      <w:r w:rsidR="005B1413">
        <w:rPr>
          <w:rFonts w:ascii="Calibri" w:hAnsi="Calibri"/>
          <w:b/>
          <w:bCs/>
          <w:lang w:val="en-AU"/>
        </w:rPr>
        <w:instrText xml:space="preserve"> SEQ A \* MERGEFORMAT </w:instrText>
      </w:r>
      <w:r w:rsidR="005B1413">
        <w:rPr>
          <w:rFonts w:ascii="Calibri" w:hAnsi="Calibri"/>
          <w:b/>
          <w:bCs/>
          <w:lang w:val="en-AU"/>
        </w:rPr>
        <w:fldChar w:fldCharType="separate"/>
      </w:r>
      <w:r w:rsidR="0063377C">
        <w:rPr>
          <w:rFonts w:ascii="Calibri" w:hAnsi="Calibri"/>
          <w:b/>
          <w:bCs/>
          <w:noProof/>
          <w:lang w:val="en-AU"/>
        </w:rPr>
        <w:t>3</w:t>
      </w:r>
      <w:r w:rsidR="005B1413">
        <w:rPr>
          <w:rFonts w:ascii="Calibri" w:hAnsi="Calibri"/>
          <w:b/>
          <w:bCs/>
          <w:lang w:val="en-AU"/>
        </w:rPr>
        <w:fldChar w:fldCharType="end"/>
      </w:r>
      <w:r w:rsidRPr="001C722D">
        <w:rPr>
          <w:rFonts w:ascii="Calibri" w:hAnsi="Calibri"/>
          <w:b/>
          <w:lang w:val="en-AU"/>
        </w:rPr>
        <w:tab/>
      </w:r>
      <w:r>
        <w:rPr>
          <w:rFonts w:ascii="Calibri" w:hAnsi="Calibri"/>
          <w:b/>
          <w:caps/>
          <w:lang w:val="en-AU"/>
        </w:rPr>
        <w:t>Active travel statement</w:t>
      </w:r>
      <w:r w:rsidRPr="001C722D">
        <w:rPr>
          <w:rFonts w:ascii="Calibri" w:hAnsi="Calibri"/>
          <w:b/>
          <w:caps/>
          <w:lang w:val="en-AU"/>
        </w:rPr>
        <w:t>—MINISTERIAL STATEMENT—PAPER NOTED</w:t>
      </w:r>
    </w:p>
    <w:p w:rsidR="00D05429" w:rsidRPr="001C722D" w:rsidRDefault="00D05429" w:rsidP="00D05429">
      <w:pPr>
        <w:spacing w:before="120"/>
        <w:ind w:left="720"/>
        <w:rPr>
          <w:rFonts w:ascii="Calibri" w:hAnsi="Calibri"/>
          <w:lang w:val="en-AU"/>
        </w:rPr>
      </w:pPr>
      <w:r>
        <w:rPr>
          <w:rFonts w:ascii="Calibri" w:hAnsi="Calibri"/>
          <w:lang w:val="en-AU"/>
        </w:rPr>
        <w:t>Mr Steel (Minister for Transport and City Services)</w:t>
      </w:r>
      <w:r w:rsidRPr="001C722D">
        <w:rPr>
          <w:rFonts w:ascii="Calibri" w:hAnsi="Calibri"/>
          <w:lang w:val="en-AU"/>
        </w:rPr>
        <w:t xml:space="preserve"> made a m</w:t>
      </w:r>
      <w:r>
        <w:rPr>
          <w:rFonts w:ascii="Calibri" w:hAnsi="Calibri"/>
          <w:lang w:val="en-AU"/>
        </w:rPr>
        <w:t>inisterial statement concerning the Government</w:t>
      </w:r>
      <w:r w:rsidR="005B1413">
        <w:rPr>
          <w:rFonts w:ascii="Calibri" w:hAnsi="Calibri"/>
          <w:lang w:val="en-AU"/>
        </w:rPr>
        <w:t>’</w:t>
      </w:r>
      <w:r>
        <w:rPr>
          <w:rFonts w:ascii="Calibri" w:hAnsi="Calibri"/>
          <w:lang w:val="en-AU"/>
        </w:rPr>
        <w:t>s active travel priorities</w:t>
      </w:r>
      <w:r w:rsidRPr="001C722D">
        <w:rPr>
          <w:rFonts w:ascii="Calibri" w:hAnsi="Calibri"/>
          <w:lang w:val="en-AU"/>
        </w:rPr>
        <w:t xml:space="preserve"> and presented the following paper:</w:t>
      </w:r>
    </w:p>
    <w:p w:rsidR="00D05429" w:rsidRPr="001C722D" w:rsidRDefault="00D05429" w:rsidP="00E127C3">
      <w:pPr>
        <w:spacing w:before="110"/>
        <w:ind w:left="720"/>
        <w:rPr>
          <w:rFonts w:ascii="Calibri" w:hAnsi="Calibri"/>
          <w:lang w:val="en-AU"/>
        </w:rPr>
      </w:pPr>
      <w:r>
        <w:rPr>
          <w:rFonts w:ascii="Calibri" w:hAnsi="Calibri"/>
          <w:lang w:val="en-AU"/>
        </w:rPr>
        <w:t xml:space="preserve">Active travel </w:t>
      </w:r>
      <w:r w:rsidR="00B05536">
        <w:rPr>
          <w:rFonts w:ascii="Calibri" w:hAnsi="Calibri"/>
          <w:lang w:val="en-AU"/>
        </w:rPr>
        <w:t>statement</w:t>
      </w:r>
      <w:r w:rsidRPr="001C722D">
        <w:rPr>
          <w:rFonts w:ascii="Calibri" w:hAnsi="Calibri"/>
          <w:lang w:val="en-AU"/>
        </w:rPr>
        <w:t xml:space="preserve">—Ministerial statement, </w:t>
      </w:r>
      <w:r>
        <w:rPr>
          <w:rFonts w:ascii="Calibri" w:hAnsi="Calibri"/>
          <w:lang w:val="en-AU"/>
        </w:rPr>
        <w:t>23 March 2022</w:t>
      </w:r>
      <w:r w:rsidRPr="001C722D">
        <w:rPr>
          <w:rFonts w:ascii="Calibri" w:hAnsi="Calibri"/>
          <w:lang w:val="en-AU"/>
        </w:rPr>
        <w:t>.</w:t>
      </w:r>
    </w:p>
    <w:p w:rsidR="00D05429" w:rsidRPr="001C722D" w:rsidRDefault="00D05429" w:rsidP="00E127C3">
      <w:pPr>
        <w:spacing w:before="110"/>
        <w:ind w:left="720"/>
        <w:rPr>
          <w:rFonts w:ascii="Calibri" w:hAnsi="Calibri"/>
          <w:lang w:val="en-AU"/>
        </w:rPr>
      </w:pPr>
      <w:r>
        <w:rPr>
          <w:rFonts w:ascii="Calibri" w:hAnsi="Calibri"/>
          <w:lang w:val="en-AU"/>
        </w:rPr>
        <w:t>Mr Steel</w:t>
      </w:r>
      <w:r w:rsidRPr="001C722D">
        <w:rPr>
          <w:rFonts w:ascii="Calibri" w:hAnsi="Calibri"/>
          <w:lang w:val="en-AU"/>
        </w:rPr>
        <w:t xml:space="preserve"> moved—That the Assembly take note of the paper.</w:t>
      </w:r>
    </w:p>
    <w:p w:rsidR="00D05429" w:rsidRPr="001C722D" w:rsidRDefault="00D05429" w:rsidP="00E127C3">
      <w:pPr>
        <w:spacing w:before="110"/>
        <w:ind w:left="720"/>
        <w:rPr>
          <w:rFonts w:ascii="Calibri" w:hAnsi="Calibri"/>
          <w:lang w:val="en-AU"/>
        </w:rPr>
      </w:pPr>
      <w:r w:rsidRPr="001C722D">
        <w:rPr>
          <w:rFonts w:ascii="Calibri" w:hAnsi="Calibri"/>
          <w:lang w:val="en-AU"/>
        </w:rPr>
        <w:t>Question—put and passed.</w:t>
      </w:r>
    </w:p>
    <w:p w:rsidR="00A120FA" w:rsidRPr="00A120FA" w:rsidRDefault="00A120FA" w:rsidP="00A120FA">
      <w:pPr>
        <w:keepNext/>
        <w:keepLines/>
        <w:tabs>
          <w:tab w:val="right" w:pos="339"/>
          <w:tab w:val="left" w:pos="720"/>
        </w:tabs>
        <w:spacing w:before="240"/>
        <w:ind w:left="720" w:hanging="720"/>
        <w:rPr>
          <w:rFonts w:ascii="Calibri" w:hAnsi="Calibri"/>
          <w:b/>
          <w:lang w:val="en-AU"/>
        </w:rPr>
      </w:pPr>
      <w:r w:rsidRPr="00A120FA">
        <w:rPr>
          <w:rFonts w:ascii="Calibri" w:hAnsi="Calibri"/>
          <w:b/>
          <w:lang w:val="en-AU"/>
        </w:rPr>
        <w:tab/>
      </w:r>
      <w:r w:rsidR="005B1413">
        <w:rPr>
          <w:rFonts w:ascii="Calibri" w:hAnsi="Calibri"/>
          <w:b/>
          <w:bCs/>
          <w:lang w:val="en-AU"/>
        </w:rPr>
        <w:fldChar w:fldCharType="begin"/>
      </w:r>
      <w:r w:rsidR="005B1413">
        <w:rPr>
          <w:rFonts w:ascii="Calibri" w:hAnsi="Calibri"/>
          <w:b/>
          <w:bCs/>
          <w:lang w:val="en-AU"/>
        </w:rPr>
        <w:instrText xml:space="preserve"> SEQ A \* MERGEFORMAT </w:instrText>
      </w:r>
      <w:r w:rsidR="005B1413">
        <w:rPr>
          <w:rFonts w:ascii="Calibri" w:hAnsi="Calibri"/>
          <w:b/>
          <w:bCs/>
          <w:lang w:val="en-AU"/>
        </w:rPr>
        <w:fldChar w:fldCharType="separate"/>
      </w:r>
      <w:r w:rsidR="0063377C">
        <w:rPr>
          <w:rFonts w:ascii="Calibri" w:hAnsi="Calibri"/>
          <w:b/>
          <w:bCs/>
          <w:noProof/>
          <w:lang w:val="en-AU"/>
        </w:rPr>
        <w:t>4</w:t>
      </w:r>
      <w:r w:rsidR="005B1413">
        <w:rPr>
          <w:rFonts w:ascii="Calibri" w:hAnsi="Calibri"/>
          <w:b/>
          <w:bCs/>
          <w:lang w:val="en-AU"/>
        </w:rPr>
        <w:fldChar w:fldCharType="end"/>
      </w:r>
      <w:r w:rsidRPr="00A120FA">
        <w:rPr>
          <w:rFonts w:ascii="Calibri" w:hAnsi="Calibri"/>
          <w:b/>
          <w:lang w:val="en-AU"/>
        </w:rPr>
        <w:tab/>
      </w:r>
      <w:r>
        <w:rPr>
          <w:rFonts w:ascii="Calibri" w:hAnsi="Calibri"/>
          <w:b/>
          <w:caps/>
          <w:lang w:val="en-AU"/>
        </w:rPr>
        <w:t>A.C.T. Eating Disorders Position Statement</w:t>
      </w:r>
      <w:r w:rsidRPr="00A120FA">
        <w:rPr>
          <w:rFonts w:ascii="Calibri" w:hAnsi="Calibri"/>
          <w:b/>
          <w:caps/>
          <w:lang w:val="en-AU"/>
        </w:rPr>
        <w:t>—</w:t>
      </w:r>
      <w:r w:rsidR="0085746E">
        <w:rPr>
          <w:rFonts w:ascii="Calibri" w:hAnsi="Calibri"/>
          <w:b/>
          <w:caps/>
          <w:lang w:val="en-AU"/>
        </w:rPr>
        <w:t>Update—</w:t>
      </w:r>
      <w:r w:rsidRPr="00A120FA">
        <w:rPr>
          <w:rFonts w:ascii="Calibri" w:hAnsi="Calibri"/>
          <w:b/>
          <w:caps/>
          <w:lang w:val="en-AU"/>
        </w:rPr>
        <w:t>MINISTERIAL STATEMENT</w:t>
      </w:r>
      <w:r w:rsidR="0085746E">
        <w:rPr>
          <w:rFonts w:ascii="Calibri" w:hAnsi="Calibri"/>
          <w:b/>
          <w:caps/>
          <w:lang w:val="en-AU"/>
        </w:rPr>
        <w:t xml:space="preserve"> and paper</w:t>
      </w:r>
      <w:r w:rsidRPr="00A120FA">
        <w:rPr>
          <w:rFonts w:ascii="Calibri" w:hAnsi="Calibri"/>
          <w:b/>
          <w:caps/>
          <w:lang w:val="en-AU"/>
        </w:rPr>
        <w:t>—PAPER NOTED</w:t>
      </w:r>
    </w:p>
    <w:p w:rsidR="00A120FA" w:rsidRPr="00A120FA" w:rsidRDefault="00A120FA" w:rsidP="00A120FA">
      <w:pPr>
        <w:spacing w:before="120"/>
        <w:ind w:left="720"/>
        <w:rPr>
          <w:rFonts w:ascii="Calibri" w:hAnsi="Calibri"/>
          <w:lang w:val="en-AU"/>
        </w:rPr>
      </w:pPr>
      <w:r>
        <w:rPr>
          <w:rFonts w:ascii="Calibri" w:hAnsi="Calibri"/>
          <w:lang w:val="en-AU"/>
        </w:rPr>
        <w:t>Ms Davidson (Minister for Mental Health)</w:t>
      </w:r>
      <w:r w:rsidRPr="00A120FA">
        <w:rPr>
          <w:rFonts w:ascii="Calibri" w:hAnsi="Calibri"/>
          <w:lang w:val="en-AU"/>
        </w:rPr>
        <w:t xml:space="preserve"> made a ministerial statement</w:t>
      </w:r>
      <w:r w:rsidR="00F962AA">
        <w:rPr>
          <w:rFonts w:ascii="Calibri" w:hAnsi="Calibri"/>
          <w:lang w:val="en-AU"/>
        </w:rPr>
        <w:t xml:space="preserve"> to </w:t>
      </w:r>
      <w:r w:rsidR="00FA15AA">
        <w:rPr>
          <w:rFonts w:ascii="Calibri" w:hAnsi="Calibri"/>
          <w:lang w:val="en-AU"/>
        </w:rPr>
        <w:t xml:space="preserve">provide an </w:t>
      </w:r>
      <w:r w:rsidR="00F962AA">
        <w:rPr>
          <w:rFonts w:ascii="Calibri" w:hAnsi="Calibri"/>
          <w:lang w:val="en-AU"/>
        </w:rPr>
        <w:t xml:space="preserve">update </w:t>
      </w:r>
      <w:r w:rsidR="00FA15AA">
        <w:rPr>
          <w:rFonts w:ascii="Calibri" w:hAnsi="Calibri"/>
          <w:lang w:val="en-AU"/>
        </w:rPr>
        <w:t>to the</w:t>
      </w:r>
      <w:r w:rsidRPr="00A120FA">
        <w:rPr>
          <w:rFonts w:ascii="Calibri" w:hAnsi="Calibri"/>
          <w:lang w:val="en-AU"/>
        </w:rPr>
        <w:t xml:space="preserve"> </w:t>
      </w:r>
      <w:r>
        <w:rPr>
          <w:rFonts w:ascii="Calibri" w:hAnsi="Calibri"/>
          <w:lang w:val="en-AU"/>
        </w:rPr>
        <w:t>ACT Eating Disorders Position Statement</w:t>
      </w:r>
      <w:r w:rsidRPr="00A120FA">
        <w:rPr>
          <w:rFonts w:ascii="Calibri" w:hAnsi="Calibri"/>
          <w:lang w:val="en-AU"/>
        </w:rPr>
        <w:t xml:space="preserve"> and presented the following paper</w:t>
      </w:r>
      <w:r w:rsidR="0085746E">
        <w:rPr>
          <w:rFonts w:ascii="Calibri" w:hAnsi="Calibri"/>
          <w:lang w:val="en-AU"/>
        </w:rPr>
        <w:t>s</w:t>
      </w:r>
      <w:r w:rsidRPr="00A120FA">
        <w:rPr>
          <w:rFonts w:ascii="Calibri" w:hAnsi="Calibri"/>
          <w:lang w:val="en-AU"/>
        </w:rPr>
        <w:t>:</w:t>
      </w:r>
    </w:p>
    <w:p w:rsidR="00FA15AA" w:rsidRDefault="0085746E" w:rsidP="00E127C3">
      <w:pPr>
        <w:spacing w:before="110"/>
        <w:ind w:left="720"/>
        <w:rPr>
          <w:rFonts w:ascii="Calibri" w:hAnsi="Calibri"/>
          <w:lang w:val="en-AU"/>
        </w:rPr>
      </w:pPr>
      <w:r>
        <w:rPr>
          <w:rFonts w:ascii="Calibri" w:hAnsi="Calibri"/>
          <w:lang w:val="en-AU"/>
        </w:rPr>
        <w:t>ACT Eating Disorders Position Statement—Update</w:t>
      </w:r>
      <w:r w:rsidR="00FA15AA">
        <w:rPr>
          <w:rFonts w:ascii="Calibri" w:hAnsi="Calibri"/>
          <w:lang w:val="en-AU"/>
        </w:rPr>
        <w:t>—</w:t>
      </w:r>
    </w:p>
    <w:p w:rsidR="0085746E" w:rsidRDefault="00FA15AA" w:rsidP="00E127C3">
      <w:pPr>
        <w:pStyle w:val="DPSEntryDetailIndentLev1"/>
        <w:spacing w:before="110"/>
      </w:pPr>
      <w:r>
        <w:t>Response to Dr Marisa Paterson</w:t>
      </w:r>
      <w:r w:rsidR="005B1413">
        <w:t>’</w:t>
      </w:r>
      <w:r>
        <w:t>s e-petition, dated February 2022</w:t>
      </w:r>
      <w:r w:rsidR="0085746E">
        <w:t>.</w:t>
      </w:r>
    </w:p>
    <w:p w:rsidR="00A120FA" w:rsidRPr="00A120FA" w:rsidRDefault="00A120FA" w:rsidP="00E127C3">
      <w:pPr>
        <w:pStyle w:val="DPSEntryDetailIndentLev1"/>
        <w:spacing w:before="110"/>
      </w:pPr>
      <w:r w:rsidRPr="00A120FA">
        <w:t xml:space="preserve">Ministerial statement, </w:t>
      </w:r>
      <w:r>
        <w:t>23 March 2022</w:t>
      </w:r>
      <w:r w:rsidRPr="00A120FA">
        <w:t>.</w:t>
      </w:r>
    </w:p>
    <w:p w:rsidR="00A120FA" w:rsidRPr="00A120FA" w:rsidRDefault="00A120FA" w:rsidP="00E127C3">
      <w:pPr>
        <w:spacing w:before="110"/>
        <w:ind w:left="720"/>
        <w:rPr>
          <w:rFonts w:ascii="Calibri" w:hAnsi="Calibri"/>
          <w:lang w:val="en-AU"/>
        </w:rPr>
      </w:pPr>
      <w:r>
        <w:rPr>
          <w:rFonts w:ascii="Calibri" w:hAnsi="Calibri"/>
          <w:lang w:val="en-AU"/>
        </w:rPr>
        <w:t>Ms Davidson</w:t>
      </w:r>
      <w:r w:rsidRPr="00A120FA">
        <w:rPr>
          <w:rFonts w:ascii="Calibri" w:hAnsi="Calibri"/>
          <w:lang w:val="en-AU"/>
        </w:rPr>
        <w:t xml:space="preserve"> moved—That the Assembly take note of the </w:t>
      </w:r>
      <w:r w:rsidR="0085746E">
        <w:rPr>
          <w:rFonts w:ascii="Calibri" w:hAnsi="Calibri"/>
          <w:lang w:val="en-AU"/>
        </w:rPr>
        <w:t>ministerial statement</w:t>
      </w:r>
      <w:r w:rsidRPr="00A120FA">
        <w:rPr>
          <w:rFonts w:ascii="Calibri" w:hAnsi="Calibri"/>
          <w:lang w:val="en-AU"/>
        </w:rPr>
        <w:t>.</w:t>
      </w:r>
    </w:p>
    <w:p w:rsidR="00A120FA" w:rsidRPr="00A120FA" w:rsidRDefault="00A120FA" w:rsidP="00E127C3">
      <w:pPr>
        <w:spacing w:before="110"/>
        <w:ind w:left="720"/>
        <w:rPr>
          <w:rFonts w:ascii="Calibri" w:hAnsi="Calibri"/>
          <w:lang w:val="en-AU"/>
        </w:rPr>
      </w:pPr>
      <w:r w:rsidRPr="00A120FA">
        <w:rPr>
          <w:rFonts w:ascii="Calibri" w:hAnsi="Calibri"/>
          <w:lang w:val="en-AU"/>
        </w:rPr>
        <w:t>Debate ensued.</w:t>
      </w:r>
    </w:p>
    <w:p w:rsidR="00A120FA" w:rsidRPr="00A120FA" w:rsidRDefault="00A120FA" w:rsidP="00E127C3">
      <w:pPr>
        <w:spacing w:before="110"/>
        <w:ind w:left="720"/>
        <w:rPr>
          <w:rFonts w:ascii="Calibri" w:hAnsi="Calibri"/>
          <w:lang w:val="en-AU"/>
        </w:rPr>
      </w:pPr>
      <w:r w:rsidRPr="00A120FA">
        <w:rPr>
          <w:rFonts w:ascii="Calibri" w:hAnsi="Calibri"/>
          <w:lang w:val="en-AU"/>
        </w:rPr>
        <w:t>Question—put and passed.</w:t>
      </w:r>
    </w:p>
    <w:p w:rsidR="00F962AA" w:rsidRPr="00F962AA" w:rsidRDefault="00F962AA" w:rsidP="00F962AA">
      <w:pPr>
        <w:keepNext/>
        <w:keepLines/>
        <w:tabs>
          <w:tab w:val="right" w:pos="339"/>
          <w:tab w:val="left" w:pos="720"/>
        </w:tabs>
        <w:spacing w:before="240"/>
        <w:ind w:left="720" w:hanging="720"/>
        <w:rPr>
          <w:rFonts w:ascii="Calibri" w:hAnsi="Calibri"/>
          <w:b/>
          <w:lang w:val="en-AU"/>
        </w:rPr>
      </w:pPr>
      <w:r w:rsidRPr="00F962AA">
        <w:rPr>
          <w:rFonts w:ascii="Calibri" w:hAnsi="Calibri"/>
          <w:b/>
          <w:lang w:val="en-AU"/>
        </w:rPr>
        <w:tab/>
      </w:r>
      <w:r w:rsidR="005B1413">
        <w:rPr>
          <w:rFonts w:ascii="Calibri" w:hAnsi="Calibri"/>
          <w:b/>
          <w:bCs/>
          <w:lang w:val="en-AU"/>
        </w:rPr>
        <w:fldChar w:fldCharType="begin"/>
      </w:r>
      <w:r w:rsidR="005B1413">
        <w:rPr>
          <w:rFonts w:ascii="Calibri" w:hAnsi="Calibri"/>
          <w:b/>
          <w:bCs/>
          <w:lang w:val="en-AU"/>
        </w:rPr>
        <w:instrText xml:space="preserve"> SEQ A \* MERGEFORMAT </w:instrText>
      </w:r>
      <w:r w:rsidR="005B1413">
        <w:rPr>
          <w:rFonts w:ascii="Calibri" w:hAnsi="Calibri"/>
          <w:b/>
          <w:bCs/>
          <w:lang w:val="en-AU"/>
        </w:rPr>
        <w:fldChar w:fldCharType="separate"/>
      </w:r>
      <w:r w:rsidR="0063377C">
        <w:rPr>
          <w:rFonts w:ascii="Calibri" w:hAnsi="Calibri"/>
          <w:b/>
          <w:bCs/>
          <w:noProof/>
          <w:lang w:val="en-AU"/>
        </w:rPr>
        <w:t>5</w:t>
      </w:r>
      <w:r w:rsidR="005B1413">
        <w:rPr>
          <w:rFonts w:ascii="Calibri" w:hAnsi="Calibri"/>
          <w:b/>
          <w:bCs/>
          <w:lang w:val="en-AU"/>
        </w:rPr>
        <w:fldChar w:fldCharType="end"/>
      </w:r>
      <w:r w:rsidRPr="00F962AA">
        <w:rPr>
          <w:rFonts w:ascii="Calibri" w:hAnsi="Calibri"/>
          <w:b/>
          <w:lang w:val="en-AU"/>
        </w:rPr>
        <w:tab/>
      </w:r>
      <w:r>
        <w:rPr>
          <w:rFonts w:ascii="Calibri" w:hAnsi="Calibri"/>
          <w:b/>
          <w:caps/>
          <w:lang w:val="en-AU"/>
        </w:rPr>
        <w:t>A.C.T. Mental Health Workforce Strategy</w:t>
      </w:r>
      <w:r w:rsidRPr="00F962AA">
        <w:rPr>
          <w:rFonts w:ascii="Calibri" w:hAnsi="Calibri"/>
          <w:b/>
          <w:caps/>
          <w:lang w:val="en-AU"/>
        </w:rPr>
        <w:t>—MINISTERIAL STATEMENT—PAPER NOTED</w:t>
      </w:r>
    </w:p>
    <w:p w:rsidR="00F962AA" w:rsidRPr="00F962AA" w:rsidRDefault="00F962AA" w:rsidP="00F962AA">
      <w:pPr>
        <w:spacing w:before="120"/>
        <w:ind w:left="720"/>
        <w:rPr>
          <w:rFonts w:ascii="Calibri" w:hAnsi="Calibri"/>
          <w:lang w:val="en-AU"/>
        </w:rPr>
      </w:pPr>
      <w:r>
        <w:rPr>
          <w:rFonts w:ascii="Calibri" w:hAnsi="Calibri"/>
          <w:lang w:val="en-AU"/>
        </w:rPr>
        <w:t>Ms Davidson (Minister for Mental Health)</w:t>
      </w:r>
      <w:r w:rsidRPr="00F962AA">
        <w:rPr>
          <w:rFonts w:ascii="Calibri" w:hAnsi="Calibri"/>
          <w:lang w:val="en-AU"/>
        </w:rPr>
        <w:t xml:space="preserve"> made a ministerial statement</w:t>
      </w:r>
      <w:r>
        <w:rPr>
          <w:rFonts w:ascii="Calibri" w:hAnsi="Calibri"/>
          <w:lang w:val="en-AU"/>
        </w:rPr>
        <w:t xml:space="preserve"> </w:t>
      </w:r>
      <w:r w:rsidR="00353FEB">
        <w:rPr>
          <w:rFonts w:ascii="Calibri" w:hAnsi="Calibri"/>
          <w:lang w:val="en-AU"/>
        </w:rPr>
        <w:t>to update the Assembly on the ACT Mental Health Workforce Strategy in response to t</w:t>
      </w:r>
      <w:r>
        <w:rPr>
          <w:rFonts w:ascii="Calibri" w:hAnsi="Calibri"/>
          <w:lang w:val="en-AU"/>
        </w:rPr>
        <w:t>he resolution of the Assembly of 8 October 2021</w:t>
      </w:r>
      <w:r w:rsidR="00353FEB">
        <w:rPr>
          <w:rFonts w:ascii="Calibri" w:hAnsi="Calibri"/>
          <w:lang w:val="en-AU"/>
        </w:rPr>
        <w:t>, concerning youth mental health,</w:t>
      </w:r>
      <w:r w:rsidRPr="00F962AA">
        <w:rPr>
          <w:rFonts w:ascii="Calibri" w:hAnsi="Calibri"/>
          <w:lang w:val="en-AU"/>
        </w:rPr>
        <w:t xml:space="preserve"> and presented the following paper:</w:t>
      </w:r>
    </w:p>
    <w:p w:rsidR="00F962AA" w:rsidRPr="00F962AA" w:rsidRDefault="00F962AA" w:rsidP="00E127C3">
      <w:pPr>
        <w:spacing w:before="110"/>
        <w:ind w:left="720"/>
        <w:rPr>
          <w:rFonts w:ascii="Calibri" w:hAnsi="Calibri"/>
          <w:lang w:val="en-AU"/>
        </w:rPr>
      </w:pPr>
      <w:r>
        <w:rPr>
          <w:rFonts w:ascii="Calibri" w:hAnsi="Calibri"/>
          <w:lang w:val="en-AU"/>
        </w:rPr>
        <w:lastRenderedPageBreak/>
        <w:t>ACT Mental Health Workforce Strategy</w:t>
      </w:r>
      <w:r w:rsidRPr="00F962AA">
        <w:rPr>
          <w:rFonts w:ascii="Calibri" w:hAnsi="Calibri"/>
          <w:lang w:val="en-AU"/>
        </w:rPr>
        <w:t>—</w:t>
      </w:r>
      <w:r w:rsidR="00353FEB">
        <w:rPr>
          <w:rFonts w:ascii="Calibri" w:hAnsi="Calibri"/>
          <w:lang w:val="en-AU"/>
        </w:rPr>
        <w:t xml:space="preserve">Update on </w:t>
      </w:r>
      <w:r w:rsidR="002544EA">
        <w:rPr>
          <w:rFonts w:ascii="Calibri" w:hAnsi="Calibri"/>
          <w:lang w:val="en-AU"/>
        </w:rPr>
        <w:t xml:space="preserve">Assembly </w:t>
      </w:r>
      <w:r w:rsidR="00353FEB">
        <w:rPr>
          <w:rFonts w:ascii="Calibri" w:hAnsi="Calibri"/>
          <w:lang w:val="en-AU"/>
        </w:rPr>
        <w:t>resolution 8 October 2021—</w:t>
      </w:r>
      <w:r w:rsidRPr="00F962AA">
        <w:rPr>
          <w:rFonts w:ascii="Calibri" w:hAnsi="Calibri"/>
          <w:lang w:val="en-AU"/>
        </w:rPr>
        <w:t xml:space="preserve">Ministerial statement, </w:t>
      </w:r>
      <w:r>
        <w:rPr>
          <w:rFonts w:ascii="Calibri" w:hAnsi="Calibri"/>
          <w:lang w:val="en-AU"/>
        </w:rPr>
        <w:t>23 March 2022</w:t>
      </w:r>
      <w:r w:rsidRPr="00F962AA">
        <w:rPr>
          <w:rFonts w:ascii="Calibri" w:hAnsi="Calibri"/>
          <w:lang w:val="en-AU"/>
        </w:rPr>
        <w:t>.</w:t>
      </w:r>
    </w:p>
    <w:p w:rsidR="00F962AA" w:rsidRPr="00F962AA" w:rsidRDefault="00F962AA" w:rsidP="00E127C3">
      <w:pPr>
        <w:spacing w:before="110"/>
        <w:ind w:left="720"/>
        <w:rPr>
          <w:rFonts w:ascii="Calibri" w:hAnsi="Calibri"/>
          <w:lang w:val="en-AU"/>
        </w:rPr>
      </w:pPr>
      <w:r>
        <w:rPr>
          <w:rFonts w:ascii="Calibri" w:hAnsi="Calibri"/>
          <w:lang w:val="en-AU"/>
        </w:rPr>
        <w:t>Ms Davidson</w:t>
      </w:r>
      <w:r w:rsidRPr="00F962AA">
        <w:rPr>
          <w:rFonts w:ascii="Calibri" w:hAnsi="Calibri"/>
          <w:lang w:val="en-AU"/>
        </w:rPr>
        <w:t xml:space="preserve"> moved—That the Assembly take note of the paper.</w:t>
      </w:r>
    </w:p>
    <w:p w:rsidR="00F962AA" w:rsidRPr="00F962AA" w:rsidRDefault="00F962AA" w:rsidP="00E127C3">
      <w:pPr>
        <w:spacing w:before="110"/>
        <w:ind w:left="720"/>
        <w:rPr>
          <w:rFonts w:ascii="Calibri" w:hAnsi="Calibri"/>
          <w:lang w:val="en-AU"/>
        </w:rPr>
      </w:pPr>
      <w:r w:rsidRPr="00F962AA">
        <w:rPr>
          <w:rFonts w:ascii="Calibri" w:hAnsi="Calibri"/>
          <w:lang w:val="en-AU"/>
        </w:rPr>
        <w:t>Question—put and passed.</w:t>
      </w:r>
    </w:p>
    <w:p w:rsidR="004D6323" w:rsidRPr="004D6323" w:rsidRDefault="004D6323" w:rsidP="004D6323">
      <w:pPr>
        <w:keepNext/>
        <w:keepLines/>
        <w:tabs>
          <w:tab w:val="right" w:pos="339"/>
          <w:tab w:val="left" w:pos="720"/>
        </w:tabs>
        <w:spacing w:before="240"/>
        <w:ind w:left="720" w:hanging="720"/>
        <w:rPr>
          <w:rFonts w:ascii="Calibri" w:hAnsi="Calibri"/>
          <w:b/>
          <w:caps/>
          <w:lang w:val="en-AU"/>
        </w:rPr>
      </w:pPr>
      <w:r w:rsidRPr="004D6323">
        <w:rPr>
          <w:rFonts w:ascii="Calibri" w:hAnsi="Calibri"/>
          <w:b/>
          <w:caps/>
          <w:lang w:val="en-AU"/>
        </w:rPr>
        <w:tab/>
      </w:r>
      <w:r w:rsidR="005B1413">
        <w:rPr>
          <w:rFonts w:ascii="Calibri" w:hAnsi="Calibri"/>
          <w:b/>
          <w:bCs/>
          <w:caps/>
          <w:lang w:val="en-AU"/>
        </w:rPr>
        <w:fldChar w:fldCharType="begin"/>
      </w:r>
      <w:r w:rsidR="005B1413">
        <w:rPr>
          <w:rFonts w:ascii="Calibri" w:hAnsi="Calibri"/>
          <w:b/>
          <w:bCs/>
          <w:caps/>
          <w:lang w:val="en-AU"/>
        </w:rPr>
        <w:instrText xml:space="preserve"> SEQ A \* MERGEFORMAT </w:instrText>
      </w:r>
      <w:r w:rsidR="005B1413">
        <w:rPr>
          <w:rFonts w:ascii="Calibri" w:hAnsi="Calibri"/>
          <w:b/>
          <w:bCs/>
          <w:caps/>
          <w:lang w:val="en-AU"/>
        </w:rPr>
        <w:fldChar w:fldCharType="separate"/>
      </w:r>
      <w:r w:rsidR="0063377C">
        <w:rPr>
          <w:rFonts w:ascii="Calibri" w:hAnsi="Calibri"/>
          <w:b/>
          <w:bCs/>
          <w:caps/>
          <w:noProof/>
          <w:lang w:val="en-AU"/>
        </w:rPr>
        <w:t>6</w:t>
      </w:r>
      <w:r w:rsidR="005B1413">
        <w:rPr>
          <w:rFonts w:ascii="Calibri" w:hAnsi="Calibri"/>
          <w:b/>
          <w:bCs/>
          <w:caps/>
          <w:lang w:val="en-AU"/>
        </w:rPr>
        <w:fldChar w:fldCharType="end"/>
      </w:r>
      <w:r w:rsidRPr="004D6323">
        <w:rPr>
          <w:rFonts w:ascii="Calibri" w:hAnsi="Calibri"/>
          <w:b/>
          <w:caps/>
          <w:lang w:val="en-AU"/>
        </w:rPr>
        <w:tab/>
      </w:r>
      <w:r>
        <w:rPr>
          <w:rFonts w:ascii="Calibri" w:hAnsi="Calibri"/>
          <w:b/>
          <w:caps/>
          <w:lang w:val="en-AU"/>
        </w:rPr>
        <w:t>Ukraine conflict</w:t>
      </w:r>
    </w:p>
    <w:p w:rsidR="004D6323" w:rsidRDefault="004D6323" w:rsidP="004D6323">
      <w:pPr>
        <w:spacing w:before="120"/>
        <w:ind w:left="720"/>
        <w:rPr>
          <w:rFonts w:ascii="Calibri" w:hAnsi="Calibri"/>
          <w:color w:val="000000"/>
          <w:lang w:val="en-AU"/>
        </w:rPr>
      </w:pPr>
      <w:r>
        <w:rPr>
          <w:rFonts w:ascii="Calibri" w:hAnsi="Calibri"/>
          <w:color w:val="000000"/>
          <w:lang w:val="en-AU"/>
        </w:rPr>
        <w:t>Mr Barr (Chief Minister)</w:t>
      </w:r>
      <w:r w:rsidRPr="004D6323">
        <w:rPr>
          <w:rFonts w:ascii="Calibri" w:hAnsi="Calibri"/>
          <w:color w:val="000000"/>
          <w:lang w:val="en-AU"/>
        </w:rPr>
        <w:t>, pursuant to notice, moved—That</w:t>
      </w:r>
      <w:r>
        <w:rPr>
          <w:rFonts w:ascii="Calibri" w:hAnsi="Calibri"/>
          <w:color w:val="000000"/>
          <w:lang w:val="en-AU"/>
        </w:rPr>
        <w:t xml:space="preserve"> this Assembly:</w:t>
      </w:r>
    </w:p>
    <w:p w:rsidR="005C5128" w:rsidRPr="009B2B8F" w:rsidRDefault="005C5128" w:rsidP="00E127C3">
      <w:pPr>
        <w:pStyle w:val="DPSEntryIndents"/>
        <w:spacing w:before="110"/>
        <w:rPr>
          <w:lang w:eastAsia="en-US"/>
        </w:rPr>
      </w:pPr>
      <w:r w:rsidRPr="009B2B8F">
        <w:rPr>
          <w:lang w:eastAsia="en-US"/>
        </w:rPr>
        <w:t>voices support for the democratically elected Ukrainian Government, the Ukrainian people and Canberra</w:t>
      </w:r>
      <w:r w:rsidR="005B1413">
        <w:rPr>
          <w:lang w:eastAsia="en-US"/>
        </w:rPr>
        <w:t>’</w:t>
      </w:r>
      <w:r w:rsidRPr="009B2B8F">
        <w:rPr>
          <w:lang w:eastAsia="en-US"/>
        </w:rPr>
        <w:t>s Ukrainian community; and</w:t>
      </w:r>
    </w:p>
    <w:p w:rsidR="004D6323" w:rsidRPr="004D6323" w:rsidRDefault="005C5128" w:rsidP="00E127C3">
      <w:pPr>
        <w:pStyle w:val="DPSEntryIndents"/>
        <w:spacing w:before="110"/>
        <w:rPr>
          <w:color w:val="000000"/>
        </w:rPr>
      </w:pPr>
      <w:r w:rsidRPr="009B2B8F">
        <w:rPr>
          <w:lang w:eastAsia="en-US"/>
        </w:rPr>
        <w:t>requests the Speaker convey to the Ukrainian Government, via the Embassy in Canberra, the support of this Assembly expressed in this motion.</w:t>
      </w:r>
    </w:p>
    <w:p w:rsidR="004D6323" w:rsidRPr="004D6323" w:rsidRDefault="004D6323" w:rsidP="00E127C3">
      <w:pPr>
        <w:keepNext/>
        <w:spacing w:before="110"/>
        <w:ind w:left="720"/>
        <w:rPr>
          <w:rFonts w:ascii="Calibri" w:hAnsi="Calibri"/>
          <w:color w:val="000000"/>
          <w:lang w:val="en-AU"/>
        </w:rPr>
      </w:pPr>
      <w:r w:rsidRPr="004D6323">
        <w:rPr>
          <w:rFonts w:ascii="Calibri" w:hAnsi="Calibri"/>
          <w:color w:val="000000"/>
          <w:lang w:val="en-AU"/>
        </w:rPr>
        <w:t>Debate ensued.</w:t>
      </w:r>
    </w:p>
    <w:p w:rsidR="004D6323" w:rsidRPr="004D6323" w:rsidRDefault="004D6323" w:rsidP="00E127C3">
      <w:pPr>
        <w:spacing w:before="110"/>
        <w:ind w:left="720"/>
        <w:rPr>
          <w:rFonts w:ascii="Calibri" w:hAnsi="Calibri"/>
          <w:color w:val="000000"/>
          <w:lang w:val="en-AU"/>
        </w:rPr>
      </w:pPr>
      <w:r w:rsidRPr="004D6323">
        <w:rPr>
          <w:rFonts w:ascii="Calibri" w:hAnsi="Calibri"/>
          <w:color w:val="000000"/>
          <w:lang w:val="en-AU"/>
        </w:rPr>
        <w:t>Question—put and passed.</w:t>
      </w:r>
    </w:p>
    <w:p w:rsidR="007D5CFB" w:rsidRPr="00041FD2" w:rsidRDefault="007D5CFB" w:rsidP="007D5CFB">
      <w:pPr>
        <w:keepNext/>
        <w:keepLines/>
        <w:tabs>
          <w:tab w:val="right" w:pos="339"/>
          <w:tab w:val="left" w:pos="720"/>
        </w:tabs>
        <w:spacing w:before="240"/>
        <w:ind w:left="720" w:hanging="720"/>
        <w:rPr>
          <w:rFonts w:ascii="Calibri" w:hAnsi="Calibri"/>
          <w:b/>
          <w:caps/>
          <w:lang w:val="en-AU"/>
        </w:rPr>
      </w:pPr>
      <w:r w:rsidRPr="004D6323">
        <w:rPr>
          <w:rFonts w:ascii="Calibri" w:hAnsi="Calibri"/>
          <w:b/>
          <w:caps/>
          <w:lang w:val="en-AU"/>
        </w:rPr>
        <w:tab/>
      </w:r>
      <w:r w:rsidR="005B1413">
        <w:rPr>
          <w:rFonts w:ascii="Calibri" w:hAnsi="Calibri"/>
          <w:b/>
          <w:bCs/>
          <w:caps/>
          <w:lang w:val="en-AU"/>
        </w:rPr>
        <w:fldChar w:fldCharType="begin"/>
      </w:r>
      <w:r w:rsidR="005B1413">
        <w:rPr>
          <w:rFonts w:ascii="Calibri" w:hAnsi="Calibri"/>
          <w:b/>
          <w:bCs/>
          <w:caps/>
          <w:lang w:val="en-AU"/>
        </w:rPr>
        <w:instrText xml:space="preserve"> SEQ A \* MERGEFORMAT </w:instrText>
      </w:r>
      <w:r w:rsidR="005B1413">
        <w:rPr>
          <w:rFonts w:ascii="Calibri" w:hAnsi="Calibri"/>
          <w:b/>
          <w:bCs/>
          <w:caps/>
          <w:lang w:val="en-AU"/>
        </w:rPr>
        <w:fldChar w:fldCharType="separate"/>
      </w:r>
      <w:r w:rsidR="0063377C">
        <w:rPr>
          <w:rFonts w:ascii="Calibri" w:hAnsi="Calibri"/>
          <w:b/>
          <w:bCs/>
          <w:caps/>
          <w:noProof/>
          <w:lang w:val="en-AU"/>
        </w:rPr>
        <w:t>7</w:t>
      </w:r>
      <w:r w:rsidR="005B1413">
        <w:rPr>
          <w:rFonts w:ascii="Calibri" w:hAnsi="Calibri"/>
          <w:b/>
          <w:bCs/>
          <w:caps/>
          <w:lang w:val="en-AU"/>
        </w:rPr>
        <w:fldChar w:fldCharType="end"/>
      </w:r>
      <w:r w:rsidRPr="004D6323">
        <w:rPr>
          <w:rFonts w:ascii="Calibri" w:hAnsi="Calibri"/>
          <w:b/>
          <w:caps/>
          <w:lang w:val="en-AU"/>
        </w:rPr>
        <w:tab/>
      </w:r>
      <w:r>
        <w:rPr>
          <w:rFonts w:ascii="Calibri" w:hAnsi="Calibri"/>
          <w:b/>
          <w:caps/>
          <w:lang w:val="en-AU"/>
        </w:rPr>
        <w:t>Crimes (Policing) Legislation Amendment Bill 2021</w:t>
      </w:r>
    </w:p>
    <w:p w:rsidR="007D5CFB" w:rsidRPr="00041FD2" w:rsidRDefault="007D5CFB" w:rsidP="007D5CFB">
      <w:pPr>
        <w:spacing w:before="120"/>
        <w:ind w:left="720"/>
        <w:rPr>
          <w:rFonts w:ascii="Calibri" w:hAnsi="Calibri"/>
          <w:lang w:val="en-AU"/>
        </w:rPr>
      </w:pPr>
      <w:r w:rsidRPr="00041FD2">
        <w:rPr>
          <w:rFonts w:ascii="Calibri" w:hAnsi="Calibri"/>
          <w:lang w:val="en-AU"/>
        </w:rPr>
        <w:t>The order of the day having been read for the resumption of the debate on the question—That this Bill be agreed to in principle—</w:t>
      </w:r>
    </w:p>
    <w:p w:rsidR="007D5CFB" w:rsidRPr="00041FD2" w:rsidRDefault="007D5CFB" w:rsidP="007D5CFB">
      <w:pPr>
        <w:spacing w:before="120"/>
        <w:ind w:left="720"/>
        <w:rPr>
          <w:rFonts w:ascii="Calibri" w:hAnsi="Calibri"/>
          <w:iCs/>
          <w:lang w:val="en-AU"/>
        </w:rPr>
      </w:pPr>
      <w:r w:rsidRPr="00041FD2">
        <w:rPr>
          <w:rFonts w:ascii="Calibri" w:hAnsi="Calibri"/>
          <w:iCs/>
          <w:lang w:val="en-AU"/>
        </w:rPr>
        <w:t>Debate resumed.</w:t>
      </w:r>
    </w:p>
    <w:p w:rsidR="007D5CFB" w:rsidRPr="00041FD2" w:rsidRDefault="007D5CFB" w:rsidP="007D5CFB">
      <w:pPr>
        <w:spacing w:before="120"/>
        <w:ind w:left="720"/>
        <w:rPr>
          <w:rFonts w:ascii="Calibri" w:hAnsi="Calibri"/>
          <w:iCs/>
          <w:lang w:val="en-AU"/>
        </w:rPr>
      </w:pPr>
      <w:r w:rsidRPr="00041FD2">
        <w:rPr>
          <w:rFonts w:ascii="Calibri" w:hAnsi="Calibri"/>
          <w:iCs/>
          <w:lang w:val="en-AU"/>
        </w:rPr>
        <w:t>Question—That this Bill be agreed to in principle—put and passed.</w:t>
      </w:r>
    </w:p>
    <w:p w:rsidR="007D5CFB" w:rsidRPr="00041FD2" w:rsidRDefault="007D5CFB" w:rsidP="007D5CFB">
      <w:pPr>
        <w:spacing w:before="120"/>
        <w:ind w:left="720"/>
        <w:rPr>
          <w:rFonts w:ascii="Calibri" w:hAnsi="Calibri"/>
          <w:iCs/>
          <w:lang w:val="en-AU"/>
        </w:rPr>
      </w:pPr>
      <w:r w:rsidRPr="00041FD2">
        <w:rPr>
          <w:rFonts w:ascii="Calibri" w:hAnsi="Calibri"/>
          <w:iCs/>
          <w:lang w:val="en-AU"/>
        </w:rPr>
        <w:t>Leave granted to dispense with the detail stage.</w:t>
      </w:r>
    </w:p>
    <w:p w:rsidR="007D5CFB" w:rsidRPr="00041FD2" w:rsidRDefault="007D5CFB" w:rsidP="007D5CFB">
      <w:pPr>
        <w:spacing w:before="120"/>
        <w:ind w:left="720"/>
        <w:rPr>
          <w:rFonts w:ascii="Calibri" w:hAnsi="Calibri"/>
          <w:lang w:val="en-AU"/>
        </w:rPr>
      </w:pPr>
      <w:r w:rsidRPr="00041FD2">
        <w:rPr>
          <w:rFonts w:ascii="Calibri" w:hAnsi="Calibri"/>
          <w:lang w:val="en-AU"/>
        </w:rPr>
        <w:t>Question—That this Bill be agreed to—put and passed.</w:t>
      </w:r>
    </w:p>
    <w:p w:rsidR="005C5128" w:rsidRPr="00802856" w:rsidRDefault="005C5128" w:rsidP="005C5128">
      <w:pPr>
        <w:keepNext/>
        <w:keepLines/>
        <w:tabs>
          <w:tab w:val="right" w:pos="339"/>
          <w:tab w:val="left" w:pos="720"/>
        </w:tabs>
        <w:spacing w:before="240"/>
        <w:ind w:left="720" w:hanging="720"/>
        <w:rPr>
          <w:rFonts w:ascii="Calibri" w:hAnsi="Calibri"/>
          <w:b/>
          <w:caps/>
          <w:lang w:val="en-AU"/>
        </w:rPr>
      </w:pPr>
      <w:r w:rsidRPr="00802856">
        <w:rPr>
          <w:rFonts w:ascii="Calibri" w:hAnsi="Calibri"/>
          <w:b/>
          <w:caps/>
          <w:lang w:val="en-AU"/>
        </w:rPr>
        <w:tab/>
      </w:r>
      <w:r w:rsidR="005B1413">
        <w:rPr>
          <w:rFonts w:ascii="Calibri" w:hAnsi="Calibri"/>
          <w:b/>
          <w:bCs/>
          <w:caps/>
          <w:lang w:val="en-AU"/>
        </w:rPr>
        <w:fldChar w:fldCharType="begin"/>
      </w:r>
      <w:r w:rsidR="005B1413">
        <w:rPr>
          <w:rFonts w:ascii="Calibri" w:hAnsi="Calibri"/>
          <w:b/>
          <w:bCs/>
          <w:caps/>
          <w:lang w:val="en-AU"/>
        </w:rPr>
        <w:instrText xml:space="preserve"> SEQ A \* MERGEFORMAT </w:instrText>
      </w:r>
      <w:r w:rsidR="005B1413">
        <w:rPr>
          <w:rFonts w:ascii="Calibri" w:hAnsi="Calibri"/>
          <w:b/>
          <w:bCs/>
          <w:caps/>
          <w:lang w:val="en-AU"/>
        </w:rPr>
        <w:fldChar w:fldCharType="separate"/>
      </w:r>
      <w:r w:rsidR="0063377C">
        <w:rPr>
          <w:rFonts w:ascii="Calibri" w:hAnsi="Calibri"/>
          <w:b/>
          <w:bCs/>
          <w:caps/>
          <w:noProof/>
          <w:lang w:val="en-AU"/>
        </w:rPr>
        <w:t>8</w:t>
      </w:r>
      <w:r w:rsidR="005B1413">
        <w:rPr>
          <w:rFonts w:ascii="Calibri" w:hAnsi="Calibri"/>
          <w:b/>
          <w:bCs/>
          <w:caps/>
          <w:lang w:val="en-AU"/>
        </w:rPr>
        <w:fldChar w:fldCharType="end"/>
      </w:r>
      <w:r w:rsidRPr="00802856">
        <w:rPr>
          <w:rFonts w:ascii="Calibri" w:hAnsi="Calibri"/>
          <w:b/>
          <w:caps/>
          <w:lang w:val="en-AU"/>
        </w:rPr>
        <w:tab/>
      </w:r>
      <w:r>
        <w:rPr>
          <w:rFonts w:ascii="Calibri" w:hAnsi="Calibri"/>
          <w:b/>
          <w:caps/>
          <w:lang w:val="en-AU"/>
        </w:rPr>
        <w:t>Road Transport Legislation Amendment Bill 2021</w:t>
      </w:r>
    </w:p>
    <w:p w:rsidR="005C5128" w:rsidRPr="00802856" w:rsidRDefault="005C5128" w:rsidP="005C5128">
      <w:pPr>
        <w:spacing w:before="120"/>
        <w:ind w:left="720"/>
        <w:rPr>
          <w:rFonts w:ascii="Calibri" w:hAnsi="Calibri"/>
          <w:lang w:val="en-AU"/>
        </w:rPr>
      </w:pPr>
      <w:r w:rsidRPr="00802856">
        <w:rPr>
          <w:rFonts w:ascii="Calibri" w:hAnsi="Calibri"/>
          <w:lang w:val="en-AU"/>
        </w:rPr>
        <w:t>The order of the day having been read for the resumption of the debate on the question—That this Bill be agreed to in principle—</w:t>
      </w:r>
    </w:p>
    <w:p w:rsidR="005C5128" w:rsidRPr="00802856" w:rsidRDefault="005C5128" w:rsidP="005C5128">
      <w:pPr>
        <w:spacing w:before="120"/>
        <w:ind w:left="720"/>
        <w:rPr>
          <w:rFonts w:ascii="Calibri" w:hAnsi="Calibri"/>
          <w:iCs/>
          <w:lang w:val="en-AU"/>
        </w:rPr>
      </w:pPr>
      <w:r w:rsidRPr="00802856">
        <w:rPr>
          <w:rFonts w:ascii="Calibri" w:hAnsi="Calibri"/>
          <w:iCs/>
          <w:lang w:val="en-AU"/>
        </w:rPr>
        <w:t>Debate resumed.</w:t>
      </w:r>
    </w:p>
    <w:p w:rsidR="005C5128" w:rsidRPr="00802856" w:rsidRDefault="005C5128" w:rsidP="005C5128">
      <w:pPr>
        <w:spacing w:before="120"/>
        <w:ind w:left="720"/>
        <w:rPr>
          <w:rFonts w:ascii="Calibri" w:hAnsi="Calibri"/>
          <w:iCs/>
          <w:lang w:val="en-AU"/>
        </w:rPr>
      </w:pPr>
      <w:r w:rsidRPr="00802856">
        <w:rPr>
          <w:rFonts w:ascii="Calibri" w:hAnsi="Calibri"/>
          <w:iCs/>
          <w:lang w:val="en-AU"/>
        </w:rPr>
        <w:t>Question—That this Bill be agreed to in principle—put and passed.</w:t>
      </w:r>
    </w:p>
    <w:p w:rsidR="005C5128" w:rsidRPr="00802856" w:rsidRDefault="005C5128" w:rsidP="005C5128">
      <w:pPr>
        <w:pBdr>
          <w:bottom w:val="thinThickLargeGap" w:sz="18" w:space="1" w:color="auto"/>
        </w:pBdr>
        <w:ind w:left="3427" w:right="3658"/>
        <w:jc w:val="center"/>
        <w:rPr>
          <w:rFonts w:ascii="Calibri" w:hAnsi="Calibri"/>
          <w:i/>
          <w:iCs/>
          <w:lang w:val="en-AU"/>
        </w:rPr>
      </w:pPr>
    </w:p>
    <w:p w:rsidR="005C5128" w:rsidRPr="00802856" w:rsidRDefault="005C5128" w:rsidP="005C5128">
      <w:pPr>
        <w:tabs>
          <w:tab w:val="left" w:pos="1197"/>
          <w:tab w:val="left" w:pos="1767"/>
        </w:tabs>
        <w:spacing w:before="120"/>
        <w:jc w:val="center"/>
        <w:rPr>
          <w:rFonts w:ascii="Calibri" w:hAnsi="Calibri"/>
          <w:i/>
          <w:iCs/>
          <w:lang w:val="en-AU"/>
        </w:rPr>
      </w:pPr>
      <w:r w:rsidRPr="00802856">
        <w:rPr>
          <w:rFonts w:ascii="Calibri" w:hAnsi="Calibri"/>
          <w:i/>
          <w:iCs/>
          <w:lang w:val="en-AU"/>
        </w:rPr>
        <w:t>Detail Stage</w:t>
      </w:r>
    </w:p>
    <w:p w:rsidR="005C5128" w:rsidRPr="00802856" w:rsidRDefault="005C5128" w:rsidP="005C5128">
      <w:pPr>
        <w:spacing w:before="120"/>
        <w:ind w:left="720"/>
        <w:rPr>
          <w:rFonts w:ascii="Calibri" w:hAnsi="Calibri"/>
          <w:iCs/>
          <w:lang w:val="en-AU"/>
        </w:rPr>
      </w:pPr>
      <w:r w:rsidRPr="00802856">
        <w:rPr>
          <w:rFonts w:ascii="Calibri" w:hAnsi="Calibri"/>
          <w:iCs/>
          <w:lang w:val="en-AU"/>
        </w:rPr>
        <w:t>Clause</w:t>
      </w:r>
      <w:r>
        <w:rPr>
          <w:rFonts w:ascii="Calibri" w:hAnsi="Calibri"/>
          <w:iCs/>
          <w:lang w:val="en-AU"/>
        </w:rPr>
        <w:t>s</w:t>
      </w:r>
      <w:r w:rsidRPr="00802856">
        <w:rPr>
          <w:rFonts w:ascii="Calibri" w:hAnsi="Calibri"/>
          <w:iCs/>
          <w:lang w:val="en-AU"/>
        </w:rPr>
        <w:t xml:space="preserve"> 1</w:t>
      </w:r>
      <w:r>
        <w:rPr>
          <w:rFonts w:ascii="Calibri" w:hAnsi="Calibri"/>
          <w:iCs/>
          <w:lang w:val="en-AU"/>
        </w:rPr>
        <w:t xml:space="preserve"> to 7, by leave, taken together and</w:t>
      </w:r>
      <w:r w:rsidRPr="00802856">
        <w:rPr>
          <w:rFonts w:ascii="Calibri" w:hAnsi="Calibri"/>
          <w:iCs/>
          <w:lang w:val="en-AU"/>
        </w:rPr>
        <w:t xml:space="preserve"> agreed to.</w:t>
      </w:r>
    </w:p>
    <w:p w:rsidR="005C5128" w:rsidRDefault="005C5128" w:rsidP="005C5128">
      <w:pPr>
        <w:spacing w:before="120"/>
        <w:ind w:left="720"/>
        <w:rPr>
          <w:rFonts w:ascii="Calibri" w:hAnsi="Calibri"/>
          <w:iCs/>
          <w:lang w:val="en-AU"/>
        </w:rPr>
      </w:pPr>
      <w:r>
        <w:rPr>
          <w:rFonts w:ascii="Calibri" w:hAnsi="Calibri"/>
          <w:i/>
          <w:iCs/>
          <w:lang w:val="en-AU"/>
        </w:rPr>
        <w:t>New clauses—</w:t>
      </w:r>
    </w:p>
    <w:p w:rsidR="005C5128" w:rsidRDefault="005C5128" w:rsidP="005C5128">
      <w:pPr>
        <w:spacing w:before="120"/>
        <w:ind w:left="720"/>
        <w:rPr>
          <w:rFonts w:ascii="Calibri" w:hAnsi="Calibri"/>
          <w:iCs/>
          <w:lang w:val="en-AU"/>
        </w:rPr>
      </w:pPr>
      <w:r>
        <w:rPr>
          <w:rFonts w:ascii="Calibri" w:hAnsi="Calibri"/>
          <w:iCs/>
          <w:lang w:val="en-AU"/>
        </w:rPr>
        <w:t>On the motion of Mr Steel (Minister for Transport and City Services)</w:t>
      </w:r>
      <w:r w:rsidR="00DF0E50">
        <w:rPr>
          <w:rFonts w:ascii="Calibri" w:hAnsi="Calibri"/>
          <w:iCs/>
          <w:lang w:val="en-AU"/>
        </w:rPr>
        <w:t>, ne</w:t>
      </w:r>
      <w:r>
        <w:rPr>
          <w:rFonts w:ascii="Calibri" w:hAnsi="Calibri"/>
          <w:iCs/>
          <w:lang w:val="en-AU"/>
        </w:rPr>
        <w:t>w clauses 7A and 7B (his amendment No 1—</w:t>
      </w:r>
      <w:r>
        <w:rPr>
          <w:rFonts w:ascii="Calibri" w:hAnsi="Calibri"/>
          <w:i/>
          <w:iCs/>
          <w:lang w:val="en-AU"/>
        </w:rPr>
        <w:t>see</w:t>
      </w:r>
      <w:r>
        <w:t xml:space="preserve"> </w:t>
      </w:r>
      <w:hyperlink w:anchor="Schedule1" w:history="1">
        <w:r w:rsidRPr="00C53DE5">
          <w:rPr>
            <w:rStyle w:val="Hyperlink"/>
          </w:rPr>
          <w:t>Schedule 1</w:t>
        </w:r>
      </w:hyperlink>
      <w:r>
        <w:t>)</w:t>
      </w:r>
      <w:r>
        <w:rPr>
          <w:rFonts w:ascii="Calibri" w:hAnsi="Calibri"/>
          <w:iCs/>
          <w:lang w:val="en-AU"/>
        </w:rPr>
        <w:t xml:space="preserve"> were inserted in the Bill</w:t>
      </w:r>
      <w:r w:rsidR="00C53DE5">
        <w:rPr>
          <w:rFonts w:ascii="Calibri" w:hAnsi="Calibri"/>
          <w:iCs/>
          <w:lang w:val="en-AU"/>
        </w:rPr>
        <w:t>, after debate</w:t>
      </w:r>
      <w:r>
        <w:rPr>
          <w:rFonts w:ascii="Calibri" w:hAnsi="Calibri"/>
          <w:iCs/>
          <w:lang w:val="en-AU"/>
        </w:rPr>
        <w:t>.</w:t>
      </w:r>
    </w:p>
    <w:p w:rsidR="005C5128" w:rsidRPr="00013291" w:rsidRDefault="005C5128" w:rsidP="005C5128">
      <w:pPr>
        <w:spacing w:before="120"/>
        <w:ind w:left="720"/>
        <w:rPr>
          <w:rFonts w:ascii="Calibri" w:hAnsi="Calibri"/>
          <w:iCs/>
          <w:lang w:val="en-AU"/>
        </w:rPr>
      </w:pPr>
      <w:r>
        <w:rPr>
          <w:rFonts w:ascii="Calibri" w:hAnsi="Calibri"/>
          <w:i/>
          <w:iCs/>
          <w:lang w:val="en-AU"/>
        </w:rPr>
        <w:t xml:space="preserve">Paper:  </w:t>
      </w:r>
      <w:r>
        <w:rPr>
          <w:rFonts w:ascii="Calibri" w:hAnsi="Calibri"/>
          <w:iCs/>
          <w:lang w:val="en-AU"/>
        </w:rPr>
        <w:t>Mr Steel presented a supplementary explanatory statement to the Government amendments.</w:t>
      </w:r>
    </w:p>
    <w:p w:rsidR="005C5128" w:rsidRDefault="005C5128" w:rsidP="005C5128">
      <w:pPr>
        <w:spacing w:before="120"/>
        <w:ind w:left="720"/>
        <w:rPr>
          <w:rFonts w:ascii="Calibri" w:hAnsi="Calibri"/>
          <w:iCs/>
          <w:lang w:val="en-AU"/>
        </w:rPr>
      </w:pPr>
      <w:r>
        <w:rPr>
          <w:rFonts w:ascii="Calibri" w:hAnsi="Calibri"/>
          <w:iCs/>
          <w:lang w:val="en-AU"/>
        </w:rPr>
        <w:t>Clause 8—</w:t>
      </w:r>
    </w:p>
    <w:p w:rsidR="005C5128" w:rsidRPr="00013291" w:rsidRDefault="005C5128" w:rsidP="005C5128">
      <w:pPr>
        <w:spacing w:before="120"/>
        <w:ind w:left="720"/>
      </w:pPr>
      <w:r>
        <w:rPr>
          <w:rFonts w:ascii="Calibri" w:hAnsi="Calibri"/>
          <w:iCs/>
          <w:lang w:val="en-AU"/>
        </w:rPr>
        <w:t>On the motion of Mr Steel, his amendment No 2 (</w:t>
      </w:r>
      <w:r>
        <w:rPr>
          <w:rFonts w:ascii="Calibri" w:hAnsi="Calibri"/>
          <w:i/>
          <w:iCs/>
          <w:lang w:val="en-AU"/>
        </w:rPr>
        <w:t>see</w:t>
      </w:r>
      <w:r>
        <w:t xml:space="preserve"> </w:t>
      </w:r>
      <w:hyperlink w:anchor="Schedule1" w:history="1">
        <w:r w:rsidRPr="00C53DE5">
          <w:rPr>
            <w:rStyle w:val="Hyperlink"/>
          </w:rPr>
          <w:t>Schedule 1</w:t>
        </w:r>
      </w:hyperlink>
      <w:r>
        <w:t>) was made.</w:t>
      </w:r>
    </w:p>
    <w:p w:rsidR="005C5128" w:rsidRDefault="005C5128" w:rsidP="005C5128">
      <w:pPr>
        <w:spacing w:before="120"/>
        <w:ind w:left="720"/>
        <w:jc w:val="both"/>
        <w:rPr>
          <w:iCs/>
        </w:rPr>
      </w:pPr>
      <w:r>
        <w:rPr>
          <w:iCs/>
        </w:rPr>
        <w:t>Clause 8, as amended, agreed to.</w:t>
      </w:r>
    </w:p>
    <w:p w:rsidR="005C5128" w:rsidRDefault="005C5128" w:rsidP="005C5128">
      <w:pPr>
        <w:spacing w:before="120"/>
        <w:ind w:left="720"/>
        <w:jc w:val="both"/>
        <w:rPr>
          <w:iCs/>
        </w:rPr>
      </w:pPr>
      <w:r>
        <w:rPr>
          <w:iCs/>
        </w:rPr>
        <w:t>Clause 9—</w:t>
      </w:r>
    </w:p>
    <w:p w:rsidR="005C5128" w:rsidRPr="00013291" w:rsidRDefault="005C5128" w:rsidP="005C5128">
      <w:pPr>
        <w:spacing w:before="120"/>
        <w:ind w:left="720"/>
        <w:jc w:val="both"/>
        <w:rPr>
          <w:iCs/>
        </w:rPr>
      </w:pPr>
      <w:r>
        <w:rPr>
          <w:iCs/>
        </w:rPr>
        <w:t>On the motion of Ms Clay, her amendment No 1 (</w:t>
      </w:r>
      <w:r>
        <w:rPr>
          <w:i/>
          <w:iCs/>
        </w:rPr>
        <w:t>see</w:t>
      </w:r>
      <w:r>
        <w:rPr>
          <w:iCs/>
        </w:rPr>
        <w:t xml:space="preserve"> </w:t>
      </w:r>
      <w:hyperlink w:anchor="Schedule2" w:history="1">
        <w:r w:rsidRPr="00C53DE5">
          <w:rPr>
            <w:rStyle w:val="Hyperlink"/>
            <w:iCs/>
          </w:rPr>
          <w:t>Schedule 2</w:t>
        </w:r>
      </w:hyperlink>
      <w:r>
        <w:rPr>
          <w:iCs/>
        </w:rPr>
        <w:t xml:space="preserve">) was made, </w:t>
      </w:r>
      <w:r w:rsidRPr="00C53DE5">
        <w:rPr>
          <w:iCs/>
        </w:rPr>
        <w:t>after debate.</w:t>
      </w:r>
    </w:p>
    <w:p w:rsidR="005C5128" w:rsidRDefault="005C5128" w:rsidP="005C5128">
      <w:pPr>
        <w:spacing w:before="120"/>
        <w:ind w:left="720"/>
        <w:jc w:val="both"/>
        <w:rPr>
          <w:iCs/>
        </w:rPr>
      </w:pPr>
      <w:r>
        <w:rPr>
          <w:i/>
          <w:iCs/>
        </w:rPr>
        <w:t xml:space="preserve">Paper:  </w:t>
      </w:r>
      <w:r>
        <w:rPr>
          <w:iCs/>
        </w:rPr>
        <w:t>Ms Clay presented a supplementary explanatory statement to her amendments.</w:t>
      </w:r>
    </w:p>
    <w:p w:rsidR="005C5128" w:rsidRDefault="005C5128" w:rsidP="005C5128">
      <w:pPr>
        <w:spacing w:before="120"/>
        <w:ind w:left="720"/>
        <w:jc w:val="both"/>
        <w:rPr>
          <w:iCs/>
        </w:rPr>
      </w:pPr>
      <w:r>
        <w:rPr>
          <w:iCs/>
        </w:rPr>
        <w:t>Clause 9, as amended, agreed to.</w:t>
      </w:r>
    </w:p>
    <w:p w:rsidR="005C5128" w:rsidRPr="00013291" w:rsidRDefault="005C5128" w:rsidP="005C5128">
      <w:pPr>
        <w:spacing w:before="120"/>
        <w:ind w:left="720"/>
        <w:jc w:val="both"/>
        <w:rPr>
          <w:iCs/>
        </w:rPr>
      </w:pPr>
      <w:r>
        <w:rPr>
          <w:iCs/>
        </w:rPr>
        <w:t>Clause 10 agreed to.</w:t>
      </w:r>
    </w:p>
    <w:p w:rsidR="005C5128" w:rsidRDefault="005C5128" w:rsidP="005C5128">
      <w:pPr>
        <w:spacing w:before="120"/>
        <w:ind w:left="720"/>
        <w:jc w:val="both"/>
        <w:rPr>
          <w:iCs/>
        </w:rPr>
      </w:pPr>
      <w:r>
        <w:rPr>
          <w:iCs/>
        </w:rPr>
        <w:t>Schedule 1—</w:t>
      </w:r>
    </w:p>
    <w:p w:rsidR="005C5128" w:rsidRDefault="005C5128" w:rsidP="005C5128">
      <w:pPr>
        <w:pStyle w:val="DPSEntryDetailIndentLev1"/>
      </w:pPr>
      <w:r>
        <w:t>Part 1.1 agreed to.</w:t>
      </w:r>
    </w:p>
    <w:p w:rsidR="005C5128" w:rsidRDefault="005C5128" w:rsidP="005C5128">
      <w:pPr>
        <w:pStyle w:val="DPSEntryDetailIndentLev1"/>
      </w:pPr>
      <w:r>
        <w:t>Part 1.2—</w:t>
      </w:r>
    </w:p>
    <w:p w:rsidR="005C5128" w:rsidRPr="00013291" w:rsidRDefault="005C5128" w:rsidP="005C5128">
      <w:pPr>
        <w:pStyle w:val="DPSEntryDetailIndentLev1"/>
      </w:pPr>
      <w:r w:rsidRPr="00013291">
        <w:t>Ms Clay was granted leave to move an amendment that had not been considered or reported on by the Scrutiny Committee.</w:t>
      </w:r>
    </w:p>
    <w:p w:rsidR="005C5128" w:rsidRDefault="005C5128" w:rsidP="005C5128">
      <w:pPr>
        <w:pStyle w:val="DPSEntryDetailIndentLev1"/>
      </w:pPr>
      <w:r>
        <w:t>On the motion of Ms Clay, her amendment No 2 (</w:t>
      </w:r>
      <w:r>
        <w:rPr>
          <w:i/>
        </w:rPr>
        <w:t>see</w:t>
      </w:r>
      <w:r>
        <w:t xml:space="preserve"> </w:t>
      </w:r>
      <w:hyperlink w:anchor="Schedule2" w:history="1">
        <w:r w:rsidRPr="00C53DE5">
          <w:rPr>
            <w:rStyle w:val="Hyperlink"/>
          </w:rPr>
          <w:t>Schedule 2</w:t>
        </w:r>
      </w:hyperlink>
      <w:r>
        <w:t>) was made.</w:t>
      </w:r>
    </w:p>
    <w:p w:rsidR="005C5128" w:rsidRDefault="005C5128" w:rsidP="00E127C3">
      <w:pPr>
        <w:pStyle w:val="DPSEntryDetailIndentLev1"/>
        <w:keepNext/>
      </w:pPr>
      <w:r>
        <w:t>On the motion of Mr Steel, his amendment No 3 (</w:t>
      </w:r>
      <w:r>
        <w:rPr>
          <w:i/>
        </w:rPr>
        <w:t>see</w:t>
      </w:r>
      <w:r>
        <w:t xml:space="preserve"> </w:t>
      </w:r>
      <w:hyperlink w:anchor="Schedule1" w:history="1">
        <w:r w:rsidRPr="00C53DE5">
          <w:rPr>
            <w:rStyle w:val="Hyperlink"/>
          </w:rPr>
          <w:t>Schedule 1</w:t>
        </w:r>
      </w:hyperlink>
      <w:r>
        <w:t>) was made.</w:t>
      </w:r>
    </w:p>
    <w:p w:rsidR="00D90797" w:rsidRDefault="00D90797" w:rsidP="005C5128">
      <w:pPr>
        <w:pStyle w:val="DPSEntryDetailIndentLev1"/>
      </w:pPr>
      <w:r>
        <w:t>Part 1.2, as amended, agreed to.</w:t>
      </w:r>
    </w:p>
    <w:p w:rsidR="005C5128" w:rsidRPr="00802856" w:rsidRDefault="005C5128" w:rsidP="005C5128">
      <w:pPr>
        <w:spacing w:before="120"/>
        <w:ind w:left="720"/>
        <w:rPr>
          <w:rFonts w:ascii="Calibri" w:hAnsi="Calibri"/>
          <w:lang w:val="en-AU"/>
        </w:rPr>
      </w:pPr>
      <w:r>
        <w:rPr>
          <w:rFonts w:ascii="Calibri" w:hAnsi="Calibri"/>
          <w:lang w:val="en-AU"/>
        </w:rPr>
        <w:t>Title agreed to.</w:t>
      </w:r>
    </w:p>
    <w:p w:rsidR="005C5128" w:rsidRPr="00802856" w:rsidRDefault="005C5128" w:rsidP="005C5128">
      <w:pPr>
        <w:pBdr>
          <w:top w:val="thickThinLargeGap" w:sz="18" w:space="1" w:color="auto"/>
        </w:pBdr>
        <w:spacing w:before="180"/>
        <w:ind w:left="3427" w:right="3658"/>
        <w:jc w:val="center"/>
        <w:rPr>
          <w:rFonts w:ascii="Calibri" w:hAnsi="Calibri"/>
          <w:lang w:val="en-AU"/>
        </w:rPr>
      </w:pPr>
    </w:p>
    <w:p w:rsidR="005C5128" w:rsidRPr="00802856" w:rsidRDefault="005C5128" w:rsidP="005C5128">
      <w:pPr>
        <w:ind w:left="720"/>
        <w:rPr>
          <w:rFonts w:ascii="Calibri" w:hAnsi="Calibri"/>
          <w:lang w:val="en-AU"/>
        </w:rPr>
      </w:pPr>
      <w:r w:rsidRPr="00802856">
        <w:rPr>
          <w:rFonts w:ascii="Calibri" w:hAnsi="Calibri"/>
          <w:lang w:val="en-AU"/>
        </w:rPr>
        <w:t>Question—That this Bill, as amended, be agreed to—put and passed.</w:t>
      </w:r>
    </w:p>
    <w:p w:rsidR="00B44593" w:rsidRPr="000470A7" w:rsidRDefault="00B44593" w:rsidP="00B44593">
      <w:pPr>
        <w:keepNext/>
        <w:keepLines/>
        <w:tabs>
          <w:tab w:val="right" w:pos="339"/>
          <w:tab w:val="left" w:pos="720"/>
        </w:tabs>
        <w:spacing w:before="240"/>
        <w:ind w:left="720" w:hanging="720"/>
        <w:rPr>
          <w:rFonts w:ascii="Calibri" w:hAnsi="Calibri"/>
          <w:b/>
          <w:caps/>
        </w:rPr>
      </w:pPr>
      <w:r w:rsidRPr="000470A7">
        <w:rPr>
          <w:rFonts w:ascii="Calibri" w:hAnsi="Calibri"/>
          <w:b/>
          <w:caps/>
        </w:rPr>
        <w:tab/>
      </w:r>
      <w:r>
        <w:rPr>
          <w:rFonts w:ascii="Calibri" w:hAnsi="Calibri"/>
          <w:b/>
          <w:bCs/>
          <w:caps/>
        </w:rPr>
        <w:t>9</w:t>
      </w:r>
      <w:r w:rsidRPr="000470A7">
        <w:rPr>
          <w:rFonts w:ascii="Calibri" w:hAnsi="Calibri"/>
          <w:b/>
          <w:caps/>
        </w:rPr>
        <w:tab/>
        <w:t>MINISTERIAL ARRANGEMENTS</w:t>
      </w:r>
    </w:p>
    <w:p w:rsidR="00B44593" w:rsidRDefault="00B44593" w:rsidP="00B44593">
      <w:pPr>
        <w:tabs>
          <w:tab w:val="left" w:pos="1197"/>
          <w:tab w:val="left" w:pos="1767"/>
        </w:tabs>
        <w:spacing w:before="120"/>
        <w:ind w:left="741"/>
        <w:rPr>
          <w:rFonts w:ascii="Calibri" w:hAnsi="Calibri"/>
          <w:lang w:val="en-AU"/>
        </w:rPr>
      </w:pPr>
      <w:r>
        <w:rPr>
          <w:rFonts w:ascii="Calibri" w:hAnsi="Calibri"/>
          <w:lang w:val="en-AU"/>
        </w:rPr>
        <w:t>Mr Barr (Chief Minister)</w:t>
      </w:r>
      <w:r w:rsidRPr="000470A7">
        <w:rPr>
          <w:rFonts w:ascii="Calibri" w:hAnsi="Calibri"/>
          <w:lang w:val="en-AU"/>
        </w:rPr>
        <w:t xml:space="preserve"> informed the Assembly of the absence of Minister </w:t>
      </w:r>
      <w:r>
        <w:rPr>
          <w:rFonts w:ascii="Calibri" w:hAnsi="Calibri"/>
          <w:lang w:val="en-AU"/>
        </w:rPr>
        <w:t>Rattenbury</w:t>
      </w:r>
      <w:r w:rsidRPr="000470A7">
        <w:rPr>
          <w:rFonts w:ascii="Calibri" w:hAnsi="Calibri"/>
          <w:lang w:val="en-AU"/>
        </w:rPr>
        <w:t xml:space="preserve"> </w:t>
      </w:r>
      <w:r>
        <w:rPr>
          <w:rFonts w:ascii="Calibri" w:hAnsi="Calibri"/>
          <w:lang w:val="en-AU"/>
        </w:rPr>
        <w:t xml:space="preserve">and Minister Vassarotti </w:t>
      </w:r>
      <w:r w:rsidRPr="000470A7">
        <w:rPr>
          <w:rFonts w:ascii="Calibri" w:hAnsi="Calibri"/>
          <w:lang w:val="en-AU"/>
        </w:rPr>
        <w:t>and advised the Assembly that questions without notice normally directed to</w:t>
      </w:r>
      <w:r>
        <w:rPr>
          <w:rFonts w:ascii="Calibri" w:hAnsi="Calibri"/>
          <w:lang w:val="en-AU"/>
        </w:rPr>
        <w:t>—</w:t>
      </w:r>
    </w:p>
    <w:p w:rsidR="00B44593" w:rsidRDefault="00B44593" w:rsidP="00B44593">
      <w:pPr>
        <w:pStyle w:val="DPSEntryDetailIndentLev1"/>
      </w:pPr>
      <w:r>
        <w:t xml:space="preserve">The Attorney-General, the Minister for Consumer Affairs and the Minister for Gaming could be directed to </w:t>
      </w:r>
      <w:r w:rsidRPr="000470A7">
        <w:t xml:space="preserve">Minister </w:t>
      </w:r>
      <w:r>
        <w:t>Cheyne.</w:t>
      </w:r>
    </w:p>
    <w:p w:rsidR="00B44593" w:rsidRDefault="00B44593" w:rsidP="00B44593">
      <w:pPr>
        <w:pStyle w:val="DPSEntryDetailIndentLev1"/>
      </w:pPr>
      <w:r>
        <w:t>The Minister for Water, Energy and Emissions Reduction</w:t>
      </w:r>
      <w:r w:rsidRPr="000470A7">
        <w:t xml:space="preserve"> could be directed to </w:t>
      </w:r>
      <w:r>
        <w:t>Mr Barr</w:t>
      </w:r>
      <w:r w:rsidRPr="000470A7">
        <w:t>.</w:t>
      </w:r>
    </w:p>
    <w:p w:rsidR="00B44593" w:rsidRDefault="00B44593" w:rsidP="00B44593">
      <w:pPr>
        <w:pStyle w:val="DPSEntryDetailIndentLev1"/>
      </w:pPr>
      <w:r>
        <w:t>The Minister for the Environment and the Minister for Heritage could be directed to Minister Gentleman.</w:t>
      </w:r>
    </w:p>
    <w:p w:rsidR="00B44593" w:rsidRPr="000470A7" w:rsidRDefault="00B44593" w:rsidP="00B44593">
      <w:pPr>
        <w:pStyle w:val="DPSEntryDetailIndentLev1"/>
      </w:pPr>
      <w:r>
        <w:t>The Minister for Homelessness and Housing Services and the Minister for Sustainable Building and Construction could be directed to Minister Berry.</w:t>
      </w:r>
    </w:p>
    <w:p w:rsidR="00CF2F8C" w:rsidRPr="00CF2F8C" w:rsidRDefault="00CF2F8C" w:rsidP="00CF2F8C">
      <w:pPr>
        <w:keepNext/>
        <w:keepLines/>
        <w:tabs>
          <w:tab w:val="right" w:pos="339"/>
          <w:tab w:val="left" w:pos="720"/>
        </w:tabs>
        <w:spacing w:before="240"/>
        <w:ind w:left="720" w:hanging="720"/>
        <w:jc w:val="both"/>
        <w:rPr>
          <w:rFonts w:ascii="Calibri" w:hAnsi="Calibri"/>
          <w:b/>
          <w:caps/>
        </w:rPr>
      </w:pPr>
      <w:r w:rsidRPr="00CF2F8C">
        <w:rPr>
          <w:rFonts w:ascii="Calibri" w:hAnsi="Calibri"/>
          <w:b/>
          <w:caps/>
        </w:rPr>
        <w:tab/>
      </w:r>
      <w:r w:rsidR="00BD4103">
        <w:rPr>
          <w:rFonts w:ascii="Calibri" w:hAnsi="Calibri"/>
          <w:b/>
          <w:bCs/>
          <w:caps/>
          <w:lang w:val="en-AU"/>
        </w:rPr>
        <w:t>10</w:t>
      </w:r>
      <w:r w:rsidRPr="00CF2F8C">
        <w:rPr>
          <w:rFonts w:ascii="Calibri" w:hAnsi="Calibri"/>
          <w:b/>
          <w:caps/>
        </w:rPr>
        <w:tab/>
        <w:t>QUESTIONS</w:t>
      </w:r>
    </w:p>
    <w:p w:rsidR="00CF2F8C" w:rsidRPr="00CF2F8C" w:rsidRDefault="00CF2F8C" w:rsidP="00CF2F8C">
      <w:pPr>
        <w:spacing w:before="120"/>
        <w:ind w:left="720"/>
        <w:jc w:val="both"/>
        <w:rPr>
          <w:rFonts w:ascii="Calibri" w:hAnsi="Calibri"/>
          <w:lang w:val="en-AU"/>
        </w:rPr>
      </w:pPr>
      <w:r w:rsidRPr="00CF2F8C">
        <w:rPr>
          <w:rFonts w:ascii="Calibri" w:hAnsi="Calibri"/>
          <w:lang w:val="en-AU"/>
        </w:rPr>
        <w:t>Questions without notice were asked.</w:t>
      </w:r>
    </w:p>
    <w:p w:rsidR="00020563" w:rsidRPr="00020563" w:rsidRDefault="00020563" w:rsidP="00020563">
      <w:pPr>
        <w:keepNext/>
        <w:keepLines/>
        <w:tabs>
          <w:tab w:val="right" w:pos="339"/>
          <w:tab w:val="left" w:pos="720"/>
        </w:tabs>
        <w:spacing w:before="240"/>
        <w:ind w:left="720" w:hanging="720"/>
        <w:rPr>
          <w:rFonts w:ascii="Calibri" w:hAnsi="Calibri"/>
          <w:b/>
          <w:caps/>
        </w:rPr>
      </w:pPr>
      <w:r w:rsidRPr="00020563">
        <w:rPr>
          <w:rFonts w:ascii="Calibri" w:hAnsi="Calibri"/>
          <w:b/>
          <w:caps/>
        </w:rPr>
        <w:tab/>
      </w:r>
      <w:r w:rsidR="00BD4103">
        <w:rPr>
          <w:rFonts w:ascii="Calibri" w:hAnsi="Calibri"/>
          <w:b/>
          <w:bCs/>
          <w:caps/>
        </w:rPr>
        <w:t>11</w:t>
      </w:r>
      <w:r w:rsidRPr="00020563">
        <w:rPr>
          <w:rFonts w:ascii="Calibri" w:hAnsi="Calibri"/>
          <w:b/>
          <w:caps/>
        </w:rPr>
        <w:tab/>
        <w:t>LEAVE OF ABSENCE TO MEMBER</w:t>
      </w:r>
      <w:r w:rsidR="004A254C">
        <w:rPr>
          <w:rFonts w:ascii="Calibri" w:hAnsi="Calibri"/>
          <w:b/>
          <w:caps/>
        </w:rPr>
        <w:t>s</w:t>
      </w:r>
    </w:p>
    <w:p w:rsidR="00020563" w:rsidRPr="00020563" w:rsidRDefault="00020563" w:rsidP="00020563">
      <w:pPr>
        <w:tabs>
          <w:tab w:val="left" w:pos="1197"/>
          <w:tab w:val="left" w:pos="1767"/>
        </w:tabs>
        <w:spacing w:before="120"/>
        <w:ind w:left="720"/>
        <w:rPr>
          <w:rFonts w:ascii="Calibri" w:hAnsi="Calibri"/>
          <w:lang w:val="en-AU"/>
        </w:rPr>
      </w:pPr>
      <w:r>
        <w:rPr>
          <w:rFonts w:ascii="Calibri" w:hAnsi="Calibri"/>
          <w:lang w:val="en-AU"/>
        </w:rPr>
        <w:t>Ms Clay</w:t>
      </w:r>
      <w:r w:rsidRPr="00020563">
        <w:rPr>
          <w:rFonts w:ascii="Calibri" w:hAnsi="Calibri"/>
          <w:lang w:val="en-AU"/>
        </w:rPr>
        <w:t xml:space="preserve"> moved—That leave of absence be granted to </w:t>
      </w:r>
      <w:r>
        <w:rPr>
          <w:rFonts w:ascii="Calibri" w:hAnsi="Calibri"/>
          <w:lang w:val="en-AU"/>
        </w:rPr>
        <w:t>Mr</w:t>
      </w:r>
      <w:r w:rsidR="00B44593">
        <w:rPr>
          <w:rFonts w:ascii="Calibri" w:hAnsi="Calibri"/>
          <w:lang w:val="en-AU"/>
        </w:rPr>
        <w:t xml:space="preserve"> Rattenbury,</w:t>
      </w:r>
      <w:r>
        <w:rPr>
          <w:rFonts w:ascii="Calibri" w:hAnsi="Calibri"/>
          <w:lang w:val="en-AU"/>
        </w:rPr>
        <w:t xml:space="preserve"> Ms Vassarotti</w:t>
      </w:r>
      <w:r w:rsidRPr="00020563">
        <w:rPr>
          <w:rFonts w:ascii="Calibri" w:hAnsi="Calibri"/>
          <w:lang w:val="en-AU"/>
        </w:rPr>
        <w:t xml:space="preserve"> </w:t>
      </w:r>
      <w:r w:rsidR="00B44593">
        <w:rPr>
          <w:rFonts w:ascii="Calibri" w:hAnsi="Calibri"/>
          <w:lang w:val="en-AU"/>
        </w:rPr>
        <w:t xml:space="preserve">and Mr Braddock </w:t>
      </w:r>
      <w:r w:rsidRPr="00020563">
        <w:rPr>
          <w:rFonts w:ascii="Calibri" w:hAnsi="Calibri"/>
          <w:lang w:val="en-AU"/>
        </w:rPr>
        <w:t>for</w:t>
      </w:r>
      <w:r>
        <w:rPr>
          <w:rFonts w:ascii="Calibri" w:hAnsi="Calibri"/>
          <w:lang w:val="en-AU"/>
        </w:rPr>
        <w:t xml:space="preserve"> today</w:t>
      </w:r>
      <w:r w:rsidRPr="00020563">
        <w:rPr>
          <w:rFonts w:ascii="Calibri" w:hAnsi="Calibri"/>
          <w:lang w:val="en-AU"/>
        </w:rPr>
        <w:t xml:space="preserve"> </w:t>
      </w:r>
      <w:r>
        <w:rPr>
          <w:rFonts w:ascii="Calibri" w:hAnsi="Calibri"/>
          <w:lang w:val="en-AU"/>
        </w:rPr>
        <w:t>for health reasons</w:t>
      </w:r>
      <w:r w:rsidRPr="00020563">
        <w:rPr>
          <w:rFonts w:ascii="Calibri" w:hAnsi="Calibri"/>
          <w:lang w:val="en-AU"/>
        </w:rPr>
        <w:t>.</w:t>
      </w:r>
    </w:p>
    <w:p w:rsidR="00020563" w:rsidRPr="00020563" w:rsidRDefault="00020563" w:rsidP="00020563">
      <w:pPr>
        <w:tabs>
          <w:tab w:val="left" w:pos="1197"/>
          <w:tab w:val="left" w:pos="1767"/>
        </w:tabs>
        <w:spacing w:before="120"/>
        <w:ind w:left="720"/>
        <w:rPr>
          <w:rFonts w:ascii="Calibri" w:hAnsi="Calibri"/>
          <w:lang w:val="en-AU"/>
        </w:rPr>
      </w:pPr>
      <w:r w:rsidRPr="00020563">
        <w:rPr>
          <w:rFonts w:ascii="Calibri" w:hAnsi="Calibri"/>
          <w:lang w:val="en-AU"/>
        </w:rPr>
        <w:t>Question—put and passed.</w:t>
      </w:r>
    </w:p>
    <w:p w:rsidR="00CF2F8C" w:rsidRPr="00CF2F8C" w:rsidRDefault="00CF2F8C" w:rsidP="00CF2F8C">
      <w:pPr>
        <w:keepNext/>
        <w:keepLines/>
        <w:tabs>
          <w:tab w:val="right" w:pos="339"/>
          <w:tab w:val="left" w:pos="720"/>
        </w:tabs>
        <w:spacing w:before="240"/>
        <w:ind w:left="720" w:hanging="720"/>
        <w:rPr>
          <w:rFonts w:ascii="Calibri" w:hAnsi="Calibri"/>
          <w:b/>
          <w:caps/>
          <w:lang w:val="en-AU"/>
        </w:rPr>
      </w:pPr>
      <w:r w:rsidRPr="00CF2F8C">
        <w:rPr>
          <w:rFonts w:ascii="Calibri" w:hAnsi="Calibri"/>
          <w:b/>
          <w:caps/>
          <w:lang w:val="en-AU"/>
        </w:rPr>
        <w:tab/>
      </w:r>
      <w:r w:rsidR="00BD4103">
        <w:rPr>
          <w:rFonts w:ascii="Calibri" w:hAnsi="Calibri"/>
          <w:b/>
          <w:bCs/>
          <w:caps/>
          <w:lang w:val="en-AU"/>
        </w:rPr>
        <w:t>12</w:t>
      </w:r>
      <w:r w:rsidRPr="00CF2F8C">
        <w:rPr>
          <w:rFonts w:ascii="Calibri" w:hAnsi="Calibri"/>
          <w:b/>
          <w:caps/>
          <w:lang w:val="en-AU"/>
        </w:rPr>
        <w:tab/>
      </w:r>
      <w:r w:rsidR="00F6024E">
        <w:rPr>
          <w:rFonts w:ascii="Calibri" w:hAnsi="Calibri"/>
          <w:b/>
          <w:caps/>
          <w:lang w:val="en-AU"/>
        </w:rPr>
        <w:t>Defibrillators</w:t>
      </w:r>
      <w:r w:rsidR="00D90797">
        <w:rPr>
          <w:rFonts w:ascii="Calibri" w:hAnsi="Calibri"/>
          <w:b/>
          <w:caps/>
          <w:lang w:val="en-AU"/>
        </w:rPr>
        <w:t>—Government schools and workplaces</w:t>
      </w:r>
    </w:p>
    <w:p w:rsidR="00CF2F8C" w:rsidRPr="00CF2F8C" w:rsidRDefault="00F6024E" w:rsidP="00CF2F8C">
      <w:pPr>
        <w:spacing w:before="120"/>
        <w:ind w:left="720"/>
        <w:rPr>
          <w:rFonts w:ascii="Calibri" w:hAnsi="Calibri"/>
          <w:color w:val="000000"/>
          <w:lang w:val="en-AU"/>
        </w:rPr>
      </w:pPr>
      <w:r>
        <w:rPr>
          <w:rFonts w:ascii="Calibri" w:hAnsi="Calibri"/>
          <w:color w:val="000000"/>
          <w:lang w:val="en-AU"/>
        </w:rPr>
        <w:t>Ms Castley</w:t>
      </w:r>
      <w:r w:rsidR="00CF2F8C" w:rsidRPr="00CF2F8C">
        <w:rPr>
          <w:rFonts w:ascii="Calibri" w:hAnsi="Calibri"/>
          <w:color w:val="000000"/>
          <w:lang w:val="en-AU"/>
        </w:rPr>
        <w:t>, pursuant to notice, moved—That this Assembly:</w:t>
      </w:r>
    </w:p>
    <w:p w:rsidR="00D90797" w:rsidRPr="009B2B8F" w:rsidRDefault="00D90797" w:rsidP="00D90797">
      <w:pPr>
        <w:pStyle w:val="DPSEntryIndents"/>
        <w:numPr>
          <w:ilvl w:val="0"/>
          <w:numId w:val="19"/>
        </w:numPr>
        <w:rPr>
          <w:lang w:eastAsia="en-US"/>
        </w:rPr>
      </w:pPr>
      <w:r w:rsidRPr="009B2B8F">
        <w:rPr>
          <w:lang w:eastAsia="en-US"/>
        </w:rPr>
        <w:t>notes:</w:t>
      </w:r>
    </w:p>
    <w:p w:rsidR="00D90797" w:rsidRPr="009B2B8F" w:rsidRDefault="00D90797" w:rsidP="00D90797">
      <w:pPr>
        <w:pStyle w:val="DPSEntryIndents"/>
        <w:numPr>
          <w:ilvl w:val="1"/>
          <w:numId w:val="19"/>
        </w:numPr>
        <w:rPr>
          <w:lang w:eastAsia="en-US"/>
        </w:rPr>
      </w:pPr>
      <w:r w:rsidRPr="009B2B8F">
        <w:rPr>
          <w:lang w:eastAsia="en-US"/>
        </w:rPr>
        <w:t>defibrillators save lives. St John Ambulance estimates that each year more than 100 Canberrans</w:t>
      </w:r>
      <w:r w:rsidR="005B1413">
        <w:rPr>
          <w:lang w:eastAsia="en-US"/>
        </w:rPr>
        <w:t>’</w:t>
      </w:r>
      <w:r w:rsidRPr="009B2B8F">
        <w:rPr>
          <w:lang w:eastAsia="en-US"/>
        </w:rPr>
        <w:t xml:space="preserve"> lives could be saved from sudden cardiac arrest (SCA) if defibrillators were installed in ACT government schools and workplaces;</w:t>
      </w:r>
    </w:p>
    <w:p w:rsidR="00D90797" w:rsidRPr="009B2B8F" w:rsidRDefault="00D90797" w:rsidP="00D90797">
      <w:pPr>
        <w:pStyle w:val="DPSEntryIndents"/>
        <w:numPr>
          <w:ilvl w:val="1"/>
          <w:numId w:val="19"/>
        </w:numPr>
        <w:rPr>
          <w:lang w:eastAsia="en-US"/>
        </w:rPr>
      </w:pPr>
      <w:r w:rsidRPr="009B2B8F">
        <w:rPr>
          <w:lang w:eastAsia="en-US"/>
        </w:rPr>
        <w:t>currently there is no requirement for defibrillators in ACT g</w:t>
      </w:r>
      <w:r w:rsidR="00017799">
        <w:rPr>
          <w:lang w:eastAsia="en-US"/>
        </w:rPr>
        <w:t>overnment schools or workplaces;</w:t>
      </w:r>
    </w:p>
    <w:p w:rsidR="00D90797" w:rsidRPr="009B2B8F" w:rsidRDefault="00D90797" w:rsidP="00D90797">
      <w:pPr>
        <w:pStyle w:val="DPSEntryIndents"/>
        <w:numPr>
          <w:ilvl w:val="1"/>
          <w:numId w:val="19"/>
        </w:numPr>
        <w:rPr>
          <w:lang w:eastAsia="en-US"/>
        </w:rPr>
      </w:pPr>
      <w:r w:rsidRPr="009B2B8F">
        <w:rPr>
          <w:lang w:eastAsia="en-US"/>
        </w:rPr>
        <w:t>the cost of a defib</w:t>
      </w:r>
      <w:r>
        <w:rPr>
          <w:lang w:eastAsia="en-US"/>
        </w:rPr>
        <w:t xml:space="preserve">rillator and installation is $2500.  It would cost $250 </w:t>
      </w:r>
      <w:r w:rsidRPr="009B2B8F">
        <w:rPr>
          <w:lang w:eastAsia="en-US"/>
        </w:rPr>
        <w:t>000 to provide 100 defibrillators in government schools and workplaces (some schools have already installed them using their own limited funds);</w:t>
      </w:r>
    </w:p>
    <w:p w:rsidR="00D90797" w:rsidRPr="009B2B8F" w:rsidRDefault="00D90797" w:rsidP="00D90797">
      <w:pPr>
        <w:pStyle w:val="DPSEntryIndents"/>
        <w:numPr>
          <w:ilvl w:val="1"/>
          <w:numId w:val="19"/>
        </w:numPr>
        <w:rPr>
          <w:lang w:eastAsia="en-US"/>
        </w:rPr>
      </w:pPr>
      <w:r w:rsidRPr="009B2B8F">
        <w:rPr>
          <w:lang w:eastAsia="en-US"/>
        </w:rPr>
        <w:t>rolling out defibrillators in all government schools and workplaces is supported by St John Ambulance, Australian Red Cross and the Heart Foundation; and</w:t>
      </w:r>
    </w:p>
    <w:p w:rsidR="00D90797" w:rsidRPr="009B2B8F" w:rsidRDefault="00D90797" w:rsidP="00D90797">
      <w:pPr>
        <w:pStyle w:val="DPSEntryIndents"/>
        <w:numPr>
          <w:ilvl w:val="1"/>
          <w:numId w:val="19"/>
        </w:numPr>
        <w:rPr>
          <w:lang w:eastAsia="en-US"/>
        </w:rPr>
      </w:pPr>
      <w:r w:rsidRPr="009B2B8F">
        <w:rPr>
          <w:lang w:eastAsia="en-US"/>
        </w:rPr>
        <w:t>it is estimated more than 3</w:t>
      </w:r>
      <w:r>
        <w:rPr>
          <w:lang w:eastAsia="en-US"/>
        </w:rPr>
        <w:t xml:space="preserve">0 </w:t>
      </w:r>
      <w:r w:rsidRPr="009B2B8F">
        <w:rPr>
          <w:lang w:eastAsia="en-US"/>
        </w:rPr>
        <w:t>000 Australians suffer from SCA every year of which only five percent survive. The chances of survival decrease by up to 10 percent for every minute that passes; and</w:t>
      </w:r>
    </w:p>
    <w:p w:rsidR="00D90797" w:rsidRPr="009B2B8F" w:rsidRDefault="00D90797" w:rsidP="00D90797">
      <w:pPr>
        <w:pStyle w:val="DPSEntryIndents"/>
        <w:numPr>
          <w:ilvl w:val="0"/>
          <w:numId w:val="19"/>
        </w:numPr>
        <w:rPr>
          <w:lang w:eastAsia="en-US"/>
        </w:rPr>
      </w:pPr>
      <w:r w:rsidRPr="009B2B8F">
        <w:rPr>
          <w:lang w:eastAsia="en-US"/>
        </w:rPr>
        <w:t>calls on the ACT Government to:</w:t>
      </w:r>
    </w:p>
    <w:p w:rsidR="00D90797" w:rsidRPr="009B2B8F" w:rsidRDefault="00D90797" w:rsidP="00D90797">
      <w:pPr>
        <w:pStyle w:val="DPSEntryIndents"/>
        <w:numPr>
          <w:ilvl w:val="1"/>
          <w:numId w:val="19"/>
        </w:numPr>
        <w:rPr>
          <w:lang w:eastAsia="en-US"/>
        </w:rPr>
      </w:pPr>
      <w:r w:rsidRPr="009B2B8F">
        <w:rPr>
          <w:lang w:eastAsia="en-US"/>
        </w:rPr>
        <w:t>lead the nation on this important health and community issue by putting a defibrillator in every ACT government school and building/workplace;</w:t>
      </w:r>
    </w:p>
    <w:p w:rsidR="00D90797" w:rsidRPr="009B2B8F" w:rsidRDefault="00D90797" w:rsidP="00D90797">
      <w:pPr>
        <w:pStyle w:val="DPSEntryIndents"/>
        <w:numPr>
          <w:ilvl w:val="1"/>
          <w:numId w:val="19"/>
        </w:numPr>
        <w:rPr>
          <w:lang w:eastAsia="en-US"/>
        </w:rPr>
      </w:pPr>
      <w:r w:rsidRPr="009B2B8F">
        <w:rPr>
          <w:lang w:eastAsia="en-US"/>
        </w:rPr>
        <w:t>legislate to mandate defibrillators in all ACT government schools and government workplaces;</w:t>
      </w:r>
    </w:p>
    <w:p w:rsidR="00D90797" w:rsidRPr="009B2B8F" w:rsidRDefault="00D90797" w:rsidP="00D90797">
      <w:pPr>
        <w:pStyle w:val="DPSEntryIndents"/>
        <w:numPr>
          <w:ilvl w:val="1"/>
          <w:numId w:val="19"/>
        </w:numPr>
        <w:rPr>
          <w:lang w:eastAsia="en-US"/>
        </w:rPr>
      </w:pPr>
      <w:r w:rsidRPr="009B2B8F">
        <w:rPr>
          <w:lang w:eastAsia="en-US"/>
        </w:rPr>
        <w:t>prepare and deliver a public education ca</w:t>
      </w:r>
      <w:r w:rsidR="00017799">
        <w:rPr>
          <w:lang w:eastAsia="en-US"/>
        </w:rPr>
        <w:t>mpaign, in consultation with St </w:t>
      </w:r>
      <w:r w:rsidRPr="009B2B8F">
        <w:rPr>
          <w:lang w:eastAsia="en-US"/>
        </w:rPr>
        <w:t>John Ambulance and the Heart Foundation, to raise awareness of the use of (and access to) defibrillators to save lives; and</w:t>
      </w:r>
    </w:p>
    <w:p w:rsidR="00CF2F8C" w:rsidRPr="00D90797" w:rsidRDefault="00D90797" w:rsidP="00D90797">
      <w:pPr>
        <w:pStyle w:val="DPSEntryIndents"/>
        <w:numPr>
          <w:ilvl w:val="1"/>
          <w:numId w:val="19"/>
        </w:numPr>
        <w:rPr>
          <w:color w:val="000000"/>
        </w:rPr>
      </w:pPr>
      <w:r w:rsidRPr="009B2B8F">
        <w:rPr>
          <w:lang w:eastAsia="en-US"/>
        </w:rPr>
        <w:t>examine installing defibrillators on all ACT buses (we already have defibrillators on our 14 trams thanks to funding from Rotary Gungahlin) and report back to the Assembly before the May sitting period.</w:t>
      </w:r>
    </w:p>
    <w:p w:rsidR="00BD4103" w:rsidRDefault="00BD4103" w:rsidP="00CF2F8C">
      <w:pPr>
        <w:spacing w:before="120"/>
        <w:ind w:left="720" w:right="-35"/>
        <w:rPr>
          <w:rFonts w:ascii="Calibri" w:hAnsi="Calibri"/>
          <w:color w:val="000000"/>
          <w:lang w:val="en-AU"/>
        </w:rPr>
      </w:pPr>
      <w:r>
        <w:rPr>
          <w:rFonts w:ascii="Calibri" w:hAnsi="Calibri"/>
          <w:color w:val="000000"/>
          <w:lang w:val="en-AU"/>
        </w:rPr>
        <w:t>Ms Stephen-Smith (Minister for Health) moved the following amendment:</w:t>
      </w:r>
      <w:r w:rsidR="00D0359E">
        <w:rPr>
          <w:rFonts w:ascii="Calibri" w:hAnsi="Calibri"/>
          <w:color w:val="000000"/>
          <w:lang w:val="en-AU"/>
        </w:rPr>
        <w:t xml:space="preserve">  Omit all text after “That this Assembly”, substitute:</w:t>
      </w:r>
    </w:p>
    <w:p w:rsidR="00BD4103" w:rsidRDefault="00D0359E" w:rsidP="00BD4103">
      <w:pPr>
        <w:tabs>
          <w:tab w:val="left" w:pos="1350"/>
        </w:tabs>
        <w:spacing w:before="120"/>
        <w:ind w:left="720" w:right="-35"/>
        <w:rPr>
          <w:rFonts w:ascii="Calibri" w:hAnsi="Calibri"/>
          <w:color w:val="000000"/>
          <w:lang w:val="en-AU"/>
        </w:rPr>
      </w:pPr>
      <w:r>
        <w:rPr>
          <w:rFonts w:ascii="Calibri" w:hAnsi="Calibri"/>
          <w:color w:val="000000"/>
          <w:lang w:val="en-AU"/>
        </w:rPr>
        <w:t>“</w:t>
      </w:r>
      <w:r w:rsidR="00BD4103">
        <w:rPr>
          <w:rFonts w:ascii="Calibri" w:hAnsi="Calibri"/>
          <w:color w:val="000000"/>
          <w:lang w:val="en-AU"/>
        </w:rPr>
        <w:t>(1)</w:t>
      </w:r>
      <w:r w:rsidR="00BD4103">
        <w:rPr>
          <w:rFonts w:ascii="Calibri" w:hAnsi="Calibri"/>
          <w:color w:val="000000"/>
          <w:lang w:val="en-AU"/>
        </w:rPr>
        <w:tab/>
        <w:t>notes:</w:t>
      </w:r>
    </w:p>
    <w:p w:rsidR="00BD4103" w:rsidRDefault="00BD4103" w:rsidP="00BD4103">
      <w:pPr>
        <w:tabs>
          <w:tab w:val="left" w:pos="1350"/>
        </w:tabs>
        <w:spacing w:before="120"/>
        <w:ind w:left="1890" w:right="-35" w:hanging="540"/>
      </w:pPr>
      <w:r>
        <w:rPr>
          <w:rFonts w:ascii="Calibri" w:hAnsi="Calibri"/>
          <w:color w:val="000000"/>
          <w:lang w:val="en-AU"/>
        </w:rPr>
        <w:t>(a)</w:t>
      </w:r>
      <w:r>
        <w:rPr>
          <w:rFonts w:ascii="Calibri" w:hAnsi="Calibri"/>
          <w:color w:val="000000"/>
          <w:lang w:val="en-AU"/>
        </w:rPr>
        <w:tab/>
      </w:r>
      <w:r w:rsidRPr="00C22A05">
        <w:t>it is estimated more than 30</w:t>
      </w:r>
      <w:r>
        <w:t xml:space="preserve"> </w:t>
      </w:r>
      <w:r w:rsidRPr="00C22A05">
        <w:t xml:space="preserve">000 Australians suffer from </w:t>
      </w:r>
      <w:r>
        <w:t>sudden cardiac arrest (</w:t>
      </w:r>
      <w:r w:rsidRPr="00C22A05">
        <w:t>SCA</w:t>
      </w:r>
      <w:r>
        <w:t>)</w:t>
      </w:r>
      <w:r w:rsidRPr="00C22A05">
        <w:t xml:space="preserve"> every year of which only </w:t>
      </w:r>
      <w:r>
        <w:t>five</w:t>
      </w:r>
      <w:r w:rsidRPr="00C22A05">
        <w:t xml:space="preserve"> percent survive;</w:t>
      </w:r>
    </w:p>
    <w:p w:rsidR="00BD4103" w:rsidRPr="00BD4103" w:rsidRDefault="00BD4103" w:rsidP="00BD4103">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(b)</w:t>
      </w:r>
      <w:r w:rsidRPr="00BD4103">
        <w:rPr>
          <w:rFonts w:ascii="Calibri" w:hAnsi="Calibri"/>
          <w:color w:val="000000"/>
          <w:lang w:val="en-AU"/>
        </w:rPr>
        <w:tab/>
        <w:t>the chances of survival decrease by up to 10 percen</w:t>
      </w:r>
      <w:r>
        <w:rPr>
          <w:rFonts w:ascii="Calibri" w:hAnsi="Calibri"/>
          <w:color w:val="000000"/>
          <w:lang w:val="en-AU"/>
        </w:rPr>
        <w:t>t for every minute that passes;</w:t>
      </w:r>
    </w:p>
    <w:p w:rsidR="00BD4103" w:rsidRPr="00BD4103" w:rsidRDefault="00BD4103" w:rsidP="00BD4103">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(c)</w:t>
      </w:r>
      <w:r w:rsidRPr="00BD4103">
        <w:rPr>
          <w:rFonts w:ascii="Calibri" w:hAnsi="Calibri"/>
          <w:color w:val="000000"/>
          <w:lang w:val="en-AU"/>
        </w:rPr>
        <w:tab/>
      </w:r>
      <w:r w:rsidR="00017799">
        <w:rPr>
          <w:rFonts w:ascii="Calibri" w:hAnsi="Calibri"/>
          <w:color w:val="000000"/>
          <w:lang w:val="en-AU"/>
        </w:rPr>
        <w:t xml:space="preserve">defibrillators save lives.  </w:t>
      </w:r>
      <w:r w:rsidRPr="00BD4103">
        <w:rPr>
          <w:rFonts w:ascii="Calibri" w:hAnsi="Calibri"/>
          <w:color w:val="000000"/>
          <w:lang w:val="en-AU"/>
        </w:rPr>
        <w:t xml:space="preserve">St John Ambulance estimates that each year more than 100 Canberrans’ lives could be saved from </w:t>
      </w:r>
      <w:r>
        <w:rPr>
          <w:rFonts w:ascii="Calibri" w:hAnsi="Calibri"/>
          <w:color w:val="000000"/>
          <w:lang w:val="en-AU"/>
        </w:rPr>
        <w:t>SCA</w:t>
      </w:r>
      <w:r w:rsidRPr="00BD4103">
        <w:rPr>
          <w:rFonts w:ascii="Calibri" w:hAnsi="Calibri"/>
          <w:color w:val="000000"/>
          <w:lang w:val="en-AU"/>
        </w:rPr>
        <w:t xml:space="preserve"> if defibrillators were installed in ACT government schools and workplaces;</w:t>
      </w:r>
    </w:p>
    <w:p w:rsidR="00BD4103" w:rsidRPr="00BD4103" w:rsidRDefault="00BD4103" w:rsidP="00BD4103">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(d)</w:t>
      </w:r>
      <w:r w:rsidRPr="00BD4103">
        <w:rPr>
          <w:rFonts w:ascii="Calibri" w:hAnsi="Calibri"/>
          <w:color w:val="000000"/>
          <w:lang w:val="en-AU"/>
        </w:rPr>
        <w:tab/>
        <w:t>currently there is no legislative requirement for defibrillators in ACT government schools or workplaces;</w:t>
      </w:r>
    </w:p>
    <w:p w:rsidR="00BD4103" w:rsidRPr="00BD4103" w:rsidRDefault="00BD4103" w:rsidP="00BD4103">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(e)</w:t>
      </w:r>
      <w:r w:rsidRPr="00BD4103">
        <w:rPr>
          <w:rFonts w:ascii="Calibri" w:hAnsi="Calibri"/>
          <w:color w:val="000000"/>
          <w:lang w:val="en-AU"/>
        </w:rPr>
        <w:tab/>
      </w:r>
      <w:r w:rsidR="00D0359E" w:rsidRPr="00D0359E">
        <w:rPr>
          <w:rFonts w:ascii="Calibri" w:hAnsi="Calibri"/>
          <w:color w:val="000000"/>
          <w:lang w:val="en-AU"/>
        </w:rPr>
        <w:t xml:space="preserve">St John Ambulance, Australian Red Cross and the Heart Foundation support the provision of </w:t>
      </w:r>
      <w:r w:rsidRPr="00BD4103">
        <w:rPr>
          <w:rFonts w:ascii="Calibri" w:hAnsi="Calibri"/>
          <w:color w:val="000000"/>
          <w:lang w:val="en-AU"/>
        </w:rPr>
        <w:t>defibrillators in all government schools and workplaces;</w:t>
      </w:r>
    </w:p>
    <w:p w:rsidR="00BD4103" w:rsidRPr="00BD4103" w:rsidRDefault="00D0359E" w:rsidP="00BD4103">
      <w:pPr>
        <w:tabs>
          <w:tab w:val="left" w:pos="1350"/>
        </w:tabs>
        <w:spacing w:before="120"/>
        <w:ind w:left="1890" w:right="-35" w:hanging="540"/>
        <w:rPr>
          <w:rFonts w:ascii="Calibri" w:hAnsi="Calibri"/>
          <w:color w:val="000000"/>
          <w:lang w:val="en-AU"/>
        </w:rPr>
      </w:pPr>
      <w:r>
        <w:rPr>
          <w:rFonts w:ascii="Calibri" w:hAnsi="Calibri"/>
          <w:color w:val="000000"/>
          <w:lang w:val="en-AU"/>
        </w:rPr>
        <w:t>(f)</w:t>
      </w:r>
      <w:r>
        <w:rPr>
          <w:rFonts w:ascii="Calibri" w:hAnsi="Calibri"/>
          <w:color w:val="000000"/>
          <w:lang w:val="en-AU"/>
        </w:rPr>
        <w:tab/>
        <w:t>a</w:t>
      </w:r>
      <w:r w:rsidR="00BD4103" w:rsidRPr="00BD4103">
        <w:rPr>
          <w:rFonts w:ascii="Calibri" w:hAnsi="Calibri"/>
          <w:color w:val="000000"/>
          <w:lang w:val="en-AU"/>
        </w:rPr>
        <w:t>s of October 2020, 38 of the 89 ACT government schools have a defibrillator on site;</w:t>
      </w:r>
    </w:p>
    <w:p w:rsidR="00BD4103" w:rsidRPr="00BD4103" w:rsidRDefault="00BD4103" w:rsidP="00BD4103">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(g)</w:t>
      </w:r>
      <w:r w:rsidRPr="00BD4103">
        <w:rPr>
          <w:rFonts w:ascii="Calibri" w:hAnsi="Calibri"/>
          <w:color w:val="000000"/>
          <w:lang w:val="en-AU"/>
        </w:rPr>
        <w:tab/>
        <w:t xml:space="preserve">ACT government schools assess their risk profile in accordance with the First Aid Code of Practice and through consultation processes established per the </w:t>
      </w:r>
      <w:r w:rsidRPr="00D0359E">
        <w:rPr>
          <w:rFonts w:ascii="Calibri" w:hAnsi="Calibri"/>
          <w:i/>
          <w:color w:val="000000"/>
          <w:lang w:val="en-AU"/>
        </w:rPr>
        <w:t>Work Health and Safety Act 2011</w:t>
      </w:r>
      <w:r w:rsidRPr="00BD4103">
        <w:rPr>
          <w:rFonts w:ascii="Calibri" w:hAnsi="Calibri"/>
          <w:color w:val="000000"/>
          <w:lang w:val="en-AU"/>
        </w:rPr>
        <w:t>;</w:t>
      </w:r>
    </w:p>
    <w:p w:rsidR="00BD4103" w:rsidRPr="00BD4103" w:rsidRDefault="00BD4103" w:rsidP="00BD4103">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(h)</w:t>
      </w:r>
      <w:r w:rsidRPr="00BD4103">
        <w:rPr>
          <w:rFonts w:ascii="Calibri" w:hAnsi="Calibri"/>
          <w:color w:val="000000"/>
          <w:lang w:val="en-AU"/>
        </w:rPr>
        <w:tab/>
        <w:t>all light rail vehicles have a defibrillator on board;</w:t>
      </w:r>
    </w:p>
    <w:p w:rsidR="00BD4103" w:rsidRPr="00BD4103" w:rsidRDefault="00BD4103" w:rsidP="00BD4103">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(i)</w:t>
      </w:r>
      <w:r w:rsidRPr="00BD4103">
        <w:rPr>
          <w:rFonts w:ascii="Calibri" w:hAnsi="Calibri"/>
          <w:color w:val="000000"/>
          <w:lang w:val="en-AU"/>
        </w:rPr>
        <w:tab/>
        <w:t>Transport Canberra has a fleet of five Field Response Vans that are based at each interchange across Canberra, which are able to be deployed to respond rapidly to any emerging issues on bus services anywhere in the city;</w:t>
      </w:r>
    </w:p>
    <w:p w:rsidR="00BD4103" w:rsidRPr="00BD4103" w:rsidRDefault="00BD4103" w:rsidP="00BD4103">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(j)</w:t>
      </w:r>
      <w:r w:rsidRPr="00BD4103">
        <w:rPr>
          <w:rFonts w:ascii="Calibri" w:hAnsi="Calibri"/>
          <w:color w:val="000000"/>
          <w:lang w:val="en-AU"/>
        </w:rPr>
        <w:tab/>
        <w:t>each Field Response Van is fitted with defibrillator equipment and all Transport Canberra Transport Officers staffing these vans hold first aid certificates; and</w:t>
      </w:r>
    </w:p>
    <w:p w:rsidR="00BD4103" w:rsidRPr="00BD4103" w:rsidRDefault="00BD4103" w:rsidP="00BD4103">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(k)</w:t>
      </w:r>
      <w:r w:rsidRPr="00BD4103">
        <w:rPr>
          <w:rFonts w:ascii="Calibri" w:hAnsi="Calibri"/>
          <w:color w:val="000000"/>
          <w:lang w:val="en-AU"/>
        </w:rPr>
        <w:tab/>
        <w:t>all Transport Canberra buses have radio communication to the Transport Canberra Control Room which enables a rapid response of emergency services and the inciden</w:t>
      </w:r>
      <w:r w:rsidR="00D0359E">
        <w:rPr>
          <w:rFonts w:ascii="Calibri" w:hAnsi="Calibri"/>
          <w:color w:val="000000"/>
          <w:lang w:val="en-AU"/>
        </w:rPr>
        <w:t>t response vehicles as required;</w:t>
      </w:r>
      <w:r w:rsidR="002A017E">
        <w:rPr>
          <w:rFonts w:ascii="Calibri" w:hAnsi="Calibri"/>
          <w:color w:val="000000"/>
          <w:lang w:val="en-AU"/>
        </w:rPr>
        <w:t xml:space="preserve"> and</w:t>
      </w:r>
    </w:p>
    <w:p w:rsidR="002A017E" w:rsidRDefault="002A017E" w:rsidP="002A017E">
      <w:pPr>
        <w:tabs>
          <w:tab w:val="left" w:pos="1350"/>
        </w:tabs>
        <w:spacing w:before="120"/>
        <w:ind w:left="720" w:right="-35"/>
        <w:rPr>
          <w:rFonts w:ascii="Calibri" w:hAnsi="Calibri"/>
          <w:color w:val="000000"/>
          <w:lang w:val="en-AU"/>
        </w:rPr>
      </w:pPr>
      <w:r>
        <w:rPr>
          <w:rFonts w:ascii="Calibri" w:hAnsi="Calibri"/>
          <w:color w:val="000000"/>
          <w:lang w:val="en-AU"/>
        </w:rPr>
        <w:t>(2)</w:t>
      </w:r>
      <w:r>
        <w:rPr>
          <w:rFonts w:ascii="Calibri" w:hAnsi="Calibri"/>
          <w:color w:val="000000"/>
          <w:lang w:val="en-AU"/>
        </w:rPr>
        <w:tab/>
        <w:t>calls on the ACT Government to:</w:t>
      </w:r>
    </w:p>
    <w:p w:rsidR="00BD4103" w:rsidRPr="00D0359E" w:rsidRDefault="002A017E" w:rsidP="00D0359E">
      <w:pPr>
        <w:tabs>
          <w:tab w:val="left" w:pos="135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r>
      <w:r w:rsidR="00BD4103" w:rsidRPr="00D0359E">
        <w:rPr>
          <w:rFonts w:ascii="Calibri" w:hAnsi="Calibri"/>
          <w:color w:val="000000"/>
          <w:lang w:val="en-AU"/>
        </w:rPr>
        <w:t>continue to support government schools and agencies to increase the availability of defibrillators in their facilities;</w:t>
      </w:r>
      <w:r>
        <w:rPr>
          <w:rFonts w:ascii="Calibri" w:hAnsi="Calibri"/>
          <w:color w:val="000000"/>
          <w:lang w:val="en-AU"/>
        </w:rPr>
        <w:t xml:space="preserve"> and</w:t>
      </w:r>
    </w:p>
    <w:p w:rsidR="00BD4103" w:rsidRPr="00D0359E" w:rsidRDefault="002A017E" w:rsidP="00D0359E">
      <w:pPr>
        <w:tabs>
          <w:tab w:val="left" w:pos="135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r>
      <w:r w:rsidR="00BD4103" w:rsidRPr="00D0359E">
        <w:rPr>
          <w:rFonts w:ascii="Calibri" w:hAnsi="Calibri"/>
          <w:color w:val="000000"/>
          <w:lang w:val="en-AU"/>
        </w:rPr>
        <w:t>consider ways to increase public awareness of the use of (and access to) defibrillators to save lives, in consultation with St John Ambulance and the Heart Foundation.</w:t>
      </w:r>
      <w:r>
        <w:rPr>
          <w:rFonts w:ascii="Calibri" w:hAnsi="Calibri"/>
          <w:color w:val="000000"/>
          <w:lang w:val="en-AU"/>
        </w:rPr>
        <w:t>”.</w:t>
      </w:r>
    </w:p>
    <w:p w:rsidR="00CF2F8C" w:rsidRDefault="00CF2F8C" w:rsidP="00CF2F8C">
      <w:pPr>
        <w:spacing w:before="120"/>
        <w:ind w:left="720" w:right="-35"/>
        <w:rPr>
          <w:rFonts w:ascii="Calibri" w:hAnsi="Calibri"/>
          <w:color w:val="000000"/>
          <w:lang w:val="en-AU"/>
        </w:rPr>
      </w:pPr>
      <w:r w:rsidRPr="00CF2F8C">
        <w:rPr>
          <w:rFonts w:ascii="Calibri" w:hAnsi="Calibri"/>
          <w:color w:val="000000"/>
          <w:lang w:val="en-AU"/>
        </w:rPr>
        <w:t xml:space="preserve">Debate </w:t>
      </w:r>
      <w:r w:rsidR="00BD4103">
        <w:rPr>
          <w:rFonts w:ascii="Calibri" w:hAnsi="Calibri"/>
          <w:color w:val="000000"/>
          <w:lang w:val="en-AU"/>
        </w:rPr>
        <w:t>continued</w:t>
      </w:r>
      <w:r w:rsidRPr="00CF2F8C">
        <w:rPr>
          <w:rFonts w:ascii="Calibri" w:hAnsi="Calibri"/>
          <w:color w:val="000000"/>
          <w:lang w:val="en-AU"/>
        </w:rPr>
        <w:t>.</w:t>
      </w:r>
    </w:p>
    <w:p w:rsidR="002A017E" w:rsidRDefault="002A017E" w:rsidP="00CF2F8C">
      <w:pPr>
        <w:spacing w:before="120"/>
        <w:ind w:left="720" w:right="-35"/>
        <w:rPr>
          <w:rFonts w:ascii="Calibri" w:hAnsi="Calibri"/>
          <w:color w:val="000000"/>
          <w:lang w:val="en-AU"/>
        </w:rPr>
      </w:pPr>
      <w:r>
        <w:rPr>
          <w:rFonts w:ascii="Calibri" w:hAnsi="Calibri"/>
          <w:color w:val="000000"/>
          <w:lang w:val="en-AU"/>
        </w:rPr>
        <w:t>Question—That the amendment be agreed to—put.</w:t>
      </w:r>
    </w:p>
    <w:p w:rsidR="002A017E" w:rsidRDefault="002A017E" w:rsidP="002A017E">
      <w:pPr>
        <w:tabs>
          <w:tab w:val="left" w:pos="9360"/>
        </w:tabs>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360" w:type="dxa"/>
        <w:tblLayout w:type="fixed"/>
        <w:tblCellMar>
          <w:left w:w="0" w:type="dxa"/>
          <w:right w:w="56" w:type="dxa"/>
        </w:tblCellMar>
        <w:tblLook w:val="0000" w:firstRow="0" w:lastRow="0" w:firstColumn="0" w:lastColumn="0" w:noHBand="0" w:noVBand="0"/>
      </w:tblPr>
      <w:tblGrid>
        <w:gridCol w:w="720"/>
        <w:gridCol w:w="2041"/>
        <w:gridCol w:w="119"/>
        <w:gridCol w:w="1202"/>
        <w:gridCol w:w="624"/>
        <w:gridCol w:w="96"/>
        <w:gridCol w:w="119"/>
        <w:gridCol w:w="569"/>
        <w:gridCol w:w="90"/>
        <w:gridCol w:w="1951"/>
        <w:gridCol w:w="90"/>
        <w:gridCol w:w="1167"/>
        <w:gridCol w:w="482"/>
        <w:gridCol w:w="90"/>
      </w:tblGrid>
      <w:tr w:rsidR="002A017E" w:rsidTr="002A017E">
        <w:trPr>
          <w:gridAfter w:val="2"/>
          <w:wAfter w:w="572" w:type="dxa"/>
        </w:trPr>
        <w:tc>
          <w:tcPr>
            <w:tcW w:w="4082" w:type="dxa"/>
            <w:gridSpan w:val="4"/>
            <w:shd w:val="clear" w:color="auto" w:fill="auto"/>
          </w:tcPr>
          <w:p w:rsidR="002A017E" w:rsidRDefault="002A017E" w:rsidP="002A017E">
            <w:pPr>
              <w:tabs>
                <w:tab w:val="center" w:pos="2430"/>
                <w:tab w:val="left" w:pos="9360"/>
              </w:tabs>
              <w:spacing w:before="120"/>
              <w:ind w:right="-35"/>
              <w:rPr>
                <w:rFonts w:ascii="Calibri" w:hAnsi="Calibri"/>
                <w:color w:val="000000"/>
                <w:lang w:val="en-AU"/>
              </w:rPr>
            </w:pPr>
            <w:r>
              <w:rPr>
                <w:rFonts w:ascii="Calibri" w:hAnsi="Calibri"/>
                <w:color w:val="000000"/>
                <w:lang w:val="en-AU"/>
              </w:rPr>
              <w:tab/>
              <w:t>AYES, 11</w:t>
            </w:r>
          </w:p>
        </w:tc>
        <w:tc>
          <w:tcPr>
            <w:tcW w:w="624" w:type="dxa"/>
            <w:shd w:val="clear" w:color="auto" w:fill="auto"/>
          </w:tcPr>
          <w:p w:rsidR="002A017E" w:rsidRDefault="002A017E" w:rsidP="002A017E">
            <w:pPr>
              <w:tabs>
                <w:tab w:val="left" w:pos="9360"/>
              </w:tabs>
              <w:spacing w:before="120"/>
              <w:ind w:right="-35"/>
              <w:rPr>
                <w:rFonts w:ascii="Calibri" w:hAnsi="Calibri"/>
                <w:color w:val="000000"/>
                <w:lang w:val="en-AU"/>
              </w:rPr>
            </w:pPr>
          </w:p>
        </w:tc>
        <w:tc>
          <w:tcPr>
            <w:tcW w:w="4082" w:type="dxa"/>
            <w:gridSpan w:val="7"/>
            <w:shd w:val="clear" w:color="auto" w:fill="auto"/>
          </w:tcPr>
          <w:p w:rsidR="002A017E" w:rsidRDefault="002A017E" w:rsidP="002A017E">
            <w:pPr>
              <w:tabs>
                <w:tab w:val="center" w:pos="2584"/>
                <w:tab w:val="left" w:pos="9360"/>
              </w:tabs>
              <w:spacing w:before="120"/>
              <w:ind w:right="-35"/>
              <w:rPr>
                <w:rFonts w:ascii="Calibri" w:hAnsi="Calibri"/>
                <w:color w:val="000000"/>
                <w:lang w:val="en-AU"/>
              </w:rPr>
            </w:pPr>
            <w:r>
              <w:rPr>
                <w:rFonts w:ascii="Calibri" w:hAnsi="Calibri"/>
                <w:color w:val="000000"/>
                <w:lang w:val="en-AU"/>
              </w:rPr>
              <w:tab/>
              <w:t>NOES, 4</w:t>
            </w:r>
          </w:p>
        </w:tc>
      </w:tr>
      <w:tr w:rsidR="002A017E" w:rsidTr="002A017E">
        <w:trPr>
          <w:gridBefore w:val="1"/>
          <w:gridAfter w:val="1"/>
          <w:wBefore w:w="720" w:type="dxa"/>
          <w:wAfter w:w="90" w:type="dxa"/>
          <w:trHeight w:hRule="exact" w:val="312"/>
        </w:trPr>
        <w:tc>
          <w:tcPr>
            <w:tcW w:w="2160" w:type="dxa"/>
            <w:gridSpan w:val="2"/>
            <w:shd w:val="clear" w:color="auto" w:fill="auto"/>
          </w:tcPr>
          <w:p w:rsidR="002A017E" w:rsidRDefault="002A017E" w:rsidP="002A017E">
            <w:pPr>
              <w:tabs>
                <w:tab w:val="left" w:pos="9360"/>
              </w:tabs>
              <w:ind w:right="-35"/>
              <w:rPr>
                <w:rFonts w:ascii="Calibri" w:hAnsi="Calibri"/>
                <w:color w:val="000000"/>
                <w:lang w:val="en-AU"/>
              </w:rPr>
            </w:pPr>
            <w:r>
              <w:rPr>
                <w:rFonts w:ascii="Calibri" w:hAnsi="Calibri"/>
                <w:color w:val="000000"/>
                <w:lang w:val="en-AU"/>
              </w:rPr>
              <w:t>Ms Burch</w:t>
            </w:r>
          </w:p>
        </w:tc>
        <w:tc>
          <w:tcPr>
            <w:tcW w:w="2041" w:type="dxa"/>
            <w:gridSpan w:val="4"/>
            <w:shd w:val="clear" w:color="auto" w:fill="auto"/>
          </w:tcPr>
          <w:p w:rsidR="002A017E" w:rsidRDefault="002A017E" w:rsidP="002A017E">
            <w:pPr>
              <w:tabs>
                <w:tab w:val="left" w:pos="9360"/>
              </w:tabs>
              <w:ind w:right="-35"/>
              <w:rPr>
                <w:rFonts w:ascii="Calibri" w:hAnsi="Calibri"/>
                <w:color w:val="000000"/>
                <w:lang w:val="en-AU"/>
              </w:rPr>
            </w:pPr>
            <w:r>
              <w:rPr>
                <w:rFonts w:ascii="Calibri" w:hAnsi="Calibri"/>
                <w:color w:val="000000"/>
                <w:lang w:val="en-AU"/>
              </w:rPr>
              <w:t>Ms Orr</w:t>
            </w:r>
          </w:p>
        </w:tc>
        <w:tc>
          <w:tcPr>
            <w:tcW w:w="569" w:type="dxa"/>
            <w:shd w:val="clear" w:color="auto" w:fill="auto"/>
          </w:tcPr>
          <w:p w:rsidR="002A017E" w:rsidRDefault="002A017E" w:rsidP="002A017E">
            <w:pPr>
              <w:tabs>
                <w:tab w:val="left" w:pos="9360"/>
              </w:tabs>
              <w:spacing w:before="120"/>
              <w:ind w:right="-35"/>
              <w:rPr>
                <w:rFonts w:ascii="Calibri" w:hAnsi="Calibri"/>
                <w:color w:val="000000"/>
                <w:lang w:val="en-AU"/>
              </w:rPr>
            </w:pPr>
          </w:p>
        </w:tc>
        <w:tc>
          <w:tcPr>
            <w:tcW w:w="2041" w:type="dxa"/>
            <w:gridSpan w:val="2"/>
            <w:shd w:val="clear" w:color="auto" w:fill="auto"/>
          </w:tcPr>
          <w:p w:rsidR="002A017E" w:rsidRDefault="002A017E" w:rsidP="002A017E">
            <w:pPr>
              <w:tabs>
                <w:tab w:val="left" w:pos="9360"/>
              </w:tabs>
              <w:ind w:right="-35"/>
              <w:rPr>
                <w:rFonts w:ascii="Calibri" w:hAnsi="Calibri"/>
                <w:color w:val="000000"/>
                <w:lang w:val="en-AU"/>
              </w:rPr>
            </w:pPr>
            <w:r>
              <w:rPr>
                <w:rFonts w:ascii="Calibri" w:hAnsi="Calibri"/>
                <w:color w:val="000000"/>
                <w:lang w:val="en-AU"/>
              </w:rPr>
              <w:t>Mr Cain</w:t>
            </w:r>
          </w:p>
        </w:tc>
        <w:tc>
          <w:tcPr>
            <w:tcW w:w="1739" w:type="dxa"/>
            <w:gridSpan w:val="3"/>
            <w:shd w:val="clear" w:color="auto" w:fill="auto"/>
          </w:tcPr>
          <w:p w:rsidR="002A017E" w:rsidRDefault="002A017E" w:rsidP="002A017E">
            <w:pPr>
              <w:tabs>
                <w:tab w:val="left" w:pos="9360"/>
              </w:tabs>
              <w:spacing w:before="120"/>
              <w:ind w:right="-35"/>
              <w:rPr>
                <w:rFonts w:ascii="Calibri" w:hAnsi="Calibri"/>
                <w:color w:val="000000"/>
                <w:lang w:val="en-AU"/>
              </w:rPr>
            </w:pPr>
          </w:p>
        </w:tc>
      </w:tr>
      <w:tr w:rsidR="002A017E" w:rsidTr="002A017E">
        <w:trPr>
          <w:gridBefore w:val="1"/>
          <w:gridAfter w:val="1"/>
          <w:wBefore w:w="720" w:type="dxa"/>
          <w:wAfter w:w="90" w:type="dxa"/>
          <w:trHeight w:hRule="exact" w:val="312"/>
        </w:trPr>
        <w:tc>
          <w:tcPr>
            <w:tcW w:w="2160" w:type="dxa"/>
            <w:gridSpan w:val="2"/>
            <w:shd w:val="clear" w:color="auto" w:fill="auto"/>
          </w:tcPr>
          <w:p w:rsidR="002A017E" w:rsidRDefault="002A017E" w:rsidP="002A017E">
            <w:pPr>
              <w:tabs>
                <w:tab w:val="left" w:pos="9360"/>
              </w:tabs>
              <w:ind w:right="-35"/>
              <w:rPr>
                <w:rFonts w:ascii="Calibri" w:hAnsi="Calibri"/>
                <w:color w:val="000000"/>
                <w:lang w:val="en-AU"/>
              </w:rPr>
            </w:pPr>
            <w:r>
              <w:rPr>
                <w:rFonts w:ascii="Calibri" w:hAnsi="Calibri"/>
                <w:color w:val="000000"/>
                <w:lang w:val="en-AU"/>
              </w:rPr>
              <w:t>Ms Cheyne</w:t>
            </w:r>
          </w:p>
        </w:tc>
        <w:tc>
          <w:tcPr>
            <w:tcW w:w="2041" w:type="dxa"/>
            <w:gridSpan w:val="4"/>
            <w:shd w:val="clear" w:color="auto" w:fill="auto"/>
          </w:tcPr>
          <w:p w:rsidR="002A017E" w:rsidRDefault="002A017E" w:rsidP="002A017E">
            <w:pPr>
              <w:tabs>
                <w:tab w:val="left" w:pos="9360"/>
              </w:tabs>
              <w:ind w:right="-35"/>
              <w:rPr>
                <w:rFonts w:ascii="Calibri" w:hAnsi="Calibri"/>
                <w:color w:val="000000"/>
                <w:lang w:val="en-AU"/>
              </w:rPr>
            </w:pPr>
            <w:r>
              <w:rPr>
                <w:rFonts w:ascii="Calibri" w:hAnsi="Calibri"/>
                <w:color w:val="000000"/>
                <w:lang w:val="en-AU"/>
              </w:rPr>
              <w:t>Dr Paterson</w:t>
            </w:r>
          </w:p>
        </w:tc>
        <w:tc>
          <w:tcPr>
            <w:tcW w:w="569" w:type="dxa"/>
            <w:shd w:val="clear" w:color="auto" w:fill="auto"/>
          </w:tcPr>
          <w:p w:rsidR="002A017E" w:rsidRDefault="002A017E" w:rsidP="002A017E">
            <w:pPr>
              <w:tabs>
                <w:tab w:val="left" w:pos="9360"/>
              </w:tabs>
              <w:spacing w:before="120"/>
              <w:ind w:right="-35"/>
              <w:rPr>
                <w:rFonts w:ascii="Calibri" w:hAnsi="Calibri"/>
                <w:color w:val="000000"/>
                <w:lang w:val="en-AU"/>
              </w:rPr>
            </w:pPr>
          </w:p>
        </w:tc>
        <w:tc>
          <w:tcPr>
            <w:tcW w:w="2041" w:type="dxa"/>
            <w:gridSpan w:val="2"/>
            <w:shd w:val="clear" w:color="auto" w:fill="auto"/>
          </w:tcPr>
          <w:p w:rsidR="002A017E" w:rsidRDefault="002A017E" w:rsidP="002A017E">
            <w:pPr>
              <w:tabs>
                <w:tab w:val="left" w:pos="9360"/>
              </w:tabs>
              <w:ind w:right="-35"/>
              <w:rPr>
                <w:rFonts w:ascii="Calibri" w:hAnsi="Calibri"/>
                <w:color w:val="000000"/>
                <w:lang w:val="en-AU"/>
              </w:rPr>
            </w:pPr>
            <w:r>
              <w:rPr>
                <w:rFonts w:ascii="Calibri" w:hAnsi="Calibri"/>
                <w:color w:val="000000"/>
                <w:lang w:val="en-AU"/>
              </w:rPr>
              <w:t>Ms Castley</w:t>
            </w:r>
          </w:p>
        </w:tc>
        <w:tc>
          <w:tcPr>
            <w:tcW w:w="1739" w:type="dxa"/>
            <w:gridSpan w:val="3"/>
            <w:shd w:val="clear" w:color="auto" w:fill="auto"/>
          </w:tcPr>
          <w:p w:rsidR="002A017E" w:rsidRDefault="002A017E" w:rsidP="002A017E">
            <w:pPr>
              <w:tabs>
                <w:tab w:val="left" w:pos="9360"/>
              </w:tabs>
              <w:spacing w:before="120"/>
              <w:ind w:right="-35"/>
              <w:rPr>
                <w:rFonts w:ascii="Calibri" w:hAnsi="Calibri"/>
                <w:color w:val="000000"/>
                <w:lang w:val="en-AU"/>
              </w:rPr>
            </w:pPr>
          </w:p>
        </w:tc>
      </w:tr>
      <w:tr w:rsidR="002A017E" w:rsidTr="002A017E">
        <w:trPr>
          <w:gridBefore w:val="1"/>
          <w:gridAfter w:val="1"/>
          <w:wBefore w:w="720" w:type="dxa"/>
          <w:wAfter w:w="90" w:type="dxa"/>
          <w:trHeight w:hRule="exact" w:val="312"/>
        </w:trPr>
        <w:tc>
          <w:tcPr>
            <w:tcW w:w="2160" w:type="dxa"/>
            <w:gridSpan w:val="2"/>
            <w:shd w:val="clear" w:color="auto" w:fill="auto"/>
          </w:tcPr>
          <w:p w:rsidR="002A017E" w:rsidRDefault="002A017E" w:rsidP="002A017E">
            <w:pPr>
              <w:tabs>
                <w:tab w:val="left" w:pos="9360"/>
              </w:tabs>
              <w:ind w:right="-35"/>
              <w:rPr>
                <w:rFonts w:ascii="Calibri" w:hAnsi="Calibri"/>
                <w:color w:val="000000"/>
                <w:lang w:val="en-AU"/>
              </w:rPr>
            </w:pPr>
            <w:r>
              <w:rPr>
                <w:rFonts w:ascii="Calibri" w:hAnsi="Calibri"/>
                <w:color w:val="000000"/>
                <w:lang w:val="en-AU"/>
              </w:rPr>
              <w:t>Ms Clay</w:t>
            </w:r>
          </w:p>
        </w:tc>
        <w:tc>
          <w:tcPr>
            <w:tcW w:w="2041" w:type="dxa"/>
            <w:gridSpan w:val="4"/>
            <w:shd w:val="clear" w:color="auto" w:fill="auto"/>
          </w:tcPr>
          <w:p w:rsidR="002A017E" w:rsidRDefault="002A017E" w:rsidP="002A017E">
            <w:pPr>
              <w:tabs>
                <w:tab w:val="left" w:pos="9360"/>
              </w:tabs>
              <w:ind w:right="-35"/>
              <w:rPr>
                <w:rFonts w:ascii="Calibri" w:hAnsi="Calibri"/>
                <w:color w:val="000000"/>
                <w:lang w:val="en-AU"/>
              </w:rPr>
            </w:pPr>
            <w:r>
              <w:rPr>
                <w:rFonts w:ascii="Calibri" w:hAnsi="Calibri"/>
                <w:color w:val="000000"/>
                <w:lang w:val="en-AU"/>
              </w:rPr>
              <w:t>Mr Pettersson</w:t>
            </w:r>
          </w:p>
        </w:tc>
        <w:tc>
          <w:tcPr>
            <w:tcW w:w="569" w:type="dxa"/>
            <w:shd w:val="clear" w:color="auto" w:fill="auto"/>
          </w:tcPr>
          <w:p w:rsidR="002A017E" w:rsidRDefault="002A017E" w:rsidP="002A017E">
            <w:pPr>
              <w:tabs>
                <w:tab w:val="left" w:pos="9360"/>
              </w:tabs>
              <w:spacing w:before="120"/>
              <w:ind w:right="-35"/>
              <w:rPr>
                <w:rFonts w:ascii="Calibri" w:hAnsi="Calibri"/>
                <w:color w:val="000000"/>
                <w:lang w:val="en-AU"/>
              </w:rPr>
            </w:pPr>
          </w:p>
        </w:tc>
        <w:tc>
          <w:tcPr>
            <w:tcW w:w="2041" w:type="dxa"/>
            <w:gridSpan w:val="2"/>
            <w:shd w:val="clear" w:color="auto" w:fill="auto"/>
          </w:tcPr>
          <w:p w:rsidR="002A017E" w:rsidRDefault="002A017E" w:rsidP="002A017E">
            <w:pPr>
              <w:tabs>
                <w:tab w:val="left" w:pos="9360"/>
              </w:tabs>
              <w:ind w:right="-35"/>
              <w:rPr>
                <w:rFonts w:ascii="Calibri" w:hAnsi="Calibri"/>
                <w:color w:val="000000"/>
                <w:lang w:val="en-AU"/>
              </w:rPr>
            </w:pPr>
            <w:r>
              <w:rPr>
                <w:rFonts w:ascii="Calibri" w:hAnsi="Calibri"/>
                <w:color w:val="000000"/>
                <w:lang w:val="en-AU"/>
              </w:rPr>
              <w:t>Mrs Kikkert</w:t>
            </w:r>
          </w:p>
        </w:tc>
        <w:tc>
          <w:tcPr>
            <w:tcW w:w="1739" w:type="dxa"/>
            <w:gridSpan w:val="3"/>
            <w:shd w:val="clear" w:color="auto" w:fill="auto"/>
          </w:tcPr>
          <w:p w:rsidR="002A017E" w:rsidRDefault="002A017E" w:rsidP="002A017E">
            <w:pPr>
              <w:tabs>
                <w:tab w:val="left" w:pos="9360"/>
              </w:tabs>
              <w:spacing w:before="120"/>
              <w:ind w:right="-35"/>
              <w:rPr>
                <w:rFonts w:ascii="Calibri" w:hAnsi="Calibri"/>
                <w:color w:val="000000"/>
                <w:lang w:val="en-AU"/>
              </w:rPr>
            </w:pPr>
          </w:p>
        </w:tc>
      </w:tr>
      <w:tr w:rsidR="002A017E" w:rsidTr="002A017E">
        <w:trPr>
          <w:gridBefore w:val="1"/>
          <w:gridAfter w:val="1"/>
          <w:wBefore w:w="720" w:type="dxa"/>
          <w:wAfter w:w="90" w:type="dxa"/>
          <w:trHeight w:hRule="exact" w:val="312"/>
        </w:trPr>
        <w:tc>
          <w:tcPr>
            <w:tcW w:w="2160" w:type="dxa"/>
            <w:gridSpan w:val="2"/>
            <w:shd w:val="clear" w:color="auto" w:fill="auto"/>
          </w:tcPr>
          <w:p w:rsidR="002A017E" w:rsidRDefault="002A017E" w:rsidP="002A017E">
            <w:pPr>
              <w:tabs>
                <w:tab w:val="left" w:pos="9360"/>
              </w:tabs>
              <w:ind w:right="-35"/>
              <w:rPr>
                <w:rFonts w:ascii="Calibri" w:hAnsi="Calibri"/>
                <w:color w:val="000000"/>
                <w:lang w:val="en-AU"/>
              </w:rPr>
            </w:pPr>
            <w:r>
              <w:rPr>
                <w:rFonts w:ascii="Calibri" w:hAnsi="Calibri"/>
                <w:color w:val="000000"/>
                <w:lang w:val="en-AU"/>
              </w:rPr>
              <w:t>Ms Davidson</w:t>
            </w:r>
          </w:p>
        </w:tc>
        <w:tc>
          <w:tcPr>
            <w:tcW w:w="2041" w:type="dxa"/>
            <w:gridSpan w:val="4"/>
            <w:shd w:val="clear" w:color="auto" w:fill="auto"/>
          </w:tcPr>
          <w:p w:rsidR="002A017E" w:rsidRDefault="002A017E" w:rsidP="002A017E">
            <w:pPr>
              <w:tabs>
                <w:tab w:val="left" w:pos="9360"/>
              </w:tabs>
              <w:ind w:right="-35"/>
              <w:rPr>
                <w:rFonts w:ascii="Calibri" w:hAnsi="Calibri"/>
                <w:color w:val="000000"/>
                <w:lang w:val="en-AU"/>
              </w:rPr>
            </w:pPr>
            <w:r>
              <w:rPr>
                <w:rFonts w:ascii="Calibri" w:hAnsi="Calibri"/>
                <w:color w:val="000000"/>
                <w:lang w:val="en-AU"/>
              </w:rPr>
              <w:t>Mr Steel</w:t>
            </w:r>
          </w:p>
        </w:tc>
        <w:tc>
          <w:tcPr>
            <w:tcW w:w="569" w:type="dxa"/>
            <w:shd w:val="clear" w:color="auto" w:fill="auto"/>
          </w:tcPr>
          <w:p w:rsidR="002A017E" w:rsidRDefault="002A017E" w:rsidP="002A017E">
            <w:pPr>
              <w:tabs>
                <w:tab w:val="left" w:pos="9360"/>
              </w:tabs>
              <w:spacing w:before="120"/>
              <w:ind w:right="-35"/>
              <w:rPr>
                <w:rFonts w:ascii="Calibri" w:hAnsi="Calibri"/>
                <w:color w:val="000000"/>
                <w:lang w:val="en-AU"/>
              </w:rPr>
            </w:pPr>
          </w:p>
        </w:tc>
        <w:tc>
          <w:tcPr>
            <w:tcW w:w="2041" w:type="dxa"/>
            <w:gridSpan w:val="2"/>
            <w:shd w:val="clear" w:color="auto" w:fill="auto"/>
          </w:tcPr>
          <w:p w:rsidR="002A017E" w:rsidRDefault="002A017E" w:rsidP="002A017E">
            <w:pPr>
              <w:tabs>
                <w:tab w:val="left" w:pos="9360"/>
              </w:tabs>
              <w:ind w:right="-35"/>
              <w:rPr>
                <w:rFonts w:ascii="Calibri" w:hAnsi="Calibri"/>
                <w:color w:val="000000"/>
                <w:lang w:val="en-AU"/>
              </w:rPr>
            </w:pPr>
            <w:r>
              <w:rPr>
                <w:rFonts w:ascii="Calibri" w:hAnsi="Calibri"/>
                <w:color w:val="000000"/>
                <w:lang w:val="en-AU"/>
              </w:rPr>
              <w:t>Ms Lawder</w:t>
            </w:r>
          </w:p>
        </w:tc>
        <w:tc>
          <w:tcPr>
            <w:tcW w:w="1739" w:type="dxa"/>
            <w:gridSpan w:val="3"/>
            <w:shd w:val="clear" w:color="auto" w:fill="auto"/>
          </w:tcPr>
          <w:p w:rsidR="002A017E" w:rsidRDefault="002A017E" w:rsidP="002A017E">
            <w:pPr>
              <w:tabs>
                <w:tab w:val="left" w:pos="9360"/>
              </w:tabs>
              <w:spacing w:before="120"/>
              <w:ind w:right="-35"/>
              <w:rPr>
                <w:rFonts w:ascii="Calibri" w:hAnsi="Calibri"/>
                <w:color w:val="000000"/>
                <w:lang w:val="en-AU"/>
              </w:rPr>
            </w:pPr>
          </w:p>
        </w:tc>
      </w:tr>
      <w:tr w:rsidR="002A017E" w:rsidTr="002A017E">
        <w:trPr>
          <w:gridBefore w:val="1"/>
          <w:gridAfter w:val="1"/>
          <w:wBefore w:w="720" w:type="dxa"/>
          <w:wAfter w:w="90" w:type="dxa"/>
          <w:trHeight w:hRule="exact" w:val="312"/>
        </w:trPr>
        <w:tc>
          <w:tcPr>
            <w:tcW w:w="2160" w:type="dxa"/>
            <w:gridSpan w:val="2"/>
            <w:shd w:val="clear" w:color="auto" w:fill="auto"/>
          </w:tcPr>
          <w:p w:rsidR="002A017E" w:rsidRDefault="002A017E" w:rsidP="002A017E">
            <w:pPr>
              <w:tabs>
                <w:tab w:val="left" w:pos="9360"/>
              </w:tabs>
              <w:ind w:right="-35"/>
              <w:rPr>
                <w:rFonts w:ascii="Calibri" w:hAnsi="Calibri"/>
                <w:color w:val="000000"/>
                <w:lang w:val="en-AU"/>
              </w:rPr>
            </w:pPr>
            <w:r>
              <w:rPr>
                <w:rFonts w:ascii="Calibri" w:hAnsi="Calibri"/>
                <w:color w:val="000000"/>
                <w:lang w:val="en-AU"/>
              </w:rPr>
              <w:t>Mr Davis</w:t>
            </w:r>
          </w:p>
        </w:tc>
        <w:tc>
          <w:tcPr>
            <w:tcW w:w="2041" w:type="dxa"/>
            <w:gridSpan w:val="4"/>
            <w:shd w:val="clear" w:color="auto" w:fill="auto"/>
          </w:tcPr>
          <w:p w:rsidR="002A017E" w:rsidRDefault="002A017E" w:rsidP="002A017E">
            <w:pPr>
              <w:tabs>
                <w:tab w:val="left" w:pos="9360"/>
              </w:tabs>
              <w:ind w:right="-35"/>
              <w:rPr>
                <w:rFonts w:ascii="Calibri" w:hAnsi="Calibri"/>
                <w:color w:val="000000"/>
                <w:lang w:val="en-AU"/>
              </w:rPr>
            </w:pPr>
            <w:r>
              <w:rPr>
                <w:rFonts w:ascii="Calibri" w:hAnsi="Calibri"/>
                <w:color w:val="000000"/>
                <w:lang w:val="en-AU"/>
              </w:rPr>
              <w:t>Ms Stephen-Smith</w:t>
            </w:r>
          </w:p>
        </w:tc>
        <w:tc>
          <w:tcPr>
            <w:tcW w:w="569" w:type="dxa"/>
            <w:shd w:val="clear" w:color="auto" w:fill="auto"/>
          </w:tcPr>
          <w:p w:rsidR="002A017E" w:rsidRDefault="002A017E" w:rsidP="002A017E">
            <w:pPr>
              <w:tabs>
                <w:tab w:val="left" w:pos="9360"/>
              </w:tabs>
              <w:spacing w:before="120"/>
              <w:ind w:right="-35"/>
              <w:rPr>
                <w:rFonts w:ascii="Calibri" w:hAnsi="Calibri"/>
                <w:color w:val="000000"/>
                <w:lang w:val="en-AU"/>
              </w:rPr>
            </w:pPr>
          </w:p>
        </w:tc>
        <w:tc>
          <w:tcPr>
            <w:tcW w:w="2041" w:type="dxa"/>
            <w:gridSpan w:val="2"/>
            <w:shd w:val="clear" w:color="auto" w:fill="auto"/>
          </w:tcPr>
          <w:p w:rsidR="002A017E" w:rsidRDefault="002A017E" w:rsidP="002A017E">
            <w:pPr>
              <w:tabs>
                <w:tab w:val="left" w:pos="9360"/>
              </w:tabs>
              <w:spacing w:before="120"/>
              <w:ind w:right="-35"/>
              <w:rPr>
                <w:rFonts w:ascii="Calibri" w:hAnsi="Calibri"/>
                <w:color w:val="000000"/>
                <w:lang w:val="en-AU"/>
              </w:rPr>
            </w:pPr>
          </w:p>
        </w:tc>
        <w:tc>
          <w:tcPr>
            <w:tcW w:w="1739" w:type="dxa"/>
            <w:gridSpan w:val="3"/>
            <w:shd w:val="clear" w:color="auto" w:fill="auto"/>
          </w:tcPr>
          <w:p w:rsidR="002A017E" w:rsidRDefault="002A017E" w:rsidP="002A017E">
            <w:pPr>
              <w:tabs>
                <w:tab w:val="left" w:pos="9360"/>
              </w:tabs>
              <w:spacing w:before="120"/>
              <w:ind w:right="-35"/>
              <w:rPr>
                <w:rFonts w:ascii="Calibri" w:hAnsi="Calibri"/>
                <w:color w:val="000000"/>
                <w:lang w:val="en-AU"/>
              </w:rPr>
            </w:pPr>
          </w:p>
        </w:tc>
      </w:tr>
      <w:tr w:rsidR="002A017E" w:rsidTr="002A017E">
        <w:trPr>
          <w:gridBefore w:val="1"/>
          <w:wBefore w:w="720" w:type="dxa"/>
          <w:trHeight w:hRule="exact" w:val="312"/>
        </w:trPr>
        <w:tc>
          <w:tcPr>
            <w:tcW w:w="2041" w:type="dxa"/>
            <w:shd w:val="clear" w:color="auto" w:fill="auto"/>
          </w:tcPr>
          <w:p w:rsidR="002A017E" w:rsidRDefault="002A017E" w:rsidP="002A017E">
            <w:pPr>
              <w:tabs>
                <w:tab w:val="left" w:pos="9360"/>
              </w:tabs>
              <w:ind w:right="-35"/>
              <w:rPr>
                <w:rFonts w:ascii="Calibri" w:hAnsi="Calibri"/>
                <w:color w:val="000000"/>
                <w:lang w:val="en-AU"/>
              </w:rPr>
            </w:pPr>
            <w:r>
              <w:rPr>
                <w:rFonts w:ascii="Calibri" w:hAnsi="Calibri"/>
                <w:color w:val="000000"/>
                <w:lang w:val="en-AU"/>
              </w:rPr>
              <w:t>Mr Gentleman</w:t>
            </w:r>
          </w:p>
        </w:tc>
        <w:tc>
          <w:tcPr>
            <w:tcW w:w="2041" w:type="dxa"/>
            <w:gridSpan w:val="4"/>
            <w:shd w:val="clear" w:color="auto" w:fill="auto"/>
          </w:tcPr>
          <w:p w:rsidR="002A017E" w:rsidRDefault="002A017E" w:rsidP="002A017E">
            <w:pPr>
              <w:tabs>
                <w:tab w:val="left" w:pos="9360"/>
              </w:tabs>
              <w:spacing w:before="120"/>
              <w:ind w:right="-35"/>
              <w:rPr>
                <w:rFonts w:ascii="Calibri" w:hAnsi="Calibri"/>
                <w:color w:val="000000"/>
                <w:lang w:val="en-AU"/>
              </w:rPr>
            </w:pPr>
          </w:p>
        </w:tc>
        <w:tc>
          <w:tcPr>
            <w:tcW w:w="778" w:type="dxa"/>
            <w:gridSpan w:val="3"/>
            <w:shd w:val="clear" w:color="auto" w:fill="auto"/>
          </w:tcPr>
          <w:p w:rsidR="002A017E" w:rsidRDefault="002A017E" w:rsidP="002A017E">
            <w:pPr>
              <w:tabs>
                <w:tab w:val="left" w:pos="9360"/>
              </w:tabs>
              <w:spacing w:before="120"/>
              <w:ind w:right="-35"/>
              <w:rPr>
                <w:rFonts w:ascii="Calibri" w:hAnsi="Calibri"/>
                <w:color w:val="000000"/>
                <w:lang w:val="en-AU"/>
              </w:rPr>
            </w:pPr>
          </w:p>
        </w:tc>
        <w:tc>
          <w:tcPr>
            <w:tcW w:w="2041" w:type="dxa"/>
            <w:gridSpan w:val="2"/>
            <w:shd w:val="clear" w:color="auto" w:fill="auto"/>
          </w:tcPr>
          <w:p w:rsidR="002A017E" w:rsidRDefault="002A017E" w:rsidP="002A017E">
            <w:pPr>
              <w:tabs>
                <w:tab w:val="left" w:pos="9360"/>
              </w:tabs>
              <w:spacing w:before="120"/>
              <w:ind w:right="-35"/>
              <w:rPr>
                <w:rFonts w:ascii="Calibri" w:hAnsi="Calibri"/>
                <w:color w:val="000000"/>
                <w:lang w:val="en-AU"/>
              </w:rPr>
            </w:pPr>
          </w:p>
        </w:tc>
        <w:tc>
          <w:tcPr>
            <w:tcW w:w="1739" w:type="dxa"/>
            <w:gridSpan w:val="3"/>
            <w:shd w:val="clear" w:color="auto" w:fill="auto"/>
          </w:tcPr>
          <w:p w:rsidR="002A017E" w:rsidRDefault="002A017E" w:rsidP="002A017E">
            <w:pPr>
              <w:tabs>
                <w:tab w:val="left" w:pos="9360"/>
              </w:tabs>
              <w:spacing w:before="120"/>
              <w:ind w:right="-35"/>
              <w:rPr>
                <w:rFonts w:ascii="Calibri" w:hAnsi="Calibri"/>
                <w:color w:val="000000"/>
                <w:lang w:val="en-AU"/>
              </w:rPr>
            </w:pPr>
          </w:p>
        </w:tc>
      </w:tr>
    </w:tbl>
    <w:p w:rsidR="002A017E" w:rsidRDefault="002A017E" w:rsidP="002A017E">
      <w:pPr>
        <w:tabs>
          <w:tab w:val="left" w:pos="9360"/>
        </w:tabs>
        <w:spacing w:before="120"/>
        <w:ind w:left="720" w:right="-35"/>
        <w:rPr>
          <w:rFonts w:ascii="Calibri" w:hAnsi="Calibri"/>
          <w:color w:val="000000"/>
          <w:lang w:val="en-AU"/>
        </w:rPr>
      </w:pPr>
      <w:r>
        <w:rPr>
          <w:rFonts w:ascii="Calibri" w:hAnsi="Calibri"/>
          <w:color w:val="000000"/>
          <w:lang w:val="en-AU"/>
        </w:rPr>
        <w:t>And so it was resolved in the affirmative.</w:t>
      </w:r>
    </w:p>
    <w:p w:rsidR="002A017E" w:rsidRDefault="00CF2F8C" w:rsidP="00CF2F8C">
      <w:pPr>
        <w:spacing w:before="120"/>
        <w:ind w:left="720"/>
        <w:rPr>
          <w:rFonts w:ascii="Calibri" w:hAnsi="Calibri"/>
          <w:color w:val="000000"/>
          <w:lang w:val="en-AU"/>
        </w:rPr>
      </w:pPr>
      <w:r w:rsidRPr="00CF2F8C">
        <w:rPr>
          <w:rFonts w:ascii="Calibri" w:hAnsi="Calibri"/>
          <w:color w:val="000000"/>
          <w:lang w:val="en-AU"/>
        </w:rPr>
        <w:t>Question—</w:t>
      </w:r>
      <w:r w:rsidR="002A017E">
        <w:rPr>
          <w:rFonts w:ascii="Calibri" w:hAnsi="Calibri"/>
          <w:color w:val="000000"/>
          <w:lang w:val="en-AU"/>
        </w:rPr>
        <w:t>That the motion, as amended, viz:</w:t>
      </w:r>
    </w:p>
    <w:p w:rsidR="002A017E" w:rsidRDefault="002A017E" w:rsidP="00CF2F8C">
      <w:pPr>
        <w:spacing w:before="120"/>
        <w:ind w:left="720"/>
        <w:rPr>
          <w:rFonts w:ascii="Calibri" w:hAnsi="Calibri"/>
          <w:color w:val="000000"/>
          <w:lang w:val="en-AU"/>
        </w:rPr>
      </w:pPr>
      <w:r>
        <w:rPr>
          <w:rFonts w:ascii="Calibri" w:hAnsi="Calibri"/>
          <w:color w:val="000000"/>
          <w:lang w:val="en-AU"/>
        </w:rPr>
        <w:t>“That this Assembly:</w:t>
      </w:r>
    </w:p>
    <w:p w:rsidR="002A017E" w:rsidRDefault="002A017E" w:rsidP="002A017E">
      <w:pPr>
        <w:tabs>
          <w:tab w:val="left" w:pos="1350"/>
        </w:tabs>
        <w:spacing w:before="120"/>
        <w:ind w:left="720" w:right="-35"/>
        <w:rPr>
          <w:rFonts w:ascii="Calibri" w:hAnsi="Calibri"/>
          <w:color w:val="000000"/>
          <w:lang w:val="en-AU"/>
        </w:rPr>
      </w:pPr>
      <w:r>
        <w:rPr>
          <w:rFonts w:ascii="Calibri" w:hAnsi="Calibri"/>
          <w:color w:val="000000"/>
          <w:lang w:val="en-AU"/>
        </w:rPr>
        <w:t>(1)</w:t>
      </w:r>
      <w:r>
        <w:rPr>
          <w:rFonts w:ascii="Calibri" w:hAnsi="Calibri"/>
          <w:color w:val="000000"/>
          <w:lang w:val="en-AU"/>
        </w:rPr>
        <w:tab/>
        <w:t>notes:</w:t>
      </w:r>
    </w:p>
    <w:p w:rsidR="002A017E" w:rsidRDefault="002A017E" w:rsidP="002A017E">
      <w:pPr>
        <w:tabs>
          <w:tab w:val="left" w:pos="1350"/>
        </w:tabs>
        <w:spacing w:before="120"/>
        <w:ind w:left="1890" w:right="-35" w:hanging="540"/>
      </w:pPr>
      <w:r>
        <w:rPr>
          <w:rFonts w:ascii="Calibri" w:hAnsi="Calibri"/>
          <w:color w:val="000000"/>
          <w:lang w:val="en-AU"/>
        </w:rPr>
        <w:t>(a)</w:t>
      </w:r>
      <w:r>
        <w:rPr>
          <w:rFonts w:ascii="Calibri" w:hAnsi="Calibri"/>
          <w:color w:val="000000"/>
          <w:lang w:val="en-AU"/>
        </w:rPr>
        <w:tab/>
      </w:r>
      <w:r w:rsidRPr="00C22A05">
        <w:t>it is estimated more than 30</w:t>
      </w:r>
      <w:r>
        <w:t xml:space="preserve"> </w:t>
      </w:r>
      <w:r w:rsidRPr="00C22A05">
        <w:t xml:space="preserve">000 Australians suffer from </w:t>
      </w:r>
      <w:r>
        <w:t>sudden cardiac arrest (</w:t>
      </w:r>
      <w:r w:rsidRPr="00C22A05">
        <w:t>SCA</w:t>
      </w:r>
      <w:r>
        <w:t>)</w:t>
      </w:r>
      <w:r w:rsidRPr="00C22A05">
        <w:t xml:space="preserve"> every year of which only </w:t>
      </w:r>
      <w:r>
        <w:t>five</w:t>
      </w:r>
      <w:r w:rsidRPr="00C22A05">
        <w:t xml:space="preserve"> percent survive;</w:t>
      </w:r>
    </w:p>
    <w:p w:rsidR="002A017E" w:rsidRPr="00BD4103" w:rsidRDefault="002A017E" w:rsidP="002A017E">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(b)</w:t>
      </w:r>
      <w:r w:rsidRPr="00BD4103">
        <w:rPr>
          <w:rFonts w:ascii="Calibri" w:hAnsi="Calibri"/>
          <w:color w:val="000000"/>
          <w:lang w:val="en-AU"/>
        </w:rPr>
        <w:tab/>
        <w:t>the chances of survival decrease by up to 10 percen</w:t>
      </w:r>
      <w:r>
        <w:rPr>
          <w:rFonts w:ascii="Calibri" w:hAnsi="Calibri"/>
          <w:color w:val="000000"/>
          <w:lang w:val="en-AU"/>
        </w:rPr>
        <w:t>t for every minute that passes;</w:t>
      </w:r>
    </w:p>
    <w:p w:rsidR="002A017E" w:rsidRPr="00BD4103" w:rsidRDefault="002A017E" w:rsidP="002A017E">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(c)</w:t>
      </w:r>
      <w:r w:rsidRPr="00BD4103">
        <w:rPr>
          <w:rFonts w:ascii="Calibri" w:hAnsi="Calibri"/>
          <w:color w:val="000000"/>
          <w:lang w:val="en-AU"/>
        </w:rPr>
        <w:tab/>
      </w:r>
      <w:r w:rsidR="00017799">
        <w:rPr>
          <w:rFonts w:ascii="Calibri" w:hAnsi="Calibri"/>
          <w:color w:val="000000"/>
          <w:lang w:val="en-AU"/>
        </w:rPr>
        <w:t xml:space="preserve">defibrillators save lives.  </w:t>
      </w:r>
      <w:r w:rsidRPr="00BD4103">
        <w:rPr>
          <w:rFonts w:ascii="Calibri" w:hAnsi="Calibri"/>
          <w:color w:val="000000"/>
          <w:lang w:val="en-AU"/>
        </w:rPr>
        <w:t xml:space="preserve">St John Ambulance estimates that each year more than 100 Canberrans’ lives could be saved from </w:t>
      </w:r>
      <w:r>
        <w:rPr>
          <w:rFonts w:ascii="Calibri" w:hAnsi="Calibri"/>
          <w:color w:val="000000"/>
          <w:lang w:val="en-AU"/>
        </w:rPr>
        <w:t>SCA</w:t>
      </w:r>
      <w:r w:rsidRPr="00BD4103">
        <w:rPr>
          <w:rFonts w:ascii="Calibri" w:hAnsi="Calibri"/>
          <w:color w:val="000000"/>
          <w:lang w:val="en-AU"/>
        </w:rPr>
        <w:t xml:space="preserve"> if defibrillators were installed in ACT government schools and workplaces;</w:t>
      </w:r>
    </w:p>
    <w:p w:rsidR="002A017E" w:rsidRPr="00BD4103" w:rsidRDefault="002A017E" w:rsidP="002A017E">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(d)</w:t>
      </w:r>
      <w:r w:rsidRPr="00BD4103">
        <w:rPr>
          <w:rFonts w:ascii="Calibri" w:hAnsi="Calibri"/>
          <w:color w:val="000000"/>
          <w:lang w:val="en-AU"/>
        </w:rPr>
        <w:tab/>
        <w:t>currently there is no legislative requirement for defibrillators in ACT government schools or workplaces;</w:t>
      </w:r>
    </w:p>
    <w:p w:rsidR="002A017E" w:rsidRPr="00BD4103" w:rsidRDefault="002A017E" w:rsidP="002A017E">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(e)</w:t>
      </w:r>
      <w:r w:rsidRPr="00BD4103">
        <w:rPr>
          <w:rFonts w:ascii="Calibri" w:hAnsi="Calibri"/>
          <w:color w:val="000000"/>
          <w:lang w:val="en-AU"/>
        </w:rPr>
        <w:tab/>
      </w:r>
      <w:r w:rsidRPr="00D0359E">
        <w:rPr>
          <w:rFonts w:ascii="Calibri" w:hAnsi="Calibri"/>
          <w:color w:val="000000"/>
          <w:lang w:val="en-AU"/>
        </w:rPr>
        <w:t xml:space="preserve">St John Ambulance, Australian Red Cross and the Heart Foundation support the provision of </w:t>
      </w:r>
      <w:r w:rsidRPr="00BD4103">
        <w:rPr>
          <w:rFonts w:ascii="Calibri" w:hAnsi="Calibri"/>
          <w:color w:val="000000"/>
          <w:lang w:val="en-AU"/>
        </w:rPr>
        <w:t>defibrillators in all government schools and workplaces;</w:t>
      </w:r>
    </w:p>
    <w:p w:rsidR="002A017E" w:rsidRPr="00BD4103" w:rsidRDefault="002A017E" w:rsidP="002A017E">
      <w:pPr>
        <w:tabs>
          <w:tab w:val="left" w:pos="1350"/>
        </w:tabs>
        <w:spacing w:before="120"/>
        <w:ind w:left="1890" w:right="-35" w:hanging="540"/>
        <w:rPr>
          <w:rFonts w:ascii="Calibri" w:hAnsi="Calibri"/>
          <w:color w:val="000000"/>
          <w:lang w:val="en-AU"/>
        </w:rPr>
      </w:pPr>
      <w:r>
        <w:rPr>
          <w:rFonts w:ascii="Calibri" w:hAnsi="Calibri"/>
          <w:color w:val="000000"/>
          <w:lang w:val="en-AU"/>
        </w:rPr>
        <w:t>(f)</w:t>
      </w:r>
      <w:r>
        <w:rPr>
          <w:rFonts w:ascii="Calibri" w:hAnsi="Calibri"/>
          <w:color w:val="000000"/>
          <w:lang w:val="en-AU"/>
        </w:rPr>
        <w:tab/>
        <w:t>a</w:t>
      </w:r>
      <w:r w:rsidRPr="00BD4103">
        <w:rPr>
          <w:rFonts w:ascii="Calibri" w:hAnsi="Calibri"/>
          <w:color w:val="000000"/>
          <w:lang w:val="en-AU"/>
        </w:rPr>
        <w:t>s of October 2020, 38 of the 89 ACT government schools have a defibrillator on site;</w:t>
      </w:r>
    </w:p>
    <w:p w:rsidR="002A017E" w:rsidRPr="00BD4103" w:rsidRDefault="002A017E" w:rsidP="002A017E">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(g)</w:t>
      </w:r>
      <w:r w:rsidRPr="00BD4103">
        <w:rPr>
          <w:rFonts w:ascii="Calibri" w:hAnsi="Calibri"/>
          <w:color w:val="000000"/>
          <w:lang w:val="en-AU"/>
        </w:rPr>
        <w:tab/>
        <w:t xml:space="preserve">ACT government schools assess their risk profile in accordance with the First Aid Code of Practice and through consultation processes established per the </w:t>
      </w:r>
      <w:r w:rsidRPr="00D0359E">
        <w:rPr>
          <w:rFonts w:ascii="Calibri" w:hAnsi="Calibri"/>
          <w:i/>
          <w:color w:val="000000"/>
          <w:lang w:val="en-AU"/>
        </w:rPr>
        <w:t>Work Health and Safety Act 2011</w:t>
      </w:r>
      <w:r w:rsidRPr="00BD4103">
        <w:rPr>
          <w:rFonts w:ascii="Calibri" w:hAnsi="Calibri"/>
          <w:color w:val="000000"/>
          <w:lang w:val="en-AU"/>
        </w:rPr>
        <w:t>;</w:t>
      </w:r>
    </w:p>
    <w:p w:rsidR="002A017E" w:rsidRPr="00BD4103" w:rsidRDefault="002A017E" w:rsidP="002A017E">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(h)</w:t>
      </w:r>
      <w:r w:rsidRPr="00BD4103">
        <w:rPr>
          <w:rFonts w:ascii="Calibri" w:hAnsi="Calibri"/>
          <w:color w:val="000000"/>
          <w:lang w:val="en-AU"/>
        </w:rPr>
        <w:tab/>
        <w:t>all light rail vehicles have a defibrillator on board;</w:t>
      </w:r>
    </w:p>
    <w:p w:rsidR="002A017E" w:rsidRPr="00BD4103" w:rsidRDefault="002A017E" w:rsidP="002A017E">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(i)</w:t>
      </w:r>
      <w:r w:rsidRPr="00BD4103">
        <w:rPr>
          <w:rFonts w:ascii="Calibri" w:hAnsi="Calibri"/>
          <w:color w:val="000000"/>
          <w:lang w:val="en-AU"/>
        </w:rPr>
        <w:tab/>
        <w:t>Transport Canberra has a fleet of five Field Response Vans that are based at each interchange across Canberra, which are able to be deployed to respond rapidly to any emerging issues on bus services anywhere in the city;</w:t>
      </w:r>
    </w:p>
    <w:p w:rsidR="002A017E" w:rsidRPr="00BD4103" w:rsidRDefault="002A017E" w:rsidP="002A017E">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(j)</w:t>
      </w:r>
      <w:r w:rsidRPr="00BD4103">
        <w:rPr>
          <w:rFonts w:ascii="Calibri" w:hAnsi="Calibri"/>
          <w:color w:val="000000"/>
          <w:lang w:val="en-AU"/>
        </w:rPr>
        <w:tab/>
        <w:t>each Field Response Van is fitted with defibrillator equipment and all Transport Canberra Transport Officers staffing these vans hold first aid certificates; and</w:t>
      </w:r>
    </w:p>
    <w:p w:rsidR="002A017E" w:rsidRPr="00BD4103" w:rsidRDefault="002A017E" w:rsidP="002A017E">
      <w:pPr>
        <w:tabs>
          <w:tab w:val="left" w:pos="1350"/>
        </w:tabs>
        <w:spacing w:before="120"/>
        <w:ind w:left="1890" w:right="-35" w:hanging="540"/>
        <w:rPr>
          <w:rFonts w:ascii="Calibri" w:hAnsi="Calibri"/>
          <w:color w:val="000000"/>
          <w:lang w:val="en-AU"/>
        </w:rPr>
      </w:pPr>
      <w:r w:rsidRPr="00BD4103">
        <w:rPr>
          <w:rFonts w:ascii="Calibri" w:hAnsi="Calibri"/>
          <w:color w:val="000000"/>
          <w:lang w:val="en-AU"/>
        </w:rPr>
        <w:t>(k)</w:t>
      </w:r>
      <w:r w:rsidRPr="00BD4103">
        <w:rPr>
          <w:rFonts w:ascii="Calibri" w:hAnsi="Calibri"/>
          <w:color w:val="000000"/>
          <w:lang w:val="en-AU"/>
        </w:rPr>
        <w:tab/>
        <w:t>all Transport Canberra buses have radio communication to the Transport Canberra Control Room which enables a rapid response of emergency services and the inciden</w:t>
      </w:r>
      <w:r>
        <w:rPr>
          <w:rFonts w:ascii="Calibri" w:hAnsi="Calibri"/>
          <w:color w:val="000000"/>
          <w:lang w:val="en-AU"/>
        </w:rPr>
        <w:t>t response vehicles as required; and</w:t>
      </w:r>
    </w:p>
    <w:p w:rsidR="002A017E" w:rsidRDefault="002A017E" w:rsidP="002A017E">
      <w:pPr>
        <w:tabs>
          <w:tab w:val="left" w:pos="1350"/>
        </w:tabs>
        <w:spacing w:before="120"/>
        <w:ind w:left="720" w:right="-35"/>
        <w:rPr>
          <w:rFonts w:ascii="Calibri" w:hAnsi="Calibri"/>
          <w:color w:val="000000"/>
          <w:lang w:val="en-AU"/>
        </w:rPr>
      </w:pPr>
      <w:r>
        <w:rPr>
          <w:rFonts w:ascii="Calibri" w:hAnsi="Calibri"/>
          <w:color w:val="000000"/>
          <w:lang w:val="en-AU"/>
        </w:rPr>
        <w:t>(2)</w:t>
      </w:r>
      <w:r>
        <w:rPr>
          <w:rFonts w:ascii="Calibri" w:hAnsi="Calibri"/>
          <w:color w:val="000000"/>
          <w:lang w:val="en-AU"/>
        </w:rPr>
        <w:tab/>
        <w:t>calls on the ACT Government to:</w:t>
      </w:r>
    </w:p>
    <w:p w:rsidR="002A017E" w:rsidRPr="00D0359E" w:rsidRDefault="002A017E" w:rsidP="002A017E">
      <w:pPr>
        <w:tabs>
          <w:tab w:val="left" w:pos="135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r>
      <w:r w:rsidRPr="00D0359E">
        <w:rPr>
          <w:rFonts w:ascii="Calibri" w:hAnsi="Calibri"/>
          <w:color w:val="000000"/>
          <w:lang w:val="en-AU"/>
        </w:rPr>
        <w:t>continue to support government schools and agencies to increase the availability of defibrillators in their facilities;</w:t>
      </w:r>
      <w:r>
        <w:rPr>
          <w:rFonts w:ascii="Calibri" w:hAnsi="Calibri"/>
          <w:color w:val="000000"/>
          <w:lang w:val="en-AU"/>
        </w:rPr>
        <w:t xml:space="preserve"> and</w:t>
      </w:r>
    </w:p>
    <w:p w:rsidR="002A017E" w:rsidRPr="00D0359E" w:rsidRDefault="002A017E" w:rsidP="002A017E">
      <w:pPr>
        <w:tabs>
          <w:tab w:val="left" w:pos="135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r>
      <w:r w:rsidRPr="00D0359E">
        <w:rPr>
          <w:rFonts w:ascii="Calibri" w:hAnsi="Calibri"/>
          <w:color w:val="000000"/>
          <w:lang w:val="en-AU"/>
        </w:rPr>
        <w:t>consider ways to increase public awareness of the use of (and access to) defibrillators to save lives, in consultation with St John Ambulance and the Heart Foundation.</w:t>
      </w:r>
      <w:r>
        <w:rPr>
          <w:rFonts w:ascii="Calibri" w:hAnsi="Calibri"/>
          <w:color w:val="000000"/>
          <w:lang w:val="en-AU"/>
        </w:rPr>
        <w:t>”—</w:t>
      </w:r>
    </w:p>
    <w:p w:rsidR="00CF2F8C" w:rsidRPr="00CF2F8C" w:rsidRDefault="002A017E" w:rsidP="00CF2F8C">
      <w:pPr>
        <w:spacing w:before="120"/>
        <w:ind w:left="720"/>
        <w:rPr>
          <w:rFonts w:ascii="Calibri" w:hAnsi="Calibri"/>
          <w:color w:val="000000"/>
          <w:lang w:val="en-AU"/>
        </w:rPr>
      </w:pPr>
      <w:r>
        <w:rPr>
          <w:rFonts w:ascii="Calibri" w:hAnsi="Calibri"/>
          <w:color w:val="000000"/>
          <w:lang w:val="en-AU"/>
        </w:rPr>
        <w:t>be agreed to—</w:t>
      </w:r>
      <w:r w:rsidR="00CF2F8C" w:rsidRPr="00CF2F8C">
        <w:rPr>
          <w:rFonts w:ascii="Calibri" w:hAnsi="Calibri"/>
          <w:color w:val="000000"/>
          <w:lang w:val="en-AU"/>
        </w:rPr>
        <w:t>put and passed.</w:t>
      </w:r>
    </w:p>
    <w:p w:rsidR="00CF2F8C" w:rsidRPr="00CF2F8C" w:rsidRDefault="00CF2F8C" w:rsidP="00CF2F8C">
      <w:pPr>
        <w:keepNext/>
        <w:keepLines/>
        <w:tabs>
          <w:tab w:val="right" w:pos="339"/>
          <w:tab w:val="left" w:pos="720"/>
        </w:tabs>
        <w:spacing w:before="240"/>
        <w:ind w:left="720" w:hanging="720"/>
        <w:rPr>
          <w:rFonts w:ascii="Calibri" w:hAnsi="Calibri"/>
          <w:b/>
          <w:caps/>
          <w:lang w:val="en-AU"/>
        </w:rPr>
      </w:pPr>
      <w:r w:rsidRPr="00CF2F8C">
        <w:rPr>
          <w:rFonts w:ascii="Calibri" w:hAnsi="Calibri"/>
          <w:b/>
          <w:caps/>
          <w:lang w:val="en-AU"/>
        </w:rPr>
        <w:tab/>
      </w:r>
      <w:r w:rsidR="00BD4103">
        <w:rPr>
          <w:rFonts w:ascii="Calibri" w:hAnsi="Calibri"/>
          <w:b/>
          <w:bCs/>
          <w:caps/>
          <w:lang w:val="en-AU"/>
        </w:rPr>
        <w:t>13</w:t>
      </w:r>
      <w:r w:rsidRPr="00CF2F8C">
        <w:rPr>
          <w:rFonts w:ascii="Calibri" w:hAnsi="Calibri"/>
          <w:b/>
          <w:caps/>
          <w:lang w:val="en-AU"/>
        </w:rPr>
        <w:tab/>
      </w:r>
      <w:r w:rsidR="00D90797">
        <w:rPr>
          <w:rFonts w:ascii="Calibri" w:hAnsi="Calibri"/>
          <w:b/>
          <w:caps/>
          <w:lang w:val="en-AU"/>
        </w:rPr>
        <w:t>Tenancy rights</w:t>
      </w:r>
    </w:p>
    <w:p w:rsidR="00CF2F8C" w:rsidRPr="00CF2F8C" w:rsidRDefault="00F6024E" w:rsidP="00CF2F8C">
      <w:pPr>
        <w:spacing w:before="120"/>
        <w:ind w:left="720"/>
        <w:rPr>
          <w:rFonts w:ascii="Calibri" w:hAnsi="Calibri"/>
          <w:color w:val="000000"/>
          <w:lang w:val="en-AU"/>
        </w:rPr>
      </w:pPr>
      <w:r>
        <w:rPr>
          <w:rFonts w:ascii="Calibri" w:hAnsi="Calibri"/>
          <w:color w:val="000000"/>
          <w:lang w:val="en-AU"/>
        </w:rPr>
        <w:t>Mr Pettersson</w:t>
      </w:r>
      <w:r w:rsidR="00CF2F8C" w:rsidRPr="00CF2F8C">
        <w:rPr>
          <w:rFonts w:ascii="Calibri" w:hAnsi="Calibri"/>
          <w:color w:val="000000"/>
          <w:lang w:val="en-AU"/>
        </w:rPr>
        <w:t>, pursuant to notice, moved—That this Assembly:</w:t>
      </w:r>
    </w:p>
    <w:p w:rsidR="00D90797" w:rsidRPr="009B2B8F" w:rsidRDefault="00D90797" w:rsidP="0056080F">
      <w:pPr>
        <w:pStyle w:val="DPSEntryIndents"/>
        <w:numPr>
          <w:ilvl w:val="0"/>
          <w:numId w:val="20"/>
        </w:numPr>
        <w:rPr>
          <w:lang w:eastAsia="en-US"/>
        </w:rPr>
      </w:pPr>
      <w:r w:rsidRPr="009B2B8F">
        <w:rPr>
          <w:lang w:eastAsia="en-US"/>
        </w:rPr>
        <w:t xml:space="preserve">notes that: </w:t>
      </w:r>
    </w:p>
    <w:p w:rsidR="00D90797" w:rsidRPr="009B2B8F" w:rsidRDefault="00D90797" w:rsidP="0056080F">
      <w:pPr>
        <w:pStyle w:val="DPSEntryIndents"/>
        <w:numPr>
          <w:ilvl w:val="1"/>
          <w:numId w:val="3"/>
        </w:numPr>
        <w:rPr>
          <w:lang w:eastAsia="en-US"/>
        </w:rPr>
      </w:pPr>
      <w:r w:rsidRPr="009B2B8F">
        <w:rPr>
          <w:lang w:eastAsia="en-US"/>
        </w:rPr>
        <w:t xml:space="preserve">as a result of the national issue of affordable and accessible housing, many people face the likelihood of having to rent for most of or all of their life; </w:t>
      </w:r>
    </w:p>
    <w:p w:rsidR="00D90797" w:rsidRPr="009B2B8F" w:rsidRDefault="00D90797" w:rsidP="0056080F">
      <w:pPr>
        <w:pStyle w:val="DPSEntryIndents"/>
        <w:numPr>
          <w:ilvl w:val="1"/>
          <w:numId w:val="3"/>
        </w:numPr>
        <w:rPr>
          <w:lang w:eastAsia="en-US"/>
        </w:rPr>
      </w:pPr>
      <w:r w:rsidRPr="009B2B8F">
        <w:rPr>
          <w:lang w:eastAsia="en-US"/>
        </w:rPr>
        <w:t>there is currently a power imbalance between landlords and tenants, resulting in many tenants feeling forced to accept sub-standard or poor living conditions; and</w:t>
      </w:r>
    </w:p>
    <w:p w:rsidR="00D90797" w:rsidRPr="009B2B8F" w:rsidRDefault="00D90797" w:rsidP="0056080F">
      <w:pPr>
        <w:pStyle w:val="DPSEntryIndents"/>
        <w:numPr>
          <w:ilvl w:val="1"/>
          <w:numId w:val="3"/>
        </w:numPr>
        <w:rPr>
          <w:lang w:eastAsia="en-US"/>
        </w:rPr>
      </w:pPr>
      <w:r w:rsidRPr="009B2B8F">
        <w:rPr>
          <w:lang w:eastAsia="en-US"/>
        </w:rPr>
        <w:t>landlords will often ask tenants for extensive background information on their income, employment situation, rental history and references; whereas tenants can obtain little-to-no information about their landlord and their treatment of previous tenants;</w:t>
      </w:r>
    </w:p>
    <w:p w:rsidR="00D90797" w:rsidRPr="009B2B8F" w:rsidRDefault="00D90797" w:rsidP="00D90797">
      <w:pPr>
        <w:pStyle w:val="DPSEntryIndents"/>
        <w:rPr>
          <w:lang w:eastAsia="en-US"/>
        </w:rPr>
      </w:pPr>
      <w:r w:rsidRPr="009B2B8F">
        <w:rPr>
          <w:lang w:eastAsia="en-US"/>
        </w:rPr>
        <w:t>acknowledges:</w:t>
      </w:r>
    </w:p>
    <w:p w:rsidR="00D90797" w:rsidRPr="009B2B8F" w:rsidRDefault="00D90797" w:rsidP="0056080F">
      <w:pPr>
        <w:pStyle w:val="DPSEntryIndents"/>
        <w:numPr>
          <w:ilvl w:val="1"/>
          <w:numId w:val="3"/>
        </w:numPr>
        <w:rPr>
          <w:lang w:eastAsia="en-US"/>
        </w:rPr>
      </w:pPr>
      <w:r w:rsidRPr="009B2B8F">
        <w:rPr>
          <w:lang w:eastAsia="en-US"/>
        </w:rPr>
        <w:t xml:space="preserve">the work of the ACT Government to improve rights of tenants, including:  </w:t>
      </w:r>
    </w:p>
    <w:p w:rsidR="00D90797" w:rsidRPr="009B2B8F" w:rsidRDefault="00D90797" w:rsidP="0056080F">
      <w:pPr>
        <w:pStyle w:val="DPSEntryIndents"/>
        <w:numPr>
          <w:ilvl w:val="2"/>
          <w:numId w:val="3"/>
        </w:numPr>
        <w:rPr>
          <w:lang w:eastAsia="en-US"/>
        </w:rPr>
      </w:pPr>
      <w:r w:rsidRPr="009B2B8F">
        <w:rPr>
          <w:lang w:eastAsia="en-US"/>
        </w:rPr>
        <w:t>capping rent increases;</w:t>
      </w:r>
    </w:p>
    <w:p w:rsidR="00D90797" w:rsidRPr="009B2B8F" w:rsidRDefault="00D90797" w:rsidP="0056080F">
      <w:pPr>
        <w:pStyle w:val="DPSEntryIndents"/>
        <w:numPr>
          <w:ilvl w:val="2"/>
          <w:numId w:val="3"/>
        </w:numPr>
        <w:rPr>
          <w:lang w:eastAsia="en-US"/>
        </w:rPr>
      </w:pPr>
      <w:r w:rsidRPr="009B2B8F">
        <w:rPr>
          <w:lang w:eastAsia="en-US"/>
        </w:rPr>
        <w:t>strengthening tenants</w:t>
      </w:r>
      <w:r w:rsidR="005B1413">
        <w:rPr>
          <w:lang w:eastAsia="en-US"/>
        </w:rPr>
        <w:t>’</w:t>
      </w:r>
      <w:r w:rsidRPr="009B2B8F">
        <w:rPr>
          <w:lang w:eastAsia="en-US"/>
        </w:rPr>
        <w:t xml:space="preserve"> rights to have a pet;</w:t>
      </w:r>
    </w:p>
    <w:p w:rsidR="00D90797" w:rsidRPr="009B2B8F" w:rsidRDefault="00D90797" w:rsidP="0056080F">
      <w:pPr>
        <w:pStyle w:val="DPSEntryIndents"/>
        <w:numPr>
          <w:ilvl w:val="2"/>
          <w:numId w:val="3"/>
        </w:numPr>
        <w:rPr>
          <w:lang w:eastAsia="en-US"/>
        </w:rPr>
      </w:pPr>
      <w:r w:rsidRPr="009B2B8F">
        <w:rPr>
          <w:lang w:eastAsia="en-US"/>
        </w:rPr>
        <w:t xml:space="preserve">allowing tenants the freedom to make minor modifications to their home; </w:t>
      </w:r>
    </w:p>
    <w:p w:rsidR="00D90797" w:rsidRPr="009B2B8F" w:rsidRDefault="00D90797" w:rsidP="0056080F">
      <w:pPr>
        <w:pStyle w:val="DPSEntryIndents"/>
        <w:numPr>
          <w:ilvl w:val="2"/>
          <w:numId w:val="3"/>
        </w:numPr>
        <w:rPr>
          <w:lang w:eastAsia="en-US"/>
        </w:rPr>
      </w:pPr>
      <w:r w:rsidRPr="009B2B8F">
        <w:rPr>
          <w:lang w:eastAsia="en-US"/>
        </w:rPr>
        <w:t>providing a fairer method for calculating break lease fees;</w:t>
      </w:r>
    </w:p>
    <w:p w:rsidR="00D90797" w:rsidRPr="009B2B8F" w:rsidRDefault="00D90797" w:rsidP="0056080F">
      <w:pPr>
        <w:pStyle w:val="DPSEntryIndents"/>
        <w:numPr>
          <w:ilvl w:val="2"/>
          <w:numId w:val="3"/>
        </w:numPr>
        <w:rPr>
          <w:lang w:eastAsia="en-US"/>
        </w:rPr>
      </w:pPr>
      <w:r w:rsidRPr="009B2B8F">
        <w:rPr>
          <w:lang w:eastAsia="en-US"/>
        </w:rPr>
        <w:t xml:space="preserve">lowering upfront costs by limiting the amount of advance rent a landlord can request; </w:t>
      </w:r>
    </w:p>
    <w:p w:rsidR="00D90797" w:rsidRPr="009B2B8F" w:rsidRDefault="00D90797" w:rsidP="0056080F">
      <w:pPr>
        <w:pStyle w:val="DPSEntryIndents"/>
        <w:numPr>
          <w:ilvl w:val="2"/>
          <w:numId w:val="3"/>
        </w:numPr>
        <w:rPr>
          <w:lang w:eastAsia="en-US"/>
        </w:rPr>
      </w:pPr>
      <w:r w:rsidRPr="009B2B8F">
        <w:rPr>
          <w:lang w:eastAsia="en-US"/>
        </w:rPr>
        <w:t>facilitated share housing arrangements by making it easier to change who is listed on a tenancy agreement while the tenancy agreement continues; and</w:t>
      </w:r>
    </w:p>
    <w:p w:rsidR="00D90797" w:rsidRPr="009B2B8F" w:rsidRDefault="00D90797" w:rsidP="0056080F">
      <w:pPr>
        <w:pStyle w:val="DPSEntryIndents"/>
        <w:numPr>
          <w:ilvl w:val="2"/>
          <w:numId w:val="3"/>
        </w:numPr>
        <w:rPr>
          <w:lang w:eastAsia="en-US"/>
        </w:rPr>
      </w:pPr>
      <w:r w:rsidRPr="009B2B8F">
        <w:rPr>
          <w:lang w:eastAsia="en-US"/>
        </w:rPr>
        <w:t xml:space="preserve">raising minimum standards for rental homes; </w:t>
      </w:r>
    </w:p>
    <w:p w:rsidR="00D90797" w:rsidRPr="009B2B8F" w:rsidRDefault="00D90797" w:rsidP="0056080F">
      <w:pPr>
        <w:pStyle w:val="DPSEntryIndents"/>
        <w:numPr>
          <w:ilvl w:val="1"/>
          <w:numId w:val="3"/>
        </w:numPr>
        <w:rPr>
          <w:lang w:eastAsia="en-US"/>
        </w:rPr>
      </w:pPr>
      <w:r w:rsidRPr="009B2B8F">
        <w:rPr>
          <w:lang w:eastAsia="en-US"/>
        </w:rPr>
        <w:t>that the ACT Government has successfully attracted Build to Rent projects that will improve the local rental market; and</w:t>
      </w:r>
    </w:p>
    <w:p w:rsidR="00D90797" w:rsidRPr="009B2B8F" w:rsidRDefault="00D90797" w:rsidP="0056080F">
      <w:pPr>
        <w:pStyle w:val="DPSEntryIndents"/>
        <w:numPr>
          <w:ilvl w:val="1"/>
          <w:numId w:val="3"/>
        </w:numPr>
        <w:rPr>
          <w:lang w:eastAsia="en-US"/>
        </w:rPr>
      </w:pPr>
      <w:r w:rsidRPr="009B2B8F">
        <w:rPr>
          <w:lang w:eastAsia="en-US"/>
        </w:rPr>
        <w:t>that the ACT Government is continuing to progress its commitment to amend the Residential Tenancies Act to end no cause evictions under the Parliamentary and Governance Agreement, and related reforms to better protect tenants; and</w:t>
      </w:r>
    </w:p>
    <w:p w:rsidR="00D90797" w:rsidRPr="009B2B8F" w:rsidRDefault="00D90797" w:rsidP="00D90797">
      <w:pPr>
        <w:pStyle w:val="DPSEntryIndents"/>
        <w:rPr>
          <w:lang w:eastAsia="en-US"/>
        </w:rPr>
      </w:pPr>
      <w:r w:rsidRPr="009B2B8F">
        <w:rPr>
          <w:lang w:eastAsia="en-US"/>
        </w:rPr>
        <w:t xml:space="preserve">calls on the ACT Government to: </w:t>
      </w:r>
    </w:p>
    <w:p w:rsidR="00D90797" w:rsidRPr="009B2B8F" w:rsidRDefault="00D90797" w:rsidP="0056080F">
      <w:pPr>
        <w:pStyle w:val="DPSEntryIndents"/>
        <w:numPr>
          <w:ilvl w:val="1"/>
          <w:numId w:val="3"/>
        </w:numPr>
        <w:rPr>
          <w:lang w:eastAsia="en-US"/>
        </w:rPr>
      </w:pPr>
      <w:r w:rsidRPr="009B2B8F">
        <w:rPr>
          <w:lang w:eastAsia="en-US"/>
        </w:rPr>
        <w:t>review the information imbalance that exists between landlords and tenants, and consider whether prospective tenants should be given the right to receive references from landlords</w:t>
      </w:r>
      <w:r w:rsidR="005B1413">
        <w:rPr>
          <w:lang w:eastAsia="en-US"/>
        </w:rPr>
        <w:t>’</w:t>
      </w:r>
      <w:r w:rsidRPr="009B2B8F">
        <w:rPr>
          <w:lang w:eastAsia="en-US"/>
        </w:rPr>
        <w:t xml:space="preserve"> previous tenants, and report back to the Assembly on this matter during the November 2022 sitting period; and</w:t>
      </w:r>
    </w:p>
    <w:p w:rsidR="00CF2F8C" w:rsidRPr="00CF2F8C" w:rsidRDefault="00D90797" w:rsidP="0056080F">
      <w:pPr>
        <w:pStyle w:val="DPSEntryIndents"/>
        <w:numPr>
          <w:ilvl w:val="1"/>
          <w:numId w:val="3"/>
        </w:numPr>
        <w:rPr>
          <w:color w:val="000000"/>
        </w:rPr>
      </w:pPr>
      <w:r w:rsidRPr="009B2B8F">
        <w:rPr>
          <w:lang w:eastAsia="en-US"/>
        </w:rPr>
        <w:t>reaffirm its ongoing commitment to improving the rights of renters in the ACT.</w:t>
      </w:r>
    </w:p>
    <w:p w:rsidR="00CF2F8C" w:rsidRPr="00CF2F8C" w:rsidRDefault="00CF2F8C" w:rsidP="00CF2F8C">
      <w:pPr>
        <w:spacing w:before="120"/>
        <w:ind w:left="720" w:right="-35"/>
        <w:rPr>
          <w:rFonts w:ascii="Calibri" w:hAnsi="Calibri"/>
          <w:color w:val="000000"/>
          <w:lang w:val="en-AU"/>
        </w:rPr>
      </w:pPr>
      <w:r w:rsidRPr="00CF2F8C">
        <w:rPr>
          <w:rFonts w:ascii="Calibri" w:hAnsi="Calibri"/>
          <w:color w:val="000000"/>
          <w:lang w:val="en-AU"/>
        </w:rPr>
        <w:t>Debate ensued.</w:t>
      </w:r>
    </w:p>
    <w:p w:rsidR="00CF2F8C" w:rsidRPr="00CF2F8C" w:rsidRDefault="00CF2F8C" w:rsidP="00CF2F8C">
      <w:pPr>
        <w:spacing w:before="120"/>
        <w:ind w:left="720"/>
        <w:rPr>
          <w:rFonts w:ascii="Calibri" w:hAnsi="Calibri"/>
          <w:color w:val="000000"/>
          <w:lang w:val="en-AU"/>
        </w:rPr>
      </w:pPr>
      <w:r w:rsidRPr="00CF2F8C">
        <w:rPr>
          <w:rFonts w:ascii="Calibri" w:hAnsi="Calibri"/>
          <w:color w:val="000000"/>
          <w:lang w:val="en-AU"/>
        </w:rPr>
        <w:t>Question—put and passed.</w:t>
      </w:r>
    </w:p>
    <w:p w:rsidR="00C14078" w:rsidRPr="00C14078" w:rsidRDefault="00C14078" w:rsidP="00C14078">
      <w:pPr>
        <w:keepNext/>
        <w:keepLines/>
        <w:tabs>
          <w:tab w:val="right" w:pos="339"/>
          <w:tab w:val="left" w:pos="720"/>
        </w:tabs>
        <w:spacing w:before="240"/>
        <w:ind w:left="720" w:hanging="720"/>
        <w:jc w:val="both"/>
        <w:rPr>
          <w:rFonts w:ascii="Calibri" w:hAnsi="Calibri"/>
          <w:b/>
          <w:lang w:val="en-AU"/>
        </w:rPr>
      </w:pPr>
      <w:r w:rsidRPr="00C14078">
        <w:rPr>
          <w:rFonts w:ascii="Calibri" w:hAnsi="Calibri"/>
          <w:b/>
          <w:lang w:val="en-AU"/>
        </w:rPr>
        <w:tab/>
      </w:r>
      <w:r w:rsidRPr="00C14078">
        <w:rPr>
          <w:rFonts w:ascii="Calibri" w:hAnsi="Calibri"/>
          <w:b/>
          <w:bCs/>
          <w:lang w:val="en-AU"/>
        </w:rPr>
        <w:t>14</w:t>
      </w:r>
      <w:r w:rsidRPr="00C14078">
        <w:rPr>
          <w:rFonts w:ascii="Calibri" w:hAnsi="Calibri"/>
          <w:b/>
          <w:lang w:val="en-AU"/>
        </w:rPr>
        <w:tab/>
        <w:t>CORRECTION OF RECORD—STATEMENT BY MINISTER</w:t>
      </w:r>
      <w:r>
        <w:rPr>
          <w:rFonts w:ascii="Calibri" w:hAnsi="Calibri"/>
          <w:b/>
          <w:lang w:val="en-AU"/>
        </w:rPr>
        <w:t>—PAPER</w:t>
      </w:r>
    </w:p>
    <w:p w:rsidR="00C14078" w:rsidRDefault="00C14078" w:rsidP="00C14078">
      <w:pPr>
        <w:spacing w:before="120"/>
        <w:ind w:left="720"/>
        <w:jc w:val="both"/>
        <w:rPr>
          <w:rFonts w:ascii="Calibri" w:hAnsi="Calibri"/>
          <w:lang w:val="en-AU"/>
        </w:rPr>
      </w:pPr>
      <w:r>
        <w:rPr>
          <w:rFonts w:ascii="Calibri" w:hAnsi="Calibri"/>
          <w:lang w:val="en-AU"/>
        </w:rPr>
        <w:t>Ms Stephen-Smith (Minister for Health)</w:t>
      </w:r>
      <w:r w:rsidRPr="00C14078">
        <w:rPr>
          <w:rFonts w:ascii="Calibri" w:hAnsi="Calibri"/>
          <w:lang w:val="en-AU"/>
        </w:rPr>
        <w:t xml:space="preserve">, by leave, made a statement </w:t>
      </w:r>
      <w:r>
        <w:rPr>
          <w:rFonts w:ascii="Calibri" w:hAnsi="Calibri"/>
          <w:lang w:val="en-AU"/>
        </w:rPr>
        <w:t>to correct her answer to a question without notice today, and presented the following paper:</w:t>
      </w:r>
    </w:p>
    <w:p w:rsidR="00C14078" w:rsidRPr="00C14078" w:rsidRDefault="00C14078" w:rsidP="00C14078">
      <w:pPr>
        <w:spacing w:before="120"/>
        <w:ind w:left="720"/>
        <w:jc w:val="both"/>
        <w:rPr>
          <w:rFonts w:ascii="Calibri" w:hAnsi="Calibri"/>
          <w:lang w:val="en-AU"/>
        </w:rPr>
      </w:pPr>
      <w:r>
        <w:rPr>
          <w:rFonts w:ascii="Calibri" w:hAnsi="Calibri"/>
          <w:lang w:val="en-AU"/>
        </w:rPr>
        <w:t>Final response to media inquiry regarding vaccination status of people who had been admitted to ICU and those who had died with COVID-19 in 2022 (provided to journalist 4 February 2022).</w:t>
      </w:r>
    </w:p>
    <w:p w:rsidR="003112E1" w:rsidRPr="00CB46DA" w:rsidRDefault="003112E1" w:rsidP="003112E1">
      <w:pPr>
        <w:keepNext/>
        <w:keepLines/>
        <w:tabs>
          <w:tab w:val="right" w:pos="339"/>
          <w:tab w:val="left" w:pos="720"/>
        </w:tabs>
        <w:spacing w:before="240"/>
        <w:ind w:left="720" w:hanging="720"/>
        <w:rPr>
          <w:rFonts w:ascii="Calibri" w:hAnsi="Calibri"/>
          <w:b/>
          <w:lang w:val="en-AU"/>
        </w:rPr>
      </w:pPr>
      <w:r w:rsidRPr="00CB46DA">
        <w:rPr>
          <w:rFonts w:ascii="Calibri" w:hAnsi="Calibri"/>
          <w:b/>
          <w:lang w:val="en-AU"/>
        </w:rPr>
        <w:tab/>
      </w:r>
      <w:r w:rsidR="00C14078">
        <w:rPr>
          <w:rFonts w:ascii="Calibri" w:hAnsi="Calibri"/>
          <w:b/>
          <w:bCs/>
          <w:lang w:val="en-AU"/>
        </w:rPr>
        <w:t>15</w:t>
      </w:r>
      <w:r w:rsidRPr="00CB46DA">
        <w:rPr>
          <w:rFonts w:ascii="Calibri" w:hAnsi="Calibri"/>
          <w:b/>
          <w:lang w:val="en-AU"/>
        </w:rPr>
        <w:tab/>
        <w:t>ADJOURNMENT</w:t>
      </w:r>
    </w:p>
    <w:p w:rsidR="003112E1" w:rsidRPr="00CB46DA" w:rsidRDefault="0056080F" w:rsidP="003112E1">
      <w:pPr>
        <w:spacing w:before="120"/>
        <w:ind w:left="720"/>
        <w:rPr>
          <w:rFonts w:ascii="Calibri" w:hAnsi="Calibri"/>
          <w:lang w:val="en-AU"/>
        </w:rPr>
      </w:pPr>
      <w:r>
        <w:rPr>
          <w:rFonts w:ascii="Calibri" w:hAnsi="Calibri"/>
          <w:lang w:val="en-AU"/>
        </w:rPr>
        <w:t>Mr Gentleman</w:t>
      </w:r>
      <w:r w:rsidR="003112E1" w:rsidRPr="00CB46DA">
        <w:rPr>
          <w:rFonts w:ascii="Calibri" w:hAnsi="Calibri"/>
          <w:lang w:val="en-AU"/>
        </w:rPr>
        <w:t xml:space="preserve"> (Manager of Government Business) moved—That the Assembly do now adjourn.</w:t>
      </w:r>
    </w:p>
    <w:p w:rsidR="003112E1" w:rsidRPr="00CB46DA" w:rsidRDefault="003112E1" w:rsidP="003112E1">
      <w:pPr>
        <w:spacing w:before="120"/>
        <w:ind w:left="720"/>
        <w:rPr>
          <w:rFonts w:ascii="Calibri" w:hAnsi="Calibri"/>
          <w:lang w:val="en-AU"/>
        </w:rPr>
      </w:pPr>
      <w:r w:rsidRPr="00CB46DA">
        <w:rPr>
          <w:rFonts w:ascii="Calibri" w:hAnsi="Calibri"/>
          <w:lang w:val="en-AU"/>
        </w:rPr>
        <w:t>Debate ensued.</w:t>
      </w:r>
    </w:p>
    <w:p w:rsidR="00F658F5" w:rsidRDefault="00F658F5" w:rsidP="003112E1">
      <w:pPr>
        <w:spacing w:before="120"/>
        <w:ind w:left="720"/>
        <w:rPr>
          <w:rFonts w:ascii="Calibri" w:hAnsi="Calibri"/>
          <w:lang w:val="en-AU"/>
        </w:rPr>
      </w:pPr>
      <w:r>
        <w:rPr>
          <w:rFonts w:ascii="Calibri" w:hAnsi="Calibri"/>
          <w:i/>
          <w:lang w:val="en-AU"/>
        </w:rPr>
        <w:t xml:space="preserve">Paper:  </w:t>
      </w:r>
      <w:r>
        <w:rPr>
          <w:rFonts w:ascii="Calibri" w:hAnsi="Calibri"/>
          <w:lang w:val="en-AU"/>
        </w:rPr>
        <w:t>Ms Stephen-Smith (Minister for Health) presented the following paper:</w:t>
      </w:r>
    </w:p>
    <w:p w:rsidR="00F658F5" w:rsidRPr="00C14078" w:rsidRDefault="00F658F5" w:rsidP="00F658F5">
      <w:pPr>
        <w:spacing w:before="120"/>
        <w:ind w:left="720"/>
        <w:jc w:val="both"/>
        <w:rPr>
          <w:rFonts w:ascii="Calibri" w:hAnsi="Calibri"/>
          <w:lang w:val="en-AU"/>
        </w:rPr>
      </w:pPr>
      <w:r>
        <w:rPr>
          <w:rFonts w:ascii="Calibri" w:hAnsi="Calibri"/>
          <w:lang w:val="en-AU"/>
        </w:rPr>
        <w:t>Final response to media inquiry regarding vaccination status of people who had been admitted to ICU and those who had died with COVID-19 in 2022 (provided to journalist 3 February 2022)</w:t>
      </w:r>
      <w:r w:rsidR="00DF0E50">
        <w:rPr>
          <w:rFonts w:ascii="Calibri" w:hAnsi="Calibri"/>
          <w:lang w:val="en-AU"/>
        </w:rPr>
        <w:t>—Amended version.</w:t>
      </w:r>
    </w:p>
    <w:p w:rsidR="000F3EDA" w:rsidRDefault="000F3EDA" w:rsidP="003112E1">
      <w:pPr>
        <w:spacing w:before="120"/>
        <w:ind w:left="720"/>
        <w:rPr>
          <w:rFonts w:ascii="Calibri" w:hAnsi="Calibri"/>
          <w:lang w:val="en-AU"/>
        </w:rPr>
      </w:pPr>
      <w:r>
        <w:rPr>
          <w:rFonts w:ascii="Calibri" w:hAnsi="Calibri"/>
          <w:lang w:val="en-AU"/>
        </w:rPr>
        <w:t>Debate continued.</w:t>
      </w:r>
    </w:p>
    <w:p w:rsidR="003112E1" w:rsidRPr="00CB46DA" w:rsidRDefault="003112E1" w:rsidP="003112E1">
      <w:pPr>
        <w:spacing w:before="120"/>
        <w:ind w:left="720"/>
        <w:rPr>
          <w:rFonts w:ascii="Calibri" w:hAnsi="Calibri"/>
          <w:lang w:val="en-AU"/>
        </w:rPr>
      </w:pPr>
      <w:r w:rsidRPr="00CB46DA">
        <w:rPr>
          <w:rFonts w:ascii="Calibri" w:hAnsi="Calibri"/>
          <w:lang w:val="en-AU"/>
        </w:rPr>
        <w:t>Question—put and passed.</w:t>
      </w:r>
    </w:p>
    <w:p w:rsidR="003112E1" w:rsidRPr="00CB46DA" w:rsidRDefault="003112E1" w:rsidP="003112E1">
      <w:pPr>
        <w:spacing w:before="120"/>
        <w:ind w:left="720"/>
        <w:rPr>
          <w:rFonts w:ascii="Calibri" w:hAnsi="Calibri"/>
          <w:lang w:val="en-AU"/>
        </w:rPr>
      </w:pPr>
      <w:bookmarkStart w:id="0" w:name="_GoBack"/>
      <w:bookmarkEnd w:id="0"/>
      <w:r w:rsidRPr="00CB46DA">
        <w:rPr>
          <w:rFonts w:ascii="Calibri" w:hAnsi="Calibri"/>
          <w:lang w:val="en-AU"/>
        </w:rPr>
        <w:t xml:space="preserve">And then the Assembly, at </w:t>
      </w:r>
      <w:r w:rsidR="000F3EDA">
        <w:rPr>
          <w:rFonts w:ascii="Calibri" w:hAnsi="Calibri"/>
          <w:lang w:val="en-AU"/>
        </w:rPr>
        <w:t>4.26</w:t>
      </w:r>
      <w:r w:rsidRPr="00CB46DA">
        <w:rPr>
          <w:rFonts w:ascii="Calibri" w:hAnsi="Calibri"/>
          <w:lang w:val="en-AU"/>
        </w:rPr>
        <w:t xml:space="preserve"> pm, adjourned until tomorrow at 10 am.</w:t>
      </w:r>
    </w:p>
    <w:p w:rsidR="003112E1" w:rsidRPr="00CB46DA" w:rsidRDefault="003112E1" w:rsidP="0096722B">
      <w:pPr>
        <w:keepNext/>
        <w:keepLines/>
        <w:pBdr>
          <w:bottom w:val="thinThickLargeGap" w:sz="18" w:space="1" w:color="auto"/>
        </w:pBdr>
        <w:ind w:left="3427" w:right="3658"/>
        <w:jc w:val="center"/>
        <w:rPr>
          <w:rFonts w:ascii="Calibri" w:hAnsi="Calibri"/>
          <w:i/>
          <w:iCs/>
          <w:lang w:val="en-AU"/>
        </w:rPr>
      </w:pPr>
    </w:p>
    <w:p w:rsidR="003112E1" w:rsidRDefault="003112E1" w:rsidP="003112E1">
      <w:pPr>
        <w:keepNext/>
        <w:keepLines/>
        <w:spacing w:before="240"/>
        <w:ind w:left="187"/>
        <w:jc w:val="both"/>
        <w:rPr>
          <w:rFonts w:ascii="Calibri" w:hAnsi="Calibri"/>
          <w:bCs/>
        </w:rPr>
      </w:pPr>
      <w:r w:rsidRPr="00CB46DA">
        <w:rPr>
          <w:rFonts w:ascii="Calibri" w:hAnsi="Calibri"/>
          <w:b/>
          <w:caps/>
        </w:rPr>
        <w:t>MEMBERS</w:t>
      </w:r>
      <w:r w:rsidR="005B1413">
        <w:rPr>
          <w:rFonts w:ascii="Calibri" w:hAnsi="Calibri"/>
          <w:b/>
          <w:caps/>
        </w:rPr>
        <w:t>’</w:t>
      </w:r>
      <w:r w:rsidRPr="00CB46DA">
        <w:rPr>
          <w:rFonts w:ascii="Calibri" w:hAnsi="Calibri"/>
          <w:b/>
          <w:caps/>
        </w:rPr>
        <w:t xml:space="preserve"> ATTENDANCE:  </w:t>
      </w:r>
      <w:r w:rsidRPr="00CB46DA">
        <w:rPr>
          <w:rFonts w:ascii="Calibri" w:hAnsi="Calibri"/>
        </w:rPr>
        <w:t>All Members were present at some time during the sitting</w:t>
      </w:r>
      <w:r>
        <w:rPr>
          <w:rFonts w:ascii="Calibri" w:hAnsi="Calibri"/>
        </w:rPr>
        <w:t xml:space="preserve">, except </w:t>
      </w:r>
      <w:r w:rsidR="004A254C">
        <w:rPr>
          <w:rFonts w:ascii="Calibri" w:hAnsi="Calibri"/>
        </w:rPr>
        <w:t xml:space="preserve">Mr Braddock*, </w:t>
      </w:r>
      <w:r>
        <w:rPr>
          <w:rFonts w:ascii="Calibri" w:hAnsi="Calibri"/>
        </w:rPr>
        <w:t>Mrs Jones*</w:t>
      </w:r>
      <w:r w:rsidR="004A254C">
        <w:rPr>
          <w:rFonts w:ascii="Calibri" w:hAnsi="Calibri"/>
        </w:rPr>
        <w:t>,</w:t>
      </w:r>
      <w:r w:rsidR="00FD5692">
        <w:rPr>
          <w:rFonts w:ascii="Calibri" w:hAnsi="Calibri"/>
        </w:rPr>
        <w:t xml:space="preserve"> Mr Milligan*</w:t>
      </w:r>
      <w:r w:rsidR="004A254C">
        <w:rPr>
          <w:rFonts w:ascii="Calibri" w:hAnsi="Calibri"/>
        </w:rPr>
        <w:t>, Mr Rattenbury* and Ms Vassarotti*</w:t>
      </w:r>
      <w:r w:rsidRPr="00CB46DA">
        <w:rPr>
          <w:rFonts w:ascii="Calibri" w:hAnsi="Calibri"/>
          <w:bCs/>
        </w:rPr>
        <w:t>.</w:t>
      </w:r>
    </w:p>
    <w:p w:rsidR="003112E1" w:rsidRPr="00CB46DA" w:rsidRDefault="003112E1" w:rsidP="003112E1">
      <w:pPr>
        <w:keepNext/>
        <w:keepLines/>
        <w:spacing w:before="120" w:after="100" w:afterAutospacing="1"/>
        <w:ind w:right="245"/>
        <w:jc w:val="center"/>
        <w:rPr>
          <w:rFonts w:ascii="Calibri" w:hAnsi="Calibri"/>
          <w:bCs/>
        </w:rPr>
      </w:pPr>
      <w:r w:rsidRPr="00CB46DA">
        <w:rPr>
          <w:rFonts w:ascii="Calibri" w:hAnsi="Calibri"/>
          <w:caps/>
        </w:rPr>
        <w:t>*</w:t>
      </w:r>
      <w:r w:rsidRPr="00CB46DA">
        <w:rPr>
          <w:rFonts w:ascii="Calibri" w:hAnsi="Calibri"/>
        </w:rPr>
        <w:t>on leave</w:t>
      </w:r>
    </w:p>
    <w:p w:rsidR="003112E1" w:rsidRPr="00CB46DA" w:rsidRDefault="003112E1" w:rsidP="003112E1">
      <w:pPr>
        <w:pBdr>
          <w:top w:val="thickThinLargeGap" w:sz="18" w:space="1" w:color="auto"/>
        </w:pBdr>
        <w:spacing w:before="180"/>
        <w:ind w:left="3427" w:right="3658"/>
        <w:jc w:val="center"/>
        <w:rPr>
          <w:rFonts w:ascii="Calibri" w:hAnsi="Calibri"/>
          <w:lang w:val="en-AU"/>
        </w:rPr>
      </w:pPr>
    </w:p>
    <w:p w:rsidR="003112E1" w:rsidRPr="00CB46DA" w:rsidRDefault="003112E1" w:rsidP="003112E1">
      <w:pPr>
        <w:keepNext/>
        <w:keepLines/>
        <w:spacing w:before="720"/>
        <w:ind w:left="5850" w:right="-33"/>
        <w:jc w:val="center"/>
        <w:rPr>
          <w:rFonts w:ascii="Calibri" w:hAnsi="Calibri"/>
          <w:b/>
          <w:bCs/>
          <w:lang w:val="en-AU"/>
        </w:rPr>
      </w:pPr>
      <w:r w:rsidRPr="00CB46DA">
        <w:rPr>
          <w:rFonts w:ascii="Calibri" w:hAnsi="Calibri"/>
          <w:b/>
          <w:bCs/>
          <w:lang w:val="en-AU"/>
        </w:rPr>
        <w:t>Tom Duncan</w:t>
      </w:r>
    </w:p>
    <w:p w:rsidR="003112E1" w:rsidRPr="00CB46DA" w:rsidRDefault="003112E1" w:rsidP="003112E1">
      <w:pPr>
        <w:keepLines/>
        <w:tabs>
          <w:tab w:val="center" w:pos="12600"/>
          <w:tab w:val="center" w:pos="13770"/>
        </w:tabs>
        <w:ind w:left="5760"/>
        <w:jc w:val="right"/>
        <w:rPr>
          <w:rFonts w:ascii="Calibri" w:hAnsi="Calibri"/>
          <w:lang w:val="en-AU"/>
        </w:rPr>
      </w:pPr>
      <w:r w:rsidRPr="00CB46DA">
        <w:rPr>
          <w:rFonts w:ascii="Calibri" w:hAnsi="Calibri"/>
          <w:szCs w:val="24"/>
          <w:lang w:val="en-AU"/>
        </w:rPr>
        <w:t>Clerk of the Legislative Assembly</w:t>
      </w:r>
    </w:p>
    <w:p w:rsidR="003112E1" w:rsidRPr="00B2515D" w:rsidRDefault="003112E1" w:rsidP="003112E1">
      <w:pPr>
        <w:pStyle w:val="Heading2"/>
        <w:rPr>
          <w:i w:val="0"/>
        </w:rPr>
      </w:pPr>
    </w:p>
    <w:p w:rsidR="00BB05B3" w:rsidRPr="00802856" w:rsidRDefault="00802856" w:rsidP="00BB05B3">
      <w:pPr>
        <w:pStyle w:val="Heading2"/>
        <w:jc w:val="center"/>
        <w:rPr>
          <w:rFonts w:asciiTheme="minorHAnsi" w:hAnsiTheme="minorHAnsi"/>
          <w:i w:val="0"/>
          <w:sz w:val="36"/>
          <w:szCs w:val="36"/>
        </w:rPr>
      </w:pPr>
      <w:r>
        <w:br w:type="page"/>
      </w:r>
      <w:r w:rsidR="00BB05B3" w:rsidRPr="00802856">
        <w:rPr>
          <w:rFonts w:asciiTheme="minorHAnsi" w:hAnsiTheme="minorHAnsi"/>
          <w:i w:val="0"/>
          <w:sz w:val="36"/>
          <w:szCs w:val="36"/>
        </w:rPr>
        <w:t>SCHEDULES OF AMENDMENTS</w:t>
      </w:r>
    </w:p>
    <w:p w:rsidR="00BB05B3" w:rsidRDefault="00BB05B3" w:rsidP="00BB05B3">
      <w:pPr>
        <w:rPr>
          <w:sz w:val="36"/>
          <w:szCs w:val="36"/>
        </w:rPr>
        <w:sectPr w:rsidR="00BB05B3" w:rsidSect="005B1413">
          <w:headerReference w:type="even" r:id="rId11"/>
          <w:headerReference w:type="default" r:id="rId12"/>
          <w:headerReference w:type="first" r:id="rId13"/>
          <w:footerReference w:type="first" r:id="rId14"/>
          <w:pgSz w:w="11906" w:h="16838"/>
          <w:pgMar w:top="1526" w:right="1440" w:bottom="1267" w:left="1138" w:header="634" w:footer="576" w:gutter="0"/>
          <w:pgNumType w:start="529"/>
          <w:cols w:space="708"/>
          <w:titlePg/>
          <w:docGrid w:linePitch="360"/>
        </w:sectPr>
      </w:pPr>
    </w:p>
    <w:p w:rsidR="00BB05B3" w:rsidRPr="00F25EF9" w:rsidRDefault="00BB05B3" w:rsidP="00BB05B3">
      <w:pPr>
        <w:pStyle w:val="DPSEntryDetail"/>
        <w:ind w:left="0"/>
        <w:rPr>
          <w:b/>
          <w:sz w:val="36"/>
          <w:szCs w:val="36"/>
          <w:u w:val="single"/>
        </w:rPr>
      </w:pPr>
      <w:bookmarkStart w:id="1" w:name="Schedule1"/>
    </w:p>
    <w:p w:rsidR="00BB05B3" w:rsidRPr="00FC055F" w:rsidRDefault="00BB05B3" w:rsidP="00BB05B3">
      <w:pPr>
        <w:pStyle w:val="DPSEntryDetail"/>
        <w:ind w:left="0"/>
        <w:rPr>
          <w:b/>
          <w:sz w:val="28"/>
          <w:szCs w:val="28"/>
          <w:u w:val="single"/>
        </w:rPr>
      </w:pPr>
      <w:r w:rsidRPr="00FC055F">
        <w:rPr>
          <w:b/>
          <w:sz w:val="28"/>
          <w:szCs w:val="28"/>
          <w:u w:val="single"/>
        </w:rPr>
        <w:t>Schedule 1</w:t>
      </w:r>
      <w:bookmarkEnd w:id="1"/>
    </w:p>
    <w:p w:rsidR="00BB05B3" w:rsidRPr="00733D8E" w:rsidRDefault="00BB05B3" w:rsidP="00BB05B3">
      <w:pPr>
        <w:pStyle w:val="DPSEntryDetail"/>
        <w:ind w:left="0"/>
        <w:rPr>
          <w:b/>
          <w:sz w:val="28"/>
          <w:szCs w:val="28"/>
          <w:u w:val="single"/>
        </w:rPr>
      </w:pPr>
    </w:p>
    <w:p w:rsidR="00BB05B3" w:rsidRPr="00733D8E" w:rsidRDefault="00BB05B3" w:rsidP="00BB05B3">
      <w:pPr>
        <w:pBdr>
          <w:bottom w:val="single" w:sz="4" w:space="1" w:color="auto"/>
        </w:pBdr>
        <w:tabs>
          <w:tab w:val="left" w:pos="1197"/>
          <w:tab w:val="left" w:pos="1767"/>
        </w:tabs>
        <w:spacing w:after="120"/>
        <w:rPr>
          <w:caps/>
          <w:spacing w:val="-2"/>
          <w:szCs w:val="24"/>
          <w:lang w:val="en-AU"/>
        </w:rPr>
      </w:pPr>
      <w:r>
        <w:rPr>
          <w:b/>
          <w:szCs w:val="24"/>
        </w:rPr>
        <w:t>ROAD TRANSPORT LEGISLATION AMENDMENT BILL 2021</w:t>
      </w:r>
    </w:p>
    <w:p w:rsidR="00BB05B3" w:rsidRPr="00733D8E" w:rsidRDefault="00BB05B3" w:rsidP="00BB05B3">
      <w:pPr>
        <w:tabs>
          <w:tab w:val="left" w:pos="1197"/>
          <w:tab w:val="left" w:pos="1767"/>
        </w:tabs>
        <w:spacing w:before="120"/>
        <w:rPr>
          <w:lang w:val="en-AU"/>
        </w:rPr>
      </w:pPr>
      <w:r>
        <w:rPr>
          <w:lang w:val="en-AU"/>
        </w:rPr>
        <w:t>Amendments</w:t>
      </w:r>
      <w:r w:rsidRPr="00733D8E">
        <w:rPr>
          <w:lang w:val="en-AU"/>
        </w:rPr>
        <w:t xml:space="preserve"> circulated by </w:t>
      </w:r>
      <w:r>
        <w:rPr>
          <w:lang w:val="en-AU"/>
        </w:rPr>
        <w:t>the Minister for Transport and City Services</w:t>
      </w:r>
    </w:p>
    <w:p w:rsidR="00BB05B3" w:rsidRPr="00F43D9B" w:rsidRDefault="00BB05B3" w:rsidP="00BB05B3">
      <w:pPr>
        <w:pStyle w:val="AH3sec"/>
        <w:tabs>
          <w:tab w:val="clear" w:pos="1500"/>
        </w:tabs>
      </w:pPr>
      <w:r w:rsidRPr="00F43D9B">
        <w:br/>
        <w:t>Proposed new clauses 7A and 7B</w:t>
      </w:r>
      <w:r w:rsidRPr="00F43D9B">
        <w:br/>
        <w:t>Page 5, line 9—</w:t>
      </w:r>
    </w:p>
    <w:p w:rsidR="00BB05B3" w:rsidRPr="00F43D9B" w:rsidRDefault="00BB05B3" w:rsidP="00BB05B3">
      <w:pPr>
        <w:pStyle w:val="direction"/>
        <w:spacing w:before="120"/>
        <w:ind w:left="1094"/>
      </w:pPr>
      <w:r w:rsidRPr="00F43D9B">
        <w:t>insert</w:t>
      </w:r>
    </w:p>
    <w:p w:rsidR="00BB05B3" w:rsidRPr="00F43D9B" w:rsidRDefault="00BB05B3" w:rsidP="00BB05B3">
      <w:pPr>
        <w:pStyle w:val="IshadedH5Sec"/>
      </w:pPr>
      <w:r w:rsidRPr="00F43D9B">
        <w:t>7A</w:t>
      </w:r>
      <w:r w:rsidRPr="00F43D9B">
        <w:tab/>
        <w:t>New section 244L</w:t>
      </w:r>
    </w:p>
    <w:p w:rsidR="00BB05B3" w:rsidRPr="00F43D9B" w:rsidRDefault="00BB05B3" w:rsidP="00BB05B3">
      <w:pPr>
        <w:pStyle w:val="direction"/>
        <w:spacing w:before="120"/>
        <w:ind w:left="1094"/>
      </w:pPr>
      <w:r w:rsidRPr="00F43D9B">
        <w:t>in division 14.3, insert</w:t>
      </w:r>
    </w:p>
    <w:p w:rsidR="00BB05B3" w:rsidRPr="00F43D9B" w:rsidRDefault="00BB05B3" w:rsidP="00BB05B3">
      <w:pPr>
        <w:pStyle w:val="IH5Sec"/>
      </w:pPr>
      <w:r w:rsidRPr="00F43D9B">
        <w:t>244L</w:t>
      </w:r>
      <w:r w:rsidRPr="00F43D9B">
        <w:tab/>
        <w:t>Travelling in or on personal mobility device without due care etc</w:t>
      </w:r>
    </w:p>
    <w:p w:rsidR="00BB05B3" w:rsidRPr="00F43D9B" w:rsidRDefault="00BB05B3" w:rsidP="00BB05B3">
      <w:pPr>
        <w:pStyle w:val="Amainreturn"/>
        <w:spacing w:before="120"/>
      </w:pPr>
      <w:r w:rsidRPr="00F43D9B">
        <w:t>A person must not travel in or on a personal mobility device without—</w:t>
      </w:r>
    </w:p>
    <w:p w:rsidR="00BB05B3" w:rsidRPr="00F43D9B" w:rsidRDefault="00BB05B3" w:rsidP="00BB05B3">
      <w:pPr>
        <w:pStyle w:val="Ipara"/>
        <w:spacing w:before="120"/>
      </w:pPr>
      <w:r w:rsidRPr="00F43D9B">
        <w:tab/>
        <w:t>(a)</w:t>
      </w:r>
      <w:r w:rsidRPr="00F43D9B">
        <w:tab/>
        <w:t>due care and attention; or</w:t>
      </w:r>
    </w:p>
    <w:p w:rsidR="00BB05B3" w:rsidRPr="00F43D9B" w:rsidRDefault="00BB05B3" w:rsidP="00BB05B3">
      <w:pPr>
        <w:pStyle w:val="Ipara"/>
        <w:spacing w:before="120"/>
      </w:pPr>
      <w:r w:rsidRPr="00F43D9B">
        <w:tab/>
        <w:t>(b)</w:t>
      </w:r>
      <w:r w:rsidRPr="00F43D9B">
        <w:tab/>
        <w:t>reasonable consideration for other road users.</w:t>
      </w:r>
    </w:p>
    <w:p w:rsidR="00BB05B3" w:rsidRPr="00F43D9B" w:rsidRDefault="00BB05B3" w:rsidP="00BB05B3">
      <w:pPr>
        <w:pStyle w:val="Penalty"/>
        <w:spacing w:before="120"/>
      </w:pPr>
      <w:r w:rsidRPr="00F43D9B">
        <w:t>Maximum penalty:  20 penalty units.</w:t>
      </w:r>
    </w:p>
    <w:p w:rsidR="00BB05B3" w:rsidRPr="00F43D9B" w:rsidRDefault="00BB05B3" w:rsidP="00BB05B3">
      <w:pPr>
        <w:pStyle w:val="IshadedH5Sec"/>
      </w:pPr>
      <w:r w:rsidRPr="00F43D9B">
        <w:t>7B</w:t>
      </w:r>
      <w:r w:rsidRPr="00F43D9B">
        <w:tab/>
        <w:t>New section 296A</w:t>
      </w:r>
    </w:p>
    <w:p w:rsidR="00BB05B3" w:rsidRPr="00F43D9B" w:rsidRDefault="00BB05B3" w:rsidP="00BB05B3">
      <w:pPr>
        <w:pStyle w:val="direction"/>
      </w:pPr>
      <w:r w:rsidRPr="00F43D9B">
        <w:t>insert</w:t>
      </w:r>
    </w:p>
    <w:p w:rsidR="00BB05B3" w:rsidRPr="00F43D9B" w:rsidRDefault="00BB05B3" w:rsidP="00BB05B3">
      <w:pPr>
        <w:pStyle w:val="IH5Sec"/>
      </w:pPr>
      <w:r w:rsidRPr="00F43D9B">
        <w:t>296A</w:t>
      </w:r>
      <w:r w:rsidRPr="00F43D9B">
        <w:tab/>
        <w:t>Driving without due care etc</w:t>
      </w:r>
    </w:p>
    <w:p w:rsidR="00BB05B3" w:rsidRPr="00F43D9B" w:rsidRDefault="00BB05B3" w:rsidP="00BB05B3">
      <w:pPr>
        <w:pStyle w:val="Amainreturn"/>
        <w:spacing w:before="120"/>
      </w:pPr>
      <w:r w:rsidRPr="00F43D9B">
        <w:t>A driver must not drive a vehicle without—</w:t>
      </w:r>
    </w:p>
    <w:p w:rsidR="00BB05B3" w:rsidRPr="00F43D9B" w:rsidRDefault="00BB05B3" w:rsidP="00BB05B3">
      <w:pPr>
        <w:pStyle w:val="Ipara"/>
        <w:spacing w:before="120"/>
      </w:pPr>
      <w:r w:rsidRPr="00F43D9B">
        <w:tab/>
        <w:t>(a)</w:t>
      </w:r>
      <w:r w:rsidRPr="00F43D9B">
        <w:tab/>
        <w:t>due care and attention; or</w:t>
      </w:r>
    </w:p>
    <w:p w:rsidR="00BB05B3" w:rsidRPr="00F43D9B" w:rsidRDefault="00BB05B3" w:rsidP="00BB05B3">
      <w:pPr>
        <w:pStyle w:val="Ipara"/>
        <w:spacing w:before="120"/>
      </w:pPr>
      <w:r w:rsidRPr="00F43D9B">
        <w:tab/>
        <w:t>(b)</w:t>
      </w:r>
      <w:r w:rsidRPr="00F43D9B">
        <w:tab/>
        <w:t>reasonable consideration for other road users.</w:t>
      </w:r>
    </w:p>
    <w:p w:rsidR="00BB05B3" w:rsidRDefault="00BB05B3" w:rsidP="00BB05B3">
      <w:pPr>
        <w:pStyle w:val="Penalty"/>
        <w:spacing w:before="120"/>
      </w:pPr>
      <w:r w:rsidRPr="00F43D9B">
        <w:t>Maximum penalty:  20 penalty units.</w:t>
      </w:r>
    </w:p>
    <w:p w:rsidR="00BB05B3" w:rsidRPr="00A67458" w:rsidRDefault="00BB05B3" w:rsidP="00BB05B3">
      <w:pPr>
        <w:pStyle w:val="AH3sec"/>
        <w:tabs>
          <w:tab w:val="clear" w:pos="284"/>
          <w:tab w:val="clear" w:pos="1500"/>
          <w:tab w:val="num" w:pos="360"/>
        </w:tabs>
      </w:pPr>
      <w:r>
        <w:br/>
      </w:r>
      <w:r w:rsidRPr="00A67458">
        <w:t>Clause 8</w:t>
      </w:r>
      <w:r w:rsidRPr="00A67458">
        <w:br/>
        <w:t>Proposed new section 304A (1)</w:t>
      </w:r>
      <w:r w:rsidRPr="00A67458">
        <w:br/>
        <w:t>Page 5, line 15—</w:t>
      </w:r>
    </w:p>
    <w:p w:rsidR="00BB05B3" w:rsidRPr="00A67458" w:rsidRDefault="00BB05B3" w:rsidP="00BB05B3">
      <w:pPr>
        <w:pStyle w:val="direction"/>
        <w:spacing w:before="120"/>
        <w:ind w:left="1094"/>
      </w:pPr>
      <w:r w:rsidRPr="00A67458">
        <w:t>omit</w:t>
      </w:r>
    </w:p>
    <w:p w:rsidR="00BB05B3" w:rsidRPr="00A67458" w:rsidRDefault="00BB05B3" w:rsidP="00BB05B3">
      <w:pPr>
        <w:pStyle w:val="Amainreturn"/>
        <w:spacing w:before="120"/>
        <w:ind w:left="1094"/>
      </w:pPr>
      <w:r w:rsidRPr="00A67458">
        <w:t>believes</w:t>
      </w:r>
    </w:p>
    <w:p w:rsidR="00BB05B3" w:rsidRPr="00A67458" w:rsidRDefault="00BB05B3" w:rsidP="00BB05B3">
      <w:pPr>
        <w:pStyle w:val="direction"/>
        <w:spacing w:before="120"/>
        <w:ind w:left="1094"/>
      </w:pPr>
      <w:r w:rsidRPr="00A67458">
        <w:t>substitute</w:t>
      </w:r>
    </w:p>
    <w:p w:rsidR="00BB05B3" w:rsidRDefault="00BB05B3" w:rsidP="00BB05B3">
      <w:pPr>
        <w:pStyle w:val="Amainreturn"/>
        <w:spacing w:before="120"/>
        <w:ind w:left="1094"/>
      </w:pPr>
      <w:r w:rsidRPr="00A67458">
        <w:t>suspects</w:t>
      </w:r>
    </w:p>
    <w:p w:rsidR="00BB05B3" w:rsidRDefault="00BB05B3" w:rsidP="00BB05B3">
      <w:pPr>
        <w:pStyle w:val="Amainreturn"/>
        <w:pBdr>
          <w:top w:val="single" w:sz="4" w:space="1" w:color="auto"/>
        </w:pBdr>
        <w:spacing w:before="120"/>
        <w:ind w:left="0"/>
      </w:pPr>
    </w:p>
    <w:p w:rsidR="00BB05B3" w:rsidRDefault="00BB05B3" w:rsidP="0096722B">
      <w:pPr>
        <w:ind w:right="173"/>
        <w:rPr>
          <w:sz w:val="36"/>
          <w:szCs w:val="36"/>
        </w:rPr>
        <w:sectPr w:rsidR="00BB05B3" w:rsidSect="00BB05B3">
          <w:headerReference w:type="default" r:id="rId15"/>
          <w:type w:val="continuous"/>
          <w:pgSz w:w="11906" w:h="16838"/>
          <w:pgMar w:top="1526" w:right="3038" w:bottom="1267" w:left="1138" w:header="634" w:footer="576" w:gutter="0"/>
          <w:pgNumType w:start="1"/>
          <w:cols w:space="708"/>
          <w:titlePg/>
          <w:docGrid w:linePitch="360"/>
        </w:sectPr>
      </w:pPr>
    </w:p>
    <w:p w:rsidR="00BB05B3" w:rsidRPr="00F43D9B" w:rsidRDefault="00BB05B3" w:rsidP="00BB05B3">
      <w:pPr>
        <w:pStyle w:val="AH3sec"/>
        <w:tabs>
          <w:tab w:val="clear" w:pos="284"/>
          <w:tab w:val="clear" w:pos="1500"/>
          <w:tab w:val="num" w:pos="360"/>
        </w:tabs>
        <w:ind w:right="2435"/>
      </w:pPr>
      <w:r>
        <w:br/>
        <w:t>Sc</w:t>
      </w:r>
      <w:r w:rsidRPr="00F43D9B">
        <w:t>hedule 1, part 1.2</w:t>
      </w:r>
      <w:r w:rsidRPr="00F43D9B">
        <w:br/>
        <w:t>Amendment 1.3</w:t>
      </w:r>
      <w:r w:rsidRPr="00F43D9B">
        <w:br/>
        <w:t>Page 10, line 1—</w:t>
      </w:r>
    </w:p>
    <w:p w:rsidR="00BB05B3" w:rsidRPr="00F43D9B" w:rsidRDefault="00BB05B3" w:rsidP="00BB05B3">
      <w:pPr>
        <w:pStyle w:val="direction"/>
      </w:pPr>
      <w:r w:rsidRPr="00F43D9B">
        <w:t>omit amendment 1.3, substitute</w:t>
      </w:r>
    </w:p>
    <w:p w:rsidR="00BB05B3" w:rsidRPr="00F43D9B" w:rsidRDefault="00BB05B3" w:rsidP="00BB05B3">
      <w:pPr>
        <w:pStyle w:val="IshadedH5Sec"/>
        <w:ind w:right="2435"/>
      </w:pPr>
      <w:r w:rsidRPr="00F43D9B">
        <w:t>[1.3]</w:t>
      </w:r>
      <w:r w:rsidRPr="00F43D9B">
        <w:tab/>
        <w:t>Schedule 1, part 1.12A, new items 422A and 422B</w:t>
      </w:r>
    </w:p>
    <w:p w:rsidR="00BB05B3" w:rsidRPr="00F43D9B" w:rsidRDefault="00BB05B3" w:rsidP="00BB05B3">
      <w:pPr>
        <w:pStyle w:val="direction"/>
      </w:pPr>
      <w:r w:rsidRPr="00F43D9B">
        <w:t>insert</w:t>
      </w:r>
    </w:p>
    <w:tbl>
      <w:tblPr>
        <w:tblW w:w="11400" w:type="dxa"/>
        <w:tblInd w:w="108" w:type="dxa"/>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Layout w:type="fixed"/>
        <w:tblLook w:val="0000" w:firstRow="0" w:lastRow="0" w:firstColumn="0" w:lastColumn="0" w:noHBand="0" w:noVBand="0"/>
      </w:tblPr>
      <w:tblGrid>
        <w:gridCol w:w="1200"/>
        <w:gridCol w:w="2400"/>
        <w:gridCol w:w="3720"/>
        <w:gridCol w:w="1320"/>
        <w:gridCol w:w="1560"/>
        <w:gridCol w:w="1200"/>
      </w:tblGrid>
      <w:tr w:rsidR="00BB05B3" w:rsidRPr="00F43D9B" w:rsidTr="00BD4103">
        <w:trPr>
          <w:cantSplit/>
        </w:trPr>
        <w:tc>
          <w:tcPr>
            <w:tcW w:w="1200" w:type="dxa"/>
            <w:tcBorders>
              <w:top w:val="single" w:sz="4" w:space="0" w:color="C0C0C0"/>
              <w:left w:val="single" w:sz="4" w:space="0" w:color="C0C0C0"/>
              <w:bottom w:val="single" w:sz="4" w:space="0" w:color="C0C0C0"/>
            </w:tcBorders>
          </w:tcPr>
          <w:p w:rsidR="00BB05B3" w:rsidRPr="00F43D9B" w:rsidRDefault="00BB05B3" w:rsidP="00BD4103">
            <w:pPr>
              <w:pStyle w:val="TableText10"/>
              <w:rPr>
                <w:color w:val="000000"/>
              </w:rPr>
            </w:pPr>
            <w:r w:rsidRPr="00F43D9B">
              <w:t>422A</w:t>
            </w:r>
          </w:p>
        </w:tc>
        <w:tc>
          <w:tcPr>
            <w:tcW w:w="2400" w:type="dxa"/>
            <w:tcBorders>
              <w:top w:val="single" w:sz="4" w:space="0" w:color="C0C0C0"/>
              <w:bottom w:val="single" w:sz="4" w:space="0" w:color="C0C0C0"/>
            </w:tcBorders>
          </w:tcPr>
          <w:p w:rsidR="00BB05B3" w:rsidRPr="00F43D9B" w:rsidRDefault="00BB05B3" w:rsidP="00BD4103">
            <w:pPr>
              <w:pStyle w:val="TableText10"/>
              <w:rPr>
                <w:color w:val="000000"/>
              </w:rPr>
            </w:pPr>
            <w:r w:rsidRPr="00F43D9B">
              <w:t>244K</w:t>
            </w:r>
          </w:p>
        </w:tc>
        <w:tc>
          <w:tcPr>
            <w:tcW w:w="3720" w:type="dxa"/>
            <w:tcBorders>
              <w:top w:val="single" w:sz="4" w:space="0" w:color="C0C0C0"/>
              <w:bottom w:val="single" w:sz="4" w:space="0" w:color="C0C0C0"/>
            </w:tcBorders>
          </w:tcPr>
          <w:p w:rsidR="00BB05B3" w:rsidRPr="005532DD" w:rsidRDefault="00BB05B3" w:rsidP="00BD4103">
            <w:pPr>
              <w:pStyle w:val="TableText10"/>
            </w:pPr>
            <w:r w:rsidRPr="00F43D9B">
              <w:t>person in or on personal mobility device without proper control</w:t>
            </w:r>
          </w:p>
        </w:tc>
        <w:tc>
          <w:tcPr>
            <w:tcW w:w="1320" w:type="dxa"/>
            <w:tcBorders>
              <w:top w:val="single" w:sz="4" w:space="0" w:color="C0C0C0"/>
              <w:bottom w:val="single" w:sz="4" w:space="0" w:color="C0C0C0"/>
            </w:tcBorders>
          </w:tcPr>
          <w:p w:rsidR="00BB05B3" w:rsidRPr="00937E28" w:rsidRDefault="00BB05B3" w:rsidP="00BD4103">
            <w:pPr>
              <w:pStyle w:val="TableText10"/>
              <w:rPr>
                <w:color w:val="000000"/>
              </w:rPr>
            </w:pPr>
            <w:r w:rsidRPr="00F43D9B">
              <w:rPr>
                <w:color w:val="000000"/>
              </w:rPr>
              <w:t>20</w:t>
            </w:r>
          </w:p>
        </w:tc>
        <w:tc>
          <w:tcPr>
            <w:tcW w:w="1560" w:type="dxa"/>
            <w:tcBorders>
              <w:top w:val="single" w:sz="4" w:space="0" w:color="C0C0C0"/>
              <w:bottom w:val="single" w:sz="4" w:space="0" w:color="C0C0C0"/>
            </w:tcBorders>
          </w:tcPr>
          <w:p w:rsidR="00BB05B3" w:rsidRPr="00F43D9B" w:rsidRDefault="00BB05B3" w:rsidP="00BD4103">
            <w:pPr>
              <w:pStyle w:val="TableText10"/>
              <w:rPr>
                <w:color w:val="000000"/>
              </w:rPr>
            </w:pPr>
            <w:r w:rsidRPr="00F43D9B">
              <w:rPr>
                <w:color w:val="000000"/>
              </w:rPr>
              <w:t>154</w:t>
            </w:r>
          </w:p>
        </w:tc>
        <w:tc>
          <w:tcPr>
            <w:tcW w:w="1200" w:type="dxa"/>
            <w:tcBorders>
              <w:top w:val="single" w:sz="4" w:space="0" w:color="C0C0C0"/>
              <w:bottom w:val="single" w:sz="4" w:space="0" w:color="C0C0C0"/>
              <w:right w:val="single" w:sz="4" w:space="0" w:color="C0C0C0"/>
            </w:tcBorders>
          </w:tcPr>
          <w:p w:rsidR="00BB05B3" w:rsidRPr="00F43D9B" w:rsidRDefault="00BB05B3" w:rsidP="00BD4103">
            <w:pPr>
              <w:pStyle w:val="TableText10"/>
              <w:rPr>
                <w:color w:val="000000"/>
              </w:rPr>
            </w:pPr>
            <w:r w:rsidRPr="00F43D9B">
              <w:rPr>
                <w:color w:val="000000"/>
              </w:rPr>
              <w:t>-</w:t>
            </w:r>
          </w:p>
        </w:tc>
      </w:tr>
      <w:tr w:rsidR="00BB05B3" w:rsidRPr="00F43D9B" w:rsidTr="00BD4103">
        <w:trPr>
          <w:cantSplit/>
        </w:trPr>
        <w:tc>
          <w:tcPr>
            <w:tcW w:w="1200" w:type="dxa"/>
            <w:tcBorders>
              <w:top w:val="single" w:sz="4" w:space="0" w:color="C0C0C0"/>
              <w:left w:val="single" w:sz="4" w:space="0" w:color="C0C0C0"/>
              <w:bottom w:val="single" w:sz="4" w:space="0" w:color="C0C0C0"/>
            </w:tcBorders>
          </w:tcPr>
          <w:p w:rsidR="00BB05B3" w:rsidRPr="00F43D9B" w:rsidRDefault="00BB05B3" w:rsidP="00BD4103">
            <w:pPr>
              <w:pStyle w:val="TableText10"/>
              <w:rPr>
                <w:color w:val="000000"/>
              </w:rPr>
            </w:pPr>
            <w:r w:rsidRPr="00F43D9B">
              <w:t>422B</w:t>
            </w:r>
          </w:p>
        </w:tc>
        <w:tc>
          <w:tcPr>
            <w:tcW w:w="2400" w:type="dxa"/>
            <w:tcBorders>
              <w:top w:val="single" w:sz="4" w:space="0" w:color="C0C0C0"/>
              <w:bottom w:val="single" w:sz="4" w:space="0" w:color="C0C0C0"/>
            </w:tcBorders>
          </w:tcPr>
          <w:p w:rsidR="00BB05B3" w:rsidRPr="00F43D9B" w:rsidRDefault="00BB05B3" w:rsidP="00BD4103">
            <w:pPr>
              <w:pStyle w:val="TableText10"/>
              <w:rPr>
                <w:color w:val="000000"/>
              </w:rPr>
            </w:pPr>
            <w:r w:rsidRPr="00F43D9B">
              <w:t>244L</w:t>
            </w:r>
          </w:p>
        </w:tc>
        <w:tc>
          <w:tcPr>
            <w:tcW w:w="3720" w:type="dxa"/>
            <w:tcBorders>
              <w:top w:val="single" w:sz="4" w:space="0" w:color="C0C0C0"/>
              <w:bottom w:val="single" w:sz="4" w:space="0" w:color="C0C0C0"/>
            </w:tcBorders>
          </w:tcPr>
          <w:p w:rsidR="00BB05B3" w:rsidRPr="005532DD" w:rsidRDefault="00BB05B3" w:rsidP="00BD4103">
            <w:pPr>
              <w:pStyle w:val="TableText10"/>
            </w:pPr>
            <w:r w:rsidRPr="00F43D9B">
              <w:t>person in or on personal mobility device without due care etc</w:t>
            </w:r>
          </w:p>
        </w:tc>
        <w:tc>
          <w:tcPr>
            <w:tcW w:w="1320" w:type="dxa"/>
            <w:tcBorders>
              <w:top w:val="single" w:sz="4" w:space="0" w:color="C0C0C0"/>
              <w:bottom w:val="single" w:sz="4" w:space="0" w:color="C0C0C0"/>
            </w:tcBorders>
          </w:tcPr>
          <w:p w:rsidR="00BB05B3" w:rsidRPr="00937E28" w:rsidRDefault="00BB05B3" w:rsidP="00BD4103">
            <w:pPr>
              <w:pStyle w:val="TableText10"/>
              <w:rPr>
                <w:color w:val="000000"/>
              </w:rPr>
            </w:pPr>
            <w:r w:rsidRPr="00F43D9B">
              <w:rPr>
                <w:color w:val="000000"/>
              </w:rPr>
              <w:t>20</w:t>
            </w:r>
          </w:p>
        </w:tc>
        <w:tc>
          <w:tcPr>
            <w:tcW w:w="1560" w:type="dxa"/>
            <w:tcBorders>
              <w:top w:val="single" w:sz="4" w:space="0" w:color="C0C0C0"/>
              <w:bottom w:val="single" w:sz="4" w:space="0" w:color="C0C0C0"/>
            </w:tcBorders>
          </w:tcPr>
          <w:p w:rsidR="00BB05B3" w:rsidRPr="00F43D9B" w:rsidRDefault="00BB05B3" w:rsidP="00BD4103">
            <w:pPr>
              <w:pStyle w:val="TableText10"/>
              <w:rPr>
                <w:color w:val="000000"/>
              </w:rPr>
            </w:pPr>
            <w:r w:rsidRPr="00F43D9B">
              <w:rPr>
                <w:color w:val="000000"/>
              </w:rPr>
              <w:t>154</w:t>
            </w:r>
          </w:p>
        </w:tc>
        <w:tc>
          <w:tcPr>
            <w:tcW w:w="1200" w:type="dxa"/>
            <w:tcBorders>
              <w:top w:val="single" w:sz="4" w:space="0" w:color="C0C0C0"/>
              <w:bottom w:val="single" w:sz="4" w:space="0" w:color="C0C0C0"/>
              <w:right w:val="single" w:sz="4" w:space="0" w:color="C0C0C0"/>
            </w:tcBorders>
          </w:tcPr>
          <w:p w:rsidR="00BB05B3" w:rsidRPr="00F43D9B" w:rsidRDefault="00BB05B3" w:rsidP="00BD4103">
            <w:pPr>
              <w:pStyle w:val="TableText10"/>
              <w:rPr>
                <w:color w:val="000000"/>
              </w:rPr>
            </w:pPr>
            <w:r w:rsidRPr="00F43D9B">
              <w:rPr>
                <w:color w:val="000000"/>
              </w:rPr>
              <w:t>-</w:t>
            </w:r>
          </w:p>
        </w:tc>
      </w:tr>
    </w:tbl>
    <w:p w:rsidR="00BB05B3" w:rsidRDefault="00BB05B3" w:rsidP="00BB05B3"/>
    <w:p w:rsidR="00BB05B3" w:rsidRPr="00F43D9B" w:rsidRDefault="00BB05B3" w:rsidP="00BB05B3">
      <w:pPr>
        <w:pStyle w:val="IshadedH5Sec"/>
        <w:ind w:right="2435"/>
      </w:pPr>
      <w:r w:rsidRPr="00F43D9B">
        <w:t>[1.3A]</w:t>
      </w:r>
      <w:r w:rsidRPr="00F43D9B">
        <w:tab/>
        <w:t>Schedule 1, part 1.12A, item 524</w:t>
      </w:r>
    </w:p>
    <w:p w:rsidR="00BB05B3" w:rsidRPr="00F43D9B" w:rsidRDefault="00BB05B3" w:rsidP="00BB05B3">
      <w:pPr>
        <w:pStyle w:val="direction"/>
      </w:pPr>
      <w:r w:rsidRPr="00F43D9B">
        <w:t>substitute</w:t>
      </w:r>
    </w:p>
    <w:tbl>
      <w:tblPr>
        <w:tblW w:w="114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400"/>
        <w:gridCol w:w="3720"/>
        <w:gridCol w:w="1320"/>
        <w:gridCol w:w="1560"/>
        <w:gridCol w:w="1200"/>
      </w:tblGrid>
      <w:tr w:rsidR="00BB05B3" w:rsidRPr="00F43D9B" w:rsidTr="00BD4103">
        <w:trPr>
          <w:cantSplit/>
        </w:trPr>
        <w:tc>
          <w:tcPr>
            <w:tcW w:w="1200" w:type="dxa"/>
            <w:tcBorders>
              <w:bottom w:val="nil"/>
            </w:tcBorders>
          </w:tcPr>
          <w:p w:rsidR="00BB05B3" w:rsidRPr="00F43D9B" w:rsidRDefault="00BB05B3" w:rsidP="00BD4103">
            <w:pPr>
              <w:pStyle w:val="TableText10"/>
              <w:keepNext/>
              <w:rPr>
                <w:color w:val="000000"/>
              </w:rPr>
            </w:pPr>
            <w:r w:rsidRPr="00F43D9B">
              <w:t>52</w:t>
            </w:r>
            <w:r>
              <w:t>3</w:t>
            </w:r>
            <w:r w:rsidRPr="00F43D9B">
              <w:t>A</w:t>
            </w:r>
          </w:p>
        </w:tc>
        <w:tc>
          <w:tcPr>
            <w:tcW w:w="2400" w:type="dxa"/>
            <w:tcBorders>
              <w:bottom w:val="nil"/>
            </w:tcBorders>
          </w:tcPr>
          <w:p w:rsidR="00BB05B3" w:rsidRPr="00F43D9B" w:rsidRDefault="00BB05B3" w:rsidP="00BD4103">
            <w:pPr>
              <w:pStyle w:val="TableText10"/>
              <w:rPr>
                <w:color w:val="000000"/>
              </w:rPr>
            </w:pPr>
            <w:r w:rsidRPr="00F43D9B">
              <w:t>296A</w:t>
            </w:r>
          </w:p>
        </w:tc>
        <w:tc>
          <w:tcPr>
            <w:tcW w:w="3720" w:type="dxa"/>
            <w:tcBorders>
              <w:bottom w:val="nil"/>
            </w:tcBorders>
          </w:tcPr>
          <w:p w:rsidR="00BB05B3" w:rsidRPr="00F43D9B" w:rsidRDefault="00BB05B3" w:rsidP="00BD4103">
            <w:pPr>
              <w:pStyle w:val="TableText10"/>
              <w:rPr>
                <w:color w:val="000000"/>
              </w:rPr>
            </w:pPr>
          </w:p>
        </w:tc>
        <w:tc>
          <w:tcPr>
            <w:tcW w:w="1320" w:type="dxa"/>
            <w:tcBorders>
              <w:bottom w:val="nil"/>
            </w:tcBorders>
          </w:tcPr>
          <w:p w:rsidR="00BB05B3" w:rsidRPr="00F43D9B" w:rsidRDefault="00BB05B3" w:rsidP="00BD4103">
            <w:pPr>
              <w:pStyle w:val="TableText10"/>
              <w:rPr>
                <w:color w:val="000000"/>
              </w:rPr>
            </w:pPr>
          </w:p>
        </w:tc>
        <w:tc>
          <w:tcPr>
            <w:tcW w:w="1560" w:type="dxa"/>
            <w:tcBorders>
              <w:bottom w:val="nil"/>
            </w:tcBorders>
          </w:tcPr>
          <w:p w:rsidR="00BB05B3" w:rsidRPr="00F43D9B" w:rsidRDefault="00BB05B3" w:rsidP="00BD4103">
            <w:pPr>
              <w:pStyle w:val="TableText10"/>
              <w:rPr>
                <w:color w:val="000000"/>
              </w:rPr>
            </w:pPr>
          </w:p>
        </w:tc>
        <w:tc>
          <w:tcPr>
            <w:tcW w:w="1200" w:type="dxa"/>
            <w:tcBorders>
              <w:bottom w:val="nil"/>
            </w:tcBorders>
          </w:tcPr>
          <w:p w:rsidR="00BB05B3" w:rsidRPr="00F43D9B" w:rsidRDefault="00BB05B3" w:rsidP="00BD4103">
            <w:pPr>
              <w:pStyle w:val="TableText10"/>
              <w:rPr>
                <w:color w:val="000000"/>
              </w:rPr>
            </w:pPr>
          </w:p>
        </w:tc>
      </w:tr>
      <w:tr w:rsidR="00BB05B3" w:rsidRPr="00F43D9B" w:rsidTr="00BD4103">
        <w:trPr>
          <w:cantSplit/>
        </w:trPr>
        <w:tc>
          <w:tcPr>
            <w:tcW w:w="1200" w:type="dxa"/>
            <w:tcBorders>
              <w:top w:val="nil"/>
              <w:bottom w:val="nil"/>
            </w:tcBorders>
          </w:tcPr>
          <w:p w:rsidR="00BB05B3" w:rsidRPr="00F43D9B" w:rsidRDefault="00BB05B3" w:rsidP="00BD4103">
            <w:pPr>
              <w:pStyle w:val="TableText10"/>
              <w:keepNext/>
              <w:rPr>
                <w:color w:val="000000"/>
              </w:rPr>
            </w:pPr>
            <w:r w:rsidRPr="00F43D9B">
              <w:t>52</w:t>
            </w:r>
            <w:r>
              <w:t>3</w:t>
            </w:r>
            <w:r w:rsidRPr="00F43D9B">
              <w:t>A.1</w:t>
            </w:r>
          </w:p>
        </w:tc>
        <w:tc>
          <w:tcPr>
            <w:tcW w:w="2400" w:type="dxa"/>
            <w:tcBorders>
              <w:top w:val="nil"/>
              <w:bottom w:val="nil"/>
            </w:tcBorders>
          </w:tcPr>
          <w:p w:rsidR="00BB05B3" w:rsidRPr="00F43D9B" w:rsidRDefault="00BB05B3" w:rsidP="00BD4103">
            <w:pPr>
              <w:pStyle w:val="TableBullet"/>
              <w:numPr>
                <w:ilvl w:val="0"/>
                <w:numId w:val="0"/>
              </w:numPr>
              <w:ind w:left="357" w:hanging="357"/>
              <w:rPr>
                <w:color w:val="000000"/>
              </w:rPr>
            </w:pPr>
            <w:r w:rsidRPr="00F43D9B">
              <w:rPr>
                <w:rFonts w:ascii="Symbol" w:hAnsi="Symbol"/>
                <w:color w:val="000000"/>
              </w:rPr>
              <w:t></w:t>
            </w:r>
            <w:r w:rsidRPr="00F43D9B">
              <w:rPr>
                <w:rFonts w:ascii="Symbol" w:hAnsi="Symbol"/>
                <w:color w:val="000000"/>
              </w:rPr>
              <w:tab/>
            </w:r>
            <w:r w:rsidRPr="00F43D9B">
              <w:t>rider of a bicycle</w:t>
            </w:r>
          </w:p>
        </w:tc>
        <w:tc>
          <w:tcPr>
            <w:tcW w:w="3720" w:type="dxa"/>
            <w:tcBorders>
              <w:top w:val="nil"/>
              <w:bottom w:val="nil"/>
            </w:tcBorders>
          </w:tcPr>
          <w:p w:rsidR="00BB05B3" w:rsidRPr="00F43D9B" w:rsidRDefault="00BB05B3" w:rsidP="00BD4103">
            <w:pPr>
              <w:pStyle w:val="TableText10"/>
              <w:rPr>
                <w:color w:val="000000"/>
              </w:rPr>
            </w:pPr>
            <w:r w:rsidRPr="00F43D9B">
              <w:t>driving without due care etc—bicycle rider</w:t>
            </w:r>
          </w:p>
        </w:tc>
        <w:tc>
          <w:tcPr>
            <w:tcW w:w="1320" w:type="dxa"/>
            <w:tcBorders>
              <w:top w:val="nil"/>
              <w:bottom w:val="nil"/>
            </w:tcBorders>
          </w:tcPr>
          <w:p w:rsidR="00BB05B3" w:rsidRPr="00937E28" w:rsidRDefault="00BB05B3" w:rsidP="00BD4103">
            <w:pPr>
              <w:pStyle w:val="TableText10"/>
              <w:rPr>
                <w:color w:val="000000"/>
              </w:rPr>
            </w:pPr>
            <w:r w:rsidRPr="00F43D9B">
              <w:rPr>
                <w:color w:val="000000"/>
              </w:rPr>
              <w:t>20</w:t>
            </w:r>
          </w:p>
        </w:tc>
        <w:tc>
          <w:tcPr>
            <w:tcW w:w="1560" w:type="dxa"/>
            <w:tcBorders>
              <w:top w:val="nil"/>
              <w:bottom w:val="nil"/>
            </w:tcBorders>
          </w:tcPr>
          <w:p w:rsidR="00BB05B3" w:rsidRPr="00F43D9B" w:rsidRDefault="00BB05B3" w:rsidP="00BD4103">
            <w:pPr>
              <w:pStyle w:val="TableText10"/>
              <w:rPr>
                <w:color w:val="000000"/>
              </w:rPr>
            </w:pPr>
            <w:r w:rsidRPr="00F43D9B">
              <w:t>154</w:t>
            </w:r>
          </w:p>
        </w:tc>
        <w:tc>
          <w:tcPr>
            <w:tcW w:w="1200" w:type="dxa"/>
            <w:tcBorders>
              <w:top w:val="nil"/>
              <w:bottom w:val="nil"/>
            </w:tcBorders>
          </w:tcPr>
          <w:p w:rsidR="00BB05B3" w:rsidRPr="00F43D9B" w:rsidRDefault="00BB05B3" w:rsidP="00BD4103">
            <w:pPr>
              <w:pStyle w:val="TableText10"/>
              <w:rPr>
                <w:color w:val="000000"/>
              </w:rPr>
            </w:pPr>
            <w:r w:rsidRPr="00F43D9B">
              <w:t>-</w:t>
            </w:r>
          </w:p>
        </w:tc>
      </w:tr>
      <w:tr w:rsidR="00BB05B3" w:rsidRPr="00F43D9B" w:rsidTr="00BD4103">
        <w:trPr>
          <w:cantSplit/>
        </w:trPr>
        <w:tc>
          <w:tcPr>
            <w:tcW w:w="1200" w:type="dxa"/>
            <w:tcBorders>
              <w:top w:val="nil"/>
              <w:bottom w:val="single" w:sz="4" w:space="0" w:color="C0C0C0"/>
            </w:tcBorders>
          </w:tcPr>
          <w:p w:rsidR="00BB05B3" w:rsidRPr="00F43D9B" w:rsidRDefault="00BB05B3" w:rsidP="00BD4103">
            <w:pPr>
              <w:pStyle w:val="TableText10"/>
              <w:rPr>
                <w:color w:val="000000"/>
              </w:rPr>
            </w:pPr>
            <w:r w:rsidRPr="00F43D9B">
              <w:t>52</w:t>
            </w:r>
            <w:r>
              <w:t>3</w:t>
            </w:r>
            <w:r w:rsidRPr="00F43D9B">
              <w:t>A.2</w:t>
            </w:r>
          </w:p>
        </w:tc>
        <w:tc>
          <w:tcPr>
            <w:tcW w:w="2400" w:type="dxa"/>
            <w:tcBorders>
              <w:top w:val="nil"/>
              <w:bottom w:val="single" w:sz="4" w:space="0" w:color="C0C0C0"/>
            </w:tcBorders>
          </w:tcPr>
          <w:p w:rsidR="00BB05B3" w:rsidRPr="00F43D9B" w:rsidRDefault="00BB05B3" w:rsidP="00BD4103">
            <w:pPr>
              <w:pStyle w:val="TableBullet"/>
              <w:numPr>
                <w:ilvl w:val="0"/>
                <w:numId w:val="0"/>
              </w:numPr>
              <w:ind w:left="357" w:hanging="357"/>
              <w:rPr>
                <w:color w:val="000000"/>
              </w:rPr>
            </w:pPr>
            <w:r w:rsidRPr="00F43D9B">
              <w:rPr>
                <w:rFonts w:ascii="Symbol" w:hAnsi="Symbol"/>
                <w:color w:val="000000"/>
              </w:rPr>
              <w:t></w:t>
            </w:r>
            <w:r w:rsidRPr="00F43D9B">
              <w:rPr>
                <w:rFonts w:ascii="Symbol" w:hAnsi="Symbol"/>
                <w:color w:val="000000"/>
              </w:rPr>
              <w:tab/>
            </w:r>
            <w:r w:rsidRPr="00F43D9B">
              <w:t>any other driver</w:t>
            </w:r>
          </w:p>
        </w:tc>
        <w:tc>
          <w:tcPr>
            <w:tcW w:w="3720" w:type="dxa"/>
            <w:tcBorders>
              <w:top w:val="nil"/>
              <w:bottom w:val="single" w:sz="4" w:space="0" w:color="C0C0C0"/>
            </w:tcBorders>
          </w:tcPr>
          <w:p w:rsidR="00BB05B3" w:rsidRPr="00F43D9B" w:rsidRDefault="00BB05B3" w:rsidP="00BD4103">
            <w:pPr>
              <w:pStyle w:val="TableText10"/>
              <w:rPr>
                <w:color w:val="000000"/>
              </w:rPr>
            </w:pPr>
            <w:r w:rsidRPr="00F43D9B">
              <w:t>driving without due care etc—any other driver</w:t>
            </w:r>
          </w:p>
        </w:tc>
        <w:tc>
          <w:tcPr>
            <w:tcW w:w="1320" w:type="dxa"/>
            <w:tcBorders>
              <w:top w:val="nil"/>
              <w:bottom w:val="single" w:sz="4" w:space="0" w:color="C0C0C0"/>
            </w:tcBorders>
          </w:tcPr>
          <w:p w:rsidR="00BB05B3" w:rsidRPr="00F43D9B" w:rsidRDefault="00BB05B3" w:rsidP="00BD4103">
            <w:pPr>
              <w:pStyle w:val="TableText10"/>
              <w:rPr>
                <w:color w:val="000000"/>
              </w:rPr>
            </w:pPr>
            <w:r w:rsidRPr="00F43D9B">
              <w:rPr>
                <w:color w:val="000000"/>
              </w:rPr>
              <w:t>20</w:t>
            </w:r>
          </w:p>
        </w:tc>
        <w:tc>
          <w:tcPr>
            <w:tcW w:w="1560" w:type="dxa"/>
            <w:tcBorders>
              <w:top w:val="nil"/>
              <w:bottom w:val="single" w:sz="4" w:space="0" w:color="C0C0C0"/>
            </w:tcBorders>
          </w:tcPr>
          <w:p w:rsidR="00BB05B3" w:rsidRPr="00F43D9B" w:rsidRDefault="00BB05B3" w:rsidP="00BD4103">
            <w:pPr>
              <w:pStyle w:val="TableText10"/>
              <w:rPr>
                <w:color w:val="000000"/>
              </w:rPr>
            </w:pPr>
            <w:r w:rsidRPr="00F43D9B">
              <w:t>301</w:t>
            </w:r>
          </w:p>
        </w:tc>
        <w:tc>
          <w:tcPr>
            <w:tcW w:w="1200" w:type="dxa"/>
            <w:tcBorders>
              <w:top w:val="nil"/>
              <w:bottom w:val="single" w:sz="4" w:space="0" w:color="C0C0C0"/>
            </w:tcBorders>
          </w:tcPr>
          <w:p w:rsidR="00BB05B3" w:rsidRPr="00F43D9B" w:rsidRDefault="00BB05B3" w:rsidP="00BD4103">
            <w:pPr>
              <w:pStyle w:val="TableText10"/>
              <w:rPr>
                <w:color w:val="000000"/>
              </w:rPr>
            </w:pPr>
            <w:r w:rsidRPr="00F43D9B">
              <w:t>-</w:t>
            </w:r>
          </w:p>
        </w:tc>
      </w:tr>
      <w:tr w:rsidR="00BB05B3" w:rsidRPr="00F43D9B" w:rsidTr="00BD4103">
        <w:trPr>
          <w:cantSplit/>
        </w:trPr>
        <w:tc>
          <w:tcPr>
            <w:tcW w:w="1200" w:type="dxa"/>
            <w:tcBorders>
              <w:top w:val="single" w:sz="4" w:space="0" w:color="C0C0C0"/>
              <w:bottom w:val="single" w:sz="4" w:space="0" w:color="C0C0C0"/>
            </w:tcBorders>
          </w:tcPr>
          <w:p w:rsidR="00BB05B3" w:rsidRPr="00F43D9B" w:rsidRDefault="00BB05B3" w:rsidP="00BD4103">
            <w:pPr>
              <w:pStyle w:val="TableText10"/>
            </w:pPr>
            <w:r w:rsidRPr="00F43D9B">
              <w:rPr>
                <w:color w:val="000000"/>
              </w:rPr>
              <w:t>524</w:t>
            </w:r>
          </w:p>
        </w:tc>
        <w:tc>
          <w:tcPr>
            <w:tcW w:w="2400" w:type="dxa"/>
            <w:tcBorders>
              <w:top w:val="single" w:sz="4" w:space="0" w:color="C0C0C0"/>
              <w:bottom w:val="single" w:sz="4" w:space="0" w:color="C0C0C0"/>
            </w:tcBorders>
          </w:tcPr>
          <w:p w:rsidR="00BB05B3" w:rsidRPr="00F43D9B" w:rsidRDefault="00BB05B3" w:rsidP="00BD4103">
            <w:pPr>
              <w:pStyle w:val="TableBullet"/>
              <w:numPr>
                <w:ilvl w:val="0"/>
                <w:numId w:val="0"/>
              </w:numPr>
              <w:ind w:left="357" w:hanging="357"/>
              <w:rPr>
                <w:rFonts w:ascii="Symbol" w:hAnsi="Symbol"/>
                <w:color w:val="000000"/>
              </w:rPr>
            </w:pPr>
            <w:r w:rsidRPr="00F43D9B">
              <w:rPr>
                <w:color w:val="000000"/>
              </w:rPr>
              <w:t>297 (1)</w:t>
            </w:r>
          </w:p>
        </w:tc>
        <w:tc>
          <w:tcPr>
            <w:tcW w:w="3720" w:type="dxa"/>
            <w:tcBorders>
              <w:top w:val="single" w:sz="4" w:space="0" w:color="C0C0C0"/>
              <w:bottom w:val="single" w:sz="4" w:space="0" w:color="C0C0C0"/>
            </w:tcBorders>
          </w:tcPr>
          <w:p w:rsidR="00BB05B3" w:rsidRPr="00F43D9B" w:rsidRDefault="00BB05B3" w:rsidP="00BD4103">
            <w:pPr>
              <w:pStyle w:val="TableText10"/>
            </w:pPr>
            <w:r w:rsidRPr="00F43D9B">
              <w:rPr>
                <w:color w:val="000000"/>
              </w:rPr>
              <w:t>drive without proper control of vehicle</w:t>
            </w:r>
          </w:p>
        </w:tc>
        <w:tc>
          <w:tcPr>
            <w:tcW w:w="1320" w:type="dxa"/>
            <w:tcBorders>
              <w:top w:val="single" w:sz="4" w:space="0" w:color="C0C0C0"/>
              <w:bottom w:val="single" w:sz="4" w:space="0" w:color="C0C0C0"/>
            </w:tcBorders>
          </w:tcPr>
          <w:p w:rsidR="00BB05B3" w:rsidRPr="00F43D9B" w:rsidRDefault="00BB05B3" w:rsidP="00BD4103">
            <w:pPr>
              <w:pStyle w:val="TableText10"/>
              <w:rPr>
                <w:color w:val="000000"/>
              </w:rPr>
            </w:pPr>
            <w:r w:rsidRPr="00F43D9B">
              <w:rPr>
                <w:color w:val="000000"/>
              </w:rPr>
              <w:t>20</w:t>
            </w:r>
          </w:p>
        </w:tc>
        <w:tc>
          <w:tcPr>
            <w:tcW w:w="1560" w:type="dxa"/>
            <w:tcBorders>
              <w:top w:val="single" w:sz="4" w:space="0" w:color="C0C0C0"/>
              <w:bottom w:val="single" w:sz="4" w:space="0" w:color="C0C0C0"/>
            </w:tcBorders>
          </w:tcPr>
          <w:p w:rsidR="00BB05B3" w:rsidRPr="00F43D9B" w:rsidRDefault="00BB05B3" w:rsidP="00BD4103">
            <w:pPr>
              <w:pStyle w:val="TableText10"/>
            </w:pPr>
            <w:r w:rsidRPr="00F43D9B">
              <w:t>398</w:t>
            </w:r>
          </w:p>
        </w:tc>
        <w:tc>
          <w:tcPr>
            <w:tcW w:w="1200" w:type="dxa"/>
            <w:tcBorders>
              <w:top w:val="single" w:sz="4" w:space="0" w:color="C0C0C0"/>
              <w:bottom w:val="single" w:sz="4" w:space="0" w:color="C0C0C0"/>
            </w:tcBorders>
          </w:tcPr>
          <w:p w:rsidR="00BB05B3" w:rsidRPr="00F43D9B" w:rsidRDefault="00BB05B3" w:rsidP="00BD4103">
            <w:pPr>
              <w:pStyle w:val="TableText10"/>
            </w:pPr>
            <w:r w:rsidRPr="00F43D9B">
              <w:rPr>
                <w:color w:val="000000"/>
              </w:rPr>
              <w:t>-</w:t>
            </w:r>
          </w:p>
        </w:tc>
      </w:tr>
    </w:tbl>
    <w:p w:rsidR="00BB05B3" w:rsidRDefault="00BB05B3" w:rsidP="00BB05B3">
      <w:pPr>
        <w:rPr>
          <w:sz w:val="36"/>
          <w:szCs w:val="36"/>
        </w:rPr>
      </w:pPr>
    </w:p>
    <w:p w:rsidR="00BB05B3" w:rsidRDefault="00BB05B3" w:rsidP="00BB05B3">
      <w:pPr>
        <w:spacing w:after="160" w:line="259" w:lineRule="auto"/>
        <w:rPr>
          <w:sz w:val="36"/>
          <w:szCs w:val="36"/>
        </w:rPr>
        <w:sectPr w:rsidR="00BB05B3" w:rsidSect="00B8539D">
          <w:headerReference w:type="first" r:id="rId16"/>
          <w:footerReference w:type="first" r:id="rId17"/>
          <w:type w:val="oddPage"/>
          <w:pgSz w:w="16838" w:h="11906" w:orient="landscape"/>
          <w:pgMar w:top="1138" w:right="1526" w:bottom="3024" w:left="1267" w:header="634" w:footer="576" w:gutter="0"/>
          <w:pgNumType w:start="539"/>
          <w:cols w:space="708"/>
          <w:titlePg/>
          <w:docGrid w:linePitch="360"/>
        </w:sectPr>
      </w:pPr>
    </w:p>
    <w:p w:rsidR="00BB05B3" w:rsidRPr="00F25EF9" w:rsidRDefault="00BB05B3" w:rsidP="00BB05B3">
      <w:pPr>
        <w:pStyle w:val="DPSEntryDetail"/>
        <w:ind w:left="0"/>
        <w:rPr>
          <w:b/>
          <w:sz w:val="36"/>
          <w:szCs w:val="36"/>
          <w:u w:val="single"/>
        </w:rPr>
      </w:pPr>
    </w:p>
    <w:p w:rsidR="00BB05B3" w:rsidRPr="00FC055F" w:rsidRDefault="00BB05B3" w:rsidP="00BB05B3">
      <w:pPr>
        <w:pStyle w:val="DPSEntryDetail"/>
        <w:ind w:left="0"/>
        <w:rPr>
          <w:b/>
          <w:sz w:val="28"/>
          <w:szCs w:val="28"/>
          <w:u w:val="single"/>
        </w:rPr>
      </w:pPr>
      <w:bookmarkStart w:id="2" w:name="Schedule2"/>
      <w:r>
        <w:rPr>
          <w:b/>
          <w:sz w:val="28"/>
          <w:szCs w:val="28"/>
          <w:u w:val="single"/>
        </w:rPr>
        <w:t>Schedule 2</w:t>
      </w:r>
      <w:bookmarkEnd w:id="2"/>
    </w:p>
    <w:p w:rsidR="00BB05B3" w:rsidRPr="00733D8E" w:rsidRDefault="00BB05B3" w:rsidP="00BB05B3">
      <w:pPr>
        <w:pStyle w:val="DPSEntryDetail"/>
        <w:spacing w:before="0"/>
        <w:ind w:left="0"/>
        <w:rPr>
          <w:b/>
          <w:sz w:val="28"/>
          <w:szCs w:val="28"/>
          <w:u w:val="single"/>
        </w:rPr>
      </w:pPr>
    </w:p>
    <w:p w:rsidR="00BB05B3" w:rsidRPr="00733D8E" w:rsidRDefault="00BB05B3" w:rsidP="00BB05B3">
      <w:pPr>
        <w:pBdr>
          <w:bottom w:val="single" w:sz="4" w:space="1" w:color="auto"/>
        </w:pBdr>
        <w:tabs>
          <w:tab w:val="left" w:pos="1197"/>
          <w:tab w:val="left" w:pos="1767"/>
        </w:tabs>
        <w:spacing w:before="120" w:after="120"/>
        <w:rPr>
          <w:caps/>
          <w:spacing w:val="-2"/>
          <w:szCs w:val="24"/>
          <w:lang w:val="en-AU"/>
        </w:rPr>
      </w:pPr>
      <w:r>
        <w:rPr>
          <w:b/>
          <w:szCs w:val="24"/>
        </w:rPr>
        <w:t>ROAD TRANSPORT LEGISLATION AMENDMENT BILL 2021</w:t>
      </w:r>
    </w:p>
    <w:p w:rsidR="00BB05B3" w:rsidRPr="00733D8E" w:rsidRDefault="00BB05B3" w:rsidP="00BB05B3">
      <w:pPr>
        <w:tabs>
          <w:tab w:val="left" w:pos="1197"/>
          <w:tab w:val="left" w:pos="1767"/>
        </w:tabs>
        <w:spacing w:before="120"/>
        <w:rPr>
          <w:lang w:val="en-AU"/>
        </w:rPr>
      </w:pPr>
      <w:r>
        <w:rPr>
          <w:lang w:val="en-AU"/>
        </w:rPr>
        <w:t>Amendments</w:t>
      </w:r>
      <w:r w:rsidRPr="00733D8E">
        <w:rPr>
          <w:lang w:val="en-AU"/>
        </w:rPr>
        <w:t xml:space="preserve"> circulated by </w:t>
      </w:r>
      <w:r>
        <w:rPr>
          <w:lang w:val="en-AU"/>
        </w:rPr>
        <w:t>Ms Clay</w:t>
      </w:r>
    </w:p>
    <w:p w:rsidR="00BB05B3" w:rsidRDefault="00BB05B3" w:rsidP="00BB05B3">
      <w:pPr>
        <w:pStyle w:val="AH3sec"/>
        <w:numPr>
          <w:ilvl w:val="0"/>
          <w:numId w:val="0"/>
        </w:numPr>
      </w:pPr>
      <w:r>
        <w:t>1</w:t>
      </w:r>
      <w:r>
        <w:br/>
        <w:t>Clause 9</w:t>
      </w:r>
      <w:r>
        <w:br/>
        <w:t>Section 6 (1), penalty, proposed new paragraph (c)</w:t>
      </w:r>
      <w:r>
        <w:br/>
        <w:t>Page 7, line 6—</w:t>
      </w:r>
    </w:p>
    <w:p w:rsidR="00BB05B3" w:rsidRDefault="00BB05B3" w:rsidP="00BB05B3">
      <w:pPr>
        <w:pStyle w:val="direction"/>
      </w:pPr>
      <w:r>
        <w:t>omit</w:t>
      </w:r>
    </w:p>
    <w:p w:rsidR="00BB05B3" w:rsidRDefault="00BB05B3" w:rsidP="00BB05B3">
      <w:pPr>
        <w:pStyle w:val="Amainreturn"/>
      </w:pPr>
      <w:r>
        <w:t>, imprisonment for 6 months or both</w:t>
      </w:r>
    </w:p>
    <w:p w:rsidR="00BB05B3" w:rsidRDefault="00BB05B3" w:rsidP="00BB05B3">
      <w:pPr>
        <w:pBdr>
          <w:top w:val="single" w:sz="4" w:space="1" w:color="auto"/>
        </w:pBdr>
        <w:spacing w:before="140"/>
        <w:rPr>
          <w:sz w:val="36"/>
          <w:szCs w:val="36"/>
        </w:rPr>
      </w:pPr>
    </w:p>
    <w:p w:rsidR="00BB05B3" w:rsidRDefault="00BB05B3" w:rsidP="00BB05B3">
      <w:pPr>
        <w:rPr>
          <w:sz w:val="36"/>
          <w:szCs w:val="36"/>
        </w:rPr>
        <w:sectPr w:rsidR="00BB05B3" w:rsidSect="005B1413">
          <w:headerReference w:type="first" r:id="rId18"/>
          <w:footerReference w:type="first" r:id="rId19"/>
          <w:pgSz w:w="11906" w:h="16838"/>
          <w:pgMar w:top="1526" w:right="3024" w:bottom="1267" w:left="1138" w:header="634" w:footer="576" w:gutter="0"/>
          <w:cols w:space="708"/>
          <w:titlePg/>
          <w:docGrid w:linePitch="360"/>
        </w:sectPr>
      </w:pPr>
    </w:p>
    <w:p w:rsidR="00BB05B3" w:rsidRDefault="00BB05B3" w:rsidP="00BB05B3">
      <w:pPr>
        <w:pStyle w:val="AH3sec"/>
        <w:numPr>
          <w:ilvl w:val="0"/>
          <w:numId w:val="0"/>
        </w:numPr>
        <w:ind w:right="1085"/>
      </w:pPr>
      <w:r>
        <w:t>2</w:t>
      </w:r>
      <w:r>
        <w:br/>
        <w:t>Schedule 1, part 1.2</w:t>
      </w:r>
      <w:r>
        <w:br/>
        <w:t>Amendment 1.2</w:t>
      </w:r>
      <w:r>
        <w:br/>
        <w:t xml:space="preserve">Proposed new item 9 </w:t>
      </w:r>
      <w:r>
        <w:br/>
        <w:t>Page 9—</w:t>
      </w:r>
    </w:p>
    <w:p w:rsidR="00BB05B3" w:rsidRDefault="00BB05B3" w:rsidP="00BB05B3">
      <w:pPr>
        <w:pStyle w:val="direction"/>
      </w:pPr>
      <w:r>
        <w:t>omit item 9.3, substitute</w:t>
      </w:r>
    </w:p>
    <w:p w:rsidR="00BB05B3" w:rsidRPr="005E1414" w:rsidRDefault="00BB05B3" w:rsidP="00BB05B3"/>
    <w:tbl>
      <w:tblPr>
        <w:tblW w:w="1301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371"/>
        <w:gridCol w:w="2740"/>
        <w:gridCol w:w="4247"/>
        <w:gridCol w:w="1507"/>
        <w:gridCol w:w="1781"/>
        <w:gridCol w:w="1370"/>
      </w:tblGrid>
      <w:tr w:rsidR="00BB05B3" w:rsidRPr="002819E9" w:rsidTr="00BD4103">
        <w:trPr>
          <w:cantSplit/>
        </w:trPr>
        <w:tc>
          <w:tcPr>
            <w:tcW w:w="1371" w:type="dxa"/>
            <w:tcBorders>
              <w:top w:val="nil"/>
              <w:bottom w:val="nil"/>
            </w:tcBorders>
          </w:tcPr>
          <w:p w:rsidR="00BB05B3" w:rsidRPr="002819E9" w:rsidRDefault="00BB05B3" w:rsidP="00BD4103">
            <w:pPr>
              <w:spacing w:before="60" w:after="60"/>
              <w:rPr>
                <w:color w:val="000000"/>
                <w:sz w:val="20"/>
              </w:rPr>
            </w:pPr>
            <w:r w:rsidRPr="002819E9">
              <w:rPr>
                <w:color w:val="000000"/>
                <w:sz w:val="20"/>
              </w:rPr>
              <w:t>9.3</w:t>
            </w:r>
          </w:p>
        </w:tc>
        <w:tc>
          <w:tcPr>
            <w:tcW w:w="2740" w:type="dxa"/>
            <w:tcBorders>
              <w:top w:val="nil"/>
              <w:bottom w:val="nil"/>
            </w:tcBorders>
          </w:tcPr>
          <w:p w:rsidR="00BB05B3" w:rsidRPr="002819E9" w:rsidRDefault="00BB05B3" w:rsidP="00BD4103">
            <w:pPr>
              <w:pStyle w:val="TableBullet"/>
              <w:numPr>
                <w:ilvl w:val="0"/>
                <w:numId w:val="0"/>
              </w:numPr>
              <w:ind w:left="357" w:hanging="357"/>
            </w:pPr>
            <w:r w:rsidRPr="002819E9">
              <w:rPr>
                <w:rFonts w:ascii="Symbol" w:hAnsi="Symbol"/>
              </w:rPr>
              <w:t></w:t>
            </w:r>
            <w:r w:rsidRPr="002819E9">
              <w:rPr>
                <w:rFonts w:ascii="Symbol" w:hAnsi="Symbol"/>
              </w:rPr>
              <w:tab/>
            </w:r>
            <w:r w:rsidRPr="002819E9">
              <w:t>if the driving occasions actual bodily harm</w:t>
            </w:r>
          </w:p>
        </w:tc>
        <w:tc>
          <w:tcPr>
            <w:tcW w:w="4247" w:type="dxa"/>
            <w:tcBorders>
              <w:top w:val="nil"/>
              <w:bottom w:val="nil"/>
            </w:tcBorders>
          </w:tcPr>
          <w:p w:rsidR="00BB05B3" w:rsidRPr="002819E9" w:rsidRDefault="00BB05B3" w:rsidP="00BD4103">
            <w:pPr>
              <w:pStyle w:val="TableText10"/>
            </w:pPr>
            <w:r w:rsidRPr="002819E9">
              <w:t>negligent driving occasioning actual bodily harm</w:t>
            </w:r>
          </w:p>
        </w:tc>
        <w:tc>
          <w:tcPr>
            <w:tcW w:w="1507" w:type="dxa"/>
            <w:tcBorders>
              <w:top w:val="nil"/>
              <w:bottom w:val="nil"/>
            </w:tcBorders>
          </w:tcPr>
          <w:p w:rsidR="00BB05B3" w:rsidRPr="002819E9" w:rsidRDefault="00BB05B3" w:rsidP="00BD4103">
            <w:pPr>
              <w:pStyle w:val="TableText10"/>
            </w:pPr>
            <w:r w:rsidRPr="002819E9">
              <w:t>50pu</w:t>
            </w:r>
          </w:p>
        </w:tc>
        <w:tc>
          <w:tcPr>
            <w:tcW w:w="1781" w:type="dxa"/>
            <w:tcBorders>
              <w:top w:val="nil"/>
              <w:bottom w:val="nil"/>
            </w:tcBorders>
          </w:tcPr>
          <w:p w:rsidR="00BB05B3" w:rsidRPr="002819E9" w:rsidRDefault="00BB05B3" w:rsidP="00BD4103">
            <w:pPr>
              <w:pStyle w:val="TableText10"/>
            </w:pPr>
            <w:r>
              <w:t>900</w:t>
            </w:r>
          </w:p>
        </w:tc>
        <w:tc>
          <w:tcPr>
            <w:tcW w:w="1370" w:type="dxa"/>
            <w:tcBorders>
              <w:top w:val="nil"/>
              <w:bottom w:val="nil"/>
            </w:tcBorders>
          </w:tcPr>
          <w:p w:rsidR="00BB05B3" w:rsidRDefault="00BB05B3" w:rsidP="00BD4103">
            <w:pPr>
              <w:pStyle w:val="TableText10"/>
            </w:pPr>
            <w:r w:rsidRPr="002819E9">
              <w:t>3 (NS)</w:t>
            </w:r>
          </w:p>
        </w:tc>
      </w:tr>
    </w:tbl>
    <w:p w:rsidR="00BB05B3" w:rsidRPr="00A9381B" w:rsidRDefault="00BB05B3" w:rsidP="00D05429">
      <w:pPr>
        <w:pStyle w:val="Heading2"/>
        <w:pBdr>
          <w:top w:val="single" w:sz="4" w:space="1" w:color="auto"/>
        </w:pBdr>
        <w:ind w:right="995"/>
      </w:pPr>
    </w:p>
    <w:sectPr w:rsidR="00BB05B3" w:rsidRPr="00A9381B" w:rsidSect="00E11085">
      <w:headerReference w:type="even" r:id="rId20"/>
      <w:headerReference w:type="default" r:id="rId21"/>
      <w:headerReference w:type="first" r:id="rId22"/>
      <w:pgSz w:w="16838" w:h="11906" w:orient="landscape"/>
      <w:pgMar w:top="1138" w:right="1526" w:bottom="1440" w:left="1267" w:header="634" w:footer="5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103" w:rsidRDefault="00BD4103" w:rsidP="000F3D35">
      <w:r>
        <w:separator/>
      </w:r>
    </w:p>
  </w:endnote>
  <w:endnote w:type="continuationSeparator" w:id="0">
    <w:p w:rsidR="00BD4103" w:rsidRDefault="00BD410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103" w:rsidRDefault="00BD4103" w:rsidP="00A9381B">
    <w:pPr>
      <w:pBdr>
        <w:top w:val="single" w:sz="4" w:space="0" w:color="auto"/>
      </w:pBdr>
      <w:jc w:val="center"/>
      <w:rPr>
        <w:b/>
        <w:sz w:val="20"/>
      </w:rPr>
    </w:pPr>
  </w:p>
  <w:p w:rsidR="00BD4103" w:rsidRDefault="00201AF2" w:rsidP="00A9381B">
    <w:pPr>
      <w:pStyle w:val="Footer"/>
      <w:pBdr>
        <w:top w:val="single" w:sz="4" w:space="0" w:color="auto"/>
      </w:pBdr>
      <w:jc w:val="center"/>
    </w:pPr>
    <w:hyperlink r:id="rId1" w:history="1">
      <w:r w:rsidR="00BD4103">
        <w:rPr>
          <w:rStyle w:val="Hyperlink"/>
          <w:color w:val="000000"/>
          <w:sz w:val="20"/>
        </w:rPr>
        <w:t>www.parliament.act.gov.au/parliamentary-business/in-the-chamber/chamber-documents</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103" w:rsidRPr="009D0303" w:rsidRDefault="00BD4103" w:rsidP="009D03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103" w:rsidRPr="009D0303" w:rsidRDefault="00BD4103" w:rsidP="009D03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103" w:rsidRDefault="00BD4103" w:rsidP="000F3D35">
      <w:r>
        <w:separator/>
      </w:r>
    </w:p>
  </w:footnote>
  <w:footnote w:type="continuationSeparator" w:id="0">
    <w:p w:rsidR="00BD4103" w:rsidRDefault="00BD4103"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103" w:rsidRPr="000E4643" w:rsidRDefault="00BD4103" w:rsidP="00EA6C16">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201AF2">
      <w:rPr>
        <w:noProof/>
        <w:sz w:val="22"/>
        <w:szCs w:val="22"/>
      </w:rPr>
      <w:t>536</w:t>
    </w:r>
    <w:r w:rsidRPr="000E4643">
      <w:rPr>
        <w:noProof/>
        <w:sz w:val="22"/>
        <w:szCs w:val="22"/>
      </w:rPr>
      <w:fldChar w:fldCharType="end"/>
    </w:r>
    <w:r>
      <w:rPr>
        <w:sz w:val="22"/>
        <w:szCs w:val="22"/>
      </w:rPr>
      <w:tab/>
    </w:r>
    <w:r w:rsidRPr="000E4643">
      <w:rPr>
        <w:i/>
        <w:sz w:val="22"/>
        <w:szCs w:val="22"/>
      </w:rPr>
      <w:t xml:space="preserve">No </w:t>
    </w:r>
    <w:r>
      <w:rPr>
        <w:i/>
        <w:sz w:val="22"/>
        <w:szCs w:val="22"/>
      </w:rPr>
      <w:t>41</w:t>
    </w:r>
    <w:r w:rsidRPr="000E4643">
      <w:rPr>
        <w:rFonts w:ascii="Arial" w:hAnsi="Arial" w:cs="Arial"/>
        <w:i/>
        <w:color w:val="222222"/>
        <w:sz w:val="22"/>
        <w:szCs w:val="22"/>
        <w:shd w:val="clear" w:color="auto" w:fill="FFFFFF"/>
      </w:rPr>
      <w:t>—</w:t>
    </w:r>
    <w:r>
      <w:rPr>
        <w:i/>
        <w:sz w:val="22"/>
        <w:szCs w:val="22"/>
      </w:rPr>
      <w:t>23 March 2022</w:t>
    </w:r>
    <w:r>
      <w:rPr>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103" w:rsidRPr="001B5139" w:rsidRDefault="00BD4103" w:rsidP="002A017E">
    <w:pPr>
      <w:pStyle w:val="Header"/>
      <w:tabs>
        <w:tab w:val="clear" w:pos="4153"/>
        <w:tab w:val="clear" w:pos="8306"/>
        <w:tab w:val="center" w:pos="4680"/>
        <w:tab w:val="right" w:pos="9086"/>
      </w:tabs>
      <w:ind w:right="-32"/>
      <w:jc w:val="center"/>
      <w:rPr>
        <w:sz w:val="22"/>
        <w:szCs w:val="22"/>
      </w:rPr>
    </w:pPr>
    <w:r w:rsidRPr="001B5139">
      <w:rPr>
        <w:sz w:val="22"/>
        <w:szCs w:val="22"/>
      </w:rPr>
      <w:ptab w:relativeTo="margin" w:alignment="center" w:leader="none"/>
    </w:r>
    <w:r w:rsidRPr="000E4643">
      <w:rPr>
        <w:i/>
        <w:sz w:val="22"/>
        <w:szCs w:val="22"/>
      </w:rPr>
      <w:t xml:space="preserve">No </w:t>
    </w:r>
    <w:r>
      <w:rPr>
        <w:i/>
        <w:sz w:val="22"/>
        <w:szCs w:val="22"/>
      </w:rPr>
      <w:t>41</w:t>
    </w:r>
    <w:r w:rsidRPr="000E4643">
      <w:rPr>
        <w:rFonts w:ascii="Arial" w:hAnsi="Arial" w:cs="Arial"/>
        <w:i/>
        <w:color w:val="222222"/>
        <w:sz w:val="22"/>
        <w:szCs w:val="22"/>
        <w:shd w:val="clear" w:color="auto" w:fill="FFFFFF"/>
      </w:rPr>
      <w:t>—</w:t>
    </w:r>
    <w:r>
      <w:rPr>
        <w:i/>
        <w:sz w:val="22"/>
        <w:szCs w:val="22"/>
      </w:rPr>
      <w:t>23 March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201AF2">
      <w:rPr>
        <w:noProof/>
        <w:sz w:val="22"/>
        <w:szCs w:val="22"/>
      </w:rPr>
      <w:t>537</w:t>
    </w:r>
    <w:r w:rsidRPr="001B5139">
      <w:rPr>
        <w:noProof/>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2073113255"/>
      <w:docPartObj>
        <w:docPartGallery w:val="Page Numbers (Top of Page)"/>
        <w:docPartUnique/>
      </w:docPartObj>
    </w:sdtPr>
    <w:sdtEndPr>
      <w:rPr>
        <w:noProof/>
      </w:rPr>
    </w:sdtEndPr>
    <w:sdtContent>
      <w:p w:rsidR="00BD4103" w:rsidRPr="000E4643" w:rsidRDefault="00BD4103" w:rsidP="006D5815">
        <w:pPr>
          <w:pStyle w:val="Header"/>
          <w:tabs>
            <w:tab w:val="clear" w:pos="8306"/>
            <w:tab w:val="right" w:pos="9086"/>
            <w:tab w:val="left" w:pos="9270"/>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201AF2">
          <w:rPr>
            <w:noProof/>
            <w:sz w:val="22"/>
            <w:szCs w:val="22"/>
          </w:rPr>
          <w:t>529</w:t>
        </w:r>
        <w:r w:rsidRPr="000E4643">
          <w:rPr>
            <w:noProof/>
            <w:sz w:val="22"/>
            <w:szCs w:val="22"/>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103" w:rsidRPr="001B5139" w:rsidRDefault="00BD4103" w:rsidP="00EA6C16">
    <w:pPr>
      <w:pStyle w:val="Header"/>
      <w:tabs>
        <w:tab w:val="clear" w:pos="4153"/>
        <w:tab w:val="clear" w:pos="8306"/>
        <w:tab w:val="center" w:pos="4680"/>
        <w:tab w:val="right" w:pos="9090"/>
      </w:tabs>
      <w:ind w:right="-1526"/>
      <w:jc w:val="center"/>
      <w:rPr>
        <w:sz w:val="22"/>
        <w:szCs w:val="22"/>
      </w:rPr>
    </w:pPr>
    <w:r>
      <w:rPr>
        <w:sz w:val="22"/>
        <w:szCs w:val="22"/>
      </w:rPr>
      <w:tab/>
    </w:r>
    <w:r w:rsidRPr="001B5139">
      <w:rPr>
        <w:i/>
        <w:sz w:val="22"/>
        <w:szCs w:val="22"/>
      </w:rPr>
      <w:t xml:space="preserve">No </w:t>
    </w:r>
    <w:r>
      <w:rPr>
        <w:i/>
        <w:sz w:val="22"/>
        <w:szCs w:val="22"/>
      </w:rPr>
      <w:t>41</w:t>
    </w:r>
    <w:r w:rsidRPr="001B5139">
      <w:rPr>
        <w:rFonts w:ascii="Arial" w:hAnsi="Arial" w:cs="Arial"/>
        <w:i/>
        <w:color w:val="222222"/>
        <w:sz w:val="22"/>
        <w:szCs w:val="22"/>
        <w:shd w:val="clear" w:color="auto" w:fill="FFFFFF"/>
      </w:rPr>
      <w:t>—</w:t>
    </w:r>
    <w:r>
      <w:rPr>
        <w:i/>
        <w:sz w:val="22"/>
        <w:szCs w:val="22"/>
      </w:rPr>
      <w:t>23 March 2022</w:t>
    </w:r>
    <w:r>
      <w:rPr>
        <w:i/>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noProof/>
        <w:sz w:val="22"/>
        <w:szCs w:val="22"/>
      </w:rPr>
      <w:t>3</w:t>
    </w:r>
    <w:r w:rsidRPr="001B5139">
      <w:rPr>
        <w:noProof/>
        <w:sz w:val="22"/>
        <w:szCs w:val="22"/>
      </w:rPr>
      <w:fldChar w:fldCharType="end"/>
    </w:r>
  </w:p>
  <w:p w:rsidR="00BD4103" w:rsidRDefault="00BD410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369069"/>
      <w:docPartObj>
        <w:docPartGallery w:val="Page Numbers (Top of Page)"/>
        <w:docPartUnique/>
      </w:docPartObj>
    </w:sdtPr>
    <w:sdtEndPr>
      <w:rPr>
        <w:noProof/>
      </w:rPr>
    </w:sdtEndPr>
    <w:sdtContent>
      <w:p w:rsidR="0063377C" w:rsidRDefault="0063377C" w:rsidP="0063377C">
        <w:pPr>
          <w:pStyle w:val="Header"/>
          <w:tabs>
            <w:tab w:val="clear" w:pos="4153"/>
            <w:tab w:val="clear" w:pos="8306"/>
            <w:tab w:val="center" w:pos="6660"/>
            <w:tab w:val="right" w:pos="14040"/>
          </w:tabs>
          <w:ind w:right="5"/>
        </w:pPr>
        <w:r>
          <w:tab/>
        </w:r>
        <w:r w:rsidRPr="000E4643">
          <w:rPr>
            <w:i/>
            <w:sz w:val="22"/>
            <w:szCs w:val="22"/>
          </w:rPr>
          <w:t xml:space="preserve">No </w:t>
        </w:r>
        <w:r>
          <w:rPr>
            <w:i/>
            <w:sz w:val="22"/>
            <w:szCs w:val="22"/>
          </w:rPr>
          <w:t>41</w:t>
        </w:r>
        <w:r w:rsidRPr="000E4643">
          <w:rPr>
            <w:rFonts w:ascii="Arial" w:hAnsi="Arial" w:cs="Arial"/>
            <w:i/>
            <w:color w:val="222222"/>
            <w:sz w:val="22"/>
            <w:szCs w:val="22"/>
            <w:shd w:val="clear" w:color="auto" w:fill="FFFFFF"/>
          </w:rPr>
          <w:t>—</w:t>
        </w:r>
        <w:r>
          <w:rPr>
            <w:i/>
            <w:sz w:val="22"/>
            <w:szCs w:val="22"/>
          </w:rPr>
          <w:t>23 March 2022</w:t>
        </w:r>
        <w:r>
          <w:rPr>
            <w:i/>
            <w:sz w:val="22"/>
            <w:szCs w:val="22"/>
          </w:rPr>
          <w:tab/>
        </w:r>
        <w:r>
          <w:rPr>
            <w:sz w:val="22"/>
            <w:szCs w:val="22"/>
          </w:rPr>
          <w:t>539</w:t>
        </w:r>
      </w:p>
    </w:sdtContent>
  </w:sdt>
  <w:p w:rsidR="00BD4103" w:rsidRPr="000E4643" w:rsidRDefault="00BD4103" w:rsidP="009D0303">
    <w:pPr>
      <w:pStyle w:val="Header"/>
      <w:tabs>
        <w:tab w:val="clear" w:pos="8306"/>
        <w:tab w:val="right" w:pos="9086"/>
        <w:tab w:val="left" w:pos="9270"/>
      </w:tabs>
      <w:ind w:right="5"/>
      <w:jc w:val="right"/>
      <w:rPr>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77C" w:rsidRPr="000E4643" w:rsidRDefault="0063377C" w:rsidP="0063377C">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BE509C">
      <w:rPr>
        <w:noProof/>
        <w:sz w:val="22"/>
        <w:szCs w:val="22"/>
      </w:rPr>
      <w:t>540</w:t>
    </w:r>
    <w:r w:rsidRPr="000E4643">
      <w:rPr>
        <w:noProof/>
        <w:sz w:val="22"/>
        <w:szCs w:val="22"/>
      </w:rPr>
      <w:fldChar w:fldCharType="end"/>
    </w:r>
    <w:r>
      <w:rPr>
        <w:sz w:val="22"/>
        <w:szCs w:val="22"/>
      </w:rPr>
      <w:tab/>
    </w:r>
    <w:r w:rsidRPr="000E4643">
      <w:rPr>
        <w:i/>
        <w:sz w:val="22"/>
        <w:szCs w:val="22"/>
      </w:rPr>
      <w:t xml:space="preserve">No </w:t>
    </w:r>
    <w:r>
      <w:rPr>
        <w:i/>
        <w:sz w:val="22"/>
        <w:szCs w:val="22"/>
      </w:rPr>
      <w:t>41</w:t>
    </w:r>
    <w:r w:rsidRPr="000E4643">
      <w:rPr>
        <w:rFonts w:ascii="Arial" w:hAnsi="Arial" w:cs="Arial"/>
        <w:i/>
        <w:color w:val="222222"/>
        <w:sz w:val="22"/>
        <w:szCs w:val="22"/>
        <w:shd w:val="clear" w:color="auto" w:fill="FFFFFF"/>
      </w:rPr>
      <w:t>—</w:t>
    </w:r>
    <w:r>
      <w:rPr>
        <w:i/>
        <w:sz w:val="22"/>
        <w:szCs w:val="22"/>
      </w:rPr>
      <w:t>23 March 2022</w:t>
    </w:r>
    <w:r>
      <w:rPr>
        <w:sz w:val="22"/>
        <w:szCs w:val="22"/>
      </w:rPr>
      <w:tab/>
    </w:r>
  </w:p>
  <w:p w:rsidR="00BD4103" w:rsidRPr="009D0303" w:rsidRDefault="00BD4103" w:rsidP="009D030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103" w:rsidRPr="001B5139" w:rsidRDefault="00BD4103" w:rsidP="00BB05B3">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0E4643">
      <w:rPr>
        <w:i/>
        <w:sz w:val="22"/>
        <w:szCs w:val="22"/>
      </w:rPr>
      <w:t xml:space="preserve">No </w:t>
    </w:r>
    <w:r>
      <w:rPr>
        <w:i/>
        <w:sz w:val="22"/>
        <w:szCs w:val="22"/>
      </w:rPr>
      <w:t>41</w:t>
    </w:r>
    <w:r w:rsidRPr="000E4643">
      <w:rPr>
        <w:rFonts w:ascii="Arial" w:hAnsi="Arial" w:cs="Arial"/>
        <w:i/>
        <w:color w:val="222222"/>
        <w:sz w:val="22"/>
        <w:szCs w:val="22"/>
        <w:shd w:val="clear" w:color="auto" w:fill="FFFFFF"/>
      </w:rPr>
      <w:t>—</w:t>
    </w:r>
    <w:r>
      <w:rPr>
        <w:i/>
        <w:sz w:val="22"/>
        <w:szCs w:val="22"/>
      </w:rPr>
      <w:t>23 March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noProof/>
        <w:sz w:val="22"/>
        <w:szCs w:val="22"/>
      </w:rPr>
      <w:t>534</w:t>
    </w:r>
    <w:r w:rsidRPr="001B5139">
      <w:rPr>
        <w:noProof/>
        <w:sz w:val="22"/>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103" w:rsidRPr="000E4643" w:rsidRDefault="00BD4103" w:rsidP="00BB05B3">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noProof/>
        <w:sz w:val="22"/>
        <w:szCs w:val="22"/>
      </w:rPr>
      <w:t>533</w:t>
    </w:r>
    <w:r w:rsidRPr="000E4643">
      <w:rPr>
        <w:noProof/>
        <w:sz w:val="22"/>
        <w:szCs w:val="22"/>
      </w:rPr>
      <w:fldChar w:fldCharType="end"/>
    </w:r>
    <w:r>
      <w:rPr>
        <w:sz w:val="22"/>
        <w:szCs w:val="22"/>
      </w:rPr>
      <w:tab/>
    </w:r>
    <w:r w:rsidRPr="000E4643">
      <w:rPr>
        <w:i/>
        <w:sz w:val="22"/>
        <w:szCs w:val="22"/>
      </w:rPr>
      <w:t xml:space="preserve">No </w:t>
    </w:r>
    <w:r>
      <w:rPr>
        <w:i/>
        <w:sz w:val="22"/>
        <w:szCs w:val="22"/>
      </w:rPr>
      <w:t>41</w:t>
    </w:r>
    <w:r w:rsidRPr="000E4643">
      <w:rPr>
        <w:rFonts w:ascii="Arial" w:hAnsi="Arial" w:cs="Arial"/>
        <w:i/>
        <w:color w:val="222222"/>
        <w:sz w:val="22"/>
        <w:szCs w:val="22"/>
        <w:shd w:val="clear" w:color="auto" w:fill="FFFFFF"/>
      </w:rPr>
      <w:t>—</w:t>
    </w:r>
    <w:r>
      <w:rPr>
        <w:i/>
        <w:sz w:val="22"/>
        <w:szCs w:val="22"/>
      </w:rPr>
      <w:t>23 March 2022</w:t>
    </w:r>
    <w:r>
      <w:rPr>
        <w:sz w:val="22"/>
        <w:szCs w:val="22"/>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422589"/>
      <w:docPartObj>
        <w:docPartGallery w:val="Page Numbers (Top of Page)"/>
        <w:docPartUnique/>
      </w:docPartObj>
    </w:sdtPr>
    <w:sdtEndPr>
      <w:rPr>
        <w:noProof/>
      </w:rPr>
    </w:sdtEndPr>
    <w:sdtContent>
      <w:p w:rsidR="0063377C" w:rsidRDefault="0063377C" w:rsidP="0063377C">
        <w:pPr>
          <w:pStyle w:val="Header"/>
          <w:tabs>
            <w:tab w:val="clear" w:pos="4153"/>
            <w:tab w:val="clear" w:pos="8306"/>
            <w:tab w:val="center" w:pos="6660"/>
            <w:tab w:val="right" w:pos="14040"/>
          </w:tabs>
          <w:ind w:right="5"/>
        </w:pPr>
        <w:r>
          <w:tab/>
        </w:r>
        <w:r w:rsidRPr="000E4643">
          <w:rPr>
            <w:i/>
            <w:sz w:val="22"/>
            <w:szCs w:val="22"/>
          </w:rPr>
          <w:t xml:space="preserve">No </w:t>
        </w:r>
        <w:r>
          <w:rPr>
            <w:i/>
            <w:sz w:val="22"/>
            <w:szCs w:val="22"/>
          </w:rPr>
          <w:t>41</w:t>
        </w:r>
        <w:r w:rsidRPr="000E4643">
          <w:rPr>
            <w:rFonts w:ascii="Arial" w:hAnsi="Arial" w:cs="Arial"/>
            <w:i/>
            <w:color w:val="222222"/>
            <w:sz w:val="22"/>
            <w:szCs w:val="22"/>
            <w:shd w:val="clear" w:color="auto" w:fill="FFFFFF"/>
          </w:rPr>
          <w:t>—</w:t>
        </w:r>
        <w:r>
          <w:rPr>
            <w:i/>
            <w:sz w:val="22"/>
            <w:szCs w:val="22"/>
          </w:rPr>
          <w:t>23 March 2022</w:t>
        </w:r>
        <w:r>
          <w:rPr>
            <w:i/>
            <w:sz w:val="22"/>
            <w:szCs w:val="22"/>
          </w:rPr>
          <w:tab/>
        </w:r>
        <w:r>
          <w:rPr>
            <w:sz w:val="22"/>
            <w:szCs w:val="22"/>
          </w:rPr>
          <w:t>541</w:t>
        </w:r>
      </w:p>
    </w:sdtContent>
  </w:sdt>
  <w:p w:rsidR="00BD4103" w:rsidRPr="000E4643" w:rsidRDefault="00BD4103" w:rsidP="00E11085">
    <w:pPr>
      <w:pStyle w:val="Header"/>
      <w:tabs>
        <w:tab w:val="clear" w:pos="8306"/>
        <w:tab w:val="right" w:pos="9086"/>
        <w:tab w:val="left" w:pos="9270"/>
      </w:tabs>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4745D08"/>
    <w:multiLevelType w:val="hybridMultilevel"/>
    <w:tmpl w:val="B7B2A490"/>
    <w:lvl w:ilvl="0" w:tplc="71FA28BC">
      <w:start w:val="1"/>
      <w:numFmt w:val="decimal"/>
      <w:lvlText w:val="%1."/>
      <w:lvlJc w:val="left"/>
      <w:pPr>
        <w:ind w:left="360" w:hanging="360"/>
      </w:pPr>
      <w:rPr>
        <w:rFonts w:ascii="Times" w:eastAsiaTheme="minorHAnsi" w:hAnsi="Times" w:cs="Times"/>
      </w:rPr>
    </w:lvl>
    <w:lvl w:ilvl="1" w:tplc="C9BCBC16">
      <w:start w:val="1"/>
      <w:numFmt w:val="decimal"/>
      <w:lvlText w:val="%2)"/>
      <w:lvlJc w:val="left"/>
      <w:pPr>
        <w:ind w:left="1080" w:hanging="360"/>
      </w:pPr>
      <w:rPr>
        <w:rFonts w:ascii="Times" w:eastAsia="Times New Roman" w:hAnsi="Times" w:cs="Times"/>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7"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8"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3F96294B"/>
    <w:multiLevelType w:val="hybridMultilevel"/>
    <w:tmpl w:val="98FA3BD2"/>
    <w:lvl w:ilvl="0" w:tplc="FDD467B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2" w15:restartNumberingAfterBreak="0">
    <w:nsid w:val="488C725F"/>
    <w:multiLevelType w:val="hybridMultilevel"/>
    <w:tmpl w:val="FA50905C"/>
    <w:lvl w:ilvl="0" w:tplc="BD306E6C">
      <w:start w:val="1"/>
      <w:numFmt w:val="lowerLetter"/>
      <w:lvlText w:val="%1."/>
      <w:lvlJc w:val="left"/>
      <w:pPr>
        <w:ind w:left="144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4"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7"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5"/>
  </w:num>
  <w:num w:numId="2">
    <w:abstractNumId w:val="2"/>
  </w:num>
  <w:num w:numId="3">
    <w:abstractNumId w:val="17"/>
  </w:num>
  <w:num w:numId="4">
    <w:abstractNumId w:val="14"/>
  </w:num>
  <w:num w:numId="5">
    <w:abstractNumId w:val="7"/>
  </w:num>
  <w:num w:numId="6">
    <w:abstractNumId w:val="13"/>
  </w:num>
  <w:num w:numId="7">
    <w:abstractNumId w:val="8"/>
  </w:num>
  <w:num w:numId="8">
    <w:abstractNumId w:val="9"/>
  </w:num>
  <w:num w:numId="9">
    <w:abstractNumId w:val="3"/>
  </w:num>
  <w:num w:numId="10">
    <w:abstractNumId w:val="0"/>
  </w:num>
  <w:num w:numId="11">
    <w:abstractNumId w:val="11"/>
  </w:num>
  <w:num w:numId="12">
    <w:abstractNumId w:val="15"/>
  </w:num>
  <w:num w:numId="13">
    <w:abstractNumId w:val="6"/>
  </w:num>
  <w:num w:numId="14">
    <w:abstractNumId w:val="15"/>
  </w:num>
  <w:num w:numId="15">
    <w:abstractNumId w:val="15"/>
  </w:num>
  <w:num w:numId="16">
    <w:abstractNumId w:val="1"/>
  </w:num>
  <w:num w:numId="17">
    <w:abstractNumId w:val="16"/>
  </w:num>
  <w:num w:numId="18">
    <w:abstractNumId w:val="1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attachedTemplate r:id="rId1"/>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4C"/>
    <w:rsid w:val="00013291"/>
    <w:rsid w:val="00017799"/>
    <w:rsid w:val="00020563"/>
    <w:rsid w:val="000316BA"/>
    <w:rsid w:val="000411B4"/>
    <w:rsid w:val="000453A9"/>
    <w:rsid w:val="00056B48"/>
    <w:rsid w:val="00076DA0"/>
    <w:rsid w:val="00087101"/>
    <w:rsid w:val="000A5BA3"/>
    <w:rsid w:val="000B12BE"/>
    <w:rsid w:val="000C40FA"/>
    <w:rsid w:val="000E4643"/>
    <w:rsid w:val="000E534C"/>
    <w:rsid w:val="000F3D35"/>
    <w:rsid w:val="000F3EDA"/>
    <w:rsid w:val="001167CE"/>
    <w:rsid w:val="00116E62"/>
    <w:rsid w:val="00117D25"/>
    <w:rsid w:val="0015436A"/>
    <w:rsid w:val="00175CB1"/>
    <w:rsid w:val="001826BD"/>
    <w:rsid w:val="001B5139"/>
    <w:rsid w:val="001C722D"/>
    <w:rsid w:val="00201AF2"/>
    <w:rsid w:val="002065B2"/>
    <w:rsid w:val="002544EA"/>
    <w:rsid w:val="002A017E"/>
    <w:rsid w:val="002B3996"/>
    <w:rsid w:val="002C1A82"/>
    <w:rsid w:val="002F5566"/>
    <w:rsid w:val="003112E1"/>
    <w:rsid w:val="00322C0A"/>
    <w:rsid w:val="00324019"/>
    <w:rsid w:val="00330790"/>
    <w:rsid w:val="003328CE"/>
    <w:rsid w:val="00335A47"/>
    <w:rsid w:val="00352FBA"/>
    <w:rsid w:val="00353FEB"/>
    <w:rsid w:val="0036082C"/>
    <w:rsid w:val="00363133"/>
    <w:rsid w:val="00374414"/>
    <w:rsid w:val="003A3341"/>
    <w:rsid w:val="003B7161"/>
    <w:rsid w:val="003D017A"/>
    <w:rsid w:val="003D12D4"/>
    <w:rsid w:val="003D5942"/>
    <w:rsid w:val="00432F9E"/>
    <w:rsid w:val="00434476"/>
    <w:rsid w:val="004419C3"/>
    <w:rsid w:val="00476347"/>
    <w:rsid w:val="0048443F"/>
    <w:rsid w:val="00495C4D"/>
    <w:rsid w:val="004A254C"/>
    <w:rsid w:val="004A473E"/>
    <w:rsid w:val="004A6CFB"/>
    <w:rsid w:val="004D6323"/>
    <w:rsid w:val="004F1D14"/>
    <w:rsid w:val="004F3AA0"/>
    <w:rsid w:val="00505EDF"/>
    <w:rsid w:val="00510BA3"/>
    <w:rsid w:val="00514CA9"/>
    <w:rsid w:val="00525EF7"/>
    <w:rsid w:val="0053064A"/>
    <w:rsid w:val="005370E0"/>
    <w:rsid w:val="00551A57"/>
    <w:rsid w:val="0056080F"/>
    <w:rsid w:val="005A3E01"/>
    <w:rsid w:val="005B1413"/>
    <w:rsid w:val="005C2AE1"/>
    <w:rsid w:val="005C3C53"/>
    <w:rsid w:val="005C5128"/>
    <w:rsid w:val="005F3AB0"/>
    <w:rsid w:val="006015EF"/>
    <w:rsid w:val="0060380C"/>
    <w:rsid w:val="00622D21"/>
    <w:rsid w:val="00632A05"/>
    <w:rsid w:val="0063377C"/>
    <w:rsid w:val="00633D75"/>
    <w:rsid w:val="006628C0"/>
    <w:rsid w:val="006A2D21"/>
    <w:rsid w:val="006B3AB3"/>
    <w:rsid w:val="006C5F6E"/>
    <w:rsid w:val="006D0D92"/>
    <w:rsid w:val="006D5815"/>
    <w:rsid w:val="006D7183"/>
    <w:rsid w:val="006E54FE"/>
    <w:rsid w:val="006F2EC1"/>
    <w:rsid w:val="006F6540"/>
    <w:rsid w:val="007002D7"/>
    <w:rsid w:val="00730F9B"/>
    <w:rsid w:val="00750103"/>
    <w:rsid w:val="0075625A"/>
    <w:rsid w:val="007754A9"/>
    <w:rsid w:val="007A1383"/>
    <w:rsid w:val="007B360A"/>
    <w:rsid w:val="007C010E"/>
    <w:rsid w:val="007D05AB"/>
    <w:rsid w:val="007D5CFB"/>
    <w:rsid w:val="007E763F"/>
    <w:rsid w:val="00802856"/>
    <w:rsid w:val="0081083C"/>
    <w:rsid w:val="00812CE0"/>
    <w:rsid w:val="00813D57"/>
    <w:rsid w:val="00826A1D"/>
    <w:rsid w:val="0083252E"/>
    <w:rsid w:val="008470DD"/>
    <w:rsid w:val="0085746E"/>
    <w:rsid w:val="00863EEC"/>
    <w:rsid w:val="008678F0"/>
    <w:rsid w:val="008907F9"/>
    <w:rsid w:val="008F32F1"/>
    <w:rsid w:val="0091176F"/>
    <w:rsid w:val="0091670C"/>
    <w:rsid w:val="00947600"/>
    <w:rsid w:val="0096722B"/>
    <w:rsid w:val="00992CE7"/>
    <w:rsid w:val="009A2DEA"/>
    <w:rsid w:val="009A4AED"/>
    <w:rsid w:val="009C09B3"/>
    <w:rsid w:val="009C604C"/>
    <w:rsid w:val="009C679C"/>
    <w:rsid w:val="009D0303"/>
    <w:rsid w:val="009D66B7"/>
    <w:rsid w:val="009E4530"/>
    <w:rsid w:val="00A120FA"/>
    <w:rsid w:val="00A273E2"/>
    <w:rsid w:val="00A76A84"/>
    <w:rsid w:val="00A76C8E"/>
    <w:rsid w:val="00A85D5B"/>
    <w:rsid w:val="00A911EA"/>
    <w:rsid w:val="00A9381B"/>
    <w:rsid w:val="00AC7116"/>
    <w:rsid w:val="00AD3DEE"/>
    <w:rsid w:val="00AF3C23"/>
    <w:rsid w:val="00B05536"/>
    <w:rsid w:val="00B35E85"/>
    <w:rsid w:val="00B44593"/>
    <w:rsid w:val="00B46363"/>
    <w:rsid w:val="00B54777"/>
    <w:rsid w:val="00B766B9"/>
    <w:rsid w:val="00B8539D"/>
    <w:rsid w:val="00B9772E"/>
    <w:rsid w:val="00BB05B3"/>
    <w:rsid w:val="00BB08CF"/>
    <w:rsid w:val="00BD4103"/>
    <w:rsid w:val="00BE509C"/>
    <w:rsid w:val="00C07633"/>
    <w:rsid w:val="00C14078"/>
    <w:rsid w:val="00C173D3"/>
    <w:rsid w:val="00C35F16"/>
    <w:rsid w:val="00C53DE5"/>
    <w:rsid w:val="00CE458A"/>
    <w:rsid w:val="00CF2F8C"/>
    <w:rsid w:val="00D0359E"/>
    <w:rsid w:val="00D05429"/>
    <w:rsid w:val="00D17B81"/>
    <w:rsid w:val="00D55354"/>
    <w:rsid w:val="00D74B53"/>
    <w:rsid w:val="00D7660C"/>
    <w:rsid w:val="00D90797"/>
    <w:rsid w:val="00D90BD9"/>
    <w:rsid w:val="00D94B22"/>
    <w:rsid w:val="00D974F0"/>
    <w:rsid w:val="00DC12B3"/>
    <w:rsid w:val="00DC6821"/>
    <w:rsid w:val="00DD2520"/>
    <w:rsid w:val="00DF0E50"/>
    <w:rsid w:val="00E11085"/>
    <w:rsid w:val="00E127C3"/>
    <w:rsid w:val="00E2410B"/>
    <w:rsid w:val="00E50CFA"/>
    <w:rsid w:val="00E60D62"/>
    <w:rsid w:val="00E722D4"/>
    <w:rsid w:val="00E758AC"/>
    <w:rsid w:val="00EA6C16"/>
    <w:rsid w:val="00EC0D13"/>
    <w:rsid w:val="00EC0D49"/>
    <w:rsid w:val="00ED52CF"/>
    <w:rsid w:val="00F25EF9"/>
    <w:rsid w:val="00F42A5F"/>
    <w:rsid w:val="00F6024E"/>
    <w:rsid w:val="00F62370"/>
    <w:rsid w:val="00F62CE8"/>
    <w:rsid w:val="00F64A40"/>
    <w:rsid w:val="00F658F5"/>
    <w:rsid w:val="00F77E66"/>
    <w:rsid w:val="00F8367C"/>
    <w:rsid w:val="00F92AC6"/>
    <w:rsid w:val="00F962AA"/>
    <w:rsid w:val="00F96990"/>
    <w:rsid w:val="00FA15AA"/>
    <w:rsid w:val="00FA21B7"/>
    <w:rsid w:val="00FB2143"/>
    <w:rsid w:val="00FC64FA"/>
    <w:rsid w:val="00FD56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6625"/>
    <o:shapelayout v:ext="edit">
      <o:idmap v:ext="edit" data="1"/>
    </o:shapelayout>
  </w:shapeDefaults>
  <w:decimalSymbol w:val="."/>
  <w:listSeparator w:val=","/>
  <w15:chartTrackingRefBased/>
  <w15:docId w15:val="{F6151D8A-4B02-4127-8F2E-581826F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802856"/>
    <w:rPr>
      <w:rFonts w:ascii="Calibri" w:eastAsia="Times New Roman" w:hAnsi="Calibri" w:cs="Times New Roman"/>
      <w:sz w:val="24"/>
      <w:szCs w:val="20"/>
    </w:rPr>
  </w:style>
  <w:style w:type="paragraph" w:customStyle="1" w:styleId="Amainreturn">
    <w:name w:val="A main return"/>
    <w:basedOn w:val="Normal"/>
    <w:rsid w:val="00813D57"/>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813D57"/>
    <w:pPr>
      <w:keepNext/>
      <w:spacing w:before="140"/>
      <w:ind w:left="1100"/>
      <w:jc w:val="both"/>
    </w:pPr>
    <w:rPr>
      <w:rFonts w:ascii="Times New Roman" w:hAnsi="Times New Roman"/>
      <w:i/>
      <w:lang w:val="en-AU" w:eastAsia="en-US"/>
    </w:rPr>
  </w:style>
  <w:style w:type="paragraph" w:customStyle="1" w:styleId="IH5Sec">
    <w:name w:val="I H5 Sec"/>
    <w:basedOn w:val="Normal"/>
    <w:next w:val="Amainreturn"/>
    <w:rsid w:val="00813D57"/>
    <w:pPr>
      <w:keepNext/>
      <w:tabs>
        <w:tab w:val="left" w:pos="1100"/>
      </w:tabs>
      <w:spacing w:before="240"/>
      <w:ind w:left="1100" w:hanging="1100"/>
    </w:pPr>
    <w:rPr>
      <w:rFonts w:ascii="Arial" w:hAnsi="Arial"/>
      <w:b/>
      <w:lang w:val="en-AU" w:eastAsia="en-US"/>
    </w:rPr>
  </w:style>
  <w:style w:type="paragraph" w:customStyle="1" w:styleId="Ipara">
    <w:name w:val="I para"/>
    <w:basedOn w:val="Normal"/>
    <w:rsid w:val="00813D57"/>
    <w:pPr>
      <w:tabs>
        <w:tab w:val="right" w:pos="1400"/>
        <w:tab w:val="left" w:pos="1600"/>
      </w:tabs>
      <w:spacing w:before="140"/>
      <w:ind w:left="1600" w:hanging="1600"/>
      <w:jc w:val="both"/>
    </w:pPr>
    <w:rPr>
      <w:rFonts w:ascii="Times New Roman" w:hAnsi="Times New Roman"/>
      <w:lang w:val="en-AU" w:eastAsia="en-US"/>
    </w:rPr>
  </w:style>
  <w:style w:type="paragraph" w:customStyle="1" w:styleId="IshadedH5Sec">
    <w:name w:val="I shaded H5 Sec"/>
    <w:basedOn w:val="Normal"/>
    <w:rsid w:val="00813D57"/>
    <w:pPr>
      <w:keepNext/>
      <w:shd w:val="pct25" w:color="auto" w:fill="auto"/>
      <w:spacing w:before="240"/>
      <w:ind w:left="1100" w:hanging="1100"/>
    </w:pPr>
    <w:rPr>
      <w:rFonts w:ascii="Arial" w:hAnsi="Arial"/>
      <w:b/>
      <w:lang w:val="en-AU" w:eastAsia="en-US"/>
    </w:rPr>
  </w:style>
  <w:style w:type="paragraph" w:customStyle="1" w:styleId="Penalty">
    <w:name w:val="Penalty"/>
    <w:basedOn w:val="Amainreturn"/>
    <w:rsid w:val="00813D57"/>
  </w:style>
  <w:style w:type="paragraph" w:customStyle="1" w:styleId="AH3sec">
    <w:name w:val="A H3 sec"/>
    <w:basedOn w:val="Normal"/>
    <w:next w:val="direction"/>
    <w:rsid w:val="00813D57"/>
    <w:pPr>
      <w:keepNext/>
      <w:keepLines/>
      <w:numPr>
        <w:numId w:val="17"/>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TableText10">
    <w:name w:val="TableText10"/>
    <w:basedOn w:val="Normal"/>
    <w:rsid w:val="009D0303"/>
    <w:pPr>
      <w:spacing w:before="60" w:after="60"/>
    </w:pPr>
    <w:rPr>
      <w:rFonts w:ascii="Times New Roman" w:hAnsi="Times New Roman"/>
      <w:sz w:val="20"/>
      <w:lang w:val="en-AU" w:eastAsia="en-US"/>
    </w:rPr>
  </w:style>
  <w:style w:type="character" w:styleId="FollowedHyperlink">
    <w:name w:val="FollowedHyperlink"/>
    <w:basedOn w:val="DefaultParagraphFont"/>
    <w:uiPriority w:val="99"/>
    <w:semiHidden/>
    <w:unhideWhenUsed/>
    <w:rsid w:val="009D0303"/>
    <w:rPr>
      <w:color w:val="954F72" w:themeColor="followedHyperlink"/>
      <w:u w:val="single"/>
    </w:rPr>
  </w:style>
  <w:style w:type="paragraph" w:customStyle="1" w:styleId="TableBullet">
    <w:name w:val="TableBullet"/>
    <w:basedOn w:val="TableText10"/>
    <w:qFormat/>
    <w:rsid w:val="009D0303"/>
    <w:pPr>
      <w:numPr>
        <w:numId w:val="18"/>
      </w:numPr>
      <w:ind w:left="357" w:hanging="357"/>
    </w:pPr>
  </w:style>
  <w:style w:type="character" w:customStyle="1" w:styleId="DPSEntryDetailIndentLev1Char">
    <w:name w:val="DPSEntryDetailIndentLev1 Char"/>
    <w:basedOn w:val="DefaultParagraphFont"/>
    <w:link w:val="DPSEntryDetailIndentLev1"/>
    <w:rsid w:val="005C5128"/>
    <w:rPr>
      <w:rFonts w:ascii="Calibri" w:eastAsia="Times New Roman" w:hAnsi="Calibri" w:cs="Times New Roman"/>
      <w:sz w:val="24"/>
      <w:szCs w:val="20"/>
    </w:rPr>
  </w:style>
  <w:style w:type="paragraph" w:styleId="ListParagraph">
    <w:name w:val="List Paragraph"/>
    <w:basedOn w:val="Normal"/>
    <w:uiPriority w:val="34"/>
    <w:qFormat/>
    <w:rsid w:val="00BD4103"/>
    <w:pPr>
      <w:ind w:left="720"/>
      <w:contextualSpacing/>
    </w:pPr>
    <w:rPr>
      <w:rFonts w:ascii="Calibri" w:eastAsiaTheme="minorHAnsi" w:hAnsi="Calibri" w:cs="Calibri"/>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yperlink" Target="https://www.hansard.act.gov.au/hansard/2022/links/download.ht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9A834AF-4DF7-4FE3-A4F4-9287839A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10</Pages>
  <Words>2600</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2022-03-23T05:48:00Z</cp:lastPrinted>
  <dcterms:created xsi:type="dcterms:W3CDTF">2022-08-08T02:28:00Z</dcterms:created>
  <dcterms:modified xsi:type="dcterms:W3CDTF">2022-08-08T02:28:00Z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