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64FF71" w14:textId="2F0BC97B" w:rsidR="00C02510" w:rsidRPr="00C8358A" w:rsidRDefault="00C02510" w:rsidP="00C8358A">
      <w:pPr>
        <w:pStyle w:val="Cover-Committeename"/>
        <w:ind w:left="1701"/>
      </w:pPr>
      <w:r w:rsidRPr="00C8358A">
        <w:t xml:space="preserve">Standing Committee on </w:t>
      </w:r>
      <w:r w:rsidR="002F50B8">
        <w:t>Public Accounts</w:t>
      </w:r>
    </w:p>
    <w:p w14:paraId="055AF196" w14:textId="3EC1164D" w:rsidR="00A23A3E" w:rsidRDefault="002F50B8" w:rsidP="00C8358A">
      <w:pPr>
        <w:pStyle w:val="Title"/>
      </w:pPr>
      <w:r>
        <w:t>Inquiry into</w:t>
      </w:r>
      <w:r w:rsidR="0006773B">
        <w:t xml:space="preserve"> the Auditor</w:t>
      </w:r>
      <w:r w:rsidR="0006773B">
        <w:noBreakHyphen/>
        <w:t>General’s Report No. 6 of 2020: Transfer of Worker’s Compensation Arrangements from Comcare</w:t>
      </w:r>
    </w:p>
    <w:p w14:paraId="683880A3" w14:textId="48F10DC2" w:rsidR="002F50B8" w:rsidRDefault="002F50B8" w:rsidP="00AD2AAC">
      <w:pPr>
        <w:pStyle w:val="Heading1nonumber"/>
        <w:outlineLvl w:val="9"/>
      </w:pPr>
      <w:r w:rsidRPr="002F50B8">
        <w:t xml:space="preserve">Report </w:t>
      </w:r>
      <w:r w:rsidR="006E5554">
        <w:t>4</w:t>
      </w:r>
    </w:p>
    <w:p w14:paraId="7414B063" w14:textId="77777777" w:rsidR="00AD2AAC" w:rsidRPr="00AD2AAC" w:rsidRDefault="00AD2AAC" w:rsidP="00AD2AAC">
      <w:pPr>
        <w:pStyle w:val="BodyText"/>
      </w:pPr>
    </w:p>
    <w:p w14:paraId="6F1D36AD" w14:textId="3ADE0FE6" w:rsidR="00AD2AAC" w:rsidRPr="0034466C" w:rsidRDefault="00AD2AAC" w:rsidP="00AD2AAC">
      <w:pPr>
        <w:pStyle w:val="ListNumber2"/>
        <w:sectPr w:rsidR="00AD2AAC" w:rsidRPr="0034466C" w:rsidSect="00D376C4">
          <w:headerReference w:type="even" r:id="rId8"/>
          <w:headerReference w:type="default" r:id="rId9"/>
          <w:footerReference w:type="even" r:id="rId10"/>
          <w:footerReference w:type="default" r:id="rId11"/>
          <w:headerReference w:type="first" r:id="rId12"/>
          <w:footerReference w:type="first" r:id="rId13"/>
          <w:pgSz w:w="11906" w:h="16838"/>
          <w:pgMar w:top="1440" w:right="1440" w:bottom="1440" w:left="1440" w:header="708" w:footer="708" w:gutter="0"/>
          <w:cols w:space="708"/>
          <w:titlePg/>
          <w:docGrid w:linePitch="360"/>
        </w:sectPr>
      </w:pPr>
    </w:p>
    <w:p w14:paraId="01CEB60C" w14:textId="77777777" w:rsidR="006C213E" w:rsidRDefault="006C213E" w:rsidP="006C213E">
      <w:pPr>
        <w:pStyle w:val="Heading1nonumber"/>
      </w:pPr>
      <w:bookmarkStart w:id="0" w:name="_Toc94712280"/>
      <w:r>
        <w:lastRenderedPageBreak/>
        <w:t>About the committee</w:t>
      </w:r>
      <w:bookmarkEnd w:id="0"/>
    </w:p>
    <w:p w14:paraId="722A8D33" w14:textId="77777777" w:rsidR="006C213E" w:rsidRDefault="006C213E" w:rsidP="00D12155">
      <w:pPr>
        <w:pStyle w:val="Heading2"/>
      </w:pPr>
      <w:bookmarkStart w:id="1" w:name="_Toc94712281"/>
      <w:r>
        <w:t>Establishing resolution</w:t>
      </w:r>
      <w:bookmarkEnd w:id="1"/>
    </w:p>
    <w:p w14:paraId="6577C920" w14:textId="4E8F94DA" w:rsidR="006C213E" w:rsidRDefault="006C213E" w:rsidP="006C213E">
      <w:r>
        <w:t xml:space="preserve">The Assembly established the </w:t>
      </w:r>
      <w:r>
        <w:rPr>
          <w:noProof/>
        </w:rPr>
        <w:fldChar w:fldCharType="begin"/>
      </w:r>
      <w:r>
        <w:rPr>
          <w:noProof/>
        </w:rPr>
        <w:instrText xml:space="preserve"> STYLEREF  "Cover - Committee name"  \* MERGEFORMAT </w:instrText>
      </w:r>
      <w:r>
        <w:rPr>
          <w:noProof/>
        </w:rPr>
        <w:fldChar w:fldCharType="separate"/>
      </w:r>
      <w:r w:rsidR="00123393">
        <w:rPr>
          <w:noProof/>
        </w:rPr>
        <w:t>Standing Committee on Public Accounts</w:t>
      </w:r>
      <w:r>
        <w:rPr>
          <w:noProof/>
        </w:rPr>
        <w:fldChar w:fldCharType="end"/>
      </w:r>
      <w:r>
        <w:t xml:space="preserve"> on 2 December 2020. </w:t>
      </w:r>
    </w:p>
    <w:p w14:paraId="3F6BBB40" w14:textId="77777777" w:rsidR="006C213E" w:rsidRDefault="006C213E" w:rsidP="006C213E">
      <w:pPr>
        <w:spacing w:after="120"/>
      </w:pPr>
      <w:r>
        <w:t>The Committee is responsible for the following areas:</w:t>
      </w:r>
    </w:p>
    <w:p w14:paraId="22FB4BEF" w14:textId="77777777" w:rsidR="006C213E" w:rsidRDefault="006C213E" w:rsidP="006C213E">
      <w:pPr>
        <w:pStyle w:val="ListParagraph"/>
        <w:numPr>
          <w:ilvl w:val="0"/>
          <w:numId w:val="14"/>
        </w:numPr>
      </w:pPr>
      <w:r>
        <w:t>ACT Auditor-General</w:t>
      </w:r>
    </w:p>
    <w:p w14:paraId="1D9CE6D2" w14:textId="77777777" w:rsidR="006C213E" w:rsidRDefault="006C213E" w:rsidP="006C213E">
      <w:pPr>
        <w:pStyle w:val="ListParagraph"/>
        <w:numPr>
          <w:ilvl w:val="0"/>
          <w:numId w:val="14"/>
        </w:numPr>
      </w:pPr>
      <w:r>
        <w:t>ACT Ombudsman</w:t>
      </w:r>
    </w:p>
    <w:p w14:paraId="274FB559" w14:textId="77777777" w:rsidR="006C213E" w:rsidRDefault="006C213E" w:rsidP="006C213E">
      <w:pPr>
        <w:pStyle w:val="ListParagraph"/>
        <w:numPr>
          <w:ilvl w:val="0"/>
          <w:numId w:val="14"/>
        </w:numPr>
      </w:pPr>
      <w:r>
        <w:t>Office of the Legislative Assembly</w:t>
      </w:r>
    </w:p>
    <w:p w14:paraId="37ECCD82" w14:textId="77777777" w:rsidR="006C213E" w:rsidRDefault="006C213E" w:rsidP="006C213E">
      <w:pPr>
        <w:pStyle w:val="ListParagraph"/>
        <w:numPr>
          <w:ilvl w:val="0"/>
          <w:numId w:val="14"/>
        </w:numPr>
      </w:pPr>
      <w:r w:rsidRPr="00D67864">
        <w:t>Accounts of the receipts and expenditure of the ACT and its authorities</w:t>
      </w:r>
    </w:p>
    <w:p w14:paraId="1294B438" w14:textId="77777777" w:rsidR="006C213E" w:rsidRDefault="006C213E" w:rsidP="006C213E">
      <w:pPr>
        <w:pStyle w:val="ListParagraph"/>
        <w:numPr>
          <w:ilvl w:val="0"/>
          <w:numId w:val="14"/>
        </w:numPr>
      </w:pPr>
      <w:r w:rsidRPr="00D67864">
        <w:t xml:space="preserve">All reports of the Auditor-General which have been presented to </w:t>
      </w:r>
      <w:r>
        <w:t>the Assembly</w:t>
      </w:r>
    </w:p>
    <w:p w14:paraId="6DD28076" w14:textId="77777777" w:rsidR="006C213E" w:rsidRDefault="006C213E" w:rsidP="006C213E">
      <w:pPr>
        <w:pStyle w:val="ListParagraph"/>
        <w:numPr>
          <w:ilvl w:val="0"/>
          <w:numId w:val="14"/>
        </w:numPr>
      </w:pPr>
      <w:r>
        <w:t>Treasury including taxation and revenue.</w:t>
      </w:r>
    </w:p>
    <w:p w14:paraId="3F9730F1" w14:textId="0E7AC7F3" w:rsidR="006C213E" w:rsidRDefault="006C213E" w:rsidP="006C213E">
      <w:pPr>
        <w:spacing w:before="120"/>
      </w:pPr>
      <w:r>
        <w:t xml:space="preserve">You can read the full establishing resolution </w:t>
      </w:r>
      <w:hyperlink r:id="rId14" w:history="1">
        <w:r w:rsidRPr="006718E3">
          <w:rPr>
            <w:rStyle w:val="Hyperlink"/>
          </w:rPr>
          <w:t>on our website</w:t>
        </w:r>
        <w:r w:rsidRPr="003B1931">
          <w:t>.</w:t>
        </w:r>
      </w:hyperlink>
    </w:p>
    <w:p w14:paraId="263D73FB" w14:textId="77777777" w:rsidR="006C213E" w:rsidRDefault="006C213E" w:rsidP="00D12155">
      <w:pPr>
        <w:pStyle w:val="Heading2"/>
      </w:pPr>
      <w:bookmarkStart w:id="2" w:name="_Toc94712282"/>
      <w:r>
        <w:t>Committee members</w:t>
      </w:r>
      <w:bookmarkEnd w:id="2"/>
    </w:p>
    <w:p w14:paraId="1E972347" w14:textId="77777777" w:rsidR="006C213E" w:rsidRDefault="006C213E" w:rsidP="006C213E">
      <w:pPr>
        <w:pStyle w:val="List"/>
      </w:pPr>
      <w:r>
        <w:t>Mrs Elizabeth Kikkert MLA, Chair</w:t>
      </w:r>
    </w:p>
    <w:p w14:paraId="27310C06" w14:textId="77777777" w:rsidR="006C213E" w:rsidRDefault="006C213E" w:rsidP="006C213E">
      <w:pPr>
        <w:pStyle w:val="List"/>
      </w:pPr>
      <w:r>
        <w:t>Mr Michael Pettersson MLA, Deputy Chair</w:t>
      </w:r>
    </w:p>
    <w:p w14:paraId="1FA7029F" w14:textId="77777777" w:rsidR="006C213E" w:rsidRDefault="006C213E" w:rsidP="006C213E">
      <w:pPr>
        <w:pStyle w:val="List"/>
      </w:pPr>
      <w:r>
        <w:t>Mr Andrew Braddock MLA</w:t>
      </w:r>
    </w:p>
    <w:p w14:paraId="651C4954" w14:textId="77777777" w:rsidR="006C213E" w:rsidRDefault="006C213E" w:rsidP="00D12155">
      <w:pPr>
        <w:pStyle w:val="Heading2"/>
      </w:pPr>
      <w:bookmarkStart w:id="3" w:name="_Toc94712283"/>
      <w:r>
        <w:t>Secretariat</w:t>
      </w:r>
      <w:bookmarkEnd w:id="3"/>
    </w:p>
    <w:p w14:paraId="093604DE" w14:textId="77777777" w:rsidR="006C213E" w:rsidRDefault="006C213E" w:rsidP="006C213E">
      <w:pPr>
        <w:pStyle w:val="List"/>
      </w:pPr>
      <w:r>
        <w:t>Mr Samuel Thompson</w:t>
      </w:r>
      <w:r w:rsidRPr="00A23A3E">
        <w:t>, Committee Secretary</w:t>
      </w:r>
      <w:r>
        <w:tab/>
        <w:t>(from 29 August 2021)</w:t>
      </w:r>
    </w:p>
    <w:p w14:paraId="78657AF5" w14:textId="77777777" w:rsidR="006C213E" w:rsidRPr="00A23A3E" w:rsidRDefault="006C213E" w:rsidP="006C213E">
      <w:pPr>
        <w:pStyle w:val="List"/>
      </w:pPr>
      <w:r>
        <w:t xml:space="preserve">Ms Annemieke Jongsma, </w:t>
      </w:r>
      <w:r w:rsidRPr="00A23A3E">
        <w:t>Committee Secretary</w:t>
      </w:r>
      <w:r>
        <w:tab/>
        <w:t>(to 29 August 2021)</w:t>
      </w:r>
    </w:p>
    <w:p w14:paraId="682AFFB0" w14:textId="77777777" w:rsidR="006C213E" w:rsidRDefault="006C213E" w:rsidP="006C213E">
      <w:pPr>
        <w:pStyle w:val="List"/>
      </w:pPr>
      <w:r>
        <w:t>Ms Sophie Milne, Senior Research Officer</w:t>
      </w:r>
    </w:p>
    <w:p w14:paraId="549FF859" w14:textId="77777777" w:rsidR="006C213E" w:rsidRDefault="006C213E" w:rsidP="006C213E">
      <w:pPr>
        <w:pStyle w:val="List"/>
      </w:pPr>
      <w:r>
        <w:t>Ms Lydia Chung</w:t>
      </w:r>
      <w:r w:rsidRPr="00A23A3E">
        <w:t>, Administrative Assistant</w:t>
      </w:r>
    </w:p>
    <w:p w14:paraId="18076060" w14:textId="77777777" w:rsidR="006C213E" w:rsidRDefault="006C213E" w:rsidP="006C213E">
      <w:pPr>
        <w:pStyle w:val="List"/>
      </w:pPr>
      <w:r>
        <w:t>Mr Nick Byrne</w:t>
      </w:r>
      <w:r w:rsidRPr="00A23A3E">
        <w:t>, Administrative Assistant</w:t>
      </w:r>
    </w:p>
    <w:p w14:paraId="6E0907E2" w14:textId="77777777" w:rsidR="006C213E" w:rsidRDefault="006C213E" w:rsidP="00D12155">
      <w:pPr>
        <w:pStyle w:val="Heading2"/>
      </w:pPr>
      <w:bookmarkStart w:id="4" w:name="_Toc94712284"/>
      <w:r>
        <w:t>Contact us</w:t>
      </w:r>
      <w:bookmarkEnd w:id="4"/>
    </w:p>
    <w:p w14:paraId="6B804E1A" w14:textId="55F5FFB8" w:rsidR="006C213E" w:rsidRDefault="006C213E" w:rsidP="006C213E">
      <w:pPr>
        <w:ind w:left="1134" w:hanging="1134"/>
      </w:pPr>
      <w:r>
        <w:rPr>
          <w:b/>
          <w:bCs/>
        </w:rPr>
        <w:t>Mail</w:t>
      </w:r>
      <w:r>
        <w:tab/>
      </w:r>
      <w:r>
        <w:rPr>
          <w:noProof/>
        </w:rPr>
        <w:fldChar w:fldCharType="begin"/>
      </w:r>
      <w:r>
        <w:rPr>
          <w:noProof/>
        </w:rPr>
        <w:instrText xml:space="preserve"> STYLEREF  "Cover - Committee name"  \* MERGEFORMAT </w:instrText>
      </w:r>
      <w:r>
        <w:rPr>
          <w:noProof/>
        </w:rPr>
        <w:fldChar w:fldCharType="separate"/>
      </w:r>
      <w:r w:rsidR="00123393">
        <w:rPr>
          <w:noProof/>
        </w:rPr>
        <w:t>Standing Committee on Public Accounts</w:t>
      </w:r>
      <w:r>
        <w:rPr>
          <w:noProof/>
        </w:rPr>
        <w:fldChar w:fldCharType="end"/>
      </w:r>
      <w:r>
        <w:br/>
        <w:t>Legislative Assembly for the Australian Capital Territory</w:t>
      </w:r>
      <w:r>
        <w:br/>
        <w:t>GPO Box 1020</w:t>
      </w:r>
      <w:r>
        <w:br/>
        <w:t>CANBERRA ACT 2601</w:t>
      </w:r>
    </w:p>
    <w:p w14:paraId="344135F4" w14:textId="77777777" w:rsidR="006C213E" w:rsidRDefault="006C213E" w:rsidP="006C213E">
      <w:pPr>
        <w:ind w:left="1134" w:hanging="1134"/>
      </w:pPr>
      <w:r>
        <w:rPr>
          <w:b/>
          <w:bCs/>
        </w:rPr>
        <w:t>Phone</w:t>
      </w:r>
      <w:r>
        <w:rPr>
          <w:b/>
          <w:bCs/>
        </w:rPr>
        <w:tab/>
      </w:r>
      <w:r>
        <w:t xml:space="preserve">(02) </w:t>
      </w:r>
      <w:r w:rsidRPr="008E750D">
        <w:t>620</w:t>
      </w:r>
      <w:r>
        <w:t>5</w:t>
      </w:r>
      <w:r w:rsidRPr="008E750D">
        <w:t xml:space="preserve"> </w:t>
      </w:r>
      <w:r>
        <w:t>0435</w:t>
      </w:r>
    </w:p>
    <w:p w14:paraId="44BFAAE1" w14:textId="77777777" w:rsidR="006C213E" w:rsidRDefault="006C213E" w:rsidP="006C213E">
      <w:pPr>
        <w:ind w:left="1134" w:hanging="1134"/>
      </w:pPr>
      <w:r>
        <w:rPr>
          <w:b/>
          <w:bCs/>
        </w:rPr>
        <w:t>Email</w:t>
      </w:r>
      <w:r>
        <w:tab/>
      </w:r>
      <w:hyperlink r:id="rId15" w:history="1">
        <w:r w:rsidRPr="0061479B">
          <w:rPr>
            <w:rStyle w:val="Hyperlink"/>
          </w:rPr>
          <w:t>LACommitteePA@parliament.act.gov.au</w:t>
        </w:r>
      </w:hyperlink>
    </w:p>
    <w:p w14:paraId="080B6065" w14:textId="77777777" w:rsidR="006C213E" w:rsidRDefault="006C213E" w:rsidP="006C213E">
      <w:pPr>
        <w:spacing w:line="259" w:lineRule="auto"/>
        <w:ind w:left="1134" w:hanging="1134"/>
      </w:pPr>
      <w:r>
        <w:rPr>
          <w:b/>
          <w:bCs/>
        </w:rPr>
        <w:t>Website</w:t>
      </w:r>
      <w:r>
        <w:rPr>
          <w:b/>
          <w:bCs/>
        </w:rPr>
        <w:tab/>
      </w:r>
      <w:hyperlink r:id="rId16" w:history="1">
        <w:r w:rsidRPr="001D22FC">
          <w:rPr>
            <w:rStyle w:val="Hyperlink"/>
          </w:rPr>
          <w:t>parliament.act.gov.au/parliamentary-business/in-committees</w:t>
        </w:r>
      </w:hyperlink>
    </w:p>
    <w:p w14:paraId="5BCE2563" w14:textId="77777777" w:rsidR="00ED3906" w:rsidRDefault="00ED3906">
      <w:pPr>
        <w:spacing w:line="259" w:lineRule="auto"/>
      </w:pPr>
      <w:r>
        <w:br w:type="page"/>
      </w:r>
    </w:p>
    <w:p w14:paraId="4DCCDF3E" w14:textId="0B76053C" w:rsidR="00ED3906" w:rsidRDefault="006718E3" w:rsidP="009F5A83">
      <w:pPr>
        <w:pStyle w:val="Heading1nonumber"/>
      </w:pPr>
      <w:bookmarkStart w:id="5" w:name="_Toc94712285"/>
      <w:r>
        <w:lastRenderedPageBreak/>
        <w:t>About this inquiry</w:t>
      </w:r>
      <w:bookmarkEnd w:id="5"/>
    </w:p>
    <w:p w14:paraId="05F89059" w14:textId="77777777" w:rsidR="003B6F59" w:rsidRDefault="003B6F59" w:rsidP="003B6F59">
      <w:r w:rsidRPr="006F520B">
        <w:t xml:space="preserve">Under its </w:t>
      </w:r>
      <w:r>
        <w:t>resolution of establishment</w:t>
      </w:r>
      <w:r w:rsidRPr="006F520B">
        <w:t>, the Standing Committee on Public Accounts</w:t>
      </w:r>
      <w:r>
        <w:t xml:space="preserve"> </w:t>
      </w:r>
      <w:r w:rsidRPr="006F520B">
        <w:t xml:space="preserve">examines all reports of the Auditor-General which have been presented to the Legislative Assembly. Specifically, the </w:t>
      </w:r>
      <w:r>
        <w:t>resolution</w:t>
      </w:r>
      <w:r w:rsidRPr="006F520B">
        <w:t xml:space="preserve"> requires the Committee to inquire into and report on reports of the Auditor-General which have been presented to the Assembly</w:t>
      </w:r>
      <w:r>
        <w:t>.</w:t>
      </w:r>
    </w:p>
    <w:p w14:paraId="28AB1899" w14:textId="46096C34" w:rsidR="00091983" w:rsidRDefault="00091983" w:rsidP="00091983">
      <w:pPr>
        <w:pStyle w:val="Heading1nonumber"/>
      </w:pPr>
      <w:bookmarkStart w:id="6" w:name="_Toc89863045"/>
      <w:bookmarkStart w:id="7" w:name="_Toc94712286"/>
      <w:r>
        <w:t>Acronyms</w:t>
      </w:r>
      <w:bookmarkEnd w:id="6"/>
      <w:bookmarkEnd w:id="7"/>
    </w:p>
    <w:tbl>
      <w:tblPr>
        <w:tblStyle w:val="Assemblystyletable"/>
        <w:tblW w:w="0" w:type="auto"/>
        <w:jc w:val="center"/>
        <w:tblLook w:val="04A0" w:firstRow="1" w:lastRow="0" w:firstColumn="1" w:lastColumn="0" w:noHBand="0" w:noVBand="1"/>
      </w:tblPr>
      <w:tblGrid>
        <w:gridCol w:w="1418"/>
        <w:gridCol w:w="6651"/>
      </w:tblGrid>
      <w:tr w:rsidR="00091983" w:rsidRPr="008216B8" w14:paraId="6DF1FD67" w14:textId="77777777" w:rsidTr="002C6121">
        <w:trPr>
          <w:cnfStyle w:val="100000000000" w:firstRow="1" w:lastRow="0" w:firstColumn="0" w:lastColumn="0" w:oddVBand="0" w:evenVBand="0" w:oddHBand="0" w:evenHBand="0" w:firstRowFirstColumn="0" w:firstRowLastColumn="0" w:lastRowFirstColumn="0" w:lastRowLastColumn="0"/>
          <w:jc w:val="center"/>
        </w:trPr>
        <w:tc>
          <w:tcPr>
            <w:tcW w:w="1418" w:type="dxa"/>
            <w:vAlign w:val="top"/>
          </w:tcPr>
          <w:p w14:paraId="46DB7D8C" w14:textId="77777777" w:rsidR="00091983" w:rsidRPr="008216B8" w:rsidRDefault="00091983" w:rsidP="002C6121">
            <w:pPr>
              <w:pStyle w:val="ListNumber3"/>
              <w:numPr>
                <w:ilvl w:val="0"/>
                <w:numId w:val="0"/>
              </w:numPr>
              <w:rPr>
                <w:b/>
                <w:bCs w:val="0"/>
              </w:rPr>
            </w:pPr>
            <w:r w:rsidRPr="008216B8">
              <w:rPr>
                <w:b/>
                <w:bCs w:val="0"/>
              </w:rPr>
              <w:t xml:space="preserve">Acronym </w:t>
            </w:r>
          </w:p>
        </w:tc>
        <w:tc>
          <w:tcPr>
            <w:tcW w:w="6651" w:type="dxa"/>
            <w:vAlign w:val="top"/>
          </w:tcPr>
          <w:p w14:paraId="6D6C4723" w14:textId="77777777" w:rsidR="00091983" w:rsidRPr="008216B8" w:rsidRDefault="00091983" w:rsidP="002C6121">
            <w:pPr>
              <w:pStyle w:val="ListNumber3"/>
              <w:numPr>
                <w:ilvl w:val="0"/>
                <w:numId w:val="0"/>
              </w:numPr>
              <w:rPr>
                <w:b/>
                <w:bCs w:val="0"/>
              </w:rPr>
            </w:pPr>
            <w:r w:rsidRPr="008216B8">
              <w:rPr>
                <w:b/>
                <w:bCs w:val="0"/>
              </w:rPr>
              <w:t>Long form</w:t>
            </w:r>
          </w:p>
        </w:tc>
      </w:tr>
      <w:tr w:rsidR="00091983" w:rsidRPr="00D84DFC" w14:paraId="1D929347" w14:textId="77777777" w:rsidTr="002C6121">
        <w:trPr>
          <w:cnfStyle w:val="000000100000" w:firstRow="0" w:lastRow="0" w:firstColumn="0" w:lastColumn="0" w:oddVBand="0" w:evenVBand="0" w:oddHBand="1" w:evenHBand="0" w:firstRowFirstColumn="0" w:firstRowLastColumn="0" w:lastRowFirstColumn="0" w:lastRowLastColumn="0"/>
          <w:jc w:val="center"/>
        </w:trPr>
        <w:tc>
          <w:tcPr>
            <w:tcW w:w="1418" w:type="dxa"/>
            <w:vAlign w:val="top"/>
          </w:tcPr>
          <w:p w14:paraId="779343A3" w14:textId="77777777" w:rsidR="00091983" w:rsidRPr="008E3966" w:rsidRDefault="00091983" w:rsidP="002C6121">
            <w:pPr>
              <w:pStyle w:val="ListNumber3"/>
              <w:numPr>
                <w:ilvl w:val="0"/>
                <w:numId w:val="0"/>
              </w:numPr>
            </w:pPr>
            <w:r w:rsidRPr="008E3966">
              <w:t>ACT</w:t>
            </w:r>
          </w:p>
        </w:tc>
        <w:tc>
          <w:tcPr>
            <w:tcW w:w="6651" w:type="dxa"/>
            <w:vAlign w:val="top"/>
          </w:tcPr>
          <w:p w14:paraId="6796C1B8" w14:textId="77777777" w:rsidR="00091983" w:rsidRPr="008E3966" w:rsidRDefault="00091983" w:rsidP="002C6121">
            <w:pPr>
              <w:pStyle w:val="ListNumber3"/>
              <w:numPr>
                <w:ilvl w:val="0"/>
                <w:numId w:val="0"/>
              </w:numPr>
            </w:pPr>
            <w:r w:rsidRPr="008E3966">
              <w:t>Australian Capital Territory</w:t>
            </w:r>
          </w:p>
        </w:tc>
      </w:tr>
      <w:tr w:rsidR="00091983" w:rsidRPr="00D84DFC" w14:paraId="3AFFBDF9" w14:textId="77777777" w:rsidTr="002C6121">
        <w:trPr>
          <w:cnfStyle w:val="000000010000" w:firstRow="0" w:lastRow="0" w:firstColumn="0" w:lastColumn="0" w:oddVBand="0" w:evenVBand="0" w:oddHBand="0" w:evenHBand="1" w:firstRowFirstColumn="0" w:firstRowLastColumn="0" w:lastRowFirstColumn="0" w:lastRowLastColumn="0"/>
          <w:jc w:val="center"/>
        </w:trPr>
        <w:tc>
          <w:tcPr>
            <w:tcW w:w="1418" w:type="dxa"/>
            <w:vAlign w:val="top"/>
          </w:tcPr>
          <w:p w14:paraId="1B28BFB2" w14:textId="77777777" w:rsidR="00091983" w:rsidRPr="008E3966" w:rsidRDefault="00091983" w:rsidP="002C6121">
            <w:pPr>
              <w:pStyle w:val="ListNumber3"/>
              <w:numPr>
                <w:ilvl w:val="0"/>
                <w:numId w:val="0"/>
              </w:numPr>
            </w:pPr>
            <w:r w:rsidRPr="008E3966">
              <w:t>CMTEDD</w:t>
            </w:r>
          </w:p>
        </w:tc>
        <w:tc>
          <w:tcPr>
            <w:tcW w:w="6651" w:type="dxa"/>
            <w:vAlign w:val="top"/>
          </w:tcPr>
          <w:p w14:paraId="054ECC49" w14:textId="77777777" w:rsidR="00091983" w:rsidRPr="008E3966" w:rsidRDefault="00091983" w:rsidP="002C6121">
            <w:pPr>
              <w:pStyle w:val="ListNumber3"/>
              <w:numPr>
                <w:ilvl w:val="0"/>
                <w:numId w:val="0"/>
              </w:numPr>
            </w:pPr>
            <w:r w:rsidRPr="008E3966">
              <w:t>Chief Minister, Treasury, and Economic Development Directorate</w:t>
            </w:r>
          </w:p>
        </w:tc>
      </w:tr>
      <w:tr w:rsidR="008E3966" w:rsidRPr="00D84DFC" w14:paraId="728EB762" w14:textId="77777777" w:rsidTr="002C6121">
        <w:trPr>
          <w:cnfStyle w:val="000000100000" w:firstRow="0" w:lastRow="0" w:firstColumn="0" w:lastColumn="0" w:oddVBand="0" w:evenVBand="0" w:oddHBand="1" w:evenHBand="0" w:firstRowFirstColumn="0" w:firstRowLastColumn="0" w:lastRowFirstColumn="0" w:lastRowLastColumn="0"/>
          <w:jc w:val="center"/>
        </w:trPr>
        <w:tc>
          <w:tcPr>
            <w:tcW w:w="1418" w:type="dxa"/>
            <w:vAlign w:val="top"/>
          </w:tcPr>
          <w:p w14:paraId="6CD44D84" w14:textId="681E0E8E" w:rsidR="008E3966" w:rsidRPr="008E3966" w:rsidRDefault="008E3966" w:rsidP="002C6121">
            <w:pPr>
              <w:pStyle w:val="ListNumber3"/>
              <w:numPr>
                <w:ilvl w:val="0"/>
                <w:numId w:val="0"/>
              </w:numPr>
            </w:pPr>
            <w:r>
              <w:t>EML</w:t>
            </w:r>
          </w:p>
        </w:tc>
        <w:tc>
          <w:tcPr>
            <w:tcW w:w="6651" w:type="dxa"/>
            <w:vAlign w:val="top"/>
          </w:tcPr>
          <w:p w14:paraId="27AEA8CE" w14:textId="21092603" w:rsidR="008E3966" w:rsidRPr="008E3966" w:rsidRDefault="0069273E" w:rsidP="002C6121">
            <w:pPr>
              <w:pStyle w:val="ListNumber3"/>
              <w:numPr>
                <w:ilvl w:val="0"/>
                <w:numId w:val="0"/>
              </w:numPr>
            </w:pPr>
            <w:r>
              <w:t>Employers Mutual Limited</w:t>
            </w:r>
          </w:p>
        </w:tc>
      </w:tr>
      <w:tr w:rsidR="00091983" w:rsidRPr="00D84DFC" w14:paraId="254BBE1C" w14:textId="77777777" w:rsidTr="002C6121">
        <w:trPr>
          <w:cnfStyle w:val="000000010000" w:firstRow="0" w:lastRow="0" w:firstColumn="0" w:lastColumn="0" w:oddVBand="0" w:evenVBand="0" w:oddHBand="0" w:evenHBand="1" w:firstRowFirstColumn="0" w:firstRowLastColumn="0" w:lastRowFirstColumn="0" w:lastRowLastColumn="0"/>
          <w:jc w:val="center"/>
        </w:trPr>
        <w:tc>
          <w:tcPr>
            <w:tcW w:w="1418" w:type="dxa"/>
            <w:vAlign w:val="top"/>
          </w:tcPr>
          <w:p w14:paraId="0027CECE" w14:textId="77777777" w:rsidR="00091983" w:rsidRPr="008E3966" w:rsidRDefault="00091983" w:rsidP="002C6121">
            <w:pPr>
              <w:pStyle w:val="ListNumber3"/>
              <w:numPr>
                <w:ilvl w:val="0"/>
                <w:numId w:val="0"/>
              </w:numPr>
            </w:pPr>
            <w:r w:rsidRPr="008E3966">
              <w:t>HR</w:t>
            </w:r>
          </w:p>
        </w:tc>
        <w:tc>
          <w:tcPr>
            <w:tcW w:w="6651" w:type="dxa"/>
            <w:vAlign w:val="top"/>
          </w:tcPr>
          <w:p w14:paraId="1235640B" w14:textId="77777777" w:rsidR="00091983" w:rsidRPr="008E3966" w:rsidRDefault="00091983" w:rsidP="002C6121">
            <w:pPr>
              <w:pStyle w:val="ListNumber3"/>
              <w:numPr>
                <w:ilvl w:val="0"/>
                <w:numId w:val="0"/>
              </w:numPr>
            </w:pPr>
            <w:r w:rsidRPr="008E3966">
              <w:t>Human Recourses</w:t>
            </w:r>
          </w:p>
        </w:tc>
      </w:tr>
      <w:tr w:rsidR="00091983" w:rsidRPr="00D84DFC" w14:paraId="4C553C7B" w14:textId="77777777" w:rsidTr="002C6121">
        <w:trPr>
          <w:cnfStyle w:val="000000100000" w:firstRow="0" w:lastRow="0" w:firstColumn="0" w:lastColumn="0" w:oddVBand="0" w:evenVBand="0" w:oddHBand="1" w:evenHBand="0" w:firstRowFirstColumn="0" w:firstRowLastColumn="0" w:lastRowFirstColumn="0" w:lastRowLastColumn="0"/>
          <w:jc w:val="center"/>
        </w:trPr>
        <w:tc>
          <w:tcPr>
            <w:tcW w:w="1418" w:type="dxa"/>
            <w:vAlign w:val="top"/>
          </w:tcPr>
          <w:p w14:paraId="65C8FE49" w14:textId="77777777" w:rsidR="00091983" w:rsidRPr="008E3966" w:rsidRDefault="00091983" w:rsidP="002C6121">
            <w:pPr>
              <w:pStyle w:val="ListNumber3"/>
              <w:numPr>
                <w:ilvl w:val="0"/>
                <w:numId w:val="0"/>
              </w:numPr>
            </w:pPr>
            <w:r w:rsidRPr="008E3966">
              <w:t>ICT</w:t>
            </w:r>
          </w:p>
        </w:tc>
        <w:tc>
          <w:tcPr>
            <w:tcW w:w="6651" w:type="dxa"/>
            <w:vAlign w:val="top"/>
          </w:tcPr>
          <w:p w14:paraId="6AD018D3" w14:textId="77777777" w:rsidR="00091983" w:rsidRPr="008E3966" w:rsidRDefault="00091983" w:rsidP="002C6121">
            <w:pPr>
              <w:pStyle w:val="ListNumber3"/>
              <w:numPr>
                <w:ilvl w:val="0"/>
                <w:numId w:val="0"/>
              </w:numPr>
            </w:pPr>
            <w:r w:rsidRPr="008E3966">
              <w:t xml:space="preserve">Information and Communication Technology </w:t>
            </w:r>
          </w:p>
        </w:tc>
      </w:tr>
      <w:tr w:rsidR="00091983" w:rsidRPr="00D84DFC" w14:paraId="3F8C288B" w14:textId="77777777" w:rsidTr="002C6121">
        <w:trPr>
          <w:cnfStyle w:val="000000010000" w:firstRow="0" w:lastRow="0" w:firstColumn="0" w:lastColumn="0" w:oddVBand="0" w:evenVBand="0" w:oddHBand="0" w:evenHBand="1" w:firstRowFirstColumn="0" w:firstRowLastColumn="0" w:lastRowFirstColumn="0" w:lastRowLastColumn="0"/>
          <w:jc w:val="center"/>
        </w:trPr>
        <w:tc>
          <w:tcPr>
            <w:tcW w:w="1418" w:type="dxa"/>
            <w:vAlign w:val="top"/>
          </w:tcPr>
          <w:p w14:paraId="7CFE0ED3" w14:textId="77777777" w:rsidR="00091983" w:rsidRPr="008E3966" w:rsidRDefault="00091983" w:rsidP="002C6121">
            <w:pPr>
              <w:pStyle w:val="ListNumber3"/>
              <w:numPr>
                <w:ilvl w:val="0"/>
                <w:numId w:val="0"/>
              </w:numPr>
            </w:pPr>
            <w:r w:rsidRPr="008E3966">
              <w:t>MLA</w:t>
            </w:r>
          </w:p>
        </w:tc>
        <w:tc>
          <w:tcPr>
            <w:tcW w:w="6651" w:type="dxa"/>
            <w:vAlign w:val="top"/>
          </w:tcPr>
          <w:p w14:paraId="398BB42E" w14:textId="77777777" w:rsidR="00091983" w:rsidRPr="008E3966" w:rsidRDefault="00091983" w:rsidP="002C6121">
            <w:pPr>
              <w:pStyle w:val="ListNumber3"/>
              <w:numPr>
                <w:ilvl w:val="0"/>
                <w:numId w:val="0"/>
              </w:numPr>
            </w:pPr>
            <w:r w:rsidRPr="008E3966">
              <w:t>Member of the Legislative Assembly</w:t>
            </w:r>
          </w:p>
        </w:tc>
      </w:tr>
    </w:tbl>
    <w:p w14:paraId="69B9A2DD" w14:textId="261F6757" w:rsidR="00091983" w:rsidRDefault="00091983">
      <w:pPr>
        <w:spacing w:line="259" w:lineRule="auto"/>
      </w:pPr>
    </w:p>
    <w:p w14:paraId="1DCC4994" w14:textId="77777777" w:rsidR="00091983" w:rsidRDefault="00091983">
      <w:pPr>
        <w:spacing w:line="259" w:lineRule="auto"/>
      </w:pPr>
      <w:r>
        <w:br w:type="page"/>
      </w:r>
    </w:p>
    <w:p w14:paraId="059E5494" w14:textId="77777777" w:rsidR="00623507" w:rsidRDefault="00623507">
      <w:pPr>
        <w:spacing w:line="259" w:lineRule="auto"/>
      </w:pPr>
    </w:p>
    <w:sdt>
      <w:sdtPr>
        <w:rPr>
          <w:rFonts w:asciiTheme="minorHAnsi" w:eastAsiaTheme="minorHAnsi" w:hAnsiTheme="minorHAnsi" w:cstheme="minorBidi"/>
          <w:b w:val="0"/>
          <w:color w:val="auto"/>
          <w:w w:val="100"/>
          <w:kern w:val="0"/>
          <w:sz w:val="22"/>
          <w:szCs w:val="22"/>
          <w:lang w:val="en-AU"/>
        </w:rPr>
        <w:id w:val="-1748188642"/>
        <w:docPartObj>
          <w:docPartGallery w:val="Table of Contents"/>
          <w:docPartUnique/>
        </w:docPartObj>
      </w:sdtPr>
      <w:sdtEndPr>
        <w:rPr>
          <w:bCs/>
          <w:noProof/>
        </w:rPr>
      </w:sdtEndPr>
      <w:sdtContent>
        <w:p w14:paraId="59926429" w14:textId="6A98F559" w:rsidR="008A6130" w:rsidRDefault="008A6130" w:rsidP="003C3CF9">
          <w:pPr>
            <w:pStyle w:val="TOCHeading"/>
          </w:pPr>
          <w:r>
            <w:t>Contents</w:t>
          </w:r>
        </w:p>
        <w:p w14:paraId="4F0CB9F5" w14:textId="5A0387C5" w:rsidR="00BE63A1" w:rsidRDefault="008A6130">
          <w:pPr>
            <w:pStyle w:val="TOC1"/>
            <w:rPr>
              <w:rFonts w:asciiTheme="minorHAnsi" w:eastAsiaTheme="minorEastAsia" w:hAnsiTheme="minorHAnsi"/>
              <w:b w:val="0"/>
              <w:bCs w:val="0"/>
              <w:color w:val="auto"/>
              <w:w w:val="100"/>
              <w:sz w:val="22"/>
              <w:lang w:eastAsia="en-AU"/>
            </w:rPr>
          </w:pPr>
          <w:r>
            <w:fldChar w:fldCharType="begin"/>
          </w:r>
          <w:r>
            <w:instrText xml:space="preserve"> TOC \o "1-3" \h \z \u </w:instrText>
          </w:r>
          <w:r>
            <w:fldChar w:fldCharType="separate"/>
          </w:r>
          <w:hyperlink w:anchor="_Toc94712280" w:history="1">
            <w:r w:rsidR="00BE63A1" w:rsidRPr="00C86981">
              <w:rPr>
                <w:rStyle w:val="Hyperlink"/>
              </w:rPr>
              <w:t>About the committee</w:t>
            </w:r>
            <w:r w:rsidR="00BE63A1">
              <w:rPr>
                <w:webHidden/>
              </w:rPr>
              <w:tab/>
            </w:r>
            <w:r w:rsidR="00BE63A1">
              <w:rPr>
                <w:webHidden/>
              </w:rPr>
              <w:fldChar w:fldCharType="begin"/>
            </w:r>
            <w:r w:rsidR="00BE63A1">
              <w:rPr>
                <w:webHidden/>
              </w:rPr>
              <w:instrText xml:space="preserve"> PAGEREF _Toc94712280 \h </w:instrText>
            </w:r>
            <w:r w:rsidR="00BE63A1">
              <w:rPr>
                <w:webHidden/>
              </w:rPr>
            </w:r>
            <w:r w:rsidR="00BE63A1">
              <w:rPr>
                <w:webHidden/>
              </w:rPr>
              <w:fldChar w:fldCharType="separate"/>
            </w:r>
            <w:r w:rsidR="00BE63A1">
              <w:rPr>
                <w:webHidden/>
              </w:rPr>
              <w:t>i</w:t>
            </w:r>
            <w:r w:rsidR="00BE63A1">
              <w:rPr>
                <w:webHidden/>
              </w:rPr>
              <w:fldChar w:fldCharType="end"/>
            </w:r>
          </w:hyperlink>
        </w:p>
        <w:p w14:paraId="3646B9EE" w14:textId="110B466B" w:rsidR="00BE63A1" w:rsidRDefault="00EB02E3">
          <w:pPr>
            <w:pStyle w:val="TOC2"/>
            <w:rPr>
              <w:rFonts w:eastAsiaTheme="minorEastAsia"/>
              <w:lang w:eastAsia="en-AU"/>
            </w:rPr>
          </w:pPr>
          <w:hyperlink w:anchor="_Toc94712281" w:history="1">
            <w:r w:rsidR="00BE63A1" w:rsidRPr="00C86981">
              <w:rPr>
                <w:rStyle w:val="Hyperlink"/>
              </w:rPr>
              <w:t>Establishing resolution</w:t>
            </w:r>
            <w:r w:rsidR="00BE63A1">
              <w:rPr>
                <w:webHidden/>
              </w:rPr>
              <w:tab/>
            </w:r>
            <w:r w:rsidR="00BE63A1">
              <w:rPr>
                <w:webHidden/>
              </w:rPr>
              <w:fldChar w:fldCharType="begin"/>
            </w:r>
            <w:r w:rsidR="00BE63A1">
              <w:rPr>
                <w:webHidden/>
              </w:rPr>
              <w:instrText xml:space="preserve"> PAGEREF _Toc94712281 \h </w:instrText>
            </w:r>
            <w:r w:rsidR="00BE63A1">
              <w:rPr>
                <w:webHidden/>
              </w:rPr>
            </w:r>
            <w:r w:rsidR="00BE63A1">
              <w:rPr>
                <w:webHidden/>
              </w:rPr>
              <w:fldChar w:fldCharType="separate"/>
            </w:r>
            <w:r w:rsidR="00BE63A1">
              <w:rPr>
                <w:webHidden/>
              </w:rPr>
              <w:t>i</w:t>
            </w:r>
            <w:r w:rsidR="00BE63A1">
              <w:rPr>
                <w:webHidden/>
              </w:rPr>
              <w:fldChar w:fldCharType="end"/>
            </w:r>
          </w:hyperlink>
        </w:p>
        <w:p w14:paraId="5257B5B4" w14:textId="7C24EA9F" w:rsidR="00BE63A1" w:rsidRDefault="00EB02E3">
          <w:pPr>
            <w:pStyle w:val="TOC2"/>
            <w:rPr>
              <w:rFonts w:eastAsiaTheme="minorEastAsia"/>
              <w:lang w:eastAsia="en-AU"/>
            </w:rPr>
          </w:pPr>
          <w:hyperlink w:anchor="_Toc94712282" w:history="1">
            <w:r w:rsidR="00BE63A1" w:rsidRPr="00C86981">
              <w:rPr>
                <w:rStyle w:val="Hyperlink"/>
              </w:rPr>
              <w:t>Committee members</w:t>
            </w:r>
            <w:r w:rsidR="00BE63A1">
              <w:rPr>
                <w:webHidden/>
              </w:rPr>
              <w:tab/>
            </w:r>
            <w:r w:rsidR="00BE63A1">
              <w:rPr>
                <w:webHidden/>
              </w:rPr>
              <w:fldChar w:fldCharType="begin"/>
            </w:r>
            <w:r w:rsidR="00BE63A1">
              <w:rPr>
                <w:webHidden/>
              </w:rPr>
              <w:instrText xml:space="preserve"> PAGEREF _Toc94712282 \h </w:instrText>
            </w:r>
            <w:r w:rsidR="00BE63A1">
              <w:rPr>
                <w:webHidden/>
              </w:rPr>
            </w:r>
            <w:r w:rsidR="00BE63A1">
              <w:rPr>
                <w:webHidden/>
              </w:rPr>
              <w:fldChar w:fldCharType="separate"/>
            </w:r>
            <w:r w:rsidR="00BE63A1">
              <w:rPr>
                <w:webHidden/>
              </w:rPr>
              <w:t>i</w:t>
            </w:r>
            <w:r w:rsidR="00BE63A1">
              <w:rPr>
                <w:webHidden/>
              </w:rPr>
              <w:fldChar w:fldCharType="end"/>
            </w:r>
          </w:hyperlink>
        </w:p>
        <w:p w14:paraId="09E296DB" w14:textId="7C2195CD" w:rsidR="00BE63A1" w:rsidRDefault="00EB02E3">
          <w:pPr>
            <w:pStyle w:val="TOC2"/>
            <w:rPr>
              <w:rFonts w:eastAsiaTheme="minorEastAsia"/>
              <w:lang w:eastAsia="en-AU"/>
            </w:rPr>
          </w:pPr>
          <w:hyperlink w:anchor="_Toc94712283" w:history="1">
            <w:r w:rsidR="00BE63A1" w:rsidRPr="00C86981">
              <w:rPr>
                <w:rStyle w:val="Hyperlink"/>
              </w:rPr>
              <w:t>Secretariat</w:t>
            </w:r>
            <w:r w:rsidR="00BE63A1">
              <w:rPr>
                <w:webHidden/>
              </w:rPr>
              <w:tab/>
            </w:r>
            <w:r w:rsidR="00BE63A1">
              <w:rPr>
                <w:webHidden/>
              </w:rPr>
              <w:fldChar w:fldCharType="begin"/>
            </w:r>
            <w:r w:rsidR="00BE63A1">
              <w:rPr>
                <w:webHidden/>
              </w:rPr>
              <w:instrText xml:space="preserve"> PAGEREF _Toc94712283 \h </w:instrText>
            </w:r>
            <w:r w:rsidR="00BE63A1">
              <w:rPr>
                <w:webHidden/>
              </w:rPr>
            </w:r>
            <w:r w:rsidR="00BE63A1">
              <w:rPr>
                <w:webHidden/>
              </w:rPr>
              <w:fldChar w:fldCharType="separate"/>
            </w:r>
            <w:r w:rsidR="00BE63A1">
              <w:rPr>
                <w:webHidden/>
              </w:rPr>
              <w:t>i</w:t>
            </w:r>
            <w:r w:rsidR="00BE63A1">
              <w:rPr>
                <w:webHidden/>
              </w:rPr>
              <w:fldChar w:fldCharType="end"/>
            </w:r>
          </w:hyperlink>
        </w:p>
        <w:p w14:paraId="54C20894" w14:textId="0CC98B2F" w:rsidR="00BE63A1" w:rsidRDefault="00EB02E3">
          <w:pPr>
            <w:pStyle w:val="TOC2"/>
            <w:rPr>
              <w:rFonts w:eastAsiaTheme="minorEastAsia"/>
              <w:lang w:eastAsia="en-AU"/>
            </w:rPr>
          </w:pPr>
          <w:hyperlink w:anchor="_Toc94712284" w:history="1">
            <w:r w:rsidR="00BE63A1" w:rsidRPr="00C86981">
              <w:rPr>
                <w:rStyle w:val="Hyperlink"/>
              </w:rPr>
              <w:t>Contact us</w:t>
            </w:r>
            <w:r w:rsidR="00BE63A1">
              <w:rPr>
                <w:webHidden/>
              </w:rPr>
              <w:tab/>
            </w:r>
            <w:r w:rsidR="00BE63A1">
              <w:rPr>
                <w:webHidden/>
              </w:rPr>
              <w:fldChar w:fldCharType="begin"/>
            </w:r>
            <w:r w:rsidR="00BE63A1">
              <w:rPr>
                <w:webHidden/>
              </w:rPr>
              <w:instrText xml:space="preserve"> PAGEREF _Toc94712284 \h </w:instrText>
            </w:r>
            <w:r w:rsidR="00BE63A1">
              <w:rPr>
                <w:webHidden/>
              </w:rPr>
            </w:r>
            <w:r w:rsidR="00BE63A1">
              <w:rPr>
                <w:webHidden/>
              </w:rPr>
              <w:fldChar w:fldCharType="separate"/>
            </w:r>
            <w:r w:rsidR="00BE63A1">
              <w:rPr>
                <w:webHidden/>
              </w:rPr>
              <w:t>i</w:t>
            </w:r>
            <w:r w:rsidR="00BE63A1">
              <w:rPr>
                <w:webHidden/>
              </w:rPr>
              <w:fldChar w:fldCharType="end"/>
            </w:r>
          </w:hyperlink>
        </w:p>
        <w:p w14:paraId="32CFF85F" w14:textId="185FBF79" w:rsidR="00BE63A1" w:rsidRDefault="00EB02E3">
          <w:pPr>
            <w:pStyle w:val="TOC1"/>
            <w:rPr>
              <w:rFonts w:asciiTheme="minorHAnsi" w:eastAsiaTheme="minorEastAsia" w:hAnsiTheme="minorHAnsi"/>
              <w:b w:val="0"/>
              <w:bCs w:val="0"/>
              <w:color w:val="auto"/>
              <w:w w:val="100"/>
              <w:sz w:val="22"/>
              <w:lang w:eastAsia="en-AU"/>
            </w:rPr>
          </w:pPr>
          <w:hyperlink w:anchor="_Toc94712285" w:history="1">
            <w:r w:rsidR="00BE63A1" w:rsidRPr="00C86981">
              <w:rPr>
                <w:rStyle w:val="Hyperlink"/>
              </w:rPr>
              <w:t>About this inquiry</w:t>
            </w:r>
            <w:r w:rsidR="00BE63A1">
              <w:rPr>
                <w:webHidden/>
              </w:rPr>
              <w:tab/>
            </w:r>
            <w:r w:rsidR="00BE63A1">
              <w:rPr>
                <w:webHidden/>
              </w:rPr>
              <w:fldChar w:fldCharType="begin"/>
            </w:r>
            <w:r w:rsidR="00BE63A1">
              <w:rPr>
                <w:webHidden/>
              </w:rPr>
              <w:instrText xml:space="preserve"> PAGEREF _Toc94712285 \h </w:instrText>
            </w:r>
            <w:r w:rsidR="00BE63A1">
              <w:rPr>
                <w:webHidden/>
              </w:rPr>
            </w:r>
            <w:r w:rsidR="00BE63A1">
              <w:rPr>
                <w:webHidden/>
              </w:rPr>
              <w:fldChar w:fldCharType="separate"/>
            </w:r>
            <w:r w:rsidR="00BE63A1">
              <w:rPr>
                <w:webHidden/>
              </w:rPr>
              <w:t>ii</w:t>
            </w:r>
            <w:r w:rsidR="00BE63A1">
              <w:rPr>
                <w:webHidden/>
              </w:rPr>
              <w:fldChar w:fldCharType="end"/>
            </w:r>
          </w:hyperlink>
        </w:p>
        <w:p w14:paraId="6F782FD9" w14:textId="1EF5902E" w:rsidR="00BE63A1" w:rsidRDefault="00EB02E3">
          <w:pPr>
            <w:pStyle w:val="TOC1"/>
            <w:rPr>
              <w:rFonts w:asciiTheme="minorHAnsi" w:eastAsiaTheme="minorEastAsia" w:hAnsiTheme="minorHAnsi"/>
              <w:b w:val="0"/>
              <w:bCs w:val="0"/>
              <w:color w:val="auto"/>
              <w:w w:val="100"/>
              <w:sz w:val="22"/>
              <w:lang w:eastAsia="en-AU"/>
            </w:rPr>
          </w:pPr>
          <w:hyperlink w:anchor="_Toc94712286" w:history="1">
            <w:r w:rsidR="00BE63A1" w:rsidRPr="00C86981">
              <w:rPr>
                <w:rStyle w:val="Hyperlink"/>
              </w:rPr>
              <w:t>Acronyms</w:t>
            </w:r>
            <w:r w:rsidR="00BE63A1">
              <w:rPr>
                <w:webHidden/>
              </w:rPr>
              <w:tab/>
            </w:r>
            <w:r w:rsidR="00BE63A1">
              <w:rPr>
                <w:webHidden/>
              </w:rPr>
              <w:fldChar w:fldCharType="begin"/>
            </w:r>
            <w:r w:rsidR="00BE63A1">
              <w:rPr>
                <w:webHidden/>
              </w:rPr>
              <w:instrText xml:space="preserve"> PAGEREF _Toc94712286 \h </w:instrText>
            </w:r>
            <w:r w:rsidR="00BE63A1">
              <w:rPr>
                <w:webHidden/>
              </w:rPr>
            </w:r>
            <w:r w:rsidR="00BE63A1">
              <w:rPr>
                <w:webHidden/>
              </w:rPr>
              <w:fldChar w:fldCharType="separate"/>
            </w:r>
            <w:r w:rsidR="00BE63A1">
              <w:rPr>
                <w:webHidden/>
              </w:rPr>
              <w:t>ii</w:t>
            </w:r>
            <w:r w:rsidR="00BE63A1">
              <w:rPr>
                <w:webHidden/>
              </w:rPr>
              <w:fldChar w:fldCharType="end"/>
            </w:r>
          </w:hyperlink>
        </w:p>
        <w:p w14:paraId="70D081C7" w14:textId="12F9DE5B" w:rsidR="00BE63A1" w:rsidRDefault="00EB02E3">
          <w:pPr>
            <w:pStyle w:val="TOC1"/>
            <w:rPr>
              <w:rFonts w:asciiTheme="minorHAnsi" w:eastAsiaTheme="minorEastAsia" w:hAnsiTheme="minorHAnsi"/>
              <w:b w:val="0"/>
              <w:bCs w:val="0"/>
              <w:color w:val="auto"/>
              <w:w w:val="100"/>
              <w:sz w:val="22"/>
              <w:lang w:eastAsia="en-AU"/>
            </w:rPr>
          </w:pPr>
          <w:hyperlink w:anchor="_Toc94712287" w:history="1">
            <w:r w:rsidR="00BE63A1" w:rsidRPr="00C86981">
              <w:rPr>
                <w:rStyle w:val="Hyperlink"/>
              </w:rPr>
              <w:t>Recommendations</w:t>
            </w:r>
            <w:r w:rsidR="00BE63A1">
              <w:rPr>
                <w:webHidden/>
              </w:rPr>
              <w:tab/>
            </w:r>
            <w:r w:rsidR="00BE63A1">
              <w:rPr>
                <w:webHidden/>
              </w:rPr>
              <w:fldChar w:fldCharType="begin"/>
            </w:r>
            <w:r w:rsidR="00BE63A1">
              <w:rPr>
                <w:webHidden/>
              </w:rPr>
              <w:instrText xml:space="preserve"> PAGEREF _Toc94712287 \h </w:instrText>
            </w:r>
            <w:r w:rsidR="00BE63A1">
              <w:rPr>
                <w:webHidden/>
              </w:rPr>
            </w:r>
            <w:r w:rsidR="00BE63A1">
              <w:rPr>
                <w:webHidden/>
              </w:rPr>
              <w:fldChar w:fldCharType="separate"/>
            </w:r>
            <w:r w:rsidR="00BE63A1">
              <w:rPr>
                <w:webHidden/>
              </w:rPr>
              <w:t>iv</w:t>
            </w:r>
            <w:r w:rsidR="00BE63A1">
              <w:rPr>
                <w:webHidden/>
              </w:rPr>
              <w:fldChar w:fldCharType="end"/>
            </w:r>
          </w:hyperlink>
        </w:p>
        <w:p w14:paraId="0A0FA981" w14:textId="31C15101" w:rsidR="00BE63A1" w:rsidRDefault="00EB02E3">
          <w:pPr>
            <w:pStyle w:val="TOC1"/>
            <w:rPr>
              <w:rFonts w:asciiTheme="minorHAnsi" w:eastAsiaTheme="minorEastAsia" w:hAnsiTheme="minorHAnsi"/>
              <w:b w:val="0"/>
              <w:bCs w:val="0"/>
              <w:color w:val="auto"/>
              <w:w w:val="100"/>
              <w:sz w:val="22"/>
              <w:lang w:eastAsia="en-AU"/>
            </w:rPr>
          </w:pPr>
          <w:hyperlink w:anchor="_Toc94712288" w:history="1">
            <w:r w:rsidR="00BE63A1" w:rsidRPr="00C86981">
              <w:rPr>
                <w:rStyle w:val="Hyperlink"/>
              </w:rPr>
              <w:t>1.</w:t>
            </w:r>
            <w:r w:rsidR="00BE63A1">
              <w:rPr>
                <w:rFonts w:asciiTheme="minorHAnsi" w:eastAsiaTheme="minorEastAsia" w:hAnsiTheme="minorHAnsi"/>
                <w:b w:val="0"/>
                <w:bCs w:val="0"/>
                <w:color w:val="auto"/>
                <w:w w:val="100"/>
                <w:sz w:val="22"/>
                <w:lang w:eastAsia="en-AU"/>
              </w:rPr>
              <w:tab/>
            </w:r>
            <w:r w:rsidR="00BE63A1" w:rsidRPr="00C86981">
              <w:rPr>
                <w:rStyle w:val="Hyperlink"/>
              </w:rPr>
              <w:t>Introduction</w:t>
            </w:r>
            <w:r w:rsidR="00BE63A1">
              <w:rPr>
                <w:webHidden/>
              </w:rPr>
              <w:tab/>
            </w:r>
            <w:r w:rsidR="00BE63A1">
              <w:rPr>
                <w:webHidden/>
              </w:rPr>
              <w:fldChar w:fldCharType="begin"/>
            </w:r>
            <w:r w:rsidR="00BE63A1">
              <w:rPr>
                <w:webHidden/>
              </w:rPr>
              <w:instrText xml:space="preserve"> PAGEREF _Toc94712288 \h </w:instrText>
            </w:r>
            <w:r w:rsidR="00BE63A1">
              <w:rPr>
                <w:webHidden/>
              </w:rPr>
            </w:r>
            <w:r w:rsidR="00BE63A1">
              <w:rPr>
                <w:webHidden/>
              </w:rPr>
              <w:fldChar w:fldCharType="separate"/>
            </w:r>
            <w:r w:rsidR="00BE63A1">
              <w:rPr>
                <w:webHidden/>
              </w:rPr>
              <w:t>1</w:t>
            </w:r>
            <w:r w:rsidR="00BE63A1">
              <w:rPr>
                <w:webHidden/>
              </w:rPr>
              <w:fldChar w:fldCharType="end"/>
            </w:r>
          </w:hyperlink>
        </w:p>
        <w:p w14:paraId="15E6773C" w14:textId="6192304E" w:rsidR="00BE63A1" w:rsidRDefault="00EB02E3">
          <w:pPr>
            <w:pStyle w:val="TOC2"/>
            <w:rPr>
              <w:rFonts w:eastAsiaTheme="minorEastAsia"/>
              <w:lang w:eastAsia="en-AU"/>
            </w:rPr>
          </w:pPr>
          <w:hyperlink w:anchor="_Toc94712289" w:history="1">
            <w:r w:rsidR="00BE63A1" w:rsidRPr="00C86981">
              <w:rPr>
                <w:rStyle w:val="Hyperlink"/>
              </w:rPr>
              <w:t>Preliminary</w:t>
            </w:r>
            <w:r w:rsidR="00BE63A1">
              <w:rPr>
                <w:webHidden/>
              </w:rPr>
              <w:tab/>
            </w:r>
            <w:r w:rsidR="00BE63A1">
              <w:rPr>
                <w:webHidden/>
              </w:rPr>
              <w:fldChar w:fldCharType="begin"/>
            </w:r>
            <w:r w:rsidR="00BE63A1">
              <w:rPr>
                <w:webHidden/>
              </w:rPr>
              <w:instrText xml:space="preserve"> PAGEREF _Toc94712289 \h </w:instrText>
            </w:r>
            <w:r w:rsidR="00BE63A1">
              <w:rPr>
                <w:webHidden/>
              </w:rPr>
            </w:r>
            <w:r w:rsidR="00BE63A1">
              <w:rPr>
                <w:webHidden/>
              </w:rPr>
              <w:fldChar w:fldCharType="separate"/>
            </w:r>
            <w:r w:rsidR="00BE63A1">
              <w:rPr>
                <w:webHidden/>
              </w:rPr>
              <w:t>1</w:t>
            </w:r>
            <w:r w:rsidR="00BE63A1">
              <w:rPr>
                <w:webHidden/>
              </w:rPr>
              <w:fldChar w:fldCharType="end"/>
            </w:r>
          </w:hyperlink>
        </w:p>
        <w:p w14:paraId="4578E335" w14:textId="300713DB" w:rsidR="00BE63A1" w:rsidRDefault="00EB02E3">
          <w:pPr>
            <w:pStyle w:val="TOC2"/>
            <w:rPr>
              <w:rFonts w:eastAsiaTheme="minorEastAsia"/>
              <w:lang w:eastAsia="en-AU"/>
            </w:rPr>
          </w:pPr>
          <w:hyperlink w:anchor="_Toc94712290" w:history="1">
            <w:r w:rsidR="00BE63A1" w:rsidRPr="00C86981">
              <w:rPr>
                <w:rStyle w:val="Hyperlink"/>
              </w:rPr>
              <w:t>Acknowledgements</w:t>
            </w:r>
            <w:r w:rsidR="00BE63A1">
              <w:rPr>
                <w:webHidden/>
              </w:rPr>
              <w:tab/>
            </w:r>
            <w:r w:rsidR="00BE63A1">
              <w:rPr>
                <w:webHidden/>
              </w:rPr>
              <w:fldChar w:fldCharType="begin"/>
            </w:r>
            <w:r w:rsidR="00BE63A1">
              <w:rPr>
                <w:webHidden/>
              </w:rPr>
              <w:instrText xml:space="preserve"> PAGEREF _Toc94712290 \h </w:instrText>
            </w:r>
            <w:r w:rsidR="00BE63A1">
              <w:rPr>
                <w:webHidden/>
              </w:rPr>
            </w:r>
            <w:r w:rsidR="00BE63A1">
              <w:rPr>
                <w:webHidden/>
              </w:rPr>
              <w:fldChar w:fldCharType="separate"/>
            </w:r>
            <w:r w:rsidR="00BE63A1">
              <w:rPr>
                <w:webHidden/>
              </w:rPr>
              <w:t>1</w:t>
            </w:r>
            <w:r w:rsidR="00BE63A1">
              <w:rPr>
                <w:webHidden/>
              </w:rPr>
              <w:fldChar w:fldCharType="end"/>
            </w:r>
          </w:hyperlink>
        </w:p>
        <w:p w14:paraId="49B13AC0" w14:textId="06926F10" w:rsidR="00BE63A1" w:rsidRDefault="00EB02E3">
          <w:pPr>
            <w:pStyle w:val="TOC1"/>
            <w:rPr>
              <w:rFonts w:asciiTheme="minorHAnsi" w:eastAsiaTheme="minorEastAsia" w:hAnsiTheme="minorHAnsi"/>
              <w:b w:val="0"/>
              <w:bCs w:val="0"/>
              <w:color w:val="auto"/>
              <w:w w:val="100"/>
              <w:sz w:val="22"/>
              <w:lang w:eastAsia="en-AU"/>
            </w:rPr>
          </w:pPr>
          <w:hyperlink w:anchor="_Toc94712291" w:history="1">
            <w:r w:rsidR="00BE63A1" w:rsidRPr="00C86981">
              <w:rPr>
                <w:rStyle w:val="Hyperlink"/>
              </w:rPr>
              <w:t>2.</w:t>
            </w:r>
            <w:r w:rsidR="00BE63A1">
              <w:rPr>
                <w:rFonts w:asciiTheme="minorHAnsi" w:eastAsiaTheme="minorEastAsia" w:hAnsiTheme="minorHAnsi"/>
                <w:b w:val="0"/>
                <w:bCs w:val="0"/>
                <w:color w:val="auto"/>
                <w:w w:val="100"/>
                <w:sz w:val="22"/>
                <w:lang w:eastAsia="en-AU"/>
              </w:rPr>
              <w:tab/>
            </w:r>
            <w:r w:rsidR="00BE63A1" w:rsidRPr="00C86981">
              <w:rPr>
                <w:rStyle w:val="Hyperlink"/>
              </w:rPr>
              <w:t>Conduct of inquiry</w:t>
            </w:r>
            <w:r w:rsidR="00BE63A1">
              <w:rPr>
                <w:webHidden/>
              </w:rPr>
              <w:tab/>
            </w:r>
            <w:r w:rsidR="00BE63A1">
              <w:rPr>
                <w:webHidden/>
              </w:rPr>
              <w:fldChar w:fldCharType="begin"/>
            </w:r>
            <w:r w:rsidR="00BE63A1">
              <w:rPr>
                <w:webHidden/>
              </w:rPr>
              <w:instrText xml:space="preserve"> PAGEREF _Toc94712291 \h </w:instrText>
            </w:r>
            <w:r w:rsidR="00BE63A1">
              <w:rPr>
                <w:webHidden/>
              </w:rPr>
            </w:r>
            <w:r w:rsidR="00BE63A1">
              <w:rPr>
                <w:webHidden/>
              </w:rPr>
              <w:fldChar w:fldCharType="separate"/>
            </w:r>
            <w:r w:rsidR="00BE63A1">
              <w:rPr>
                <w:webHidden/>
              </w:rPr>
              <w:t>2</w:t>
            </w:r>
            <w:r w:rsidR="00BE63A1">
              <w:rPr>
                <w:webHidden/>
              </w:rPr>
              <w:fldChar w:fldCharType="end"/>
            </w:r>
          </w:hyperlink>
        </w:p>
        <w:p w14:paraId="2F27B111" w14:textId="0646F702" w:rsidR="00BE63A1" w:rsidRDefault="00EB02E3">
          <w:pPr>
            <w:pStyle w:val="TOC2"/>
            <w:rPr>
              <w:rFonts w:eastAsiaTheme="minorEastAsia"/>
              <w:lang w:eastAsia="en-AU"/>
            </w:rPr>
          </w:pPr>
          <w:hyperlink w:anchor="_Toc94712292" w:history="1">
            <w:r w:rsidR="00BE63A1" w:rsidRPr="00C86981">
              <w:rPr>
                <w:rStyle w:val="Hyperlink"/>
              </w:rPr>
              <w:t>Referral and decision to further inquire</w:t>
            </w:r>
            <w:r w:rsidR="00BE63A1">
              <w:rPr>
                <w:webHidden/>
              </w:rPr>
              <w:tab/>
            </w:r>
            <w:r w:rsidR="00BE63A1">
              <w:rPr>
                <w:webHidden/>
              </w:rPr>
              <w:fldChar w:fldCharType="begin"/>
            </w:r>
            <w:r w:rsidR="00BE63A1">
              <w:rPr>
                <w:webHidden/>
              </w:rPr>
              <w:instrText xml:space="preserve"> PAGEREF _Toc94712292 \h </w:instrText>
            </w:r>
            <w:r w:rsidR="00BE63A1">
              <w:rPr>
                <w:webHidden/>
              </w:rPr>
            </w:r>
            <w:r w:rsidR="00BE63A1">
              <w:rPr>
                <w:webHidden/>
              </w:rPr>
              <w:fldChar w:fldCharType="separate"/>
            </w:r>
            <w:r w:rsidR="00BE63A1">
              <w:rPr>
                <w:webHidden/>
              </w:rPr>
              <w:t>2</w:t>
            </w:r>
            <w:r w:rsidR="00BE63A1">
              <w:rPr>
                <w:webHidden/>
              </w:rPr>
              <w:fldChar w:fldCharType="end"/>
            </w:r>
          </w:hyperlink>
        </w:p>
        <w:p w14:paraId="20C0A06F" w14:textId="6D987308" w:rsidR="00BE63A1" w:rsidRDefault="00EB02E3">
          <w:pPr>
            <w:pStyle w:val="TOC2"/>
            <w:rPr>
              <w:rFonts w:eastAsiaTheme="minorEastAsia"/>
              <w:lang w:eastAsia="en-AU"/>
            </w:rPr>
          </w:pPr>
          <w:hyperlink w:anchor="_Toc94712293" w:history="1">
            <w:r w:rsidR="00BE63A1" w:rsidRPr="00C86981">
              <w:rPr>
                <w:rStyle w:val="Hyperlink"/>
              </w:rPr>
              <w:t>Conduct of inquiry</w:t>
            </w:r>
            <w:r w:rsidR="00BE63A1">
              <w:rPr>
                <w:webHidden/>
              </w:rPr>
              <w:tab/>
            </w:r>
            <w:r w:rsidR="00BE63A1">
              <w:rPr>
                <w:webHidden/>
              </w:rPr>
              <w:fldChar w:fldCharType="begin"/>
            </w:r>
            <w:r w:rsidR="00BE63A1">
              <w:rPr>
                <w:webHidden/>
              </w:rPr>
              <w:instrText xml:space="preserve"> PAGEREF _Toc94712293 \h </w:instrText>
            </w:r>
            <w:r w:rsidR="00BE63A1">
              <w:rPr>
                <w:webHidden/>
              </w:rPr>
            </w:r>
            <w:r w:rsidR="00BE63A1">
              <w:rPr>
                <w:webHidden/>
              </w:rPr>
              <w:fldChar w:fldCharType="separate"/>
            </w:r>
            <w:r w:rsidR="00BE63A1">
              <w:rPr>
                <w:webHidden/>
              </w:rPr>
              <w:t>2</w:t>
            </w:r>
            <w:r w:rsidR="00BE63A1">
              <w:rPr>
                <w:webHidden/>
              </w:rPr>
              <w:fldChar w:fldCharType="end"/>
            </w:r>
          </w:hyperlink>
        </w:p>
        <w:p w14:paraId="18D79233" w14:textId="72C9441F" w:rsidR="00BE63A1" w:rsidRDefault="00EB02E3">
          <w:pPr>
            <w:pStyle w:val="TOC1"/>
            <w:rPr>
              <w:rFonts w:asciiTheme="minorHAnsi" w:eastAsiaTheme="minorEastAsia" w:hAnsiTheme="minorHAnsi"/>
              <w:b w:val="0"/>
              <w:bCs w:val="0"/>
              <w:color w:val="auto"/>
              <w:w w:val="100"/>
              <w:sz w:val="22"/>
              <w:lang w:eastAsia="en-AU"/>
            </w:rPr>
          </w:pPr>
          <w:hyperlink w:anchor="_Toc94712294" w:history="1">
            <w:r w:rsidR="00BE63A1" w:rsidRPr="00C86981">
              <w:rPr>
                <w:rStyle w:val="Hyperlink"/>
              </w:rPr>
              <w:t>3.</w:t>
            </w:r>
            <w:r w:rsidR="00BE63A1">
              <w:rPr>
                <w:rFonts w:asciiTheme="minorHAnsi" w:eastAsiaTheme="minorEastAsia" w:hAnsiTheme="minorHAnsi"/>
                <w:b w:val="0"/>
                <w:bCs w:val="0"/>
                <w:color w:val="auto"/>
                <w:w w:val="100"/>
                <w:sz w:val="22"/>
                <w:lang w:eastAsia="en-AU"/>
              </w:rPr>
              <w:tab/>
            </w:r>
            <w:r w:rsidR="00BE63A1" w:rsidRPr="00C86981">
              <w:rPr>
                <w:rStyle w:val="Hyperlink"/>
              </w:rPr>
              <w:t>Audit background and outcomes</w:t>
            </w:r>
            <w:r w:rsidR="00BE63A1">
              <w:rPr>
                <w:webHidden/>
              </w:rPr>
              <w:tab/>
            </w:r>
            <w:r w:rsidR="00BE63A1">
              <w:rPr>
                <w:webHidden/>
              </w:rPr>
              <w:fldChar w:fldCharType="begin"/>
            </w:r>
            <w:r w:rsidR="00BE63A1">
              <w:rPr>
                <w:webHidden/>
              </w:rPr>
              <w:instrText xml:space="preserve"> PAGEREF _Toc94712294 \h </w:instrText>
            </w:r>
            <w:r w:rsidR="00BE63A1">
              <w:rPr>
                <w:webHidden/>
              </w:rPr>
            </w:r>
            <w:r w:rsidR="00BE63A1">
              <w:rPr>
                <w:webHidden/>
              </w:rPr>
              <w:fldChar w:fldCharType="separate"/>
            </w:r>
            <w:r w:rsidR="00BE63A1">
              <w:rPr>
                <w:webHidden/>
              </w:rPr>
              <w:t>3</w:t>
            </w:r>
            <w:r w:rsidR="00BE63A1">
              <w:rPr>
                <w:webHidden/>
              </w:rPr>
              <w:fldChar w:fldCharType="end"/>
            </w:r>
          </w:hyperlink>
        </w:p>
        <w:p w14:paraId="21107A22" w14:textId="585FD1DB" w:rsidR="00BE63A1" w:rsidRDefault="00EB02E3">
          <w:pPr>
            <w:pStyle w:val="TOC2"/>
            <w:rPr>
              <w:rFonts w:eastAsiaTheme="minorEastAsia"/>
              <w:lang w:eastAsia="en-AU"/>
            </w:rPr>
          </w:pPr>
          <w:hyperlink w:anchor="_Toc94712295" w:history="1">
            <w:r w:rsidR="00BE63A1" w:rsidRPr="00C86981">
              <w:rPr>
                <w:rStyle w:val="Hyperlink"/>
              </w:rPr>
              <w:t>Audit background</w:t>
            </w:r>
            <w:r w:rsidR="00BE63A1">
              <w:rPr>
                <w:webHidden/>
              </w:rPr>
              <w:tab/>
            </w:r>
            <w:r w:rsidR="00BE63A1">
              <w:rPr>
                <w:webHidden/>
              </w:rPr>
              <w:fldChar w:fldCharType="begin"/>
            </w:r>
            <w:r w:rsidR="00BE63A1">
              <w:rPr>
                <w:webHidden/>
              </w:rPr>
              <w:instrText xml:space="preserve"> PAGEREF _Toc94712295 \h </w:instrText>
            </w:r>
            <w:r w:rsidR="00BE63A1">
              <w:rPr>
                <w:webHidden/>
              </w:rPr>
            </w:r>
            <w:r w:rsidR="00BE63A1">
              <w:rPr>
                <w:webHidden/>
              </w:rPr>
              <w:fldChar w:fldCharType="separate"/>
            </w:r>
            <w:r w:rsidR="00BE63A1">
              <w:rPr>
                <w:webHidden/>
              </w:rPr>
              <w:t>3</w:t>
            </w:r>
            <w:r w:rsidR="00BE63A1">
              <w:rPr>
                <w:webHidden/>
              </w:rPr>
              <w:fldChar w:fldCharType="end"/>
            </w:r>
          </w:hyperlink>
        </w:p>
        <w:p w14:paraId="102A2865" w14:textId="452A66FD" w:rsidR="00BE63A1" w:rsidRDefault="00EB02E3">
          <w:pPr>
            <w:pStyle w:val="TOC2"/>
            <w:rPr>
              <w:rFonts w:eastAsiaTheme="minorEastAsia"/>
              <w:lang w:eastAsia="en-AU"/>
            </w:rPr>
          </w:pPr>
          <w:hyperlink w:anchor="_Toc94712296" w:history="1">
            <w:r w:rsidR="00BE63A1" w:rsidRPr="00C86981">
              <w:rPr>
                <w:rStyle w:val="Hyperlink"/>
              </w:rPr>
              <w:t>Audit conclusions</w:t>
            </w:r>
            <w:r w:rsidR="00BE63A1">
              <w:rPr>
                <w:webHidden/>
              </w:rPr>
              <w:tab/>
            </w:r>
            <w:r w:rsidR="00BE63A1">
              <w:rPr>
                <w:webHidden/>
              </w:rPr>
              <w:fldChar w:fldCharType="begin"/>
            </w:r>
            <w:r w:rsidR="00BE63A1">
              <w:rPr>
                <w:webHidden/>
              </w:rPr>
              <w:instrText xml:space="preserve"> PAGEREF _Toc94712296 \h </w:instrText>
            </w:r>
            <w:r w:rsidR="00BE63A1">
              <w:rPr>
                <w:webHidden/>
              </w:rPr>
            </w:r>
            <w:r w:rsidR="00BE63A1">
              <w:rPr>
                <w:webHidden/>
              </w:rPr>
              <w:fldChar w:fldCharType="separate"/>
            </w:r>
            <w:r w:rsidR="00BE63A1">
              <w:rPr>
                <w:webHidden/>
              </w:rPr>
              <w:t>3</w:t>
            </w:r>
            <w:r w:rsidR="00BE63A1">
              <w:rPr>
                <w:webHidden/>
              </w:rPr>
              <w:fldChar w:fldCharType="end"/>
            </w:r>
          </w:hyperlink>
        </w:p>
        <w:p w14:paraId="3C5C6D74" w14:textId="19219801" w:rsidR="00BE63A1" w:rsidRDefault="00EB02E3">
          <w:pPr>
            <w:pStyle w:val="TOC2"/>
            <w:rPr>
              <w:rFonts w:eastAsiaTheme="minorEastAsia"/>
              <w:lang w:eastAsia="en-AU"/>
            </w:rPr>
          </w:pPr>
          <w:hyperlink w:anchor="_Toc94712297" w:history="1">
            <w:r w:rsidR="00BE63A1" w:rsidRPr="00C86981">
              <w:rPr>
                <w:rStyle w:val="Hyperlink"/>
              </w:rPr>
              <w:t>Audit recommendations</w:t>
            </w:r>
            <w:r w:rsidR="00BE63A1">
              <w:rPr>
                <w:webHidden/>
              </w:rPr>
              <w:tab/>
            </w:r>
            <w:r w:rsidR="00BE63A1">
              <w:rPr>
                <w:webHidden/>
              </w:rPr>
              <w:fldChar w:fldCharType="begin"/>
            </w:r>
            <w:r w:rsidR="00BE63A1">
              <w:rPr>
                <w:webHidden/>
              </w:rPr>
              <w:instrText xml:space="preserve"> PAGEREF _Toc94712297 \h </w:instrText>
            </w:r>
            <w:r w:rsidR="00BE63A1">
              <w:rPr>
                <w:webHidden/>
              </w:rPr>
            </w:r>
            <w:r w:rsidR="00BE63A1">
              <w:rPr>
                <w:webHidden/>
              </w:rPr>
              <w:fldChar w:fldCharType="separate"/>
            </w:r>
            <w:r w:rsidR="00BE63A1">
              <w:rPr>
                <w:webHidden/>
              </w:rPr>
              <w:t>4</w:t>
            </w:r>
            <w:r w:rsidR="00BE63A1">
              <w:rPr>
                <w:webHidden/>
              </w:rPr>
              <w:fldChar w:fldCharType="end"/>
            </w:r>
          </w:hyperlink>
        </w:p>
        <w:p w14:paraId="40DFCEE9" w14:textId="713098CF" w:rsidR="00BE63A1" w:rsidRDefault="00EB02E3">
          <w:pPr>
            <w:pStyle w:val="TOC1"/>
            <w:rPr>
              <w:rFonts w:asciiTheme="minorHAnsi" w:eastAsiaTheme="minorEastAsia" w:hAnsiTheme="minorHAnsi"/>
              <w:b w:val="0"/>
              <w:bCs w:val="0"/>
              <w:color w:val="auto"/>
              <w:w w:val="100"/>
              <w:sz w:val="22"/>
              <w:lang w:eastAsia="en-AU"/>
            </w:rPr>
          </w:pPr>
          <w:hyperlink w:anchor="_Toc94712298" w:history="1">
            <w:r w:rsidR="00BE63A1" w:rsidRPr="00C86981">
              <w:rPr>
                <w:rStyle w:val="Hyperlink"/>
              </w:rPr>
              <w:t>4.</w:t>
            </w:r>
            <w:r w:rsidR="00BE63A1">
              <w:rPr>
                <w:rFonts w:asciiTheme="minorHAnsi" w:eastAsiaTheme="minorEastAsia" w:hAnsiTheme="minorHAnsi"/>
                <w:b w:val="0"/>
                <w:bCs w:val="0"/>
                <w:color w:val="auto"/>
                <w:w w:val="100"/>
                <w:sz w:val="22"/>
                <w:lang w:eastAsia="en-AU"/>
              </w:rPr>
              <w:tab/>
            </w:r>
            <w:r w:rsidR="00BE63A1" w:rsidRPr="00C86981">
              <w:rPr>
                <w:rStyle w:val="Hyperlink"/>
              </w:rPr>
              <w:t>Committee comment</w:t>
            </w:r>
            <w:r w:rsidR="00BE63A1">
              <w:rPr>
                <w:webHidden/>
              </w:rPr>
              <w:tab/>
            </w:r>
            <w:r w:rsidR="00BE63A1">
              <w:rPr>
                <w:webHidden/>
              </w:rPr>
              <w:fldChar w:fldCharType="begin"/>
            </w:r>
            <w:r w:rsidR="00BE63A1">
              <w:rPr>
                <w:webHidden/>
              </w:rPr>
              <w:instrText xml:space="preserve"> PAGEREF _Toc94712298 \h </w:instrText>
            </w:r>
            <w:r w:rsidR="00BE63A1">
              <w:rPr>
                <w:webHidden/>
              </w:rPr>
            </w:r>
            <w:r w:rsidR="00BE63A1">
              <w:rPr>
                <w:webHidden/>
              </w:rPr>
              <w:fldChar w:fldCharType="separate"/>
            </w:r>
            <w:r w:rsidR="00BE63A1">
              <w:rPr>
                <w:webHidden/>
              </w:rPr>
              <w:t>5</w:t>
            </w:r>
            <w:r w:rsidR="00BE63A1">
              <w:rPr>
                <w:webHidden/>
              </w:rPr>
              <w:fldChar w:fldCharType="end"/>
            </w:r>
          </w:hyperlink>
        </w:p>
        <w:p w14:paraId="65119D54" w14:textId="3BBEEC25" w:rsidR="00BE63A1" w:rsidRDefault="00EB02E3">
          <w:pPr>
            <w:pStyle w:val="TOC2"/>
            <w:rPr>
              <w:rFonts w:eastAsiaTheme="minorEastAsia"/>
              <w:lang w:eastAsia="en-AU"/>
            </w:rPr>
          </w:pPr>
          <w:hyperlink w:anchor="_Toc94712299" w:history="1">
            <w:r w:rsidR="00BE63A1" w:rsidRPr="00C86981">
              <w:rPr>
                <w:rStyle w:val="Hyperlink"/>
              </w:rPr>
              <w:t>Data integrity assurances</w:t>
            </w:r>
            <w:r w:rsidR="00BE63A1">
              <w:rPr>
                <w:webHidden/>
              </w:rPr>
              <w:tab/>
            </w:r>
            <w:r w:rsidR="00BE63A1">
              <w:rPr>
                <w:webHidden/>
              </w:rPr>
              <w:fldChar w:fldCharType="begin"/>
            </w:r>
            <w:r w:rsidR="00BE63A1">
              <w:rPr>
                <w:webHidden/>
              </w:rPr>
              <w:instrText xml:space="preserve"> PAGEREF _Toc94712299 \h </w:instrText>
            </w:r>
            <w:r w:rsidR="00BE63A1">
              <w:rPr>
                <w:webHidden/>
              </w:rPr>
            </w:r>
            <w:r w:rsidR="00BE63A1">
              <w:rPr>
                <w:webHidden/>
              </w:rPr>
              <w:fldChar w:fldCharType="separate"/>
            </w:r>
            <w:r w:rsidR="00BE63A1">
              <w:rPr>
                <w:webHidden/>
              </w:rPr>
              <w:t>5</w:t>
            </w:r>
            <w:r w:rsidR="00BE63A1">
              <w:rPr>
                <w:webHidden/>
              </w:rPr>
              <w:fldChar w:fldCharType="end"/>
            </w:r>
          </w:hyperlink>
        </w:p>
        <w:p w14:paraId="6FCD93CD" w14:textId="366A71BD" w:rsidR="00BE63A1" w:rsidRDefault="00EB02E3">
          <w:pPr>
            <w:pStyle w:val="TOC2"/>
            <w:rPr>
              <w:rFonts w:eastAsiaTheme="minorEastAsia"/>
              <w:lang w:eastAsia="en-AU"/>
            </w:rPr>
          </w:pPr>
          <w:hyperlink w:anchor="_Toc94712300" w:history="1">
            <w:r w:rsidR="00BE63A1" w:rsidRPr="00C86981">
              <w:rPr>
                <w:rStyle w:val="Hyperlink"/>
              </w:rPr>
              <w:t>Asset transfer</w:t>
            </w:r>
            <w:r w:rsidR="00BE63A1">
              <w:rPr>
                <w:webHidden/>
              </w:rPr>
              <w:tab/>
            </w:r>
            <w:r w:rsidR="00BE63A1">
              <w:rPr>
                <w:webHidden/>
              </w:rPr>
              <w:fldChar w:fldCharType="begin"/>
            </w:r>
            <w:r w:rsidR="00BE63A1">
              <w:rPr>
                <w:webHidden/>
              </w:rPr>
              <w:instrText xml:space="preserve"> PAGEREF _Toc94712300 \h </w:instrText>
            </w:r>
            <w:r w:rsidR="00BE63A1">
              <w:rPr>
                <w:webHidden/>
              </w:rPr>
            </w:r>
            <w:r w:rsidR="00BE63A1">
              <w:rPr>
                <w:webHidden/>
              </w:rPr>
              <w:fldChar w:fldCharType="separate"/>
            </w:r>
            <w:r w:rsidR="00BE63A1">
              <w:rPr>
                <w:webHidden/>
              </w:rPr>
              <w:t>6</w:t>
            </w:r>
            <w:r w:rsidR="00BE63A1">
              <w:rPr>
                <w:webHidden/>
              </w:rPr>
              <w:fldChar w:fldCharType="end"/>
            </w:r>
          </w:hyperlink>
        </w:p>
        <w:p w14:paraId="3CAC1C14" w14:textId="0C615EFC" w:rsidR="00BE63A1" w:rsidRDefault="00EB02E3">
          <w:pPr>
            <w:pStyle w:val="TOC1"/>
            <w:rPr>
              <w:rFonts w:asciiTheme="minorHAnsi" w:eastAsiaTheme="minorEastAsia" w:hAnsiTheme="minorHAnsi"/>
              <w:b w:val="0"/>
              <w:bCs w:val="0"/>
              <w:color w:val="auto"/>
              <w:w w:val="100"/>
              <w:sz w:val="22"/>
              <w:lang w:eastAsia="en-AU"/>
            </w:rPr>
          </w:pPr>
          <w:hyperlink w:anchor="_Toc94712301" w:history="1">
            <w:r w:rsidR="00BE63A1" w:rsidRPr="00C86981">
              <w:rPr>
                <w:rStyle w:val="Hyperlink"/>
              </w:rPr>
              <w:t>5.</w:t>
            </w:r>
            <w:r w:rsidR="00BE63A1">
              <w:rPr>
                <w:rFonts w:asciiTheme="minorHAnsi" w:eastAsiaTheme="minorEastAsia" w:hAnsiTheme="minorHAnsi"/>
                <w:b w:val="0"/>
                <w:bCs w:val="0"/>
                <w:color w:val="auto"/>
                <w:w w:val="100"/>
                <w:sz w:val="22"/>
                <w:lang w:eastAsia="en-AU"/>
              </w:rPr>
              <w:tab/>
            </w:r>
            <w:r w:rsidR="00BE63A1" w:rsidRPr="00C86981">
              <w:rPr>
                <w:rStyle w:val="Hyperlink"/>
              </w:rPr>
              <w:t>Conclusion</w:t>
            </w:r>
            <w:r w:rsidR="00BE63A1">
              <w:rPr>
                <w:webHidden/>
              </w:rPr>
              <w:tab/>
            </w:r>
            <w:r w:rsidR="00BE63A1">
              <w:rPr>
                <w:webHidden/>
              </w:rPr>
              <w:fldChar w:fldCharType="begin"/>
            </w:r>
            <w:r w:rsidR="00BE63A1">
              <w:rPr>
                <w:webHidden/>
              </w:rPr>
              <w:instrText xml:space="preserve"> PAGEREF _Toc94712301 \h </w:instrText>
            </w:r>
            <w:r w:rsidR="00BE63A1">
              <w:rPr>
                <w:webHidden/>
              </w:rPr>
            </w:r>
            <w:r w:rsidR="00BE63A1">
              <w:rPr>
                <w:webHidden/>
              </w:rPr>
              <w:fldChar w:fldCharType="separate"/>
            </w:r>
            <w:r w:rsidR="00BE63A1">
              <w:rPr>
                <w:webHidden/>
              </w:rPr>
              <w:t>7</w:t>
            </w:r>
            <w:r w:rsidR="00BE63A1">
              <w:rPr>
                <w:webHidden/>
              </w:rPr>
              <w:fldChar w:fldCharType="end"/>
            </w:r>
          </w:hyperlink>
        </w:p>
        <w:p w14:paraId="31BE07CE" w14:textId="0D08B543" w:rsidR="00BE63A1" w:rsidRDefault="00EB02E3">
          <w:pPr>
            <w:pStyle w:val="TOC1"/>
            <w:rPr>
              <w:rFonts w:asciiTheme="minorHAnsi" w:eastAsiaTheme="minorEastAsia" w:hAnsiTheme="minorHAnsi"/>
              <w:b w:val="0"/>
              <w:bCs w:val="0"/>
              <w:color w:val="auto"/>
              <w:w w:val="100"/>
              <w:sz w:val="22"/>
              <w:lang w:eastAsia="en-AU"/>
            </w:rPr>
          </w:pPr>
          <w:hyperlink w:anchor="_Toc94712302" w:history="1">
            <w:r w:rsidR="00BE63A1" w:rsidRPr="00C86981">
              <w:rPr>
                <w:rStyle w:val="Hyperlink"/>
              </w:rPr>
              <w:t>Appendix A: Witnesses</w:t>
            </w:r>
            <w:r w:rsidR="00BE63A1">
              <w:rPr>
                <w:webHidden/>
              </w:rPr>
              <w:tab/>
            </w:r>
            <w:r w:rsidR="00BE63A1">
              <w:rPr>
                <w:webHidden/>
              </w:rPr>
              <w:fldChar w:fldCharType="begin"/>
            </w:r>
            <w:r w:rsidR="00BE63A1">
              <w:rPr>
                <w:webHidden/>
              </w:rPr>
              <w:instrText xml:space="preserve"> PAGEREF _Toc94712302 \h </w:instrText>
            </w:r>
            <w:r w:rsidR="00BE63A1">
              <w:rPr>
                <w:webHidden/>
              </w:rPr>
            </w:r>
            <w:r w:rsidR="00BE63A1">
              <w:rPr>
                <w:webHidden/>
              </w:rPr>
              <w:fldChar w:fldCharType="separate"/>
            </w:r>
            <w:r w:rsidR="00BE63A1">
              <w:rPr>
                <w:webHidden/>
              </w:rPr>
              <w:t>8</w:t>
            </w:r>
            <w:r w:rsidR="00BE63A1">
              <w:rPr>
                <w:webHidden/>
              </w:rPr>
              <w:fldChar w:fldCharType="end"/>
            </w:r>
          </w:hyperlink>
        </w:p>
        <w:p w14:paraId="623E29D3" w14:textId="1ADFEE54" w:rsidR="00BE63A1" w:rsidRDefault="00EB02E3">
          <w:pPr>
            <w:pStyle w:val="TOC2"/>
            <w:rPr>
              <w:rFonts w:eastAsiaTheme="minorEastAsia"/>
              <w:lang w:eastAsia="en-AU"/>
            </w:rPr>
          </w:pPr>
          <w:hyperlink w:anchor="_Toc94712303" w:history="1">
            <w:r w:rsidR="00BE63A1" w:rsidRPr="00C86981">
              <w:rPr>
                <w:rStyle w:val="Hyperlink"/>
              </w:rPr>
              <w:t>16 June 2021</w:t>
            </w:r>
            <w:r w:rsidR="00BE63A1">
              <w:rPr>
                <w:webHidden/>
              </w:rPr>
              <w:tab/>
            </w:r>
            <w:r w:rsidR="00BE63A1">
              <w:rPr>
                <w:webHidden/>
              </w:rPr>
              <w:fldChar w:fldCharType="begin"/>
            </w:r>
            <w:r w:rsidR="00BE63A1">
              <w:rPr>
                <w:webHidden/>
              </w:rPr>
              <w:instrText xml:space="preserve"> PAGEREF _Toc94712303 \h </w:instrText>
            </w:r>
            <w:r w:rsidR="00BE63A1">
              <w:rPr>
                <w:webHidden/>
              </w:rPr>
            </w:r>
            <w:r w:rsidR="00BE63A1">
              <w:rPr>
                <w:webHidden/>
              </w:rPr>
              <w:fldChar w:fldCharType="separate"/>
            </w:r>
            <w:r w:rsidR="00BE63A1">
              <w:rPr>
                <w:webHidden/>
              </w:rPr>
              <w:t>8</w:t>
            </w:r>
            <w:r w:rsidR="00BE63A1">
              <w:rPr>
                <w:webHidden/>
              </w:rPr>
              <w:fldChar w:fldCharType="end"/>
            </w:r>
          </w:hyperlink>
        </w:p>
        <w:p w14:paraId="05D76224" w14:textId="0B0958CE" w:rsidR="00BE63A1" w:rsidRDefault="00EB02E3">
          <w:pPr>
            <w:pStyle w:val="TOC3"/>
            <w:rPr>
              <w:rFonts w:eastAsiaTheme="minorEastAsia"/>
              <w:lang w:eastAsia="en-AU"/>
            </w:rPr>
          </w:pPr>
          <w:hyperlink w:anchor="_Toc94712304" w:history="1">
            <w:r w:rsidR="00BE63A1" w:rsidRPr="00C86981">
              <w:rPr>
                <w:rStyle w:val="Hyperlink"/>
              </w:rPr>
              <w:t>ACT Audit Office</w:t>
            </w:r>
            <w:r w:rsidR="00BE63A1">
              <w:rPr>
                <w:webHidden/>
              </w:rPr>
              <w:tab/>
            </w:r>
            <w:r w:rsidR="00BE63A1">
              <w:rPr>
                <w:webHidden/>
              </w:rPr>
              <w:fldChar w:fldCharType="begin"/>
            </w:r>
            <w:r w:rsidR="00BE63A1">
              <w:rPr>
                <w:webHidden/>
              </w:rPr>
              <w:instrText xml:space="preserve"> PAGEREF _Toc94712304 \h </w:instrText>
            </w:r>
            <w:r w:rsidR="00BE63A1">
              <w:rPr>
                <w:webHidden/>
              </w:rPr>
            </w:r>
            <w:r w:rsidR="00BE63A1">
              <w:rPr>
                <w:webHidden/>
              </w:rPr>
              <w:fldChar w:fldCharType="separate"/>
            </w:r>
            <w:r w:rsidR="00BE63A1">
              <w:rPr>
                <w:webHidden/>
              </w:rPr>
              <w:t>8</w:t>
            </w:r>
            <w:r w:rsidR="00BE63A1">
              <w:rPr>
                <w:webHidden/>
              </w:rPr>
              <w:fldChar w:fldCharType="end"/>
            </w:r>
          </w:hyperlink>
        </w:p>
        <w:p w14:paraId="32DCB46E" w14:textId="24749237" w:rsidR="00BE63A1" w:rsidRDefault="00EB02E3">
          <w:pPr>
            <w:pStyle w:val="TOC3"/>
            <w:rPr>
              <w:rFonts w:eastAsiaTheme="minorEastAsia"/>
              <w:lang w:eastAsia="en-AU"/>
            </w:rPr>
          </w:pPr>
          <w:hyperlink w:anchor="_Toc94712305" w:history="1">
            <w:r w:rsidR="00BE63A1" w:rsidRPr="00C86981">
              <w:rPr>
                <w:rStyle w:val="Hyperlink"/>
              </w:rPr>
              <w:t>Industrial Relations and Workplace Safety Portfolio</w:t>
            </w:r>
            <w:r w:rsidR="00BE63A1">
              <w:rPr>
                <w:webHidden/>
              </w:rPr>
              <w:tab/>
            </w:r>
            <w:r w:rsidR="00BE63A1">
              <w:rPr>
                <w:webHidden/>
              </w:rPr>
              <w:fldChar w:fldCharType="begin"/>
            </w:r>
            <w:r w:rsidR="00BE63A1">
              <w:rPr>
                <w:webHidden/>
              </w:rPr>
              <w:instrText xml:space="preserve"> PAGEREF _Toc94712305 \h </w:instrText>
            </w:r>
            <w:r w:rsidR="00BE63A1">
              <w:rPr>
                <w:webHidden/>
              </w:rPr>
            </w:r>
            <w:r w:rsidR="00BE63A1">
              <w:rPr>
                <w:webHidden/>
              </w:rPr>
              <w:fldChar w:fldCharType="separate"/>
            </w:r>
            <w:r w:rsidR="00BE63A1">
              <w:rPr>
                <w:webHidden/>
              </w:rPr>
              <w:t>8</w:t>
            </w:r>
            <w:r w:rsidR="00BE63A1">
              <w:rPr>
                <w:webHidden/>
              </w:rPr>
              <w:fldChar w:fldCharType="end"/>
            </w:r>
          </w:hyperlink>
        </w:p>
        <w:p w14:paraId="5802A006" w14:textId="64430AED" w:rsidR="00BE63A1" w:rsidRDefault="00EB02E3">
          <w:pPr>
            <w:pStyle w:val="TOC1"/>
            <w:rPr>
              <w:rFonts w:asciiTheme="minorHAnsi" w:eastAsiaTheme="minorEastAsia" w:hAnsiTheme="minorHAnsi"/>
              <w:b w:val="0"/>
              <w:bCs w:val="0"/>
              <w:color w:val="auto"/>
              <w:w w:val="100"/>
              <w:sz w:val="22"/>
              <w:lang w:eastAsia="en-AU"/>
            </w:rPr>
          </w:pPr>
          <w:hyperlink w:anchor="_Toc94712306" w:history="1">
            <w:r w:rsidR="00BE63A1" w:rsidRPr="00C86981">
              <w:rPr>
                <w:rStyle w:val="Hyperlink"/>
              </w:rPr>
              <w:t>Appendix B: Question Taken on Notice</w:t>
            </w:r>
            <w:r w:rsidR="00BE63A1">
              <w:rPr>
                <w:webHidden/>
              </w:rPr>
              <w:tab/>
            </w:r>
            <w:r w:rsidR="00BE63A1">
              <w:rPr>
                <w:webHidden/>
              </w:rPr>
              <w:fldChar w:fldCharType="begin"/>
            </w:r>
            <w:r w:rsidR="00BE63A1">
              <w:rPr>
                <w:webHidden/>
              </w:rPr>
              <w:instrText xml:space="preserve"> PAGEREF _Toc94712306 \h </w:instrText>
            </w:r>
            <w:r w:rsidR="00BE63A1">
              <w:rPr>
                <w:webHidden/>
              </w:rPr>
            </w:r>
            <w:r w:rsidR="00BE63A1">
              <w:rPr>
                <w:webHidden/>
              </w:rPr>
              <w:fldChar w:fldCharType="separate"/>
            </w:r>
            <w:r w:rsidR="00BE63A1">
              <w:rPr>
                <w:webHidden/>
              </w:rPr>
              <w:t>9</w:t>
            </w:r>
            <w:r w:rsidR="00BE63A1">
              <w:rPr>
                <w:webHidden/>
              </w:rPr>
              <w:fldChar w:fldCharType="end"/>
            </w:r>
          </w:hyperlink>
        </w:p>
        <w:p w14:paraId="37F993AD" w14:textId="77C1EBA1" w:rsidR="00121E63" w:rsidRDefault="008A6130" w:rsidP="00121E63">
          <w:pPr>
            <w:rPr>
              <w:bCs/>
              <w:noProof/>
            </w:rPr>
          </w:pPr>
          <w:r>
            <w:rPr>
              <w:b/>
              <w:bCs/>
              <w:noProof/>
            </w:rPr>
            <w:fldChar w:fldCharType="end"/>
          </w:r>
        </w:p>
      </w:sdtContent>
    </w:sdt>
    <w:bookmarkStart w:id="8" w:name="_Toc79133347" w:displacedByCustomXml="prev"/>
    <w:bookmarkStart w:id="9" w:name="_Hlk79475490" w:displacedByCustomXml="prev"/>
    <w:p w14:paraId="3D31C645" w14:textId="28D96B64" w:rsidR="009F5A83" w:rsidRPr="00121E63" w:rsidRDefault="009F5A83" w:rsidP="00121E63">
      <w:r>
        <w:br w:type="page"/>
      </w:r>
    </w:p>
    <w:p w14:paraId="4044F508" w14:textId="1281D31D" w:rsidR="007A6EB9" w:rsidRDefault="008D72C9" w:rsidP="009F5A83">
      <w:pPr>
        <w:pStyle w:val="Heading1nonumber"/>
      </w:pPr>
      <w:bookmarkStart w:id="10" w:name="_Toc94712287"/>
      <w:r>
        <w:lastRenderedPageBreak/>
        <w:t>R</w:t>
      </w:r>
      <w:r w:rsidR="007A6EB9" w:rsidRPr="0006752F">
        <w:t>ecommendations</w:t>
      </w:r>
      <w:bookmarkEnd w:id="10"/>
    </w:p>
    <w:p w14:paraId="56F9D8C4" w14:textId="77777777" w:rsidR="00BE63A1" w:rsidRDefault="006A7A61">
      <w:pPr>
        <w:pStyle w:val="TOC1"/>
        <w:rPr>
          <w:rFonts w:asciiTheme="minorHAnsi" w:eastAsiaTheme="minorEastAsia" w:hAnsiTheme="minorHAnsi"/>
          <w:b w:val="0"/>
          <w:bCs w:val="0"/>
          <w:color w:val="auto"/>
          <w:w w:val="100"/>
          <w:sz w:val="22"/>
          <w:lang w:eastAsia="en-AU"/>
        </w:rPr>
      </w:pPr>
      <w:r>
        <w:fldChar w:fldCharType="begin"/>
      </w:r>
      <w:r>
        <w:instrText xml:space="preserve"> TOC \n \h \z \t "Recommendation heading,1,Recommendation body,2" </w:instrText>
      </w:r>
      <w:r>
        <w:fldChar w:fldCharType="separate"/>
      </w:r>
      <w:hyperlink w:anchor="_Toc94712307" w:history="1">
        <w:r w:rsidR="00BE63A1" w:rsidRPr="000C247E">
          <w:rPr>
            <w:rStyle w:val="Hyperlink"/>
          </w:rPr>
          <w:t>Recommendation 1</w:t>
        </w:r>
      </w:hyperlink>
    </w:p>
    <w:p w14:paraId="49FDC785" w14:textId="77777777" w:rsidR="00BE63A1" w:rsidRDefault="00EB02E3">
      <w:pPr>
        <w:pStyle w:val="TOC2"/>
        <w:rPr>
          <w:rFonts w:eastAsiaTheme="minorEastAsia"/>
          <w:lang w:eastAsia="en-AU"/>
        </w:rPr>
      </w:pPr>
      <w:hyperlink w:anchor="_Toc94712308" w:history="1">
        <w:r w:rsidR="00BE63A1" w:rsidRPr="000C247E">
          <w:rPr>
            <w:rStyle w:val="Hyperlink"/>
          </w:rPr>
          <w:t>The Committee recommends that the ACT Government finalise negotiations with Comcare and ensure the transfer of assets from Comcare is received by no later than the end of this financial year.</w:t>
        </w:r>
      </w:hyperlink>
    </w:p>
    <w:p w14:paraId="34234833" w14:textId="27DC1DDF" w:rsidR="00B7541C" w:rsidRDefault="006A7A61" w:rsidP="00B7541C">
      <w:r>
        <w:fldChar w:fldCharType="end"/>
      </w:r>
    </w:p>
    <w:p w14:paraId="344C4F63" w14:textId="5C49D60C" w:rsidR="00B7541C" w:rsidRPr="00B7541C" w:rsidRDefault="00B7541C" w:rsidP="00B7541C">
      <w:pPr>
        <w:sectPr w:rsidR="00B7541C" w:rsidRPr="00B7541C" w:rsidSect="00171A60">
          <w:footerReference w:type="default" r:id="rId17"/>
          <w:pgSz w:w="11906" w:h="16838"/>
          <w:pgMar w:top="1440" w:right="1440" w:bottom="1440" w:left="1440" w:header="708" w:footer="315" w:gutter="0"/>
          <w:pgNumType w:fmt="lowerRoman" w:start="1"/>
          <w:cols w:space="708"/>
          <w:docGrid w:linePitch="360"/>
        </w:sectPr>
      </w:pPr>
    </w:p>
    <w:p w14:paraId="3C3D9D52" w14:textId="77777777" w:rsidR="00A81376" w:rsidRDefault="00A81376" w:rsidP="00A81376">
      <w:pPr>
        <w:pStyle w:val="Heading1"/>
      </w:pPr>
      <w:bookmarkStart w:id="11" w:name="_Toc89863047"/>
      <w:bookmarkStart w:id="12" w:name="_Toc94712288"/>
      <w:bookmarkEnd w:id="8"/>
      <w:r>
        <w:lastRenderedPageBreak/>
        <w:t>Introduction</w:t>
      </w:r>
      <w:bookmarkEnd w:id="11"/>
      <w:bookmarkEnd w:id="12"/>
    </w:p>
    <w:p w14:paraId="22C9225D" w14:textId="77777777" w:rsidR="00A81376" w:rsidRPr="00D33122" w:rsidRDefault="00A81376" w:rsidP="00D12155">
      <w:pPr>
        <w:pStyle w:val="Heading2"/>
      </w:pPr>
      <w:bookmarkStart w:id="13" w:name="_Toc89863048"/>
      <w:bookmarkStart w:id="14" w:name="_Toc94712289"/>
      <w:r>
        <w:t>Preliminary</w:t>
      </w:r>
      <w:bookmarkEnd w:id="13"/>
      <w:bookmarkEnd w:id="14"/>
    </w:p>
    <w:p w14:paraId="19381FE1" w14:textId="77777777" w:rsidR="00A81376" w:rsidRDefault="00A81376" w:rsidP="00A81376">
      <w:pPr>
        <w:pStyle w:val="ListNumber2"/>
      </w:pPr>
      <w:r>
        <w:t>Reports of the Auditor-General form a significant part of the Committee's work. The Committee has an important role to follow-up on the reports and recommendations of the Auditor-General.</w:t>
      </w:r>
    </w:p>
    <w:p w14:paraId="192BC944" w14:textId="77777777" w:rsidR="00A81376" w:rsidRDefault="00A81376" w:rsidP="00A81376">
      <w:pPr>
        <w:pStyle w:val="ListNumber2"/>
      </w:pPr>
      <w:r>
        <w:t xml:space="preserve">Where the Committee determines a report of the Auditor-General requires further examination by the Committee, it may conduct a formal inquiry into the matter. This may include calling for written submissions, hearing from witnesses, and preparing a written report for presentation to the Legislative Assembly. </w:t>
      </w:r>
    </w:p>
    <w:p w14:paraId="3FD4F6F7" w14:textId="77777777" w:rsidR="00A81376" w:rsidRDefault="00A81376" w:rsidP="00D12155">
      <w:pPr>
        <w:pStyle w:val="Heading2"/>
      </w:pPr>
      <w:bookmarkStart w:id="15" w:name="_Toc89863049"/>
      <w:bookmarkStart w:id="16" w:name="_Toc94712290"/>
      <w:r>
        <w:t>Acknowledgements</w:t>
      </w:r>
      <w:bookmarkEnd w:id="15"/>
      <w:bookmarkEnd w:id="16"/>
    </w:p>
    <w:p w14:paraId="354BDCA6" w14:textId="0CD9BF13" w:rsidR="00A81376" w:rsidRPr="00FB222D" w:rsidRDefault="00A81376" w:rsidP="00121E63">
      <w:pPr>
        <w:pStyle w:val="ListNumber2"/>
      </w:pPr>
      <w:r>
        <w:t>The Committee acknowledges those who contributed to its inquiry, including the Auditor</w:t>
      </w:r>
      <w:r>
        <w:noBreakHyphen/>
        <w:t xml:space="preserve">General, the responsible Minister, and directorate officials. </w:t>
      </w:r>
    </w:p>
    <w:p w14:paraId="0FC0D398" w14:textId="0AB426D4" w:rsidR="00B11C95" w:rsidRDefault="00D24362" w:rsidP="00927B0F">
      <w:pPr>
        <w:pStyle w:val="Heading1"/>
        <w:pageBreakBefore/>
      </w:pPr>
      <w:bookmarkStart w:id="17" w:name="_Toc92359877"/>
      <w:bookmarkStart w:id="18" w:name="_Toc92359878"/>
      <w:bookmarkStart w:id="19" w:name="_Toc92359879"/>
      <w:bookmarkStart w:id="20" w:name="_Toc92359880"/>
      <w:bookmarkStart w:id="21" w:name="_Toc94712291"/>
      <w:bookmarkEnd w:id="17"/>
      <w:bookmarkEnd w:id="18"/>
      <w:bookmarkEnd w:id="19"/>
      <w:bookmarkEnd w:id="20"/>
      <w:r>
        <w:lastRenderedPageBreak/>
        <w:t xml:space="preserve">Conduct of </w:t>
      </w:r>
      <w:r w:rsidR="00A81376">
        <w:t>inquiry</w:t>
      </w:r>
      <w:bookmarkEnd w:id="21"/>
      <w:r w:rsidR="001107E9">
        <w:t xml:space="preserve"> </w:t>
      </w:r>
    </w:p>
    <w:p w14:paraId="32134A2B" w14:textId="2E275A77" w:rsidR="00877CE0" w:rsidRPr="00877CE0" w:rsidRDefault="00877CE0" w:rsidP="00D12155">
      <w:pPr>
        <w:pStyle w:val="Heading2"/>
      </w:pPr>
      <w:bookmarkStart w:id="22" w:name="_Toc94712292"/>
      <w:r>
        <w:t xml:space="preserve">Referral and </w:t>
      </w:r>
      <w:r w:rsidR="00A81376">
        <w:t xml:space="preserve">decision </w:t>
      </w:r>
      <w:r>
        <w:t xml:space="preserve">to </w:t>
      </w:r>
      <w:r w:rsidR="00A81376">
        <w:t>further inquire</w:t>
      </w:r>
      <w:bookmarkEnd w:id="22"/>
    </w:p>
    <w:bookmarkEnd w:id="9"/>
    <w:p w14:paraId="7EE784CC" w14:textId="538D8B55" w:rsidR="00EA6308" w:rsidRDefault="00EA6308" w:rsidP="00EA6308">
      <w:pPr>
        <w:pStyle w:val="ListNumber2"/>
      </w:pPr>
      <w:r>
        <w:t>Auditor-General’s Repo</w:t>
      </w:r>
      <w:r w:rsidR="000B0BFD">
        <w:t>r</w:t>
      </w:r>
      <w:r>
        <w:t xml:space="preserve">t </w:t>
      </w:r>
      <w:r w:rsidRPr="00927B0F">
        <w:t>No. 6 of 2020</w:t>
      </w:r>
      <w:r w:rsidRPr="003D6D2D">
        <w:rPr>
          <w:i/>
          <w:iCs/>
        </w:rPr>
        <w:t xml:space="preserve">: </w:t>
      </w:r>
      <w:r w:rsidRPr="001E487A">
        <w:rPr>
          <w:i/>
          <w:iCs/>
        </w:rPr>
        <w:t xml:space="preserve">Transfer </w:t>
      </w:r>
      <w:r w:rsidR="00A81276" w:rsidRPr="001E487A">
        <w:rPr>
          <w:i/>
          <w:iCs/>
        </w:rPr>
        <w:t>of</w:t>
      </w:r>
      <w:r w:rsidRPr="001E487A">
        <w:rPr>
          <w:i/>
          <w:iCs/>
        </w:rPr>
        <w:t xml:space="preserve"> Worker’s Compensation Arrangements </w:t>
      </w:r>
      <w:r w:rsidR="00EB14D0">
        <w:rPr>
          <w:i/>
          <w:iCs/>
        </w:rPr>
        <w:t>f</w:t>
      </w:r>
      <w:r w:rsidRPr="001E487A">
        <w:rPr>
          <w:i/>
          <w:iCs/>
        </w:rPr>
        <w:t xml:space="preserve">rom Comcare </w:t>
      </w:r>
      <w:r>
        <w:t>(the Audit Report) was presented to the Legislative Assembly on 2 July 2020.</w:t>
      </w:r>
    </w:p>
    <w:p w14:paraId="30AF736B" w14:textId="7609CB40" w:rsidR="00BB7280" w:rsidRDefault="00BB7280" w:rsidP="00BB7280">
      <w:pPr>
        <w:pStyle w:val="ListNumber2"/>
      </w:pPr>
      <w:r>
        <w:t>The Audit Report examined and considered the effectiveness of the transfer of ACT Public Service workers’ compensation arrangements from Comcare</w:t>
      </w:r>
      <w:r w:rsidR="000B0BFD">
        <w:t xml:space="preserve"> to the Territory</w:t>
      </w:r>
      <w:r>
        <w:t>.</w:t>
      </w:r>
    </w:p>
    <w:p w14:paraId="6748DF86" w14:textId="70C747EA" w:rsidR="00BB7280" w:rsidRDefault="00BB7280" w:rsidP="00BB7280">
      <w:pPr>
        <w:pStyle w:val="ListNumber2"/>
      </w:pPr>
      <w:r>
        <w:t xml:space="preserve">In accordance with the resolution of </w:t>
      </w:r>
      <w:r w:rsidR="000B0BFD">
        <w:t xml:space="preserve">establishment </w:t>
      </w:r>
      <w:r>
        <w:t>of the Standing Committee on Public Accounts (the Committee), the Audit Report was referred to the Committee for examination.</w:t>
      </w:r>
    </w:p>
    <w:p w14:paraId="36772C12" w14:textId="4F4877BB" w:rsidR="00BB7280" w:rsidRDefault="00BB7280" w:rsidP="00BB7280">
      <w:pPr>
        <w:pStyle w:val="ListNumber2"/>
      </w:pPr>
      <w:r>
        <w:t>The Government Response to the Audit Report was presented to the Assembly on 20</w:t>
      </w:r>
      <w:r w:rsidR="00292566">
        <w:t> </w:t>
      </w:r>
      <w:r>
        <w:t>August 2020.</w:t>
      </w:r>
    </w:p>
    <w:p w14:paraId="432712DC" w14:textId="77777777" w:rsidR="00BB7280" w:rsidRDefault="00BB7280" w:rsidP="00BB7280">
      <w:pPr>
        <w:pStyle w:val="ListNumber2"/>
      </w:pPr>
      <w:r>
        <w:t>On 11 May 2021 the Committee formally announced to the Assembly it would be undertaking further inquiry into the Audit Report.</w:t>
      </w:r>
    </w:p>
    <w:p w14:paraId="29392E6E" w14:textId="36C64E0A" w:rsidR="00EA6308" w:rsidRDefault="00BB7280" w:rsidP="00D12155">
      <w:pPr>
        <w:pStyle w:val="Heading2"/>
      </w:pPr>
      <w:bookmarkStart w:id="23" w:name="_Toc94712293"/>
      <w:r>
        <w:t xml:space="preserve">Conduct of </w:t>
      </w:r>
      <w:r w:rsidR="00AD2AAC">
        <w:t>inquiry</w:t>
      </w:r>
      <w:bookmarkEnd w:id="23"/>
    </w:p>
    <w:p w14:paraId="65D8B440" w14:textId="70ACA20F" w:rsidR="00BB7280" w:rsidRDefault="00BB7280" w:rsidP="00BB7280">
      <w:pPr>
        <w:pStyle w:val="ListNumber2"/>
      </w:pPr>
      <w:r>
        <w:t xml:space="preserve">On </w:t>
      </w:r>
      <w:r w:rsidR="00A81376">
        <w:t xml:space="preserve">20 May 2021 </w:t>
      </w:r>
      <w:r>
        <w:t>the Committee received a briefing from the Auditor-General in relation to the Audit Report</w:t>
      </w:r>
      <w:r w:rsidR="00292566">
        <w:t>.</w:t>
      </w:r>
    </w:p>
    <w:p w14:paraId="2EB7BBB5" w14:textId="78019D85" w:rsidR="00BB7280" w:rsidRDefault="00BB7280" w:rsidP="00BB7280">
      <w:pPr>
        <w:pStyle w:val="ListNumber2"/>
      </w:pPr>
      <w:r>
        <w:t>On</w:t>
      </w:r>
      <w:r w:rsidR="00292566">
        <w:t xml:space="preserve"> 16 June 2021</w:t>
      </w:r>
      <w:r>
        <w:t xml:space="preserve"> the Committee </w:t>
      </w:r>
      <w:r w:rsidR="00927B0F">
        <w:t>heard</w:t>
      </w:r>
      <w:r>
        <w:t xml:space="preserve"> evidence from </w:t>
      </w:r>
      <w:r w:rsidR="00292566">
        <w:t>the Minister for Industrial Relations and Workplace Safety, senior officials of the Chief Minister, Treasur</w:t>
      </w:r>
      <w:r w:rsidR="00927B0F">
        <w:t>y</w:t>
      </w:r>
      <w:r w:rsidR="00292566">
        <w:t>, and Economic Development Directorate (CMTEDD), and the Audit</w:t>
      </w:r>
      <w:r w:rsidR="00927B0F">
        <w:t>or</w:t>
      </w:r>
      <w:r w:rsidR="00292566">
        <w:t>-General and his staff.</w:t>
      </w:r>
    </w:p>
    <w:p w14:paraId="5C5A175D" w14:textId="7104FC89" w:rsidR="0007277F" w:rsidRDefault="0007277F" w:rsidP="00BB7280">
      <w:pPr>
        <w:pStyle w:val="ListNumber2"/>
      </w:pPr>
      <w:r>
        <w:t xml:space="preserve">On </w:t>
      </w:r>
      <w:r w:rsidR="00927B0F">
        <w:t xml:space="preserve">2 February 2022 </w:t>
      </w:r>
      <w:r>
        <w:t>the Committee met to consider the Chair’s draft report on its inquiry.</w:t>
      </w:r>
    </w:p>
    <w:p w14:paraId="43C459B0" w14:textId="103DB1A2" w:rsidR="00171A60" w:rsidRPr="00171A60" w:rsidRDefault="0007277F" w:rsidP="00171A60">
      <w:pPr>
        <w:pStyle w:val="ListNumber2"/>
      </w:pPr>
      <w:r w:rsidRPr="00BE63A1">
        <w:t xml:space="preserve">On </w:t>
      </w:r>
      <w:r w:rsidR="00927B0F" w:rsidRPr="00BE63A1">
        <w:t xml:space="preserve">2 February 2022 </w:t>
      </w:r>
      <w:r w:rsidRPr="00BE63A1">
        <w:t>the</w:t>
      </w:r>
      <w:r>
        <w:t xml:space="preserve"> Committee adopted the Report on its inquiry for presentation to the Legislative Assembly.</w:t>
      </w:r>
    </w:p>
    <w:p w14:paraId="0733A814" w14:textId="1AE48B62" w:rsidR="00BC0651" w:rsidRDefault="008A55AC" w:rsidP="00B74E35">
      <w:pPr>
        <w:pStyle w:val="ListNumber"/>
        <w:pageBreakBefore/>
      </w:pPr>
      <w:bookmarkStart w:id="24" w:name="_Toc92359884"/>
      <w:bookmarkStart w:id="25" w:name="_Toc92359885"/>
      <w:bookmarkStart w:id="26" w:name="_Toc94712294"/>
      <w:bookmarkEnd w:id="24"/>
      <w:bookmarkEnd w:id="25"/>
      <w:r>
        <w:lastRenderedPageBreak/>
        <w:t xml:space="preserve">Audit </w:t>
      </w:r>
      <w:r w:rsidR="001107E9">
        <w:t>b</w:t>
      </w:r>
      <w:r>
        <w:t xml:space="preserve">ackground and </w:t>
      </w:r>
      <w:r w:rsidR="00F24E7E">
        <w:t>outcomes</w:t>
      </w:r>
      <w:bookmarkEnd w:id="26"/>
    </w:p>
    <w:p w14:paraId="0AABCB01" w14:textId="6DBB09B7" w:rsidR="008A55AC" w:rsidRDefault="008A55AC" w:rsidP="008A55AC">
      <w:pPr>
        <w:pStyle w:val="ListNumber2"/>
      </w:pPr>
      <w:r>
        <w:t xml:space="preserve">This chapter presents an overview of </w:t>
      </w:r>
      <w:r w:rsidR="004809A7">
        <w:t>the Auditor-General’s Report No.</w:t>
      </w:r>
      <w:r w:rsidR="000B0BFD">
        <w:t xml:space="preserve"> </w:t>
      </w:r>
      <w:r w:rsidR="004809A7">
        <w:t xml:space="preserve">6 of 2020: </w:t>
      </w:r>
      <w:r w:rsidR="004809A7">
        <w:rPr>
          <w:i/>
        </w:rPr>
        <w:t>Transfer of workers’ compensation arrangements from Comcare</w:t>
      </w:r>
      <w:r w:rsidR="004809A7">
        <w:t>.</w:t>
      </w:r>
    </w:p>
    <w:p w14:paraId="050E3A90" w14:textId="4CC3E586" w:rsidR="008A55AC" w:rsidRDefault="008A55AC" w:rsidP="00D12155">
      <w:pPr>
        <w:pStyle w:val="Heading2"/>
      </w:pPr>
      <w:bookmarkStart w:id="27" w:name="_Toc94712295"/>
      <w:r>
        <w:t xml:space="preserve">Audit </w:t>
      </w:r>
      <w:r w:rsidR="001107E9">
        <w:t>b</w:t>
      </w:r>
      <w:r>
        <w:t>ackground</w:t>
      </w:r>
      <w:bookmarkEnd w:id="27"/>
    </w:p>
    <w:p w14:paraId="04EDCBA2" w14:textId="424BABD0" w:rsidR="00817109" w:rsidRDefault="00817109" w:rsidP="008A55AC">
      <w:pPr>
        <w:pStyle w:val="ListNumber2"/>
      </w:pPr>
      <w:r>
        <w:t>Prior to 2018, ACT Public Service worker’s compensation was insured under the Commonwealth worker’s compensation scheme, Comcare. In 2018 the ACT Government applied</w:t>
      </w:r>
      <w:r w:rsidR="00DB6B1A">
        <w:t>, and was approved,</w:t>
      </w:r>
      <w:r>
        <w:t xml:space="preserve"> </w:t>
      </w:r>
      <w:r w:rsidR="00DB6B1A">
        <w:t xml:space="preserve">to become a </w:t>
      </w:r>
      <w:r>
        <w:t>self-insured licensee</w:t>
      </w:r>
      <w:r w:rsidR="00DB6B1A">
        <w:t xml:space="preserve"> under the</w:t>
      </w:r>
      <w:r w:rsidR="00DB6B1A" w:rsidRPr="00DB6B1A">
        <w:rPr>
          <w:i/>
          <w:iCs/>
        </w:rPr>
        <w:t xml:space="preserve"> </w:t>
      </w:r>
      <w:r w:rsidR="00DB6B1A" w:rsidRPr="00D75DD5">
        <w:rPr>
          <w:i/>
          <w:iCs/>
        </w:rPr>
        <w:t>Safety, Rehabilitation and Compensation Act 1988</w:t>
      </w:r>
      <w:r w:rsidR="00DB6B1A">
        <w:t xml:space="preserve"> (C</w:t>
      </w:r>
      <w:r w:rsidR="005D0909">
        <w:t>wl</w:t>
      </w:r>
      <w:r w:rsidR="00DB6B1A">
        <w:t>th).</w:t>
      </w:r>
      <w:r w:rsidR="00513322">
        <w:t xml:space="preserve"> Subsequent to this decision, the contractual rights and obligations, and the financial liabilities and assets, relating to the ACT Public Service workers’ compensations </w:t>
      </w:r>
      <w:r w:rsidR="000B0BFD">
        <w:t xml:space="preserve">were </w:t>
      </w:r>
      <w:r w:rsidR="00513322">
        <w:t>to be transferred to the Territory from Comcare.</w:t>
      </w:r>
      <w:r>
        <w:t xml:space="preserve"> </w:t>
      </w:r>
      <w:r w:rsidR="00DB6B1A">
        <w:rPr>
          <w:rStyle w:val="FootnoteReference"/>
        </w:rPr>
        <w:footnoteReference w:id="1"/>
      </w:r>
    </w:p>
    <w:p w14:paraId="183D7EBE" w14:textId="142E9365" w:rsidR="00513322" w:rsidRDefault="00513322" w:rsidP="008A55AC">
      <w:pPr>
        <w:pStyle w:val="ListNumber2"/>
      </w:pPr>
      <w:r>
        <w:t>The Audit</w:t>
      </w:r>
      <w:r w:rsidR="004869AD">
        <w:t xml:space="preserve"> Report outlined its focus</w:t>
      </w:r>
      <w:r>
        <w:t xml:space="preserve"> as follows:</w:t>
      </w:r>
    </w:p>
    <w:p w14:paraId="0558AF07" w14:textId="5AF92A81" w:rsidR="008A55AC" w:rsidRPr="00D16618" w:rsidRDefault="008A55AC" w:rsidP="004624CC">
      <w:pPr>
        <w:pStyle w:val="Quote"/>
      </w:pPr>
      <w:r w:rsidRPr="00D16618">
        <w:t xml:space="preserve">The </w:t>
      </w:r>
      <w:r w:rsidR="0069273E" w:rsidRPr="00D16618">
        <w:t>A</w:t>
      </w:r>
      <w:r w:rsidRPr="00D16618">
        <w:t xml:space="preserve">udit considered the effectiveness of the transfer of the ACT Public Service workers’ compensation arrangements from Comcare. The </w:t>
      </w:r>
      <w:r w:rsidR="0069273E" w:rsidRPr="00D16618">
        <w:t>A</w:t>
      </w:r>
      <w:r w:rsidRPr="00D16618">
        <w:t>udit focused on the activities of CMTEDD to prepare for, and manage, the transition to self-insurance and manage Employers Mutual Limited, which provides claims manage</w:t>
      </w:r>
      <w:r w:rsidR="00D164F8" w:rsidRPr="00D16618">
        <w:t>ment services to the Territory.</w:t>
      </w:r>
      <w:r w:rsidR="00513322">
        <w:rPr>
          <w:rStyle w:val="FootnoteReference"/>
        </w:rPr>
        <w:footnoteReference w:id="2"/>
      </w:r>
    </w:p>
    <w:p w14:paraId="2169887E" w14:textId="1AF589FB" w:rsidR="008A55AC" w:rsidRDefault="008A55AC" w:rsidP="00D12155">
      <w:pPr>
        <w:pStyle w:val="Heading2"/>
      </w:pPr>
      <w:bookmarkStart w:id="28" w:name="_Toc94712296"/>
      <w:r>
        <w:t xml:space="preserve">Audit </w:t>
      </w:r>
      <w:r w:rsidR="001107E9">
        <w:t>c</w:t>
      </w:r>
      <w:r>
        <w:t>onclusions</w:t>
      </w:r>
      <w:bookmarkEnd w:id="28"/>
    </w:p>
    <w:p w14:paraId="28B45514" w14:textId="648AC57E" w:rsidR="008A55AC" w:rsidRDefault="008A55AC" w:rsidP="008A55AC">
      <w:pPr>
        <w:pStyle w:val="ListNumber2"/>
      </w:pPr>
      <w:r>
        <w:t>The</w:t>
      </w:r>
      <w:r w:rsidR="00C21DAB">
        <w:t xml:space="preserve"> Audit</w:t>
      </w:r>
      <w:r>
        <w:t xml:space="preserve"> </w:t>
      </w:r>
      <w:r w:rsidR="0069273E">
        <w:t>R</w:t>
      </w:r>
      <w:r>
        <w:t xml:space="preserve">eport concludes that, in relation to the assessment of liabilities and assets, </w:t>
      </w:r>
      <w:r w:rsidR="00C21DAB">
        <w:t>‘</w:t>
      </w:r>
      <w:r>
        <w:t>the Territory and Comcare are yet to reach an agreement on the quantum of assets to be transferred</w:t>
      </w:r>
      <w:r w:rsidR="00C21DAB">
        <w:t>’</w:t>
      </w:r>
      <w:r w:rsidR="00C21DAB">
        <w:rPr>
          <w:rStyle w:val="FootnoteReference"/>
        </w:rPr>
        <w:footnoteReference w:id="3"/>
      </w:r>
      <w:r>
        <w:t xml:space="preserve"> and </w:t>
      </w:r>
      <w:r w:rsidR="00C21DAB">
        <w:t>‘</w:t>
      </w:r>
      <w:r>
        <w:t>as a result, the Territory does not currently have sufficient assets in its Public Sector Workers’ Compensation Fund to cover its workers’ compensation liabilities</w:t>
      </w:r>
      <w:r w:rsidR="00C21DAB">
        <w:t>’</w:t>
      </w:r>
      <w:r>
        <w:t>.</w:t>
      </w:r>
      <w:r w:rsidR="00C21DAB">
        <w:rPr>
          <w:rStyle w:val="FootnoteReference"/>
        </w:rPr>
        <w:footnoteReference w:id="4"/>
      </w:r>
      <w:r>
        <w:t xml:space="preserve"> </w:t>
      </w:r>
      <w:r w:rsidR="00C21DAB">
        <w:t xml:space="preserve">The Audit Report found that the </w:t>
      </w:r>
      <w:r>
        <w:t xml:space="preserve">Territory </w:t>
      </w:r>
      <w:r w:rsidR="00FD7D92">
        <w:t xml:space="preserve">had </w:t>
      </w:r>
      <w:r>
        <w:t xml:space="preserve">been meeting its liabilities since becoming a self-insured licensee by using a </w:t>
      </w:r>
      <w:r w:rsidR="006C477B">
        <w:t>‘</w:t>
      </w:r>
      <w:r>
        <w:t>partial premium refund</w:t>
      </w:r>
      <w:r w:rsidR="006C477B">
        <w:t>’</w:t>
      </w:r>
      <w:r>
        <w:t xml:space="preserve"> that was received from Comcare as well as premiums received from ACT Government agencies.</w:t>
      </w:r>
      <w:r w:rsidR="00FD7D92">
        <w:rPr>
          <w:rStyle w:val="FootnoteReference"/>
        </w:rPr>
        <w:footnoteReference w:id="5"/>
      </w:r>
      <w:r>
        <w:t xml:space="preserve"> </w:t>
      </w:r>
      <w:r w:rsidR="006C477B">
        <w:t xml:space="preserve">The ‘partial premium refund’ </w:t>
      </w:r>
      <w:r w:rsidR="00A329F2">
        <w:t>occurred</w:t>
      </w:r>
      <w:r w:rsidR="006C477B">
        <w:t xml:space="preserve"> because the ACT Government paid its full</w:t>
      </w:r>
      <w:r w:rsidR="00A329F2">
        <w:t xml:space="preserve"> 2018-19 annual insurance premium to Comcare at the beginning of that financial year, but became self-insured from 1 March 2019,</w:t>
      </w:r>
      <w:r w:rsidR="006C477B">
        <w:t xml:space="preserve"> </w:t>
      </w:r>
      <w:r w:rsidR="00A329F2">
        <w:t>necessitating a refund for premiums paid covering 1 March–30 June.</w:t>
      </w:r>
      <w:r w:rsidR="00A1662C">
        <w:rPr>
          <w:rStyle w:val="FootnoteReference"/>
        </w:rPr>
        <w:footnoteReference w:id="6"/>
      </w:r>
      <w:r w:rsidR="00A1662C">
        <w:t xml:space="preserve"> </w:t>
      </w:r>
      <w:r>
        <w:t xml:space="preserve">The </w:t>
      </w:r>
      <w:r w:rsidR="00C21DAB">
        <w:t xml:space="preserve">Audit Report </w:t>
      </w:r>
      <w:r>
        <w:t>notes the continuing uncertainty associated with the transfer of the assets presents a financial risk to the Territory.</w:t>
      </w:r>
      <w:r w:rsidR="0069273E">
        <w:rPr>
          <w:rStyle w:val="FootnoteReference"/>
        </w:rPr>
        <w:footnoteReference w:id="7"/>
      </w:r>
    </w:p>
    <w:p w14:paraId="5B0C9F0B" w14:textId="7DFBF948" w:rsidR="008A55AC" w:rsidRDefault="0069273E" w:rsidP="00704B24">
      <w:pPr>
        <w:pStyle w:val="ListNumber2"/>
        <w:keepLines/>
      </w:pPr>
      <w:r>
        <w:lastRenderedPageBreak/>
        <w:t>In</w:t>
      </w:r>
      <w:r w:rsidR="008A55AC">
        <w:t xml:space="preserve"> relation to</w:t>
      </w:r>
      <w:r w:rsidR="00B56E03">
        <w:t xml:space="preserve"> the</w:t>
      </w:r>
      <w:r w:rsidR="008A55AC">
        <w:t xml:space="preserve"> </w:t>
      </w:r>
      <w:r w:rsidR="00340F75">
        <w:t>receipt</w:t>
      </w:r>
      <w:r w:rsidR="008A55AC">
        <w:t xml:space="preserve"> of claims and data</w:t>
      </w:r>
      <w:r w:rsidR="00FD7D92">
        <w:t xml:space="preserve"> from Comcare</w:t>
      </w:r>
      <w:r w:rsidR="008A55AC">
        <w:t xml:space="preserve">, </w:t>
      </w:r>
      <w:r>
        <w:t xml:space="preserve">the </w:t>
      </w:r>
      <w:r w:rsidR="00FD7D92">
        <w:t xml:space="preserve">Audit </w:t>
      </w:r>
      <w:r>
        <w:t xml:space="preserve">Report found that </w:t>
      </w:r>
      <w:r w:rsidR="008A55AC">
        <w:t>CMTEDD implemented effective governance arrangements for the Territory’s transition to self-insurance</w:t>
      </w:r>
      <w:r w:rsidR="00DA435C">
        <w:t>,</w:t>
      </w:r>
      <w:r w:rsidR="00B32709">
        <w:t xml:space="preserve"> and that</w:t>
      </w:r>
      <w:r w:rsidR="008A55AC">
        <w:t xml:space="preserve"> </w:t>
      </w:r>
      <w:r w:rsidR="000B0BFD">
        <w:t xml:space="preserve">data </w:t>
      </w:r>
      <w:r w:rsidR="008A55AC">
        <w:t>relevant to the Territory’s ongoing management of its workers’ compensation</w:t>
      </w:r>
      <w:r w:rsidR="00DA435C">
        <w:t>,</w:t>
      </w:r>
      <w:r w:rsidR="008A55AC">
        <w:t xml:space="preserve"> was transferred from Comcare in accordance with the data security requirements of the Territory.</w:t>
      </w:r>
      <w:r w:rsidR="00B32709">
        <w:rPr>
          <w:rStyle w:val="FootnoteReference"/>
        </w:rPr>
        <w:footnoteReference w:id="8"/>
      </w:r>
      <w:r w:rsidR="00B32709">
        <w:t xml:space="preserve"> </w:t>
      </w:r>
      <w:r w:rsidR="00271E74">
        <w:t>However</w:t>
      </w:r>
      <w:r w:rsidR="00B56E03">
        <w:t xml:space="preserve">, </w:t>
      </w:r>
      <w:r w:rsidR="00FB222D">
        <w:t>the Audit Report noted that ‘there were no documented data integrity processes or procedures in place to confirm that data was migrated accurately’</w:t>
      </w:r>
      <w:r w:rsidR="004376EE">
        <w:t>.</w:t>
      </w:r>
      <w:r w:rsidR="00FB222D">
        <w:rPr>
          <w:rStyle w:val="FootnoteReference"/>
        </w:rPr>
        <w:footnoteReference w:id="9"/>
      </w:r>
      <w:r w:rsidR="004376EE">
        <w:t xml:space="preserve"> The Audit</w:t>
      </w:r>
      <w:r w:rsidR="00DA435C">
        <w:t xml:space="preserve"> Report</w:t>
      </w:r>
      <w:r w:rsidR="004376EE">
        <w:t xml:space="preserve"> concluded </w:t>
      </w:r>
      <w:r w:rsidR="004D0B93">
        <w:t>that ‘there is no documentation associated with the quality assurance processes and procedures that were purported to be implemented’</w:t>
      </w:r>
      <w:r w:rsidR="008A55AC">
        <w:t>.</w:t>
      </w:r>
      <w:r>
        <w:rPr>
          <w:rStyle w:val="FootnoteReference"/>
        </w:rPr>
        <w:footnoteReference w:id="10"/>
      </w:r>
    </w:p>
    <w:p w14:paraId="0B53664A" w14:textId="2BD57B5F" w:rsidR="008A55AC" w:rsidRDefault="004376EE" w:rsidP="008A55AC">
      <w:pPr>
        <w:pStyle w:val="ListNumber2"/>
      </w:pPr>
      <w:r>
        <w:t>Finally, t</w:t>
      </w:r>
      <w:r w:rsidR="008A55AC">
        <w:t xml:space="preserve">he </w:t>
      </w:r>
      <w:r w:rsidR="00DA435C">
        <w:t>Audit R</w:t>
      </w:r>
      <w:r w:rsidR="008A55AC">
        <w:t xml:space="preserve">eport concluded that, in relation to governance and administrative arrangements, CMTEDD </w:t>
      </w:r>
      <w:r w:rsidR="00DA435C">
        <w:t xml:space="preserve">had </w:t>
      </w:r>
      <w:r w:rsidR="008A55AC">
        <w:t>developed effective governance arrangements for the management and oversight of the Public Sector Workers’ Compensation Fund and the Territory’s compliance with its self-insurance license requirements.</w:t>
      </w:r>
      <w:r w:rsidR="008A55AC" w:rsidRPr="00C66034">
        <w:t xml:space="preserve"> </w:t>
      </w:r>
      <w:r w:rsidR="008A55AC">
        <w:t>CMTEDD has established effective contract management arrangements to oversee the claims administration services provided by Employers Mutual Limited.</w:t>
      </w:r>
      <w:r>
        <w:rPr>
          <w:rStyle w:val="FootnoteReference"/>
        </w:rPr>
        <w:footnoteReference w:id="11"/>
      </w:r>
    </w:p>
    <w:p w14:paraId="4FE84139" w14:textId="62911111" w:rsidR="006D1243" w:rsidRDefault="00163D8D" w:rsidP="00D12155">
      <w:pPr>
        <w:pStyle w:val="Heading2"/>
      </w:pPr>
      <w:bookmarkStart w:id="29" w:name="_Toc94712297"/>
      <w:r>
        <w:t xml:space="preserve">Audit </w:t>
      </w:r>
      <w:r w:rsidR="00AD2AAC">
        <w:t>recommendations</w:t>
      </w:r>
      <w:bookmarkEnd w:id="29"/>
    </w:p>
    <w:p w14:paraId="32347EAC" w14:textId="67AF75EE" w:rsidR="00D97152" w:rsidRDefault="00163D8D" w:rsidP="00D97152">
      <w:pPr>
        <w:pStyle w:val="ListNumber2"/>
      </w:pPr>
      <w:r>
        <w:t xml:space="preserve">The Auditor-General made no recommendations in </w:t>
      </w:r>
      <w:r w:rsidR="00DA435C">
        <w:t>the Audit Report</w:t>
      </w:r>
      <w:r>
        <w:t>.</w:t>
      </w:r>
    </w:p>
    <w:p w14:paraId="61F843EE" w14:textId="64869A11" w:rsidR="00163D8D" w:rsidRDefault="00163D8D" w:rsidP="00DA435C">
      <w:pPr>
        <w:pStyle w:val="Heading1"/>
        <w:pageBreakBefore/>
      </w:pPr>
      <w:bookmarkStart w:id="30" w:name="_Toc94712298"/>
      <w:r>
        <w:lastRenderedPageBreak/>
        <w:t xml:space="preserve">Committee </w:t>
      </w:r>
      <w:r w:rsidR="00DA435C">
        <w:t>comment</w:t>
      </w:r>
      <w:bookmarkEnd w:id="30"/>
    </w:p>
    <w:p w14:paraId="095CC477" w14:textId="68566BAF" w:rsidR="002479EE" w:rsidRDefault="002479EE" w:rsidP="00D12155">
      <w:pPr>
        <w:pStyle w:val="Heading2"/>
      </w:pPr>
      <w:bookmarkStart w:id="31" w:name="_Toc94712299"/>
      <w:r>
        <w:t xml:space="preserve">Data integrity </w:t>
      </w:r>
      <w:r w:rsidR="00C36C8A">
        <w:t>assurances</w:t>
      </w:r>
      <w:bookmarkEnd w:id="31"/>
    </w:p>
    <w:p w14:paraId="72854A3A" w14:textId="2BC9D288" w:rsidR="00CF3C0E" w:rsidRDefault="00DA435C" w:rsidP="00163D8D">
      <w:pPr>
        <w:pStyle w:val="ListNumber2"/>
      </w:pPr>
      <w:r>
        <w:t xml:space="preserve">The </w:t>
      </w:r>
      <w:r w:rsidR="005F7E8E">
        <w:t>Committee</w:t>
      </w:r>
      <w:r>
        <w:t xml:space="preserve"> notes </w:t>
      </w:r>
      <w:r w:rsidR="005F7E8E">
        <w:t xml:space="preserve">a </w:t>
      </w:r>
      <w:r w:rsidR="002C0328">
        <w:t xml:space="preserve">key finding of the Audit Report was a lack of clarity regarding </w:t>
      </w:r>
      <w:r w:rsidR="005F7E8E">
        <w:t xml:space="preserve">data </w:t>
      </w:r>
      <w:r w:rsidR="002C0328">
        <w:t xml:space="preserve">integrity assurances during the claims data transfer between Comcare and the ACT Government. </w:t>
      </w:r>
      <w:r w:rsidR="00082BBF">
        <w:t>The Audit Report states as follows</w:t>
      </w:r>
      <w:r w:rsidR="00CF3C0E">
        <w:t>:</w:t>
      </w:r>
    </w:p>
    <w:p w14:paraId="32E3B20A" w14:textId="789E68B2" w:rsidR="00CF3C0E" w:rsidRDefault="00CF3C0E" w:rsidP="009E1C66">
      <w:pPr>
        <w:pStyle w:val="Quote"/>
      </w:pPr>
      <w:r>
        <w:t xml:space="preserve">[T]he ACT Government had not documented the data integrity processes or procedures that were in place to confirm that data was migrated accurately, i.e. that the client information matched with the correct claims data. </w:t>
      </w:r>
      <w:r w:rsidR="00082BBF">
        <w:t xml:space="preserve">… </w:t>
      </w:r>
      <w:r>
        <w:t>There is no documentation associated with the quality assurance processes and procedures that were purported to be implementation.</w:t>
      </w:r>
      <w:r>
        <w:rPr>
          <w:rStyle w:val="FootnoteReference"/>
        </w:rPr>
        <w:footnoteReference w:id="12"/>
      </w:r>
    </w:p>
    <w:p w14:paraId="41E72931" w14:textId="21998E83" w:rsidR="002C0328" w:rsidRDefault="002C0328" w:rsidP="00163D8D">
      <w:pPr>
        <w:pStyle w:val="ListNumber2"/>
      </w:pPr>
      <w:r>
        <w:t xml:space="preserve">During the public hearing, the Committee </w:t>
      </w:r>
      <w:r w:rsidR="002479EE">
        <w:t xml:space="preserve">heard </w:t>
      </w:r>
      <w:r>
        <w:t>from Mr</w:t>
      </w:r>
      <w:r w:rsidR="009A11FF">
        <w:t> </w:t>
      </w:r>
      <w:r>
        <w:t>Michael Young, Executive Group Manager for Workplace Safety and Industrial Relations at CMTEDD,</w:t>
      </w:r>
      <w:r w:rsidR="00391883">
        <w:t xml:space="preserve"> who </w:t>
      </w:r>
      <w:r w:rsidR="00C36C8A">
        <w:t xml:space="preserve">put to the Committee </w:t>
      </w:r>
      <w:r w:rsidR="00391883">
        <w:t>that quality assurance controls had indeed been implemented to test the integrity of the data</w:t>
      </w:r>
      <w:r w:rsidR="00C36C8A">
        <w:t>, stating:</w:t>
      </w:r>
    </w:p>
    <w:p w14:paraId="7E645FB4" w14:textId="4B2CEBA8" w:rsidR="009A11FF" w:rsidRPr="00163D8D" w:rsidRDefault="009A11FF" w:rsidP="009A11FF">
      <w:pPr>
        <w:pStyle w:val="Quote"/>
      </w:pPr>
      <w:r>
        <w:t>The audit report, in looking at the transition project methodology, because of its scope, did not have access to the totality of tools that we have in place to manage this function. There are a whole range of business-as-usual functions that go to exactly that issue – checking that the information that we have, and that we are using to manage claims, is complete and proper.</w:t>
      </w:r>
      <w:r w:rsidR="0082215B">
        <w:rPr>
          <w:rStyle w:val="FootnoteReference"/>
        </w:rPr>
        <w:footnoteReference w:id="13"/>
      </w:r>
    </w:p>
    <w:p w14:paraId="24550F8E" w14:textId="6EA79DF5" w:rsidR="00B7541C" w:rsidRDefault="00FB4BCE" w:rsidP="00B7541C">
      <w:pPr>
        <w:pStyle w:val="ListNumber2"/>
      </w:pPr>
      <w:r>
        <w:t>Mr Young described a range of data integrity checks which were carried out on the data, and explained that an MOU is in place to allow for checks for discrepancies to be made against the original data</w:t>
      </w:r>
      <w:r w:rsidR="005D312D">
        <w:t xml:space="preserve"> files, which are </w:t>
      </w:r>
      <w:r>
        <w:t>still retained by Comcare.</w:t>
      </w:r>
      <w:r w:rsidR="0088003F">
        <w:rPr>
          <w:rStyle w:val="FootnoteReference"/>
        </w:rPr>
        <w:footnoteReference w:id="14"/>
      </w:r>
      <w:r w:rsidR="001C3A15">
        <w:t xml:space="preserve"> Mr Young stated:</w:t>
      </w:r>
    </w:p>
    <w:p w14:paraId="72584D47" w14:textId="65E90E5F" w:rsidR="001C3A15" w:rsidRDefault="001C3A15" w:rsidP="001C3A15">
      <w:pPr>
        <w:pStyle w:val="Quote"/>
      </w:pPr>
      <w:r>
        <w:t>If I was doing it again, we would make sure that there were documented processes, but I am comfortable that we have ongoing arrangements in place to ensure that we have a complete and fit-for-purpose dataset housed inside ICT systems that have good security arrangements and ongoing validation methods.</w:t>
      </w:r>
      <w:r w:rsidR="008A63C1">
        <w:rPr>
          <w:rStyle w:val="FootnoteReference"/>
        </w:rPr>
        <w:footnoteReference w:id="15"/>
      </w:r>
    </w:p>
    <w:p w14:paraId="7011CF1D" w14:textId="4F64793C" w:rsidR="00FB4BCE" w:rsidRDefault="00011D43" w:rsidP="00EB3954">
      <w:pPr>
        <w:pStyle w:val="ListContinue3"/>
      </w:pPr>
      <w:r>
        <w:t>The Committee is satisfied with this explanation.</w:t>
      </w:r>
    </w:p>
    <w:p w14:paraId="5C8BC957" w14:textId="35259926" w:rsidR="0034466C" w:rsidRDefault="0034466C" w:rsidP="00D12155">
      <w:pPr>
        <w:pStyle w:val="Heading2"/>
      </w:pPr>
      <w:bookmarkStart w:id="32" w:name="_Toc94712300"/>
      <w:r>
        <w:lastRenderedPageBreak/>
        <w:t>Asset transfer</w:t>
      </w:r>
      <w:bookmarkEnd w:id="32"/>
    </w:p>
    <w:p w14:paraId="6F7CECA7" w14:textId="70C84D1B" w:rsidR="006839DF" w:rsidRDefault="006839DF" w:rsidP="00A46AD1">
      <w:pPr>
        <w:pStyle w:val="ListNumber2"/>
        <w:keepNext/>
        <w:keepLines/>
      </w:pPr>
      <w:r>
        <w:t xml:space="preserve">The Committee is of the view that </w:t>
      </w:r>
      <w:r w:rsidR="00B31D72">
        <w:t xml:space="preserve">negotiations and </w:t>
      </w:r>
      <w:r>
        <w:t>the transfer of financial assets between Comcare and the ACT Government should be finalised as a matter of priority.</w:t>
      </w:r>
      <w:r w:rsidR="00B31D72">
        <w:t xml:space="preserve"> The Committee notes the Auditor-General’s comments relating to the risks associated with a failure to reach agreement to transfer funds including the following:</w:t>
      </w:r>
    </w:p>
    <w:p w14:paraId="4F430742" w14:textId="5D2EDBFF" w:rsidR="00B31D72" w:rsidRDefault="00B31D72" w:rsidP="00B31D72">
      <w:pPr>
        <w:pStyle w:val="Quote"/>
      </w:pPr>
      <w:r w:rsidRPr="00B31D72">
        <w:t>The delays in receipt of the transfer asset from negotiations between Comcare and the Territory raises a risk that the Public Sector Workers’ Compensation Fund is unable to meet its workers’ compensation liabilities</w:t>
      </w:r>
      <w:r w:rsidR="003C360F">
        <w:t xml:space="preserve">. </w:t>
      </w:r>
      <w:r w:rsidR="003C360F" w:rsidRPr="003C360F">
        <w:t>The Territory has advised, however, that ‘the Public Sector Workers’ Compensation Fund, and hence the workers’ compensation insurance coverage, should be able to maintain normal operating procedures indefinitely, paying for workers’ compensation claims on a cash flow basis from annual premiums collected each year’. However,</w:t>
      </w:r>
      <w:r w:rsidR="003C360F">
        <w:t xml:space="preserve"> the </w:t>
      </w:r>
      <w:r w:rsidRPr="00B31D72">
        <w:t>longer that the issue of the transfer of financial assets (funds) remains unresolved the greater the financial risk to the Territory, as it has fewer options to manage increases to its workers’ compensation liabilities.</w:t>
      </w:r>
      <w:r w:rsidR="003C360F">
        <w:rPr>
          <w:rStyle w:val="FootnoteReference"/>
        </w:rPr>
        <w:footnoteReference w:id="16"/>
      </w:r>
    </w:p>
    <w:p w14:paraId="4A856377" w14:textId="0390BF7F" w:rsidR="00F34F11" w:rsidRDefault="00171A60" w:rsidP="00F34F11">
      <w:pPr>
        <w:pStyle w:val="ListNumber2"/>
        <w:keepLines/>
      </w:pPr>
      <w:r>
        <w:t>At the Committee’s hearing on 16 June 2021 Mr Stephen Miners, Under Treasurer at CMTEDD, stated on the subject of the delay in assets transfer between Comcare and the ACT Government ‘we are hopeful that that work will be resolved in this calendar year’.</w:t>
      </w:r>
      <w:r>
        <w:rPr>
          <w:rStyle w:val="FootnoteReference"/>
        </w:rPr>
        <w:footnoteReference w:id="17"/>
      </w:r>
      <w:r w:rsidR="00F34F11">
        <w:t xml:space="preserve"> The ACT Budget papers for 2021-2022 include the following </w:t>
      </w:r>
      <w:r w:rsidR="00A46AD1">
        <w:t>statement in regard to</w:t>
      </w:r>
      <w:r w:rsidR="00F34F11">
        <w:t xml:space="preserve"> the public sector workers compensation fund:</w:t>
      </w:r>
    </w:p>
    <w:p w14:paraId="1321475F" w14:textId="77777777" w:rsidR="00F34F11" w:rsidRPr="00F34F11" w:rsidRDefault="00F34F11" w:rsidP="00F34F11">
      <w:pPr>
        <w:pStyle w:val="Quote"/>
        <w:rPr>
          <w:b/>
          <w:bCs/>
        </w:rPr>
      </w:pPr>
      <w:r w:rsidRPr="00F34F11">
        <w:rPr>
          <w:b/>
          <w:bCs/>
        </w:rPr>
        <w:t>2021-22 priorities and next three financial years</w:t>
      </w:r>
    </w:p>
    <w:p w14:paraId="483204BD" w14:textId="77777777" w:rsidR="00F34F11" w:rsidRDefault="00F34F11" w:rsidP="00F34F11">
      <w:pPr>
        <w:pStyle w:val="Quote"/>
        <w:spacing w:after="0"/>
      </w:pPr>
      <w:r>
        <w:t>Strategic and operational priorities to be pursued in 2021-22 and for the next three financial years include:</w:t>
      </w:r>
    </w:p>
    <w:p w14:paraId="1A53F540" w14:textId="04017D56" w:rsidR="00F34F11" w:rsidRPr="00F34F11" w:rsidRDefault="00F34F11" w:rsidP="00F34F11">
      <w:pPr>
        <w:pStyle w:val="Quote"/>
        <w:spacing w:before="0" w:after="0"/>
      </w:pPr>
      <w:r>
        <w:t>…</w:t>
      </w:r>
    </w:p>
    <w:p w14:paraId="54D6EB7F" w14:textId="5DD10450" w:rsidR="009B6F5B" w:rsidRDefault="00F34F11" w:rsidP="00F34F11">
      <w:pPr>
        <w:pStyle w:val="Quote"/>
        <w:spacing w:before="0"/>
      </w:pPr>
      <w:r w:rsidRPr="00F34F11">
        <w:t>•</w:t>
      </w:r>
      <w:r w:rsidRPr="00F34F11">
        <w:tab/>
        <w:t>finalising transitional arrangements with the Commonwealth, including the final assessment of transferred claim liabilities and associated asset transfers;</w:t>
      </w:r>
      <w:r w:rsidR="009B6F5B">
        <w:rPr>
          <w:rStyle w:val="FootnoteReference"/>
        </w:rPr>
        <w:footnoteReference w:id="18"/>
      </w:r>
    </w:p>
    <w:p w14:paraId="28311442" w14:textId="5745F4C4" w:rsidR="00011D43" w:rsidRDefault="0031172D" w:rsidP="006839DF">
      <w:pPr>
        <w:pStyle w:val="ListNumber2"/>
        <w:keepLines/>
      </w:pPr>
      <w:r>
        <w:t xml:space="preserve">The Committee </w:t>
      </w:r>
      <w:r w:rsidR="006839DF">
        <w:t>acknowledges that</w:t>
      </w:r>
      <w:r>
        <w:t xml:space="preserve"> the ACT Government </w:t>
      </w:r>
      <w:r w:rsidR="002479EE">
        <w:t xml:space="preserve">has provided </w:t>
      </w:r>
      <w:r>
        <w:t>assuran</w:t>
      </w:r>
      <w:r w:rsidR="0035603C">
        <w:t>ces that a number of safeguards have been put in place to ensure it has sufficient funds to meet their liabilities.</w:t>
      </w:r>
      <w:r w:rsidR="0035603C">
        <w:rPr>
          <w:rStyle w:val="FootnoteReference"/>
        </w:rPr>
        <w:footnoteReference w:id="19"/>
      </w:r>
      <w:r w:rsidR="006839DF">
        <w:t xml:space="preserve"> </w:t>
      </w:r>
    </w:p>
    <w:tbl>
      <w:tblPr>
        <w:tblStyle w:val="Recommendationbox"/>
        <w:tblW w:w="0" w:type="auto"/>
        <w:tblLook w:val="0600" w:firstRow="0" w:lastRow="0" w:firstColumn="0" w:lastColumn="0" w:noHBand="1" w:noVBand="1"/>
      </w:tblPr>
      <w:tblGrid>
        <w:gridCol w:w="8175"/>
      </w:tblGrid>
      <w:tr w:rsidR="00AA719E" w14:paraId="0ECA45F6" w14:textId="77777777" w:rsidTr="00EB39F8">
        <w:tc>
          <w:tcPr>
            <w:tcW w:w="7891" w:type="dxa"/>
          </w:tcPr>
          <w:p w14:paraId="57082DDC" w14:textId="77777777" w:rsidR="00AA719E" w:rsidRDefault="00AA719E" w:rsidP="00AA719E">
            <w:pPr>
              <w:pStyle w:val="Recommendationheading"/>
            </w:pPr>
            <w:bookmarkStart w:id="33" w:name="_Toc94712307"/>
            <w:r>
              <w:t xml:space="preserve">Recommendation </w:t>
            </w:r>
            <w:r>
              <w:fldChar w:fldCharType="begin"/>
            </w:r>
            <w:r>
              <w:instrText xml:space="preserve"> AUTONUMLGL \* Arabic\e </w:instrText>
            </w:r>
            <w:r>
              <w:fldChar w:fldCharType="end"/>
            </w:r>
            <w:bookmarkEnd w:id="33"/>
          </w:p>
          <w:p w14:paraId="024E3EC2" w14:textId="6730F08B" w:rsidR="00AA719E" w:rsidRPr="00AA719E" w:rsidRDefault="0034466C" w:rsidP="00AA719E">
            <w:pPr>
              <w:pStyle w:val="Recommendationbody"/>
            </w:pPr>
            <w:bookmarkStart w:id="34" w:name="_Toc94712308"/>
            <w:r>
              <w:t>The Committee recommends t</w:t>
            </w:r>
            <w:r w:rsidR="001F510B">
              <w:t xml:space="preserve">hat the </w:t>
            </w:r>
            <w:r w:rsidR="00DB3D44">
              <w:t xml:space="preserve">ACT Government finalise </w:t>
            </w:r>
            <w:r w:rsidR="00A46AD1">
              <w:t xml:space="preserve">negotiations with Comcare and ensure </w:t>
            </w:r>
            <w:r w:rsidR="00DB3D44">
              <w:t xml:space="preserve">the transfer </w:t>
            </w:r>
            <w:r w:rsidR="00B978F4">
              <w:t>of</w:t>
            </w:r>
            <w:r w:rsidR="00DB3D44">
              <w:t xml:space="preserve"> assets from Comcare</w:t>
            </w:r>
            <w:r w:rsidR="00A46AD1">
              <w:t xml:space="preserve"> is received</w:t>
            </w:r>
            <w:r w:rsidR="00DB3D44">
              <w:t xml:space="preserve"> by </w:t>
            </w:r>
            <w:r>
              <w:t xml:space="preserve">no later than </w:t>
            </w:r>
            <w:r w:rsidR="00DB3D44">
              <w:t xml:space="preserve">the end of </w:t>
            </w:r>
            <w:r>
              <w:t xml:space="preserve">this </w:t>
            </w:r>
            <w:r w:rsidR="00DB3D44">
              <w:t>financial year.</w:t>
            </w:r>
            <w:bookmarkEnd w:id="34"/>
          </w:p>
        </w:tc>
      </w:tr>
    </w:tbl>
    <w:p w14:paraId="7A3C4AD4" w14:textId="089CE475" w:rsidR="00163D8D" w:rsidRDefault="00163D8D" w:rsidP="001107E9">
      <w:pPr>
        <w:pStyle w:val="Heading1"/>
        <w:pageBreakBefore/>
      </w:pPr>
      <w:bookmarkStart w:id="35" w:name="_Toc94712301"/>
      <w:r>
        <w:lastRenderedPageBreak/>
        <w:t>Conclusion</w:t>
      </w:r>
      <w:bookmarkEnd w:id="35"/>
    </w:p>
    <w:p w14:paraId="33E9294A" w14:textId="19813168" w:rsidR="001E12D5" w:rsidRDefault="001E12D5" w:rsidP="00163D8D">
      <w:pPr>
        <w:pStyle w:val="ListNumber2"/>
      </w:pPr>
      <w:r>
        <w:t>The Committee is of the view that the Auditor-General’s performance audit report into the transfer of worker’s compensation arrangements from Comcare has highlighted a number of key areas for improvement for the ACT Government.</w:t>
      </w:r>
    </w:p>
    <w:p w14:paraId="0B871CF0" w14:textId="0C81900A" w:rsidR="001E12D5" w:rsidRDefault="001E12D5" w:rsidP="00163D8D">
      <w:pPr>
        <w:pStyle w:val="ListNumber2"/>
      </w:pPr>
      <w:r>
        <w:t xml:space="preserve">The Committee has provided comment on the issue of data integrity assurances undertaken by the ACT Government following the </w:t>
      </w:r>
      <w:r w:rsidR="00E41DD1">
        <w:t xml:space="preserve">transfer of data from Comcare, and has acknowledged the government’s explanation of the matter. </w:t>
      </w:r>
    </w:p>
    <w:p w14:paraId="617F7698" w14:textId="7DBF6006" w:rsidR="00E41DD1" w:rsidRDefault="00E41DD1" w:rsidP="00163D8D">
      <w:pPr>
        <w:pStyle w:val="ListNumber2"/>
      </w:pPr>
      <w:r>
        <w:t xml:space="preserve">The Committee </w:t>
      </w:r>
      <w:r w:rsidR="007F1E77">
        <w:t xml:space="preserve">has </w:t>
      </w:r>
      <w:r>
        <w:t xml:space="preserve">made </w:t>
      </w:r>
      <w:r w:rsidR="004409D4">
        <w:t>one</w:t>
      </w:r>
      <w:r>
        <w:t xml:space="preserve"> recommendation in relation to its inquiry into the Auditor</w:t>
      </w:r>
      <w:r>
        <w:noBreakHyphen/>
        <w:t>General’s Report No. 6 of 2020 relating to the finalisation of financial asset transfer</w:t>
      </w:r>
      <w:r w:rsidR="004409D4">
        <w:t>.</w:t>
      </w:r>
    </w:p>
    <w:p w14:paraId="08D2E01E" w14:textId="77777777" w:rsidR="00D453C5" w:rsidRPr="00BE63A1" w:rsidRDefault="00D453C5" w:rsidP="00D453C5">
      <w:pPr>
        <w:spacing w:before="1560" w:after="0"/>
      </w:pPr>
      <w:bookmarkStart w:id="36" w:name="_Toc93301478"/>
      <w:bookmarkEnd w:id="36"/>
      <w:r w:rsidRPr="00BE63A1">
        <w:t>Mrs Elizabeth Kikkert MLA</w:t>
      </w:r>
    </w:p>
    <w:p w14:paraId="1CEC9347" w14:textId="77777777" w:rsidR="00D453C5" w:rsidRPr="00BE63A1" w:rsidRDefault="00D453C5" w:rsidP="00D453C5">
      <w:pPr>
        <w:spacing w:after="0"/>
      </w:pPr>
      <w:r w:rsidRPr="00BE63A1">
        <w:t>Chair, Standing Committee on Public Accounts</w:t>
      </w:r>
    </w:p>
    <w:p w14:paraId="3ADABCFF" w14:textId="194E1C6D" w:rsidR="00D453C5" w:rsidRDefault="00EB02E3" w:rsidP="00D453C5">
      <w:pPr>
        <w:spacing w:after="0"/>
      </w:pPr>
      <w:r>
        <w:t xml:space="preserve">4 </w:t>
      </w:r>
      <w:r w:rsidR="001107E9" w:rsidRPr="00BE63A1">
        <w:t xml:space="preserve">February </w:t>
      </w:r>
      <w:r w:rsidR="00D453C5" w:rsidRPr="00BE63A1">
        <w:t>2022</w:t>
      </w:r>
    </w:p>
    <w:p w14:paraId="1311514F" w14:textId="405C6CE9" w:rsidR="00EB3179" w:rsidRPr="00163D8D" w:rsidRDefault="00EB3179" w:rsidP="00163D8D">
      <w:pPr>
        <w:pStyle w:val="Heading1"/>
        <w:rPr>
          <w:rFonts w:cstheme="minorHAnsi"/>
          <w:color w:val="000000" w:themeColor="text1"/>
          <w:szCs w:val="20"/>
        </w:rPr>
      </w:pPr>
      <w:r>
        <w:br w:type="page"/>
      </w:r>
    </w:p>
    <w:p w14:paraId="67960E4A" w14:textId="69E22997" w:rsidR="001825E5" w:rsidRDefault="00EB3179" w:rsidP="00EB3179">
      <w:pPr>
        <w:pStyle w:val="Heading1nonumber"/>
      </w:pPr>
      <w:bookmarkStart w:id="37" w:name="_Toc94712302"/>
      <w:r>
        <w:lastRenderedPageBreak/>
        <w:t xml:space="preserve">Appendix A: </w:t>
      </w:r>
      <w:r w:rsidR="007B2663">
        <w:t>Witnesses</w:t>
      </w:r>
      <w:bookmarkEnd w:id="37"/>
    </w:p>
    <w:p w14:paraId="679974F4" w14:textId="245D7688" w:rsidR="00EB3179" w:rsidRDefault="007B2663" w:rsidP="00D12155">
      <w:pPr>
        <w:pStyle w:val="Heading2"/>
      </w:pPr>
      <w:bookmarkStart w:id="38" w:name="_Toc94712303"/>
      <w:r>
        <w:t>16 June 2021</w:t>
      </w:r>
      <w:bookmarkEnd w:id="38"/>
    </w:p>
    <w:p w14:paraId="344DB675" w14:textId="4DFA3907" w:rsidR="007B2663" w:rsidRDefault="007B2663" w:rsidP="00D12155">
      <w:pPr>
        <w:pStyle w:val="Heading3"/>
      </w:pPr>
      <w:bookmarkStart w:id="39" w:name="_Toc94712304"/>
      <w:r>
        <w:t>ACT Audit Office</w:t>
      </w:r>
      <w:bookmarkEnd w:id="39"/>
    </w:p>
    <w:p w14:paraId="0A4D2E69" w14:textId="622400EB" w:rsidR="007B2663" w:rsidRDefault="007B2663" w:rsidP="007B2663">
      <w:pPr>
        <w:pStyle w:val="ListContinue3"/>
      </w:pPr>
      <w:r w:rsidRPr="007B2663">
        <w:rPr>
          <w:b/>
        </w:rPr>
        <w:t>Mr Michael Harris</w:t>
      </w:r>
      <w:r w:rsidRPr="007B2663">
        <w:t>, Auditor-General</w:t>
      </w:r>
    </w:p>
    <w:p w14:paraId="78C593E9" w14:textId="7388FFB7" w:rsidR="007B2663" w:rsidRPr="007B2663" w:rsidRDefault="007B2663" w:rsidP="007B2663">
      <w:pPr>
        <w:pStyle w:val="ListContinue3"/>
      </w:pPr>
      <w:r>
        <w:rPr>
          <w:b/>
        </w:rPr>
        <w:t>Mr Brett Stanton</w:t>
      </w:r>
      <w:r>
        <w:t>, Assistant Auditor-General, Performance Audit</w:t>
      </w:r>
    </w:p>
    <w:p w14:paraId="1A441123" w14:textId="2CFE8462" w:rsidR="007B2663" w:rsidRDefault="007B2663" w:rsidP="007B2663">
      <w:pPr>
        <w:pStyle w:val="ListContinue3"/>
      </w:pPr>
      <w:r>
        <w:rPr>
          <w:b/>
        </w:rPr>
        <w:t>Ms Laura Thomas</w:t>
      </w:r>
      <w:r w:rsidRPr="007B2663">
        <w:t>, Senior Director, Performance Audit</w:t>
      </w:r>
    </w:p>
    <w:p w14:paraId="2E88E2B9" w14:textId="0879F9FA" w:rsidR="007B2663" w:rsidRDefault="00D82435" w:rsidP="00D12155">
      <w:pPr>
        <w:pStyle w:val="Heading3"/>
      </w:pPr>
      <w:bookmarkStart w:id="40" w:name="_Toc94712305"/>
      <w:r>
        <w:t>Industrial Relations and Workplace Safety Portfolio</w:t>
      </w:r>
      <w:bookmarkEnd w:id="40"/>
    </w:p>
    <w:p w14:paraId="3B297174" w14:textId="5A220DD0" w:rsidR="007B2663" w:rsidRDefault="007B2663" w:rsidP="007B2663">
      <w:pPr>
        <w:pStyle w:val="ListContinue3"/>
      </w:pPr>
      <w:r w:rsidRPr="007B2663">
        <w:rPr>
          <w:b/>
        </w:rPr>
        <w:t>Mr Mick Gentleman MLA</w:t>
      </w:r>
      <w:r>
        <w:t>, Minister for Industrial Relations and Workplace Safety</w:t>
      </w:r>
    </w:p>
    <w:p w14:paraId="6778BFAC" w14:textId="2B3FBF0F" w:rsidR="007B2663" w:rsidRDefault="007B2663" w:rsidP="007B2663">
      <w:pPr>
        <w:pStyle w:val="ListContinue3"/>
      </w:pPr>
      <w:r>
        <w:rPr>
          <w:b/>
        </w:rPr>
        <w:t>Mr Stephen Miners</w:t>
      </w:r>
      <w:r>
        <w:t>, Under Treasurer, Treasury, CMTEDD</w:t>
      </w:r>
    </w:p>
    <w:p w14:paraId="1CBA1EE4" w14:textId="10938AF7" w:rsidR="00BE1893" w:rsidRDefault="007B2663" w:rsidP="007B2663">
      <w:pPr>
        <w:pStyle w:val="ListContinue3"/>
      </w:pPr>
      <w:r>
        <w:rPr>
          <w:b/>
        </w:rPr>
        <w:t>Mr Michael Young</w:t>
      </w:r>
      <w:r>
        <w:t>, Executive Group Manager, Workplace Safety and Industrial Relations, Workplace Capability and Governance, CMTEDD</w:t>
      </w:r>
    </w:p>
    <w:p w14:paraId="0746D65D" w14:textId="77777777" w:rsidR="00BE1893" w:rsidRDefault="00BE1893">
      <w:pPr>
        <w:spacing w:line="259" w:lineRule="auto"/>
      </w:pPr>
      <w:r>
        <w:br w:type="page"/>
      </w:r>
    </w:p>
    <w:p w14:paraId="42F3AEC0" w14:textId="22100CE8" w:rsidR="00BE1893" w:rsidRDefault="00BE1893" w:rsidP="00BE1893">
      <w:pPr>
        <w:pStyle w:val="Heading1nonumber"/>
      </w:pPr>
      <w:bookmarkStart w:id="41" w:name="_Toc94712306"/>
      <w:r>
        <w:lastRenderedPageBreak/>
        <w:t>Appendix B: Question Taken on Notice</w:t>
      </w:r>
      <w:bookmarkEnd w:id="41"/>
    </w:p>
    <w:tbl>
      <w:tblPr>
        <w:tblStyle w:val="Assemblystyletable"/>
        <w:tblW w:w="0" w:type="auto"/>
        <w:jc w:val="center"/>
        <w:tblLayout w:type="fixed"/>
        <w:tblLook w:val="04A0" w:firstRow="1" w:lastRow="0" w:firstColumn="1" w:lastColumn="0" w:noHBand="0" w:noVBand="1"/>
      </w:tblPr>
      <w:tblGrid>
        <w:gridCol w:w="976"/>
        <w:gridCol w:w="1121"/>
        <w:gridCol w:w="1198"/>
        <w:gridCol w:w="1205"/>
        <w:gridCol w:w="1260"/>
        <w:gridCol w:w="2266"/>
        <w:gridCol w:w="1090"/>
      </w:tblGrid>
      <w:tr w:rsidR="00E23F66" w:rsidRPr="008216B8" w14:paraId="2CF76B43" w14:textId="45759F29" w:rsidTr="00893EB5">
        <w:trPr>
          <w:cnfStyle w:val="100000000000" w:firstRow="1" w:lastRow="0" w:firstColumn="0" w:lastColumn="0" w:oddVBand="0" w:evenVBand="0" w:oddHBand="0" w:evenHBand="0" w:firstRowFirstColumn="0" w:firstRowLastColumn="0" w:lastRowFirstColumn="0" w:lastRowLastColumn="0"/>
          <w:jc w:val="center"/>
        </w:trPr>
        <w:tc>
          <w:tcPr>
            <w:tcW w:w="976" w:type="dxa"/>
            <w:vAlign w:val="top"/>
          </w:tcPr>
          <w:p w14:paraId="2C70D015" w14:textId="3EE6AD98" w:rsidR="00E23F66" w:rsidRPr="008216B8" w:rsidRDefault="00E23F66" w:rsidP="00C612C0">
            <w:pPr>
              <w:pStyle w:val="ListNumber3"/>
              <w:numPr>
                <w:ilvl w:val="0"/>
                <w:numId w:val="0"/>
              </w:numPr>
              <w:rPr>
                <w:b/>
                <w:bCs w:val="0"/>
              </w:rPr>
            </w:pPr>
            <w:r>
              <w:rPr>
                <w:b/>
                <w:bCs w:val="0"/>
              </w:rPr>
              <w:t>Number</w:t>
            </w:r>
          </w:p>
        </w:tc>
        <w:tc>
          <w:tcPr>
            <w:tcW w:w="1121" w:type="dxa"/>
            <w:vAlign w:val="top"/>
          </w:tcPr>
          <w:p w14:paraId="7EEB8918" w14:textId="5D7AFAF1" w:rsidR="00E23F66" w:rsidRPr="008216B8" w:rsidRDefault="00E23F66" w:rsidP="00C612C0">
            <w:pPr>
              <w:pStyle w:val="ListNumber3"/>
              <w:numPr>
                <w:ilvl w:val="0"/>
                <w:numId w:val="0"/>
              </w:numPr>
              <w:rPr>
                <w:b/>
                <w:bCs w:val="0"/>
              </w:rPr>
            </w:pPr>
            <w:r>
              <w:rPr>
                <w:b/>
                <w:bCs w:val="0"/>
              </w:rPr>
              <w:t>Type of Question</w:t>
            </w:r>
          </w:p>
        </w:tc>
        <w:tc>
          <w:tcPr>
            <w:tcW w:w="1198" w:type="dxa"/>
          </w:tcPr>
          <w:p w14:paraId="23B0313E" w14:textId="10BA6921" w:rsidR="00E23F66" w:rsidRPr="008216B8" w:rsidRDefault="00E23F66" w:rsidP="00C612C0">
            <w:pPr>
              <w:pStyle w:val="ListNumber3"/>
              <w:numPr>
                <w:ilvl w:val="0"/>
                <w:numId w:val="0"/>
              </w:numPr>
              <w:rPr>
                <w:b/>
                <w:bCs w:val="0"/>
              </w:rPr>
            </w:pPr>
            <w:r>
              <w:rPr>
                <w:b/>
                <w:bCs w:val="0"/>
              </w:rPr>
              <w:t>Hearing Date</w:t>
            </w:r>
          </w:p>
        </w:tc>
        <w:tc>
          <w:tcPr>
            <w:tcW w:w="1205" w:type="dxa"/>
          </w:tcPr>
          <w:p w14:paraId="6FB2CE8E" w14:textId="5A5FE0F1" w:rsidR="00E23F66" w:rsidRPr="008216B8" w:rsidRDefault="00E23F66" w:rsidP="00C612C0">
            <w:pPr>
              <w:pStyle w:val="ListNumber3"/>
              <w:numPr>
                <w:ilvl w:val="0"/>
                <w:numId w:val="0"/>
              </w:numPr>
              <w:rPr>
                <w:b/>
                <w:bCs w:val="0"/>
              </w:rPr>
            </w:pPr>
            <w:r>
              <w:rPr>
                <w:b/>
                <w:bCs w:val="0"/>
              </w:rPr>
              <w:t>Asked by</w:t>
            </w:r>
          </w:p>
        </w:tc>
        <w:tc>
          <w:tcPr>
            <w:tcW w:w="1260" w:type="dxa"/>
          </w:tcPr>
          <w:p w14:paraId="0F309C14" w14:textId="329E75A3" w:rsidR="00E23F66" w:rsidRDefault="00E23F66" w:rsidP="00C612C0">
            <w:pPr>
              <w:pStyle w:val="ListNumber3"/>
              <w:numPr>
                <w:ilvl w:val="0"/>
                <w:numId w:val="0"/>
              </w:numPr>
              <w:rPr>
                <w:b/>
                <w:bCs w:val="0"/>
              </w:rPr>
            </w:pPr>
            <w:r>
              <w:rPr>
                <w:b/>
                <w:bCs w:val="0"/>
              </w:rPr>
              <w:t>Directorate</w:t>
            </w:r>
          </w:p>
        </w:tc>
        <w:tc>
          <w:tcPr>
            <w:tcW w:w="2266" w:type="dxa"/>
          </w:tcPr>
          <w:p w14:paraId="4213E7CD" w14:textId="7682B381" w:rsidR="00E23F66" w:rsidRDefault="00E23F66" w:rsidP="00C612C0">
            <w:pPr>
              <w:pStyle w:val="ListNumber3"/>
              <w:numPr>
                <w:ilvl w:val="0"/>
                <w:numId w:val="0"/>
              </w:numPr>
              <w:rPr>
                <w:b/>
                <w:bCs w:val="0"/>
              </w:rPr>
            </w:pPr>
            <w:r>
              <w:rPr>
                <w:b/>
                <w:bCs w:val="0"/>
              </w:rPr>
              <w:t>Subject</w:t>
            </w:r>
          </w:p>
        </w:tc>
        <w:tc>
          <w:tcPr>
            <w:tcW w:w="1090" w:type="dxa"/>
          </w:tcPr>
          <w:p w14:paraId="4C67B392" w14:textId="49A4606C" w:rsidR="00E23F66" w:rsidRDefault="00E23F66" w:rsidP="00C612C0">
            <w:pPr>
              <w:pStyle w:val="ListNumber3"/>
              <w:numPr>
                <w:ilvl w:val="0"/>
                <w:numId w:val="0"/>
              </w:numPr>
              <w:rPr>
                <w:b/>
                <w:bCs w:val="0"/>
              </w:rPr>
            </w:pPr>
            <w:r>
              <w:rPr>
                <w:b/>
                <w:bCs w:val="0"/>
              </w:rPr>
              <w:t>Answer Date</w:t>
            </w:r>
          </w:p>
        </w:tc>
      </w:tr>
      <w:tr w:rsidR="00E23F66" w:rsidRPr="00D84DFC" w14:paraId="2B3C9F32" w14:textId="4160D369" w:rsidTr="00893EB5">
        <w:trPr>
          <w:cnfStyle w:val="000000100000" w:firstRow="0" w:lastRow="0" w:firstColumn="0" w:lastColumn="0" w:oddVBand="0" w:evenVBand="0" w:oddHBand="1" w:evenHBand="0" w:firstRowFirstColumn="0" w:firstRowLastColumn="0" w:lastRowFirstColumn="0" w:lastRowLastColumn="0"/>
          <w:jc w:val="center"/>
        </w:trPr>
        <w:tc>
          <w:tcPr>
            <w:tcW w:w="976" w:type="dxa"/>
            <w:vAlign w:val="top"/>
          </w:tcPr>
          <w:p w14:paraId="2ADAA176" w14:textId="21D8DD55" w:rsidR="00E23F66" w:rsidRPr="008E3966" w:rsidRDefault="00E23F66" w:rsidP="00BE1893">
            <w:pPr>
              <w:pStyle w:val="ListNumber3"/>
              <w:numPr>
                <w:ilvl w:val="0"/>
                <w:numId w:val="0"/>
              </w:numPr>
              <w:jc w:val="both"/>
            </w:pPr>
            <w:r>
              <w:t>1</w:t>
            </w:r>
          </w:p>
        </w:tc>
        <w:tc>
          <w:tcPr>
            <w:tcW w:w="1121" w:type="dxa"/>
            <w:vAlign w:val="top"/>
          </w:tcPr>
          <w:p w14:paraId="20710795" w14:textId="447B55E9" w:rsidR="00E23F66" w:rsidRPr="008E3966" w:rsidRDefault="00E23F66" w:rsidP="00C612C0">
            <w:pPr>
              <w:pStyle w:val="ListNumber3"/>
              <w:numPr>
                <w:ilvl w:val="0"/>
                <w:numId w:val="0"/>
              </w:numPr>
            </w:pPr>
            <w:r>
              <w:t>QTON</w:t>
            </w:r>
          </w:p>
        </w:tc>
        <w:tc>
          <w:tcPr>
            <w:tcW w:w="1198" w:type="dxa"/>
          </w:tcPr>
          <w:p w14:paraId="6143EE03" w14:textId="4240A15D" w:rsidR="00E23F66" w:rsidRPr="008E3966" w:rsidRDefault="00E23F66" w:rsidP="00C612C0">
            <w:pPr>
              <w:pStyle w:val="ListNumber3"/>
              <w:numPr>
                <w:ilvl w:val="0"/>
                <w:numId w:val="0"/>
              </w:numPr>
            </w:pPr>
            <w:r>
              <w:t>16/6/2021</w:t>
            </w:r>
          </w:p>
        </w:tc>
        <w:tc>
          <w:tcPr>
            <w:tcW w:w="1205" w:type="dxa"/>
          </w:tcPr>
          <w:p w14:paraId="718F0390" w14:textId="2ACD9CDC" w:rsidR="00E23F66" w:rsidRPr="008E3966" w:rsidRDefault="00E23F66" w:rsidP="00C612C0">
            <w:pPr>
              <w:pStyle w:val="ListNumber3"/>
              <w:numPr>
                <w:ilvl w:val="0"/>
                <w:numId w:val="0"/>
              </w:numPr>
            </w:pPr>
            <w:r>
              <w:t>Braddock</w:t>
            </w:r>
          </w:p>
        </w:tc>
        <w:tc>
          <w:tcPr>
            <w:tcW w:w="1260" w:type="dxa"/>
          </w:tcPr>
          <w:p w14:paraId="785793ED" w14:textId="4854C126" w:rsidR="00E23F66" w:rsidRPr="008E3966" w:rsidRDefault="00E23F66" w:rsidP="00C612C0">
            <w:pPr>
              <w:pStyle w:val="ListNumber3"/>
              <w:numPr>
                <w:ilvl w:val="0"/>
                <w:numId w:val="0"/>
              </w:numPr>
            </w:pPr>
            <w:r>
              <w:t>CMTEDD</w:t>
            </w:r>
          </w:p>
        </w:tc>
        <w:tc>
          <w:tcPr>
            <w:tcW w:w="2266" w:type="dxa"/>
          </w:tcPr>
          <w:p w14:paraId="5C098BA6" w14:textId="707A2E32" w:rsidR="00E23F66" w:rsidRDefault="00893EB5" w:rsidP="00C612C0">
            <w:pPr>
              <w:pStyle w:val="ListNumber3"/>
              <w:numPr>
                <w:ilvl w:val="0"/>
                <w:numId w:val="0"/>
              </w:numPr>
            </w:pPr>
            <w:r>
              <w:t>Claims payment improvements</w:t>
            </w:r>
          </w:p>
        </w:tc>
        <w:tc>
          <w:tcPr>
            <w:tcW w:w="1090" w:type="dxa"/>
          </w:tcPr>
          <w:p w14:paraId="3A9B4826" w14:textId="10B071C7" w:rsidR="00E23F66" w:rsidRPr="008E3966" w:rsidRDefault="00E23F66" w:rsidP="00C612C0">
            <w:pPr>
              <w:pStyle w:val="ListNumber3"/>
              <w:numPr>
                <w:ilvl w:val="0"/>
                <w:numId w:val="0"/>
              </w:numPr>
            </w:pPr>
            <w:r>
              <w:t>29/6/2021</w:t>
            </w:r>
          </w:p>
        </w:tc>
      </w:tr>
    </w:tbl>
    <w:p w14:paraId="3AB017F3" w14:textId="77777777" w:rsidR="007B2663" w:rsidRPr="007B2663" w:rsidRDefault="007B2663" w:rsidP="00FC7958">
      <w:pPr>
        <w:pStyle w:val="ListContinue3"/>
        <w:ind w:left="0"/>
      </w:pPr>
    </w:p>
    <w:sectPr w:rsidR="007B2663" w:rsidRPr="007B2663" w:rsidSect="00171A60">
      <w:footerReference w:type="even" r:id="rId18"/>
      <w:footerReference w:type="default" r:id="rId19"/>
      <w:pgSz w:w="11906" w:h="16838"/>
      <w:pgMar w:top="1440" w:right="1440" w:bottom="1440" w:left="1440" w:header="708" w:footer="441"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288314" w14:textId="77777777" w:rsidR="00836FFE" w:rsidRDefault="00836FFE" w:rsidP="00D376C4">
      <w:pPr>
        <w:spacing w:after="0" w:line="240" w:lineRule="auto"/>
      </w:pPr>
      <w:r>
        <w:separator/>
      </w:r>
    </w:p>
  </w:endnote>
  <w:endnote w:type="continuationSeparator" w:id="0">
    <w:p w14:paraId="5E9C7E1E" w14:textId="77777777" w:rsidR="00836FFE" w:rsidRDefault="00836FFE" w:rsidP="00D376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7264CB3E-ABB6-4F60-B352-CE5250A6B15C}"/>
    <w:embedBold r:id="rId2" w:fontKey="{99FAD092-4AF5-44EB-A497-EA118D8AFF2C}"/>
    <w:embedItalic r:id="rId3" w:fontKey="{D5E1725B-909E-4749-ADB2-2953A1ACD06A}"/>
    <w:embedBoldItalic r:id="rId4" w:fontKey="{447A9086-3488-404B-88AA-8010646AB3E0}"/>
  </w:font>
  <w:font w:name="Arial Narrow">
    <w:panose1 w:val="020B0606020202030204"/>
    <w:charset w:val="00"/>
    <w:family w:val="swiss"/>
    <w:pitch w:val="variable"/>
    <w:sig w:usb0="00000287" w:usb1="00000800" w:usb2="00000000" w:usb3="00000000" w:csb0="0000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ontserrat SemiBold">
    <w:altName w:val="﷽﷽﷽﷽﷽﷽﷽﷽at SemiBold"/>
    <w:panose1 w:val="00000700000000000000"/>
    <w:charset w:val="00"/>
    <w:family w:val="auto"/>
    <w:pitch w:val="variable"/>
    <w:sig w:usb0="2000020F" w:usb1="00000003" w:usb2="00000000" w:usb3="00000000" w:csb0="00000197" w:csb1="00000000"/>
    <w:embedRegular r:id="rId5" w:fontKey="{E9A40158-5476-4092-98F5-CC66680D8019}"/>
  </w:font>
  <w:font w:name="Montserrat">
    <w:altName w:val="﷽﷽﷽﷽﷽﷽﷽﷽at"/>
    <w:panose1 w:val="00000500000000000000"/>
    <w:charset w:val="00"/>
    <w:family w:val="auto"/>
    <w:pitch w:val="variable"/>
    <w:sig w:usb0="2000020F" w:usb1="00000003" w:usb2="00000000" w:usb3="00000000" w:csb0="00000197" w:csb1="00000000"/>
    <w:embedRegular r:id="rId6" w:fontKey="{8F2CDBE1-5C06-41AC-9AD5-DFD20E77920F}"/>
    <w:embedBold r:id="rId7" w:fontKey="{0B907900-F637-42EA-B9EB-0E278875490D}"/>
  </w:font>
  <w:font w:name="Arial">
    <w:panose1 w:val="020B0604020202020204"/>
    <w:charset w:val="00"/>
    <w:family w:val="swiss"/>
    <w:pitch w:val="variable"/>
    <w:sig w:usb0="E0002EFF" w:usb1="C000785B" w:usb2="00000009" w:usb3="00000000" w:csb0="000001FF" w:csb1="00000000"/>
  </w:font>
  <w:font w:name="Montserrat Light">
    <w:altName w:val="﷽﷽﷽﷽﷽﷽﷽﷽at Light"/>
    <w:panose1 w:val="00000400000000000000"/>
    <w:charset w:val="00"/>
    <w:family w:val="auto"/>
    <w:pitch w:val="variable"/>
    <w:sig w:usb0="2000020F" w:usb1="00000003" w:usb2="00000000" w:usb3="00000000" w:csb0="00000197" w:csb1="00000000"/>
    <w:embedRegular r:id="rId8" w:subsetted="1" w:fontKey="{A7C91C53-BC02-48B4-AAC4-AEF4936FE0EA}"/>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03AAB8" w14:textId="55E9A616" w:rsidR="00D45A1D" w:rsidRPr="00121E63" w:rsidRDefault="00836FFE" w:rsidP="00121E63">
    <w:pPr>
      <w:pStyle w:val="Footer"/>
      <w:tabs>
        <w:tab w:val="clear" w:pos="4513"/>
        <w:tab w:val="clear" w:pos="9026"/>
        <w:tab w:val="left" w:pos="0"/>
      </w:tabs>
      <w:jc w:val="both"/>
      <w:rPr>
        <w:rFonts w:ascii="Montserrat SemiBold" w:hAnsi="Montserrat SemiBold" w:cstheme="majorHAnsi"/>
        <w:color w:val="2F5496"/>
        <w:w w:val="90"/>
        <w:sz w:val="18"/>
        <w:szCs w:val="18"/>
      </w:rPr>
    </w:pPr>
    <w:r w:rsidRPr="00121E63">
      <w:rPr>
        <w:rFonts w:ascii="Montserrat SemiBold" w:hAnsi="Montserrat SemiBold" w:cstheme="majorHAnsi"/>
        <w:color w:val="2F5496"/>
        <w:w w:val="90"/>
        <w:sz w:val="18"/>
        <w:szCs w:val="18"/>
      </w:rPr>
      <w:fldChar w:fldCharType="begin"/>
    </w:r>
    <w:r w:rsidRPr="00121E63">
      <w:rPr>
        <w:rFonts w:ascii="Montserrat SemiBold" w:hAnsi="Montserrat SemiBold" w:cstheme="majorHAnsi"/>
        <w:color w:val="2F5496"/>
        <w:w w:val="90"/>
        <w:sz w:val="18"/>
        <w:szCs w:val="18"/>
      </w:rPr>
      <w:instrText xml:space="preserve"> STYLEREF  Title  \* MERGEFORMAT </w:instrText>
    </w:r>
    <w:r w:rsidRPr="00121E63">
      <w:rPr>
        <w:rFonts w:ascii="Montserrat SemiBold" w:hAnsi="Montserrat SemiBold" w:cstheme="majorHAnsi"/>
        <w:color w:val="2F5496"/>
        <w:w w:val="90"/>
        <w:sz w:val="18"/>
        <w:szCs w:val="18"/>
      </w:rPr>
      <w:fldChar w:fldCharType="separate"/>
    </w:r>
    <w:r w:rsidR="00EB02E3" w:rsidRPr="00EB02E3">
      <w:rPr>
        <w:rFonts w:ascii="Montserrat SemiBold" w:hAnsi="Montserrat SemiBold" w:cstheme="majorHAnsi"/>
        <w:noProof/>
        <w:color w:val="2F5496"/>
        <w:w w:val="90"/>
        <w:sz w:val="18"/>
        <w:szCs w:val="18"/>
        <w:lang w:val="en-US"/>
      </w:rPr>
      <w:t xml:space="preserve">Inquiry into the Auditor-General’s Report No. 6 of </w:t>
    </w:r>
    <w:r w:rsidR="00EB02E3">
      <w:rPr>
        <w:rFonts w:ascii="Montserrat SemiBold" w:hAnsi="Montserrat SemiBold" w:cstheme="majorHAnsi"/>
        <w:noProof/>
        <w:color w:val="2F5496"/>
        <w:w w:val="90"/>
        <w:sz w:val="18"/>
        <w:szCs w:val="18"/>
      </w:rPr>
      <w:t>2020: Transfer of Worker’s Compensation Arrangements from Comcare</w:t>
    </w:r>
    <w:r w:rsidRPr="00121E63">
      <w:rPr>
        <w:rFonts w:ascii="Montserrat SemiBold" w:hAnsi="Montserrat SemiBold" w:cstheme="majorHAnsi"/>
        <w:color w:val="2F5496"/>
        <w:w w:val="90"/>
        <w:sz w:val="18"/>
        <w:szCs w:val="18"/>
      </w:rPr>
      <w:fldChar w:fldCharType="end"/>
    </w:r>
  </w:p>
  <w:p w14:paraId="6C9EE287" w14:textId="2FF8B05B" w:rsidR="00D45A1D" w:rsidRPr="00EE5B62" w:rsidRDefault="00D45A1D" w:rsidP="00D45A1D">
    <w:pPr>
      <w:pStyle w:val="Footer"/>
      <w:tabs>
        <w:tab w:val="clear" w:pos="4513"/>
        <w:tab w:val="clear" w:pos="9026"/>
        <w:tab w:val="left" w:pos="360"/>
      </w:tabs>
      <w:ind w:left="270" w:hanging="270"/>
      <w:rPr>
        <w:rFonts w:ascii="Montserrat SemiBold" w:hAnsi="Montserrat SemiBold" w:cstheme="majorHAnsi"/>
        <w:color w:val="2F5496"/>
        <w:w w:val="90"/>
        <w:sz w:val="18"/>
        <w:szCs w:val="18"/>
      </w:rPr>
    </w:pPr>
    <w:r w:rsidRPr="00EE5B62">
      <w:rPr>
        <w:rFonts w:ascii="Montserrat SemiBold" w:hAnsi="Montserrat SemiBold" w:cstheme="majorHAnsi"/>
        <w:color w:val="2F5496"/>
        <w:w w:val="90"/>
        <w:sz w:val="18"/>
        <w:szCs w:val="18"/>
      </w:rPr>
      <w:fldChar w:fldCharType="begin"/>
    </w:r>
    <w:r w:rsidRPr="00EE5B62">
      <w:rPr>
        <w:rFonts w:ascii="Montserrat SemiBold" w:hAnsi="Montserrat SemiBold" w:cstheme="majorHAnsi"/>
        <w:color w:val="2F5496"/>
        <w:w w:val="90"/>
        <w:sz w:val="18"/>
        <w:szCs w:val="18"/>
      </w:rPr>
      <w:instrText xml:space="preserve"> PAGE  \* roman  \* MERGEFORMAT </w:instrText>
    </w:r>
    <w:r w:rsidRPr="00EE5B62">
      <w:rPr>
        <w:rFonts w:ascii="Montserrat SemiBold" w:hAnsi="Montserrat SemiBold" w:cstheme="majorHAnsi"/>
        <w:color w:val="2F5496"/>
        <w:w w:val="90"/>
        <w:sz w:val="18"/>
        <w:szCs w:val="18"/>
      </w:rPr>
      <w:fldChar w:fldCharType="separate"/>
    </w:r>
    <w:r w:rsidR="00B16585">
      <w:rPr>
        <w:rFonts w:ascii="Montserrat SemiBold" w:hAnsi="Montserrat SemiBold" w:cstheme="majorHAnsi"/>
        <w:noProof/>
        <w:color w:val="2F5496"/>
        <w:w w:val="90"/>
        <w:sz w:val="18"/>
        <w:szCs w:val="18"/>
      </w:rPr>
      <w:t>iv</w:t>
    </w:r>
    <w:r w:rsidRPr="00EE5B62">
      <w:rPr>
        <w:rFonts w:ascii="Montserrat SemiBold" w:hAnsi="Montserrat SemiBold" w:cstheme="majorHAnsi"/>
        <w:color w:val="2F5496"/>
        <w:w w:val="90"/>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18B878" w14:textId="1049A4A2" w:rsidR="00836FFE" w:rsidRPr="007A6EB9" w:rsidRDefault="00836FFE" w:rsidP="009C2830">
    <w:pPr>
      <w:pStyle w:val="Footer"/>
      <w:tabs>
        <w:tab w:val="clear" w:pos="4513"/>
        <w:tab w:val="clear" w:pos="9026"/>
        <w:tab w:val="right" w:pos="5387"/>
      </w:tabs>
      <w:jc w:val="right"/>
      <w:rPr>
        <w:rFonts w:ascii="Montserrat SemiBold" w:hAnsi="Montserrat SemiBold" w:cstheme="majorHAnsi"/>
        <w:color w:val="2F5496"/>
        <w:w w:val="90"/>
        <w:sz w:val="18"/>
        <w:szCs w:val="18"/>
      </w:rPr>
    </w:pPr>
    <w:r w:rsidRPr="007A6EB9">
      <w:rPr>
        <w:rFonts w:ascii="Montserrat SemiBold" w:hAnsi="Montserrat SemiBold" w:cstheme="majorHAnsi"/>
        <w:color w:val="2F5496"/>
        <w:w w:val="90"/>
        <w:sz w:val="18"/>
        <w:szCs w:val="18"/>
      </w:rPr>
      <w:fldChar w:fldCharType="begin"/>
    </w:r>
    <w:r w:rsidRPr="007A6EB9">
      <w:rPr>
        <w:rFonts w:ascii="Montserrat SemiBold" w:hAnsi="Montserrat SemiBold" w:cstheme="majorHAnsi"/>
        <w:color w:val="2F5496"/>
        <w:w w:val="90"/>
        <w:sz w:val="18"/>
        <w:szCs w:val="18"/>
      </w:rPr>
      <w:instrText xml:space="preserve"> STYLEREF  Title  \* MERGEFORMAT </w:instrText>
    </w:r>
    <w:r w:rsidRPr="007A6EB9">
      <w:rPr>
        <w:rFonts w:ascii="Montserrat SemiBold" w:hAnsi="Montserrat SemiBold" w:cstheme="majorHAnsi"/>
        <w:color w:val="2F5496"/>
        <w:w w:val="90"/>
        <w:sz w:val="18"/>
        <w:szCs w:val="18"/>
      </w:rPr>
      <w:fldChar w:fldCharType="separate"/>
    </w:r>
    <w:r w:rsidR="00123393">
      <w:rPr>
        <w:rFonts w:ascii="Montserrat SemiBold" w:hAnsi="Montserrat SemiBold" w:cstheme="majorHAnsi"/>
        <w:noProof/>
        <w:color w:val="2F5496"/>
        <w:w w:val="90"/>
        <w:sz w:val="18"/>
        <w:szCs w:val="18"/>
      </w:rPr>
      <w:t>Inquiry into the Auditor-General’s Report No. 6 of 2020: Transfer of Worker’s Compensation Arrangements from Comcare</w:t>
    </w:r>
    <w:r w:rsidRPr="007A6EB9">
      <w:rPr>
        <w:rFonts w:ascii="Montserrat SemiBold" w:hAnsi="Montserrat SemiBold" w:cstheme="majorHAnsi"/>
        <w:color w:val="2F5496"/>
        <w:w w:val="90"/>
        <w:sz w:val="18"/>
        <w:szCs w:val="18"/>
      </w:rPr>
      <w:fldChar w:fldCharType="end"/>
    </w:r>
    <w:r w:rsidRPr="007A6EB9">
      <w:rPr>
        <w:rFonts w:ascii="Montserrat SemiBold" w:hAnsi="Montserrat SemiBold" w:cstheme="majorHAnsi"/>
        <w:color w:val="2F5496"/>
        <w:w w:val="90"/>
        <w:sz w:val="18"/>
        <w:szCs w:val="18"/>
      </w:rPr>
      <w:tab/>
    </w:r>
    <w:r w:rsidR="00623507" w:rsidRPr="007A6EB9">
      <w:rPr>
        <w:rFonts w:ascii="Montserrat SemiBold" w:hAnsi="Montserrat SemiBold" w:cstheme="majorHAnsi"/>
        <w:color w:val="2F5496"/>
        <w:w w:val="90"/>
        <w:sz w:val="18"/>
        <w:szCs w:val="18"/>
      </w:rPr>
      <w:fldChar w:fldCharType="begin"/>
    </w:r>
    <w:r w:rsidR="00623507" w:rsidRPr="007A6EB9">
      <w:rPr>
        <w:rFonts w:ascii="Montserrat SemiBold" w:hAnsi="Montserrat SemiBold" w:cstheme="majorHAnsi"/>
        <w:color w:val="2F5496"/>
        <w:w w:val="90"/>
        <w:sz w:val="18"/>
        <w:szCs w:val="18"/>
      </w:rPr>
      <w:instrText xml:space="preserve"> PAGE  \* roman  \* MERGEFORMAT </w:instrText>
    </w:r>
    <w:r w:rsidR="00623507" w:rsidRPr="007A6EB9">
      <w:rPr>
        <w:rFonts w:ascii="Montserrat SemiBold" w:hAnsi="Montserrat SemiBold" w:cstheme="majorHAnsi"/>
        <w:color w:val="2F5496"/>
        <w:w w:val="90"/>
        <w:sz w:val="18"/>
        <w:szCs w:val="18"/>
      </w:rPr>
      <w:fldChar w:fldCharType="separate"/>
    </w:r>
    <w:r w:rsidR="00623507" w:rsidRPr="007A6EB9">
      <w:rPr>
        <w:rFonts w:ascii="Montserrat SemiBold" w:hAnsi="Montserrat SemiBold" w:cstheme="majorHAnsi"/>
        <w:noProof/>
        <w:color w:val="2F5496"/>
        <w:w w:val="90"/>
        <w:sz w:val="18"/>
        <w:szCs w:val="18"/>
      </w:rPr>
      <w:t>iv</w:t>
    </w:r>
    <w:r w:rsidR="00623507" w:rsidRPr="007A6EB9">
      <w:rPr>
        <w:rFonts w:ascii="Montserrat SemiBold" w:hAnsi="Montserrat SemiBold" w:cstheme="majorHAnsi"/>
        <w:color w:val="2F5496"/>
        <w:w w:val="90"/>
        <w:sz w:val="18"/>
        <w:szCs w:val="18"/>
      </w:rPr>
      <w:fldChar w:fldCharType="end"/>
    </w:r>
  </w:p>
  <w:p w14:paraId="72FFD293" w14:textId="77777777" w:rsidR="00836FFE" w:rsidRPr="007A6EB9" w:rsidRDefault="00836FFE" w:rsidP="009C2830">
    <w:pPr>
      <w:pStyle w:val="Footer"/>
      <w:jc w:val="right"/>
      <w:rPr>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F89E6B" w14:textId="6AFAEAD7" w:rsidR="00836FFE" w:rsidRPr="00C8358A" w:rsidRDefault="00836FFE" w:rsidP="00F101AB">
    <w:pPr>
      <w:pStyle w:val="Footer"/>
      <w:tabs>
        <w:tab w:val="clear" w:pos="4513"/>
        <w:tab w:val="clear" w:pos="9026"/>
      </w:tabs>
      <w:rPr>
        <w:rFonts w:cstheme="minorHAnsi"/>
        <w:color w:val="404040" w:themeColor="text1" w:themeTint="BF"/>
      </w:rPr>
    </w:pPr>
    <w:r w:rsidRPr="00C8358A">
      <w:rPr>
        <w:rFonts w:cstheme="minorHAnsi"/>
        <w:color w:val="404040" w:themeColor="text1" w:themeTint="BF"/>
      </w:rPr>
      <w:t>Legislative Assembly for the Australian Capital Territory</w:t>
    </w:r>
  </w:p>
  <w:p w14:paraId="41E38368" w14:textId="6AD225CF" w:rsidR="00836FFE" w:rsidRPr="00C8358A" w:rsidRDefault="00836FFE" w:rsidP="00F101AB">
    <w:pPr>
      <w:pStyle w:val="Footer"/>
      <w:tabs>
        <w:tab w:val="clear" w:pos="4513"/>
        <w:tab w:val="clear" w:pos="9026"/>
      </w:tabs>
      <w:rPr>
        <w:rFonts w:cstheme="minorHAnsi"/>
        <w:color w:val="404040" w:themeColor="text1" w:themeTint="BF"/>
      </w:rPr>
    </w:pPr>
    <w:r w:rsidRPr="00C8358A">
      <w:rPr>
        <w:rFonts w:cstheme="minorHAnsi"/>
        <w:color w:val="404040" w:themeColor="text1" w:themeTint="BF"/>
      </w:rPr>
      <w:fldChar w:fldCharType="begin"/>
    </w:r>
    <w:r w:rsidRPr="00C8358A">
      <w:rPr>
        <w:rFonts w:cstheme="minorHAnsi"/>
        <w:color w:val="404040" w:themeColor="text1" w:themeTint="BF"/>
      </w:rPr>
      <w:instrText xml:space="preserve"> STYLEREF  "Default Paragraph Font"  \* MERGEFORMAT </w:instrText>
    </w:r>
    <w:r w:rsidRPr="00C8358A">
      <w:rPr>
        <w:rFonts w:cstheme="minorHAnsi"/>
        <w:color w:val="404040" w:themeColor="text1" w:themeTint="BF"/>
      </w:rPr>
      <w:fldChar w:fldCharType="separate"/>
    </w:r>
    <w:r w:rsidR="00EB02E3">
      <w:rPr>
        <w:rFonts w:cstheme="minorHAnsi"/>
        <w:noProof/>
        <w:color w:val="404040" w:themeColor="text1" w:themeTint="BF"/>
      </w:rPr>
      <w:t>Standing Committee on Public Accounts</w:t>
    </w:r>
    <w:r w:rsidR="00EB02E3">
      <w:rPr>
        <w:rFonts w:cstheme="minorHAnsi"/>
        <w:noProof/>
        <w:color w:val="404040" w:themeColor="text1" w:themeTint="BF"/>
      </w:rPr>
      <w:cr/>
    </w:r>
    <w:r w:rsidRPr="00C8358A">
      <w:rPr>
        <w:rFonts w:cstheme="minorHAnsi"/>
        <w:color w:val="404040" w:themeColor="text1" w:themeTint="BF"/>
      </w:rPr>
      <w:fldChar w:fldCharType="end"/>
    </w:r>
  </w:p>
  <w:sdt>
    <w:sdtPr>
      <w:rPr>
        <w:rFonts w:cstheme="minorHAnsi"/>
        <w:color w:val="404040" w:themeColor="text1" w:themeTint="BF"/>
      </w:rPr>
      <w:id w:val="-1014070664"/>
      <w:placeholder>
        <w:docPart w:val="9359785572D84CFAB604E6A822CE4F98"/>
      </w:placeholder>
      <w15:color w:val="000000"/>
      <w:comboBox>
        <w:listItem w:value="Choose an item."/>
        <w:listItem w:displayText="Approved for publication" w:value="Approved for publication"/>
        <w:listItem w:displayText="Draft - Not for publication" w:value="Draft - Not for publication"/>
      </w:comboBox>
    </w:sdtPr>
    <w:sdtEndPr/>
    <w:sdtContent>
      <w:p w14:paraId="7659AF23" w14:textId="53442681" w:rsidR="00836FFE" w:rsidRPr="00C8358A" w:rsidRDefault="000E3C8E" w:rsidP="00C8358A">
        <w:pPr>
          <w:pStyle w:val="Footer"/>
          <w:pBdr>
            <w:top w:val="single" w:sz="4" w:space="1" w:color="auto"/>
            <w:bottom w:val="single" w:sz="4" w:space="1" w:color="auto"/>
          </w:pBdr>
          <w:tabs>
            <w:tab w:val="clear" w:pos="4513"/>
            <w:tab w:val="clear" w:pos="9026"/>
          </w:tabs>
          <w:spacing w:before="40" w:after="40"/>
          <w:ind w:right="6474"/>
          <w:jc w:val="center"/>
          <w:rPr>
            <w:rFonts w:cstheme="minorHAnsi"/>
            <w:color w:val="404040" w:themeColor="text1" w:themeTint="BF"/>
          </w:rPr>
        </w:pPr>
        <w:r>
          <w:rPr>
            <w:rFonts w:cstheme="minorHAnsi"/>
            <w:color w:val="404040" w:themeColor="text1" w:themeTint="BF"/>
          </w:rPr>
          <w:t>Approved for publication</w:t>
        </w:r>
      </w:p>
    </w:sdtContent>
  </w:sdt>
  <w:p w14:paraId="602D822B" w14:textId="1B7D7A30" w:rsidR="00836FFE" w:rsidRPr="00C8358A" w:rsidRDefault="00836FFE" w:rsidP="00F101AB">
    <w:pPr>
      <w:pStyle w:val="Footer"/>
      <w:tabs>
        <w:tab w:val="clear" w:pos="4513"/>
        <w:tab w:val="clear" w:pos="9026"/>
      </w:tabs>
      <w:rPr>
        <w:rFonts w:cstheme="minorHAnsi"/>
        <w:color w:val="404040" w:themeColor="text1" w:themeTint="BF"/>
      </w:rPr>
    </w:pPr>
  </w:p>
  <w:p w14:paraId="388934F0" w14:textId="126636E1" w:rsidR="00836FFE" w:rsidRDefault="00836FFE" w:rsidP="00F101AB">
    <w:pPr>
      <w:pStyle w:val="Footer"/>
      <w:tabs>
        <w:tab w:val="clear" w:pos="4513"/>
        <w:tab w:val="clear" w:pos="9026"/>
      </w:tabs>
      <w:rPr>
        <w:rFonts w:cstheme="minorHAnsi"/>
        <w:color w:val="404040" w:themeColor="text1" w:themeTint="BF"/>
      </w:rPr>
    </w:pPr>
    <w:r w:rsidRPr="00C8358A">
      <w:rPr>
        <w:rFonts w:cstheme="minorHAnsi"/>
        <w:color w:val="404040" w:themeColor="text1" w:themeTint="BF"/>
      </w:rPr>
      <w:t>10th Assembly</w:t>
    </w:r>
  </w:p>
  <w:p w14:paraId="765405D7" w14:textId="44F241D6" w:rsidR="00836FFE" w:rsidRPr="00C8358A" w:rsidRDefault="00C110E6" w:rsidP="00F101AB">
    <w:pPr>
      <w:pStyle w:val="Footer"/>
      <w:tabs>
        <w:tab w:val="clear" w:pos="4513"/>
        <w:tab w:val="clear" w:pos="9026"/>
      </w:tabs>
      <w:rPr>
        <w:rFonts w:cstheme="minorHAnsi"/>
        <w:color w:val="404040" w:themeColor="text1" w:themeTint="BF"/>
      </w:rPr>
    </w:pPr>
    <w:r>
      <w:rPr>
        <w:rFonts w:cstheme="minorHAnsi"/>
        <w:color w:val="404040" w:themeColor="text1" w:themeTint="BF"/>
      </w:rPr>
      <w:t>February 2022</w:t>
    </w:r>
  </w:p>
  <w:p w14:paraId="3369C9E0" w14:textId="136FE8D2" w:rsidR="00836FFE" w:rsidRDefault="00836FFE">
    <w:pPr>
      <w:pStyle w:val="Footer"/>
      <w:rPr>
        <w:rFonts w:asciiTheme="majorHAnsi" w:hAnsiTheme="majorHAnsi" w:cstheme="majorHAnsi"/>
      </w:rPr>
    </w:pPr>
  </w:p>
  <w:p w14:paraId="47436BBF" w14:textId="77777777" w:rsidR="00836FFE" w:rsidRPr="008B350E" w:rsidRDefault="00836FFE">
    <w:pPr>
      <w:pStyle w:val="Footer"/>
      <w:rPr>
        <w:rFonts w:asciiTheme="majorHAnsi" w:hAnsiTheme="majorHAnsi" w:cstheme="majorHAnsi"/>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5F2EFC" w14:textId="38796DA4" w:rsidR="002A7D41" w:rsidRPr="00121E63" w:rsidRDefault="00603367" w:rsidP="002A7D41">
    <w:pPr>
      <w:pStyle w:val="Footer"/>
      <w:tabs>
        <w:tab w:val="clear" w:pos="4513"/>
        <w:tab w:val="clear" w:pos="9026"/>
        <w:tab w:val="right" w:pos="4536"/>
      </w:tabs>
      <w:jc w:val="right"/>
      <w:rPr>
        <w:rFonts w:ascii="Montserrat SemiBold" w:hAnsi="Montserrat SemiBold" w:cstheme="majorHAnsi"/>
        <w:color w:val="2F5496"/>
        <w:w w:val="90"/>
        <w:sz w:val="18"/>
        <w:szCs w:val="18"/>
      </w:rPr>
    </w:pPr>
    <w:r w:rsidRPr="00121E63">
      <w:rPr>
        <w:rFonts w:ascii="Montserrat SemiBold" w:hAnsi="Montserrat SemiBold" w:cstheme="majorHAnsi"/>
        <w:color w:val="2F5496"/>
        <w:w w:val="90"/>
        <w:sz w:val="18"/>
        <w:szCs w:val="18"/>
      </w:rPr>
      <w:fldChar w:fldCharType="begin"/>
    </w:r>
    <w:r w:rsidRPr="00121E63">
      <w:rPr>
        <w:rFonts w:ascii="Montserrat SemiBold" w:hAnsi="Montserrat SemiBold" w:cstheme="majorHAnsi"/>
        <w:color w:val="2F5496"/>
        <w:w w:val="90"/>
        <w:sz w:val="18"/>
        <w:szCs w:val="18"/>
      </w:rPr>
      <w:instrText xml:space="preserve"> STYLEREF  Title  \* MERGEFORMAT </w:instrText>
    </w:r>
    <w:r w:rsidRPr="00121E63">
      <w:rPr>
        <w:rFonts w:ascii="Montserrat SemiBold" w:hAnsi="Montserrat SemiBold" w:cstheme="majorHAnsi"/>
        <w:color w:val="2F5496"/>
        <w:w w:val="90"/>
        <w:sz w:val="18"/>
        <w:szCs w:val="18"/>
      </w:rPr>
      <w:fldChar w:fldCharType="separate"/>
    </w:r>
    <w:r w:rsidR="00EB02E3" w:rsidRPr="00EB02E3">
      <w:rPr>
        <w:rFonts w:ascii="Montserrat SemiBold" w:hAnsi="Montserrat SemiBold" w:cstheme="majorHAnsi"/>
        <w:noProof/>
        <w:color w:val="2F5496"/>
        <w:w w:val="90"/>
        <w:sz w:val="18"/>
        <w:szCs w:val="18"/>
        <w:lang w:val="en-US"/>
      </w:rPr>
      <w:t xml:space="preserve">Inquiry into the Auditor-General’s Report No. 6 of </w:t>
    </w:r>
    <w:r w:rsidR="00EB02E3">
      <w:rPr>
        <w:rFonts w:ascii="Montserrat SemiBold" w:hAnsi="Montserrat SemiBold" w:cstheme="majorHAnsi"/>
        <w:noProof/>
        <w:color w:val="2F5496"/>
        <w:w w:val="90"/>
        <w:sz w:val="18"/>
        <w:szCs w:val="18"/>
      </w:rPr>
      <w:t>2020: Transfer of Worker’s Compensation Arrangements from Comcare</w:t>
    </w:r>
    <w:r w:rsidRPr="00121E63">
      <w:rPr>
        <w:rFonts w:ascii="Montserrat SemiBold" w:hAnsi="Montserrat SemiBold" w:cstheme="majorHAnsi"/>
        <w:color w:val="2F5496"/>
        <w:w w:val="90"/>
        <w:sz w:val="18"/>
        <w:szCs w:val="18"/>
      </w:rPr>
      <w:fldChar w:fldCharType="end"/>
    </w:r>
  </w:p>
  <w:p w14:paraId="3143A310" w14:textId="718CDE9D" w:rsidR="00603367" w:rsidRPr="00171A60" w:rsidRDefault="00603367" w:rsidP="00171A60">
    <w:pPr>
      <w:pStyle w:val="Footer"/>
      <w:tabs>
        <w:tab w:val="clear" w:pos="4513"/>
        <w:tab w:val="clear" w:pos="9026"/>
        <w:tab w:val="right" w:pos="4536"/>
      </w:tabs>
      <w:jc w:val="right"/>
      <w:rPr>
        <w:rFonts w:ascii="Montserrat SemiBold" w:hAnsi="Montserrat SemiBold" w:cstheme="majorHAnsi"/>
        <w:color w:val="2F5496"/>
        <w:w w:val="90"/>
        <w:sz w:val="18"/>
        <w:szCs w:val="18"/>
      </w:rPr>
    </w:pPr>
    <w:r w:rsidRPr="007A6EB9">
      <w:rPr>
        <w:rFonts w:ascii="Montserrat SemiBold" w:hAnsi="Montserrat SemiBold" w:cstheme="majorHAnsi"/>
        <w:color w:val="2F5496"/>
        <w:w w:val="90"/>
        <w:sz w:val="18"/>
        <w:szCs w:val="18"/>
      </w:rPr>
      <w:tab/>
    </w:r>
    <w:r w:rsidR="009F5A83">
      <w:rPr>
        <w:rFonts w:ascii="Montserrat SemiBold" w:hAnsi="Montserrat SemiBold" w:cstheme="majorHAnsi"/>
        <w:color w:val="2F5496"/>
        <w:w w:val="90"/>
        <w:sz w:val="18"/>
        <w:szCs w:val="18"/>
      </w:rPr>
      <w:fldChar w:fldCharType="begin"/>
    </w:r>
    <w:r w:rsidR="009F5A83">
      <w:rPr>
        <w:rFonts w:ascii="Montserrat SemiBold" w:hAnsi="Montserrat SemiBold" w:cstheme="majorHAnsi"/>
        <w:color w:val="2F5496"/>
        <w:w w:val="90"/>
        <w:sz w:val="18"/>
        <w:szCs w:val="18"/>
      </w:rPr>
      <w:instrText xml:space="preserve"> PAGE  \* roman  \* MERGEFORMAT </w:instrText>
    </w:r>
    <w:r w:rsidR="009F5A83">
      <w:rPr>
        <w:rFonts w:ascii="Montserrat SemiBold" w:hAnsi="Montserrat SemiBold" w:cstheme="majorHAnsi"/>
        <w:color w:val="2F5496"/>
        <w:w w:val="90"/>
        <w:sz w:val="18"/>
        <w:szCs w:val="18"/>
      </w:rPr>
      <w:fldChar w:fldCharType="separate"/>
    </w:r>
    <w:r w:rsidR="00B16585">
      <w:rPr>
        <w:rFonts w:ascii="Montserrat SemiBold" w:hAnsi="Montserrat SemiBold" w:cstheme="majorHAnsi"/>
        <w:noProof/>
        <w:color w:val="2F5496"/>
        <w:w w:val="90"/>
        <w:sz w:val="18"/>
        <w:szCs w:val="18"/>
      </w:rPr>
      <w:t>iii</w:t>
    </w:r>
    <w:r w:rsidR="009F5A83">
      <w:rPr>
        <w:rFonts w:ascii="Montserrat SemiBold" w:hAnsi="Montserrat SemiBold" w:cstheme="majorHAnsi"/>
        <w:color w:val="2F5496"/>
        <w:w w:val="90"/>
        <w:sz w:val="18"/>
        <w:szCs w:val="18"/>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057FEE" w14:textId="7E4D5840" w:rsidR="006A1EC4" w:rsidRPr="004A35FD" w:rsidRDefault="00877A94" w:rsidP="009C2830">
    <w:pPr>
      <w:pStyle w:val="Footer"/>
      <w:tabs>
        <w:tab w:val="clear" w:pos="4513"/>
        <w:tab w:val="clear" w:pos="9026"/>
        <w:tab w:val="left" w:pos="851"/>
      </w:tabs>
      <w:rPr>
        <w:rFonts w:ascii="Montserrat SemiBold" w:hAnsi="Montserrat SemiBold" w:cstheme="majorHAnsi"/>
        <w:color w:val="2F5496"/>
        <w:w w:val="90"/>
        <w:sz w:val="18"/>
        <w:szCs w:val="18"/>
      </w:rPr>
    </w:pPr>
    <w:r w:rsidRPr="004A35FD">
      <w:rPr>
        <w:rFonts w:ascii="Montserrat SemiBold" w:hAnsi="Montserrat SemiBold" w:cstheme="majorHAnsi"/>
        <w:color w:val="2F5496"/>
        <w:w w:val="90"/>
        <w:sz w:val="18"/>
        <w:szCs w:val="18"/>
      </w:rPr>
      <w:fldChar w:fldCharType="begin"/>
    </w:r>
    <w:r w:rsidRPr="004A35FD">
      <w:rPr>
        <w:rFonts w:ascii="Montserrat SemiBold" w:hAnsi="Montserrat SemiBold" w:cstheme="majorHAnsi"/>
        <w:color w:val="2F5496"/>
        <w:w w:val="90"/>
        <w:sz w:val="18"/>
        <w:szCs w:val="18"/>
      </w:rPr>
      <w:instrText xml:space="preserve"> STYLEREF  Title  \* MERGEFORMAT </w:instrText>
    </w:r>
    <w:r w:rsidRPr="004A35FD">
      <w:rPr>
        <w:rFonts w:ascii="Montserrat SemiBold" w:hAnsi="Montserrat SemiBold" w:cstheme="majorHAnsi"/>
        <w:color w:val="2F5496"/>
        <w:w w:val="90"/>
        <w:sz w:val="18"/>
        <w:szCs w:val="18"/>
      </w:rPr>
      <w:fldChar w:fldCharType="separate"/>
    </w:r>
    <w:r w:rsidR="00EB02E3" w:rsidRPr="00EB02E3">
      <w:rPr>
        <w:rFonts w:ascii="Montserrat SemiBold" w:hAnsi="Montserrat SemiBold" w:cstheme="majorHAnsi"/>
        <w:noProof/>
        <w:color w:val="2F5496"/>
        <w:w w:val="90"/>
        <w:sz w:val="18"/>
        <w:szCs w:val="18"/>
        <w:lang w:val="en-US"/>
      </w:rPr>
      <w:t xml:space="preserve">Inquiry into the Auditor-General’s Report No. 6 of </w:t>
    </w:r>
    <w:r w:rsidR="00EB02E3">
      <w:rPr>
        <w:rFonts w:ascii="Montserrat SemiBold" w:hAnsi="Montserrat SemiBold" w:cstheme="majorHAnsi"/>
        <w:noProof/>
        <w:color w:val="2F5496"/>
        <w:w w:val="90"/>
        <w:sz w:val="18"/>
        <w:szCs w:val="18"/>
      </w:rPr>
      <w:t>2020: Transfer of Worker’s Compensation Arrangements from Comcare</w:t>
    </w:r>
    <w:r w:rsidRPr="004A35FD">
      <w:rPr>
        <w:rFonts w:ascii="Montserrat SemiBold" w:hAnsi="Montserrat SemiBold" w:cstheme="majorHAnsi"/>
        <w:color w:val="2F5496"/>
        <w:w w:val="90"/>
        <w:sz w:val="18"/>
        <w:szCs w:val="18"/>
      </w:rPr>
      <w:fldChar w:fldCharType="end"/>
    </w:r>
  </w:p>
  <w:p w14:paraId="36DFBB46" w14:textId="0109A641" w:rsidR="006A1EC4" w:rsidRPr="00EE5B62" w:rsidRDefault="006A1EC4" w:rsidP="009C2830">
    <w:pPr>
      <w:pStyle w:val="Footer"/>
      <w:tabs>
        <w:tab w:val="clear" w:pos="4513"/>
        <w:tab w:val="clear" w:pos="9026"/>
        <w:tab w:val="left" w:pos="851"/>
      </w:tabs>
      <w:rPr>
        <w:rFonts w:ascii="Montserrat SemiBold" w:hAnsi="Montserrat SemiBold" w:cstheme="majorHAnsi"/>
        <w:color w:val="2F5496"/>
        <w:w w:val="90"/>
        <w:sz w:val="18"/>
        <w:szCs w:val="18"/>
      </w:rPr>
    </w:pPr>
    <w:r>
      <w:rPr>
        <w:rFonts w:ascii="Montserrat SemiBold" w:hAnsi="Montserrat SemiBold" w:cstheme="majorHAnsi"/>
        <w:color w:val="2F5496"/>
        <w:w w:val="90"/>
        <w:sz w:val="18"/>
        <w:szCs w:val="18"/>
      </w:rPr>
      <w:fldChar w:fldCharType="begin"/>
    </w:r>
    <w:r>
      <w:rPr>
        <w:rFonts w:ascii="Montserrat SemiBold" w:hAnsi="Montserrat SemiBold" w:cstheme="majorHAnsi"/>
        <w:color w:val="2F5496"/>
        <w:w w:val="90"/>
        <w:sz w:val="18"/>
        <w:szCs w:val="18"/>
      </w:rPr>
      <w:instrText xml:space="preserve"> PAGE  \* MERGEFORMAT </w:instrText>
    </w:r>
    <w:r>
      <w:rPr>
        <w:rFonts w:ascii="Montserrat SemiBold" w:hAnsi="Montserrat SemiBold" w:cstheme="majorHAnsi"/>
        <w:color w:val="2F5496"/>
        <w:w w:val="90"/>
        <w:sz w:val="18"/>
        <w:szCs w:val="18"/>
      </w:rPr>
      <w:fldChar w:fldCharType="separate"/>
    </w:r>
    <w:r w:rsidR="00B16585">
      <w:rPr>
        <w:rFonts w:ascii="Montserrat SemiBold" w:hAnsi="Montserrat SemiBold" w:cstheme="majorHAnsi"/>
        <w:noProof/>
        <w:color w:val="2F5496"/>
        <w:w w:val="90"/>
        <w:sz w:val="18"/>
        <w:szCs w:val="18"/>
      </w:rPr>
      <w:t>8</w:t>
    </w:r>
    <w:r>
      <w:rPr>
        <w:rFonts w:ascii="Montserrat SemiBold" w:hAnsi="Montserrat SemiBold" w:cstheme="majorHAnsi"/>
        <w:color w:val="2F5496"/>
        <w:w w:val="90"/>
        <w:sz w:val="18"/>
        <w:szCs w:val="18"/>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D8E77F" w14:textId="381BF626" w:rsidR="006A1EC4" w:rsidRPr="004A35FD" w:rsidRDefault="009F5A83" w:rsidP="009C2830">
    <w:pPr>
      <w:pStyle w:val="Footer"/>
      <w:tabs>
        <w:tab w:val="clear" w:pos="4513"/>
        <w:tab w:val="clear" w:pos="9026"/>
        <w:tab w:val="right" w:pos="5387"/>
      </w:tabs>
      <w:jc w:val="right"/>
      <w:rPr>
        <w:rFonts w:ascii="Montserrat SemiBold" w:hAnsi="Montserrat SemiBold" w:cstheme="majorHAnsi"/>
        <w:color w:val="2F5496"/>
        <w:w w:val="90"/>
        <w:sz w:val="18"/>
        <w:szCs w:val="18"/>
      </w:rPr>
    </w:pPr>
    <w:r w:rsidRPr="004A35FD">
      <w:rPr>
        <w:rFonts w:ascii="Montserrat SemiBold" w:hAnsi="Montserrat SemiBold" w:cstheme="majorHAnsi"/>
        <w:color w:val="2F5496"/>
        <w:w w:val="90"/>
        <w:sz w:val="18"/>
        <w:szCs w:val="18"/>
      </w:rPr>
      <w:fldChar w:fldCharType="begin"/>
    </w:r>
    <w:r w:rsidRPr="004A35FD">
      <w:rPr>
        <w:rFonts w:ascii="Montserrat SemiBold" w:hAnsi="Montserrat SemiBold" w:cstheme="majorHAnsi"/>
        <w:color w:val="2F5496"/>
        <w:w w:val="90"/>
        <w:sz w:val="18"/>
        <w:szCs w:val="18"/>
      </w:rPr>
      <w:instrText xml:space="preserve"> STYLEREF  Title  \* MERGEFORMAT </w:instrText>
    </w:r>
    <w:r w:rsidRPr="004A35FD">
      <w:rPr>
        <w:rFonts w:ascii="Montserrat SemiBold" w:hAnsi="Montserrat SemiBold" w:cstheme="majorHAnsi"/>
        <w:color w:val="2F5496"/>
        <w:w w:val="90"/>
        <w:sz w:val="18"/>
        <w:szCs w:val="18"/>
      </w:rPr>
      <w:fldChar w:fldCharType="separate"/>
    </w:r>
    <w:r w:rsidR="00EB02E3" w:rsidRPr="00EB02E3">
      <w:rPr>
        <w:rFonts w:ascii="Montserrat SemiBold" w:hAnsi="Montserrat SemiBold" w:cstheme="majorHAnsi"/>
        <w:noProof/>
        <w:color w:val="2F5496"/>
        <w:w w:val="90"/>
        <w:sz w:val="18"/>
        <w:szCs w:val="18"/>
        <w:lang w:val="en-US"/>
      </w:rPr>
      <w:t xml:space="preserve">Inquiry into the Auditor-General’s Report No. 6 of </w:t>
    </w:r>
    <w:r w:rsidR="00EB02E3">
      <w:rPr>
        <w:rFonts w:ascii="Montserrat SemiBold" w:hAnsi="Montserrat SemiBold" w:cstheme="majorHAnsi"/>
        <w:noProof/>
        <w:color w:val="2F5496"/>
        <w:w w:val="90"/>
        <w:sz w:val="18"/>
        <w:szCs w:val="18"/>
      </w:rPr>
      <w:t>2020: Transfer of Worker’s Compensation Arrangements from Comcare</w:t>
    </w:r>
    <w:r w:rsidRPr="004A35FD">
      <w:rPr>
        <w:rFonts w:ascii="Montserrat SemiBold" w:hAnsi="Montserrat SemiBold" w:cstheme="majorHAnsi"/>
        <w:color w:val="2F5496"/>
        <w:w w:val="90"/>
        <w:sz w:val="18"/>
        <w:szCs w:val="18"/>
      </w:rPr>
      <w:fldChar w:fldCharType="end"/>
    </w:r>
    <w:bookmarkStart w:id="42" w:name="_Toc79133346"/>
  </w:p>
  <w:p w14:paraId="05954D7D" w14:textId="6A2584BC" w:rsidR="009F5A83" w:rsidRPr="00171A60" w:rsidRDefault="009F5A83" w:rsidP="00171A60">
    <w:pPr>
      <w:pStyle w:val="Footer"/>
      <w:tabs>
        <w:tab w:val="clear" w:pos="4513"/>
        <w:tab w:val="clear" w:pos="9026"/>
        <w:tab w:val="right" w:pos="5387"/>
      </w:tabs>
      <w:jc w:val="right"/>
      <w:rPr>
        <w:rFonts w:ascii="Montserrat SemiBold" w:hAnsi="Montserrat SemiBold" w:cstheme="majorHAnsi"/>
        <w:color w:val="2F5496"/>
        <w:w w:val="90"/>
        <w:sz w:val="18"/>
        <w:szCs w:val="18"/>
      </w:rPr>
    </w:pPr>
    <w:r w:rsidRPr="007A6EB9">
      <w:rPr>
        <w:rFonts w:ascii="Montserrat SemiBold" w:hAnsi="Montserrat SemiBold" w:cstheme="majorHAnsi"/>
        <w:color w:val="2F5496"/>
        <w:w w:val="90"/>
        <w:sz w:val="18"/>
        <w:szCs w:val="18"/>
      </w:rPr>
      <w:tab/>
    </w:r>
    <w:r w:rsidRPr="007A6EB9">
      <w:rPr>
        <w:rFonts w:ascii="Montserrat SemiBold" w:hAnsi="Montserrat SemiBold" w:cstheme="majorHAnsi"/>
        <w:color w:val="2F5496"/>
        <w:w w:val="90"/>
        <w:sz w:val="18"/>
        <w:szCs w:val="18"/>
      </w:rPr>
      <w:fldChar w:fldCharType="begin"/>
    </w:r>
    <w:r w:rsidRPr="007A6EB9">
      <w:rPr>
        <w:rFonts w:ascii="Montserrat SemiBold" w:hAnsi="Montserrat SemiBold" w:cstheme="majorHAnsi"/>
        <w:color w:val="2F5496"/>
        <w:w w:val="90"/>
        <w:sz w:val="18"/>
        <w:szCs w:val="18"/>
      </w:rPr>
      <w:instrText xml:space="preserve"> PAGE  \* Arabic  \* MERGEFORMAT </w:instrText>
    </w:r>
    <w:r w:rsidRPr="007A6EB9">
      <w:rPr>
        <w:rFonts w:ascii="Montserrat SemiBold" w:hAnsi="Montserrat SemiBold" w:cstheme="majorHAnsi"/>
        <w:color w:val="2F5496"/>
        <w:w w:val="90"/>
        <w:sz w:val="18"/>
        <w:szCs w:val="18"/>
      </w:rPr>
      <w:fldChar w:fldCharType="separate"/>
    </w:r>
    <w:r w:rsidR="00B16585">
      <w:rPr>
        <w:rFonts w:ascii="Montserrat SemiBold" w:hAnsi="Montserrat SemiBold" w:cstheme="majorHAnsi"/>
        <w:noProof/>
        <w:color w:val="2F5496"/>
        <w:w w:val="90"/>
        <w:sz w:val="18"/>
        <w:szCs w:val="18"/>
      </w:rPr>
      <w:t>9</w:t>
    </w:r>
    <w:r w:rsidRPr="007A6EB9">
      <w:rPr>
        <w:rFonts w:ascii="Montserrat SemiBold" w:hAnsi="Montserrat SemiBold" w:cstheme="majorHAnsi"/>
        <w:color w:val="2F5496"/>
        <w:w w:val="90"/>
        <w:sz w:val="18"/>
        <w:szCs w:val="18"/>
      </w:rPr>
      <w:fldChar w:fldCharType="end"/>
    </w:r>
    <w:bookmarkEnd w:id="42"/>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3877F7" w14:textId="77777777" w:rsidR="00836FFE" w:rsidRDefault="00836FFE" w:rsidP="00D376C4">
      <w:pPr>
        <w:spacing w:after="0" w:line="240" w:lineRule="auto"/>
      </w:pPr>
      <w:r>
        <w:separator/>
      </w:r>
    </w:p>
  </w:footnote>
  <w:footnote w:type="continuationSeparator" w:id="0">
    <w:p w14:paraId="68822C88" w14:textId="77777777" w:rsidR="00836FFE" w:rsidRDefault="00836FFE" w:rsidP="00D376C4">
      <w:pPr>
        <w:spacing w:after="0" w:line="240" w:lineRule="auto"/>
      </w:pPr>
      <w:r>
        <w:continuationSeparator/>
      </w:r>
    </w:p>
  </w:footnote>
  <w:footnote w:id="1">
    <w:p w14:paraId="0C01FB02" w14:textId="77777777" w:rsidR="00DB6B1A" w:rsidRPr="004D5EE9" w:rsidRDefault="00DB6B1A" w:rsidP="00DB6B1A">
      <w:pPr>
        <w:pStyle w:val="FootnoteText"/>
      </w:pPr>
      <w:r>
        <w:rPr>
          <w:rStyle w:val="FootnoteReference"/>
        </w:rPr>
        <w:footnoteRef/>
      </w:r>
      <w:r>
        <w:t xml:space="preserve"> ACT Audit Office, </w:t>
      </w:r>
      <w:r>
        <w:rPr>
          <w:i/>
        </w:rPr>
        <w:t>Transfer of workers’ compensation arrangements from Comcare</w:t>
      </w:r>
      <w:r>
        <w:t>, Auditor General’s Report No 6, 2020, p 1.</w:t>
      </w:r>
    </w:p>
  </w:footnote>
  <w:footnote w:id="2">
    <w:p w14:paraId="23E0823D" w14:textId="432C7251" w:rsidR="00513322" w:rsidRDefault="00513322">
      <w:pPr>
        <w:pStyle w:val="FootnoteText"/>
      </w:pPr>
      <w:r>
        <w:rPr>
          <w:rStyle w:val="FootnoteReference"/>
        </w:rPr>
        <w:footnoteRef/>
      </w:r>
      <w:r>
        <w:t xml:space="preserve"> Auditor General’s Report No</w:t>
      </w:r>
      <w:r w:rsidR="007C745E">
        <w:t>.</w:t>
      </w:r>
      <w:r>
        <w:t xml:space="preserve"> 6 of 2020, p 1.</w:t>
      </w:r>
    </w:p>
  </w:footnote>
  <w:footnote w:id="3">
    <w:p w14:paraId="1A04B406" w14:textId="2A1FA6E2" w:rsidR="00C21DAB" w:rsidRDefault="00C21DAB">
      <w:pPr>
        <w:pStyle w:val="FootnoteText"/>
      </w:pPr>
      <w:r>
        <w:rPr>
          <w:rStyle w:val="FootnoteReference"/>
        </w:rPr>
        <w:footnoteRef/>
      </w:r>
      <w:r>
        <w:t xml:space="preserve"> Auditor General’s Report No</w:t>
      </w:r>
      <w:r w:rsidR="007C745E">
        <w:t>.</w:t>
      </w:r>
      <w:r>
        <w:t xml:space="preserve"> 6 of 2020, p 1.</w:t>
      </w:r>
    </w:p>
  </w:footnote>
  <w:footnote w:id="4">
    <w:p w14:paraId="0931C2EA" w14:textId="46FADB1E" w:rsidR="00C21DAB" w:rsidRDefault="00C21DAB">
      <w:pPr>
        <w:pStyle w:val="FootnoteText"/>
      </w:pPr>
      <w:r>
        <w:rPr>
          <w:rStyle w:val="FootnoteReference"/>
        </w:rPr>
        <w:footnoteRef/>
      </w:r>
      <w:r>
        <w:t xml:space="preserve"> Auditor General’s Report No</w:t>
      </w:r>
      <w:r w:rsidR="007C745E">
        <w:t>.</w:t>
      </w:r>
      <w:r>
        <w:t xml:space="preserve"> 6 of 2020, p 1.</w:t>
      </w:r>
    </w:p>
  </w:footnote>
  <w:footnote w:id="5">
    <w:p w14:paraId="5648DD21" w14:textId="08B62479" w:rsidR="00FD7D92" w:rsidRDefault="00FD7D92">
      <w:pPr>
        <w:pStyle w:val="FootnoteText"/>
      </w:pPr>
      <w:r>
        <w:rPr>
          <w:rStyle w:val="FootnoteReference"/>
        </w:rPr>
        <w:footnoteRef/>
      </w:r>
      <w:r>
        <w:t xml:space="preserve"> Auditor General’s Report No</w:t>
      </w:r>
      <w:r w:rsidR="007C745E">
        <w:t>.</w:t>
      </w:r>
      <w:r>
        <w:t xml:space="preserve"> 6 of 2020, p 1.</w:t>
      </w:r>
    </w:p>
  </w:footnote>
  <w:footnote w:id="6">
    <w:p w14:paraId="3AC760B2" w14:textId="07A5558F" w:rsidR="00A1662C" w:rsidRDefault="00A1662C">
      <w:pPr>
        <w:pStyle w:val="FootnoteText"/>
      </w:pPr>
      <w:r>
        <w:rPr>
          <w:rStyle w:val="FootnoteReference"/>
        </w:rPr>
        <w:footnoteRef/>
      </w:r>
      <w:r>
        <w:t xml:space="preserve"> Auditor General’s Report No. 6 of 2020, p 35.</w:t>
      </w:r>
    </w:p>
  </w:footnote>
  <w:footnote w:id="7">
    <w:p w14:paraId="46F921A1" w14:textId="5375C1B7" w:rsidR="0069273E" w:rsidRDefault="0069273E">
      <w:pPr>
        <w:pStyle w:val="FootnoteText"/>
      </w:pPr>
      <w:r>
        <w:rPr>
          <w:rStyle w:val="FootnoteReference"/>
        </w:rPr>
        <w:footnoteRef/>
      </w:r>
      <w:r>
        <w:t xml:space="preserve"> Auditor General’s Report No</w:t>
      </w:r>
      <w:r w:rsidR="007C745E">
        <w:t>.</w:t>
      </w:r>
      <w:r>
        <w:t xml:space="preserve"> 6</w:t>
      </w:r>
      <w:r w:rsidR="00927B0F">
        <w:t xml:space="preserve"> of 202</w:t>
      </w:r>
      <w:r w:rsidR="00811DA9">
        <w:t>0</w:t>
      </w:r>
      <w:r>
        <w:t xml:space="preserve">, p </w:t>
      </w:r>
      <w:r w:rsidR="00FD7D92">
        <w:t>1</w:t>
      </w:r>
      <w:r>
        <w:t>.</w:t>
      </w:r>
    </w:p>
  </w:footnote>
  <w:footnote w:id="8">
    <w:p w14:paraId="671DE32C" w14:textId="42A291AB" w:rsidR="00B32709" w:rsidRDefault="00B32709" w:rsidP="004A35FD">
      <w:pPr>
        <w:pStyle w:val="FootnoteText"/>
      </w:pPr>
      <w:r>
        <w:rPr>
          <w:rStyle w:val="FootnoteReference"/>
        </w:rPr>
        <w:footnoteRef/>
      </w:r>
      <w:r>
        <w:t xml:space="preserve"> Auditor General’s Report No</w:t>
      </w:r>
      <w:r w:rsidR="007C745E">
        <w:t>.</w:t>
      </w:r>
      <w:r>
        <w:t xml:space="preserve"> 6 of 2020, p 37.</w:t>
      </w:r>
    </w:p>
  </w:footnote>
  <w:footnote w:id="9">
    <w:p w14:paraId="0BAE7B92" w14:textId="0665D882" w:rsidR="00FB222D" w:rsidRDefault="00FB222D">
      <w:pPr>
        <w:pStyle w:val="FootnoteText"/>
      </w:pPr>
      <w:r>
        <w:rPr>
          <w:rStyle w:val="FootnoteReference"/>
        </w:rPr>
        <w:footnoteRef/>
      </w:r>
      <w:r>
        <w:t xml:space="preserve"> Auditor General’s Report No</w:t>
      </w:r>
      <w:r w:rsidR="007C745E">
        <w:t>.</w:t>
      </w:r>
      <w:r>
        <w:t xml:space="preserve"> 6 of 2020, p 50.</w:t>
      </w:r>
    </w:p>
  </w:footnote>
  <w:footnote w:id="10">
    <w:p w14:paraId="080AF5C4" w14:textId="78D72D2B" w:rsidR="0069273E" w:rsidRDefault="0069273E">
      <w:pPr>
        <w:pStyle w:val="FootnoteText"/>
      </w:pPr>
      <w:r>
        <w:rPr>
          <w:rStyle w:val="FootnoteReference"/>
        </w:rPr>
        <w:footnoteRef/>
      </w:r>
      <w:r>
        <w:t xml:space="preserve"> Auditor General’s Report No</w:t>
      </w:r>
      <w:r w:rsidR="007C745E">
        <w:t>.</w:t>
      </w:r>
      <w:r>
        <w:t xml:space="preserve"> 6</w:t>
      </w:r>
      <w:r w:rsidR="00811DA9">
        <w:t xml:space="preserve"> of 2020</w:t>
      </w:r>
      <w:r>
        <w:t xml:space="preserve">, p </w:t>
      </w:r>
      <w:r w:rsidR="001738B2">
        <w:t>39</w:t>
      </w:r>
      <w:r>
        <w:t>.</w:t>
      </w:r>
    </w:p>
  </w:footnote>
  <w:footnote w:id="11">
    <w:p w14:paraId="64F2C61F" w14:textId="34A39AD4" w:rsidR="004376EE" w:rsidRDefault="004376EE">
      <w:pPr>
        <w:pStyle w:val="FootnoteText"/>
      </w:pPr>
      <w:r>
        <w:rPr>
          <w:rStyle w:val="FootnoteReference"/>
        </w:rPr>
        <w:footnoteRef/>
      </w:r>
      <w:r>
        <w:t xml:space="preserve"> Auditor General’s Report No</w:t>
      </w:r>
      <w:r w:rsidR="007C745E">
        <w:t>.</w:t>
      </w:r>
      <w:r>
        <w:t xml:space="preserve"> 6</w:t>
      </w:r>
      <w:r w:rsidR="00811DA9">
        <w:t xml:space="preserve"> of 2020</w:t>
      </w:r>
      <w:r>
        <w:t>, p 6.</w:t>
      </w:r>
    </w:p>
  </w:footnote>
  <w:footnote w:id="12">
    <w:p w14:paraId="7FFA8FA5" w14:textId="08F3DC33" w:rsidR="00CF3C0E" w:rsidRDefault="00CF3C0E">
      <w:pPr>
        <w:pStyle w:val="FootnoteText"/>
      </w:pPr>
      <w:r>
        <w:rPr>
          <w:rStyle w:val="FootnoteReference"/>
        </w:rPr>
        <w:footnoteRef/>
      </w:r>
      <w:r>
        <w:t xml:space="preserve"> Auditor General’s Report No</w:t>
      </w:r>
      <w:r w:rsidR="007C745E">
        <w:t>.</w:t>
      </w:r>
      <w:r>
        <w:t xml:space="preserve"> 6 of 2020, p 51.</w:t>
      </w:r>
    </w:p>
  </w:footnote>
  <w:footnote w:id="13">
    <w:p w14:paraId="15595B3C" w14:textId="60F24F99" w:rsidR="0082215B" w:rsidRPr="0082215B" w:rsidRDefault="0082215B">
      <w:pPr>
        <w:pStyle w:val="FootnoteText"/>
      </w:pPr>
      <w:r>
        <w:rPr>
          <w:rStyle w:val="FootnoteReference"/>
        </w:rPr>
        <w:footnoteRef/>
      </w:r>
      <w:r>
        <w:t xml:space="preserve"> </w:t>
      </w:r>
      <w:r>
        <w:rPr>
          <w:i/>
        </w:rPr>
        <w:t>Committee Hansard</w:t>
      </w:r>
      <w:r>
        <w:t xml:space="preserve">, 16 June 2021, </w:t>
      </w:r>
      <w:r w:rsidR="00A34478">
        <w:t xml:space="preserve">p </w:t>
      </w:r>
      <w:r>
        <w:t>20.</w:t>
      </w:r>
    </w:p>
  </w:footnote>
  <w:footnote w:id="14">
    <w:p w14:paraId="2F63BA37" w14:textId="7D8DC0EC" w:rsidR="0088003F" w:rsidRDefault="0088003F">
      <w:pPr>
        <w:pStyle w:val="FootnoteText"/>
      </w:pPr>
      <w:r>
        <w:rPr>
          <w:rStyle w:val="FootnoteReference"/>
        </w:rPr>
        <w:footnoteRef/>
      </w:r>
      <w:r>
        <w:t xml:space="preserve"> </w:t>
      </w:r>
      <w:r>
        <w:rPr>
          <w:i/>
        </w:rPr>
        <w:t>Committee Hansard</w:t>
      </w:r>
      <w:r>
        <w:t>, 16 June 2021, p 21.</w:t>
      </w:r>
    </w:p>
  </w:footnote>
  <w:footnote w:id="15">
    <w:p w14:paraId="38D9303F" w14:textId="1D341D5A" w:rsidR="008A63C1" w:rsidRDefault="008A63C1">
      <w:pPr>
        <w:pStyle w:val="FootnoteText"/>
      </w:pPr>
      <w:r>
        <w:rPr>
          <w:rStyle w:val="FootnoteReference"/>
        </w:rPr>
        <w:footnoteRef/>
      </w:r>
      <w:r>
        <w:t xml:space="preserve"> </w:t>
      </w:r>
      <w:r>
        <w:rPr>
          <w:i/>
        </w:rPr>
        <w:t>Committee Hansard</w:t>
      </w:r>
      <w:r>
        <w:t>, 16 June 2021, p 21.</w:t>
      </w:r>
    </w:p>
  </w:footnote>
  <w:footnote w:id="16">
    <w:p w14:paraId="29B7D667" w14:textId="6E63A319" w:rsidR="003C360F" w:rsidRDefault="003C360F">
      <w:pPr>
        <w:pStyle w:val="FootnoteText"/>
      </w:pPr>
      <w:r>
        <w:rPr>
          <w:rStyle w:val="FootnoteReference"/>
        </w:rPr>
        <w:footnoteRef/>
      </w:r>
      <w:r>
        <w:t xml:space="preserve"> Auditor General’s Report No. 6 of 2020, p 36.</w:t>
      </w:r>
    </w:p>
  </w:footnote>
  <w:footnote w:id="17">
    <w:p w14:paraId="5A3F8702" w14:textId="77777777" w:rsidR="00171A60" w:rsidRDefault="00171A60" w:rsidP="00171A60">
      <w:pPr>
        <w:pStyle w:val="FootnoteText"/>
      </w:pPr>
      <w:r>
        <w:rPr>
          <w:rStyle w:val="FootnoteReference"/>
        </w:rPr>
        <w:footnoteRef/>
      </w:r>
      <w:r>
        <w:t xml:space="preserve"> </w:t>
      </w:r>
      <w:r>
        <w:rPr>
          <w:i/>
        </w:rPr>
        <w:t>Committee Hansard</w:t>
      </w:r>
      <w:r>
        <w:t>, 16 June 2021, p 15.</w:t>
      </w:r>
    </w:p>
  </w:footnote>
  <w:footnote w:id="18">
    <w:p w14:paraId="36EC2E40" w14:textId="0045FA3E" w:rsidR="009B6F5B" w:rsidRPr="009B6F5B" w:rsidRDefault="009B6F5B">
      <w:pPr>
        <w:pStyle w:val="FootnoteText"/>
      </w:pPr>
      <w:r>
        <w:rPr>
          <w:rStyle w:val="FootnoteReference"/>
        </w:rPr>
        <w:footnoteRef/>
      </w:r>
      <w:r>
        <w:t xml:space="preserve"> </w:t>
      </w:r>
      <w:r w:rsidR="00C8402D">
        <w:t xml:space="preserve">ACT Government Budget 2021-22, </w:t>
      </w:r>
      <w:r w:rsidRPr="00C8402D">
        <w:rPr>
          <w:i/>
          <w:iCs/>
        </w:rPr>
        <w:t xml:space="preserve">Budget Statements </w:t>
      </w:r>
      <w:r w:rsidR="00C8402D" w:rsidRPr="00C8402D">
        <w:rPr>
          <w:i/>
          <w:iCs/>
        </w:rPr>
        <w:t>B</w:t>
      </w:r>
      <w:r>
        <w:t>, p</w:t>
      </w:r>
      <w:r w:rsidR="001C5320">
        <w:t>p</w:t>
      </w:r>
      <w:r>
        <w:t xml:space="preserve"> 29</w:t>
      </w:r>
      <w:r w:rsidR="001C5320">
        <w:t>3–294</w:t>
      </w:r>
      <w:r>
        <w:t>.</w:t>
      </w:r>
    </w:p>
  </w:footnote>
  <w:footnote w:id="19">
    <w:p w14:paraId="1CEE4334" w14:textId="1990805C" w:rsidR="0035603C" w:rsidRDefault="0035603C">
      <w:pPr>
        <w:pStyle w:val="FootnoteText"/>
      </w:pPr>
      <w:r>
        <w:rPr>
          <w:rStyle w:val="FootnoteReference"/>
        </w:rPr>
        <w:footnoteRef/>
      </w:r>
      <w:r>
        <w:t xml:space="preserve"> Ms Suzanne Orr MLA, Minster for Employment and Workplace Safety, </w:t>
      </w:r>
      <w:r w:rsidRPr="0035603C">
        <w:rPr>
          <w:i/>
        </w:rPr>
        <w:t>ACT Government Response to Audit</w:t>
      </w:r>
      <w:r w:rsidRPr="0035603C">
        <w:rPr>
          <w:i/>
        </w:rPr>
        <w:noBreakHyphen/>
        <w:t>General’s Report No 6 of 2020</w:t>
      </w:r>
      <w:r w:rsidR="003C360F">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A2BA09" w14:textId="77777777" w:rsidR="000E3C8E" w:rsidRDefault="000E3C8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C8E694" w14:textId="77777777" w:rsidR="000E3C8E" w:rsidRDefault="000E3C8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8B0464" w14:textId="2FC710E5" w:rsidR="00836FFE" w:rsidRPr="00C02510" w:rsidRDefault="00836FFE" w:rsidP="008B350E">
    <w:pPr>
      <w:pStyle w:val="Header"/>
      <w:jc w:val="center"/>
      <w:rPr>
        <w:color w:val="1A234C"/>
      </w:rPr>
    </w:pPr>
  </w:p>
  <w:p w14:paraId="67852F50" w14:textId="6D268154" w:rsidR="00836FFE" w:rsidRPr="00917B49" w:rsidRDefault="00836FFE" w:rsidP="00917B49">
    <w:pPr>
      <w:pStyle w:val="Cover-Assemblyname"/>
    </w:pPr>
    <w:r>
      <w:rPr>
        <w:rFonts w:ascii="Arial" w:hAnsi="Arial"/>
        <w:noProof/>
        <w:color w:val="000000" w:themeColor="text1"/>
        <w:lang w:eastAsia="en-AU"/>
      </w:rPr>
      <w:drawing>
        <wp:anchor distT="0" distB="0" distL="114300" distR="114300" simplePos="0" relativeHeight="251659264" behindDoc="1" locked="0" layoutInCell="1" allowOverlap="1" wp14:anchorId="793C53F3" wp14:editId="4AF4A051">
          <wp:simplePos x="0" y="0"/>
          <wp:positionH relativeFrom="margin">
            <wp:align>left</wp:align>
          </wp:positionH>
          <wp:positionV relativeFrom="page">
            <wp:posOffset>853441</wp:posOffset>
          </wp:positionV>
          <wp:extent cx="839349" cy="838200"/>
          <wp:effectExtent l="0" t="0" r="0" b="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 cstate="screen">
                    <a:extLst>
                      <a:ext uri="{28A0092B-C50C-407E-A947-70E740481C1C}">
                        <a14:useLocalDpi xmlns:a14="http://schemas.microsoft.com/office/drawing/2010/main"/>
                      </a:ext>
                    </a:extLst>
                  </a:blip>
                  <a:stretch>
                    <a:fillRect/>
                  </a:stretch>
                </pic:blipFill>
                <pic:spPr>
                  <a:xfrm>
                    <a:off x="0" y="0"/>
                    <a:ext cx="839349" cy="83820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olor w:val="000000" w:themeColor="text1"/>
      </w:rPr>
      <w:br/>
    </w:r>
    <w:r w:rsidRPr="00917B49">
      <w:t>Legislative Assembly for the</w:t>
    </w:r>
  </w:p>
  <w:p w14:paraId="39BEC705" w14:textId="2049CD78" w:rsidR="00836FFE" w:rsidRPr="00917B49" w:rsidRDefault="00836FFE" w:rsidP="00917B49">
    <w:pPr>
      <w:pStyle w:val="Cover-Assemblyname"/>
    </w:pPr>
    <w:r w:rsidRPr="00917B49">
      <w:t>Australian Capital Territory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6E215C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87E40A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178A7B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2048CD6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297E4DA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80621F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DBA3F9E"/>
    <w:lvl w:ilvl="0">
      <w:start w:val="1"/>
      <w:numFmt w:val="bullet"/>
      <w:lvlText w:val=""/>
      <w:lvlJc w:val="left"/>
      <w:pPr>
        <w:ind w:left="926" w:hanging="360"/>
      </w:pPr>
      <w:rPr>
        <w:rFonts w:ascii="Symbol" w:hAnsi="Symbol" w:hint="default"/>
        <w:color w:val="9DB4DC"/>
      </w:rPr>
    </w:lvl>
  </w:abstractNum>
  <w:abstractNum w:abstractNumId="7" w15:restartNumberingAfterBreak="0">
    <w:nsid w:val="FFFFFF83"/>
    <w:multiLevelType w:val="singleLevel"/>
    <w:tmpl w:val="2CAE53A8"/>
    <w:lvl w:ilvl="0">
      <w:start w:val="1"/>
      <w:numFmt w:val="bullet"/>
      <w:lvlText w:val=""/>
      <w:lvlJc w:val="left"/>
      <w:pPr>
        <w:ind w:left="643" w:hanging="360"/>
      </w:pPr>
      <w:rPr>
        <w:rFonts w:ascii="Symbol" w:hAnsi="Symbol" w:hint="default"/>
        <w:color w:val="7492CD"/>
      </w:rPr>
    </w:lvl>
  </w:abstractNum>
  <w:abstractNum w:abstractNumId="8" w15:restartNumberingAfterBreak="0">
    <w:nsid w:val="FFFFFF88"/>
    <w:multiLevelType w:val="singleLevel"/>
    <w:tmpl w:val="DDA800E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F22DF16"/>
    <w:lvl w:ilvl="0">
      <w:start w:val="1"/>
      <w:numFmt w:val="bullet"/>
      <w:lvlText w:val=""/>
      <w:lvlJc w:val="left"/>
      <w:pPr>
        <w:ind w:left="360" w:hanging="360"/>
      </w:pPr>
      <w:rPr>
        <w:rFonts w:ascii="Symbol" w:hAnsi="Symbol" w:hint="default"/>
        <w:color w:val="2F5496"/>
      </w:rPr>
    </w:lvl>
  </w:abstractNum>
  <w:abstractNum w:abstractNumId="10" w15:restartNumberingAfterBreak="0">
    <w:nsid w:val="03905FCE"/>
    <w:multiLevelType w:val="multilevel"/>
    <w:tmpl w:val="699AC34A"/>
    <w:lvl w:ilvl="0">
      <w:start w:val="1"/>
      <w:numFmt w:val="decimal"/>
      <w:pStyle w:val="Heading1"/>
      <w:lvlText w:val="%1."/>
      <w:lvlJc w:val="left"/>
      <w:pPr>
        <w:ind w:left="851" w:hanging="851"/>
      </w:pPr>
      <w:rPr>
        <w:rFonts w:hint="default"/>
      </w:rPr>
    </w:lvl>
    <w:lvl w:ilvl="1">
      <w:start w:val="1"/>
      <w:numFmt w:val="decimal"/>
      <w:pStyle w:val="ListNumber2"/>
      <w:lvlText w:val="%1.%2."/>
      <w:lvlJc w:val="left"/>
      <w:pPr>
        <w:ind w:left="851" w:hanging="851"/>
      </w:pPr>
      <w:rPr>
        <w:rFonts w:asciiTheme="minorHAnsi" w:hAnsiTheme="minorHAnsi" w:hint="default"/>
        <w:sz w:val="22"/>
      </w:rPr>
    </w:lvl>
    <w:lvl w:ilvl="2">
      <w:start w:val="1"/>
      <w:numFmt w:val="lowerLetter"/>
      <w:pStyle w:val="ListNumber3"/>
      <w:lvlText w:val="%3)"/>
      <w:lvlJc w:val="left"/>
      <w:pPr>
        <w:ind w:left="1418" w:hanging="567"/>
      </w:pPr>
      <w:rPr>
        <w:rFonts w:hint="default"/>
      </w:rPr>
    </w:lvl>
    <w:lvl w:ilvl="3">
      <w:start w:val="1"/>
      <w:numFmt w:val="lowerRoman"/>
      <w:pStyle w:val="ListNumber4"/>
      <w:lvlText w:val="%4)"/>
      <w:lvlJc w:val="left"/>
      <w:pPr>
        <w:ind w:left="1985" w:hanging="567"/>
      </w:pPr>
      <w:rPr>
        <w:rFonts w:hint="default"/>
      </w:rPr>
    </w:lvl>
    <w:lvl w:ilvl="4">
      <w:start w:val="1"/>
      <w:numFmt w:val="decimal"/>
      <w:pStyle w:val="ListNumber5"/>
      <w:lvlText w:val="%5)"/>
      <w:lvlJc w:val="left"/>
      <w:pPr>
        <w:ind w:left="2552" w:hanging="567"/>
      </w:pPr>
      <w:rPr>
        <w:rFonts w:hint="default"/>
      </w:rPr>
    </w:lvl>
    <w:lvl w:ilvl="5">
      <w:start w:val="1"/>
      <w:numFmt w:val="upperLetter"/>
      <w:lvlText w:val="%6)"/>
      <w:lvlJc w:val="left"/>
      <w:pPr>
        <w:ind w:left="3119" w:hanging="567"/>
      </w:pPr>
      <w:rPr>
        <w:rFonts w:hint="default"/>
      </w:rPr>
    </w:lvl>
    <w:lvl w:ilvl="6">
      <w:start w:val="1"/>
      <w:numFmt w:val="upperRoman"/>
      <w:lvlText w:val="%7)"/>
      <w:lvlJc w:val="left"/>
      <w:pPr>
        <w:ind w:left="3686" w:hanging="567"/>
      </w:pPr>
      <w:rPr>
        <w:rFonts w:hint="default"/>
      </w:rPr>
    </w:lvl>
    <w:lvl w:ilvl="7">
      <w:start w:val="1"/>
      <w:numFmt w:val="none"/>
      <w:lvlText w:val=""/>
      <w:lvlJc w:val="left"/>
      <w:pPr>
        <w:ind w:left="1701" w:hanging="1701"/>
      </w:pPr>
      <w:rPr>
        <w:rFonts w:hint="default"/>
      </w:rPr>
    </w:lvl>
    <w:lvl w:ilvl="8">
      <w:start w:val="1"/>
      <w:numFmt w:val="none"/>
      <w:lvlText w:val=""/>
      <w:lvlJc w:val="left"/>
      <w:pPr>
        <w:ind w:left="1701" w:hanging="1701"/>
      </w:pPr>
      <w:rPr>
        <w:rFonts w:hint="default"/>
      </w:rPr>
    </w:lvl>
  </w:abstractNum>
  <w:abstractNum w:abstractNumId="11" w15:restartNumberingAfterBreak="0">
    <w:nsid w:val="08F07F33"/>
    <w:multiLevelType w:val="multilevel"/>
    <w:tmpl w:val="4110624C"/>
    <w:lvl w:ilvl="0">
      <w:start w:val="1"/>
      <w:numFmt w:val="decimal"/>
      <w:lvlText w:val="%1"/>
      <w:lvlJc w:val="left"/>
      <w:pPr>
        <w:tabs>
          <w:tab w:val="num" w:pos="680"/>
        </w:tabs>
        <w:ind w:left="567" w:hanging="567"/>
      </w:pPr>
      <w:rPr>
        <w:rFonts w:ascii="Arial Narrow" w:hAnsi="Arial Narrow" w:hint="default"/>
        <w:b/>
        <w:i w:val="0"/>
        <w:sz w:val="44"/>
      </w:rPr>
    </w:lvl>
    <w:lvl w:ilvl="1">
      <w:start w:val="1"/>
      <w:numFmt w:val="decimal"/>
      <w:lvlText w:val="%1.%2"/>
      <w:lvlJc w:val="left"/>
      <w:pPr>
        <w:ind w:left="567" w:hanging="567"/>
      </w:pPr>
      <w:rPr>
        <w:rFonts w:ascii="Calibri" w:hAnsi="Calibri" w:hint="default"/>
        <w:b/>
        <w:i w:val="0"/>
        <w:caps w:val="0"/>
        <w:vanish w:val="0"/>
        <w:w w:val="95"/>
        <w:sz w:val="22"/>
        <w:szCs w:val="22"/>
      </w:rPr>
    </w:lvl>
    <w:lvl w:ilvl="2">
      <w:start w:val="1"/>
      <w:numFmt w:val="bullet"/>
      <w:lvlRestart w:val="0"/>
      <w:lvlText w:val=""/>
      <w:lvlJc w:val="left"/>
      <w:pPr>
        <w:ind w:left="964" w:hanging="397"/>
      </w:pPr>
      <w:rPr>
        <w:rFonts w:ascii="Wingdings" w:hAnsi="Wingdings" w:hint="default"/>
      </w:rPr>
    </w:lvl>
    <w:lvl w:ilvl="3">
      <w:start w:val="1"/>
      <w:numFmt w:val="bullet"/>
      <w:lvlRestart w:val="0"/>
      <w:lvlText w:val=""/>
      <w:lvlJc w:val="left"/>
      <w:pPr>
        <w:ind w:left="1276" w:hanging="425"/>
      </w:pPr>
      <w:rPr>
        <w:rFonts w:ascii="Wingdings" w:hAnsi="Wingdings" w:hint="default"/>
        <w:color w:val="999999"/>
      </w:rPr>
    </w:lvl>
    <w:lvl w:ilvl="4">
      <w:start w:val="1"/>
      <w:numFmt w:val="none"/>
      <w:lvlRestart w:val="0"/>
      <w:lvlText w:val=""/>
      <w:lvlJc w:val="left"/>
      <w:pPr>
        <w:tabs>
          <w:tab w:val="num" w:pos="1008"/>
        </w:tabs>
        <w:ind w:left="340" w:hanging="340"/>
      </w:pPr>
      <w:rPr>
        <w:rFonts w:hint="default"/>
      </w:rPr>
    </w:lvl>
    <w:lvl w:ilvl="5">
      <w:start w:val="1"/>
      <w:numFmt w:val="decimal"/>
      <w:lvlRestart w:val="1"/>
      <w:lvlText w:val="%1.%6"/>
      <w:lvlJc w:val="left"/>
      <w:pPr>
        <w:ind w:left="567" w:hanging="567"/>
      </w:pPr>
      <w:rPr>
        <w:rFonts w:ascii="Calibri" w:hAnsi="Calibri" w:hint="default"/>
        <w:sz w:val="22"/>
      </w:rPr>
    </w:lvl>
    <w:lvl w:ilvl="6">
      <w:start w:val="1"/>
      <w:numFmt w:val="decimal"/>
      <w:lvlRestart w:val="0"/>
      <w:lvlText w:val="%7"/>
      <w:lvlJc w:val="left"/>
      <w:pPr>
        <w:ind w:left="1844" w:firstLine="0"/>
      </w:pPr>
      <w:rPr>
        <w:rFonts w:ascii="Arial Narrow" w:hAnsi="Arial Narrow" w:hint="default"/>
        <w:b/>
        <w:i w:val="0"/>
        <w:sz w:val="28"/>
      </w:rPr>
    </w:lvl>
    <w:lvl w:ilvl="7">
      <w:start w:val="1"/>
      <w:numFmt w:val="decimal"/>
      <w:lvlRestart w:val="0"/>
      <w:lvlText w:val="Finding %8"/>
      <w:lvlJc w:val="left"/>
      <w:pPr>
        <w:ind w:left="142" w:firstLine="0"/>
      </w:pPr>
      <w:rPr>
        <w:rFonts w:ascii="Arial Narrow" w:hAnsi="Arial Narrow" w:hint="default"/>
        <w:b/>
        <w:i w:val="0"/>
        <w:caps w:val="0"/>
        <w:sz w:val="28"/>
      </w:rPr>
    </w:lvl>
    <w:lvl w:ilvl="8">
      <w:start w:val="1"/>
      <w:numFmt w:val="decimal"/>
      <w:lvlText w:val="%1.%2.%3.%4.%5.%6.%7.%8.%9"/>
      <w:lvlJc w:val="left"/>
      <w:pPr>
        <w:tabs>
          <w:tab w:val="num" w:pos="1584"/>
        </w:tabs>
        <w:ind w:left="1584" w:hanging="1584"/>
      </w:pPr>
      <w:rPr>
        <w:rFonts w:hint="default"/>
      </w:rPr>
    </w:lvl>
  </w:abstractNum>
  <w:abstractNum w:abstractNumId="12" w15:restartNumberingAfterBreak="0">
    <w:nsid w:val="0D5F20E9"/>
    <w:multiLevelType w:val="multilevel"/>
    <w:tmpl w:val="C2BAF334"/>
    <w:name w:val="OLA branded2"/>
    <w:lvl w:ilvl="0">
      <w:start w:val="1"/>
      <w:numFmt w:val="bullet"/>
      <w:lvlText w:val=""/>
      <w:lvlJc w:val="left"/>
      <w:pPr>
        <w:ind w:left="340" w:hanging="340"/>
      </w:pPr>
      <w:rPr>
        <w:rFonts w:ascii="Symbol" w:hAnsi="Symbol" w:hint="default"/>
        <w:b w:val="0"/>
        <w:i w:val="0"/>
        <w:color w:val="2F5496"/>
      </w:rPr>
    </w:lvl>
    <w:lvl w:ilvl="1">
      <w:start w:val="1"/>
      <w:numFmt w:val="bullet"/>
      <w:lvlText w:val=""/>
      <w:lvlJc w:val="left"/>
      <w:pPr>
        <w:ind w:left="720" w:hanging="360"/>
      </w:pPr>
      <w:rPr>
        <w:rFonts w:ascii="Symbol" w:hAnsi="Symbol" w:hint="default"/>
        <w:color w:val="7492CD"/>
      </w:rPr>
    </w:lvl>
    <w:lvl w:ilvl="2">
      <w:start w:val="1"/>
      <w:numFmt w:val="bullet"/>
      <w:lvlText w:val=""/>
      <w:lvlJc w:val="left"/>
      <w:pPr>
        <w:ind w:left="1080" w:hanging="360"/>
      </w:pPr>
      <w:rPr>
        <w:rFonts w:ascii="Symbol" w:hAnsi="Symbol" w:hint="default"/>
        <w:color w:val="9DB4DC"/>
      </w:rPr>
    </w:lvl>
    <w:lvl w:ilvl="3">
      <w:start w:val="1"/>
      <w:numFmt w:val="bullet"/>
      <w:lvlText w:val=""/>
      <w:lvlJc w:val="left"/>
      <w:pPr>
        <w:ind w:left="1440" w:hanging="360"/>
      </w:pPr>
      <w:rPr>
        <w:rFonts w:ascii="Symbol" w:hAnsi="Symbol" w:hint="default"/>
        <w:b w:val="0"/>
        <w:i w:val="0"/>
        <w:color w:val="2F5496"/>
      </w:rPr>
    </w:lvl>
    <w:lvl w:ilvl="4">
      <w:start w:val="1"/>
      <w:numFmt w:val="bullet"/>
      <w:lvlText w:val=""/>
      <w:lvlJc w:val="left"/>
      <w:pPr>
        <w:ind w:left="1800" w:hanging="360"/>
      </w:pPr>
      <w:rPr>
        <w:rFonts w:ascii="Symbol" w:hAnsi="Symbol" w:hint="default"/>
        <w:color w:val="7492CD"/>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155D3E30"/>
    <w:multiLevelType w:val="hybridMultilevel"/>
    <w:tmpl w:val="8742909E"/>
    <w:lvl w:ilvl="0" w:tplc="35AC8BA6">
      <w:start w:val="1"/>
      <w:numFmt w:val="bullet"/>
      <w:lvlText w:val=""/>
      <w:lvlJc w:val="left"/>
      <w:pPr>
        <w:ind w:left="720" w:hanging="360"/>
      </w:pPr>
      <w:rPr>
        <w:rFonts w:ascii="Symbol" w:hAnsi="Symbol" w:hint="default"/>
        <w:color w:val="2F549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70C17E3"/>
    <w:multiLevelType w:val="hybridMultilevel"/>
    <w:tmpl w:val="316AF90E"/>
    <w:lvl w:ilvl="0" w:tplc="0C090017">
      <w:start w:val="1"/>
      <w:numFmt w:val="lowerLetter"/>
      <w:lvlText w:val="%1)"/>
      <w:lvlJc w:val="left"/>
      <w:pPr>
        <w:ind w:left="1854" w:hanging="360"/>
      </w:pPr>
    </w:lvl>
    <w:lvl w:ilvl="1" w:tplc="0C090019" w:tentative="1">
      <w:start w:val="1"/>
      <w:numFmt w:val="lowerLetter"/>
      <w:lvlText w:val="%2."/>
      <w:lvlJc w:val="left"/>
      <w:pPr>
        <w:ind w:left="2574" w:hanging="360"/>
      </w:pPr>
    </w:lvl>
    <w:lvl w:ilvl="2" w:tplc="0C09001B" w:tentative="1">
      <w:start w:val="1"/>
      <w:numFmt w:val="lowerRoman"/>
      <w:lvlText w:val="%3."/>
      <w:lvlJc w:val="right"/>
      <w:pPr>
        <w:ind w:left="3294" w:hanging="180"/>
      </w:pPr>
    </w:lvl>
    <w:lvl w:ilvl="3" w:tplc="0C09000F" w:tentative="1">
      <w:start w:val="1"/>
      <w:numFmt w:val="decimal"/>
      <w:lvlText w:val="%4."/>
      <w:lvlJc w:val="left"/>
      <w:pPr>
        <w:ind w:left="4014" w:hanging="360"/>
      </w:pPr>
    </w:lvl>
    <w:lvl w:ilvl="4" w:tplc="0C090019" w:tentative="1">
      <w:start w:val="1"/>
      <w:numFmt w:val="lowerLetter"/>
      <w:lvlText w:val="%5."/>
      <w:lvlJc w:val="left"/>
      <w:pPr>
        <w:ind w:left="4734" w:hanging="360"/>
      </w:pPr>
    </w:lvl>
    <w:lvl w:ilvl="5" w:tplc="0C09001B" w:tentative="1">
      <w:start w:val="1"/>
      <w:numFmt w:val="lowerRoman"/>
      <w:lvlText w:val="%6."/>
      <w:lvlJc w:val="right"/>
      <w:pPr>
        <w:ind w:left="5454" w:hanging="180"/>
      </w:pPr>
    </w:lvl>
    <w:lvl w:ilvl="6" w:tplc="0C09000F" w:tentative="1">
      <w:start w:val="1"/>
      <w:numFmt w:val="decimal"/>
      <w:lvlText w:val="%7."/>
      <w:lvlJc w:val="left"/>
      <w:pPr>
        <w:ind w:left="6174" w:hanging="360"/>
      </w:pPr>
    </w:lvl>
    <w:lvl w:ilvl="7" w:tplc="0C090019" w:tentative="1">
      <w:start w:val="1"/>
      <w:numFmt w:val="lowerLetter"/>
      <w:lvlText w:val="%8."/>
      <w:lvlJc w:val="left"/>
      <w:pPr>
        <w:ind w:left="6894" w:hanging="360"/>
      </w:pPr>
    </w:lvl>
    <w:lvl w:ilvl="8" w:tplc="0C09001B" w:tentative="1">
      <w:start w:val="1"/>
      <w:numFmt w:val="lowerRoman"/>
      <w:lvlText w:val="%9."/>
      <w:lvlJc w:val="right"/>
      <w:pPr>
        <w:ind w:left="7614" w:hanging="180"/>
      </w:pPr>
    </w:lvl>
  </w:abstractNum>
  <w:abstractNum w:abstractNumId="15" w15:restartNumberingAfterBreak="0">
    <w:nsid w:val="40F11D6F"/>
    <w:multiLevelType w:val="multilevel"/>
    <w:tmpl w:val="0D8AEBE0"/>
    <w:lvl w:ilvl="0">
      <w:start w:val="1"/>
      <w:numFmt w:val="decimal"/>
      <w:lvlText w:val="%1"/>
      <w:lvlJc w:val="left"/>
      <w:pPr>
        <w:tabs>
          <w:tab w:val="num" w:pos="680"/>
        </w:tabs>
        <w:ind w:left="567" w:hanging="567"/>
      </w:pPr>
      <w:rPr>
        <w:rFonts w:ascii="Arial Narrow" w:hAnsi="Arial Narrow" w:hint="default"/>
        <w:b/>
        <w:i w:val="0"/>
        <w:sz w:val="44"/>
      </w:rPr>
    </w:lvl>
    <w:lvl w:ilvl="1">
      <w:start w:val="1"/>
      <w:numFmt w:val="decimal"/>
      <w:lvlText w:val="%1.%2"/>
      <w:lvlJc w:val="left"/>
      <w:pPr>
        <w:ind w:left="567" w:hanging="567"/>
      </w:pPr>
      <w:rPr>
        <w:rFonts w:ascii="Calibri" w:hAnsi="Calibri" w:hint="default"/>
        <w:sz w:val="22"/>
      </w:rPr>
    </w:lvl>
    <w:lvl w:ilvl="2">
      <w:start w:val="1"/>
      <w:numFmt w:val="bullet"/>
      <w:lvlRestart w:val="0"/>
      <w:lvlText w:val=""/>
      <w:lvlJc w:val="left"/>
      <w:pPr>
        <w:ind w:left="964" w:hanging="397"/>
      </w:pPr>
      <w:rPr>
        <w:rFonts w:ascii="Wingdings" w:hAnsi="Wingdings" w:hint="default"/>
        <w:sz w:val="24"/>
      </w:rPr>
    </w:lvl>
    <w:lvl w:ilvl="3">
      <w:start w:val="1"/>
      <w:numFmt w:val="bullet"/>
      <w:lvlRestart w:val="0"/>
      <w:lvlText w:val=""/>
      <w:lvlJc w:val="left"/>
      <w:pPr>
        <w:ind w:left="1276" w:hanging="284"/>
      </w:pPr>
      <w:rPr>
        <w:rFonts w:ascii="Wingdings" w:hAnsi="Wingdings" w:hint="default"/>
        <w:color w:val="999999"/>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420F710C"/>
    <w:multiLevelType w:val="hybridMultilevel"/>
    <w:tmpl w:val="9098A7A2"/>
    <w:lvl w:ilvl="0" w:tplc="B99C332E">
      <w:start w:val="1"/>
      <w:numFmt w:val="bullet"/>
      <w:lvlText w:val=""/>
      <w:lvlJc w:val="left"/>
      <w:pPr>
        <w:ind w:left="720" w:hanging="360"/>
      </w:pPr>
      <w:rPr>
        <w:rFonts w:ascii="Symbol" w:hAnsi="Symbol" w:hint="default"/>
        <w:color w:val="2F5496"/>
      </w:rPr>
    </w:lvl>
    <w:lvl w:ilvl="1" w:tplc="F6B65186">
      <w:start w:val="1"/>
      <w:numFmt w:val="bullet"/>
      <w:lvlText w:val=""/>
      <w:lvlJc w:val="left"/>
      <w:pPr>
        <w:ind w:left="1440" w:hanging="360"/>
      </w:pPr>
      <w:rPr>
        <w:rFonts w:ascii="Symbol" w:hAnsi="Symbol" w:hint="default"/>
        <w:color w:val="7492CD"/>
      </w:rPr>
    </w:lvl>
    <w:lvl w:ilvl="2" w:tplc="C57E190E">
      <w:start w:val="1"/>
      <w:numFmt w:val="bullet"/>
      <w:lvlText w:val=""/>
      <w:lvlJc w:val="left"/>
      <w:pPr>
        <w:ind w:left="2160" w:hanging="360"/>
      </w:pPr>
      <w:rPr>
        <w:rFonts w:ascii="Symbol" w:hAnsi="Symbol" w:hint="default"/>
        <w:color w:val="9DB4DC"/>
      </w:rPr>
    </w:lvl>
    <w:lvl w:ilvl="3" w:tplc="0664A32A">
      <w:start w:val="1"/>
      <w:numFmt w:val="bullet"/>
      <w:lvlText w:val="o"/>
      <w:lvlJc w:val="left"/>
      <w:pPr>
        <w:ind w:left="1778" w:hanging="360"/>
      </w:pPr>
      <w:rPr>
        <w:rFonts w:ascii="Montserrat SemiBold" w:hAnsi="Montserrat SemiBold" w:hint="default"/>
        <w:b w:val="0"/>
        <w:bCs w:val="0"/>
        <w:color w:val="2F5496"/>
        <w:sz w:val="19"/>
        <w:szCs w:val="19"/>
      </w:rPr>
    </w:lvl>
    <w:lvl w:ilvl="4" w:tplc="F9303DBC">
      <w:start w:val="1"/>
      <w:numFmt w:val="bullet"/>
      <w:lvlText w:val="o"/>
      <w:lvlJc w:val="left"/>
      <w:pPr>
        <w:ind w:left="3600" w:hanging="360"/>
      </w:pPr>
      <w:rPr>
        <w:rFonts w:ascii="Montserrat SemiBold" w:hAnsi="Montserrat SemiBold" w:hint="default"/>
        <w:b w:val="0"/>
        <w:bCs w:val="0"/>
        <w:color w:val="7492CD"/>
        <w:sz w:val="19"/>
        <w:szCs w:val="19"/>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A163894"/>
    <w:multiLevelType w:val="hybridMultilevel"/>
    <w:tmpl w:val="FDB49CFE"/>
    <w:lvl w:ilvl="0" w:tplc="23E0A81E">
      <w:numFmt w:val="bullet"/>
      <w:lvlText w:val=""/>
      <w:lvlJc w:val="left"/>
      <w:pPr>
        <w:ind w:left="360" w:hanging="360"/>
      </w:pPr>
      <w:rPr>
        <w:rFonts w:ascii="Symbol" w:eastAsiaTheme="minorHAnsi" w:hAnsi="Symbol" w:cstheme="minorBidi" w:hint="default"/>
        <w:color w:val="000000" w:themeColor="text1"/>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60266B5E"/>
    <w:multiLevelType w:val="multilevel"/>
    <w:tmpl w:val="F676C4E6"/>
    <w:name w:val="OLA branded2"/>
    <w:lvl w:ilvl="0">
      <w:start w:val="1"/>
      <w:numFmt w:val="bullet"/>
      <w:pStyle w:val="ListBullet"/>
      <w:lvlText w:val=""/>
      <w:lvlJc w:val="left"/>
      <w:pPr>
        <w:ind w:left="340" w:hanging="340"/>
      </w:pPr>
      <w:rPr>
        <w:rFonts w:ascii="Symbol" w:hAnsi="Symbol" w:hint="default"/>
        <w:b w:val="0"/>
        <w:i w:val="0"/>
        <w:color w:val="2F5496"/>
      </w:rPr>
    </w:lvl>
    <w:lvl w:ilvl="1">
      <w:start w:val="1"/>
      <w:numFmt w:val="bullet"/>
      <w:pStyle w:val="ListBullet2"/>
      <w:lvlText w:val=""/>
      <w:lvlJc w:val="left"/>
      <w:pPr>
        <w:ind w:left="720" w:hanging="360"/>
      </w:pPr>
      <w:rPr>
        <w:rFonts w:ascii="Symbol" w:hAnsi="Symbol" w:hint="default"/>
        <w:color w:val="7492CD"/>
      </w:rPr>
    </w:lvl>
    <w:lvl w:ilvl="2">
      <w:start w:val="1"/>
      <w:numFmt w:val="bullet"/>
      <w:pStyle w:val="ListBullet3"/>
      <w:lvlText w:val=""/>
      <w:lvlJc w:val="left"/>
      <w:pPr>
        <w:ind w:left="1080" w:hanging="360"/>
      </w:pPr>
      <w:rPr>
        <w:rFonts w:ascii="Symbol" w:hAnsi="Symbol" w:hint="default"/>
        <w:color w:val="9DB4DC"/>
      </w:rPr>
    </w:lvl>
    <w:lvl w:ilvl="3">
      <w:start w:val="1"/>
      <w:numFmt w:val="bullet"/>
      <w:pStyle w:val="ListBullet4"/>
      <w:lvlText w:val=""/>
      <w:lvlJc w:val="left"/>
      <w:pPr>
        <w:ind w:left="1440" w:hanging="360"/>
      </w:pPr>
      <w:rPr>
        <w:rFonts w:ascii="Symbol" w:hAnsi="Symbol" w:hint="default"/>
        <w:b w:val="0"/>
        <w:i w:val="0"/>
        <w:color w:val="2F5496"/>
      </w:rPr>
    </w:lvl>
    <w:lvl w:ilvl="4">
      <w:start w:val="1"/>
      <w:numFmt w:val="bullet"/>
      <w:pStyle w:val="ListBullet5"/>
      <w:lvlText w:val=""/>
      <w:lvlJc w:val="left"/>
      <w:pPr>
        <w:ind w:left="1800" w:hanging="360"/>
      </w:pPr>
      <w:rPr>
        <w:rFonts w:ascii="Symbol" w:hAnsi="Symbol" w:hint="default"/>
        <w:color w:val="7492CD"/>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77CA584C"/>
    <w:multiLevelType w:val="multilevel"/>
    <w:tmpl w:val="2CC01A9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6"/>
  </w:num>
  <w:num w:numId="12">
    <w:abstractNumId w:val="13"/>
  </w:num>
  <w:num w:numId="13">
    <w:abstractNumId w:val="18"/>
  </w:num>
  <w:num w:numId="14">
    <w:abstractNumId w:val="12"/>
  </w:num>
  <w:num w:numId="15">
    <w:abstractNumId w:val="19"/>
  </w:num>
  <w:num w:numId="16">
    <w:abstractNumId w:val="10"/>
  </w:num>
  <w:num w:numId="17">
    <w:abstractNumId w:val="14"/>
  </w:num>
  <w:num w:numId="18">
    <w:abstractNumId w:val="17"/>
  </w:num>
  <w:num w:numId="1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5"/>
  </w:num>
  <w:num w:numId="22">
    <w:abstractNumId w:val="10"/>
  </w:num>
  <w:num w:numId="2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defaultTableStyle w:val="Assemblystyletable"/>
  <w:evenAndOddHeaders/>
  <w:characterSpacingControl w:val="doNotCompress"/>
  <w:hdrShapeDefaults>
    <o:shapedefaults v:ext="edit" spidmax="839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79B9"/>
    <w:rsid w:val="00000ABA"/>
    <w:rsid w:val="00011D43"/>
    <w:rsid w:val="00024F1A"/>
    <w:rsid w:val="00030FBC"/>
    <w:rsid w:val="00034056"/>
    <w:rsid w:val="00043CB1"/>
    <w:rsid w:val="00046173"/>
    <w:rsid w:val="00047DD3"/>
    <w:rsid w:val="00060886"/>
    <w:rsid w:val="0006752F"/>
    <w:rsid w:val="0006773B"/>
    <w:rsid w:val="00070E76"/>
    <w:rsid w:val="0007277F"/>
    <w:rsid w:val="0007326F"/>
    <w:rsid w:val="00082BBF"/>
    <w:rsid w:val="00091983"/>
    <w:rsid w:val="000B0BFD"/>
    <w:rsid w:val="000E3C8E"/>
    <w:rsid w:val="000F2806"/>
    <w:rsid w:val="000F56F0"/>
    <w:rsid w:val="0010086C"/>
    <w:rsid w:val="001058A1"/>
    <w:rsid w:val="0011067D"/>
    <w:rsid w:val="001107E9"/>
    <w:rsid w:val="00121E63"/>
    <w:rsid w:val="00123393"/>
    <w:rsid w:val="00123781"/>
    <w:rsid w:val="0012506F"/>
    <w:rsid w:val="00135034"/>
    <w:rsid w:val="00143E1F"/>
    <w:rsid w:val="0014714E"/>
    <w:rsid w:val="00156E52"/>
    <w:rsid w:val="00161C50"/>
    <w:rsid w:val="00163D8D"/>
    <w:rsid w:val="00171738"/>
    <w:rsid w:val="00171A60"/>
    <w:rsid w:val="001738A0"/>
    <w:rsid w:val="001738B2"/>
    <w:rsid w:val="0018105F"/>
    <w:rsid w:val="001825E5"/>
    <w:rsid w:val="0019545D"/>
    <w:rsid w:val="001A2EDD"/>
    <w:rsid w:val="001A323E"/>
    <w:rsid w:val="001B13A0"/>
    <w:rsid w:val="001B2622"/>
    <w:rsid w:val="001B3C02"/>
    <w:rsid w:val="001C3A15"/>
    <w:rsid w:val="001C5320"/>
    <w:rsid w:val="001C7708"/>
    <w:rsid w:val="001D10CD"/>
    <w:rsid w:val="001D22FC"/>
    <w:rsid w:val="001E12D5"/>
    <w:rsid w:val="001E1EE1"/>
    <w:rsid w:val="001F30D0"/>
    <w:rsid w:val="001F510B"/>
    <w:rsid w:val="00205761"/>
    <w:rsid w:val="002101BE"/>
    <w:rsid w:val="00210E9E"/>
    <w:rsid w:val="00216BB7"/>
    <w:rsid w:val="0024528A"/>
    <w:rsid w:val="002479EE"/>
    <w:rsid w:val="00254624"/>
    <w:rsid w:val="00271E74"/>
    <w:rsid w:val="0027362D"/>
    <w:rsid w:val="00286070"/>
    <w:rsid w:val="00292566"/>
    <w:rsid w:val="002972EC"/>
    <w:rsid w:val="002A33D1"/>
    <w:rsid w:val="002A7D41"/>
    <w:rsid w:val="002B0F3F"/>
    <w:rsid w:val="002C0328"/>
    <w:rsid w:val="002C4BAC"/>
    <w:rsid w:val="002F50B8"/>
    <w:rsid w:val="002F7A8C"/>
    <w:rsid w:val="0031172D"/>
    <w:rsid w:val="0032741F"/>
    <w:rsid w:val="00327928"/>
    <w:rsid w:val="003337FC"/>
    <w:rsid w:val="00340F75"/>
    <w:rsid w:val="0034466C"/>
    <w:rsid w:val="00344DF6"/>
    <w:rsid w:val="0035603C"/>
    <w:rsid w:val="00362801"/>
    <w:rsid w:val="0036775A"/>
    <w:rsid w:val="00372774"/>
    <w:rsid w:val="00374D44"/>
    <w:rsid w:val="00377A58"/>
    <w:rsid w:val="00387938"/>
    <w:rsid w:val="00387CD2"/>
    <w:rsid w:val="00391883"/>
    <w:rsid w:val="003A18FD"/>
    <w:rsid w:val="003A1C66"/>
    <w:rsid w:val="003A48E5"/>
    <w:rsid w:val="003B1931"/>
    <w:rsid w:val="003B6F59"/>
    <w:rsid w:val="003C360F"/>
    <w:rsid w:val="003C3CF9"/>
    <w:rsid w:val="003E35E8"/>
    <w:rsid w:val="003F60EC"/>
    <w:rsid w:val="00402758"/>
    <w:rsid w:val="004046F5"/>
    <w:rsid w:val="00421FA1"/>
    <w:rsid w:val="00424790"/>
    <w:rsid w:val="004376EE"/>
    <w:rsid w:val="004409D4"/>
    <w:rsid w:val="00442285"/>
    <w:rsid w:val="00442DB6"/>
    <w:rsid w:val="004508F1"/>
    <w:rsid w:val="00456DCF"/>
    <w:rsid w:val="0045759B"/>
    <w:rsid w:val="004608D6"/>
    <w:rsid w:val="0046189E"/>
    <w:rsid w:val="004624CC"/>
    <w:rsid w:val="00471E8B"/>
    <w:rsid w:val="00475CCC"/>
    <w:rsid w:val="004809A7"/>
    <w:rsid w:val="00480F21"/>
    <w:rsid w:val="00483210"/>
    <w:rsid w:val="004869AD"/>
    <w:rsid w:val="004A35FD"/>
    <w:rsid w:val="004D0B93"/>
    <w:rsid w:val="004D4DF7"/>
    <w:rsid w:val="004D5EE9"/>
    <w:rsid w:val="004E5149"/>
    <w:rsid w:val="004F6541"/>
    <w:rsid w:val="00506C54"/>
    <w:rsid w:val="00510D89"/>
    <w:rsid w:val="00513322"/>
    <w:rsid w:val="0051686C"/>
    <w:rsid w:val="00525ED8"/>
    <w:rsid w:val="005A1343"/>
    <w:rsid w:val="005A232A"/>
    <w:rsid w:val="005C7154"/>
    <w:rsid w:val="005D0909"/>
    <w:rsid w:val="005D0971"/>
    <w:rsid w:val="005D1067"/>
    <w:rsid w:val="005D2603"/>
    <w:rsid w:val="005D312D"/>
    <w:rsid w:val="005E05F0"/>
    <w:rsid w:val="005F7E8E"/>
    <w:rsid w:val="00603039"/>
    <w:rsid w:val="00603367"/>
    <w:rsid w:val="006043AE"/>
    <w:rsid w:val="0060721A"/>
    <w:rsid w:val="00623507"/>
    <w:rsid w:val="00624316"/>
    <w:rsid w:val="006271F0"/>
    <w:rsid w:val="006323F8"/>
    <w:rsid w:val="00640C1E"/>
    <w:rsid w:val="00647E8B"/>
    <w:rsid w:val="00652669"/>
    <w:rsid w:val="0065581A"/>
    <w:rsid w:val="0065786F"/>
    <w:rsid w:val="006604B0"/>
    <w:rsid w:val="006718E3"/>
    <w:rsid w:val="0068014A"/>
    <w:rsid w:val="006839DF"/>
    <w:rsid w:val="00684B43"/>
    <w:rsid w:val="0069273E"/>
    <w:rsid w:val="006A1EC4"/>
    <w:rsid w:val="006A7A61"/>
    <w:rsid w:val="006B28A8"/>
    <w:rsid w:val="006C194B"/>
    <w:rsid w:val="006C213E"/>
    <w:rsid w:val="006C3703"/>
    <w:rsid w:val="006C477B"/>
    <w:rsid w:val="006D1243"/>
    <w:rsid w:val="006E5554"/>
    <w:rsid w:val="006F04A2"/>
    <w:rsid w:val="006F294F"/>
    <w:rsid w:val="00700A3A"/>
    <w:rsid w:val="0070248B"/>
    <w:rsid w:val="00704B24"/>
    <w:rsid w:val="0070500A"/>
    <w:rsid w:val="0072091E"/>
    <w:rsid w:val="00721EE3"/>
    <w:rsid w:val="00737477"/>
    <w:rsid w:val="00744601"/>
    <w:rsid w:val="0074595F"/>
    <w:rsid w:val="007469DE"/>
    <w:rsid w:val="0075767D"/>
    <w:rsid w:val="007577D4"/>
    <w:rsid w:val="00757C24"/>
    <w:rsid w:val="0076444C"/>
    <w:rsid w:val="007725B9"/>
    <w:rsid w:val="00777CC8"/>
    <w:rsid w:val="0078151A"/>
    <w:rsid w:val="00783B5C"/>
    <w:rsid w:val="00786135"/>
    <w:rsid w:val="00792238"/>
    <w:rsid w:val="00792CC2"/>
    <w:rsid w:val="007A34F7"/>
    <w:rsid w:val="007A4D54"/>
    <w:rsid w:val="007A6EB9"/>
    <w:rsid w:val="007A7A8B"/>
    <w:rsid w:val="007B2663"/>
    <w:rsid w:val="007B6FE1"/>
    <w:rsid w:val="007C1747"/>
    <w:rsid w:val="007C371D"/>
    <w:rsid w:val="007C3F24"/>
    <w:rsid w:val="007C745E"/>
    <w:rsid w:val="007F1E77"/>
    <w:rsid w:val="007F4C62"/>
    <w:rsid w:val="00800B28"/>
    <w:rsid w:val="00804756"/>
    <w:rsid w:val="00811DA9"/>
    <w:rsid w:val="00817109"/>
    <w:rsid w:val="0082215B"/>
    <w:rsid w:val="00823C6C"/>
    <w:rsid w:val="00830A8E"/>
    <w:rsid w:val="00831CDC"/>
    <w:rsid w:val="00836FFE"/>
    <w:rsid w:val="008379EB"/>
    <w:rsid w:val="00842EE4"/>
    <w:rsid w:val="00874DBF"/>
    <w:rsid w:val="00877A94"/>
    <w:rsid w:val="00877CE0"/>
    <w:rsid w:val="0088003F"/>
    <w:rsid w:val="00893EB5"/>
    <w:rsid w:val="008A55AC"/>
    <w:rsid w:val="008A6130"/>
    <w:rsid w:val="008A63C1"/>
    <w:rsid w:val="008B350E"/>
    <w:rsid w:val="008B5631"/>
    <w:rsid w:val="008C22CE"/>
    <w:rsid w:val="008C36CA"/>
    <w:rsid w:val="008C45FC"/>
    <w:rsid w:val="008C6A7E"/>
    <w:rsid w:val="008D72C9"/>
    <w:rsid w:val="008E3966"/>
    <w:rsid w:val="008E750D"/>
    <w:rsid w:val="00903E5D"/>
    <w:rsid w:val="009120D8"/>
    <w:rsid w:val="00917678"/>
    <w:rsid w:val="00917B49"/>
    <w:rsid w:val="009276CD"/>
    <w:rsid w:val="00927B0F"/>
    <w:rsid w:val="009321E3"/>
    <w:rsid w:val="00950967"/>
    <w:rsid w:val="00961DCC"/>
    <w:rsid w:val="009661FD"/>
    <w:rsid w:val="009734A8"/>
    <w:rsid w:val="00976637"/>
    <w:rsid w:val="00981A8D"/>
    <w:rsid w:val="009A11FF"/>
    <w:rsid w:val="009A2EDC"/>
    <w:rsid w:val="009A59B0"/>
    <w:rsid w:val="009B4EFF"/>
    <w:rsid w:val="009B6F5B"/>
    <w:rsid w:val="009C2830"/>
    <w:rsid w:val="009E1C66"/>
    <w:rsid w:val="009F40CC"/>
    <w:rsid w:val="009F5A83"/>
    <w:rsid w:val="009F5E85"/>
    <w:rsid w:val="00A0682B"/>
    <w:rsid w:val="00A070D4"/>
    <w:rsid w:val="00A146A0"/>
    <w:rsid w:val="00A1662C"/>
    <w:rsid w:val="00A221F3"/>
    <w:rsid w:val="00A23A3E"/>
    <w:rsid w:val="00A329F2"/>
    <w:rsid w:val="00A34478"/>
    <w:rsid w:val="00A4104C"/>
    <w:rsid w:val="00A426B8"/>
    <w:rsid w:val="00A459A3"/>
    <w:rsid w:val="00A46AD1"/>
    <w:rsid w:val="00A61FC1"/>
    <w:rsid w:val="00A64B58"/>
    <w:rsid w:val="00A67677"/>
    <w:rsid w:val="00A71EFF"/>
    <w:rsid w:val="00A81276"/>
    <w:rsid w:val="00A81376"/>
    <w:rsid w:val="00A8437F"/>
    <w:rsid w:val="00AA0E8D"/>
    <w:rsid w:val="00AA1AE4"/>
    <w:rsid w:val="00AA719E"/>
    <w:rsid w:val="00AC7B75"/>
    <w:rsid w:val="00AD2AAC"/>
    <w:rsid w:val="00AE5CA2"/>
    <w:rsid w:val="00AE6E38"/>
    <w:rsid w:val="00B053AB"/>
    <w:rsid w:val="00B11C95"/>
    <w:rsid w:val="00B16585"/>
    <w:rsid w:val="00B21A37"/>
    <w:rsid w:val="00B3028B"/>
    <w:rsid w:val="00B31D72"/>
    <w:rsid w:val="00B32709"/>
    <w:rsid w:val="00B51163"/>
    <w:rsid w:val="00B56E03"/>
    <w:rsid w:val="00B64B4D"/>
    <w:rsid w:val="00B65E53"/>
    <w:rsid w:val="00B74E35"/>
    <w:rsid w:val="00B7541C"/>
    <w:rsid w:val="00B949D1"/>
    <w:rsid w:val="00B978F4"/>
    <w:rsid w:val="00BA22F1"/>
    <w:rsid w:val="00BB2847"/>
    <w:rsid w:val="00BB7280"/>
    <w:rsid w:val="00BC0651"/>
    <w:rsid w:val="00BC35B6"/>
    <w:rsid w:val="00BE0AB2"/>
    <w:rsid w:val="00BE1893"/>
    <w:rsid w:val="00BE63A1"/>
    <w:rsid w:val="00BF2AF3"/>
    <w:rsid w:val="00C018B1"/>
    <w:rsid w:val="00C02510"/>
    <w:rsid w:val="00C030A3"/>
    <w:rsid w:val="00C110E6"/>
    <w:rsid w:val="00C16DCB"/>
    <w:rsid w:val="00C21DAB"/>
    <w:rsid w:val="00C21E49"/>
    <w:rsid w:val="00C224F4"/>
    <w:rsid w:val="00C26859"/>
    <w:rsid w:val="00C36C8A"/>
    <w:rsid w:val="00C61662"/>
    <w:rsid w:val="00C71718"/>
    <w:rsid w:val="00C8358A"/>
    <w:rsid w:val="00C837A0"/>
    <w:rsid w:val="00C8402D"/>
    <w:rsid w:val="00C841A2"/>
    <w:rsid w:val="00C924CE"/>
    <w:rsid w:val="00CB0D40"/>
    <w:rsid w:val="00CB30D5"/>
    <w:rsid w:val="00CC4BE7"/>
    <w:rsid w:val="00CD73BC"/>
    <w:rsid w:val="00CF3C0E"/>
    <w:rsid w:val="00D0150C"/>
    <w:rsid w:val="00D12155"/>
    <w:rsid w:val="00D164F8"/>
    <w:rsid w:val="00D16618"/>
    <w:rsid w:val="00D23997"/>
    <w:rsid w:val="00D23E3A"/>
    <w:rsid w:val="00D24362"/>
    <w:rsid w:val="00D376C4"/>
    <w:rsid w:val="00D453C5"/>
    <w:rsid w:val="00D45A1D"/>
    <w:rsid w:val="00D7159D"/>
    <w:rsid w:val="00D82435"/>
    <w:rsid w:val="00D97152"/>
    <w:rsid w:val="00DA0088"/>
    <w:rsid w:val="00DA435C"/>
    <w:rsid w:val="00DA7289"/>
    <w:rsid w:val="00DB3D44"/>
    <w:rsid w:val="00DB6B1A"/>
    <w:rsid w:val="00DC2F2F"/>
    <w:rsid w:val="00DC2F67"/>
    <w:rsid w:val="00DD0188"/>
    <w:rsid w:val="00DD5418"/>
    <w:rsid w:val="00DE56A4"/>
    <w:rsid w:val="00E10739"/>
    <w:rsid w:val="00E12092"/>
    <w:rsid w:val="00E15BD8"/>
    <w:rsid w:val="00E160FA"/>
    <w:rsid w:val="00E20929"/>
    <w:rsid w:val="00E23F66"/>
    <w:rsid w:val="00E26635"/>
    <w:rsid w:val="00E30B82"/>
    <w:rsid w:val="00E36E62"/>
    <w:rsid w:val="00E41D99"/>
    <w:rsid w:val="00E41DD1"/>
    <w:rsid w:val="00E60567"/>
    <w:rsid w:val="00E6698C"/>
    <w:rsid w:val="00E84638"/>
    <w:rsid w:val="00E84EB8"/>
    <w:rsid w:val="00E878ED"/>
    <w:rsid w:val="00E879B9"/>
    <w:rsid w:val="00E93618"/>
    <w:rsid w:val="00EA45A7"/>
    <w:rsid w:val="00EA4CE7"/>
    <w:rsid w:val="00EA6308"/>
    <w:rsid w:val="00EB00DE"/>
    <w:rsid w:val="00EB02E3"/>
    <w:rsid w:val="00EB14D0"/>
    <w:rsid w:val="00EB3179"/>
    <w:rsid w:val="00EB3954"/>
    <w:rsid w:val="00EB39F8"/>
    <w:rsid w:val="00ED3906"/>
    <w:rsid w:val="00EE5AEE"/>
    <w:rsid w:val="00EE5B62"/>
    <w:rsid w:val="00EF495F"/>
    <w:rsid w:val="00EF64D1"/>
    <w:rsid w:val="00F101AB"/>
    <w:rsid w:val="00F24E7E"/>
    <w:rsid w:val="00F34F11"/>
    <w:rsid w:val="00F4685A"/>
    <w:rsid w:val="00F47375"/>
    <w:rsid w:val="00F53B28"/>
    <w:rsid w:val="00F6071F"/>
    <w:rsid w:val="00F64542"/>
    <w:rsid w:val="00F737D1"/>
    <w:rsid w:val="00F746ED"/>
    <w:rsid w:val="00F7656C"/>
    <w:rsid w:val="00F873F4"/>
    <w:rsid w:val="00F9280D"/>
    <w:rsid w:val="00FB222D"/>
    <w:rsid w:val="00FB2ACC"/>
    <w:rsid w:val="00FB31C7"/>
    <w:rsid w:val="00FB4BCE"/>
    <w:rsid w:val="00FC7958"/>
    <w:rsid w:val="00FD7D92"/>
    <w:rsid w:val="00FF173A"/>
    <w:rsid w:val="00FF204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83969"/>
    <o:shapelayout v:ext="edit">
      <o:idmap v:ext="edit" data="1"/>
    </o:shapelayout>
  </w:shapeDefaults>
  <w:decimalSymbol w:val="."/>
  <w:listSeparator w:val=","/>
  <w14:docId w14:val="1F6E0C14"/>
  <w15:chartTrackingRefBased/>
  <w15:docId w15:val="{E6313857-832D-4EF0-8901-B4DACC1AE5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D3906"/>
    <w:pPr>
      <w:spacing w:line="283" w:lineRule="auto"/>
    </w:pPr>
  </w:style>
  <w:style w:type="paragraph" w:styleId="Heading1">
    <w:name w:val="heading 1"/>
    <w:next w:val="ListNumber2"/>
    <w:link w:val="Heading1Char"/>
    <w:uiPriority w:val="9"/>
    <w:qFormat/>
    <w:rsid w:val="009F5A83"/>
    <w:pPr>
      <w:keepNext/>
      <w:keepLines/>
      <w:numPr>
        <w:numId w:val="16"/>
      </w:numPr>
      <w:spacing w:before="240" w:after="240"/>
      <w:outlineLvl w:val="0"/>
    </w:pPr>
    <w:rPr>
      <w:rFonts w:ascii="Montserrat" w:eastAsiaTheme="majorEastAsia" w:hAnsi="Montserrat" w:cstheme="majorBidi"/>
      <w:b/>
      <w:color w:val="1A234C"/>
      <w:w w:val="90"/>
      <w:kern w:val="2"/>
      <w:sz w:val="36"/>
      <w:szCs w:val="32"/>
    </w:rPr>
  </w:style>
  <w:style w:type="paragraph" w:styleId="Heading2">
    <w:name w:val="heading 2"/>
    <w:basedOn w:val="Heading1"/>
    <w:next w:val="ListNumber2"/>
    <w:link w:val="Heading2Char"/>
    <w:autoRedefine/>
    <w:unhideWhenUsed/>
    <w:qFormat/>
    <w:rsid w:val="00D12155"/>
    <w:pPr>
      <w:numPr>
        <w:numId w:val="0"/>
      </w:numPr>
      <w:spacing w:after="200"/>
      <w:ind w:left="851"/>
      <w:outlineLvl w:val="1"/>
    </w:pPr>
    <w:rPr>
      <w:color w:val="2F5496"/>
      <w:sz w:val="32"/>
      <w:szCs w:val="26"/>
    </w:rPr>
  </w:style>
  <w:style w:type="paragraph" w:styleId="Heading3">
    <w:name w:val="heading 3"/>
    <w:basedOn w:val="Heading2"/>
    <w:next w:val="ListNumber2"/>
    <w:link w:val="Heading3Char"/>
    <w:uiPriority w:val="9"/>
    <w:unhideWhenUsed/>
    <w:qFormat/>
    <w:rsid w:val="00A23A3E"/>
    <w:pPr>
      <w:spacing w:before="120"/>
      <w:outlineLvl w:val="2"/>
    </w:pPr>
    <w:rPr>
      <w:color w:val="7492CD"/>
      <w:sz w:val="28"/>
      <w:szCs w:val="24"/>
    </w:rPr>
  </w:style>
  <w:style w:type="paragraph" w:styleId="Heading4">
    <w:name w:val="heading 4"/>
    <w:basedOn w:val="Heading3"/>
    <w:next w:val="Normal"/>
    <w:link w:val="Heading4Char"/>
    <w:uiPriority w:val="9"/>
    <w:unhideWhenUsed/>
    <w:qFormat/>
    <w:rsid w:val="00A23A3E"/>
    <w:pPr>
      <w:outlineLvl w:val="3"/>
    </w:pPr>
    <w:rPr>
      <w:rFonts w:ascii="Montserrat SemiBold" w:hAnsi="Montserrat SemiBold"/>
      <w:b w:val="0"/>
      <w:iCs/>
      <w:color w:val="2F5496"/>
      <w:sz w:val="24"/>
    </w:rPr>
  </w:style>
  <w:style w:type="paragraph" w:styleId="Heading5">
    <w:name w:val="heading 5"/>
    <w:basedOn w:val="Heading4"/>
    <w:next w:val="ListNumber2"/>
    <w:link w:val="Heading5Char"/>
    <w:uiPriority w:val="9"/>
    <w:unhideWhenUsed/>
    <w:qFormat/>
    <w:rsid w:val="006323F8"/>
    <w:pPr>
      <w:outlineLvl w:val="4"/>
    </w:pPr>
    <w:rPr>
      <w:rFonts w:ascii="Montserrat" w:hAnsi="Montserrat"/>
      <w:sz w:val="23"/>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C8358A"/>
    <w:pPr>
      <w:spacing w:before="4000" w:after="360" w:line="259" w:lineRule="auto"/>
      <w:ind w:right="2790"/>
      <w:contextualSpacing/>
    </w:pPr>
    <w:rPr>
      <w:rFonts w:ascii="Montserrat" w:eastAsiaTheme="majorEastAsia" w:hAnsi="Montserrat" w:cstheme="majorBidi"/>
      <w:b/>
      <w:spacing w:val="-10"/>
      <w:w w:val="90"/>
      <w:kern w:val="28"/>
      <w:sz w:val="58"/>
      <w:szCs w:val="58"/>
    </w:rPr>
  </w:style>
  <w:style w:type="character" w:customStyle="1" w:styleId="TitleChar">
    <w:name w:val="Title Char"/>
    <w:basedOn w:val="DefaultParagraphFont"/>
    <w:link w:val="Title"/>
    <w:uiPriority w:val="10"/>
    <w:rsid w:val="00C8358A"/>
    <w:rPr>
      <w:rFonts w:ascii="Montserrat" w:eastAsiaTheme="majorEastAsia" w:hAnsi="Montserrat" w:cstheme="majorBidi"/>
      <w:b/>
      <w:spacing w:val="-10"/>
      <w:w w:val="90"/>
      <w:kern w:val="28"/>
      <w:sz w:val="58"/>
      <w:szCs w:val="58"/>
    </w:rPr>
  </w:style>
  <w:style w:type="paragraph" w:styleId="Subtitle">
    <w:name w:val="Subtitle"/>
    <w:basedOn w:val="Normal"/>
    <w:next w:val="Normal"/>
    <w:link w:val="SubtitleChar"/>
    <w:uiPriority w:val="11"/>
    <w:qFormat/>
    <w:rsid w:val="0036775A"/>
    <w:pPr>
      <w:spacing w:before="120" w:after="120"/>
      <w:ind w:left="2268"/>
    </w:pPr>
    <w:rPr>
      <w:rFonts w:ascii="Arial" w:hAnsi="Arial" w:cs="Arial"/>
      <w:kern w:val="20"/>
      <w:sz w:val="28"/>
      <w:szCs w:val="28"/>
    </w:rPr>
  </w:style>
  <w:style w:type="character" w:customStyle="1" w:styleId="SubtitleChar">
    <w:name w:val="Subtitle Char"/>
    <w:basedOn w:val="DefaultParagraphFont"/>
    <w:link w:val="Subtitle"/>
    <w:uiPriority w:val="11"/>
    <w:rsid w:val="0036775A"/>
    <w:rPr>
      <w:rFonts w:ascii="Arial" w:hAnsi="Arial" w:cs="Arial"/>
      <w:kern w:val="20"/>
      <w:sz w:val="28"/>
      <w:szCs w:val="28"/>
    </w:rPr>
  </w:style>
  <w:style w:type="character" w:customStyle="1" w:styleId="Heading1Char">
    <w:name w:val="Heading 1 Char"/>
    <w:basedOn w:val="DefaultParagraphFont"/>
    <w:link w:val="Heading1"/>
    <w:uiPriority w:val="9"/>
    <w:rsid w:val="009F5A83"/>
    <w:rPr>
      <w:rFonts w:ascii="Montserrat" w:eastAsiaTheme="majorEastAsia" w:hAnsi="Montserrat" w:cstheme="majorBidi"/>
      <w:b/>
      <w:color w:val="1A234C"/>
      <w:w w:val="90"/>
      <w:kern w:val="2"/>
      <w:sz w:val="36"/>
      <w:szCs w:val="32"/>
    </w:rPr>
  </w:style>
  <w:style w:type="paragraph" w:styleId="TOCHeading">
    <w:name w:val="TOC Heading"/>
    <w:basedOn w:val="Heading1"/>
    <w:next w:val="Normal"/>
    <w:uiPriority w:val="39"/>
    <w:unhideWhenUsed/>
    <w:qFormat/>
    <w:rsid w:val="009F5A83"/>
    <w:pPr>
      <w:numPr>
        <w:numId w:val="0"/>
      </w:numPr>
      <w:outlineLvl w:val="9"/>
    </w:pPr>
    <w:rPr>
      <w:lang w:val="en-US"/>
    </w:rPr>
  </w:style>
  <w:style w:type="character" w:customStyle="1" w:styleId="Heading3Char">
    <w:name w:val="Heading 3 Char"/>
    <w:basedOn w:val="DefaultParagraphFont"/>
    <w:link w:val="Heading3"/>
    <w:uiPriority w:val="9"/>
    <w:rsid w:val="00A23A3E"/>
    <w:rPr>
      <w:rFonts w:ascii="Montserrat" w:eastAsiaTheme="majorEastAsia" w:hAnsi="Montserrat" w:cstheme="majorBidi"/>
      <w:b/>
      <w:color w:val="7492CD"/>
      <w:w w:val="90"/>
      <w:kern w:val="2"/>
      <w:sz w:val="28"/>
      <w:szCs w:val="24"/>
    </w:rPr>
  </w:style>
  <w:style w:type="character" w:customStyle="1" w:styleId="Heading2Char">
    <w:name w:val="Heading 2 Char"/>
    <w:basedOn w:val="DefaultParagraphFont"/>
    <w:link w:val="Heading2"/>
    <w:rsid w:val="00D12155"/>
    <w:rPr>
      <w:rFonts w:ascii="Montserrat" w:eastAsiaTheme="majorEastAsia" w:hAnsi="Montserrat" w:cstheme="majorBidi"/>
      <w:b/>
      <w:color w:val="2F5496"/>
      <w:w w:val="90"/>
      <w:kern w:val="2"/>
      <w:sz w:val="32"/>
      <w:szCs w:val="26"/>
    </w:rPr>
  </w:style>
  <w:style w:type="character" w:customStyle="1" w:styleId="Heading4Char">
    <w:name w:val="Heading 4 Char"/>
    <w:basedOn w:val="DefaultParagraphFont"/>
    <w:link w:val="Heading4"/>
    <w:uiPriority w:val="9"/>
    <w:rsid w:val="00A23A3E"/>
    <w:rPr>
      <w:rFonts w:ascii="Montserrat SemiBold" w:eastAsiaTheme="majorEastAsia" w:hAnsi="Montserrat SemiBold" w:cstheme="majorBidi"/>
      <w:iCs/>
      <w:color w:val="2F5496"/>
      <w:w w:val="90"/>
      <w:kern w:val="2"/>
      <w:sz w:val="24"/>
      <w:szCs w:val="24"/>
    </w:rPr>
  </w:style>
  <w:style w:type="character" w:customStyle="1" w:styleId="Heading5Char">
    <w:name w:val="Heading 5 Char"/>
    <w:basedOn w:val="DefaultParagraphFont"/>
    <w:link w:val="Heading5"/>
    <w:uiPriority w:val="9"/>
    <w:rsid w:val="006323F8"/>
    <w:rPr>
      <w:rFonts w:ascii="Montserrat" w:eastAsiaTheme="majorEastAsia" w:hAnsi="Montserrat" w:cstheme="majorBidi"/>
      <w:iCs/>
      <w:color w:val="2F5496"/>
      <w:w w:val="90"/>
      <w:kern w:val="2"/>
      <w:sz w:val="23"/>
      <w:szCs w:val="20"/>
    </w:rPr>
  </w:style>
  <w:style w:type="paragraph" w:styleId="TOC1">
    <w:name w:val="toc 1"/>
    <w:basedOn w:val="Normal"/>
    <w:next w:val="Normal"/>
    <w:autoRedefine/>
    <w:uiPriority w:val="39"/>
    <w:unhideWhenUsed/>
    <w:rsid w:val="00E30B82"/>
    <w:pPr>
      <w:tabs>
        <w:tab w:val="left" w:pos="425"/>
        <w:tab w:val="right" w:pos="9016"/>
      </w:tabs>
      <w:spacing w:before="160" w:after="60"/>
    </w:pPr>
    <w:rPr>
      <w:rFonts w:ascii="Montserrat" w:hAnsi="Montserrat"/>
      <w:b/>
      <w:bCs/>
      <w:noProof/>
      <w:color w:val="2F5496"/>
      <w:w w:val="90"/>
      <w:sz w:val="23"/>
    </w:rPr>
  </w:style>
  <w:style w:type="paragraph" w:styleId="TOC2">
    <w:name w:val="toc 2"/>
    <w:basedOn w:val="Normal"/>
    <w:next w:val="Normal"/>
    <w:autoRedefine/>
    <w:uiPriority w:val="39"/>
    <w:unhideWhenUsed/>
    <w:rsid w:val="00603039"/>
    <w:pPr>
      <w:tabs>
        <w:tab w:val="right" w:pos="9016"/>
      </w:tabs>
      <w:spacing w:before="60" w:after="60"/>
      <w:ind w:left="426"/>
    </w:pPr>
    <w:rPr>
      <w:noProof/>
    </w:rPr>
  </w:style>
  <w:style w:type="paragraph" w:styleId="TOC3">
    <w:name w:val="toc 3"/>
    <w:basedOn w:val="Normal"/>
    <w:next w:val="Normal"/>
    <w:autoRedefine/>
    <w:uiPriority w:val="39"/>
    <w:unhideWhenUsed/>
    <w:rsid w:val="00603039"/>
    <w:pPr>
      <w:tabs>
        <w:tab w:val="right" w:pos="9016"/>
      </w:tabs>
      <w:spacing w:before="60" w:after="60"/>
      <w:ind w:left="709"/>
    </w:pPr>
    <w:rPr>
      <w:noProof/>
    </w:rPr>
  </w:style>
  <w:style w:type="character" w:styleId="Hyperlink">
    <w:name w:val="Hyperlink"/>
    <w:basedOn w:val="DefaultParagraphFont"/>
    <w:uiPriority w:val="99"/>
    <w:unhideWhenUsed/>
    <w:rsid w:val="00D376C4"/>
    <w:rPr>
      <w:color w:val="0563C1" w:themeColor="hyperlink"/>
      <w:u w:val="single"/>
    </w:rPr>
  </w:style>
  <w:style w:type="paragraph" w:styleId="List">
    <w:name w:val="List"/>
    <w:basedOn w:val="Normal"/>
    <w:uiPriority w:val="99"/>
    <w:unhideWhenUsed/>
    <w:qFormat/>
    <w:rsid w:val="00A23A3E"/>
    <w:pPr>
      <w:spacing w:after="40"/>
    </w:pPr>
  </w:style>
  <w:style w:type="paragraph" w:styleId="Header">
    <w:name w:val="header"/>
    <w:basedOn w:val="Normal"/>
    <w:link w:val="HeaderChar"/>
    <w:uiPriority w:val="99"/>
    <w:unhideWhenUsed/>
    <w:rsid w:val="00D376C4"/>
    <w:pPr>
      <w:tabs>
        <w:tab w:val="center" w:pos="4513"/>
        <w:tab w:val="right" w:pos="9026"/>
      </w:tabs>
      <w:spacing w:after="0" w:line="240" w:lineRule="auto"/>
    </w:pPr>
  </w:style>
  <w:style w:type="character" w:customStyle="1" w:styleId="HeaderChar">
    <w:name w:val="Header Char"/>
    <w:basedOn w:val="DefaultParagraphFont"/>
    <w:link w:val="Header"/>
    <w:uiPriority w:val="99"/>
    <w:rsid w:val="00D376C4"/>
  </w:style>
  <w:style w:type="paragraph" w:styleId="Footer">
    <w:name w:val="footer"/>
    <w:basedOn w:val="Normal"/>
    <w:link w:val="FooterChar"/>
    <w:uiPriority w:val="99"/>
    <w:unhideWhenUsed/>
    <w:rsid w:val="00603367"/>
    <w:pPr>
      <w:tabs>
        <w:tab w:val="center" w:pos="4513"/>
        <w:tab w:val="right" w:pos="9026"/>
      </w:tabs>
      <w:spacing w:after="0" w:line="240" w:lineRule="auto"/>
    </w:pPr>
  </w:style>
  <w:style w:type="character" w:customStyle="1" w:styleId="FooterChar">
    <w:name w:val="Footer Char"/>
    <w:basedOn w:val="DefaultParagraphFont"/>
    <w:link w:val="Footer"/>
    <w:uiPriority w:val="99"/>
    <w:rsid w:val="00603367"/>
  </w:style>
  <w:style w:type="character" w:styleId="PlaceholderText">
    <w:name w:val="Placeholder Text"/>
    <w:basedOn w:val="DefaultParagraphFont"/>
    <w:uiPriority w:val="99"/>
    <w:semiHidden/>
    <w:rsid w:val="009C2830"/>
    <w:rPr>
      <w:color w:val="808080"/>
    </w:rPr>
  </w:style>
  <w:style w:type="character" w:customStyle="1" w:styleId="UnresolvedMention1">
    <w:name w:val="Unresolved Mention1"/>
    <w:basedOn w:val="DefaultParagraphFont"/>
    <w:uiPriority w:val="99"/>
    <w:semiHidden/>
    <w:unhideWhenUsed/>
    <w:rsid w:val="00F746ED"/>
    <w:rPr>
      <w:color w:val="605E5C"/>
      <w:shd w:val="clear" w:color="auto" w:fill="E1DFDD"/>
    </w:rPr>
  </w:style>
  <w:style w:type="paragraph" w:customStyle="1" w:styleId="Cover-Committeename">
    <w:name w:val="Cover - Committee name"/>
    <w:basedOn w:val="Subtitle"/>
    <w:qFormat/>
    <w:rsid w:val="00C8358A"/>
    <w:pPr>
      <w:spacing w:before="60" w:after="240" w:line="240" w:lineRule="auto"/>
      <w:ind w:left="1843" w:right="2648"/>
    </w:pPr>
    <w:rPr>
      <w:rFonts w:ascii="Montserrat Light" w:hAnsi="Montserrat Light"/>
      <w:color w:val="1A234C"/>
      <w:w w:val="90"/>
      <w:sz w:val="25"/>
      <w:szCs w:val="25"/>
    </w:rPr>
  </w:style>
  <w:style w:type="paragraph" w:styleId="Quote">
    <w:name w:val="Quote"/>
    <w:basedOn w:val="Normal"/>
    <w:next w:val="ListNumber2"/>
    <w:link w:val="QuoteChar"/>
    <w:uiPriority w:val="29"/>
    <w:qFormat/>
    <w:rsid w:val="001B2622"/>
    <w:pPr>
      <w:spacing w:before="200" w:after="200"/>
      <w:ind w:left="1134" w:right="862"/>
    </w:pPr>
    <w:rPr>
      <w:color w:val="595959" w:themeColor="text1" w:themeTint="A6"/>
      <w:sz w:val="21"/>
      <w:szCs w:val="21"/>
    </w:rPr>
  </w:style>
  <w:style w:type="table" w:styleId="TableGrid">
    <w:name w:val="Table Grid"/>
    <w:basedOn w:val="TableNormal"/>
    <w:uiPriority w:val="39"/>
    <w:rsid w:val="000675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commendationheading">
    <w:name w:val="Recommendation heading"/>
    <w:next w:val="Normal"/>
    <w:rsid w:val="00205761"/>
    <w:pPr>
      <w:adjustRightInd w:val="0"/>
      <w:spacing w:before="80" w:after="80" w:line="240" w:lineRule="auto"/>
    </w:pPr>
    <w:rPr>
      <w:rFonts w:ascii="Montserrat" w:hAnsi="Montserrat"/>
      <w:b/>
      <w:bCs/>
      <w:color w:val="2F5496"/>
      <w:w w:val="90"/>
      <w:sz w:val="24"/>
      <w:szCs w:val="24"/>
    </w:rPr>
  </w:style>
  <w:style w:type="paragraph" w:customStyle="1" w:styleId="Heading1nonumber">
    <w:name w:val="Heading 1 (no number)"/>
    <w:basedOn w:val="Heading1"/>
    <w:next w:val="Normal"/>
    <w:link w:val="Heading1nonumberChar"/>
    <w:autoRedefine/>
    <w:qFormat/>
    <w:rsid w:val="009F5A83"/>
    <w:pPr>
      <w:numPr>
        <w:numId w:val="0"/>
      </w:numPr>
    </w:pPr>
  </w:style>
  <w:style w:type="character" w:customStyle="1" w:styleId="Heading1nonumberChar">
    <w:name w:val="Heading 1 (no number) Char"/>
    <w:basedOn w:val="Heading1Char"/>
    <w:link w:val="Heading1nonumber"/>
    <w:rsid w:val="00ED3906"/>
    <w:rPr>
      <w:rFonts w:ascii="Montserrat" w:eastAsiaTheme="majorEastAsia" w:hAnsi="Montserrat" w:cstheme="majorBidi"/>
      <w:b/>
      <w:color w:val="1A234C"/>
      <w:w w:val="90"/>
      <w:kern w:val="2"/>
      <w:sz w:val="36"/>
      <w:szCs w:val="32"/>
    </w:rPr>
  </w:style>
  <w:style w:type="character" w:customStyle="1" w:styleId="QuoteChar">
    <w:name w:val="Quote Char"/>
    <w:basedOn w:val="DefaultParagraphFont"/>
    <w:link w:val="Quote"/>
    <w:uiPriority w:val="29"/>
    <w:rsid w:val="001B2622"/>
    <w:rPr>
      <w:color w:val="595959" w:themeColor="text1" w:themeTint="A6"/>
      <w:sz w:val="21"/>
      <w:szCs w:val="21"/>
    </w:rPr>
  </w:style>
  <w:style w:type="paragraph" w:styleId="ListBullet">
    <w:name w:val="List Bullet"/>
    <w:basedOn w:val="ListParagraph"/>
    <w:unhideWhenUsed/>
    <w:qFormat/>
    <w:rsid w:val="00A146A0"/>
    <w:pPr>
      <w:numPr>
        <w:numId w:val="13"/>
      </w:numPr>
      <w:spacing w:before="120" w:after="120"/>
      <w:ind w:left="1276"/>
      <w:contextualSpacing w:val="0"/>
    </w:pPr>
  </w:style>
  <w:style w:type="paragraph" w:styleId="ListBullet2">
    <w:name w:val="List Bullet 2"/>
    <w:basedOn w:val="ListParagraph"/>
    <w:unhideWhenUsed/>
    <w:rsid w:val="00A146A0"/>
    <w:pPr>
      <w:numPr>
        <w:ilvl w:val="1"/>
        <w:numId w:val="13"/>
      </w:numPr>
      <w:spacing w:before="120" w:after="120"/>
      <w:ind w:left="1701"/>
      <w:contextualSpacing w:val="0"/>
    </w:pPr>
  </w:style>
  <w:style w:type="paragraph" w:styleId="ListBullet3">
    <w:name w:val="List Bullet 3"/>
    <w:basedOn w:val="ListParagraph"/>
    <w:uiPriority w:val="99"/>
    <w:unhideWhenUsed/>
    <w:rsid w:val="00A146A0"/>
    <w:pPr>
      <w:numPr>
        <w:ilvl w:val="2"/>
        <w:numId w:val="13"/>
      </w:numPr>
      <w:spacing w:before="120" w:after="120"/>
      <w:ind w:left="2127"/>
      <w:contextualSpacing w:val="0"/>
    </w:pPr>
  </w:style>
  <w:style w:type="paragraph" w:styleId="ListParagraph">
    <w:name w:val="List Paragraph"/>
    <w:basedOn w:val="Normal"/>
    <w:uiPriority w:val="34"/>
    <w:rsid w:val="005D0971"/>
    <w:pPr>
      <w:spacing w:after="80"/>
      <w:ind w:left="720"/>
      <w:contextualSpacing/>
    </w:pPr>
  </w:style>
  <w:style w:type="paragraph" w:styleId="ListBullet4">
    <w:name w:val="List Bullet 4"/>
    <w:basedOn w:val="ListParagraph"/>
    <w:uiPriority w:val="99"/>
    <w:unhideWhenUsed/>
    <w:rsid w:val="00A146A0"/>
    <w:pPr>
      <w:numPr>
        <w:ilvl w:val="3"/>
        <w:numId w:val="13"/>
      </w:numPr>
      <w:spacing w:before="120" w:after="120"/>
      <w:ind w:left="2552"/>
      <w:contextualSpacing w:val="0"/>
    </w:pPr>
  </w:style>
  <w:style w:type="paragraph" w:styleId="ListBullet5">
    <w:name w:val="List Bullet 5"/>
    <w:basedOn w:val="ListParagraph"/>
    <w:uiPriority w:val="99"/>
    <w:unhideWhenUsed/>
    <w:rsid w:val="00A146A0"/>
    <w:pPr>
      <w:numPr>
        <w:ilvl w:val="4"/>
        <w:numId w:val="13"/>
      </w:numPr>
      <w:spacing w:before="120" w:after="120"/>
      <w:ind w:left="2977"/>
      <w:contextualSpacing w:val="0"/>
    </w:pPr>
  </w:style>
  <w:style w:type="paragraph" w:styleId="ListNumber5">
    <w:name w:val="List Number 5"/>
    <w:basedOn w:val="ListNumber4"/>
    <w:uiPriority w:val="99"/>
    <w:unhideWhenUsed/>
    <w:rsid w:val="00A67677"/>
    <w:pPr>
      <w:numPr>
        <w:ilvl w:val="4"/>
      </w:numPr>
    </w:pPr>
  </w:style>
  <w:style w:type="paragraph" w:customStyle="1" w:styleId="Cover-Assemblyname">
    <w:name w:val="Cover - Assembly name"/>
    <w:basedOn w:val="Header"/>
    <w:qFormat/>
    <w:rsid w:val="00917B49"/>
    <w:pPr>
      <w:spacing w:line="340" w:lineRule="exact"/>
      <w:ind w:left="1701"/>
    </w:pPr>
    <w:rPr>
      <w:rFonts w:ascii="Montserrat" w:hAnsi="Montserrat" w:cs="Arial"/>
      <w:b/>
      <w:bCs/>
      <w:color w:val="1A234C"/>
      <w:w w:val="90"/>
      <w:kern w:val="32"/>
      <w:sz w:val="32"/>
      <w:szCs w:val="32"/>
    </w:rPr>
  </w:style>
  <w:style w:type="paragraph" w:styleId="NoSpacing">
    <w:name w:val="No Spacing"/>
    <w:uiPriority w:val="1"/>
    <w:rsid w:val="00F873F4"/>
    <w:pPr>
      <w:spacing w:after="0" w:line="240" w:lineRule="auto"/>
    </w:pPr>
  </w:style>
  <w:style w:type="paragraph" w:styleId="ListNumber2">
    <w:name w:val="List Number 2"/>
    <w:basedOn w:val="Normal"/>
    <w:uiPriority w:val="99"/>
    <w:unhideWhenUsed/>
    <w:qFormat/>
    <w:rsid w:val="00DE56A4"/>
    <w:pPr>
      <w:numPr>
        <w:ilvl w:val="1"/>
        <w:numId w:val="16"/>
      </w:numPr>
      <w:spacing w:before="80" w:after="120"/>
    </w:pPr>
    <w:rPr>
      <w:rFonts w:cstheme="minorHAnsi"/>
      <w:bCs/>
      <w:color w:val="000000" w:themeColor="text1"/>
      <w:szCs w:val="20"/>
    </w:rPr>
  </w:style>
  <w:style w:type="paragraph" w:styleId="ListNumber">
    <w:name w:val="List Number"/>
    <w:basedOn w:val="Heading1"/>
    <w:next w:val="ListNumber2"/>
    <w:uiPriority w:val="99"/>
    <w:unhideWhenUsed/>
    <w:rsid w:val="00A070D4"/>
  </w:style>
  <w:style w:type="paragraph" w:styleId="ListNumber3">
    <w:name w:val="List Number 3"/>
    <w:basedOn w:val="ListNumber2"/>
    <w:uiPriority w:val="99"/>
    <w:unhideWhenUsed/>
    <w:rsid w:val="00A070D4"/>
    <w:pPr>
      <w:numPr>
        <w:ilvl w:val="2"/>
      </w:numPr>
    </w:pPr>
  </w:style>
  <w:style w:type="paragraph" w:styleId="ListNumber4">
    <w:name w:val="List Number 4"/>
    <w:basedOn w:val="ListNumber3"/>
    <w:uiPriority w:val="99"/>
    <w:unhideWhenUsed/>
    <w:rsid w:val="00E20929"/>
    <w:pPr>
      <w:numPr>
        <w:ilvl w:val="3"/>
      </w:numPr>
    </w:pPr>
  </w:style>
  <w:style w:type="character" w:styleId="CommentReference">
    <w:name w:val="annotation reference"/>
    <w:basedOn w:val="DefaultParagraphFont"/>
    <w:uiPriority w:val="99"/>
    <w:semiHidden/>
    <w:unhideWhenUsed/>
    <w:rsid w:val="006323F8"/>
    <w:rPr>
      <w:sz w:val="16"/>
      <w:szCs w:val="16"/>
    </w:rPr>
  </w:style>
  <w:style w:type="paragraph" w:styleId="CommentText">
    <w:name w:val="annotation text"/>
    <w:basedOn w:val="Normal"/>
    <w:link w:val="CommentTextChar"/>
    <w:uiPriority w:val="99"/>
    <w:unhideWhenUsed/>
    <w:rsid w:val="006323F8"/>
    <w:pPr>
      <w:spacing w:line="240" w:lineRule="auto"/>
    </w:pPr>
    <w:rPr>
      <w:sz w:val="20"/>
      <w:szCs w:val="20"/>
    </w:rPr>
  </w:style>
  <w:style w:type="character" w:customStyle="1" w:styleId="CommentTextChar">
    <w:name w:val="Comment Text Char"/>
    <w:basedOn w:val="DefaultParagraphFont"/>
    <w:link w:val="CommentText"/>
    <w:uiPriority w:val="99"/>
    <w:rsid w:val="006323F8"/>
    <w:rPr>
      <w:sz w:val="20"/>
      <w:szCs w:val="20"/>
    </w:rPr>
  </w:style>
  <w:style w:type="paragraph" w:styleId="CommentSubject">
    <w:name w:val="annotation subject"/>
    <w:basedOn w:val="CommentText"/>
    <w:next w:val="CommentText"/>
    <w:link w:val="CommentSubjectChar"/>
    <w:uiPriority w:val="99"/>
    <w:semiHidden/>
    <w:unhideWhenUsed/>
    <w:rsid w:val="006323F8"/>
    <w:rPr>
      <w:b/>
      <w:bCs/>
    </w:rPr>
  </w:style>
  <w:style w:type="character" w:customStyle="1" w:styleId="CommentSubjectChar">
    <w:name w:val="Comment Subject Char"/>
    <w:basedOn w:val="CommentTextChar"/>
    <w:link w:val="CommentSubject"/>
    <w:uiPriority w:val="99"/>
    <w:semiHidden/>
    <w:rsid w:val="006323F8"/>
    <w:rPr>
      <w:b/>
      <w:bCs/>
      <w:sz w:val="20"/>
      <w:szCs w:val="20"/>
    </w:rPr>
  </w:style>
  <w:style w:type="table" w:customStyle="1" w:styleId="Assemblystyletable">
    <w:name w:val="Assembly style table"/>
    <w:basedOn w:val="TableNormal"/>
    <w:uiPriority w:val="99"/>
    <w:rsid w:val="001C7708"/>
    <w:pPr>
      <w:adjustRightInd w:val="0"/>
      <w:spacing w:before="80" w:after="80" w:line="240" w:lineRule="auto"/>
    </w:pPr>
    <w:rPr>
      <w:sz w:val="20"/>
    </w:rPr>
    <w:tblPr>
      <w:tblStyleRowBandSize w:val="1"/>
      <w:tblBorders>
        <w:top w:val="single" w:sz="4" w:space="0" w:color="2F5496"/>
        <w:bottom w:val="single" w:sz="12" w:space="0" w:color="2F5496"/>
      </w:tblBorders>
    </w:tblPr>
    <w:tcPr>
      <w:vAlign w:val="center"/>
    </w:tcPr>
    <w:tblStylePr w:type="firstRow">
      <w:pPr>
        <w:jc w:val="left"/>
      </w:pPr>
      <w:rPr>
        <w:rFonts w:ascii="Calibri" w:hAnsi="Calibri"/>
        <w:b w:val="0"/>
        <w:color w:val="2F5496"/>
        <w:sz w:val="20"/>
      </w:rPr>
      <w:tblPr/>
      <w:tcPr>
        <w:tcBorders>
          <w:top w:val="single" w:sz="12" w:space="0" w:color="2F5496"/>
          <w:left w:val="nil"/>
          <w:bottom w:val="single" w:sz="4" w:space="0" w:color="2F5496"/>
          <w:right w:val="nil"/>
          <w:insideH w:val="nil"/>
          <w:insideV w:val="nil"/>
        </w:tcBorders>
        <w:vAlign w:val="center"/>
      </w:tcPr>
    </w:tblStylePr>
    <w:tblStylePr w:type="lastRow">
      <w:tblPr/>
      <w:tcPr>
        <w:tcBorders>
          <w:top w:val="single" w:sz="4" w:space="0" w:color="2F5496"/>
          <w:bottom w:val="single" w:sz="12" w:space="0" w:color="2F5496"/>
        </w:tcBorders>
      </w:tcPr>
    </w:tblStylePr>
    <w:tblStylePr w:type="band1Horz">
      <w:tblPr/>
      <w:tcPr>
        <w:shd w:val="clear" w:color="auto" w:fill="F2F2F2"/>
      </w:tcPr>
    </w:tblStylePr>
    <w:tblStylePr w:type="band2Horz">
      <w:tblPr/>
      <w:tcPr>
        <w:shd w:val="clear" w:color="auto" w:fill="E7E6E6"/>
      </w:tcPr>
    </w:tblStylePr>
  </w:style>
  <w:style w:type="paragraph" w:customStyle="1" w:styleId="Tableheading">
    <w:name w:val="Table heading"/>
    <w:qFormat/>
    <w:rsid w:val="001C7708"/>
    <w:pPr>
      <w:adjustRightInd w:val="0"/>
      <w:spacing w:before="80" w:after="80" w:line="240" w:lineRule="auto"/>
    </w:pPr>
    <w:rPr>
      <w:rFonts w:ascii="Calibri" w:hAnsi="Calibri" w:cstheme="minorHAnsi"/>
      <w:b/>
      <w:bCs/>
      <w:color w:val="2F5496"/>
      <w:sz w:val="20"/>
      <w:szCs w:val="20"/>
    </w:rPr>
  </w:style>
  <w:style w:type="paragraph" w:customStyle="1" w:styleId="Tablebody">
    <w:name w:val="Table body"/>
    <w:basedOn w:val="ListNumber3"/>
    <w:qFormat/>
    <w:rsid w:val="001C7708"/>
    <w:pPr>
      <w:numPr>
        <w:ilvl w:val="0"/>
        <w:numId w:val="0"/>
      </w:numPr>
      <w:adjustRightInd w:val="0"/>
      <w:spacing w:after="80" w:line="240" w:lineRule="auto"/>
    </w:pPr>
    <w:rPr>
      <w:sz w:val="20"/>
    </w:rPr>
  </w:style>
  <w:style w:type="paragraph" w:styleId="Caption">
    <w:name w:val="caption"/>
    <w:basedOn w:val="Normal"/>
    <w:next w:val="ListNumber2"/>
    <w:uiPriority w:val="35"/>
    <w:unhideWhenUsed/>
    <w:qFormat/>
    <w:rsid w:val="00D97152"/>
    <w:pPr>
      <w:spacing w:after="200" w:line="240" w:lineRule="auto"/>
      <w:ind w:left="709"/>
    </w:pPr>
    <w:rPr>
      <w:iCs/>
      <w:color w:val="7F7F7F" w:themeColor="text1" w:themeTint="80"/>
      <w:sz w:val="18"/>
      <w:szCs w:val="18"/>
    </w:rPr>
  </w:style>
  <w:style w:type="paragraph" w:customStyle="1" w:styleId="FrontmatterRecommendationlistheading">
    <w:name w:val="Front matter (Recommendation list heading)"/>
    <w:basedOn w:val="Recommendationheading"/>
    <w:next w:val="Normal"/>
    <w:rsid w:val="00B7541C"/>
  </w:style>
  <w:style w:type="paragraph" w:customStyle="1" w:styleId="FrontmatterRecommendationlistbody">
    <w:name w:val="Front matter (Recommendation list body)"/>
    <w:basedOn w:val="Normal"/>
    <w:rsid w:val="00976637"/>
    <w:pPr>
      <w:spacing w:before="120" w:after="120" w:line="252" w:lineRule="auto"/>
    </w:pPr>
    <w:rPr>
      <w:color w:val="000000" w:themeColor="text1"/>
    </w:rPr>
  </w:style>
  <w:style w:type="paragraph" w:customStyle="1" w:styleId="Recommendationbody">
    <w:name w:val="Recommendation body"/>
    <w:basedOn w:val="Normal"/>
    <w:next w:val="ListNumber2"/>
    <w:rsid w:val="00B7541C"/>
    <w:pPr>
      <w:spacing w:before="120" w:after="120"/>
    </w:pPr>
  </w:style>
  <w:style w:type="table" w:customStyle="1" w:styleId="Recommendationbox">
    <w:name w:val="Recommendation box"/>
    <w:basedOn w:val="TableNormal"/>
    <w:uiPriority w:val="99"/>
    <w:rsid w:val="009A2EDC"/>
    <w:pPr>
      <w:spacing w:after="0" w:line="240" w:lineRule="auto"/>
    </w:pPr>
    <w:tblPr>
      <w:tblCellSpacing w:w="71" w:type="dxa"/>
      <w:tblInd w:w="851" w:type="dxa"/>
    </w:tblPr>
    <w:trPr>
      <w:tblCellSpacing w:w="71" w:type="dxa"/>
    </w:trPr>
    <w:tcPr>
      <w:shd w:val="clear" w:color="auto" w:fill="D5DEF0"/>
      <w:vAlign w:val="center"/>
    </w:tcPr>
  </w:style>
  <w:style w:type="paragraph" w:styleId="TableofFigures">
    <w:name w:val="table of figures"/>
    <w:basedOn w:val="Recommendationheading"/>
    <w:next w:val="Recommendationbody"/>
    <w:uiPriority w:val="99"/>
    <w:unhideWhenUsed/>
    <w:rsid w:val="006A7A61"/>
    <w:pPr>
      <w:spacing w:after="0"/>
    </w:pPr>
  </w:style>
  <w:style w:type="paragraph" w:styleId="FootnoteText">
    <w:name w:val="footnote text"/>
    <w:basedOn w:val="Normal"/>
    <w:link w:val="FootnoteTextChar"/>
    <w:uiPriority w:val="99"/>
    <w:unhideWhenUsed/>
    <w:rsid w:val="00EB3179"/>
    <w:pPr>
      <w:spacing w:after="0" w:line="240" w:lineRule="auto"/>
      <w:ind w:left="142" w:hanging="142"/>
    </w:pPr>
    <w:rPr>
      <w:sz w:val="20"/>
      <w:szCs w:val="20"/>
    </w:rPr>
  </w:style>
  <w:style w:type="character" w:customStyle="1" w:styleId="FootnoteTextChar">
    <w:name w:val="Footnote Text Char"/>
    <w:basedOn w:val="DefaultParagraphFont"/>
    <w:link w:val="FootnoteText"/>
    <w:uiPriority w:val="99"/>
    <w:rsid w:val="00EB3179"/>
    <w:rPr>
      <w:sz w:val="20"/>
      <w:szCs w:val="20"/>
    </w:rPr>
  </w:style>
  <w:style w:type="character" w:styleId="FootnoteReference">
    <w:name w:val="footnote reference"/>
    <w:basedOn w:val="DefaultParagraphFont"/>
    <w:uiPriority w:val="99"/>
    <w:semiHidden/>
    <w:unhideWhenUsed/>
    <w:rsid w:val="00EB3179"/>
    <w:rPr>
      <w:vertAlign w:val="superscript"/>
    </w:rPr>
  </w:style>
  <w:style w:type="paragraph" w:styleId="List2">
    <w:name w:val="List 2"/>
    <w:basedOn w:val="Normal"/>
    <w:uiPriority w:val="99"/>
    <w:semiHidden/>
    <w:unhideWhenUsed/>
    <w:rsid w:val="001B2622"/>
    <w:pPr>
      <w:ind w:left="566" w:hanging="283"/>
      <w:contextualSpacing/>
    </w:pPr>
  </w:style>
  <w:style w:type="paragraph" w:styleId="BalloonText">
    <w:name w:val="Balloon Text"/>
    <w:basedOn w:val="Normal"/>
    <w:link w:val="BalloonTextChar"/>
    <w:uiPriority w:val="99"/>
    <w:semiHidden/>
    <w:unhideWhenUsed/>
    <w:rsid w:val="003B6F5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B6F59"/>
    <w:rPr>
      <w:rFonts w:ascii="Segoe UI" w:hAnsi="Segoe UI" w:cs="Segoe UI"/>
      <w:sz w:val="18"/>
      <w:szCs w:val="18"/>
    </w:rPr>
  </w:style>
  <w:style w:type="paragraph" w:styleId="BodyText">
    <w:name w:val="Body Text"/>
    <w:basedOn w:val="Normal"/>
    <w:link w:val="BodyTextChar"/>
    <w:unhideWhenUsed/>
    <w:qFormat/>
    <w:rsid w:val="00EA6308"/>
    <w:pPr>
      <w:spacing w:before="240" w:after="100" w:line="288" w:lineRule="auto"/>
      <w:ind w:left="567" w:hanging="567"/>
    </w:pPr>
    <w:rPr>
      <w:rFonts w:ascii="Calibri" w:eastAsia="Times New Roman" w:hAnsi="Calibri" w:cs="Times New Roman"/>
      <w:szCs w:val="24"/>
    </w:rPr>
  </w:style>
  <w:style w:type="character" w:customStyle="1" w:styleId="BodyTextChar">
    <w:name w:val="Body Text Char"/>
    <w:basedOn w:val="DefaultParagraphFont"/>
    <w:link w:val="BodyText"/>
    <w:rsid w:val="00EA6308"/>
    <w:rPr>
      <w:rFonts w:ascii="Calibri" w:eastAsia="Times New Roman" w:hAnsi="Calibri" w:cs="Times New Roman"/>
      <w:szCs w:val="24"/>
    </w:rPr>
  </w:style>
  <w:style w:type="paragraph" w:styleId="ListContinue3">
    <w:name w:val="List Continue 3"/>
    <w:basedOn w:val="Normal"/>
    <w:uiPriority w:val="99"/>
    <w:unhideWhenUsed/>
    <w:rsid w:val="00A459A3"/>
    <w:pPr>
      <w:spacing w:after="120"/>
      <w:ind w:left="849"/>
      <w:contextualSpacing/>
    </w:pPr>
  </w:style>
  <w:style w:type="paragraph" w:styleId="ListContinue4">
    <w:name w:val="List Continue 4"/>
    <w:basedOn w:val="Normal"/>
    <w:uiPriority w:val="99"/>
    <w:unhideWhenUsed/>
    <w:rsid w:val="007B2663"/>
    <w:pPr>
      <w:spacing w:after="120"/>
      <w:ind w:left="1132"/>
      <w:contextualSpacing/>
    </w:pPr>
  </w:style>
  <w:style w:type="paragraph" w:styleId="Revision">
    <w:name w:val="Revision"/>
    <w:hidden/>
    <w:uiPriority w:val="99"/>
    <w:semiHidden/>
    <w:rsid w:val="00292566"/>
    <w:pPr>
      <w:spacing w:after="0" w:line="240" w:lineRule="auto"/>
    </w:pPr>
  </w:style>
  <w:style w:type="character" w:styleId="FollowedHyperlink">
    <w:name w:val="FollowedHyperlink"/>
    <w:basedOn w:val="DefaultParagraphFont"/>
    <w:uiPriority w:val="99"/>
    <w:semiHidden/>
    <w:unhideWhenUsed/>
    <w:rsid w:val="00E6698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755182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oter" Target="footer5.xml"/><Relationship Id="rId3" Type="http://schemas.openxmlformats.org/officeDocument/2006/relationships/styles" Target="styles.xml"/><Relationship Id="rId21"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yperlink" Target="https://www.parliament.act.gov.au/parliamentary-business/in-committees"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mailto:LACommitteePA@parliament.act.gov.au" TargetMode="External"/><Relationship Id="rId10" Type="http://schemas.openxmlformats.org/officeDocument/2006/relationships/footer" Target="footer1.xml"/><Relationship Id="rId19" Type="http://schemas.openxmlformats.org/officeDocument/2006/relationships/footer" Target="footer6.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www.parliament.act.gov.au/__data/assets/pdf_file/0006/1924188/Standing-Committees-Resolution-as-at-9-Nov-2021.pdf"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359785572D84CFAB604E6A822CE4F98"/>
        <w:category>
          <w:name w:val="General"/>
          <w:gallery w:val="placeholder"/>
        </w:category>
        <w:types>
          <w:type w:val="bbPlcHdr"/>
        </w:types>
        <w:behaviors>
          <w:behavior w:val="content"/>
        </w:behaviors>
        <w:guid w:val="{227CBE02-8A17-48DA-83CF-BB88127AAB46}"/>
      </w:docPartPr>
      <w:docPartBody>
        <w:p w:rsidR="00465034" w:rsidRDefault="00465034" w:rsidP="00465034">
          <w:pPr>
            <w:pStyle w:val="9359785572D84CFAB604E6A822CE4F98"/>
          </w:pPr>
          <w:r w:rsidRPr="007565A4">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ontserrat SemiBold">
    <w:altName w:val="﷽﷽﷽﷽﷽﷽﷽﷽at SemiBold"/>
    <w:panose1 w:val="00000700000000000000"/>
    <w:charset w:val="00"/>
    <w:family w:val="auto"/>
    <w:pitch w:val="variable"/>
    <w:sig w:usb0="2000020F" w:usb1="00000003" w:usb2="00000000" w:usb3="00000000" w:csb0="00000197" w:csb1="00000000"/>
  </w:font>
  <w:font w:name="Montserrat">
    <w:altName w:val="﷽﷽﷽﷽﷽﷽﷽﷽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Montserrat Light">
    <w:altName w:val="﷽﷽﷽﷽﷽﷽﷽﷽at Light"/>
    <w:panose1 w:val="00000400000000000000"/>
    <w:charset w:val="00"/>
    <w:family w:val="auto"/>
    <w:pitch w:val="variable"/>
    <w:sig w:usb0="2000020F" w:usb1="00000003" w:usb2="00000000" w:usb3="00000000" w:csb0="00000197"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5034"/>
    <w:rsid w:val="001D146B"/>
    <w:rsid w:val="00252D95"/>
    <w:rsid w:val="00465034"/>
    <w:rsid w:val="006855EB"/>
    <w:rsid w:val="007F0CD0"/>
    <w:rsid w:val="0082481C"/>
    <w:rsid w:val="00970294"/>
    <w:rsid w:val="00F4175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5034"/>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65034"/>
    <w:rPr>
      <w:color w:val="808080"/>
    </w:rPr>
  </w:style>
  <w:style w:type="paragraph" w:customStyle="1" w:styleId="9359785572D84CFAB604E6A822CE4F98">
    <w:name w:val="9359785572D84CFAB604E6A822CE4F98"/>
    <w:rsid w:val="00465034"/>
    <w:pPr>
      <w:tabs>
        <w:tab w:val="center" w:pos="4513"/>
        <w:tab w:val="right" w:pos="9026"/>
      </w:tabs>
      <w:spacing w:after="0" w:line="240" w:lineRule="auto"/>
    </w:pPr>
    <w:rPr>
      <w:rFonts w:eastAsiaTheme="minorHAnsi"/>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D60310-29A5-4006-9A6B-A52BE51A14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2389</Words>
  <Characters>13619</Characters>
  <Application>Microsoft Office Word</Application>
  <DocSecurity>0</DocSecurity>
  <Lines>113</Lines>
  <Paragraphs>31</Paragraphs>
  <ScaleCrop>false</ScaleCrop>
  <HeadingPairs>
    <vt:vector size="2" baseType="variant">
      <vt:variant>
        <vt:lpstr>Title</vt:lpstr>
      </vt:variant>
      <vt:variant>
        <vt:i4>1</vt:i4>
      </vt:variant>
    </vt:vector>
  </HeadingPairs>
  <TitlesOfParts>
    <vt:vector size="1" baseType="lpstr">
      <vt:lpstr/>
    </vt:vector>
  </TitlesOfParts>
  <Manager/>
  <Company>Office of the Legislative Assembly</Company>
  <LinksUpToDate>false</LinksUpToDate>
  <CharactersWithSpaces>15977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Milne, Sophie</dc:creator>
  <cp:keywords/>
  <dc:description/>
  <cp:lastModifiedBy>Thompson, SamuelR</cp:lastModifiedBy>
  <cp:revision>3</cp:revision>
  <cp:lastPrinted>2022-01-17T21:55:00Z</cp:lastPrinted>
  <dcterms:created xsi:type="dcterms:W3CDTF">2022-02-02T05:44:00Z</dcterms:created>
  <dcterms:modified xsi:type="dcterms:W3CDTF">2022-02-06T20:57:00Z</dcterms:modified>
  <cp:category/>
</cp:coreProperties>
</file>