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F6858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32254458" w14:textId="43BC4CB4" w:rsidR="00290FCA" w:rsidRPr="001F109C" w:rsidRDefault="00290FCA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Mr Jeremy Hanson CSC MLA</w:t>
      </w:r>
    </w:p>
    <w:p w14:paraId="652AA35F" w14:textId="0E6DB225" w:rsidR="00AD7D31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Chair</w:t>
      </w:r>
    </w:p>
    <w:p w14:paraId="2157E399" w14:textId="1D6D601B" w:rsidR="002A686D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Standing Committee on Justice and Community Safety (Legislative Scrutiny Role)</w:t>
      </w:r>
    </w:p>
    <w:p w14:paraId="080CA01D" w14:textId="1017668A" w:rsidR="002A686D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ACT Legislative Assembly</w:t>
      </w:r>
    </w:p>
    <w:p w14:paraId="6CC57A79" w14:textId="65FB36FA" w:rsidR="002A686D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GPO Box 1020</w:t>
      </w:r>
    </w:p>
    <w:p w14:paraId="5EBB1E99" w14:textId="519D8FBD" w:rsidR="002A686D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CANBERRA  ACT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2601</w:t>
      </w:r>
    </w:p>
    <w:p w14:paraId="6282DE78" w14:textId="77777777" w:rsidR="003C41F5" w:rsidRDefault="003C41F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F15A31" w14:textId="05B84FC0" w:rsidR="00AD7D31" w:rsidRPr="00931CB2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31CB2">
        <w:rPr>
          <w:rFonts w:asciiTheme="minorHAnsi" w:hAnsiTheme="minorHAnsi" w:cstheme="minorHAnsi"/>
          <w:sz w:val="24"/>
          <w:szCs w:val="24"/>
        </w:rPr>
        <w:t xml:space="preserve">By email:  </w:t>
      </w:r>
      <w:hyperlink r:id="rId11" w:history="1">
        <w:r w:rsidRPr="00931CB2">
          <w:rPr>
            <w:rStyle w:val="Hyperlink"/>
            <w:sz w:val="24"/>
            <w:szCs w:val="24"/>
          </w:rPr>
          <w:t>Scrutiny@parliament.act.gov.au</w:t>
        </w:r>
      </w:hyperlink>
    </w:p>
    <w:p w14:paraId="36228DBC" w14:textId="77777777" w:rsidR="002A686D" w:rsidRPr="001F109C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C08C40" w14:textId="2CD13EC7" w:rsidR="003C41F5" w:rsidRDefault="003C41F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6235BA" w14:textId="24A01FF3" w:rsidR="003C41F5" w:rsidRDefault="003C41F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F68266" w14:textId="77777777" w:rsidR="003C41F5" w:rsidRPr="001F109C" w:rsidRDefault="003C41F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639071" w14:textId="701364CF" w:rsidR="00AD7D31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1F109C">
        <w:rPr>
          <w:rFonts w:asciiTheme="minorHAnsi" w:hAnsiTheme="minorHAnsi" w:cstheme="minorHAnsi"/>
          <w:sz w:val="24"/>
          <w:szCs w:val="24"/>
          <w:lang w:val="en-US"/>
        </w:rPr>
        <w:t xml:space="preserve">Dear </w:t>
      </w:r>
      <w:r w:rsidR="002A686D">
        <w:rPr>
          <w:rFonts w:asciiTheme="minorHAnsi" w:hAnsiTheme="minorHAnsi" w:cstheme="minorHAnsi"/>
          <w:sz w:val="24"/>
          <w:szCs w:val="24"/>
          <w:lang w:val="en-US"/>
        </w:rPr>
        <w:t>Mr Hanson</w:t>
      </w:r>
    </w:p>
    <w:p w14:paraId="21A915D2" w14:textId="77777777" w:rsidR="00AD7D31" w:rsidRPr="001F109C" w:rsidRDefault="00AD7D31" w:rsidP="00AD7D31">
      <w:pPr>
        <w:pStyle w:val="Header"/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</w:p>
    <w:p w14:paraId="6EB6D9CD" w14:textId="2BF34E7B" w:rsidR="00AD7D31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write in relation to the comments made by the Standing Committee on Justice and Community Safety (Legislative Scrutiny Role)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(the Committee) in its </w:t>
      </w:r>
      <w:r w:rsidRPr="00472453">
        <w:rPr>
          <w:rFonts w:asciiTheme="minorHAnsi" w:hAnsiTheme="minorHAnsi" w:cstheme="minorHAnsi"/>
          <w:sz w:val="24"/>
          <w:szCs w:val="24"/>
        </w:rPr>
        <w:t>Scrutiny Report 11</w:t>
      </w:r>
      <w:r>
        <w:rPr>
          <w:rFonts w:asciiTheme="minorHAnsi" w:hAnsiTheme="minorHAnsi" w:cstheme="minorHAnsi"/>
          <w:sz w:val="24"/>
          <w:szCs w:val="24"/>
        </w:rPr>
        <w:t xml:space="preserve"> published on 19</w:t>
      </w:r>
      <w:r w:rsidR="009177EE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November 2021 in relation to the </w:t>
      </w:r>
      <w:bookmarkStart w:id="1" w:name="_Hlk89176966"/>
      <w:r>
        <w:rPr>
          <w:rFonts w:asciiTheme="minorHAnsi" w:hAnsiTheme="minorHAnsi" w:cstheme="minorHAnsi"/>
          <w:sz w:val="24"/>
          <w:szCs w:val="24"/>
        </w:rPr>
        <w:t>Road Transport (General) (COVID-19 Emergency Response) Application Order 2021 (No 1) (DI2021-222)</w:t>
      </w:r>
      <w:bookmarkEnd w:id="1"/>
      <w:r>
        <w:rPr>
          <w:rFonts w:asciiTheme="minorHAnsi" w:hAnsiTheme="minorHAnsi" w:cstheme="minorHAnsi"/>
          <w:sz w:val="24"/>
          <w:szCs w:val="24"/>
        </w:rPr>
        <w:t>.</w:t>
      </w:r>
    </w:p>
    <w:p w14:paraId="1D812766" w14:textId="7ED133E4" w:rsidR="002A686D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C0A8BD" w14:textId="35F8DD19" w:rsidR="002A686D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thank the Committee for its comments on this </w:t>
      </w:r>
      <w:r w:rsidR="00472453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isallowable </w:t>
      </w:r>
      <w:r w:rsidR="00472453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nstrument and note its concerns about the retrospective application of the instrument.</w:t>
      </w:r>
    </w:p>
    <w:p w14:paraId="18E1DF10" w14:textId="2C3725BB" w:rsidR="002A686D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AF4442" w14:textId="30168E7D" w:rsidR="002A686D" w:rsidRDefault="007E5E8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clarify the statement in the explanatory statement that any retrospective operation of the instrument is “in the most part non-prejudicial”, I provide the following:</w:t>
      </w:r>
    </w:p>
    <w:p w14:paraId="0F27B1CC" w14:textId="00DCA94B" w:rsidR="007E5E85" w:rsidRDefault="007E5E8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BF39FA" w14:textId="57D08E5B" w:rsidR="007E5E85" w:rsidRDefault="007E5E85" w:rsidP="009177EE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instrument itself commenced on the day after notification, being</w:t>
      </w:r>
      <w:r w:rsidR="00E8279C">
        <w:rPr>
          <w:rFonts w:asciiTheme="minorHAnsi" w:hAnsiTheme="minorHAnsi" w:cstheme="minorHAnsi"/>
          <w:sz w:val="24"/>
          <w:szCs w:val="24"/>
        </w:rPr>
        <w:t xml:space="preserve"> 4 September 2021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C574EFB" w14:textId="5C8570FA" w:rsidR="007E5E85" w:rsidRDefault="007E5E85" w:rsidP="009177EE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Clauses 5, 7,</w:t>
      </w:r>
      <w:r w:rsidR="00E8279C">
        <w:rPr>
          <w:rFonts w:asciiTheme="minorHAnsi" w:hAnsiTheme="minorHAnsi" w:cstheme="minorHAnsi"/>
          <w:sz w:val="24"/>
          <w:szCs w:val="24"/>
        </w:rPr>
        <w:t xml:space="preserve"> 10 and 11</w:t>
      </w:r>
      <w:r>
        <w:rPr>
          <w:rFonts w:asciiTheme="minorHAnsi" w:hAnsiTheme="minorHAnsi" w:cstheme="minorHAnsi"/>
          <w:sz w:val="24"/>
          <w:szCs w:val="24"/>
        </w:rPr>
        <w:t xml:space="preserve"> have retrospective application</w:t>
      </w:r>
      <w:r w:rsidR="00E8279C">
        <w:rPr>
          <w:rFonts w:asciiTheme="minorHAnsi" w:hAnsiTheme="minorHAnsi" w:cstheme="minorHAnsi"/>
          <w:sz w:val="24"/>
          <w:szCs w:val="24"/>
        </w:rPr>
        <w:t xml:space="preserve"> in that they apply from and including 9</w:t>
      </w:r>
      <w:r w:rsidR="009177EE">
        <w:rPr>
          <w:rFonts w:asciiTheme="minorHAnsi" w:hAnsiTheme="minorHAnsi" w:cstheme="minorHAnsi"/>
          <w:sz w:val="24"/>
          <w:szCs w:val="24"/>
        </w:rPr>
        <w:t> </w:t>
      </w:r>
      <w:r w:rsidR="00E8279C">
        <w:rPr>
          <w:rFonts w:asciiTheme="minorHAnsi" w:hAnsiTheme="minorHAnsi" w:cstheme="minorHAnsi"/>
          <w:sz w:val="24"/>
          <w:szCs w:val="24"/>
        </w:rPr>
        <w:t>August 2021.</w:t>
      </w:r>
    </w:p>
    <w:p w14:paraId="61656CFE" w14:textId="1D3AFA08" w:rsidR="00E8279C" w:rsidRDefault="00E8279C" w:rsidP="009177EE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Clauses 4, 6, 8, 9, 13 and 14 have retrospective application in that they apply from and including 12 August 2021.</w:t>
      </w:r>
    </w:p>
    <w:p w14:paraId="7A96BEAC" w14:textId="6195ED07" w:rsidR="00E8279C" w:rsidRPr="009177EE" w:rsidRDefault="00E8279C" w:rsidP="009177EE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The retrospective application of these clauses is not considered to be prejudicial as it provides a benefit to the community and ensures that people are not disadvantaged during periods where government services are not available,</w:t>
      </w:r>
      <w:r w:rsidR="00D47BD2">
        <w:rPr>
          <w:rFonts w:asciiTheme="minorHAnsi" w:hAnsiTheme="minorHAnsi" w:cstheme="minorHAnsi"/>
          <w:sz w:val="24"/>
          <w:szCs w:val="24"/>
        </w:rPr>
        <w:t xml:space="preserve"> mandatory driver licence</w:t>
      </w:r>
      <w:r>
        <w:rPr>
          <w:rFonts w:asciiTheme="minorHAnsi" w:hAnsiTheme="minorHAnsi" w:cstheme="minorHAnsi"/>
          <w:sz w:val="24"/>
          <w:szCs w:val="24"/>
        </w:rPr>
        <w:t xml:space="preserve"> training courses are not </w:t>
      </w:r>
      <w:r w:rsidR="00D47BD2">
        <w:rPr>
          <w:rFonts w:asciiTheme="minorHAnsi" w:hAnsiTheme="minorHAnsi" w:cstheme="minorHAnsi"/>
          <w:sz w:val="24"/>
          <w:szCs w:val="24"/>
        </w:rPr>
        <w:t xml:space="preserve">able to be provided </w:t>
      </w:r>
      <w:r>
        <w:rPr>
          <w:rFonts w:asciiTheme="minorHAnsi" w:hAnsiTheme="minorHAnsi" w:cstheme="minorHAnsi"/>
          <w:sz w:val="24"/>
          <w:szCs w:val="24"/>
        </w:rPr>
        <w:t xml:space="preserve">or </w:t>
      </w:r>
      <w:r w:rsidR="009177EE">
        <w:rPr>
          <w:rFonts w:asciiTheme="minorHAnsi" w:hAnsiTheme="minorHAnsi" w:cstheme="minorHAnsi"/>
          <w:sz w:val="24"/>
          <w:szCs w:val="24"/>
        </w:rPr>
        <w:t xml:space="preserve">during </w:t>
      </w:r>
      <w:r>
        <w:rPr>
          <w:rFonts w:asciiTheme="minorHAnsi" w:hAnsiTheme="minorHAnsi" w:cstheme="minorHAnsi"/>
          <w:sz w:val="24"/>
          <w:szCs w:val="24"/>
        </w:rPr>
        <w:t xml:space="preserve">delays in </w:t>
      </w:r>
      <w:r w:rsidR="00D47BD2">
        <w:rPr>
          <w:rFonts w:asciiTheme="minorHAnsi" w:hAnsiTheme="minorHAnsi" w:cstheme="minorHAnsi"/>
          <w:sz w:val="24"/>
          <w:szCs w:val="24"/>
        </w:rPr>
        <w:t xml:space="preserve">access to these </w:t>
      </w:r>
      <w:r>
        <w:rPr>
          <w:rFonts w:asciiTheme="minorHAnsi" w:hAnsiTheme="minorHAnsi" w:cstheme="minorHAnsi"/>
          <w:sz w:val="24"/>
          <w:szCs w:val="24"/>
        </w:rPr>
        <w:t xml:space="preserve">services </w:t>
      </w:r>
      <w:r w:rsidR="00D47BD2">
        <w:rPr>
          <w:rFonts w:asciiTheme="minorHAnsi" w:hAnsiTheme="minorHAnsi" w:cstheme="minorHAnsi"/>
          <w:sz w:val="24"/>
          <w:szCs w:val="24"/>
        </w:rPr>
        <w:t xml:space="preserve">and courses </w:t>
      </w:r>
      <w:r>
        <w:rPr>
          <w:rFonts w:asciiTheme="minorHAnsi" w:hAnsiTheme="minorHAnsi" w:cstheme="minorHAnsi"/>
          <w:sz w:val="24"/>
          <w:szCs w:val="24"/>
        </w:rPr>
        <w:t xml:space="preserve">when </w:t>
      </w:r>
      <w:r w:rsidRPr="009177EE">
        <w:rPr>
          <w:rFonts w:asciiTheme="minorHAnsi" w:hAnsiTheme="minorHAnsi" w:cstheme="minorHAnsi"/>
          <w:sz w:val="24"/>
          <w:szCs w:val="24"/>
        </w:rPr>
        <w:t>they recommence.</w:t>
      </w:r>
    </w:p>
    <w:p w14:paraId="3F205866" w14:textId="2DE6493E" w:rsidR="007E5E85" w:rsidRPr="009177EE" w:rsidRDefault="00E8279C" w:rsidP="009177EE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177EE">
        <w:rPr>
          <w:rFonts w:asciiTheme="minorHAnsi" w:hAnsiTheme="minorHAnsi" w:cstheme="minorHAnsi"/>
          <w:sz w:val="24"/>
          <w:szCs w:val="24"/>
        </w:rPr>
        <w:t>C</w:t>
      </w:r>
      <w:r w:rsidR="007E5E85" w:rsidRPr="009177EE">
        <w:rPr>
          <w:rFonts w:asciiTheme="minorHAnsi" w:hAnsiTheme="minorHAnsi" w:cstheme="minorHAnsi"/>
          <w:sz w:val="24"/>
          <w:szCs w:val="24"/>
        </w:rPr>
        <w:t xml:space="preserve">lause </w:t>
      </w:r>
      <w:r w:rsidRPr="009177EE">
        <w:rPr>
          <w:rFonts w:asciiTheme="minorHAnsi" w:hAnsiTheme="minorHAnsi" w:cstheme="minorHAnsi"/>
          <w:sz w:val="24"/>
          <w:szCs w:val="24"/>
        </w:rPr>
        <w:t>12</w:t>
      </w:r>
      <w:r w:rsidR="007E5E85" w:rsidRPr="009177EE">
        <w:rPr>
          <w:rFonts w:asciiTheme="minorHAnsi" w:hAnsiTheme="minorHAnsi" w:cstheme="minorHAnsi"/>
          <w:sz w:val="24"/>
          <w:szCs w:val="24"/>
        </w:rPr>
        <w:t xml:space="preserve"> commence</w:t>
      </w:r>
      <w:r w:rsidR="00B9409B">
        <w:rPr>
          <w:rFonts w:asciiTheme="minorHAnsi" w:hAnsiTheme="minorHAnsi" w:cstheme="minorHAnsi"/>
          <w:sz w:val="24"/>
          <w:szCs w:val="24"/>
        </w:rPr>
        <w:t>d</w:t>
      </w:r>
      <w:r w:rsidR="007E5E85" w:rsidRPr="009177EE">
        <w:rPr>
          <w:rFonts w:asciiTheme="minorHAnsi" w:hAnsiTheme="minorHAnsi" w:cstheme="minorHAnsi"/>
          <w:sz w:val="24"/>
          <w:szCs w:val="24"/>
        </w:rPr>
        <w:t xml:space="preserve"> from the date the instrument </w:t>
      </w:r>
      <w:r w:rsidRPr="009177EE">
        <w:rPr>
          <w:rFonts w:asciiTheme="minorHAnsi" w:hAnsiTheme="minorHAnsi" w:cstheme="minorHAnsi"/>
          <w:sz w:val="24"/>
          <w:szCs w:val="24"/>
        </w:rPr>
        <w:t>commence</w:t>
      </w:r>
      <w:r w:rsidR="00B9409B">
        <w:rPr>
          <w:rFonts w:asciiTheme="minorHAnsi" w:hAnsiTheme="minorHAnsi" w:cstheme="minorHAnsi"/>
          <w:sz w:val="24"/>
          <w:szCs w:val="24"/>
        </w:rPr>
        <w:t>d</w:t>
      </w:r>
      <w:r w:rsidRPr="009177EE">
        <w:rPr>
          <w:rFonts w:asciiTheme="minorHAnsi" w:hAnsiTheme="minorHAnsi" w:cstheme="minorHAnsi"/>
          <w:sz w:val="24"/>
          <w:szCs w:val="24"/>
        </w:rPr>
        <w:t xml:space="preserve"> being</w:t>
      </w:r>
      <w:r w:rsidR="00D47BD2" w:rsidRPr="009177EE">
        <w:rPr>
          <w:rFonts w:asciiTheme="minorHAnsi" w:hAnsiTheme="minorHAnsi" w:cstheme="minorHAnsi"/>
          <w:sz w:val="24"/>
          <w:szCs w:val="24"/>
        </w:rPr>
        <w:t xml:space="preserve"> 4 September 2021</w:t>
      </w:r>
      <w:r w:rsidRPr="009177EE">
        <w:rPr>
          <w:rFonts w:asciiTheme="minorHAnsi" w:hAnsiTheme="minorHAnsi" w:cstheme="minorHAnsi"/>
          <w:sz w:val="24"/>
          <w:szCs w:val="24"/>
        </w:rPr>
        <w:t xml:space="preserve">. This clause does not have retrospective application as to do so could </w:t>
      </w:r>
      <w:r w:rsidR="009177EE" w:rsidRPr="009177EE">
        <w:rPr>
          <w:rFonts w:asciiTheme="minorHAnsi" w:hAnsiTheme="minorHAnsi" w:cstheme="minorHAnsi"/>
          <w:sz w:val="24"/>
          <w:szCs w:val="24"/>
        </w:rPr>
        <w:t>be</w:t>
      </w:r>
      <w:r w:rsidR="009177EE">
        <w:rPr>
          <w:rFonts w:asciiTheme="minorHAnsi" w:hAnsiTheme="minorHAnsi" w:cstheme="minorHAnsi"/>
          <w:sz w:val="24"/>
          <w:szCs w:val="24"/>
        </w:rPr>
        <w:t xml:space="preserve"> considered</w:t>
      </w:r>
      <w:r w:rsidRPr="009177EE">
        <w:rPr>
          <w:rFonts w:asciiTheme="minorHAnsi" w:hAnsiTheme="minorHAnsi" w:cstheme="minorHAnsi"/>
          <w:sz w:val="24"/>
          <w:szCs w:val="24"/>
        </w:rPr>
        <w:t xml:space="preserve"> prejudicial</w:t>
      </w:r>
      <w:r w:rsidR="00D47BD2" w:rsidRPr="009177EE">
        <w:rPr>
          <w:rFonts w:asciiTheme="minorHAnsi" w:hAnsiTheme="minorHAnsi" w:cstheme="minorHAnsi"/>
          <w:sz w:val="24"/>
          <w:szCs w:val="24"/>
        </w:rPr>
        <w:t>.</w:t>
      </w:r>
    </w:p>
    <w:p w14:paraId="2FF2E588" w14:textId="15DE7E3F" w:rsidR="00E8279C" w:rsidRPr="009177EE" w:rsidRDefault="00D47BD2" w:rsidP="009177EE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177EE">
        <w:rPr>
          <w:rFonts w:asciiTheme="minorHAnsi" w:hAnsiTheme="minorHAnsi" w:cstheme="minorHAnsi"/>
          <w:sz w:val="24"/>
          <w:szCs w:val="24"/>
        </w:rPr>
        <w:t xml:space="preserve">Clause 12 extends the timeframe in which an infringement notice for an offence detected by a road safety camera can be issued to the responsible person for the detected vehicle from 28 days to 45 days. This extension </w:t>
      </w:r>
      <w:r w:rsidR="009177EE">
        <w:rPr>
          <w:rFonts w:asciiTheme="minorHAnsi" w:hAnsiTheme="minorHAnsi" w:cstheme="minorHAnsi"/>
          <w:sz w:val="24"/>
          <w:szCs w:val="24"/>
        </w:rPr>
        <w:t>is</w:t>
      </w:r>
      <w:r w:rsidRPr="009177EE">
        <w:rPr>
          <w:rFonts w:asciiTheme="minorHAnsi" w:hAnsiTheme="minorHAnsi" w:cstheme="minorHAnsi"/>
          <w:sz w:val="24"/>
          <w:szCs w:val="24"/>
        </w:rPr>
        <w:t xml:space="preserve"> considered necessary to support Access Canberra manage its operations during this time.</w:t>
      </w:r>
    </w:p>
    <w:p w14:paraId="77CE765F" w14:textId="77777777" w:rsidR="00AD7D31" w:rsidRPr="001F109C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4F8BFC" w14:textId="4330325C" w:rsidR="002A686D" w:rsidRPr="001F109C" w:rsidRDefault="002A686D" w:rsidP="002A686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 also wish to thank the Committee for its comments on the </w:t>
      </w:r>
      <w:r w:rsidR="007E5E85">
        <w:rPr>
          <w:rFonts w:asciiTheme="minorHAnsi" w:hAnsiTheme="minorHAnsi" w:cstheme="minorHAnsi"/>
          <w:sz w:val="24"/>
          <w:szCs w:val="24"/>
        </w:rPr>
        <w:t>Road Transport (General) Application of Road Transport Legislation (COVID-19 Parking Arrangements) Declaration (No 1) (DI2021-223) and the Road Transport (General) Application of Road Transport Legislation (COVID-19 Parking Arrangements) Declaration 2021 (No 2) (DI2021-236)</w:t>
      </w:r>
      <w:r>
        <w:rPr>
          <w:rFonts w:asciiTheme="minorHAnsi" w:hAnsiTheme="minorHAnsi" w:cstheme="minorHAnsi"/>
          <w:sz w:val="24"/>
          <w:szCs w:val="24"/>
        </w:rPr>
        <w:t xml:space="preserve">. I note the Committee’s report draws the Assembly’s attention to </w:t>
      </w:r>
      <w:r w:rsidR="009177EE">
        <w:rPr>
          <w:rFonts w:asciiTheme="minorHAnsi" w:hAnsiTheme="minorHAnsi" w:cstheme="minorHAnsi"/>
          <w:sz w:val="24"/>
          <w:szCs w:val="24"/>
        </w:rPr>
        <w:t xml:space="preserve">the explanation of the retrospective application of DI2021-223 and the </w:t>
      </w:r>
      <w:r>
        <w:rPr>
          <w:rFonts w:asciiTheme="minorHAnsi" w:hAnsiTheme="minorHAnsi" w:cstheme="minorHAnsi"/>
          <w:sz w:val="24"/>
          <w:szCs w:val="24"/>
        </w:rPr>
        <w:t xml:space="preserve">analysis of the human rights implications of </w:t>
      </w:r>
      <w:r w:rsidR="009177EE">
        <w:rPr>
          <w:rFonts w:asciiTheme="minorHAnsi" w:hAnsiTheme="minorHAnsi" w:cstheme="minorHAnsi"/>
          <w:sz w:val="24"/>
          <w:szCs w:val="24"/>
        </w:rPr>
        <w:t>both</w:t>
      </w:r>
      <w:r>
        <w:rPr>
          <w:rFonts w:asciiTheme="minorHAnsi" w:hAnsiTheme="minorHAnsi" w:cstheme="minorHAnsi"/>
          <w:sz w:val="24"/>
          <w:szCs w:val="24"/>
        </w:rPr>
        <w:t xml:space="preserve"> instruments contained in the</w:t>
      </w:r>
      <w:r w:rsidR="00B9409B">
        <w:rPr>
          <w:rFonts w:asciiTheme="minorHAnsi" w:hAnsiTheme="minorHAnsi" w:cstheme="minorHAnsi"/>
          <w:sz w:val="24"/>
          <w:szCs w:val="24"/>
        </w:rPr>
        <w:t>ir respective</w:t>
      </w:r>
      <w:r>
        <w:rPr>
          <w:rFonts w:asciiTheme="minorHAnsi" w:hAnsiTheme="minorHAnsi" w:cstheme="minorHAnsi"/>
          <w:sz w:val="24"/>
          <w:szCs w:val="24"/>
        </w:rPr>
        <w:t xml:space="preserve"> explanatory statements.</w:t>
      </w:r>
    </w:p>
    <w:p w14:paraId="293786DD" w14:textId="523D91E5" w:rsidR="00B478E3" w:rsidRDefault="00B478E3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73F6CA" w14:textId="77777777" w:rsidR="002A686D" w:rsidRDefault="002A686D" w:rsidP="002A686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trust that this response addresses the Committee’s comments in relation to the Road Transport (General) (COVID-19 Emergency Response) Application Order 2021 (No 1) (DI2021-222).</w:t>
      </w:r>
    </w:p>
    <w:p w14:paraId="2CDA4DC5" w14:textId="77777777" w:rsidR="00AD7D31" w:rsidRPr="001F109C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E65BDA" w14:textId="77777777" w:rsidR="00AD7D31" w:rsidRPr="001F109C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Yours sincerely</w:t>
      </w:r>
    </w:p>
    <w:p w14:paraId="5D33C580" w14:textId="13541E22" w:rsidR="00AD7D31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14BFB1" w14:textId="77777777" w:rsidR="002A686D" w:rsidRPr="001F109C" w:rsidRDefault="002A686D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2C9EF6" w14:textId="77777777" w:rsidR="008D37E0" w:rsidRPr="001F109C" w:rsidRDefault="008D37E0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DB0695" w14:textId="77777777" w:rsidR="00AD7D31" w:rsidRPr="001F109C" w:rsidRDefault="005071C3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Chris Steel</w:t>
      </w:r>
      <w:r w:rsidR="00AD7D31" w:rsidRPr="001F109C">
        <w:rPr>
          <w:rFonts w:asciiTheme="minorHAnsi" w:hAnsiTheme="minorHAnsi" w:cstheme="minorHAnsi"/>
          <w:sz w:val="24"/>
          <w:szCs w:val="24"/>
        </w:rPr>
        <w:t xml:space="preserve"> MLA</w:t>
      </w:r>
    </w:p>
    <w:p w14:paraId="6340F0AA" w14:textId="2C9CF741" w:rsidR="0021748B" w:rsidRDefault="00E917C0" w:rsidP="008458E2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F109C">
        <w:rPr>
          <w:rFonts w:asciiTheme="minorHAnsi" w:hAnsiTheme="minorHAnsi" w:cstheme="minorHAnsi"/>
          <w:color w:val="000000"/>
          <w:sz w:val="24"/>
          <w:szCs w:val="24"/>
        </w:rPr>
        <w:t>Minister for Transport and City Services</w:t>
      </w:r>
      <w:r w:rsidR="00472453">
        <w:rPr>
          <w:rFonts w:asciiTheme="minorHAnsi" w:hAnsiTheme="minorHAnsi" w:cstheme="minorHAnsi"/>
          <w:color w:val="000000"/>
          <w:sz w:val="24"/>
          <w:szCs w:val="24"/>
        </w:rPr>
        <w:br/>
      </w:r>
    </w:p>
    <w:sectPr w:rsidR="0021748B" w:rsidSect="007735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021" w:bottom="1440" w:left="102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230BA" w14:textId="77777777" w:rsidR="00E33934" w:rsidRDefault="00E33934" w:rsidP="00AD7D31">
      <w:pPr>
        <w:spacing w:after="0" w:line="240" w:lineRule="auto"/>
      </w:pPr>
      <w:r>
        <w:separator/>
      </w:r>
    </w:p>
  </w:endnote>
  <w:endnote w:type="continuationSeparator" w:id="0">
    <w:p w14:paraId="0407F145" w14:textId="77777777" w:rsidR="00E33934" w:rsidRDefault="00E33934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62005" w14:textId="77777777" w:rsidR="004D0BEC" w:rsidRDefault="004D0B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61513" w14:textId="77777777" w:rsidR="004D0BEC" w:rsidRDefault="004D0B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8C5119" w:rsidRPr="00910ED5" w14:paraId="2A05787E" w14:textId="77777777" w:rsidTr="005071C3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13150FA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8C5119" w:rsidRPr="00910ED5" w14:paraId="3A760989" w14:textId="77777777" w:rsidTr="005071C3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2EEC4DEB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</w:t>
          </w:r>
          <w:r w:rsidR="00CA4B9B" w:rsidRPr="00910ED5">
            <w:rPr>
              <w:color w:val="724793" w:themeColor="accent2"/>
              <w:spacing w:val="-4"/>
              <w:sz w:val="18"/>
              <w:szCs w:val="18"/>
            </w:rPr>
            <w:t>GPO Box 1020</w:t>
          </w:r>
          <w:r w:rsidR="00CA4B9B"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C5119" w:rsidRPr="00910ED5" w14:paraId="473EB6D7" w14:textId="77777777" w:rsidTr="005071C3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D58AC74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2DDCB64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0748CCD5" w14:textId="77777777" w:rsidR="008C5119" w:rsidRPr="00910ED5" w:rsidRDefault="00751F7B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1CBCEFBC" wp14:editId="1745B360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12BA566A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+61 2 6205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1470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0EE6CC7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67FF2691" wp14:editId="42776776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7C345B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8C5119" w:rsidRPr="00910ED5" w14:paraId="2C009BEE" w14:textId="77777777" w:rsidTr="005071C3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4BF92621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3038998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79C8EB16" wp14:editId="2BEFA74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DE7EFE3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0666AC35" w14:textId="4E2447AC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23F1F5A3" wp14:editId="14693EB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5F3F4A5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chrissteella</w:t>
          </w:r>
          <w:r w:rsidR="004D0BEC">
            <w:rPr>
              <w:color w:val="724793" w:themeColor="accent2"/>
              <w:spacing w:val="-4"/>
              <w:sz w:val="18"/>
              <w:szCs w:val="18"/>
            </w:rPr>
            <w:t>b</w:t>
          </w:r>
          <w:r>
            <w:rPr>
              <w:color w:val="724793" w:themeColor="accent2"/>
              <w:spacing w:val="-4"/>
              <w:sz w:val="18"/>
              <w:szCs w:val="18"/>
            </w:rPr>
            <w:t>or</w:t>
          </w:r>
          <w:proofErr w:type="spellEnd"/>
        </w:p>
      </w:tc>
      <w:tc>
        <w:tcPr>
          <w:tcW w:w="1843" w:type="dxa"/>
          <w:vAlign w:val="center"/>
        </w:tcPr>
        <w:p w14:paraId="2BE930C4" w14:textId="77777777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2496C2ED" wp14:editId="46C0C188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BBC9BB4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</w:tr>
  </w:tbl>
  <w:p w14:paraId="2E6AD34D" w14:textId="77777777" w:rsidR="008C5119" w:rsidRDefault="008C5119" w:rsidP="008C511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6BCD6A87" wp14:editId="427C9B01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902A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4BF6C" w14:textId="77777777" w:rsidR="00E33934" w:rsidRDefault="00E33934" w:rsidP="00AD7D31">
      <w:pPr>
        <w:spacing w:after="0" w:line="240" w:lineRule="auto"/>
      </w:pPr>
      <w:r>
        <w:separator/>
      </w:r>
    </w:p>
  </w:footnote>
  <w:footnote w:type="continuationSeparator" w:id="0">
    <w:p w14:paraId="6FB124B4" w14:textId="77777777" w:rsidR="00E33934" w:rsidRDefault="00E33934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8BDEA" w14:textId="77777777" w:rsidR="004D0BEC" w:rsidRDefault="004D0B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05322" w14:textId="31D261B4" w:rsidR="00AD7D31" w:rsidRDefault="00AD7D31" w:rsidP="007735B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F2B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8AECB90" wp14:editId="74C41F5D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2F41AA3" wp14:editId="09AEAFC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F23A20D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4636585" w14:textId="77777777" w:rsidR="00B90D33" w:rsidRDefault="005071C3" w:rsidP="00B90D33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B90D33">
      <w:rPr>
        <w:rStyle w:val="portfolio1"/>
      </w:rPr>
      <w:br/>
    </w:r>
    <w:r w:rsidR="00B90D33">
      <w:rPr>
        <w:rFonts w:cs="Calibri"/>
        <w:color w:val="000000"/>
      </w:rPr>
      <w:t>Minister for Transport and City Services</w:t>
    </w:r>
    <w:r w:rsidR="00B90D33">
      <w:rPr>
        <w:rFonts w:cs="Calibri"/>
        <w:color w:val="000000"/>
      </w:rPr>
      <w:br/>
      <w:t>Minister for Skills</w:t>
    </w:r>
    <w:r w:rsidR="00B90D33">
      <w:rPr>
        <w:rFonts w:cs="Calibri"/>
        <w:color w:val="000000"/>
      </w:rPr>
      <w:br/>
      <w:t>Special Minister of State</w:t>
    </w:r>
  </w:p>
  <w:p w14:paraId="643A6FA3" w14:textId="77777777" w:rsidR="005071C3" w:rsidRPr="00010CFE" w:rsidRDefault="00B90D33" w:rsidP="00B90D33">
    <w:pPr>
      <w:pStyle w:val="NormalWeb"/>
      <w:spacing w:before="0" w:beforeAutospacing="0" w:after="200" w:afterAutospacing="0"/>
    </w:pPr>
    <w:r w:rsidRPr="007A678C">
      <w:rPr>
        <w:rStyle w:val="portfolio1"/>
      </w:rPr>
      <w:t>Mem</w:t>
    </w:r>
    <w:r>
      <w:t>ber for Murrumbidgee</w:t>
    </w:r>
    <w:r>
      <w:rPr>
        <w:noProof/>
        <w:sz w:val="12"/>
        <w:szCs w:val="20"/>
      </w:rPr>
      <w:t xml:space="preserve"> </w:t>
    </w:r>
    <w:r w:rsidR="005071C3">
      <w:rPr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99AFCC" wp14:editId="5BF9E46C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D8A4B6" id="Straight Connector 10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</w:p>
  <w:p w14:paraId="30D9B5A1" w14:textId="77777777" w:rsidR="00A6097C" w:rsidRPr="00003B4A" w:rsidRDefault="00A6097C" w:rsidP="005071C3">
    <w:pPr>
      <w:pStyle w:val="Portfolios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2D6B"/>
    <w:multiLevelType w:val="hybridMultilevel"/>
    <w:tmpl w:val="2070A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83"/>
    <w:rsid w:val="00003B4A"/>
    <w:rsid w:val="00010CFE"/>
    <w:rsid w:val="000125FC"/>
    <w:rsid w:val="00027AFE"/>
    <w:rsid w:val="0006371F"/>
    <w:rsid w:val="000A4728"/>
    <w:rsid w:val="000C331E"/>
    <w:rsid w:val="000E5993"/>
    <w:rsid w:val="00114883"/>
    <w:rsid w:val="00131016"/>
    <w:rsid w:val="001450DC"/>
    <w:rsid w:val="001804F3"/>
    <w:rsid w:val="001851B2"/>
    <w:rsid w:val="00195EAD"/>
    <w:rsid w:val="001D7389"/>
    <w:rsid w:val="001F109C"/>
    <w:rsid w:val="0021748B"/>
    <w:rsid w:val="00240F3E"/>
    <w:rsid w:val="002450E9"/>
    <w:rsid w:val="00283D3B"/>
    <w:rsid w:val="00290FCA"/>
    <w:rsid w:val="002A686D"/>
    <w:rsid w:val="002D4441"/>
    <w:rsid w:val="002E1D40"/>
    <w:rsid w:val="0031314C"/>
    <w:rsid w:val="00313E4A"/>
    <w:rsid w:val="0036596F"/>
    <w:rsid w:val="003871D9"/>
    <w:rsid w:val="00393CFD"/>
    <w:rsid w:val="003C41F5"/>
    <w:rsid w:val="003E4068"/>
    <w:rsid w:val="0041104E"/>
    <w:rsid w:val="004517FA"/>
    <w:rsid w:val="00471BB4"/>
    <w:rsid w:val="00472453"/>
    <w:rsid w:val="004D0BEC"/>
    <w:rsid w:val="005071C3"/>
    <w:rsid w:val="005318D2"/>
    <w:rsid w:val="005351C5"/>
    <w:rsid w:val="0055749D"/>
    <w:rsid w:val="005A0367"/>
    <w:rsid w:val="005C4787"/>
    <w:rsid w:val="005E7DE1"/>
    <w:rsid w:val="0061634E"/>
    <w:rsid w:val="006205B9"/>
    <w:rsid w:val="0064748B"/>
    <w:rsid w:val="00655CD8"/>
    <w:rsid w:val="00696899"/>
    <w:rsid w:val="006A1B70"/>
    <w:rsid w:val="006C6335"/>
    <w:rsid w:val="006F4E04"/>
    <w:rsid w:val="00712BA7"/>
    <w:rsid w:val="00725519"/>
    <w:rsid w:val="00742013"/>
    <w:rsid w:val="00743F56"/>
    <w:rsid w:val="00751F7B"/>
    <w:rsid w:val="0076461E"/>
    <w:rsid w:val="007735B2"/>
    <w:rsid w:val="00795E1D"/>
    <w:rsid w:val="007B465C"/>
    <w:rsid w:val="007D7FAC"/>
    <w:rsid w:val="007E5E85"/>
    <w:rsid w:val="007F5BA8"/>
    <w:rsid w:val="0080166D"/>
    <w:rsid w:val="00806ACB"/>
    <w:rsid w:val="00834846"/>
    <w:rsid w:val="008458E2"/>
    <w:rsid w:val="00855531"/>
    <w:rsid w:val="008A04F4"/>
    <w:rsid w:val="008C5119"/>
    <w:rsid w:val="008D15E5"/>
    <w:rsid w:val="008D37E0"/>
    <w:rsid w:val="008F4151"/>
    <w:rsid w:val="00905F4F"/>
    <w:rsid w:val="009177EE"/>
    <w:rsid w:val="00931CB2"/>
    <w:rsid w:val="009504A6"/>
    <w:rsid w:val="009B6D21"/>
    <w:rsid w:val="009C2877"/>
    <w:rsid w:val="00A031A0"/>
    <w:rsid w:val="00A2718B"/>
    <w:rsid w:val="00A43299"/>
    <w:rsid w:val="00A6097C"/>
    <w:rsid w:val="00AD7D31"/>
    <w:rsid w:val="00AF08DA"/>
    <w:rsid w:val="00AF2B15"/>
    <w:rsid w:val="00B478E3"/>
    <w:rsid w:val="00B85096"/>
    <w:rsid w:val="00B90D33"/>
    <w:rsid w:val="00B91F55"/>
    <w:rsid w:val="00B9409B"/>
    <w:rsid w:val="00C04DFF"/>
    <w:rsid w:val="00CA0045"/>
    <w:rsid w:val="00CA4B9B"/>
    <w:rsid w:val="00CD2E0C"/>
    <w:rsid w:val="00D14F83"/>
    <w:rsid w:val="00D47BD2"/>
    <w:rsid w:val="00DC1674"/>
    <w:rsid w:val="00DD4E8C"/>
    <w:rsid w:val="00DD766A"/>
    <w:rsid w:val="00E04FD9"/>
    <w:rsid w:val="00E33934"/>
    <w:rsid w:val="00E80BC3"/>
    <w:rsid w:val="00E8279C"/>
    <w:rsid w:val="00E917C0"/>
    <w:rsid w:val="00EA7B1C"/>
    <w:rsid w:val="00EB388C"/>
    <w:rsid w:val="00ED5634"/>
    <w:rsid w:val="00EE6CA3"/>
    <w:rsid w:val="00EF0A8B"/>
    <w:rsid w:val="00F14007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57AAD2"/>
  <w15:chartTrackingRefBased/>
  <w15:docId w15:val="{8F5D8852-704D-4FCB-A593-9117AF4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010CF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010CFE"/>
  </w:style>
  <w:style w:type="character" w:customStyle="1" w:styleId="minister1">
    <w:name w:val="minister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42"/>
      <w:szCs w:val="42"/>
    </w:rPr>
  </w:style>
  <w:style w:type="character" w:customStyle="1" w:styleId="mla1">
    <w:name w:val="mla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78E3"/>
    <w:rPr>
      <w:color w:val="808080"/>
    </w:rPr>
  </w:style>
  <w:style w:type="paragraph" w:styleId="ListParagraph">
    <w:name w:val="List Paragraph"/>
    <w:basedOn w:val="Normal"/>
    <w:uiPriority w:val="34"/>
    <w:qFormat/>
    <w:rsid w:val="007E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Bourne\Downloads\ChrisSteel-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f6c841be-bb08-4901-87b0-0033aa80d2c6"/>
    <ds:schemaRef ds:uri="4d47241e-7224-40da-83d9-1113ff4a4334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EDF69-DA19-4AB0-A341-ADAE9E85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1708E-3F71-4755-BB0C-61789362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ChrisSteel-Letterhead (2).dotx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Shannon, Anne</cp:lastModifiedBy>
  <cp:revision>3</cp:revision>
  <cp:lastPrinted>2021-11-25T03:21:00Z</cp:lastPrinted>
  <dcterms:created xsi:type="dcterms:W3CDTF">2021-12-01T03:10:00Z</dcterms:created>
  <dcterms:modified xsi:type="dcterms:W3CDTF">2021-12-01T03:11:00Z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Objective-Id">
    <vt:lpwstr>A31851984</vt:lpwstr>
  </property>
  <property fmtid="{D5CDD505-2E9C-101B-9397-08002B2CF9AE}" pid="4" name="Objective-Title">
    <vt:lpwstr>Attachment B - Scrutiny Response - MIN S2021/01788</vt:lpwstr>
  </property>
  <property fmtid="{D5CDD505-2E9C-101B-9397-08002B2CF9AE}" pid="5" name="Objective-Comment">
    <vt:lpwstr/>
  </property>
  <property fmtid="{D5CDD505-2E9C-101B-9397-08002B2CF9AE}" pid="6" name="Objective-CreationStamp">
    <vt:filetime>2021-11-22T00:34:22Z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2021-11-23T05:12:16Z</vt:filetime>
  </property>
  <property fmtid="{D5CDD505-2E9C-101B-9397-08002B2CF9AE}" pid="10" name="Objective-ModificationStamp">
    <vt:filetime>2021-11-25T02:51:37Z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Brief:TCBS - MIN S2021/01788 - Response to Scrutiny Report 11 - Road Transport - Disallowable Instruments - Mini</vt:lpwstr>
  </property>
  <property fmtid="{D5CDD505-2E9C-101B-9397-08002B2CF9AE}" pid="13" name="Objective-Parent">
    <vt:lpwstr>TCBS - MIN S2021/01788 - Response to Scrutiny Report 11 - Road Transport - Disallowable Instruments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qA734792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M Author">
    <vt:lpwstr/>
  </property>
  <property fmtid="{D5CDD505-2E9C-101B-9397-08002B2CF9AE}" pid="31" name="Objective-OM Author Organisation">
    <vt:lpwstr/>
  </property>
  <property fmtid="{D5CDD505-2E9C-101B-9397-08002B2CF9AE}" pid="32" name="Objective-OM Author Type">
    <vt:lpwstr/>
  </property>
  <property fmtid="{D5CDD505-2E9C-101B-9397-08002B2CF9AE}" pid="33" name="Objective-OM Date Received">
    <vt:lpwstr/>
  </property>
  <property fmtid="{D5CDD505-2E9C-101B-9397-08002B2CF9AE}" pid="34" name="Objective-OM Date of Document">
    <vt:lpwstr/>
  </property>
  <property fmtid="{D5CDD505-2E9C-101B-9397-08002B2CF9AE}" pid="35" name="Objective-OM External Reference">
    <vt:lpwstr/>
  </property>
  <property fmtid="{D5CDD505-2E9C-101B-9397-08002B2CF9AE}" pid="36" name="Objective-OM Reference">
    <vt:lpwstr/>
  </property>
  <property fmtid="{D5CDD505-2E9C-101B-9397-08002B2CF9AE}" pid="37" name="Objective-OM Topic">
    <vt:lpwstr/>
  </property>
  <property fmtid="{D5CDD505-2E9C-101B-9397-08002B2CF9AE}" pid="38" name="Objective-Suburb">
    <vt:lpwstr/>
  </property>
</Properties>
</file>