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D1B" w:rsidRPr="00D87D1B" w:rsidRDefault="00D87D1B" w:rsidP="00D87D1B">
      <w:pPr>
        <w:jc w:val="center"/>
        <w:rPr>
          <w:rFonts w:ascii="Times New Roman" w:hAnsi="Times New Roman"/>
          <w:b/>
          <w:bCs/>
          <w:lang w:val="en-AU"/>
        </w:rPr>
      </w:pPr>
      <w:r w:rsidRPr="00D87D1B">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D87D1B" w:rsidRPr="00D87D1B" w:rsidRDefault="00D87D1B" w:rsidP="00D87D1B">
      <w:pPr>
        <w:keepNext/>
        <w:keepLines/>
        <w:spacing w:before="320"/>
        <w:jc w:val="center"/>
        <w:rPr>
          <w:rFonts w:ascii="Calibri" w:hAnsi="Calibri"/>
          <w:b/>
          <w:bCs/>
          <w:sz w:val="32"/>
          <w:szCs w:val="32"/>
          <w:lang w:val="en-AU"/>
        </w:rPr>
      </w:pPr>
      <w:r w:rsidRPr="00D87D1B">
        <w:rPr>
          <w:rFonts w:ascii="Calibri" w:hAnsi="Calibri"/>
          <w:b/>
          <w:bCs/>
          <w:sz w:val="32"/>
          <w:szCs w:val="32"/>
          <w:lang w:val="en-AU"/>
        </w:rPr>
        <w:t>LEGISLATIVE ASSEMBLY FOR THE</w:t>
      </w:r>
    </w:p>
    <w:p w:rsidR="00D87D1B" w:rsidRPr="00D87D1B" w:rsidRDefault="00D87D1B" w:rsidP="00D87D1B">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D87D1B">
            <w:rPr>
              <w:rFonts w:ascii="Calibri" w:hAnsi="Calibri"/>
              <w:b/>
              <w:bCs/>
              <w:sz w:val="32"/>
              <w:szCs w:val="32"/>
              <w:lang w:val="en-AU"/>
            </w:rPr>
            <w:t>AUSTRALIAN CAPITAL TERRITORY</w:t>
          </w:r>
        </w:smartTag>
      </w:smartTag>
    </w:p>
    <w:p w:rsidR="00D87D1B" w:rsidRPr="00D87D1B" w:rsidRDefault="00D87D1B" w:rsidP="00D87D1B">
      <w:pPr>
        <w:spacing w:before="360"/>
        <w:jc w:val="center"/>
        <w:rPr>
          <w:rFonts w:ascii="Calibri" w:hAnsi="Calibri"/>
          <w:b/>
          <w:sz w:val="28"/>
          <w:szCs w:val="28"/>
        </w:rPr>
      </w:pPr>
      <w:r w:rsidRPr="00D87D1B">
        <w:rPr>
          <w:rFonts w:ascii="Calibri" w:hAnsi="Calibri"/>
          <w:b/>
          <w:sz w:val="28"/>
          <w:szCs w:val="28"/>
        </w:rPr>
        <w:t>2020–2021</w:t>
      </w:r>
    </w:p>
    <w:p w:rsidR="00D87D1B" w:rsidRPr="00D87D1B" w:rsidRDefault="00D87D1B" w:rsidP="00D87D1B">
      <w:pPr>
        <w:keepNext/>
        <w:keepLines/>
        <w:spacing w:before="360"/>
        <w:jc w:val="center"/>
        <w:rPr>
          <w:rFonts w:ascii="Calibri" w:hAnsi="Calibri"/>
          <w:b/>
          <w:sz w:val="40"/>
          <w:szCs w:val="40"/>
          <w:lang w:val="en-AU"/>
        </w:rPr>
      </w:pPr>
      <w:r w:rsidRPr="00D87D1B">
        <w:rPr>
          <w:rFonts w:ascii="Calibri" w:hAnsi="Calibri"/>
          <w:b/>
          <w:sz w:val="40"/>
          <w:szCs w:val="40"/>
          <w:lang w:val="en-AU"/>
        </w:rPr>
        <w:t>MINUTES OF PROCEEDINGS</w:t>
      </w:r>
    </w:p>
    <w:p w:rsidR="00D87D1B" w:rsidRPr="00D87D1B" w:rsidRDefault="00D87D1B" w:rsidP="00D87D1B">
      <w:pPr>
        <w:spacing w:before="360"/>
        <w:jc w:val="center"/>
        <w:rPr>
          <w:rFonts w:ascii="Calibri" w:hAnsi="Calibri"/>
          <w:b/>
          <w:sz w:val="28"/>
          <w:szCs w:val="28"/>
        </w:rPr>
      </w:pPr>
      <w:r w:rsidRPr="00D87D1B">
        <w:rPr>
          <w:rFonts w:ascii="Calibri" w:hAnsi="Calibri"/>
          <w:b/>
          <w:sz w:val="28"/>
          <w:szCs w:val="28"/>
        </w:rPr>
        <w:t xml:space="preserve">No </w:t>
      </w:r>
      <w:r>
        <w:rPr>
          <w:rFonts w:ascii="Calibri" w:hAnsi="Calibri"/>
          <w:b/>
          <w:sz w:val="28"/>
          <w:szCs w:val="28"/>
        </w:rPr>
        <w:t>26</w:t>
      </w:r>
    </w:p>
    <w:p w:rsidR="00D87D1B" w:rsidRPr="00D87D1B" w:rsidRDefault="00012BC3" w:rsidP="00D87D1B">
      <w:pPr>
        <w:keepNext/>
        <w:keepLines/>
        <w:spacing w:before="360"/>
        <w:jc w:val="center"/>
        <w:rPr>
          <w:rFonts w:ascii="Calibri" w:hAnsi="Calibri"/>
          <w:b/>
          <w:bCs/>
          <w:caps/>
          <w:sz w:val="28"/>
          <w:szCs w:val="28"/>
          <w:lang w:val="en-AU"/>
        </w:rPr>
      </w:pPr>
      <w:hyperlink r:id="rId10" w:history="1">
        <w:r w:rsidR="00D87D1B" w:rsidRPr="00892426">
          <w:rPr>
            <w:rStyle w:val="Hyperlink"/>
            <w:rFonts w:ascii="Calibri" w:hAnsi="Calibri"/>
            <w:b/>
            <w:bCs/>
            <w:caps/>
            <w:sz w:val="28"/>
            <w:szCs w:val="28"/>
            <w:lang w:val="en-AU"/>
          </w:rPr>
          <w:t>Thursday, 7 October 2021</w:t>
        </w:r>
      </w:hyperlink>
    </w:p>
    <w:tbl>
      <w:tblPr>
        <w:tblW w:w="0" w:type="auto"/>
        <w:jc w:val="center"/>
        <w:tblLayout w:type="fixed"/>
        <w:tblLook w:val="0000" w:firstRow="0" w:lastRow="0" w:firstColumn="0" w:lastColumn="0" w:noHBand="0" w:noVBand="0"/>
      </w:tblPr>
      <w:tblGrid>
        <w:gridCol w:w="2452"/>
      </w:tblGrid>
      <w:tr w:rsidR="00D87D1B" w:rsidRPr="00D87D1B" w:rsidTr="00696898">
        <w:trPr>
          <w:trHeight w:hRule="exact" w:val="333"/>
          <w:jc w:val="center"/>
        </w:trPr>
        <w:tc>
          <w:tcPr>
            <w:tcW w:w="2452" w:type="dxa"/>
          </w:tcPr>
          <w:p w:rsidR="00D87D1B" w:rsidRPr="00D87D1B" w:rsidRDefault="00D87D1B" w:rsidP="00D87D1B">
            <w:pPr>
              <w:rPr>
                <w:rFonts w:ascii="Times New Roman" w:hAnsi="Times New Roman"/>
                <w:color w:val="008000"/>
                <w:sz w:val="16"/>
                <w:lang w:val="en-AU"/>
              </w:rPr>
            </w:pPr>
          </w:p>
        </w:tc>
      </w:tr>
      <w:tr w:rsidR="00D87D1B" w:rsidRPr="00D87D1B" w:rsidTr="00696898">
        <w:trPr>
          <w:trHeight w:hRule="exact" w:val="60"/>
          <w:jc w:val="center"/>
        </w:trPr>
        <w:tc>
          <w:tcPr>
            <w:tcW w:w="2452" w:type="dxa"/>
            <w:tcBorders>
              <w:top w:val="single" w:sz="8" w:space="0" w:color="000000"/>
              <w:bottom w:val="single" w:sz="4" w:space="0" w:color="000000"/>
            </w:tcBorders>
          </w:tcPr>
          <w:p w:rsidR="00D87D1B" w:rsidRPr="00D87D1B" w:rsidRDefault="00D87D1B" w:rsidP="00D87D1B">
            <w:pPr>
              <w:rPr>
                <w:rFonts w:ascii="Times New Roman" w:hAnsi="Times New Roman"/>
                <w:color w:val="008000"/>
                <w:sz w:val="16"/>
                <w:lang w:val="en-AU"/>
              </w:rPr>
            </w:pPr>
          </w:p>
        </w:tc>
      </w:tr>
      <w:tr w:rsidR="00D87D1B" w:rsidRPr="00D87D1B" w:rsidTr="00696898">
        <w:trPr>
          <w:trHeight w:hRule="exact" w:val="200"/>
          <w:jc w:val="center"/>
        </w:trPr>
        <w:tc>
          <w:tcPr>
            <w:tcW w:w="2452" w:type="dxa"/>
          </w:tcPr>
          <w:p w:rsidR="00D87D1B" w:rsidRPr="00D87D1B" w:rsidRDefault="00D87D1B" w:rsidP="00D87D1B">
            <w:pPr>
              <w:rPr>
                <w:rFonts w:ascii="Times New Roman" w:hAnsi="Times New Roman"/>
                <w:color w:val="008000"/>
                <w:sz w:val="16"/>
                <w:lang w:val="en-AU"/>
              </w:rPr>
            </w:pPr>
          </w:p>
        </w:tc>
      </w:tr>
    </w:tbl>
    <w:p w:rsidR="00D87D1B" w:rsidRPr="00D87D1B" w:rsidRDefault="00D87D1B" w:rsidP="00D87D1B">
      <w:pPr>
        <w:keepNext/>
        <w:keepLines/>
        <w:tabs>
          <w:tab w:val="right" w:pos="339"/>
          <w:tab w:val="left" w:pos="720"/>
        </w:tabs>
        <w:spacing w:before="240"/>
        <w:ind w:left="720" w:hanging="720"/>
        <w:jc w:val="both"/>
        <w:rPr>
          <w:rFonts w:ascii="Calibri" w:hAnsi="Calibri"/>
          <w:bCs/>
          <w:lang w:val="en-AU"/>
        </w:rPr>
      </w:pPr>
      <w:r w:rsidRPr="00D87D1B">
        <w:rPr>
          <w:rFonts w:ascii="Calibri" w:hAnsi="Calibri"/>
        </w:rPr>
        <w:tab/>
      </w:r>
      <w:r w:rsidR="00696898">
        <w:rPr>
          <w:rFonts w:ascii="Calibri" w:hAnsi="Calibri"/>
          <w:b/>
          <w:bCs/>
        </w:rPr>
        <w:fldChar w:fldCharType="begin"/>
      </w:r>
      <w:r w:rsidR="00696898">
        <w:rPr>
          <w:rFonts w:ascii="Calibri" w:hAnsi="Calibri"/>
          <w:b/>
          <w:bCs/>
        </w:rPr>
        <w:instrText xml:space="preserve"> SEQ A \* MERGEFORMAT </w:instrText>
      </w:r>
      <w:r w:rsidR="00696898">
        <w:rPr>
          <w:rFonts w:ascii="Calibri" w:hAnsi="Calibri"/>
          <w:b/>
          <w:bCs/>
        </w:rPr>
        <w:fldChar w:fldCharType="separate"/>
      </w:r>
      <w:r w:rsidR="006D30E9">
        <w:rPr>
          <w:rFonts w:ascii="Calibri" w:hAnsi="Calibri"/>
          <w:b/>
          <w:bCs/>
          <w:noProof/>
        </w:rPr>
        <w:t>1</w:t>
      </w:r>
      <w:r w:rsidR="00696898">
        <w:rPr>
          <w:rFonts w:ascii="Calibri" w:hAnsi="Calibri"/>
          <w:b/>
          <w:bCs/>
        </w:rPr>
        <w:fldChar w:fldCharType="end"/>
      </w:r>
      <w:r w:rsidRPr="00D87D1B">
        <w:rPr>
          <w:rFonts w:ascii="Calibri" w:hAnsi="Calibri"/>
        </w:rPr>
        <w:tab/>
      </w:r>
      <w:r w:rsidRPr="00D87D1B">
        <w:rPr>
          <w:rFonts w:ascii="Calibri" w:hAnsi="Calibri"/>
          <w:bCs/>
          <w:lang w:val="en-AU"/>
        </w:rPr>
        <w:t xml:space="preserve">The Assembly met at 10 am, pursuant to adjournment.  The Speaker </w:t>
      </w:r>
      <w:r w:rsidRPr="00D87D1B">
        <w:rPr>
          <w:rFonts w:ascii="Calibri" w:hAnsi="Calibri"/>
          <w:bCs/>
        </w:rPr>
        <w:t>(</w:t>
      </w:r>
      <w:r>
        <w:rPr>
          <w:rFonts w:ascii="Calibri" w:hAnsi="Calibri"/>
          <w:bCs/>
        </w:rPr>
        <w:t>Ms Burch</w:t>
      </w:r>
      <w:r w:rsidRPr="00D87D1B">
        <w:rPr>
          <w:rFonts w:ascii="Calibri" w:hAnsi="Calibri"/>
          <w:bCs/>
        </w:rPr>
        <w:t>)</w:t>
      </w:r>
      <w:r w:rsidRPr="00D87D1B">
        <w:rPr>
          <w:rFonts w:ascii="Calibri" w:hAnsi="Calibri"/>
          <w:bCs/>
          <w:lang w:val="en-AU"/>
        </w:rPr>
        <w:t xml:space="preserve"> took the Chair and made the following acknowledgement of country in the Ngunnawal language:</w:t>
      </w:r>
    </w:p>
    <w:p w:rsidR="00D87D1B" w:rsidRPr="00D87D1B" w:rsidRDefault="00D87D1B" w:rsidP="00D87D1B">
      <w:pPr>
        <w:spacing w:before="120"/>
        <w:ind w:left="864"/>
        <w:jc w:val="both"/>
        <w:rPr>
          <w:rFonts w:ascii="Calibri" w:hAnsi="Calibri"/>
          <w:lang w:val="en-AU"/>
        </w:rPr>
      </w:pPr>
      <w:r w:rsidRPr="00D87D1B">
        <w:rPr>
          <w:rFonts w:ascii="Calibri" w:hAnsi="Calibri"/>
          <w:lang w:val="en-AU"/>
        </w:rPr>
        <w:t>Dhawura nguna, dhawura Ngunnawal.</w:t>
      </w:r>
    </w:p>
    <w:p w:rsidR="00D87D1B" w:rsidRPr="00D87D1B" w:rsidRDefault="00D87D1B" w:rsidP="00D87D1B">
      <w:pPr>
        <w:spacing w:before="40"/>
        <w:ind w:left="864"/>
        <w:jc w:val="both"/>
        <w:rPr>
          <w:rFonts w:ascii="Calibri" w:hAnsi="Calibri"/>
          <w:lang w:val="en-AU"/>
        </w:rPr>
      </w:pPr>
      <w:r w:rsidRPr="00D87D1B">
        <w:rPr>
          <w:rFonts w:ascii="Calibri" w:hAnsi="Calibri"/>
          <w:lang w:val="en-AU"/>
        </w:rPr>
        <w:t>Yanggu ngalawiri, dhunimanyin Ngunnawalwari dhawurawari.</w:t>
      </w:r>
    </w:p>
    <w:p w:rsidR="00D87D1B" w:rsidRPr="00D87D1B" w:rsidRDefault="00D87D1B" w:rsidP="00D87D1B">
      <w:pPr>
        <w:spacing w:before="40"/>
        <w:ind w:left="864"/>
        <w:jc w:val="both"/>
        <w:rPr>
          <w:rFonts w:ascii="Calibri" w:hAnsi="Calibri"/>
          <w:lang w:val="en-AU"/>
        </w:rPr>
      </w:pPr>
      <w:r w:rsidRPr="00D87D1B">
        <w:rPr>
          <w:rFonts w:ascii="Calibri" w:hAnsi="Calibri"/>
          <w:lang w:val="en-AU"/>
        </w:rPr>
        <w:t>Nginggada Dindi dhawura Ngunnaawalbun yindjumaralidjinyin.</w:t>
      </w:r>
    </w:p>
    <w:p w:rsidR="00D87D1B" w:rsidRPr="00D87D1B" w:rsidRDefault="00D87D1B" w:rsidP="00D87D1B">
      <w:pPr>
        <w:spacing w:before="120"/>
        <w:ind w:left="864"/>
        <w:jc w:val="both"/>
        <w:rPr>
          <w:rFonts w:ascii="Calibri" w:hAnsi="Calibri"/>
          <w:i/>
          <w:lang w:val="en-AU"/>
        </w:rPr>
      </w:pPr>
      <w:r w:rsidRPr="00D87D1B">
        <w:rPr>
          <w:rFonts w:ascii="Calibri" w:hAnsi="Calibri"/>
          <w:i/>
          <w:lang w:val="en-AU"/>
        </w:rPr>
        <w:t>This is Ngunnawal Country.</w:t>
      </w:r>
    </w:p>
    <w:p w:rsidR="00D87D1B" w:rsidRPr="00D87D1B" w:rsidRDefault="00D87D1B" w:rsidP="00D87D1B">
      <w:pPr>
        <w:spacing w:before="40"/>
        <w:ind w:left="864"/>
        <w:jc w:val="both"/>
        <w:rPr>
          <w:rFonts w:ascii="Calibri" w:hAnsi="Calibri"/>
          <w:i/>
          <w:lang w:val="en-AU"/>
        </w:rPr>
      </w:pPr>
      <w:r w:rsidRPr="00D87D1B">
        <w:rPr>
          <w:rFonts w:ascii="Calibri" w:hAnsi="Calibri"/>
          <w:i/>
          <w:lang w:val="en-AU"/>
        </w:rPr>
        <w:t>Today we are gathering on Ngunnawal country.</w:t>
      </w:r>
    </w:p>
    <w:p w:rsidR="00D87D1B" w:rsidRPr="00D87D1B" w:rsidRDefault="00D87D1B" w:rsidP="00D87D1B">
      <w:pPr>
        <w:spacing w:before="40"/>
        <w:ind w:left="864"/>
        <w:jc w:val="both"/>
        <w:rPr>
          <w:rFonts w:ascii="Calibri" w:hAnsi="Calibri"/>
          <w:i/>
          <w:lang w:val="en-AU"/>
        </w:rPr>
      </w:pPr>
      <w:r w:rsidRPr="00D87D1B">
        <w:rPr>
          <w:rFonts w:ascii="Calibri" w:hAnsi="Calibri"/>
          <w:i/>
          <w:lang w:val="en-AU"/>
        </w:rPr>
        <w:t>We always pay respect to Elders, female and male, and Ngunnawal country.</w:t>
      </w:r>
    </w:p>
    <w:p w:rsidR="00D87D1B" w:rsidRPr="00D87D1B" w:rsidRDefault="00D87D1B" w:rsidP="00D87D1B">
      <w:pPr>
        <w:spacing w:before="120"/>
        <w:ind w:left="720"/>
        <w:jc w:val="both"/>
        <w:rPr>
          <w:rFonts w:ascii="Calibri" w:hAnsi="Calibri"/>
          <w:lang w:val="en-AU"/>
        </w:rPr>
      </w:pPr>
      <w:r w:rsidRPr="00D87D1B">
        <w:rPr>
          <w:rFonts w:ascii="Calibri" w:hAnsi="Calibri"/>
          <w:lang w:val="en-AU"/>
        </w:rPr>
        <w:t>The Speaker asked Members to stand in silence and pray or reflect on their responsibilities to the people of the Australian Capital Territory.</w:t>
      </w:r>
    </w:p>
    <w:p w:rsidR="00AA2F8E" w:rsidRPr="00AA2F8E" w:rsidRDefault="00AA2F8E" w:rsidP="00AA2F8E">
      <w:pPr>
        <w:keepNext/>
        <w:keepLines/>
        <w:tabs>
          <w:tab w:val="right" w:pos="339"/>
          <w:tab w:val="left" w:pos="720"/>
        </w:tabs>
        <w:spacing w:before="240"/>
        <w:ind w:left="720" w:hanging="720"/>
        <w:rPr>
          <w:rFonts w:ascii="Calibri" w:hAnsi="Calibri"/>
          <w:b/>
          <w:caps/>
        </w:rPr>
      </w:pPr>
      <w:r w:rsidRPr="00AA2F8E">
        <w:rPr>
          <w:rFonts w:ascii="Calibri" w:hAnsi="Calibri"/>
          <w:b/>
          <w:caps/>
        </w:rPr>
        <w:tab/>
      </w:r>
      <w:r w:rsidR="00696898">
        <w:rPr>
          <w:rFonts w:ascii="Calibri" w:hAnsi="Calibri"/>
          <w:b/>
          <w:bCs/>
          <w:caps/>
        </w:rPr>
        <w:fldChar w:fldCharType="begin"/>
      </w:r>
      <w:r w:rsidR="00696898">
        <w:rPr>
          <w:rFonts w:ascii="Calibri" w:hAnsi="Calibri"/>
          <w:b/>
          <w:bCs/>
          <w:caps/>
        </w:rPr>
        <w:instrText xml:space="preserve"> SEQ A \* MERGEFORMAT </w:instrText>
      </w:r>
      <w:r w:rsidR="00696898">
        <w:rPr>
          <w:rFonts w:ascii="Calibri" w:hAnsi="Calibri"/>
          <w:b/>
          <w:bCs/>
          <w:caps/>
        </w:rPr>
        <w:fldChar w:fldCharType="separate"/>
      </w:r>
      <w:r w:rsidR="006D30E9">
        <w:rPr>
          <w:rFonts w:ascii="Calibri" w:hAnsi="Calibri"/>
          <w:b/>
          <w:bCs/>
          <w:caps/>
          <w:noProof/>
        </w:rPr>
        <w:t>2</w:t>
      </w:r>
      <w:r w:rsidR="00696898">
        <w:rPr>
          <w:rFonts w:ascii="Calibri" w:hAnsi="Calibri"/>
          <w:b/>
          <w:bCs/>
          <w:caps/>
        </w:rPr>
        <w:fldChar w:fldCharType="end"/>
      </w:r>
      <w:r w:rsidRPr="00AA2F8E">
        <w:rPr>
          <w:rFonts w:ascii="Calibri" w:hAnsi="Calibri"/>
          <w:b/>
          <w:caps/>
        </w:rPr>
        <w:tab/>
        <w:t>LEAVE OF ABSENCE TO MEMBER</w:t>
      </w:r>
    </w:p>
    <w:p w:rsidR="00AA2F8E" w:rsidRPr="00AA2F8E" w:rsidRDefault="00AA2F8E" w:rsidP="00AA2F8E">
      <w:pPr>
        <w:tabs>
          <w:tab w:val="left" w:pos="1197"/>
          <w:tab w:val="left" w:pos="1767"/>
        </w:tabs>
        <w:spacing w:before="120"/>
        <w:ind w:left="720"/>
        <w:rPr>
          <w:rFonts w:ascii="Calibri" w:hAnsi="Calibri"/>
          <w:lang w:val="en-AU"/>
        </w:rPr>
      </w:pPr>
      <w:r>
        <w:rPr>
          <w:rFonts w:ascii="Calibri" w:hAnsi="Calibri"/>
          <w:lang w:val="en-AU"/>
        </w:rPr>
        <w:t>Mr Hanson</w:t>
      </w:r>
      <w:r w:rsidRPr="00AA2F8E">
        <w:rPr>
          <w:rFonts w:ascii="Calibri" w:hAnsi="Calibri"/>
          <w:lang w:val="en-AU"/>
        </w:rPr>
        <w:t xml:space="preserve"> moved—That leave of absence be granted to </w:t>
      </w:r>
      <w:r>
        <w:rPr>
          <w:rFonts w:ascii="Calibri" w:hAnsi="Calibri"/>
          <w:lang w:val="en-AU"/>
        </w:rPr>
        <w:t>Mr Milligan</w:t>
      </w:r>
      <w:r w:rsidRPr="00AA2F8E">
        <w:rPr>
          <w:rFonts w:ascii="Calibri" w:hAnsi="Calibri"/>
          <w:lang w:val="en-AU"/>
        </w:rPr>
        <w:t xml:space="preserve"> for </w:t>
      </w:r>
      <w:r w:rsidR="00D652DF">
        <w:rPr>
          <w:rFonts w:ascii="Calibri" w:hAnsi="Calibri"/>
          <w:lang w:val="en-AU"/>
        </w:rPr>
        <w:t>today</w:t>
      </w:r>
      <w:r w:rsidR="00696898">
        <w:rPr>
          <w:rFonts w:ascii="Calibri" w:hAnsi="Calibri"/>
          <w:lang w:val="en-AU"/>
        </w:rPr>
        <w:t>’</w:t>
      </w:r>
      <w:r w:rsidR="00D652DF">
        <w:rPr>
          <w:rFonts w:ascii="Calibri" w:hAnsi="Calibri"/>
          <w:lang w:val="en-AU"/>
        </w:rPr>
        <w:t>s</w:t>
      </w:r>
      <w:r w:rsidRPr="00AA2F8E">
        <w:rPr>
          <w:rFonts w:ascii="Calibri" w:hAnsi="Calibri"/>
          <w:lang w:val="en-AU"/>
        </w:rPr>
        <w:t xml:space="preserve"> sitting </w:t>
      </w:r>
      <w:r w:rsidR="00D652DF">
        <w:rPr>
          <w:rFonts w:ascii="Calibri" w:hAnsi="Calibri"/>
          <w:lang w:val="en-AU"/>
        </w:rPr>
        <w:t>for</w:t>
      </w:r>
      <w:r w:rsidRPr="00AA2F8E">
        <w:rPr>
          <w:rFonts w:ascii="Calibri" w:hAnsi="Calibri"/>
          <w:lang w:val="en-AU"/>
        </w:rPr>
        <w:t xml:space="preserve"> </w:t>
      </w:r>
      <w:r>
        <w:rPr>
          <w:rFonts w:ascii="Calibri" w:hAnsi="Calibri"/>
          <w:lang w:val="en-AU"/>
        </w:rPr>
        <w:t>personal reasons</w:t>
      </w:r>
      <w:r w:rsidRPr="00AA2F8E">
        <w:rPr>
          <w:rFonts w:ascii="Calibri" w:hAnsi="Calibri"/>
          <w:lang w:val="en-AU"/>
        </w:rPr>
        <w:t>.</w:t>
      </w:r>
    </w:p>
    <w:p w:rsidR="00AA2F8E" w:rsidRPr="00AA2F8E" w:rsidRDefault="00AA2F8E" w:rsidP="00AA2F8E">
      <w:pPr>
        <w:tabs>
          <w:tab w:val="left" w:pos="1197"/>
          <w:tab w:val="left" w:pos="1767"/>
        </w:tabs>
        <w:spacing w:before="120"/>
        <w:ind w:left="720"/>
        <w:rPr>
          <w:rFonts w:ascii="Calibri" w:hAnsi="Calibri"/>
          <w:lang w:val="en-AU"/>
        </w:rPr>
      </w:pPr>
      <w:r w:rsidRPr="00AA2F8E">
        <w:rPr>
          <w:rFonts w:ascii="Calibri" w:hAnsi="Calibri"/>
          <w:lang w:val="en-AU"/>
        </w:rPr>
        <w:t>Question—put and passed.</w:t>
      </w:r>
    </w:p>
    <w:p w:rsidR="005B79F7" w:rsidRPr="00A5313A" w:rsidRDefault="005B79F7" w:rsidP="005B79F7">
      <w:pPr>
        <w:keepNext/>
        <w:keepLines/>
        <w:tabs>
          <w:tab w:val="right" w:pos="339"/>
          <w:tab w:val="left" w:pos="720"/>
        </w:tabs>
        <w:spacing w:before="240"/>
        <w:ind w:left="720" w:hanging="720"/>
        <w:rPr>
          <w:rFonts w:ascii="Calibri" w:hAnsi="Calibri"/>
          <w:b/>
          <w:lang w:val="en-AU"/>
        </w:rPr>
      </w:pPr>
      <w:r w:rsidRPr="00A5313A">
        <w:rPr>
          <w:rFonts w:ascii="Calibri" w:hAnsi="Calibri"/>
          <w:b/>
          <w:lang w:val="en-AU"/>
        </w:rPr>
        <w:tab/>
      </w:r>
      <w:r w:rsidR="00696898">
        <w:rPr>
          <w:rFonts w:ascii="Calibri" w:hAnsi="Calibri"/>
          <w:b/>
          <w:bCs/>
          <w:lang w:val="en-AU"/>
        </w:rPr>
        <w:fldChar w:fldCharType="begin"/>
      </w:r>
      <w:r w:rsidR="00696898">
        <w:rPr>
          <w:rFonts w:ascii="Calibri" w:hAnsi="Calibri"/>
          <w:b/>
          <w:bCs/>
          <w:lang w:val="en-AU"/>
        </w:rPr>
        <w:instrText xml:space="preserve"> SEQ A \* MERGEFORMAT </w:instrText>
      </w:r>
      <w:r w:rsidR="00696898">
        <w:rPr>
          <w:rFonts w:ascii="Calibri" w:hAnsi="Calibri"/>
          <w:b/>
          <w:bCs/>
          <w:lang w:val="en-AU"/>
        </w:rPr>
        <w:fldChar w:fldCharType="separate"/>
      </w:r>
      <w:r w:rsidR="006D30E9">
        <w:rPr>
          <w:rFonts w:ascii="Calibri" w:hAnsi="Calibri"/>
          <w:b/>
          <w:bCs/>
          <w:noProof/>
          <w:lang w:val="en-AU"/>
        </w:rPr>
        <w:t>3</w:t>
      </w:r>
      <w:r w:rsidR="00696898">
        <w:rPr>
          <w:rFonts w:ascii="Calibri" w:hAnsi="Calibri"/>
          <w:b/>
          <w:bCs/>
          <w:lang w:val="en-AU"/>
        </w:rPr>
        <w:fldChar w:fldCharType="end"/>
      </w:r>
      <w:r w:rsidRPr="00A5313A">
        <w:rPr>
          <w:rFonts w:ascii="Calibri" w:hAnsi="Calibri"/>
          <w:b/>
          <w:lang w:val="en-AU"/>
        </w:rPr>
        <w:tab/>
      </w:r>
      <w:r>
        <w:rPr>
          <w:rFonts w:ascii="Calibri" w:hAnsi="Calibri"/>
          <w:b/>
          <w:caps/>
          <w:lang w:val="en-AU"/>
        </w:rPr>
        <w:t>Automated vehicles</w:t>
      </w:r>
      <w:r w:rsidRPr="00A5313A">
        <w:rPr>
          <w:rFonts w:ascii="Calibri" w:hAnsi="Calibri"/>
          <w:b/>
          <w:caps/>
          <w:lang w:val="en-AU"/>
        </w:rPr>
        <w:t>—MINISTERIAL STATEMENT—PAPER NOTED</w:t>
      </w:r>
    </w:p>
    <w:p w:rsidR="005B79F7" w:rsidRPr="00A5313A" w:rsidRDefault="005B79F7" w:rsidP="005B79F7">
      <w:pPr>
        <w:spacing w:before="120"/>
        <w:ind w:left="720"/>
        <w:rPr>
          <w:rFonts w:ascii="Calibri" w:hAnsi="Calibri"/>
          <w:lang w:val="en-AU"/>
        </w:rPr>
      </w:pPr>
      <w:r>
        <w:rPr>
          <w:rFonts w:ascii="Calibri" w:hAnsi="Calibri"/>
          <w:lang w:val="en-AU"/>
        </w:rPr>
        <w:t>Mr Steel (Minister for Transport and City Services)</w:t>
      </w:r>
      <w:r w:rsidRPr="00A5313A">
        <w:rPr>
          <w:rFonts w:ascii="Calibri" w:hAnsi="Calibri"/>
          <w:lang w:val="en-AU"/>
        </w:rPr>
        <w:t xml:space="preserve"> made a ministerial statement concerning </w:t>
      </w:r>
      <w:r w:rsidR="00E5762D">
        <w:rPr>
          <w:rFonts w:ascii="Calibri" w:hAnsi="Calibri"/>
          <w:lang w:val="en-AU"/>
        </w:rPr>
        <w:t>a</w:t>
      </w:r>
      <w:r>
        <w:rPr>
          <w:rFonts w:ascii="Calibri" w:hAnsi="Calibri"/>
          <w:lang w:val="en-AU"/>
        </w:rPr>
        <w:t>utomated vehicles</w:t>
      </w:r>
      <w:r w:rsidRPr="00A5313A">
        <w:rPr>
          <w:rFonts w:ascii="Calibri" w:hAnsi="Calibri"/>
          <w:lang w:val="en-AU"/>
        </w:rPr>
        <w:t xml:space="preserve"> and presented the following paper:</w:t>
      </w:r>
    </w:p>
    <w:p w:rsidR="005B79F7" w:rsidRPr="00A5313A" w:rsidRDefault="005B79F7" w:rsidP="005B79F7">
      <w:pPr>
        <w:spacing w:before="120"/>
        <w:ind w:left="720"/>
        <w:rPr>
          <w:rFonts w:ascii="Calibri" w:hAnsi="Calibri"/>
          <w:lang w:val="en-AU"/>
        </w:rPr>
      </w:pPr>
      <w:r>
        <w:rPr>
          <w:rFonts w:ascii="Calibri" w:hAnsi="Calibri"/>
          <w:lang w:val="en-AU"/>
        </w:rPr>
        <w:t>Automated vehicles</w:t>
      </w:r>
      <w:r w:rsidRPr="00A5313A">
        <w:rPr>
          <w:rFonts w:ascii="Calibri" w:hAnsi="Calibri"/>
          <w:lang w:val="en-AU"/>
        </w:rPr>
        <w:t xml:space="preserve">—Ministerial statement, </w:t>
      </w:r>
      <w:r>
        <w:rPr>
          <w:rFonts w:ascii="Calibri" w:hAnsi="Calibri"/>
          <w:lang w:val="en-AU"/>
        </w:rPr>
        <w:t>7 October 2021</w:t>
      </w:r>
      <w:r w:rsidRPr="00A5313A">
        <w:rPr>
          <w:rFonts w:ascii="Calibri" w:hAnsi="Calibri"/>
          <w:lang w:val="en-AU"/>
        </w:rPr>
        <w:t>.</w:t>
      </w:r>
    </w:p>
    <w:p w:rsidR="005B79F7" w:rsidRPr="00A5313A" w:rsidRDefault="005B79F7" w:rsidP="005B79F7">
      <w:pPr>
        <w:spacing w:before="120"/>
        <w:ind w:left="720"/>
        <w:rPr>
          <w:rFonts w:ascii="Calibri" w:hAnsi="Calibri"/>
          <w:lang w:val="en-AU"/>
        </w:rPr>
      </w:pPr>
      <w:r>
        <w:rPr>
          <w:rFonts w:ascii="Calibri" w:hAnsi="Calibri"/>
          <w:lang w:val="en-AU"/>
        </w:rPr>
        <w:t>Mr Steel</w:t>
      </w:r>
      <w:r w:rsidRPr="00A5313A">
        <w:rPr>
          <w:rFonts w:ascii="Calibri" w:hAnsi="Calibri"/>
          <w:lang w:val="en-AU"/>
        </w:rPr>
        <w:t xml:space="preserve"> moved—That the Assembly take note of the paper.</w:t>
      </w:r>
    </w:p>
    <w:p w:rsidR="005B79F7" w:rsidRPr="00A5313A" w:rsidRDefault="005B79F7" w:rsidP="005B79F7">
      <w:pPr>
        <w:spacing w:before="120"/>
        <w:ind w:left="720"/>
        <w:rPr>
          <w:rFonts w:ascii="Calibri" w:hAnsi="Calibri"/>
          <w:lang w:val="en-AU"/>
        </w:rPr>
      </w:pPr>
      <w:r w:rsidRPr="00A5313A">
        <w:rPr>
          <w:rFonts w:ascii="Calibri" w:hAnsi="Calibri"/>
          <w:lang w:val="en-AU"/>
        </w:rPr>
        <w:t>Question—put and passed.</w:t>
      </w:r>
    </w:p>
    <w:p w:rsidR="00036B2F" w:rsidRPr="005D0366" w:rsidRDefault="00036B2F" w:rsidP="00036B2F">
      <w:pPr>
        <w:keepNext/>
        <w:keepLines/>
        <w:tabs>
          <w:tab w:val="right" w:pos="339"/>
          <w:tab w:val="left" w:pos="720"/>
        </w:tabs>
        <w:spacing w:before="240"/>
        <w:ind w:left="720" w:hanging="720"/>
        <w:rPr>
          <w:rFonts w:ascii="Calibri" w:hAnsi="Calibri"/>
          <w:b/>
          <w:lang w:val="en-AU"/>
        </w:rPr>
      </w:pPr>
      <w:r w:rsidRPr="00611C8B">
        <w:rPr>
          <w:rFonts w:ascii="Calibri" w:hAnsi="Calibri"/>
          <w:b/>
          <w:lang w:val="en-AU"/>
        </w:rPr>
        <w:lastRenderedPageBreak/>
        <w:tab/>
      </w:r>
      <w:r w:rsidR="00696898">
        <w:rPr>
          <w:rFonts w:ascii="Calibri" w:hAnsi="Calibri"/>
          <w:b/>
          <w:bCs/>
          <w:lang w:val="en-AU"/>
        </w:rPr>
        <w:fldChar w:fldCharType="begin"/>
      </w:r>
      <w:r w:rsidR="00696898">
        <w:rPr>
          <w:rFonts w:ascii="Calibri" w:hAnsi="Calibri"/>
          <w:b/>
          <w:bCs/>
          <w:lang w:val="en-AU"/>
        </w:rPr>
        <w:instrText xml:space="preserve"> SEQ A \* MERGEFORMAT </w:instrText>
      </w:r>
      <w:r w:rsidR="00696898">
        <w:rPr>
          <w:rFonts w:ascii="Calibri" w:hAnsi="Calibri"/>
          <w:b/>
          <w:bCs/>
          <w:lang w:val="en-AU"/>
        </w:rPr>
        <w:fldChar w:fldCharType="separate"/>
      </w:r>
      <w:r w:rsidR="006D30E9">
        <w:rPr>
          <w:rFonts w:ascii="Calibri" w:hAnsi="Calibri"/>
          <w:b/>
          <w:bCs/>
          <w:noProof/>
          <w:lang w:val="en-AU"/>
        </w:rPr>
        <w:t>4</w:t>
      </w:r>
      <w:r w:rsidR="00696898">
        <w:rPr>
          <w:rFonts w:ascii="Calibri" w:hAnsi="Calibri"/>
          <w:b/>
          <w:bCs/>
          <w:lang w:val="en-AU"/>
        </w:rPr>
        <w:fldChar w:fldCharType="end"/>
      </w:r>
      <w:r w:rsidRPr="005D0366">
        <w:rPr>
          <w:rFonts w:ascii="Calibri" w:hAnsi="Calibri"/>
          <w:b/>
          <w:lang w:val="en-AU"/>
        </w:rPr>
        <w:tab/>
      </w:r>
      <w:r>
        <w:rPr>
          <w:rFonts w:ascii="Calibri" w:hAnsi="Calibri"/>
          <w:b/>
          <w:caps/>
          <w:lang w:val="en-AU"/>
        </w:rPr>
        <w:t>consultation during lockdown related to planning and development</w:t>
      </w:r>
      <w:r w:rsidRPr="005D0366">
        <w:rPr>
          <w:rFonts w:ascii="Calibri" w:hAnsi="Calibri"/>
          <w:b/>
          <w:caps/>
          <w:lang w:val="en-AU"/>
        </w:rPr>
        <w:t>—MINISTERIAL STATEMENT—PAPER NOTED</w:t>
      </w:r>
    </w:p>
    <w:p w:rsidR="00036B2F" w:rsidRPr="005D0366" w:rsidRDefault="00036B2F" w:rsidP="00036B2F">
      <w:pPr>
        <w:spacing w:before="120"/>
        <w:ind w:left="720"/>
        <w:rPr>
          <w:rFonts w:ascii="Calibri" w:hAnsi="Calibri"/>
          <w:lang w:val="en-AU"/>
        </w:rPr>
      </w:pPr>
      <w:r w:rsidRPr="005D0366">
        <w:rPr>
          <w:rFonts w:ascii="Calibri" w:hAnsi="Calibri"/>
          <w:lang w:val="en-AU"/>
        </w:rPr>
        <w:t xml:space="preserve">Mr Gentleman (Minister for Planning and Land Management) made a ministerial statement concerning </w:t>
      </w:r>
      <w:r>
        <w:rPr>
          <w:rFonts w:ascii="Calibri" w:hAnsi="Calibri"/>
          <w:lang w:val="en-AU"/>
        </w:rPr>
        <w:t>consultation during lockdown in relation to planning and development</w:t>
      </w:r>
      <w:r w:rsidRPr="005D0366">
        <w:rPr>
          <w:rFonts w:ascii="Calibri" w:hAnsi="Calibri"/>
          <w:lang w:val="en-AU"/>
        </w:rPr>
        <w:t xml:space="preserve"> and presented the following paper:</w:t>
      </w:r>
    </w:p>
    <w:p w:rsidR="00036B2F" w:rsidRPr="005D0366" w:rsidRDefault="00036B2F" w:rsidP="00036B2F">
      <w:pPr>
        <w:spacing w:before="120"/>
        <w:ind w:left="720"/>
        <w:rPr>
          <w:rFonts w:ascii="Calibri" w:hAnsi="Calibri"/>
          <w:lang w:val="en-AU"/>
        </w:rPr>
      </w:pPr>
      <w:r>
        <w:rPr>
          <w:rFonts w:ascii="Calibri" w:hAnsi="Calibri"/>
          <w:lang w:val="en-AU"/>
        </w:rPr>
        <w:t>Consultation during lockdown related to planning and deve</w:t>
      </w:r>
      <w:r w:rsidR="00B40B2F">
        <w:rPr>
          <w:rFonts w:ascii="Calibri" w:hAnsi="Calibri"/>
          <w:lang w:val="en-AU"/>
        </w:rPr>
        <w:t>lopment—Ministerial statement, 7</w:t>
      </w:r>
      <w:r w:rsidRPr="005D0366">
        <w:rPr>
          <w:rFonts w:ascii="Calibri" w:hAnsi="Calibri"/>
          <w:lang w:val="en-AU"/>
        </w:rPr>
        <w:t xml:space="preserve"> October 2021.</w:t>
      </w:r>
    </w:p>
    <w:p w:rsidR="00036B2F" w:rsidRPr="005D0366" w:rsidRDefault="00036B2F" w:rsidP="00036B2F">
      <w:pPr>
        <w:spacing w:before="120"/>
        <w:ind w:left="720"/>
        <w:rPr>
          <w:rFonts w:ascii="Calibri" w:hAnsi="Calibri"/>
          <w:lang w:val="en-AU"/>
        </w:rPr>
      </w:pPr>
      <w:r w:rsidRPr="005D0366">
        <w:rPr>
          <w:rFonts w:ascii="Calibri" w:hAnsi="Calibri"/>
          <w:lang w:val="en-AU"/>
        </w:rPr>
        <w:t>Mr Gentleman moved—That the Assembly take note of the paper.</w:t>
      </w:r>
    </w:p>
    <w:p w:rsidR="00036B2F" w:rsidRPr="00611C8B" w:rsidRDefault="00036B2F" w:rsidP="00036B2F">
      <w:pPr>
        <w:spacing w:before="120"/>
        <w:ind w:left="720"/>
        <w:rPr>
          <w:rFonts w:ascii="Calibri" w:hAnsi="Calibri"/>
          <w:lang w:val="en-AU"/>
        </w:rPr>
      </w:pPr>
      <w:r w:rsidRPr="005D0366">
        <w:rPr>
          <w:rFonts w:ascii="Calibri" w:hAnsi="Calibri"/>
          <w:lang w:val="en-AU"/>
        </w:rPr>
        <w:t>Question—put and passed.</w:t>
      </w:r>
    </w:p>
    <w:p w:rsidR="00035F00" w:rsidRPr="00640CF1" w:rsidRDefault="00035F00" w:rsidP="00035F00">
      <w:pPr>
        <w:keepNext/>
        <w:keepLines/>
        <w:tabs>
          <w:tab w:val="right" w:pos="339"/>
          <w:tab w:val="left" w:pos="720"/>
        </w:tabs>
        <w:spacing w:before="240"/>
        <w:ind w:left="720" w:hanging="720"/>
        <w:rPr>
          <w:rFonts w:ascii="Calibri" w:hAnsi="Calibri"/>
          <w:b/>
          <w:lang w:val="en-AU"/>
        </w:rPr>
      </w:pPr>
      <w:r w:rsidRPr="00640CF1">
        <w:rPr>
          <w:rFonts w:ascii="Calibri" w:hAnsi="Calibri"/>
          <w:b/>
          <w:lang w:val="en-AU"/>
        </w:rPr>
        <w:tab/>
      </w:r>
      <w:r w:rsidR="00696898">
        <w:rPr>
          <w:rFonts w:ascii="Calibri" w:hAnsi="Calibri"/>
          <w:b/>
          <w:bCs/>
          <w:lang w:val="en-AU"/>
        </w:rPr>
        <w:fldChar w:fldCharType="begin"/>
      </w:r>
      <w:r w:rsidR="00696898">
        <w:rPr>
          <w:rFonts w:ascii="Calibri" w:hAnsi="Calibri"/>
          <w:b/>
          <w:bCs/>
          <w:lang w:val="en-AU"/>
        </w:rPr>
        <w:instrText xml:space="preserve"> SEQ A \* MERGEFORMAT </w:instrText>
      </w:r>
      <w:r w:rsidR="00696898">
        <w:rPr>
          <w:rFonts w:ascii="Calibri" w:hAnsi="Calibri"/>
          <w:b/>
          <w:bCs/>
          <w:lang w:val="en-AU"/>
        </w:rPr>
        <w:fldChar w:fldCharType="separate"/>
      </w:r>
      <w:r w:rsidR="006D30E9">
        <w:rPr>
          <w:rFonts w:ascii="Calibri" w:hAnsi="Calibri"/>
          <w:b/>
          <w:bCs/>
          <w:noProof/>
          <w:lang w:val="en-AU"/>
        </w:rPr>
        <w:t>5</w:t>
      </w:r>
      <w:r w:rsidR="00696898">
        <w:rPr>
          <w:rFonts w:ascii="Calibri" w:hAnsi="Calibri"/>
          <w:b/>
          <w:bCs/>
          <w:lang w:val="en-AU"/>
        </w:rPr>
        <w:fldChar w:fldCharType="end"/>
      </w:r>
      <w:r w:rsidRPr="00640CF1">
        <w:rPr>
          <w:rFonts w:ascii="Calibri" w:hAnsi="Calibri"/>
          <w:b/>
          <w:lang w:val="en-AU"/>
        </w:rPr>
        <w:tab/>
      </w:r>
      <w:r>
        <w:rPr>
          <w:rFonts w:ascii="Calibri" w:hAnsi="Calibri"/>
          <w:b/>
          <w:caps/>
          <w:lang w:val="en-AU"/>
        </w:rPr>
        <w:t>Threatened species</w:t>
      </w:r>
      <w:r w:rsidR="004810CD">
        <w:rPr>
          <w:rFonts w:ascii="Calibri" w:hAnsi="Calibri"/>
          <w:b/>
          <w:caps/>
          <w:lang w:val="en-AU"/>
        </w:rPr>
        <w:t>: A Road to Recovery</w:t>
      </w:r>
      <w:r w:rsidRPr="00640CF1">
        <w:rPr>
          <w:rFonts w:ascii="Calibri" w:hAnsi="Calibri"/>
          <w:b/>
          <w:caps/>
          <w:lang w:val="en-AU"/>
        </w:rPr>
        <w:t>—MINISTERIAL STATEMENT—PAPER NOTED</w:t>
      </w:r>
    </w:p>
    <w:p w:rsidR="00035F00" w:rsidRPr="00640CF1" w:rsidRDefault="00035F00" w:rsidP="00035F00">
      <w:pPr>
        <w:spacing w:before="120"/>
        <w:ind w:left="720"/>
        <w:rPr>
          <w:rFonts w:ascii="Calibri" w:hAnsi="Calibri"/>
          <w:lang w:val="en-AU"/>
        </w:rPr>
      </w:pPr>
      <w:r>
        <w:rPr>
          <w:rFonts w:ascii="Calibri" w:hAnsi="Calibri"/>
          <w:lang w:val="en-AU"/>
        </w:rPr>
        <w:t>Ms Vassarotti (Minister for the Environment)</w:t>
      </w:r>
      <w:r w:rsidRPr="00640CF1">
        <w:rPr>
          <w:rFonts w:ascii="Calibri" w:hAnsi="Calibri"/>
          <w:lang w:val="en-AU"/>
        </w:rPr>
        <w:t xml:space="preserve"> made a ministerial statement concerning </w:t>
      </w:r>
      <w:r w:rsidR="004810CD">
        <w:rPr>
          <w:rFonts w:ascii="Calibri" w:hAnsi="Calibri"/>
          <w:lang w:val="en-AU"/>
        </w:rPr>
        <w:t>t</w:t>
      </w:r>
      <w:r>
        <w:rPr>
          <w:rFonts w:ascii="Calibri" w:hAnsi="Calibri"/>
          <w:lang w:val="en-AU"/>
        </w:rPr>
        <w:t>hreatened species</w:t>
      </w:r>
      <w:r w:rsidRPr="00640CF1">
        <w:rPr>
          <w:rFonts w:ascii="Calibri" w:hAnsi="Calibri"/>
          <w:lang w:val="en-AU"/>
        </w:rPr>
        <w:t xml:space="preserve"> and presented the following paper:</w:t>
      </w:r>
    </w:p>
    <w:p w:rsidR="00035F00" w:rsidRPr="00640CF1" w:rsidRDefault="00035F00" w:rsidP="00035F00">
      <w:pPr>
        <w:spacing w:before="120"/>
        <w:ind w:left="720"/>
        <w:rPr>
          <w:rFonts w:ascii="Calibri" w:hAnsi="Calibri"/>
          <w:lang w:val="en-AU"/>
        </w:rPr>
      </w:pPr>
      <w:r>
        <w:rPr>
          <w:rFonts w:ascii="Calibri" w:hAnsi="Calibri"/>
          <w:lang w:val="en-AU"/>
        </w:rPr>
        <w:t>Threatened species</w:t>
      </w:r>
      <w:r w:rsidR="004810CD">
        <w:rPr>
          <w:rFonts w:ascii="Calibri" w:hAnsi="Calibri"/>
          <w:lang w:val="en-AU"/>
        </w:rPr>
        <w:t>: A</w:t>
      </w:r>
      <w:r w:rsidR="00D11AD2">
        <w:rPr>
          <w:rFonts w:ascii="Calibri" w:hAnsi="Calibri"/>
          <w:lang w:val="en-AU"/>
        </w:rPr>
        <w:t xml:space="preserve"> Road to Recovery</w:t>
      </w:r>
      <w:r w:rsidRPr="00640CF1">
        <w:rPr>
          <w:rFonts w:ascii="Calibri" w:hAnsi="Calibri"/>
          <w:lang w:val="en-AU"/>
        </w:rPr>
        <w:t xml:space="preserve">—Ministerial statement, </w:t>
      </w:r>
      <w:r w:rsidR="000677FF">
        <w:rPr>
          <w:rFonts w:ascii="Calibri" w:hAnsi="Calibri"/>
          <w:lang w:val="en-AU"/>
        </w:rPr>
        <w:t>7</w:t>
      </w:r>
      <w:r>
        <w:rPr>
          <w:rFonts w:ascii="Calibri" w:hAnsi="Calibri"/>
          <w:lang w:val="en-AU"/>
        </w:rPr>
        <w:t xml:space="preserve"> October 2021</w:t>
      </w:r>
      <w:r w:rsidRPr="00640CF1">
        <w:rPr>
          <w:rFonts w:ascii="Calibri" w:hAnsi="Calibri"/>
          <w:lang w:val="en-AU"/>
        </w:rPr>
        <w:t>.</w:t>
      </w:r>
    </w:p>
    <w:p w:rsidR="00035F00" w:rsidRPr="00640CF1" w:rsidRDefault="00035F00" w:rsidP="00035F00">
      <w:pPr>
        <w:spacing w:before="120"/>
        <w:ind w:left="720"/>
        <w:rPr>
          <w:rFonts w:ascii="Calibri" w:hAnsi="Calibri"/>
          <w:lang w:val="en-AU"/>
        </w:rPr>
      </w:pPr>
      <w:r>
        <w:rPr>
          <w:rFonts w:ascii="Calibri" w:hAnsi="Calibri"/>
          <w:lang w:val="en-AU"/>
        </w:rPr>
        <w:t>Ms Vassarotti</w:t>
      </w:r>
      <w:r w:rsidRPr="00640CF1">
        <w:rPr>
          <w:rFonts w:ascii="Calibri" w:hAnsi="Calibri"/>
          <w:lang w:val="en-AU"/>
        </w:rPr>
        <w:t xml:space="preserve"> moved—That the Assembly take note of the paper.</w:t>
      </w:r>
    </w:p>
    <w:p w:rsidR="00035F00" w:rsidRPr="00640CF1" w:rsidRDefault="00035F00" w:rsidP="00035F00">
      <w:pPr>
        <w:spacing w:before="120"/>
        <w:ind w:left="720"/>
        <w:rPr>
          <w:rFonts w:ascii="Calibri" w:hAnsi="Calibri"/>
          <w:lang w:val="en-AU"/>
        </w:rPr>
      </w:pPr>
      <w:r w:rsidRPr="00640CF1">
        <w:rPr>
          <w:rFonts w:ascii="Calibri" w:hAnsi="Calibri"/>
          <w:lang w:val="en-AU"/>
        </w:rPr>
        <w:t>Debate ensued.</w:t>
      </w:r>
    </w:p>
    <w:p w:rsidR="00035F00" w:rsidRPr="00640CF1" w:rsidRDefault="00035F00" w:rsidP="00035F00">
      <w:pPr>
        <w:spacing w:before="120"/>
        <w:ind w:left="720"/>
        <w:rPr>
          <w:rFonts w:ascii="Calibri" w:hAnsi="Calibri"/>
          <w:lang w:val="en-AU"/>
        </w:rPr>
      </w:pPr>
      <w:r w:rsidRPr="00640CF1">
        <w:rPr>
          <w:rFonts w:ascii="Calibri" w:hAnsi="Calibri"/>
          <w:lang w:val="en-AU"/>
        </w:rPr>
        <w:t>Question—put and passed.</w:t>
      </w:r>
    </w:p>
    <w:p w:rsidR="00941DC9" w:rsidRPr="00D87D1B" w:rsidRDefault="00941DC9" w:rsidP="00941DC9">
      <w:pPr>
        <w:keepNext/>
        <w:keepLines/>
        <w:tabs>
          <w:tab w:val="right" w:pos="339"/>
          <w:tab w:val="left" w:pos="720"/>
        </w:tabs>
        <w:spacing w:before="240"/>
        <w:ind w:left="720" w:hanging="720"/>
        <w:rPr>
          <w:rFonts w:ascii="Calibri" w:hAnsi="Calibri"/>
          <w:b/>
          <w:lang w:val="en-AU"/>
        </w:rPr>
      </w:pPr>
      <w:r w:rsidRPr="00D87D1B">
        <w:rPr>
          <w:rFonts w:ascii="Calibri" w:hAnsi="Calibri"/>
          <w:b/>
          <w:lang w:val="en-AU"/>
        </w:rPr>
        <w:tab/>
      </w:r>
      <w:r w:rsidR="00696898">
        <w:rPr>
          <w:rFonts w:ascii="Calibri" w:hAnsi="Calibri"/>
          <w:b/>
          <w:bCs/>
          <w:lang w:val="en-AU"/>
        </w:rPr>
        <w:fldChar w:fldCharType="begin"/>
      </w:r>
      <w:r w:rsidR="00696898">
        <w:rPr>
          <w:rFonts w:ascii="Calibri" w:hAnsi="Calibri"/>
          <w:b/>
          <w:bCs/>
          <w:lang w:val="en-AU"/>
        </w:rPr>
        <w:instrText xml:space="preserve"> SEQ A \* MERGEFORMAT </w:instrText>
      </w:r>
      <w:r w:rsidR="00696898">
        <w:rPr>
          <w:rFonts w:ascii="Calibri" w:hAnsi="Calibri"/>
          <w:b/>
          <w:bCs/>
          <w:lang w:val="en-AU"/>
        </w:rPr>
        <w:fldChar w:fldCharType="separate"/>
      </w:r>
      <w:r w:rsidR="006D30E9">
        <w:rPr>
          <w:rFonts w:ascii="Calibri" w:hAnsi="Calibri"/>
          <w:b/>
          <w:bCs/>
          <w:noProof/>
          <w:lang w:val="en-AU"/>
        </w:rPr>
        <w:t>6</w:t>
      </w:r>
      <w:r w:rsidR="00696898">
        <w:rPr>
          <w:rFonts w:ascii="Calibri" w:hAnsi="Calibri"/>
          <w:b/>
          <w:bCs/>
          <w:lang w:val="en-AU"/>
        </w:rPr>
        <w:fldChar w:fldCharType="end"/>
      </w:r>
      <w:r w:rsidRPr="00D87D1B">
        <w:rPr>
          <w:rFonts w:ascii="Calibri" w:hAnsi="Calibri"/>
          <w:b/>
          <w:lang w:val="en-AU"/>
        </w:rPr>
        <w:tab/>
      </w:r>
      <w:r>
        <w:rPr>
          <w:rFonts w:ascii="Calibri" w:hAnsi="Calibri"/>
          <w:b/>
          <w:caps/>
          <w:lang w:val="en-AU"/>
        </w:rPr>
        <w:t>World Mental Health Day</w:t>
      </w:r>
      <w:r w:rsidRPr="00D87D1B">
        <w:rPr>
          <w:rFonts w:ascii="Calibri" w:hAnsi="Calibri"/>
          <w:b/>
          <w:caps/>
          <w:lang w:val="en-AU"/>
        </w:rPr>
        <w:t>—MINISTERIAL STATEMENT—PAPER NOTED</w:t>
      </w:r>
    </w:p>
    <w:p w:rsidR="00941DC9" w:rsidRPr="00D87D1B" w:rsidRDefault="00941DC9" w:rsidP="00941DC9">
      <w:pPr>
        <w:spacing w:before="120"/>
        <w:ind w:left="720"/>
        <w:rPr>
          <w:rFonts w:ascii="Calibri" w:hAnsi="Calibri"/>
          <w:lang w:val="en-AU"/>
        </w:rPr>
      </w:pPr>
      <w:r>
        <w:rPr>
          <w:rFonts w:ascii="Calibri" w:hAnsi="Calibri"/>
          <w:lang w:val="en-AU"/>
        </w:rPr>
        <w:t>Ms Davidson (Minister for Mental Health)</w:t>
      </w:r>
      <w:r w:rsidRPr="00D87D1B">
        <w:rPr>
          <w:rFonts w:ascii="Calibri" w:hAnsi="Calibri"/>
          <w:lang w:val="en-AU"/>
        </w:rPr>
        <w:t xml:space="preserve"> made a ministerial statement concerning </w:t>
      </w:r>
      <w:r>
        <w:rPr>
          <w:rFonts w:ascii="Calibri" w:hAnsi="Calibri"/>
          <w:lang w:val="en-AU"/>
        </w:rPr>
        <w:t>World Mental Health Day</w:t>
      </w:r>
      <w:r w:rsidRPr="00D87D1B">
        <w:rPr>
          <w:rFonts w:ascii="Calibri" w:hAnsi="Calibri"/>
          <w:lang w:val="en-AU"/>
        </w:rPr>
        <w:t xml:space="preserve"> and presented the following paper:</w:t>
      </w:r>
    </w:p>
    <w:p w:rsidR="00941DC9" w:rsidRPr="00D87D1B" w:rsidRDefault="00941DC9" w:rsidP="00941DC9">
      <w:pPr>
        <w:spacing w:before="120"/>
        <w:ind w:left="720"/>
        <w:rPr>
          <w:rFonts w:ascii="Calibri" w:hAnsi="Calibri"/>
          <w:lang w:val="en-AU"/>
        </w:rPr>
      </w:pPr>
      <w:r>
        <w:rPr>
          <w:rFonts w:ascii="Calibri" w:hAnsi="Calibri"/>
          <w:lang w:val="en-AU"/>
        </w:rPr>
        <w:t>World Mental Health Day</w:t>
      </w:r>
      <w:r w:rsidRPr="00D87D1B">
        <w:rPr>
          <w:rFonts w:ascii="Calibri" w:hAnsi="Calibri"/>
          <w:lang w:val="en-AU"/>
        </w:rPr>
        <w:t xml:space="preserve">—Ministerial statement, </w:t>
      </w:r>
      <w:r>
        <w:rPr>
          <w:rFonts w:ascii="Calibri" w:hAnsi="Calibri"/>
          <w:lang w:val="en-AU"/>
        </w:rPr>
        <w:t>7 October 2021</w:t>
      </w:r>
      <w:r w:rsidRPr="00D87D1B">
        <w:rPr>
          <w:rFonts w:ascii="Calibri" w:hAnsi="Calibri"/>
          <w:lang w:val="en-AU"/>
        </w:rPr>
        <w:t>.</w:t>
      </w:r>
    </w:p>
    <w:p w:rsidR="00941DC9" w:rsidRPr="00D87D1B" w:rsidRDefault="00492F47" w:rsidP="00941DC9">
      <w:pPr>
        <w:spacing w:before="120"/>
        <w:ind w:left="720"/>
        <w:rPr>
          <w:rFonts w:ascii="Calibri" w:hAnsi="Calibri"/>
          <w:lang w:val="en-AU"/>
        </w:rPr>
      </w:pPr>
      <w:r>
        <w:rPr>
          <w:rFonts w:ascii="Calibri" w:hAnsi="Calibri"/>
          <w:lang w:val="en-AU"/>
        </w:rPr>
        <w:t>Ms Davidson</w:t>
      </w:r>
      <w:r w:rsidR="00941DC9" w:rsidRPr="00D87D1B">
        <w:rPr>
          <w:rFonts w:ascii="Calibri" w:hAnsi="Calibri"/>
          <w:lang w:val="en-AU"/>
        </w:rPr>
        <w:t xml:space="preserve"> moved—That the Assembly take note of the paper.</w:t>
      </w:r>
    </w:p>
    <w:p w:rsidR="00941DC9" w:rsidRPr="00D87D1B" w:rsidRDefault="00941DC9" w:rsidP="00941DC9">
      <w:pPr>
        <w:spacing w:before="120"/>
        <w:ind w:left="720"/>
        <w:rPr>
          <w:rFonts w:ascii="Calibri" w:hAnsi="Calibri"/>
          <w:lang w:val="en-AU"/>
        </w:rPr>
      </w:pPr>
      <w:r w:rsidRPr="00D87D1B">
        <w:rPr>
          <w:rFonts w:ascii="Calibri" w:hAnsi="Calibri"/>
          <w:lang w:val="en-AU"/>
        </w:rPr>
        <w:t>Debate ensued.</w:t>
      </w:r>
    </w:p>
    <w:p w:rsidR="00941DC9" w:rsidRPr="00D87D1B" w:rsidRDefault="00941DC9" w:rsidP="00941DC9">
      <w:pPr>
        <w:spacing w:before="120"/>
        <w:ind w:left="720"/>
        <w:rPr>
          <w:rFonts w:ascii="Calibri" w:hAnsi="Calibri"/>
          <w:lang w:val="en-AU"/>
        </w:rPr>
      </w:pPr>
      <w:r w:rsidRPr="00D87D1B">
        <w:rPr>
          <w:rFonts w:ascii="Calibri" w:hAnsi="Calibri"/>
          <w:lang w:val="en-AU"/>
        </w:rPr>
        <w:t>Question—put and passed.</w:t>
      </w:r>
    </w:p>
    <w:p w:rsidR="00406D02" w:rsidRPr="00112F33" w:rsidRDefault="00406D02" w:rsidP="00406D02">
      <w:pPr>
        <w:keepNext/>
        <w:keepLines/>
        <w:tabs>
          <w:tab w:val="right" w:pos="339"/>
          <w:tab w:val="left" w:pos="720"/>
        </w:tabs>
        <w:spacing w:before="240"/>
        <w:ind w:left="720" w:hanging="720"/>
        <w:rPr>
          <w:rFonts w:ascii="Calibri" w:hAnsi="Calibri"/>
          <w:b/>
          <w:caps/>
          <w:lang w:val="en-AU"/>
        </w:rPr>
      </w:pPr>
      <w:r w:rsidRPr="00D87D1B">
        <w:rPr>
          <w:rFonts w:ascii="Calibri" w:hAnsi="Calibri"/>
          <w:b/>
          <w:lang w:val="en-AU"/>
        </w:rPr>
        <w:tab/>
      </w:r>
      <w:r w:rsidR="00696898">
        <w:rPr>
          <w:rFonts w:ascii="Calibri" w:hAnsi="Calibri"/>
          <w:b/>
          <w:bCs/>
          <w:lang w:val="en-AU"/>
        </w:rPr>
        <w:fldChar w:fldCharType="begin"/>
      </w:r>
      <w:r w:rsidR="00696898">
        <w:rPr>
          <w:rFonts w:ascii="Calibri" w:hAnsi="Calibri"/>
          <w:b/>
          <w:bCs/>
          <w:lang w:val="en-AU"/>
        </w:rPr>
        <w:instrText xml:space="preserve"> SEQ A \* MERGEFORMAT </w:instrText>
      </w:r>
      <w:r w:rsidR="00696898">
        <w:rPr>
          <w:rFonts w:ascii="Calibri" w:hAnsi="Calibri"/>
          <w:b/>
          <w:bCs/>
          <w:lang w:val="en-AU"/>
        </w:rPr>
        <w:fldChar w:fldCharType="separate"/>
      </w:r>
      <w:r w:rsidR="006D30E9">
        <w:rPr>
          <w:rFonts w:ascii="Calibri" w:hAnsi="Calibri"/>
          <w:b/>
          <w:bCs/>
          <w:noProof/>
          <w:lang w:val="en-AU"/>
        </w:rPr>
        <w:t>7</w:t>
      </w:r>
      <w:r w:rsidR="00696898">
        <w:rPr>
          <w:rFonts w:ascii="Calibri" w:hAnsi="Calibri"/>
          <w:b/>
          <w:bCs/>
          <w:lang w:val="en-AU"/>
        </w:rPr>
        <w:fldChar w:fldCharType="end"/>
      </w:r>
      <w:r w:rsidRPr="00D87D1B">
        <w:rPr>
          <w:rFonts w:ascii="Calibri" w:hAnsi="Calibri"/>
          <w:b/>
          <w:lang w:val="en-AU"/>
        </w:rPr>
        <w:tab/>
      </w:r>
      <w:r>
        <w:rPr>
          <w:rFonts w:ascii="Calibri" w:hAnsi="Calibri"/>
          <w:b/>
          <w:caps/>
          <w:lang w:val="en-AU"/>
        </w:rPr>
        <w:t>Assembly proceedings during COVID-19 LOCKDOWN—Amendment to resolution</w:t>
      </w:r>
    </w:p>
    <w:p w:rsidR="00406D02" w:rsidRDefault="00406D02" w:rsidP="00406D02">
      <w:pPr>
        <w:spacing w:before="120"/>
        <w:ind w:left="720"/>
        <w:rPr>
          <w:rFonts w:ascii="Calibri" w:hAnsi="Calibri"/>
          <w:color w:val="000000"/>
          <w:lang w:val="en-AU"/>
        </w:rPr>
      </w:pPr>
      <w:r>
        <w:rPr>
          <w:rFonts w:ascii="Calibri" w:hAnsi="Calibri"/>
          <w:color w:val="000000"/>
          <w:lang w:val="en-AU"/>
        </w:rPr>
        <w:t>Mr Gentleman (Manager of Government Business)</w:t>
      </w:r>
      <w:r w:rsidRPr="00112F33">
        <w:rPr>
          <w:rFonts w:ascii="Calibri" w:hAnsi="Calibri"/>
          <w:color w:val="000000"/>
          <w:lang w:val="en-AU"/>
        </w:rPr>
        <w:t>, pursuant to notice, moved—That</w:t>
      </w:r>
      <w:r>
        <w:rPr>
          <w:rFonts w:ascii="Calibri" w:hAnsi="Calibri"/>
          <w:color w:val="000000"/>
          <w:lang w:val="en-AU"/>
        </w:rPr>
        <w:t xml:space="preserve"> the resolution of 16 September 2021 concerning As</w:t>
      </w:r>
      <w:r w:rsidR="006656DF">
        <w:rPr>
          <w:rFonts w:ascii="Calibri" w:hAnsi="Calibri"/>
          <w:color w:val="000000"/>
          <w:lang w:val="en-AU"/>
        </w:rPr>
        <w:t>sembly proceedings during COVID</w:t>
      </w:r>
      <w:r w:rsidR="006656DF">
        <w:rPr>
          <w:rFonts w:ascii="Calibri" w:hAnsi="Calibri"/>
          <w:color w:val="000000"/>
          <w:lang w:val="en-AU"/>
        </w:rPr>
        <w:noBreakHyphen/>
      </w:r>
      <w:r>
        <w:rPr>
          <w:rFonts w:ascii="Calibri" w:hAnsi="Calibri"/>
          <w:color w:val="000000"/>
          <w:lang w:val="en-AU"/>
        </w:rPr>
        <w:t>19 lockdown be amended at paragraph (2), by:</w:t>
      </w:r>
    </w:p>
    <w:p w:rsidR="00406D02" w:rsidRDefault="00406D02" w:rsidP="00406D02">
      <w:pPr>
        <w:tabs>
          <w:tab w:val="left" w:pos="1350"/>
        </w:tabs>
        <w:spacing w:before="120"/>
        <w:ind w:left="1350" w:hanging="630"/>
        <w:rPr>
          <w:rFonts w:ascii="Calibri" w:hAnsi="Calibri"/>
          <w:color w:val="000000"/>
          <w:lang w:val="en-AU"/>
        </w:rPr>
      </w:pPr>
      <w:r>
        <w:rPr>
          <w:rFonts w:ascii="Calibri" w:hAnsi="Calibri"/>
          <w:color w:val="000000"/>
          <w:lang w:val="en-AU"/>
        </w:rPr>
        <w:t>(1)</w:t>
      </w:r>
      <w:r>
        <w:rPr>
          <w:rFonts w:ascii="Calibri" w:hAnsi="Calibri"/>
          <w:color w:val="000000"/>
          <w:lang w:val="en-AU"/>
        </w:rPr>
        <w:tab/>
        <w:t xml:space="preserve">omitting </w:t>
      </w:r>
      <w:r w:rsidR="00696898">
        <w:rPr>
          <w:rFonts w:ascii="Calibri" w:hAnsi="Calibri"/>
          <w:color w:val="000000"/>
          <w:lang w:val="en-AU"/>
        </w:rPr>
        <w:t>“</w:t>
      </w:r>
      <w:r>
        <w:rPr>
          <w:rFonts w:ascii="Calibri" w:hAnsi="Calibri"/>
          <w:color w:val="000000"/>
          <w:lang w:val="en-AU"/>
        </w:rPr>
        <w:t>(as at 16 September 2021)</w:t>
      </w:r>
      <w:r w:rsidR="00696898">
        <w:rPr>
          <w:rFonts w:ascii="Calibri" w:hAnsi="Calibri"/>
          <w:color w:val="000000"/>
          <w:lang w:val="en-AU"/>
        </w:rPr>
        <w:t>”</w:t>
      </w:r>
      <w:r>
        <w:rPr>
          <w:rFonts w:ascii="Calibri" w:hAnsi="Calibri"/>
          <w:color w:val="000000"/>
          <w:lang w:val="en-AU"/>
        </w:rPr>
        <w:t xml:space="preserve"> and substituting </w:t>
      </w:r>
      <w:r w:rsidR="00696898">
        <w:rPr>
          <w:rFonts w:ascii="Calibri" w:hAnsi="Calibri"/>
          <w:color w:val="000000"/>
          <w:lang w:val="en-AU"/>
        </w:rPr>
        <w:t>“</w:t>
      </w:r>
      <w:r>
        <w:rPr>
          <w:rFonts w:ascii="Calibri" w:hAnsi="Calibri"/>
          <w:color w:val="000000"/>
          <w:lang w:val="en-AU"/>
        </w:rPr>
        <w:t>(as at 8 October 2021)</w:t>
      </w:r>
      <w:r w:rsidR="00696898">
        <w:rPr>
          <w:rFonts w:ascii="Calibri" w:hAnsi="Calibri"/>
          <w:color w:val="000000"/>
          <w:lang w:val="en-AU"/>
        </w:rPr>
        <w:t>”</w:t>
      </w:r>
      <w:r>
        <w:rPr>
          <w:rFonts w:ascii="Calibri" w:hAnsi="Calibri"/>
          <w:color w:val="000000"/>
          <w:lang w:val="en-AU"/>
        </w:rPr>
        <w:t>; and</w:t>
      </w:r>
    </w:p>
    <w:p w:rsidR="00406D02" w:rsidRDefault="00406D02" w:rsidP="00406D02">
      <w:pPr>
        <w:tabs>
          <w:tab w:val="left" w:pos="1350"/>
        </w:tabs>
        <w:spacing w:before="120"/>
        <w:ind w:left="1350" w:hanging="630"/>
        <w:rPr>
          <w:rFonts w:ascii="Calibri" w:hAnsi="Calibri"/>
          <w:color w:val="000000"/>
          <w:lang w:val="en-AU"/>
        </w:rPr>
      </w:pPr>
      <w:r>
        <w:rPr>
          <w:rFonts w:ascii="Calibri" w:hAnsi="Calibri"/>
          <w:color w:val="000000"/>
          <w:lang w:val="en-AU"/>
        </w:rPr>
        <w:t>(2)</w:t>
      </w:r>
      <w:r>
        <w:rPr>
          <w:rFonts w:ascii="Calibri" w:hAnsi="Calibri"/>
          <w:color w:val="000000"/>
          <w:lang w:val="en-AU"/>
        </w:rPr>
        <w:tab/>
        <w:t xml:space="preserve">omitting </w:t>
      </w:r>
      <w:r w:rsidR="00696898">
        <w:rPr>
          <w:rFonts w:ascii="Calibri" w:hAnsi="Calibri"/>
          <w:color w:val="000000"/>
          <w:lang w:val="en-AU"/>
        </w:rPr>
        <w:t>“</w:t>
      </w:r>
      <w:r>
        <w:rPr>
          <w:rFonts w:ascii="Calibri" w:hAnsi="Calibri"/>
          <w:color w:val="000000"/>
          <w:lang w:val="en-AU"/>
        </w:rPr>
        <w:t>or October</w:t>
      </w:r>
      <w:r w:rsidR="00696898">
        <w:rPr>
          <w:rFonts w:ascii="Calibri" w:hAnsi="Calibri"/>
          <w:color w:val="000000"/>
          <w:lang w:val="en-AU"/>
        </w:rPr>
        <w:t>”</w:t>
      </w:r>
      <w:r>
        <w:rPr>
          <w:rFonts w:ascii="Calibri" w:hAnsi="Calibri"/>
          <w:color w:val="000000"/>
          <w:lang w:val="en-AU"/>
        </w:rPr>
        <w:t xml:space="preserve"> and substituting </w:t>
      </w:r>
      <w:r w:rsidR="00696898">
        <w:rPr>
          <w:rFonts w:ascii="Calibri" w:hAnsi="Calibri"/>
          <w:color w:val="000000"/>
          <w:lang w:val="en-AU"/>
        </w:rPr>
        <w:t>“</w:t>
      </w:r>
      <w:r>
        <w:rPr>
          <w:rFonts w:ascii="Calibri" w:hAnsi="Calibri"/>
          <w:color w:val="000000"/>
          <w:lang w:val="en-AU"/>
        </w:rPr>
        <w:t>, October or November</w:t>
      </w:r>
      <w:r w:rsidR="00696898">
        <w:rPr>
          <w:rFonts w:ascii="Calibri" w:hAnsi="Calibri"/>
          <w:color w:val="000000"/>
          <w:lang w:val="en-AU"/>
        </w:rPr>
        <w:t>”</w:t>
      </w:r>
      <w:r>
        <w:rPr>
          <w:rFonts w:ascii="Calibri" w:hAnsi="Calibri"/>
          <w:color w:val="000000"/>
          <w:lang w:val="en-AU"/>
        </w:rPr>
        <w:t>.</w:t>
      </w:r>
    </w:p>
    <w:p w:rsidR="00406D02" w:rsidRDefault="00406D02" w:rsidP="00406D02">
      <w:pPr>
        <w:pStyle w:val="DPSEntryDetail"/>
      </w:pPr>
      <w:r>
        <w:t>Question—put and passed.</w:t>
      </w:r>
    </w:p>
    <w:p w:rsidR="000A1692" w:rsidRPr="000A1692" w:rsidRDefault="000A1692" w:rsidP="000A1692">
      <w:pPr>
        <w:keepNext/>
        <w:keepLines/>
        <w:tabs>
          <w:tab w:val="right" w:pos="339"/>
          <w:tab w:val="left" w:pos="720"/>
        </w:tabs>
        <w:spacing w:before="240"/>
        <w:ind w:left="720" w:hanging="720"/>
        <w:rPr>
          <w:rFonts w:ascii="Calibri" w:hAnsi="Calibri"/>
          <w:b/>
          <w:caps/>
        </w:rPr>
      </w:pPr>
      <w:r w:rsidRPr="000A1692">
        <w:rPr>
          <w:rFonts w:ascii="Calibri" w:hAnsi="Calibri"/>
          <w:b/>
          <w:caps/>
        </w:rPr>
        <w:lastRenderedPageBreak/>
        <w:tab/>
      </w:r>
      <w:r w:rsidR="00696898">
        <w:rPr>
          <w:rFonts w:ascii="Calibri" w:hAnsi="Calibri"/>
          <w:b/>
          <w:bCs/>
          <w:caps/>
        </w:rPr>
        <w:fldChar w:fldCharType="begin"/>
      </w:r>
      <w:r w:rsidR="00696898">
        <w:rPr>
          <w:rFonts w:ascii="Calibri" w:hAnsi="Calibri"/>
          <w:b/>
          <w:bCs/>
          <w:caps/>
        </w:rPr>
        <w:instrText xml:space="preserve"> SEQ A \* MERGEFORMAT </w:instrText>
      </w:r>
      <w:r w:rsidR="00696898">
        <w:rPr>
          <w:rFonts w:ascii="Calibri" w:hAnsi="Calibri"/>
          <w:b/>
          <w:bCs/>
          <w:caps/>
        </w:rPr>
        <w:fldChar w:fldCharType="separate"/>
      </w:r>
      <w:r w:rsidR="006D30E9">
        <w:rPr>
          <w:rFonts w:ascii="Calibri" w:hAnsi="Calibri"/>
          <w:b/>
          <w:bCs/>
          <w:caps/>
          <w:noProof/>
        </w:rPr>
        <w:t>8</w:t>
      </w:r>
      <w:r w:rsidR="00696898">
        <w:rPr>
          <w:rFonts w:ascii="Calibri" w:hAnsi="Calibri"/>
          <w:b/>
          <w:bCs/>
          <w:caps/>
        </w:rPr>
        <w:fldChar w:fldCharType="end"/>
      </w:r>
      <w:r w:rsidRPr="000A1692">
        <w:rPr>
          <w:rFonts w:ascii="Calibri" w:hAnsi="Calibri"/>
          <w:b/>
          <w:caps/>
        </w:rPr>
        <w:tab/>
      </w:r>
      <w:r>
        <w:rPr>
          <w:rFonts w:ascii="Calibri" w:hAnsi="Calibri"/>
          <w:b/>
          <w:caps/>
        </w:rPr>
        <w:t>Light Rail Stage 2 Project—Select Committee</w:t>
      </w:r>
      <w:r w:rsidRPr="000A1692">
        <w:rPr>
          <w:rFonts w:ascii="Calibri" w:hAnsi="Calibri"/>
          <w:b/>
          <w:caps/>
        </w:rPr>
        <w:t>—</w:t>
      </w:r>
      <w:r w:rsidR="005C08CD">
        <w:rPr>
          <w:rFonts w:ascii="Calibri" w:hAnsi="Calibri"/>
          <w:b/>
          <w:caps/>
        </w:rPr>
        <w:t xml:space="preserve">Proposed </w:t>
      </w:r>
      <w:r w:rsidRPr="000A1692">
        <w:rPr>
          <w:rFonts w:ascii="Calibri" w:hAnsi="Calibri"/>
          <w:b/>
          <w:caps/>
        </w:rPr>
        <w:t>establishment</w:t>
      </w:r>
      <w:r w:rsidR="005C08CD">
        <w:rPr>
          <w:rFonts w:ascii="Calibri" w:hAnsi="Calibri"/>
          <w:b/>
          <w:caps/>
        </w:rPr>
        <w:t>—Light Rail Stage 2 Project—Consideration by Standing Committee on Public Accounts</w:t>
      </w:r>
    </w:p>
    <w:p w:rsidR="000A1692" w:rsidRPr="000A1692" w:rsidRDefault="000A1692" w:rsidP="000A1692">
      <w:pPr>
        <w:tabs>
          <w:tab w:val="left" w:pos="1197"/>
          <w:tab w:val="left" w:pos="1767"/>
        </w:tabs>
        <w:spacing w:before="120"/>
        <w:ind w:left="720"/>
        <w:rPr>
          <w:rFonts w:ascii="Calibri" w:hAnsi="Calibri"/>
          <w:lang w:val="en-AU"/>
        </w:rPr>
      </w:pPr>
      <w:r>
        <w:rPr>
          <w:rFonts w:ascii="Calibri" w:hAnsi="Calibri"/>
          <w:lang w:val="en-AU"/>
        </w:rPr>
        <w:t>Mr Parton</w:t>
      </w:r>
      <w:r w:rsidRPr="000A1692">
        <w:rPr>
          <w:rFonts w:ascii="Calibri" w:hAnsi="Calibri"/>
          <w:lang w:val="en-AU"/>
        </w:rPr>
        <w:t>, pursuant to notice, moved—That</w:t>
      </w:r>
      <w:r w:rsidR="00C55972">
        <w:rPr>
          <w:rFonts w:ascii="Calibri" w:hAnsi="Calibri"/>
          <w:lang w:val="en-AU"/>
        </w:rPr>
        <w:t xml:space="preserve"> this Assembly</w:t>
      </w:r>
      <w:r w:rsidRPr="000A1692">
        <w:rPr>
          <w:rFonts w:ascii="Calibri" w:hAnsi="Calibri"/>
          <w:lang w:val="en-AU"/>
        </w:rPr>
        <w:t>:</w:t>
      </w:r>
    </w:p>
    <w:p w:rsidR="00C55972" w:rsidRPr="00D75B5B" w:rsidRDefault="00C55972" w:rsidP="00C55972">
      <w:pPr>
        <w:pStyle w:val="DPSEntryIndents"/>
        <w:rPr>
          <w:lang w:eastAsia="en-US"/>
        </w:rPr>
      </w:pPr>
      <w:r w:rsidRPr="00D75B5B">
        <w:rPr>
          <w:lang w:eastAsia="en-US"/>
        </w:rPr>
        <w:t>notes:</w:t>
      </w:r>
    </w:p>
    <w:p w:rsidR="00C55972" w:rsidRPr="00D75B5B" w:rsidRDefault="00C55972" w:rsidP="00C55972">
      <w:pPr>
        <w:pStyle w:val="DPSEntryIndents"/>
        <w:numPr>
          <w:ilvl w:val="1"/>
          <w:numId w:val="3"/>
        </w:numPr>
        <w:rPr>
          <w:lang w:eastAsia="en-US"/>
        </w:rPr>
      </w:pPr>
      <w:r w:rsidRPr="00D75B5B">
        <w:rPr>
          <w:lang w:eastAsia="en-US"/>
        </w:rPr>
        <w:t>the Light Rail Stage 2 proposal is the largest investment project ever undertaken by a Territory government;</w:t>
      </w:r>
    </w:p>
    <w:p w:rsidR="00C55972" w:rsidRPr="00D75B5B" w:rsidRDefault="00C55972" w:rsidP="00C55972">
      <w:pPr>
        <w:pStyle w:val="DPSEntryIndents"/>
        <w:numPr>
          <w:ilvl w:val="1"/>
          <w:numId w:val="3"/>
        </w:numPr>
        <w:rPr>
          <w:lang w:eastAsia="en-US"/>
        </w:rPr>
      </w:pPr>
      <w:r w:rsidRPr="00D75B5B">
        <w:rPr>
          <w:lang w:eastAsia="en-US"/>
        </w:rPr>
        <w:t>some billions of dollars are being invested in a single transport route and transport technology to connect Civic with Woden;</w:t>
      </w:r>
    </w:p>
    <w:p w:rsidR="00C55972" w:rsidRPr="00D75B5B" w:rsidRDefault="00C55972" w:rsidP="00C55972">
      <w:pPr>
        <w:pStyle w:val="DPSEntryIndents"/>
        <w:numPr>
          <w:ilvl w:val="1"/>
          <w:numId w:val="3"/>
        </w:numPr>
        <w:rPr>
          <w:lang w:eastAsia="en-US"/>
        </w:rPr>
      </w:pPr>
      <w:r w:rsidRPr="00D75B5B">
        <w:rPr>
          <w:lang w:eastAsia="en-US"/>
        </w:rPr>
        <w:t>the Canberra community will experience significant disruption to intra-city travel and business operations for four years or so while construction proceeds;</w:t>
      </w:r>
    </w:p>
    <w:p w:rsidR="00C55972" w:rsidRPr="00D75B5B" w:rsidRDefault="00C55972" w:rsidP="00C55972">
      <w:pPr>
        <w:pStyle w:val="DPSEntryIndents"/>
        <w:numPr>
          <w:ilvl w:val="1"/>
          <w:numId w:val="3"/>
        </w:numPr>
        <w:rPr>
          <w:lang w:eastAsia="en-US"/>
        </w:rPr>
      </w:pPr>
      <w:r w:rsidRPr="00D75B5B">
        <w:rPr>
          <w:lang w:eastAsia="en-US"/>
        </w:rPr>
        <w:t>many Canberrans, community bodies and business groups are taking a strong interest in this project;</w:t>
      </w:r>
    </w:p>
    <w:p w:rsidR="00C55972" w:rsidRPr="00D75B5B" w:rsidRDefault="00C55972" w:rsidP="00C55972">
      <w:pPr>
        <w:pStyle w:val="DPSEntryIndents"/>
        <w:numPr>
          <w:ilvl w:val="1"/>
          <w:numId w:val="3"/>
        </w:numPr>
        <w:rPr>
          <w:lang w:eastAsia="en-US"/>
        </w:rPr>
      </w:pPr>
      <w:r w:rsidRPr="00D75B5B">
        <w:rPr>
          <w:lang w:eastAsia="en-US"/>
        </w:rPr>
        <w:t xml:space="preserve">many local communities and living precincts will be affected by the construction and completion of the light rail corridor; </w:t>
      </w:r>
    </w:p>
    <w:p w:rsidR="00C55972" w:rsidRPr="00D75B5B" w:rsidRDefault="00C55972" w:rsidP="00C55972">
      <w:pPr>
        <w:pStyle w:val="DPSEntryIndents"/>
        <w:numPr>
          <w:ilvl w:val="1"/>
          <w:numId w:val="3"/>
        </w:numPr>
        <w:rPr>
          <w:lang w:eastAsia="en-US"/>
        </w:rPr>
      </w:pPr>
      <w:r w:rsidRPr="00D75B5B">
        <w:rPr>
          <w:lang w:eastAsia="en-US"/>
        </w:rPr>
        <w:t>the total project cost could be carried by several generations of Canberra</w:t>
      </w:r>
      <w:r w:rsidR="00696898">
        <w:rPr>
          <w:lang w:eastAsia="en-US"/>
        </w:rPr>
        <w:t>’</w:t>
      </w:r>
      <w:r w:rsidRPr="00D75B5B">
        <w:rPr>
          <w:lang w:eastAsia="en-US"/>
        </w:rPr>
        <w:t>s taxpayers;</w:t>
      </w:r>
    </w:p>
    <w:p w:rsidR="00C55972" w:rsidRPr="00D75B5B" w:rsidRDefault="00C55972" w:rsidP="00C55972">
      <w:pPr>
        <w:pStyle w:val="DPSEntryIndents"/>
        <w:numPr>
          <w:ilvl w:val="1"/>
          <w:numId w:val="3"/>
        </w:numPr>
        <w:rPr>
          <w:lang w:eastAsia="en-US"/>
        </w:rPr>
      </w:pPr>
      <w:r w:rsidRPr="00D75B5B">
        <w:rPr>
          <w:lang w:eastAsia="en-US"/>
        </w:rPr>
        <w:t xml:space="preserve">in August 2019, the Government published a </w:t>
      </w:r>
      <w:r>
        <w:rPr>
          <w:lang w:eastAsia="en-US"/>
        </w:rPr>
        <w:t>b</w:t>
      </w:r>
      <w:r w:rsidRPr="00D75B5B">
        <w:rPr>
          <w:lang w:eastAsia="en-US"/>
        </w:rPr>
        <w:t xml:space="preserve">usiness </w:t>
      </w:r>
      <w:r>
        <w:rPr>
          <w:lang w:eastAsia="en-US"/>
        </w:rPr>
        <w:t>c</w:t>
      </w:r>
      <w:r w:rsidRPr="00D75B5B">
        <w:rPr>
          <w:lang w:eastAsia="en-US"/>
        </w:rPr>
        <w:t>ase for the Stage 2A element of the overall project to deliver light rail to Woden;</w:t>
      </w:r>
    </w:p>
    <w:p w:rsidR="00C55972" w:rsidRPr="00D75B5B" w:rsidRDefault="00C55972" w:rsidP="00C55972">
      <w:pPr>
        <w:pStyle w:val="DPSEntryIndents"/>
        <w:numPr>
          <w:ilvl w:val="1"/>
          <w:numId w:val="3"/>
        </w:numPr>
        <w:rPr>
          <w:lang w:eastAsia="en-US"/>
        </w:rPr>
      </w:pPr>
      <w:r w:rsidRPr="00D75B5B">
        <w:rPr>
          <w:lang w:eastAsia="en-US"/>
        </w:rPr>
        <w:t>the vast majority of financial information in that business case had been redacted; and</w:t>
      </w:r>
    </w:p>
    <w:p w:rsidR="00C55972" w:rsidRPr="00D75B5B" w:rsidRDefault="00055D3E" w:rsidP="00C55972">
      <w:pPr>
        <w:pStyle w:val="DPSEntryIndents"/>
        <w:numPr>
          <w:ilvl w:val="1"/>
          <w:numId w:val="3"/>
        </w:numPr>
        <w:rPr>
          <w:lang w:eastAsia="en-US"/>
        </w:rPr>
      </w:pPr>
      <w:r>
        <w:rPr>
          <w:lang w:eastAsia="en-US"/>
        </w:rPr>
        <w:t>g</w:t>
      </w:r>
      <w:r w:rsidR="00C55972" w:rsidRPr="00D75B5B">
        <w:rPr>
          <w:lang w:eastAsia="en-US"/>
        </w:rPr>
        <w:t>iven that Canberrans will pay for most of the light rail project, they are reasonably entitled to adequate information on this large project;</w:t>
      </w:r>
    </w:p>
    <w:p w:rsidR="00C55972" w:rsidRPr="00D75B5B" w:rsidRDefault="00C55972" w:rsidP="00C55972">
      <w:pPr>
        <w:pStyle w:val="DPSEntryIndents"/>
        <w:rPr>
          <w:lang w:eastAsia="en-US"/>
        </w:rPr>
      </w:pPr>
      <w:r w:rsidRPr="00D75B5B">
        <w:rPr>
          <w:lang w:eastAsia="en-US"/>
        </w:rPr>
        <w:t>further notes that the ACT Auditor-General:</w:t>
      </w:r>
    </w:p>
    <w:p w:rsidR="00C55972" w:rsidRPr="00D75B5B" w:rsidRDefault="00C55972" w:rsidP="008B6DC3">
      <w:pPr>
        <w:pStyle w:val="DPSEntryIndents"/>
        <w:numPr>
          <w:ilvl w:val="1"/>
          <w:numId w:val="36"/>
        </w:numPr>
        <w:rPr>
          <w:lang w:eastAsia="en-US"/>
        </w:rPr>
      </w:pPr>
      <w:r w:rsidRPr="00D75B5B">
        <w:rPr>
          <w:lang w:eastAsia="en-US"/>
        </w:rPr>
        <w:t>on 24 August, released a report on the Government</w:t>
      </w:r>
      <w:r w:rsidR="00696898">
        <w:rPr>
          <w:lang w:eastAsia="en-US"/>
        </w:rPr>
        <w:t>’</w:t>
      </w:r>
      <w:r w:rsidRPr="00D75B5B">
        <w:rPr>
          <w:lang w:eastAsia="en-US"/>
        </w:rPr>
        <w:t>s economic analysis case for Light Rail Stage 2A;</w:t>
      </w:r>
    </w:p>
    <w:p w:rsidR="00C55972" w:rsidRPr="00D75B5B" w:rsidRDefault="00C55972" w:rsidP="008B6DC3">
      <w:pPr>
        <w:pStyle w:val="DPSEntryIndents"/>
        <w:numPr>
          <w:ilvl w:val="1"/>
          <w:numId w:val="36"/>
        </w:numPr>
        <w:rPr>
          <w:lang w:eastAsia="en-US"/>
        </w:rPr>
      </w:pPr>
      <w:r w:rsidRPr="00D75B5B">
        <w:rPr>
          <w:lang w:eastAsia="en-US"/>
        </w:rPr>
        <w:t>noted a number of significant cost omissions including wire-free power for light rail vehicles and disruption costs caused by the protracted construction period;</w:t>
      </w:r>
    </w:p>
    <w:p w:rsidR="00C55972" w:rsidRPr="00D75B5B" w:rsidRDefault="00C55972" w:rsidP="008B6DC3">
      <w:pPr>
        <w:pStyle w:val="DPSEntryIndents"/>
        <w:numPr>
          <w:ilvl w:val="1"/>
          <w:numId w:val="36"/>
        </w:numPr>
        <w:rPr>
          <w:lang w:eastAsia="en-US"/>
        </w:rPr>
      </w:pPr>
      <w:r w:rsidRPr="00D75B5B">
        <w:rPr>
          <w:lang w:eastAsia="en-US"/>
        </w:rPr>
        <w:t>also noted economic benefits claimed in the Government</w:t>
      </w:r>
      <w:r w:rsidR="00696898">
        <w:rPr>
          <w:lang w:eastAsia="en-US"/>
        </w:rPr>
        <w:t>’</w:t>
      </w:r>
      <w:r w:rsidRPr="00D75B5B">
        <w:rPr>
          <w:lang w:eastAsia="en-US"/>
        </w:rPr>
        <w:t>s analysis relied heavily on residential development value gains in the Acton precinct as well as less specific and un-quantified wider economic benefits elsewhere;</w:t>
      </w:r>
    </w:p>
    <w:p w:rsidR="00C55972" w:rsidRPr="00D75B5B" w:rsidRDefault="00C55972" w:rsidP="008B6DC3">
      <w:pPr>
        <w:pStyle w:val="DPSEntryIndents"/>
        <w:numPr>
          <w:ilvl w:val="1"/>
          <w:numId w:val="36"/>
        </w:numPr>
        <w:rPr>
          <w:lang w:eastAsia="en-US"/>
        </w:rPr>
      </w:pPr>
      <w:r w:rsidRPr="00D75B5B">
        <w:rPr>
          <w:lang w:eastAsia="en-US"/>
        </w:rPr>
        <w:t>raised concerns over lack of transparency, insufficient quantification of costs and benefits and lack of a benefits realisation plan including on how light rail will accelerate development of Acton; and</w:t>
      </w:r>
    </w:p>
    <w:p w:rsidR="00C55972" w:rsidRPr="00D75B5B" w:rsidRDefault="00C55972" w:rsidP="008B6DC3">
      <w:pPr>
        <w:pStyle w:val="DPSEntryIndents"/>
        <w:numPr>
          <w:ilvl w:val="1"/>
          <w:numId w:val="36"/>
        </w:numPr>
        <w:rPr>
          <w:lang w:eastAsia="en-US"/>
        </w:rPr>
      </w:pPr>
      <w:r w:rsidRPr="00D75B5B">
        <w:rPr>
          <w:lang w:eastAsia="en-US"/>
        </w:rPr>
        <w:t xml:space="preserve">also expressed other concerns and questions over the </w:t>
      </w:r>
      <w:r>
        <w:rPr>
          <w:lang w:eastAsia="en-US"/>
        </w:rPr>
        <w:t>b</w:t>
      </w:r>
      <w:r w:rsidRPr="00D75B5B">
        <w:rPr>
          <w:lang w:eastAsia="en-US"/>
        </w:rPr>
        <w:t xml:space="preserve">usiness </w:t>
      </w:r>
      <w:r>
        <w:rPr>
          <w:lang w:eastAsia="en-US"/>
        </w:rPr>
        <w:t>c</w:t>
      </w:r>
      <w:r w:rsidRPr="00D75B5B">
        <w:rPr>
          <w:lang w:eastAsia="en-US"/>
        </w:rPr>
        <w:t>ase including the basis of patronage figures and the impact of COVID on future requirements for publi</w:t>
      </w:r>
      <w:r>
        <w:rPr>
          <w:lang w:eastAsia="en-US"/>
        </w:rPr>
        <w:t>c transport; and</w:t>
      </w:r>
    </w:p>
    <w:p w:rsidR="00C55972" w:rsidRPr="00D75B5B" w:rsidRDefault="00C55972" w:rsidP="008B6DC3">
      <w:pPr>
        <w:pStyle w:val="DPSEntryIndents"/>
        <w:keepNext/>
        <w:rPr>
          <w:lang w:eastAsia="en-US"/>
        </w:rPr>
      </w:pPr>
      <w:r w:rsidRPr="00D75B5B">
        <w:rPr>
          <w:lang w:eastAsia="en-US"/>
        </w:rPr>
        <w:lastRenderedPageBreak/>
        <w:t>calls on the ACT Legislative Assembly to:</w:t>
      </w:r>
    </w:p>
    <w:p w:rsidR="00C55972" w:rsidRPr="00D75B5B" w:rsidRDefault="00C55972" w:rsidP="008B6DC3">
      <w:pPr>
        <w:pStyle w:val="DPSEntryIndents"/>
        <w:numPr>
          <w:ilvl w:val="1"/>
          <w:numId w:val="37"/>
        </w:numPr>
        <w:rPr>
          <w:lang w:eastAsia="en-US"/>
        </w:rPr>
      </w:pPr>
      <w:r w:rsidRPr="00D75B5B">
        <w:rPr>
          <w:lang w:eastAsia="en-US"/>
        </w:rPr>
        <w:t>establish a select committee for the remainder of this Assembly term, to consider and report on any matter relating to the Light Rail Stage 2 Project</w:t>
      </w:r>
      <w:r w:rsidR="006F5148">
        <w:rPr>
          <w:lang w:eastAsia="en-US"/>
        </w:rPr>
        <w:t>, including:</w:t>
      </w:r>
    </w:p>
    <w:p w:rsidR="00C55972" w:rsidRPr="00D75B5B" w:rsidRDefault="00C55972" w:rsidP="008B6DC3">
      <w:pPr>
        <w:pStyle w:val="DPSEntryIndents"/>
        <w:numPr>
          <w:ilvl w:val="2"/>
          <w:numId w:val="37"/>
        </w:numPr>
        <w:rPr>
          <w:lang w:eastAsia="en-US"/>
        </w:rPr>
      </w:pPr>
      <w:r w:rsidRPr="00D75B5B">
        <w:rPr>
          <w:lang w:eastAsia="en-US"/>
        </w:rPr>
        <w:t>project implementation and progress;</w:t>
      </w:r>
    </w:p>
    <w:p w:rsidR="00C55972" w:rsidRPr="00D75B5B" w:rsidRDefault="00C55972" w:rsidP="008B6DC3">
      <w:pPr>
        <w:pStyle w:val="DPSEntryIndents"/>
        <w:numPr>
          <w:ilvl w:val="2"/>
          <w:numId w:val="37"/>
        </w:numPr>
        <w:rPr>
          <w:lang w:eastAsia="en-US"/>
        </w:rPr>
      </w:pPr>
      <w:r w:rsidRPr="00D75B5B">
        <w:rPr>
          <w:lang w:eastAsia="en-US"/>
        </w:rPr>
        <w:t>management of disruption generated by project activity;</w:t>
      </w:r>
    </w:p>
    <w:p w:rsidR="00C55972" w:rsidRPr="00D75B5B" w:rsidRDefault="00C55972" w:rsidP="008B6DC3">
      <w:pPr>
        <w:pStyle w:val="DPSEntryIndents"/>
        <w:numPr>
          <w:ilvl w:val="2"/>
          <w:numId w:val="37"/>
        </w:numPr>
        <w:rPr>
          <w:lang w:eastAsia="en-US"/>
        </w:rPr>
      </w:pPr>
      <w:r w:rsidRPr="00D75B5B">
        <w:rPr>
          <w:lang w:eastAsia="en-US"/>
        </w:rPr>
        <w:t>risks and their mitigation;</w:t>
      </w:r>
    </w:p>
    <w:p w:rsidR="00C55972" w:rsidRPr="00D75B5B" w:rsidRDefault="00C55972" w:rsidP="008B6DC3">
      <w:pPr>
        <w:pStyle w:val="DPSEntryIndents"/>
        <w:numPr>
          <w:ilvl w:val="2"/>
          <w:numId w:val="37"/>
        </w:numPr>
        <w:rPr>
          <w:lang w:eastAsia="en-US"/>
        </w:rPr>
      </w:pPr>
      <w:r w:rsidRPr="00D75B5B">
        <w:rPr>
          <w:lang w:eastAsia="en-US"/>
        </w:rPr>
        <w:t>community and business issues and concerns;</w:t>
      </w:r>
    </w:p>
    <w:p w:rsidR="00C55972" w:rsidRPr="00D75B5B" w:rsidRDefault="00C55972" w:rsidP="008B6DC3">
      <w:pPr>
        <w:pStyle w:val="DPSEntryIndents"/>
        <w:numPr>
          <w:ilvl w:val="2"/>
          <w:numId w:val="37"/>
        </w:numPr>
        <w:rPr>
          <w:lang w:eastAsia="en-US"/>
        </w:rPr>
      </w:pPr>
      <w:r w:rsidRPr="00D75B5B">
        <w:rPr>
          <w:lang w:eastAsia="en-US"/>
        </w:rPr>
        <w:t>impact of COVID on commuter practices and public transport demand;</w:t>
      </w:r>
    </w:p>
    <w:p w:rsidR="00C55972" w:rsidRPr="00D75B5B" w:rsidRDefault="00C55972" w:rsidP="008B6DC3">
      <w:pPr>
        <w:pStyle w:val="DPSEntryIndents"/>
        <w:numPr>
          <w:ilvl w:val="2"/>
          <w:numId w:val="37"/>
        </w:numPr>
        <w:rPr>
          <w:lang w:eastAsia="en-US"/>
        </w:rPr>
      </w:pPr>
      <w:r w:rsidRPr="00D75B5B">
        <w:rPr>
          <w:lang w:eastAsia="en-US"/>
        </w:rPr>
        <w:t>project resources including funding requirements;</w:t>
      </w:r>
    </w:p>
    <w:p w:rsidR="00C55972" w:rsidRPr="00D75B5B" w:rsidRDefault="00C55972" w:rsidP="008B6DC3">
      <w:pPr>
        <w:pStyle w:val="DPSEntryIndents"/>
        <w:numPr>
          <w:ilvl w:val="2"/>
          <w:numId w:val="37"/>
        </w:numPr>
        <w:rPr>
          <w:lang w:eastAsia="en-US"/>
        </w:rPr>
      </w:pPr>
      <w:r w:rsidRPr="00D75B5B">
        <w:rPr>
          <w:lang w:eastAsia="en-US"/>
        </w:rPr>
        <w:t>implementation of the Auditor-General</w:t>
      </w:r>
      <w:r w:rsidR="00696898">
        <w:rPr>
          <w:lang w:eastAsia="en-US"/>
        </w:rPr>
        <w:t>’</w:t>
      </w:r>
      <w:r w:rsidRPr="00D75B5B">
        <w:rPr>
          <w:lang w:eastAsia="en-US"/>
        </w:rPr>
        <w:t>s recommendations; and</w:t>
      </w:r>
    </w:p>
    <w:p w:rsidR="00C55972" w:rsidRPr="00D75B5B" w:rsidRDefault="00C55972" w:rsidP="008B6DC3">
      <w:pPr>
        <w:pStyle w:val="DPSEntryIndents"/>
        <w:numPr>
          <w:ilvl w:val="2"/>
          <w:numId w:val="37"/>
        </w:numPr>
        <w:rPr>
          <w:lang w:eastAsia="en-US"/>
        </w:rPr>
      </w:pPr>
      <w:r w:rsidRPr="00D75B5B">
        <w:rPr>
          <w:lang w:eastAsia="en-US"/>
        </w:rPr>
        <w:t>any other matter relating to the Light Rail Stage 2 Project;</w:t>
      </w:r>
    </w:p>
    <w:p w:rsidR="00C55972" w:rsidRPr="00D75B5B" w:rsidRDefault="00C55972" w:rsidP="008B6DC3">
      <w:pPr>
        <w:pStyle w:val="DPSEntryIndents"/>
        <w:numPr>
          <w:ilvl w:val="1"/>
          <w:numId w:val="37"/>
        </w:numPr>
        <w:rPr>
          <w:lang w:eastAsia="en-US"/>
        </w:rPr>
      </w:pPr>
      <w:r w:rsidRPr="00D75B5B">
        <w:rPr>
          <w:lang w:eastAsia="en-US"/>
        </w:rPr>
        <w:t>agree that in r</w:t>
      </w:r>
      <w:r w:rsidR="00FD350C">
        <w:rPr>
          <w:lang w:eastAsia="en-US"/>
        </w:rPr>
        <w:t>elation to the select committee:</w:t>
      </w:r>
    </w:p>
    <w:p w:rsidR="00C55972" w:rsidRPr="00D75B5B" w:rsidRDefault="00C55972" w:rsidP="008B6DC3">
      <w:pPr>
        <w:pStyle w:val="DPSEntryIndents"/>
        <w:numPr>
          <w:ilvl w:val="2"/>
          <w:numId w:val="37"/>
        </w:numPr>
        <w:rPr>
          <w:lang w:eastAsia="en-US"/>
        </w:rPr>
      </w:pPr>
      <w:r w:rsidRPr="00D75B5B">
        <w:rPr>
          <w:lang w:eastAsia="en-US"/>
        </w:rPr>
        <w:t>two Members be nominated by the Coalition Government;</w:t>
      </w:r>
    </w:p>
    <w:p w:rsidR="00C55972" w:rsidRPr="00D75B5B" w:rsidRDefault="00C55972" w:rsidP="008B6DC3">
      <w:pPr>
        <w:pStyle w:val="DPSEntryIndents"/>
        <w:numPr>
          <w:ilvl w:val="2"/>
          <w:numId w:val="37"/>
        </w:numPr>
        <w:rPr>
          <w:lang w:eastAsia="en-US"/>
        </w:rPr>
      </w:pPr>
      <w:r w:rsidRPr="00D75B5B">
        <w:rPr>
          <w:lang w:eastAsia="en-US"/>
        </w:rPr>
        <w:t>two Members be nominated by the Opposition; and</w:t>
      </w:r>
    </w:p>
    <w:p w:rsidR="00C55972" w:rsidRPr="00D75B5B" w:rsidRDefault="00C55972" w:rsidP="008B6DC3">
      <w:pPr>
        <w:pStyle w:val="DPSEntryIndents"/>
        <w:numPr>
          <w:ilvl w:val="2"/>
          <w:numId w:val="37"/>
        </w:numPr>
        <w:rPr>
          <w:lang w:eastAsia="en-US"/>
        </w:rPr>
      </w:pPr>
      <w:r w:rsidRPr="00D75B5B">
        <w:rPr>
          <w:lang w:eastAsia="en-US"/>
        </w:rPr>
        <w:t>an Opposition Member to be el</w:t>
      </w:r>
      <w:r>
        <w:rPr>
          <w:lang w:eastAsia="en-US"/>
        </w:rPr>
        <w:t>ected as chair by the committee; and</w:t>
      </w:r>
    </w:p>
    <w:p w:rsidR="00C55972" w:rsidRPr="00D75B5B" w:rsidRDefault="00C55972" w:rsidP="008B6DC3">
      <w:pPr>
        <w:pStyle w:val="DPSEntryIndents"/>
        <w:numPr>
          <w:ilvl w:val="1"/>
          <w:numId w:val="37"/>
        </w:numPr>
        <w:rPr>
          <w:lang w:eastAsia="en-US"/>
        </w:rPr>
      </w:pPr>
      <w:r w:rsidRPr="00D75B5B">
        <w:rPr>
          <w:lang w:eastAsia="en-US"/>
        </w:rPr>
        <w:t>agree that the commi</w:t>
      </w:r>
      <w:r w:rsidR="00FD350C">
        <w:rPr>
          <w:lang w:eastAsia="en-US"/>
        </w:rPr>
        <w:t>ttee:</w:t>
      </w:r>
    </w:p>
    <w:p w:rsidR="00C55972" w:rsidRPr="00D75B5B" w:rsidRDefault="00C55972" w:rsidP="008B6DC3">
      <w:pPr>
        <w:pStyle w:val="DPSEntryIndents"/>
        <w:numPr>
          <w:ilvl w:val="2"/>
          <w:numId w:val="37"/>
        </w:numPr>
        <w:rPr>
          <w:lang w:eastAsia="en-US"/>
        </w:rPr>
      </w:pPr>
      <w:r w:rsidRPr="00D75B5B">
        <w:rPr>
          <w:lang w:eastAsia="en-US"/>
        </w:rPr>
        <w:t>in conducting any public hearings, be mindful of the Public Health Emergency declaration;</w:t>
      </w:r>
    </w:p>
    <w:p w:rsidR="00C55972" w:rsidRPr="00D75B5B" w:rsidRDefault="00C55972" w:rsidP="008B6DC3">
      <w:pPr>
        <w:pStyle w:val="DPSEntryIndents"/>
        <w:numPr>
          <w:ilvl w:val="2"/>
          <w:numId w:val="37"/>
        </w:numPr>
        <w:rPr>
          <w:lang w:eastAsia="en-US"/>
        </w:rPr>
      </w:pPr>
      <w:r w:rsidRPr="00D75B5B">
        <w:rPr>
          <w:lang w:eastAsia="en-US"/>
        </w:rPr>
        <w:t xml:space="preserve">report to the Assembly on a bi-annual basis; </w:t>
      </w:r>
    </w:p>
    <w:p w:rsidR="00C55972" w:rsidRPr="00D75B5B" w:rsidRDefault="00C55972" w:rsidP="008B6DC3">
      <w:pPr>
        <w:pStyle w:val="DPSEntryIndents"/>
        <w:numPr>
          <w:ilvl w:val="2"/>
          <w:numId w:val="37"/>
        </w:numPr>
        <w:rPr>
          <w:lang w:eastAsia="en-US"/>
        </w:rPr>
      </w:pPr>
      <w:r w:rsidRPr="00D75B5B">
        <w:rPr>
          <w:lang w:eastAsia="en-US"/>
        </w:rPr>
        <w:t>be mindful of other committee and Assembly business requirements; and</w:t>
      </w:r>
    </w:p>
    <w:p w:rsidR="00C55972" w:rsidRDefault="00C55972" w:rsidP="008B6DC3">
      <w:pPr>
        <w:pStyle w:val="DPSEntryIndents"/>
        <w:numPr>
          <w:ilvl w:val="2"/>
          <w:numId w:val="37"/>
        </w:numPr>
        <w:rPr>
          <w:lang w:eastAsia="en-US"/>
        </w:rPr>
      </w:pPr>
      <w:r w:rsidRPr="00D75B5B">
        <w:rPr>
          <w:lang w:eastAsia="en-US"/>
        </w:rPr>
        <w:t xml:space="preserve">deliver its final report by no later than the last sitting day of this </w:t>
      </w:r>
      <w:r>
        <w:rPr>
          <w:lang w:eastAsia="en-US"/>
        </w:rPr>
        <w:t>t</w:t>
      </w:r>
      <w:r w:rsidRPr="00D75B5B">
        <w:rPr>
          <w:lang w:eastAsia="en-US"/>
        </w:rPr>
        <w:t>erm.</w:t>
      </w:r>
    </w:p>
    <w:p w:rsidR="000A1692" w:rsidRDefault="000A1692" w:rsidP="00C55972">
      <w:pPr>
        <w:tabs>
          <w:tab w:val="left" w:pos="1197"/>
          <w:tab w:val="left" w:pos="1767"/>
        </w:tabs>
        <w:spacing w:before="120"/>
        <w:ind w:left="720"/>
        <w:rPr>
          <w:rFonts w:ascii="Calibri" w:hAnsi="Calibri"/>
          <w:lang w:val="en-AU"/>
        </w:rPr>
      </w:pPr>
      <w:r w:rsidRPr="000A1692">
        <w:rPr>
          <w:rFonts w:ascii="Calibri" w:hAnsi="Calibri"/>
          <w:lang w:val="en-AU"/>
        </w:rPr>
        <w:t>Debate ensued.</w:t>
      </w:r>
    </w:p>
    <w:p w:rsidR="00D63999" w:rsidRDefault="00D63999" w:rsidP="00C55972">
      <w:pPr>
        <w:tabs>
          <w:tab w:val="left" w:pos="1197"/>
          <w:tab w:val="left" w:pos="1767"/>
        </w:tabs>
        <w:spacing w:before="120"/>
        <w:ind w:left="720"/>
        <w:rPr>
          <w:rFonts w:ascii="Calibri" w:hAnsi="Calibri"/>
          <w:lang w:val="en-AU"/>
        </w:rPr>
      </w:pPr>
      <w:r>
        <w:rPr>
          <w:rFonts w:ascii="Calibri" w:hAnsi="Calibri"/>
          <w:lang w:val="en-AU"/>
        </w:rPr>
        <w:t xml:space="preserve">Mr Steel (Special Minister of State) moved the following amendment:  Omit all text after </w:t>
      </w:r>
      <w:r w:rsidR="00696898">
        <w:rPr>
          <w:rFonts w:ascii="Calibri" w:hAnsi="Calibri"/>
          <w:lang w:val="en-AU"/>
        </w:rPr>
        <w:t>“</w:t>
      </w:r>
      <w:r>
        <w:rPr>
          <w:rFonts w:ascii="Calibri" w:hAnsi="Calibri"/>
          <w:lang w:val="en-AU"/>
        </w:rPr>
        <w:t>notes</w:t>
      </w:r>
      <w:r w:rsidR="00696898">
        <w:rPr>
          <w:rFonts w:ascii="Calibri" w:hAnsi="Calibri"/>
          <w:lang w:val="en-AU"/>
        </w:rPr>
        <w:t>”</w:t>
      </w:r>
      <w:r>
        <w:rPr>
          <w:rFonts w:ascii="Calibri" w:hAnsi="Calibri"/>
          <w:lang w:val="en-AU"/>
        </w:rPr>
        <w:t xml:space="preserve"> (first occurring), substitute:</w:t>
      </w:r>
    </w:p>
    <w:p w:rsidR="00D63999" w:rsidRPr="00926CA4" w:rsidRDefault="00696898" w:rsidP="00D63999">
      <w:pPr>
        <w:pStyle w:val="DPSEntryIndents"/>
        <w:numPr>
          <w:ilvl w:val="0"/>
          <w:numId w:val="0"/>
        </w:numPr>
        <w:tabs>
          <w:tab w:val="left" w:pos="1890"/>
        </w:tabs>
        <w:ind w:left="1890" w:hanging="522"/>
      </w:pPr>
      <w:r>
        <w:t>“</w:t>
      </w:r>
      <w:r w:rsidR="00D63999">
        <w:t>(a)</w:t>
      </w:r>
      <w:r w:rsidR="00D63999">
        <w:tab/>
        <w:t>Light</w:t>
      </w:r>
      <w:r w:rsidR="00D63999" w:rsidRPr="00926CA4">
        <w:t xml:space="preserve"> </w:t>
      </w:r>
      <w:r w:rsidR="00D63999" w:rsidRPr="00F765DA">
        <w:t>Rail Stage 2 is the largest investment project ever undertaken by a territory government</w:t>
      </w:r>
      <w:r w:rsidR="00D63999" w:rsidRPr="00926CA4">
        <w:t>;</w:t>
      </w:r>
    </w:p>
    <w:p w:rsidR="00D63999" w:rsidRPr="00F765DA" w:rsidRDefault="00D63999" w:rsidP="004E31E3">
      <w:pPr>
        <w:pStyle w:val="DPSEntryIndents"/>
        <w:numPr>
          <w:ilvl w:val="1"/>
          <w:numId w:val="35"/>
        </w:numPr>
      </w:pPr>
      <w:r>
        <w:t xml:space="preserve">hundreds of </w:t>
      </w:r>
      <w:r w:rsidRPr="00F765DA">
        <w:t>millions of dollars are being invested in a single transport route and transport technology to connect Civic with Woden</w:t>
      </w:r>
      <w:r>
        <w:t>;</w:t>
      </w:r>
    </w:p>
    <w:p w:rsidR="00D63999" w:rsidRPr="00F765DA" w:rsidRDefault="00D63999" w:rsidP="00D63999">
      <w:pPr>
        <w:pStyle w:val="DPSEntryIndents"/>
        <w:numPr>
          <w:ilvl w:val="1"/>
          <w:numId w:val="30"/>
        </w:numPr>
      </w:pPr>
      <w:r>
        <w:t>t</w:t>
      </w:r>
      <w:r w:rsidRPr="00F765DA">
        <w:t>he Canberra community will experience significant disruption to intra-city travel and business operations for four years or so while construction proceeds;</w:t>
      </w:r>
    </w:p>
    <w:p w:rsidR="00D63999" w:rsidRPr="00F765DA" w:rsidRDefault="00D63999" w:rsidP="008B6DC3">
      <w:pPr>
        <w:pStyle w:val="DPSEntryIndents"/>
        <w:keepNext/>
        <w:numPr>
          <w:ilvl w:val="1"/>
          <w:numId w:val="30"/>
        </w:numPr>
      </w:pPr>
      <w:r>
        <w:lastRenderedPageBreak/>
        <w:t>m</w:t>
      </w:r>
      <w:r w:rsidRPr="00F765DA">
        <w:t>any Canberrans, community bodies and business groups are taking a strong interest in this project;</w:t>
      </w:r>
    </w:p>
    <w:p w:rsidR="00D63999" w:rsidRPr="00F765DA" w:rsidRDefault="00D63999" w:rsidP="00D63999">
      <w:pPr>
        <w:pStyle w:val="DPSEntryIndents"/>
        <w:numPr>
          <w:ilvl w:val="1"/>
          <w:numId w:val="30"/>
        </w:numPr>
      </w:pPr>
      <w:r>
        <w:t>m</w:t>
      </w:r>
      <w:r w:rsidRPr="00F765DA">
        <w:t>any local communities and living precincts will be affected by the construction and completion of the light rail corridor;</w:t>
      </w:r>
    </w:p>
    <w:p w:rsidR="00D63999" w:rsidRPr="00F765DA" w:rsidRDefault="00D63999" w:rsidP="00D63999">
      <w:pPr>
        <w:pStyle w:val="DPSEntryIndents"/>
        <w:numPr>
          <w:ilvl w:val="1"/>
          <w:numId w:val="30"/>
        </w:numPr>
      </w:pPr>
      <w:r>
        <w:t>t</w:t>
      </w:r>
      <w:r w:rsidRPr="00F765DA">
        <w:t>he total project cost will be a major investment in Canberra</w:t>
      </w:r>
      <w:r w:rsidR="00696898">
        <w:t>’</w:t>
      </w:r>
      <w:r w:rsidRPr="00F765DA">
        <w:t>s future;</w:t>
      </w:r>
    </w:p>
    <w:p w:rsidR="00D63999" w:rsidRPr="00F765DA" w:rsidRDefault="00D63999" w:rsidP="00D63999">
      <w:pPr>
        <w:pStyle w:val="DPSEntryIndents"/>
        <w:numPr>
          <w:ilvl w:val="1"/>
          <w:numId w:val="30"/>
        </w:numPr>
      </w:pPr>
      <w:r>
        <w:t>i</w:t>
      </w:r>
      <w:r w:rsidRPr="00F765DA">
        <w:t>n August 2019, the Government published a Business case for the Stage 2A element of the overall project to deliver light rail to Woden;</w:t>
      </w:r>
    </w:p>
    <w:p w:rsidR="00D63999" w:rsidRPr="00F765DA" w:rsidRDefault="00D63999" w:rsidP="00D63999">
      <w:pPr>
        <w:pStyle w:val="DPSEntryIndents"/>
        <w:numPr>
          <w:ilvl w:val="1"/>
          <w:numId w:val="30"/>
        </w:numPr>
      </w:pPr>
      <w:r>
        <w:t>t</w:t>
      </w:r>
      <w:r w:rsidRPr="00F765DA">
        <w:t>he majority of financial information in that business case had been redacted for commercial reasons; and</w:t>
      </w:r>
    </w:p>
    <w:p w:rsidR="00D63999" w:rsidRPr="00926CA4" w:rsidRDefault="00D63999" w:rsidP="00D63999">
      <w:pPr>
        <w:pStyle w:val="DPSEntryIndents"/>
        <w:numPr>
          <w:ilvl w:val="1"/>
          <w:numId w:val="30"/>
        </w:numPr>
      </w:pPr>
      <w:r>
        <w:t>g</w:t>
      </w:r>
      <w:r w:rsidRPr="00F765DA">
        <w:t>iven that Canberrans will pay for most of the light rail project they are reasonably entitled to adequate information on this large project</w:t>
      </w:r>
      <w:r>
        <w:t>;</w:t>
      </w:r>
    </w:p>
    <w:p w:rsidR="00D63999" w:rsidRDefault="00D63999" w:rsidP="00D63999">
      <w:pPr>
        <w:pStyle w:val="DPSEntryIndents"/>
        <w:numPr>
          <w:ilvl w:val="0"/>
          <w:numId w:val="32"/>
        </w:numPr>
      </w:pPr>
      <w:r>
        <w:t>further</w:t>
      </w:r>
      <w:r w:rsidRPr="00926CA4">
        <w:t xml:space="preserve"> </w:t>
      </w:r>
      <w:r w:rsidRPr="00F765DA">
        <w:t>notes that the ACT Auditor-General</w:t>
      </w:r>
      <w:r>
        <w:t>:</w:t>
      </w:r>
    </w:p>
    <w:p w:rsidR="00D63999" w:rsidRPr="00F765DA" w:rsidRDefault="00D63999" w:rsidP="00D63999">
      <w:pPr>
        <w:pStyle w:val="DPSEntryIndents"/>
        <w:numPr>
          <w:ilvl w:val="1"/>
          <w:numId w:val="30"/>
        </w:numPr>
      </w:pPr>
      <w:r>
        <w:t xml:space="preserve">on 24 September, </w:t>
      </w:r>
      <w:r w:rsidRPr="00F765DA">
        <w:t>released a report on the government</w:t>
      </w:r>
      <w:r w:rsidR="00696898">
        <w:t>’</w:t>
      </w:r>
      <w:r w:rsidRPr="00F765DA">
        <w:t>s economic analysis case for Light Rail Stage 2A;</w:t>
      </w:r>
    </w:p>
    <w:p w:rsidR="00D63999" w:rsidRPr="00F765DA" w:rsidRDefault="00D63999" w:rsidP="00D63999">
      <w:pPr>
        <w:pStyle w:val="DPSEntryIndents"/>
        <w:numPr>
          <w:ilvl w:val="1"/>
          <w:numId w:val="30"/>
        </w:numPr>
      </w:pPr>
      <w:r>
        <w:t>n</w:t>
      </w:r>
      <w:r w:rsidRPr="00F765DA">
        <w:t>oted items including wire-free power for light rail vehicles and disruption costs caused by the protracted construction period were not included in the original costings;</w:t>
      </w:r>
    </w:p>
    <w:p w:rsidR="00D63999" w:rsidRPr="00F765DA" w:rsidRDefault="00D63999" w:rsidP="00D63999">
      <w:pPr>
        <w:pStyle w:val="DPSEntryIndents"/>
        <w:numPr>
          <w:ilvl w:val="1"/>
          <w:numId w:val="30"/>
        </w:numPr>
      </w:pPr>
      <w:r>
        <w:t>a</w:t>
      </w:r>
      <w:r w:rsidRPr="00F765DA">
        <w:t>lso noted economic benefits claimed in the Government</w:t>
      </w:r>
      <w:r w:rsidR="00696898">
        <w:t>’</w:t>
      </w:r>
      <w:r w:rsidRPr="00F765DA">
        <w:t xml:space="preserve">s analysis included residential development value gains in the Acton precinct as well as wider economic benefits elsewhere; </w:t>
      </w:r>
    </w:p>
    <w:p w:rsidR="00D63999" w:rsidRPr="00F765DA" w:rsidRDefault="00D63999" w:rsidP="00D63999">
      <w:pPr>
        <w:pStyle w:val="DPSEntryIndents"/>
        <w:numPr>
          <w:ilvl w:val="1"/>
          <w:numId w:val="30"/>
        </w:numPr>
      </w:pPr>
      <w:r>
        <w:t>r</w:t>
      </w:r>
      <w:r w:rsidRPr="00F765DA">
        <w:t>aised questions about quantification of costs and benefits and highlighted the importance of developing a benefits realisation plan including on how light rail will facilitate development of Acton; and</w:t>
      </w:r>
    </w:p>
    <w:p w:rsidR="00D63999" w:rsidRDefault="00D63999" w:rsidP="00D63999">
      <w:pPr>
        <w:pStyle w:val="DPSEntryIndents"/>
        <w:numPr>
          <w:ilvl w:val="1"/>
          <w:numId w:val="30"/>
        </w:numPr>
      </w:pPr>
      <w:r>
        <w:t>a</w:t>
      </w:r>
      <w:r w:rsidRPr="00F765DA">
        <w:t>lso raised further questions over the Business Case including the basis of patronage figures and the impact of COVID on future requirements for public transport</w:t>
      </w:r>
      <w:r>
        <w:t>; and</w:t>
      </w:r>
    </w:p>
    <w:p w:rsidR="00D63999" w:rsidRDefault="00D63999" w:rsidP="00D63999">
      <w:pPr>
        <w:pStyle w:val="DPSEntryIndents"/>
      </w:pPr>
      <w:r>
        <w:t>calls on the Legislative Assembly to:</w:t>
      </w:r>
    </w:p>
    <w:p w:rsidR="00D63999" w:rsidRPr="00F765DA" w:rsidRDefault="00D63999" w:rsidP="00D63999">
      <w:pPr>
        <w:pStyle w:val="DPSEntryIndents"/>
        <w:numPr>
          <w:ilvl w:val="1"/>
          <w:numId w:val="30"/>
        </w:numPr>
      </w:pPr>
      <w:r>
        <w:t xml:space="preserve">request </w:t>
      </w:r>
      <w:r w:rsidRPr="00F765DA">
        <w:t>the Public Accounts Committee to consider and report on the Light Rail Stage 2 Project with a particular view to reporting on issues raised by the ACT Auditor-General; and</w:t>
      </w:r>
    </w:p>
    <w:p w:rsidR="00D63999" w:rsidRPr="002C20DA" w:rsidRDefault="00D63999" w:rsidP="00D63999">
      <w:pPr>
        <w:pStyle w:val="DPSEntryIndents"/>
        <w:numPr>
          <w:ilvl w:val="1"/>
          <w:numId w:val="30"/>
        </w:numPr>
      </w:pPr>
      <w:r>
        <w:t>n</w:t>
      </w:r>
      <w:r w:rsidRPr="00F765DA">
        <w:t>ote that the ACT Government will be providing a formal response to the Auditor-General</w:t>
      </w:r>
      <w:r w:rsidR="00696898">
        <w:t>’</w:t>
      </w:r>
      <w:r w:rsidRPr="00F765DA">
        <w:t>s report within three months</w:t>
      </w:r>
      <w:r>
        <w:t>.</w:t>
      </w:r>
      <w:r w:rsidR="00696898">
        <w:t>”</w:t>
      </w:r>
      <w:r>
        <w:t>.</w:t>
      </w:r>
    </w:p>
    <w:p w:rsidR="00D63999" w:rsidRDefault="00D63999" w:rsidP="00C55972">
      <w:pPr>
        <w:tabs>
          <w:tab w:val="left" w:pos="1197"/>
          <w:tab w:val="left" w:pos="1767"/>
        </w:tabs>
        <w:spacing w:before="120"/>
        <w:ind w:left="720"/>
        <w:rPr>
          <w:rFonts w:ascii="Calibri" w:hAnsi="Calibri"/>
          <w:lang w:val="en-AU"/>
        </w:rPr>
      </w:pPr>
      <w:r>
        <w:rPr>
          <w:rFonts w:ascii="Calibri" w:hAnsi="Calibri"/>
          <w:lang w:val="en-AU"/>
        </w:rPr>
        <w:t>Debate continued.</w:t>
      </w:r>
    </w:p>
    <w:p w:rsidR="00073C63" w:rsidRDefault="00073C63" w:rsidP="00073C63">
      <w:pPr>
        <w:tabs>
          <w:tab w:val="left" w:pos="1197"/>
          <w:tab w:val="left" w:pos="1767"/>
        </w:tabs>
        <w:spacing w:before="120"/>
        <w:ind w:left="720"/>
        <w:rPr>
          <w:rFonts w:ascii="Calibri" w:hAnsi="Calibri"/>
          <w:lang w:val="en-AU"/>
        </w:rPr>
      </w:pPr>
      <w:r>
        <w:rPr>
          <w:rFonts w:ascii="Calibri" w:hAnsi="Calibri"/>
          <w:lang w:val="en-AU"/>
        </w:rPr>
        <w:t>Question—That the amendment be agreed to—put.</w:t>
      </w:r>
    </w:p>
    <w:p w:rsidR="00584C8F" w:rsidRDefault="00584C8F" w:rsidP="00073C63">
      <w:pPr>
        <w:tabs>
          <w:tab w:val="left" w:pos="1197"/>
          <w:tab w:val="left" w:pos="1767"/>
        </w:tabs>
        <w:spacing w:before="120"/>
        <w:ind w:left="720"/>
        <w:rPr>
          <w:rFonts w:ascii="Calibri" w:hAnsi="Calibri"/>
          <w:lang w:val="en-AU"/>
        </w:rPr>
      </w:pPr>
      <w:r>
        <w:rPr>
          <w:rFonts w:ascii="Calibri" w:hAnsi="Calibri"/>
          <w:lang w:val="en-AU"/>
        </w:rPr>
        <w:t>The Assembly voted—</w:t>
      </w:r>
    </w:p>
    <w:p w:rsidR="008B6DC3" w:rsidRDefault="008B6DC3">
      <w:pPr>
        <w:spacing w:after="160" w:line="259" w:lineRule="auto"/>
        <w:rPr>
          <w:rFonts w:ascii="Calibri" w:hAnsi="Calibri"/>
          <w:lang w:val="en-AU"/>
        </w:rPr>
      </w:pPr>
      <w:r>
        <w:rPr>
          <w:rFonts w:ascii="Calibri" w:hAnsi="Calibri"/>
          <w:lang w:val="en-AU"/>
        </w:rPr>
        <w:br w:type="page"/>
      </w:r>
    </w:p>
    <w:tbl>
      <w:tblPr>
        <w:tblpPr w:rightFromText="180" w:vertAnchor="text" w:tblpY="1"/>
        <w:tblOverlap w:val="never"/>
        <w:tblW w:w="8997" w:type="dxa"/>
        <w:tblLayout w:type="fixed"/>
        <w:tblCellMar>
          <w:left w:w="0" w:type="dxa"/>
          <w:right w:w="56" w:type="dxa"/>
        </w:tblCellMar>
        <w:tblLook w:val="0000" w:firstRow="0" w:lastRow="0" w:firstColumn="0" w:lastColumn="0" w:noHBand="0" w:noVBand="0"/>
      </w:tblPr>
      <w:tblGrid>
        <w:gridCol w:w="720"/>
        <w:gridCol w:w="2250"/>
        <w:gridCol w:w="1321"/>
        <w:gridCol w:w="624"/>
        <w:gridCol w:w="96"/>
        <w:gridCol w:w="479"/>
        <w:gridCol w:w="2041"/>
        <w:gridCol w:w="1080"/>
        <w:gridCol w:w="386"/>
      </w:tblGrid>
      <w:tr w:rsidR="00073C63" w:rsidTr="004E31E3">
        <w:tc>
          <w:tcPr>
            <w:tcW w:w="4291" w:type="dxa"/>
            <w:gridSpan w:val="3"/>
            <w:shd w:val="clear" w:color="auto" w:fill="auto"/>
          </w:tcPr>
          <w:p w:rsidR="00073C63" w:rsidRDefault="00073C63" w:rsidP="004E31E3">
            <w:pPr>
              <w:tabs>
                <w:tab w:val="left" w:pos="0"/>
                <w:tab w:val="center" w:pos="2610"/>
                <w:tab w:val="left" w:pos="4026"/>
              </w:tabs>
              <w:spacing w:before="120"/>
              <w:rPr>
                <w:rFonts w:ascii="Calibri" w:hAnsi="Calibri"/>
                <w:lang w:val="en-AU"/>
              </w:rPr>
            </w:pPr>
            <w:r>
              <w:rPr>
                <w:rFonts w:ascii="Calibri" w:hAnsi="Calibri"/>
                <w:lang w:val="en-AU"/>
              </w:rPr>
              <w:lastRenderedPageBreak/>
              <w:tab/>
              <w:t>AYES, 13</w:t>
            </w:r>
          </w:p>
        </w:tc>
        <w:tc>
          <w:tcPr>
            <w:tcW w:w="624" w:type="dxa"/>
            <w:shd w:val="clear" w:color="auto" w:fill="auto"/>
          </w:tcPr>
          <w:p w:rsidR="00073C63" w:rsidRDefault="00073C63" w:rsidP="00073C63">
            <w:pPr>
              <w:tabs>
                <w:tab w:val="left" w:pos="1197"/>
                <w:tab w:val="left" w:pos="1767"/>
              </w:tabs>
              <w:spacing w:before="120"/>
              <w:rPr>
                <w:rFonts w:ascii="Calibri" w:hAnsi="Calibri"/>
                <w:lang w:val="en-AU"/>
              </w:rPr>
            </w:pPr>
          </w:p>
        </w:tc>
        <w:tc>
          <w:tcPr>
            <w:tcW w:w="4082" w:type="dxa"/>
            <w:gridSpan w:val="5"/>
            <w:shd w:val="clear" w:color="auto" w:fill="auto"/>
          </w:tcPr>
          <w:p w:rsidR="00073C63" w:rsidRDefault="00073C63" w:rsidP="004E31E3">
            <w:pPr>
              <w:tabs>
                <w:tab w:val="center" w:pos="2195"/>
                <w:tab w:val="left" w:pos="4026"/>
              </w:tabs>
              <w:spacing w:before="120"/>
              <w:rPr>
                <w:rFonts w:ascii="Calibri" w:hAnsi="Calibri"/>
                <w:lang w:val="en-AU"/>
              </w:rPr>
            </w:pPr>
            <w:r>
              <w:rPr>
                <w:rFonts w:ascii="Calibri" w:hAnsi="Calibri"/>
                <w:lang w:val="en-AU"/>
              </w:rPr>
              <w:tab/>
              <w:t>NOES, 6</w:t>
            </w:r>
          </w:p>
        </w:tc>
      </w:tr>
      <w:tr w:rsidR="00073C63" w:rsidTr="004E31E3">
        <w:trPr>
          <w:gridBefore w:val="1"/>
          <w:gridAfter w:val="1"/>
          <w:wBefore w:w="720" w:type="dxa"/>
          <w:wAfter w:w="386" w:type="dxa"/>
          <w:trHeight w:hRule="exact" w:val="312"/>
        </w:trPr>
        <w:tc>
          <w:tcPr>
            <w:tcW w:w="2250"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Ms Berry</w:t>
            </w:r>
          </w:p>
        </w:tc>
        <w:tc>
          <w:tcPr>
            <w:tcW w:w="2041" w:type="dxa"/>
            <w:gridSpan w:val="3"/>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 Gentleman</w:t>
            </w:r>
          </w:p>
        </w:tc>
        <w:tc>
          <w:tcPr>
            <w:tcW w:w="479" w:type="dxa"/>
            <w:shd w:val="clear" w:color="auto" w:fill="auto"/>
          </w:tcPr>
          <w:p w:rsidR="00073C63" w:rsidRDefault="00073C63" w:rsidP="00073C63">
            <w:pPr>
              <w:tabs>
                <w:tab w:val="left" w:pos="1197"/>
                <w:tab w:val="left" w:pos="1767"/>
              </w:tabs>
              <w:spacing w:before="120"/>
              <w:rPr>
                <w:rFonts w:ascii="Calibri" w:hAnsi="Calibri"/>
                <w:lang w:val="en-AU"/>
              </w:rPr>
            </w:pPr>
          </w:p>
        </w:tc>
        <w:tc>
          <w:tcPr>
            <w:tcW w:w="2041"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 Cain</w:t>
            </w:r>
          </w:p>
        </w:tc>
        <w:tc>
          <w:tcPr>
            <w:tcW w:w="1080" w:type="dxa"/>
            <w:shd w:val="clear" w:color="auto" w:fill="auto"/>
          </w:tcPr>
          <w:p w:rsidR="00073C63" w:rsidRDefault="00073C63" w:rsidP="00073C63">
            <w:pPr>
              <w:tabs>
                <w:tab w:val="left" w:pos="1197"/>
                <w:tab w:val="left" w:pos="1767"/>
              </w:tabs>
              <w:spacing w:before="120"/>
              <w:rPr>
                <w:rFonts w:ascii="Calibri" w:hAnsi="Calibri"/>
                <w:lang w:val="en-AU"/>
              </w:rPr>
            </w:pPr>
          </w:p>
        </w:tc>
      </w:tr>
      <w:tr w:rsidR="00073C63" w:rsidTr="004E31E3">
        <w:trPr>
          <w:gridBefore w:val="1"/>
          <w:gridAfter w:val="1"/>
          <w:wBefore w:w="720" w:type="dxa"/>
          <w:wAfter w:w="386" w:type="dxa"/>
          <w:trHeight w:hRule="exact" w:val="312"/>
        </w:trPr>
        <w:tc>
          <w:tcPr>
            <w:tcW w:w="2250"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 Braddock</w:t>
            </w:r>
          </w:p>
        </w:tc>
        <w:tc>
          <w:tcPr>
            <w:tcW w:w="2041" w:type="dxa"/>
            <w:gridSpan w:val="3"/>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Ms Orr</w:t>
            </w:r>
          </w:p>
        </w:tc>
        <w:tc>
          <w:tcPr>
            <w:tcW w:w="479" w:type="dxa"/>
            <w:shd w:val="clear" w:color="auto" w:fill="auto"/>
          </w:tcPr>
          <w:p w:rsidR="00073C63" w:rsidRDefault="00073C63" w:rsidP="00073C63">
            <w:pPr>
              <w:tabs>
                <w:tab w:val="left" w:pos="1197"/>
                <w:tab w:val="left" w:pos="1767"/>
              </w:tabs>
              <w:spacing w:before="120"/>
              <w:rPr>
                <w:rFonts w:ascii="Calibri" w:hAnsi="Calibri"/>
                <w:lang w:val="en-AU"/>
              </w:rPr>
            </w:pPr>
          </w:p>
        </w:tc>
        <w:tc>
          <w:tcPr>
            <w:tcW w:w="2041"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Ms Castley</w:t>
            </w:r>
          </w:p>
        </w:tc>
        <w:tc>
          <w:tcPr>
            <w:tcW w:w="1080" w:type="dxa"/>
            <w:shd w:val="clear" w:color="auto" w:fill="auto"/>
          </w:tcPr>
          <w:p w:rsidR="00073C63" w:rsidRDefault="00073C63" w:rsidP="00073C63">
            <w:pPr>
              <w:tabs>
                <w:tab w:val="left" w:pos="1197"/>
                <w:tab w:val="left" w:pos="1767"/>
              </w:tabs>
              <w:spacing w:before="120"/>
              <w:rPr>
                <w:rFonts w:ascii="Calibri" w:hAnsi="Calibri"/>
                <w:lang w:val="en-AU"/>
              </w:rPr>
            </w:pPr>
          </w:p>
        </w:tc>
      </w:tr>
      <w:tr w:rsidR="00073C63" w:rsidTr="004E31E3">
        <w:trPr>
          <w:gridBefore w:val="1"/>
          <w:gridAfter w:val="1"/>
          <w:wBefore w:w="720" w:type="dxa"/>
          <w:wAfter w:w="386" w:type="dxa"/>
          <w:trHeight w:hRule="exact" w:val="312"/>
        </w:trPr>
        <w:tc>
          <w:tcPr>
            <w:tcW w:w="2250"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Ms Burch</w:t>
            </w:r>
          </w:p>
        </w:tc>
        <w:tc>
          <w:tcPr>
            <w:tcW w:w="2041" w:type="dxa"/>
            <w:gridSpan w:val="3"/>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 Pettersson</w:t>
            </w:r>
          </w:p>
        </w:tc>
        <w:tc>
          <w:tcPr>
            <w:tcW w:w="479" w:type="dxa"/>
            <w:shd w:val="clear" w:color="auto" w:fill="auto"/>
          </w:tcPr>
          <w:p w:rsidR="00073C63" w:rsidRDefault="00073C63" w:rsidP="00073C63">
            <w:pPr>
              <w:tabs>
                <w:tab w:val="left" w:pos="1197"/>
                <w:tab w:val="left" w:pos="1767"/>
              </w:tabs>
              <w:spacing w:before="120"/>
              <w:rPr>
                <w:rFonts w:ascii="Calibri" w:hAnsi="Calibri"/>
                <w:lang w:val="en-AU"/>
              </w:rPr>
            </w:pPr>
          </w:p>
        </w:tc>
        <w:tc>
          <w:tcPr>
            <w:tcW w:w="2041"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 Hanson</w:t>
            </w:r>
          </w:p>
        </w:tc>
        <w:tc>
          <w:tcPr>
            <w:tcW w:w="1080" w:type="dxa"/>
            <w:shd w:val="clear" w:color="auto" w:fill="auto"/>
          </w:tcPr>
          <w:p w:rsidR="00073C63" w:rsidRDefault="00073C63" w:rsidP="00073C63">
            <w:pPr>
              <w:tabs>
                <w:tab w:val="left" w:pos="1197"/>
                <w:tab w:val="left" w:pos="1767"/>
              </w:tabs>
              <w:spacing w:before="120"/>
              <w:rPr>
                <w:rFonts w:ascii="Calibri" w:hAnsi="Calibri"/>
                <w:lang w:val="en-AU"/>
              </w:rPr>
            </w:pPr>
          </w:p>
        </w:tc>
      </w:tr>
      <w:tr w:rsidR="00073C63" w:rsidTr="004E31E3">
        <w:trPr>
          <w:gridBefore w:val="1"/>
          <w:gridAfter w:val="1"/>
          <w:wBefore w:w="720" w:type="dxa"/>
          <w:wAfter w:w="386" w:type="dxa"/>
          <w:trHeight w:hRule="exact" w:val="312"/>
        </w:trPr>
        <w:tc>
          <w:tcPr>
            <w:tcW w:w="2250"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Ms Cheyne</w:t>
            </w:r>
          </w:p>
        </w:tc>
        <w:tc>
          <w:tcPr>
            <w:tcW w:w="2041" w:type="dxa"/>
            <w:gridSpan w:val="3"/>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 Rattenbury</w:t>
            </w:r>
          </w:p>
        </w:tc>
        <w:tc>
          <w:tcPr>
            <w:tcW w:w="479" w:type="dxa"/>
            <w:shd w:val="clear" w:color="auto" w:fill="auto"/>
          </w:tcPr>
          <w:p w:rsidR="00073C63" w:rsidRDefault="00073C63" w:rsidP="00073C63">
            <w:pPr>
              <w:tabs>
                <w:tab w:val="left" w:pos="1197"/>
                <w:tab w:val="left" w:pos="1767"/>
              </w:tabs>
              <w:spacing w:before="120"/>
              <w:rPr>
                <w:rFonts w:ascii="Calibri" w:hAnsi="Calibri"/>
                <w:lang w:val="en-AU"/>
              </w:rPr>
            </w:pPr>
          </w:p>
        </w:tc>
        <w:tc>
          <w:tcPr>
            <w:tcW w:w="2041"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Mrs Jones</w:t>
            </w:r>
          </w:p>
        </w:tc>
        <w:tc>
          <w:tcPr>
            <w:tcW w:w="1080" w:type="dxa"/>
            <w:shd w:val="clear" w:color="auto" w:fill="auto"/>
          </w:tcPr>
          <w:p w:rsidR="00073C63" w:rsidRDefault="00073C63" w:rsidP="00073C63">
            <w:pPr>
              <w:tabs>
                <w:tab w:val="left" w:pos="1197"/>
                <w:tab w:val="left" w:pos="1767"/>
              </w:tabs>
              <w:spacing w:before="120"/>
              <w:rPr>
                <w:rFonts w:ascii="Calibri" w:hAnsi="Calibri"/>
                <w:lang w:val="en-AU"/>
              </w:rPr>
            </w:pPr>
          </w:p>
        </w:tc>
      </w:tr>
      <w:tr w:rsidR="00073C63" w:rsidTr="004E31E3">
        <w:trPr>
          <w:gridBefore w:val="1"/>
          <w:gridAfter w:val="1"/>
          <w:wBefore w:w="720" w:type="dxa"/>
          <w:wAfter w:w="386" w:type="dxa"/>
          <w:trHeight w:hRule="exact" w:val="312"/>
        </w:trPr>
        <w:tc>
          <w:tcPr>
            <w:tcW w:w="2250"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Ms Clay</w:t>
            </w:r>
          </w:p>
        </w:tc>
        <w:tc>
          <w:tcPr>
            <w:tcW w:w="2041" w:type="dxa"/>
            <w:gridSpan w:val="3"/>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 Steel</w:t>
            </w:r>
          </w:p>
        </w:tc>
        <w:tc>
          <w:tcPr>
            <w:tcW w:w="479" w:type="dxa"/>
            <w:shd w:val="clear" w:color="auto" w:fill="auto"/>
          </w:tcPr>
          <w:p w:rsidR="00073C63" w:rsidRDefault="00073C63" w:rsidP="00073C63">
            <w:pPr>
              <w:tabs>
                <w:tab w:val="left" w:pos="1197"/>
                <w:tab w:val="left" w:pos="1767"/>
              </w:tabs>
              <w:spacing w:before="120"/>
              <w:rPr>
                <w:rFonts w:ascii="Calibri" w:hAnsi="Calibri"/>
                <w:lang w:val="en-AU"/>
              </w:rPr>
            </w:pPr>
          </w:p>
        </w:tc>
        <w:tc>
          <w:tcPr>
            <w:tcW w:w="2041"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Mrs Kikkert</w:t>
            </w:r>
          </w:p>
        </w:tc>
        <w:tc>
          <w:tcPr>
            <w:tcW w:w="1080" w:type="dxa"/>
            <w:shd w:val="clear" w:color="auto" w:fill="auto"/>
          </w:tcPr>
          <w:p w:rsidR="00073C63" w:rsidRDefault="00073C63" w:rsidP="00073C63">
            <w:pPr>
              <w:tabs>
                <w:tab w:val="left" w:pos="1197"/>
                <w:tab w:val="left" w:pos="1767"/>
              </w:tabs>
              <w:spacing w:before="120"/>
              <w:rPr>
                <w:rFonts w:ascii="Calibri" w:hAnsi="Calibri"/>
                <w:lang w:val="en-AU"/>
              </w:rPr>
            </w:pPr>
          </w:p>
        </w:tc>
      </w:tr>
      <w:tr w:rsidR="00073C63" w:rsidTr="004E31E3">
        <w:trPr>
          <w:gridBefore w:val="1"/>
          <w:gridAfter w:val="1"/>
          <w:wBefore w:w="720" w:type="dxa"/>
          <w:wAfter w:w="386" w:type="dxa"/>
          <w:trHeight w:hRule="exact" w:val="312"/>
        </w:trPr>
        <w:tc>
          <w:tcPr>
            <w:tcW w:w="2250"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Ms Davidson</w:t>
            </w:r>
          </w:p>
        </w:tc>
        <w:tc>
          <w:tcPr>
            <w:tcW w:w="2041" w:type="dxa"/>
            <w:gridSpan w:val="3"/>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Ms Vassarotti</w:t>
            </w:r>
          </w:p>
        </w:tc>
        <w:tc>
          <w:tcPr>
            <w:tcW w:w="479" w:type="dxa"/>
            <w:shd w:val="clear" w:color="auto" w:fill="auto"/>
          </w:tcPr>
          <w:p w:rsidR="00073C63" w:rsidRDefault="00073C63" w:rsidP="00073C63">
            <w:pPr>
              <w:tabs>
                <w:tab w:val="left" w:pos="1197"/>
                <w:tab w:val="left" w:pos="1767"/>
              </w:tabs>
              <w:spacing w:before="120"/>
              <w:rPr>
                <w:rFonts w:ascii="Calibri" w:hAnsi="Calibri"/>
                <w:lang w:val="en-AU"/>
              </w:rPr>
            </w:pPr>
          </w:p>
        </w:tc>
        <w:tc>
          <w:tcPr>
            <w:tcW w:w="2041"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 Parton</w:t>
            </w:r>
          </w:p>
        </w:tc>
        <w:tc>
          <w:tcPr>
            <w:tcW w:w="1080" w:type="dxa"/>
            <w:shd w:val="clear" w:color="auto" w:fill="auto"/>
          </w:tcPr>
          <w:p w:rsidR="00073C63" w:rsidRDefault="00073C63" w:rsidP="00073C63">
            <w:pPr>
              <w:tabs>
                <w:tab w:val="left" w:pos="1197"/>
                <w:tab w:val="left" w:pos="1767"/>
              </w:tabs>
              <w:spacing w:before="120"/>
              <w:rPr>
                <w:rFonts w:ascii="Calibri" w:hAnsi="Calibri"/>
                <w:lang w:val="en-AU"/>
              </w:rPr>
            </w:pPr>
          </w:p>
        </w:tc>
      </w:tr>
      <w:tr w:rsidR="00073C63" w:rsidTr="004E31E3">
        <w:trPr>
          <w:gridBefore w:val="1"/>
          <w:gridAfter w:val="1"/>
          <w:wBefore w:w="720" w:type="dxa"/>
          <w:wAfter w:w="386" w:type="dxa"/>
          <w:trHeight w:hRule="exact" w:val="312"/>
        </w:trPr>
        <w:tc>
          <w:tcPr>
            <w:tcW w:w="2250" w:type="dxa"/>
            <w:shd w:val="clear" w:color="auto" w:fill="auto"/>
          </w:tcPr>
          <w:p w:rsidR="00073C63" w:rsidRDefault="00073C63" w:rsidP="00073C63">
            <w:pPr>
              <w:tabs>
                <w:tab w:val="left" w:pos="1197"/>
                <w:tab w:val="left" w:pos="1767"/>
              </w:tabs>
              <w:rPr>
                <w:rFonts w:ascii="Calibri" w:hAnsi="Calibri"/>
                <w:lang w:val="en-AU"/>
              </w:rPr>
            </w:pPr>
            <w:r>
              <w:rPr>
                <w:rFonts w:ascii="Calibri" w:hAnsi="Calibri"/>
                <w:lang w:val="en-AU"/>
              </w:rPr>
              <w:t>Mr Davis</w:t>
            </w:r>
          </w:p>
        </w:tc>
        <w:tc>
          <w:tcPr>
            <w:tcW w:w="2041" w:type="dxa"/>
            <w:gridSpan w:val="3"/>
            <w:shd w:val="clear" w:color="auto" w:fill="auto"/>
          </w:tcPr>
          <w:p w:rsidR="00073C63" w:rsidRDefault="00073C63" w:rsidP="00073C63">
            <w:pPr>
              <w:tabs>
                <w:tab w:val="left" w:pos="1197"/>
                <w:tab w:val="left" w:pos="1767"/>
              </w:tabs>
              <w:spacing w:before="120"/>
              <w:rPr>
                <w:rFonts w:ascii="Calibri" w:hAnsi="Calibri"/>
                <w:lang w:val="en-AU"/>
              </w:rPr>
            </w:pPr>
          </w:p>
        </w:tc>
        <w:tc>
          <w:tcPr>
            <w:tcW w:w="479" w:type="dxa"/>
            <w:shd w:val="clear" w:color="auto" w:fill="auto"/>
          </w:tcPr>
          <w:p w:rsidR="00073C63" w:rsidRDefault="00073C63" w:rsidP="00073C63">
            <w:pPr>
              <w:tabs>
                <w:tab w:val="left" w:pos="1197"/>
                <w:tab w:val="left" w:pos="1767"/>
              </w:tabs>
              <w:spacing w:before="120"/>
              <w:rPr>
                <w:rFonts w:ascii="Calibri" w:hAnsi="Calibri"/>
                <w:lang w:val="en-AU"/>
              </w:rPr>
            </w:pPr>
          </w:p>
        </w:tc>
        <w:tc>
          <w:tcPr>
            <w:tcW w:w="2041" w:type="dxa"/>
            <w:shd w:val="clear" w:color="auto" w:fill="auto"/>
          </w:tcPr>
          <w:p w:rsidR="00073C63" w:rsidRDefault="00073C63" w:rsidP="00073C63">
            <w:pPr>
              <w:tabs>
                <w:tab w:val="left" w:pos="1197"/>
                <w:tab w:val="left" w:pos="1767"/>
              </w:tabs>
              <w:spacing w:before="120"/>
              <w:rPr>
                <w:rFonts w:ascii="Calibri" w:hAnsi="Calibri"/>
                <w:lang w:val="en-AU"/>
              </w:rPr>
            </w:pPr>
          </w:p>
        </w:tc>
        <w:tc>
          <w:tcPr>
            <w:tcW w:w="1080" w:type="dxa"/>
            <w:shd w:val="clear" w:color="auto" w:fill="auto"/>
          </w:tcPr>
          <w:p w:rsidR="00073C63" w:rsidRDefault="00073C63" w:rsidP="00073C63">
            <w:pPr>
              <w:tabs>
                <w:tab w:val="left" w:pos="1197"/>
                <w:tab w:val="left" w:pos="1767"/>
              </w:tabs>
              <w:spacing w:before="120"/>
              <w:rPr>
                <w:rFonts w:ascii="Calibri" w:hAnsi="Calibri"/>
                <w:lang w:val="en-AU"/>
              </w:rPr>
            </w:pPr>
          </w:p>
        </w:tc>
      </w:tr>
    </w:tbl>
    <w:p w:rsidR="00073C63" w:rsidRDefault="00073C63" w:rsidP="00073C63">
      <w:pPr>
        <w:tabs>
          <w:tab w:val="left" w:pos="1197"/>
          <w:tab w:val="left" w:pos="1767"/>
        </w:tabs>
        <w:spacing w:before="120"/>
        <w:ind w:left="720"/>
        <w:rPr>
          <w:rFonts w:ascii="Calibri" w:hAnsi="Calibri"/>
          <w:lang w:val="en-AU"/>
        </w:rPr>
      </w:pPr>
      <w:r>
        <w:rPr>
          <w:rFonts w:ascii="Calibri" w:hAnsi="Calibri"/>
          <w:lang w:val="en-AU"/>
        </w:rPr>
        <w:t>And so it was resolved in the affirmative.</w:t>
      </w:r>
    </w:p>
    <w:p w:rsidR="00073C63" w:rsidRDefault="000A1692" w:rsidP="000A1692">
      <w:pPr>
        <w:tabs>
          <w:tab w:val="left" w:pos="1197"/>
          <w:tab w:val="left" w:pos="1767"/>
        </w:tabs>
        <w:spacing w:before="120"/>
        <w:ind w:left="720"/>
        <w:rPr>
          <w:rFonts w:ascii="Calibri" w:hAnsi="Calibri"/>
          <w:lang w:val="en-AU"/>
        </w:rPr>
      </w:pPr>
      <w:r w:rsidRPr="000A1692">
        <w:rPr>
          <w:rFonts w:ascii="Calibri" w:hAnsi="Calibri"/>
          <w:lang w:val="en-AU"/>
        </w:rPr>
        <w:t>Question—</w:t>
      </w:r>
      <w:r w:rsidR="00073C63">
        <w:rPr>
          <w:rFonts w:ascii="Calibri" w:hAnsi="Calibri"/>
          <w:lang w:val="en-AU"/>
        </w:rPr>
        <w:t>That the motion, as amended, viz:</w:t>
      </w:r>
    </w:p>
    <w:p w:rsidR="00073C63" w:rsidRDefault="00696898" w:rsidP="000A1692">
      <w:pPr>
        <w:tabs>
          <w:tab w:val="left" w:pos="1197"/>
          <w:tab w:val="left" w:pos="1767"/>
        </w:tabs>
        <w:spacing w:before="120"/>
        <w:ind w:left="720"/>
        <w:rPr>
          <w:rFonts w:ascii="Calibri" w:hAnsi="Calibri"/>
          <w:lang w:val="en-AU"/>
        </w:rPr>
      </w:pPr>
      <w:r>
        <w:rPr>
          <w:rFonts w:ascii="Calibri" w:hAnsi="Calibri"/>
          <w:lang w:val="en-AU"/>
        </w:rPr>
        <w:t>“</w:t>
      </w:r>
      <w:r w:rsidR="00073C63">
        <w:rPr>
          <w:rFonts w:ascii="Calibri" w:hAnsi="Calibri"/>
          <w:lang w:val="en-AU"/>
        </w:rPr>
        <w:t>That this Assembly:</w:t>
      </w:r>
    </w:p>
    <w:p w:rsidR="00073C63" w:rsidRDefault="00073C63" w:rsidP="00073C63">
      <w:pPr>
        <w:pStyle w:val="DPSEntryIndents"/>
        <w:numPr>
          <w:ilvl w:val="0"/>
          <w:numId w:val="33"/>
        </w:numPr>
      </w:pPr>
      <w:r>
        <w:t>notes:</w:t>
      </w:r>
    </w:p>
    <w:p w:rsidR="00073C63" w:rsidRPr="00926CA4" w:rsidRDefault="00073C63" w:rsidP="00073C63">
      <w:pPr>
        <w:pStyle w:val="DPSEntryIndents"/>
        <w:numPr>
          <w:ilvl w:val="0"/>
          <w:numId w:val="0"/>
        </w:numPr>
        <w:tabs>
          <w:tab w:val="left" w:pos="1890"/>
        </w:tabs>
        <w:ind w:left="1890" w:hanging="522"/>
      </w:pPr>
      <w:r>
        <w:t>(a)</w:t>
      </w:r>
      <w:r>
        <w:tab/>
        <w:t>Light</w:t>
      </w:r>
      <w:r w:rsidRPr="00926CA4">
        <w:t xml:space="preserve"> </w:t>
      </w:r>
      <w:r w:rsidRPr="00F765DA">
        <w:t>Rail Stage 2 is the largest investment project ever undertaken by a territory government</w:t>
      </w:r>
      <w:r w:rsidRPr="00926CA4">
        <w:t>;</w:t>
      </w:r>
    </w:p>
    <w:p w:rsidR="00073C63" w:rsidRPr="00F765DA" w:rsidRDefault="00073C63" w:rsidP="00073C63">
      <w:pPr>
        <w:pStyle w:val="DPSEntryIndents"/>
        <w:numPr>
          <w:ilvl w:val="1"/>
          <w:numId w:val="34"/>
        </w:numPr>
      </w:pPr>
      <w:r>
        <w:t xml:space="preserve">hundreds of </w:t>
      </w:r>
      <w:r w:rsidRPr="00F765DA">
        <w:t>millions of dollars are being invested in a single transport route and transport technology to connect Civic with Woden</w:t>
      </w:r>
      <w:r>
        <w:t>;</w:t>
      </w:r>
    </w:p>
    <w:p w:rsidR="00073C63" w:rsidRPr="00F765DA" w:rsidRDefault="00073C63" w:rsidP="00073C63">
      <w:pPr>
        <w:pStyle w:val="DPSEntryIndents"/>
        <w:numPr>
          <w:ilvl w:val="1"/>
          <w:numId w:val="30"/>
        </w:numPr>
      </w:pPr>
      <w:r>
        <w:t>t</w:t>
      </w:r>
      <w:r w:rsidRPr="00F765DA">
        <w:t>he Canberra community will experience significant disruption to intra-city travel and business operations for four years or so while construction proceeds;</w:t>
      </w:r>
    </w:p>
    <w:p w:rsidR="00073C63" w:rsidRPr="00F765DA" w:rsidRDefault="00073C63" w:rsidP="00073C63">
      <w:pPr>
        <w:pStyle w:val="DPSEntryIndents"/>
        <w:numPr>
          <w:ilvl w:val="1"/>
          <w:numId w:val="30"/>
        </w:numPr>
      </w:pPr>
      <w:r>
        <w:t>m</w:t>
      </w:r>
      <w:r w:rsidRPr="00F765DA">
        <w:t>any Canberrans, community bodies and business groups are taking a strong interest in this project;</w:t>
      </w:r>
    </w:p>
    <w:p w:rsidR="00073C63" w:rsidRPr="00F765DA" w:rsidRDefault="00073C63" w:rsidP="00073C63">
      <w:pPr>
        <w:pStyle w:val="DPSEntryIndents"/>
        <w:numPr>
          <w:ilvl w:val="1"/>
          <w:numId w:val="30"/>
        </w:numPr>
      </w:pPr>
      <w:r>
        <w:t>m</w:t>
      </w:r>
      <w:r w:rsidRPr="00F765DA">
        <w:t>any local communities and living precincts will be affected by the construction and completion of the light rail corridor;</w:t>
      </w:r>
    </w:p>
    <w:p w:rsidR="00073C63" w:rsidRPr="00F765DA" w:rsidRDefault="00073C63" w:rsidP="00073C63">
      <w:pPr>
        <w:pStyle w:val="DPSEntryIndents"/>
        <w:numPr>
          <w:ilvl w:val="1"/>
          <w:numId w:val="30"/>
        </w:numPr>
      </w:pPr>
      <w:r>
        <w:t>t</w:t>
      </w:r>
      <w:r w:rsidRPr="00F765DA">
        <w:t>he total project cost will be a major investment in Canberra</w:t>
      </w:r>
      <w:r w:rsidR="00696898">
        <w:t>’</w:t>
      </w:r>
      <w:r w:rsidRPr="00F765DA">
        <w:t>s future;</w:t>
      </w:r>
    </w:p>
    <w:p w:rsidR="00073C63" w:rsidRPr="00F765DA" w:rsidRDefault="00073C63" w:rsidP="00073C63">
      <w:pPr>
        <w:pStyle w:val="DPSEntryIndents"/>
        <w:numPr>
          <w:ilvl w:val="1"/>
          <w:numId w:val="30"/>
        </w:numPr>
      </w:pPr>
      <w:r>
        <w:t>i</w:t>
      </w:r>
      <w:r w:rsidRPr="00F765DA">
        <w:t>n August 2019, the Government published a Business case for the Stage 2A element of the overall project to deliver light rail to Woden;</w:t>
      </w:r>
    </w:p>
    <w:p w:rsidR="00073C63" w:rsidRPr="00F765DA" w:rsidRDefault="00073C63" w:rsidP="00073C63">
      <w:pPr>
        <w:pStyle w:val="DPSEntryIndents"/>
        <w:numPr>
          <w:ilvl w:val="1"/>
          <w:numId w:val="30"/>
        </w:numPr>
      </w:pPr>
      <w:r>
        <w:t>t</w:t>
      </w:r>
      <w:r w:rsidRPr="00F765DA">
        <w:t>he majority of financial information in that business case had been redacted for commercial reasons; and</w:t>
      </w:r>
    </w:p>
    <w:p w:rsidR="00073C63" w:rsidRPr="00926CA4" w:rsidRDefault="00073C63" w:rsidP="00073C63">
      <w:pPr>
        <w:pStyle w:val="DPSEntryIndents"/>
        <w:numPr>
          <w:ilvl w:val="1"/>
          <w:numId w:val="30"/>
        </w:numPr>
      </w:pPr>
      <w:r>
        <w:t>g</w:t>
      </w:r>
      <w:r w:rsidRPr="00F765DA">
        <w:t>iven that Canberrans will pay for most of the light rail project they are reasonably entitled to adequate information on this large project</w:t>
      </w:r>
      <w:r>
        <w:t>;</w:t>
      </w:r>
    </w:p>
    <w:p w:rsidR="00073C63" w:rsidRDefault="00073C63" w:rsidP="00073C63">
      <w:pPr>
        <w:pStyle w:val="DPSEntryIndents"/>
        <w:numPr>
          <w:ilvl w:val="0"/>
          <w:numId w:val="32"/>
        </w:numPr>
      </w:pPr>
      <w:r>
        <w:t>further</w:t>
      </w:r>
      <w:r w:rsidRPr="00926CA4">
        <w:t xml:space="preserve"> </w:t>
      </w:r>
      <w:r w:rsidRPr="00F765DA">
        <w:t>notes that the ACT Auditor-General</w:t>
      </w:r>
      <w:r>
        <w:t>:</w:t>
      </w:r>
    </w:p>
    <w:p w:rsidR="00073C63" w:rsidRPr="00F765DA" w:rsidRDefault="00073C63" w:rsidP="00073C63">
      <w:pPr>
        <w:pStyle w:val="DPSEntryIndents"/>
        <w:numPr>
          <w:ilvl w:val="1"/>
          <w:numId w:val="30"/>
        </w:numPr>
      </w:pPr>
      <w:r>
        <w:t xml:space="preserve">on 24 September, </w:t>
      </w:r>
      <w:r w:rsidRPr="00F765DA">
        <w:t>released a report on the government</w:t>
      </w:r>
      <w:r w:rsidR="00696898">
        <w:t>’</w:t>
      </w:r>
      <w:r w:rsidRPr="00F765DA">
        <w:t>s economic analysis case for Light Rail Stage 2A;</w:t>
      </w:r>
    </w:p>
    <w:p w:rsidR="00073C63" w:rsidRPr="00F765DA" w:rsidRDefault="00073C63" w:rsidP="00073C63">
      <w:pPr>
        <w:pStyle w:val="DPSEntryIndents"/>
        <w:numPr>
          <w:ilvl w:val="1"/>
          <w:numId w:val="30"/>
        </w:numPr>
      </w:pPr>
      <w:r>
        <w:t>n</w:t>
      </w:r>
      <w:r w:rsidRPr="00F765DA">
        <w:t>oted items including wire-free power for light rail vehicles and disruption costs caused by the protracted construction period were not included in the original costings;</w:t>
      </w:r>
    </w:p>
    <w:p w:rsidR="00073C63" w:rsidRPr="00F765DA" w:rsidRDefault="00073C63" w:rsidP="00073C63">
      <w:pPr>
        <w:pStyle w:val="DPSEntryIndents"/>
        <w:numPr>
          <w:ilvl w:val="1"/>
          <w:numId w:val="30"/>
        </w:numPr>
      </w:pPr>
      <w:r>
        <w:t>a</w:t>
      </w:r>
      <w:r w:rsidRPr="00F765DA">
        <w:t>lso noted economic benefits claimed in the Government</w:t>
      </w:r>
      <w:r w:rsidR="00696898">
        <w:t>’</w:t>
      </w:r>
      <w:r w:rsidRPr="00F765DA">
        <w:t xml:space="preserve">s analysis included residential development value gains in the Acton precinct as well as wider economic benefits elsewhere; </w:t>
      </w:r>
    </w:p>
    <w:p w:rsidR="00073C63" w:rsidRPr="00F765DA" w:rsidRDefault="00073C63" w:rsidP="00073C63">
      <w:pPr>
        <w:pStyle w:val="DPSEntryIndents"/>
        <w:numPr>
          <w:ilvl w:val="1"/>
          <w:numId w:val="30"/>
        </w:numPr>
      </w:pPr>
      <w:r>
        <w:lastRenderedPageBreak/>
        <w:t>r</w:t>
      </w:r>
      <w:r w:rsidRPr="00F765DA">
        <w:t>aised questions about quantification of costs and benefits and highlighted the importance of developing a benefits realisation plan including on how light rail will facilitate development of Acton; and</w:t>
      </w:r>
    </w:p>
    <w:p w:rsidR="00073C63" w:rsidRDefault="00073C63" w:rsidP="00073C63">
      <w:pPr>
        <w:pStyle w:val="DPSEntryIndents"/>
        <w:numPr>
          <w:ilvl w:val="1"/>
          <w:numId w:val="30"/>
        </w:numPr>
      </w:pPr>
      <w:r>
        <w:t>a</w:t>
      </w:r>
      <w:r w:rsidRPr="00F765DA">
        <w:t>lso raised further questions over the Business Case including the basis of patronage figures and the impact of COVID on future requirements for public transport</w:t>
      </w:r>
      <w:r>
        <w:t>; and</w:t>
      </w:r>
    </w:p>
    <w:p w:rsidR="00073C63" w:rsidRDefault="00073C63" w:rsidP="00073C63">
      <w:pPr>
        <w:pStyle w:val="DPSEntryIndents"/>
      </w:pPr>
      <w:r>
        <w:t>calls on the Legislative Assembly to:</w:t>
      </w:r>
    </w:p>
    <w:p w:rsidR="00073C63" w:rsidRPr="00F765DA" w:rsidRDefault="00073C63" w:rsidP="00073C63">
      <w:pPr>
        <w:pStyle w:val="DPSEntryIndents"/>
        <w:numPr>
          <w:ilvl w:val="1"/>
          <w:numId w:val="30"/>
        </w:numPr>
      </w:pPr>
      <w:r>
        <w:t xml:space="preserve">request </w:t>
      </w:r>
      <w:r w:rsidRPr="00F765DA">
        <w:t>the Public Accounts Committee to consider and report on the Light Rail Stage 2 Project with a particular view to reporting on issues raised by the ACT Auditor-General; and</w:t>
      </w:r>
    </w:p>
    <w:p w:rsidR="00073C63" w:rsidRPr="002C20DA" w:rsidRDefault="00073C63" w:rsidP="00073C63">
      <w:pPr>
        <w:pStyle w:val="DPSEntryIndents"/>
        <w:numPr>
          <w:ilvl w:val="1"/>
          <w:numId w:val="30"/>
        </w:numPr>
      </w:pPr>
      <w:r>
        <w:t>n</w:t>
      </w:r>
      <w:r w:rsidRPr="00F765DA">
        <w:t>ote that the ACT Government will be providing a formal response to the Auditor-General</w:t>
      </w:r>
      <w:r w:rsidR="00696898">
        <w:t>’</w:t>
      </w:r>
      <w:r w:rsidRPr="00F765DA">
        <w:t>s report within three months</w:t>
      </w:r>
      <w:r>
        <w:t>.</w:t>
      </w:r>
      <w:r w:rsidR="00696898">
        <w:t>”</w:t>
      </w:r>
      <w:r>
        <w:t>—</w:t>
      </w:r>
    </w:p>
    <w:p w:rsidR="000A1692" w:rsidRPr="000A1692" w:rsidRDefault="00073C63" w:rsidP="000A1692">
      <w:pPr>
        <w:tabs>
          <w:tab w:val="left" w:pos="1197"/>
          <w:tab w:val="left" w:pos="1767"/>
        </w:tabs>
        <w:spacing w:before="120"/>
        <w:ind w:left="720"/>
        <w:rPr>
          <w:rFonts w:ascii="Calibri" w:hAnsi="Calibri"/>
          <w:lang w:val="en-AU"/>
        </w:rPr>
      </w:pPr>
      <w:r>
        <w:rPr>
          <w:rFonts w:ascii="Calibri" w:hAnsi="Calibri"/>
          <w:lang w:val="en-AU"/>
        </w:rPr>
        <w:t>be agreed to—</w:t>
      </w:r>
      <w:r w:rsidR="000A1692" w:rsidRPr="000A1692">
        <w:rPr>
          <w:rFonts w:ascii="Calibri" w:hAnsi="Calibri"/>
          <w:lang w:val="en-AU"/>
        </w:rPr>
        <w:t>put and passed.</w:t>
      </w:r>
    </w:p>
    <w:p w:rsidR="004E31E3" w:rsidRPr="00993CC8" w:rsidRDefault="004E31E3" w:rsidP="004E31E3">
      <w:pPr>
        <w:keepNext/>
        <w:keepLines/>
        <w:tabs>
          <w:tab w:val="right" w:pos="339"/>
          <w:tab w:val="left" w:pos="720"/>
        </w:tabs>
        <w:spacing w:before="240"/>
        <w:ind w:left="720" w:hanging="720"/>
        <w:rPr>
          <w:rFonts w:ascii="Calibri" w:hAnsi="Calibri"/>
          <w:b/>
          <w:caps/>
          <w:lang w:val="en-AU"/>
        </w:rPr>
      </w:pPr>
      <w:r w:rsidRPr="00993CC8">
        <w:rPr>
          <w:rFonts w:ascii="Calibri" w:hAnsi="Calibri"/>
          <w:b/>
          <w:caps/>
          <w:lang w:val="en-AU"/>
        </w:rPr>
        <w:tab/>
      </w:r>
      <w:r w:rsidR="00696898">
        <w:rPr>
          <w:rFonts w:ascii="Calibri" w:hAnsi="Calibri"/>
          <w:b/>
          <w:bCs/>
          <w:caps/>
          <w:lang w:val="en-AU"/>
        </w:rPr>
        <w:fldChar w:fldCharType="begin"/>
      </w:r>
      <w:r w:rsidR="00696898">
        <w:rPr>
          <w:rFonts w:ascii="Calibri" w:hAnsi="Calibri"/>
          <w:b/>
          <w:bCs/>
          <w:caps/>
          <w:lang w:val="en-AU"/>
        </w:rPr>
        <w:instrText xml:space="preserve"> SEQ A \* MERGEFORMAT </w:instrText>
      </w:r>
      <w:r w:rsidR="00696898">
        <w:rPr>
          <w:rFonts w:ascii="Calibri" w:hAnsi="Calibri"/>
          <w:b/>
          <w:bCs/>
          <w:caps/>
          <w:lang w:val="en-AU"/>
        </w:rPr>
        <w:fldChar w:fldCharType="separate"/>
      </w:r>
      <w:r w:rsidR="006D30E9">
        <w:rPr>
          <w:rFonts w:ascii="Calibri" w:hAnsi="Calibri"/>
          <w:b/>
          <w:bCs/>
          <w:caps/>
          <w:noProof/>
          <w:lang w:val="en-AU"/>
        </w:rPr>
        <w:t>9</w:t>
      </w:r>
      <w:r w:rsidR="00696898">
        <w:rPr>
          <w:rFonts w:ascii="Calibri" w:hAnsi="Calibri"/>
          <w:b/>
          <w:bCs/>
          <w:caps/>
          <w:lang w:val="en-AU"/>
        </w:rPr>
        <w:fldChar w:fldCharType="end"/>
      </w:r>
      <w:r w:rsidRPr="00993CC8">
        <w:rPr>
          <w:rFonts w:ascii="Calibri" w:hAnsi="Calibri"/>
          <w:b/>
          <w:caps/>
          <w:lang w:val="en-AU"/>
        </w:rPr>
        <w:tab/>
      </w:r>
      <w:r>
        <w:rPr>
          <w:rFonts w:ascii="Calibri" w:hAnsi="Calibri"/>
          <w:b/>
          <w:caps/>
          <w:lang w:val="en-AU"/>
        </w:rPr>
        <w:t>Operational Efficiencies (COVID-19) Legislation Amendment Bill 2021</w:t>
      </w:r>
    </w:p>
    <w:p w:rsidR="004E31E3" w:rsidRPr="00993CC8" w:rsidRDefault="004E31E3" w:rsidP="004E31E3">
      <w:pPr>
        <w:spacing w:before="120"/>
        <w:ind w:left="720"/>
        <w:rPr>
          <w:rFonts w:ascii="Calibri" w:hAnsi="Calibri"/>
          <w:lang w:val="en-AU"/>
        </w:rPr>
      </w:pPr>
      <w:r w:rsidRPr="00993CC8">
        <w:rPr>
          <w:rFonts w:ascii="Calibri" w:hAnsi="Calibri"/>
          <w:lang w:val="en-AU"/>
        </w:rPr>
        <w:t>The order of the day having been read for the resumption of the debate on the question—That this Bill be agreed to in principle—</w:t>
      </w:r>
    </w:p>
    <w:p w:rsidR="004E31E3" w:rsidRPr="00993CC8" w:rsidRDefault="004E31E3" w:rsidP="004E31E3">
      <w:pPr>
        <w:spacing w:before="120"/>
        <w:ind w:left="720"/>
        <w:rPr>
          <w:rFonts w:ascii="Calibri" w:hAnsi="Calibri"/>
          <w:iCs/>
          <w:lang w:val="en-AU"/>
        </w:rPr>
      </w:pPr>
      <w:r w:rsidRPr="00993CC8">
        <w:rPr>
          <w:rFonts w:ascii="Calibri" w:hAnsi="Calibri"/>
          <w:iCs/>
          <w:lang w:val="en-AU"/>
        </w:rPr>
        <w:t>Debate resumed.</w:t>
      </w:r>
    </w:p>
    <w:p w:rsidR="004E31E3" w:rsidRDefault="004E31E3">
      <w:pPr>
        <w:pStyle w:val="DPSEntryDetail"/>
      </w:pPr>
      <w:r>
        <w:t>Debate adjourned (Mrs Jones) and the resumption of the debate made an order of the day for a later hour this day.</w:t>
      </w:r>
    </w:p>
    <w:p w:rsidR="0042752C" w:rsidRPr="0042752C" w:rsidRDefault="0042752C" w:rsidP="0042752C">
      <w:pPr>
        <w:keepNext/>
        <w:keepLines/>
        <w:tabs>
          <w:tab w:val="right" w:pos="339"/>
          <w:tab w:val="left" w:pos="720"/>
        </w:tabs>
        <w:spacing w:before="240"/>
        <w:ind w:left="720" w:hanging="720"/>
        <w:jc w:val="both"/>
        <w:rPr>
          <w:rFonts w:ascii="Calibri" w:hAnsi="Calibri"/>
          <w:b/>
          <w:caps/>
        </w:rPr>
      </w:pPr>
      <w:r w:rsidRPr="0042752C">
        <w:rPr>
          <w:rFonts w:ascii="Calibri" w:hAnsi="Calibri"/>
          <w:b/>
          <w:caps/>
        </w:rPr>
        <w:tab/>
      </w:r>
      <w:r w:rsidR="00696898">
        <w:rPr>
          <w:rFonts w:ascii="Calibri" w:hAnsi="Calibri"/>
          <w:b/>
          <w:bCs/>
          <w:caps/>
          <w:lang w:val="en-AU"/>
        </w:rPr>
        <w:fldChar w:fldCharType="begin"/>
      </w:r>
      <w:r w:rsidR="00696898">
        <w:rPr>
          <w:rFonts w:ascii="Calibri" w:hAnsi="Calibri"/>
          <w:b/>
          <w:bCs/>
          <w:caps/>
          <w:lang w:val="en-AU"/>
        </w:rPr>
        <w:instrText xml:space="preserve"> SEQ A \* MERGEFORMAT </w:instrText>
      </w:r>
      <w:r w:rsidR="00696898">
        <w:rPr>
          <w:rFonts w:ascii="Calibri" w:hAnsi="Calibri"/>
          <w:b/>
          <w:bCs/>
          <w:caps/>
          <w:lang w:val="en-AU"/>
        </w:rPr>
        <w:fldChar w:fldCharType="separate"/>
      </w:r>
      <w:r w:rsidR="006D30E9">
        <w:rPr>
          <w:rFonts w:ascii="Calibri" w:hAnsi="Calibri"/>
          <w:b/>
          <w:bCs/>
          <w:caps/>
          <w:noProof/>
          <w:lang w:val="en-AU"/>
        </w:rPr>
        <w:t>10</w:t>
      </w:r>
      <w:r w:rsidR="00696898">
        <w:rPr>
          <w:rFonts w:ascii="Calibri" w:hAnsi="Calibri"/>
          <w:b/>
          <w:bCs/>
          <w:caps/>
          <w:lang w:val="en-AU"/>
        </w:rPr>
        <w:fldChar w:fldCharType="end"/>
      </w:r>
      <w:r w:rsidRPr="0042752C">
        <w:rPr>
          <w:rFonts w:ascii="Calibri" w:hAnsi="Calibri"/>
          <w:b/>
          <w:caps/>
        </w:rPr>
        <w:tab/>
        <w:t>QUESTIONS</w:t>
      </w:r>
    </w:p>
    <w:p w:rsidR="0042752C" w:rsidRPr="0042752C" w:rsidRDefault="0042752C" w:rsidP="0042752C">
      <w:pPr>
        <w:spacing w:before="120"/>
        <w:ind w:left="720"/>
        <w:jc w:val="both"/>
        <w:rPr>
          <w:rFonts w:ascii="Calibri" w:hAnsi="Calibri"/>
          <w:lang w:val="en-AU"/>
        </w:rPr>
      </w:pPr>
      <w:r w:rsidRPr="0042752C">
        <w:rPr>
          <w:rFonts w:ascii="Calibri" w:hAnsi="Calibri"/>
          <w:lang w:val="en-AU"/>
        </w:rPr>
        <w:t>Questions without notice were asked.</w:t>
      </w:r>
    </w:p>
    <w:p w:rsidR="00036B2F" w:rsidRPr="00036B2F" w:rsidRDefault="00036B2F" w:rsidP="00036B2F">
      <w:pPr>
        <w:keepNext/>
        <w:keepLines/>
        <w:tabs>
          <w:tab w:val="right" w:pos="339"/>
          <w:tab w:val="left" w:pos="720"/>
        </w:tabs>
        <w:spacing w:before="240"/>
        <w:ind w:left="720" w:hanging="720"/>
        <w:rPr>
          <w:rFonts w:ascii="Calibri" w:hAnsi="Calibri"/>
          <w:b/>
          <w:lang w:val="en-AU"/>
        </w:rPr>
      </w:pPr>
      <w:r w:rsidRPr="00036B2F">
        <w:rPr>
          <w:rFonts w:ascii="Calibri" w:hAnsi="Calibri"/>
          <w:b/>
          <w:lang w:val="en-AU"/>
        </w:rPr>
        <w:tab/>
      </w:r>
      <w:r w:rsidR="00696898">
        <w:rPr>
          <w:rFonts w:ascii="Calibri" w:hAnsi="Calibri"/>
          <w:b/>
          <w:bCs/>
          <w:lang w:val="en-AU"/>
        </w:rPr>
        <w:fldChar w:fldCharType="begin"/>
      </w:r>
      <w:r w:rsidR="00696898">
        <w:rPr>
          <w:rFonts w:ascii="Calibri" w:hAnsi="Calibri"/>
          <w:b/>
          <w:bCs/>
          <w:lang w:val="en-AU"/>
        </w:rPr>
        <w:instrText xml:space="preserve"> SEQ A \* MERGEFORMAT </w:instrText>
      </w:r>
      <w:r w:rsidR="00696898">
        <w:rPr>
          <w:rFonts w:ascii="Calibri" w:hAnsi="Calibri"/>
          <w:b/>
          <w:bCs/>
          <w:lang w:val="en-AU"/>
        </w:rPr>
        <w:fldChar w:fldCharType="separate"/>
      </w:r>
      <w:r w:rsidR="006D30E9">
        <w:rPr>
          <w:rFonts w:ascii="Calibri" w:hAnsi="Calibri"/>
          <w:b/>
          <w:bCs/>
          <w:noProof/>
          <w:lang w:val="en-AU"/>
        </w:rPr>
        <w:t>11</w:t>
      </w:r>
      <w:r w:rsidR="00696898">
        <w:rPr>
          <w:rFonts w:ascii="Calibri" w:hAnsi="Calibri"/>
          <w:b/>
          <w:bCs/>
          <w:lang w:val="en-AU"/>
        </w:rPr>
        <w:fldChar w:fldCharType="end"/>
      </w:r>
      <w:r w:rsidRPr="00036B2F">
        <w:rPr>
          <w:rFonts w:ascii="Calibri" w:hAnsi="Calibri"/>
          <w:b/>
          <w:lang w:val="en-AU"/>
        </w:rPr>
        <w:tab/>
        <w:t>PRESENTATION OF PAPER</w:t>
      </w:r>
    </w:p>
    <w:p w:rsidR="00036B2F" w:rsidRDefault="00036B2F" w:rsidP="00036B2F">
      <w:pPr>
        <w:spacing w:before="120"/>
        <w:ind w:left="720"/>
        <w:rPr>
          <w:rFonts w:ascii="Calibri" w:hAnsi="Calibri"/>
          <w:lang w:val="en-AU"/>
        </w:rPr>
      </w:pPr>
      <w:r w:rsidRPr="00036B2F">
        <w:rPr>
          <w:rFonts w:ascii="Calibri" w:hAnsi="Calibri"/>
          <w:lang w:val="en-AU"/>
        </w:rPr>
        <w:t>Mr Gentleman (Manager of Government Business) presented the following paper:</w:t>
      </w:r>
    </w:p>
    <w:p w:rsidR="004810CD" w:rsidRDefault="004810CD" w:rsidP="004810CD">
      <w:pPr>
        <w:pStyle w:val="DPSEntryDetail"/>
        <w:spacing w:before="100"/>
      </w:pPr>
      <w:r w:rsidRPr="0093130D">
        <w:rPr>
          <w:rFonts w:asciiTheme="minorHAnsi" w:hAnsiTheme="minorHAnsi"/>
        </w:rPr>
        <w:t>Freedom of Information Act, pursuant</w:t>
      </w:r>
      <w:r>
        <w:rPr>
          <w:rFonts w:asciiTheme="minorHAnsi" w:hAnsiTheme="minorHAnsi"/>
        </w:rPr>
        <w:t xml:space="preserve"> to section 39—Copy of notice</w:t>
      </w:r>
      <w:r w:rsidRPr="0093130D">
        <w:rPr>
          <w:rFonts w:asciiTheme="minorHAnsi" w:hAnsiTheme="minorHAnsi"/>
        </w:rPr>
        <w:t xml:space="preserve"> provided to the Ombudsman—</w:t>
      </w:r>
      <w:r>
        <w:rPr>
          <w:rFonts w:asciiTheme="minorHAnsi" w:hAnsiTheme="minorHAnsi"/>
        </w:rPr>
        <w:t>Freedom of Information request—Decision</w:t>
      </w:r>
      <w:r w:rsidRPr="0093130D">
        <w:rPr>
          <w:rFonts w:asciiTheme="minorHAnsi" w:hAnsiTheme="minorHAnsi"/>
        </w:rPr>
        <w:t xml:space="preserve"> not made in time—</w:t>
      </w:r>
      <w:r w:rsidRPr="0093130D">
        <w:t>Community Services Directorate</w:t>
      </w:r>
      <w:r w:rsidR="007D4F7A">
        <w:t xml:space="preserve"> (</w:t>
      </w:r>
      <w:r>
        <w:t>HOU-21/13</w:t>
      </w:r>
      <w:r w:rsidR="007D4F7A">
        <w:t>)</w:t>
      </w:r>
      <w:r w:rsidRPr="0093130D">
        <w:t>, dated</w:t>
      </w:r>
      <w:r>
        <w:t xml:space="preserve"> 27 April 2021</w:t>
      </w:r>
      <w:r w:rsidRPr="0093130D">
        <w:t>.</w:t>
      </w:r>
    </w:p>
    <w:p w:rsidR="007F4591" w:rsidRPr="007F4591" w:rsidRDefault="007F4591" w:rsidP="007F4591">
      <w:pPr>
        <w:keepNext/>
        <w:keepLines/>
        <w:tabs>
          <w:tab w:val="right" w:pos="339"/>
          <w:tab w:val="left" w:pos="720"/>
        </w:tabs>
        <w:spacing w:before="240"/>
        <w:ind w:left="720" w:hanging="720"/>
        <w:rPr>
          <w:rFonts w:ascii="Calibri" w:hAnsi="Calibri"/>
          <w:b/>
          <w:caps/>
          <w:lang w:val="en-AU"/>
        </w:rPr>
      </w:pPr>
      <w:r w:rsidRPr="007F4591">
        <w:rPr>
          <w:rFonts w:ascii="Calibri" w:hAnsi="Calibri"/>
          <w:b/>
          <w:caps/>
          <w:lang w:val="en-AU"/>
        </w:rPr>
        <w:tab/>
      </w:r>
      <w:r w:rsidR="00696898">
        <w:rPr>
          <w:rFonts w:ascii="Calibri" w:hAnsi="Calibri"/>
          <w:b/>
          <w:bCs/>
          <w:caps/>
          <w:lang w:val="en-AU"/>
        </w:rPr>
        <w:fldChar w:fldCharType="begin"/>
      </w:r>
      <w:r w:rsidR="00696898">
        <w:rPr>
          <w:rFonts w:ascii="Calibri" w:hAnsi="Calibri"/>
          <w:b/>
          <w:bCs/>
          <w:caps/>
          <w:lang w:val="en-AU"/>
        </w:rPr>
        <w:instrText xml:space="preserve"> SEQ A \* MERGEFORMAT </w:instrText>
      </w:r>
      <w:r w:rsidR="00696898">
        <w:rPr>
          <w:rFonts w:ascii="Calibri" w:hAnsi="Calibri"/>
          <w:b/>
          <w:bCs/>
          <w:caps/>
          <w:lang w:val="en-AU"/>
        </w:rPr>
        <w:fldChar w:fldCharType="separate"/>
      </w:r>
      <w:r w:rsidR="006D30E9">
        <w:rPr>
          <w:rFonts w:ascii="Calibri" w:hAnsi="Calibri"/>
          <w:b/>
          <w:bCs/>
          <w:caps/>
          <w:noProof/>
          <w:lang w:val="en-AU"/>
        </w:rPr>
        <w:t>12</w:t>
      </w:r>
      <w:r w:rsidR="00696898">
        <w:rPr>
          <w:rFonts w:ascii="Calibri" w:hAnsi="Calibri"/>
          <w:b/>
          <w:bCs/>
          <w:caps/>
          <w:lang w:val="en-AU"/>
        </w:rPr>
        <w:fldChar w:fldCharType="end"/>
      </w:r>
      <w:r w:rsidRPr="007F4591">
        <w:rPr>
          <w:rFonts w:ascii="Calibri" w:hAnsi="Calibri"/>
          <w:b/>
          <w:caps/>
          <w:lang w:val="en-AU"/>
        </w:rPr>
        <w:tab/>
      </w:r>
      <w:r w:rsidR="00886FF8">
        <w:rPr>
          <w:rFonts w:ascii="Calibri" w:hAnsi="Calibri"/>
          <w:b/>
          <w:caps/>
          <w:lang w:val="en-AU"/>
        </w:rPr>
        <w:t>healthcare</w:t>
      </w:r>
      <w:r w:rsidR="004810CD">
        <w:rPr>
          <w:rFonts w:ascii="Calibri" w:hAnsi="Calibri"/>
          <w:b/>
          <w:caps/>
          <w:lang w:val="en-AU"/>
        </w:rPr>
        <w:t xml:space="preserve"> services</w:t>
      </w:r>
    </w:p>
    <w:p w:rsidR="007F4591" w:rsidRPr="007F4591" w:rsidRDefault="00886FF8" w:rsidP="007F4591">
      <w:pPr>
        <w:spacing w:before="120"/>
        <w:ind w:left="720"/>
        <w:rPr>
          <w:rFonts w:ascii="Calibri" w:hAnsi="Calibri"/>
          <w:color w:val="000000"/>
          <w:lang w:val="en-AU"/>
        </w:rPr>
      </w:pPr>
      <w:r>
        <w:rPr>
          <w:rFonts w:ascii="Calibri" w:hAnsi="Calibri"/>
          <w:color w:val="000000"/>
          <w:lang w:val="en-AU"/>
        </w:rPr>
        <w:t>Mrs Jones</w:t>
      </w:r>
      <w:r w:rsidR="007F4591" w:rsidRPr="007F4591">
        <w:rPr>
          <w:rFonts w:ascii="Calibri" w:hAnsi="Calibri"/>
          <w:color w:val="000000"/>
          <w:lang w:val="en-AU"/>
        </w:rPr>
        <w:t>, pursuant to notice, moved—That this Assembly:</w:t>
      </w:r>
    </w:p>
    <w:p w:rsidR="00615D7E" w:rsidRPr="00D75B5B" w:rsidRDefault="00615D7E" w:rsidP="00615D7E">
      <w:pPr>
        <w:pStyle w:val="DPSEntryIndents"/>
        <w:numPr>
          <w:ilvl w:val="0"/>
          <w:numId w:val="21"/>
        </w:numPr>
        <w:rPr>
          <w:lang w:eastAsia="en-US"/>
        </w:rPr>
      </w:pPr>
      <w:r w:rsidRPr="00D75B5B">
        <w:rPr>
          <w:lang w:eastAsia="en-US"/>
        </w:rPr>
        <w:t>notes that:</w:t>
      </w:r>
    </w:p>
    <w:p w:rsidR="00615D7E" w:rsidRPr="00D75B5B" w:rsidRDefault="00615D7E" w:rsidP="00615D7E">
      <w:pPr>
        <w:pStyle w:val="DPSEntryIndents"/>
        <w:numPr>
          <w:ilvl w:val="1"/>
          <w:numId w:val="21"/>
        </w:numPr>
        <w:rPr>
          <w:lang w:eastAsia="en-US"/>
        </w:rPr>
      </w:pPr>
      <w:r w:rsidRPr="00D75B5B">
        <w:rPr>
          <w:lang w:eastAsia="en-US"/>
        </w:rPr>
        <w:t>Canberra has been plagued for years by the worst emergency department wait times in the country, with patients being treated in hallways at the Canberra Hospital Emergency Department;</w:t>
      </w:r>
    </w:p>
    <w:p w:rsidR="00615D7E" w:rsidRPr="00D75B5B" w:rsidRDefault="00615D7E" w:rsidP="00615D7E">
      <w:pPr>
        <w:pStyle w:val="DPSEntryIndents"/>
        <w:numPr>
          <w:ilvl w:val="1"/>
          <w:numId w:val="21"/>
        </w:numPr>
        <w:rPr>
          <w:lang w:eastAsia="en-US"/>
        </w:rPr>
      </w:pPr>
      <w:r w:rsidRPr="00D75B5B">
        <w:rPr>
          <w:lang w:eastAsia="en-US"/>
        </w:rPr>
        <w:t>Canberra junior doctors face the nation</w:t>
      </w:r>
      <w:r w:rsidR="00696898">
        <w:rPr>
          <w:lang w:eastAsia="en-US"/>
        </w:rPr>
        <w:t>’</w:t>
      </w:r>
      <w:r w:rsidRPr="00D75B5B">
        <w:rPr>
          <w:lang w:eastAsia="en-US"/>
        </w:rPr>
        <w:t>s highest rates of bullying and uncertainty about correct pay;</w:t>
      </w:r>
    </w:p>
    <w:p w:rsidR="00615D7E" w:rsidRPr="00D75B5B" w:rsidRDefault="00615D7E" w:rsidP="00615D7E">
      <w:pPr>
        <w:pStyle w:val="DPSEntryIndents"/>
        <w:numPr>
          <w:ilvl w:val="1"/>
          <w:numId w:val="21"/>
        </w:numPr>
        <w:rPr>
          <w:lang w:eastAsia="en-US"/>
        </w:rPr>
      </w:pPr>
      <w:r w:rsidRPr="00D75B5B">
        <w:rPr>
          <w:lang w:eastAsia="en-US"/>
        </w:rPr>
        <w:t>all staff at Canberra Health Services, and especially those at the Canberra Hospital, have to work with bull</w:t>
      </w:r>
      <w:r>
        <w:rPr>
          <w:lang w:eastAsia="en-US"/>
        </w:rPr>
        <w:t>y</w:t>
      </w:r>
      <w:r w:rsidRPr="00D75B5B">
        <w:rPr>
          <w:lang w:eastAsia="en-US"/>
        </w:rPr>
        <w:t>ing and harassment issues not yet resolved years after being identified;</w:t>
      </w:r>
    </w:p>
    <w:p w:rsidR="00615D7E" w:rsidRPr="00D75B5B" w:rsidRDefault="00615D7E" w:rsidP="00615D7E">
      <w:pPr>
        <w:pStyle w:val="DPSEntryIndents"/>
        <w:numPr>
          <w:ilvl w:val="1"/>
          <w:numId w:val="21"/>
        </w:numPr>
        <w:rPr>
          <w:lang w:eastAsia="en-US"/>
        </w:rPr>
      </w:pPr>
      <w:r w:rsidRPr="00D75B5B">
        <w:rPr>
          <w:lang w:eastAsia="en-US"/>
        </w:rPr>
        <w:lastRenderedPageBreak/>
        <w:t>we have seen Canberrans develop cancer while waiting more than a year for endoscopy examinations;</w:t>
      </w:r>
    </w:p>
    <w:p w:rsidR="00615D7E" w:rsidRPr="00D75B5B" w:rsidRDefault="00615D7E" w:rsidP="00615D7E">
      <w:pPr>
        <w:pStyle w:val="DPSEntryIndents"/>
        <w:numPr>
          <w:ilvl w:val="1"/>
          <w:numId w:val="21"/>
        </w:numPr>
        <w:rPr>
          <w:lang w:eastAsia="en-US"/>
        </w:rPr>
      </w:pPr>
      <w:r w:rsidRPr="00D75B5B">
        <w:rPr>
          <w:lang w:eastAsia="en-US"/>
        </w:rPr>
        <w:t>the Minister for Health has admitted that we have seen a decline, in real terms, in investment in our health system over the past 10 years, leaving us unprepared for the increased demands of the COVID-19 pandemic and having to build temporary facilities in order to cope;</w:t>
      </w:r>
    </w:p>
    <w:p w:rsidR="00615D7E" w:rsidRPr="00D75B5B" w:rsidRDefault="00615D7E" w:rsidP="00615D7E">
      <w:pPr>
        <w:pStyle w:val="DPSEntryIndents"/>
        <w:numPr>
          <w:ilvl w:val="1"/>
          <w:numId w:val="21"/>
        </w:numPr>
        <w:rPr>
          <w:lang w:eastAsia="en-US"/>
        </w:rPr>
      </w:pPr>
      <w:r w:rsidRPr="00D75B5B">
        <w:rPr>
          <w:lang w:eastAsia="en-US"/>
        </w:rPr>
        <w:t>we have seen the Canberra Hospital expansion and replacement of major infrastructure that is aged and at the end of its life promised at the 2012, 2016 elections, re</w:t>
      </w:r>
      <w:r w:rsidRPr="00D75B5B">
        <w:rPr>
          <w:lang w:eastAsia="en-US"/>
        </w:rPr>
        <w:noBreakHyphen/>
        <w:t>promised at the 2020 election, but yet to be delivered at all;</w:t>
      </w:r>
    </w:p>
    <w:p w:rsidR="00615D7E" w:rsidRPr="00D75B5B" w:rsidRDefault="00615D7E" w:rsidP="00615D7E">
      <w:pPr>
        <w:pStyle w:val="DPSEntryIndents"/>
        <w:numPr>
          <w:ilvl w:val="1"/>
          <w:numId w:val="21"/>
        </w:numPr>
        <w:rPr>
          <w:lang w:eastAsia="en-US"/>
        </w:rPr>
      </w:pPr>
      <w:r w:rsidRPr="00D75B5B">
        <w:rPr>
          <w:lang w:eastAsia="en-US"/>
        </w:rPr>
        <w:t>the $375 million budgeted for the Canberra Hospital expansion in 2012 being reallocated to the now empty tram;</w:t>
      </w:r>
    </w:p>
    <w:p w:rsidR="00615D7E" w:rsidRPr="00D75B5B" w:rsidRDefault="00615D7E" w:rsidP="00615D7E">
      <w:pPr>
        <w:pStyle w:val="DPSEntryIndents"/>
        <w:numPr>
          <w:ilvl w:val="1"/>
          <w:numId w:val="21"/>
        </w:numPr>
        <w:rPr>
          <w:lang w:eastAsia="en-US"/>
        </w:rPr>
      </w:pPr>
      <w:r w:rsidRPr="00D75B5B">
        <w:rPr>
          <w:lang w:eastAsia="en-US"/>
        </w:rPr>
        <w:t xml:space="preserve">in January this year, the Minister for Health committed to ensuring 70 percent of emergency department presentations were seen within clinically appropriate timeframes </w:t>
      </w:r>
      <w:r w:rsidR="00696898">
        <w:rPr>
          <w:lang w:eastAsia="en-US"/>
        </w:rPr>
        <w:t>“</w:t>
      </w:r>
      <w:r w:rsidRPr="00D75B5B">
        <w:rPr>
          <w:lang w:eastAsia="en-US"/>
        </w:rPr>
        <w:t>within nine months,</w:t>
      </w:r>
      <w:r w:rsidR="00696898">
        <w:rPr>
          <w:lang w:eastAsia="en-US"/>
        </w:rPr>
        <w:t>”</w:t>
      </w:r>
      <w:r w:rsidRPr="00D75B5B">
        <w:rPr>
          <w:lang w:eastAsia="en-US"/>
        </w:rPr>
        <w:t xml:space="preserve"> but the latest available data shows that </w:t>
      </w:r>
      <w:r w:rsidR="00696898">
        <w:rPr>
          <w:lang w:eastAsia="en-US"/>
        </w:rPr>
        <w:t>“</w:t>
      </w:r>
      <w:r w:rsidRPr="00D75B5B">
        <w:rPr>
          <w:lang w:eastAsia="en-US"/>
        </w:rPr>
        <w:t>urgent</w:t>
      </w:r>
      <w:r w:rsidR="00696898">
        <w:rPr>
          <w:lang w:eastAsia="en-US"/>
        </w:rPr>
        <w:t>”</w:t>
      </w:r>
      <w:r w:rsidRPr="00D75B5B">
        <w:rPr>
          <w:lang w:eastAsia="en-US"/>
        </w:rPr>
        <w:t xml:space="preserve"> presentations to the Canberra Hospital Emergency Department were only seen in clinically appropriate timeframes 26 percent of the time;</w:t>
      </w:r>
    </w:p>
    <w:p w:rsidR="00615D7E" w:rsidRPr="00D75B5B" w:rsidRDefault="00615D7E" w:rsidP="00615D7E">
      <w:pPr>
        <w:pStyle w:val="DPSEntryIndents"/>
        <w:numPr>
          <w:ilvl w:val="1"/>
          <w:numId w:val="21"/>
        </w:numPr>
        <w:rPr>
          <w:lang w:eastAsia="en-US"/>
        </w:rPr>
      </w:pPr>
      <w:r w:rsidRPr="00D75B5B">
        <w:rPr>
          <w:lang w:eastAsia="en-US"/>
        </w:rPr>
        <w:t xml:space="preserve">the </w:t>
      </w:r>
      <w:r w:rsidR="00696898">
        <w:rPr>
          <w:lang w:eastAsia="en-US"/>
        </w:rPr>
        <w:t>“</w:t>
      </w:r>
      <w:r w:rsidRPr="00D75B5B">
        <w:rPr>
          <w:lang w:eastAsia="en-US"/>
        </w:rPr>
        <w:t>fit testing</w:t>
      </w:r>
      <w:r w:rsidR="00696898">
        <w:rPr>
          <w:lang w:eastAsia="en-US"/>
        </w:rPr>
        <w:t>”</w:t>
      </w:r>
      <w:r w:rsidRPr="00D75B5B">
        <w:rPr>
          <w:lang w:eastAsia="en-US"/>
        </w:rPr>
        <w:t xml:space="preserve"> of personal protective equipment for healthcare workers during the latest COVID-19 has been distressingly inadequate, with most nurses and physicians in the Emergency Department and in </w:t>
      </w:r>
      <w:r>
        <w:rPr>
          <w:lang w:eastAsia="en-US"/>
        </w:rPr>
        <w:t>COVID</w:t>
      </w:r>
      <w:r w:rsidRPr="00D75B5B">
        <w:rPr>
          <w:lang w:eastAsia="en-US"/>
        </w:rPr>
        <w:t xml:space="preserve"> wards not having been appropriately fit tested at the start of the </w:t>
      </w:r>
      <w:r>
        <w:rPr>
          <w:lang w:eastAsia="en-US"/>
        </w:rPr>
        <w:t>current COVID</w:t>
      </w:r>
      <w:r>
        <w:rPr>
          <w:lang w:eastAsia="en-US"/>
        </w:rPr>
        <w:noBreakHyphen/>
      </w:r>
      <w:r w:rsidRPr="00D75B5B">
        <w:rPr>
          <w:lang w:eastAsia="en-US"/>
        </w:rPr>
        <w:t>19 outbreak as per basic occupational health and safety requirements;</w:t>
      </w:r>
    </w:p>
    <w:p w:rsidR="00615D7E" w:rsidRPr="00D75B5B" w:rsidRDefault="00615D7E" w:rsidP="00615D7E">
      <w:pPr>
        <w:pStyle w:val="DPSEntryIndents"/>
        <w:numPr>
          <w:ilvl w:val="1"/>
          <w:numId w:val="21"/>
        </w:numPr>
        <w:rPr>
          <w:lang w:eastAsia="en-US"/>
        </w:rPr>
      </w:pPr>
      <w:r w:rsidRPr="00D75B5B">
        <w:rPr>
          <w:lang w:eastAsia="en-US"/>
        </w:rPr>
        <w:t>h</w:t>
      </w:r>
      <w:r>
        <w:rPr>
          <w:lang w:eastAsia="en-US"/>
        </w:rPr>
        <w:t>ea</w:t>
      </w:r>
      <w:r w:rsidR="003D2DB4">
        <w:rPr>
          <w:lang w:eastAsia="en-US"/>
        </w:rPr>
        <w:t>l</w:t>
      </w:r>
      <w:r>
        <w:rPr>
          <w:lang w:eastAsia="en-US"/>
        </w:rPr>
        <w:t>th workforce shortages, and 1</w:t>
      </w:r>
      <w:r w:rsidRPr="00D75B5B">
        <w:rPr>
          <w:lang w:eastAsia="en-US"/>
        </w:rPr>
        <w:t>000 workers wanting to re-enter the health workforce, but no clear pathway or re</w:t>
      </w:r>
      <w:r w:rsidR="009D1A7D">
        <w:rPr>
          <w:lang w:eastAsia="en-US"/>
        </w:rPr>
        <w:t>-</w:t>
      </w:r>
      <w:r w:rsidRPr="00D75B5B">
        <w:rPr>
          <w:lang w:eastAsia="en-US"/>
        </w:rPr>
        <w:t>registration process outlined by the Government for them to re-enter for those with lapsed registrations;</w:t>
      </w:r>
    </w:p>
    <w:p w:rsidR="00615D7E" w:rsidRPr="00D75B5B" w:rsidRDefault="00615D7E" w:rsidP="00615D7E">
      <w:pPr>
        <w:pStyle w:val="DPSEntryIndents"/>
        <w:numPr>
          <w:ilvl w:val="1"/>
          <w:numId w:val="21"/>
        </w:numPr>
        <w:rPr>
          <w:lang w:eastAsia="en-US"/>
        </w:rPr>
      </w:pPr>
      <w:r w:rsidRPr="00D75B5B">
        <w:rPr>
          <w:lang w:eastAsia="en-US"/>
        </w:rPr>
        <w:t xml:space="preserve">the Chief Minister claimed that the Garran Surge Centre would get our intensive care unit (ICU) capacity </w:t>
      </w:r>
      <w:r w:rsidR="00696898">
        <w:rPr>
          <w:lang w:eastAsia="en-US"/>
        </w:rPr>
        <w:t>“</w:t>
      </w:r>
      <w:r w:rsidRPr="00D75B5B">
        <w:rPr>
          <w:lang w:eastAsia="en-US"/>
        </w:rPr>
        <w:t>into the low hundreds</w:t>
      </w:r>
      <w:r w:rsidR="00696898">
        <w:rPr>
          <w:lang w:eastAsia="en-US"/>
        </w:rPr>
        <w:t>”</w:t>
      </w:r>
      <w:r w:rsidRPr="00D75B5B">
        <w:rPr>
          <w:lang w:eastAsia="en-US"/>
        </w:rPr>
        <w:t xml:space="preserve"> on 22 September, yet the beds in the centre will not be classified ICU beds, but instead as emergency beds; and</w:t>
      </w:r>
    </w:p>
    <w:p w:rsidR="00615D7E" w:rsidRPr="00D75B5B" w:rsidRDefault="00615D7E" w:rsidP="00615D7E">
      <w:pPr>
        <w:pStyle w:val="DPSEntryIndents"/>
        <w:numPr>
          <w:ilvl w:val="1"/>
          <w:numId w:val="21"/>
        </w:numPr>
        <w:rPr>
          <w:lang w:eastAsia="en-US"/>
        </w:rPr>
      </w:pPr>
      <w:r w:rsidRPr="00D75B5B">
        <w:rPr>
          <w:lang w:eastAsia="en-US"/>
        </w:rPr>
        <w:t>to add insult to injury, the pre</w:t>
      </w:r>
      <w:r>
        <w:rPr>
          <w:lang w:eastAsia="en-US"/>
        </w:rPr>
        <w:t>-Budget announcement in health—</w:t>
      </w:r>
      <w:r w:rsidRPr="00D75B5B">
        <w:rPr>
          <w:lang w:eastAsia="en-US"/>
        </w:rPr>
        <w:t>promising 90 nurses, four ICU beds to be operational by 2023-24, the expansion of the Emergency Medical Unit and the Acute Medical Unit—is less than half of the promised 400 health care professionals, and along with the ICU beds will not be completely delivered until the next election;</w:t>
      </w:r>
      <w:r>
        <w:rPr>
          <w:lang w:eastAsia="en-US"/>
        </w:rPr>
        <w:t xml:space="preserve"> and</w:t>
      </w:r>
    </w:p>
    <w:p w:rsidR="00615D7E" w:rsidRPr="00D75B5B" w:rsidRDefault="00615D7E" w:rsidP="00615D7E">
      <w:pPr>
        <w:pStyle w:val="DPSEntryIndents"/>
        <w:numPr>
          <w:ilvl w:val="0"/>
          <w:numId w:val="21"/>
        </w:numPr>
        <w:rPr>
          <w:lang w:eastAsia="en-US"/>
        </w:rPr>
      </w:pPr>
      <w:r w:rsidRPr="00D75B5B">
        <w:rPr>
          <w:lang w:eastAsia="en-US"/>
        </w:rPr>
        <w:t>calls on the ACT Government to:</w:t>
      </w:r>
    </w:p>
    <w:p w:rsidR="00615D7E" w:rsidRPr="00D75B5B" w:rsidRDefault="00615D7E" w:rsidP="00615D7E">
      <w:pPr>
        <w:pStyle w:val="DPSEntryIndents"/>
        <w:numPr>
          <w:ilvl w:val="1"/>
          <w:numId w:val="21"/>
        </w:numPr>
        <w:rPr>
          <w:lang w:eastAsia="en-US"/>
        </w:rPr>
      </w:pPr>
      <w:r w:rsidRPr="00D75B5B">
        <w:rPr>
          <w:lang w:eastAsia="en-US"/>
        </w:rPr>
        <w:t>recognise and acknowledge the phenomenal effort, dedication and courage of our healthcare workers, and ensure that they are properly resourced, supported and protected during this current COVID-19 outbreak;</w:t>
      </w:r>
    </w:p>
    <w:p w:rsidR="00615D7E" w:rsidRPr="00D75B5B" w:rsidRDefault="00615D7E" w:rsidP="00615D7E">
      <w:pPr>
        <w:pStyle w:val="DPSEntryIndents"/>
        <w:numPr>
          <w:ilvl w:val="1"/>
          <w:numId w:val="21"/>
        </w:numPr>
        <w:rPr>
          <w:lang w:eastAsia="en-US"/>
        </w:rPr>
      </w:pPr>
      <w:r w:rsidRPr="00D75B5B">
        <w:rPr>
          <w:lang w:eastAsia="en-US"/>
        </w:rPr>
        <w:t>make a substantial capital investment to finally begin the Canberra Hospital rebuild, providing clinically appropriate facilities at the Canberra Hospital;</w:t>
      </w:r>
    </w:p>
    <w:p w:rsidR="00615D7E" w:rsidRPr="00D75B5B" w:rsidRDefault="00615D7E" w:rsidP="00615D7E">
      <w:pPr>
        <w:pStyle w:val="DPSEntryIndents"/>
        <w:numPr>
          <w:ilvl w:val="1"/>
          <w:numId w:val="21"/>
        </w:numPr>
        <w:rPr>
          <w:lang w:eastAsia="en-US"/>
        </w:rPr>
      </w:pPr>
      <w:r w:rsidRPr="00D75B5B">
        <w:rPr>
          <w:lang w:eastAsia="en-US"/>
        </w:rPr>
        <w:lastRenderedPageBreak/>
        <w:t>outline the process for nurses seeking to re-enter the workforce to re</w:t>
      </w:r>
      <w:r w:rsidR="00625505">
        <w:rPr>
          <w:lang w:eastAsia="en-US"/>
        </w:rPr>
        <w:noBreakHyphen/>
      </w:r>
      <w:r w:rsidRPr="00D75B5B">
        <w:rPr>
          <w:lang w:eastAsia="en-US"/>
        </w:rPr>
        <w:t>register, including what financial support will be provided by the Government;</w:t>
      </w:r>
    </w:p>
    <w:p w:rsidR="00615D7E" w:rsidRPr="00D75B5B" w:rsidRDefault="00615D7E" w:rsidP="00615D7E">
      <w:pPr>
        <w:pStyle w:val="DPSEntryIndents"/>
        <w:numPr>
          <w:ilvl w:val="1"/>
          <w:numId w:val="21"/>
        </w:numPr>
        <w:rPr>
          <w:lang w:eastAsia="en-US"/>
        </w:rPr>
      </w:pPr>
      <w:r w:rsidRPr="00D75B5B">
        <w:rPr>
          <w:lang w:eastAsia="en-US"/>
        </w:rPr>
        <w:t>develop and implement a comprehensive health workforce strategy to establish a pipeline of highly skilled healthcare professionals to serve the ACT in the decades to come and to achieve the ratios promised at last year</w:t>
      </w:r>
      <w:r w:rsidR="00696898">
        <w:rPr>
          <w:lang w:eastAsia="en-US"/>
        </w:rPr>
        <w:t>’</w:t>
      </w:r>
      <w:r w:rsidRPr="00D75B5B">
        <w:rPr>
          <w:lang w:eastAsia="en-US"/>
        </w:rPr>
        <w:t>s election, including a date by which the ratios will all be achieved; and</w:t>
      </w:r>
    </w:p>
    <w:p w:rsidR="007F4591" w:rsidRPr="00615D7E" w:rsidRDefault="00615D7E" w:rsidP="00615D7E">
      <w:pPr>
        <w:pStyle w:val="DPSEntryIndents"/>
        <w:numPr>
          <w:ilvl w:val="1"/>
          <w:numId w:val="21"/>
        </w:numPr>
        <w:rPr>
          <w:color w:val="000000"/>
        </w:rPr>
      </w:pPr>
      <w:r>
        <w:rPr>
          <w:lang w:eastAsia="en-US"/>
        </w:rPr>
        <w:t>r</w:t>
      </w:r>
      <w:r w:rsidRPr="00D75B5B">
        <w:rPr>
          <w:lang w:eastAsia="en-US"/>
        </w:rPr>
        <w:t>eport back to the Assembly by the last sitting day in November 2021 on progress on (2)(a)</w:t>
      </w:r>
      <w:r w:rsidRPr="00D75B5B">
        <w:rPr>
          <w:lang w:eastAsia="en-US"/>
        </w:rPr>
        <w:noBreakHyphen/>
        <w:t>(d).</w:t>
      </w:r>
    </w:p>
    <w:p w:rsidR="0069622C" w:rsidRDefault="0069622C" w:rsidP="007F4591">
      <w:pPr>
        <w:spacing w:before="120"/>
        <w:ind w:left="720" w:right="-35"/>
        <w:rPr>
          <w:rFonts w:ascii="Calibri" w:hAnsi="Calibri"/>
          <w:color w:val="000000"/>
          <w:lang w:val="en-AU"/>
        </w:rPr>
      </w:pPr>
      <w:r>
        <w:rPr>
          <w:rFonts w:ascii="Calibri" w:hAnsi="Calibri"/>
          <w:color w:val="000000"/>
          <w:lang w:val="en-AU"/>
        </w:rPr>
        <w:t>Ms Stephen-Smith (Minister for Health), by leave, moved the following amendments together:</w:t>
      </w:r>
    </w:p>
    <w:p w:rsidR="0069622C" w:rsidRDefault="0069622C" w:rsidP="0069622C">
      <w:pPr>
        <w:spacing w:before="120"/>
        <w:ind w:left="1260" w:right="-35" w:hanging="540"/>
        <w:rPr>
          <w:rFonts w:ascii="Calibri" w:hAnsi="Calibri"/>
          <w:color w:val="000000"/>
          <w:lang w:val="en-AU"/>
        </w:rPr>
      </w:pPr>
      <w:r>
        <w:rPr>
          <w:rFonts w:ascii="Calibri" w:hAnsi="Calibri"/>
          <w:color w:val="000000"/>
          <w:lang w:val="en-AU"/>
        </w:rPr>
        <w:t>1.</w:t>
      </w:r>
      <w:r>
        <w:rPr>
          <w:rFonts w:ascii="Calibri" w:hAnsi="Calibri"/>
          <w:color w:val="000000"/>
          <w:lang w:val="en-AU"/>
        </w:rPr>
        <w:tab/>
        <w:t>Omit paragraphs (1)(a) to (l), substitute:</w:t>
      </w:r>
    </w:p>
    <w:p w:rsidR="0069622C" w:rsidRPr="0069622C" w:rsidRDefault="0069622C" w:rsidP="0069622C">
      <w:pPr>
        <w:tabs>
          <w:tab w:val="left" w:pos="1350"/>
          <w:tab w:val="left" w:pos="1890"/>
        </w:tabs>
        <w:spacing w:before="120"/>
        <w:ind w:left="1890" w:right="-35" w:hanging="1170"/>
        <w:rPr>
          <w:sz w:val="22"/>
        </w:rPr>
      </w:pPr>
      <w:r>
        <w:rPr>
          <w:rFonts w:ascii="Calibri" w:hAnsi="Calibri"/>
          <w:color w:val="000000"/>
          <w:lang w:val="en-AU"/>
        </w:rPr>
        <w:tab/>
        <w:t>“(a)</w:t>
      </w:r>
      <w:r>
        <w:rPr>
          <w:rFonts w:ascii="Calibri" w:hAnsi="Calibri"/>
          <w:color w:val="000000"/>
          <w:lang w:val="en-AU"/>
        </w:rPr>
        <w:tab/>
      </w:r>
      <w:r w:rsidRPr="0069622C">
        <w:t>ACT public health services are an integral part of the Canberra community providing essential services, particularl</w:t>
      </w:r>
      <w:r>
        <w:t>y during the COVID-19 pandemic;</w:t>
      </w:r>
    </w:p>
    <w:p w:rsidR="0069622C" w:rsidRPr="0069622C" w:rsidRDefault="0069622C" w:rsidP="0069622C">
      <w:pPr>
        <w:pStyle w:val="DPSEntryIndents"/>
        <w:numPr>
          <w:ilvl w:val="1"/>
          <w:numId w:val="38"/>
        </w:numPr>
      </w:pPr>
      <w:r>
        <w:t>m</w:t>
      </w:r>
      <w:r w:rsidRPr="0069622C">
        <w:t>ore than 500 additional staff have temporarily joined the frontline health workforce and administrative teams in response to the recent expressions of interest process, including 333 nurses and 61 student nurses;</w:t>
      </w:r>
    </w:p>
    <w:p w:rsidR="0069622C" w:rsidRPr="0069622C" w:rsidRDefault="0069622C" w:rsidP="0069622C">
      <w:pPr>
        <w:pStyle w:val="DPSEntryIndents"/>
        <w:numPr>
          <w:ilvl w:val="1"/>
          <w:numId w:val="38"/>
        </w:numPr>
      </w:pPr>
      <w:r w:rsidRPr="0069622C">
        <w:t>the ACT Government is continuing to strongly invest in the public health system with a record $8.5 billion investment</w:t>
      </w:r>
      <w:r>
        <w:t xml:space="preserve"> over four years in the 2021</w:t>
      </w:r>
      <w:r w:rsidR="00507341">
        <w:noBreakHyphen/>
      </w:r>
      <w:r>
        <w:t>22 </w:t>
      </w:r>
      <w:r w:rsidRPr="0069622C">
        <w:t>Budget for the health portfolio;</w:t>
      </w:r>
    </w:p>
    <w:p w:rsidR="0069622C" w:rsidRPr="0069622C" w:rsidRDefault="0069622C" w:rsidP="0069622C">
      <w:pPr>
        <w:pStyle w:val="DPSEntryIndents"/>
        <w:numPr>
          <w:ilvl w:val="1"/>
          <w:numId w:val="38"/>
        </w:numPr>
      </w:pPr>
      <w:r w:rsidRPr="0069622C">
        <w:t>the ACT Government continues to grow critical hospital services through the provision of more than $128 million to support increased demand, building further capacity and to support contemporary models of care for the Canberra community;</w:t>
      </w:r>
    </w:p>
    <w:p w:rsidR="0069622C" w:rsidRPr="0069622C" w:rsidRDefault="0069622C" w:rsidP="0069622C">
      <w:pPr>
        <w:pStyle w:val="DPSEntryIndents"/>
        <w:numPr>
          <w:ilvl w:val="1"/>
          <w:numId w:val="38"/>
        </w:numPr>
      </w:pPr>
      <w:r w:rsidRPr="0069622C">
        <w:t>the ACT Government has allocated addit</w:t>
      </w:r>
      <w:r>
        <w:t>ional funds through the 2020</w:t>
      </w:r>
      <w:r>
        <w:noBreakHyphen/>
        <w:t>21 </w:t>
      </w:r>
      <w:r w:rsidRPr="0069622C">
        <w:t>Budget and 2021-2</w:t>
      </w:r>
      <w:r>
        <w:t>2 Budget to deliver more public</w:t>
      </w:r>
      <w:r w:rsidRPr="0069622C">
        <w:t xml:space="preserve"> endoscopy procedures and commence feasibility for upgrades at Canberra Hospital and Calvary Public Hospital Bruce to respond to growing demand in the ACT;</w:t>
      </w:r>
    </w:p>
    <w:p w:rsidR="0069622C" w:rsidRPr="0069622C" w:rsidRDefault="0069622C" w:rsidP="0069622C">
      <w:pPr>
        <w:pStyle w:val="DPSEntryIndents"/>
        <w:numPr>
          <w:ilvl w:val="1"/>
          <w:numId w:val="38"/>
        </w:numPr>
      </w:pPr>
      <w:r w:rsidRPr="0069622C">
        <w:t>the 2021-22 Budget outlines an $877 million health infrastructure pipeline over the coming five years, including the Canberra Hospital expansion and planning for a new northside hospital, to future proof our health system;</w:t>
      </w:r>
    </w:p>
    <w:p w:rsidR="0069622C" w:rsidRPr="0069622C" w:rsidRDefault="0069622C" w:rsidP="0069622C">
      <w:pPr>
        <w:pStyle w:val="DPSEntryIndents"/>
        <w:numPr>
          <w:ilvl w:val="1"/>
          <w:numId w:val="38"/>
        </w:numPr>
      </w:pPr>
      <w:r w:rsidRPr="0069622C">
        <w:t>this pipeline builds on the ACT Government investment of over $1 billion in health infrastructure in the previous decade, including delivery of the University of Canberra Hospital in 2018;</w:t>
      </w:r>
    </w:p>
    <w:p w:rsidR="0069622C" w:rsidRPr="0069622C" w:rsidRDefault="0069622C" w:rsidP="0069622C">
      <w:pPr>
        <w:pStyle w:val="DPSEntryIndents"/>
        <w:numPr>
          <w:ilvl w:val="1"/>
          <w:numId w:val="38"/>
        </w:numPr>
      </w:pPr>
      <w:r w:rsidRPr="0069622C">
        <w:t>the $624 million Canberra Hospital Expansion has already delivered two new buildings on the Canberra Hospital campus and refurbishment of multiple spaces, and the Critical Services Building is on track to be completed in 2024;</w:t>
      </w:r>
    </w:p>
    <w:p w:rsidR="0069622C" w:rsidRPr="0069622C" w:rsidRDefault="0069622C" w:rsidP="00524709">
      <w:pPr>
        <w:pStyle w:val="DPSEntryIndents"/>
        <w:keepLines/>
        <w:numPr>
          <w:ilvl w:val="1"/>
          <w:numId w:val="38"/>
        </w:numPr>
      </w:pPr>
      <w:r w:rsidRPr="0069622C">
        <w:lastRenderedPageBreak/>
        <w:t>the ACT Government committed to hiring a further 400 health care professionals to the ACT public health system in this term of government and by the end of the 2021-22 financial year an additional 257 FTE will join the health workforce in the ACT;</w:t>
      </w:r>
    </w:p>
    <w:p w:rsidR="0069622C" w:rsidRPr="0069622C" w:rsidRDefault="0069622C" w:rsidP="0069622C">
      <w:pPr>
        <w:pStyle w:val="DPSEntryIndents"/>
        <w:numPr>
          <w:ilvl w:val="1"/>
          <w:numId w:val="38"/>
        </w:numPr>
      </w:pPr>
      <w:r w:rsidRPr="0069622C">
        <w:t>this will include more than 90 additional FTE nursing positions as part of the first phase of Nursing and Midwifery ratios being implemented during 2021-22 to continue to improve the provision of safe, high quality care across our public hospitals;</w:t>
      </w:r>
    </w:p>
    <w:p w:rsidR="0069622C" w:rsidRPr="0069622C" w:rsidRDefault="0069622C" w:rsidP="0069622C">
      <w:pPr>
        <w:pStyle w:val="DPSEntryIndents"/>
        <w:numPr>
          <w:ilvl w:val="1"/>
          <w:numId w:val="38"/>
        </w:numPr>
      </w:pPr>
      <w:r w:rsidRPr="0069622C">
        <w:t>infection prevention and control is a vital part of the response to COVID-19, including fit testing of N95 masks to maintain effective personal protective equipment for healthcare workers. Calvary Public Hospital operates one fit testing machine, with a second machine available intermittently, and Canberra Health Services operates three fit testing machines seven days a week to ensure health workers are able to wear the best mask for them while working on the frontline; and</w:t>
      </w:r>
    </w:p>
    <w:p w:rsidR="0069622C" w:rsidRPr="0069622C" w:rsidRDefault="0069622C" w:rsidP="0069622C">
      <w:pPr>
        <w:pStyle w:val="DPSEntryIndents"/>
        <w:numPr>
          <w:ilvl w:val="1"/>
          <w:numId w:val="38"/>
        </w:numPr>
      </w:pPr>
      <w:r>
        <w:t>i</w:t>
      </w:r>
      <w:r w:rsidRPr="0069622C">
        <w:t>mplementation of the Culture Review continues to work on building a positive workplace culture for junior doctors and all health workers to support them to continue providing the best care to our community</w:t>
      </w:r>
      <w:r>
        <w:t>;”.</w:t>
      </w:r>
    </w:p>
    <w:p w:rsidR="0069622C" w:rsidRDefault="0069622C" w:rsidP="0069622C">
      <w:pPr>
        <w:tabs>
          <w:tab w:val="left" w:pos="1260"/>
        </w:tabs>
        <w:spacing w:before="120"/>
        <w:ind w:left="720" w:right="-35"/>
        <w:rPr>
          <w:rFonts w:ascii="Calibri" w:hAnsi="Calibri"/>
          <w:color w:val="000000"/>
          <w:lang w:val="en-AU"/>
        </w:rPr>
      </w:pPr>
      <w:r>
        <w:rPr>
          <w:rFonts w:ascii="Calibri" w:hAnsi="Calibri"/>
          <w:color w:val="000000"/>
          <w:lang w:val="en-AU"/>
        </w:rPr>
        <w:t>2.</w:t>
      </w:r>
      <w:r>
        <w:rPr>
          <w:rFonts w:ascii="Calibri" w:hAnsi="Calibri"/>
          <w:color w:val="000000"/>
          <w:lang w:val="en-AU"/>
        </w:rPr>
        <w:tab/>
        <w:t>Omit paragraphs (2)(b) to (e), substitute:</w:t>
      </w:r>
    </w:p>
    <w:p w:rsidR="0069622C" w:rsidRPr="0069622C" w:rsidRDefault="0069622C" w:rsidP="0069622C">
      <w:pPr>
        <w:tabs>
          <w:tab w:val="left" w:pos="1350"/>
          <w:tab w:val="left" w:pos="1890"/>
        </w:tabs>
        <w:spacing w:before="120"/>
        <w:ind w:left="1890" w:right="-35" w:hanging="1170"/>
        <w:rPr>
          <w:sz w:val="22"/>
        </w:rPr>
      </w:pPr>
      <w:r>
        <w:rPr>
          <w:rFonts w:ascii="Calibri" w:hAnsi="Calibri"/>
          <w:color w:val="000000"/>
          <w:lang w:val="en-AU"/>
        </w:rPr>
        <w:tab/>
        <w:t>“(b)</w:t>
      </w:r>
      <w:r>
        <w:rPr>
          <w:rFonts w:ascii="Calibri" w:hAnsi="Calibri"/>
          <w:color w:val="000000"/>
          <w:lang w:val="en-AU"/>
        </w:rPr>
        <w:tab/>
      </w:r>
      <w:r>
        <w:t>continue to work with all states and the Northern Territory to engage the Commonwealth Government in meaningful discussions about health system sustainability, acknowledging the pressures experienced by public health systems in every jurisdiction.”.</w:t>
      </w:r>
    </w:p>
    <w:p w:rsidR="0069622C" w:rsidRDefault="0069622C" w:rsidP="0069622C">
      <w:pPr>
        <w:tabs>
          <w:tab w:val="left" w:pos="1260"/>
        </w:tabs>
        <w:spacing w:before="120"/>
        <w:ind w:left="720" w:right="-35"/>
        <w:rPr>
          <w:rFonts w:ascii="Calibri" w:hAnsi="Calibri"/>
          <w:color w:val="000000"/>
          <w:lang w:val="en-AU"/>
        </w:rPr>
      </w:pPr>
      <w:r>
        <w:rPr>
          <w:rFonts w:ascii="Calibri" w:hAnsi="Calibri"/>
          <w:color w:val="000000"/>
          <w:lang w:val="en-AU"/>
        </w:rPr>
        <w:t>Debate continued.</w:t>
      </w:r>
    </w:p>
    <w:p w:rsidR="0069622C" w:rsidRDefault="0069622C" w:rsidP="007F4591">
      <w:pPr>
        <w:spacing w:before="120"/>
        <w:ind w:left="720" w:right="-35"/>
        <w:rPr>
          <w:rFonts w:ascii="Calibri" w:hAnsi="Calibri"/>
          <w:color w:val="000000"/>
          <w:lang w:val="en-AU"/>
        </w:rPr>
      </w:pPr>
      <w:r>
        <w:rPr>
          <w:rFonts w:ascii="Calibri" w:hAnsi="Calibri"/>
          <w:color w:val="000000"/>
          <w:lang w:val="en-AU"/>
        </w:rPr>
        <w:t>Question—That the amendment</w:t>
      </w:r>
      <w:r w:rsidR="00892426">
        <w:rPr>
          <w:rFonts w:ascii="Calibri" w:hAnsi="Calibri"/>
          <w:color w:val="000000"/>
          <w:lang w:val="en-AU"/>
        </w:rPr>
        <w:t>s</w:t>
      </w:r>
      <w:r>
        <w:rPr>
          <w:rFonts w:ascii="Calibri" w:hAnsi="Calibri"/>
          <w:color w:val="000000"/>
          <w:lang w:val="en-AU"/>
        </w:rPr>
        <w:t xml:space="preserve"> be agreed to—put.</w:t>
      </w:r>
    </w:p>
    <w:p w:rsidR="006B2DB5" w:rsidRDefault="006B2DB5" w:rsidP="006B2DB5">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627" w:type="dxa"/>
        <w:tblLayout w:type="fixed"/>
        <w:tblCellMar>
          <w:left w:w="0" w:type="dxa"/>
          <w:right w:w="56" w:type="dxa"/>
        </w:tblCellMar>
        <w:tblLook w:val="0000" w:firstRow="0" w:lastRow="0" w:firstColumn="0" w:lastColumn="0" w:noHBand="0" w:noVBand="0"/>
      </w:tblPr>
      <w:tblGrid>
        <w:gridCol w:w="720"/>
        <w:gridCol w:w="2160"/>
        <w:gridCol w:w="1202"/>
        <w:gridCol w:w="624"/>
        <w:gridCol w:w="215"/>
        <w:gridCol w:w="624"/>
        <w:gridCol w:w="125"/>
        <w:gridCol w:w="1916"/>
        <w:gridCol w:w="125"/>
        <w:gridCol w:w="1077"/>
        <w:gridCol w:w="572"/>
        <w:gridCol w:w="267"/>
      </w:tblGrid>
      <w:tr w:rsidR="006B2DB5" w:rsidTr="006B2DB5">
        <w:trPr>
          <w:gridAfter w:val="2"/>
          <w:wAfter w:w="839" w:type="dxa"/>
        </w:trPr>
        <w:tc>
          <w:tcPr>
            <w:tcW w:w="4082" w:type="dxa"/>
            <w:gridSpan w:val="3"/>
            <w:shd w:val="clear" w:color="auto" w:fill="auto"/>
          </w:tcPr>
          <w:p w:rsidR="006B2DB5" w:rsidRDefault="006B2DB5" w:rsidP="006B2DB5">
            <w:pPr>
              <w:tabs>
                <w:tab w:val="center" w:pos="2520"/>
              </w:tabs>
              <w:spacing w:before="120"/>
              <w:ind w:right="-35"/>
              <w:rPr>
                <w:rFonts w:ascii="Calibri" w:hAnsi="Calibri"/>
                <w:color w:val="000000"/>
                <w:lang w:val="en-AU"/>
              </w:rPr>
            </w:pPr>
            <w:r>
              <w:rPr>
                <w:rFonts w:ascii="Calibri" w:hAnsi="Calibri"/>
                <w:color w:val="000000"/>
                <w:lang w:val="en-AU"/>
              </w:rPr>
              <w:tab/>
              <w:t>AYES, 14</w:t>
            </w:r>
          </w:p>
        </w:tc>
        <w:tc>
          <w:tcPr>
            <w:tcW w:w="624" w:type="dxa"/>
            <w:shd w:val="clear" w:color="auto" w:fill="auto"/>
          </w:tcPr>
          <w:p w:rsidR="006B2DB5" w:rsidRDefault="006B2DB5" w:rsidP="006B2DB5">
            <w:pPr>
              <w:spacing w:before="120"/>
              <w:ind w:right="-35"/>
              <w:rPr>
                <w:rFonts w:ascii="Calibri" w:hAnsi="Calibri"/>
                <w:color w:val="000000"/>
                <w:lang w:val="en-AU"/>
              </w:rPr>
            </w:pPr>
          </w:p>
        </w:tc>
        <w:tc>
          <w:tcPr>
            <w:tcW w:w="4082" w:type="dxa"/>
            <w:gridSpan w:val="6"/>
            <w:shd w:val="clear" w:color="auto" w:fill="auto"/>
          </w:tcPr>
          <w:p w:rsidR="006B2DB5" w:rsidRDefault="006B2DB5" w:rsidP="006B2DB5">
            <w:pPr>
              <w:tabs>
                <w:tab w:val="center" w:pos="2494"/>
              </w:tabs>
              <w:spacing w:before="120"/>
              <w:ind w:right="-35"/>
              <w:rPr>
                <w:rFonts w:ascii="Calibri" w:hAnsi="Calibri"/>
                <w:color w:val="000000"/>
                <w:lang w:val="en-AU"/>
              </w:rPr>
            </w:pPr>
            <w:r>
              <w:rPr>
                <w:rFonts w:ascii="Calibri" w:hAnsi="Calibri"/>
                <w:color w:val="000000"/>
                <w:lang w:val="en-AU"/>
              </w:rPr>
              <w:tab/>
              <w:t>NOES, 7</w:t>
            </w:r>
          </w:p>
        </w:tc>
      </w:tr>
      <w:tr w:rsidR="006B2DB5" w:rsidTr="006B2DB5">
        <w:trPr>
          <w:gridBefore w:val="1"/>
          <w:gridAfter w:val="1"/>
          <w:wBefore w:w="720" w:type="dxa"/>
          <w:wAfter w:w="267" w:type="dxa"/>
          <w:trHeight w:hRule="exact" w:val="312"/>
        </w:trPr>
        <w:tc>
          <w:tcPr>
            <w:tcW w:w="2160" w:type="dxa"/>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Berry</w:t>
            </w:r>
          </w:p>
        </w:tc>
        <w:tc>
          <w:tcPr>
            <w:tcW w:w="2041" w:type="dxa"/>
            <w:gridSpan w:val="3"/>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Dr Paterson</w:t>
            </w:r>
          </w:p>
        </w:tc>
        <w:tc>
          <w:tcPr>
            <w:tcW w:w="749" w:type="dxa"/>
            <w:gridSpan w:val="2"/>
            <w:shd w:val="clear" w:color="auto" w:fill="auto"/>
          </w:tcPr>
          <w:p w:rsidR="006B2DB5" w:rsidRDefault="006B2DB5" w:rsidP="006B2DB5">
            <w:pPr>
              <w:spacing w:before="120"/>
              <w:ind w:right="-35"/>
              <w:rPr>
                <w:rFonts w:ascii="Calibri" w:hAnsi="Calibri"/>
                <w:color w:val="000000"/>
                <w:lang w:val="en-AU"/>
              </w:rPr>
            </w:pPr>
          </w:p>
        </w:tc>
        <w:tc>
          <w:tcPr>
            <w:tcW w:w="2041" w:type="dxa"/>
            <w:gridSpan w:val="2"/>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 Cain</w:t>
            </w:r>
          </w:p>
        </w:tc>
        <w:tc>
          <w:tcPr>
            <w:tcW w:w="1649" w:type="dxa"/>
            <w:gridSpan w:val="2"/>
            <w:shd w:val="clear" w:color="auto" w:fill="auto"/>
          </w:tcPr>
          <w:p w:rsidR="006B2DB5" w:rsidRDefault="006B2DB5" w:rsidP="006B2DB5">
            <w:pPr>
              <w:spacing w:before="120"/>
              <w:ind w:right="-35"/>
              <w:rPr>
                <w:rFonts w:ascii="Calibri" w:hAnsi="Calibri"/>
                <w:color w:val="000000"/>
                <w:lang w:val="en-AU"/>
              </w:rPr>
            </w:pPr>
          </w:p>
        </w:tc>
      </w:tr>
      <w:tr w:rsidR="006B2DB5" w:rsidTr="006B2DB5">
        <w:trPr>
          <w:gridBefore w:val="1"/>
          <w:gridAfter w:val="1"/>
          <w:wBefore w:w="720" w:type="dxa"/>
          <w:wAfter w:w="267" w:type="dxa"/>
          <w:trHeight w:hRule="exact" w:val="312"/>
        </w:trPr>
        <w:tc>
          <w:tcPr>
            <w:tcW w:w="2160" w:type="dxa"/>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 Pettersson</w:t>
            </w:r>
          </w:p>
        </w:tc>
        <w:tc>
          <w:tcPr>
            <w:tcW w:w="749" w:type="dxa"/>
            <w:gridSpan w:val="2"/>
            <w:shd w:val="clear" w:color="auto" w:fill="auto"/>
          </w:tcPr>
          <w:p w:rsidR="006B2DB5" w:rsidRDefault="006B2DB5" w:rsidP="006B2DB5">
            <w:pPr>
              <w:spacing w:before="120"/>
              <w:ind w:right="-35"/>
              <w:rPr>
                <w:rFonts w:ascii="Calibri" w:hAnsi="Calibri"/>
                <w:color w:val="000000"/>
                <w:lang w:val="en-AU"/>
              </w:rPr>
            </w:pPr>
          </w:p>
        </w:tc>
        <w:tc>
          <w:tcPr>
            <w:tcW w:w="2041" w:type="dxa"/>
            <w:gridSpan w:val="2"/>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Castley</w:t>
            </w:r>
          </w:p>
        </w:tc>
        <w:tc>
          <w:tcPr>
            <w:tcW w:w="1649" w:type="dxa"/>
            <w:gridSpan w:val="2"/>
            <w:shd w:val="clear" w:color="auto" w:fill="auto"/>
          </w:tcPr>
          <w:p w:rsidR="006B2DB5" w:rsidRDefault="006B2DB5" w:rsidP="006B2DB5">
            <w:pPr>
              <w:spacing w:before="120"/>
              <w:ind w:right="-35"/>
              <w:rPr>
                <w:rFonts w:ascii="Calibri" w:hAnsi="Calibri"/>
                <w:color w:val="000000"/>
                <w:lang w:val="en-AU"/>
              </w:rPr>
            </w:pPr>
          </w:p>
        </w:tc>
      </w:tr>
      <w:tr w:rsidR="006B2DB5" w:rsidTr="006B2DB5">
        <w:trPr>
          <w:gridBefore w:val="1"/>
          <w:gridAfter w:val="1"/>
          <w:wBefore w:w="720" w:type="dxa"/>
          <w:wAfter w:w="267" w:type="dxa"/>
          <w:trHeight w:hRule="exact" w:val="312"/>
        </w:trPr>
        <w:tc>
          <w:tcPr>
            <w:tcW w:w="2160" w:type="dxa"/>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 Rattenbury</w:t>
            </w:r>
          </w:p>
        </w:tc>
        <w:tc>
          <w:tcPr>
            <w:tcW w:w="749" w:type="dxa"/>
            <w:gridSpan w:val="2"/>
            <w:shd w:val="clear" w:color="auto" w:fill="auto"/>
          </w:tcPr>
          <w:p w:rsidR="006B2DB5" w:rsidRDefault="006B2DB5" w:rsidP="006B2DB5">
            <w:pPr>
              <w:spacing w:before="120"/>
              <w:ind w:right="-35"/>
              <w:rPr>
                <w:rFonts w:ascii="Calibri" w:hAnsi="Calibri"/>
                <w:color w:val="000000"/>
                <w:lang w:val="en-AU"/>
              </w:rPr>
            </w:pPr>
          </w:p>
        </w:tc>
        <w:tc>
          <w:tcPr>
            <w:tcW w:w="2041" w:type="dxa"/>
            <w:gridSpan w:val="2"/>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 Hanson</w:t>
            </w:r>
          </w:p>
        </w:tc>
        <w:tc>
          <w:tcPr>
            <w:tcW w:w="1649" w:type="dxa"/>
            <w:gridSpan w:val="2"/>
            <w:shd w:val="clear" w:color="auto" w:fill="auto"/>
          </w:tcPr>
          <w:p w:rsidR="006B2DB5" w:rsidRDefault="006B2DB5" w:rsidP="006B2DB5">
            <w:pPr>
              <w:spacing w:before="120"/>
              <w:ind w:right="-35"/>
              <w:rPr>
                <w:rFonts w:ascii="Calibri" w:hAnsi="Calibri"/>
                <w:color w:val="000000"/>
                <w:lang w:val="en-AU"/>
              </w:rPr>
            </w:pPr>
          </w:p>
        </w:tc>
      </w:tr>
      <w:tr w:rsidR="006B2DB5" w:rsidTr="006B2DB5">
        <w:trPr>
          <w:gridBefore w:val="1"/>
          <w:gridAfter w:val="1"/>
          <w:wBefore w:w="720" w:type="dxa"/>
          <w:wAfter w:w="267" w:type="dxa"/>
          <w:trHeight w:hRule="exact" w:val="312"/>
        </w:trPr>
        <w:tc>
          <w:tcPr>
            <w:tcW w:w="2160" w:type="dxa"/>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 Steel</w:t>
            </w:r>
          </w:p>
        </w:tc>
        <w:tc>
          <w:tcPr>
            <w:tcW w:w="749" w:type="dxa"/>
            <w:gridSpan w:val="2"/>
            <w:shd w:val="clear" w:color="auto" w:fill="auto"/>
          </w:tcPr>
          <w:p w:rsidR="006B2DB5" w:rsidRDefault="006B2DB5" w:rsidP="006B2DB5">
            <w:pPr>
              <w:spacing w:before="120"/>
              <w:ind w:right="-35"/>
              <w:rPr>
                <w:rFonts w:ascii="Calibri" w:hAnsi="Calibri"/>
                <w:color w:val="000000"/>
                <w:lang w:val="en-AU"/>
              </w:rPr>
            </w:pPr>
          </w:p>
        </w:tc>
        <w:tc>
          <w:tcPr>
            <w:tcW w:w="2041" w:type="dxa"/>
            <w:gridSpan w:val="2"/>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Mrs Jones</w:t>
            </w:r>
          </w:p>
        </w:tc>
        <w:tc>
          <w:tcPr>
            <w:tcW w:w="1649" w:type="dxa"/>
            <w:gridSpan w:val="2"/>
            <w:shd w:val="clear" w:color="auto" w:fill="auto"/>
          </w:tcPr>
          <w:p w:rsidR="006B2DB5" w:rsidRDefault="006B2DB5" w:rsidP="006B2DB5">
            <w:pPr>
              <w:spacing w:before="120"/>
              <w:ind w:right="-35"/>
              <w:rPr>
                <w:rFonts w:ascii="Calibri" w:hAnsi="Calibri"/>
                <w:color w:val="000000"/>
                <w:lang w:val="en-AU"/>
              </w:rPr>
            </w:pPr>
          </w:p>
        </w:tc>
      </w:tr>
      <w:tr w:rsidR="006B2DB5" w:rsidTr="006B2DB5">
        <w:trPr>
          <w:gridBefore w:val="1"/>
          <w:gridAfter w:val="1"/>
          <w:wBefore w:w="720" w:type="dxa"/>
          <w:wAfter w:w="267" w:type="dxa"/>
          <w:trHeight w:hRule="exact" w:val="312"/>
        </w:trPr>
        <w:tc>
          <w:tcPr>
            <w:tcW w:w="2160" w:type="dxa"/>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Stephen-Smith</w:t>
            </w:r>
          </w:p>
        </w:tc>
        <w:tc>
          <w:tcPr>
            <w:tcW w:w="749" w:type="dxa"/>
            <w:gridSpan w:val="2"/>
            <w:shd w:val="clear" w:color="auto" w:fill="auto"/>
          </w:tcPr>
          <w:p w:rsidR="006B2DB5" w:rsidRDefault="006B2DB5" w:rsidP="006B2DB5">
            <w:pPr>
              <w:spacing w:before="120"/>
              <w:ind w:right="-35"/>
              <w:rPr>
                <w:rFonts w:ascii="Calibri" w:hAnsi="Calibri"/>
                <w:color w:val="000000"/>
                <w:lang w:val="en-AU"/>
              </w:rPr>
            </w:pPr>
          </w:p>
        </w:tc>
        <w:tc>
          <w:tcPr>
            <w:tcW w:w="2041" w:type="dxa"/>
            <w:gridSpan w:val="2"/>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Mrs Kikkert</w:t>
            </w:r>
          </w:p>
        </w:tc>
        <w:tc>
          <w:tcPr>
            <w:tcW w:w="1649" w:type="dxa"/>
            <w:gridSpan w:val="2"/>
            <w:shd w:val="clear" w:color="auto" w:fill="auto"/>
          </w:tcPr>
          <w:p w:rsidR="006B2DB5" w:rsidRDefault="006B2DB5" w:rsidP="006B2DB5">
            <w:pPr>
              <w:spacing w:before="120"/>
              <w:ind w:right="-35"/>
              <w:rPr>
                <w:rFonts w:ascii="Calibri" w:hAnsi="Calibri"/>
                <w:color w:val="000000"/>
                <w:lang w:val="en-AU"/>
              </w:rPr>
            </w:pPr>
          </w:p>
        </w:tc>
      </w:tr>
      <w:tr w:rsidR="006B2DB5" w:rsidTr="006B2DB5">
        <w:trPr>
          <w:gridBefore w:val="1"/>
          <w:gridAfter w:val="1"/>
          <w:wBefore w:w="720" w:type="dxa"/>
          <w:wAfter w:w="267" w:type="dxa"/>
          <w:trHeight w:hRule="exact" w:val="312"/>
        </w:trPr>
        <w:tc>
          <w:tcPr>
            <w:tcW w:w="2160" w:type="dxa"/>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Vassarotti</w:t>
            </w:r>
          </w:p>
        </w:tc>
        <w:tc>
          <w:tcPr>
            <w:tcW w:w="749" w:type="dxa"/>
            <w:gridSpan w:val="2"/>
            <w:shd w:val="clear" w:color="auto" w:fill="auto"/>
          </w:tcPr>
          <w:p w:rsidR="006B2DB5" w:rsidRDefault="006B2DB5" w:rsidP="006B2DB5">
            <w:pPr>
              <w:spacing w:before="120"/>
              <w:ind w:right="-35"/>
              <w:rPr>
                <w:rFonts w:ascii="Calibri" w:hAnsi="Calibri"/>
                <w:color w:val="000000"/>
                <w:lang w:val="en-AU"/>
              </w:rPr>
            </w:pPr>
          </w:p>
        </w:tc>
        <w:tc>
          <w:tcPr>
            <w:tcW w:w="2041" w:type="dxa"/>
            <w:gridSpan w:val="2"/>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Lawder</w:t>
            </w:r>
          </w:p>
        </w:tc>
        <w:tc>
          <w:tcPr>
            <w:tcW w:w="1649" w:type="dxa"/>
            <w:gridSpan w:val="2"/>
            <w:shd w:val="clear" w:color="auto" w:fill="auto"/>
          </w:tcPr>
          <w:p w:rsidR="006B2DB5" w:rsidRDefault="006B2DB5" w:rsidP="006B2DB5">
            <w:pPr>
              <w:spacing w:before="120"/>
              <w:ind w:right="-35"/>
              <w:rPr>
                <w:rFonts w:ascii="Calibri" w:hAnsi="Calibri"/>
                <w:color w:val="000000"/>
                <w:lang w:val="en-AU"/>
              </w:rPr>
            </w:pPr>
          </w:p>
        </w:tc>
      </w:tr>
      <w:tr w:rsidR="006B2DB5" w:rsidTr="006B2DB5">
        <w:trPr>
          <w:gridBefore w:val="1"/>
          <w:gridAfter w:val="1"/>
          <w:wBefore w:w="720" w:type="dxa"/>
          <w:wAfter w:w="267" w:type="dxa"/>
          <w:trHeight w:hRule="exact" w:val="312"/>
        </w:trPr>
        <w:tc>
          <w:tcPr>
            <w:tcW w:w="2160" w:type="dxa"/>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 Gentleman</w:t>
            </w:r>
          </w:p>
        </w:tc>
        <w:tc>
          <w:tcPr>
            <w:tcW w:w="2041" w:type="dxa"/>
            <w:gridSpan w:val="3"/>
            <w:shd w:val="clear" w:color="auto" w:fill="auto"/>
          </w:tcPr>
          <w:p w:rsidR="006B2DB5" w:rsidRDefault="006B2DB5" w:rsidP="006B2DB5">
            <w:pPr>
              <w:spacing w:before="120"/>
              <w:ind w:right="-35"/>
              <w:rPr>
                <w:rFonts w:ascii="Calibri" w:hAnsi="Calibri"/>
                <w:color w:val="000000"/>
                <w:lang w:val="en-AU"/>
              </w:rPr>
            </w:pPr>
          </w:p>
        </w:tc>
        <w:tc>
          <w:tcPr>
            <w:tcW w:w="749" w:type="dxa"/>
            <w:gridSpan w:val="2"/>
            <w:shd w:val="clear" w:color="auto" w:fill="auto"/>
          </w:tcPr>
          <w:p w:rsidR="006B2DB5" w:rsidRDefault="006B2DB5" w:rsidP="006B2DB5">
            <w:pPr>
              <w:spacing w:before="120"/>
              <w:ind w:right="-35"/>
              <w:rPr>
                <w:rFonts w:ascii="Calibri" w:hAnsi="Calibri"/>
                <w:color w:val="000000"/>
                <w:lang w:val="en-AU"/>
              </w:rPr>
            </w:pPr>
          </w:p>
        </w:tc>
        <w:tc>
          <w:tcPr>
            <w:tcW w:w="2041" w:type="dxa"/>
            <w:gridSpan w:val="2"/>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Mr Parton</w:t>
            </w:r>
          </w:p>
        </w:tc>
        <w:tc>
          <w:tcPr>
            <w:tcW w:w="1649" w:type="dxa"/>
            <w:gridSpan w:val="2"/>
            <w:shd w:val="clear" w:color="auto" w:fill="auto"/>
          </w:tcPr>
          <w:p w:rsidR="006B2DB5" w:rsidRDefault="006B2DB5" w:rsidP="006B2DB5">
            <w:pPr>
              <w:spacing w:before="120"/>
              <w:ind w:right="-35"/>
              <w:rPr>
                <w:rFonts w:ascii="Calibri" w:hAnsi="Calibri"/>
                <w:color w:val="000000"/>
                <w:lang w:val="en-AU"/>
              </w:rPr>
            </w:pPr>
          </w:p>
        </w:tc>
      </w:tr>
      <w:tr w:rsidR="006B2DB5" w:rsidTr="006B2DB5">
        <w:trPr>
          <w:gridBefore w:val="1"/>
          <w:wBefore w:w="720" w:type="dxa"/>
          <w:trHeight w:hRule="exact" w:val="312"/>
        </w:trPr>
        <w:tc>
          <w:tcPr>
            <w:tcW w:w="2160" w:type="dxa"/>
            <w:shd w:val="clear" w:color="auto" w:fill="auto"/>
          </w:tcPr>
          <w:p w:rsidR="006B2DB5" w:rsidRDefault="006B2DB5" w:rsidP="006B2DB5">
            <w:pPr>
              <w:ind w:right="-35"/>
              <w:rPr>
                <w:rFonts w:ascii="Calibri" w:hAnsi="Calibri"/>
                <w:color w:val="000000"/>
                <w:lang w:val="en-AU"/>
              </w:rPr>
            </w:pPr>
            <w:r>
              <w:rPr>
                <w:rFonts w:ascii="Calibri" w:hAnsi="Calibri"/>
                <w:color w:val="000000"/>
                <w:lang w:val="en-AU"/>
              </w:rPr>
              <w:t>Ms Orr</w:t>
            </w:r>
          </w:p>
        </w:tc>
        <w:tc>
          <w:tcPr>
            <w:tcW w:w="2041" w:type="dxa"/>
            <w:gridSpan w:val="3"/>
            <w:shd w:val="clear" w:color="auto" w:fill="auto"/>
          </w:tcPr>
          <w:p w:rsidR="006B2DB5" w:rsidRDefault="006B2DB5" w:rsidP="006B2DB5">
            <w:pPr>
              <w:spacing w:before="120"/>
              <w:ind w:right="-35"/>
              <w:rPr>
                <w:rFonts w:ascii="Calibri" w:hAnsi="Calibri"/>
                <w:color w:val="000000"/>
                <w:lang w:val="en-AU"/>
              </w:rPr>
            </w:pPr>
          </w:p>
        </w:tc>
        <w:tc>
          <w:tcPr>
            <w:tcW w:w="624" w:type="dxa"/>
            <w:shd w:val="clear" w:color="auto" w:fill="auto"/>
          </w:tcPr>
          <w:p w:rsidR="006B2DB5" w:rsidRDefault="006B2DB5" w:rsidP="006B2DB5">
            <w:pPr>
              <w:spacing w:before="120"/>
              <w:ind w:right="-35"/>
              <w:rPr>
                <w:rFonts w:ascii="Calibri" w:hAnsi="Calibri"/>
                <w:color w:val="000000"/>
                <w:lang w:val="en-AU"/>
              </w:rPr>
            </w:pPr>
          </w:p>
        </w:tc>
        <w:tc>
          <w:tcPr>
            <w:tcW w:w="2041" w:type="dxa"/>
            <w:gridSpan w:val="2"/>
            <w:shd w:val="clear" w:color="auto" w:fill="auto"/>
          </w:tcPr>
          <w:p w:rsidR="006B2DB5" w:rsidRDefault="006B2DB5" w:rsidP="006B2DB5">
            <w:pPr>
              <w:spacing w:before="120"/>
              <w:ind w:right="-35"/>
              <w:rPr>
                <w:rFonts w:ascii="Calibri" w:hAnsi="Calibri"/>
                <w:color w:val="000000"/>
                <w:lang w:val="en-AU"/>
              </w:rPr>
            </w:pPr>
          </w:p>
        </w:tc>
        <w:tc>
          <w:tcPr>
            <w:tcW w:w="2041" w:type="dxa"/>
            <w:gridSpan w:val="4"/>
            <w:shd w:val="clear" w:color="auto" w:fill="auto"/>
          </w:tcPr>
          <w:p w:rsidR="006B2DB5" w:rsidRDefault="006B2DB5" w:rsidP="006B2DB5">
            <w:pPr>
              <w:spacing w:before="120"/>
              <w:ind w:right="-35"/>
              <w:rPr>
                <w:rFonts w:ascii="Calibri" w:hAnsi="Calibri"/>
                <w:color w:val="000000"/>
                <w:lang w:val="en-AU"/>
              </w:rPr>
            </w:pPr>
          </w:p>
        </w:tc>
      </w:tr>
    </w:tbl>
    <w:p w:rsidR="006B2DB5" w:rsidRDefault="006B2DB5" w:rsidP="006B2DB5">
      <w:pPr>
        <w:spacing w:before="120"/>
        <w:ind w:left="720" w:right="-35"/>
        <w:rPr>
          <w:rFonts w:ascii="Calibri" w:hAnsi="Calibri"/>
          <w:color w:val="000000"/>
          <w:lang w:val="en-AU"/>
        </w:rPr>
      </w:pPr>
      <w:r>
        <w:rPr>
          <w:rFonts w:ascii="Calibri" w:hAnsi="Calibri"/>
          <w:color w:val="000000"/>
          <w:lang w:val="en-AU"/>
        </w:rPr>
        <w:t>And so it was resolved in the affirmative.</w:t>
      </w:r>
    </w:p>
    <w:p w:rsidR="0069622C" w:rsidRDefault="007F4591" w:rsidP="007F4591">
      <w:pPr>
        <w:spacing w:before="120"/>
        <w:ind w:left="720"/>
        <w:rPr>
          <w:rFonts w:ascii="Calibri" w:hAnsi="Calibri"/>
          <w:color w:val="000000"/>
          <w:lang w:val="en-AU"/>
        </w:rPr>
      </w:pPr>
      <w:r w:rsidRPr="007F4591">
        <w:rPr>
          <w:rFonts w:ascii="Calibri" w:hAnsi="Calibri"/>
          <w:color w:val="000000"/>
          <w:lang w:val="en-AU"/>
        </w:rPr>
        <w:t>Question—</w:t>
      </w:r>
      <w:r w:rsidR="0069622C">
        <w:rPr>
          <w:rFonts w:ascii="Calibri" w:hAnsi="Calibri"/>
          <w:color w:val="000000"/>
          <w:lang w:val="en-AU"/>
        </w:rPr>
        <w:t>That the motion, as amended, viz:</w:t>
      </w:r>
    </w:p>
    <w:p w:rsidR="0069622C" w:rsidRDefault="0069622C" w:rsidP="007F4591">
      <w:pPr>
        <w:spacing w:before="120"/>
        <w:ind w:left="720"/>
        <w:rPr>
          <w:rFonts w:ascii="Calibri" w:hAnsi="Calibri"/>
          <w:color w:val="000000"/>
          <w:lang w:val="en-AU"/>
        </w:rPr>
      </w:pPr>
      <w:r>
        <w:rPr>
          <w:rFonts w:ascii="Calibri" w:hAnsi="Calibri"/>
          <w:color w:val="000000"/>
          <w:lang w:val="en-AU"/>
        </w:rPr>
        <w:t>“That this Assembly:</w:t>
      </w:r>
    </w:p>
    <w:p w:rsidR="0069622C" w:rsidRDefault="0069622C" w:rsidP="00A54F34">
      <w:pPr>
        <w:pStyle w:val="DPSEntryIndents"/>
        <w:numPr>
          <w:ilvl w:val="0"/>
          <w:numId w:val="44"/>
        </w:numPr>
      </w:pPr>
      <w:r>
        <w:t>notes that:</w:t>
      </w:r>
    </w:p>
    <w:p w:rsidR="0069622C" w:rsidRPr="0069622C" w:rsidRDefault="0069622C" w:rsidP="0069622C">
      <w:pPr>
        <w:pStyle w:val="DPSEntryIndents"/>
        <w:numPr>
          <w:ilvl w:val="1"/>
          <w:numId w:val="38"/>
        </w:numPr>
      </w:pPr>
      <w:r w:rsidRPr="0069622C">
        <w:t>ACT public health services are an integral part of the Canberra community providing essential services, particularly during the COVID-19 pandemic;</w:t>
      </w:r>
    </w:p>
    <w:p w:rsidR="0069622C" w:rsidRPr="0069622C" w:rsidRDefault="0069622C" w:rsidP="0069622C">
      <w:pPr>
        <w:pStyle w:val="DPSEntryIndents"/>
        <w:numPr>
          <w:ilvl w:val="1"/>
          <w:numId w:val="38"/>
        </w:numPr>
      </w:pPr>
      <w:r>
        <w:lastRenderedPageBreak/>
        <w:t>m</w:t>
      </w:r>
      <w:r w:rsidRPr="0069622C">
        <w:t>ore than 500 additional staff have temporarily joined the frontline health workforce and administrative teams in response to the recent expressions of interest process, including 333 nurses and 61 student nurses;</w:t>
      </w:r>
    </w:p>
    <w:p w:rsidR="0069622C" w:rsidRPr="0069622C" w:rsidRDefault="0069622C" w:rsidP="0069622C">
      <w:pPr>
        <w:pStyle w:val="DPSEntryIndents"/>
        <w:numPr>
          <w:ilvl w:val="1"/>
          <w:numId w:val="38"/>
        </w:numPr>
      </w:pPr>
      <w:r w:rsidRPr="0069622C">
        <w:t>the ACT Government is continuing to strongly invest in the public health system with a record $8.5 billion investment</w:t>
      </w:r>
      <w:r>
        <w:t xml:space="preserve"> over four years in the 2021</w:t>
      </w:r>
      <w:r w:rsidR="00555EDD">
        <w:noBreakHyphen/>
      </w:r>
      <w:r>
        <w:t>22 </w:t>
      </w:r>
      <w:r w:rsidRPr="0069622C">
        <w:t>Budget for the health portfolio;</w:t>
      </w:r>
    </w:p>
    <w:p w:rsidR="0069622C" w:rsidRPr="0069622C" w:rsidRDefault="0069622C" w:rsidP="0069622C">
      <w:pPr>
        <w:pStyle w:val="DPSEntryIndents"/>
        <w:numPr>
          <w:ilvl w:val="1"/>
          <w:numId w:val="38"/>
        </w:numPr>
      </w:pPr>
      <w:r w:rsidRPr="0069622C">
        <w:t>the ACT Government continues to grow critical hospital services through the provision of more than $128 million to support increased demand, building further capacity and to support contemporary models of care for the Canberra community;</w:t>
      </w:r>
    </w:p>
    <w:p w:rsidR="0069622C" w:rsidRPr="0069622C" w:rsidRDefault="0069622C" w:rsidP="0069622C">
      <w:pPr>
        <w:pStyle w:val="DPSEntryIndents"/>
        <w:numPr>
          <w:ilvl w:val="1"/>
          <w:numId w:val="38"/>
        </w:numPr>
      </w:pPr>
      <w:r w:rsidRPr="0069622C">
        <w:t>the ACT Government has allocated addit</w:t>
      </w:r>
      <w:r>
        <w:t>ional funds through the 2020</w:t>
      </w:r>
      <w:r>
        <w:noBreakHyphen/>
        <w:t>21 </w:t>
      </w:r>
      <w:r w:rsidRPr="0069622C">
        <w:t>Budget and 2021-2</w:t>
      </w:r>
      <w:r>
        <w:t>2 Budget to deliver more public</w:t>
      </w:r>
      <w:r w:rsidRPr="0069622C">
        <w:t xml:space="preserve"> endoscopy procedures and commence feasibility for upgrades at Canberra Hospital and Calvary Public Hospital Bruce to respond to growing demand in the ACT;</w:t>
      </w:r>
    </w:p>
    <w:p w:rsidR="0069622C" w:rsidRPr="0069622C" w:rsidRDefault="0069622C" w:rsidP="0069622C">
      <w:pPr>
        <w:pStyle w:val="DPSEntryIndents"/>
        <w:numPr>
          <w:ilvl w:val="1"/>
          <w:numId w:val="38"/>
        </w:numPr>
      </w:pPr>
      <w:r w:rsidRPr="0069622C">
        <w:t>the 2021-22 Budget outlines an $877 million health infrastructure pipeline over the coming five years, including the Canberra Hospital expansion and planning for a new northside hospital, to future proof our health system;</w:t>
      </w:r>
    </w:p>
    <w:p w:rsidR="0069622C" w:rsidRPr="0069622C" w:rsidRDefault="0069622C" w:rsidP="0069622C">
      <w:pPr>
        <w:pStyle w:val="DPSEntryIndents"/>
        <w:numPr>
          <w:ilvl w:val="1"/>
          <w:numId w:val="38"/>
        </w:numPr>
      </w:pPr>
      <w:r w:rsidRPr="0069622C">
        <w:t>this pipeline builds on the ACT Government investment of over $1 billion in health infrastructure in the previous decade, including delivery of the University of Canberra Hospital in 2018;</w:t>
      </w:r>
    </w:p>
    <w:p w:rsidR="0069622C" w:rsidRPr="0069622C" w:rsidRDefault="0069622C" w:rsidP="0069622C">
      <w:pPr>
        <w:pStyle w:val="DPSEntryIndents"/>
        <w:numPr>
          <w:ilvl w:val="1"/>
          <w:numId w:val="38"/>
        </w:numPr>
      </w:pPr>
      <w:r w:rsidRPr="0069622C">
        <w:t>the $624 million Canberra Hospital Expansion has already delivered two new buildings on the Canberra Hospital campus and refurbishment of multiple spaces, and the Critical Services Building is on track to be completed in 2024;</w:t>
      </w:r>
    </w:p>
    <w:p w:rsidR="0069622C" w:rsidRPr="0069622C" w:rsidRDefault="0069622C" w:rsidP="0069622C">
      <w:pPr>
        <w:pStyle w:val="DPSEntryIndents"/>
        <w:numPr>
          <w:ilvl w:val="1"/>
          <w:numId w:val="38"/>
        </w:numPr>
      </w:pPr>
      <w:r w:rsidRPr="0069622C">
        <w:t>the ACT Government committed to hiring a further 400 health care professionals to the ACT public health system in this term of government and by the end of the 2021-22 financial year an additional 257 FTE will join the health workforce in the ACT;</w:t>
      </w:r>
    </w:p>
    <w:p w:rsidR="0069622C" w:rsidRPr="0069622C" w:rsidRDefault="0069622C" w:rsidP="0069622C">
      <w:pPr>
        <w:pStyle w:val="DPSEntryIndents"/>
        <w:numPr>
          <w:ilvl w:val="1"/>
          <w:numId w:val="38"/>
        </w:numPr>
      </w:pPr>
      <w:r w:rsidRPr="0069622C">
        <w:t>this will include more than 90 additional FTE nursing positions as part of the first phase of Nursing and Midwifery ratios being implemented during 2021-22 to continue to improve the provision of safe, high quality care across our public hospitals;</w:t>
      </w:r>
    </w:p>
    <w:p w:rsidR="0069622C" w:rsidRPr="0069622C" w:rsidRDefault="0069622C" w:rsidP="0069622C">
      <w:pPr>
        <w:pStyle w:val="DPSEntryIndents"/>
        <w:numPr>
          <w:ilvl w:val="1"/>
          <w:numId w:val="38"/>
        </w:numPr>
      </w:pPr>
      <w:r w:rsidRPr="0069622C">
        <w:t>infection prevention and control is a vital part of the response to COVID-19, including fit testing of N95 masks to maintain effective personal protective equipment for healthcare workers. Calvary Public Hospital operates one fit testing machine, with a second machine available intermittently, and Canberra Health Services operates three fit testing machines seven days a week to ensure health workers are able to wear the best mask for them while working on the frontline; and</w:t>
      </w:r>
    </w:p>
    <w:p w:rsidR="0069622C" w:rsidRPr="0069622C" w:rsidRDefault="0069622C" w:rsidP="0069622C">
      <w:pPr>
        <w:pStyle w:val="DPSEntryIndents"/>
        <w:numPr>
          <w:ilvl w:val="1"/>
          <w:numId w:val="38"/>
        </w:numPr>
      </w:pPr>
      <w:r>
        <w:t>i</w:t>
      </w:r>
      <w:r w:rsidRPr="0069622C">
        <w:t>mplementation of the Culture Review continues to work on building a positive workplace culture for junior doctors and all health workers to support them to continue providing the best care to our community</w:t>
      </w:r>
      <w:r>
        <w:t>; and</w:t>
      </w:r>
    </w:p>
    <w:p w:rsidR="0069622C" w:rsidRDefault="00A54F34" w:rsidP="00A54F34">
      <w:pPr>
        <w:pStyle w:val="DPSEntryIndents"/>
      </w:pPr>
      <w:r w:rsidRPr="00D75B5B">
        <w:rPr>
          <w:lang w:eastAsia="en-US"/>
        </w:rPr>
        <w:lastRenderedPageBreak/>
        <w:t>calls on the ACT Government to:</w:t>
      </w:r>
    </w:p>
    <w:p w:rsidR="00A54F34" w:rsidRPr="00D75B5B" w:rsidRDefault="00A54F34" w:rsidP="00A54F34">
      <w:pPr>
        <w:pStyle w:val="DPSEntryIndents"/>
        <w:numPr>
          <w:ilvl w:val="1"/>
          <w:numId w:val="42"/>
        </w:numPr>
        <w:rPr>
          <w:lang w:eastAsia="en-US"/>
        </w:rPr>
      </w:pPr>
      <w:r w:rsidRPr="00D75B5B">
        <w:rPr>
          <w:lang w:eastAsia="en-US"/>
        </w:rPr>
        <w:t>recognise and acknowledge the phenomenal effort, dedication and courage of our healthcare workers, and ensure that they are properly resourced, supported and protected during this current COVID-19 outbreak;</w:t>
      </w:r>
      <w:r w:rsidR="00C820E7">
        <w:rPr>
          <w:lang w:eastAsia="en-US"/>
        </w:rPr>
        <w:t xml:space="preserve"> and</w:t>
      </w:r>
    </w:p>
    <w:p w:rsidR="00A54F34" w:rsidRDefault="00A54F34" w:rsidP="00A54F34">
      <w:pPr>
        <w:pStyle w:val="DPSEntryIndents"/>
        <w:numPr>
          <w:ilvl w:val="1"/>
          <w:numId w:val="42"/>
        </w:numPr>
        <w:rPr>
          <w:lang w:eastAsia="en-US"/>
        </w:rPr>
      </w:pPr>
      <w:r>
        <w:rPr>
          <w:lang w:eastAsia="en-US"/>
        </w:rPr>
        <w:t>continue to work with all states and the Northern Territory to engage the Commonwealth Government in meaningful discussions about health system sustainability, acknowledging the pressures experienced by public health systems in every jurisdiction.”—</w:t>
      </w:r>
    </w:p>
    <w:p w:rsidR="007F4591" w:rsidRPr="007F4591" w:rsidRDefault="0069622C" w:rsidP="007F4591">
      <w:pPr>
        <w:spacing w:before="120"/>
        <w:ind w:left="720"/>
        <w:rPr>
          <w:rFonts w:ascii="Calibri" w:hAnsi="Calibri"/>
          <w:color w:val="000000"/>
          <w:lang w:val="en-AU"/>
        </w:rPr>
      </w:pPr>
      <w:r>
        <w:rPr>
          <w:rFonts w:ascii="Calibri" w:hAnsi="Calibri"/>
          <w:color w:val="000000"/>
          <w:lang w:val="en-AU"/>
        </w:rPr>
        <w:t>be agreed to—</w:t>
      </w:r>
      <w:r w:rsidR="007F4591" w:rsidRPr="007F4591">
        <w:rPr>
          <w:rFonts w:ascii="Calibri" w:hAnsi="Calibri"/>
          <w:color w:val="000000"/>
          <w:lang w:val="en-AU"/>
        </w:rPr>
        <w:t>put and passed.</w:t>
      </w:r>
    </w:p>
    <w:p w:rsidR="007F4591" w:rsidRPr="007F4591" w:rsidRDefault="007F4591" w:rsidP="007F4591">
      <w:pPr>
        <w:keepNext/>
        <w:keepLines/>
        <w:tabs>
          <w:tab w:val="right" w:pos="339"/>
          <w:tab w:val="left" w:pos="720"/>
        </w:tabs>
        <w:spacing w:before="240"/>
        <w:ind w:left="720" w:hanging="720"/>
        <w:rPr>
          <w:rFonts w:ascii="Calibri" w:hAnsi="Calibri"/>
          <w:b/>
          <w:caps/>
          <w:lang w:val="en-AU"/>
        </w:rPr>
      </w:pPr>
      <w:r w:rsidRPr="007F4591">
        <w:rPr>
          <w:rFonts w:ascii="Calibri" w:hAnsi="Calibri"/>
          <w:b/>
          <w:caps/>
          <w:lang w:val="en-AU"/>
        </w:rPr>
        <w:tab/>
      </w:r>
      <w:r w:rsidR="00696898">
        <w:rPr>
          <w:rFonts w:ascii="Calibri" w:hAnsi="Calibri"/>
          <w:b/>
          <w:bCs/>
          <w:caps/>
          <w:lang w:val="en-AU"/>
        </w:rPr>
        <w:fldChar w:fldCharType="begin"/>
      </w:r>
      <w:r w:rsidR="00696898">
        <w:rPr>
          <w:rFonts w:ascii="Calibri" w:hAnsi="Calibri"/>
          <w:b/>
          <w:bCs/>
          <w:caps/>
          <w:lang w:val="en-AU"/>
        </w:rPr>
        <w:instrText xml:space="preserve"> SEQ A \* MERGEFORMAT </w:instrText>
      </w:r>
      <w:r w:rsidR="00696898">
        <w:rPr>
          <w:rFonts w:ascii="Calibri" w:hAnsi="Calibri"/>
          <w:b/>
          <w:bCs/>
          <w:caps/>
          <w:lang w:val="en-AU"/>
        </w:rPr>
        <w:fldChar w:fldCharType="separate"/>
      </w:r>
      <w:r w:rsidR="006D30E9">
        <w:rPr>
          <w:rFonts w:ascii="Calibri" w:hAnsi="Calibri"/>
          <w:b/>
          <w:bCs/>
          <w:caps/>
          <w:noProof/>
          <w:lang w:val="en-AU"/>
        </w:rPr>
        <w:t>13</w:t>
      </w:r>
      <w:r w:rsidR="00696898">
        <w:rPr>
          <w:rFonts w:ascii="Calibri" w:hAnsi="Calibri"/>
          <w:b/>
          <w:bCs/>
          <w:caps/>
          <w:lang w:val="en-AU"/>
        </w:rPr>
        <w:fldChar w:fldCharType="end"/>
      </w:r>
      <w:r w:rsidRPr="007F4591">
        <w:rPr>
          <w:rFonts w:ascii="Calibri" w:hAnsi="Calibri"/>
          <w:b/>
          <w:caps/>
          <w:lang w:val="en-AU"/>
        </w:rPr>
        <w:tab/>
      </w:r>
      <w:r w:rsidR="00BA7DC8">
        <w:rPr>
          <w:rFonts w:ascii="Calibri" w:hAnsi="Calibri"/>
          <w:b/>
          <w:caps/>
          <w:lang w:val="en-AU"/>
        </w:rPr>
        <w:t>COVID-19 Pandemic—</w:t>
      </w:r>
      <w:r w:rsidR="00886FF8">
        <w:rPr>
          <w:rFonts w:ascii="Calibri" w:hAnsi="Calibri"/>
          <w:b/>
          <w:caps/>
          <w:lang w:val="en-AU"/>
        </w:rPr>
        <w:t>Social and economic recovery</w:t>
      </w:r>
    </w:p>
    <w:p w:rsidR="00AA2F8E" w:rsidRPr="006B2DB5" w:rsidRDefault="00AA2F8E" w:rsidP="007F4591">
      <w:pPr>
        <w:spacing w:before="120"/>
        <w:ind w:left="720" w:right="-35"/>
        <w:rPr>
          <w:rFonts w:ascii="Calibri" w:hAnsi="Calibri"/>
          <w:color w:val="000000"/>
          <w:lang w:val="en-AU"/>
        </w:rPr>
      </w:pPr>
      <w:r w:rsidRPr="006B2DB5">
        <w:rPr>
          <w:rFonts w:ascii="Calibri" w:hAnsi="Calibri"/>
          <w:color w:val="000000"/>
          <w:lang w:val="en-AU"/>
        </w:rPr>
        <w:t>Mr Braddock, by leave, having amended his notice, pursuant to notice, moved—That this Assembly:</w:t>
      </w:r>
    </w:p>
    <w:p w:rsidR="00AA2F8E" w:rsidRPr="006B2DB5" w:rsidRDefault="00AA2F8E" w:rsidP="00AA2F8E">
      <w:pPr>
        <w:pStyle w:val="DPSEntryIndents"/>
        <w:numPr>
          <w:ilvl w:val="0"/>
          <w:numId w:val="24"/>
        </w:numPr>
      </w:pPr>
      <w:r w:rsidRPr="006B2DB5">
        <w:rPr>
          <w:rFonts w:eastAsiaTheme="minorEastAsia"/>
        </w:rPr>
        <w:t>notes that:</w:t>
      </w:r>
    </w:p>
    <w:p w:rsidR="00AA2F8E" w:rsidRPr="006B2DB5" w:rsidRDefault="00AA2F8E" w:rsidP="00AA2F8E">
      <w:pPr>
        <w:pStyle w:val="DPSEntryIndents"/>
        <w:numPr>
          <w:ilvl w:val="1"/>
          <w:numId w:val="24"/>
        </w:numPr>
        <w:rPr>
          <w:rFonts w:eastAsiaTheme="minorEastAsia"/>
        </w:rPr>
      </w:pPr>
      <w:r w:rsidRPr="006B2DB5">
        <w:rPr>
          <w:rFonts w:eastAsiaTheme="minorEastAsia"/>
        </w:rPr>
        <w:t>the social and economic impacts of the ACT</w:t>
      </w:r>
      <w:r w:rsidR="00696898" w:rsidRPr="006B2DB5">
        <w:rPr>
          <w:rFonts w:eastAsiaTheme="minorEastAsia"/>
        </w:rPr>
        <w:t>’</w:t>
      </w:r>
      <w:r w:rsidRPr="006B2DB5">
        <w:rPr>
          <w:rFonts w:eastAsiaTheme="minorEastAsia"/>
        </w:rPr>
        <w:t>s COVID outbreak are having disproportionate impacts across the community, deepening inequality. This has particularly affected groups already experiencing disadvantage;</w:t>
      </w:r>
    </w:p>
    <w:p w:rsidR="00AA2F8E" w:rsidRPr="006B2DB5" w:rsidRDefault="00AA2F8E" w:rsidP="00AA2F8E">
      <w:pPr>
        <w:pStyle w:val="DPSEntryIndents"/>
        <w:numPr>
          <w:ilvl w:val="1"/>
          <w:numId w:val="24"/>
        </w:numPr>
        <w:rPr>
          <w:rFonts w:eastAsiaTheme="minorEastAsia"/>
        </w:rPr>
      </w:pPr>
      <w:r w:rsidRPr="006B2DB5">
        <w:rPr>
          <w:rFonts w:eastAsiaTheme="minorEastAsia"/>
        </w:rPr>
        <w:t>these impacts are likely to last for many years, entrenching existing inequality through wage scarring, underemployment, unemployment, and reduced economic prospects;</w:t>
      </w:r>
    </w:p>
    <w:p w:rsidR="00AA2F8E" w:rsidRPr="006B2DB5" w:rsidRDefault="00AA2F8E" w:rsidP="00AA2F8E">
      <w:pPr>
        <w:pStyle w:val="DPSEntryIndents"/>
        <w:numPr>
          <w:ilvl w:val="1"/>
          <w:numId w:val="24"/>
        </w:numPr>
        <w:rPr>
          <w:lang w:val="en-US"/>
        </w:rPr>
      </w:pPr>
      <w:r w:rsidRPr="006B2DB5">
        <w:rPr>
          <w:lang w:val="en-US"/>
        </w:rPr>
        <w:t>the Federal Government</w:t>
      </w:r>
      <w:r w:rsidR="00696898" w:rsidRPr="006B2DB5">
        <w:rPr>
          <w:lang w:val="en-US"/>
        </w:rPr>
        <w:t>’</w:t>
      </w:r>
      <w:r w:rsidRPr="006B2DB5">
        <w:rPr>
          <w:lang w:val="en-US"/>
        </w:rPr>
        <w:t>s income supports are insufficient to keep Canberrans out of poverty, further exacerbating the economic consequences for marginalised groups;</w:t>
      </w:r>
    </w:p>
    <w:p w:rsidR="00AA2F8E" w:rsidRPr="006B2DB5" w:rsidRDefault="00AA2F8E" w:rsidP="00AA2F8E">
      <w:pPr>
        <w:pStyle w:val="DPSEntryIndents"/>
        <w:numPr>
          <w:ilvl w:val="1"/>
          <w:numId w:val="24"/>
        </w:numPr>
        <w:rPr>
          <w:lang w:val="en-US"/>
        </w:rPr>
      </w:pPr>
      <w:r w:rsidRPr="006B2DB5">
        <w:rPr>
          <w:lang w:val="en-US"/>
        </w:rPr>
        <w:t>the Federal Government</w:t>
      </w:r>
      <w:r w:rsidR="00696898" w:rsidRPr="006B2DB5">
        <w:rPr>
          <w:lang w:val="en-US"/>
        </w:rPr>
        <w:t>’</w:t>
      </w:r>
      <w:r w:rsidRPr="006B2DB5">
        <w:rPr>
          <w:lang w:val="en-US"/>
        </w:rPr>
        <w:t>s choice to stop the COVID disaster payments prioritises the economy over people, is inconsistent with ACT Health advice, and adversely affects thousands of Canberrans still facing restrictions;</w:t>
      </w:r>
    </w:p>
    <w:p w:rsidR="00AA2F8E" w:rsidRPr="006B2DB5" w:rsidRDefault="00AA2F8E" w:rsidP="00AA2F8E">
      <w:pPr>
        <w:pStyle w:val="DPSEntryIndents"/>
        <w:numPr>
          <w:ilvl w:val="1"/>
          <w:numId w:val="24"/>
        </w:numPr>
        <w:rPr>
          <w:rFonts w:eastAsiaTheme="minorEastAsia"/>
        </w:rPr>
      </w:pPr>
      <w:r w:rsidRPr="006B2DB5">
        <w:rPr>
          <w:rFonts w:eastAsiaTheme="minorEastAsia"/>
        </w:rPr>
        <w:t xml:space="preserve">emergency relief is increasingly accessed repeatedly by Canberrans who are presenting with complex, long-term issues; </w:t>
      </w:r>
    </w:p>
    <w:p w:rsidR="00AA2F8E" w:rsidRPr="006B2DB5" w:rsidRDefault="00AA2F8E" w:rsidP="00AA2F8E">
      <w:pPr>
        <w:pStyle w:val="DPSEntryIndents"/>
        <w:numPr>
          <w:ilvl w:val="1"/>
          <w:numId w:val="24"/>
        </w:numPr>
        <w:rPr>
          <w:rFonts w:eastAsiaTheme="minorEastAsia"/>
        </w:rPr>
      </w:pPr>
      <w:r w:rsidRPr="006B2DB5">
        <w:rPr>
          <w:rFonts w:eastAsiaTheme="minorEastAsia"/>
        </w:rPr>
        <w:t>the ACT Government has an essential role in providing long-term, strategic leadership, as well as supports and services, to help Canberra</w:t>
      </w:r>
      <w:r w:rsidR="00696898" w:rsidRPr="006B2DB5">
        <w:rPr>
          <w:rFonts w:eastAsiaTheme="minorEastAsia"/>
        </w:rPr>
        <w:t>’</w:t>
      </w:r>
      <w:r w:rsidRPr="006B2DB5">
        <w:rPr>
          <w:rFonts w:eastAsiaTheme="minorEastAsia"/>
        </w:rPr>
        <w:t>s social recovery from COVID; and</w:t>
      </w:r>
    </w:p>
    <w:p w:rsidR="00AA2F8E" w:rsidRPr="006B2DB5" w:rsidRDefault="00AA2F8E" w:rsidP="00AA2F8E">
      <w:pPr>
        <w:pStyle w:val="DPSEntryIndents"/>
        <w:numPr>
          <w:ilvl w:val="1"/>
          <w:numId w:val="24"/>
        </w:numPr>
        <w:rPr>
          <w:rFonts w:eastAsiaTheme="minorEastAsia"/>
        </w:rPr>
      </w:pPr>
      <w:r w:rsidRPr="006B2DB5">
        <w:rPr>
          <w:rFonts w:eastAsiaTheme="minorEastAsia"/>
        </w:rPr>
        <w:t xml:space="preserve">in 2020, the ACT </w:t>
      </w:r>
      <w:r w:rsidR="00D652DF" w:rsidRPr="006B2DB5">
        <w:rPr>
          <w:rFonts w:eastAsiaTheme="minorEastAsia"/>
        </w:rPr>
        <w:t>Government commenced work on a community recovery p</w:t>
      </w:r>
      <w:r w:rsidRPr="006B2DB5">
        <w:rPr>
          <w:rFonts w:eastAsiaTheme="minorEastAsia"/>
        </w:rPr>
        <w:t xml:space="preserve">lan to support our community through our extended pandemic community recovery, which is ongoing and being implemented. </w:t>
      </w:r>
      <w:r w:rsidRPr="006B2DB5">
        <w:rPr>
          <w:lang w:val="en-US"/>
        </w:rPr>
        <w:t>The Targeted Assistance Strategy, one of the ACT Government</w:t>
      </w:r>
      <w:r w:rsidR="00696898" w:rsidRPr="006B2DB5">
        <w:rPr>
          <w:lang w:val="en-US"/>
        </w:rPr>
        <w:t>’</w:t>
      </w:r>
      <w:r w:rsidRPr="006B2DB5">
        <w:rPr>
          <w:lang w:val="en-US"/>
        </w:rPr>
        <w:t>s main mechanisms for alleviating hardship and social exclusion, has been agreed to be updated, with options potentially considered in the 2022 Budget process;</w:t>
      </w:r>
    </w:p>
    <w:p w:rsidR="00AA2F8E" w:rsidRPr="006B2DB5" w:rsidRDefault="00AA2F8E" w:rsidP="00AA2F8E">
      <w:pPr>
        <w:pStyle w:val="DPSEntryIndents"/>
        <w:numPr>
          <w:ilvl w:val="0"/>
          <w:numId w:val="24"/>
        </w:numPr>
        <w:rPr>
          <w:rFonts w:eastAsiaTheme="minorEastAsia"/>
        </w:rPr>
      </w:pPr>
      <w:r w:rsidRPr="006B2DB5">
        <w:rPr>
          <w:rFonts w:eastAsiaTheme="minorEastAsia"/>
        </w:rPr>
        <w:t>calls on the ACT Government to:</w:t>
      </w:r>
    </w:p>
    <w:p w:rsidR="00AA2F8E" w:rsidRPr="006B2DB5" w:rsidRDefault="00AA2F8E" w:rsidP="00AA2F8E">
      <w:pPr>
        <w:pStyle w:val="DPSEntryIndents"/>
        <w:numPr>
          <w:ilvl w:val="1"/>
          <w:numId w:val="24"/>
        </w:numPr>
        <w:rPr>
          <w:rFonts w:eastAsiaTheme="minorEastAsia"/>
        </w:rPr>
      </w:pPr>
      <w:r w:rsidRPr="006B2DB5">
        <w:rPr>
          <w:rFonts w:eastAsiaTheme="minorEastAsia"/>
        </w:rPr>
        <w:t xml:space="preserve">develop </w:t>
      </w:r>
      <w:r w:rsidRPr="006B2DB5">
        <w:t>an ACT Social Recovery plan to address the social and economic impacts of COVID. This plan shall:</w:t>
      </w:r>
    </w:p>
    <w:p w:rsidR="00AA2F8E" w:rsidRPr="006B2DB5" w:rsidRDefault="00AA2F8E" w:rsidP="00AA2F8E">
      <w:pPr>
        <w:pStyle w:val="DPSEntryIndents"/>
        <w:numPr>
          <w:ilvl w:val="2"/>
          <w:numId w:val="24"/>
        </w:numPr>
        <w:rPr>
          <w:rFonts w:eastAsiaTheme="minorEastAsia"/>
        </w:rPr>
      </w:pPr>
      <w:r w:rsidRPr="006B2DB5">
        <w:rPr>
          <w:rFonts w:eastAsiaTheme="minorEastAsia"/>
        </w:rPr>
        <w:lastRenderedPageBreak/>
        <w:t>identify:</w:t>
      </w:r>
    </w:p>
    <w:p w:rsidR="00AA2F8E" w:rsidRPr="006B2DB5" w:rsidRDefault="00AA2F8E" w:rsidP="00AA2F8E">
      <w:pPr>
        <w:pStyle w:val="DPSEntryIndents"/>
        <w:numPr>
          <w:ilvl w:val="3"/>
          <w:numId w:val="24"/>
        </w:numPr>
        <w:rPr>
          <w:rFonts w:eastAsia="Calibri" w:cs="Calibri"/>
        </w:rPr>
      </w:pPr>
      <w:r w:rsidRPr="006B2DB5">
        <w:rPr>
          <w:rFonts w:eastAsia="Calibri" w:cs="Calibri"/>
        </w:rPr>
        <w:t>the long-term individual, community, and territory</w:t>
      </w:r>
      <w:r w:rsidR="00766041">
        <w:rPr>
          <w:rFonts w:eastAsia="Calibri" w:cs="Calibri"/>
        </w:rPr>
        <w:t>-</w:t>
      </w:r>
      <w:r w:rsidRPr="006B2DB5">
        <w:rPr>
          <w:rFonts w:eastAsia="Calibri" w:cs="Calibri"/>
        </w:rPr>
        <w:t>wide impacts of COVID, in particular on groups already experiencing disadvantage; and</w:t>
      </w:r>
    </w:p>
    <w:p w:rsidR="00AA2F8E" w:rsidRPr="006B2DB5" w:rsidRDefault="00AA2F8E" w:rsidP="00AA2F8E">
      <w:pPr>
        <w:pStyle w:val="DPSEntryIndents"/>
        <w:numPr>
          <w:ilvl w:val="3"/>
          <w:numId w:val="24"/>
        </w:numPr>
        <w:rPr>
          <w:rFonts w:eastAsia="Calibri" w:cs="Calibri"/>
        </w:rPr>
      </w:pPr>
      <w:r w:rsidRPr="006B2DB5">
        <w:rPr>
          <w:rFonts w:eastAsia="Calibri" w:cs="Calibri"/>
        </w:rPr>
        <w:t>what personal, material, social and financial supports and strategies are necessary to help Canberra</w:t>
      </w:r>
      <w:r w:rsidR="00696898" w:rsidRPr="006B2DB5">
        <w:rPr>
          <w:rFonts w:eastAsia="Calibri" w:cs="Calibri"/>
        </w:rPr>
        <w:t>’</w:t>
      </w:r>
      <w:r w:rsidRPr="006B2DB5">
        <w:rPr>
          <w:rFonts w:eastAsia="Calibri" w:cs="Calibri"/>
        </w:rPr>
        <w:t>s social recovery from COVID with a focus on marginalised or disadvantaged groups;</w:t>
      </w:r>
    </w:p>
    <w:p w:rsidR="00AA2F8E" w:rsidRPr="006B2DB5" w:rsidRDefault="00AA2F8E" w:rsidP="00AA2F8E">
      <w:pPr>
        <w:pStyle w:val="DPSEntryIndents"/>
        <w:numPr>
          <w:ilvl w:val="2"/>
          <w:numId w:val="24"/>
        </w:numPr>
        <w:rPr>
          <w:rFonts w:eastAsiaTheme="minorEastAsia"/>
        </w:rPr>
      </w:pPr>
      <w:r w:rsidRPr="006B2DB5">
        <w:rPr>
          <w:rFonts w:eastAsiaTheme="minorEastAsia"/>
        </w:rPr>
        <w:t xml:space="preserve">be developed in consultation with impacted groups and the wider community, and </w:t>
      </w:r>
      <w:r w:rsidRPr="006B2DB5">
        <w:t>be clear about the time frames and likely consequences of living with COVID</w:t>
      </w:r>
      <w:r w:rsidRPr="006B2DB5">
        <w:rPr>
          <w:rFonts w:eastAsiaTheme="minorEastAsia"/>
        </w:rPr>
        <w:t>;</w:t>
      </w:r>
    </w:p>
    <w:p w:rsidR="00AA2F8E" w:rsidRPr="006B2DB5" w:rsidRDefault="00AA2F8E" w:rsidP="00766041">
      <w:pPr>
        <w:pStyle w:val="DPSEntryIndents"/>
        <w:numPr>
          <w:ilvl w:val="2"/>
          <w:numId w:val="24"/>
        </w:numPr>
        <w:rPr>
          <w:rFonts w:eastAsiaTheme="minorEastAsia"/>
        </w:rPr>
      </w:pPr>
      <w:r w:rsidRPr="006B2DB5">
        <w:rPr>
          <w:rFonts w:eastAsiaTheme="minorEastAsia"/>
        </w:rPr>
        <w:t>be underpinned by the ACT Wellbeing Framework, with a particular focus on living standards, access and connectivity, and social connection;</w:t>
      </w:r>
    </w:p>
    <w:p w:rsidR="00AA2F8E" w:rsidRPr="006B2DB5" w:rsidRDefault="00AA2F8E" w:rsidP="00766041">
      <w:pPr>
        <w:pStyle w:val="DPSEntryIndents"/>
        <w:numPr>
          <w:ilvl w:val="2"/>
          <w:numId w:val="24"/>
        </w:numPr>
        <w:rPr>
          <w:rFonts w:eastAsiaTheme="minorEastAsia"/>
        </w:rPr>
      </w:pPr>
      <w:r w:rsidRPr="006B2DB5">
        <w:rPr>
          <w:rFonts w:eastAsiaTheme="minorEastAsia"/>
        </w:rPr>
        <w:t>create a roadmap to rebuild Canberra</w:t>
      </w:r>
      <w:r w:rsidR="00696898" w:rsidRPr="006B2DB5">
        <w:rPr>
          <w:rFonts w:eastAsiaTheme="minorEastAsia"/>
        </w:rPr>
        <w:t>’</w:t>
      </w:r>
      <w:r w:rsidRPr="006B2DB5">
        <w:rPr>
          <w:rFonts w:eastAsiaTheme="minorEastAsia"/>
        </w:rPr>
        <w:t>s social fabric, through the safe re-introduction of events, recreational and sporting activities, and educational and volunteering opportunities, with a focus on community building and inclusion;</w:t>
      </w:r>
    </w:p>
    <w:p w:rsidR="00AA2F8E" w:rsidRPr="006B2DB5" w:rsidRDefault="00AA2F8E" w:rsidP="00766041">
      <w:pPr>
        <w:pStyle w:val="DPSEntryIndents"/>
        <w:numPr>
          <w:ilvl w:val="2"/>
          <w:numId w:val="24"/>
        </w:numPr>
        <w:rPr>
          <w:rFonts w:eastAsiaTheme="minorEastAsia"/>
        </w:rPr>
      </w:pPr>
      <w:r w:rsidRPr="006B2DB5">
        <w:rPr>
          <w:rFonts w:eastAsiaTheme="minorEastAsia"/>
        </w:rPr>
        <w:t>specify regular opportunities for revision with feedback from key stakeholder groups; and</w:t>
      </w:r>
    </w:p>
    <w:p w:rsidR="00AA2F8E" w:rsidRPr="006B2DB5" w:rsidRDefault="00AA2F8E" w:rsidP="00766041">
      <w:pPr>
        <w:pStyle w:val="DPSEntryIndents"/>
        <w:numPr>
          <w:ilvl w:val="2"/>
          <w:numId w:val="24"/>
        </w:numPr>
        <w:rPr>
          <w:rFonts w:eastAsiaTheme="minorEastAsia"/>
        </w:rPr>
      </w:pPr>
      <w:r w:rsidRPr="006B2DB5">
        <w:rPr>
          <w:rFonts w:eastAsiaTheme="minorEastAsia"/>
        </w:rPr>
        <w:t>identify the government programs through which these strategies could be funded and implemented;</w:t>
      </w:r>
    </w:p>
    <w:p w:rsidR="00AA2F8E" w:rsidRPr="006B2DB5" w:rsidRDefault="00AA2F8E" w:rsidP="00AA2F8E">
      <w:pPr>
        <w:pStyle w:val="DPSEntryIndents"/>
        <w:numPr>
          <w:ilvl w:val="1"/>
          <w:numId w:val="24"/>
        </w:numPr>
        <w:rPr>
          <w:lang w:val="en-US"/>
        </w:rPr>
      </w:pPr>
      <w:r w:rsidRPr="006B2DB5">
        <w:rPr>
          <w:lang w:val="en-US"/>
        </w:rPr>
        <w:t>provide quarterly reports to the Assembly on the development and implementation of the ACT Social Recovery Plan;</w:t>
      </w:r>
    </w:p>
    <w:p w:rsidR="00AA2F8E" w:rsidRPr="006B2DB5" w:rsidRDefault="00AA2F8E" w:rsidP="00AA2F8E">
      <w:pPr>
        <w:pStyle w:val="DPSEntryIndents"/>
        <w:numPr>
          <w:ilvl w:val="1"/>
          <w:numId w:val="24"/>
        </w:numPr>
        <w:rPr>
          <w:rFonts w:eastAsia="Calibri" w:cs="Calibri"/>
          <w:lang w:val="en-US"/>
        </w:rPr>
      </w:pPr>
      <w:r w:rsidRPr="006B2DB5">
        <w:rPr>
          <w:lang w:val="en-US"/>
        </w:rPr>
        <w:t>incorporate the relevant findings from the agreed update to the ACT</w:t>
      </w:r>
      <w:r w:rsidR="00696898" w:rsidRPr="006B2DB5">
        <w:rPr>
          <w:lang w:val="en-US"/>
        </w:rPr>
        <w:t>’</w:t>
      </w:r>
      <w:r w:rsidRPr="006B2DB5">
        <w:rPr>
          <w:lang w:val="en-US"/>
        </w:rPr>
        <w:t>s Targeted Assistance Strategy and associated t</w:t>
      </w:r>
      <w:r w:rsidRPr="006B2DB5">
        <w:rPr>
          <w:rFonts w:eastAsia="Calibri" w:cs="Calibri"/>
          <w:lang w:val="en-US"/>
        </w:rPr>
        <w:t xml:space="preserve">argeted concession assistance measures, including the current rates concessions, rebates and deferments system; </w:t>
      </w:r>
      <w:r w:rsidR="00D652DF" w:rsidRPr="006B2DB5">
        <w:rPr>
          <w:rFonts w:eastAsia="Calibri" w:cs="Calibri"/>
          <w:lang w:val="en-US"/>
        </w:rPr>
        <w:t>and</w:t>
      </w:r>
    </w:p>
    <w:p w:rsidR="00AA2F8E" w:rsidRPr="006B2DB5" w:rsidRDefault="00D652DF" w:rsidP="00AA2F8E">
      <w:pPr>
        <w:pStyle w:val="DPSEntryIndents"/>
        <w:numPr>
          <w:ilvl w:val="1"/>
          <w:numId w:val="24"/>
        </w:numPr>
        <w:rPr>
          <w:rFonts w:eastAsia="Calibri" w:cs="Calibri"/>
          <w:lang w:val="en-US"/>
        </w:rPr>
      </w:pPr>
      <w:r w:rsidRPr="006B2DB5">
        <w:rPr>
          <w:rFonts w:eastAsia="Calibri" w:cs="Calibri"/>
          <w:lang w:val="en-US"/>
        </w:rPr>
        <w:t>i</w:t>
      </w:r>
      <w:r w:rsidR="00AA2F8E" w:rsidRPr="006B2DB5">
        <w:rPr>
          <w:rFonts w:eastAsia="Calibri" w:cs="Calibri"/>
          <w:lang w:val="en-US"/>
        </w:rPr>
        <w:t>dentify any further measures required to ensure concessions and rebates are adequate and well-targeted, with input from relevant community organisations working to support people in the community;</w:t>
      </w:r>
      <w:r w:rsidRPr="006B2DB5">
        <w:rPr>
          <w:rFonts w:eastAsia="Calibri" w:cs="Calibri"/>
          <w:lang w:val="en-US"/>
        </w:rPr>
        <w:t xml:space="preserve"> and</w:t>
      </w:r>
    </w:p>
    <w:p w:rsidR="00AA2F8E" w:rsidRPr="006B2DB5" w:rsidRDefault="00D652DF" w:rsidP="00AA2F8E">
      <w:pPr>
        <w:pStyle w:val="DPSEntryIndents"/>
        <w:numPr>
          <w:ilvl w:val="0"/>
          <w:numId w:val="24"/>
        </w:numPr>
        <w:rPr>
          <w:rFonts w:eastAsiaTheme="minorEastAsia"/>
          <w:lang w:val="en-US"/>
        </w:rPr>
      </w:pPr>
      <w:r w:rsidRPr="006B2DB5">
        <w:rPr>
          <w:rFonts w:eastAsia="Calibri" w:cs="Calibri"/>
          <w:lang w:val="en-US"/>
        </w:rPr>
        <w:t>c</w:t>
      </w:r>
      <w:r w:rsidR="00AA2F8E" w:rsidRPr="006B2DB5">
        <w:rPr>
          <w:rFonts w:eastAsia="Calibri" w:cs="Calibri"/>
          <w:lang w:val="en-US"/>
        </w:rPr>
        <w:t>alls on the leaders of all parties represented i</w:t>
      </w:r>
      <w:r w:rsidRPr="006B2DB5">
        <w:rPr>
          <w:rFonts w:eastAsia="Calibri" w:cs="Calibri"/>
          <w:lang w:val="en-US"/>
        </w:rPr>
        <w:t>n the Assembly to write to the F</w:t>
      </w:r>
      <w:r w:rsidR="00AA2F8E" w:rsidRPr="006B2DB5">
        <w:rPr>
          <w:rFonts w:eastAsia="Calibri" w:cs="Calibri"/>
          <w:lang w:val="en-US"/>
        </w:rPr>
        <w:t>ederal leaders of their respective political parties calling for an increase to</w:t>
      </w:r>
      <w:r w:rsidRPr="006B2DB5">
        <w:rPr>
          <w:rFonts w:eastAsia="Calibri" w:cs="Calibri"/>
          <w:lang w:val="en-US"/>
        </w:rPr>
        <w:t>,</w:t>
      </w:r>
      <w:r w:rsidR="00AA2F8E" w:rsidRPr="006B2DB5">
        <w:rPr>
          <w:rFonts w:eastAsia="Calibri" w:cs="Calibri"/>
          <w:lang w:val="en-US"/>
        </w:rPr>
        <w:t xml:space="preserve"> and an indexation of</w:t>
      </w:r>
      <w:r w:rsidRPr="006B2DB5">
        <w:rPr>
          <w:rFonts w:eastAsia="Calibri" w:cs="Calibri"/>
          <w:lang w:val="en-US"/>
        </w:rPr>
        <w:t>,</w:t>
      </w:r>
      <w:r w:rsidR="00AA2F8E" w:rsidRPr="006B2DB5">
        <w:rPr>
          <w:rFonts w:eastAsia="Calibri" w:cs="Calibri"/>
          <w:lang w:val="en-US"/>
        </w:rPr>
        <w:t xml:space="preserve"> all social security payments so that these are above the Henderson Poverty Line.  Copies of these letters shall be tabled in the Assembly by 11 November 2021.</w:t>
      </w:r>
    </w:p>
    <w:p w:rsidR="007F4591" w:rsidRDefault="007F4591" w:rsidP="007F4591">
      <w:pPr>
        <w:spacing w:before="120"/>
        <w:ind w:left="720" w:right="-35"/>
        <w:rPr>
          <w:rFonts w:ascii="Calibri" w:hAnsi="Calibri"/>
          <w:color w:val="000000"/>
          <w:lang w:val="en-AU"/>
        </w:rPr>
      </w:pPr>
      <w:r w:rsidRPr="007F4591">
        <w:rPr>
          <w:rFonts w:ascii="Calibri" w:hAnsi="Calibri"/>
          <w:color w:val="000000"/>
          <w:lang w:val="en-AU"/>
        </w:rPr>
        <w:t>Debate ensued.</w:t>
      </w:r>
    </w:p>
    <w:p w:rsidR="00BA7DC8" w:rsidRDefault="00BA7DC8" w:rsidP="007F4591">
      <w:pPr>
        <w:spacing w:before="120"/>
        <w:ind w:left="720" w:right="-35"/>
        <w:rPr>
          <w:rFonts w:ascii="Calibri" w:hAnsi="Calibri"/>
          <w:color w:val="000000"/>
          <w:lang w:val="en-AU"/>
        </w:rPr>
      </w:pPr>
      <w:r>
        <w:rPr>
          <w:rFonts w:ascii="Calibri" w:hAnsi="Calibri"/>
          <w:color w:val="000000"/>
          <w:lang w:val="en-AU"/>
        </w:rPr>
        <w:t xml:space="preserve">Ordered—That </w:t>
      </w:r>
      <w:r w:rsidR="00947649">
        <w:rPr>
          <w:rFonts w:ascii="Calibri" w:hAnsi="Calibri"/>
          <w:color w:val="000000"/>
          <w:lang w:val="en-AU"/>
        </w:rPr>
        <w:t>t</w:t>
      </w:r>
      <w:r>
        <w:rPr>
          <w:rFonts w:ascii="Calibri" w:hAnsi="Calibri"/>
          <w:color w:val="000000"/>
          <w:lang w:val="en-AU"/>
        </w:rPr>
        <w:t>he question be divided.</w:t>
      </w:r>
    </w:p>
    <w:p w:rsidR="00BA7DC8" w:rsidRDefault="00BA7DC8" w:rsidP="007F4591">
      <w:pPr>
        <w:spacing w:before="120"/>
        <w:ind w:left="720" w:right="-35"/>
        <w:rPr>
          <w:rFonts w:ascii="Calibri" w:hAnsi="Calibri"/>
          <w:color w:val="000000"/>
          <w:lang w:val="en-AU"/>
        </w:rPr>
      </w:pPr>
      <w:r>
        <w:rPr>
          <w:rFonts w:ascii="Calibri" w:hAnsi="Calibri"/>
          <w:color w:val="000000"/>
          <w:lang w:val="en-AU"/>
        </w:rPr>
        <w:t>Debate continued.</w:t>
      </w:r>
    </w:p>
    <w:p w:rsidR="00BA7DC8" w:rsidRPr="007F4591" w:rsidRDefault="00BA7DC8" w:rsidP="00BA7DC8">
      <w:pPr>
        <w:spacing w:before="120"/>
        <w:ind w:left="720" w:right="-35"/>
        <w:rPr>
          <w:rFonts w:ascii="Calibri" w:hAnsi="Calibri"/>
          <w:color w:val="000000"/>
          <w:lang w:val="en-AU"/>
        </w:rPr>
      </w:pPr>
      <w:r>
        <w:rPr>
          <w:rFonts w:ascii="Calibri" w:hAnsi="Calibri"/>
          <w:color w:val="000000"/>
          <w:lang w:val="en-AU"/>
        </w:rPr>
        <w:t>Paragraph (2) agreed to.</w:t>
      </w:r>
    </w:p>
    <w:p w:rsidR="00BA7DC8" w:rsidRDefault="00BA7DC8" w:rsidP="007F4591">
      <w:pPr>
        <w:spacing w:before="120"/>
        <w:ind w:left="720" w:right="-35"/>
        <w:rPr>
          <w:rFonts w:ascii="Calibri" w:hAnsi="Calibri"/>
          <w:color w:val="000000"/>
          <w:lang w:val="en-AU"/>
        </w:rPr>
      </w:pPr>
      <w:r>
        <w:rPr>
          <w:rFonts w:ascii="Calibri" w:hAnsi="Calibri"/>
          <w:color w:val="000000"/>
          <w:lang w:val="en-AU"/>
        </w:rPr>
        <w:t>Paragraphs (1) and (3)—Question—put.</w:t>
      </w:r>
    </w:p>
    <w:p w:rsidR="00947649" w:rsidRDefault="00947649" w:rsidP="00947649">
      <w:pPr>
        <w:spacing w:before="120" w:after="120"/>
        <w:ind w:left="720" w:right="-35"/>
        <w:rPr>
          <w:rFonts w:ascii="Calibri" w:hAnsi="Calibri"/>
          <w:color w:val="000000"/>
          <w:lang w:val="en-AU"/>
        </w:rPr>
      </w:pPr>
      <w:r>
        <w:rPr>
          <w:rFonts w:ascii="Calibri" w:hAnsi="Calibri"/>
          <w:color w:val="000000"/>
          <w:lang w:val="en-AU"/>
        </w:rPr>
        <w:lastRenderedPageBreak/>
        <w:t>The Assembly voted—</w:t>
      </w:r>
    </w:p>
    <w:tbl>
      <w:tblPr>
        <w:tblpPr w:rightFromText="180" w:vertAnchor="text" w:tblpY="1"/>
        <w:tblOverlap w:val="never"/>
        <w:tblW w:w="9270" w:type="dxa"/>
        <w:tblLayout w:type="fixed"/>
        <w:tblCellMar>
          <w:left w:w="0" w:type="dxa"/>
          <w:right w:w="56" w:type="dxa"/>
        </w:tblCellMar>
        <w:tblLook w:val="0000" w:firstRow="0" w:lastRow="0" w:firstColumn="0" w:lastColumn="0" w:noHBand="0" w:noVBand="0"/>
      </w:tblPr>
      <w:tblGrid>
        <w:gridCol w:w="720"/>
        <w:gridCol w:w="2160"/>
        <w:gridCol w:w="1202"/>
        <w:gridCol w:w="624"/>
        <w:gridCol w:w="453"/>
        <w:gridCol w:w="624"/>
        <w:gridCol w:w="2041"/>
        <w:gridCol w:w="964"/>
        <w:gridCol w:w="482"/>
      </w:tblGrid>
      <w:tr w:rsidR="00947649" w:rsidTr="00947649">
        <w:trPr>
          <w:gridAfter w:val="1"/>
          <w:wAfter w:w="482" w:type="dxa"/>
        </w:trPr>
        <w:tc>
          <w:tcPr>
            <w:tcW w:w="4082" w:type="dxa"/>
            <w:gridSpan w:val="3"/>
            <w:shd w:val="clear" w:color="auto" w:fill="auto"/>
          </w:tcPr>
          <w:p w:rsidR="00947649" w:rsidRDefault="00947649" w:rsidP="00947649">
            <w:pPr>
              <w:tabs>
                <w:tab w:val="center" w:pos="2520"/>
              </w:tabs>
              <w:spacing w:before="120"/>
              <w:ind w:right="-35"/>
              <w:rPr>
                <w:rFonts w:ascii="Calibri" w:hAnsi="Calibri"/>
                <w:color w:val="000000"/>
                <w:lang w:val="en-AU"/>
              </w:rPr>
            </w:pPr>
            <w:r>
              <w:rPr>
                <w:rFonts w:ascii="Calibri" w:hAnsi="Calibri"/>
                <w:color w:val="000000"/>
                <w:lang w:val="en-AU"/>
              </w:rPr>
              <w:tab/>
              <w:t>AYES, 14</w:t>
            </w:r>
          </w:p>
        </w:tc>
        <w:tc>
          <w:tcPr>
            <w:tcW w:w="624" w:type="dxa"/>
            <w:shd w:val="clear" w:color="auto" w:fill="auto"/>
          </w:tcPr>
          <w:p w:rsidR="00947649" w:rsidRDefault="00947649" w:rsidP="00947649">
            <w:pPr>
              <w:spacing w:before="120"/>
              <w:ind w:right="-35"/>
              <w:rPr>
                <w:rFonts w:ascii="Calibri" w:hAnsi="Calibri"/>
                <w:color w:val="000000"/>
                <w:lang w:val="en-AU"/>
              </w:rPr>
            </w:pPr>
          </w:p>
        </w:tc>
        <w:tc>
          <w:tcPr>
            <w:tcW w:w="4082" w:type="dxa"/>
            <w:gridSpan w:val="4"/>
            <w:shd w:val="clear" w:color="auto" w:fill="auto"/>
          </w:tcPr>
          <w:p w:rsidR="00947649" w:rsidRDefault="00947649" w:rsidP="00947649">
            <w:pPr>
              <w:tabs>
                <w:tab w:val="center" w:pos="2674"/>
              </w:tabs>
              <w:spacing w:before="120"/>
              <w:ind w:right="-35"/>
              <w:rPr>
                <w:rFonts w:ascii="Calibri" w:hAnsi="Calibri"/>
                <w:color w:val="000000"/>
                <w:lang w:val="en-AU"/>
              </w:rPr>
            </w:pPr>
            <w:r>
              <w:rPr>
                <w:rFonts w:ascii="Calibri" w:hAnsi="Calibri"/>
                <w:color w:val="000000"/>
                <w:lang w:val="en-AU"/>
              </w:rPr>
              <w:tab/>
              <w:t>NOES, 7</w:t>
            </w:r>
          </w:p>
        </w:tc>
      </w:tr>
      <w:tr w:rsidR="00947649" w:rsidTr="00947649">
        <w:trPr>
          <w:gridBefore w:val="1"/>
          <w:wBefore w:w="720" w:type="dxa"/>
          <w:trHeight w:hRule="exact" w:val="312"/>
        </w:trPr>
        <w:tc>
          <w:tcPr>
            <w:tcW w:w="2160"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Berry</w:t>
            </w:r>
          </w:p>
        </w:tc>
        <w:tc>
          <w:tcPr>
            <w:tcW w:w="2279" w:type="dxa"/>
            <w:gridSpan w:val="3"/>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Orr</w:t>
            </w:r>
          </w:p>
        </w:tc>
        <w:tc>
          <w:tcPr>
            <w:tcW w:w="624" w:type="dxa"/>
            <w:shd w:val="clear" w:color="auto" w:fill="auto"/>
          </w:tcPr>
          <w:p w:rsidR="00947649" w:rsidRDefault="00947649" w:rsidP="00947649">
            <w:pPr>
              <w:spacing w:before="120"/>
              <w:ind w:right="-35"/>
              <w:rPr>
                <w:rFonts w:ascii="Calibri" w:hAnsi="Calibri"/>
                <w:color w:val="000000"/>
                <w:lang w:val="en-AU"/>
              </w:rPr>
            </w:pPr>
          </w:p>
        </w:tc>
        <w:tc>
          <w:tcPr>
            <w:tcW w:w="2041"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Mr Cain</w:t>
            </w:r>
          </w:p>
        </w:tc>
        <w:tc>
          <w:tcPr>
            <w:tcW w:w="1446" w:type="dxa"/>
            <w:gridSpan w:val="2"/>
            <w:shd w:val="clear" w:color="auto" w:fill="auto"/>
          </w:tcPr>
          <w:p w:rsidR="00947649" w:rsidRDefault="00947649" w:rsidP="00947649">
            <w:pPr>
              <w:spacing w:before="120"/>
              <w:ind w:right="-35"/>
              <w:rPr>
                <w:rFonts w:ascii="Calibri" w:hAnsi="Calibri"/>
                <w:color w:val="000000"/>
                <w:lang w:val="en-AU"/>
              </w:rPr>
            </w:pPr>
          </w:p>
        </w:tc>
      </w:tr>
      <w:tr w:rsidR="00947649" w:rsidTr="00947649">
        <w:trPr>
          <w:gridBefore w:val="1"/>
          <w:wBefore w:w="720" w:type="dxa"/>
          <w:trHeight w:hRule="exact" w:val="312"/>
        </w:trPr>
        <w:tc>
          <w:tcPr>
            <w:tcW w:w="2160"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Mr Braddock</w:t>
            </w:r>
          </w:p>
        </w:tc>
        <w:tc>
          <w:tcPr>
            <w:tcW w:w="2279" w:type="dxa"/>
            <w:gridSpan w:val="3"/>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Dr Paterson</w:t>
            </w:r>
          </w:p>
        </w:tc>
        <w:tc>
          <w:tcPr>
            <w:tcW w:w="624" w:type="dxa"/>
            <w:shd w:val="clear" w:color="auto" w:fill="auto"/>
          </w:tcPr>
          <w:p w:rsidR="00947649" w:rsidRDefault="00947649" w:rsidP="00947649">
            <w:pPr>
              <w:spacing w:before="120"/>
              <w:ind w:right="-35"/>
              <w:rPr>
                <w:rFonts w:ascii="Calibri" w:hAnsi="Calibri"/>
                <w:color w:val="000000"/>
                <w:lang w:val="en-AU"/>
              </w:rPr>
            </w:pPr>
          </w:p>
        </w:tc>
        <w:tc>
          <w:tcPr>
            <w:tcW w:w="2041"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Castley</w:t>
            </w:r>
          </w:p>
        </w:tc>
        <w:tc>
          <w:tcPr>
            <w:tcW w:w="1446" w:type="dxa"/>
            <w:gridSpan w:val="2"/>
            <w:shd w:val="clear" w:color="auto" w:fill="auto"/>
          </w:tcPr>
          <w:p w:rsidR="00947649" w:rsidRDefault="00947649" w:rsidP="00947649">
            <w:pPr>
              <w:spacing w:before="120"/>
              <w:ind w:right="-35"/>
              <w:rPr>
                <w:rFonts w:ascii="Calibri" w:hAnsi="Calibri"/>
                <w:color w:val="000000"/>
                <w:lang w:val="en-AU"/>
              </w:rPr>
            </w:pPr>
          </w:p>
        </w:tc>
      </w:tr>
      <w:tr w:rsidR="00947649" w:rsidTr="00947649">
        <w:trPr>
          <w:gridBefore w:val="1"/>
          <w:wBefore w:w="720" w:type="dxa"/>
          <w:trHeight w:hRule="exact" w:val="312"/>
        </w:trPr>
        <w:tc>
          <w:tcPr>
            <w:tcW w:w="2160"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Burch</w:t>
            </w:r>
          </w:p>
        </w:tc>
        <w:tc>
          <w:tcPr>
            <w:tcW w:w="2279" w:type="dxa"/>
            <w:gridSpan w:val="3"/>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Mr Pettersson</w:t>
            </w:r>
          </w:p>
        </w:tc>
        <w:tc>
          <w:tcPr>
            <w:tcW w:w="624" w:type="dxa"/>
            <w:shd w:val="clear" w:color="auto" w:fill="auto"/>
          </w:tcPr>
          <w:p w:rsidR="00947649" w:rsidRDefault="00947649" w:rsidP="00947649">
            <w:pPr>
              <w:spacing w:before="120"/>
              <w:ind w:right="-35"/>
              <w:rPr>
                <w:rFonts w:ascii="Calibri" w:hAnsi="Calibri"/>
                <w:color w:val="000000"/>
                <w:lang w:val="en-AU"/>
              </w:rPr>
            </w:pPr>
          </w:p>
        </w:tc>
        <w:tc>
          <w:tcPr>
            <w:tcW w:w="2041"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Mr Hanson</w:t>
            </w:r>
          </w:p>
        </w:tc>
        <w:tc>
          <w:tcPr>
            <w:tcW w:w="1446" w:type="dxa"/>
            <w:gridSpan w:val="2"/>
            <w:shd w:val="clear" w:color="auto" w:fill="auto"/>
          </w:tcPr>
          <w:p w:rsidR="00947649" w:rsidRDefault="00947649" w:rsidP="00947649">
            <w:pPr>
              <w:spacing w:before="120"/>
              <w:ind w:right="-35"/>
              <w:rPr>
                <w:rFonts w:ascii="Calibri" w:hAnsi="Calibri"/>
                <w:color w:val="000000"/>
                <w:lang w:val="en-AU"/>
              </w:rPr>
            </w:pPr>
          </w:p>
        </w:tc>
      </w:tr>
      <w:tr w:rsidR="00947649" w:rsidTr="00947649">
        <w:trPr>
          <w:gridBefore w:val="1"/>
          <w:wBefore w:w="720" w:type="dxa"/>
          <w:trHeight w:hRule="exact" w:val="312"/>
        </w:trPr>
        <w:tc>
          <w:tcPr>
            <w:tcW w:w="2160"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Cheyne</w:t>
            </w:r>
          </w:p>
        </w:tc>
        <w:tc>
          <w:tcPr>
            <w:tcW w:w="2279" w:type="dxa"/>
            <w:gridSpan w:val="3"/>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Mr Rattenbury</w:t>
            </w:r>
          </w:p>
        </w:tc>
        <w:tc>
          <w:tcPr>
            <w:tcW w:w="624" w:type="dxa"/>
            <w:shd w:val="clear" w:color="auto" w:fill="auto"/>
          </w:tcPr>
          <w:p w:rsidR="00947649" w:rsidRDefault="00947649" w:rsidP="00947649">
            <w:pPr>
              <w:spacing w:before="120"/>
              <w:ind w:right="-35"/>
              <w:rPr>
                <w:rFonts w:ascii="Calibri" w:hAnsi="Calibri"/>
                <w:color w:val="000000"/>
                <w:lang w:val="en-AU"/>
              </w:rPr>
            </w:pPr>
          </w:p>
        </w:tc>
        <w:tc>
          <w:tcPr>
            <w:tcW w:w="2041"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Mrs Kikkert</w:t>
            </w:r>
          </w:p>
        </w:tc>
        <w:tc>
          <w:tcPr>
            <w:tcW w:w="1446" w:type="dxa"/>
            <w:gridSpan w:val="2"/>
            <w:shd w:val="clear" w:color="auto" w:fill="auto"/>
          </w:tcPr>
          <w:p w:rsidR="00947649" w:rsidRDefault="00947649" w:rsidP="00947649">
            <w:pPr>
              <w:spacing w:before="120"/>
              <w:ind w:right="-35"/>
              <w:rPr>
                <w:rFonts w:ascii="Calibri" w:hAnsi="Calibri"/>
                <w:color w:val="000000"/>
                <w:lang w:val="en-AU"/>
              </w:rPr>
            </w:pPr>
          </w:p>
        </w:tc>
      </w:tr>
      <w:tr w:rsidR="00947649" w:rsidTr="00947649">
        <w:trPr>
          <w:gridBefore w:val="1"/>
          <w:wBefore w:w="720" w:type="dxa"/>
          <w:trHeight w:hRule="exact" w:val="312"/>
        </w:trPr>
        <w:tc>
          <w:tcPr>
            <w:tcW w:w="2160"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Clay</w:t>
            </w:r>
          </w:p>
        </w:tc>
        <w:tc>
          <w:tcPr>
            <w:tcW w:w="2279" w:type="dxa"/>
            <w:gridSpan w:val="3"/>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Stephen-Smith</w:t>
            </w:r>
          </w:p>
        </w:tc>
        <w:tc>
          <w:tcPr>
            <w:tcW w:w="624" w:type="dxa"/>
            <w:shd w:val="clear" w:color="auto" w:fill="auto"/>
          </w:tcPr>
          <w:p w:rsidR="00947649" w:rsidRDefault="00947649" w:rsidP="00947649">
            <w:pPr>
              <w:spacing w:before="120"/>
              <w:ind w:right="-35"/>
              <w:rPr>
                <w:rFonts w:ascii="Calibri" w:hAnsi="Calibri"/>
                <w:color w:val="000000"/>
                <w:lang w:val="en-AU"/>
              </w:rPr>
            </w:pPr>
          </w:p>
        </w:tc>
        <w:tc>
          <w:tcPr>
            <w:tcW w:w="2041"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Lawder</w:t>
            </w:r>
          </w:p>
        </w:tc>
        <w:tc>
          <w:tcPr>
            <w:tcW w:w="1446" w:type="dxa"/>
            <w:gridSpan w:val="2"/>
            <w:shd w:val="clear" w:color="auto" w:fill="auto"/>
          </w:tcPr>
          <w:p w:rsidR="00947649" w:rsidRDefault="00947649" w:rsidP="00947649">
            <w:pPr>
              <w:spacing w:before="120"/>
              <w:ind w:right="-35"/>
              <w:rPr>
                <w:rFonts w:ascii="Calibri" w:hAnsi="Calibri"/>
                <w:color w:val="000000"/>
                <w:lang w:val="en-AU"/>
              </w:rPr>
            </w:pPr>
          </w:p>
        </w:tc>
      </w:tr>
      <w:tr w:rsidR="00947649" w:rsidTr="00947649">
        <w:trPr>
          <w:gridBefore w:val="1"/>
          <w:wBefore w:w="720" w:type="dxa"/>
          <w:trHeight w:hRule="exact" w:val="312"/>
        </w:trPr>
        <w:tc>
          <w:tcPr>
            <w:tcW w:w="2160"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Davidson</w:t>
            </w:r>
          </w:p>
        </w:tc>
        <w:tc>
          <w:tcPr>
            <w:tcW w:w="2279" w:type="dxa"/>
            <w:gridSpan w:val="3"/>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Vassarotti</w:t>
            </w:r>
          </w:p>
        </w:tc>
        <w:tc>
          <w:tcPr>
            <w:tcW w:w="624" w:type="dxa"/>
            <w:shd w:val="clear" w:color="auto" w:fill="auto"/>
          </w:tcPr>
          <w:p w:rsidR="00947649" w:rsidRDefault="00947649" w:rsidP="00947649">
            <w:pPr>
              <w:spacing w:before="120"/>
              <w:ind w:right="-35"/>
              <w:rPr>
                <w:rFonts w:ascii="Calibri" w:hAnsi="Calibri"/>
                <w:color w:val="000000"/>
                <w:lang w:val="en-AU"/>
              </w:rPr>
            </w:pPr>
          </w:p>
        </w:tc>
        <w:tc>
          <w:tcPr>
            <w:tcW w:w="2041"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Ms Lee</w:t>
            </w:r>
          </w:p>
        </w:tc>
        <w:tc>
          <w:tcPr>
            <w:tcW w:w="1446" w:type="dxa"/>
            <w:gridSpan w:val="2"/>
            <w:shd w:val="clear" w:color="auto" w:fill="auto"/>
          </w:tcPr>
          <w:p w:rsidR="00947649" w:rsidRDefault="00947649" w:rsidP="00947649">
            <w:pPr>
              <w:spacing w:before="120"/>
              <w:ind w:right="-35"/>
              <w:rPr>
                <w:rFonts w:ascii="Calibri" w:hAnsi="Calibri"/>
                <w:color w:val="000000"/>
                <w:lang w:val="en-AU"/>
              </w:rPr>
            </w:pPr>
          </w:p>
        </w:tc>
      </w:tr>
      <w:tr w:rsidR="00947649" w:rsidTr="00947649">
        <w:trPr>
          <w:gridBefore w:val="1"/>
          <w:wBefore w:w="720" w:type="dxa"/>
          <w:trHeight w:hRule="exact" w:val="312"/>
        </w:trPr>
        <w:tc>
          <w:tcPr>
            <w:tcW w:w="2160"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Mr Davis</w:t>
            </w:r>
          </w:p>
        </w:tc>
        <w:tc>
          <w:tcPr>
            <w:tcW w:w="2279" w:type="dxa"/>
            <w:gridSpan w:val="3"/>
            <w:shd w:val="clear" w:color="auto" w:fill="auto"/>
          </w:tcPr>
          <w:p w:rsidR="00947649" w:rsidRDefault="00947649" w:rsidP="00947649">
            <w:pPr>
              <w:spacing w:before="120"/>
              <w:ind w:right="-35"/>
              <w:rPr>
                <w:rFonts w:ascii="Calibri" w:hAnsi="Calibri"/>
                <w:color w:val="000000"/>
                <w:lang w:val="en-AU"/>
              </w:rPr>
            </w:pPr>
          </w:p>
        </w:tc>
        <w:tc>
          <w:tcPr>
            <w:tcW w:w="624" w:type="dxa"/>
            <w:shd w:val="clear" w:color="auto" w:fill="auto"/>
          </w:tcPr>
          <w:p w:rsidR="00947649" w:rsidRDefault="00947649" w:rsidP="00947649">
            <w:pPr>
              <w:spacing w:before="120"/>
              <w:ind w:right="-35"/>
              <w:rPr>
                <w:rFonts w:ascii="Calibri" w:hAnsi="Calibri"/>
                <w:color w:val="000000"/>
                <w:lang w:val="en-AU"/>
              </w:rPr>
            </w:pPr>
          </w:p>
        </w:tc>
        <w:tc>
          <w:tcPr>
            <w:tcW w:w="2041"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Mr Parton</w:t>
            </w:r>
          </w:p>
        </w:tc>
        <w:tc>
          <w:tcPr>
            <w:tcW w:w="1446" w:type="dxa"/>
            <w:gridSpan w:val="2"/>
            <w:shd w:val="clear" w:color="auto" w:fill="auto"/>
          </w:tcPr>
          <w:p w:rsidR="00947649" w:rsidRDefault="00947649" w:rsidP="00947649">
            <w:pPr>
              <w:spacing w:before="120"/>
              <w:ind w:right="-35"/>
              <w:rPr>
                <w:rFonts w:ascii="Calibri" w:hAnsi="Calibri"/>
                <w:color w:val="000000"/>
                <w:lang w:val="en-AU"/>
              </w:rPr>
            </w:pPr>
          </w:p>
        </w:tc>
      </w:tr>
      <w:tr w:rsidR="00947649" w:rsidTr="00947649">
        <w:trPr>
          <w:gridBefore w:val="1"/>
          <w:wBefore w:w="720" w:type="dxa"/>
          <w:trHeight w:hRule="exact" w:val="312"/>
        </w:trPr>
        <w:tc>
          <w:tcPr>
            <w:tcW w:w="2160" w:type="dxa"/>
            <w:shd w:val="clear" w:color="auto" w:fill="auto"/>
          </w:tcPr>
          <w:p w:rsidR="00947649" w:rsidRDefault="00947649" w:rsidP="00947649">
            <w:pPr>
              <w:ind w:right="-35"/>
              <w:rPr>
                <w:rFonts w:ascii="Calibri" w:hAnsi="Calibri"/>
                <w:color w:val="000000"/>
                <w:lang w:val="en-AU"/>
              </w:rPr>
            </w:pPr>
            <w:r>
              <w:rPr>
                <w:rFonts w:ascii="Calibri" w:hAnsi="Calibri"/>
                <w:color w:val="000000"/>
                <w:lang w:val="en-AU"/>
              </w:rPr>
              <w:t>Mr Gentleman</w:t>
            </w:r>
          </w:p>
        </w:tc>
        <w:tc>
          <w:tcPr>
            <w:tcW w:w="2279" w:type="dxa"/>
            <w:gridSpan w:val="3"/>
            <w:shd w:val="clear" w:color="auto" w:fill="auto"/>
          </w:tcPr>
          <w:p w:rsidR="00947649" w:rsidRDefault="00947649" w:rsidP="00947649">
            <w:pPr>
              <w:spacing w:before="120"/>
              <w:ind w:right="-35"/>
              <w:rPr>
                <w:rFonts w:ascii="Calibri" w:hAnsi="Calibri"/>
                <w:color w:val="000000"/>
                <w:lang w:val="en-AU"/>
              </w:rPr>
            </w:pPr>
          </w:p>
        </w:tc>
        <w:tc>
          <w:tcPr>
            <w:tcW w:w="624" w:type="dxa"/>
            <w:shd w:val="clear" w:color="auto" w:fill="auto"/>
          </w:tcPr>
          <w:p w:rsidR="00947649" w:rsidRDefault="00947649" w:rsidP="00947649">
            <w:pPr>
              <w:spacing w:before="120"/>
              <w:ind w:right="-35"/>
              <w:rPr>
                <w:rFonts w:ascii="Calibri" w:hAnsi="Calibri"/>
                <w:color w:val="000000"/>
                <w:lang w:val="en-AU"/>
              </w:rPr>
            </w:pPr>
          </w:p>
        </w:tc>
        <w:tc>
          <w:tcPr>
            <w:tcW w:w="2041" w:type="dxa"/>
            <w:shd w:val="clear" w:color="auto" w:fill="auto"/>
          </w:tcPr>
          <w:p w:rsidR="00947649" w:rsidRDefault="00947649" w:rsidP="00947649">
            <w:pPr>
              <w:spacing w:before="120"/>
              <w:ind w:right="-35"/>
              <w:rPr>
                <w:rFonts w:ascii="Calibri" w:hAnsi="Calibri"/>
                <w:color w:val="000000"/>
                <w:lang w:val="en-AU"/>
              </w:rPr>
            </w:pPr>
          </w:p>
        </w:tc>
        <w:tc>
          <w:tcPr>
            <w:tcW w:w="1446" w:type="dxa"/>
            <w:gridSpan w:val="2"/>
            <w:shd w:val="clear" w:color="auto" w:fill="auto"/>
          </w:tcPr>
          <w:p w:rsidR="00947649" w:rsidRDefault="00947649" w:rsidP="00947649">
            <w:pPr>
              <w:spacing w:before="120"/>
              <w:ind w:right="-35"/>
              <w:rPr>
                <w:rFonts w:ascii="Calibri" w:hAnsi="Calibri"/>
                <w:color w:val="000000"/>
                <w:lang w:val="en-AU"/>
              </w:rPr>
            </w:pPr>
          </w:p>
        </w:tc>
      </w:tr>
    </w:tbl>
    <w:p w:rsidR="00947649" w:rsidRDefault="00947649" w:rsidP="00947649">
      <w:pPr>
        <w:spacing w:before="120"/>
        <w:ind w:left="720" w:right="-35"/>
        <w:rPr>
          <w:rFonts w:ascii="Calibri" w:hAnsi="Calibri"/>
          <w:color w:val="000000"/>
          <w:lang w:val="en-AU"/>
        </w:rPr>
      </w:pPr>
      <w:r>
        <w:rPr>
          <w:rFonts w:ascii="Calibri" w:hAnsi="Calibri"/>
          <w:color w:val="000000"/>
          <w:lang w:val="en-AU"/>
        </w:rPr>
        <w:t>And so it was resolved in the affirmative.</w:t>
      </w:r>
    </w:p>
    <w:p w:rsidR="00800FB5" w:rsidRPr="00947649" w:rsidRDefault="00800FB5" w:rsidP="00800FB5">
      <w:pPr>
        <w:keepNext/>
        <w:keepLines/>
        <w:tabs>
          <w:tab w:val="right" w:pos="339"/>
          <w:tab w:val="left" w:pos="720"/>
        </w:tabs>
        <w:spacing w:before="240"/>
        <w:ind w:left="720" w:hanging="720"/>
        <w:rPr>
          <w:rFonts w:ascii="Calibri" w:hAnsi="Calibri"/>
          <w:b/>
          <w:caps/>
          <w:lang w:val="en-AU"/>
        </w:rPr>
      </w:pPr>
      <w:r w:rsidRPr="00800FB5">
        <w:rPr>
          <w:rFonts w:ascii="Calibri" w:hAnsi="Calibri"/>
          <w:b/>
          <w:caps/>
          <w:lang w:val="en-AU"/>
        </w:rPr>
        <w:tab/>
      </w:r>
      <w:r w:rsidR="00696898" w:rsidRPr="00947649">
        <w:rPr>
          <w:rFonts w:ascii="Calibri" w:hAnsi="Calibri"/>
          <w:b/>
          <w:bCs/>
          <w:caps/>
          <w:lang w:val="en-AU"/>
        </w:rPr>
        <w:fldChar w:fldCharType="begin"/>
      </w:r>
      <w:r w:rsidR="00696898" w:rsidRPr="00947649">
        <w:rPr>
          <w:rFonts w:ascii="Calibri" w:hAnsi="Calibri"/>
          <w:b/>
          <w:bCs/>
          <w:caps/>
          <w:lang w:val="en-AU"/>
        </w:rPr>
        <w:instrText xml:space="preserve"> SEQ A \* MERGEFORMAT </w:instrText>
      </w:r>
      <w:r w:rsidR="00696898" w:rsidRPr="00947649">
        <w:rPr>
          <w:rFonts w:ascii="Calibri" w:hAnsi="Calibri"/>
          <w:b/>
          <w:bCs/>
          <w:caps/>
          <w:lang w:val="en-AU"/>
        </w:rPr>
        <w:fldChar w:fldCharType="separate"/>
      </w:r>
      <w:r w:rsidR="006D30E9">
        <w:rPr>
          <w:rFonts w:ascii="Calibri" w:hAnsi="Calibri"/>
          <w:b/>
          <w:bCs/>
          <w:caps/>
          <w:noProof/>
          <w:lang w:val="en-AU"/>
        </w:rPr>
        <w:t>14</w:t>
      </w:r>
      <w:r w:rsidR="00696898" w:rsidRPr="00947649">
        <w:rPr>
          <w:rFonts w:ascii="Calibri" w:hAnsi="Calibri"/>
          <w:b/>
          <w:bCs/>
          <w:caps/>
          <w:lang w:val="en-AU"/>
        </w:rPr>
        <w:fldChar w:fldCharType="end"/>
      </w:r>
      <w:r w:rsidRPr="00947649">
        <w:rPr>
          <w:rFonts w:ascii="Calibri" w:hAnsi="Calibri"/>
          <w:b/>
          <w:caps/>
          <w:lang w:val="en-AU"/>
        </w:rPr>
        <w:tab/>
        <w:t>Crimes (Stealthing) Amendment Bill 2021</w:t>
      </w:r>
    </w:p>
    <w:p w:rsidR="00800FB5" w:rsidRPr="00947649" w:rsidRDefault="00800FB5" w:rsidP="00800FB5">
      <w:pPr>
        <w:spacing w:before="120"/>
        <w:ind w:left="720"/>
        <w:rPr>
          <w:rFonts w:ascii="Calibri" w:hAnsi="Calibri"/>
          <w:lang w:val="en-AU"/>
        </w:rPr>
      </w:pPr>
      <w:r w:rsidRPr="00947649">
        <w:rPr>
          <w:rFonts w:ascii="Calibri" w:hAnsi="Calibri"/>
          <w:lang w:val="en-AU"/>
        </w:rPr>
        <w:t>The order of the day having been read for the resumption of the debate on the question—That this Bill be agreed to in principle—</w:t>
      </w:r>
    </w:p>
    <w:p w:rsidR="00800FB5" w:rsidRPr="00947649" w:rsidRDefault="00800FB5" w:rsidP="00800FB5">
      <w:pPr>
        <w:spacing w:before="120"/>
        <w:ind w:left="720"/>
        <w:rPr>
          <w:rFonts w:ascii="Calibri" w:hAnsi="Calibri"/>
          <w:iCs/>
          <w:lang w:val="en-AU"/>
        </w:rPr>
      </w:pPr>
      <w:r w:rsidRPr="00947649">
        <w:rPr>
          <w:rFonts w:ascii="Calibri" w:hAnsi="Calibri"/>
          <w:iCs/>
          <w:lang w:val="en-AU"/>
        </w:rPr>
        <w:t>Debate resumed.</w:t>
      </w:r>
    </w:p>
    <w:p w:rsidR="00800FB5" w:rsidRPr="00947649" w:rsidRDefault="00800FB5" w:rsidP="00800FB5">
      <w:pPr>
        <w:spacing w:before="120"/>
        <w:ind w:left="720"/>
        <w:rPr>
          <w:rFonts w:ascii="Calibri" w:hAnsi="Calibri"/>
          <w:iCs/>
          <w:lang w:val="en-AU"/>
        </w:rPr>
      </w:pPr>
      <w:r w:rsidRPr="00947649">
        <w:rPr>
          <w:rFonts w:ascii="Calibri" w:hAnsi="Calibri"/>
          <w:iCs/>
          <w:lang w:val="en-AU"/>
        </w:rPr>
        <w:t>Question—That this Bill be agreed to in principle—put and passed.</w:t>
      </w:r>
    </w:p>
    <w:p w:rsidR="00800FB5" w:rsidRPr="00947649" w:rsidRDefault="00800FB5" w:rsidP="00800FB5">
      <w:pPr>
        <w:spacing w:before="120"/>
        <w:ind w:left="720"/>
        <w:rPr>
          <w:rFonts w:ascii="Calibri" w:hAnsi="Calibri"/>
          <w:iCs/>
          <w:lang w:val="en-AU"/>
        </w:rPr>
      </w:pPr>
      <w:r w:rsidRPr="00947649">
        <w:rPr>
          <w:rFonts w:ascii="Calibri" w:hAnsi="Calibri"/>
          <w:iCs/>
          <w:lang w:val="en-AU"/>
        </w:rPr>
        <w:t>Leave granted to dispense with the detail stage.</w:t>
      </w:r>
    </w:p>
    <w:p w:rsidR="00800FB5" w:rsidRPr="00947649" w:rsidRDefault="00800FB5" w:rsidP="00800FB5">
      <w:pPr>
        <w:spacing w:before="120"/>
        <w:ind w:left="720"/>
        <w:rPr>
          <w:rFonts w:ascii="Calibri" w:hAnsi="Calibri"/>
          <w:lang w:val="en-AU"/>
        </w:rPr>
      </w:pPr>
      <w:r w:rsidRPr="00947649">
        <w:rPr>
          <w:rFonts w:ascii="Calibri" w:hAnsi="Calibri"/>
          <w:lang w:val="en-AU"/>
        </w:rPr>
        <w:t>Question—That this Bill be agreed to—put and passed.</w:t>
      </w:r>
    </w:p>
    <w:p w:rsidR="004E31E3" w:rsidRPr="00993CC8" w:rsidRDefault="004E31E3" w:rsidP="004E31E3">
      <w:pPr>
        <w:keepNext/>
        <w:keepLines/>
        <w:tabs>
          <w:tab w:val="right" w:pos="339"/>
          <w:tab w:val="left" w:pos="720"/>
        </w:tabs>
        <w:spacing w:before="240"/>
        <w:ind w:left="720" w:hanging="720"/>
        <w:rPr>
          <w:rFonts w:ascii="Calibri" w:hAnsi="Calibri"/>
          <w:b/>
          <w:caps/>
          <w:lang w:val="en-AU"/>
        </w:rPr>
      </w:pPr>
      <w:r w:rsidRPr="00993CC8">
        <w:rPr>
          <w:rFonts w:ascii="Calibri" w:hAnsi="Calibri"/>
          <w:b/>
          <w:caps/>
          <w:lang w:val="en-AU"/>
        </w:rPr>
        <w:tab/>
      </w:r>
      <w:r w:rsidR="00696898">
        <w:rPr>
          <w:rFonts w:ascii="Calibri" w:hAnsi="Calibri"/>
          <w:b/>
          <w:bCs/>
          <w:caps/>
          <w:lang w:val="en-AU"/>
        </w:rPr>
        <w:fldChar w:fldCharType="begin"/>
      </w:r>
      <w:r w:rsidR="00696898">
        <w:rPr>
          <w:rFonts w:ascii="Calibri" w:hAnsi="Calibri"/>
          <w:b/>
          <w:bCs/>
          <w:caps/>
          <w:lang w:val="en-AU"/>
        </w:rPr>
        <w:instrText xml:space="preserve"> SEQ A \* MERGEFORMAT </w:instrText>
      </w:r>
      <w:r w:rsidR="00696898">
        <w:rPr>
          <w:rFonts w:ascii="Calibri" w:hAnsi="Calibri"/>
          <w:b/>
          <w:bCs/>
          <w:caps/>
          <w:lang w:val="en-AU"/>
        </w:rPr>
        <w:fldChar w:fldCharType="separate"/>
      </w:r>
      <w:r w:rsidR="006D30E9">
        <w:rPr>
          <w:rFonts w:ascii="Calibri" w:hAnsi="Calibri"/>
          <w:b/>
          <w:bCs/>
          <w:caps/>
          <w:noProof/>
          <w:lang w:val="en-AU"/>
        </w:rPr>
        <w:t>15</w:t>
      </w:r>
      <w:r w:rsidR="00696898">
        <w:rPr>
          <w:rFonts w:ascii="Calibri" w:hAnsi="Calibri"/>
          <w:b/>
          <w:bCs/>
          <w:caps/>
          <w:lang w:val="en-AU"/>
        </w:rPr>
        <w:fldChar w:fldCharType="end"/>
      </w:r>
      <w:r w:rsidRPr="00993CC8">
        <w:rPr>
          <w:rFonts w:ascii="Calibri" w:hAnsi="Calibri"/>
          <w:b/>
          <w:caps/>
          <w:lang w:val="en-AU"/>
        </w:rPr>
        <w:tab/>
      </w:r>
      <w:r>
        <w:rPr>
          <w:rFonts w:ascii="Calibri" w:hAnsi="Calibri"/>
          <w:b/>
          <w:caps/>
          <w:lang w:val="en-AU"/>
        </w:rPr>
        <w:t>Operational Efficiencies (COVID-19) Legislation Amendment Bill 2021</w:t>
      </w:r>
    </w:p>
    <w:p w:rsidR="004E31E3" w:rsidRPr="00993CC8" w:rsidRDefault="004E31E3" w:rsidP="004E31E3">
      <w:pPr>
        <w:spacing w:before="120"/>
        <w:ind w:left="720"/>
        <w:rPr>
          <w:rFonts w:ascii="Calibri" w:hAnsi="Calibri"/>
          <w:lang w:val="en-AU"/>
        </w:rPr>
      </w:pPr>
      <w:r w:rsidRPr="00993CC8">
        <w:rPr>
          <w:rFonts w:ascii="Calibri" w:hAnsi="Calibri"/>
          <w:lang w:val="en-AU"/>
        </w:rPr>
        <w:t>The order of the day having been read for the resumption of the debate on the question—That this Bill be agreed to in principle—</w:t>
      </w:r>
    </w:p>
    <w:p w:rsidR="004E31E3" w:rsidRPr="00993CC8" w:rsidRDefault="004E31E3" w:rsidP="004E31E3">
      <w:pPr>
        <w:spacing w:before="120"/>
        <w:ind w:left="720"/>
        <w:rPr>
          <w:rFonts w:ascii="Calibri" w:hAnsi="Calibri"/>
          <w:iCs/>
          <w:lang w:val="en-AU"/>
        </w:rPr>
      </w:pPr>
      <w:r w:rsidRPr="00993CC8">
        <w:rPr>
          <w:rFonts w:ascii="Calibri" w:hAnsi="Calibri"/>
          <w:iCs/>
          <w:lang w:val="en-AU"/>
        </w:rPr>
        <w:t>Debate resumed.</w:t>
      </w:r>
    </w:p>
    <w:p w:rsidR="004E31E3" w:rsidRPr="00993CC8" w:rsidRDefault="004E31E3" w:rsidP="004E31E3">
      <w:pPr>
        <w:spacing w:before="120"/>
        <w:ind w:left="720"/>
        <w:rPr>
          <w:rFonts w:ascii="Calibri" w:hAnsi="Calibri"/>
          <w:iCs/>
          <w:lang w:val="en-AU"/>
        </w:rPr>
      </w:pPr>
      <w:r w:rsidRPr="00993CC8">
        <w:rPr>
          <w:rFonts w:ascii="Calibri" w:hAnsi="Calibri"/>
          <w:iCs/>
          <w:lang w:val="en-AU"/>
        </w:rPr>
        <w:t>Question—That this Bill be agreed to in principle—put and passed.</w:t>
      </w:r>
    </w:p>
    <w:p w:rsidR="004E31E3" w:rsidRPr="00993CC8" w:rsidRDefault="004E31E3" w:rsidP="004E31E3">
      <w:pPr>
        <w:pBdr>
          <w:bottom w:val="thinThickLargeGap" w:sz="18" w:space="1" w:color="auto"/>
        </w:pBdr>
        <w:ind w:left="3427" w:right="3658"/>
        <w:jc w:val="center"/>
        <w:rPr>
          <w:rFonts w:ascii="Calibri" w:hAnsi="Calibri"/>
          <w:i/>
          <w:iCs/>
          <w:lang w:val="en-AU"/>
        </w:rPr>
      </w:pPr>
    </w:p>
    <w:p w:rsidR="004E31E3" w:rsidRPr="00993CC8" w:rsidRDefault="004E31E3" w:rsidP="004E31E3">
      <w:pPr>
        <w:tabs>
          <w:tab w:val="left" w:pos="1197"/>
          <w:tab w:val="left" w:pos="1767"/>
        </w:tabs>
        <w:spacing w:before="120"/>
        <w:jc w:val="center"/>
        <w:rPr>
          <w:rFonts w:ascii="Calibri" w:hAnsi="Calibri"/>
          <w:i/>
          <w:iCs/>
          <w:lang w:val="en-AU"/>
        </w:rPr>
      </w:pPr>
      <w:r w:rsidRPr="00993CC8">
        <w:rPr>
          <w:rFonts w:ascii="Calibri" w:hAnsi="Calibri"/>
          <w:i/>
          <w:iCs/>
          <w:lang w:val="en-AU"/>
        </w:rPr>
        <w:t>Detail Stage</w:t>
      </w:r>
    </w:p>
    <w:p w:rsidR="004E31E3" w:rsidRDefault="004E31E3" w:rsidP="004E31E3">
      <w:pPr>
        <w:spacing w:before="120"/>
        <w:ind w:left="720"/>
        <w:rPr>
          <w:rFonts w:ascii="Calibri" w:hAnsi="Calibri"/>
          <w:iCs/>
          <w:lang w:val="en-AU"/>
        </w:rPr>
      </w:pPr>
      <w:r>
        <w:rPr>
          <w:rFonts w:ascii="Calibri" w:hAnsi="Calibri"/>
          <w:iCs/>
          <w:lang w:val="en-AU"/>
        </w:rPr>
        <w:t>Clauses 1 and 2, by leave, taken together and agreed to.</w:t>
      </w:r>
    </w:p>
    <w:p w:rsidR="004E31E3" w:rsidRDefault="004E31E3" w:rsidP="004E31E3">
      <w:pPr>
        <w:spacing w:before="120"/>
        <w:ind w:left="720"/>
        <w:rPr>
          <w:rFonts w:ascii="Calibri" w:hAnsi="Calibri"/>
          <w:iCs/>
          <w:lang w:val="en-AU"/>
        </w:rPr>
      </w:pPr>
      <w:r>
        <w:rPr>
          <w:rFonts w:ascii="Calibri" w:hAnsi="Calibri"/>
          <w:iCs/>
          <w:lang w:val="en-AU"/>
        </w:rPr>
        <w:t>Clause 3—</w:t>
      </w:r>
    </w:p>
    <w:p w:rsidR="004E31E3" w:rsidRDefault="004E31E3" w:rsidP="004E31E3">
      <w:pPr>
        <w:spacing w:before="120"/>
        <w:ind w:left="720"/>
        <w:rPr>
          <w:rFonts w:ascii="Calibri" w:hAnsi="Calibri"/>
          <w:iCs/>
          <w:lang w:val="en-AU"/>
        </w:rPr>
      </w:pPr>
      <w:r>
        <w:rPr>
          <w:rFonts w:ascii="Calibri" w:hAnsi="Calibri"/>
          <w:iCs/>
          <w:lang w:val="en-AU"/>
        </w:rPr>
        <w:t>On the motion of Mr Rattenbury (Attorney-General), his amendment No 1 (</w:t>
      </w:r>
      <w:r>
        <w:rPr>
          <w:rFonts w:ascii="Calibri" w:hAnsi="Calibri"/>
          <w:i/>
          <w:iCs/>
          <w:lang w:val="en-AU"/>
        </w:rPr>
        <w:t>see</w:t>
      </w:r>
      <w:r>
        <w:rPr>
          <w:rFonts w:ascii="Calibri" w:hAnsi="Calibri"/>
          <w:iCs/>
          <w:lang w:val="en-AU"/>
        </w:rPr>
        <w:t xml:space="preserve"> </w:t>
      </w:r>
      <w:hyperlink w:anchor="Schedule1" w:history="1">
        <w:r w:rsidRPr="0042752C">
          <w:rPr>
            <w:rStyle w:val="Hyperlink"/>
            <w:rFonts w:ascii="Calibri" w:hAnsi="Calibri"/>
            <w:iCs/>
            <w:lang w:val="en-AU"/>
          </w:rPr>
          <w:t>Schedule 1</w:t>
        </w:r>
      </w:hyperlink>
      <w:r>
        <w:rPr>
          <w:rFonts w:ascii="Calibri" w:hAnsi="Calibri"/>
          <w:iCs/>
          <w:lang w:val="en-AU"/>
        </w:rPr>
        <w:t>) was made.</w:t>
      </w:r>
    </w:p>
    <w:p w:rsidR="004E31E3" w:rsidRDefault="004E31E3" w:rsidP="004E31E3">
      <w:pPr>
        <w:spacing w:before="120"/>
        <w:ind w:left="720"/>
        <w:rPr>
          <w:rFonts w:ascii="Calibri" w:hAnsi="Calibri"/>
          <w:iCs/>
          <w:lang w:val="en-AU"/>
        </w:rPr>
      </w:pPr>
      <w:r>
        <w:rPr>
          <w:rFonts w:ascii="Calibri" w:hAnsi="Calibri"/>
          <w:i/>
          <w:iCs/>
          <w:lang w:val="en-AU"/>
        </w:rPr>
        <w:t xml:space="preserve">Paper:  </w:t>
      </w:r>
      <w:r>
        <w:rPr>
          <w:rFonts w:ascii="Calibri" w:hAnsi="Calibri"/>
          <w:iCs/>
          <w:lang w:val="en-AU"/>
        </w:rPr>
        <w:t>Mr Rattenbury presented a supplementary explanatory statement to the Government amendments.</w:t>
      </w:r>
    </w:p>
    <w:p w:rsidR="004E31E3" w:rsidRDefault="004E31E3" w:rsidP="004E31E3">
      <w:pPr>
        <w:spacing w:before="120"/>
        <w:ind w:left="720"/>
        <w:rPr>
          <w:rFonts w:ascii="Calibri" w:hAnsi="Calibri"/>
          <w:iCs/>
          <w:lang w:val="en-AU"/>
        </w:rPr>
      </w:pPr>
      <w:r>
        <w:rPr>
          <w:rFonts w:ascii="Calibri" w:hAnsi="Calibri"/>
          <w:iCs/>
          <w:lang w:val="en-AU"/>
        </w:rPr>
        <w:t>Clause 3, as amended, agreed to.</w:t>
      </w:r>
    </w:p>
    <w:p w:rsidR="004E31E3" w:rsidRPr="0097103A" w:rsidRDefault="004E31E3" w:rsidP="004E31E3">
      <w:pPr>
        <w:spacing w:before="120"/>
        <w:ind w:left="720"/>
        <w:rPr>
          <w:rFonts w:ascii="Calibri" w:hAnsi="Calibri"/>
          <w:iCs/>
          <w:lang w:val="en-AU"/>
        </w:rPr>
      </w:pPr>
      <w:r>
        <w:rPr>
          <w:rFonts w:ascii="Calibri" w:hAnsi="Calibri"/>
          <w:iCs/>
          <w:lang w:val="en-AU"/>
        </w:rPr>
        <w:t>Clauses 4 to 8, by leave, taken together and agreed to.</w:t>
      </w:r>
    </w:p>
    <w:p w:rsidR="004E31E3" w:rsidRDefault="004E31E3" w:rsidP="004E31E3">
      <w:pPr>
        <w:spacing w:before="120"/>
        <w:ind w:left="720"/>
        <w:rPr>
          <w:rFonts w:ascii="Calibri" w:hAnsi="Calibri"/>
          <w:i/>
          <w:lang w:val="en-AU"/>
        </w:rPr>
      </w:pPr>
      <w:r>
        <w:rPr>
          <w:rFonts w:ascii="Calibri" w:hAnsi="Calibri"/>
          <w:i/>
          <w:lang w:val="en-AU"/>
        </w:rPr>
        <w:t>New clauses—</w:t>
      </w:r>
    </w:p>
    <w:p w:rsidR="004E31E3" w:rsidRDefault="004E31E3" w:rsidP="004E31E3">
      <w:pPr>
        <w:spacing w:before="120"/>
        <w:ind w:left="720"/>
        <w:rPr>
          <w:rFonts w:ascii="Calibri" w:hAnsi="Calibri"/>
          <w:iCs/>
          <w:lang w:val="en-AU"/>
        </w:rPr>
      </w:pPr>
      <w:r>
        <w:rPr>
          <w:rFonts w:ascii="Calibri" w:hAnsi="Calibri"/>
          <w:iCs/>
          <w:lang w:val="en-AU"/>
        </w:rPr>
        <w:t>On the motion of Mr Rattenbury (Attorney-General), new clauses 8A to 8C (his amendment No 2—</w:t>
      </w:r>
      <w:r>
        <w:rPr>
          <w:rFonts w:ascii="Calibri" w:hAnsi="Calibri"/>
          <w:i/>
          <w:iCs/>
          <w:lang w:val="en-AU"/>
        </w:rPr>
        <w:t>see</w:t>
      </w:r>
      <w:r>
        <w:rPr>
          <w:rFonts w:ascii="Calibri" w:hAnsi="Calibri"/>
          <w:iCs/>
          <w:lang w:val="en-AU"/>
        </w:rPr>
        <w:t xml:space="preserve"> </w:t>
      </w:r>
      <w:hyperlink w:anchor="Schedule1" w:history="1">
        <w:r w:rsidRPr="0042752C">
          <w:rPr>
            <w:rStyle w:val="Hyperlink"/>
            <w:rFonts w:ascii="Calibri" w:hAnsi="Calibri"/>
            <w:iCs/>
            <w:lang w:val="en-AU"/>
          </w:rPr>
          <w:t>Schedule 1</w:t>
        </w:r>
      </w:hyperlink>
      <w:r>
        <w:rPr>
          <w:rFonts w:ascii="Calibri" w:hAnsi="Calibri"/>
          <w:iCs/>
          <w:lang w:val="en-AU"/>
        </w:rPr>
        <w:t>) were inserted in the Bi</w:t>
      </w:r>
      <w:r w:rsidR="004358B7">
        <w:rPr>
          <w:rFonts w:ascii="Calibri" w:hAnsi="Calibri"/>
          <w:iCs/>
          <w:lang w:val="en-AU"/>
        </w:rPr>
        <w:t>l</w:t>
      </w:r>
      <w:r>
        <w:rPr>
          <w:rFonts w:ascii="Calibri" w:hAnsi="Calibri"/>
          <w:iCs/>
          <w:lang w:val="en-AU"/>
        </w:rPr>
        <w:t>l.</w:t>
      </w:r>
    </w:p>
    <w:p w:rsidR="004E31E3" w:rsidRDefault="004E31E3" w:rsidP="004E31E3">
      <w:pPr>
        <w:spacing w:before="120"/>
        <w:ind w:left="720"/>
        <w:rPr>
          <w:rFonts w:ascii="Calibri" w:hAnsi="Calibri"/>
          <w:lang w:val="en-AU"/>
        </w:rPr>
      </w:pPr>
      <w:r>
        <w:rPr>
          <w:rFonts w:ascii="Calibri" w:hAnsi="Calibri"/>
          <w:lang w:val="en-AU"/>
        </w:rPr>
        <w:lastRenderedPageBreak/>
        <w:t>Clauses 9 to 23, by leave, taken together and agreed to.</w:t>
      </w:r>
    </w:p>
    <w:p w:rsidR="00FA7071" w:rsidRDefault="004E31E3" w:rsidP="004E31E3">
      <w:pPr>
        <w:spacing w:before="120"/>
        <w:ind w:left="720"/>
        <w:rPr>
          <w:rFonts w:ascii="Calibri" w:hAnsi="Calibri"/>
          <w:lang w:val="en-AU"/>
        </w:rPr>
      </w:pPr>
      <w:r>
        <w:rPr>
          <w:rFonts w:ascii="Calibri" w:hAnsi="Calibri"/>
          <w:lang w:val="en-AU"/>
        </w:rPr>
        <w:t>Clauses 24 to 40 (Part 11), by leave, taken together</w:t>
      </w:r>
      <w:r w:rsidR="00FA7071">
        <w:rPr>
          <w:rFonts w:ascii="Calibri" w:hAnsi="Calibri"/>
          <w:lang w:val="en-AU"/>
        </w:rPr>
        <w:t>—</w:t>
      </w:r>
    </w:p>
    <w:p w:rsidR="004E31E3" w:rsidRDefault="00FA7071" w:rsidP="004E31E3">
      <w:pPr>
        <w:spacing w:before="120"/>
        <w:ind w:left="720"/>
        <w:rPr>
          <w:rFonts w:ascii="Calibri" w:hAnsi="Calibri"/>
          <w:lang w:val="en-AU"/>
        </w:rPr>
      </w:pPr>
      <w:r>
        <w:rPr>
          <w:rFonts w:ascii="Calibri" w:hAnsi="Calibri"/>
          <w:lang w:val="en-AU"/>
        </w:rPr>
        <w:t>Debate continued.</w:t>
      </w:r>
    </w:p>
    <w:p w:rsidR="004358B7" w:rsidRDefault="004358B7" w:rsidP="004358B7">
      <w:pPr>
        <w:spacing w:before="120"/>
        <w:ind w:left="720"/>
        <w:rPr>
          <w:rFonts w:ascii="Calibri" w:hAnsi="Calibri"/>
          <w:lang w:val="en-AU"/>
        </w:rPr>
      </w:pPr>
      <w:r>
        <w:rPr>
          <w:rFonts w:ascii="Calibri" w:hAnsi="Calibri"/>
          <w:lang w:val="en-AU"/>
        </w:rPr>
        <w:t>Question—put.</w:t>
      </w:r>
    </w:p>
    <w:p w:rsidR="004358B7" w:rsidRDefault="004358B7" w:rsidP="004358B7">
      <w:pPr>
        <w:spacing w:before="120" w:after="120"/>
        <w:ind w:left="720"/>
        <w:rPr>
          <w:rFonts w:ascii="Calibri" w:hAnsi="Calibri"/>
          <w:lang w:val="en-AU"/>
        </w:rPr>
      </w:pPr>
      <w:r>
        <w:rPr>
          <w:rFonts w:ascii="Calibri" w:hAnsi="Calibri"/>
          <w:lang w:val="en-AU"/>
        </w:rPr>
        <w:t>The Assembly voted—</w:t>
      </w:r>
    </w:p>
    <w:tbl>
      <w:tblPr>
        <w:tblpPr w:rightFromText="180" w:vertAnchor="text" w:tblpY="1"/>
        <w:tblOverlap w:val="never"/>
        <w:tblW w:w="9090" w:type="dxa"/>
        <w:tblLayout w:type="fixed"/>
        <w:tblCellMar>
          <w:left w:w="0" w:type="dxa"/>
          <w:right w:w="56" w:type="dxa"/>
        </w:tblCellMar>
        <w:tblLook w:val="0000" w:firstRow="0" w:lastRow="0" w:firstColumn="0" w:lastColumn="0" w:noHBand="0" w:noVBand="0"/>
      </w:tblPr>
      <w:tblGrid>
        <w:gridCol w:w="720"/>
        <w:gridCol w:w="2160"/>
        <w:gridCol w:w="1202"/>
        <w:gridCol w:w="624"/>
        <w:gridCol w:w="244"/>
        <w:gridCol w:w="720"/>
        <w:gridCol w:w="2041"/>
        <w:gridCol w:w="897"/>
        <w:gridCol w:w="482"/>
      </w:tblGrid>
      <w:tr w:rsidR="004358B7" w:rsidTr="004358B7">
        <w:trPr>
          <w:gridAfter w:val="1"/>
          <w:wAfter w:w="482" w:type="dxa"/>
        </w:trPr>
        <w:tc>
          <w:tcPr>
            <w:tcW w:w="4082" w:type="dxa"/>
            <w:gridSpan w:val="3"/>
            <w:shd w:val="clear" w:color="auto" w:fill="auto"/>
          </w:tcPr>
          <w:p w:rsidR="004358B7" w:rsidRDefault="004358B7" w:rsidP="004358B7">
            <w:pPr>
              <w:tabs>
                <w:tab w:val="center" w:pos="2520"/>
              </w:tabs>
              <w:spacing w:before="120"/>
              <w:rPr>
                <w:rFonts w:ascii="Calibri" w:hAnsi="Calibri"/>
                <w:lang w:val="en-AU"/>
              </w:rPr>
            </w:pPr>
            <w:r>
              <w:rPr>
                <w:rFonts w:ascii="Calibri" w:hAnsi="Calibri"/>
                <w:lang w:val="en-AU"/>
              </w:rPr>
              <w:tab/>
              <w:t>AYES, 14</w:t>
            </w:r>
          </w:p>
        </w:tc>
        <w:tc>
          <w:tcPr>
            <w:tcW w:w="624" w:type="dxa"/>
            <w:shd w:val="clear" w:color="auto" w:fill="auto"/>
          </w:tcPr>
          <w:p w:rsidR="004358B7" w:rsidRDefault="004358B7" w:rsidP="004358B7">
            <w:pPr>
              <w:spacing w:before="120"/>
              <w:rPr>
                <w:rFonts w:ascii="Calibri" w:hAnsi="Calibri"/>
                <w:lang w:val="en-AU"/>
              </w:rPr>
            </w:pPr>
          </w:p>
        </w:tc>
        <w:tc>
          <w:tcPr>
            <w:tcW w:w="3902" w:type="dxa"/>
            <w:gridSpan w:val="4"/>
            <w:shd w:val="clear" w:color="auto" w:fill="auto"/>
          </w:tcPr>
          <w:p w:rsidR="004358B7" w:rsidRDefault="004358B7" w:rsidP="004358B7">
            <w:pPr>
              <w:tabs>
                <w:tab w:val="center" w:pos="2584"/>
              </w:tabs>
              <w:spacing w:before="120"/>
              <w:rPr>
                <w:rFonts w:ascii="Calibri" w:hAnsi="Calibri"/>
                <w:lang w:val="en-AU"/>
              </w:rPr>
            </w:pPr>
            <w:r>
              <w:rPr>
                <w:rFonts w:ascii="Calibri" w:hAnsi="Calibri"/>
                <w:lang w:val="en-AU"/>
              </w:rPr>
              <w:tab/>
              <w:t>NOES, 7</w:t>
            </w:r>
          </w:p>
        </w:tc>
      </w:tr>
      <w:tr w:rsidR="004358B7" w:rsidTr="004358B7">
        <w:trPr>
          <w:gridBefore w:val="1"/>
          <w:wBefore w:w="720" w:type="dxa"/>
          <w:trHeight w:hRule="exact" w:val="312"/>
        </w:trPr>
        <w:tc>
          <w:tcPr>
            <w:tcW w:w="2160" w:type="dxa"/>
            <w:shd w:val="clear" w:color="auto" w:fill="auto"/>
          </w:tcPr>
          <w:p w:rsidR="004358B7" w:rsidRDefault="004358B7" w:rsidP="004358B7">
            <w:pPr>
              <w:rPr>
                <w:rFonts w:ascii="Calibri" w:hAnsi="Calibri"/>
                <w:lang w:val="en-AU"/>
              </w:rPr>
            </w:pPr>
            <w:r>
              <w:rPr>
                <w:rFonts w:ascii="Calibri" w:hAnsi="Calibri"/>
                <w:lang w:val="en-AU"/>
              </w:rPr>
              <w:t>Ms Berry</w:t>
            </w:r>
          </w:p>
        </w:tc>
        <w:tc>
          <w:tcPr>
            <w:tcW w:w="2070" w:type="dxa"/>
            <w:gridSpan w:val="3"/>
            <w:shd w:val="clear" w:color="auto" w:fill="auto"/>
          </w:tcPr>
          <w:p w:rsidR="004358B7" w:rsidRDefault="004358B7" w:rsidP="004358B7">
            <w:pPr>
              <w:rPr>
                <w:rFonts w:ascii="Calibri" w:hAnsi="Calibri"/>
                <w:lang w:val="en-AU"/>
              </w:rPr>
            </w:pPr>
            <w:r>
              <w:rPr>
                <w:rFonts w:ascii="Calibri" w:hAnsi="Calibri"/>
                <w:lang w:val="en-AU"/>
              </w:rPr>
              <w:t>Ms Orr</w:t>
            </w:r>
          </w:p>
        </w:tc>
        <w:tc>
          <w:tcPr>
            <w:tcW w:w="720" w:type="dxa"/>
            <w:shd w:val="clear" w:color="auto" w:fill="auto"/>
          </w:tcPr>
          <w:p w:rsidR="004358B7" w:rsidRDefault="004358B7" w:rsidP="004358B7">
            <w:pPr>
              <w:spacing w:before="120"/>
              <w:rPr>
                <w:rFonts w:ascii="Calibri" w:hAnsi="Calibri"/>
                <w:lang w:val="en-AU"/>
              </w:rPr>
            </w:pPr>
          </w:p>
        </w:tc>
        <w:tc>
          <w:tcPr>
            <w:tcW w:w="2041" w:type="dxa"/>
            <w:shd w:val="clear" w:color="auto" w:fill="auto"/>
          </w:tcPr>
          <w:p w:rsidR="004358B7" w:rsidRDefault="004358B7" w:rsidP="004358B7">
            <w:pPr>
              <w:rPr>
                <w:rFonts w:ascii="Calibri" w:hAnsi="Calibri"/>
                <w:lang w:val="en-AU"/>
              </w:rPr>
            </w:pPr>
            <w:r>
              <w:rPr>
                <w:rFonts w:ascii="Calibri" w:hAnsi="Calibri"/>
                <w:lang w:val="en-AU"/>
              </w:rPr>
              <w:t>Mr Cain</w:t>
            </w:r>
          </w:p>
        </w:tc>
        <w:tc>
          <w:tcPr>
            <w:tcW w:w="1379" w:type="dxa"/>
            <w:gridSpan w:val="2"/>
            <w:shd w:val="clear" w:color="auto" w:fill="auto"/>
          </w:tcPr>
          <w:p w:rsidR="004358B7" w:rsidRDefault="004358B7" w:rsidP="004358B7">
            <w:pPr>
              <w:spacing w:before="120"/>
              <w:rPr>
                <w:rFonts w:ascii="Calibri" w:hAnsi="Calibri"/>
                <w:lang w:val="en-AU"/>
              </w:rPr>
            </w:pPr>
          </w:p>
        </w:tc>
      </w:tr>
      <w:tr w:rsidR="004358B7" w:rsidTr="004358B7">
        <w:trPr>
          <w:gridBefore w:val="1"/>
          <w:wBefore w:w="720" w:type="dxa"/>
          <w:trHeight w:hRule="exact" w:val="312"/>
        </w:trPr>
        <w:tc>
          <w:tcPr>
            <w:tcW w:w="2160" w:type="dxa"/>
            <w:shd w:val="clear" w:color="auto" w:fill="auto"/>
          </w:tcPr>
          <w:p w:rsidR="004358B7" w:rsidRDefault="004358B7" w:rsidP="004358B7">
            <w:pPr>
              <w:rPr>
                <w:rFonts w:ascii="Calibri" w:hAnsi="Calibri"/>
                <w:lang w:val="en-AU"/>
              </w:rPr>
            </w:pPr>
            <w:r>
              <w:rPr>
                <w:rFonts w:ascii="Calibri" w:hAnsi="Calibri"/>
                <w:lang w:val="en-AU"/>
              </w:rPr>
              <w:t>Mr Braddock</w:t>
            </w:r>
          </w:p>
        </w:tc>
        <w:tc>
          <w:tcPr>
            <w:tcW w:w="2070" w:type="dxa"/>
            <w:gridSpan w:val="3"/>
            <w:shd w:val="clear" w:color="auto" w:fill="auto"/>
          </w:tcPr>
          <w:p w:rsidR="004358B7" w:rsidRDefault="004358B7" w:rsidP="004358B7">
            <w:pPr>
              <w:rPr>
                <w:rFonts w:ascii="Calibri" w:hAnsi="Calibri"/>
                <w:lang w:val="en-AU"/>
              </w:rPr>
            </w:pPr>
            <w:r>
              <w:rPr>
                <w:rFonts w:ascii="Calibri" w:hAnsi="Calibri"/>
                <w:lang w:val="en-AU"/>
              </w:rPr>
              <w:t>Dr Paterson</w:t>
            </w:r>
          </w:p>
        </w:tc>
        <w:tc>
          <w:tcPr>
            <w:tcW w:w="720" w:type="dxa"/>
            <w:shd w:val="clear" w:color="auto" w:fill="auto"/>
          </w:tcPr>
          <w:p w:rsidR="004358B7" w:rsidRDefault="004358B7" w:rsidP="004358B7">
            <w:pPr>
              <w:spacing w:before="120"/>
              <w:rPr>
                <w:rFonts w:ascii="Calibri" w:hAnsi="Calibri"/>
                <w:lang w:val="en-AU"/>
              </w:rPr>
            </w:pPr>
          </w:p>
        </w:tc>
        <w:tc>
          <w:tcPr>
            <w:tcW w:w="2041" w:type="dxa"/>
            <w:shd w:val="clear" w:color="auto" w:fill="auto"/>
          </w:tcPr>
          <w:p w:rsidR="004358B7" w:rsidRDefault="004358B7" w:rsidP="004358B7">
            <w:pPr>
              <w:rPr>
                <w:rFonts w:ascii="Calibri" w:hAnsi="Calibri"/>
                <w:lang w:val="en-AU"/>
              </w:rPr>
            </w:pPr>
            <w:r>
              <w:rPr>
                <w:rFonts w:ascii="Calibri" w:hAnsi="Calibri"/>
                <w:lang w:val="en-AU"/>
              </w:rPr>
              <w:t>Ms Castley</w:t>
            </w:r>
          </w:p>
        </w:tc>
        <w:tc>
          <w:tcPr>
            <w:tcW w:w="1379" w:type="dxa"/>
            <w:gridSpan w:val="2"/>
            <w:shd w:val="clear" w:color="auto" w:fill="auto"/>
          </w:tcPr>
          <w:p w:rsidR="004358B7" w:rsidRDefault="004358B7" w:rsidP="004358B7">
            <w:pPr>
              <w:spacing w:before="120"/>
              <w:rPr>
                <w:rFonts w:ascii="Calibri" w:hAnsi="Calibri"/>
                <w:lang w:val="en-AU"/>
              </w:rPr>
            </w:pPr>
          </w:p>
        </w:tc>
      </w:tr>
      <w:tr w:rsidR="004358B7" w:rsidTr="004358B7">
        <w:trPr>
          <w:gridBefore w:val="1"/>
          <w:wBefore w:w="720" w:type="dxa"/>
          <w:trHeight w:hRule="exact" w:val="312"/>
        </w:trPr>
        <w:tc>
          <w:tcPr>
            <w:tcW w:w="2160" w:type="dxa"/>
            <w:shd w:val="clear" w:color="auto" w:fill="auto"/>
          </w:tcPr>
          <w:p w:rsidR="004358B7" w:rsidRDefault="004358B7" w:rsidP="004358B7">
            <w:pPr>
              <w:rPr>
                <w:rFonts w:ascii="Calibri" w:hAnsi="Calibri"/>
                <w:lang w:val="en-AU"/>
              </w:rPr>
            </w:pPr>
            <w:r>
              <w:rPr>
                <w:rFonts w:ascii="Calibri" w:hAnsi="Calibri"/>
                <w:lang w:val="en-AU"/>
              </w:rPr>
              <w:t>Ms Burch</w:t>
            </w:r>
          </w:p>
        </w:tc>
        <w:tc>
          <w:tcPr>
            <w:tcW w:w="2070" w:type="dxa"/>
            <w:gridSpan w:val="3"/>
            <w:shd w:val="clear" w:color="auto" w:fill="auto"/>
          </w:tcPr>
          <w:p w:rsidR="004358B7" w:rsidRDefault="004358B7" w:rsidP="004358B7">
            <w:pPr>
              <w:rPr>
                <w:rFonts w:ascii="Calibri" w:hAnsi="Calibri"/>
                <w:lang w:val="en-AU"/>
              </w:rPr>
            </w:pPr>
            <w:r>
              <w:rPr>
                <w:rFonts w:ascii="Calibri" w:hAnsi="Calibri"/>
                <w:lang w:val="en-AU"/>
              </w:rPr>
              <w:t>Mr Pettersson</w:t>
            </w:r>
          </w:p>
        </w:tc>
        <w:tc>
          <w:tcPr>
            <w:tcW w:w="720" w:type="dxa"/>
            <w:shd w:val="clear" w:color="auto" w:fill="auto"/>
          </w:tcPr>
          <w:p w:rsidR="004358B7" w:rsidRDefault="004358B7" w:rsidP="004358B7">
            <w:pPr>
              <w:spacing w:before="120"/>
              <w:rPr>
                <w:rFonts w:ascii="Calibri" w:hAnsi="Calibri"/>
                <w:lang w:val="en-AU"/>
              </w:rPr>
            </w:pPr>
          </w:p>
        </w:tc>
        <w:tc>
          <w:tcPr>
            <w:tcW w:w="2041" w:type="dxa"/>
            <w:shd w:val="clear" w:color="auto" w:fill="auto"/>
          </w:tcPr>
          <w:p w:rsidR="004358B7" w:rsidRDefault="004358B7" w:rsidP="004358B7">
            <w:pPr>
              <w:rPr>
                <w:rFonts w:ascii="Calibri" w:hAnsi="Calibri"/>
                <w:lang w:val="en-AU"/>
              </w:rPr>
            </w:pPr>
            <w:r>
              <w:rPr>
                <w:rFonts w:ascii="Calibri" w:hAnsi="Calibri"/>
                <w:lang w:val="en-AU"/>
              </w:rPr>
              <w:t>Mr Hanson</w:t>
            </w:r>
          </w:p>
        </w:tc>
        <w:tc>
          <w:tcPr>
            <w:tcW w:w="1379" w:type="dxa"/>
            <w:gridSpan w:val="2"/>
            <w:shd w:val="clear" w:color="auto" w:fill="auto"/>
          </w:tcPr>
          <w:p w:rsidR="004358B7" w:rsidRDefault="004358B7" w:rsidP="004358B7">
            <w:pPr>
              <w:spacing w:before="120"/>
              <w:rPr>
                <w:rFonts w:ascii="Calibri" w:hAnsi="Calibri"/>
                <w:lang w:val="en-AU"/>
              </w:rPr>
            </w:pPr>
          </w:p>
        </w:tc>
      </w:tr>
      <w:tr w:rsidR="004358B7" w:rsidTr="004358B7">
        <w:trPr>
          <w:gridBefore w:val="1"/>
          <w:wBefore w:w="720" w:type="dxa"/>
          <w:trHeight w:hRule="exact" w:val="312"/>
        </w:trPr>
        <w:tc>
          <w:tcPr>
            <w:tcW w:w="2160" w:type="dxa"/>
            <w:shd w:val="clear" w:color="auto" w:fill="auto"/>
          </w:tcPr>
          <w:p w:rsidR="004358B7" w:rsidRDefault="004358B7" w:rsidP="004358B7">
            <w:pPr>
              <w:rPr>
                <w:rFonts w:ascii="Calibri" w:hAnsi="Calibri"/>
                <w:lang w:val="en-AU"/>
              </w:rPr>
            </w:pPr>
            <w:r>
              <w:rPr>
                <w:rFonts w:ascii="Calibri" w:hAnsi="Calibri"/>
                <w:lang w:val="en-AU"/>
              </w:rPr>
              <w:t>Ms Cheyne</w:t>
            </w:r>
          </w:p>
        </w:tc>
        <w:tc>
          <w:tcPr>
            <w:tcW w:w="2070" w:type="dxa"/>
            <w:gridSpan w:val="3"/>
            <w:shd w:val="clear" w:color="auto" w:fill="auto"/>
          </w:tcPr>
          <w:p w:rsidR="004358B7" w:rsidRDefault="004358B7" w:rsidP="004358B7">
            <w:pPr>
              <w:rPr>
                <w:rFonts w:ascii="Calibri" w:hAnsi="Calibri"/>
                <w:lang w:val="en-AU"/>
              </w:rPr>
            </w:pPr>
            <w:r>
              <w:rPr>
                <w:rFonts w:ascii="Calibri" w:hAnsi="Calibri"/>
                <w:lang w:val="en-AU"/>
              </w:rPr>
              <w:t>Mr Rattenbury</w:t>
            </w:r>
          </w:p>
        </w:tc>
        <w:tc>
          <w:tcPr>
            <w:tcW w:w="720" w:type="dxa"/>
            <w:shd w:val="clear" w:color="auto" w:fill="auto"/>
          </w:tcPr>
          <w:p w:rsidR="004358B7" w:rsidRDefault="004358B7" w:rsidP="004358B7">
            <w:pPr>
              <w:spacing w:before="120"/>
              <w:rPr>
                <w:rFonts w:ascii="Calibri" w:hAnsi="Calibri"/>
                <w:lang w:val="en-AU"/>
              </w:rPr>
            </w:pPr>
          </w:p>
        </w:tc>
        <w:tc>
          <w:tcPr>
            <w:tcW w:w="2041" w:type="dxa"/>
            <w:shd w:val="clear" w:color="auto" w:fill="auto"/>
          </w:tcPr>
          <w:p w:rsidR="004358B7" w:rsidRDefault="004358B7" w:rsidP="004358B7">
            <w:pPr>
              <w:rPr>
                <w:rFonts w:ascii="Calibri" w:hAnsi="Calibri"/>
                <w:lang w:val="en-AU"/>
              </w:rPr>
            </w:pPr>
            <w:r>
              <w:rPr>
                <w:rFonts w:ascii="Calibri" w:hAnsi="Calibri"/>
                <w:lang w:val="en-AU"/>
              </w:rPr>
              <w:t>Mrs Jones</w:t>
            </w:r>
          </w:p>
        </w:tc>
        <w:tc>
          <w:tcPr>
            <w:tcW w:w="1379" w:type="dxa"/>
            <w:gridSpan w:val="2"/>
            <w:shd w:val="clear" w:color="auto" w:fill="auto"/>
          </w:tcPr>
          <w:p w:rsidR="004358B7" w:rsidRDefault="004358B7" w:rsidP="004358B7">
            <w:pPr>
              <w:spacing w:before="120"/>
              <w:rPr>
                <w:rFonts w:ascii="Calibri" w:hAnsi="Calibri"/>
                <w:lang w:val="en-AU"/>
              </w:rPr>
            </w:pPr>
          </w:p>
        </w:tc>
      </w:tr>
      <w:tr w:rsidR="004358B7" w:rsidTr="004358B7">
        <w:trPr>
          <w:gridBefore w:val="1"/>
          <w:wBefore w:w="720" w:type="dxa"/>
          <w:trHeight w:hRule="exact" w:val="312"/>
        </w:trPr>
        <w:tc>
          <w:tcPr>
            <w:tcW w:w="2160" w:type="dxa"/>
            <w:shd w:val="clear" w:color="auto" w:fill="auto"/>
          </w:tcPr>
          <w:p w:rsidR="004358B7" w:rsidRDefault="004358B7" w:rsidP="004358B7">
            <w:pPr>
              <w:rPr>
                <w:rFonts w:ascii="Calibri" w:hAnsi="Calibri"/>
                <w:lang w:val="en-AU"/>
              </w:rPr>
            </w:pPr>
            <w:r>
              <w:rPr>
                <w:rFonts w:ascii="Calibri" w:hAnsi="Calibri"/>
                <w:lang w:val="en-AU"/>
              </w:rPr>
              <w:t>Ms Clay</w:t>
            </w:r>
          </w:p>
        </w:tc>
        <w:tc>
          <w:tcPr>
            <w:tcW w:w="2070" w:type="dxa"/>
            <w:gridSpan w:val="3"/>
            <w:shd w:val="clear" w:color="auto" w:fill="auto"/>
          </w:tcPr>
          <w:p w:rsidR="004358B7" w:rsidRDefault="004358B7" w:rsidP="004358B7">
            <w:pPr>
              <w:rPr>
                <w:rFonts w:ascii="Calibri" w:hAnsi="Calibri"/>
                <w:lang w:val="en-AU"/>
              </w:rPr>
            </w:pPr>
            <w:r>
              <w:rPr>
                <w:rFonts w:ascii="Calibri" w:hAnsi="Calibri"/>
                <w:lang w:val="en-AU"/>
              </w:rPr>
              <w:t>Ms Stephen-Smith</w:t>
            </w:r>
          </w:p>
        </w:tc>
        <w:tc>
          <w:tcPr>
            <w:tcW w:w="720" w:type="dxa"/>
            <w:shd w:val="clear" w:color="auto" w:fill="auto"/>
          </w:tcPr>
          <w:p w:rsidR="004358B7" w:rsidRDefault="004358B7" w:rsidP="004358B7">
            <w:pPr>
              <w:spacing w:before="120"/>
              <w:rPr>
                <w:rFonts w:ascii="Calibri" w:hAnsi="Calibri"/>
                <w:lang w:val="en-AU"/>
              </w:rPr>
            </w:pPr>
          </w:p>
        </w:tc>
        <w:tc>
          <w:tcPr>
            <w:tcW w:w="2041" w:type="dxa"/>
            <w:shd w:val="clear" w:color="auto" w:fill="auto"/>
          </w:tcPr>
          <w:p w:rsidR="004358B7" w:rsidRDefault="004358B7" w:rsidP="004358B7">
            <w:pPr>
              <w:rPr>
                <w:rFonts w:ascii="Calibri" w:hAnsi="Calibri"/>
                <w:lang w:val="en-AU"/>
              </w:rPr>
            </w:pPr>
            <w:r>
              <w:rPr>
                <w:rFonts w:ascii="Calibri" w:hAnsi="Calibri"/>
                <w:lang w:val="en-AU"/>
              </w:rPr>
              <w:t>Mrs Kikkert</w:t>
            </w:r>
          </w:p>
        </w:tc>
        <w:tc>
          <w:tcPr>
            <w:tcW w:w="1379" w:type="dxa"/>
            <w:gridSpan w:val="2"/>
            <w:shd w:val="clear" w:color="auto" w:fill="auto"/>
          </w:tcPr>
          <w:p w:rsidR="004358B7" w:rsidRDefault="004358B7" w:rsidP="004358B7">
            <w:pPr>
              <w:spacing w:before="120"/>
              <w:rPr>
                <w:rFonts w:ascii="Calibri" w:hAnsi="Calibri"/>
                <w:lang w:val="en-AU"/>
              </w:rPr>
            </w:pPr>
          </w:p>
        </w:tc>
      </w:tr>
      <w:tr w:rsidR="004358B7" w:rsidTr="004358B7">
        <w:trPr>
          <w:gridBefore w:val="1"/>
          <w:wBefore w:w="720" w:type="dxa"/>
          <w:trHeight w:hRule="exact" w:val="312"/>
        </w:trPr>
        <w:tc>
          <w:tcPr>
            <w:tcW w:w="2160" w:type="dxa"/>
            <w:shd w:val="clear" w:color="auto" w:fill="auto"/>
          </w:tcPr>
          <w:p w:rsidR="004358B7" w:rsidRDefault="004358B7" w:rsidP="004358B7">
            <w:pPr>
              <w:rPr>
                <w:rFonts w:ascii="Calibri" w:hAnsi="Calibri"/>
                <w:lang w:val="en-AU"/>
              </w:rPr>
            </w:pPr>
            <w:r>
              <w:rPr>
                <w:rFonts w:ascii="Calibri" w:hAnsi="Calibri"/>
                <w:lang w:val="en-AU"/>
              </w:rPr>
              <w:t>Ms Davidson</w:t>
            </w:r>
          </w:p>
        </w:tc>
        <w:tc>
          <w:tcPr>
            <w:tcW w:w="2070" w:type="dxa"/>
            <w:gridSpan w:val="3"/>
            <w:shd w:val="clear" w:color="auto" w:fill="auto"/>
          </w:tcPr>
          <w:p w:rsidR="004358B7" w:rsidRDefault="004358B7" w:rsidP="004358B7">
            <w:pPr>
              <w:rPr>
                <w:rFonts w:ascii="Calibri" w:hAnsi="Calibri"/>
                <w:lang w:val="en-AU"/>
              </w:rPr>
            </w:pPr>
            <w:r>
              <w:rPr>
                <w:rFonts w:ascii="Calibri" w:hAnsi="Calibri"/>
                <w:lang w:val="en-AU"/>
              </w:rPr>
              <w:t>Ms Vassarotti</w:t>
            </w:r>
          </w:p>
        </w:tc>
        <w:tc>
          <w:tcPr>
            <w:tcW w:w="720" w:type="dxa"/>
            <w:shd w:val="clear" w:color="auto" w:fill="auto"/>
          </w:tcPr>
          <w:p w:rsidR="004358B7" w:rsidRDefault="004358B7" w:rsidP="004358B7">
            <w:pPr>
              <w:spacing w:before="120"/>
              <w:rPr>
                <w:rFonts w:ascii="Calibri" w:hAnsi="Calibri"/>
                <w:lang w:val="en-AU"/>
              </w:rPr>
            </w:pPr>
          </w:p>
        </w:tc>
        <w:tc>
          <w:tcPr>
            <w:tcW w:w="2041" w:type="dxa"/>
            <w:shd w:val="clear" w:color="auto" w:fill="auto"/>
          </w:tcPr>
          <w:p w:rsidR="004358B7" w:rsidRDefault="004358B7" w:rsidP="004358B7">
            <w:pPr>
              <w:rPr>
                <w:rFonts w:ascii="Calibri" w:hAnsi="Calibri"/>
                <w:lang w:val="en-AU"/>
              </w:rPr>
            </w:pPr>
            <w:r>
              <w:rPr>
                <w:rFonts w:ascii="Calibri" w:hAnsi="Calibri"/>
                <w:lang w:val="en-AU"/>
              </w:rPr>
              <w:t>Ms Lee</w:t>
            </w:r>
          </w:p>
        </w:tc>
        <w:tc>
          <w:tcPr>
            <w:tcW w:w="1379" w:type="dxa"/>
            <w:gridSpan w:val="2"/>
            <w:shd w:val="clear" w:color="auto" w:fill="auto"/>
          </w:tcPr>
          <w:p w:rsidR="004358B7" w:rsidRDefault="004358B7" w:rsidP="004358B7">
            <w:pPr>
              <w:spacing w:before="120"/>
              <w:rPr>
                <w:rFonts w:ascii="Calibri" w:hAnsi="Calibri"/>
                <w:lang w:val="en-AU"/>
              </w:rPr>
            </w:pPr>
          </w:p>
        </w:tc>
      </w:tr>
      <w:tr w:rsidR="004358B7" w:rsidTr="004358B7">
        <w:trPr>
          <w:gridBefore w:val="1"/>
          <w:wBefore w:w="720" w:type="dxa"/>
          <w:trHeight w:hRule="exact" w:val="312"/>
        </w:trPr>
        <w:tc>
          <w:tcPr>
            <w:tcW w:w="2160" w:type="dxa"/>
            <w:shd w:val="clear" w:color="auto" w:fill="auto"/>
          </w:tcPr>
          <w:p w:rsidR="004358B7" w:rsidRDefault="004358B7" w:rsidP="004358B7">
            <w:pPr>
              <w:rPr>
                <w:rFonts w:ascii="Calibri" w:hAnsi="Calibri"/>
                <w:lang w:val="en-AU"/>
              </w:rPr>
            </w:pPr>
            <w:r>
              <w:rPr>
                <w:rFonts w:ascii="Calibri" w:hAnsi="Calibri"/>
                <w:lang w:val="en-AU"/>
              </w:rPr>
              <w:t>Mr Davis</w:t>
            </w:r>
          </w:p>
        </w:tc>
        <w:tc>
          <w:tcPr>
            <w:tcW w:w="2070" w:type="dxa"/>
            <w:gridSpan w:val="3"/>
            <w:shd w:val="clear" w:color="auto" w:fill="auto"/>
          </w:tcPr>
          <w:p w:rsidR="004358B7" w:rsidRDefault="004358B7" w:rsidP="004358B7">
            <w:pPr>
              <w:spacing w:before="120"/>
              <w:rPr>
                <w:rFonts w:ascii="Calibri" w:hAnsi="Calibri"/>
                <w:lang w:val="en-AU"/>
              </w:rPr>
            </w:pPr>
          </w:p>
        </w:tc>
        <w:tc>
          <w:tcPr>
            <w:tcW w:w="720" w:type="dxa"/>
            <w:shd w:val="clear" w:color="auto" w:fill="auto"/>
          </w:tcPr>
          <w:p w:rsidR="004358B7" w:rsidRDefault="004358B7" w:rsidP="004358B7">
            <w:pPr>
              <w:spacing w:before="120"/>
              <w:rPr>
                <w:rFonts w:ascii="Calibri" w:hAnsi="Calibri"/>
                <w:lang w:val="en-AU"/>
              </w:rPr>
            </w:pPr>
          </w:p>
        </w:tc>
        <w:tc>
          <w:tcPr>
            <w:tcW w:w="2041" w:type="dxa"/>
            <w:shd w:val="clear" w:color="auto" w:fill="auto"/>
          </w:tcPr>
          <w:p w:rsidR="004358B7" w:rsidRDefault="004358B7" w:rsidP="004358B7">
            <w:pPr>
              <w:rPr>
                <w:rFonts w:ascii="Calibri" w:hAnsi="Calibri"/>
                <w:lang w:val="en-AU"/>
              </w:rPr>
            </w:pPr>
            <w:r>
              <w:rPr>
                <w:rFonts w:ascii="Calibri" w:hAnsi="Calibri"/>
                <w:lang w:val="en-AU"/>
              </w:rPr>
              <w:t>Mr Parton</w:t>
            </w:r>
          </w:p>
        </w:tc>
        <w:tc>
          <w:tcPr>
            <w:tcW w:w="1379" w:type="dxa"/>
            <w:gridSpan w:val="2"/>
            <w:shd w:val="clear" w:color="auto" w:fill="auto"/>
          </w:tcPr>
          <w:p w:rsidR="004358B7" w:rsidRDefault="004358B7" w:rsidP="004358B7">
            <w:pPr>
              <w:spacing w:before="120"/>
              <w:rPr>
                <w:rFonts w:ascii="Calibri" w:hAnsi="Calibri"/>
                <w:lang w:val="en-AU"/>
              </w:rPr>
            </w:pPr>
          </w:p>
        </w:tc>
      </w:tr>
      <w:tr w:rsidR="004358B7" w:rsidTr="004358B7">
        <w:trPr>
          <w:gridBefore w:val="1"/>
          <w:wBefore w:w="720" w:type="dxa"/>
          <w:trHeight w:hRule="exact" w:val="312"/>
        </w:trPr>
        <w:tc>
          <w:tcPr>
            <w:tcW w:w="2160" w:type="dxa"/>
            <w:shd w:val="clear" w:color="auto" w:fill="auto"/>
          </w:tcPr>
          <w:p w:rsidR="004358B7" w:rsidRDefault="004358B7" w:rsidP="004358B7">
            <w:pPr>
              <w:rPr>
                <w:rFonts w:ascii="Calibri" w:hAnsi="Calibri"/>
                <w:lang w:val="en-AU"/>
              </w:rPr>
            </w:pPr>
            <w:r>
              <w:rPr>
                <w:rFonts w:ascii="Calibri" w:hAnsi="Calibri"/>
                <w:lang w:val="en-AU"/>
              </w:rPr>
              <w:t>Mr Gentleman</w:t>
            </w:r>
          </w:p>
        </w:tc>
        <w:tc>
          <w:tcPr>
            <w:tcW w:w="2070" w:type="dxa"/>
            <w:gridSpan w:val="3"/>
            <w:shd w:val="clear" w:color="auto" w:fill="auto"/>
          </w:tcPr>
          <w:p w:rsidR="004358B7" w:rsidRDefault="004358B7" w:rsidP="004358B7">
            <w:pPr>
              <w:spacing w:before="120"/>
              <w:rPr>
                <w:rFonts w:ascii="Calibri" w:hAnsi="Calibri"/>
                <w:lang w:val="en-AU"/>
              </w:rPr>
            </w:pPr>
          </w:p>
        </w:tc>
        <w:tc>
          <w:tcPr>
            <w:tcW w:w="720" w:type="dxa"/>
            <w:shd w:val="clear" w:color="auto" w:fill="auto"/>
          </w:tcPr>
          <w:p w:rsidR="004358B7" w:rsidRDefault="004358B7" w:rsidP="004358B7">
            <w:pPr>
              <w:spacing w:before="120"/>
              <w:rPr>
                <w:rFonts w:ascii="Calibri" w:hAnsi="Calibri"/>
                <w:lang w:val="en-AU"/>
              </w:rPr>
            </w:pPr>
          </w:p>
        </w:tc>
        <w:tc>
          <w:tcPr>
            <w:tcW w:w="2041" w:type="dxa"/>
            <w:shd w:val="clear" w:color="auto" w:fill="auto"/>
          </w:tcPr>
          <w:p w:rsidR="004358B7" w:rsidRDefault="004358B7" w:rsidP="004358B7">
            <w:pPr>
              <w:spacing w:before="120"/>
              <w:rPr>
                <w:rFonts w:ascii="Calibri" w:hAnsi="Calibri"/>
                <w:lang w:val="en-AU"/>
              </w:rPr>
            </w:pPr>
          </w:p>
        </w:tc>
        <w:tc>
          <w:tcPr>
            <w:tcW w:w="1379" w:type="dxa"/>
            <w:gridSpan w:val="2"/>
            <w:shd w:val="clear" w:color="auto" w:fill="auto"/>
          </w:tcPr>
          <w:p w:rsidR="004358B7" w:rsidRDefault="004358B7" w:rsidP="004358B7">
            <w:pPr>
              <w:spacing w:before="120"/>
              <w:rPr>
                <w:rFonts w:ascii="Calibri" w:hAnsi="Calibri"/>
                <w:lang w:val="en-AU"/>
              </w:rPr>
            </w:pPr>
          </w:p>
        </w:tc>
      </w:tr>
    </w:tbl>
    <w:p w:rsidR="004358B7" w:rsidRDefault="004358B7" w:rsidP="004358B7">
      <w:pPr>
        <w:spacing w:before="120"/>
        <w:ind w:left="720"/>
        <w:rPr>
          <w:rFonts w:ascii="Calibri" w:hAnsi="Calibri"/>
          <w:lang w:val="en-AU"/>
        </w:rPr>
      </w:pPr>
      <w:r>
        <w:rPr>
          <w:rFonts w:ascii="Calibri" w:hAnsi="Calibri"/>
          <w:lang w:val="en-AU"/>
        </w:rPr>
        <w:t>And so it was resolved in the affirmative.</w:t>
      </w:r>
    </w:p>
    <w:p w:rsidR="004E31E3" w:rsidRPr="00993CC8" w:rsidRDefault="004E31E3" w:rsidP="004E31E3">
      <w:pPr>
        <w:spacing w:before="120"/>
        <w:ind w:left="720"/>
        <w:rPr>
          <w:rFonts w:ascii="Calibri" w:hAnsi="Calibri"/>
          <w:lang w:val="en-AU"/>
        </w:rPr>
      </w:pPr>
      <w:r>
        <w:rPr>
          <w:rFonts w:ascii="Calibri" w:hAnsi="Calibri"/>
          <w:lang w:val="en-AU"/>
        </w:rPr>
        <w:t>Title</w:t>
      </w:r>
      <w:r w:rsidRPr="00993CC8">
        <w:rPr>
          <w:rFonts w:ascii="Calibri" w:hAnsi="Calibri"/>
          <w:lang w:val="en-AU"/>
        </w:rPr>
        <w:t xml:space="preserve"> agreed to.</w:t>
      </w:r>
    </w:p>
    <w:p w:rsidR="004E31E3" w:rsidRPr="00993CC8" w:rsidRDefault="004E31E3" w:rsidP="004E31E3">
      <w:pPr>
        <w:pBdr>
          <w:top w:val="thickThinLargeGap" w:sz="18" w:space="1" w:color="auto"/>
        </w:pBdr>
        <w:spacing w:before="180"/>
        <w:ind w:left="3427" w:right="3658"/>
        <w:jc w:val="center"/>
        <w:rPr>
          <w:rFonts w:ascii="Calibri" w:hAnsi="Calibri"/>
          <w:lang w:val="en-AU"/>
        </w:rPr>
      </w:pPr>
    </w:p>
    <w:p w:rsidR="004E31E3" w:rsidRPr="00993CC8" w:rsidRDefault="004E31E3" w:rsidP="004E31E3">
      <w:pPr>
        <w:ind w:left="720"/>
        <w:rPr>
          <w:rFonts w:ascii="Calibri" w:hAnsi="Calibri"/>
          <w:lang w:val="en-AU"/>
        </w:rPr>
      </w:pPr>
      <w:r w:rsidRPr="00993CC8">
        <w:rPr>
          <w:rFonts w:ascii="Calibri" w:hAnsi="Calibri"/>
          <w:lang w:val="en-AU"/>
        </w:rPr>
        <w:t>Question—That this Bill, as amended, be agreed to—put and passed.</w:t>
      </w:r>
    </w:p>
    <w:p w:rsidR="00DE33C7" w:rsidRPr="00DE33C7" w:rsidRDefault="00DE33C7" w:rsidP="00886FF8">
      <w:pPr>
        <w:keepLines/>
        <w:tabs>
          <w:tab w:val="right" w:pos="339"/>
          <w:tab w:val="left" w:pos="720"/>
        </w:tabs>
        <w:spacing w:before="240"/>
        <w:ind w:left="720" w:hanging="720"/>
        <w:rPr>
          <w:rFonts w:ascii="Calibri" w:hAnsi="Calibri"/>
          <w:b/>
          <w:lang w:val="en-AU"/>
        </w:rPr>
      </w:pPr>
      <w:r w:rsidRPr="00DE33C7">
        <w:rPr>
          <w:rFonts w:ascii="Calibri" w:hAnsi="Calibri"/>
          <w:b/>
          <w:lang w:val="en-AU"/>
        </w:rPr>
        <w:tab/>
      </w:r>
      <w:r w:rsidR="00696898">
        <w:rPr>
          <w:rFonts w:ascii="Calibri" w:hAnsi="Calibri"/>
          <w:b/>
          <w:bCs/>
          <w:lang w:val="en-AU"/>
        </w:rPr>
        <w:fldChar w:fldCharType="begin"/>
      </w:r>
      <w:r w:rsidR="00696898">
        <w:rPr>
          <w:rFonts w:ascii="Calibri" w:hAnsi="Calibri"/>
          <w:b/>
          <w:bCs/>
          <w:lang w:val="en-AU"/>
        </w:rPr>
        <w:instrText xml:space="preserve"> SEQ A \* MERGEFORMAT </w:instrText>
      </w:r>
      <w:r w:rsidR="00696898">
        <w:rPr>
          <w:rFonts w:ascii="Calibri" w:hAnsi="Calibri"/>
          <w:b/>
          <w:bCs/>
          <w:lang w:val="en-AU"/>
        </w:rPr>
        <w:fldChar w:fldCharType="separate"/>
      </w:r>
      <w:r w:rsidR="006D30E9">
        <w:rPr>
          <w:rFonts w:ascii="Calibri" w:hAnsi="Calibri"/>
          <w:b/>
          <w:bCs/>
          <w:noProof/>
          <w:lang w:val="en-AU"/>
        </w:rPr>
        <w:t>16</w:t>
      </w:r>
      <w:r w:rsidR="00696898">
        <w:rPr>
          <w:rFonts w:ascii="Calibri" w:hAnsi="Calibri"/>
          <w:b/>
          <w:bCs/>
          <w:lang w:val="en-AU"/>
        </w:rPr>
        <w:fldChar w:fldCharType="end"/>
      </w:r>
      <w:r w:rsidRPr="00DE33C7">
        <w:rPr>
          <w:rFonts w:ascii="Calibri" w:hAnsi="Calibri"/>
          <w:b/>
          <w:lang w:val="en-AU"/>
        </w:rPr>
        <w:tab/>
        <w:t>ADJOURNMENT</w:t>
      </w:r>
    </w:p>
    <w:p w:rsidR="00DE33C7" w:rsidRPr="00DE33C7" w:rsidRDefault="00DE33C7" w:rsidP="00DE33C7">
      <w:pPr>
        <w:spacing w:before="120"/>
        <w:ind w:left="720"/>
        <w:rPr>
          <w:rFonts w:ascii="Calibri" w:hAnsi="Calibri"/>
          <w:lang w:val="en-AU"/>
        </w:rPr>
      </w:pPr>
      <w:r>
        <w:rPr>
          <w:rFonts w:ascii="Calibri" w:hAnsi="Calibri"/>
          <w:lang w:val="en-AU"/>
        </w:rPr>
        <w:t>Mr Gentleman</w:t>
      </w:r>
      <w:r w:rsidRPr="00DE33C7">
        <w:rPr>
          <w:rFonts w:ascii="Calibri" w:hAnsi="Calibri"/>
          <w:lang w:val="en-AU"/>
        </w:rPr>
        <w:t xml:space="preserve"> (Manager of Government Business) moved—That the Assembly do now adjourn.</w:t>
      </w:r>
    </w:p>
    <w:p w:rsidR="00DE33C7" w:rsidRPr="00DE33C7" w:rsidRDefault="00DE33C7" w:rsidP="00DE33C7">
      <w:pPr>
        <w:spacing w:before="120"/>
        <w:ind w:left="720"/>
        <w:rPr>
          <w:rFonts w:ascii="Calibri" w:hAnsi="Calibri"/>
          <w:lang w:val="en-AU"/>
        </w:rPr>
      </w:pPr>
      <w:r w:rsidRPr="00DE33C7">
        <w:rPr>
          <w:rFonts w:ascii="Calibri" w:hAnsi="Calibri"/>
          <w:lang w:val="en-AU"/>
        </w:rPr>
        <w:t>Debate ensued.</w:t>
      </w:r>
    </w:p>
    <w:p w:rsidR="00DE33C7" w:rsidRPr="00DE33C7" w:rsidRDefault="00DE33C7" w:rsidP="00DE33C7">
      <w:pPr>
        <w:spacing w:before="120"/>
        <w:ind w:left="720"/>
        <w:rPr>
          <w:rFonts w:ascii="Calibri" w:hAnsi="Calibri"/>
          <w:lang w:val="en-AU"/>
        </w:rPr>
      </w:pPr>
      <w:r w:rsidRPr="00DE33C7">
        <w:rPr>
          <w:rFonts w:ascii="Calibri" w:hAnsi="Calibri"/>
          <w:lang w:val="en-AU"/>
        </w:rPr>
        <w:t>Question—put and passed.</w:t>
      </w:r>
    </w:p>
    <w:p w:rsidR="00DE33C7" w:rsidRPr="00DE33C7" w:rsidRDefault="00DE33C7" w:rsidP="00DE33C7">
      <w:pPr>
        <w:spacing w:before="120"/>
        <w:ind w:left="720"/>
        <w:rPr>
          <w:rFonts w:ascii="Calibri" w:hAnsi="Calibri"/>
          <w:lang w:val="en-AU"/>
        </w:rPr>
      </w:pPr>
      <w:bookmarkStart w:id="0" w:name="_GoBack"/>
      <w:bookmarkEnd w:id="0"/>
      <w:r w:rsidRPr="00DE33C7">
        <w:rPr>
          <w:rFonts w:ascii="Calibri" w:hAnsi="Calibri"/>
          <w:lang w:val="en-AU"/>
        </w:rPr>
        <w:t xml:space="preserve">And then the Assembly, at </w:t>
      </w:r>
      <w:r w:rsidR="004358B7">
        <w:rPr>
          <w:rFonts w:ascii="Calibri" w:hAnsi="Calibri"/>
          <w:lang w:val="en-AU"/>
        </w:rPr>
        <w:t>6.26</w:t>
      </w:r>
      <w:r w:rsidRPr="00DE33C7">
        <w:rPr>
          <w:rFonts w:ascii="Calibri" w:hAnsi="Calibri"/>
          <w:lang w:val="en-AU"/>
        </w:rPr>
        <w:t xml:space="preserve"> pm, adjourned until tomorrow at 10 am.</w:t>
      </w:r>
    </w:p>
    <w:p w:rsidR="00DE33C7" w:rsidRPr="00DE33C7" w:rsidRDefault="00DE33C7" w:rsidP="00DE33C7">
      <w:pPr>
        <w:pBdr>
          <w:bottom w:val="thinThickLargeGap" w:sz="18" w:space="1" w:color="auto"/>
        </w:pBdr>
        <w:ind w:left="3427" w:right="3658"/>
        <w:jc w:val="center"/>
        <w:rPr>
          <w:rFonts w:ascii="Calibri" w:hAnsi="Calibri"/>
          <w:i/>
          <w:iCs/>
          <w:lang w:val="en-AU"/>
        </w:rPr>
      </w:pPr>
    </w:p>
    <w:p w:rsidR="00D652DF" w:rsidRDefault="00D652DF" w:rsidP="00D652DF">
      <w:pPr>
        <w:spacing w:before="240" w:after="120"/>
        <w:ind w:left="187"/>
        <w:jc w:val="both"/>
        <w:rPr>
          <w:rFonts w:ascii="Calibri" w:hAnsi="Calibri"/>
          <w:bCs/>
        </w:rPr>
      </w:pPr>
      <w:r w:rsidRPr="0049618B">
        <w:rPr>
          <w:rFonts w:ascii="Calibri" w:hAnsi="Calibri"/>
          <w:b/>
          <w:caps/>
        </w:rPr>
        <w:t>MEMBERS</w:t>
      </w:r>
      <w:r w:rsidR="00696898">
        <w:rPr>
          <w:rFonts w:ascii="Calibri" w:hAnsi="Calibri"/>
          <w:b/>
          <w:caps/>
        </w:rPr>
        <w:t>’</w:t>
      </w:r>
      <w:r w:rsidRPr="0049618B">
        <w:rPr>
          <w:rFonts w:ascii="Calibri" w:hAnsi="Calibri"/>
          <w:b/>
          <w:caps/>
        </w:rPr>
        <w:t xml:space="preserve"> ATTENDANCE:  </w:t>
      </w:r>
      <w:r w:rsidRPr="0049618B">
        <w:rPr>
          <w:rFonts w:ascii="Calibri" w:hAnsi="Calibri"/>
        </w:rPr>
        <w:t>All Members were present at some time during the sitting</w:t>
      </w:r>
      <w:r>
        <w:rPr>
          <w:rFonts w:ascii="Calibri" w:hAnsi="Calibri"/>
        </w:rPr>
        <w:t>, except Mr Milligan*</w:t>
      </w:r>
      <w:r w:rsidRPr="0049618B">
        <w:rPr>
          <w:rFonts w:ascii="Calibri" w:hAnsi="Calibri"/>
          <w:bCs/>
        </w:rPr>
        <w:t>.</w:t>
      </w:r>
    </w:p>
    <w:p w:rsidR="00D652DF" w:rsidRPr="00E52C9D" w:rsidRDefault="00D652DF" w:rsidP="00D652DF">
      <w:pPr>
        <w:spacing w:after="100" w:afterAutospacing="1"/>
        <w:ind w:right="331"/>
        <w:jc w:val="center"/>
        <w:rPr>
          <w:rFonts w:ascii="Calibri" w:hAnsi="Calibri"/>
          <w:bCs/>
        </w:rPr>
      </w:pPr>
      <w:r w:rsidRPr="00E52C9D">
        <w:rPr>
          <w:rFonts w:ascii="Calibri" w:hAnsi="Calibri"/>
        </w:rPr>
        <w:t>*</w:t>
      </w:r>
      <w:r>
        <w:rPr>
          <w:rFonts w:ascii="Calibri" w:hAnsi="Calibri"/>
        </w:rPr>
        <w:t>on leave</w:t>
      </w:r>
    </w:p>
    <w:p w:rsidR="00DE33C7" w:rsidRPr="00DE33C7" w:rsidRDefault="00DE33C7" w:rsidP="00DE33C7">
      <w:pPr>
        <w:pBdr>
          <w:top w:val="thickThinLargeGap" w:sz="18" w:space="1" w:color="auto"/>
        </w:pBdr>
        <w:spacing w:before="180"/>
        <w:ind w:left="3427" w:right="3658"/>
        <w:jc w:val="center"/>
        <w:rPr>
          <w:rFonts w:ascii="Calibri" w:hAnsi="Calibri"/>
          <w:lang w:val="en-AU"/>
        </w:rPr>
      </w:pPr>
    </w:p>
    <w:p w:rsidR="00DE33C7" w:rsidRPr="00DE33C7" w:rsidRDefault="00DE33C7" w:rsidP="007D3C8E">
      <w:pPr>
        <w:keepNext/>
        <w:keepLines/>
        <w:spacing w:before="720"/>
        <w:ind w:left="5760" w:right="-33"/>
        <w:jc w:val="center"/>
        <w:rPr>
          <w:rFonts w:ascii="Calibri" w:hAnsi="Calibri"/>
          <w:b/>
          <w:bCs/>
          <w:lang w:val="en-AU"/>
        </w:rPr>
      </w:pPr>
      <w:r w:rsidRPr="00DE33C7">
        <w:rPr>
          <w:rFonts w:ascii="Calibri" w:hAnsi="Calibri"/>
          <w:b/>
          <w:bCs/>
          <w:lang w:val="en-AU"/>
        </w:rPr>
        <w:t>Tom Duncan</w:t>
      </w:r>
    </w:p>
    <w:p w:rsidR="00DE33C7" w:rsidRPr="00DE33C7" w:rsidRDefault="00DE33C7" w:rsidP="00DE33C7">
      <w:pPr>
        <w:keepLines/>
        <w:tabs>
          <w:tab w:val="center" w:pos="12600"/>
          <w:tab w:val="center" w:pos="13770"/>
        </w:tabs>
        <w:ind w:left="5760"/>
        <w:jc w:val="right"/>
        <w:rPr>
          <w:rFonts w:ascii="Calibri" w:hAnsi="Calibri"/>
          <w:lang w:val="en-AU"/>
        </w:rPr>
      </w:pPr>
      <w:r w:rsidRPr="00DE33C7">
        <w:rPr>
          <w:rFonts w:ascii="Calibri" w:hAnsi="Calibri"/>
          <w:szCs w:val="24"/>
          <w:lang w:val="en-AU"/>
        </w:rPr>
        <w:t>Clerk of the Legislative Assembly</w:t>
      </w:r>
    </w:p>
    <w:p w:rsidR="00EE2215" w:rsidRDefault="00EE2215">
      <w:pPr>
        <w:spacing w:after="160" w:line="259" w:lineRule="auto"/>
      </w:pPr>
      <w:r>
        <w:br w:type="page"/>
      </w:r>
    </w:p>
    <w:p w:rsidR="00EE2215" w:rsidRPr="00EE2215" w:rsidRDefault="00EE2215" w:rsidP="00EE2215">
      <w:pPr>
        <w:jc w:val="center"/>
        <w:rPr>
          <w:b/>
          <w:sz w:val="36"/>
          <w:szCs w:val="36"/>
        </w:rPr>
      </w:pPr>
      <w:r w:rsidRPr="00EE2215">
        <w:rPr>
          <w:b/>
          <w:sz w:val="36"/>
          <w:szCs w:val="36"/>
        </w:rPr>
        <w:lastRenderedPageBreak/>
        <w:t>SCHEDULE OF AMENDMENTS</w:t>
      </w:r>
    </w:p>
    <w:p w:rsidR="00390317" w:rsidRDefault="00390317" w:rsidP="00EE2215">
      <w:pPr>
        <w:jc w:val="center"/>
        <w:rPr>
          <w:b/>
          <w:sz w:val="36"/>
          <w:szCs w:val="36"/>
        </w:rPr>
        <w:sectPr w:rsidR="00390317" w:rsidSect="00696898">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311"/>
          <w:cols w:space="708"/>
          <w:titlePg/>
          <w:docGrid w:linePitch="360"/>
        </w:sectPr>
      </w:pPr>
    </w:p>
    <w:p w:rsidR="00EE2215" w:rsidRDefault="00EE2215" w:rsidP="00EE2215">
      <w:pPr>
        <w:jc w:val="center"/>
        <w:rPr>
          <w:b/>
          <w:sz w:val="36"/>
          <w:szCs w:val="36"/>
        </w:rPr>
      </w:pPr>
    </w:p>
    <w:p w:rsidR="00390317" w:rsidRDefault="00390317" w:rsidP="00390317">
      <w:pPr>
        <w:rPr>
          <w:b/>
          <w:sz w:val="28"/>
          <w:szCs w:val="28"/>
          <w:u w:val="single"/>
        </w:rPr>
      </w:pPr>
      <w:bookmarkStart w:id="1" w:name="Schedule1"/>
      <w:r w:rsidRPr="00390317">
        <w:rPr>
          <w:b/>
          <w:sz w:val="28"/>
          <w:szCs w:val="28"/>
          <w:u w:val="single"/>
        </w:rPr>
        <w:t>Schedule 1</w:t>
      </w:r>
      <w:bookmarkEnd w:id="1"/>
    </w:p>
    <w:p w:rsidR="00390317" w:rsidRDefault="00390317" w:rsidP="00390317">
      <w:pPr>
        <w:tabs>
          <w:tab w:val="left" w:pos="1197"/>
          <w:tab w:val="left" w:pos="1767"/>
        </w:tabs>
        <w:spacing w:before="120"/>
        <w:rPr>
          <w:rFonts w:ascii="Calibri" w:hAnsi="Calibri"/>
          <w:sz w:val="28"/>
          <w:szCs w:val="28"/>
          <w:u w:val="single"/>
          <w:lang w:val="en-AU"/>
        </w:rPr>
      </w:pPr>
    </w:p>
    <w:p w:rsidR="00390317" w:rsidRPr="000B6A69" w:rsidRDefault="00390317" w:rsidP="00390317">
      <w:pPr>
        <w:pBdr>
          <w:bottom w:val="single" w:sz="4" w:space="1" w:color="auto"/>
        </w:pBdr>
        <w:tabs>
          <w:tab w:val="left" w:pos="1197"/>
          <w:tab w:val="left" w:pos="1767"/>
        </w:tabs>
        <w:spacing w:before="120" w:after="120"/>
        <w:rPr>
          <w:caps/>
          <w:spacing w:val="-2"/>
          <w:sz w:val="26"/>
          <w:szCs w:val="26"/>
          <w:lang w:val="en-AU"/>
        </w:rPr>
      </w:pPr>
      <w:r>
        <w:rPr>
          <w:b/>
          <w:sz w:val="26"/>
          <w:szCs w:val="26"/>
        </w:rPr>
        <w:t>OPERATIONAL EFFICIENCIES (COVID-19) LEGISLATION AMENDMENT BILL 2021</w:t>
      </w:r>
    </w:p>
    <w:p w:rsidR="00390317" w:rsidRDefault="00390317" w:rsidP="00390317">
      <w:pPr>
        <w:tabs>
          <w:tab w:val="left" w:pos="1197"/>
          <w:tab w:val="left" w:pos="1767"/>
        </w:tabs>
        <w:spacing w:before="120"/>
        <w:rPr>
          <w:lang w:val="en-AU"/>
        </w:rPr>
      </w:pPr>
      <w:r>
        <w:rPr>
          <w:lang w:val="en-AU"/>
        </w:rPr>
        <w:t>Amendments</w:t>
      </w:r>
      <w:r w:rsidRPr="00492714">
        <w:rPr>
          <w:lang w:val="en-AU"/>
        </w:rPr>
        <w:t xml:space="preserve"> circulated by </w:t>
      </w:r>
      <w:r>
        <w:rPr>
          <w:lang w:val="en-AU"/>
        </w:rPr>
        <w:t>the Attorney-General</w:t>
      </w:r>
    </w:p>
    <w:p w:rsidR="00390317" w:rsidRPr="009F47C3" w:rsidRDefault="00390317" w:rsidP="00390317">
      <w:pPr>
        <w:pStyle w:val="AH3sec"/>
        <w:tabs>
          <w:tab w:val="clear" w:pos="1500"/>
        </w:tabs>
      </w:pPr>
      <w:r w:rsidRPr="009F47C3">
        <w:br/>
        <w:t>Clause 3</w:t>
      </w:r>
      <w:r w:rsidRPr="009F47C3">
        <w:br/>
        <w:t>Page 2, line 15—</w:t>
      </w:r>
    </w:p>
    <w:p w:rsidR="00390317" w:rsidRPr="009F47C3" w:rsidRDefault="00390317" w:rsidP="00390317">
      <w:pPr>
        <w:pStyle w:val="direction"/>
      </w:pPr>
      <w:r w:rsidRPr="009F47C3">
        <w:t>insert</w:t>
      </w:r>
    </w:p>
    <w:p w:rsidR="00390317" w:rsidRPr="009F47C3" w:rsidRDefault="00390317" w:rsidP="00390317">
      <w:pPr>
        <w:pStyle w:val="Amainbullet"/>
      </w:pPr>
      <w:r w:rsidRPr="009F47C3">
        <w:rPr>
          <w:i/>
          <w:iCs/>
        </w:rPr>
        <w:t>Children and Young People Act 2008</w:t>
      </w:r>
    </w:p>
    <w:p w:rsidR="00390317" w:rsidRPr="009F47C3" w:rsidRDefault="00390317" w:rsidP="00390317">
      <w:pPr>
        <w:pStyle w:val="AH3sec"/>
        <w:tabs>
          <w:tab w:val="clear" w:pos="284"/>
          <w:tab w:val="clear" w:pos="1500"/>
          <w:tab w:val="num" w:pos="360"/>
        </w:tabs>
      </w:pPr>
      <w:r w:rsidRPr="009F47C3">
        <w:br/>
        <w:t>Proposed new part 3A</w:t>
      </w:r>
      <w:r w:rsidRPr="009F47C3">
        <w:br/>
        <w:t>Page 4, line 12—</w:t>
      </w:r>
    </w:p>
    <w:p w:rsidR="00390317" w:rsidRPr="009F47C3" w:rsidRDefault="00390317" w:rsidP="00390317">
      <w:pPr>
        <w:pStyle w:val="direction"/>
      </w:pPr>
      <w:r w:rsidRPr="009F47C3">
        <w:t>insert</w:t>
      </w:r>
    </w:p>
    <w:p w:rsidR="00390317" w:rsidRPr="009F47C3" w:rsidRDefault="00390317" w:rsidP="00390317">
      <w:pPr>
        <w:pStyle w:val="IH2Part"/>
      </w:pPr>
      <w:r w:rsidRPr="009F47C3">
        <w:t>Part 3A</w:t>
      </w:r>
      <w:r w:rsidRPr="009F47C3">
        <w:tab/>
        <w:t>Children and Young People Act 2008</w:t>
      </w:r>
    </w:p>
    <w:p w:rsidR="00390317" w:rsidRPr="009F47C3" w:rsidRDefault="00390317" w:rsidP="00390317">
      <w:pPr>
        <w:pStyle w:val="IshadedH5Sec"/>
      </w:pPr>
      <w:r w:rsidRPr="009F47C3">
        <w:t>8A</w:t>
      </w:r>
      <w:r w:rsidRPr="009F47C3">
        <w:tab/>
        <w:t>Declaration of emergency</w:t>
      </w:r>
      <w:r w:rsidRPr="009F47C3">
        <w:br/>
        <w:t>New section 149 (2A)</w:t>
      </w:r>
    </w:p>
    <w:p w:rsidR="00390317" w:rsidRPr="009F47C3" w:rsidRDefault="00390317" w:rsidP="00390317">
      <w:pPr>
        <w:pStyle w:val="direction"/>
      </w:pPr>
      <w:r w:rsidRPr="009F47C3">
        <w:t>insert</w:t>
      </w:r>
    </w:p>
    <w:p w:rsidR="00390317" w:rsidRPr="009F47C3" w:rsidRDefault="00390317" w:rsidP="00390317">
      <w:pPr>
        <w:pStyle w:val="IMain"/>
      </w:pPr>
      <w:r w:rsidRPr="009F47C3">
        <w:tab/>
        <w:t>(2A)</w:t>
      </w:r>
      <w:r w:rsidRPr="009F47C3">
        <w:tab/>
        <w:t>However, if the emergency relates to a COVID-19 emergency, the director-general may declare that an emergency exists in relation to the detention place for a period of not more than the duration of the COVID-19 emergency.</w:t>
      </w:r>
    </w:p>
    <w:p w:rsidR="00390317" w:rsidRPr="009F47C3" w:rsidRDefault="00390317" w:rsidP="00390317">
      <w:pPr>
        <w:pStyle w:val="IshadedH5Sec"/>
      </w:pPr>
      <w:r w:rsidRPr="009F47C3">
        <w:t>8B</w:t>
      </w:r>
      <w:r w:rsidRPr="009F47C3">
        <w:tab/>
        <w:t>New section 149 (3A) to (3D)</w:t>
      </w:r>
    </w:p>
    <w:p w:rsidR="00390317" w:rsidRPr="009F47C3" w:rsidRDefault="00390317" w:rsidP="00390317">
      <w:pPr>
        <w:pStyle w:val="direction"/>
      </w:pPr>
      <w:r w:rsidRPr="009F47C3">
        <w:t>insert</w:t>
      </w:r>
    </w:p>
    <w:p w:rsidR="00390317" w:rsidRPr="009F47C3" w:rsidRDefault="00390317" w:rsidP="00390317">
      <w:pPr>
        <w:pStyle w:val="IMain"/>
        <w:rPr>
          <w:lang w:eastAsia="en-AU"/>
        </w:rPr>
      </w:pPr>
      <w:r w:rsidRPr="009F47C3">
        <w:rPr>
          <w:lang w:eastAsia="en-AU"/>
        </w:rPr>
        <w:tab/>
        <w:t>(3A)</w:t>
      </w:r>
      <w:r w:rsidRPr="009F47C3">
        <w:rPr>
          <w:lang w:eastAsia="en-AU"/>
        </w:rPr>
        <w:tab/>
        <w:t>If 1 or more declarations under subsection (2A) are in force for a consecutive period of 28 days or more, the director-general must—</w:t>
      </w:r>
    </w:p>
    <w:p w:rsidR="00390317" w:rsidRPr="009F47C3" w:rsidRDefault="00390317" w:rsidP="00390317">
      <w:pPr>
        <w:pStyle w:val="Ipara"/>
        <w:rPr>
          <w:lang w:eastAsia="en-AU"/>
        </w:rPr>
      </w:pPr>
      <w:r w:rsidRPr="009F47C3">
        <w:rPr>
          <w:lang w:eastAsia="en-AU"/>
        </w:rPr>
        <w:tab/>
        <w:t>(a)</w:t>
      </w:r>
      <w:r w:rsidRPr="009F47C3">
        <w:rPr>
          <w:lang w:eastAsia="en-AU"/>
        </w:rPr>
        <w:tab/>
        <w:t>at least every 28 days, conduct a review of whether there are reasonable grounds for continuing the declaration; and</w:t>
      </w:r>
    </w:p>
    <w:p w:rsidR="00390317" w:rsidRPr="009F47C3" w:rsidRDefault="00390317" w:rsidP="00390317">
      <w:pPr>
        <w:pStyle w:val="Ipara"/>
        <w:rPr>
          <w:lang w:eastAsia="en-AU"/>
        </w:rPr>
      </w:pPr>
      <w:r w:rsidRPr="009F47C3">
        <w:rPr>
          <w:lang w:eastAsia="en-AU"/>
        </w:rPr>
        <w:tab/>
        <w:t>(b)</w:t>
      </w:r>
      <w:r w:rsidRPr="009F47C3">
        <w:rPr>
          <w:lang w:eastAsia="en-AU"/>
        </w:rPr>
        <w:tab/>
        <w:t>as soon as practicable after a review, advise the Minister in writing about any measures taken in response to the emergency under the declaration.</w:t>
      </w:r>
    </w:p>
    <w:p w:rsidR="00390317" w:rsidRPr="009F47C3" w:rsidRDefault="00390317" w:rsidP="00390317">
      <w:pPr>
        <w:pStyle w:val="IMain"/>
        <w:keepLines/>
        <w:ind w:left="1094" w:hanging="1094"/>
        <w:rPr>
          <w:lang w:eastAsia="en-AU"/>
        </w:rPr>
      </w:pPr>
      <w:r w:rsidRPr="009F47C3">
        <w:lastRenderedPageBreak/>
        <w:tab/>
        <w:t>(3B)</w:t>
      </w:r>
      <w:r w:rsidRPr="009F47C3">
        <w:tab/>
        <w:t xml:space="preserve">The first annual report prepared by the director-general under the </w:t>
      </w:r>
      <w:r w:rsidRPr="009F47C3">
        <w:rPr>
          <w:i/>
        </w:rPr>
        <w:t>Annual Reports (Government Agencies) Act 2004</w:t>
      </w:r>
      <w:r w:rsidRPr="009F47C3">
        <w:t xml:space="preserve"> after an emergency declaration ends must include information about the measures taken in response to the emergency while the declaration was in force.</w:t>
      </w:r>
    </w:p>
    <w:p w:rsidR="00390317" w:rsidRPr="009F47C3" w:rsidRDefault="00390317" w:rsidP="00390317">
      <w:pPr>
        <w:pStyle w:val="IMain"/>
      </w:pPr>
      <w:r w:rsidRPr="009F47C3">
        <w:tab/>
        <w:t>(3C)</w:t>
      </w:r>
      <w:r w:rsidRPr="009F47C3">
        <w:tab/>
        <w:t>A failure by the director-general to comply with subsection (3A) or (3B) does not affect the validity of the declaration.</w:t>
      </w:r>
    </w:p>
    <w:p w:rsidR="00390317" w:rsidRPr="009F47C3" w:rsidRDefault="00390317" w:rsidP="00390317">
      <w:pPr>
        <w:pStyle w:val="IMain"/>
        <w:rPr>
          <w:lang w:eastAsia="en-AU"/>
        </w:rPr>
      </w:pPr>
      <w:r w:rsidRPr="009F47C3">
        <w:tab/>
        <w:t>(3D)</w:t>
      </w:r>
      <w:r w:rsidRPr="009F47C3">
        <w:tab/>
      </w:r>
      <w:r w:rsidRPr="009F47C3">
        <w:rPr>
          <w:lang w:eastAsia="en-AU"/>
        </w:rPr>
        <w:t>A declaration made under subsection (2A) must be revoked if the director</w:t>
      </w:r>
      <w:r w:rsidRPr="009F47C3">
        <w:rPr>
          <w:lang w:eastAsia="en-AU"/>
        </w:rPr>
        <w:noBreakHyphen/>
        <w:t xml:space="preserve">general no longer believes there are reasonable grounds for the declaration. </w:t>
      </w:r>
    </w:p>
    <w:p w:rsidR="00390317" w:rsidRPr="009F47C3" w:rsidRDefault="00390317" w:rsidP="00390317">
      <w:pPr>
        <w:pStyle w:val="IshadedH5Sec"/>
        <w:rPr>
          <w:lang w:eastAsia="en-AU"/>
        </w:rPr>
      </w:pPr>
      <w:r w:rsidRPr="009F47C3">
        <w:rPr>
          <w:lang w:eastAsia="en-AU"/>
        </w:rPr>
        <w:t>8C</w:t>
      </w:r>
      <w:r w:rsidRPr="009F47C3">
        <w:rPr>
          <w:lang w:eastAsia="en-AU"/>
        </w:rPr>
        <w:tab/>
        <w:t>New section 149 (8) and (9)</w:t>
      </w:r>
    </w:p>
    <w:p w:rsidR="00390317" w:rsidRPr="009F47C3" w:rsidRDefault="00390317" w:rsidP="00390317">
      <w:pPr>
        <w:pStyle w:val="direction"/>
        <w:rPr>
          <w:lang w:eastAsia="en-AU"/>
        </w:rPr>
      </w:pPr>
      <w:r w:rsidRPr="009F47C3">
        <w:rPr>
          <w:lang w:eastAsia="en-AU"/>
        </w:rPr>
        <w:t>after the note, insert</w:t>
      </w:r>
    </w:p>
    <w:p w:rsidR="00390317" w:rsidRPr="009F47C3" w:rsidRDefault="00390317" w:rsidP="00390317">
      <w:pPr>
        <w:pStyle w:val="IMain"/>
      </w:pPr>
      <w:r w:rsidRPr="009F47C3">
        <w:tab/>
        <w:t>(8)</w:t>
      </w:r>
      <w:r w:rsidRPr="009F47C3">
        <w:tab/>
        <w:t xml:space="preserve">In this section: </w:t>
      </w:r>
    </w:p>
    <w:p w:rsidR="00390317" w:rsidRPr="009F47C3" w:rsidRDefault="00390317" w:rsidP="00390317">
      <w:pPr>
        <w:pStyle w:val="aDef"/>
        <w:ind w:left="1100" w:firstLine="0"/>
      </w:pPr>
      <w:r w:rsidRPr="009F47C3">
        <w:rPr>
          <w:rStyle w:val="charBoldItals"/>
        </w:rPr>
        <w:t xml:space="preserve">COVID-19 emergency </w:t>
      </w:r>
      <w:r w:rsidRPr="009F47C3">
        <w:t>means—</w:t>
      </w:r>
    </w:p>
    <w:p w:rsidR="00390317" w:rsidRPr="009F47C3" w:rsidRDefault="00390317" w:rsidP="00390317">
      <w:pPr>
        <w:pStyle w:val="Idefpara"/>
      </w:pPr>
      <w:r w:rsidRPr="009F47C3">
        <w:tab/>
        <w:t>(a)</w:t>
      </w:r>
      <w:r w:rsidRPr="009F47C3">
        <w:tab/>
        <w:t xml:space="preserve">a state of emergency declared under the </w:t>
      </w:r>
      <w:r w:rsidRPr="009F47C3">
        <w:rPr>
          <w:i/>
        </w:rPr>
        <w:t>Emergencies Act 2004</w:t>
      </w:r>
      <w:r w:rsidRPr="009F47C3">
        <w:t>, section 156 because of the coronavirus disease 2019 (COVID</w:t>
      </w:r>
      <w:r w:rsidRPr="009F47C3">
        <w:noBreakHyphen/>
        <w:t>19); or</w:t>
      </w:r>
    </w:p>
    <w:p w:rsidR="00390317" w:rsidRPr="009F47C3" w:rsidRDefault="00390317" w:rsidP="00390317">
      <w:pPr>
        <w:pStyle w:val="Idefpara"/>
      </w:pPr>
      <w:r w:rsidRPr="009F47C3">
        <w:tab/>
        <w:t>(b)</w:t>
      </w:r>
      <w:r w:rsidRPr="009F47C3">
        <w:tab/>
        <w:t xml:space="preserve">an emergency declared under the </w:t>
      </w:r>
      <w:r w:rsidRPr="009F47C3">
        <w:rPr>
          <w:i/>
        </w:rPr>
        <w:t>Public Health Act 1997</w:t>
      </w:r>
      <w:r w:rsidRPr="009F47C3">
        <w:t>, section 119 (including any extension or further extension) because of the coronavirus disease 2019 (COVID</w:t>
      </w:r>
      <w:r w:rsidRPr="009F47C3">
        <w:noBreakHyphen/>
        <w:t>19).</w:t>
      </w:r>
    </w:p>
    <w:p w:rsidR="00390317" w:rsidRPr="009F47C3" w:rsidRDefault="00390317" w:rsidP="00390317">
      <w:pPr>
        <w:pStyle w:val="IMain"/>
        <w:keepNext/>
      </w:pPr>
      <w:r w:rsidRPr="009F47C3">
        <w:tab/>
        <w:t>(9)</w:t>
      </w:r>
      <w:r w:rsidRPr="009F47C3">
        <w:tab/>
        <w:t xml:space="preserve">The following provisions expire on the day the </w:t>
      </w:r>
      <w:r>
        <w:rPr>
          <w:i/>
          <w:iCs/>
        </w:rPr>
        <w:t>COVID-19 Emergency </w:t>
      </w:r>
      <w:r w:rsidRPr="009F47C3">
        <w:rPr>
          <w:i/>
          <w:iCs/>
        </w:rPr>
        <w:t>Response Act 2020</w:t>
      </w:r>
      <w:r w:rsidRPr="009F47C3">
        <w:t xml:space="preserve"> expires:</w:t>
      </w:r>
    </w:p>
    <w:p w:rsidR="00390317" w:rsidRPr="009F47C3" w:rsidRDefault="00390317" w:rsidP="00390317">
      <w:pPr>
        <w:pStyle w:val="Ipara"/>
      </w:pPr>
      <w:r w:rsidRPr="009F47C3">
        <w:tab/>
        <w:t>(a)</w:t>
      </w:r>
      <w:r w:rsidRPr="009F47C3">
        <w:tab/>
        <w:t>this subsection;</w:t>
      </w:r>
    </w:p>
    <w:p w:rsidR="00390317" w:rsidRPr="009F47C3" w:rsidRDefault="00390317" w:rsidP="00390317">
      <w:pPr>
        <w:pStyle w:val="Ipara"/>
      </w:pPr>
      <w:r w:rsidRPr="009F47C3">
        <w:tab/>
        <w:t>(b)</w:t>
      </w:r>
      <w:r w:rsidRPr="009F47C3">
        <w:tab/>
        <w:t>subsection (2A);</w:t>
      </w:r>
    </w:p>
    <w:p w:rsidR="00390317" w:rsidRPr="009F47C3" w:rsidRDefault="00390317" w:rsidP="00390317">
      <w:pPr>
        <w:pStyle w:val="Ipara"/>
      </w:pPr>
      <w:r w:rsidRPr="009F47C3">
        <w:tab/>
        <w:t>(c)</w:t>
      </w:r>
      <w:r w:rsidRPr="009F47C3">
        <w:tab/>
        <w:t>subsections (3A) to (3D);</w:t>
      </w:r>
    </w:p>
    <w:p w:rsidR="00390317" w:rsidRPr="009F47C3" w:rsidRDefault="00390317" w:rsidP="00390317">
      <w:pPr>
        <w:pStyle w:val="Ipara"/>
      </w:pPr>
      <w:r w:rsidRPr="009F47C3">
        <w:tab/>
        <w:t>(d)</w:t>
      </w:r>
      <w:r w:rsidRPr="009F47C3">
        <w:tab/>
        <w:t>subsection (8).</w:t>
      </w:r>
    </w:p>
    <w:p w:rsidR="00390317" w:rsidRDefault="00390317" w:rsidP="00390317">
      <w:pPr>
        <w:pBdr>
          <w:bottom w:val="single" w:sz="4" w:space="1" w:color="auto"/>
        </w:pBdr>
        <w:tabs>
          <w:tab w:val="left" w:pos="1197"/>
          <w:tab w:val="left" w:pos="1767"/>
        </w:tabs>
        <w:spacing w:before="120"/>
        <w:rPr>
          <w:lang w:val="en-AU"/>
        </w:rPr>
      </w:pPr>
    </w:p>
    <w:p w:rsidR="00390317" w:rsidRDefault="00390317" w:rsidP="00390317">
      <w:pPr>
        <w:rPr>
          <w:b/>
          <w:sz w:val="28"/>
          <w:szCs w:val="28"/>
          <w:u w:val="single"/>
        </w:rPr>
      </w:pPr>
    </w:p>
    <w:p w:rsidR="00F62111" w:rsidRPr="00390317" w:rsidRDefault="00F62111" w:rsidP="00390317">
      <w:pPr>
        <w:rPr>
          <w:b/>
          <w:sz w:val="28"/>
          <w:szCs w:val="28"/>
          <w:u w:val="single"/>
        </w:rPr>
      </w:pPr>
    </w:p>
    <w:sectPr w:rsidR="00F62111" w:rsidRPr="00390317" w:rsidSect="00390317">
      <w:type w:val="continuous"/>
      <w:pgSz w:w="11906" w:h="16838"/>
      <w:pgMar w:top="1526" w:right="3024" w:bottom="1267" w:left="1138" w:header="634" w:footer="5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898" w:rsidRDefault="00696898" w:rsidP="000F3D35">
      <w:r>
        <w:separator/>
      </w:r>
    </w:p>
  </w:endnote>
  <w:endnote w:type="continuationSeparator" w:id="0">
    <w:p w:rsidR="00696898" w:rsidRDefault="00696898"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BC" w:rsidRDefault="007B37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7BC" w:rsidRDefault="007B37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98" w:rsidRDefault="00696898" w:rsidP="00A9381B">
    <w:pPr>
      <w:pBdr>
        <w:top w:val="single" w:sz="4" w:space="0" w:color="auto"/>
      </w:pBdr>
      <w:jc w:val="center"/>
      <w:rPr>
        <w:b/>
        <w:sz w:val="20"/>
      </w:rPr>
    </w:pPr>
  </w:p>
  <w:p w:rsidR="00696898" w:rsidRDefault="00012BC3" w:rsidP="00A9381B">
    <w:pPr>
      <w:pStyle w:val="Footer"/>
      <w:pBdr>
        <w:top w:val="single" w:sz="4" w:space="0" w:color="auto"/>
      </w:pBdr>
      <w:jc w:val="center"/>
    </w:pPr>
    <w:hyperlink r:id="rId1" w:history="1">
      <w:r w:rsidR="00696898">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898" w:rsidRDefault="00696898" w:rsidP="000F3D35">
      <w:r>
        <w:separator/>
      </w:r>
    </w:p>
  </w:footnote>
  <w:footnote w:type="continuationSeparator" w:id="0">
    <w:p w:rsidR="00696898" w:rsidRDefault="00696898"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98" w:rsidRDefault="00696898"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012BC3">
      <w:rPr>
        <w:noProof/>
        <w:sz w:val="22"/>
        <w:szCs w:val="22"/>
      </w:rPr>
      <w:t>324</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26</w:t>
    </w:r>
    <w:r w:rsidRPr="000E4643">
      <w:rPr>
        <w:rFonts w:ascii="Arial" w:hAnsi="Arial" w:cs="Arial"/>
        <w:i/>
        <w:color w:val="222222"/>
        <w:sz w:val="22"/>
        <w:szCs w:val="22"/>
        <w:shd w:val="clear" w:color="auto" w:fill="FFFFFF"/>
      </w:rPr>
      <w:t>—</w:t>
    </w:r>
    <w:r>
      <w:rPr>
        <w:i/>
        <w:sz w:val="22"/>
        <w:szCs w:val="22"/>
      </w:rPr>
      <w:t>7 October 2021</w:t>
    </w:r>
    <w:r w:rsidRPr="000E4643">
      <w:rPr>
        <w:sz w:val="22"/>
        <w:szCs w:val="22"/>
      </w:rPr>
      <w:ptab w:relativeTo="margin" w:alignment="right" w:leader="none"/>
    </w:r>
  </w:p>
  <w:p w:rsidR="00696898" w:rsidRPr="000E4643" w:rsidRDefault="00696898" w:rsidP="00117D25">
    <w:pPr>
      <w:pStyle w:val="Header"/>
      <w:tabs>
        <w:tab w:val="clear" w:pos="4153"/>
        <w:tab w:val="clear" w:pos="8306"/>
        <w:tab w:val="center" w:pos="4680"/>
        <w:tab w:val="right" w:pos="9086"/>
      </w:tabs>
      <w:jc w:val="cent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898" w:rsidRPr="001B5139" w:rsidRDefault="00696898"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26</w:t>
    </w:r>
    <w:r w:rsidRPr="001B5139">
      <w:rPr>
        <w:rFonts w:ascii="Arial" w:hAnsi="Arial" w:cs="Arial"/>
        <w:i/>
        <w:color w:val="222222"/>
        <w:sz w:val="22"/>
        <w:szCs w:val="22"/>
        <w:shd w:val="clear" w:color="auto" w:fill="FFFFFF"/>
      </w:rPr>
      <w:t>—</w:t>
    </w:r>
    <w:r>
      <w:rPr>
        <w:i/>
        <w:sz w:val="22"/>
        <w:szCs w:val="22"/>
      </w:rPr>
      <w:t>7 October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012BC3">
      <w:rPr>
        <w:noProof/>
        <w:sz w:val="22"/>
        <w:szCs w:val="22"/>
      </w:rPr>
      <w:t>325</w:t>
    </w:r>
    <w:r w:rsidRPr="001B5139">
      <w:rPr>
        <w:noProof/>
        <w:sz w:val="22"/>
        <w:szCs w:val="22"/>
      </w:rPr>
      <w:fldChar w:fldCharType="end"/>
    </w:r>
  </w:p>
  <w:p w:rsidR="00696898" w:rsidRPr="0075625A" w:rsidRDefault="00696898"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695697422"/>
      <w:docPartObj>
        <w:docPartGallery w:val="Page Numbers (Top of Page)"/>
        <w:docPartUnique/>
      </w:docPartObj>
    </w:sdtPr>
    <w:sdtEndPr>
      <w:rPr>
        <w:noProof/>
      </w:rPr>
    </w:sdtEndPr>
    <w:sdtContent>
      <w:p w:rsidR="00696898" w:rsidRPr="000E4643" w:rsidRDefault="00696898"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012BC3">
          <w:rPr>
            <w:noProof/>
            <w:sz w:val="22"/>
            <w:szCs w:val="22"/>
          </w:rPr>
          <w:t>311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53B5C55"/>
    <w:multiLevelType w:val="hybridMultilevel"/>
    <w:tmpl w:val="9BC20A0C"/>
    <w:lvl w:ilvl="0" w:tplc="0C090011">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1E6E26"/>
    <w:multiLevelType w:val="multilevel"/>
    <w:tmpl w:val="93BE4C4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122A0F30"/>
    <w:multiLevelType w:val="hybridMultilevel"/>
    <w:tmpl w:val="A1A490B6"/>
    <w:lvl w:ilvl="0" w:tplc="2602755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8"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9"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27AF2F29"/>
    <w:multiLevelType w:val="multilevel"/>
    <w:tmpl w:val="93BE4C4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667BFF"/>
    <w:multiLevelType w:val="multilevel"/>
    <w:tmpl w:val="56FC9154"/>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5"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6" w15:restartNumberingAfterBreak="0">
    <w:nsid w:val="48814A5B"/>
    <w:multiLevelType w:val="hybridMultilevel"/>
    <w:tmpl w:val="A8E4BDBE"/>
    <w:lvl w:ilvl="0" w:tplc="2602755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8" w15:restartNumberingAfterBreak="0">
    <w:nsid w:val="5AEA02A2"/>
    <w:multiLevelType w:val="hybridMultilevel"/>
    <w:tmpl w:val="A8E4BDBE"/>
    <w:lvl w:ilvl="0" w:tplc="2602755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39468B5"/>
    <w:multiLevelType w:val="hybridMultilevel"/>
    <w:tmpl w:val="FFFFFFFF"/>
    <w:lvl w:ilvl="0" w:tplc="484E52FC">
      <w:start w:val="1"/>
      <w:numFmt w:val="decimal"/>
      <w:lvlText w:val="%1)"/>
      <w:lvlJc w:val="left"/>
      <w:pPr>
        <w:ind w:left="720" w:hanging="360"/>
      </w:pPr>
    </w:lvl>
    <w:lvl w:ilvl="1" w:tplc="E052464C">
      <w:start w:val="1"/>
      <w:numFmt w:val="lowerLetter"/>
      <w:lvlText w:val="%2)"/>
      <w:lvlJc w:val="left"/>
      <w:pPr>
        <w:ind w:left="1440" w:hanging="360"/>
      </w:pPr>
    </w:lvl>
    <w:lvl w:ilvl="2" w:tplc="43A6B3D6">
      <w:start w:val="1"/>
      <w:numFmt w:val="lowerRoman"/>
      <w:lvlText w:val="%3)"/>
      <w:lvlJc w:val="right"/>
      <w:pPr>
        <w:ind w:left="2160" w:hanging="180"/>
      </w:pPr>
    </w:lvl>
    <w:lvl w:ilvl="3" w:tplc="D0ACD6F4">
      <w:start w:val="1"/>
      <w:numFmt w:val="decimal"/>
      <w:lvlText w:val="(%4)"/>
      <w:lvlJc w:val="left"/>
      <w:pPr>
        <w:ind w:left="2880" w:hanging="360"/>
      </w:pPr>
    </w:lvl>
    <w:lvl w:ilvl="4" w:tplc="FF74D2FA">
      <w:start w:val="1"/>
      <w:numFmt w:val="lowerLetter"/>
      <w:lvlText w:val="(%5)"/>
      <w:lvlJc w:val="left"/>
      <w:pPr>
        <w:ind w:left="3600" w:hanging="360"/>
      </w:pPr>
    </w:lvl>
    <w:lvl w:ilvl="5" w:tplc="42F8B038">
      <w:start w:val="1"/>
      <w:numFmt w:val="lowerRoman"/>
      <w:lvlText w:val="(%6)"/>
      <w:lvlJc w:val="right"/>
      <w:pPr>
        <w:ind w:left="4320" w:hanging="180"/>
      </w:pPr>
    </w:lvl>
    <w:lvl w:ilvl="6" w:tplc="CAD49EB6">
      <w:start w:val="1"/>
      <w:numFmt w:val="decimal"/>
      <w:lvlText w:val="%7."/>
      <w:lvlJc w:val="left"/>
      <w:pPr>
        <w:ind w:left="5040" w:hanging="360"/>
      </w:pPr>
    </w:lvl>
    <w:lvl w:ilvl="7" w:tplc="2BDAC366">
      <w:start w:val="1"/>
      <w:numFmt w:val="lowerLetter"/>
      <w:lvlText w:val="%8."/>
      <w:lvlJc w:val="left"/>
      <w:pPr>
        <w:ind w:left="5760" w:hanging="360"/>
      </w:pPr>
    </w:lvl>
    <w:lvl w:ilvl="8" w:tplc="AA588982">
      <w:start w:val="1"/>
      <w:numFmt w:val="lowerRoman"/>
      <w:lvlText w:val="%9."/>
      <w:lvlJc w:val="right"/>
      <w:pPr>
        <w:ind w:left="6480" w:hanging="180"/>
      </w:pPr>
    </w:lvl>
  </w:abstractNum>
  <w:abstractNum w:abstractNumId="20" w15:restartNumberingAfterBreak="0">
    <w:nsid w:val="6A1E5FA3"/>
    <w:multiLevelType w:val="multilevel"/>
    <w:tmpl w:val="93BE4C4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4" w15:restartNumberingAfterBreak="0">
    <w:nsid w:val="7D6F4CEA"/>
    <w:multiLevelType w:val="multilevel"/>
    <w:tmpl w:val="93BE4C4A"/>
    <w:lvl w:ilvl="0">
      <w:start w:val="1"/>
      <w:numFmt w:val="decimal"/>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7FE9684D"/>
    <w:multiLevelType w:val="multilevel"/>
    <w:tmpl w:val="8854A7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7"/>
  </w:num>
  <w:num w:numId="2">
    <w:abstractNumId w:val="5"/>
  </w:num>
  <w:num w:numId="3">
    <w:abstractNumId w:val="24"/>
  </w:num>
  <w:num w:numId="4">
    <w:abstractNumId w:val="21"/>
  </w:num>
  <w:num w:numId="5">
    <w:abstractNumId w:val="9"/>
  </w:num>
  <w:num w:numId="6">
    <w:abstractNumId w:val="17"/>
  </w:num>
  <w:num w:numId="7">
    <w:abstractNumId w:val="11"/>
  </w:num>
  <w:num w:numId="8">
    <w:abstractNumId w:val="13"/>
  </w:num>
  <w:num w:numId="9">
    <w:abstractNumId w:val="6"/>
  </w:num>
  <w:num w:numId="10">
    <w:abstractNumId w:val="0"/>
  </w:num>
  <w:num w:numId="11">
    <w:abstractNumId w:val="14"/>
  </w:num>
  <w:num w:numId="12">
    <w:abstractNumId w:val="22"/>
  </w:num>
  <w:num w:numId="13">
    <w:abstractNumId w:val="8"/>
  </w:num>
  <w:num w:numId="14">
    <w:abstractNumId w:val="22"/>
  </w:num>
  <w:num w:numId="15">
    <w:abstractNumId w:val="22"/>
  </w:num>
  <w:num w:numId="16">
    <w:abstractNumId w:val="1"/>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3"/>
  </w:num>
  <w:num w:numId="20">
    <w:abstractNumId w:val="25"/>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6"/>
  </w:num>
  <w:num w:numId="27">
    <w:abstractNumId w:val="18"/>
  </w:num>
  <w:num w:numId="28">
    <w:abstractNumId w:val="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2"/>
  </w:num>
  <w:num w:numId="3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0"/>
  </w:num>
  <w:num w:numId="38">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num>
  <w:num w:numId="41">
    <w:abstractNumId w:val="12"/>
  </w:num>
  <w:num w:numId="42">
    <w:abstractNumId w:val="3"/>
  </w:num>
  <w:num w:numId="43">
    <w:abstractNumId w:val="12"/>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attachedTemplate r:id="rId1"/>
  <w:defaultTabStop w:val="720"/>
  <w:evenAndOddHeaders/>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D9"/>
    <w:rsid w:val="00012BC3"/>
    <w:rsid w:val="000316BA"/>
    <w:rsid w:val="00035F00"/>
    <w:rsid w:val="00036B2F"/>
    <w:rsid w:val="000411B4"/>
    <w:rsid w:val="000453A9"/>
    <w:rsid w:val="00055D3E"/>
    <w:rsid w:val="00056B48"/>
    <w:rsid w:val="000635C6"/>
    <w:rsid w:val="000677FF"/>
    <w:rsid w:val="00073C63"/>
    <w:rsid w:val="0007516D"/>
    <w:rsid w:val="000A1692"/>
    <w:rsid w:val="000A5BA3"/>
    <w:rsid w:val="000C40FA"/>
    <w:rsid w:val="000E4643"/>
    <w:rsid w:val="000F3D35"/>
    <w:rsid w:val="001167CE"/>
    <w:rsid w:val="00117D25"/>
    <w:rsid w:val="0015436A"/>
    <w:rsid w:val="00175CB1"/>
    <w:rsid w:val="00176F02"/>
    <w:rsid w:val="001826BD"/>
    <w:rsid w:val="001B5139"/>
    <w:rsid w:val="001D053C"/>
    <w:rsid w:val="001E3D59"/>
    <w:rsid w:val="001F005B"/>
    <w:rsid w:val="00205AFA"/>
    <w:rsid w:val="00270BC2"/>
    <w:rsid w:val="002B7C9E"/>
    <w:rsid w:val="002C1A82"/>
    <w:rsid w:val="002F5566"/>
    <w:rsid w:val="00322C0A"/>
    <w:rsid w:val="00324019"/>
    <w:rsid w:val="00335A47"/>
    <w:rsid w:val="00352FBA"/>
    <w:rsid w:val="00363133"/>
    <w:rsid w:val="00374414"/>
    <w:rsid w:val="00390317"/>
    <w:rsid w:val="003A3341"/>
    <w:rsid w:val="003B7161"/>
    <w:rsid w:val="003D12D4"/>
    <w:rsid w:val="003D2DB4"/>
    <w:rsid w:val="003F56FC"/>
    <w:rsid w:val="00406D02"/>
    <w:rsid w:val="00423C51"/>
    <w:rsid w:val="0042752C"/>
    <w:rsid w:val="00432F9E"/>
    <w:rsid w:val="00434476"/>
    <w:rsid w:val="004358B7"/>
    <w:rsid w:val="00441132"/>
    <w:rsid w:val="004419C3"/>
    <w:rsid w:val="00476347"/>
    <w:rsid w:val="004810CD"/>
    <w:rsid w:val="00492F47"/>
    <w:rsid w:val="00495C4D"/>
    <w:rsid w:val="004A473E"/>
    <w:rsid w:val="004A6CFB"/>
    <w:rsid w:val="004E31E3"/>
    <w:rsid w:val="004E7232"/>
    <w:rsid w:val="004F1D14"/>
    <w:rsid w:val="004F3AA0"/>
    <w:rsid w:val="00505EDF"/>
    <w:rsid w:val="00507341"/>
    <w:rsid w:val="00514CA9"/>
    <w:rsid w:val="00524709"/>
    <w:rsid w:val="00525EF7"/>
    <w:rsid w:val="0053064A"/>
    <w:rsid w:val="005370E0"/>
    <w:rsid w:val="00551A57"/>
    <w:rsid w:val="00555EDD"/>
    <w:rsid w:val="00584C8F"/>
    <w:rsid w:val="005A3E01"/>
    <w:rsid w:val="005B79F7"/>
    <w:rsid w:val="005C08CD"/>
    <w:rsid w:val="005F3AB0"/>
    <w:rsid w:val="006015EF"/>
    <w:rsid w:val="0060380C"/>
    <w:rsid w:val="00615D7E"/>
    <w:rsid w:val="00622D21"/>
    <w:rsid w:val="00625505"/>
    <w:rsid w:val="00632A05"/>
    <w:rsid w:val="006628C0"/>
    <w:rsid w:val="006656DF"/>
    <w:rsid w:val="00670690"/>
    <w:rsid w:val="0069622C"/>
    <w:rsid w:val="00696898"/>
    <w:rsid w:val="006A2D21"/>
    <w:rsid w:val="006B2DB5"/>
    <w:rsid w:val="006B3AB3"/>
    <w:rsid w:val="006C2B64"/>
    <w:rsid w:val="006D0D92"/>
    <w:rsid w:val="006D30E9"/>
    <w:rsid w:val="006D7183"/>
    <w:rsid w:val="006E54FE"/>
    <w:rsid w:val="006F5148"/>
    <w:rsid w:val="006F6540"/>
    <w:rsid w:val="00721303"/>
    <w:rsid w:val="00730F9B"/>
    <w:rsid w:val="0075625A"/>
    <w:rsid w:val="00766041"/>
    <w:rsid w:val="007754A9"/>
    <w:rsid w:val="007B37BC"/>
    <w:rsid w:val="007C021E"/>
    <w:rsid w:val="007D05AB"/>
    <w:rsid w:val="007D3C8E"/>
    <w:rsid w:val="007D4F7A"/>
    <w:rsid w:val="007E4408"/>
    <w:rsid w:val="007E763F"/>
    <w:rsid w:val="007F4591"/>
    <w:rsid w:val="007F7DF3"/>
    <w:rsid w:val="00800FB5"/>
    <w:rsid w:val="0081083C"/>
    <w:rsid w:val="00812CE0"/>
    <w:rsid w:val="00826A1D"/>
    <w:rsid w:val="0083252E"/>
    <w:rsid w:val="008470DD"/>
    <w:rsid w:val="00863EEC"/>
    <w:rsid w:val="00865B8D"/>
    <w:rsid w:val="008678F0"/>
    <w:rsid w:val="00886FF8"/>
    <w:rsid w:val="008907F9"/>
    <w:rsid w:val="00892426"/>
    <w:rsid w:val="008B6DC3"/>
    <w:rsid w:val="008E42C6"/>
    <w:rsid w:val="0090592D"/>
    <w:rsid w:val="0091176F"/>
    <w:rsid w:val="0091670C"/>
    <w:rsid w:val="00941DC9"/>
    <w:rsid w:val="009427D8"/>
    <w:rsid w:val="00947600"/>
    <w:rsid w:val="00947649"/>
    <w:rsid w:val="0097103A"/>
    <w:rsid w:val="00992CE7"/>
    <w:rsid w:val="00993CC8"/>
    <w:rsid w:val="009A2DEA"/>
    <w:rsid w:val="009A4AED"/>
    <w:rsid w:val="009A5BC4"/>
    <w:rsid w:val="009C09B3"/>
    <w:rsid w:val="009C604C"/>
    <w:rsid w:val="009C679C"/>
    <w:rsid w:val="009D1A7D"/>
    <w:rsid w:val="009E4530"/>
    <w:rsid w:val="00A273E2"/>
    <w:rsid w:val="00A54F34"/>
    <w:rsid w:val="00A70857"/>
    <w:rsid w:val="00A76A84"/>
    <w:rsid w:val="00A85D5B"/>
    <w:rsid w:val="00A9085F"/>
    <w:rsid w:val="00A911EA"/>
    <w:rsid w:val="00A929A6"/>
    <w:rsid w:val="00A9381B"/>
    <w:rsid w:val="00AA2F8E"/>
    <w:rsid w:val="00AC7116"/>
    <w:rsid w:val="00AD3DEE"/>
    <w:rsid w:val="00AF3C23"/>
    <w:rsid w:val="00B30771"/>
    <w:rsid w:val="00B35E85"/>
    <w:rsid w:val="00B40B2F"/>
    <w:rsid w:val="00B54777"/>
    <w:rsid w:val="00B756BA"/>
    <w:rsid w:val="00B766B9"/>
    <w:rsid w:val="00B9772E"/>
    <w:rsid w:val="00BA7DC8"/>
    <w:rsid w:val="00BB08CF"/>
    <w:rsid w:val="00C07633"/>
    <w:rsid w:val="00C173D3"/>
    <w:rsid w:val="00C27EEF"/>
    <w:rsid w:val="00C3026B"/>
    <w:rsid w:val="00C309BE"/>
    <w:rsid w:val="00C55972"/>
    <w:rsid w:val="00C820E7"/>
    <w:rsid w:val="00CE149B"/>
    <w:rsid w:val="00CE458A"/>
    <w:rsid w:val="00D11AD2"/>
    <w:rsid w:val="00D17B81"/>
    <w:rsid w:val="00D44F0D"/>
    <w:rsid w:val="00D55354"/>
    <w:rsid w:val="00D63999"/>
    <w:rsid w:val="00D652DF"/>
    <w:rsid w:val="00D74B53"/>
    <w:rsid w:val="00D7660C"/>
    <w:rsid w:val="00D87D1B"/>
    <w:rsid w:val="00D90BD9"/>
    <w:rsid w:val="00D974F0"/>
    <w:rsid w:val="00DB2814"/>
    <w:rsid w:val="00DC12B3"/>
    <w:rsid w:val="00DC6821"/>
    <w:rsid w:val="00DC6BB1"/>
    <w:rsid w:val="00DD2520"/>
    <w:rsid w:val="00DE33C7"/>
    <w:rsid w:val="00E2410B"/>
    <w:rsid w:val="00E331D9"/>
    <w:rsid w:val="00E50CFA"/>
    <w:rsid w:val="00E5762D"/>
    <w:rsid w:val="00E60D62"/>
    <w:rsid w:val="00E7191A"/>
    <w:rsid w:val="00E722D4"/>
    <w:rsid w:val="00E758AC"/>
    <w:rsid w:val="00E872C4"/>
    <w:rsid w:val="00E91284"/>
    <w:rsid w:val="00EA37AE"/>
    <w:rsid w:val="00EC0D13"/>
    <w:rsid w:val="00EE2215"/>
    <w:rsid w:val="00F46090"/>
    <w:rsid w:val="00F62111"/>
    <w:rsid w:val="00F62370"/>
    <w:rsid w:val="00F62CE8"/>
    <w:rsid w:val="00F64A40"/>
    <w:rsid w:val="00F77E66"/>
    <w:rsid w:val="00FA21B7"/>
    <w:rsid w:val="00FA7071"/>
    <w:rsid w:val="00FC64FA"/>
    <w:rsid w:val="00FD35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43009"/>
    <o:shapelayout v:ext="edit">
      <o:idmap v:ext="edit" data="1"/>
    </o:shapelayout>
  </w:shapeDefaults>
  <w:decimalSymbol w:val="."/>
  <w:listSeparator w:val=","/>
  <w15:chartTrackingRefBased/>
  <w15:docId w15:val="{07351C94-CFF7-4D48-B798-BD9314C0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40"/>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A9085F"/>
    <w:rPr>
      <w:rFonts w:ascii="Calibri" w:eastAsia="Times New Roman" w:hAnsi="Calibri" w:cs="Times New Roman"/>
      <w:sz w:val="24"/>
      <w:szCs w:val="20"/>
    </w:rPr>
  </w:style>
  <w:style w:type="paragraph" w:customStyle="1" w:styleId="aDef">
    <w:name w:val="aDef"/>
    <w:basedOn w:val="Normal"/>
    <w:link w:val="aDefChar"/>
    <w:rsid w:val="00390317"/>
    <w:pPr>
      <w:numPr>
        <w:ilvl w:val="5"/>
        <w:numId w:val="20"/>
      </w:numPr>
      <w:spacing w:before="140"/>
      <w:ind w:left="4320" w:hanging="180"/>
      <w:jc w:val="both"/>
      <w:outlineLvl w:val="5"/>
    </w:pPr>
    <w:rPr>
      <w:rFonts w:ascii="Times New Roman" w:hAnsi="Times New Roman"/>
      <w:lang w:val="en-AU" w:eastAsia="en-US"/>
    </w:rPr>
  </w:style>
  <w:style w:type="paragraph" w:customStyle="1" w:styleId="direction">
    <w:name w:val="direction"/>
    <w:basedOn w:val="Normal"/>
    <w:next w:val="Normal"/>
    <w:rsid w:val="00390317"/>
    <w:pPr>
      <w:keepNext/>
      <w:spacing w:before="140"/>
      <w:ind w:left="1100"/>
      <w:jc w:val="both"/>
    </w:pPr>
    <w:rPr>
      <w:rFonts w:ascii="Times New Roman" w:hAnsi="Times New Roman"/>
      <w:i/>
      <w:lang w:val="en-AU" w:eastAsia="en-US"/>
    </w:rPr>
  </w:style>
  <w:style w:type="paragraph" w:customStyle="1" w:styleId="IH2Part">
    <w:name w:val="I H2 Part"/>
    <w:basedOn w:val="Normal"/>
    <w:next w:val="Normal"/>
    <w:rsid w:val="00390317"/>
    <w:pPr>
      <w:keepNext/>
      <w:tabs>
        <w:tab w:val="left" w:pos="2600"/>
      </w:tabs>
      <w:spacing w:before="380"/>
      <w:ind w:left="2600" w:hanging="2600"/>
    </w:pPr>
    <w:rPr>
      <w:rFonts w:ascii="Arial" w:hAnsi="Arial"/>
      <w:b/>
      <w:sz w:val="32"/>
      <w:lang w:val="en-AU" w:eastAsia="en-US"/>
    </w:rPr>
  </w:style>
  <w:style w:type="paragraph" w:customStyle="1" w:styleId="IMain">
    <w:name w:val="I Main"/>
    <w:basedOn w:val="Normal"/>
    <w:rsid w:val="00390317"/>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390317"/>
    <w:pPr>
      <w:tabs>
        <w:tab w:val="right" w:pos="1400"/>
        <w:tab w:val="left" w:pos="1600"/>
      </w:tabs>
      <w:spacing w:before="140"/>
      <w:ind w:left="1600" w:hanging="1600"/>
      <w:jc w:val="both"/>
    </w:pPr>
    <w:rPr>
      <w:rFonts w:ascii="Times New Roman" w:hAnsi="Times New Roman"/>
      <w:lang w:val="en-AU" w:eastAsia="en-US"/>
    </w:rPr>
  </w:style>
  <w:style w:type="paragraph" w:customStyle="1" w:styleId="Amainbullet">
    <w:name w:val="A main bullet"/>
    <w:basedOn w:val="Normal"/>
    <w:rsid w:val="00390317"/>
    <w:pPr>
      <w:numPr>
        <w:numId w:val="18"/>
      </w:numPr>
      <w:spacing w:before="60"/>
      <w:jc w:val="both"/>
    </w:pPr>
    <w:rPr>
      <w:rFonts w:ascii="Times New Roman" w:hAnsi="Times New Roman"/>
      <w:lang w:val="en-AU" w:eastAsia="en-US"/>
    </w:rPr>
  </w:style>
  <w:style w:type="paragraph" w:customStyle="1" w:styleId="aDefpara">
    <w:name w:val="aDef para"/>
    <w:basedOn w:val="Normal"/>
    <w:rsid w:val="00390317"/>
    <w:pPr>
      <w:numPr>
        <w:ilvl w:val="6"/>
        <w:numId w:val="20"/>
      </w:numPr>
      <w:spacing w:before="140"/>
      <w:jc w:val="both"/>
      <w:outlineLvl w:val="6"/>
    </w:pPr>
    <w:rPr>
      <w:rFonts w:ascii="Times New Roman" w:hAnsi="Times New Roman"/>
      <w:lang w:val="en-AU" w:eastAsia="en-US"/>
    </w:rPr>
  </w:style>
  <w:style w:type="paragraph" w:customStyle="1" w:styleId="aDefsubpara">
    <w:name w:val="aDef subpara"/>
    <w:basedOn w:val="Normal"/>
    <w:rsid w:val="00390317"/>
    <w:pPr>
      <w:numPr>
        <w:ilvl w:val="7"/>
        <w:numId w:val="20"/>
      </w:numPr>
      <w:spacing w:before="140"/>
      <w:jc w:val="both"/>
      <w:outlineLvl w:val="7"/>
    </w:pPr>
    <w:rPr>
      <w:rFonts w:ascii="Times New Roman" w:hAnsi="Times New Roman"/>
      <w:lang w:val="en-AU" w:eastAsia="en-US"/>
    </w:rPr>
  </w:style>
  <w:style w:type="paragraph" w:customStyle="1" w:styleId="Idefpara">
    <w:name w:val="I def para"/>
    <w:basedOn w:val="Ipara"/>
    <w:rsid w:val="00390317"/>
  </w:style>
  <w:style w:type="character" w:customStyle="1" w:styleId="charBoldItals">
    <w:name w:val="charBoldItals"/>
    <w:basedOn w:val="DefaultParagraphFont"/>
    <w:rsid w:val="00390317"/>
    <w:rPr>
      <w:b/>
      <w:i/>
    </w:rPr>
  </w:style>
  <w:style w:type="paragraph" w:customStyle="1" w:styleId="IshadedH5Sec">
    <w:name w:val="I shaded H5 Sec"/>
    <w:basedOn w:val="Normal"/>
    <w:rsid w:val="00390317"/>
    <w:pPr>
      <w:keepNext/>
      <w:shd w:val="pct25" w:color="auto" w:fill="auto"/>
      <w:spacing w:before="240"/>
      <w:ind w:left="1100" w:hanging="1100"/>
    </w:pPr>
    <w:rPr>
      <w:rFonts w:ascii="Arial" w:hAnsi="Arial"/>
      <w:b/>
      <w:lang w:val="en-AU" w:eastAsia="en-US"/>
    </w:rPr>
  </w:style>
  <w:style w:type="paragraph" w:customStyle="1" w:styleId="AH3sec">
    <w:name w:val="A H3 sec"/>
    <w:basedOn w:val="Normal"/>
    <w:next w:val="direction"/>
    <w:rsid w:val="00390317"/>
    <w:pPr>
      <w:keepNext/>
      <w:keepLines/>
      <w:numPr>
        <w:numId w:val="19"/>
      </w:numPr>
      <w:pBdr>
        <w:top w:val="single" w:sz="4" w:space="1" w:color="auto"/>
      </w:pBdr>
      <w:tabs>
        <w:tab w:val="left" w:pos="284"/>
        <w:tab w:val="num" w:pos="1500"/>
      </w:tabs>
      <w:spacing w:before="240"/>
      <w:ind w:left="0" w:firstLine="0"/>
    </w:pPr>
    <w:rPr>
      <w:rFonts w:ascii="Arial" w:hAnsi="Arial"/>
      <w:b/>
      <w:sz w:val="22"/>
      <w:lang w:val="en-AU" w:eastAsia="en-US"/>
    </w:rPr>
  </w:style>
  <w:style w:type="character" w:customStyle="1" w:styleId="aDefChar">
    <w:name w:val="aDef Char"/>
    <w:basedOn w:val="DefaultParagraphFont"/>
    <w:link w:val="aDef"/>
    <w:locked/>
    <w:rsid w:val="00390317"/>
    <w:rPr>
      <w:rFonts w:ascii="Times New Roman" w:eastAsia="Times New Roman" w:hAnsi="Times New Roman" w:cs="Times New Roman"/>
      <w:sz w:val="24"/>
      <w:szCs w:val="20"/>
      <w:lang w:eastAsia="en-US"/>
    </w:rPr>
  </w:style>
  <w:style w:type="character" w:customStyle="1" w:styleId="DPSEntryDetailIndentLev1Char">
    <w:name w:val="DPSEntryDetailIndentLev1 Char"/>
    <w:basedOn w:val="DefaultParagraphFont"/>
    <w:link w:val="DPSEntryDetailIndentLev1"/>
    <w:rsid w:val="004810CD"/>
    <w:rPr>
      <w:rFonts w:ascii="Calibri" w:eastAsia="Times New Roman" w:hAnsi="Calibri" w:cs="Times New Roman"/>
      <w:sz w:val="24"/>
      <w:szCs w:val="20"/>
    </w:rPr>
  </w:style>
  <w:style w:type="paragraph" w:styleId="ListParagraph">
    <w:name w:val="List Paragraph"/>
    <w:basedOn w:val="Normal"/>
    <w:uiPriority w:val="34"/>
    <w:qFormat/>
    <w:rsid w:val="00AA2F8E"/>
    <w:pPr>
      <w:spacing w:after="160" w:line="259" w:lineRule="auto"/>
      <w:ind w:left="720"/>
      <w:contextualSpacing/>
    </w:pPr>
    <w:rPr>
      <w:rFonts w:eastAsiaTheme="minorHAnsi" w:cstheme="minorBidi"/>
      <w:sz w:val="22"/>
      <w:szCs w:val="22"/>
      <w:lang w:val="en-AU" w:eastAsia="en-US"/>
    </w:rPr>
  </w:style>
  <w:style w:type="paragraph" w:styleId="Index1">
    <w:name w:val="index 1"/>
    <w:basedOn w:val="Normal"/>
    <w:next w:val="Normal"/>
    <w:autoRedefine/>
    <w:uiPriority w:val="99"/>
    <w:semiHidden/>
    <w:unhideWhenUsed/>
    <w:rsid w:val="00F62111"/>
    <w:pPr>
      <w:ind w:left="240" w:hanging="240"/>
    </w:pPr>
  </w:style>
  <w:style w:type="paragraph" w:styleId="Index2">
    <w:name w:val="index 2"/>
    <w:basedOn w:val="Normal"/>
    <w:next w:val="Normal"/>
    <w:autoRedefine/>
    <w:uiPriority w:val="99"/>
    <w:semiHidden/>
    <w:unhideWhenUsed/>
    <w:rsid w:val="00F62111"/>
    <w:pPr>
      <w:ind w:left="480" w:hanging="240"/>
    </w:pPr>
  </w:style>
  <w:style w:type="paragraph" w:styleId="Index3">
    <w:name w:val="index 3"/>
    <w:basedOn w:val="Normal"/>
    <w:next w:val="Normal"/>
    <w:autoRedefine/>
    <w:uiPriority w:val="99"/>
    <w:semiHidden/>
    <w:unhideWhenUsed/>
    <w:rsid w:val="00F62111"/>
    <w:pPr>
      <w:ind w:left="720" w:hanging="240"/>
    </w:pPr>
  </w:style>
  <w:style w:type="paragraph" w:styleId="Index4">
    <w:name w:val="index 4"/>
    <w:basedOn w:val="Normal"/>
    <w:next w:val="Normal"/>
    <w:autoRedefine/>
    <w:uiPriority w:val="99"/>
    <w:semiHidden/>
    <w:unhideWhenUsed/>
    <w:rsid w:val="00F62111"/>
    <w:pPr>
      <w:ind w:left="96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408843903">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CE997B55-651F-4D87-A5DF-225EE26E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17</Pages>
  <Words>4795</Words>
  <Characters>27334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2021-10-07T07:32:00Z</cp:lastPrinted>
  <dcterms:created xsi:type="dcterms:W3CDTF">2021-10-21T03:55:00Z</dcterms:created>
  <dcterms:modified xsi:type="dcterms:W3CDTF">2021-10-21T03:55:00Z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