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52518" w14:textId="77777777" w:rsidR="003D0C80" w:rsidRDefault="00252E76" w:rsidP="00687378">
      <w:pPr>
        <w:jc w:val="center"/>
      </w:pPr>
      <w:r w:rsidRPr="00687378">
        <w:drawing>
          <wp:anchor distT="0" distB="0" distL="114300" distR="114300" simplePos="0" relativeHeight="251658240" behindDoc="0" locked="0" layoutInCell="1" allowOverlap="1" wp14:anchorId="023CFDDD" wp14:editId="21419317">
            <wp:simplePos x="0" y="0"/>
            <wp:positionH relativeFrom="margin">
              <wp:posOffset>-342900</wp:posOffset>
            </wp:positionH>
            <wp:positionV relativeFrom="margin">
              <wp:posOffset>-114300</wp:posOffset>
            </wp:positionV>
            <wp:extent cx="9601200" cy="5715000"/>
            <wp:effectExtent l="0" t="0" r="25400" b="2540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0C80" w:rsidSect="009056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20" w:h="11900" w:orient="landscape"/>
      <w:pgMar w:top="1800" w:right="1440" w:bottom="1800" w:left="1440" w:header="708" w:footer="708" w:gutter="0"/>
      <w:cols w:space="708"/>
      <w:docGrid w:linePitch="360"/>
      <w:printerSettings r:id="rId1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4EBB0" w14:textId="77777777" w:rsidR="004264F2" w:rsidRDefault="004264F2" w:rsidP="00687378">
      <w:r>
        <w:separator/>
      </w:r>
    </w:p>
  </w:endnote>
  <w:endnote w:type="continuationSeparator" w:id="0">
    <w:p w14:paraId="3C94756D" w14:textId="77777777" w:rsidR="004264F2" w:rsidRDefault="004264F2" w:rsidP="0068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87040" w14:textId="77777777" w:rsidR="00887294" w:rsidRDefault="0088729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E5AE4" w14:textId="77777777" w:rsidR="00887294" w:rsidRDefault="0088729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F404E" w14:textId="77777777" w:rsidR="00887294" w:rsidRDefault="0088729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5BA84" w14:textId="77777777" w:rsidR="004264F2" w:rsidRDefault="004264F2" w:rsidP="00687378">
      <w:r>
        <w:separator/>
      </w:r>
    </w:p>
  </w:footnote>
  <w:footnote w:type="continuationSeparator" w:id="0">
    <w:p w14:paraId="358DE289" w14:textId="77777777" w:rsidR="004264F2" w:rsidRDefault="004264F2" w:rsidP="006873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31A98" w14:textId="77777777" w:rsidR="00887294" w:rsidRDefault="0088729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00BE9" w14:textId="0E07701D" w:rsidR="004264F2" w:rsidRPr="00887294" w:rsidRDefault="00887294" w:rsidP="00887294">
    <w:pPr>
      <w:pStyle w:val="Header"/>
      <w:jc w:val="center"/>
      <w:rPr>
        <w:b/>
        <w:bCs/>
        <w:lang w:val="en-AU"/>
      </w:rPr>
    </w:pPr>
    <w:bookmarkStart w:id="0" w:name="_GoBack"/>
    <w:bookmarkEnd w:id="0"/>
    <w:r w:rsidRPr="00887294">
      <w:rPr>
        <w:bCs/>
        <w:lang w:val="en-AU"/>
      </w:rPr>
      <w:t>Inquiry into 2020 ACT Election and the Electoral Act -</w:t>
    </w:r>
    <w:r>
      <w:rPr>
        <w:b/>
        <w:bCs/>
        <w:lang w:val="en-AU"/>
      </w:rPr>
      <w:t xml:space="preserve"> </w:t>
    </w:r>
    <w:r w:rsidR="004264F2">
      <w:t>Submission 18 - Bruce Paine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6F051" w14:textId="77777777" w:rsidR="00887294" w:rsidRDefault="008872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76"/>
    <w:rsid w:val="001B47CF"/>
    <w:rsid w:val="00252E76"/>
    <w:rsid w:val="003D0C80"/>
    <w:rsid w:val="004264F2"/>
    <w:rsid w:val="00687378"/>
    <w:rsid w:val="00887294"/>
    <w:rsid w:val="00905650"/>
    <w:rsid w:val="00E8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8E00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E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7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73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378"/>
  </w:style>
  <w:style w:type="paragraph" w:styleId="Footer">
    <w:name w:val="footer"/>
    <w:basedOn w:val="Normal"/>
    <w:link w:val="FooterChar"/>
    <w:uiPriority w:val="99"/>
    <w:unhideWhenUsed/>
    <w:rsid w:val="006873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37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E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7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73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378"/>
  </w:style>
  <w:style w:type="paragraph" w:styleId="Footer">
    <w:name w:val="footer"/>
    <w:basedOn w:val="Normal"/>
    <w:link w:val="FooterChar"/>
    <w:uiPriority w:val="99"/>
    <w:unhideWhenUsed/>
    <w:rsid w:val="006873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printerSettings" Target="printerSettings/printerSettings1.bin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hart" Target="charts/chart1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nicolepietrucha:Documents:comparison%20of%201sr%20pref%20votes%20with%20seats%20won%20across%20Aust.xlsx" TargetMode="External"/><Relationship Id="rId2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Independent</a:t>
            </a:r>
            <a:r>
              <a:rPr lang="en-US" baseline="0"/>
              <a:t>s and minor Parties (a)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887118845332843"/>
          <c:y val="0.131791907514451"/>
          <c:w val="0.839517872765904"/>
          <c:h val="0.427373928258968"/>
        </c:manualLayout>
      </c:layout>
      <c:barChart>
        <c:barDir val="col"/>
        <c:grouping val="clustered"/>
        <c:varyColors val="0"/>
        <c:ser>
          <c:idx val="0"/>
          <c:order val="0"/>
          <c:tx>
            <c:v>% of formal vote</c:v>
          </c:tx>
          <c:spPr>
            <a:pattFill prst="wdUpDiag">
              <a:fgClr>
                <a:prstClr val="black"/>
              </a:fgClr>
              <a:bgClr>
                <a:prstClr val="white"/>
              </a:bgClr>
            </a:pattFill>
            <a:ln w="6350">
              <a:solidFill>
                <a:schemeClr val="tx1"/>
              </a:solidFill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Sheet1!$A$21:$A$28</c:f>
              <c:strCache>
                <c:ptCount val="8"/>
                <c:pt idx="0">
                  <c:v>NSW</c:v>
                </c:pt>
                <c:pt idx="1">
                  <c:v>VIC</c:v>
                </c:pt>
                <c:pt idx="2">
                  <c:v>QLD</c:v>
                </c:pt>
                <c:pt idx="3">
                  <c:v>WA</c:v>
                </c:pt>
                <c:pt idx="4">
                  <c:v>SA</c:v>
                </c:pt>
                <c:pt idx="5">
                  <c:v>TAS</c:v>
                </c:pt>
                <c:pt idx="6">
                  <c:v>NT </c:v>
                </c:pt>
                <c:pt idx="7">
                  <c:v>ACT</c:v>
                </c:pt>
              </c:strCache>
            </c:strRef>
          </c:cat>
          <c:val>
            <c:numRef>
              <c:f>Sheet1!$B$21:$B$28</c:f>
              <c:numCache>
                <c:formatCode>0.0</c:formatCode>
                <c:ptCount val="8"/>
                <c:pt idx="0">
                  <c:v>25.75999999999999</c:v>
                </c:pt>
                <c:pt idx="1">
                  <c:v>22.10000000000001</c:v>
                </c:pt>
                <c:pt idx="2">
                  <c:v>15.07</c:v>
                </c:pt>
                <c:pt idx="3">
                  <c:v>12.8</c:v>
                </c:pt>
                <c:pt idx="4">
                  <c:v>33.0</c:v>
                </c:pt>
                <c:pt idx="5">
                  <c:v>33.0</c:v>
                </c:pt>
                <c:pt idx="6">
                  <c:v>11.96316016129663</c:v>
                </c:pt>
                <c:pt idx="7">
                  <c:v>14.8593691388333</c:v>
                </c:pt>
              </c:numCache>
            </c:numRef>
          </c:val>
        </c:ser>
        <c:ser>
          <c:idx val="1"/>
          <c:order val="1"/>
          <c:tx>
            <c:v>% of seats</c:v>
          </c:tx>
          <c:spPr>
            <a:pattFill prst="smCheck">
              <a:fgClr>
                <a:prstClr val="black"/>
              </a:fgClr>
              <a:bgClr>
                <a:prstClr val="white"/>
              </a:bgClr>
            </a:pattFill>
            <a:ln>
              <a:solidFill>
                <a:schemeClr val="tx1"/>
              </a:solidFill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Sheet1!$A$21:$A$28</c:f>
              <c:strCache>
                <c:ptCount val="8"/>
                <c:pt idx="0">
                  <c:v>NSW</c:v>
                </c:pt>
                <c:pt idx="1">
                  <c:v>VIC</c:v>
                </c:pt>
                <c:pt idx="2">
                  <c:v>QLD</c:v>
                </c:pt>
                <c:pt idx="3">
                  <c:v>WA</c:v>
                </c:pt>
                <c:pt idx="4">
                  <c:v>SA</c:v>
                </c:pt>
                <c:pt idx="5">
                  <c:v>TAS</c:v>
                </c:pt>
                <c:pt idx="6">
                  <c:v>NT </c:v>
                </c:pt>
                <c:pt idx="7">
                  <c:v>ACT</c:v>
                </c:pt>
              </c:strCache>
            </c:strRef>
          </c:cat>
          <c:val>
            <c:numRef>
              <c:f>Sheet1!$C$21:$C$28</c:f>
              <c:numCache>
                <c:formatCode>0.0</c:formatCode>
                <c:ptCount val="8"/>
                <c:pt idx="0">
                  <c:v>19.04761904761905</c:v>
                </c:pt>
                <c:pt idx="1">
                  <c:v>25.0</c:v>
                </c:pt>
                <c:pt idx="2">
                  <c:v>5.376344086021504</c:v>
                </c:pt>
                <c:pt idx="3">
                  <c:v>8.333333333333328</c:v>
                </c:pt>
                <c:pt idx="4">
                  <c:v>18.18181818181818</c:v>
                </c:pt>
                <c:pt idx="5">
                  <c:v>26.66666666666667</c:v>
                </c:pt>
                <c:pt idx="6">
                  <c:v>8.0</c:v>
                </c:pt>
                <c:pt idx="7">
                  <c:v>0.0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84150376"/>
        <c:axId val="2121700296"/>
      </c:barChart>
      <c:catAx>
        <c:axId val="208415037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121700296"/>
        <c:crosses val="autoZero"/>
        <c:auto val="1"/>
        <c:lblAlgn val="ctr"/>
        <c:lblOffset val="100"/>
        <c:noMultiLvlLbl val="0"/>
      </c:catAx>
      <c:valAx>
        <c:axId val="212170029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  <a:r>
                  <a:rPr lang="en-US" baseline="0"/>
                  <a:t> %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01372682581344"/>
              <c:y val="0.297104330708661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0841503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879900429113"/>
          <c:y val="0.599159230096238"/>
          <c:w val="0.392259196767071"/>
          <c:h val="0.0977926509186352"/>
        </c:manualLayout>
      </c:layout>
      <c:overlay val="0"/>
      <c:txPr>
        <a:bodyPr/>
        <a:lstStyle/>
        <a:p>
          <a:pPr>
            <a:defRPr sz="1200" baseline="0"/>
          </a:pPr>
          <a:endParaRPr lang="en-US"/>
        </a:p>
      </c:txPr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0.7</cdr:y>
    </cdr:from>
    <cdr:to>
      <cdr:x>0.95422</cdr:x>
      <cdr:y>0.98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-571500" y="4000500"/>
          <a:ext cx="9161626" cy="16002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3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200">
              <a:solidFill>
                <a:schemeClr val="tx1"/>
              </a:solidFill>
              <a:effectLst/>
            </a:rPr>
            <a:t>(a) </a:t>
          </a:r>
          <a:r>
            <a:rPr lang="en-US" sz="1200">
              <a:solidFill>
                <a:schemeClr val="tx1"/>
              </a:solidFill>
              <a:effectLst/>
              <a:latin typeface="+mn-lt"/>
              <a:ea typeface="+mn-ea"/>
              <a:cs typeface="+mn-cs"/>
            </a:rPr>
            <a:t>The graph compares first preference formal votes and seats won, for all candidates except Labor, Greens, and Liberals/Nationals.</a:t>
          </a:r>
          <a:endParaRPr lang="en-AU" sz="1200">
            <a:solidFill>
              <a:schemeClr val="tx1"/>
            </a:solidFill>
            <a:effectLst/>
            <a:latin typeface="+mn-lt"/>
            <a:ea typeface="+mn-ea"/>
            <a:cs typeface="+mn-cs"/>
          </a:endParaRPr>
        </a:p>
        <a:p xmlns:a="http://schemas.openxmlformats.org/drawingml/2006/main">
          <a:r>
            <a:rPr lang="en-US" sz="1200">
              <a:solidFill>
                <a:schemeClr val="tx1"/>
              </a:solidFill>
              <a:effectLst/>
              <a:latin typeface="+mn-lt"/>
              <a:ea typeface="+mn-ea"/>
              <a:cs typeface="+mn-cs"/>
            </a:rPr>
            <a:t>It is based on the most recent Upper House result for NSW, VIC, WA, SA and TAS (because they have multi-member electorates, as does the ACT), and the most recent State-wide result in QLD, NT and the ACT (that all have unicameral Parliaments). The comparison for Tasmania may be affected by annual election for part of the Legislative Council.</a:t>
          </a:r>
        </a:p>
        <a:p xmlns:a="http://schemas.openxmlformats.org/drawingml/2006/main">
          <a:endParaRPr lang="en-US" sz="1200">
            <a:solidFill>
              <a:schemeClr val="tx1"/>
            </a:solidFill>
            <a:effectLst/>
            <a:latin typeface="+mn-lt"/>
            <a:ea typeface="+mn-ea"/>
            <a:cs typeface="+mn-cs"/>
          </a:endParaRPr>
        </a:p>
        <a:p xmlns:a="http://schemas.openxmlformats.org/drawingml/2006/main">
          <a:r>
            <a:rPr lang="en-US" sz="1200">
              <a:solidFill>
                <a:schemeClr val="tx1"/>
              </a:solidFill>
              <a:effectLst/>
              <a:latin typeface="+mn-lt"/>
              <a:ea typeface="+mn-ea"/>
              <a:cs typeface="+mn-cs"/>
            </a:rPr>
            <a:t>Note</a:t>
          </a:r>
          <a:r>
            <a:rPr lang="en-US" sz="1200" baseline="0">
              <a:solidFill>
                <a:schemeClr val="tx1"/>
              </a:solidFill>
              <a:effectLst/>
              <a:latin typeface="+mn-lt"/>
              <a:ea typeface="+mn-ea"/>
              <a:cs typeface="+mn-cs"/>
            </a:rPr>
            <a:t> - data sourced from State and Territory Eletoral Commission websites 24 May 2021.</a:t>
          </a:r>
          <a:endParaRPr lang="en-AU" sz="1200">
            <a:solidFill>
              <a:schemeClr val="tx1"/>
            </a:solidFill>
            <a:effectLst/>
            <a:latin typeface="+mn-lt"/>
            <a:ea typeface="+mn-ea"/>
            <a:cs typeface="+mn-cs"/>
          </a:endParaRPr>
        </a:p>
      </cdr:txBody>
    </cdr:sp>
  </cdr:relSizeAnchor>
  <cdr:relSizeAnchor xmlns:cdr="http://schemas.openxmlformats.org/drawingml/2006/chartDrawing">
    <cdr:from>
      <cdr:x>0.89804</cdr:x>
      <cdr:y>0.26428</cdr:y>
    </cdr:from>
    <cdr:to>
      <cdr:x>0.93492</cdr:x>
      <cdr:y>0.48428</cdr:y>
    </cdr:to>
    <cdr:sp macro="" textlink="">
      <cdr:nvSpPr>
        <cdr:cNvPr id="4" name="Down Arrow 3"/>
        <cdr:cNvSpPr/>
      </cdr:nvSpPr>
      <cdr:spPr>
        <a:xfrm xmlns:a="http://schemas.openxmlformats.org/drawingml/2006/main" rot="945154">
          <a:off x="8622219" y="1510359"/>
          <a:ext cx="354123" cy="1257300"/>
        </a:xfrm>
        <a:prstGeom xmlns:a="http://schemas.openxmlformats.org/drawingml/2006/main" prst="downArrow">
          <a:avLst/>
        </a:prstGeom>
        <a:solidFill xmlns:a="http://schemas.openxmlformats.org/drawingml/2006/main">
          <a:schemeClr val="tx1"/>
        </a:solidFill>
        <a:ln xmlns:a="http://schemas.openxmlformats.org/drawingml/2006/main">
          <a:noFill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3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725D87-5421-F74C-970F-8869CAB7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Pietrucha</dc:creator>
  <cp:keywords/>
  <dc:description/>
  <cp:lastModifiedBy>Nicole Pietrucha</cp:lastModifiedBy>
  <cp:revision>5</cp:revision>
  <cp:lastPrinted>2021-05-25T09:58:00Z</cp:lastPrinted>
  <dcterms:created xsi:type="dcterms:W3CDTF">2021-05-25T09:14:00Z</dcterms:created>
  <dcterms:modified xsi:type="dcterms:W3CDTF">2021-05-25T10:27:00Z</dcterms:modified>
</cp:coreProperties>
</file>